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7.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99CA00" w14:textId="77777777" w:rsidR="00EF5B27" w:rsidRDefault="00000000">
      <w:pPr>
        <w:pStyle w:val="BodyText"/>
        <w:tabs>
          <w:tab w:val="left" w:pos="8221"/>
        </w:tabs>
        <w:ind w:left="5841"/>
        <w:rPr>
          <w:rFonts w:ascii="Times New Roman"/>
        </w:rPr>
      </w:pPr>
      <w:r>
        <w:pict w14:anchorId="1F253E13">
          <v:group id="_x0000_s4721" style="position:absolute;left:0;text-align:left;margin-left:0;margin-top:153.8pt;width:582.85pt;height:488.85pt;z-index:-251502080;mso-position-horizontal-relative:page;mso-position-vertical-relative:page" coordorigin=",3076" coordsize="11657,9777">
            <v:shape id="_x0000_s4767" style="position:absolute;top:6192;width:11657;height:6660" coordorigin=",6192" coordsize="11657,6660" o:spt="100" adj="0,,0" path="m5688,12112r-1,-20l5679,12072r-11,-20l5666,12052r-1,-20l5628,12032r4,-20l5625,12012r-11,-20l5626,11992r-11,-20l5482,11972r-19,20l5448,11992r-28,20l5376,12052r-10,20l5388,12072r38,-20l5455,12052r22,20l5505,12072r12,-20l5599,12052r35,20l5668,12092r3,20l5688,12112t172,-260l5820,11812r-12,-20l5641,11792r-8,-20l5596,11772r4,20l5606,11792r-36,60l5582,11872r4,20l5588,11892r41,20l5641,11932r37,l5708,11912r48,-40l5827,11872r26,-20l5860,11852t1510,500l7125,12352r11,20l7155,12392r28,l7212,12412r36,l7260,12372r106,l7370,12352t4286,-1600l11383,10632r-562,-220l10541,10292r-562,-220l9699,9952,9418,9852r-34,-20l9311,9832r-33,-20l9262,9812r94,-120l9370,9652r10,-20l9384,9612r-3,-20l9360,9552r-17,l9325,9532r-21,l9298,9512r-3,l9294,9492r2,-40l9293,9432r-12,l9277,9392r-4,l9260,9372r-46,-40l9191,9312r-10,-20l9185,9272r17,-20l9206,9252r-2,-20l9200,9212r-12,-20l9160,9132r-2,-20l9145,9092r3,-20l9162,9012r-12,-20l9103,8952r-11,-20l9098,8912r7,-20l9100,8872r-34,-20l9027,8852r-15,-20l9001,8832r-6,-20l8986,8792r-48,l8768,8712r-60,l8687,8732r-8,l8530,8792r-23,-20l8500,8752r-18,-20l8459,8732r-24,-20l8425,8732r-87,l8322,8752r-18,20l8287,8792r-11,l8260,8872r-11,20l8229,8872r-23,-20l8154,8852r-66,20l8023,8872r-15,-20l7970,8852r-35,40l7931,8892r-3,20l7916,8912r-4,20l7912,8932r3,20l7921,8952r4,40l7930,9012r9,20l7950,9032r14,20l8038,9052r15,20l8063,9072r-33,20l7947,9112r-17,-20l7875,9052r-13,-40l7859,8972r8,-40l7830,8912r-55,l7766,8932r-6,l7752,8952r-65,-40l7611,8912r-23,-20l7577,8892r-10,-20l7513,8872r-19,-20l7407,8852r-24,-20l7341,8792r-121,l7208,8772r-27,-20l7157,8752r-15,20l7074,8772r-61,80l6904,8852r-44,-20l6811,8832r-8,20l6794,8872r,l6772,8852r-21,l6720,8832r-107,l6595,8812r-102,l6480,8792r-5,l6471,8772r-9,-20l6380,8752r-85,20l6239,8772r-55,-20l6017,8632r-56,-40l5915,8572r-56,l5804,8592r-97,40l5598,8632r-54,-20l5502,8592r-125,l5231,8612r-20,20l5190,8652r-7,l5172,8732r-30,40l5135,8792r14,40l5169,8852r22,20l5202,8892r-14,20l5164,8912r-59,-20l5055,8892r-53,60l4976,8952r-57,20l4885,8972r-16,-20l4868,8952r-4,-20l4840,8932r-10,-20l4808,8892r-80,l4706,8872,4564,8732r-52,l4490,8712r-17,-40l4412,8552r-29,-40l4346,8472r-62,l4273,8452r-19,-20l4234,8432r-25,-20l4204,8392r-17,l4172,8372r-13,l4121,8332r-66,-80l4010,8232r-58,l3924,8212r-23,-40l3875,8152r-80,-20l3743,8112r-30,-40l3660,8072r-8,-20l3647,8052r-10,-20l3581,8012r-106,-20l3402,7972r-12,-20l3381,7932r-3,l3384,7912r9,l3397,7892r,-20l3394,7852r-10,-40l3362,7792r-22,l3227,7772r-29,-20l3173,7732r-15,l3128,7692r-26,-60l3085,7592r-10,-80l3063,7472r-3,-20l3063,7432r11,-20l3078,7392r-2,l3072,7372r-4,l3069,7352r14,l3092,7332r4,l3095,7312r-6,-20l3087,7292r9,-40l3098,7252r-6,-20l3056,7212r-18,l3016,7232r-18,l2989,7192r-10,-20l2932,7172r-14,-20l2834,7112r-18,l2697,7092r-49,-20l2626,7072r-9,20l2586,7092r-40,-40l2521,7052r-7,20l2475,7072r-13,-20l2456,7052r-6,-40l2444,7012r-10,-20l2396,6992r-14,-20l2372,6952r-26,l2317,6972r-15,l2277,6992r-12,20l2254,7072r-11,l2238,7092r-3,l2239,7112r3,20l2244,7132r-8,20l2153,7152r-2,20l2156,7192r15,20l2169,7232r-22,l2125,7212r-68,l2046,7192r-27,l2013,7172r2,-20l2013,7132r-36,-60l1948,7032r-5,l1944,7012r1,l1946,6992r-3,l1931,6972r-83,-60l1837,6892r-19,-120l1819,6752r8,-20l1852,6692r11,-20l1857,6652r-7,-20l1832,6632r-22,20l1784,6652r-22,-20l1732,6612r-26,-20l1690,6572r-9,-20l1668,6552r-2,-40l1659,6492r-14,-40l1583,6452r-18,-20l1549,6412r-76,l1459,6432r-21,-60l1404,6352r-34,l1300,6372r-28,l1257,6352r-15,l1215,6372r-115,l1040,6332r-28,l957,6352r-52,20l860,6392r-35,40l795,6472r-17,l750,6492r-12,l728,6472r-7,-20l714,6432r-10,l637,6412r-17,l580,6392r-8,l550,6372r-30,l491,6392r-20,l459,6372r-16,-20l431,6352r-18,-20l398,6332r-11,-20l370,6312r-14,-20l346,6292r-8,20l267,6312r-19,-20l102,6292,74,6272,43,6232,26,6212,,6192r,120l,7132r1,320l1,9052r,340l1,10412r1,1040l5,11452r22,20l217,11552r103,60l528,11752r21,20l558,11792r2,20l558,11832r-9,20l529,11872r-6,l534,11892r19,l574,11912r15,-20l597,11892r2,-20l700,11872r15,20l733,11932r12,20l765,11952r9,-20l778,11932r7,-20l812,11892r77,l887,11872r-10,l850,11832r-7,-20l861,11772r52,-20l977,11732r52,-20l1162,11732r30,20l1268,11752r50,20l1455,11852r109,40l1628,11912r58,-20l1702,11872r40,-20l1869,11852r28,40l1912,11892r30,20l1945,11892r4,-20l1989,11872r15,40l2035,11912r18,20l2100,11952r83,40l2289,12052r34,20l2386,12132r57,l2465,12152r37,l2563,12172r146,40l2736,12212r49,40l2863,12292r9,20l2894,12332r27,20l2944,12372r120,-20l3094,12352r24,20l3216,12412r6,l3236,12432r6,l3257,12452r44,20l3327,12492r25,l3374,12472r36,-40l3422,12432r46,-20l3474,12392r15,20l3495,12412r4,-20l3500,12392r17,-20l3522,12352r6,-20l3544,12332r26,-20l3597,12312r128,-40l3738,12272r20,-20l3770,12232r13,l3804,12212r29,-60l3850,12132r49,l3916,12112r10,-20l3925,12092r-3,-20l3925,12072r69,-60l4018,11992r65,l4096,11972r6,-20l4169,11952r8,-20l4194,11912r27,l4248,11892r14,l4284,11872r21,-20l4327,11832r119,-60l4473,11752r43,l4546,11772r41,l4598,11752r173,l4772,11712r10,l4794,11692r22,-20l4844,11672r7,-20l4853,11652r-1,-20l4856,11632r4,-20l4865,11592r-27,-20l4772,11532r-124,80l4603,11612r-116,-20l4420,11592r-25,-20l4409,11532r28,-20l4571,11512r12,20l4595,11532r14,-20l4609,11512r-5,-20l4603,11492r10,-20l4629,11452r20,-20l4796,11412r20,-20l4826,11372r50,-40l4911,11332r22,-20l4967,11312r10,-20l4984,11272r10,-20l5016,11232r84,20l5103,11232r3,-20l5136,11212r36,20l5198,11252r13,20l5223,11332r32,40l5263,11392r15,l5318,11412r12,l5363,11452r20,40l5387,11552r-12,40l5314,11652r-14,20l5278,11692r-9,20l5263,11712r-7,20l5251,11752r-28,20l5209,11772r2,20l5218,11792r-7,20l5198,11812r-116,60l4940,11872r-46,-40l4869,11812r-46,l4812,11792r-15,l4802,11812r19,l4847,11832r22,l5073,12012r45,20l5162,12032r90,-20l5269,12012r17,-40l5299,11952r41,l5351,11932r6,-20l5366,11912r31,-20l5517,11912r-4,-20l5510,11872r-1,-20l5503,11832r-20,-20l5482,11792r25,l5520,11772r20,-40l5552,11732r11,-20l5551,11692r21,-20l5604,11672r24,20l5716,11692r60,-20l5800,11672r21,20l5837,11692r34,60l5892,11772r7,20l5890,11812r-3,l5894,11832r25,l5938,11852r3,20l5920,11892r-11,l5895,11912r-20,20l5830,11932r-12,-20l5805,11912r-40,20l5778,11952r5,20l5778,11992r-13,20l5782,12032r-18,20l5732,12052r-29,20l5727,12092r73,l5870,12132r15,l5905,12152r54,80l5996,12252r52,l6125,12212r143,l6299,12252r26,40l6289,12272r-53,-20l6201,12232r13,20l6284,12312r43,60l6381,12452r25,80l6413,12552r92,l6520,12532r,-40l6525,12472r12,-20l6634,12432r116,80l6840,12592r16,80l6889,12712r12,20l6955,12752r9,l6957,12772r-14,l6932,12792r4,20l6949,12832r19,l7007,12852r59,l7078,12832r5,-20l7078,12792r-1,l7095,12772r38,l7140,12752r-16,-40l7082,12712r-4,-20l7081,12672r12,-20l7095,12632r7,-20l7118,12592r15,l7140,12572r,l7141,12552r-1,l7135,12532r-6,l7124,12512r-2,l7121,12472r2,-20l7132,12432r-18,-20l7075,12412r-15,20l7057,12452r-1,20l7054,12472r-8,20l6998,12492r-24,20l6947,12532r-19,20l6874,12552r10,-40l6864,12512r-4,-20l6860,12472r-4,l6856,12452r,l6856,12432r-44,l6801,12412r-7,-20l6751,12352r54,-40l6823,12292r23,l6968,12272r22,20l6996,12292r25,20l7048,12332r12,l7075,12312r33,-20l7258,12292r28,-20l7314,12252r93,l7589,12232r21,l7592,12252r5,20l7612,12272r26,-40l7652,12212r7,l7673,12192r115,-80l7916,11992r76,-60l8321,11672r251,-180l8790,11352r205,-80l9203,11212r70,-20l9500,11152r385,-20l10041,11152r15,l10094,11132r27,-20l10518,11112r55,-20l10595,11112r138,l10733,11132r3,l10741,11152r9,l10785,11112r233,l11034,11092r8,l11054,11072r7,l11087,11052r55,l11168,11032r12,l11187,11012r7,l11261,10992r15,-20l11319,10932r18,-40l11379,10852r11,-20l11383,10812r-55,-60l11382,10772r16,l11411,10752r20,l11415,10772r7,20l11417,10792r-11,20l11558,10792r74,-20l11656,10752e" fillcolor="#fecc91" stroked="f">
              <v:stroke joinstyle="round"/>
              <v:formulas/>
              <v:path arrowok="t" o:connecttype="segments"/>
            </v:shape>
            <v:line id="_x0000_s4766" style="position:absolute" from="5134,11173" to="3592,9425" strokeweight=".88pt">
              <v:stroke dashstyle="dot"/>
            </v:line>
            <v:shape id="_x0000_s4765" style="position:absolute;left:-1577;top:15050;width:1577;height:1788" coordorigin="-1577,15050" coordsize="1577,1788" o:spt="100" adj="0,,0" path="m5157,11199r,m3580,9412r,e" filled="f" strokeweight=".88pt">
              <v:stroke joinstyle="round"/>
              <v:formulas/>
              <v:path arrowok="t" o:connecttype="segments"/>
            </v:shape>
            <v:line id="_x0000_s4764" style="position:absolute" from="5181,11173" to="5996,10343" strokeweight=".88pt">
              <v:stroke dashstyle="dot"/>
            </v:line>
            <v:shape id="_x0000_s4763" style="position:absolute;top:15970;width:852;height:868" coordorigin=",15970" coordsize="852,868" o:spt="100" adj="0,,0" path="m5157,11198r,m6008,10330r,e" filled="f" strokeweight=".88pt">
              <v:stroke joinstyle="round"/>
              <v:formulas/>
              <v:path arrowok="t" o:connecttype="segments"/>
            </v:shape>
            <v:line id="_x0000_s4762" style="position:absolute" from="5188,11184" to="8487,9504" strokeweight=".88pt">
              <v:stroke dashstyle="dot"/>
            </v:line>
            <v:shape id="_x0000_s4761" style="position:absolute;top:15134;width:3346;height:1704" coordorigin=",15134" coordsize="3346,1704" o:spt="100" adj="0,,0" path="m5157,11200r,m8503,9496r,e" filled="f" strokeweight=".88pt">
              <v:stroke joinstyle="round"/>
              <v:formulas/>
              <v:path arrowok="t" o:connecttype="segments"/>
            </v:shape>
            <v:line id="_x0000_s4760" style="position:absolute" from="5183,11175" to="9388,7233" strokeweight=".88pt">
              <v:stroke dashstyle="dot"/>
            </v:line>
            <v:shape id="_x0000_s4759" style="position:absolute;top:12859;width:4245;height:3978" coordorigin=",12860" coordsize="4245,3978" o:spt="100" adj="0,,0" path="m5157,11199r,m9401,7221r,e" filled="f" strokeweight=".88pt">
              <v:stroke joinstyle="round"/>
              <v:formulas/>
              <v:path arrowok="t" o:connecttype="segments"/>
            </v:shape>
            <v:line id="_x0000_s4758" style="position:absolute" from="5198,11103" to="8615,4747" strokeweight=".88pt">
              <v:stroke dashstyle="dot"/>
            </v:line>
            <v:shape id="_x0000_s4757" style="position:absolute;top:10434;width:3442;height:6403" coordorigin=",10435" coordsize="3442,6403" o:spt="100" adj="0,,0" path="m5181,11134r,m8623,4731r,e" filled="f" strokeweight=".88pt">
              <v:stroke joinstyle="round"/>
              <v:formulas/>
              <v:path arrowok="t" o:connecttype="segments"/>
            </v:shape>
            <v:line id="_x0000_s4756" style="position:absolute" from="5185,11099" to="6055,3921" strokeweight=".88pt">
              <v:stroke dashstyle="dot"/>
            </v:line>
            <v:shape id="_x0000_s4755" style="position:absolute;top:9607;width:877;height:7231" coordorigin=",9607" coordsize="877,7231" o:spt="100" adj="0,,0" path="m5181,11134r,m6057,3903r,e" filled="f" strokeweight=".88pt">
              <v:stroke joinstyle="round"/>
              <v:formulas/>
              <v:path arrowok="t" o:connecttype="segments"/>
            </v:shape>
            <v:line id="_x0000_s4754" style="position:absolute" from="5148,11164" to="3576,4739" strokeweight=".88pt">
              <v:stroke dashstyle="dot"/>
            </v:line>
            <v:shape id="_x0000_s4753" style="position:absolute;left:-1586;top:10362;width:1586;height:6476" coordorigin="-1585,10362" coordsize="1586,6476" o:spt="100" adj="0,,0" path="m5157,11198r,m3571,4722r,e" filled="f" strokeweight=".88pt">
              <v:stroke joinstyle="round"/>
              <v:formulas/>
              <v:path arrowok="t" o:connecttype="segments"/>
            </v:shape>
            <v:line id="_x0000_s4752" style="position:absolute" from="5138,11169" to="2682,7191" strokeweight=".88pt">
              <v:stroke dashstyle="dot"/>
            </v:line>
            <v:shape id="_x0000_s4751" style="position:absolute;left:-2485;top:12815;width:2485;height:4023" coordorigin="-2484,12815" coordsize="2485,4023" o:spt="100" adj="0,,0" path="m5157,11199r,m2673,7176r,e" filled="f" strokeweight=".88pt">
              <v:stroke joinstyle="round"/>
              <v:formulas/>
              <v:path arrowok="t" o:connecttype="segments"/>
            </v:shape>
            <v:line id="_x0000_s4750" style="position:absolute" from="5156,11163" to="5012,6267" strokeweight=".88pt">
              <v:stroke dashstyle="dot"/>
            </v:line>
            <v:shape id="_x0000_s4749" style="position:absolute;left:-146;top:11889;width:146;height:4949" coordorigin="-145,11889" coordsize="146,4949" o:spt="100" adj="0,,0" path="m5157,11199r,m5012,6250r,e" filled="f" strokeweight=".88pt">
              <v:stroke joinstyle="round"/>
              <v:formulas/>
              <v:path arrowok="t" o:connecttype="segments"/>
            </v:shape>
            <v:line id="_x0000_s4748" style="position:absolute" from="5168,11166" to="6962,5851" strokeweight=".88pt">
              <v:stroke dashstyle="dot"/>
            </v:line>
            <v:shape id="_x0000_s4747" style="position:absolute;top:11472;width:1811;height:5366" coordorigin=",11473" coordsize="1811,5366" o:spt="100" adj="0,,0" path="m5157,11199r,m6967,5834r,e" filled="f" strokeweight=".88pt">
              <v:stroke joinstyle="round"/>
              <v:formulas/>
              <v:path arrowok="t" o:connecttype="segments"/>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746" type="#_x0000_t75" style="position:absolute;left:2759;top:3910;width:1643;height:1643">
              <v:imagedata r:id="rId7" o:title=""/>
            </v:shape>
            <v:shape id="_x0000_s4745" style="position:absolute;left:2759;top:3910;width:1643;height:1643" coordorigin="2759,3910" coordsize="1643,1643" path="m3580,5552r-74,-3l3433,5539r-71,-16l3294,5501r-66,-28l3166,5440r-59,-38l3051,5359r-51,-47l2952,5260r-43,-55l2871,5146r-33,-63l2811,5018r-22,-69l2772,4879r-9,-73l2759,4731r4,-75l2772,4584r17,-71l2811,4445r27,-66l2871,4317r38,-59l2952,4202r48,-51l3051,4103r56,-43l3166,4022r62,-33l3294,3961r68,-22l3433,3923r73,-10l3580,3910r75,3l3728,3923r71,16l3867,3961r65,28l3995,4022r59,38l4109,4103r52,48l4208,4202r43,56l4289,4317r33,62l4350,4445r22,68l4388,4584r10,72l4401,4731r-3,75l4388,4879r-16,70l4350,5018r-28,65l4289,5146r-38,59l4208,5260r-47,52l4109,5359r-55,43l3995,5440r-63,33l3867,5501r-68,22l3728,5539r-73,10l3580,5552xe" filled="f" strokecolor="white" strokeweight=".66pt">
              <v:path arrowok="t"/>
            </v:shape>
            <v:shape id="_x0000_s4744" type="#_x0000_t75" style="position:absolute;left:1851;top:6355;width:1643;height:1643">
              <v:imagedata r:id="rId8" o:title=""/>
            </v:shape>
            <v:shape id="_x0000_s4743" style="position:absolute;left:1851;top:6355;width:1643;height:1643" coordorigin="1851,6355" coordsize="1643,1643" path="m2673,7997r-75,-3l2525,7984r-71,-16l2386,7946r-65,-28l2258,7885r-59,-38l2144,7804r-52,-47l2045,7705r-43,-55l1964,7591r-33,-63l1903,7463r-22,-69l1865,7324r-10,-73l1851,7176r4,-75l1865,7028r16,-70l1903,6890r28,-66l1964,6762r38,-59l2045,6647r47,-52l2144,6548r55,-43l2258,6467r63,-33l2386,6406r68,-22l2525,6368r73,-10l2673,6355r74,3l2820,6368r71,16l2959,6406r66,28l3087,6467r59,38l3202,6548r51,47l3301,6647r42,56l3382,6762r33,62l3442,6890r22,68l3480,7028r10,73l3494,7176r-4,75l3480,7324r-16,70l3442,7463r-27,65l3382,7591r-39,59l3301,7705r-48,52l3202,7804r-56,43l3087,7885r-62,33l2959,7946r-68,22l2820,7984r-73,10l2673,7997xe" filled="f" strokecolor="white" strokeweight=".66pt">
              <v:path arrowok="t"/>
            </v:shape>
            <v:shape id="_x0000_s4742" type="#_x0000_t75" style="position:absolute;left:5235;top:3082;width:1643;height:1643">
              <v:imagedata r:id="rId9" o:title=""/>
            </v:shape>
            <v:shape id="_x0000_s4741" style="position:absolute;left:5235;top:3082;width:1643;height:1643" coordorigin="5236,3082" coordsize="1643,1643" path="m6057,4725r-75,-4l5909,4711r-70,-16l5771,4673r-66,-27l5643,4612r-59,-38l5528,4531r-52,-47l5429,4432r-43,-55l5348,4318r-33,-63l5287,4190r-22,-68l5249,4051r-10,-73l5236,3903r3,-74l5249,3756r16,-71l5287,3617r28,-66l5348,3489r38,-59l5429,3374r47,-51l5528,3275r56,-42l5643,3194r62,-33l5771,3134r68,-22l5909,3096r73,-10l6057,3082r75,4l6205,3096r70,16l6344,3134r65,27l6471,3194r60,39l6586,3275r52,48l6685,3374r43,56l6766,3489r33,62l6827,3617r22,68l6865,3756r10,73l6878,3903r-3,75l6865,4051r-16,71l6827,4190r-28,65l6766,4318r-38,59l6685,4432r-47,52l6586,4531r-55,43l6471,4612r-62,34l6344,4673r-69,22l6205,4711r-73,10l6057,4725xe" filled="f" strokecolor="white" strokeweight=".66pt">
              <v:path arrowok="t"/>
            </v:shape>
            <v:shape id="_x0000_s4740" type="#_x0000_t75" style="position:absolute;left:4190;top:5428;width:1643;height:1643">
              <v:imagedata r:id="rId10" o:title=""/>
            </v:shape>
            <v:shape id="_x0000_s4739" style="position:absolute;left:4190;top:5428;width:1643;height:1643" coordorigin="4191,5429" coordsize="1643,1643" path="m5012,7071r-75,-3l4864,7058r-71,-16l4725,7020r-65,-28l4597,6959r-59,-38l4483,6878r-52,-48l4384,6779r-43,-56l4303,6664r-33,-62l4242,6536r-22,-68l4204,6397r-10,-72l4191,6250r3,-75l4204,6102r16,-70l4242,5963r28,-65l4303,5835r38,-59l4384,5721r47,-52l4483,5622r55,-43l4597,5541r63,-33l4725,5480r68,-22l4864,5442r73,-10l5012,5429r74,3l5159,5442r71,16l5298,5480r66,28l5426,5541r59,38l5541,5622r51,47l5640,5721r43,55l5721,5835r33,63l5781,5963r22,69l5820,6102r9,73l5833,6250r-4,75l5820,6397r-17,71l5781,6536r-27,66l5721,6664r-38,59l5640,6779r-48,51l5541,6878r-56,43l5426,6959r-62,33l5298,7020r-68,22l5159,7058r-73,10l5012,7071xe" filled="f" strokecolor="white" strokeweight=".66pt">
              <v:path arrowok="t"/>
            </v:shape>
            <v:shape id="_x0000_s4738" type="#_x0000_t75" style="position:absolute;left:6412;top:6998;width:1643;height:1643">
              <v:imagedata r:id="rId11" o:title=""/>
            </v:shape>
            <v:shape id="_x0000_s4737" style="position:absolute;left:6412;top:6998;width:1643;height:1643" coordorigin="6413,6999" coordsize="1643,1643" path="m7234,8641r-75,-3l7086,8628r-70,-16l6947,8590r-65,-28l6820,8529r-60,-38l6705,8448r-52,-48l6606,8349r-43,-56l6525,8234r-33,-62l6464,8106r-22,-68l6426,7967r-10,-72l6413,7820r3,-75l6426,7672r16,-70l6464,7533r28,-65l6525,7405r38,-59l6606,7291r47,-52l6705,7192r55,-43l6820,7111r62,-33l6947,7050r69,-22l7086,7012r73,-10l7234,6999r75,3l7382,7012r70,16l7520,7050r66,28l7648,7111r60,38l7763,7192r52,47l7862,7291r43,55l7943,7405r33,63l8004,7533r22,69l8042,7672r10,73l8055,7820r-3,75l8042,7967r-16,71l8004,8106r-28,66l7943,8234r-38,59l7862,8349r-47,51l7763,8448r-55,43l7648,8529r-62,33l7520,8590r-68,22l7382,8628r-73,10l7234,8641xe" filled="f" strokecolor="white" strokeweight=".66pt">
              <v:path arrowok="t"/>
            </v:shape>
            <v:shape id="_x0000_s4736" type="#_x0000_t75" style="position:absolute;left:6146;top:5012;width:1643;height:1643">
              <v:imagedata r:id="rId12" o:title=""/>
            </v:shape>
            <v:shape id="_x0000_s4735" style="position:absolute;left:6146;top:5012;width:1643;height:1643" coordorigin="6146,5013" coordsize="1643,1643" path="m6967,6655r-74,-3l6820,6642r-71,-16l6681,6604r-66,-28l6553,6543r-59,-38l6438,6462r-51,-47l6339,6363r-42,-55l6258,6248r-33,-62l6198,6121r-22,-69l6160,5982r-10,-73l6146,5834r4,-75l6160,5686r16,-70l6198,5548r27,-66l6258,5420r39,-59l6339,5305r48,-52l6438,5206r56,-43l6553,5125r62,-33l6681,5064r68,-22l6820,5026r73,-10l6967,5013r75,3l7115,5026r71,16l7254,5064r65,28l7382,5125r59,38l7496,5206r52,47l7595,5305r43,56l7676,5420r34,62l7737,5548r22,68l7775,5686r10,73l7789,5834r-4,75l7775,5982r-16,70l7737,6121r-27,65l7676,6248r-38,60l7595,6363r-47,52l7496,6462r-55,43l7382,6543r-63,33l7254,6604r-68,22l7115,6642r-73,10l6967,6655xe" filled="f" strokecolor="white" strokeweight=".66pt">
              <v:path arrowok="t"/>
            </v:shape>
            <v:shape id="_x0000_s4734" type="#_x0000_t75" style="position:absolute;left:7761;top:8624;width:1643;height:1643">
              <v:imagedata r:id="rId13" o:title=""/>
            </v:shape>
            <v:shape id="_x0000_s4733" style="position:absolute;left:7761;top:8624;width:1643;height:1643" coordorigin="7761,8624" coordsize="1643,1643" path="m8582,10266r-74,-3l8435,10253r-71,-16l8296,10215r-66,-28l8168,10154r-59,-38l8053,10073r-51,-47l7954,9974r-43,-55l7873,9860r-33,-63l7813,9732r-22,-68l7774,9593r-9,-73l7761,9445r4,-75l7774,9298r17,-71l7813,9159r27,-66l7873,9031r38,-59l7954,8916r48,-51l8053,8817r56,-43l8168,8736r62,-33l8296,8676r68,-23l8435,8637r73,-9l8582,8624r75,4l8730,8637r71,16l8869,8676r65,27l8997,8736r59,38l9111,8817r52,48l9210,8916r43,56l9291,9031r33,62l9352,9159r22,68l9390,9298r10,72l9403,9445r-3,75l9390,9593r-16,71l9352,9732r-28,65l9291,9860r-38,59l9210,9974r-47,52l9111,10073r-55,43l8997,10154r-63,33l8869,10215r-68,22l8730,10253r-73,10l8582,10266xe" filled="f" strokecolor="white" strokeweight=".66pt">
              <v:path arrowok="t"/>
            </v:shape>
            <v:shape id="_x0000_s4732" type="#_x0000_t75" style="position:absolute;left:7801;top:3910;width:1643;height:1643">
              <v:imagedata r:id="rId14" o:title=""/>
            </v:shape>
            <v:shape id="_x0000_s4731" style="position:absolute;left:7801;top:3910;width:1643;height:1643" coordorigin="7802,3910" coordsize="1643,1643" path="m8623,5552r-75,-3l8475,5539r-70,-16l8336,5501r-65,-28l8208,5440r-59,-38l8094,5359r-52,-47l7995,5260r-43,-55l7914,5146r-33,-63l7853,5018r-22,-69l7815,4879r-10,-73l7802,4731r3,-75l7815,4584r16,-71l7853,4445r28,-66l7914,4317r38,-59l7995,4202r47,-51l8094,4103r55,-43l8208,4022r63,-33l8336,3961r69,-22l8475,3923r73,-10l8623,3910r75,3l8770,3923r71,16l8909,3961r66,28l9037,4022r59,38l9152,4103r51,48l9251,4202r43,56l9332,4317r33,62l9393,4445r22,68l9431,4584r10,72l9444,4731r-3,75l9431,4879r-16,70l9393,5018r-28,65l9332,5146r-38,59l9251,5260r-48,52l9152,5359r-56,43l9037,5440r-62,33l8909,5501r-68,22l8770,5539r-72,10l8623,5552xe" filled="f" strokecolor="white" strokeweight=".66pt">
              <v:path arrowok="t"/>
            </v:shape>
            <v:shape id="_x0000_s4730" type="#_x0000_t75" style="position:absolute;left:8580;top:6355;width:1643;height:1643">
              <v:imagedata r:id="rId15" o:title=""/>
            </v:shape>
            <v:shape id="_x0000_s4729" style="position:absolute;left:8580;top:6355;width:1643;height:1643" coordorigin="8580,6355" coordsize="1643,1643" path="m9401,7997r-75,-3l9254,7984r-71,-16l9115,7946r-66,-28l8987,7885r-59,-38l8872,7804r-51,-47l8773,7705r-43,-55l8692,7591r-33,-63l8631,7463r-22,-69l8593,7324r-10,-73l8580,7176r3,-75l8593,7028r16,-70l8631,6890r28,-66l8692,6762r38,-59l8773,6647r48,-52l8872,6548r56,-43l8987,6467r62,-33l9115,6406r68,-22l9254,6368r72,-10l9401,6355r75,3l9549,6368r70,16l9688,6406r65,28l9816,6467r59,38l9930,6548r52,47l10029,6647r43,56l10110,6762r33,62l10171,6890r22,68l10209,7028r10,73l10222,7176r-3,75l10209,7324r-16,70l10171,7463r-28,65l10110,7591r-38,59l10029,7705r-47,52l9930,7804r-55,43l9816,7885r-63,33l9688,7946r-69,22l9549,7984r-73,10l9401,7997xe" filled="f" strokecolor="white" strokeweight=".66pt">
              <v:path arrowok="t"/>
            </v:shape>
            <v:shape id="_x0000_s4728" type="#_x0000_t75" style="position:absolute;left:2759;top:8590;width:1643;height:1643">
              <v:imagedata r:id="rId16" o:title=""/>
            </v:shape>
            <v:shape id="_x0000_s4727" style="position:absolute;left:2759;top:8590;width:1643;height:1643" coordorigin="2759,8591" coordsize="1643,1643" path="m3580,10233r-74,-3l3433,10220r-71,-16l3294,10181r-66,-27l3166,10121r-59,-38l3051,10040r-51,-48l2952,9941r-43,-56l2871,9826r-33,-62l2811,9698r-22,-68l2772,9559r-9,-72l2759,9412r4,-75l2772,9264r17,-71l2811,9125r27,-65l2871,8997r38,-59l2952,8883r48,-52l3051,8784r56,-43l3166,8703r62,-33l3294,8642r68,-22l3433,8604r73,-10l3580,8591r75,3l3728,8604r71,16l3867,8642r65,28l3995,8703r59,38l4109,8784r52,47l4208,8883r43,55l4289,8997r33,63l4350,9125r22,68l4388,9264r10,73l4401,9412r-3,75l4388,9559r-16,71l4350,9698r-28,66l4289,9826r-38,59l4208,9941r-47,51l4109,10040r-55,43l3995,10121r-63,33l3867,10181r-68,23l3728,10220r-73,10l3580,10233xe" filled="f" strokecolor="white" strokeweight=".66pt">
              <v:path arrowok="t"/>
            </v:shape>
            <v:shape id="_x0000_s4726" type="#_x0000_t75" style="position:absolute;left:5455;top:9526;width:1643;height:1643">
              <v:imagedata r:id="rId17" o:title=""/>
            </v:shape>
            <v:shape id="_x0000_s4725" style="position:absolute;left:5449;top:9520;width:1656;height:1656" coordorigin="5449,9520" coordsize="1656,1656" path="m6277,11176r-75,-4l6128,11162r-71,-16l5988,11124r-66,-28l5859,11063r-59,-39l5744,10981r-52,-48l5644,10881r-43,-56l5562,10765r-33,-63l5501,10637r-22,-69l5462,10497r-10,-74l5449,10348r3,-75l5462,10199r17,-71l5501,10059r28,-65l5562,9931r39,-60l5644,9815r48,-52l5744,9715r56,-43l5859,9633r63,-33l5988,9572r69,-22l6128,9534r74,-10l6277,9520r75,4l6425,9534r72,16l6565,9572r66,28l6694,9633r60,39l6810,9715r52,48l6910,9815r43,56l6991,9931r34,63l7053,10059r22,69l7091,10199r10,74l7105,10348r-4,75l7091,10497r-16,71l7053,10637r-28,65l6991,10765r-38,60l6910,10881r-48,52l6810,10981r-56,43l6694,11063r-63,33l6565,11124r-68,22l6425,11162r-73,10l6277,11176xe" filled="f" strokecolor="white" strokeweight=".66pt">
              <v:path arrowok="t"/>
            </v:shape>
            <v:shape id="_x0000_s4724" type="#_x0000_t75" style="position:absolute;left:5078;top:11111;width:157;height:157">
              <v:imagedata r:id="rId18" o:title=""/>
            </v:shape>
            <v:shape id="_x0000_s4723" type="#_x0000_t75" style="position:absolute;left:4458;top:7499;width:1656;height:1656">
              <v:imagedata r:id="rId19" o:title=""/>
            </v:shape>
            <v:shape id="_x0000_s4722" style="position:absolute;left:4458;top:7499;width:1656;height:1656" coordorigin="4459,7500" coordsize="1656,1656" path="m5287,9155r75,-3l5435,9142r72,-16l5575,9103r66,-28l5704,9042r60,-38l5820,8960r52,-47l5920,8861r43,-56l6001,8745r34,-63l6063,8616r22,-69l6101,8476r10,-73l6114,8327r-3,-75l6101,8179r-16,-72l6063,8039r-28,-66l6001,7910r-38,-60l5920,7794r-48,-52l5820,7694r-56,-43l5704,7613r-63,-34l5575,7551r-68,-22l5435,7513r-73,-10l5287,7500r-76,3l5138,7513r-71,16l4998,7551r-66,28l4869,7613r-60,38l4753,7694r-52,48l4654,7794r-44,56l4572,7910r-33,63l4511,8039r-23,68l4472,8179r-10,73l4459,8327r3,76l4472,8476r16,71l4511,8616r28,66l4572,8745r38,60l4654,8861r47,52l4753,8960r56,44l4869,9042r63,33l4998,9103r69,23l5138,9142r73,10l5287,9155xe" filled="f" strokecolor="white" strokeweight=".66pt">
              <v:path arrowok="t"/>
            </v:shape>
            <w10:wrap anchorx="page" anchory="page"/>
          </v:group>
        </w:pict>
      </w:r>
      <w:r>
        <w:rPr>
          <w:rFonts w:ascii="Times New Roman"/>
        </w:rPr>
      </w:r>
      <w:r>
        <w:rPr>
          <w:rFonts w:ascii="Times New Roman"/>
        </w:rPr>
        <w:pict w14:anchorId="75E2CA02">
          <v:group id="_x0000_s4706" style="width:29.6pt;height:41.15pt;mso-position-horizontal-relative:char;mso-position-vertical-relative:line" coordsize="592,823">
            <v:shape id="_x0000_s4720" style="position:absolute;left:246;top:220;width:210;height:51" coordorigin="247,220" coordsize="210,51" path="m290,220r-12,1l267,224r-11,5l247,236r209,35l418,249,377,233r-43,-9l290,220xe" fillcolor="#097ebc" stroked="f">
              <v:path arrowok="t"/>
            </v:shape>
            <v:shape id="_x0000_s4719" type="#_x0000_t75" style="position:absolute;left:228;top:317;width:351;height:122">
              <v:imagedata r:id="rId20" o:title=""/>
            </v:shape>
            <v:shape id="_x0000_s4718" style="position:absolute;left:50;width:473;height:134" coordorigin="51" coordsize="473,134" path="m306,r-4,l279,1,212,14,141,46,86,90,53,130r-2,3l523,78,509,67,495,57,427,22,347,3,306,xe" fillcolor="#00aed8" stroked="f">
              <v:path arrowok="t"/>
            </v:shape>
            <v:shape id="_x0000_s4717" style="position:absolute;left:17;top:77;width:574;height:159" coordorigin="18,78" coordsize="574,159" o:spt="100" adj="0,,0" path="m583,135r-285,l299,135r1,l300,135r30,2l359,143r28,10l413,166r13,8l438,183r12,9l461,202r11,10l483,221r12,8l509,234r17,2l542,234r16,-7l572,217r7,-8l584,200r4,-10l591,180r,-16l588,148r-5,-13xm523,78l51,133r-7,10l38,153,27,175r-5,11l18,198r138,23l182,186r33,-27l255,142r43,-7l583,135r-1,-2l572,120r-1,l571,120r,l562,112r-9,-8l544,96r-8,-8l531,85r-4,-4l523,78xe" fillcolor="#097ebc" stroked="f">
              <v:stroke joinstyle="round"/>
              <v:formulas/>
              <v:path arrowok="t" o:connecttype="segments"/>
            </v:shape>
            <v:shape id="_x0000_s4716" style="position:absolute;left:222;top:236;width:303;height:98" coordorigin="223,236" coordsize="303,98" path="m247,236r-24,55l224,304r5,14l525,333r-9,-10l467,278,247,236xe" fillcolor="#00568b" stroked="f">
              <v:path arrowok="t"/>
            </v:shape>
            <v:shape id="_x0000_s4715" style="position:absolute;top:198;width:157;height:115" coordorigin=",198" coordsize="157,115" path="m18,198l3,259,,306r136,7l135,298r1,-15l156,221,18,198xe" fillcolor="#00568b" stroked="f">
              <v:path arrowok="t"/>
            </v:shape>
            <v:shape id="_x0000_s4714" style="position:absolute;top:305;width:159;height:79" coordorigin=",306" coordsize="159,79" path="m,306r158,78l152,372r-5,-12l136,313,,306xe" fillcolor="#5db648" stroked="f">
              <v:path arrowok="t"/>
            </v:shape>
            <v:shape id="_x0000_s4713" style="position:absolute;left:434;top:513;width:157;height:89" coordorigin="434,513" coordsize="157,89" path="m591,513r-136,l454,537r-3,22l444,581r-10,21l584,588r3,-18l590,551r1,-19l591,513xe" fillcolor="#f36a2d" stroked="f">
              <v:path arrowok="t"/>
            </v:shape>
            <v:shape id="_x0000_s4712" style="position:absolute;top:586;width:139;height:56" coordorigin="1,587" coordsize="139,56" path="m56,587l2,637r-1,5l139,629r-2,-2l134,625,121,612,109,601,97,593,82,588,56,587xe" fillcolor="#f36a2d" stroked="f">
              <v:path arrowok="t"/>
            </v:shape>
            <v:shape id="_x0000_s4711" style="position:absolute;top:588;width:584;height:145" coordorigin=",588" coordsize="584,145" o:spt="100" adj="0,,0" path="m139,629l1,642,,646r,1l,659r2,11l5,681r5,10l505,733r14,-15l532,702r11,-17l299,685r-58,-5l185,660r-6,-3l174,654r-12,-7l157,643r-10,-7l143,633r-4,-4xm584,588l434,602r-4,8l425,617r-5,7l415,630r-4,5l405,640r-49,32l299,685r244,l543,685r11,-18l561,654r5,-12l572,629r4,-14l579,606r3,-9l584,588xe" fillcolor="#f99f28" stroked="f">
              <v:stroke joinstyle="round"/>
              <v:formulas/>
              <v:path arrowok="t" o:connecttype="segments"/>
            </v:shape>
            <v:shape id="_x0000_s4710" style="position:absolute;left:10;top:690;width:495;height:132" coordorigin="10,691" coordsize="495,132" path="m10,691r58,56l123,781r59,25l245,820r37,2l295,822r67,-8l439,783r66,-50l10,691xe" fillcolor="#ef422b" stroked="f">
              <v:path arrowok="t"/>
            </v:shape>
            <v:shape id="_x0000_s4709" style="position:absolute;left:88;top:513;width:281;height:89" coordorigin="88,513" coordsize="281,89" path="m366,513l88,514r9,8l105,529r56,38l223,592r70,10l309,601r52,-35l369,531r-3,-18xe" fillcolor="#f36a2d" stroked="f">
              <v:path arrowok="t"/>
            </v:shape>
            <v:shape id="_x0000_s4708" style="position:absolute;left:418;top:417;width:173;height:96" coordorigin="419,418" coordsize="173,96" path="m419,418r31,64l455,513r136,l583,451r-4,-12l419,418xe" fillcolor="#49783f" stroked="f">
              <v:path arrowok="t"/>
            </v:shape>
            <v:shape id="_x0000_s4707" style="position:absolute;left:6;top:363;width:360;height:150" coordorigin="6,364" coordsize="360,150" path="m6,364r23,65l71,495r17,19l366,513r-1,-3l363,506r-2,-5l360,500r-1,-1l347,486,333,476r-16,-6l258,458,218,441,185,416,158,384,6,364xe" fillcolor="#49783f" stroked="f">
              <v:path arrowok="t"/>
            </v:shape>
            <w10:anchorlock/>
          </v:group>
        </w:pict>
      </w:r>
      <w:r>
        <w:rPr>
          <w:rFonts w:ascii="Times New Roman"/>
          <w:spacing w:val="127"/>
        </w:rPr>
        <w:t xml:space="preserve"> </w:t>
      </w:r>
      <w:r>
        <w:rPr>
          <w:rFonts w:ascii="Times New Roman"/>
          <w:noProof/>
          <w:spacing w:val="127"/>
          <w:position w:val="9"/>
        </w:rPr>
        <w:drawing>
          <wp:inline distT="0" distB="0" distL="0" distR="0" wp14:anchorId="186CA172" wp14:editId="1A7A497D">
            <wp:extent cx="808409" cy="381000"/>
            <wp:effectExtent l="0" t="0" r="0" b="0"/>
            <wp:docPr id="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5.png"/>
                    <pic:cNvPicPr/>
                  </pic:nvPicPr>
                  <pic:blipFill>
                    <a:blip r:embed="rId21" cstate="print"/>
                    <a:stretch>
                      <a:fillRect/>
                    </a:stretch>
                  </pic:blipFill>
                  <pic:spPr>
                    <a:xfrm>
                      <a:off x="0" y="0"/>
                      <a:ext cx="808409" cy="381000"/>
                    </a:xfrm>
                    <a:prstGeom prst="rect">
                      <a:avLst/>
                    </a:prstGeom>
                  </pic:spPr>
                </pic:pic>
              </a:graphicData>
            </a:graphic>
          </wp:inline>
        </w:drawing>
      </w:r>
      <w:r>
        <w:rPr>
          <w:rFonts w:ascii="Times New Roman"/>
          <w:spacing w:val="127"/>
          <w:position w:val="9"/>
        </w:rPr>
        <w:tab/>
      </w:r>
      <w:r>
        <w:rPr>
          <w:rFonts w:ascii="Times New Roman"/>
          <w:spacing w:val="127"/>
          <w:position w:val="9"/>
        </w:rPr>
      </w:r>
      <w:r>
        <w:rPr>
          <w:rFonts w:ascii="Times New Roman"/>
          <w:spacing w:val="127"/>
          <w:position w:val="9"/>
        </w:rPr>
        <w:pict w14:anchorId="2BBE9BA5">
          <v:group id="_x0000_s4702" style="width:57.25pt;height:32.45pt;mso-position-horizontal-relative:char;mso-position-vertical-relative:line" coordsize="1145,649">
            <v:shape id="_x0000_s4705" type="#_x0000_t75" style="position:absolute;left:612;top:200;width:533;height:153">
              <v:imagedata r:id="rId22" o:title=""/>
            </v:shape>
            <v:shape id="_x0000_s4704" style="position:absolute;width:604;height:649" coordsize="604,649" o:spt="100" adj="0,,0" path="m601,l,,95,205r215,l310,349r-148,l301,649,438,352r-33,l375,346,351,331,334,307r-6,-30l334,247r17,-24l375,208r30,-6l508,202,601,xm443,342r-11,6l419,352r19,l443,342xm564,240r-41,l523,350r41,l564,240xm269,205r-12,l190,349r79,l269,205xm418,241r-13,l391,244r-11,8l372,263r-3,14l372,291r8,11l391,310r14,3l418,313r12,-7l436,295r28,l481,259r-45,l430,248r-12,-7xm464,295r-28,l458,309r6,-14xm212,205r-72,l176,284r36,-79xm508,202r-103,l425,205r18,7l458,224r12,15l436,259r45,l490,240r114,l604,204r-97,l508,202xe" fillcolor="#005f9e" stroked="f">
              <v:stroke joinstyle="round"/>
              <v:formulas/>
              <v:path arrowok="t" o:connecttype="segments"/>
            </v:shape>
            <v:shape id="_x0000_s4703" type="#_x0000_t75" style="position:absolute;left:516;top:408;width:605;height:170">
              <v:imagedata r:id="rId23" o:title=""/>
            </v:shape>
            <w10:anchorlock/>
          </v:group>
        </w:pict>
      </w:r>
    </w:p>
    <w:p w14:paraId="6AE72EE0" w14:textId="77777777" w:rsidR="00EF5B27" w:rsidRDefault="00EF5B27">
      <w:pPr>
        <w:pStyle w:val="BodyText"/>
        <w:rPr>
          <w:rFonts w:ascii="Times New Roman"/>
        </w:rPr>
      </w:pPr>
    </w:p>
    <w:p w14:paraId="41FE2F27" w14:textId="77777777" w:rsidR="00EF5B27" w:rsidRDefault="00EF5B27">
      <w:pPr>
        <w:pStyle w:val="BodyText"/>
        <w:rPr>
          <w:rFonts w:ascii="Times New Roman"/>
        </w:rPr>
      </w:pPr>
    </w:p>
    <w:p w14:paraId="4F63B4AC" w14:textId="77777777" w:rsidR="00EF5B27" w:rsidRDefault="00EF5B27">
      <w:pPr>
        <w:pStyle w:val="BodyText"/>
        <w:rPr>
          <w:rFonts w:ascii="Times New Roman"/>
        </w:rPr>
      </w:pPr>
    </w:p>
    <w:p w14:paraId="3F170B98" w14:textId="77777777" w:rsidR="00EF5B27" w:rsidRDefault="00EF5B27">
      <w:pPr>
        <w:pStyle w:val="BodyText"/>
        <w:rPr>
          <w:rFonts w:ascii="Times New Roman"/>
        </w:rPr>
      </w:pPr>
    </w:p>
    <w:p w14:paraId="72248947" w14:textId="77777777" w:rsidR="00EF5B27" w:rsidRDefault="00EF5B27">
      <w:pPr>
        <w:pStyle w:val="BodyText"/>
        <w:rPr>
          <w:rFonts w:ascii="Times New Roman"/>
        </w:rPr>
      </w:pPr>
    </w:p>
    <w:p w14:paraId="7EB3586F" w14:textId="77777777" w:rsidR="00EF5B27" w:rsidRDefault="00EF5B27">
      <w:pPr>
        <w:pStyle w:val="BodyText"/>
        <w:rPr>
          <w:rFonts w:ascii="Times New Roman"/>
        </w:rPr>
      </w:pPr>
    </w:p>
    <w:p w14:paraId="41548D0A" w14:textId="77777777" w:rsidR="00EF5B27" w:rsidRDefault="00EF5B27">
      <w:pPr>
        <w:pStyle w:val="BodyText"/>
        <w:rPr>
          <w:rFonts w:ascii="Times New Roman"/>
        </w:rPr>
      </w:pPr>
    </w:p>
    <w:p w14:paraId="63B39611" w14:textId="77777777" w:rsidR="00EF5B27" w:rsidRDefault="00EF5B27">
      <w:pPr>
        <w:pStyle w:val="BodyText"/>
        <w:rPr>
          <w:rFonts w:ascii="Times New Roman"/>
        </w:rPr>
      </w:pPr>
    </w:p>
    <w:p w14:paraId="7B90F76B" w14:textId="77777777" w:rsidR="00EF5B27" w:rsidRDefault="00EF5B27">
      <w:pPr>
        <w:pStyle w:val="BodyText"/>
        <w:rPr>
          <w:rFonts w:ascii="Times New Roman"/>
        </w:rPr>
      </w:pPr>
    </w:p>
    <w:p w14:paraId="0370BDA2" w14:textId="77777777" w:rsidR="00EF5B27" w:rsidRDefault="00EF5B27">
      <w:pPr>
        <w:pStyle w:val="BodyText"/>
        <w:rPr>
          <w:rFonts w:ascii="Times New Roman"/>
        </w:rPr>
      </w:pPr>
    </w:p>
    <w:p w14:paraId="1727A9C6" w14:textId="77777777" w:rsidR="00EF5B27" w:rsidRDefault="00EF5B27">
      <w:pPr>
        <w:pStyle w:val="BodyText"/>
        <w:rPr>
          <w:rFonts w:ascii="Times New Roman"/>
        </w:rPr>
      </w:pPr>
    </w:p>
    <w:p w14:paraId="67A8D410" w14:textId="77777777" w:rsidR="00EF5B27" w:rsidRDefault="00EF5B27">
      <w:pPr>
        <w:pStyle w:val="BodyText"/>
        <w:rPr>
          <w:rFonts w:ascii="Times New Roman"/>
        </w:rPr>
      </w:pPr>
    </w:p>
    <w:p w14:paraId="52DC606C" w14:textId="77777777" w:rsidR="00EF5B27" w:rsidRDefault="00EF5B27">
      <w:pPr>
        <w:pStyle w:val="BodyText"/>
        <w:rPr>
          <w:rFonts w:ascii="Times New Roman"/>
        </w:rPr>
      </w:pPr>
    </w:p>
    <w:p w14:paraId="6B6BFDAD" w14:textId="77777777" w:rsidR="00EF5B27" w:rsidRDefault="00EF5B27">
      <w:pPr>
        <w:pStyle w:val="BodyText"/>
        <w:rPr>
          <w:rFonts w:ascii="Times New Roman"/>
        </w:rPr>
      </w:pPr>
    </w:p>
    <w:p w14:paraId="28EFCC03" w14:textId="77777777" w:rsidR="00EF5B27" w:rsidRDefault="00EF5B27">
      <w:pPr>
        <w:pStyle w:val="BodyText"/>
        <w:rPr>
          <w:rFonts w:ascii="Times New Roman"/>
        </w:rPr>
      </w:pPr>
    </w:p>
    <w:p w14:paraId="127253CD" w14:textId="77777777" w:rsidR="00EF5B27" w:rsidRDefault="00EF5B27">
      <w:pPr>
        <w:pStyle w:val="BodyText"/>
        <w:rPr>
          <w:rFonts w:ascii="Times New Roman"/>
        </w:rPr>
      </w:pPr>
    </w:p>
    <w:p w14:paraId="4705A89A" w14:textId="77777777" w:rsidR="00EF5B27" w:rsidRDefault="00EF5B27">
      <w:pPr>
        <w:pStyle w:val="BodyText"/>
        <w:rPr>
          <w:rFonts w:ascii="Times New Roman"/>
        </w:rPr>
      </w:pPr>
    </w:p>
    <w:p w14:paraId="3F220093" w14:textId="77777777" w:rsidR="00EF5B27" w:rsidRDefault="00EF5B27">
      <w:pPr>
        <w:pStyle w:val="BodyText"/>
        <w:rPr>
          <w:rFonts w:ascii="Times New Roman"/>
        </w:rPr>
      </w:pPr>
    </w:p>
    <w:p w14:paraId="167CDF12" w14:textId="77777777" w:rsidR="00EF5B27" w:rsidRDefault="00EF5B27">
      <w:pPr>
        <w:pStyle w:val="BodyText"/>
        <w:rPr>
          <w:rFonts w:ascii="Times New Roman"/>
        </w:rPr>
      </w:pPr>
    </w:p>
    <w:p w14:paraId="4F867CF2" w14:textId="77777777" w:rsidR="00EF5B27" w:rsidRDefault="00EF5B27">
      <w:pPr>
        <w:pStyle w:val="BodyText"/>
        <w:rPr>
          <w:rFonts w:ascii="Times New Roman"/>
        </w:rPr>
      </w:pPr>
    </w:p>
    <w:p w14:paraId="75742DB9" w14:textId="77777777" w:rsidR="00EF5B27" w:rsidRDefault="00EF5B27">
      <w:pPr>
        <w:pStyle w:val="BodyText"/>
        <w:rPr>
          <w:rFonts w:ascii="Times New Roman"/>
        </w:rPr>
      </w:pPr>
    </w:p>
    <w:p w14:paraId="050AFBEF" w14:textId="77777777" w:rsidR="00EF5B27" w:rsidRDefault="00EF5B27">
      <w:pPr>
        <w:pStyle w:val="BodyText"/>
        <w:rPr>
          <w:rFonts w:ascii="Times New Roman"/>
        </w:rPr>
      </w:pPr>
    </w:p>
    <w:p w14:paraId="116FBEB1" w14:textId="77777777" w:rsidR="00EF5B27" w:rsidRDefault="00EF5B27">
      <w:pPr>
        <w:pStyle w:val="BodyText"/>
        <w:rPr>
          <w:rFonts w:ascii="Times New Roman"/>
        </w:rPr>
      </w:pPr>
    </w:p>
    <w:p w14:paraId="06F34EFE" w14:textId="77777777" w:rsidR="00EF5B27" w:rsidRDefault="00EF5B27">
      <w:pPr>
        <w:pStyle w:val="BodyText"/>
        <w:rPr>
          <w:rFonts w:ascii="Times New Roman"/>
        </w:rPr>
      </w:pPr>
    </w:p>
    <w:p w14:paraId="3F2A0CB6" w14:textId="77777777" w:rsidR="00EF5B27" w:rsidRDefault="00EF5B27">
      <w:pPr>
        <w:pStyle w:val="BodyText"/>
        <w:rPr>
          <w:rFonts w:ascii="Times New Roman"/>
        </w:rPr>
      </w:pPr>
    </w:p>
    <w:p w14:paraId="4B3682ED" w14:textId="77777777" w:rsidR="00EF5B27" w:rsidRDefault="00EF5B27">
      <w:pPr>
        <w:pStyle w:val="BodyText"/>
        <w:rPr>
          <w:rFonts w:ascii="Times New Roman"/>
        </w:rPr>
      </w:pPr>
    </w:p>
    <w:p w14:paraId="05498BA7" w14:textId="77777777" w:rsidR="00EF5B27" w:rsidRDefault="00EF5B27">
      <w:pPr>
        <w:pStyle w:val="BodyText"/>
        <w:rPr>
          <w:rFonts w:ascii="Times New Roman"/>
        </w:rPr>
      </w:pPr>
    </w:p>
    <w:p w14:paraId="717F3911" w14:textId="77777777" w:rsidR="00EF5B27" w:rsidRDefault="00EF5B27">
      <w:pPr>
        <w:pStyle w:val="BodyText"/>
        <w:rPr>
          <w:rFonts w:ascii="Times New Roman"/>
        </w:rPr>
      </w:pPr>
    </w:p>
    <w:p w14:paraId="38BD323E" w14:textId="77777777" w:rsidR="00EF5B27" w:rsidRDefault="00EF5B27">
      <w:pPr>
        <w:pStyle w:val="BodyText"/>
        <w:rPr>
          <w:rFonts w:ascii="Times New Roman"/>
        </w:rPr>
      </w:pPr>
    </w:p>
    <w:p w14:paraId="4D3D521C" w14:textId="77777777" w:rsidR="00EF5B27" w:rsidRDefault="00EF5B27">
      <w:pPr>
        <w:pStyle w:val="BodyText"/>
        <w:rPr>
          <w:rFonts w:ascii="Times New Roman"/>
        </w:rPr>
      </w:pPr>
    </w:p>
    <w:p w14:paraId="4483D0FE" w14:textId="77777777" w:rsidR="00EF5B27" w:rsidRDefault="00EF5B27">
      <w:pPr>
        <w:pStyle w:val="BodyText"/>
        <w:rPr>
          <w:rFonts w:ascii="Times New Roman"/>
        </w:rPr>
      </w:pPr>
    </w:p>
    <w:p w14:paraId="0FF56B6E" w14:textId="77777777" w:rsidR="00EF5B27" w:rsidRDefault="00EF5B27">
      <w:pPr>
        <w:pStyle w:val="BodyText"/>
        <w:rPr>
          <w:rFonts w:ascii="Times New Roman"/>
        </w:rPr>
      </w:pPr>
    </w:p>
    <w:p w14:paraId="5527158E" w14:textId="77777777" w:rsidR="00EF5B27" w:rsidRDefault="00EF5B27">
      <w:pPr>
        <w:pStyle w:val="BodyText"/>
        <w:rPr>
          <w:rFonts w:ascii="Times New Roman"/>
        </w:rPr>
      </w:pPr>
    </w:p>
    <w:p w14:paraId="5772C413" w14:textId="77777777" w:rsidR="00EF5B27" w:rsidRDefault="00EF5B27">
      <w:pPr>
        <w:pStyle w:val="BodyText"/>
        <w:rPr>
          <w:rFonts w:ascii="Times New Roman"/>
        </w:rPr>
      </w:pPr>
    </w:p>
    <w:p w14:paraId="68D8DE6C" w14:textId="77777777" w:rsidR="00EF5B27" w:rsidRDefault="00EF5B27">
      <w:pPr>
        <w:pStyle w:val="BodyText"/>
        <w:rPr>
          <w:rFonts w:ascii="Times New Roman"/>
        </w:rPr>
      </w:pPr>
    </w:p>
    <w:p w14:paraId="62D9C70C" w14:textId="77777777" w:rsidR="00EF5B27" w:rsidRDefault="00EF5B27">
      <w:pPr>
        <w:pStyle w:val="BodyText"/>
        <w:rPr>
          <w:rFonts w:ascii="Times New Roman"/>
        </w:rPr>
      </w:pPr>
    </w:p>
    <w:p w14:paraId="57B61430" w14:textId="77777777" w:rsidR="00EF5B27" w:rsidRDefault="00EF5B27">
      <w:pPr>
        <w:pStyle w:val="BodyText"/>
        <w:rPr>
          <w:rFonts w:ascii="Times New Roman"/>
        </w:rPr>
      </w:pPr>
    </w:p>
    <w:p w14:paraId="7F3166CD" w14:textId="77777777" w:rsidR="00EF5B27" w:rsidRDefault="00EF5B27">
      <w:pPr>
        <w:pStyle w:val="BodyText"/>
        <w:rPr>
          <w:rFonts w:ascii="Times New Roman"/>
        </w:rPr>
      </w:pPr>
    </w:p>
    <w:p w14:paraId="2541BFDC" w14:textId="77777777" w:rsidR="00EF5B27" w:rsidRDefault="00EF5B27">
      <w:pPr>
        <w:pStyle w:val="BodyText"/>
        <w:rPr>
          <w:rFonts w:ascii="Times New Roman"/>
        </w:rPr>
      </w:pPr>
    </w:p>
    <w:p w14:paraId="666A1849" w14:textId="77777777" w:rsidR="00EF5B27" w:rsidRDefault="00EF5B27">
      <w:pPr>
        <w:pStyle w:val="BodyText"/>
        <w:rPr>
          <w:rFonts w:ascii="Times New Roman"/>
        </w:rPr>
      </w:pPr>
    </w:p>
    <w:p w14:paraId="0F329FA9" w14:textId="77777777" w:rsidR="00EF5B27" w:rsidRDefault="00EF5B27">
      <w:pPr>
        <w:pStyle w:val="BodyText"/>
        <w:rPr>
          <w:rFonts w:ascii="Times New Roman"/>
        </w:rPr>
      </w:pPr>
    </w:p>
    <w:p w14:paraId="2423C288" w14:textId="77777777" w:rsidR="00EF5B27" w:rsidRDefault="00EF5B27">
      <w:pPr>
        <w:pStyle w:val="BodyText"/>
        <w:rPr>
          <w:rFonts w:ascii="Times New Roman"/>
        </w:rPr>
      </w:pPr>
    </w:p>
    <w:p w14:paraId="0AEA8E5C" w14:textId="77777777" w:rsidR="00EF5B27" w:rsidRDefault="00EF5B27">
      <w:pPr>
        <w:pStyle w:val="BodyText"/>
        <w:rPr>
          <w:rFonts w:ascii="Times New Roman"/>
        </w:rPr>
      </w:pPr>
    </w:p>
    <w:p w14:paraId="636426AD" w14:textId="77777777" w:rsidR="00EF5B27" w:rsidRDefault="00EF5B27">
      <w:pPr>
        <w:pStyle w:val="BodyText"/>
        <w:rPr>
          <w:rFonts w:ascii="Times New Roman"/>
        </w:rPr>
      </w:pPr>
    </w:p>
    <w:p w14:paraId="142CB116" w14:textId="77777777" w:rsidR="00EF5B27" w:rsidRDefault="00EF5B27">
      <w:pPr>
        <w:pStyle w:val="BodyText"/>
        <w:rPr>
          <w:rFonts w:ascii="Times New Roman"/>
        </w:rPr>
      </w:pPr>
    </w:p>
    <w:p w14:paraId="11926499" w14:textId="77777777" w:rsidR="00EF5B27" w:rsidRDefault="00EF5B27">
      <w:pPr>
        <w:pStyle w:val="BodyText"/>
        <w:rPr>
          <w:rFonts w:ascii="Times New Roman"/>
        </w:rPr>
      </w:pPr>
    </w:p>
    <w:p w14:paraId="3829FFA0" w14:textId="77777777" w:rsidR="00EF5B27" w:rsidRDefault="00EF5B27">
      <w:pPr>
        <w:pStyle w:val="BodyText"/>
        <w:rPr>
          <w:rFonts w:ascii="Times New Roman"/>
        </w:rPr>
      </w:pPr>
    </w:p>
    <w:p w14:paraId="3E405FE3" w14:textId="77777777" w:rsidR="00EF5B27" w:rsidRDefault="00EF5B27">
      <w:pPr>
        <w:pStyle w:val="BodyText"/>
        <w:rPr>
          <w:rFonts w:ascii="Times New Roman"/>
        </w:rPr>
      </w:pPr>
    </w:p>
    <w:p w14:paraId="46AB5B3C" w14:textId="77777777" w:rsidR="00EF5B27" w:rsidRDefault="00000000">
      <w:pPr>
        <w:spacing w:before="237"/>
        <w:ind w:left="311"/>
        <w:rPr>
          <w:sz w:val="43"/>
        </w:rPr>
      </w:pPr>
      <w:r>
        <w:rPr>
          <w:sz w:val="43"/>
        </w:rPr>
        <w:t>Strategic Audit of the Implementation</w:t>
      </w:r>
      <w:r>
        <w:rPr>
          <w:spacing w:val="69"/>
          <w:sz w:val="43"/>
        </w:rPr>
        <w:t xml:space="preserve"> </w:t>
      </w:r>
      <w:r>
        <w:rPr>
          <w:sz w:val="43"/>
        </w:rPr>
        <w:t>of</w:t>
      </w:r>
    </w:p>
    <w:p w14:paraId="36D7E97C" w14:textId="77777777" w:rsidR="00EF5B27" w:rsidRDefault="00000000">
      <w:pPr>
        <w:spacing w:before="40" w:line="237" w:lineRule="auto"/>
        <w:ind w:left="311"/>
        <w:rPr>
          <w:b/>
          <w:sz w:val="60"/>
        </w:rPr>
      </w:pPr>
      <w:r>
        <w:rPr>
          <w:b/>
          <w:sz w:val="60"/>
        </w:rPr>
        <w:t>Melbourne Strategic Assessment Conservation Outcomes 2022</w:t>
      </w:r>
      <w:r>
        <w:rPr>
          <w:b/>
          <w:spacing w:val="90"/>
          <w:sz w:val="60"/>
        </w:rPr>
        <w:t xml:space="preserve"> </w:t>
      </w:r>
      <w:r>
        <w:rPr>
          <w:b/>
          <w:spacing w:val="-5"/>
          <w:sz w:val="60"/>
        </w:rPr>
        <w:t>Report</w:t>
      </w:r>
    </w:p>
    <w:p w14:paraId="142507FA" w14:textId="77777777" w:rsidR="00EF5B27" w:rsidRDefault="00EF5B27">
      <w:pPr>
        <w:spacing w:line="237" w:lineRule="auto"/>
        <w:rPr>
          <w:sz w:val="60"/>
        </w:rPr>
        <w:sectPr w:rsidR="00EF5B27">
          <w:headerReference w:type="even" r:id="rId24"/>
          <w:headerReference w:type="default" r:id="rId25"/>
          <w:footerReference w:type="even" r:id="rId26"/>
          <w:footerReference w:type="default" r:id="rId27"/>
          <w:headerReference w:type="first" r:id="rId28"/>
          <w:footerReference w:type="first" r:id="rId29"/>
          <w:type w:val="continuous"/>
          <w:pgSz w:w="11910" w:h="16840"/>
          <w:pgMar w:top="1140" w:right="1020" w:bottom="280" w:left="1020" w:header="720" w:footer="720" w:gutter="0"/>
          <w:cols w:space="720"/>
        </w:sectPr>
      </w:pPr>
    </w:p>
    <w:p w14:paraId="6BAFB1B2" w14:textId="77777777" w:rsidR="00EF5B27" w:rsidRDefault="00000000">
      <w:pPr>
        <w:pStyle w:val="BodyText"/>
        <w:rPr>
          <w:b/>
        </w:rPr>
      </w:pPr>
      <w:r>
        <w:lastRenderedPageBreak/>
        <w:pict w14:anchorId="4A65C2C9">
          <v:group id="_x0000_s4694" style="position:absolute;margin-left:587.05pt;margin-top:183.4pt;width:8.25pt;height:153.1pt;z-index:251311616;mso-position-horizontal-relative:page;mso-position-vertical-relative:page" coordorigin="11741,3668" coordsize="165,3062">
            <v:shape id="_x0000_s4701" style="position:absolute;left:11741;top:3668;width:165;height:561" coordorigin="11741,3668" coordsize="165,561" path="m11906,3668r-165,l11741,4228r165,-18l11906,3668xe" fillcolor="#00aed9" stroked="f">
              <v:path arrowok="t"/>
            </v:shape>
            <v:shape id="_x0000_s4700" style="position:absolute;left:11741;top:4118;width:165;height:425" coordorigin="11741,4118" coordsize="165,425" path="m11906,4118r-165,14l11741,4531r165,12l11906,4118xe" fillcolor="#047ebc" stroked="f">
              <v:path arrowok="t"/>
            </v:shape>
            <v:shape id="_x0000_s4699" type="#_x0000_t75" style="position:absolute;left:11741;top:4355;width:165;height:587">
              <v:imagedata r:id="rId30" o:title=""/>
            </v:shape>
            <v:shape id="_x0000_s4698" style="position:absolute;left:11741;top:5343;width:165;height:536" coordorigin="11741,5343" coordsize="165,536" path="m11741,5343r,535l11906,5872r,-525l11741,5343xe" fillcolor="#f36a2e" stroked="f">
              <v:path arrowok="t"/>
            </v:shape>
            <v:shape id="_x0000_s4697" style="position:absolute;left:11741;top:4925;width:165;height:501" coordorigin="11741,4926" coordsize="165,501" path="m11741,4926r,500l11906,5426r,-485l11741,4926xe" fillcolor="#49783f" stroked="f">
              <v:path arrowok="t"/>
            </v:shape>
            <v:shape id="_x0000_s4696" style="position:absolute;left:11741;top:5781;width:165;height:268" coordorigin="11741,5782" coordsize="165,268" path="m11906,5782r-165,8l11741,6039r165,10l11906,5782xe" fillcolor="#f99f2a" stroked="f">
              <v:path arrowok="t"/>
            </v:shape>
            <v:shape id="_x0000_s4695" style="position:absolute;left:11741;top:6023;width:165;height:707" coordorigin="11741,6023" coordsize="165,707" path="m11741,6023r,706l11906,6729r,-690l11741,6023xe" fillcolor="#ef412c" stroked="f">
              <v:path arrowok="t"/>
            </v:shape>
            <w10:wrap anchorx="page" anchory="page"/>
          </v:group>
        </w:pict>
      </w:r>
    </w:p>
    <w:p w14:paraId="4E40FC7D" w14:textId="77777777" w:rsidR="00EF5B27" w:rsidRDefault="00EF5B27">
      <w:pPr>
        <w:pStyle w:val="BodyText"/>
        <w:rPr>
          <w:b/>
        </w:rPr>
      </w:pPr>
    </w:p>
    <w:p w14:paraId="2E2326F2" w14:textId="77777777" w:rsidR="00EF5B27" w:rsidRDefault="00EF5B27">
      <w:pPr>
        <w:pStyle w:val="BodyText"/>
        <w:rPr>
          <w:b/>
        </w:rPr>
      </w:pPr>
    </w:p>
    <w:p w14:paraId="1599DC19" w14:textId="77777777" w:rsidR="00EF5B27" w:rsidRDefault="00EF5B27">
      <w:pPr>
        <w:pStyle w:val="BodyText"/>
        <w:rPr>
          <w:b/>
        </w:rPr>
      </w:pPr>
    </w:p>
    <w:p w14:paraId="4A9D57D0" w14:textId="77777777" w:rsidR="00EF5B27" w:rsidRDefault="00EF5B27">
      <w:pPr>
        <w:pStyle w:val="BodyText"/>
        <w:rPr>
          <w:b/>
        </w:rPr>
      </w:pPr>
    </w:p>
    <w:p w14:paraId="113EB143" w14:textId="77777777" w:rsidR="00EF5B27" w:rsidRDefault="00EF5B27">
      <w:pPr>
        <w:pStyle w:val="BodyText"/>
        <w:rPr>
          <w:b/>
        </w:rPr>
      </w:pPr>
    </w:p>
    <w:p w14:paraId="2D2323FE" w14:textId="77777777" w:rsidR="00EF5B27" w:rsidRDefault="00EF5B27">
      <w:pPr>
        <w:pStyle w:val="BodyText"/>
        <w:rPr>
          <w:b/>
        </w:rPr>
      </w:pPr>
    </w:p>
    <w:p w14:paraId="38289A25" w14:textId="77777777" w:rsidR="00EF5B27" w:rsidRDefault="00EF5B27">
      <w:pPr>
        <w:pStyle w:val="BodyText"/>
        <w:rPr>
          <w:b/>
        </w:rPr>
      </w:pPr>
    </w:p>
    <w:p w14:paraId="08AE533D" w14:textId="77777777" w:rsidR="00EF5B27" w:rsidRDefault="00EF5B27">
      <w:pPr>
        <w:pStyle w:val="BodyText"/>
        <w:rPr>
          <w:b/>
        </w:rPr>
      </w:pPr>
    </w:p>
    <w:p w14:paraId="22BBFDD0" w14:textId="77777777" w:rsidR="00EF5B27" w:rsidRDefault="00EF5B27">
      <w:pPr>
        <w:pStyle w:val="BodyText"/>
        <w:rPr>
          <w:b/>
        </w:rPr>
      </w:pPr>
    </w:p>
    <w:p w14:paraId="2104E650" w14:textId="77777777" w:rsidR="00EF5B27" w:rsidRDefault="00EF5B27">
      <w:pPr>
        <w:pStyle w:val="BodyText"/>
        <w:rPr>
          <w:b/>
        </w:rPr>
      </w:pPr>
    </w:p>
    <w:p w14:paraId="5404450E" w14:textId="77777777" w:rsidR="00EF5B27" w:rsidRDefault="00EF5B27">
      <w:pPr>
        <w:pStyle w:val="BodyText"/>
        <w:rPr>
          <w:b/>
        </w:rPr>
      </w:pPr>
    </w:p>
    <w:p w14:paraId="42DA1A8E" w14:textId="77777777" w:rsidR="00EF5B27" w:rsidRDefault="00EF5B27">
      <w:pPr>
        <w:pStyle w:val="BodyText"/>
        <w:rPr>
          <w:b/>
        </w:rPr>
      </w:pPr>
    </w:p>
    <w:p w14:paraId="443985B7" w14:textId="77777777" w:rsidR="00EF5B27" w:rsidRDefault="00EF5B27">
      <w:pPr>
        <w:pStyle w:val="BodyText"/>
        <w:rPr>
          <w:b/>
        </w:rPr>
      </w:pPr>
    </w:p>
    <w:p w14:paraId="6DCB85EF" w14:textId="77777777" w:rsidR="00EF5B27" w:rsidRDefault="00EF5B27">
      <w:pPr>
        <w:pStyle w:val="BodyText"/>
        <w:rPr>
          <w:b/>
        </w:rPr>
      </w:pPr>
    </w:p>
    <w:p w14:paraId="33DE1477" w14:textId="77777777" w:rsidR="00EF5B27" w:rsidRDefault="00EF5B27">
      <w:pPr>
        <w:pStyle w:val="BodyText"/>
        <w:rPr>
          <w:b/>
        </w:rPr>
      </w:pPr>
    </w:p>
    <w:p w14:paraId="69C3EFC5" w14:textId="77777777" w:rsidR="00EF5B27" w:rsidRDefault="00EF5B27">
      <w:pPr>
        <w:pStyle w:val="BodyText"/>
        <w:rPr>
          <w:b/>
        </w:rPr>
      </w:pPr>
    </w:p>
    <w:p w14:paraId="1CD250E7" w14:textId="77777777" w:rsidR="00EF5B27" w:rsidRDefault="00EF5B27">
      <w:pPr>
        <w:pStyle w:val="BodyText"/>
        <w:rPr>
          <w:b/>
        </w:rPr>
      </w:pPr>
    </w:p>
    <w:p w14:paraId="4B767CD1" w14:textId="77777777" w:rsidR="00EF5B27" w:rsidRDefault="00EF5B27">
      <w:pPr>
        <w:pStyle w:val="BodyText"/>
        <w:rPr>
          <w:b/>
        </w:rPr>
      </w:pPr>
    </w:p>
    <w:p w14:paraId="1B9F4208" w14:textId="77777777" w:rsidR="00EF5B27" w:rsidRDefault="00EF5B27">
      <w:pPr>
        <w:pStyle w:val="BodyText"/>
        <w:rPr>
          <w:b/>
        </w:rPr>
      </w:pPr>
    </w:p>
    <w:p w14:paraId="47B4FA28" w14:textId="77777777" w:rsidR="00EF5B27" w:rsidRDefault="00EF5B27">
      <w:pPr>
        <w:pStyle w:val="BodyText"/>
        <w:rPr>
          <w:b/>
        </w:rPr>
      </w:pPr>
    </w:p>
    <w:p w14:paraId="04EDB4CA" w14:textId="77777777" w:rsidR="00EF5B27" w:rsidRDefault="00EF5B27">
      <w:pPr>
        <w:pStyle w:val="BodyText"/>
        <w:rPr>
          <w:b/>
        </w:rPr>
      </w:pPr>
    </w:p>
    <w:p w14:paraId="2E3D5E35" w14:textId="77777777" w:rsidR="00EF5B27" w:rsidRDefault="00EF5B27">
      <w:pPr>
        <w:pStyle w:val="BodyText"/>
        <w:spacing w:before="8"/>
        <w:rPr>
          <w:b/>
        </w:rPr>
      </w:pPr>
    </w:p>
    <w:p w14:paraId="0353F345" w14:textId="77777777" w:rsidR="00EF5B27" w:rsidRDefault="00000000">
      <w:pPr>
        <w:spacing w:line="314" w:lineRule="auto"/>
        <w:ind w:left="113" w:right="2750"/>
        <w:rPr>
          <w:sz w:val="12"/>
        </w:rPr>
      </w:pPr>
      <w:r>
        <w:rPr>
          <w:color w:val="4D4D4F"/>
          <w:w w:val="105"/>
          <w:sz w:val="16"/>
        </w:rPr>
        <w:t xml:space="preserve">COVER IMAGE: </w:t>
      </w:r>
      <w:r>
        <w:rPr>
          <w:color w:val="4D4D4F"/>
          <w:w w:val="105"/>
          <w:sz w:val="14"/>
        </w:rPr>
        <w:t xml:space="preserve">Natural Temperate Grassland, Grassy Eucalypt Woodland, Golden Sun Moth, Matted Flax-lily, Spiny Rice-flower, Seasonal Herbaceous Wetland, Growling Grass Frog, Button Wrinklewort, Large-fruit Groundsel, Striped Legless Lizard, Southern Brown Bandicoot, Small Golden Moths Orchid </w:t>
      </w:r>
      <w:r>
        <w:rPr>
          <w:color w:val="4D4D4F"/>
          <w:w w:val="105"/>
          <w:position w:val="1"/>
          <w:sz w:val="12"/>
        </w:rPr>
        <w:t xml:space="preserve">© </w:t>
      </w:r>
      <w:r>
        <w:rPr>
          <w:color w:val="4D4D4F"/>
          <w:w w:val="105"/>
          <w:sz w:val="12"/>
        </w:rPr>
        <w:t>Images courtesy of DELWP</w:t>
      </w:r>
    </w:p>
    <w:p w14:paraId="46A853A4" w14:textId="77777777" w:rsidR="00EF5B27" w:rsidRDefault="00000000">
      <w:pPr>
        <w:spacing w:before="110"/>
        <w:ind w:left="113"/>
        <w:rPr>
          <w:sz w:val="16"/>
        </w:rPr>
      </w:pPr>
      <w:r>
        <w:rPr>
          <w:color w:val="4D4D4F"/>
          <w:w w:val="105"/>
          <w:sz w:val="16"/>
        </w:rPr>
        <w:t>ISSN 2653-6099</w:t>
      </w:r>
    </w:p>
    <w:p w14:paraId="429D8F8D" w14:textId="77777777" w:rsidR="00EF5B27" w:rsidRDefault="00000000">
      <w:pPr>
        <w:spacing w:before="158"/>
        <w:ind w:left="113"/>
        <w:rPr>
          <w:sz w:val="16"/>
        </w:rPr>
      </w:pPr>
      <w:r>
        <w:rPr>
          <w:color w:val="4D4D4F"/>
          <w:sz w:val="16"/>
        </w:rPr>
        <w:t>Published by the Commissioner for Environmental Sustainability, Melbourne, Victoria, October 2022</w:t>
      </w:r>
    </w:p>
    <w:p w14:paraId="3198DDF4" w14:textId="77777777" w:rsidR="00EF5B27" w:rsidRDefault="00000000">
      <w:pPr>
        <w:spacing w:before="138"/>
        <w:ind w:left="113"/>
        <w:rPr>
          <w:sz w:val="16"/>
        </w:rPr>
      </w:pPr>
      <w:r>
        <w:rPr>
          <w:color w:val="4D4D4F"/>
          <w:position w:val="2"/>
          <w:sz w:val="16"/>
        </w:rPr>
        <w:t xml:space="preserve">© </w:t>
      </w:r>
      <w:r>
        <w:rPr>
          <w:color w:val="4D4D4F"/>
          <w:sz w:val="16"/>
        </w:rPr>
        <w:t>The State of Victoria, Commissioner for Environmental Sustainability 2022</w:t>
      </w:r>
    </w:p>
    <w:p w14:paraId="5087A94A" w14:textId="77777777" w:rsidR="00EF5B27" w:rsidRDefault="00000000">
      <w:pPr>
        <w:spacing w:before="158" w:line="295" w:lineRule="auto"/>
        <w:ind w:left="113" w:right="2750"/>
        <w:rPr>
          <w:rFonts w:ascii="Arial Narrow"/>
          <w:i/>
          <w:sz w:val="16"/>
        </w:rPr>
      </w:pPr>
      <w:r>
        <w:rPr>
          <w:color w:val="4D4D4F"/>
          <w:sz w:val="16"/>
        </w:rPr>
        <w:t xml:space="preserve">This publication is copyright. No part may be reproduced by any process except in accordance with the provisions of the </w:t>
      </w:r>
      <w:r>
        <w:rPr>
          <w:rFonts w:ascii="Arial Narrow"/>
          <w:i/>
          <w:color w:val="4D4D4F"/>
          <w:sz w:val="16"/>
        </w:rPr>
        <w:t>Copyright Act 1968.</w:t>
      </w:r>
    </w:p>
    <w:p w14:paraId="7F7658F1" w14:textId="77777777" w:rsidR="00EF5B27" w:rsidRDefault="00000000">
      <w:pPr>
        <w:spacing w:before="113"/>
        <w:ind w:left="113"/>
        <w:rPr>
          <w:sz w:val="16"/>
        </w:rPr>
      </w:pPr>
      <w:r>
        <w:rPr>
          <w:color w:val="4D4D4F"/>
          <w:w w:val="105"/>
          <w:sz w:val="16"/>
        </w:rPr>
        <w:t>Please print on recycled paper.</w:t>
      </w:r>
    </w:p>
    <w:p w14:paraId="7A3F0651" w14:textId="77777777" w:rsidR="00EF5B27" w:rsidRDefault="00000000">
      <w:pPr>
        <w:spacing w:before="158" w:line="295" w:lineRule="auto"/>
        <w:ind w:left="113" w:right="2750"/>
        <w:rPr>
          <w:sz w:val="16"/>
        </w:rPr>
      </w:pPr>
      <w:r>
        <w:rPr>
          <w:color w:val="4D4D4F"/>
          <w:sz w:val="16"/>
        </w:rPr>
        <w:t>Authorised by the Victorian Commissioner for Environmental Sustainability, Level 36, 2 Lonsdale Street, Melbourne, Victoria 3000</w:t>
      </w:r>
    </w:p>
    <w:p w14:paraId="5EE23980" w14:textId="77777777" w:rsidR="00EF5B27" w:rsidRDefault="00000000">
      <w:pPr>
        <w:spacing w:before="113" w:line="295" w:lineRule="auto"/>
        <w:ind w:left="113" w:right="4160"/>
        <w:rPr>
          <w:sz w:val="16"/>
        </w:rPr>
      </w:pPr>
      <w:r>
        <w:rPr>
          <w:color w:val="4D4D4F"/>
          <w:sz w:val="16"/>
        </w:rPr>
        <w:t xml:space="preserve">For further information, email the Commissioner for Environmental Sustainability at </w:t>
      </w:r>
      <w:hyperlink r:id="rId31">
        <w:r>
          <w:rPr>
            <w:color w:val="F36A2E"/>
            <w:sz w:val="16"/>
            <w:u w:val="single" w:color="F36A2E"/>
          </w:rPr>
          <w:t>info.ces</w:t>
        </w:r>
        <w:r>
          <w:rPr>
            <w:rFonts w:ascii="Century Gothic"/>
            <w:color w:val="F36A2E"/>
            <w:sz w:val="14"/>
            <w:u w:val="single" w:color="F36A2E"/>
          </w:rPr>
          <w:t>@</w:t>
        </w:r>
        <w:r>
          <w:rPr>
            <w:color w:val="F36A2E"/>
            <w:sz w:val="16"/>
            <w:u w:val="single" w:color="F36A2E"/>
          </w:rPr>
          <w:t>ces.vic.gov.au</w:t>
        </w:r>
        <w:r>
          <w:rPr>
            <w:color w:val="F36A2E"/>
            <w:sz w:val="16"/>
          </w:rPr>
          <w:t xml:space="preserve"> </w:t>
        </w:r>
      </w:hyperlink>
      <w:r>
        <w:rPr>
          <w:color w:val="4D4D4F"/>
          <w:sz w:val="16"/>
        </w:rPr>
        <w:t xml:space="preserve">or visit </w:t>
      </w:r>
      <w:hyperlink r:id="rId32">
        <w:r>
          <w:rPr>
            <w:color w:val="F36A2E"/>
            <w:sz w:val="16"/>
            <w:u w:val="single" w:color="F36A2E"/>
          </w:rPr>
          <w:t>www.ces.vic.gov.au</w:t>
        </w:r>
      </w:hyperlink>
    </w:p>
    <w:p w14:paraId="27C4C8E1" w14:textId="77777777" w:rsidR="00EF5B27" w:rsidRDefault="00000000">
      <w:pPr>
        <w:spacing w:before="113"/>
        <w:ind w:left="113"/>
        <w:rPr>
          <w:b/>
          <w:sz w:val="16"/>
        </w:rPr>
      </w:pPr>
      <w:r>
        <w:rPr>
          <w:b/>
          <w:color w:val="4D4D4F"/>
          <w:w w:val="105"/>
          <w:sz w:val="16"/>
        </w:rPr>
        <w:t>Disclaimer</w:t>
      </w:r>
    </w:p>
    <w:p w14:paraId="435B305C" w14:textId="77777777" w:rsidR="00EF5B27" w:rsidRDefault="00000000">
      <w:pPr>
        <w:spacing w:before="158" w:line="295" w:lineRule="auto"/>
        <w:ind w:left="113" w:right="2605"/>
        <w:jc w:val="both"/>
        <w:rPr>
          <w:sz w:val="16"/>
        </w:rPr>
      </w:pPr>
      <w:r>
        <w:rPr>
          <w:color w:val="4D4D4F"/>
          <w:spacing w:val="-3"/>
          <w:sz w:val="16"/>
        </w:rPr>
        <w:t xml:space="preserve">This </w:t>
      </w:r>
      <w:r>
        <w:rPr>
          <w:color w:val="4D4D4F"/>
          <w:sz w:val="16"/>
        </w:rPr>
        <w:t xml:space="preserve">report </w:t>
      </w:r>
      <w:r>
        <w:rPr>
          <w:color w:val="4D4D4F"/>
          <w:spacing w:val="-3"/>
          <w:sz w:val="16"/>
        </w:rPr>
        <w:t xml:space="preserve">may </w:t>
      </w:r>
      <w:r>
        <w:rPr>
          <w:color w:val="4D4D4F"/>
          <w:sz w:val="16"/>
        </w:rPr>
        <w:t xml:space="preserve">be of </w:t>
      </w:r>
      <w:r>
        <w:rPr>
          <w:color w:val="4D4D4F"/>
          <w:spacing w:val="-4"/>
          <w:sz w:val="16"/>
        </w:rPr>
        <w:t xml:space="preserve">assistance </w:t>
      </w:r>
      <w:r>
        <w:rPr>
          <w:color w:val="4D4D4F"/>
          <w:spacing w:val="-3"/>
          <w:sz w:val="16"/>
        </w:rPr>
        <w:t xml:space="preserve">to you and </w:t>
      </w:r>
      <w:r>
        <w:rPr>
          <w:color w:val="4D4D4F"/>
          <w:sz w:val="16"/>
        </w:rPr>
        <w:t xml:space="preserve">every effort </w:t>
      </w:r>
      <w:r>
        <w:rPr>
          <w:color w:val="4D4D4F"/>
          <w:spacing w:val="-3"/>
          <w:sz w:val="16"/>
        </w:rPr>
        <w:t xml:space="preserve">has been made to ensure that the </w:t>
      </w:r>
      <w:r>
        <w:rPr>
          <w:color w:val="4D4D4F"/>
          <w:spacing w:val="-4"/>
          <w:sz w:val="16"/>
        </w:rPr>
        <w:t xml:space="preserve">information </w:t>
      </w:r>
      <w:r>
        <w:rPr>
          <w:color w:val="4D4D4F"/>
          <w:spacing w:val="-3"/>
          <w:sz w:val="16"/>
        </w:rPr>
        <w:t xml:space="preserve">provided is </w:t>
      </w:r>
      <w:r>
        <w:rPr>
          <w:color w:val="4D4D4F"/>
          <w:sz w:val="16"/>
        </w:rPr>
        <w:t xml:space="preserve">correct. It </w:t>
      </w:r>
      <w:r>
        <w:rPr>
          <w:color w:val="4D4D4F"/>
          <w:spacing w:val="-3"/>
          <w:sz w:val="16"/>
        </w:rPr>
        <w:t xml:space="preserve">is based </w:t>
      </w:r>
      <w:r>
        <w:rPr>
          <w:color w:val="4D4D4F"/>
          <w:spacing w:val="-4"/>
          <w:sz w:val="16"/>
        </w:rPr>
        <w:t xml:space="preserve">largely </w:t>
      </w:r>
      <w:r>
        <w:rPr>
          <w:color w:val="4D4D4F"/>
          <w:sz w:val="16"/>
        </w:rPr>
        <w:t xml:space="preserve">on </w:t>
      </w:r>
      <w:r>
        <w:rPr>
          <w:color w:val="4D4D4F"/>
          <w:spacing w:val="-3"/>
          <w:sz w:val="16"/>
        </w:rPr>
        <w:t xml:space="preserve">data and </w:t>
      </w:r>
      <w:r>
        <w:rPr>
          <w:color w:val="4D4D4F"/>
          <w:spacing w:val="-4"/>
          <w:sz w:val="16"/>
        </w:rPr>
        <w:t xml:space="preserve">information </w:t>
      </w:r>
      <w:r>
        <w:rPr>
          <w:color w:val="4D4D4F"/>
          <w:spacing w:val="-3"/>
          <w:sz w:val="16"/>
        </w:rPr>
        <w:t xml:space="preserve">provided </w:t>
      </w:r>
      <w:r>
        <w:rPr>
          <w:color w:val="4D4D4F"/>
          <w:sz w:val="16"/>
        </w:rPr>
        <w:t xml:space="preserve">by </w:t>
      </w:r>
      <w:r>
        <w:rPr>
          <w:color w:val="4D4D4F"/>
          <w:spacing w:val="-3"/>
          <w:sz w:val="16"/>
        </w:rPr>
        <w:t xml:space="preserve">the Victorian </w:t>
      </w:r>
      <w:r>
        <w:rPr>
          <w:color w:val="4D4D4F"/>
          <w:spacing w:val="-4"/>
          <w:sz w:val="16"/>
        </w:rPr>
        <w:t xml:space="preserve">Government. </w:t>
      </w:r>
      <w:r>
        <w:rPr>
          <w:color w:val="4D4D4F"/>
          <w:sz w:val="16"/>
        </w:rPr>
        <w:t xml:space="preserve">The </w:t>
      </w:r>
      <w:r>
        <w:rPr>
          <w:color w:val="4D4D4F"/>
          <w:spacing w:val="-4"/>
          <w:sz w:val="16"/>
        </w:rPr>
        <w:t xml:space="preserve">Commissioner </w:t>
      </w:r>
      <w:r>
        <w:rPr>
          <w:color w:val="4D4D4F"/>
          <w:spacing w:val="-3"/>
          <w:sz w:val="16"/>
        </w:rPr>
        <w:t xml:space="preserve">for </w:t>
      </w:r>
      <w:r>
        <w:rPr>
          <w:color w:val="4D4D4F"/>
          <w:spacing w:val="-4"/>
          <w:sz w:val="16"/>
        </w:rPr>
        <w:t>Environmental</w:t>
      </w:r>
      <w:r>
        <w:rPr>
          <w:color w:val="4D4D4F"/>
          <w:spacing w:val="-6"/>
          <w:sz w:val="16"/>
        </w:rPr>
        <w:t xml:space="preserve"> </w:t>
      </w:r>
      <w:r>
        <w:rPr>
          <w:color w:val="4D4D4F"/>
          <w:spacing w:val="-4"/>
          <w:sz w:val="16"/>
        </w:rPr>
        <w:t>Sustainability</w:t>
      </w:r>
      <w:r>
        <w:rPr>
          <w:color w:val="4D4D4F"/>
          <w:spacing w:val="-6"/>
          <w:sz w:val="16"/>
        </w:rPr>
        <w:t xml:space="preserve"> </w:t>
      </w:r>
      <w:r>
        <w:rPr>
          <w:color w:val="4D4D4F"/>
          <w:spacing w:val="-3"/>
          <w:sz w:val="16"/>
        </w:rPr>
        <w:t>does</w:t>
      </w:r>
      <w:r>
        <w:rPr>
          <w:color w:val="4D4D4F"/>
          <w:spacing w:val="-6"/>
          <w:sz w:val="16"/>
        </w:rPr>
        <w:t xml:space="preserve"> </w:t>
      </w:r>
      <w:r>
        <w:rPr>
          <w:color w:val="4D4D4F"/>
          <w:spacing w:val="-3"/>
          <w:sz w:val="16"/>
        </w:rPr>
        <w:t>not</w:t>
      </w:r>
      <w:r>
        <w:rPr>
          <w:color w:val="4D4D4F"/>
          <w:spacing w:val="-5"/>
          <w:sz w:val="16"/>
        </w:rPr>
        <w:t xml:space="preserve"> </w:t>
      </w:r>
      <w:r>
        <w:rPr>
          <w:color w:val="4D4D4F"/>
          <w:spacing w:val="-4"/>
          <w:sz w:val="16"/>
        </w:rPr>
        <w:t>guarantee</w:t>
      </w:r>
      <w:r>
        <w:rPr>
          <w:color w:val="4D4D4F"/>
          <w:spacing w:val="-6"/>
          <w:sz w:val="16"/>
        </w:rPr>
        <w:t xml:space="preserve"> </w:t>
      </w:r>
      <w:r>
        <w:rPr>
          <w:color w:val="4D4D4F"/>
          <w:spacing w:val="-3"/>
          <w:sz w:val="16"/>
        </w:rPr>
        <w:t>that</w:t>
      </w:r>
      <w:r>
        <w:rPr>
          <w:color w:val="4D4D4F"/>
          <w:spacing w:val="-6"/>
          <w:sz w:val="16"/>
        </w:rPr>
        <w:t xml:space="preserve"> </w:t>
      </w:r>
      <w:r>
        <w:rPr>
          <w:color w:val="4D4D4F"/>
          <w:spacing w:val="-3"/>
          <w:sz w:val="16"/>
        </w:rPr>
        <w:t>the</w:t>
      </w:r>
      <w:r>
        <w:rPr>
          <w:color w:val="4D4D4F"/>
          <w:spacing w:val="-6"/>
          <w:sz w:val="16"/>
        </w:rPr>
        <w:t xml:space="preserve"> </w:t>
      </w:r>
      <w:r>
        <w:rPr>
          <w:color w:val="4D4D4F"/>
          <w:sz w:val="16"/>
        </w:rPr>
        <w:t>report</w:t>
      </w:r>
      <w:r>
        <w:rPr>
          <w:color w:val="4D4D4F"/>
          <w:spacing w:val="-5"/>
          <w:sz w:val="16"/>
        </w:rPr>
        <w:t xml:space="preserve"> </w:t>
      </w:r>
      <w:r>
        <w:rPr>
          <w:color w:val="4D4D4F"/>
          <w:spacing w:val="-3"/>
          <w:sz w:val="16"/>
        </w:rPr>
        <w:t>is</w:t>
      </w:r>
      <w:r>
        <w:rPr>
          <w:color w:val="4D4D4F"/>
          <w:spacing w:val="-6"/>
          <w:sz w:val="16"/>
        </w:rPr>
        <w:t xml:space="preserve"> </w:t>
      </w:r>
      <w:r>
        <w:rPr>
          <w:color w:val="4D4D4F"/>
          <w:spacing w:val="-3"/>
          <w:sz w:val="16"/>
        </w:rPr>
        <w:t>without</w:t>
      </w:r>
      <w:r>
        <w:rPr>
          <w:color w:val="4D4D4F"/>
          <w:spacing w:val="-6"/>
          <w:sz w:val="16"/>
        </w:rPr>
        <w:t xml:space="preserve"> </w:t>
      </w:r>
      <w:r>
        <w:rPr>
          <w:color w:val="4D4D4F"/>
          <w:sz w:val="16"/>
        </w:rPr>
        <w:t>flaw</w:t>
      </w:r>
      <w:r>
        <w:rPr>
          <w:color w:val="4D4D4F"/>
          <w:spacing w:val="-6"/>
          <w:sz w:val="16"/>
        </w:rPr>
        <w:t xml:space="preserve"> </w:t>
      </w:r>
      <w:r>
        <w:rPr>
          <w:color w:val="4D4D4F"/>
          <w:sz w:val="16"/>
        </w:rPr>
        <w:t>of</w:t>
      </w:r>
      <w:r>
        <w:rPr>
          <w:color w:val="4D4D4F"/>
          <w:spacing w:val="-5"/>
          <w:sz w:val="16"/>
        </w:rPr>
        <w:t xml:space="preserve"> </w:t>
      </w:r>
      <w:r>
        <w:rPr>
          <w:color w:val="4D4D4F"/>
          <w:spacing w:val="-3"/>
          <w:sz w:val="16"/>
        </w:rPr>
        <w:t>any</w:t>
      </w:r>
      <w:r>
        <w:rPr>
          <w:color w:val="4D4D4F"/>
          <w:spacing w:val="-6"/>
          <w:sz w:val="16"/>
        </w:rPr>
        <w:t xml:space="preserve"> </w:t>
      </w:r>
      <w:r>
        <w:rPr>
          <w:color w:val="4D4D4F"/>
          <w:spacing w:val="-3"/>
          <w:sz w:val="16"/>
        </w:rPr>
        <w:t>kind</w:t>
      </w:r>
      <w:r>
        <w:rPr>
          <w:color w:val="4D4D4F"/>
          <w:spacing w:val="-6"/>
          <w:sz w:val="16"/>
        </w:rPr>
        <w:t xml:space="preserve"> </w:t>
      </w:r>
      <w:r>
        <w:rPr>
          <w:color w:val="4D4D4F"/>
          <w:sz w:val="16"/>
        </w:rPr>
        <w:t>or</w:t>
      </w:r>
      <w:r>
        <w:rPr>
          <w:color w:val="4D4D4F"/>
          <w:spacing w:val="-6"/>
          <w:sz w:val="16"/>
        </w:rPr>
        <w:t xml:space="preserve"> </w:t>
      </w:r>
      <w:r>
        <w:rPr>
          <w:color w:val="4D4D4F"/>
          <w:spacing w:val="-3"/>
          <w:sz w:val="16"/>
        </w:rPr>
        <w:t>is</w:t>
      </w:r>
      <w:r>
        <w:rPr>
          <w:color w:val="4D4D4F"/>
          <w:spacing w:val="-5"/>
          <w:sz w:val="16"/>
        </w:rPr>
        <w:t xml:space="preserve"> </w:t>
      </w:r>
      <w:r>
        <w:rPr>
          <w:color w:val="4D4D4F"/>
          <w:spacing w:val="-4"/>
          <w:sz w:val="16"/>
        </w:rPr>
        <w:t>wholly</w:t>
      </w:r>
      <w:r>
        <w:rPr>
          <w:color w:val="4D4D4F"/>
          <w:spacing w:val="-6"/>
          <w:sz w:val="16"/>
        </w:rPr>
        <w:t xml:space="preserve"> </w:t>
      </w:r>
      <w:r>
        <w:rPr>
          <w:color w:val="4D4D4F"/>
          <w:spacing w:val="-4"/>
          <w:sz w:val="16"/>
        </w:rPr>
        <w:t xml:space="preserve">appropriate </w:t>
      </w:r>
      <w:r>
        <w:rPr>
          <w:color w:val="4D4D4F"/>
          <w:spacing w:val="-3"/>
          <w:sz w:val="16"/>
        </w:rPr>
        <w:t xml:space="preserve">for your purposes and therefore </w:t>
      </w:r>
      <w:r>
        <w:rPr>
          <w:color w:val="4D4D4F"/>
          <w:spacing w:val="-4"/>
          <w:sz w:val="16"/>
        </w:rPr>
        <w:t xml:space="preserve">disclaims all liability </w:t>
      </w:r>
      <w:r>
        <w:rPr>
          <w:color w:val="4D4D4F"/>
          <w:spacing w:val="-3"/>
          <w:sz w:val="16"/>
        </w:rPr>
        <w:t xml:space="preserve">for any </w:t>
      </w:r>
      <w:r>
        <w:rPr>
          <w:color w:val="4D4D4F"/>
          <w:spacing w:val="-5"/>
          <w:sz w:val="16"/>
        </w:rPr>
        <w:t xml:space="preserve">error, </w:t>
      </w:r>
      <w:r>
        <w:rPr>
          <w:color w:val="4D4D4F"/>
          <w:spacing w:val="-3"/>
          <w:sz w:val="16"/>
        </w:rPr>
        <w:t xml:space="preserve">loss </w:t>
      </w:r>
      <w:r>
        <w:rPr>
          <w:color w:val="4D4D4F"/>
          <w:sz w:val="16"/>
        </w:rPr>
        <w:t xml:space="preserve">or </w:t>
      </w:r>
      <w:r>
        <w:rPr>
          <w:color w:val="4D4D4F"/>
          <w:spacing w:val="-4"/>
          <w:sz w:val="16"/>
        </w:rPr>
        <w:t xml:space="preserve">other </w:t>
      </w:r>
      <w:r>
        <w:rPr>
          <w:color w:val="4D4D4F"/>
          <w:spacing w:val="-3"/>
          <w:sz w:val="16"/>
        </w:rPr>
        <w:t xml:space="preserve">consequence which may arise </w:t>
      </w:r>
      <w:r>
        <w:rPr>
          <w:color w:val="4D4D4F"/>
          <w:sz w:val="16"/>
        </w:rPr>
        <w:t>from you relying on any information in this</w:t>
      </w:r>
      <w:r>
        <w:rPr>
          <w:color w:val="4D4D4F"/>
          <w:spacing w:val="22"/>
          <w:sz w:val="16"/>
        </w:rPr>
        <w:t xml:space="preserve"> </w:t>
      </w:r>
      <w:r>
        <w:rPr>
          <w:color w:val="4D4D4F"/>
          <w:sz w:val="16"/>
        </w:rPr>
        <w:t>publication.</w:t>
      </w:r>
    </w:p>
    <w:p w14:paraId="1C5B2459" w14:textId="77777777" w:rsidR="00EF5B27" w:rsidRDefault="00000000">
      <w:pPr>
        <w:pStyle w:val="BodyText"/>
        <w:spacing w:before="11"/>
        <w:rPr>
          <w:sz w:val="27"/>
        </w:rPr>
      </w:pPr>
      <w:r>
        <w:pict w14:anchorId="3CEE7B8D">
          <v:group id="_x0000_s4685" style="position:absolute;margin-left:56.7pt;margin-top:19pt;width:357.2pt;height:6.4pt;z-index:-251492864;mso-wrap-distance-left:0;mso-wrap-distance-right:0;mso-position-horizontal-relative:page" coordorigin="1134,380" coordsize="7144,128">
            <v:shape id="_x0000_s4693" style="position:absolute;left:1133;top:380;width:1282;height:128" coordorigin="1134,380" coordsize="1282,128" path="m2401,380r-1267,l1134,508r1281,l2401,380xe" fillcolor="#00aed9" stroked="f">
              <v:path arrowok="t"/>
            </v:shape>
            <v:shape id="_x0000_s4692" style="position:absolute;left:2185;top:380;width:989;height:128" coordorigin="2185,380" coordsize="989,128" path="m3174,380r-989,l2196,508r968,l3174,380xe" fillcolor="#047ebc" stroked="f">
              <v:path arrowok="t"/>
            </v:shape>
            <v:shape id="_x0000_s4691" style="position:absolute;left:2765;top:380;width:839;height:128" coordorigin="2766,380" coordsize="839,128" path="m3604,380r-823,l2766,508r833,l3604,380xe" fillcolor="#02558b" stroked="f">
              <v:path arrowok="t"/>
            </v:shape>
            <v:shape id="_x0000_s4690" style="position:absolute;left:3599;top:380;width:505;height:128" coordorigin="3599,380" coordsize="505,128" path="m4104,380r-500,l3599,508r493,l4104,380xe" fillcolor="#5cb84c" stroked="f">
              <v:path arrowok="t"/>
            </v:shape>
            <v:shape id="_x0000_s4689" style="position:absolute;left:5047;top:380;width:1235;height:128" coordorigin="5048,380" coordsize="1235,128" path="m6277,380r-1227,l5048,508r1234,l6277,380xe" fillcolor="#f36a2e" stroked="f">
              <v:path arrowok="t"/>
            </v:shape>
            <v:shape id="_x0000_s4688" style="position:absolute;left:4091;top:380;width:1146;height:128" coordorigin="4092,380" coordsize="1146,128" path="m5237,380r-1133,l4092,508r1145,l5237,380xe" fillcolor="#49783f" stroked="f">
              <v:path arrowok="t"/>
            </v:shape>
            <v:shape id="_x0000_s4687" style="position:absolute;left:6066;top:380;width:623;height:128" coordorigin="6066,380" coordsize="623,128" path="m6689,380r-623,l6073,508r608,l6689,380xe" fillcolor="#f99f2a" stroked="f">
              <v:path arrowok="t"/>
            </v:shape>
            <v:shape id="_x0000_s4686" style="position:absolute;left:6651;top:380;width:1626;height:128" coordorigin="6652,380" coordsize="1626,128" path="m8277,380r-1613,l6652,508r1625,l8277,380xe" fillcolor="#ef412c" stroked="f">
              <v:path arrowok="t"/>
            </v:shape>
            <w10:wrap type="topAndBottom" anchorx="page"/>
          </v:group>
        </w:pict>
      </w:r>
    </w:p>
    <w:p w14:paraId="6F8E2586" w14:textId="77777777" w:rsidR="00EF5B27" w:rsidRDefault="00EF5B27">
      <w:pPr>
        <w:pStyle w:val="BodyText"/>
      </w:pPr>
    </w:p>
    <w:p w14:paraId="3B42728D" w14:textId="77777777" w:rsidR="00EF5B27" w:rsidRDefault="00000000">
      <w:pPr>
        <w:pStyle w:val="Heading3"/>
        <w:spacing w:before="147"/>
        <w:ind w:left="113"/>
      </w:pPr>
      <w:r>
        <w:rPr>
          <w:color w:val="F99F2A"/>
        </w:rPr>
        <w:t>Traditional Owners</w:t>
      </w:r>
    </w:p>
    <w:p w14:paraId="7F316236" w14:textId="77777777" w:rsidR="00EF5B27" w:rsidRDefault="00000000">
      <w:pPr>
        <w:spacing w:before="239" w:line="295" w:lineRule="auto"/>
        <w:ind w:left="113" w:right="2605"/>
        <w:jc w:val="both"/>
        <w:rPr>
          <w:sz w:val="16"/>
        </w:rPr>
      </w:pPr>
      <w:r>
        <w:rPr>
          <w:color w:val="4D4D4F"/>
          <w:sz w:val="16"/>
        </w:rPr>
        <w:t xml:space="preserve">The Commissioner for Environmental Sustainability proudly acknowledges Victoria’s Aboriginal community and their rich culture and pays </w:t>
      </w:r>
      <w:r>
        <w:rPr>
          <w:color w:val="4D4D4F"/>
          <w:spacing w:val="2"/>
          <w:sz w:val="16"/>
        </w:rPr>
        <w:t xml:space="preserve">respect </w:t>
      </w:r>
      <w:r>
        <w:rPr>
          <w:color w:val="4D4D4F"/>
          <w:sz w:val="16"/>
        </w:rPr>
        <w:t xml:space="preserve">to their Elders past and present. We acknowledge Aboriginal people  as Australia’s first peoples and as the Traditional </w:t>
      </w:r>
      <w:r>
        <w:rPr>
          <w:color w:val="4D4D4F"/>
          <w:spacing w:val="2"/>
          <w:sz w:val="16"/>
        </w:rPr>
        <w:t xml:space="preserve">Owners </w:t>
      </w:r>
      <w:r>
        <w:rPr>
          <w:color w:val="4D4D4F"/>
          <w:sz w:val="16"/>
        </w:rPr>
        <w:t>and custodians of the land and water on which we rely. We recognise and value the ongoing contribution of Aboriginal people and communities to Victorian   life, and how this enriches us. We embrace the spirit of reconciliation, working towards the equality of outcomes and ensuring an equal</w:t>
      </w:r>
      <w:r>
        <w:rPr>
          <w:color w:val="4D4D4F"/>
          <w:spacing w:val="16"/>
          <w:sz w:val="16"/>
        </w:rPr>
        <w:t xml:space="preserve"> </w:t>
      </w:r>
      <w:r>
        <w:rPr>
          <w:color w:val="4D4D4F"/>
          <w:sz w:val="16"/>
        </w:rPr>
        <w:t>voice.</w:t>
      </w:r>
    </w:p>
    <w:p w14:paraId="2491AD67" w14:textId="77777777" w:rsidR="00EF5B27" w:rsidRDefault="00EF5B27">
      <w:pPr>
        <w:spacing w:line="295" w:lineRule="auto"/>
        <w:jc w:val="both"/>
        <w:rPr>
          <w:sz w:val="16"/>
        </w:rPr>
        <w:sectPr w:rsidR="00EF5B27">
          <w:headerReference w:type="default" r:id="rId33"/>
          <w:pgSz w:w="11910" w:h="16840"/>
          <w:pgMar w:top="1080" w:right="1020" w:bottom="280" w:left="1020" w:header="530" w:footer="0" w:gutter="0"/>
          <w:pgNumType w:start="2"/>
          <w:cols w:space="720"/>
        </w:sectPr>
      </w:pPr>
    </w:p>
    <w:p w14:paraId="03B5FE98" w14:textId="77777777" w:rsidR="00EF5B27" w:rsidRDefault="00EF5B27">
      <w:pPr>
        <w:pStyle w:val="BodyText"/>
      </w:pPr>
    </w:p>
    <w:p w14:paraId="77F4CD34" w14:textId="77777777" w:rsidR="00EF5B27" w:rsidRDefault="00EF5B27">
      <w:pPr>
        <w:pStyle w:val="BodyText"/>
      </w:pPr>
    </w:p>
    <w:p w14:paraId="057148BE" w14:textId="77777777" w:rsidR="00EF5B27" w:rsidRDefault="00EF5B27">
      <w:pPr>
        <w:pStyle w:val="BodyText"/>
      </w:pPr>
    </w:p>
    <w:p w14:paraId="66005672" w14:textId="77777777" w:rsidR="00EF5B27" w:rsidRDefault="00EF5B27">
      <w:pPr>
        <w:pStyle w:val="BodyText"/>
        <w:spacing w:before="8"/>
      </w:pPr>
    </w:p>
    <w:p w14:paraId="360140CF" w14:textId="77777777" w:rsidR="00EF5B27" w:rsidRDefault="00000000">
      <w:pPr>
        <w:pStyle w:val="Heading2"/>
      </w:pPr>
      <w:bookmarkStart w:id="0" w:name="_bookmark0"/>
      <w:bookmarkEnd w:id="0"/>
      <w:r>
        <w:rPr>
          <w:color w:val="F99F2A"/>
        </w:rPr>
        <w:t>Commissioner’s foreword</w:t>
      </w:r>
    </w:p>
    <w:p w14:paraId="69202687" w14:textId="77777777" w:rsidR="00EF5B27" w:rsidRDefault="00EF5B27">
      <w:pPr>
        <w:pStyle w:val="BodyText"/>
        <w:rPr>
          <w:b/>
        </w:rPr>
      </w:pPr>
    </w:p>
    <w:p w14:paraId="11730760" w14:textId="77777777" w:rsidR="00EF5B27" w:rsidRDefault="00EF5B27">
      <w:pPr>
        <w:pStyle w:val="BodyText"/>
        <w:rPr>
          <w:b/>
        </w:rPr>
      </w:pPr>
    </w:p>
    <w:p w14:paraId="04EEAACC" w14:textId="77777777" w:rsidR="00EF5B27" w:rsidRDefault="00EF5B27">
      <w:pPr>
        <w:pStyle w:val="BodyText"/>
        <w:spacing w:before="5"/>
        <w:rPr>
          <w:b/>
          <w:sz w:val="28"/>
        </w:rPr>
      </w:pPr>
    </w:p>
    <w:p w14:paraId="531AFB12" w14:textId="77777777" w:rsidR="00EF5B27" w:rsidRDefault="00000000">
      <w:pPr>
        <w:pStyle w:val="Heading6"/>
        <w:spacing w:before="111" w:line="254" w:lineRule="auto"/>
      </w:pPr>
      <w:r>
        <w:rPr>
          <w:noProof/>
        </w:rPr>
        <w:drawing>
          <wp:anchor distT="0" distB="0" distL="0" distR="0" simplePos="0" relativeHeight="251313664" behindDoc="0" locked="0" layoutInCell="1" allowOverlap="1" wp14:anchorId="2406A498" wp14:editId="2DE522ED">
            <wp:simplePos x="0" y="0"/>
            <wp:positionH relativeFrom="page">
              <wp:posOffset>720001</wp:posOffset>
            </wp:positionH>
            <wp:positionV relativeFrom="paragraph">
              <wp:posOffset>92489</wp:posOffset>
            </wp:positionV>
            <wp:extent cx="1203845" cy="1529740"/>
            <wp:effectExtent l="0" t="0" r="0" b="0"/>
            <wp:wrapNone/>
            <wp:docPr id="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9.jpeg"/>
                    <pic:cNvPicPr/>
                  </pic:nvPicPr>
                  <pic:blipFill>
                    <a:blip r:embed="rId34" cstate="print"/>
                    <a:stretch>
                      <a:fillRect/>
                    </a:stretch>
                  </pic:blipFill>
                  <pic:spPr>
                    <a:xfrm>
                      <a:off x="0" y="0"/>
                      <a:ext cx="1203845" cy="1529740"/>
                    </a:xfrm>
                    <a:prstGeom prst="rect">
                      <a:avLst/>
                    </a:prstGeom>
                  </pic:spPr>
                </pic:pic>
              </a:graphicData>
            </a:graphic>
          </wp:anchor>
        </w:drawing>
      </w:r>
      <w:r>
        <w:rPr>
          <w:color w:val="4D4D4F"/>
        </w:rPr>
        <w:t xml:space="preserve">I am </w:t>
      </w:r>
      <w:r>
        <w:rPr>
          <w:color w:val="4D4D4F"/>
          <w:spacing w:val="-4"/>
        </w:rPr>
        <w:t xml:space="preserve">pleased </w:t>
      </w:r>
      <w:r>
        <w:rPr>
          <w:color w:val="4D4D4F"/>
          <w:spacing w:val="-3"/>
        </w:rPr>
        <w:t xml:space="preserve">to </w:t>
      </w:r>
      <w:r>
        <w:rPr>
          <w:color w:val="4D4D4F"/>
          <w:spacing w:val="-4"/>
        </w:rPr>
        <w:t xml:space="preserve">present </w:t>
      </w:r>
      <w:r>
        <w:rPr>
          <w:color w:val="4D4D4F"/>
          <w:spacing w:val="-5"/>
        </w:rPr>
        <w:t xml:space="preserve">this Strategic </w:t>
      </w:r>
      <w:r>
        <w:rPr>
          <w:color w:val="4D4D4F"/>
          <w:spacing w:val="-4"/>
        </w:rPr>
        <w:t xml:space="preserve">Audit </w:t>
      </w:r>
      <w:r>
        <w:rPr>
          <w:color w:val="4D4D4F"/>
        </w:rPr>
        <w:t xml:space="preserve">of </w:t>
      </w:r>
      <w:r>
        <w:rPr>
          <w:color w:val="4D4D4F"/>
          <w:spacing w:val="-3"/>
        </w:rPr>
        <w:t xml:space="preserve">the </w:t>
      </w:r>
      <w:r>
        <w:rPr>
          <w:color w:val="4D4D4F"/>
          <w:spacing w:val="-5"/>
        </w:rPr>
        <w:t xml:space="preserve">Implementation </w:t>
      </w:r>
      <w:r>
        <w:rPr>
          <w:color w:val="4D4D4F"/>
        </w:rPr>
        <w:t xml:space="preserve">of </w:t>
      </w:r>
      <w:r>
        <w:rPr>
          <w:color w:val="4D4D4F"/>
          <w:spacing w:val="-4"/>
        </w:rPr>
        <w:t xml:space="preserve">Melbourne </w:t>
      </w:r>
      <w:r>
        <w:rPr>
          <w:color w:val="4D4D4F"/>
          <w:spacing w:val="-5"/>
        </w:rPr>
        <w:t xml:space="preserve">Strategic </w:t>
      </w:r>
      <w:r>
        <w:rPr>
          <w:color w:val="4D4D4F"/>
        </w:rPr>
        <w:t>Assessment (MSA) Conservation Outcomes Report, which comes at a critical stage in the evolution of the MSA program.</w:t>
      </w:r>
    </w:p>
    <w:p w14:paraId="4D1ECCC3" w14:textId="77777777" w:rsidR="00EF5B27" w:rsidRDefault="00EF5B27">
      <w:pPr>
        <w:pStyle w:val="BodyText"/>
        <w:spacing w:before="9"/>
        <w:rPr>
          <w:b/>
          <w:sz w:val="12"/>
        </w:rPr>
      </w:pPr>
    </w:p>
    <w:p w14:paraId="31A22BE8" w14:textId="77777777" w:rsidR="00EF5B27" w:rsidRDefault="00EF5B27">
      <w:pPr>
        <w:rPr>
          <w:sz w:val="12"/>
        </w:rPr>
        <w:sectPr w:rsidR="00EF5B27">
          <w:footerReference w:type="default" r:id="rId35"/>
          <w:pgSz w:w="11910" w:h="16840"/>
          <w:pgMar w:top="1080" w:right="1020" w:bottom="860" w:left="1020" w:header="530" w:footer="678" w:gutter="0"/>
          <w:cols w:space="720"/>
        </w:sectPr>
      </w:pPr>
    </w:p>
    <w:p w14:paraId="357B3FAB" w14:textId="77777777" w:rsidR="00EF5B27" w:rsidRDefault="00000000">
      <w:pPr>
        <w:spacing w:before="103" w:line="256" w:lineRule="auto"/>
        <w:ind w:left="2608" w:right="25"/>
        <w:rPr>
          <w:sz w:val="20"/>
        </w:rPr>
      </w:pPr>
      <w:r>
        <w:rPr>
          <w:rFonts w:ascii="Arial Narrow" w:hAnsi="Arial Narrow"/>
          <w:i/>
          <w:color w:val="4D4D4F"/>
          <w:spacing w:val="-6"/>
          <w:w w:val="105"/>
          <w:sz w:val="20"/>
        </w:rPr>
        <w:t xml:space="preserve">Delivering Melbourne’s </w:t>
      </w:r>
      <w:r>
        <w:rPr>
          <w:rFonts w:ascii="Arial Narrow" w:hAnsi="Arial Narrow"/>
          <w:i/>
          <w:color w:val="4D4D4F"/>
          <w:spacing w:val="-5"/>
          <w:w w:val="105"/>
          <w:sz w:val="20"/>
        </w:rPr>
        <w:t xml:space="preserve">Newest </w:t>
      </w:r>
      <w:r>
        <w:rPr>
          <w:rFonts w:ascii="Arial Narrow" w:hAnsi="Arial Narrow"/>
          <w:i/>
          <w:color w:val="4D4D4F"/>
          <w:spacing w:val="-6"/>
          <w:w w:val="105"/>
          <w:sz w:val="20"/>
        </w:rPr>
        <w:t xml:space="preserve">Sustainable Communities </w:t>
      </w:r>
      <w:r>
        <w:rPr>
          <w:color w:val="4D4D4F"/>
          <w:spacing w:val="-4"/>
          <w:w w:val="105"/>
          <w:sz w:val="20"/>
        </w:rPr>
        <w:t xml:space="preserve">is </w:t>
      </w:r>
      <w:r>
        <w:rPr>
          <w:color w:val="4D4D4F"/>
          <w:spacing w:val="-3"/>
          <w:w w:val="105"/>
          <w:sz w:val="20"/>
        </w:rPr>
        <w:t xml:space="preserve">the </w:t>
      </w:r>
      <w:r>
        <w:rPr>
          <w:color w:val="4D4D4F"/>
          <w:spacing w:val="-4"/>
          <w:w w:val="105"/>
          <w:sz w:val="20"/>
        </w:rPr>
        <w:t xml:space="preserve">Victorian </w:t>
      </w:r>
      <w:r>
        <w:rPr>
          <w:color w:val="4D4D4F"/>
          <w:spacing w:val="-5"/>
          <w:w w:val="105"/>
          <w:sz w:val="20"/>
        </w:rPr>
        <w:t xml:space="preserve">Government’s </w:t>
      </w:r>
      <w:r>
        <w:rPr>
          <w:color w:val="4D4D4F"/>
          <w:w w:val="105"/>
          <w:sz w:val="20"/>
        </w:rPr>
        <w:t>plan</w:t>
      </w:r>
      <w:r>
        <w:rPr>
          <w:color w:val="4D4D4F"/>
          <w:spacing w:val="-18"/>
          <w:w w:val="105"/>
          <w:sz w:val="20"/>
        </w:rPr>
        <w:t xml:space="preserve"> </w:t>
      </w:r>
      <w:r>
        <w:rPr>
          <w:color w:val="4D4D4F"/>
          <w:w w:val="105"/>
          <w:sz w:val="20"/>
        </w:rPr>
        <w:t>for</w:t>
      </w:r>
      <w:r>
        <w:rPr>
          <w:color w:val="4D4D4F"/>
          <w:spacing w:val="-18"/>
          <w:w w:val="105"/>
          <w:sz w:val="20"/>
        </w:rPr>
        <w:t xml:space="preserve"> </w:t>
      </w:r>
      <w:r>
        <w:rPr>
          <w:color w:val="4D4D4F"/>
          <w:w w:val="105"/>
          <w:sz w:val="20"/>
        </w:rPr>
        <w:t>four</w:t>
      </w:r>
      <w:r>
        <w:rPr>
          <w:color w:val="4D4D4F"/>
          <w:spacing w:val="-19"/>
          <w:w w:val="105"/>
          <w:sz w:val="20"/>
        </w:rPr>
        <w:t xml:space="preserve"> </w:t>
      </w:r>
      <w:r>
        <w:rPr>
          <w:color w:val="4D4D4F"/>
          <w:w w:val="105"/>
          <w:sz w:val="20"/>
        </w:rPr>
        <w:t>growth</w:t>
      </w:r>
      <w:r>
        <w:rPr>
          <w:color w:val="4D4D4F"/>
          <w:spacing w:val="-18"/>
          <w:w w:val="105"/>
          <w:sz w:val="20"/>
        </w:rPr>
        <w:t xml:space="preserve"> </w:t>
      </w:r>
      <w:r>
        <w:rPr>
          <w:color w:val="4D4D4F"/>
          <w:w w:val="105"/>
          <w:sz w:val="20"/>
        </w:rPr>
        <w:t>areas</w:t>
      </w:r>
      <w:r>
        <w:rPr>
          <w:color w:val="4D4D4F"/>
          <w:spacing w:val="-18"/>
          <w:w w:val="105"/>
          <w:sz w:val="20"/>
        </w:rPr>
        <w:t xml:space="preserve"> </w:t>
      </w:r>
      <w:r>
        <w:rPr>
          <w:color w:val="4D4D4F"/>
          <w:w w:val="105"/>
          <w:sz w:val="20"/>
        </w:rPr>
        <w:t>of</w:t>
      </w:r>
      <w:r>
        <w:rPr>
          <w:color w:val="4D4D4F"/>
          <w:spacing w:val="-18"/>
          <w:w w:val="105"/>
          <w:sz w:val="20"/>
        </w:rPr>
        <w:t xml:space="preserve"> </w:t>
      </w:r>
      <w:r>
        <w:rPr>
          <w:color w:val="4D4D4F"/>
          <w:w w:val="105"/>
          <w:sz w:val="20"/>
        </w:rPr>
        <w:t xml:space="preserve">Melbourne covering approximately 60,000 </w:t>
      </w:r>
      <w:r>
        <w:rPr>
          <w:color w:val="4D4D4F"/>
          <w:spacing w:val="-4"/>
          <w:w w:val="105"/>
          <w:sz w:val="20"/>
        </w:rPr>
        <w:t>ha.</w:t>
      </w:r>
      <w:r>
        <w:rPr>
          <w:color w:val="4D4D4F"/>
          <w:spacing w:val="-4"/>
          <w:w w:val="105"/>
          <w:position w:val="7"/>
          <w:sz w:val="11"/>
        </w:rPr>
        <w:t xml:space="preserve">1 </w:t>
      </w:r>
      <w:r>
        <w:rPr>
          <w:color w:val="4D4D4F"/>
          <w:w w:val="105"/>
          <w:sz w:val="20"/>
        </w:rPr>
        <w:t xml:space="preserve">The </w:t>
      </w:r>
      <w:r>
        <w:rPr>
          <w:color w:val="4D4D4F"/>
          <w:spacing w:val="-4"/>
          <w:sz w:val="20"/>
        </w:rPr>
        <w:t xml:space="preserve">growth </w:t>
      </w:r>
      <w:r>
        <w:rPr>
          <w:color w:val="4D4D4F"/>
          <w:spacing w:val="-5"/>
          <w:sz w:val="20"/>
        </w:rPr>
        <w:t xml:space="preserve">areas </w:t>
      </w:r>
      <w:r>
        <w:rPr>
          <w:color w:val="4D4D4F"/>
          <w:spacing w:val="-4"/>
          <w:sz w:val="20"/>
        </w:rPr>
        <w:t xml:space="preserve">are </w:t>
      </w:r>
      <w:r>
        <w:rPr>
          <w:color w:val="4D4D4F"/>
          <w:spacing w:val="-6"/>
          <w:sz w:val="20"/>
        </w:rPr>
        <w:t xml:space="preserve">designed </w:t>
      </w:r>
      <w:r>
        <w:rPr>
          <w:color w:val="4D4D4F"/>
          <w:spacing w:val="-4"/>
          <w:sz w:val="20"/>
        </w:rPr>
        <w:t xml:space="preserve">to </w:t>
      </w:r>
      <w:r>
        <w:rPr>
          <w:color w:val="4D4D4F"/>
          <w:spacing w:val="-6"/>
          <w:sz w:val="20"/>
        </w:rPr>
        <w:t xml:space="preserve">accommodate </w:t>
      </w:r>
      <w:r>
        <w:rPr>
          <w:color w:val="4D4D4F"/>
          <w:w w:val="105"/>
          <w:sz w:val="20"/>
        </w:rPr>
        <w:t>Melbourne’s future population growth and urban</w:t>
      </w:r>
      <w:r>
        <w:rPr>
          <w:color w:val="4D4D4F"/>
          <w:spacing w:val="-1"/>
          <w:w w:val="105"/>
          <w:sz w:val="20"/>
        </w:rPr>
        <w:t xml:space="preserve"> </w:t>
      </w:r>
      <w:r>
        <w:rPr>
          <w:color w:val="4D4D4F"/>
          <w:w w:val="105"/>
          <w:sz w:val="20"/>
        </w:rPr>
        <w:t>expansion.</w:t>
      </w:r>
    </w:p>
    <w:p w14:paraId="54465B89" w14:textId="77777777" w:rsidR="00EF5B27" w:rsidRDefault="00000000">
      <w:pPr>
        <w:pStyle w:val="BodyText"/>
        <w:spacing w:before="118" w:line="254" w:lineRule="auto"/>
        <w:ind w:left="2608" w:right="411"/>
      </w:pPr>
      <w:r>
        <w:rPr>
          <w:color w:val="4D4D4F"/>
        </w:rPr>
        <w:t>The MSA program was  established in 2008 in the interest of</w:t>
      </w:r>
      <w:r>
        <w:rPr>
          <w:color w:val="4D4D4F"/>
          <w:spacing w:val="19"/>
        </w:rPr>
        <w:t xml:space="preserve"> </w:t>
      </w:r>
      <w:r>
        <w:rPr>
          <w:color w:val="4D4D4F"/>
        </w:rPr>
        <w:t>Ecologically</w:t>
      </w:r>
    </w:p>
    <w:p w14:paraId="2A327D7F" w14:textId="77777777" w:rsidR="00EF5B27" w:rsidRDefault="00000000">
      <w:pPr>
        <w:pStyle w:val="BodyText"/>
        <w:spacing w:before="2" w:line="254" w:lineRule="auto"/>
        <w:ind w:left="2608" w:right="148"/>
      </w:pPr>
      <w:r>
        <w:rPr>
          <w:color w:val="4D4D4F"/>
        </w:rPr>
        <w:t>Sustainable Development (ESD). It is an intrinsic part of the Government’s plan for urban development in growth areas to consider the care and protection of biodiversity, consistent with Victorian and Australian environmental laws protecting Matters of National Environmental Significance (MNES). The MSA Act 2020 requires that a biennial strategic audit of the implementation of the Melbourne Strategic Assessment Conservation Outcomes be completed by the Victorian Commissioner for Environmental Sustainability.</w:t>
      </w:r>
    </w:p>
    <w:p w14:paraId="6E054C19" w14:textId="77777777" w:rsidR="00EF5B27" w:rsidRDefault="00000000">
      <w:pPr>
        <w:pStyle w:val="BodyText"/>
        <w:spacing w:before="131" w:line="254" w:lineRule="auto"/>
        <w:ind w:left="2608" w:right="70"/>
      </w:pPr>
      <w:r>
        <w:rPr>
          <w:color w:val="4D4D4F"/>
        </w:rPr>
        <w:t xml:space="preserve">Under the MSA program, conservation areas were identified for protection of MNES, including two large reserves containing some of the last remaining critically endangered grassland habitats on Melbourne's outskirts. These areas are intended to provide habitat for </w:t>
      </w:r>
      <w:r>
        <w:rPr>
          <w:color w:val="4D4D4F"/>
          <w:spacing w:val="-6"/>
        </w:rPr>
        <w:t xml:space="preserve">threatened species </w:t>
      </w:r>
      <w:r>
        <w:rPr>
          <w:color w:val="4D4D4F"/>
          <w:spacing w:val="-5"/>
        </w:rPr>
        <w:t>and protect</w:t>
      </w:r>
      <w:r>
        <w:rPr>
          <w:color w:val="4D4D4F"/>
          <w:spacing w:val="7"/>
        </w:rPr>
        <w:t xml:space="preserve"> </w:t>
      </w:r>
      <w:r>
        <w:rPr>
          <w:color w:val="4D4D4F"/>
          <w:spacing w:val="-6"/>
        </w:rPr>
        <w:t>endangered</w:t>
      </w:r>
    </w:p>
    <w:p w14:paraId="5C45488D" w14:textId="77777777" w:rsidR="00EF5B27" w:rsidRDefault="00000000">
      <w:pPr>
        <w:pStyle w:val="BodyText"/>
        <w:spacing w:before="100" w:line="254" w:lineRule="auto"/>
        <w:ind w:left="113" w:right="84"/>
      </w:pPr>
      <w:r>
        <w:br w:type="column"/>
      </w:r>
      <w:r>
        <w:rPr>
          <w:color w:val="4D4D4F"/>
        </w:rPr>
        <w:t>ecosystems impacted by development in surrounding growth areas.</w:t>
      </w:r>
    </w:p>
    <w:p w14:paraId="68FD3198" w14:textId="77777777" w:rsidR="00EF5B27" w:rsidRDefault="00000000">
      <w:pPr>
        <w:pStyle w:val="BodyText"/>
        <w:spacing w:before="116" w:line="254" w:lineRule="auto"/>
        <w:ind w:left="113" w:right="128"/>
      </w:pPr>
      <w:r>
        <w:rPr>
          <w:color w:val="4D4D4F"/>
        </w:rPr>
        <w:t xml:space="preserve">This inaugural strategic audit under the MSA Act 2020 assesses the conservation outcomes for </w:t>
      </w:r>
      <w:r>
        <w:rPr>
          <w:color w:val="4D4D4F"/>
          <w:spacing w:val="-6"/>
        </w:rPr>
        <w:t xml:space="preserve">12 </w:t>
      </w:r>
      <w:r>
        <w:rPr>
          <w:color w:val="4D4D4F"/>
        </w:rPr>
        <w:t xml:space="preserve">MNES including three ecological </w:t>
      </w:r>
      <w:r>
        <w:rPr>
          <w:color w:val="4D4D4F"/>
          <w:spacing w:val="-3"/>
        </w:rPr>
        <w:t xml:space="preserve">communities, </w:t>
      </w:r>
      <w:r>
        <w:rPr>
          <w:color w:val="4D4D4F"/>
        </w:rPr>
        <w:t xml:space="preserve">five </w:t>
      </w:r>
      <w:r>
        <w:rPr>
          <w:color w:val="4D4D4F"/>
          <w:spacing w:val="-3"/>
        </w:rPr>
        <w:t xml:space="preserve">plant species </w:t>
      </w:r>
      <w:r>
        <w:rPr>
          <w:color w:val="4D4D4F"/>
        </w:rPr>
        <w:t xml:space="preserve">and four animal species. It provides a scientific baseline – status, trend and data confidence </w:t>
      </w:r>
      <w:r>
        <w:rPr>
          <w:color w:val="4D4D4F"/>
          <w:spacing w:val="-3"/>
        </w:rPr>
        <w:t xml:space="preserve">assessments </w:t>
      </w:r>
      <w:r>
        <w:rPr>
          <w:color w:val="4D4D4F"/>
        </w:rPr>
        <w:t xml:space="preserve">– </w:t>
      </w:r>
      <w:r>
        <w:rPr>
          <w:color w:val="4D4D4F"/>
          <w:spacing w:val="-2"/>
        </w:rPr>
        <w:t xml:space="preserve">for </w:t>
      </w:r>
      <w:r>
        <w:rPr>
          <w:color w:val="4D4D4F"/>
        </w:rPr>
        <w:t xml:space="preserve">future, </w:t>
      </w:r>
      <w:r>
        <w:rPr>
          <w:color w:val="4D4D4F"/>
          <w:spacing w:val="-4"/>
        </w:rPr>
        <w:t xml:space="preserve">biennial </w:t>
      </w:r>
      <w:r>
        <w:rPr>
          <w:color w:val="4D4D4F"/>
        </w:rPr>
        <w:t>reporting by the</w:t>
      </w:r>
      <w:r>
        <w:rPr>
          <w:color w:val="4D4D4F"/>
          <w:spacing w:val="9"/>
        </w:rPr>
        <w:t xml:space="preserve"> </w:t>
      </w:r>
      <w:r>
        <w:rPr>
          <w:color w:val="4D4D4F"/>
          <w:spacing w:val="-4"/>
        </w:rPr>
        <w:t>Commissioner.</w:t>
      </w:r>
    </w:p>
    <w:p w14:paraId="54649565" w14:textId="77777777" w:rsidR="00EF5B27" w:rsidRDefault="00000000">
      <w:pPr>
        <w:pStyle w:val="BodyText"/>
        <w:spacing w:before="123" w:line="254" w:lineRule="auto"/>
        <w:ind w:left="113" w:right="203"/>
      </w:pPr>
      <w:r>
        <w:rPr>
          <w:color w:val="4D4D4F"/>
        </w:rPr>
        <w:t xml:space="preserve">The science presented applies the existing MSA monitoring and reporting framework of the Victorian Department </w:t>
      </w:r>
      <w:r>
        <w:rPr>
          <w:color w:val="4D4D4F"/>
          <w:spacing w:val="-3"/>
        </w:rPr>
        <w:t xml:space="preserve">of </w:t>
      </w:r>
      <w:r>
        <w:rPr>
          <w:color w:val="4D4D4F"/>
          <w:spacing w:val="-5"/>
        </w:rPr>
        <w:t xml:space="preserve">Environment, </w:t>
      </w:r>
      <w:r>
        <w:rPr>
          <w:color w:val="4D4D4F"/>
          <w:spacing w:val="-3"/>
        </w:rPr>
        <w:t xml:space="preserve">Land, </w:t>
      </w:r>
      <w:r>
        <w:rPr>
          <w:color w:val="4D4D4F"/>
          <w:spacing w:val="-5"/>
        </w:rPr>
        <w:t xml:space="preserve">Water </w:t>
      </w:r>
      <w:r>
        <w:rPr>
          <w:color w:val="4D4D4F"/>
          <w:spacing w:val="-3"/>
        </w:rPr>
        <w:t xml:space="preserve">and </w:t>
      </w:r>
      <w:r>
        <w:rPr>
          <w:color w:val="4D4D4F"/>
          <w:spacing w:val="-5"/>
        </w:rPr>
        <w:t xml:space="preserve">Planning </w:t>
      </w:r>
      <w:r>
        <w:rPr>
          <w:color w:val="4D4D4F"/>
          <w:spacing w:val="-3"/>
        </w:rPr>
        <w:t xml:space="preserve">(DELWP), </w:t>
      </w:r>
      <w:r>
        <w:rPr>
          <w:color w:val="4D4D4F"/>
        </w:rPr>
        <w:t xml:space="preserve">to  assess  the  ecological status and trend of the </w:t>
      </w:r>
      <w:r>
        <w:rPr>
          <w:color w:val="4D4D4F"/>
          <w:spacing w:val="-6"/>
        </w:rPr>
        <w:t xml:space="preserve">12 </w:t>
      </w:r>
      <w:r>
        <w:rPr>
          <w:color w:val="4D4D4F"/>
        </w:rPr>
        <w:t>MNES against objectives defined formally in the</w:t>
      </w:r>
      <w:r>
        <w:rPr>
          <w:color w:val="4D4D4F"/>
          <w:spacing w:val="-19"/>
        </w:rPr>
        <w:t xml:space="preserve"> </w:t>
      </w:r>
      <w:r>
        <w:rPr>
          <w:color w:val="4D4D4F"/>
        </w:rPr>
        <w:t>Notice</w:t>
      </w:r>
    </w:p>
    <w:p w14:paraId="31C4233A" w14:textId="77777777" w:rsidR="00EF5B27" w:rsidRDefault="00000000">
      <w:pPr>
        <w:pStyle w:val="BodyText"/>
        <w:spacing w:before="9" w:line="254" w:lineRule="auto"/>
        <w:ind w:left="113" w:right="84"/>
        <w:rPr>
          <w:sz w:val="11"/>
        </w:rPr>
      </w:pPr>
      <w:r>
        <w:rPr>
          <w:color w:val="4D4D4F"/>
        </w:rPr>
        <w:t>of the Conservation Outcomes published in the Victorian Government Gazette on 27 January 2022.</w:t>
      </w:r>
      <w:r>
        <w:rPr>
          <w:color w:val="4D4D4F"/>
          <w:position w:val="7"/>
          <w:sz w:val="11"/>
        </w:rPr>
        <w:t>2</w:t>
      </w:r>
    </w:p>
    <w:p w14:paraId="4C883240" w14:textId="77777777" w:rsidR="00EF5B27" w:rsidRDefault="00000000">
      <w:pPr>
        <w:pStyle w:val="BodyText"/>
        <w:spacing w:before="117"/>
        <w:ind w:left="113"/>
      </w:pPr>
      <w:r>
        <w:rPr>
          <w:color w:val="4D4D4F"/>
        </w:rPr>
        <w:t>Specifically, this strategic audit aims to:</w:t>
      </w:r>
    </w:p>
    <w:p w14:paraId="1FFC9459" w14:textId="77777777" w:rsidR="00EF5B27" w:rsidRDefault="00000000">
      <w:pPr>
        <w:pStyle w:val="ListParagraph"/>
        <w:numPr>
          <w:ilvl w:val="0"/>
          <w:numId w:val="66"/>
        </w:numPr>
        <w:tabs>
          <w:tab w:val="left" w:pos="284"/>
        </w:tabs>
        <w:spacing w:before="129" w:line="254" w:lineRule="auto"/>
        <w:ind w:right="389"/>
        <w:rPr>
          <w:sz w:val="20"/>
        </w:rPr>
      </w:pPr>
      <w:r>
        <w:rPr>
          <w:color w:val="4D4D4F"/>
          <w:sz w:val="20"/>
        </w:rPr>
        <w:t>assess the extent to which conservation outcomes are being achieved through the MSA</w:t>
      </w:r>
      <w:r>
        <w:rPr>
          <w:color w:val="4D4D4F"/>
          <w:spacing w:val="29"/>
          <w:sz w:val="20"/>
        </w:rPr>
        <w:t xml:space="preserve"> </w:t>
      </w:r>
      <w:r>
        <w:rPr>
          <w:color w:val="4D4D4F"/>
          <w:sz w:val="20"/>
        </w:rPr>
        <w:t>program</w:t>
      </w:r>
    </w:p>
    <w:p w14:paraId="37D3DEAB" w14:textId="77777777" w:rsidR="00EF5B27" w:rsidRDefault="00000000">
      <w:pPr>
        <w:pStyle w:val="ListParagraph"/>
        <w:numPr>
          <w:ilvl w:val="0"/>
          <w:numId w:val="66"/>
        </w:numPr>
        <w:tabs>
          <w:tab w:val="left" w:pos="284"/>
        </w:tabs>
        <w:spacing w:before="117" w:line="254" w:lineRule="auto"/>
        <w:ind w:right="379"/>
        <w:rPr>
          <w:sz w:val="20"/>
        </w:rPr>
      </w:pPr>
      <w:r>
        <w:rPr>
          <w:color w:val="4D4D4F"/>
          <w:sz w:val="20"/>
        </w:rPr>
        <w:t>evaluate whether the  processes and activities established to achieve outcomes are</w:t>
      </w:r>
      <w:r>
        <w:rPr>
          <w:color w:val="4D4D4F"/>
          <w:spacing w:val="7"/>
          <w:sz w:val="20"/>
        </w:rPr>
        <w:t xml:space="preserve"> </w:t>
      </w:r>
      <w:r>
        <w:rPr>
          <w:color w:val="4D4D4F"/>
          <w:sz w:val="20"/>
        </w:rPr>
        <w:t>adequate</w:t>
      </w:r>
    </w:p>
    <w:p w14:paraId="561212C6" w14:textId="77777777" w:rsidR="00EF5B27" w:rsidRDefault="00000000">
      <w:pPr>
        <w:pStyle w:val="ListParagraph"/>
        <w:numPr>
          <w:ilvl w:val="0"/>
          <w:numId w:val="66"/>
        </w:numPr>
        <w:tabs>
          <w:tab w:val="left" w:pos="284"/>
        </w:tabs>
        <w:spacing w:before="117" w:line="254" w:lineRule="auto"/>
        <w:ind w:right="569"/>
        <w:rPr>
          <w:sz w:val="20"/>
        </w:rPr>
      </w:pPr>
      <w:r>
        <w:rPr>
          <w:color w:val="4D4D4F"/>
          <w:sz w:val="20"/>
        </w:rPr>
        <w:t>inform adaptive management and improvements.</w:t>
      </w:r>
    </w:p>
    <w:p w14:paraId="0E6708CE" w14:textId="77777777" w:rsidR="00EF5B27" w:rsidRDefault="00EF5B27">
      <w:pPr>
        <w:spacing w:line="254" w:lineRule="auto"/>
        <w:rPr>
          <w:sz w:val="20"/>
        </w:rPr>
        <w:sectPr w:rsidR="00EF5B27">
          <w:type w:val="continuous"/>
          <w:pgSz w:w="11910" w:h="16840"/>
          <w:pgMar w:top="1140" w:right="1020" w:bottom="280" w:left="1020" w:header="720" w:footer="720" w:gutter="0"/>
          <w:cols w:num="2" w:space="720" w:equalWidth="0">
            <w:col w:w="6051" w:space="185"/>
            <w:col w:w="3634"/>
          </w:cols>
        </w:sectPr>
      </w:pPr>
    </w:p>
    <w:p w14:paraId="21C97645" w14:textId="77777777" w:rsidR="00EF5B27" w:rsidRDefault="00000000">
      <w:pPr>
        <w:pStyle w:val="BodyText"/>
      </w:pPr>
      <w:r>
        <w:pict w14:anchorId="4A79B16B">
          <v:group id="_x0000_s4677" style="position:absolute;margin-left:587.05pt;margin-top:183.4pt;width:8.25pt;height:153.1pt;z-index:251312640;mso-position-horizontal-relative:page;mso-position-vertical-relative:page" coordorigin="11741,3668" coordsize="165,3062">
            <v:shape id="_x0000_s4684" style="position:absolute;left:11741;top:3668;width:165;height:561" coordorigin="11741,3668" coordsize="165,561" path="m11906,3668r-165,l11741,4228r165,-18l11906,3668xe" fillcolor="#00aed9" stroked="f">
              <v:path arrowok="t"/>
            </v:shape>
            <v:shape id="_x0000_s4683" style="position:absolute;left:11741;top:4118;width:165;height:425" coordorigin="11741,4118" coordsize="165,425" path="m11906,4118r-165,14l11741,4531r165,12l11906,4118xe" fillcolor="#047ebc" stroked="f">
              <v:path arrowok="t"/>
            </v:shape>
            <v:shape id="_x0000_s4682" type="#_x0000_t75" style="position:absolute;left:11741;top:4355;width:165;height:587">
              <v:imagedata r:id="rId30" o:title=""/>
            </v:shape>
            <v:shape id="_x0000_s4681" style="position:absolute;left:11741;top:5343;width:165;height:536" coordorigin="11741,5343" coordsize="165,536" path="m11741,5343r,535l11906,5872r,-525l11741,5343xe" fillcolor="#f36a2e" stroked="f">
              <v:path arrowok="t"/>
            </v:shape>
            <v:shape id="_x0000_s4680" style="position:absolute;left:11741;top:4925;width:165;height:501" coordorigin="11741,4926" coordsize="165,501" path="m11741,4926r,500l11906,5426r,-485l11741,4926xe" fillcolor="#49783f" stroked="f">
              <v:path arrowok="t"/>
            </v:shape>
            <v:shape id="_x0000_s4679" style="position:absolute;left:11741;top:5781;width:165;height:268" coordorigin="11741,5782" coordsize="165,268" path="m11906,5782r-165,8l11741,6039r165,10l11906,5782xe" fillcolor="#f99f2a" stroked="f">
              <v:path arrowok="t"/>
            </v:shape>
            <v:shape id="_x0000_s4678" style="position:absolute;left:11741;top:6023;width:165;height:707" coordorigin="11741,6023" coordsize="165,707" path="m11741,6023r,706l11906,6729r,-690l11741,6023xe" fillcolor="#ef412c" stroked="f">
              <v:path arrowok="t"/>
            </v:shape>
            <w10:wrap anchorx="page" anchory="page"/>
          </v:group>
        </w:pict>
      </w:r>
    </w:p>
    <w:p w14:paraId="48CAE7B8" w14:textId="77777777" w:rsidR="00EF5B27" w:rsidRDefault="00EF5B27">
      <w:pPr>
        <w:pStyle w:val="BodyText"/>
      </w:pPr>
    </w:p>
    <w:p w14:paraId="2B284F98" w14:textId="77777777" w:rsidR="00EF5B27" w:rsidRDefault="00EF5B27">
      <w:pPr>
        <w:pStyle w:val="BodyText"/>
      </w:pPr>
    </w:p>
    <w:p w14:paraId="44823437" w14:textId="77777777" w:rsidR="00EF5B27" w:rsidRDefault="00EF5B27">
      <w:pPr>
        <w:pStyle w:val="BodyText"/>
      </w:pPr>
    </w:p>
    <w:p w14:paraId="5219EC15" w14:textId="77777777" w:rsidR="00EF5B27" w:rsidRDefault="00EF5B27">
      <w:pPr>
        <w:pStyle w:val="BodyText"/>
      </w:pPr>
    </w:p>
    <w:p w14:paraId="4782D41F" w14:textId="77777777" w:rsidR="00EF5B27" w:rsidRDefault="00EF5B27">
      <w:pPr>
        <w:pStyle w:val="BodyText"/>
        <w:spacing w:before="4"/>
        <w:rPr>
          <w:sz w:val="11"/>
        </w:rPr>
      </w:pPr>
    </w:p>
    <w:p w14:paraId="011071B9" w14:textId="77777777" w:rsidR="00EF5B27" w:rsidRDefault="00000000">
      <w:pPr>
        <w:pStyle w:val="BodyText"/>
        <w:spacing w:line="20" w:lineRule="exact"/>
        <w:ind w:left="2603"/>
        <w:rPr>
          <w:sz w:val="2"/>
        </w:rPr>
      </w:pPr>
      <w:r>
        <w:rPr>
          <w:sz w:val="2"/>
        </w:rPr>
      </w:r>
      <w:r>
        <w:rPr>
          <w:sz w:val="2"/>
        </w:rPr>
        <w:pict w14:anchorId="1E542BD3">
          <v:group id="_x0000_s4675" style="width:357.2pt;height:.5pt;mso-position-horizontal-relative:char;mso-position-vertical-relative:line" coordsize="7144,10">
            <v:line id="_x0000_s4676" style="position:absolute" from="0,5" to="7143,5" strokecolor="#4d4d4f" strokeweight=".5pt"/>
            <w10:anchorlock/>
          </v:group>
        </w:pict>
      </w:r>
    </w:p>
    <w:p w14:paraId="6EE76C1E" w14:textId="77777777" w:rsidR="00EF5B27" w:rsidRDefault="00000000">
      <w:pPr>
        <w:pStyle w:val="ListParagraph"/>
        <w:numPr>
          <w:ilvl w:val="0"/>
          <w:numId w:val="65"/>
        </w:numPr>
        <w:tabs>
          <w:tab w:val="left" w:pos="2836"/>
        </w:tabs>
        <w:spacing w:before="107" w:line="230" w:lineRule="auto"/>
        <w:ind w:right="110"/>
        <w:jc w:val="both"/>
        <w:rPr>
          <w:sz w:val="12"/>
        </w:rPr>
      </w:pPr>
      <w:r>
        <w:rPr>
          <w:color w:val="4D4D4F"/>
          <w:sz w:val="12"/>
        </w:rPr>
        <w:t xml:space="preserve">Department of Environment and </w:t>
      </w:r>
      <w:r>
        <w:rPr>
          <w:color w:val="4D4D4F"/>
          <w:spacing w:val="2"/>
          <w:sz w:val="12"/>
        </w:rPr>
        <w:t xml:space="preserve">Primary </w:t>
      </w:r>
      <w:r>
        <w:rPr>
          <w:color w:val="4D4D4F"/>
          <w:sz w:val="12"/>
        </w:rPr>
        <w:t xml:space="preserve">Industries (DEPI) 2009, ‘Delivering Melbourne’s Newest Sustainable Communities:  </w:t>
      </w:r>
      <w:r>
        <w:rPr>
          <w:color w:val="4D4D4F"/>
          <w:spacing w:val="2"/>
          <w:sz w:val="12"/>
        </w:rPr>
        <w:t xml:space="preserve">Program </w:t>
      </w:r>
      <w:r>
        <w:rPr>
          <w:color w:val="4D4D4F"/>
          <w:sz w:val="12"/>
        </w:rPr>
        <w:t>Report’, East Melbourne,</w:t>
      </w:r>
      <w:r>
        <w:rPr>
          <w:color w:val="4D4D4F"/>
          <w:spacing w:val="6"/>
          <w:sz w:val="12"/>
        </w:rPr>
        <w:t xml:space="preserve"> </w:t>
      </w:r>
      <w:r>
        <w:rPr>
          <w:color w:val="4D4D4F"/>
          <w:sz w:val="12"/>
        </w:rPr>
        <w:t>Victoria.</w:t>
      </w:r>
    </w:p>
    <w:p w14:paraId="3F2BB7A8" w14:textId="77777777" w:rsidR="00EF5B27" w:rsidRDefault="00000000">
      <w:pPr>
        <w:pStyle w:val="ListParagraph"/>
        <w:numPr>
          <w:ilvl w:val="0"/>
          <w:numId w:val="65"/>
        </w:numPr>
        <w:tabs>
          <w:tab w:val="left" w:pos="2836"/>
        </w:tabs>
        <w:spacing w:line="230" w:lineRule="auto"/>
        <w:ind w:right="111"/>
        <w:jc w:val="both"/>
        <w:rPr>
          <w:sz w:val="12"/>
        </w:rPr>
      </w:pPr>
      <w:r>
        <w:rPr>
          <w:color w:val="4D4D4F"/>
          <w:sz w:val="12"/>
        </w:rPr>
        <w:t xml:space="preserve">State Government of Victoria </w:t>
      </w:r>
      <w:r>
        <w:rPr>
          <w:color w:val="4D4D4F"/>
          <w:spacing w:val="2"/>
          <w:sz w:val="12"/>
        </w:rPr>
        <w:t xml:space="preserve">2022, </w:t>
      </w:r>
      <w:r>
        <w:rPr>
          <w:color w:val="4D4D4F"/>
          <w:sz w:val="12"/>
        </w:rPr>
        <w:t xml:space="preserve">Victorian Government Gazette Issue </w:t>
      </w:r>
      <w:r>
        <w:rPr>
          <w:color w:val="4D4D4F"/>
          <w:spacing w:val="2"/>
          <w:sz w:val="12"/>
        </w:rPr>
        <w:t xml:space="preserve">G4, </w:t>
      </w:r>
      <w:r>
        <w:rPr>
          <w:color w:val="4D4D4F"/>
          <w:sz w:val="12"/>
        </w:rPr>
        <w:t xml:space="preserve">‘Melbourne Strategic Assessment (Environment Mitigation  Levy) </w:t>
      </w:r>
      <w:r>
        <w:rPr>
          <w:color w:val="4D4D4F"/>
          <w:spacing w:val="2"/>
          <w:sz w:val="12"/>
        </w:rPr>
        <w:t xml:space="preserve">Act 2020 </w:t>
      </w:r>
      <w:r>
        <w:rPr>
          <w:color w:val="4D4D4F"/>
          <w:sz w:val="12"/>
        </w:rPr>
        <w:t xml:space="preserve">– Notice of the </w:t>
      </w:r>
      <w:r>
        <w:rPr>
          <w:color w:val="4D4D4F"/>
          <w:spacing w:val="2"/>
          <w:sz w:val="12"/>
        </w:rPr>
        <w:t xml:space="preserve">Conservation </w:t>
      </w:r>
      <w:r>
        <w:rPr>
          <w:color w:val="4D4D4F"/>
          <w:sz w:val="12"/>
        </w:rPr>
        <w:t>Outcomes’</w:t>
      </w:r>
      <w:r>
        <w:rPr>
          <w:color w:val="F36A2E"/>
          <w:sz w:val="12"/>
        </w:rPr>
        <w:t xml:space="preserve"> </w:t>
      </w:r>
      <w:hyperlink r:id="rId36">
        <w:r>
          <w:rPr>
            <w:color w:val="F36A2E"/>
            <w:sz w:val="12"/>
            <w:u w:val="single" w:color="F36A2E"/>
          </w:rPr>
          <w:t>http://www.gazette.vic.gov.au/gazette/Gazettes2022/GG2022G004.pd</w:t>
        </w:r>
        <w:r>
          <w:rPr>
            <w:color w:val="F36A2E"/>
            <w:sz w:val="12"/>
          </w:rPr>
          <w:t xml:space="preserve">f </w:t>
        </w:r>
      </w:hyperlink>
      <w:r>
        <w:rPr>
          <w:color w:val="4D4D4F"/>
          <w:spacing w:val="2"/>
          <w:sz w:val="12"/>
        </w:rPr>
        <w:t xml:space="preserve">Accessed  </w:t>
      </w:r>
      <w:r>
        <w:rPr>
          <w:color w:val="4D4D4F"/>
          <w:sz w:val="12"/>
        </w:rPr>
        <w:t>27 January</w:t>
      </w:r>
      <w:r>
        <w:rPr>
          <w:color w:val="4D4D4F"/>
          <w:spacing w:val="4"/>
          <w:sz w:val="12"/>
        </w:rPr>
        <w:t xml:space="preserve"> </w:t>
      </w:r>
      <w:r>
        <w:rPr>
          <w:color w:val="4D4D4F"/>
          <w:spacing w:val="2"/>
          <w:sz w:val="12"/>
        </w:rPr>
        <w:t>2022.</w:t>
      </w:r>
    </w:p>
    <w:p w14:paraId="0B3177AF" w14:textId="77777777" w:rsidR="00EF5B27" w:rsidRDefault="00EF5B27">
      <w:pPr>
        <w:spacing w:line="230" w:lineRule="auto"/>
        <w:jc w:val="both"/>
        <w:rPr>
          <w:sz w:val="12"/>
        </w:rPr>
        <w:sectPr w:rsidR="00EF5B27">
          <w:type w:val="continuous"/>
          <w:pgSz w:w="11910" w:h="16840"/>
          <w:pgMar w:top="1140" w:right="1020" w:bottom="280" w:left="1020" w:header="720" w:footer="720" w:gutter="0"/>
          <w:cols w:space="720"/>
        </w:sectPr>
      </w:pPr>
    </w:p>
    <w:p w14:paraId="03C92B47" w14:textId="77777777" w:rsidR="00EF5B27" w:rsidRDefault="00EF5B27">
      <w:pPr>
        <w:pStyle w:val="BodyText"/>
      </w:pPr>
    </w:p>
    <w:p w14:paraId="578DE6D5" w14:textId="77777777" w:rsidR="00EF5B27" w:rsidRDefault="00EF5B27">
      <w:pPr>
        <w:pStyle w:val="BodyText"/>
      </w:pPr>
    </w:p>
    <w:p w14:paraId="79DD6160" w14:textId="77777777" w:rsidR="00EF5B27" w:rsidRDefault="00EF5B27">
      <w:pPr>
        <w:pStyle w:val="BodyText"/>
      </w:pPr>
    </w:p>
    <w:p w14:paraId="3CEDA493" w14:textId="77777777" w:rsidR="00EF5B27" w:rsidRDefault="00EF5B27">
      <w:pPr>
        <w:pStyle w:val="BodyText"/>
      </w:pPr>
    </w:p>
    <w:p w14:paraId="03CF6942" w14:textId="77777777" w:rsidR="00EF5B27" w:rsidRDefault="00EF5B27">
      <w:pPr>
        <w:pStyle w:val="BodyText"/>
      </w:pPr>
    </w:p>
    <w:p w14:paraId="4705B1E3" w14:textId="77777777" w:rsidR="00EF5B27" w:rsidRDefault="00EF5B27">
      <w:pPr>
        <w:pStyle w:val="BodyText"/>
      </w:pPr>
    </w:p>
    <w:p w14:paraId="4086320C" w14:textId="77777777" w:rsidR="00EF5B27" w:rsidRDefault="00EF5B27">
      <w:pPr>
        <w:pStyle w:val="BodyText"/>
      </w:pPr>
    </w:p>
    <w:p w14:paraId="773AD55E" w14:textId="77777777" w:rsidR="00EF5B27" w:rsidRDefault="00EF5B27">
      <w:pPr>
        <w:pStyle w:val="BodyText"/>
      </w:pPr>
    </w:p>
    <w:p w14:paraId="27185D47" w14:textId="77777777" w:rsidR="00EF5B27" w:rsidRDefault="00EF5B27">
      <w:pPr>
        <w:pStyle w:val="BodyText"/>
        <w:spacing w:before="2"/>
        <w:rPr>
          <w:sz w:val="27"/>
        </w:rPr>
      </w:pPr>
    </w:p>
    <w:p w14:paraId="6CBF3672" w14:textId="77777777" w:rsidR="00EF5B27" w:rsidRDefault="00EF5B27">
      <w:pPr>
        <w:rPr>
          <w:sz w:val="27"/>
        </w:rPr>
        <w:sectPr w:rsidR="00EF5B27">
          <w:pgSz w:w="11910" w:h="16840"/>
          <w:pgMar w:top="1080" w:right="1020" w:bottom="860" w:left="1020" w:header="530" w:footer="678" w:gutter="0"/>
          <w:cols w:space="720"/>
        </w:sectPr>
      </w:pPr>
    </w:p>
    <w:p w14:paraId="7E98A274" w14:textId="77777777" w:rsidR="00EF5B27" w:rsidRDefault="00000000">
      <w:pPr>
        <w:pStyle w:val="BodyText"/>
        <w:spacing w:before="102" w:line="264" w:lineRule="auto"/>
        <w:ind w:left="2608"/>
      </w:pPr>
      <w:r>
        <w:rPr>
          <w:color w:val="4D4D4F"/>
        </w:rPr>
        <w:t xml:space="preserve">In </w:t>
      </w:r>
      <w:r>
        <w:rPr>
          <w:color w:val="4D4D4F"/>
          <w:spacing w:val="-6"/>
        </w:rPr>
        <w:t xml:space="preserve">2019, </w:t>
      </w:r>
      <w:r>
        <w:rPr>
          <w:color w:val="4D4D4F"/>
        </w:rPr>
        <w:t xml:space="preserve">the Victorian Auditor-General’s Office </w:t>
      </w:r>
      <w:r>
        <w:rPr>
          <w:color w:val="4D4D4F"/>
          <w:spacing w:val="-3"/>
        </w:rPr>
        <w:t xml:space="preserve">(VAGO) </w:t>
      </w:r>
      <w:r>
        <w:rPr>
          <w:color w:val="4D4D4F"/>
        </w:rPr>
        <w:t xml:space="preserve">undertook an audit </w:t>
      </w:r>
      <w:r>
        <w:rPr>
          <w:rFonts w:ascii="Arial Narrow" w:hAnsi="Arial Narrow"/>
          <w:i/>
          <w:color w:val="4D4D4F"/>
          <w:spacing w:val="-3"/>
        </w:rPr>
        <w:t xml:space="preserve">‘Protecting  </w:t>
      </w:r>
      <w:r>
        <w:rPr>
          <w:rFonts w:ascii="Arial Narrow" w:hAnsi="Arial Narrow"/>
          <w:i/>
          <w:color w:val="4D4D4F"/>
          <w:spacing w:val="-4"/>
        </w:rPr>
        <w:t xml:space="preserve">Critically   </w:t>
      </w:r>
      <w:r>
        <w:rPr>
          <w:rFonts w:ascii="Arial Narrow" w:hAnsi="Arial Narrow"/>
          <w:i/>
          <w:color w:val="4D4D4F"/>
        </w:rPr>
        <w:t xml:space="preserve">Endangered </w:t>
      </w:r>
      <w:r>
        <w:rPr>
          <w:rFonts w:ascii="Arial Narrow" w:hAnsi="Arial Narrow"/>
          <w:i/>
          <w:color w:val="4D4D4F"/>
          <w:spacing w:val="-3"/>
        </w:rPr>
        <w:t xml:space="preserve">Grasslands’ </w:t>
      </w:r>
      <w:r>
        <w:rPr>
          <w:color w:val="4D4D4F"/>
          <w:position w:val="7"/>
          <w:sz w:val="11"/>
        </w:rPr>
        <w:t xml:space="preserve">3 </w:t>
      </w:r>
      <w:r>
        <w:rPr>
          <w:color w:val="4D4D4F"/>
        </w:rPr>
        <w:t xml:space="preserve">focusing on the implementation of the MSA program with respect to its commitments to protect two of the </w:t>
      </w:r>
      <w:r>
        <w:rPr>
          <w:color w:val="4D4D4F"/>
          <w:spacing w:val="-6"/>
        </w:rPr>
        <w:t xml:space="preserve">12 </w:t>
      </w:r>
      <w:r>
        <w:rPr>
          <w:color w:val="4D4D4F"/>
        </w:rPr>
        <w:t xml:space="preserve">MNES – Natural Temperate Grasslands and Grassy Eucalypt Woodlands. </w:t>
      </w:r>
      <w:r>
        <w:rPr>
          <w:color w:val="4D4D4F"/>
          <w:spacing w:val="-3"/>
        </w:rPr>
        <w:t xml:space="preserve">VAGO </w:t>
      </w:r>
      <w:r>
        <w:rPr>
          <w:color w:val="4D4D4F"/>
        </w:rPr>
        <w:t xml:space="preserve">made seven recommendations to </w:t>
      </w:r>
      <w:r>
        <w:rPr>
          <w:color w:val="4D4D4F"/>
          <w:spacing w:val="-4"/>
        </w:rPr>
        <w:t xml:space="preserve">DELWP, </w:t>
      </w:r>
      <w:r>
        <w:rPr>
          <w:color w:val="4D4D4F"/>
        </w:rPr>
        <w:t xml:space="preserve">all of which were accepted. I acknowledge the significant research and analysis </w:t>
      </w:r>
      <w:r>
        <w:rPr>
          <w:color w:val="4D4D4F"/>
          <w:spacing w:val="-4"/>
        </w:rPr>
        <w:t xml:space="preserve">undertaken </w:t>
      </w:r>
      <w:r>
        <w:rPr>
          <w:color w:val="4D4D4F"/>
        </w:rPr>
        <w:t xml:space="preserve">by </w:t>
      </w:r>
      <w:r>
        <w:rPr>
          <w:color w:val="4D4D4F"/>
          <w:spacing w:val="-6"/>
        </w:rPr>
        <w:t xml:space="preserve">VAGO, </w:t>
      </w:r>
      <w:r>
        <w:rPr>
          <w:color w:val="4D4D4F"/>
          <w:spacing w:val="-4"/>
        </w:rPr>
        <w:t xml:space="preserve">DELWP </w:t>
      </w:r>
      <w:r>
        <w:rPr>
          <w:color w:val="4D4D4F"/>
          <w:spacing w:val="-3"/>
        </w:rPr>
        <w:t xml:space="preserve">and others </w:t>
      </w:r>
      <w:r>
        <w:rPr>
          <w:color w:val="4D4D4F"/>
          <w:spacing w:val="-4"/>
        </w:rPr>
        <w:t xml:space="preserve">in recent </w:t>
      </w:r>
      <w:r>
        <w:rPr>
          <w:color w:val="4D4D4F"/>
          <w:spacing w:val="-3"/>
        </w:rPr>
        <w:t xml:space="preserve">years and </w:t>
      </w:r>
      <w:r>
        <w:rPr>
          <w:color w:val="4D4D4F"/>
          <w:spacing w:val="-4"/>
        </w:rPr>
        <w:t xml:space="preserve">reference </w:t>
      </w:r>
      <w:r>
        <w:rPr>
          <w:color w:val="4D4D4F"/>
          <w:spacing w:val="-5"/>
        </w:rPr>
        <w:t xml:space="preserve">this </w:t>
      </w:r>
      <w:r>
        <w:rPr>
          <w:color w:val="4D4D4F"/>
        </w:rPr>
        <w:t xml:space="preserve">work </w:t>
      </w:r>
      <w:r>
        <w:rPr>
          <w:color w:val="4D4D4F"/>
          <w:spacing w:val="-3"/>
        </w:rPr>
        <w:t xml:space="preserve">where </w:t>
      </w:r>
      <w:r>
        <w:rPr>
          <w:color w:val="4D4D4F"/>
          <w:spacing w:val="-4"/>
        </w:rPr>
        <w:t xml:space="preserve">relevant, throughout </w:t>
      </w:r>
      <w:r>
        <w:rPr>
          <w:color w:val="4D4D4F"/>
          <w:spacing w:val="-5"/>
        </w:rPr>
        <w:t>this</w:t>
      </w:r>
      <w:r>
        <w:rPr>
          <w:color w:val="4D4D4F"/>
          <w:spacing w:val="-9"/>
        </w:rPr>
        <w:t xml:space="preserve"> </w:t>
      </w:r>
      <w:r>
        <w:rPr>
          <w:color w:val="4D4D4F"/>
        </w:rPr>
        <w:t>report.</w:t>
      </w:r>
    </w:p>
    <w:p w14:paraId="409D43D6" w14:textId="77777777" w:rsidR="00EF5B27" w:rsidRDefault="00000000">
      <w:pPr>
        <w:pStyle w:val="BodyText"/>
        <w:spacing w:before="112" w:line="264" w:lineRule="auto"/>
        <w:ind w:left="2608" w:right="605"/>
        <w:jc w:val="both"/>
      </w:pPr>
      <w:r>
        <w:rPr>
          <w:color w:val="4D4D4F"/>
        </w:rPr>
        <w:t>This strategic audit presents 16 recommendations. It found that limitations with the current MSA</w:t>
      </w:r>
    </w:p>
    <w:p w14:paraId="6C4040C8" w14:textId="77777777" w:rsidR="00EF5B27" w:rsidRDefault="00000000">
      <w:pPr>
        <w:pStyle w:val="BodyText"/>
        <w:spacing w:before="101" w:line="256" w:lineRule="auto"/>
        <w:ind w:left="431" w:right="369"/>
      </w:pPr>
      <w:r>
        <w:br w:type="column"/>
      </w:r>
      <w:r>
        <w:rPr>
          <w:color w:val="4D4D4F"/>
        </w:rPr>
        <w:t>Monitoring and Reporting Framework (MRF)</w:t>
      </w:r>
      <w:r>
        <w:rPr>
          <w:color w:val="4D4D4F"/>
          <w:position w:val="7"/>
          <w:sz w:val="11"/>
        </w:rPr>
        <w:t xml:space="preserve">4  </w:t>
      </w:r>
      <w:r>
        <w:rPr>
          <w:color w:val="4D4D4F"/>
        </w:rPr>
        <w:t>are hampering the ability of the MSA program to provide sufficient evidence to demonstrate that it is on track to fulfil its objectives and inform the systemic improvement</w:t>
      </w:r>
      <w:r>
        <w:rPr>
          <w:color w:val="4D4D4F"/>
          <w:spacing w:val="8"/>
        </w:rPr>
        <w:t xml:space="preserve"> </w:t>
      </w:r>
      <w:r>
        <w:rPr>
          <w:color w:val="4D4D4F"/>
        </w:rPr>
        <w:t>required.</w:t>
      </w:r>
    </w:p>
    <w:p w14:paraId="780222E7" w14:textId="77777777" w:rsidR="00EF5B27" w:rsidRDefault="00000000">
      <w:pPr>
        <w:pStyle w:val="BodyText"/>
        <w:spacing w:before="112" w:line="256" w:lineRule="auto"/>
        <w:ind w:left="431" w:right="427"/>
      </w:pPr>
      <w:r>
        <w:rPr>
          <w:color w:val="4D4D4F"/>
        </w:rPr>
        <w:t xml:space="preserve">Accordingly, recommendations 1 to 4 relate to improving the MSA program implementation and design while recommendations 5 to </w:t>
      </w:r>
      <w:r>
        <w:rPr>
          <w:color w:val="4D4D4F"/>
          <w:spacing w:val="-6"/>
        </w:rPr>
        <w:t xml:space="preserve">16 </w:t>
      </w:r>
      <w:r>
        <w:rPr>
          <w:color w:val="4D4D4F"/>
        </w:rPr>
        <w:t xml:space="preserve">focus on each of the </w:t>
      </w:r>
      <w:r>
        <w:rPr>
          <w:color w:val="4D4D4F"/>
          <w:spacing w:val="-6"/>
        </w:rPr>
        <w:t xml:space="preserve">12 </w:t>
      </w:r>
      <w:r>
        <w:rPr>
          <w:color w:val="4D4D4F"/>
        </w:rPr>
        <w:t>MNES – the ecological communities, plants and animals that are protected by the MSA program, including the last known population of the Small Golden Moths</w:t>
      </w:r>
      <w:r>
        <w:rPr>
          <w:color w:val="4D4D4F"/>
          <w:spacing w:val="5"/>
        </w:rPr>
        <w:t xml:space="preserve"> </w:t>
      </w:r>
      <w:r>
        <w:rPr>
          <w:color w:val="4D4D4F"/>
        </w:rPr>
        <w:t>Orchid.</w:t>
      </w:r>
    </w:p>
    <w:p w14:paraId="0501E7A4" w14:textId="77777777" w:rsidR="00EF5B27" w:rsidRDefault="00000000">
      <w:pPr>
        <w:pStyle w:val="BodyText"/>
        <w:spacing w:before="109" w:line="256" w:lineRule="auto"/>
        <w:ind w:left="431" w:right="513"/>
        <w:jc w:val="both"/>
      </w:pPr>
      <w:r>
        <w:rPr>
          <w:color w:val="4D4D4F"/>
        </w:rPr>
        <w:t>Sincere thanks to everyone who has contributed, in small and large part, to the preparation of this report.</w:t>
      </w:r>
    </w:p>
    <w:p w14:paraId="35202B76" w14:textId="77777777" w:rsidR="00EF5B27" w:rsidRDefault="00EF5B27">
      <w:pPr>
        <w:spacing w:line="256" w:lineRule="auto"/>
        <w:jc w:val="both"/>
        <w:sectPr w:rsidR="00EF5B27">
          <w:type w:val="continuous"/>
          <w:pgSz w:w="11910" w:h="16840"/>
          <w:pgMar w:top="1140" w:right="1020" w:bottom="280" w:left="1020" w:header="720" w:footer="720" w:gutter="0"/>
          <w:cols w:num="2" w:space="720" w:equalWidth="0">
            <w:col w:w="5880" w:space="40"/>
            <w:col w:w="3950"/>
          </w:cols>
        </w:sectPr>
      </w:pPr>
    </w:p>
    <w:p w14:paraId="2E302024" w14:textId="77777777" w:rsidR="00EF5B27" w:rsidRDefault="00000000">
      <w:pPr>
        <w:pStyle w:val="BodyText"/>
      </w:pPr>
      <w:r>
        <w:pict w14:anchorId="1E2211A6">
          <v:group id="_x0000_s4667" style="position:absolute;margin-left:587.05pt;margin-top:183.4pt;width:8.25pt;height:153.1pt;z-index:251314688;mso-position-horizontal-relative:page;mso-position-vertical-relative:page" coordorigin="11741,3668" coordsize="165,3062">
            <v:shape id="_x0000_s4674" style="position:absolute;left:11741;top:3668;width:165;height:561" coordorigin="11741,3668" coordsize="165,561" path="m11906,3668r-165,l11741,4228r165,-18l11906,3668xe" fillcolor="#00aed9" stroked="f">
              <v:path arrowok="t"/>
            </v:shape>
            <v:shape id="_x0000_s4673" style="position:absolute;left:11741;top:4118;width:165;height:425" coordorigin="11741,4118" coordsize="165,425" path="m11906,4118r-165,14l11741,4531r165,12l11906,4118xe" fillcolor="#047ebc" stroked="f">
              <v:path arrowok="t"/>
            </v:shape>
            <v:shape id="_x0000_s4672" type="#_x0000_t75" style="position:absolute;left:11741;top:4355;width:165;height:587">
              <v:imagedata r:id="rId30" o:title=""/>
            </v:shape>
            <v:shape id="_x0000_s4671" style="position:absolute;left:11741;top:5343;width:165;height:536" coordorigin="11741,5343" coordsize="165,536" path="m11741,5343r,535l11906,5872r,-525l11741,5343xe" fillcolor="#f36a2e" stroked="f">
              <v:path arrowok="t"/>
            </v:shape>
            <v:shape id="_x0000_s4670" style="position:absolute;left:11741;top:4925;width:165;height:501" coordorigin="11741,4926" coordsize="165,501" path="m11741,4926r,500l11906,5426r,-485l11741,4926xe" fillcolor="#49783f" stroked="f">
              <v:path arrowok="t"/>
            </v:shape>
            <v:shape id="_x0000_s4669" style="position:absolute;left:11741;top:5781;width:165;height:268" coordorigin="11741,5782" coordsize="165,268" path="m11906,5782r-165,8l11741,6039r165,10l11906,5782xe" fillcolor="#f99f2a" stroked="f">
              <v:path arrowok="t"/>
            </v:shape>
            <v:shape id="_x0000_s4668" style="position:absolute;left:11741;top:6023;width:165;height:707" coordorigin="11741,6023" coordsize="165,707" path="m11741,6023r,706l11906,6729r,-690l11741,6023xe" fillcolor="#ef412c" stroked="f">
              <v:path arrowok="t"/>
            </v:shape>
            <w10:wrap anchorx="page" anchory="page"/>
          </v:group>
        </w:pict>
      </w:r>
    </w:p>
    <w:p w14:paraId="074DC97E" w14:textId="77777777" w:rsidR="00EF5B27" w:rsidRDefault="00EF5B27">
      <w:pPr>
        <w:pStyle w:val="BodyText"/>
      </w:pPr>
    </w:p>
    <w:p w14:paraId="4E379408" w14:textId="77777777" w:rsidR="00EF5B27" w:rsidRDefault="00EF5B27">
      <w:pPr>
        <w:pStyle w:val="BodyText"/>
        <w:spacing w:before="5" w:after="1"/>
        <w:rPr>
          <w:sz w:val="15"/>
        </w:rPr>
      </w:pPr>
    </w:p>
    <w:p w14:paraId="4536C5A8" w14:textId="77777777" w:rsidR="00EF5B27" w:rsidRDefault="00000000">
      <w:pPr>
        <w:pStyle w:val="BodyText"/>
        <w:ind w:left="5013"/>
      </w:pPr>
      <w:r>
        <w:rPr>
          <w:noProof/>
        </w:rPr>
        <w:drawing>
          <wp:inline distT="0" distB="0" distL="0" distR="0" wp14:anchorId="1C0BD889" wp14:editId="0D7EC156">
            <wp:extent cx="1788055" cy="528256"/>
            <wp:effectExtent l="0" t="0" r="0" b="0"/>
            <wp:docPr id="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0.png"/>
                    <pic:cNvPicPr/>
                  </pic:nvPicPr>
                  <pic:blipFill>
                    <a:blip r:embed="rId37" cstate="print"/>
                    <a:stretch>
                      <a:fillRect/>
                    </a:stretch>
                  </pic:blipFill>
                  <pic:spPr>
                    <a:xfrm>
                      <a:off x="0" y="0"/>
                      <a:ext cx="1788055" cy="528256"/>
                    </a:xfrm>
                    <a:prstGeom prst="rect">
                      <a:avLst/>
                    </a:prstGeom>
                  </pic:spPr>
                </pic:pic>
              </a:graphicData>
            </a:graphic>
          </wp:inline>
        </w:drawing>
      </w:r>
    </w:p>
    <w:p w14:paraId="61499432" w14:textId="77777777" w:rsidR="00EF5B27" w:rsidRDefault="00000000">
      <w:pPr>
        <w:pStyle w:val="BodyText"/>
        <w:spacing w:before="135"/>
        <w:ind w:left="5117"/>
      </w:pPr>
      <w:r>
        <w:rPr>
          <w:color w:val="4D4D4F"/>
          <w:w w:val="105"/>
        </w:rPr>
        <w:t>Dr Gillian Sparkes AM</w:t>
      </w:r>
    </w:p>
    <w:p w14:paraId="5EC73E05" w14:textId="77777777" w:rsidR="00EF5B27" w:rsidRDefault="00000000">
      <w:pPr>
        <w:pStyle w:val="BodyText"/>
        <w:spacing w:before="16"/>
        <w:ind w:left="5117"/>
      </w:pPr>
      <w:r>
        <w:rPr>
          <w:color w:val="4D4D4F"/>
        </w:rPr>
        <w:t>Commissioner for Environmental Sustainability, Victoria</w:t>
      </w:r>
    </w:p>
    <w:p w14:paraId="1CA32953" w14:textId="77777777" w:rsidR="00EF5B27" w:rsidRDefault="00EF5B27">
      <w:pPr>
        <w:pStyle w:val="BodyText"/>
      </w:pPr>
    </w:p>
    <w:p w14:paraId="3A751105" w14:textId="77777777" w:rsidR="00EF5B27" w:rsidRDefault="00EF5B27">
      <w:pPr>
        <w:pStyle w:val="BodyText"/>
      </w:pPr>
    </w:p>
    <w:p w14:paraId="381ACBAD" w14:textId="77777777" w:rsidR="00EF5B27" w:rsidRDefault="00EF5B27">
      <w:pPr>
        <w:pStyle w:val="BodyText"/>
      </w:pPr>
    </w:p>
    <w:p w14:paraId="77048409" w14:textId="77777777" w:rsidR="00EF5B27" w:rsidRDefault="00EF5B27">
      <w:pPr>
        <w:pStyle w:val="BodyText"/>
      </w:pPr>
    </w:p>
    <w:p w14:paraId="034A4575" w14:textId="77777777" w:rsidR="00EF5B27" w:rsidRDefault="00EF5B27">
      <w:pPr>
        <w:pStyle w:val="BodyText"/>
      </w:pPr>
    </w:p>
    <w:p w14:paraId="53575A77" w14:textId="77777777" w:rsidR="00EF5B27" w:rsidRDefault="00EF5B27">
      <w:pPr>
        <w:pStyle w:val="BodyText"/>
      </w:pPr>
    </w:p>
    <w:p w14:paraId="59367394" w14:textId="77777777" w:rsidR="00EF5B27" w:rsidRDefault="00EF5B27">
      <w:pPr>
        <w:pStyle w:val="BodyText"/>
      </w:pPr>
    </w:p>
    <w:p w14:paraId="18FCD846" w14:textId="77777777" w:rsidR="00EF5B27" w:rsidRDefault="00EF5B27">
      <w:pPr>
        <w:pStyle w:val="BodyText"/>
      </w:pPr>
    </w:p>
    <w:p w14:paraId="3701B14C" w14:textId="77777777" w:rsidR="00EF5B27" w:rsidRDefault="00EF5B27">
      <w:pPr>
        <w:pStyle w:val="BodyText"/>
      </w:pPr>
    </w:p>
    <w:p w14:paraId="56FB8F78" w14:textId="77777777" w:rsidR="00EF5B27" w:rsidRDefault="00EF5B27">
      <w:pPr>
        <w:pStyle w:val="BodyText"/>
      </w:pPr>
    </w:p>
    <w:p w14:paraId="0BBBC6CA" w14:textId="77777777" w:rsidR="00EF5B27" w:rsidRDefault="00EF5B27">
      <w:pPr>
        <w:pStyle w:val="BodyText"/>
      </w:pPr>
    </w:p>
    <w:p w14:paraId="3DC5DED7" w14:textId="77777777" w:rsidR="00EF5B27" w:rsidRDefault="00EF5B27">
      <w:pPr>
        <w:pStyle w:val="BodyText"/>
      </w:pPr>
    </w:p>
    <w:p w14:paraId="6B02C56E" w14:textId="77777777" w:rsidR="00EF5B27" w:rsidRDefault="00EF5B27">
      <w:pPr>
        <w:pStyle w:val="BodyText"/>
      </w:pPr>
    </w:p>
    <w:p w14:paraId="645CF94E" w14:textId="77777777" w:rsidR="00EF5B27" w:rsidRDefault="00EF5B27">
      <w:pPr>
        <w:pStyle w:val="BodyText"/>
      </w:pPr>
    </w:p>
    <w:p w14:paraId="5DD51859" w14:textId="77777777" w:rsidR="00EF5B27" w:rsidRDefault="00EF5B27">
      <w:pPr>
        <w:pStyle w:val="BodyText"/>
      </w:pPr>
    </w:p>
    <w:p w14:paraId="53140791" w14:textId="77777777" w:rsidR="00EF5B27" w:rsidRDefault="00000000">
      <w:pPr>
        <w:pStyle w:val="BodyText"/>
        <w:spacing w:before="5"/>
        <w:rPr>
          <w:sz w:val="26"/>
        </w:rPr>
      </w:pPr>
      <w:r>
        <w:pict w14:anchorId="52CBB13F">
          <v:line id="_x0000_s4666" style="position:absolute;z-index:-251491840;mso-wrap-distance-left:0;mso-wrap-distance-right:0;mso-position-horizontal-relative:page" from="181.4pt,18.35pt" to="538.6pt,18.35pt" strokecolor="#4d4d4f" strokeweight=".5pt">
            <w10:wrap type="topAndBottom" anchorx="page"/>
          </v:line>
        </w:pict>
      </w:r>
    </w:p>
    <w:p w14:paraId="42731B78" w14:textId="77777777" w:rsidR="00EF5B27" w:rsidRDefault="00000000">
      <w:pPr>
        <w:pStyle w:val="ListParagraph"/>
        <w:numPr>
          <w:ilvl w:val="0"/>
          <w:numId w:val="65"/>
        </w:numPr>
        <w:tabs>
          <w:tab w:val="left" w:pos="2836"/>
        </w:tabs>
        <w:spacing w:before="88" w:line="230" w:lineRule="auto"/>
        <w:ind w:right="111"/>
        <w:jc w:val="left"/>
        <w:rPr>
          <w:sz w:val="12"/>
        </w:rPr>
      </w:pPr>
      <w:r>
        <w:rPr>
          <w:color w:val="4D4D4F"/>
          <w:sz w:val="12"/>
        </w:rPr>
        <w:t xml:space="preserve">VAGO </w:t>
      </w:r>
      <w:r>
        <w:rPr>
          <w:color w:val="4D4D4F"/>
          <w:spacing w:val="-3"/>
          <w:sz w:val="12"/>
        </w:rPr>
        <w:t xml:space="preserve">17 </w:t>
      </w:r>
      <w:r>
        <w:rPr>
          <w:color w:val="4D4D4F"/>
          <w:sz w:val="12"/>
        </w:rPr>
        <w:t>June 2020, Protecting Critically Endangered Grasslands,</w:t>
      </w:r>
      <w:r>
        <w:rPr>
          <w:color w:val="F36A2E"/>
          <w:sz w:val="12"/>
          <w:u w:val="single" w:color="F36A2E"/>
        </w:rPr>
        <w:t xml:space="preserve"> </w:t>
      </w:r>
      <w:hyperlink r:id="rId38">
        <w:r>
          <w:rPr>
            <w:color w:val="F36A2E"/>
            <w:sz w:val="12"/>
            <w:u w:val="single" w:color="F36A2E"/>
          </w:rPr>
          <w:t>https://www.audit.vic.gov.au/report/protecting-critically-endangered</w:t>
        </w:r>
        <w:r>
          <w:rPr>
            <w:color w:val="F36A2E"/>
            <w:sz w:val="12"/>
          </w:rPr>
          <w:t>-</w:t>
        </w:r>
      </w:hyperlink>
      <w:hyperlink r:id="rId39">
        <w:r>
          <w:rPr>
            <w:color w:val="F36A2E"/>
            <w:sz w:val="12"/>
            <w:u w:val="single" w:color="F36A2E"/>
          </w:rPr>
          <w:t xml:space="preserve"> grasslands?section=</w:t>
        </w:r>
        <w:r>
          <w:rPr>
            <w:color w:val="F36A2E"/>
            <w:sz w:val="12"/>
          </w:rPr>
          <w:t xml:space="preserve"> </w:t>
        </w:r>
      </w:hyperlink>
      <w:r>
        <w:rPr>
          <w:color w:val="4D4D4F"/>
          <w:sz w:val="12"/>
        </w:rPr>
        <w:t>Accessed 27 January</w:t>
      </w:r>
      <w:r>
        <w:rPr>
          <w:color w:val="4D4D4F"/>
          <w:spacing w:val="2"/>
          <w:sz w:val="12"/>
        </w:rPr>
        <w:t xml:space="preserve"> </w:t>
      </w:r>
      <w:r>
        <w:rPr>
          <w:color w:val="4D4D4F"/>
          <w:sz w:val="12"/>
        </w:rPr>
        <w:t>2022.</w:t>
      </w:r>
    </w:p>
    <w:p w14:paraId="54F1A39C" w14:textId="77777777" w:rsidR="00EF5B27" w:rsidRDefault="00000000">
      <w:pPr>
        <w:pStyle w:val="ListParagraph"/>
        <w:numPr>
          <w:ilvl w:val="0"/>
          <w:numId w:val="65"/>
        </w:numPr>
        <w:tabs>
          <w:tab w:val="left" w:pos="2836"/>
        </w:tabs>
        <w:spacing w:line="141" w:lineRule="exact"/>
        <w:jc w:val="left"/>
        <w:rPr>
          <w:sz w:val="12"/>
        </w:rPr>
      </w:pPr>
      <w:r>
        <w:rPr>
          <w:color w:val="4D4D4F"/>
          <w:sz w:val="12"/>
        </w:rPr>
        <w:t>DELWP</w:t>
      </w:r>
      <w:r>
        <w:rPr>
          <w:color w:val="4D4D4F"/>
          <w:spacing w:val="4"/>
          <w:sz w:val="12"/>
        </w:rPr>
        <w:t xml:space="preserve"> </w:t>
      </w:r>
      <w:r>
        <w:rPr>
          <w:color w:val="4D4D4F"/>
          <w:sz w:val="12"/>
        </w:rPr>
        <w:t>2015,</w:t>
      </w:r>
      <w:r>
        <w:rPr>
          <w:color w:val="4D4D4F"/>
          <w:spacing w:val="5"/>
          <w:sz w:val="12"/>
        </w:rPr>
        <w:t xml:space="preserve"> </w:t>
      </w:r>
      <w:r>
        <w:rPr>
          <w:color w:val="4D4D4F"/>
          <w:sz w:val="12"/>
        </w:rPr>
        <w:t>‘Monitoring</w:t>
      </w:r>
      <w:r>
        <w:rPr>
          <w:color w:val="4D4D4F"/>
          <w:spacing w:val="5"/>
          <w:sz w:val="12"/>
        </w:rPr>
        <w:t xml:space="preserve"> </w:t>
      </w:r>
      <w:r>
        <w:rPr>
          <w:color w:val="4D4D4F"/>
          <w:sz w:val="12"/>
        </w:rPr>
        <w:t>and</w:t>
      </w:r>
      <w:r>
        <w:rPr>
          <w:color w:val="4D4D4F"/>
          <w:spacing w:val="5"/>
          <w:sz w:val="12"/>
        </w:rPr>
        <w:t xml:space="preserve"> </w:t>
      </w:r>
      <w:r>
        <w:rPr>
          <w:color w:val="4D4D4F"/>
          <w:sz w:val="12"/>
        </w:rPr>
        <w:t>Reporting</w:t>
      </w:r>
      <w:r>
        <w:rPr>
          <w:color w:val="4D4D4F"/>
          <w:spacing w:val="5"/>
          <w:sz w:val="12"/>
        </w:rPr>
        <w:t xml:space="preserve"> </w:t>
      </w:r>
      <w:r>
        <w:rPr>
          <w:color w:val="4D4D4F"/>
          <w:sz w:val="12"/>
        </w:rPr>
        <w:t>Framework</w:t>
      </w:r>
      <w:r>
        <w:rPr>
          <w:color w:val="4D4D4F"/>
          <w:spacing w:val="5"/>
          <w:sz w:val="12"/>
        </w:rPr>
        <w:t xml:space="preserve"> </w:t>
      </w:r>
      <w:r>
        <w:rPr>
          <w:color w:val="4D4D4F"/>
          <w:sz w:val="12"/>
        </w:rPr>
        <w:t>–</w:t>
      </w:r>
      <w:r>
        <w:rPr>
          <w:color w:val="4D4D4F"/>
          <w:spacing w:val="5"/>
          <w:sz w:val="12"/>
        </w:rPr>
        <w:t xml:space="preserve"> </w:t>
      </w:r>
      <w:r>
        <w:rPr>
          <w:color w:val="4D4D4F"/>
          <w:sz w:val="12"/>
        </w:rPr>
        <w:t>Melbourne</w:t>
      </w:r>
      <w:r>
        <w:rPr>
          <w:color w:val="4D4D4F"/>
          <w:spacing w:val="5"/>
          <w:sz w:val="12"/>
        </w:rPr>
        <w:t xml:space="preserve"> </w:t>
      </w:r>
      <w:r>
        <w:rPr>
          <w:color w:val="4D4D4F"/>
          <w:sz w:val="12"/>
        </w:rPr>
        <w:t>Strategic</w:t>
      </w:r>
      <w:r>
        <w:rPr>
          <w:color w:val="4D4D4F"/>
          <w:spacing w:val="5"/>
          <w:sz w:val="12"/>
        </w:rPr>
        <w:t xml:space="preserve"> </w:t>
      </w:r>
      <w:r>
        <w:rPr>
          <w:color w:val="4D4D4F"/>
          <w:sz w:val="12"/>
        </w:rPr>
        <w:t>Assessment’,</w:t>
      </w:r>
      <w:r>
        <w:rPr>
          <w:color w:val="4D4D4F"/>
          <w:spacing w:val="5"/>
          <w:sz w:val="12"/>
        </w:rPr>
        <w:t xml:space="preserve"> </w:t>
      </w:r>
      <w:r>
        <w:rPr>
          <w:color w:val="4D4D4F"/>
          <w:sz w:val="12"/>
        </w:rPr>
        <w:t>East</w:t>
      </w:r>
      <w:r>
        <w:rPr>
          <w:color w:val="4D4D4F"/>
          <w:spacing w:val="5"/>
          <w:sz w:val="12"/>
        </w:rPr>
        <w:t xml:space="preserve"> </w:t>
      </w:r>
      <w:r>
        <w:rPr>
          <w:color w:val="4D4D4F"/>
          <w:sz w:val="12"/>
        </w:rPr>
        <w:t>Melbourne,</w:t>
      </w:r>
      <w:r>
        <w:rPr>
          <w:color w:val="4D4D4F"/>
          <w:spacing w:val="5"/>
          <w:sz w:val="12"/>
        </w:rPr>
        <w:t xml:space="preserve"> </w:t>
      </w:r>
      <w:r>
        <w:rPr>
          <w:color w:val="4D4D4F"/>
          <w:sz w:val="12"/>
        </w:rPr>
        <w:t>Victoria.</w:t>
      </w:r>
    </w:p>
    <w:p w14:paraId="551E696B" w14:textId="77777777" w:rsidR="00EF5B27" w:rsidRDefault="00EF5B27">
      <w:pPr>
        <w:spacing w:line="141" w:lineRule="exact"/>
        <w:rPr>
          <w:sz w:val="12"/>
        </w:rPr>
        <w:sectPr w:rsidR="00EF5B27">
          <w:type w:val="continuous"/>
          <w:pgSz w:w="11910" w:h="16840"/>
          <w:pgMar w:top="1140" w:right="1020" w:bottom="280" w:left="1020" w:header="720" w:footer="720" w:gutter="0"/>
          <w:cols w:space="720"/>
        </w:sectPr>
      </w:pPr>
    </w:p>
    <w:p w14:paraId="0ABF0E3C" w14:textId="77777777" w:rsidR="00EF5B27" w:rsidRDefault="00000000">
      <w:pPr>
        <w:pStyle w:val="BodyText"/>
      </w:pPr>
      <w:r>
        <w:lastRenderedPageBreak/>
        <w:pict w14:anchorId="6B5B8FC8">
          <v:group id="_x0000_s4658" style="position:absolute;margin-left:587.05pt;margin-top:183.4pt;width:8.25pt;height:153.1pt;z-index:251315712;mso-position-horizontal-relative:page;mso-position-vertical-relative:page" coordorigin="11741,3668" coordsize="165,3062">
            <v:shape id="_x0000_s4665" style="position:absolute;left:11741;top:3668;width:165;height:561" coordorigin="11741,3668" coordsize="165,561" path="m11906,3668r-165,l11741,4228r165,-18l11906,3668xe" fillcolor="#00aed9" stroked="f">
              <v:path arrowok="t"/>
            </v:shape>
            <v:shape id="_x0000_s4664" style="position:absolute;left:11741;top:4118;width:165;height:425" coordorigin="11741,4118" coordsize="165,425" path="m11906,4118r-165,14l11741,4531r165,12l11906,4118xe" fillcolor="#047ebc" stroked="f">
              <v:path arrowok="t"/>
            </v:shape>
            <v:shape id="_x0000_s4663" type="#_x0000_t75" style="position:absolute;left:11741;top:4355;width:165;height:587">
              <v:imagedata r:id="rId30" o:title=""/>
            </v:shape>
            <v:shape id="_x0000_s4662" style="position:absolute;left:11741;top:5343;width:165;height:536" coordorigin="11741,5343" coordsize="165,536" path="m11741,5343r,535l11906,5872r,-525l11741,5343xe" fillcolor="#f36a2e" stroked="f">
              <v:path arrowok="t"/>
            </v:shape>
            <v:shape id="_x0000_s4661" style="position:absolute;left:11741;top:4925;width:165;height:501" coordorigin="11741,4926" coordsize="165,501" path="m11741,4926r,500l11906,5426r,-485l11741,4926xe" fillcolor="#49783f" stroked="f">
              <v:path arrowok="t"/>
            </v:shape>
            <v:shape id="_x0000_s4660" style="position:absolute;left:11741;top:5781;width:165;height:268" coordorigin="11741,5782" coordsize="165,268" path="m11906,5782r-165,8l11741,6039r165,10l11906,5782xe" fillcolor="#f99f2a" stroked="f">
              <v:path arrowok="t"/>
            </v:shape>
            <v:shape id="_x0000_s4659" style="position:absolute;left:11741;top:6023;width:165;height:707" coordorigin="11741,6023" coordsize="165,707" path="m11741,6023r,706l11906,6729r,-690l11741,6023xe" fillcolor="#ef412c" stroked="f">
              <v:path arrowok="t"/>
            </v:shape>
            <w10:wrap anchorx="page" anchory="page"/>
          </v:group>
        </w:pict>
      </w:r>
    </w:p>
    <w:p w14:paraId="5E91B789" w14:textId="77777777" w:rsidR="00EF5B27" w:rsidRDefault="00EF5B27">
      <w:pPr>
        <w:pStyle w:val="BodyText"/>
      </w:pPr>
    </w:p>
    <w:p w14:paraId="173AF543" w14:textId="77777777" w:rsidR="00EF5B27" w:rsidRDefault="00EF5B27">
      <w:pPr>
        <w:pStyle w:val="BodyText"/>
      </w:pPr>
    </w:p>
    <w:p w14:paraId="4BDFD3CC" w14:textId="77777777" w:rsidR="00EF5B27" w:rsidRDefault="00EF5B27">
      <w:pPr>
        <w:pStyle w:val="BodyText"/>
        <w:spacing w:before="8"/>
      </w:pPr>
    </w:p>
    <w:p w14:paraId="64CD0562" w14:textId="77777777" w:rsidR="00EF5B27" w:rsidRDefault="00000000">
      <w:pPr>
        <w:pStyle w:val="Heading2"/>
      </w:pPr>
      <w:bookmarkStart w:id="1" w:name="_bookmark1"/>
      <w:bookmarkEnd w:id="1"/>
      <w:r>
        <w:rPr>
          <w:color w:val="F99F2A"/>
        </w:rPr>
        <w:t>Table of contents</w:t>
      </w:r>
    </w:p>
    <w:sdt>
      <w:sdtPr>
        <w:id w:val="1257628242"/>
        <w:docPartObj>
          <w:docPartGallery w:val="Table of Contents"/>
          <w:docPartUnique/>
        </w:docPartObj>
      </w:sdtPr>
      <w:sdtContent>
        <w:p w14:paraId="28547D5C" w14:textId="77777777" w:rsidR="00EF5B27" w:rsidRDefault="00000000">
          <w:pPr>
            <w:pStyle w:val="TOC1"/>
            <w:tabs>
              <w:tab w:val="right" w:leader="dot" w:pos="9751"/>
            </w:tabs>
            <w:spacing w:before="791"/>
          </w:pPr>
          <w:hyperlink w:anchor="_bookmark0" w:history="1">
            <w:r>
              <w:rPr>
                <w:color w:val="4D4D4F"/>
              </w:rPr>
              <w:t>Commissioner’s</w:t>
            </w:r>
            <w:r>
              <w:rPr>
                <w:color w:val="4D4D4F"/>
                <w:spacing w:val="4"/>
              </w:rPr>
              <w:t xml:space="preserve"> </w:t>
            </w:r>
            <w:r>
              <w:rPr>
                <w:color w:val="4D4D4F"/>
              </w:rPr>
              <w:t>foreword</w:t>
            </w:r>
            <w:r>
              <w:rPr>
                <w:color w:val="4D4D4F"/>
              </w:rPr>
              <w:tab/>
              <w:t>3</w:t>
            </w:r>
          </w:hyperlink>
        </w:p>
        <w:p w14:paraId="4C59F675" w14:textId="77777777" w:rsidR="00EF5B27" w:rsidRDefault="00000000">
          <w:pPr>
            <w:pStyle w:val="TOC2"/>
            <w:tabs>
              <w:tab w:val="right" w:leader="dot" w:pos="9751"/>
            </w:tabs>
          </w:pPr>
          <w:hyperlink w:anchor="_bookmark2" w:history="1">
            <w:r>
              <w:rPr>
                <w:color w:val="4D4D4F"/>
              </w:rPr>
              <w:t>Acronyms</w:t>
            </w:r>
            <w:r>
              <w:rPr>
                <w:color w:val="4D4D4F"/>
                <w:spacing w:val="4"/>
              </w:rPr>
              <w:t xml:space="preserve"> </w:t>
            </w:r>
            <w:r>
              <w:rPr>
                <w:color w:val="4D4D4F"/>
              </w:rPr>
              <w:t>and</w:t>
            </w:r>
            <w:r>
              <w:rPr>
                <w:color w:val="4D4D4F"/>
                <w:spacing w:val="4"/>
              </w:rPr>
              <w:t xml:space="preserve"> </w:t>
            </w:r>
            <w:r>
              <w:rPr>
                <w:color w:val="4D4D4F"/>
              </w:rPr>
              <w:t>abbreviations</w:t>
            </w:r>
            <w:r>
              <w:rPr>
                <w:color w:val="4D4D4F"/>
              </w:rPr>
              <w:tab/>
              <w:t>6</w:t>
            </w:r>
          </w:hyperlink>
        </w:p>
        <w:p w14:paraId="3250BDA6" w14:textId="77777777" w:rsidR="00EF5B27" w:rsidRDefault="00000000">
          <w:pPr>
            <w:pStyle w:val="TOC2"/>
            <w:tabs>
              <w:tab w:val="right" w:leader="dot" w:pos="9751"/>
            </w:tabs>
            <w:spacing w:before="93"/>
          </w:pPr>
          <w:hyperlink w:anchor="_bookmark3" w:history="1">
            <w:r>
              <w:rPr>
                <w:color w:val="4D4D4F"/>
              </w:rPr>
              <w:t>Summary of figures</w:t>
            </w:r>
            <w:r>
              <w:rPr>
                <w:color w:val="4D4D4F"/>
                <w:spacing w:val="12"/>
              </w:rPr>
              <w:t xml:space="preserve"> </w:t>
            </w:r>
            <w:r>
              <w:rPr>
                <w:color w:val="4D4D4F"/>
              </w:rPr>
              <w:t>and</w:t>
            </w:r>
            <w:r>
              <w:rPr>
                <w:color w:val="4D4D4F"/>
                <w:spacing w:val="5"/>
              </w:rPr>
              <w:t xml:space="preserve"> </w:t>
            </w:r>
            <w:r>
              <w:rPr>
                <w:color w:val="4D4D4F"/>
              </w:rPr>
              <w:t>tables</w:t>
            </w:r>
            <w:r>
              <w:rPr>
                <w:color w:val="4D4D4F"/>
              </w:rPr>
              <w:tab/>
              <w:t>7</w:t>
            </w:r>
          </w:hyperlink>
        </w:p>
        <w:p w14:paraId="5E88464B" w14:textId="77777777" w:rsidR="00EF5B27" w:rsidRDefault="00000000">
          <w:pPr>
            <w:pStyle w:val="TOC2"/>
            <w:tabs>
              <w:tab w:val="right" w:leader="dot" w:pos="9751"/>
            </w:tabs>
          </w:pPr>
          <w:hyperlink w:anchor="_bookmark4" w:history="1">
            <w:r>
              <w:rPr>
                <w:color w:val="4D4D4F"/>
              </w:rPr>
              <w:t>Acknowledgements</w:t>
            </w:r>
            <w:r>
              <w:rPr>
                <w:color w:val="4D4D4F"/>
              </w:rPr>
              <w:tab/>
              <w:t>9</w:t>
            </w:r>
          </w:hyperlink>
        </w:p>
        <w:p w14:paraId="2CFDA5E8" w14:textId="77777777" w:rsidR="00EF5B27" w:rsidRDefault="00000000">
          <w:pPr>
            <w:pStyle w:val="TOC1"/>
            <w:tabs>
              <w:tab w:val="right" w:leader="dot" w:pos="9743"/>
            </w:tabs>
          </w:pPr>
          <w:hyperlink w:anchor="_bookmark5" w:history="1">
            <w:r>
              <w:rPr>
                <w:color w:val="4D4D4F"/>
              </w:rPr>
              <w:t>Executive</w:t>
            </w:r>
            <w:r>
              <w:rPr>
                <w:color w:val="4D4D4F"/>
                <w:spacing w:val="4"/>
              </w:rPr>
              <w:t xml:space="preserve"> </w:t>
            </w:r>
            <w:r>
              <w:rPr>
                <w:color w:val="4D4D4F"/>
              </w:rPr>
              <w:t>summary</w:t>
            </w:r>
            <w:r>
              <w:rPr>
                <w:color w:val="4D4D4F"/>
              </w:rPr>
              <w:tab/>
            </w:r>
            <w:r>
              <w:rPr>
                <w:color w:val="4D4D4F"/>
                <w:spacing w:val="-9"/>
              </w:rPr>
              <w:t>10</w:t>
            </w:r>
          </w:hyperlink>
        </w:p>
        <w:p w14:paraId="19D27606" w14:textId="77777777" w:rsidR="00EF5B27" w:rsidRDefault="00000000">
          <w:pPr>
            <w:pStyle w:val="TOC1"/>
            <w:tabs>
              <w:tab w:val="right" w:leader="dot" w:pos="9743"/>
            </w:tabs>
            <w:spacing w:before="93"/>
          </w:pPr>
          <w:hyperlink w:anchor="_bookmark7" w:history="1">
            <w:r>
              <w:rPr>
                <w:color w:val="4D4D4F"/>
              </w:rPr>
              <w:t>Summary of recommendations</w:t>
            </w:r>
            <w:r>
              <w:rPr>
                <w:color w:val="4D4D4F"/>
                <w:spacing w:val="12"/>
              </w:rPr>
              <w:t xml:space="preserve"> </w:t>
            </w:r>
            <w:r>
              <w:rPr>
                <w:color w:val="4D4D4F"/>
              </w:rPr>
              <w:t>and</w:t>
            </w:r>
            <w:r>
              <w:rPr>
                <w:color w:val="4D4D4F"/>
                <w:spacing w:val="4"/>
              </w:rPr>
              <w:t xml:space="preserve"> </w:t>
            </w:r>
            <w:r>
              <w:rPr>
                <w:color w:val="4D4D4F"/>
              </w:rPr>
              <w:t>challenges</w:t>
            </w:r>
            <w:r>
              <w:rPr>
                <w:color w:val="4D4D4F"/>
              </w:rPr>
              <w:tab/>
            </w:r>
            <w:r>
              <w:rPr>
                <w:color w:val="4D4D4F"/>
                <w:spacing w:val="-9"/>
              </w:rPr>
              <w:t>14</w:t>
            </w:r>
          </w:hyperlink>
        </w:p>
        <w:p w14:paraId="3A067542" w14:textId="77777777" w:rsidR="00EF5B27" w:rsidRDefault="00000000">
          <w:pPr>
            <w:pStyle w:val="TOC1"/>
            <w:tabs>
              <w:tab w:val="right" w:leader="dot" w:pos="9751"/>
            </w:tabs>
          </w:pPr>
          <w:hyperlink w:anchor="_bookmark9" w:history="1">
            <w:r>
              <w:rPr>
                <w:color w:val="4D4D4F"/>
                <w:spacing w:val="2"/>
              </w:rPr>
              <w:t xml:space="preserve">Part </w:t>
            </w:r>
            <w:r>
              <w:rPr>
                <w:color w:val="4D4D4F"/>
                <w:spacing w:val="-6"/>
              </w:rPr>
              <w:t xml:space="preserve">1: </w:t>
            </w:r>
            <w:r>
              <w:rPr>
                <w:color w:val="4D4D4F"/>
              </w:rPr>
              <w:t>Summary</w:t>
            </w:r>
            <w:r>
              <w:rPr>
                <w:color w:val="4D4D4F"/>
                <w:spacing w:val="16"/>
              </w:rPr>
              <w:t xml:space="preserve"> </w:t>
            </w:r>
            <w:r>
              <w:rPr>
                <w:color w:val="4D4D4F"/>
              </w:rPr>
              <w:t>of</w:t>
            </w:r>
            <w:r>
              <w:rPr>
                <w:color w:val="4D4D4F"/>
                <w:spacing w:val="4"/>
              </w:rPr>
              <w:t xml:space="preserve"> </w:t>
            </w:r>
            <w:r>
              <w:rPr>
                <w:color w:val="4D4D4F"/>
              </w:rPr>
              <w:t>findings</w:t>
            </w:r>
            <w:r>
              <w:rPr>
                <w:color w:val="4D4D4F"/>
              </w:rPr>
              <w:tab/>
              <w:t>26</w:t>
            </w:r>
          </w:hyperlink>
        </w:p>
        <w:p w14:paraId="24CD3DD8" w14:textId="77777777" w:rsidR="00EF5B27" w:rsidRDefault="00000000">
          <w:pPr>
            <w:pStyle w:val="TOC3"/>
            <w:tabs>
              <w:tab w:val="right" w:leader="dot" w:pos="9754"/>
            </w:tabs>
            <w:spacing w:before="93"/>
          </w:pPr>
          <w:hyperlink w:anchor="_bookmark10" w:history="1">
            <w:r>
              <w:rPr>
                <w:color w:val="4D4D4F"/>
              </w:rPr>
              <w:t>MSA program design</w:t>
            </w:r>
            <w:r>
              <w:rPr>
                <w:color w:val="4D4D4F"/>
                <w:spacing w:val="11"/>
              </w:rPr>
              <w:t xml:space="preserve"> </w:t>
            </w:r>
            <w:r>
              <w:rPr>
                <w:color w:val="4D4D4F"/>
              </w:rPr>
              <w:t>and</w:t>
            </w:r>
            <w:r>
              <w:rPr>
                <w:color w:val="4D4D4F"/>
                <w:spacing w:val="4"/>
              </w:rPr>
              <w:t xml:space="preserve"> </w:t>
            </w:r>
            <w:r>
              <w:rPr>
                <w:color w:val="4D4D4F"/>
              </w:rPr>
              <w:t>implementation</w:t>
            </w:r>
            <w:r>
              <w:rPr>
                <w:color w:val="4D4D4F"/>
              </w:rPr>
              <w:tab/>
            </w:r>
            <w:r>
              <w:rPr>
                <w:color w:val="4D4D4F"/>
                <w:spacing w:val="3"/>
              </w:rPr>
              <w:t>30</w:t>
            </w:r>
          </w:hyperlink>
        </w:p>
        <w:p w14:paraId="70CA4B47" w14:textId="77777777" w:rsidR="00EF5B27" w:rsidRDefault="00000000">
          <w:pPr>
            <w:pStyle w:val="TOC3"/>
            <w:tabs>
              <w:tab w:val="right" w:leader="dot" w:pos="9752"/>
            </w:tabs>
          </w:pPr>
          <w:hyperlink w:anchor="_bookmark11" w:history="1">
            <w:r>
              <w:rPr>
                <w:color w:val="4D4D4F"/>
              </w:rPr>
              <w:t>MNES</w:t>
            </w:r>
            <w:r>
              <w:rPr>
                <w:color w:val="4D4D4F"/>
                <w:spacing w:val="4"/>
              </w:rPr>
              <w:t xml:space="preserve"> </w:t>
            </w:r>
            <w:r>
              <w:rPr>
                <w:color w:val="4D4D4F"/>
              </w:rPr>
              <w:t>Conservation</w:t>
            </w:r>
            <w:r>
              <w:rPr>
                <w:color w:val="4D4D4F"/>
                <w:spacing w:val="4"/>
              </w:rPr>
              <w:t xml:space="preserve"> </w:t>
            </w:r>
            <w:r>
              <w:rPr>
                <w:color w:val="4D4D4F"/>
              </w:rPr>
              <w:t>Outcomes</w:t>
            </w:r>
            <w:r>
              <w:rPr>
                <w:color w:val="4D4D4F"/>
              </w:rPr>
              <w:tab/>
              <w:t>37</w:t>
            </w:r>
          </w:hyperlink>
        </w:p>
        <w:p w14:paraId="1BB6CB65" w14:textId="77777777" w:rsidR="00EF5B27" w:rsidRDefault="00000000">
          <w:pPr>
            <w:pStyle w:val="TOC3"/>
            <w:tabs>
              <w:tab w:val="right" w:leader="dot" w:pos="9753"/>
            </w:tabs>
            <w:spacing w:before="93"/>
          </w:pPr>
          <w:hyperlink w:anchor="_bookmark11" w:history="1">
            <w:r>
              <w:rPr>
                <w:color w:val="4D4D4F"/>
              </w:rPr>
              <w:t xml:space="preserve">MNES </w:t>
            </w:r>
            <w:r>
              <w:rPr>
                <w:color w:val="4D4D4F"/>
                <w:spacing w:val="-7"/>
              </w:rPr>
              <w:t xml:space="preserve">1: </w:t>
            </w:r>
            <w:r>
              <w:rPr>
                <w:color w:val="4D4D4F"/>
              </w:rPr>
              <w:t>Natural</w:t>
            </w:r>
            <w:r>
              <w:rPr>
                <w:color w:val="4D4D4F"/>
                <w:spacing w:val="19"/>
              </w:rPr>
              <w:t xml:space="preserve"> </w:t>
            </w:r>
            <w:r>
              <w:rPr>
                <w:color w:val="4D4D4F"/>
              </w:rPr>
              <w:t>Temperate</w:t>
            </w:r>
            <w:r>
              <w:rPr>
                <w:color w:val="4D4D4F"/>
                <w:spacing w:val="4"/>
              </w:rPr>
              <w:t xml:space="preserve"> </w:t>
            </w:r>
            <w:r>
              <w:rPr>
                <w:color w:val="4D4D4F"/>
              </w:rPr>
              <w:t>Grassland</w:t>
            </w:r>
            <w:r>
              <w:rPr>
                <w:color w:val="4D4D4F"/>
              </w:rPr>
              <w:tab/>
              <w:t>37</w:t>
            </w:r>
          </w:hyperlink>
        </w:p>
        <w:p w14:paraId="4EA5AB0C" w14:textId="77777777" w:rsidR="00EF5B27" w:rsidRDefault="00000000">
          <w:pPr>
            <w:pStyle w:val="TOC3"/>
            <w:tabs>
              <w:tab w:val="right" w:leader="dot" w:pos="9758"/>
            </w:tabs>
          </w:pPr>
          <w:hyperlink w:anchor="_bookmark12" w:history="1">
            <w:r>
              <w:rPr>
                <w:color w:val="4D4D4F"/>
              </w:rPr>
              <w:t>MNES 2: Grassy</w:t>
            </w:r>
            <w:r>
              <w:rPr>
                <w:color w:val="4D4D4F"/>
                <w:spacing w:val="12"/>
              </w:rPr>
              <w:t xml:space="preserve"> </w:t>
            </w:r>
            <w:r>
              <w:rPr>
                <w:color w:val="4D4D4F"/>
              </w:rPr>
              <w:t>Eucalypt</w:t>
            </w:r>
            <w:r>
              <w:rPr>
                <w:color w:val="4D4D4F"/>
                <w:spacing w:val="4"/>
              </w:rPr>
              <w:t xml:space="preserve"> </w:t>
            </w:r>
            <w:r>
              <w:rPr>
                <w:color w:val="4D4D4F"/>
              </w:rPr>
              <w:t>Woodland</w:t>
            </w:r>
            <w:r>
              <w:rPr>
                <w:color w:val="4D4D4F"/>
              </w:rPr>
              <w:tab/>
            </w:r>
            <w:r>
              <w:rPr>
                <w:color w:val="4D4D4F"/>
                <w:spacing w:val="7"/>
              </w:rPr>
              <w:t>44</w:t>
            </w:r>
          </w:hyperlink>
        </w:p>
        <w:p w14:paraId="449FBE88" w14:textId="77777777" w:rsidR="00EF5B27" w:rsidRDefault="00000000">
          <w:pPr>
            <w:pStyle w:val="TOC3"/>
            <w:tabs>
              <w:tab w:val="right" w:leader="dot" w:pos="9743"/>
            </w:tabs>
            <w:spacing w:before="93"/>
          </w:pPr>
          <w:hyperlink w:anchor="_bookmark13" w:history="1">
            <w:r>
              <w:rPr>
                <w:color w:val="4D4D4F"/>
              </w:rPr>
              <w:t>MNES 3: Seasonal</w:t>
            </w:r>
            <w:r>
              <w:rPr>
                <w:color w:val="4D4D4F"/>
                <w:spacing w:val="12"/>
              </w:rPr>
              <w:t xml:space="preserve"> </w:t>
            </w:r>
            <w:r>
              <w:rPr>
                <w:color w:val="4D4D4F"/>
              </w:rPr>
              <w:t>Herbaceous</w:t>
            </w:r>
            <w:r>
              <w:rPr>
                <w:color w:val="4D4D4F"/>
                <w:spacing w:val="4"/>
              </w:rPr>
              <w:t xml:space="preserve"> </w:t>
            </w:r>
            <w:r>
              <w:rPr>
                <w:color w:val="4D4D4F"/>
              </w:rPr>
              <w:t>Wetland</w:t>
            </w:r>
            <w:r>
              <w:rPr>
                <w:color w:val="4D4D4F"/>
              </w:rPr>
              <w:tab/>
            </w:r>
            <w:r>
              <w:rPr>
                <w:color w:val="4D4D4F"/>
                <w:spacing w:val="-9"/>
              </w:rPr>
              <w:t>47</w:t>
            </w:r>
          </w:hyperlink>
        </w:p>
        <w:p w14:paraId="3F5D32B6" w14:textId="77777777" w:rsidR="00EF5B27" w:rsidRDefault="00000000">
          <w:pPr>
            <w:pStyle w:val="TOC3"/>
            <w:tabs>
              <w:tab w:val="right" w:leader="dot" w:pos="9754"/>
            </w:tabs>
          </w:pPr>
          <w:hyperlink w:anchor="_bookmark14" w:history="1">
            <w:r>
              <w:rPr>
                <w:color w:val="4D4D4F"/>
              </w:rPr>
              <w:t>MNES 4: Golden</w:t>
            </w:r>
            <w:r>
              <w:rPr>
                <w:color w:val="4D4D4F"/>
                <w:spacing w:val="11"/>
              </w:rPr>
              <w:t xml:space="preserve"> </w:t>
            </w:r>
            <w:r>
              <w:rPr>
                <w:color w:val="4D4D4F"/>
              </w:rPr>
              <w:t>Sun</w:t>
            </w:r>
            <w:r>
              <w:rPr>
                <w:color w:val="4D4D4F"/>
                <w:spacing w:val="3"/>
              </w:rPr>
              <w:t xml:space="preserve"> </w:t>
            </w:r>
            <w:r>
              <w:rPr>
                <w:color w:val="4D4D4F"/>
              </w:rPr>
              <w:t>Moth</w:t>
            </w:r>
            <w:r>
              <w:rPr>
                <w:color w:val="4D4D4F"/>
              </w:rPr>
              <w:tab/>
              <w:t>50</w:t>
            </w:r>
          </w:hyperlink>
        </w:p>
        <w:p w14:paraId="756F38A5" w14:textId="77777777" w:rsidR="00EF5B27" w:rsidRDefault="00000000">
          <w:pPr>
            <w:pStyle w:val="TOC3"/>
            <w:tabs>
              <w:tab w:val="right" w:leader="dot" w:pos="9751"/>
            </w:tabs>
            <w:spacing w:before="93"/>
          </w:pPr>
          <w:hyperlink w:anchor="_bookmark15" w:history="1">
            <w:r>
              <w:rPr>
                <w:color w:val="4D4D4F"/>
              </w:rPr>
              <w:t>MNES 5:</w:t>
            </w:r>
            <w:r>
              <w:rPr>
                <w:color w:val="4D4D4F"/>
                <w:spacing w:val="7"/>
              </w:rPr>
              <w:t xml:space="preserve"> </w:t>
            </w:r>
            <w:r>
              <w:rPr>
                <w:color w:val="4D4D4F"/>
              </w:rPr>
              <w:t>Matted</w:t>
            </w:r>
            <w:r>
              <w:rPr>
                <w:color w:val="4D4D4F"/>
                <w:spacing w:val="4"/>
              </w:rPr>
              <w:t xml:space="preserve"> </w:t>
            </w:r>
            <w:r>
              <w:rPr>
                <w:color w:val="4D4D4F"/>
              </w:rPr>
              <w:t>Flax-lily</w:t>
            </w:r>
            <w:r>
              <w:rPr>
                <w:color w:val="4D4D4F"/>
              </w:rPr>
              <w:tab/>
              <w:t>52</w:t>
            </w:r>
          </w:hyperlink>
        </w:p>
        <w:p w14:paraId="46DD0B8D" w14:textId="77777777" w:rsidR="00EF5B27" w:rsidRDefault="00000000">
          <w:pPr>
            <w:pStyle w:val="TOC3"/>
            <w:tabs>
              <w:tab w:val="right" w:leader="dot" w:pos="9755"/>
            </w:tabs>
          </w:pPr>
          <w:hyperlink w:anchor="_bookmark16" w:history="1">
            <w:r>
              <w:rPr>
                <w:color w:val="4D4D4F"/>
              </w:rPr>
              <w:t>MNES 6:</w:t>
            </w:r>
            <w:r>
              <w:rPr>
                <w:color w:val="4D4D4F"/>
                <w:spacing w:val="8"/>
              </w:rPr>
              <w:t xml:space="preserve"> </w:t>
            </w:r>
            <w:r>
              <w:rPr>
                <w:color w:val="4D4D4F"/>
              </w:rPr>
              <w:t>Spiny</w:t>
            </w:r>
            <w:r>
              <w:rPr>
                <w:color w:val="4D4D4F"/>
                <w:spacing w:val="4"/>
              </w:rPr>
              <w:t xml:space="preserve"> </w:t>
            </w:r>
            <w:r>
              <w:rPr>
                <w:color w:val="4D4D4F"/>
              </w:rPr>
              <w:t>Rice-flower</w:t>
            </w:r>
            <w:r>
              <w:rPr>
                <w:color w:val="4D4D4F"/>
              </w:rPr>
              <w:tab/>
            </w:r>
            <w:r>
              <w:rPr>
                <w:color w:val="4D4D4F"/>
                <w:spacing w:val="3"/>
              </w:rPr>
              <w:t>53</w:t>
            </w:r>
          </w:hyperlink>
        </w:p>
        <w:p w14:paraId="2910F292" w14:textId="77777777" w:rsidR="00EF5B27" w:rsidRDefault="00000000">
          <w:pPr>
            <w:pStyle w:val="TOC3"/>
            <w:tabs>
              <w:tab w:val="right" w:leader="dot" w:pos="9752"/>
            </w:tabs>
            <w:spacing w:before="93"/>
          </w:pPr>
          <w:hyperlink w:anchor="_bookmark17" w:history="1">
            <w:r>
              <w:rPr>
                <w:color w:val="4D4D4F"/>
              </w:rPr>
              <w:t>MNES 7: Southern</w:t>
            </w:r>
            <w:r>
              <w:rPr>
                <w:color w:val="4D4D4F"/>
                <w:spacing w:val="12"/>
              </w:rPr>
              <w:t xml:space="preserve"> </w:t>
            </w:r>
            <w:r>
              <w:rPr>
                <w:color w:val="4D4D4F"/>
              </w:rPr>
              <w:t>Brown</w:t>
            </w:r>
            <w:r>
              <w:rPr>
                <w:color w:val="4D4D4F"/>
                <w:spacing w:val="4"/>
              </w:rPr>
              <w:t xml:space="preserve"> </w:t>
            </w:r>
            <w:r>
              <w:rPr>
                <w:color w:val="4D4D4F"/>
              </w:rPr>
              <w:t>Bandicoot</w:t>
            </w:r>
            <w:r>
              <w:rPr>
                <w:color w:val="4D4D4F"/>
              </w:rPr>
              <w:tab/>
              <w:t>55</w:t>
            </w:r>
          </w:hyperlink>
        </w:p>
        <w:p w14:paraId="0A36966C" w14:textId="77777777" w:rsidR="00EF5B27" w:rsidRDefault="00000000">
          <w:pPr>
            <w:pStyle w:val="TOC3"/>
            <w:tabs>
              <w:tab w:val="right" w:leader="dot" w:pos="9754"/>
            </w:tabs>
          </w:pPr>
          <w:hyperlink w:anchor="_bookmark18" w:history="1">
            <w:r>
              <w:rPr>
                <w:color w:val="4D4D4F"/>
              </w:rPr>
              <w:t>MNES 8: Growling</w:t>
            </w:r>
            <w:r>
              <w:rPr>
                <w:color w:val="4D4D4F"/>
                <w:spacing w:val="13"/>
              </w:rPr>
              <w:t xml:space="preserve"> </w:t>
            </w:r>
            <w:r>
              <w:rPr>
                <w:color w:val="4D4D4F"/>
              </w:rPr>
              <w:t>Grass</w:t>
            </w:r>
            <w:r>
              <w:rPr>
                <w:color w:val="4D4D4F"/>
                <w:spacing w:val="4"/>
              </w:rPr>
              <w:t xml:space="preserve"> </w:t>
            </w:r>
            <w:r>
              <w:rPr>
                <w:color w:val="4D4D4F"/>
              </w:rPr>
              <w:t>Frog</w:t>
            </w:r>
            <w:r>
              <w:rPr>
                <w:color w:val="4D4D4F"/>
              </w:rPr>
              <w:tab/>
              <w:t>56</w:t>
            </w:r>
          </w:hyperlink>
        </w:p>
        <w:p w14:paraId="6B35565E" w14:textId="77777777" w:rsidR="00EF5B27" w:rsidRDefault="00000000">
          <w:pPr>
            <w:pStyle w:val="TOC3"/>
            <w:tabs>
              <w:tab w:val="right" w:leader="dot" w:pos="9750"/>
            </w:tabs>
          </w:pPr>
          <w:hyperlink w:anchor="_bookmark19" w:history="1">
            <w:r>
              <w:rPr>
                <w:color w:val="4D4D4F"/>
              </w:rPr>
              <w:t>MNES 9: Small Golden</w:t>
            </w:r>
            <w:r>
              <w:rPr>
                <w:color w:val="4D4D4F"/>
                <w:spacing w:val="15"/>
              </w:rPr>
              <w:t xml:space="preserve"> </w:t>
            </w:r>
            <w:r>
              <w:rPr>
                <w:color w:val="4D4D4F"/>
              </w:rPr>
              <w:t>Moths</w:t>
            </w:r>
            <w:r>
              <w:rPr>
                <w:color w:val="4D4D4F"/>
                <w:spacing w:val="4"/>
              </w:rPr>
              <w:t xml:space="preserve"> </w:t>
            </w:r>
            <w:r>
              <w:rPr>
                <w:color w:val="4D4D4F"/>
              </w:rPr>
              <w:t>Orchid</w:t>
            </w:r>
            <w:r>
              <w:rPr>
                <w:color w:val="4D4D4F"/>
              </w:rPr>
              <w:tab/>
              <w:t>57</w:t>
            </w:r>
          </w:hyperlink>
        </w:p>
        <w:p w14:paraId="783F49A2" w14:textId="77777777" w:rsidR="00EF5B27" w:rsidRDefault="00000000">
          <w:pPr>
            <w:pStyle w:val="TOC3"/>
            <w:tabs>
              <w:tab w:val="right" w:leader="dot" w:pos="9754"/>
            </w:tabs>
            <w:spacing w:before="93"/>
          </w:pPr>
          <w:hyperlink w:anchor="_bookmark20" w:history="1">
            <w:r>
              <w:rPr>
                <w:color w:val="4D4D4F"/>
                <w:w w:val="105"/>
              </w:rPr>
              <w:t xml:space="preserve">MNES </w:t>
            </w:r>
            <w:r>
              <w:rPr>
                <w:color w:val="4D4D4F"/>
                <w:spacing w:val="-3"/>
                <w:w w:val="105"/>
              </w:rPr>
              <w:t xml:space="preserve">10: </w:t>
            </w:r>
            <w:r>
              <w:rPr>
                <w:color w:val="4D4D4F"/>
                <w:w w:val="105"/>
              </w:rPr>
              <w:t>Striped</w:t>
            </w:r>
            <w:r>
              <w:rPr>
                <w:color w:val="4D4D4F"/>
                <w:spacing w:val="7"/>
                <w:w w:val="105"/>
              </w:rPr>
              <w:t xml:space="preserve"> </w:t>
            </w:r>
            <w:r>
              <w:rPr>
                <w:color w:val="4D4D4F"/>
                <w:w w:val="105"/>
              </w:rPr>
              <w:t>Legless</w:t>
            </w:r>
            <w:r>
              <w:rPr>
                <w:color w:val="4D4D4F"/>
                <w:spacing w:val="1"/>
                <w:w w:val="105"/>
              </w:rPr>
              <w:t xml:space="preserve"> </w:t>
            </w:r>
            <w:r>
              <w:rPr>
                <w:color w:val="4D4D4F"/>
                <w:w w:val="105"/>
              </w:rPr>
              <w:t>Lizard</w:t>
            </w:r>
            <w:r>
              <w:rPr>
                <w:color w:val="4D4D4F"/>
                <w:w w:val="105"/>
              </w:rPr>
              <w:tab/>
            </w:r>
            <w:r>
              <w:rPr>
                <w:color w:val="4D4D4F"/>
                <w:spacing w:val="3"/>
                <w:w w:val="105"/>
              </w:rPr>
              <w:t>58</w:t>
            </w:r>
          </w:hyperlink>
        </w:p>
        <w:p w14:paraId="2EF8C4DD" w14:textId="77777777" w:rsidR="00EF5B27" w:rsidRDefault="00000000">
          <w:pPr>
            <w:pStyle w:val="TOC3"/>
            <w:tabs>
              <w:tab w:val="right" w:leader="dot" w:pos="9752"/>
            </w:tabs>
          </w:pPr>
          <w:hyperlink w:anchor="_bookmark21" w:history="1">
            <w:r>
              <w:rPr>
                <w:color w:val="4D4D4F"/>
              </w:rPr>
              <w:t xml:space="preserve">MNES </w:t>
            </w:r>
            <w:r>
              <w:rPr>
                <w:color w:val="4D4D4F"/>
                <w:spacing w:val="-11"/>
              </w:rPr>
              <w:t>11:</w:t>
            </w:r>
            <w:r>
              <w:rPr>
                <w:color w:val="4D4D4F"/>
                <w:spacing w:val="7"/>
              </w:rPr>
              <w:t xml:space="preserve"> </w:t>
            </w:r>
            <w:r>
              <w:rPr>
                <w:color w:val="4D4D4F"/>
              </w:rPr>
              <w:t>Button</w:t>
            </w:r>
            <w:r>
              <w:rPr>
                <w:color w:val="4D4D4F"/>
                <w:spacing w:val="4"/>
              </w:rPr>
              <w:t xml:space="preserve"> </w:t>
            </w:r>
            <w:r>
              <w:rPr>
                <w:color w:val="4D4D4F"/>
              </w:rPr>
              <w:t>Wrinklewort</w:t>
            </w:r>
            <w:r>
              <w:rPr>
                <w:color w:val="4D4D4F"/>
              </w:rPr>
              <w:tab/>
              <w:t>60</w:t>
            </w:r>
          </w:hyperlink>
        </w:p>
        <w:p w14:paraId="18A51340" w14:textId="77777777" w:rsidR="00EF5B27" w:rsidRDefault="00000000">
          <w:pPr>
            <w:pStyle w:val="TOC3"/>
            <w:tabs>
              <w:tab w:val="right" w:leader="dot" w:pos="9752"/>
            </w:tabs>
            <w:spacing w:before="93"/>
          </w:pPr>
          <w:hyperlink w:anchor="_bookmark22" w:history="1">
            <w:r>
              <w:rPr>
                <w:color w:val="4D4D4F"/>
              </w:rPr>
              <w:t xml:space="preserve">MNES </w:t>
            </w:r>
            <w:r>
              <w:rPr>
                <w:color w:val="4D4D4F"/>
                <w:spacing w:val="-4"/>
              </w:rPr>
              <w:t>12:</w:t>
            </w:r>
            <w:r>
              <w:rPr>
                <w:color w:val="4D4D4F"/>
                <w:spacing w:val="8"/>
              </w:rPr>
              <w:t xml:space="preserve"> </w:t>
            </w:r>
            <w:r>
              <w:rPr>
                <w:color w:val="4D4D4F"/>
              </w:rPr>
              <w:t>Large-fruit</w:t>
            </w:r>
            <w:r>
              <w:rPr>
                <w:color w:val="4D4D4F"/>
                <w:spacing w:val="4"/>
              </w:rPr>
              <w:t xml:space="preserve"> </w:t>
            </w:r>
            <w:r>
              <w:rPr>
                <w:color w:val="4D4D4F"/>
              </w:rPr>
              <w:t>Groundsel</w:t>
            </w:r>
            <w:r>
              <w:rPr>
                <w:color w:val="4D4D4F"/>
              </w:rPr>
              <w:tab/>
            </w:r>
            <w:r>
              <w:rPr>
                <w:color w:val="4D4D4F"/>
                <w:spacing w:val="-8"/>
              </w:rPr>
              <w:t>61</w:t>
            </w:r>
          </w:hyperlink>
        </w:p>
        <w:p w14:paraId="0FE0443C" w14:textId="77777777" w:rsidR="00EF5B27" w:rsidRDefault="00000000">
          <w:pPr>
            <w:pStyle w:val="TOC1"/>
            <w:tabs>
              <w:tab w:val="right" w:leader="dot" w:pos="9752"/>
            </w:tabs>
            <w:ind w:left="114"/>
          </w:pPr>
          <w:hyperlink w:anchor="_bookmark23" w:history="1">
            <w:r>
              <w:rPr>
                <w:color w:val="4D4D4F"/>
                <w:spacing w:val="2"/>
                <w:w w:val="105"/>
              </w:rPr>
              <w:t xml:space="preserve">Part </w:t>
            </w:r>
            <w:r>
              <w:rPr>
                <w:color w:val="4D4D4F"/>
                <w:w w:val="105"/>
              </w:rPr>
              <w:t>2: Scientific</w:t>
            </w:r>
            <w:r>
              <w:rPr>
                <w:color w:val="4D4D4F"/>
                <w:spacing w:val="2"/>
                <w:w w:val="105"/>
              </w:rPr>
              <w:t xml:space="preserve"> </w:t>
            </w:r>
            <w:r>
              <w:rPr>
                <w:color w:val="4D4D4F"/>
                <w:w w:val="105"/>
              </w:rPr>
              <w:t>assessments</w:t>
            </w:r>
            <w:r>
              <w:rPr>
                <w:color w:val="4D4D4F"/>
                <w:w w:val="105"/>
              </w:rPr>
              <w:tab/>
              <w:t>62</w:t>
            </w:r>
          </w:hyperlink>
        </w:p>
        <w:p w14:paraId="29A67E4D" w14:textId="77777777" w:rsidR="00EF5B27" w:rsidRDefault="00000000">
          <w:pPr>
            <w:pStyle w:val="TOC3"/>
            <w:tabs>
              <w:tab w:val="right" w:leader="dot" w:pos="9752"/>
            </w:tabs>
            <w:spacing w:before="93"/>
            <w:ind w:left="398"/>
          </w:pPr>
          <w:hyperlink w:anchor="_bookmark27" w:history="1">
            <w:r>
              <w:rPr>
                <w:color w:val="4D4D4F"/>
              </w:rPr>
              <w:t xml:space="preserve">MNES </w:t>
            </w:r>
            <w:r>
              <w:rPr>
                <w:color w:val="4D4D4F"/>
                <w:spacing w:val="-7"/>
              </w:rPr>
              <w:t xml:space="preserve">1: </w:t>
            </w:r>
            <w:r>
              <w:rPr>
                <w:color w:val="4D4D4F"/>
              </w:rPr>
              <w:t>Natural</w:t>
            </w:r>
            <w:r>
              <w:rPr>
                <w:color w:val="4D4D4F"/>
                <w:spacing w:val="19"/>
              </w:rPr>
              <w:t xml:space="preserve"> </w:t>
            </w:r>
            <w:r>
              <w:rPr>
                <w:color w:val="4D4D4F"/>
              </w:rPr>
              <w:t>Temperate</w:t>
            </w:r>
            <w:r>
              <w:rPr>
                <w:color w:val="4D4D4F"/>
                <w:spacing w:val="4"/>
              </w:rPr>
              <w:t xml:space="preserve"> </w:t>
            </w:r>
            <w:r>
              <w:rPr>
                <w:color w:val="4D4D4F"/>
              </w:rPr>
              <w:t>Grassland</w:t>
            </w:r>
            <w:r>
              <w:rPr>
                <w:color w:val="4D4D4F"/>
              </w:rPr>
              <w:tab/>
              <w:t>73</w:t>
            </w:r>
          </w:hyperlink>
        </w:p>
        <w:p w14:paraId="734814E7" w14:textId="77777777" w:rsidR="00EF5B27" w:rsidRDefault="00000000">
          <w:pPr>
            <w:pStyle w:val="TOC3"/>
            <w:tabs>
              <w:tab w:val="right" w:leader="dot" w:pos="9755"/>
            </w:tabs>
            <w:ind w:left="398"/>
          </w:pPr>
          <w:hyperlink w:anchor="_bookmark37" w:history="1">
            <w:r>
              <w:rPr>
                <w:color w:val="4D4D4F"/>
              </w:rPr>
              <w:t>MNES 2: Grassy</w:t>
            </w:r>
            <w:r>
              <w:rPr>
                <w:color w:val="4D4D4F"/>
                <w:spacing w:val="12"/>
              </w:rPr>
              <w:t xml:space="preserve"> </w:t>
            </w:r>
            <w:r>
              <w:rPr>
                <w:color w:val="4D4D4F"/>
              </w:rPr>
              <w:t>Eucalypt</w:t>
            </w:r>
            <w:r>
              <w:rPr>
                <w:color w:val="4D4D4F"/>
                <w:spacing w:val="4"/>
              </w:rPr>
              <w:t xml:space="preserve"> </w:t>
            </w:r>
            <w:r>
              <w:rPr>
                <w:color w:val="4D4D4F"/>
              </w:rPr>
              <w:t>Woodland</w:t>
            </w:r>
            <w:r>
              <w:rPr>
                <w:color w:val="4D4D4F"/>
              </w:rPr>
              <w:tab/>
            </w:r>
            <w:r>
              <w:rPr>
                <w:color w:val="4D4D4F"/>
                <w:spacing w:val="3"/>
              </w:rPr>
              <w:t>88</w:t>
            </w:r>
          </w:hyperlink>
        </w:p>
        <w:p w14:paraId="2F56E651" w14:textId="77777777" w:rsidR="00EF5B27" w:rsidRDefault="00000000">
          <w:pPr>
            <w:pStyle w:val="TOC3"/>
            <w:tabs>
              <w:tab w:val="right" w:leader="dot" w:pos="9746"/>
            </w:tabs>
            <w:spacing w:before="93"/>
            <w:ind w:left="398"/>
          </w:pPr>
          <w:hyperlink w:anchor="_bookmark39" w:history="1">
            <w:r>
              <w:rPr>
                <w:color w:val="4D4D4F"/>
              </w:rPr>
              <w:t>MNES 3: Seasonal</w:t>
            </w:r>
            <w:r>
              <w:rPr>
                <w:color w:val="4D4D4F"/>
                <w:spacing w:val="12"/>
              </w:rPr>
              <w:t xml:space="preserve"> </w:t>
            </w:r>
            <w:r>
              <w:rPr>
                <w:color w:val="4D4D4F"/>
              </w:rPr>
              <w:t>Herbaceous</w:t>
            </w:r>
            <w:r>
              <w:rPr>
                <w:color w:val="4D4D4F"/>
                <w:spacing w:val="4"/>
              </w:rPr>
              <w:t xml:space="preserve"> </w:t>
            </w:r>
            <w:r>
              <w:rPr>
                <w:color w:val="4D4D4F"/>
              </w:rPr>
              <w:t>Wetlands</w:t>
            </w:r>
            <w:r>
              <w:rPr>
                <w:color w:val="4D4D4F"/>
              </w:rPr>
              <w:tab/>
            </w:r>
            <w:r>
              <w:rPr>
                <w:color w:val="4D4D4F"/>
                <w:spacing w:val="-6"/>
              </w:rPr>
              <w:t>94</w:t>
            </w:r>
          </w:hyperlink>
        </w:p>
        <w:p w14:paraId="33CE89C4" w14:textId="77777777" w:rsidR="00EF5B27" w:rsidRDefault="00000000">
          <w:pPr>
            <w:pStyle w:val="TOC3"/>
            <w:tabs>
              <w:tab w:val="right" w:leader="dot" w:pos="9752"/>
            </w:tabs>
            <w:ind w:left="398"/>
          </w:pPr>
          <w:hyperlink w:anchor="_bookmark45" w:history="1">
            <w:r>
              <w:rPr>
                <w:color w:val="4D4D4F"/>
              </w:rPr>
              <w:t>MNES 4: Golden</w:t>
            </w:r>
            <w:r>
              <w:rPr>
                <w:color w:val="4D4D4F"/>
                <w:spacing w:val="11"/>
              </w:rPr>
              <w:t xml:space="preserve"> </w:t>
            </w:r>
            <w:r>
              <w:rPr>
                <w:color w:val="4D4D4F"/>
              </w:rPr>
              <w:t>Sun</w:t>
            </w:r>
            <w:r>
              <w:rPr>
                <w:color w:val="4D4D4F"/>
                <w:spacing w:val="3"/>
              </w:rPr>
              <w:t xml:space="preserve"> </w:t>
            </w:r>
            <w:r>
              <w:rPr>
                <w:color w:val="4D4D4F"/>
              </w:rPr>
              <w:t>Moth</w:t>
            </w:r>
            <w:r>
              <w:rPr>
                <w:color w:val="4D4D4F"/>
              </w:rPr>
              <w:tab/>
            </w:r>
            <w:r>
              <w:rPr>
                <w:color w:val="4D4D4F"/>
                <w:spacing w:val="-2"/>
              </w:rPr>
              <w:t>103</w:t>
            </w:r>
          </w:hyperlink>
        </w:p>
        <w:p w14:paraId="158803F7" w14:textId="77777777" w:rsidR="00EF5B27" w:rsidRDefault="00000000">
          <w:pPr>
            <w:pStyle w:val="TOC3"/>
            <w:tabs>
              <w:tab w:val="right" w:leader="dot" w:pos="9752"/>
            </w:tabs>
            <w:spacing w:before="93"/>
            <w:ind w:left="398"/>
          </w:pPr>
          <w:hyperlink w:anchor="_bookmark48" w:history="1">
            <w:r>
              <w:rPr>
                <w:color w:val="4D4D4F"/>
              </w:rPr>
              <w:t>MNES 5:</w:t>
            </w:r>
            <w:r>
              <w:rPr>
                <w:color w:val="4D4D4F"/>
                <w:spacing w:val="7"/>
              </w:rPr>
              <w:t xml:space="preserve"> </w:t>
            </w:r>
            <w:r>
              <w:rPr>
                <w:color w:val="4D4D4F"/>
              </w:rPr>
              <w:t>Matted</w:t>
            </w:r>
            <w:r>
              <w:rPr>
                <w:color w:val="4D4D4F"/>
                <w:spacing w:val="4"/>
              </w:rPr>
              <w:t xml:space="preserve"> </w:t>
            </w:r>
            <w:r>
              <w:rPr>
                <w:color w:val="4D4D4F"/>
              </w:rPr>
              <w:t>Flax-lily</w:t>
            </w:r>
            <w:r>
              <w:rPr>
                <w:color w:val="4D4D4F"/>
              </w:rPr>
              <w:tab/>
            </w:r>
            <w:r>
              <w:rPr>
                <w:color w:val="4D4D4F"/>
                <w:spacing w:val="-3"/>
              </w:rPr>
              <w:t>109</w:t>
            </w:r>
          </w:hyperlink>
        </w:p>
        <w:p w14:paraId="1E0CD374" w14:textId="77777777" w:rsidR="00EF5B27" w:rsidRDefault="00000000">
          <w:pPr>
            <w:pStyle w:val="TOC3"/>
            <w:tabs>
              <w:tab w:val="right" w:leader="dot" w:pos="9752"/>
            </w:tabs>
            <w:ind w:left="398"/>
          </w:pPr>
          <w:hyperlink w:anchor="_bookmark51" w:history="1">
            <w:r>
              <w:rPr>
                <w:color w:val="4D4D4F"/>
              </w:rPr>
              <w:t>MNES 6:</w:t>
            </w:r>
            <w:r>
              <w:rPr>
                <w:color w:val="4D4D4F"/>
                <w:spacing w:val="8"/>
              </w:rPr>
              <w:t xml:space="preserve"> </w:t>
            </w:r>
            <w:r>
              <w:rPr>
                <w:color w:val="4D4D4F"/>
              </w:rPr>
              <w:t>Spiny</w:t>
            </w:r>
            <w:r>
              <w:rPr>
                <w:color w:val="4D4D4F"/>
                <w:spacing w:val="4"/>
              </w:rPr>
              <w:t xml:space="preserve"> </w:t>
            </w:r>
            <w:r>
              <w:rPr>
                <w:color w:val="4D4D4F"/>
              </w:rPr>
              <w:t>Rice-flower</w:t>
            </w:r>
            <w:r>
              <w:rPr>
                <w:color w:val="4D4D4F"/>
              </w:rPr>
              <w:tab/>
            </w:r>
            <w:r>
              <w:rPr>
                <w:color w:val="4D4D4F"/>
                <w:spacing w:val="-11"/>
              </w:rPr>
              <w:t>115</w:t>
            </w:r>
          </w:hyperlink>
        </w:p>
        <w:p w14:paraId="6D18CFDF" w14:textId="77777777" w:rsidR="00EF5B27" w:rsidRDefault="00000000">
          <w:pPr>
            <w:pStyle w:val="TOC3"/>
            <w:tabs>
              <w:tab w:val="right" w:leader="dot" w:pos="9752"/>
            </w:tabs>
            <w:ind w:left="398"/>
          </w:pPr>
          <w:hyperlink w:anchor="_bookmark56" w:history="1">
            <w:r>
              <w:rPr>
                <w:color w:val="4D4D4F"/>
              </w:rPr>
              <w:t>MNES 7: Southern</w:t>
            </w:r>
            <w:r>
              <w:rPr>
                <w:color w:val="4D4D4F"/>
                <w:spacing w:val="12"/>
              </w:rPr>
              <w:t xml:space="preserve"> </w:t>
            </w:r>
            <w:r>
              <w:rPr>
                <w:color w:val="4D4D4F"/>
              </w:rPr>
              <w:t>Brown</w:t>
            </w:r>
            <w:r>
              <w:rPr>
                <w:color w:val="4D4D4F"/>
                <w:spacing w:val="4"/>
              </w:rPr>
              <w:t xml:space="preserve"> </w:t>
            </w:r>
            <w:r>
              <w:rPr>
                <w:color w:val="4D4D4F"/>
              </w:rPr>
              <w:t>Bandicoot</w:t>
            </w:r>
            <w:r>
              <w:rPr>
                <w:color w:val="4D4D4F"/>
              </w:rPr>
              <w:tab/>
            </w:r>
            <w:r>
              <w:rPr>
                <w:color w:val="4D4D4F"/>
                <w:spacing w:val="-3"/>
              </w:rPr>
              <w:t>122</w:t>
            </w:r>
          </w:hyperlink>
        </w:p>
        <w:p w14:paraId="6BEB89D5" w14:textId="77777777" w:rsidR="00EF5B27" w:rsidRDefault="00000000">
          <w:pPr>
            <w:pStyle w:val="TOC3"/>
            <w:tabs>
              <w:tab w:val="right" w:leader="dot" w:pos="9752"/>
            </w:tabs>
            <w:spacing w:before="93"/>
            <w:ind w:left="398"/>
          </w:pPr>
          <w:hyperlink w:anchor="_bookmark59" w:history="1">
            <w:r>
              <w:rPr>
                <w:color w:val="4D4D4F"/>
              </w:rPr>
              <w:t>MNES 8: Growling</w:t>
            </w:r>
            <w:r>
              <w:rPr>
                <w:color w:val="4D4D4F"/>
                <w:spacing w:val="13"/>
              </w:rPr>
              <w:t xml:space="preserve"> </w:t>
            </w:r>
            <w:r>
              <w:rPr>
                <w:color w:val="4D4D4F"/>
              </w:rPr>
              <w:t>Grass</w:t>
            </w:r>
            <w:r>
              <w:rPr>
                <w:color w:val="4D4D4F"/>
                <w:spacing w:val="4"/>
              </w:rPr>
              <w:t xml:space="preserve"> </w:t>
            </w:r>
            <w:r>
              <w:rPr>
                <w:color w:val="4D4D4F"/>
              </w:rPr>
              <w:t>Frog</w:t>
            </w:r>
            <w:r>
              <w:rPr>
                <w:color w:val="4D4D4F"/>
              </w:rPr>
              <w:tab/>
            </w:r>
            <w:r>
              <w:rPr>
                <w:color w:val="4D4D4F"/>
                <w:spacing w:val="-4"/>
              </w:rPr>
              <w:t>128</w:t>
            </w:r>
          </w:hyperlink>
        </w:p>
        <w:p w14:paraId="461398E7" w14:textId="77777777" w:rsidR="00EF5B27" w:rsidRDefault="00000000">
          <w:pPr>
            <w:pStyle w:val="TOC3"/>
            <w:tabs>
              <w:tab w:val="right" w:leader="dot" w:pos="9752"/>
            </w:tabs>
            <w:ind w:left="398"/>
          </w:pPr>
          <w:hyperlink w:anchor="_bookmark61" w:history="1">
            <w:r>
              <w:rPr>
                <w:color w:val="4D4D4F"/>
              </w:rPr>
              <w:t>MNES 9: Small Golden</w:t>
            </w:r>
            <w:r>
              <w:rPr>
                <w:color w:val="4D4D4F"/>
                <w:spacing w:val="15"/>
              </w:rPr>
              <w:t xml:space="preserve"> </w:t>
            </w:r>
            <w:r>
              <w:rPr>
                <w:color w:val="4D4D4F"/>
              </w:rPr>
              <w:t>Moths</w:t>
            </w:r>
            <w:r>
              <w:rPr>
                <w:color w:val="4D4D4F"/>
                <w:spacing w:val="4"/>
              </w:rPr>
              <w:t xml:space="preserve"> </w:t>
            </w:r>
            <w:r>
              <w:rPr>
                <w:color w:val="4D4D4F"/>
              </w:rPr>
              <w:t>Orchid</w:t>
            </w:r>
            <w:r>
              <w:rPr>
                <w:color w:val="4D4D4F"/>
              </w:rPr>
              <w:tab/>
            </w:r>
            <w:r>
              <w:rPr>
                <w:color w:val="4D4D4F"/>
                <w:spacing w:val="-2"/>
              </w:rPr>
              <w:t>134</w:t>
            </w:r>
          </w:hyperlink>
        </w:p>
        <w:p w14:paraId="78DDBEBD" w14:textId="77777777" w:rsidR="00EF5B27" w:rsidRDefault="00000000">
          <w:pPr>
            <w:pStyle w:val="TOC3"/>
            <w:tabs>
              <w:tab w:val="right" w:leader="dot" w:pos="9752"/>
            </w:tabs>
            <w:spacing w:before="93"/>
            <w:ind w:left="398"/>
          </w:pPr>
          <w:hyperlink w:anchor="_bookmark63" w:history="1">
            <w:r>
              <w:rPr>
                <w:color w:val="4D4D4F"/>
              </w:rPr>
              <w:t xml:space="preserve">MNES </w:t>
            </w:r>
            <w:r>
              <w:rPr>
                <w:color w:val="4D4D4F"/>
                <w:spacing w:val="-3"/>
              </w:rPr>
              <w:t xml:space="preserve">10: </w:t>
            </w:r>
            <w:r>
              <w:rPr>
                <w:color w:val="4D4D4F"/>
              </w:rPr>
              <w:t>Striped</w:t>
            </w:r>
            <w:r>
              <w:rPr>
                <w:color w:val="4D4D4F"/>
                <w:spacing w:val="16"/>
              </w:rPr>
              <w:t xml:space="preserve"> </w:t>
            </w:r>
            <w:r>
              <w:rPr>
                <w:color w:val="4D4D4F"/>
              </w:rPr>
              <w:t>Legless</w:t>
            </w:r>
            <w:r>
              <w:rPr>
                <w:color w:val="4D4D4F"/>
                <w:spacing w:val="5"/>
              </w:rPr>
              <w:t xml:space="preserve"> </w:t>
            </w:r>
            <w:r>
              <w:rPr>
                <w:color w:val="4D4D4F"/>
              </w:rPr>
              <w:t>Lizard</w:t>
            </w:r>
            <w:r>
              <w:rPr>
                <w:color w:val="4D4D4F"/>
              </w:rPr>
              <w:tab/>
            </w:r>
            <w:r>
              <w:rPr>
                <w:color w:val="4D4D4F"/>
                <w:spacing w:val="-4"/>
              </w:rPr>
              <w:t>137</w:t>
            </w:r>
          </w:hyperlink>
        </w:p>
        <w:p w14:paraId="6DEB5D48" w14:textId="77777777" w:rsidR="00EF5B27" w:rsidRDefault="00000000">
          <w:pPr>
            <w:pStyle w:val="TOC3"/>
            <w:tabs>
              <w:tab w:val="right" w:leader="dot" w:pos="9739"/>
            </w:tabs>
            <w:ind w:left="398"/>
          </w:pPr>
          <w:hyperlink w:anchor="_bookmark67" w:history="1">
            <w:r>
              <w:rPr>
                <w:color w:val="4D4D4F"/>
              </w:rPr>
              <w:t xml:space="preserve">MNES </w:t>
            </w:r>
            <w:r>
              <w:rPr>
                <w:color w:val="4D4D4F"/>
                <w:spacing w:val="-11"/>
              </w:rPr>
              <w:t>11:</w:t>
            </w:r>
            <w:r>
              <w:rPr>
                <w:color w:val="4D4D4F"/>
                <w:spacing w:val="7"/>
              </w:rPr>
              <w:t xml:space="preserve"> </w:t>
            </w:r>
            <w:r>
              <w:rPr>
                <w:color w:val="4D4D4F"/>
              </w:rPr>
              <w:t>Button</w:t>
            </w:r>
            <w:r>
              <w:rPr>
                <w:color w:val="4D4D4F"/>
                <w:spacing w:val="4"/>
              </w:rPr>
              <w:t xml:space="preserve"> </w:t>
            </w:r>
            <w:r>
              <w:rPr>
                <w:color w:val="4D4D4F"/>
              </w:rPr>
              <w:t>Wrinklewort</w:t>
            </w:r>
            <w:r>
              <w:rPr>
                <w:color w:val="4D4D4F"/>
              </w:rPr>
              <w:tab/>
            </w:r>
            <w:r>
              <w:rPr>
                <w:color w:val="4D4D4F"/>
                <w:spacing w:val="-12"/>
              </w:rPr>
              <w:t>141</w:t>
            </w:r>
          </w:hyperlink>
        </w:p>
        <w:p w14:paraId="79668079" w14:textId="77777777" w:rsidR="00EF5B27" w:rsidRDefault="00000000">
          <w:pPr>
            <w:pStyle w:val="TOC3"/>
            <w:tabs>
              <w:tab w:val="right" w:leader="dot" w:pos="9752"/>
            </w:tabs>
            <w:spacing w:before="88"/>
            <w:ind w:left="398"/>
          </w:pPr>
          <w:hyperlink w:anchor="_bookmark69" w:history="1">
            <w:r>
              <w:rPr>
                <w:color w:val="4D4D4F"/>
              </w:rPr>
              <w:t xml:space="preserve">MNES </w:t>
            </w:r>
            <w:r>
              <w:rPr>
                <w:color w:val="4D4D4F"/>
                <w:spacing w:val="-4"/>
              </w:rPr>
              <w:t>12:</w:t>
            </w:r>
            <w:r>
              <w:rPr>
                <w:color w:val="4D4D4F"/>
                <w:spacing w:val="8"/>
              </w:rPr>
              <w:t xml:space="preserve"> </w:t>
            </w:r>
            <w:r>
              <w:rPr>
                <w:color w:val="4D4D4F"/>
              </w:rPr>
              <w:t>Large-fruit</w:t>
            </w:r>
            <w:r>
              <w:rPr>
                <w:color w:val="4D4D4F"/>
                <w:spacing w:val="4"/>
              </w:rPr>
              <w:t xml:space="preserve"> </w:t>
            </w:r>
            <w:r>
              <w:rPr>
                <w:color w:val="4D4D4F"/>
              </w:rPr>
              <w:t>Groundsel</w:t>
            </w:r>
            <w:r>
              <w:rPr>
                <w:color w:val="4D4D4F"/>
              </w:rPr>
              <w:tab/>
              <w:t>146</w:t>
            </w:r>
          </w:hyperlink>
        </w:p>
        <w:p w14:paraId="6C5BA2C2" w14:textId="77777777" w:rsidR="00EF5B27" w:rsidRDefault="00000000">
          <w:pPr>
            <w:pStyle w:val="TOC1"/>
            <w:tabs>
              <w:tab w:val="right" w:leader="dot" w:pos="9752"/>
            </w:tabs>
            <w:spacing w:before="90"/>
            <w:ind w:left="114"/>
          </w:pPr>
          <w:hyperlink w:anchor="_bookmark71" w:history="1">
            <w:r>
              <w:rPr>
                <w:color w:val="4D4D4F"/>
              </w:rPr>
              <w:t>Appendix 1 – Historical and</w:t>
            </w:r>
            <w:r>
              <w:rPr>
                <w:color w:val="4D4D4F"/>
                <w:spacing w:val="21"/>
              </w:rPr>
              <w:t xml:space="preserve"> </w:t>
            </w:r>
            <w:r>
              <w:rPr>
                <w:color w:val="4D4D4F"/>
              </w:rPr>
              <w:t>legislative</w:t>
            </w:r>
            <w:r>
              <w:rPr>
                <w:color w:val="4D4D4F"/>
                <w:spacing w:val="5"/>
              </w:rPr>
              <w:t xml:space="preserve"> </w:t>
            </w:r>
            <w:r>
              <w:rPr>
                <w:color w:val="4D4D4F"/>
              </w:rPr>
              <w:t>context</w:t>
            </w:r>
            <w:r>
              <w:rPr>
                <w:color w:val="4D4D4F"/>
              </w:rPr>
              <w:tab/>
            </w:r>
            <w:r>
              <w:rPr>
                <w:color w:val="4D4D4F"/>
                <w:spacing w:val="-4"/>
              </w:rPr>
              <w:t>150</w:t>
            </w:r>
          </w:hyperlink>
        </w:p>
        <w:p w14:paraId="127FCF9C" w14:textId="77777777" w:rsidR="00EF5B27" w:rsidRDefault="00000000">
          <w:pPr>
            <w:pStyle w:val="TOC1"/>
            <w:tabs>
              <w:tab w:val="right" w:leader="dot" w:pos="9752"/>
            </w:tabs>
            <w:spacing w:before="93"/>
            <w:ind w:left="114"/>
          </w:pPr>
          <w:hyperlink w:anchor="_bookmark76" w:history="1">
            <w:r>
              <w:rPr>
                <w:color w:val="4D4D4F"/>
              </w:rPr>
              <w:t xml:space="preserve">Appendix 2 – Summary of MNES monitoring methods and changes to MRF </w:t>
            </w:r>
            <w:r>
              <w:rPr>
                <w:color w:val="4D4D4F"/>
                <w:spacing w:val="9"/>
              </w:rPr>
              <w:t xml:space="preserve"> </w:t>
            </w:r>
            <w:r>
              <w:rPr>
                <w:color w:val="4D4D4F"/>
              </w:rPr>
              <w:t>since</w:t>
            </w:r>
            <w:r>
              <w:rPr>
                <w:color w:val="4D4D4F"/>
                <w:spacing w:val="4"/>
              </w:rPr>
              <w:t xml:space="preserve"> </w:t>
            </w:r>
            <w:r>
              <w:rPr>
                <w:color w:val="4D4D4F"/>
                <w:spacing w:val="-4"/>
              </w:rPr>
              <w:t>2015</w:t>
            </w:r>
            <w:r>
              <w:rPr>
                <w:color w:val="4D4D4F"/>
                <w:spacing w:val="-4"/>
              </w:rPr>
              <w:tab/>
            </w:r>
            <w:r>
              <w:rPr>
                <w:color w:val="4D4D4F"/>
                <w:spacing w:val="-5"/>
              </w:rPr>
              <w:t>170</w:t>
            </w:r>
          </w:hyperlink>
        </w:p>
      </w:sdtContent>
    </w:sdt>
    <w:p w14:paraId="4C4C5323" w14:textId="77777777" w:rsidR="00EF5B27" w:rsidRDefault="00EF5B27">
      <w:pPr>
        <w:sectPr w:rsidR="00EF5B27">
          <w:pgSz w:w="11910" w:h="16840"/>
          <w:pgMar w:top="1080" w:right="1020" w:bottom="860" w:left="1020" w:header="530" w:footer="678" w:gutter="0"/>
          <w:cols w:space="720"/>
        </w:sectPr>
      </w:pPr>
    </w:p>
    <w:p w14:paraId="271E39C9" w14:textId="77777777" w:rsidR="00EF5B27" w:rsidRDefault="00000000">
      <w:pPr>
        <w:pStyle w:val="BodyText"/>
        <w:rPr>
          <w:b/>
          <w:sz w:val="52"/>
        </w:rPr>
      </w:pPr>
      <w:r>
        <w:lastRenderedPageBreak/>
        <w:pict w14:anchorId="32A7D9F4">
          <v:group id="_x0000_s4650" style="position:absolute;margin-left:587.05pt;margin-top:183.4pt;width:8.25pt;height:153.1pt;z-index:251316736;mso-position-horizontal-relative:page;mso-position-vertical-relative:page" coordorigin="11741,3668" coordsize="165,3062">
            <v:shape id="_x0000_s4657" style="position:absolute;left:11741;top:3668;width:165;height:561" coordorigin="11741,3668" coordsize="165,561" path="m11906,3668r-165,l11741,4228r165,-18l11906,3668xe" fillcolor="#00aed9" stroked="f">
              <v:path arrowok="t"/>
            </v:shape>
            <v:shape id="_x0000_s4656" style="position:absolute;left:11741;top:4118;width:165;height:425" coordorigin="11741,4118" coordsize="165,425" path="m11906,4118r-165,14l11741,4531r165,12l11906,4118xe" fillcolor="#047ebc" stroked="f">
              <v:path arrowok="t"/>
            </v:shape>
            <v:shape id="_x0000_s4655" type="#_x0000_t75" style="position:absolute;left:11741;top:4355;width:165;height:587">
              <v:imagedata r:id="rId30" o:title=""/>
            </v:shape>
            <v:shape id="_x0000_s4654" style="position:absolute;left:11741;top:5343;width:165;height:536" coordorigin="11741,5343" coordsize="165,536" path="m11741,5343r,535l11906,5872r,-525l11741,5343xe" fillcolor="#f36a2e" stroked="f">
              <v:path arrowok="t"/>
            </v:shape>
            <v:shape id="_x0000_s4653" style="position:absolute;left:11741;top:4925;width:165;height:501" coordorigin="11741,4926" coordsize="165,501" path="m11741,4926r,500l11906,5426r,-485l11741,4926xe" fillcolor="#49783f" stroked="f">
              <v:path arrowok="t"/>
            </v:shape>
            <v:shape id="_x0000_s4652" style="position:absolute;left:11741;top:5781;width:165;height:268" coordorigin="11741,5782" coordsize="165,268" path="m11906,5782r-165,8l11741,6039r165,10l11906,5782xe" fillcolor="#f99f2a" stroked="f">
              <v:path arrowok="t"/>
            </v:shape>
            <v:shape id="_x0000_s4651" style="position:absolute;left:11741;top:6023;width:165;height:707" coordorigin="11741,6023" coordsize="165,707" path="m11741,6023r,706l11906,6729r,-690l11741,6023xe" fillcolor="#ef412c" stroked="f">
              <v:path arrowok="t"/>
            </v:shape>
            <w10:wrap anchorx="page" anchory="page"/>
          </v:group>
        </w:pict>
      </w:r>
    </w:p>
    <w:p w14:paraId="4D9BA637" w14:textId="77777777" w:rsidR="00EF5B27" w:rsidRDefault="00EF5B27">
      <w:pPr>
        <w:pStyle w:val="BodyText"/>
        <w:spacing w:before="9"/>
        <w:rPr>
          <w:b/>
          <w:sz w:val="38"/>
        </w:rPr>
      </w:pPr>
    </w:p>
    <w:p w14:paraId="67446FC8" w14:textId="77777777" w:rsidR="00EF5B27" w:rsidRDefault="00000000">
      <w:pPr>
        <w:pStyle w:val="Heading2"/>
        <w:spacing w:before="0"/>
      </w:pPr>
      <w:bookmarkStart w:id="2" w:name="_bookmark2"/>
      <w:bookmarkEnd w:id="2"/>
      <w:r>
        <w:rPr>
          <w:color w:val="F99F2A"/>
        </w:rPr>
        <w:t>Acronyms and abbreviations</w:t>
      </w:r>
    </w:p>
    <w:p w14:paraId="478149C3" w14:textId="77777777" w:rsidR="00EF5B27" w:rsidRDefault="00EF5B27">
      <w:pPr>
        <w:pStyle w:val="BodyText"/>
        <w:spacing w:before="5"/>
        <w:rPr>
          <w:b/>
          <w:sz w:val="76"/>
        </w:rPr>
      </w:pPr>
    </w:p>
    <w:p w14:paraId="45F78C37" w14:textId="77777777" w:rsidR="00EF5B27" w:rsidRDefault="00000000">
      <w:pPr>
        <w:pStyle w:val="Heading3"/>
        <w:ind w:left="113"/>
      </w:pPr>
      <w:r>
        <w:rPr>
          <w:color w:val="F99F2A"/>
          <w:w w:val="105"/>
        </w:rPr>
        <w:t>Acronyms</w:t>
      </w:r>
    </w:p>
    <w:p w14:paraId="44CAF3AB" w14:textId="77777777" w:rsidR="00EF5B27" w:rsidRDefault="00000000">
      <w:pPr>
        <w:pStyle w:val="BodyText"/>
        <w:tabs>
          <w:tab w:val="left" w:leader="dot" w:pos="7954"/>
        </w:tabs>
        <w:spacing w:before="241"/>
        <w:ind w:left="113"/>
      </w:pPr>
      <w:r>
        <w:rPr>
          <w:color w:val="4D4D4F"/>
        </w:rPr>
        <w:t>ARI</w:t>
      </w:r>
      <w:r>
        <w:rPr>
          <w:color w:val="4D4D4F"/>
        </w:rPr>
        <w:tab/>
        <w:t>Arthur  Rylah</w:t>
      </w:r>
      <w:r>
        <w:rPr>
          <w:color w:val="4D4D4F"/>
          <w:spacing w:val="-12"/>
        </w:rPr>
        <w:t xml:space="preserve"> </w:t>
      </w:r>
      <w:r>
        <w:rPr>
          <w:color w:val="4D4D4F"/>
        </w:rPr>
        <w:t>Institute</w:t>
      </w:r>
    </w:p>
    <w:p w14:paraId="38F2D138" w14:textId="77777777" w:rsidR="00EF5B27" w:rsidRDefault="00000000">
      <w:pPr>
        <w:pStyle w:val="BodyText"/>
        <w:tabs>
          <w:tab w:val="left" w:leader="dot" w:pos="5150"/>
        </w:tabs>
        <w:spacing w:before="92"/>
        <w:ind w:left="113"/>
      </w:pPr>
      <w:r>
        <w:rPr>
          <w:color w:val="4D4D4F"/>
          <w:w w:val="105"/>
        </w:rPr>
        <w:t>CES</w:t>
      </w:r>
      <w:r>
        <w:rPr>
          <w:color w:val="4D4D4F"/>
          <w:w w:val="105"/>
        </w:rPr>
        <w:tab/>
      </w:r>
      <w:r>
        <w:rPr>
          <w:color w:val="4D4D4F"/>
        </w:rPr>
        <w:t>Commissioner for Environmental Sustainability,</w:t>
      </w:r>
      <w:r>
        <w:rPr>
          <w:color w:val="4D4D4F"/>
          <w:spacing w:val="43"/>
        </w:rPr>
        <w:t xml:space="preserve"> </w:t>
      </w:r>
      <w:r>
        <w:rPr>
          <w:color w:val="4D4D4F"/>
        </w:rPr>
        <w:t>Victoria</w:t>
      </w:r>
    </w:p>
    <w:p w14:paraId="565132F9" w14:textId="77777777" w:rsidR="00EF5B27" w:rsidRDefault="00000000">
      <w:pPr>
        <w:pStyle w:val="BodyText"/>
        <w:tabs>
          <w:tab w:val="left" w:leader="dot" w:pos="6865"/>
        </w:tabs>
        <w:spacing w:before="93"/>
        <w:ind w:left="113"/>
      </w:pPr>
      <w:r>
        <w:rPr>
          <w:color w:val="4D4D4F"/>
          <w:spacing w:val="2"/>
          <w:w w:val="105"/>
        </w:rPr>
        <w:t>BCS</w:t>
      </w:r>
      <w:r>
        <w:rPr>
          <w:color w:val="4D4D4F"/>
          <w:spacing w:val="2"/>
          <w:w w:val="105"/>
        </w:rPr>
        <w:tab/>
      </w:r>
      <w:r>
        <w:rPr>
          <w:color w:val="4D4D4F"/>
          <w:w w:val="105"/>
        </w:rPr>
        <w:t>Biodiversity</w:t>
      </w:r>
      <w:r>
        <w:rPr>
          <w:color w:val="4D4D4F"/>
          <w:spacing w:val="-31"/>
          <w:w w:val="105"/>
        </w:rPr>
        <w:t xml:space="preserve"> </w:t>
      </w:r>
      <w:r>
        <w:rPr>
          <w:color w:val="4D4D4F"/>
          <w:w w:val="105"/>
        </w:rPr>
        <w:t>Conservation</w:t>
      </w:r>
      <w:r>
        <w:rPr>
          <w:color w:val="4D4D4F"/>
          <w:spacing w:val="-30"/>
          <w:w w:val="105"/>
        </w:rPr>
        <w:t xml:space="preserve"> </w:t>
      </w:r>
      <w:r>
        <w:rPr>
          <w:color w:val="4D4D4F"/>
          <w:w w:val="105"/>
        </w:rPr>
        <w:t>Strategy</w:t>
      </w:r>
    </w:p>
    <w:p w14:paraId="041D6E4D" w14:textId="77777777" w:rsidR="00EF5B27" w:rsidRDefault="00000000">
      <w:pPr>
        <w:pStyle w:val="BodyText"/>
        <w:tabs>
          <w:tab w:val="left" w:leader="dot" w:pos="8151"/>
        </w:tabs>
        <w:spacing w:before="92"/>
        <w:ind w:left="113"/>
      </w:pPr>
      <w:r>
        <w:rPr>
          <w:color w:val="4D4D4F"/>
        </w:rPr>
        <w:t>CI</w:t>
      </w:r>
      <w:r>
        <w:rPr>
          <w:color w:val="4D4D4F"/>
        </w:rPr>
        <w:tab/>
        <w:t>Confidence</w:t>
      </w:r>
      <w:r>
        <w:rPr>
          <w:color w:val="4D4D4F"/>
          <w:spacing w:val="4"/>
        </w:rPr>
        <w:t xml:space="preserve"> </w:t>
      </w:r>
      <w:r>
        <w:rPr>
          <w:color w:val="4D4D4F"/>
        </w:rPr>
        <w:t>Interval</w:t>
      </w:r>
    </w:p>
    <w:p w14:paraId="781D2C67" w14:textId="77777777" w:rsidR="00EF5B27" w:rsidRDefault="00000000">
      <w:pPr>
        <w:pStyle w:val="BodyText"/>
        <w:tabs>
          <w:tab w:val="left" w:leader="dot" w:pos="4443"/>
        </w:tabs>
        <w:spacing w:before="93"/>
        <w:ind w:left="113"/>
      </w:pPr>
      <w:r>
        <w:rPr>
          <w:color w:val="4D4D4F"/>
        </w:rPr>
        <w:t>DELWP</w:t>
      </w:r>
      <w:r>
        <w:rPr>
          <w:color w:val="4D4D4F"/>
        </w:rPr>
        <w:tab/>
        <w:t>Victorian Department of Environment, Land, Water and</w:t>
      </w:r>
      <w:r>
        <w:rPr>
          <w:color w:val="4D4D4F"/>
          <w:spacing w:val="17"/>
        </w:rPr>
        <w:t xml:space="preserve"> </w:t>
      </w:r>
      <w:r>
        <w:rPr>
          <w:color w:val="4D4D4F"/>
        </w:rPr>
        <w:t>Planning</w:t>
      </w:r>
    </w:p>
    <w:p w14:paraId="123D609C" w14:textId="77777777" w:rsidR="00EF5B27" w:rsidRDefault="00000000">
      <w:pPr>
        <w:pStyle w:val="BodyText"/>
        <w:tabs>
          <w:tab w:val="left" w:leader="dot" w:pos="5490"/>
        </w:tabs>
        <w:spacing w:before="92"/>
        <w:ind w:left="113"/>
      </w:pPr>
      <w:r>
        <w:rPr>
          <w:color w:val="4D4D4F"/>
        </w:rPr>
        <w:t>DEPI</w:t>
      </w:r>
      <w:r>
        <w:rPr>
          <w:color w:val="4D4D4F"/>
        </w:rPr>
        <w:tab/>
        <w:t xml:space="preserve">Department of Environment and Primary </w:t>
      </w:r>
      <w:r>
        <w:rPr>
          <w:color w:val="4D4D4F"/>
          <w:spacing w:val="13"/>
        </w:rPr>
        <w:t xml:space="preserve"> </w:t>
      </w:r>
      <w:r>
        <w:rPr>
          <w:color w:val="4D4D4F"/>
        </w:rPr>
        <w:t>Industries</w:t>
      </w:r>
    </w:p>
    <w:p w14:paraId="57AFF771" w14:textId="77777777" w:rsidR="00EF5B27" w:rsidRDefault="00000000">
      <w:pPr>
        <w:pStyle w:val="BodyText"/>
        <w:tabs>
          <w:tab w:val="left" w:leader="dot" w:pos="7529"/>
        </w:tabs>
        <w:spacing w:before="93"/>
        <w:ind w:left="114"/>
      </w:pPr>
      <w:r>
        <w:rPr>
          <w:color w:val="4D4D4F"/>
          <w:w w:val="105"/>
        </w:rPr>
        <w:t>KPI</w:t>
      </w:r>
      <w:r>
        <w:rPr>
          <w:color w:val="4D4D4F"/>
          <w:w w:val="105"/>
        </w:rPr>
        <w:tab/>
      </w:r>
      <w:r>
        <w:rPr>
          <w:color w:val="4D4D4F"/>
        </w:rPr>
        <w:t>Key  Performance Indicator</w:t>
      </w:r>
    </w:p>
    <w:p w14:paraId="14B4A1CA" w14:textId="77777777" w:rsidR="00EF5B27" w:rsidRDefault="00000000">
      <w:pPr>
        <w:pStyle w:val="BodyText"/>
        <w:tabs>
          <w:tab w:val="left" w:leader="dot" w:pos="7797"/>
        </w:tabs>
        <w:spacing w:before="92"/>
        <w:ind w:left="114"/>
      </w:pPr>
      <w:r>
        <w:rPr>
          <w:color w:val="4D4D4F"/>
        </w:rPr>
        <w:t>LGA</w:t>
      </w:r>
      <w:r>
        <w:rPr>
          <w:color w:val="4D4D4F"/>
        </w:rPr>
        <w:tab/>
        <w:t>Local  Government</w:t>
      </w:r>
      <w:r>
        <w:rPr>
          <w:color w:val="4D4D4F"/>
          <w:spacing w:val="-15"/>
        </w:rPr>
        <w:t xml:space="preserve"> </w:t>
      </w:r>
      <w:r>
        <w:rPr>
          <w:color w:val="4D4D4F"/>
        </w:rPr>
        <w:t>Area</w:t>
      </w:r>
    </w:p>
    <w:p w14:paraId="70AF7FE5" w14:textId="77777777" w:rsidR="00EF5B27" w:rsidRDefault="00000000">
      <w:pPr>
        <w:pStyle w:val="BodyText"/>
        <w:tabs>
          <w:tab w:val="left" w:leader="dot" w:pos="5885"/>
        </w:tabs>
        <w:spacing w:before="93"/>
        <w:ind w:left="114"/>
      </w:pPr>
      <w:r>
        <w:rPr>
          <w:color w:val="4D4D4F"/>
        </w:rPr>
        <w:t>MNES</w:t>
      </w:r>
      <w:r>
        <w:rPr>
          <w:color w:val="4D4D4F"/>
        </w:rPr>
        <w:tab/>
        <w:t>Matters of National Environmental</w:t>
      </w:r>
      <w:r>
        <w:rPr>
          <w:color w:val="4D4D4F"/>
          <w:spacing w:val="9"/>
        </w:rPr>
        <w:t xml:space="preserve"> </w:t>
      </w:r>
      <w:r>
        <w:rPr>
          <w:color w:val="4D4D4F"/>
        </w:rPr>
        <w:t>Significance</w:t>
      </w:r>
    </w:p>
    <w:p w14:paraId="17CA7944" w14:textId="77777777" w:rsidR="00EF5B27" w:rsidRDefault="00000000">
      <w:pPr>
        <w:pStyle w:val="BodyText"/>
        <w:tabs>
          <w:tab w:val="left" w:leader="dot" w:pos="6713"/>
        </w:tabs>
        <w:spacing w:before="92"/>
        <w:ind w:left="114"/>
      </w:pPr>
      <w:r>
        <w:rPr>
          <w:color w:val="4D4D4F"/>
        </w:rPr>
        <w:t>MRF</w:t>
      </w:r>
      <w:r>
        <w:rPr>
          <w:color w:val="4D4D4F"/>
        </w:rPr>
        <w:tab/>
        <w:t>Monitoring and reporting</w:t>
      </w:r>
      <w:r>
        <w:rPr>
          <w:color w:val="4D4D4F"/>
          <w:spacing w:val="10"/>
        </w:rPr>
        <w:t xml:space="preserve"> </w:t>
      </w:r>
      <w:r>
        <w:rPr>
          <w:color w:val="4D4D4F"/>
        </w:rPr>
        <w:t>framework</w:t>
      </w:r>
    </w:p>
    <w:p w14:paraId="4D9AEFF5" w14:textId="77777777" w:rsidR="00EF5B27" w:rsidRDefault="00000000">
      <w:pPr>
        <w:pStyle w:val="BodyText"/>
        <w:tabs>
          <w:tab w:val="left" w:leader="dot" w:pos="7014"/>
        </w:tabs>
        <w:spacing w:before="93"/>
        <w:ind w:left="114"/>
      </w:pPr>
      <w:r>
        <w:rPr>
          <w:color w:val="4D4D4F"/>
        </w:rPr>
        <w:t>MSA</w:t>
      </w:r>
      <w:r>
        <w:rPr>
          <w:color w:val="4D4D4F"/>
        </w:rPr>
        <w:tab/>
        <w:t>Melbourne  Strategic</w:t>
      </w:r>
      <w:r>
        <w:rPr>
          <w:color w:val="4D4D4F"/>
          <w:spacing w:val="8"/>
        </w:rPr>
        <w:t xml:space="preserve"> </w:t>
      </w:r>
      <w:r>
        <w:rPr>
          <w:color w:val="4D4D4F"/>
        </w:rPr>
        <w:t>Assessment</w:t>
      </w:r>
    </w:p>
    <w:p w14:paraId="4BF46411" w14:textId="77777777" w:rsidR="00EF5B27" w:rsidRDefault="00000000">
      <w:pPr>
        <w:pStyle w:val="BodyText"/>
        <w:tabs>
          <w:tab w:val="left" w:leader="dot" w:pos="8750"/>
        </w:tabs>
        <w:spacing w:before="92"/>
        <w:ind w:left="114"/>
      </w:pPr>
      <w:r>
        <w:rPr>
          <w:color w:val="4D4D4F"/>
          <w:spacing w:val="-2"/>
          <w:w w:val="105"/>
        </w:rPr>
        <w:t>NNL</w:t>
      </w:r>
      <w:r>
        <w:rPr>
          <w:color w:val="4D4D4F"/>
          <w:spacing w:val="-2"/>
          <w:w w:val="105"/>
        </w:rPr>
        <w:tab/>
      </w:r>
      <w:r>
        <w:rPr>
          <w:color w:val="4D4D4F"/>
          <w:w w:val="105"/>
        </w:rPr>
        <w:t>No Net</w:t>
      </w:r>
      <w:r>
        <w:rPr>
          <w:color w:val="4D4D4F"/>
          <w:spacing w:val="-18"/>
          <w:w w:val="105"/>
        </w:rPr>
        <w:t xml:space="preserve"> </w:t>
      </w:r>
      <w:r>
        <w:rPr>
          <w:color w:val="4D4D4F"/>
          <w:w w:val="105"/>
        </w:rPr>
        <w:t>Loss</w:t>
      </w:r>
    </w:p>
    <w:p w14:paraId="79AFC6C0" w14:textId="77777777" w:rsidR="00EF5B27" w:rsidRDefault="00000000">
      <w:pPr>
        <w:pStyle w:val="BodyText"/>
        <w:tabs>
          <w:tab w:val="left" w:leader="dot" w:pos="7608"/>
        </w:tabs>
        <w:spacing w:before="93"/>
        <w:ind w:left="114"/>
      </w:pPr>
      <w:r>
        <w:rPr>
          <w:color w:val="4D4D4F"/>
          <w:spacing w:val="-3"/>
        </w:rPr>
        <w:t>PAO</w:t>
      </w:r>
      <w:r>
        <w:rPr>
          <w:color w:val="4D4D4F"/>
          <w:spacing w:val="-3"/>
        </w:rPr>
        <w:tab/>
      </w:r>
      <w:r>
        <w:rPr>
          <w:color w:val="4D4D4F"/>
        </w:rPr>
        <w:t>Public Acquisition</w:t>
      </w:r>
      <w:r>
        <w:rPr>
          <w:color w:val="4D4D4F"/>
          <w:spacing w:val="23"/>
        </w:rPr>
        <w:t xml:space="preserve"> </w:t>
      </w:r>
      <w:r>
        <w:rPr>
          <w:color w:val="4D4D4F"/>
        </w:rPr>
        <w:t>Overlay</w:t>
      </w:r>
    </w:p>
    <w:p w14:paraId="6768A723" w14:textId="77777777" w:rsidR="00EF5B27" w:rsidRDefault="00000000">
      <w:pPr>
        <w:pStyle w:val="BodyText"/>
        <w:tabs>
          <w:tab w:val="left" w:leader="dot" w:pos="7429"/>
        </w:tabs>
        <w:spacing w:before="92"/>
        <w:ind w:left="114"/>
      </w:pPr>
      <w:r>
        <w:rPr>
          <w:color w:val="4D4D4F"/>
          <w:spacing w:val="-6"/>
          <w:w w:val="105"/>
        </w:rPr>
        <w:t>PVA</w:t>
      </w:r>
      <w:r>
        <w:rPr>
          <w:color w:val="4D4D4F"/>
          <w:spacing w:val="-6"/>
          <w:w w:val="105"/>
        </w:rPr>
        <w:tab/>
      </w:r>
      <w:r>
        <w:rPr>
          <w:color w:val="4D4D4F"/>
        </w:rPr>
        <w:t>Population Viability</w:t>
      </w:r>
      <w:r>
        <w:rPr>
          <w:color w:val="4D4D4F"/>
          <w:spacing w:val="23"/>
        </w:rPr>
        <w:t xml:space="preserve"> </w:t>
      </w:r>
      <w:r>
        <w:rPr>
          <w:color w:val="4D4D4F"/>
        </w:rPr>
        <w:t>Analysis</w:t>
      </w:r>
    </w:p>
    <w:p w14:paraId="34E0DF6E" w14:textId="77777777" w:rsidR="00EF5B27" w:rsidRDefault="00000000">
      <w:pPr>
        <w:pStyle w:val="BodyText"/>
        <w:tabs>
          <w:tab w:val="left" w:leader="dot" w:pos="6875"/>
        </w:tabs>
        <w:spacing w:before="92"/>
        <w:ind w:left="114"/>
      </w:pPr>
      <w:r>
        <w:rPr>
          <w:color w:val="4D4D4F"/>
        </w:rPr>
        <w:t>SPOM</w:t>
      </w:r>
      <w:r>
        <w:rPr>
          <w:color w:val="4D4D4F"/>
        </w:rPr>
        <w:tab/>
        <w:t>Stochastic Patch Occupancy</w:t>
      </w:r>
      <w:r>
        <w:rPr>
          <w:color w:val="4D4D4F"/>
          <w:spacing w:val="29"/>
        </w:rPr>
        <w:t xml:space="preserve"> </w:t>
      </w:r>
      <w:r>
        <w:rPr>
          <w:color w:val="4D4D4F"/>
        </w:rPr>
        <w:t>Model</w:t>
      </w:r>
    </w:p>
    <w:p w14:paraId="31E84026" w14:textId="77777777" w:rsidR="00EF5B27" w:rsidRDefault="00000000">
      <w:pPr>
        <w:pStyle w:val="BodyText"/>
        <w:tabs>
          <w:tab w:val="left" w:leader="dot" w:pos="7528"/>
        </w:tabs>
        <w:spacing w:before="93"/>
        <w:ind w:left="114"/>
      </w:pPr>
      <w:r>
        <w:rPr>
          <w:color w:val="4D4D4F"/>
        </w:rPr>
        <w:t>STM</w:t>
      </w:r>
      <w:r>
        <w:rPr>
          <w:color w:val="4D4D4F"/>
        </w:rPr>
        <w:tab/>
      </w:r>
      <w:r>
        <w:rPr>
          <w:color w:val="4D4D4F"/>
          <w:spacing w:val="-1"/>
        </w:rPr>
        <w:t>State-and-Transition</w:t>
      </w:r>
      <w:r>
        <w:rPr>
          <w:color w:val="4D4D4F"/>
          <w:spacing w:val="-5"/>
        </w:rPr>
        <w:t xml:space="preserve"> </w:t>
      </w:r>
      <w:r>
        <w:rPr>
          <w:color w:val="4D4D4F"/>
        </w:rPr>
        <w:t>Model</w:t>
      </w:r>
    </w:p>
    <w:p w14:paraId="35F1CCB2" w14:textId="77777777" w:rsidR="00EF5B27" w:rsidRDefault="00000000">
      <w:pPr>
        <w:pStyle w:val="BodyText"/>
        <w:tabs>
          <w:tab w:val="left" w:leader="dot" w:pos="7707"/>
        </w:tabs>
        <w:spacing w:before="92"/>
        <w:ind w:left="114"/>
      </w:pPr>
      <w:r>
        <w:rPr>
          <w:color w:val="4D4D4F"/>
        </w:rPr>
        <w:t>UGB</w:t>
      </w:r>
      <w:r>
        <w:rPr>
          <w:color w:val="4D4D4F"/>
        </w:rPr>
        <w:tab/>
        <w:t>Urban  Growth</w:t>
      </w:r>
      <w:r>
        <w:rPr>
          <w:color w:val="4D4D4F"/>
          <w:spacing w:val="-6"/>
        </w:rPr>
        <w:t xml:space="preserve"> </w:t>
      </w:r>
      <w:r>
        <w:rPr>
          <w:color w:val="4D4D4F"/>
        </w:rPr>
        <w:t>Boundary</w:t>
      </w:r>
    </w:p>
    <w:p w14:paraId="184688CE" w14:textId="77777777" w:rsidR="00EF5B27" w:rsidRDefault="00000000">
      <w:pPr>
        <w:pStyle w:val="BodyText"/>
        <w:tabs>
          <w:tab w:val="left" w:leader="dot" w:pos="7005"/>
        </w:tabs>
        <w:spacing w:before="93"/>
        <w:ind w:left="114"/>
      </w:pPr>
      <w:r>
        <w:rPr>
          <w:color w:val="4D4D4F"/>
          <w:spacing w:val="-3"/>
        </w:rPr>
        <w:t>VAGO</w:t>
      </w:r>
      <w:r>
        <w:rPr>
          <w:color w:val="4D4D4F"/>
          <w:spacing w:val="-3"/>
        </w:rPr>
        <w:tab/>
      </w:r>
      <w:r>
        <w:rPr>
          <w:color w:val="4D4D4F"/>
        </w:rPr>
        <w:t>Victorian Auditor-General’s</w:t>
      </w:r>
      <w:r>
        <w:rPr>
          <w:color w:val="4D4D4F"/>
          <w:spacing w:val="-23"/>
        </w:rPr>
        <w:t xml:space="preserve"> </w:t>
      </w:r>
      <w:r>
        <w:rPr>
          <w:color w:val="4D4D4F"/>
        </w:rPr>
        <w:t>Office</w:t>
      </w:r>
    </w:p>
    <w:p w14:paraId="64FB0CE4" w14:textId="77777777" w:rsidR="00EF5B27" w:rsidRDefault="00EF5B27">
      <w:pPr>
        <w:pStyle w:val="BodyText"/>
        <w:rPr>
          <w:sz w:val="24"/>
        </w:rPr>
      </w:pPr>
    </w:p>
    <w:p w14:paraId="0E2A80AA" w14:textId="77777777" w:rsidR="00EF5B27" w:rsidRDefault="00000000">
      <w:pPr>
        <w:pStyle w:val="Heading3"/>
        <w:spacing w:before="182"/>
        <w:ind w:left="113"/>
      </w:pPr>
      <w:r>
        <w:rPr>
          <w:color w:val="F99F2A"/>
        </w:rPr>
        <w:t>Abbreviations</w:t>
      </w:r>
    </w:p>
    <w:p w14:paraId="0F96BA93" w14:textId="77777777" w:rsidR="00EF5B27" w:rsidRDefault="00000000">
      <w:pPr>
        <w:spacing w:before="241"/>
        <w:ind w:left="113"/>
        <w:rPr>
          <w:rFonts w:ascii="Arial Narrow" w:hAnsi="Arial Narrow"/>
          <w:i/>
          <w:sz w:val="20"/>
        </w:rPr>
      </w:pPr>
      <w:r>
        <w:rPr>
          <w:color w:val="4D4D4F"/>
          <w:sz w:val="20"/>
        </w:rPr>
        <w:t>MSA</w:t>
      </w:r>
      <w:r>
        <w:rPr>
          <w:color w:val="4D4D4F"/>
          <w:spacing w:val="-2"/>
          <w:sz w:val="20"/>
        </w:rPr>
        <w:t xml:space="preserve"> </w:t>
      </w:r>
      <w:r>
        <w:rPr>
          <w:color w:val="4D4D4F"/>
          <w:sz w:val="20"/>
        </w:rPr>
        <w:t>Outcomes</w:t>
      </w:r>
      <w:r>
        <w:rPr>
          <w:color w:val="4D4D4F"/>
          <w:spacing w:val="-2"/>
          <w:sz w:val="20"/>
        </w:rPr>
        <w:t xml:space="preserve"> </w:t>
      </w:r>
      <w:r>
        <w:rPr>
          <w:color w:val="4D4D4F"/>
          <w:sz w:val="20"/>
        </w:rPr>
        <w:t>Report</w:t>
      </w:r>
      <w:r>
        <w:rPr>
          <w:color w:val="4D4D4F"/>
          <w:spacing w:val="-2"/>
          <w:sz w:val="20"/>
        </w:rPr>
        <w:t xml:space="preserve"> </w:t>
      </w:r>
      <w:r>
        <w:rPr>
          <w:color w:val="4D4D4F"/>
          <w:spacing w:val="-3"/>
          <w:sz w:val="20"/>
        </w:rPr>
        <w:t>2014–2020</w:t>
      </w:r>
      <w:r>
        <w:rPr>
          <w:color w:val="4D4D4F"/>
          <w:spacing w:val="-15"/>
          <w:sz w:val="20"/>
        </w:rPr>
        <w:t xml:space="preserve"> </w:t>
      </w:r>
      <w:r>
        <w:rPr>
          <w:color w:val="4D4D4F"/>
          <w:sz w:val="20"/>
        </w:rPr>
        <w:t>....................................................</w:t>
      </w:r>
      <w:r>
        <w:rPr>
          <w:color w:val="4D4D4F"/>
          <w:spacing w:val="-20"/>
          <w:sz w:val="20"/>
        </w:rPr>
        <w:t xml:space="preserve"> </w:t>
      </w:r>
      <w:r>
        <w:rPr>
          <w:rFonts w:ascii="Arial Narrow" w:hAnsi="Arial Narrow"/>
          <w:i/>
          <w:color w:val="4D4D4F"/>
          <w:sz w:val="20"/>
        </w:rPr>
        <w:t>the</w:t>
      </w:r>
      <w:r>
        <w:rPr>
          <w:rFonts w:ascii="Arial Narrow" w:hAnsi="Arial Narrow"/>
          <w:i/>
          <w:color w:val="4D4D4F"/>
          <w:spacing w:val="-2"/>
          <w:sz w:val="20"/>
        </w:rPr>
        <w:t xml:space="preserve"> </w:t>
      </w:r>
      <w:r>
        <w:rPr>
          <w:rFonts w:ascii="Arial Narrow" w:hAnsi="Arial Narrow"/>
          <w:i/>
          <w:color w:val="4D4D4F"/>
          <w:spacing w:val="-3"/>
          <w:sz w:val="20"/>
        </w:rPr>
        <w:t>MSA</w:t>
      </w:r>
      <w:r>
        <w:rPr>
          <w:rFonts w:ascii="Arial Narrow" w:hAnsi="Arial Narrow"/>
          <w:i/>
          <w:color w:val="4D4D4F"/>
          <w:spacing w:val="-2"/>
          <w:sz w:val="20"/>
        </w:rPr>
        <w:t xml:space="preserve"> </w:t>
      </w:r>
      <w:r>
        <w:rPr>
          <w:rFonts w:ascii="Arial Narrow" w:hAnsi="Arial Narrow"/>
          <w:i/>
          <w:color w:val="4D4D4F"/>
          <w:sz w:val="20"/>
        </w:rPr>
        <w:t>Ecological</w:t>
      </w:r>
      <w:r>
        <w:rPr>
          <w:rFonts w:ascii="Arial Narrow" w:hAnsi="Arial Narrow"/>
          <w:i/>
          <w:color w:val="4D4D4F"/>
          <w:spacing w:val="-1"/>
          <w:sz w:val="20"/>
        </w:rPr>
        <w:t xml:space="preserve"> </w:t>
      </w:r>
      <w:r>
        <w:rPr>
          <w:rFonts w:ascii="Arial Narrow" w:hAnsi="Arial Narrow"/>
          <w:i/>
          <w:color w:val="4D4D4F"/>
          <w:sz w:val="20"/>
        </w:rPr>
        <w:t>Outcomes</w:t>
      </w:r>
      <w:r>
        <w:rPr>
          <w:rFonts w:ascii="Arial Narrow" w:hAnsi="Arial Narrow"/>
          <w:i/>
          <w:color w:val="4D4D4F"/>
          <w:spacing w:val="-2"/>
          <w:sz w:val="20"/>
        </w:rPr>
        <w:t xml:space="preserve"> </w:t>
      </w:r>
      <w:r>
        <w:rPr>
          <w:rFonts w:ascii="Arial Narrow" w:hAnsi="Arial Narrow"/>
          <w:i/>
          <w:color w:val="4D4D4F"/>
          <w:sz w:val="20"/>
        </w:rPr>
        <w:t>Report</w:t>
      </w:r>
      <w:r>
        <w:rPr>
          <w:rFonts w:ascii="Arial Narrow" w:hAnsi="Arial Narrow"/>
          <w:i/>
          <w:color w:val="4D4D4F"/>
          <w:spacing w:val="-2"/>
          <w:sz w:val="20"/>
        </w:rPr>
        <w:t xml:space="preserve"> </w:t>
      </w:r>
      <w:r>
        <w:rPr>
          <w:rFonts w:ascii="Arial Narrow" w:hAnsi="Arial Narrow"/>
          <w:i/>
          <w:color w:val="4D4D4F"/>
          <w:spacing w:val="-7"/>
          <w:sz w:val="20"/>
        </w:rPr>
        <w:t>2014-15</w:t>
      </w:r>
      <w:r>
        <w:rPr>
          <w:rFonts w:ascii="Arial Narrow" w:hAnsi="Arial Narrow"/>
          <w:i/>
          <w:color w:val="4D4D4F"/>
          <w:spacing w:val="-2"/>
          <w:sz w:val="20"/>
        </w:rPr>
        <w:t xml:space="preserve"> </w:t>
      </w:r>
      <w:r>
        <w:rPr>
          <w:rFonts w:ascii="Arial Narrow" w:hAnsi="Arial Narrow"/>
          <w:i/>
          <w:color w:val="4D4D4F"/>
          <w:spacing w:val="-3"/>
          <w:sz w:val="20"/>
        </w:rPr>
        <w:t>to</w:t>
      </w:r>
      <w:r>
        <w:rPr>
          <w:rFonts w:ascii="Arial Narrow" w:hAnsi="Arial Narrow"/>
          <w:i/>
          <w:color w:val="4D4D4F"/>
          <w:spacing w:val="-2"/>
          <w:sz w:val="20"/>
        </w:rPr>
        <w:t xml:space="preserve"> </w:t>
      </w:r>
      <w:r>
        <w:rPr>
          <w:rFonts w:ascii="Arial Narrow" w:hAnsi="Arial Narrow"/>
          <w:i/>
          <w:color w:val="4D4D4F"/>
          <w:spacing w:val="-6"/>
          <w:sz w:val="20"/>
        </w:rPr>
        <w:t>2019–20</w:t>
      </w:r>
    </w:p>
    <w:p w14:paraId="24805173" w14:textId="77777777" w:rsidR="00EF5B27" w:rsidRDefault="00000000">
      <w:pPr>
        <w:tabs>
          <w:tab w:val="left" w:leader="dot" w:pos="6464"/>
        </w:tabs>
        <w:spacing w:before="92"/>
        <w:ind w:left="113"/>
        <w:rPr>
          <w:rFonts w:ascii="Arial Narrow"/>
          <w:i/>
          <w:sz w:val="20"/>
        </w:rPr>
      </w:pPr>
      <w:r>
        <w:rPr>
          <w:color w:val="4D4D4F"/>
          <w:w w:val="115"/>
          <w:sz w:val="20"/>
        </w:rPr>
        <w:t>CaLP</w:t>
      </w:r>
      <w:r>
        <w:rPr>
          <w:color w:val="4D4D4F"/>
          <w:spacing w:val="-19"/>
          <w:w w:val="115"/>
          <w:sz w:val="20"/>
        </w:rPr>
        <w:t xml:space="preserve"> </w:t>
      </w:r>
      <w:r>
        <w:rPr>
          <w:color w:val="4D4D4F"/>
          <w:w w:val="115"/>
          <w:sz w:val="20"/>
        </w:rPr>
        <w:t>Act</w:t>
      </w:r>
      <w:r>
        <w:rPr>
          <w:color w:val="4D4D4F"/>
          <w:w w:val="115"/>
          <w:sz w:val="20"/>
        </w:rPr>
        <w:tab/>
      </w:r>
      <w:r>
        <w:rPr>
          <w:rFonts w:ascii="Arial Narrow"/>
          <w:i/>
          <w:color w:val="4D4D4F"/>
          <w:spacing w:val="-2"/>
          <w:w w:val="115"/>
          <w:sz w:val="20"/>
        </w:rPr>
        <w:t>Catchment</w:t>
      </w:r>
      <w:r>
        <w:rPr>
          <w:rFonts w:ascii="Arial Narrow"/>
          <w:i/>
          <w:color w:val="4D4D4F"/>
          <w:spacing w:val="-21"/>
          <w:w w:val="115"/>
          <w:sz w:val="20"/>
        </w:rPr>
        <w:t xml:space="preserve"> </w:t>
      </w:r>
      <w:r>
        <w:rPr>
          <w:rFonts w:ascii="Arial Narrow"/>
          <w:i/>
          <w:color w:val="4D4D4F"/>
          <w:w w:val="115"/>
          <w:sz w:val="20"/>
        </w:rPr>
        <w:t>and</w:t>
      </w:r>
      <w:r>
        <w:rPr>
          <w:rFonts w:ascii="Arial Narrow"/>
          <w:i/>
          <w:color w:val="4D4D4F"/>
          <w:spacing w:val="-21"/>
          <w:w w:val="115"/>
          <w:sz w:val="20"/>
        </w:rPr>
        <w:t xml:space="preserve"> </w:t>
      </w:r>
      <w:r>
        <w:rPr>
          <w:rFonts w:ascii="Arial Narrow"/>
          <w:i/>
          <w:color w:val="4D4D4F"/>
          <w:w w:val="115"/>
          <w:sz w:val="20"/>
        </w:rPr>
        <w:t>Land</w:t>
      </w:r>
      <w:r>
        <w:rPr>
          <w:rFonts w:ascii="Arial Narrow"/>
          <w:i/>
          <w:color w:val="4D4D4F"/>
          <w:spacing w:val="-21"/>
          <w:w w:val="115"/>
          <w:sz w:val="20"/>
        </w:rPr>
        <w:t xml:space="preserve"> </w:t>
      </w:r>
      <w:r>
        <w:rPr>
          <w:rFonts w:ascii="Arial Narrow"/>
          <w:i/>
          <w:color w:val="4D4D4F"/>
          <w:spacing w:val="-3"/>
          <w:w w:val="115"/>
          <w:sz w:val="20"/>
        </w:rPr>
        <w:t>Protection</w:t>
      </w:r>
      <w:r>
        <w:rPr>
          <w:rFonts w:ascii="Arial Narrow"/>
          <w:i/>
          <w:color w:val="4D4D4F"/>
          <w:spacing w:val="-22"/>
          <w:w w:val="115"/>
          <w:sz w:val="20"/>
        </w:rPr>
        <w:t xml:space="preserve"> </w:t>
      </w:r>
      <w:r>
        <w:rPr>
          <w:rFonts w:ascii="Arial Narrow"/>
          <w:i/>
          <w:color w:val="4D4D4F"/>
          <w:w w:val="115"/>
          <w:sz w:val="20"/>
        </w:rPr>
        <w:t>Act</w:t>
      </w:r>
      <w:r>
        <w:rPr>
          <w:rFonts w:ascii="Arial Narrow"/>
          <w:i/>
          <w:color w:val="4D4D4F"/>
          <w:spacing w:val="-21"/>
          <w:w w:val="115"/>
          <w:sz w:val="20"/>
        </w:rPr>
        <w:t xml:space="preserve"> </w:t>
      </w:r>
      <w:r>
        <w:rPr>
          <w:rFonts w:ascii="Arial Narrow"/>
          <w:i/>
          <w:color w:val="4D4D4F"/>
          <w:spacing w:val="-7"/>
          <w:w w:val="115"/>
          <w:sz w:val="20"/>
        </w:rPr>
        <w:t>1994</w:t>
      </w:r>
    </w:p>
    <w:p w14:paraId="69C17D85" w14:textId="77777777" w:rsidR="00EF5B27" w:rsidRDefault="00000000">
      <w:pPr>
        <w:tabs>
          <w:tab w:val="left" w:leader="dot" w:pos="5172"/>
        </w:tabs>
        <w:spacing w:before="93"/>
        <w:ind w:left="113"/>
        <w:rPr>
          <w:rFonts w:ascii="Arial Narrow"/>
          <w:i/>
          <w:sz w:val="20"/>
        </w:rPr>
      </w:pPr>
      <w:r>
        <w:rPr>
          <w:color w:val="4D4D4F"/>
          <w:w w:val="115"/>
          <w:sz w:val="20"/>
        </w:rPr>
        <w:t>CES</w:t>
      </w:r>
      <w:r>
        <w:rPr>
          <w:color w:val="4D4D4F"/>
          <w:spacing w:val="-16"/>
          <w:w w:val="115"/>
          <w:sz w:val="20"/>
        </w:rPr>
        <w:t xml:space="preserve"> </w:t>
      </w:r>
      <w:r>
        <w:rPr>
          <w:color w:val="4D4D4F"/>
          <w:w w:val="115"/>
          <w:sz w:val="20"/>
        </w:rPr>
        <w:t>Act</w:t>
      </w:r>
      <w:r>
        <w:rPr>
          <w:color w:val="4D4D4F"/>
          <w:w w:val="115"/>
          <w:sz w:val="20"/>
        </w:rPr>
        <w:tab/>
      </w:r>
      <w:r>
        <w:rPr>
          <w:rFonts w:ascii="Arial Narrow"/>
          <w:i/>
          <w:color w:val="4D4D4F"/>
          <w:w w:val="115"/>
          <w:sz w:val="20"/>
        </w:rPr>
        <w:t>Commissioner</w:t>
      </w:r>
      <w:r>
        <w:rPr>
          <w:rFonts w:ascii="Arial Narrow"/>
          <w:i/>
          <w:color w:val="4D4D4F"/>
          <w:spacing w:val="-11"/>
          <w:w w:val="115"/>
          <w:sz w:val="20"/>
        </w:rPr>
        <w:t xml:space="preserve"> </w:t>
      </w:r>
      <w:r>
        <w:rPr>
          <w:rFonts w:ascii="Arial Narrow"/>
          <w:i/>
          <w:color w:val="4D4D4F"/>
          <w:w w:val="115"/>
          <w:sz w:val="20"/>
        </w:rPr>
        <w:t>for</w:t>
      </w:r>
      <w:r>
        <w:rPr>
          <w:rFonts w:ascii="Arial Narrow"/>
          <w:i/>
          <w:color w:val="4D4D4F"/>
          <w:spacing w:val="-12"/>
          <w:w w:val="115"/>
          <w:sz w:val="20"/>
        </w:rPr>
        <w:t xml:space="preserve"> </w:t>
      </w:r>
      <w:r>
        <w:rPr>
          <w:rFonts w:ascii="Arial Narrow"/>
          <w:i/>
          <w:color w:val="4D4D4F"/>
          <w:spacing w:val="-3"/>
          <w:w w:val="115"/>
          <w:sz w:val="20"/>
        </w:rPr>
        <w:t>Environmental</w:t>
      </w:r>
      <w:r>
        <w:rPr>
          <w:rFonts w:ascii="Arial Narrow"/>
          <w:i/>
          <w:color w:val="4D4D4F"/>
          <w:spacing w:val="-12"/>
          <w:w w:val="115"/>
          <w:sz w:val="20"/>
        </w:rPr>
        <w:t xml:space="preserve"> </w:t>
      </w:r>
      <w:r>
        <w:rPr>
          <w:rFonts w:ascii="Arial Narrow"/>
          <w:i/>
          <w:color w:val="4D4D4F"/>
          <w:spacing w:val="-3"/>
          <w:w w:val="115"/>
          <w:sz w:val="20"/>
        </w:rPr>
        <w:t>Sustainability</w:t>
      </w:r>
      <w:r>
        <w:rPr>
          <w:rFonts w:ascii="Arial Narrow"/>
          <w:i/>
          <w:color w:val="4D4D4F"/>
          <w:spacing w:val="-11"/>
          <w:w w:val="115"/>
          <w:sz w:val="20"/>
        </w:rPr>
        <w:t xml:space="preserve"> </w:t>
      </w:r>
      <w:r>
        <w:rPr>
          <w:rFonts w:ascii="Arial Narrow"/>
          <w:i/>
          <w:color w:val="4D4D4F"/>
          <w:w w:val="115"/>
          <w:sz w:val="20"/>
        </w:rPr>
        <w:t>Act</w:t>
      </w:r>
      <w:r>
        <w:rPr>
          <w:rFonts w:ascii="Arial Narrow"/>
          <w:i/>
          <w:color w:val="4D4D4F"/>
          <w:spacing w:val="-12"/>
          <w:w w:val="115"/>
          <w:sz w:val="20"/>
        </w:rPr>
        <w:t xml:space="preserve"> </w:t>
      </w:r>
      <w:r>
        <w:rPr>
          <w:rFonts w:ascii="Arial Narrow"/>
          <w:i/>
          <w:color w:val="4D4D4F"/>
          <w:w w:val="115"/>
          <w:sz w:val="20"/>
        </w:rPr>
        <w:t>2003</w:t>
      </w:r>
    </w:p>
    <w:p w14:paraId="3EF941DD" w14:textId="77777777" w:rsidR="00EF5B27" w:rsidRDefault="00000000">
      <w:pPr>
        <w:tabs>
          <w:tab w:val="left" w:leader="dot" w:pos="4617"/>
          <w:tab w:val="left" w:leader="dot" w:pos="4836"/>
        </w:tabs>
        <w:spacing w:before="92" w:line="331" w:lineRule="auto"/>
        <w:ind w:left="113" w:right="111"/>
        <w:rPr>
          <w:rFonts w:ascii="Arial Narrow"/>
          <w:i/>
          <w:sz w:val="20"/>
        </w:rPr>
      </w:pPr>
      <w:r>
        <w:rPr>
          <w:color w:val="4D4D4F"/>
          <w:w w:val="105"/>
          <w:sz w:val="20"/>
        </w:rPr>
        <w:t>the</w:t>
      </w:r>
      <w:r>
        <w:rPr>
          <w:color w:val="4D4D4F"/>
          <w:spacing w:val="-17"/>
          <w:w w:val="105"/>
          <w:sz w:val="20"/>
        </w:rPr>
        <w:t xml:space="preserve"> </w:t>
      </w:r>
      <w:r>
        <w:rPr>
          <w:color w:val="4D4D4F"/>
          <w:w w:val="105"/>
          <w:sz w:val="20"/>
        </w:rPr>
        <w:t>Commissioner</w:t>
      </w:r>
      <w:r>
        <w:rPr>
          <w:color w:val="4D4D4F"/>
          <w:w w:val="105"/>
          <w:sz w:val="20"/>
        </w:rPr>
        <w:tab/>
      </w:r>
      <w:r>
        <w:rPr>
          <w:color w:val="4D4D4F"/>
          <w:w w:val="105"/>
          <w:sz w:val="20"/>
        </w:rPr>
        <w:tab/>
      </w:r>
      <w:r>
        <w:rPr>
          <w:color w:val="4D4D4F"/>
          <w:sz w:val="20"/>
        </w:rPr>
        <w:t xml:space="preserve">the Commissioner for Environmental Sustainability, Victoria </w:t>
      </w:r>
      <w:r>
        <w:rPr>
          <w:color w:val="4D4D4F"/>
          <w:w w:val="110"/>
          <w:sz w:val="20"/>
        </w:rPr>
        <w:t>EPBC</w:t>
      </w:r>
      <w:r>
        <w:rPr>
          <w:color w:val="4D4D4F"/>
          <w:spacing w:val="-8"/>
          <w:w w:val="110"/>
          <w:sz w:val="20"/>
        </w:rPr>
        <w:t xml:space="preserve"> </w:t>
      </w:r>
      <w:r>
        <w:rPr>
          <w:color w:val="4D4D4F"/>
          <w:w w:val="110"/>
          <w:sz w:val="20"/>
        </w:rPr>
        <w:t>Act</w:t>
      </w:r>
      <w:r>
        <w:rPr>
          <w:color w:val="4D4D4F"/>
          <w:w w:val="110"/>
          <w:sz w:val="20"/>
        </w:rPr>
        <w:tab/>
      </w:r>
      <w:r>
        <w:rPr>
          <w:rFonts w:ascii="Arial Narrow"/>
          <w:i/>
          <w:color w:val="4D4D4F"/>
          <w:spacing w:val="-3"/>
          <w:w w:val="110"/>
          <w:sz w:val="20"/>
        </w:rPr>
        <w:t xml:space="preserve">Environment  Protection  </w:t>
      </w:r>
      <w:r>
        <w:rPr>
          <w:rFonts w:ascii="Arial Narrow"/>
          <w:i/>
          <w:color w:val="4D4D4F"/>
          <w:w w:val="110"/>
          <w:sz w:val="20"/>
        </w:rPr>
        <w:t>and Biodiversity Conservation Act</w:t>
      </w:r>
      <w:r>
        <w:rPr>
          <w:rFonts w:ascii="Arial Narrow"/>
          <w:i/>
          <w:color w:val="4D4D4F"/>
          <w:spacing w:val="33"/>
          <w:w w:val="110"/>
          <w:sz w:val="20"/>
        </w:rPr>
        <w:t xml:space="preserve"> </w:t>
      </w:r>
      <w:r>
        <w:rPr>
          <w:rFonts w:ascii="Arial Narrow"/>
          <w:i/>
          <w:color w:val="4D4D4F"/>
          <w:spacing w:val="-7"/>
          <w:w w:val="110"/>
          <w:sz w:val="20"/>
        </w:rPr>
        <w:t>1999</w:t>
      </w:r>
    </w:p>
    <w:p w14:paraId="7B60A05C" w14:textId="77777777" w:rsidR="00EF5B27" w:rsidRDefault="00000000">
      <w:pPr>
        <w:pStyle w:val="BodyText"/>
        <w:tabs>
          <w:tab w:val="left" w:leader="dot" w:pos="5792"/>
        </w:tabs>
        <w:spacing w:line="244" w:lineRule="exact"/>
        <w:ind w:left="113"/>
      </w:pPr>
      <w:r>
        <w:rPr>
          <w:color w:val="4D4D4F"/>
        </w:rPr>
        <w:t>the</w:t>
      </w:r>
      <w:r>
        <w:rPr>
          <w:color w:val="4D4D4F"/>
          <w:spacing w:val="-6"/>
        </w:rPr>
        <w:t xml:space="preserve"> </w:t>
      </w:r>
      <w:r>
        <w:rPr>
          <w:color w:val="4D4D4F"/>
        </w:rPr>
        <w:t>Minister</w:t>
      </w:r>
      <w:r>
        <w:rPr>
          <w:color w:val="4D4D4F"/>
        </w:rPr>
        <w:tab/>
        <w:t>the Minister for Environment and Climate</w:t>
      </w:r>
      <w:r>
        <w:rPr>
          <w:color w:val="4D4D4F"/>
          <w:spacing w:val="-24"/>
        </w:rPr>
        <w:t xml:space="preserve"> </w:t>
      </w:r>
      <w:r>
        <w:rPr>
          <w:color w:val="4D4D4F"/>
        </w:rPr>
        <w:t>Action</w:t>
      </w:r>
    </w:p>
    <w:p w14:paraId="44F4EAE6" w14:textId="77777777" w:rsidR="00EF5B27" w:rsidRDefault="00000000">
      <w:pPr>
        <w:pStyle w:val="BodyText"/>
        <w:tabs>
          <w:tab w:val="left" w:leader="dot" w:pos="2843"/>
        </w:tabs>
        <w:spacing w:before="93"/>
        <w:ind w:left="113"/>
        <w:rPr>
          <w:rFonts w:ascii="Arial Narrow"/>
          <w:i/>
        </w:rPr>
      </w:pPr>
      <w:r>
        <w:rPr>
          <w:color w:val="4D4D4F"/>
        </w:rPr>
        <w:t>MSA</w:t>
      </w:r>
      <w:r>
        <w:rPr>
          <w:color w:val="4D4D4F"/>
          <w:spacing w:val="2"/>
        </w:rPr>
        <w:t xml:space="preserve"> </w:t>
      </w:r>
      <w:r>
        <w:rPr>
          <w:color w:val="4D4D4F"/>
        </w:rPr>
        <w:t>Act</w:t>
      </w:r>
      <w:r>
        <w:rPr>
          <w:color w:val="4D4D4F"/>
        </w:rPr>
        <w:tab/>
        <w:t>Melbourne</w:t>
      </w:r>
      <w:r>
        <w:rPr>
          <w:color w:val="4D4D4F"/>
          <w:spacing w:val="12"/>
        </w:rPr>
        <w:t xml:space="preserve"> </w:t>
      </w:r>
      <w:r>
        <w:rPr>
          <w:color w:val="4D4D4F"/>
        </w:rPr>
        <w:t>Strategic</w:t>
      </w:r>
      <w:r>
        <w:rPr>
          <w:color w:val="4D4D4F"/>
          <w:spacing w:val="12"/>
        </w:rPr>
        <w:t xml:space="preserve"> </w:t>
      </w:r>
      <w:r>
        <w:rPr>
          <w:color w:val="4D4D4F"/>
        </w:rPr>
        <w:t>Assessment</w:t>
      </w:r>
      <w:r>
        <w:rPr>
          <w:color w:val="4D4D4F"/>
          <w:spacing w:val="12"/>
        </w:rPr>
        <w:t xml:space="preserve"> </w:t>
      </w:r>
      <w:r>
        <w:rPr>
          <w:color w:val="4D4D4F"/>
        </w:rPr>
        <w:t>(Environment</w:t>
      </w:r>
      <w:r>
        <w:rPr>
          <w:color w:val="4D4D4F"/>
          <w:spacing w:val="12"/>
        </w:rPr>
        <w:t xml:space="preserve"> </w:t>
      </w:r>
      <w:r>
        <w:rPr>
          <w:color w:val="4D4D4F"/>
        </w:rPr>
        <w:t>Protection</w:t>
      </w:r>
      <w:r>
        <w:rPr>
          <w:color w:val="4D4D4F"/>
          <w:spacing w:val="12"/>
        </w:rPr>
        <w:t xml:space="preserve"> </w:t>
      </w:r>
      <w:r>
        <w:rPr>
          <w:color w:val="4D4D4F"/>
        </w:rPr>
        <w:t>Mitigation</w:t>
      </w:r>
      <w:r>
        <w:rPr>
          <w:color w:val="4D4D4F"/>
          <w:spacing w:val="12"/>
        </w:rPr>
        <w:t xml:space="preserve"> </w:t>
      </w:r>
      <w:r>
        <w:rPr>
          <w:color w:val="4D4D4F"/>
        </w:rPr>
        <w:t>Levy)</w:t>
      </w:r>
      <w:r>
        <w:rPr>
          <w:color w:val="4D4D4F"/>
          <w:spacing w:val="12"/>
        </w:rPr>
        <w:t xml:space="preserve"> </w:t>
      </w:r>
      <w:r>
        <w:rPr>
          <w:rFonts w:ascii="Arial Narrow"/>
          <w:i/>
          <w:color w:val="4D4D4F"/>
        </w:rPr>
        <w:t>Act</w:t>
      </w:r>
      <w:r>
        <w:rPr>
          <w:rFonts w:ascii="Arial Narrow"/>
          <w:i/>
          <w:color w:val="4D4D4F"/>
          <w:spacing w:val="12"/>
        </w:rPr>
        <w:t xml:space="preserve"> </w:t>
      </w:r>
      <w:r>
        <w:rPr>
          <w:rFonts w:ascii="Arial Narrow"/>
          <w:i/>
          <w:color w:val="4D4D4F"/>
        </w:rPr>
        <w:t>2020</w:t>
      </w:r>
    </w:p>
    <w:p w14:paraId="02E44E9A" w14:textId="77777777" w:rsidR="00EF5B27" w:rsidRDefault="00000000">
      <w:pPr>
        <w:tabs>
          <w:tab w:val="left" w:leader="dot" w:pos="7034"/>
        </w:tabs>
        <w:spacing w:before="92"/>
        <w:ind w:left="113"/>
        <w:rPr>
          <w:rFonts w:ascii="Arial Narrow"/>
          <w:i/>
          <w:sz w:val="20"/>
        </w:rPr>
      </w:pPr>
      <w:r>
        <w:rPr>
          <w:color w:val="4D4D4F"/>
          <w:w w:val="110"/>
          <w:sz w:val="20"/>
        </w:rPr>
        <w:t>P&amp;E</w:t>
      </w:r>
      <w:r>
        <w:rPr>
          <w:color w:val="4D4D4F"/>
          <w:spacing w:val="-14"/>
          <w:w w:val="110"/>
          <w:sz w:val="20"/>
        </w:rPr>
        <w:t xml:space="preserve"> </w:t>
      </w:r>
      <w:r>
        <w:rPr>
          <w:color w:val="4D4D4F"/>
          <w:w w:val="110"/>
          <w:sz w:val="20"/>
        </w:rPr>
        <w:t>Act</w:t>
      </w:r>
      <w:r>
        <w:rPr>
          <w:color w:val="4D4D4F"/>
          <w:w w:val="110"/>
          <w:sz w:val="20"/>
        </w:rPr>
        <w:tab/>
      </w:r>
      <w:r>
        <w:rPr>
          <w:rFonts w:ascii="Arial Narrow"/>
          <w:i/>
          <w:color w:val="4D4D4F"/>
          <w:spacing w:val="-3"/>
          <w:w w:val="110"/>
          <w:sz w:val="20"/>
        </w:rPr>
        <w:t xml:space="preserve">Planning  </w:t>
      </w:r>
      <w:r>
        <w:rPr>
          <w:rFonts w:ascii="Arial Narrow"/>
          <w:i/>
          <w:color w:val="4D4D4F"/>
          <w:w w:val="110"/>
          <w:sz w:val="20"/>
        </w:rPr>
        <w:t xml:space="preserve">&amp; </w:t>
      </w:r>
      <w:r>
        <w:rPr>
          <w:rFonts w:ascii="Arial Narrow"/>
          <w:i/>
          <w:color w:val="4D4D4F"/>
          <w:spacing w:val="-3"/>
          <w:w w:val="110"/>
          <w:sz w:val="20"/>
        </w:rPr>
        <w:t xml:space="preserve">Environment  </w:t>
      </w:r>
      <w:r>
        <w:rPr>
          <w:rFonts w:ascii="Arial Narrow"/>
          <w:i/>
          <w:color w:val="4D4D4F"/>
          <w:w w:val="110"/>
          <w:sz w:val="20"/>
        </w:rPr>
        <w:t>Act</w:t>
      </w:r>
      <w:r>
        <w:rPr>
          <w:rFonts w:ascii="Arial Narrow"/>
          <w:i/>
          <w:color w:val="4D4D4F"/>
          <w:spacing w:val="-1"/>
          <w:w w:val="110"/>
          <w:sz w:val="20"/>
        </w:rPr>
        <w:t xml:space="preserve"> </w:t>
      </w:r>
      <w:r>
        <w:rPr>
          <w:rFonts w:ascii="Arial Narrow"/>
          <w:i/>
          <w:color w:val="4D4D4F"/>
          <w:spacing w:val="-6"/>
          <w:w w:val="110"/>
          <w:sz w:val="20"/>
        </w:rPr>
        <w:t>1987</w:t>
      </w:r>
    </w:p>
    <w:p w14:paraId="0BA823A5" w14:textId="77777777" w:rsidR="00EF5B27" w:rsidRDefault="00000000">
      <w:pPr>
        <w:pStyle w:val="BodyText"/>
        <w:tabs>
          <w:tab w:val="left" w:leader="dot" w:pos="1633"/>
        </w:tabs>
        <w:spacing w:before="93"/>
        <w:ind w:left="113"/>
      </w:pPr>
      <w:r>
        <w:rPr>
          <w:color w:val="4D4D4F"/>
        </w:rPr>
        <w:t>the</w:t>
      </w:r>
      <w:r>
        <w:rPr>
          <w:color w:val="4D4D4F"/>
          <w:spacing w:val="14"/>
        </w:rPr>
        <w:t xml:space="preserve"> </w:t>
      </w:r>
      <w:r>
        <w:rPr>
          <w:color w:val="4D4D4F"/>
        </w:rPr>
        <w:t>Secretary</w:t>
      </w:r>
      <w:r>
        <w:rPr>
          <w:color w:val="4D4D4F"/>
        </w:rPr>
        <w:tab/>
        <w:t>the Secretary of the Department of Environment, Land, Water and Planning, Victorian</w:t>
      </w:r>
      <w:r>
        <w:rPr>
          <w:color w:val="4D4D4F"/>
          <w:spacing w:val="32"/>
        </w:rPr>
        <w:t xml:space="preserve"> </w:t>
      </w:r>
      <w:r>
        <w:rPr>
          <w:color w:val="4D4D4F"/>
        </w:rPr>
        <w:t>Government</w:t>
      </w:r>
    </w:p>
    <w:p w14:paraId="4C6C1F2D" w14:textId="77777777" w:rsidR="00EF5B27" w:rsidRDefault="00EF5B27">
      <w:pPr>
        <w:sectPr w:rsidR="00EF5B27">
          <w:pgSz w:w="11910" w:h="16840"/>
          <w:pgMar w:top="1080" w:right="1020" w:bottom="860" w:left="1020" w:header="530" w:footer="678" w:gutter="0"/>
          <w:cols w:space="720"/>
        </w:sectPr>
      </w:pPr>
    </w:p>
    <w:p w14:paraId="6AF4CE96" w14:textId="77777777" w:rsidR="00EF5B27" w:rsidRDefault="00000000">
      <w:pPr>
        <w:pStyle w:val="BodyText"/>
      </w:pPr>
      <w:r>
        <w:lastRenderedPageBreak/>
        <w:pict w14:anchorId="6C612780">
          <v:group id="_x0000_s4642" style="position:absolute;margin-left:587.05pt;margin-top:183.4pt;width:8.25pt;height:153.1pt;z-index:251317760;mso-position-horizontal-relative:page;mso-position-vertical-relative:page" coordorigin="11741,3668" coordsize="165,3062">
            <v:shape id="_x0000_s4649" style="position:absolute;left:11741;top:3668;width:165;height:561" coordorigin="11741,3668" coordsize="165,561" path="m11906,3668r-165,l11741,4228r165,-18l11906,3668xe" fillcolor="#00aed9" stroked="f">
              <v:path arrowok="t"/>
            </v:shape>
            <v:shape id="_x0000_s4648" style="position:absolute;left:11741;top:4118;width:165;height:425" coordorigin="11741,4118" coordsize="165,425" path="m11906,4118r-165,14l11741,4531r165,12l11906,4118xe" fillcolor="#047ebc" stroked="f">
              <v:path arrowok="t"/>
            </v:shape>
            <v:shape id="_x0000_s4647" type="#_x0000_t75" style="position:absolute;left:11741;top:4355;width:165;height:587">
              <v:imagedata r:id="rId30" o:title=""/>
            </v:shape>
            <v:shape id="_x0000_s4646" style="position:absolute;left:11741;top:5343;width:165;height:536" coordorigin="11741,5343" coordsize="165,536" path="m11741,5343r,535l11906,5872r,-525l11741,5343xe" fillcolor="#f36a2e" stroked="f">
              <v:path arrowok="t"/>
            </v:shape>
            <v:shape id="_x0000_s4645" style="position:absolute;left:11741;top:4925;width:165;height:501" coordorigin="11741,4926" coordsize="165,501" path="m11741,4926r,500l11906,5426r,-485l11741,4926xe" fillcolor="#49783f" stroked="f">
              <v:path arrowok="t"/>
            </v:shape>
            <v:shape id="_x0000_s4644" style="position:absolute;left:11741;top:5781;width:165;height:268" coordorigin="11741,5782" coordsize="165,268" path="m11906,5782r-165,8l11741,6039r165,10l11906,5782xe" fillcolor="#f99f2a" stroked="f">
              <v:path arrowok="t"/>
            </v:shape>
            <v:shape id="_x0000_s4643" style="position:absolute;left:11741;top:6023;width:165;height:707" coordorigin="11741,6023" coordsize="165,707" path="m11741,6023r,706l11906,6729r,-690l11741,6023xe" fillcolor="#ef412c" stroked="f">
              <v:path arrowok="t"/>
            </v:shape>
            <w10:wrap anchorx="page" anchory="page"/>
          </v:group>
        </w:pict>
      </w:r>
    </w:p>
    <w:p w14:paraId="4CA64BD3" w14:textId="77777777" w:rsidR="00EF5B27" w:rsidRDefault="00EF5B27">
      <w:pPr>
        <w:pStyle w:val="BodyText"/>
      </w:pPr>
    </w:p>
    <w:p w14:paraId="22B7B6E5" w14:textId="77777777" w:rsidR="00EF5B27" w:rsidRDefault="00EF5B27">
      <w:pPr>
        <w:pStyle w:val="BodyText"/>
      </w:pPr>
    </w:p>
    <w:p w14:paraId="7CF02F7A" w14:textId="77777777" w:rsidR="00EF5B27" w:rsidRDefault="00EF5B27">
      <w:pPr>
        <w:pStyle w:val="BodyText"/>
        <w:spacing w:before="8"/>
      </w:pPr>
    </w:p>
    <w:p w14:paraId="255A55AE" w14:textId="77777777" w:rsidR="00EF5B27" w:rsidRDefault="00000000">
      <w:pPr>
        <w:pStyle w:val="Heading2"/>
      </w:pPr>
      <w:bookmarkStart w:id="3" w:name="_bookmark3"/>
      <w:bookmarkEnd w:id="3"/>
      <w:r>
        <w:rPr>
          <w:color w:val="F99F2A"/>
        </w:rPr>
        <w:t>Summary of figures and tables</w:t>
      </w:r>
    </w:p>
    <w:p w14:paraId="1595BF84" w14:textId="77777777" w:rsidR="00EF5B27" w:rsidRDefault="00EF5B27">
      <w:pPr>
        <w:pStyle w:val="BodyText"/>
        <w:spacing w:before="5"/>
        <w:rPr>
          <w:b/>
          <w:sz w:val="76"/>
        </w:rPr>
      </w:pPr>
    </w:p>
    <w:p w14:paraId="2CE0F37C" w14:textId="77777777" w:rsidR="00EF5B27" w:rsidRDefault="00000000">
      <w:pPr>
        <w:pStyle w:val="Heading3"/>
        <w:ind w:left="113"/>
      </w:pPr>
      <w:r>
        <w:rPr>
          <w:color w:val="F99F2A"/>
          <w:w w:val="110"/>
        </w:rPr>
        <w:t>Figures</w:t>
      </w:r>
    </w:p>
    <w:p w14:paraId="4CE9AF4B" w14:textId="77777777" w:rsidR="00EF5B27" w:rsidRDefault="00000000">
      <w:pPr>
        <w:pStyle w:val="BodyText"/>
        <w:tabs>
          <w:tab w:val="right" w:leader="dot" w:pos="9739"/>
        </w:tabs>
        <w:spacing w:before="241"/>
        <w:ind w:left="113"/>
      </w:pPr>
      <w:hyperlink w:anchor="_bookmark6" w:history="1">
        <w:r>
          <w:rPr>
            <w:color w:val="4D4D4F"/>
          </w:rPr>
          <w:t xml:space="preserve">Figure </w:t>
        </w:r>
        <w:r>
          <w:rPr>
            <w:color w:val="4D4D4F"/>
            <w:spacing w:val="-7"/>
          </w:rPr>
          <w:t xml:space="preserve">1: </w:t>
        </w:r>
        <w:r>
          <w:rPr>
            <w:color w:val="4D4D4F"/>
          </w:rPr>
          <w:t xml:space="preserve">Matters of National Environmental Significance </w:t>
        </w:r>
        <w:r>
          <w:rPr>
            <w:color w:val="4D4D4F"/>
            <w:spacing w:val="-4"/>
          </w:rPr>
          <w:t xml:space="preserve">(MNES) </w:t>
        </w:r>
        <w:r>
          <w:rPr>
            <w:color w:val="4D4D4F"/>
            <w:spacing w:val="11"/>
          </w:rPr>
          <w:t xml:space="preserve"> </w:t>
        </w:r>
        <w:r>
          <w:rPr>
            <w:color w:val="4D4D4F"/>
          </w:rPr>
          <w:t>monitored under the MSA</w:t>
        </w:r>
        <w:r>
          <w:rPr>
            <w:color w:val="4D4D4F"/>
            <w:spacing w:val="4"/>
          </w:rPr>
          <w:t xml:space="preserve"> </w:t>
        </w:r>
        <w:r>
          <w:rPr>
            <w:color w:val="4D4D4F"/>
          </w:rPr>
          <w:t>program</w:t>
        </w:r>
        <w:r>
          <w:rPr>
            <w:color w:val="4D4D4F"/>
          </w:rPr>
          <w:tab/>
        </w:r>
        <w:r>
          <w:rPr>
            <w:color w:val="4D4D4F"/>
            <w:spacing w:val="-12"/>
          </w:rPr>
          <w:t>12</w:t>
        </w:r>
      </w:hyperlink>
    </w:p>
    <w:p w14:paraId="3BF6A285" w14:textId="77777777" w:rsidR="00EF5B27" w:rsidRDefault="00000000">
      <w:pPr>
        <w:pStyle w:val="BodyText"/>
        <w:tabs>
          <w:tab w:val="right" w:leader="dot" w:pos="9750"/>
        </w:tabs>
        <w:spacing w:before="93"/>
        <w:ind w:left="113"/>
      </w:pPr>
      <w:hyperlink w:anchor="_bookmark9" w:history="1">
        <w:r>
          <w:rPr>
            <w:color w:val="4D4D4F"/>
          </w:rPr>
          <w:t>Figure 2: Map of the MSA</w:t>
        </w:r>
        <w:r>
          <w:rPr>
            <w:color w:val="4D4D4F"/>
            <w:spacing w:val="23"/>
          </w:rPr>
          <w:t xml:space="preserve"> </w:t>
        </w:r>
        <w:r>
          <w:rPr>
            <w:color w:val="4D4D4F"/>
          </w:rPr>
          <w:t>program</w:t>
        </w:r>
        <w:r>
          <w:rPr>
            <w:color w:val="4D4D4F"/>
            <w:spacing w:val="4"/>
          </w:rPr>
          <w:t xml:space="preserve"> </w:t>
        </w:r>
        <w:r>
          <w:rPr>
            <w:color w:val="4D4D4F"/>
          </w:rPr>
          <w:t>area</w:t>
        </w:r>
        <w:r>
          <w:rPr>
            <w:color w:val="4D4D4F"/>
          </w:rPr>
          <w:tab/>
          <w:t>26</w:t>
        </w:r>
      </w:hyperlink>
    </w:p>
    <w:p w14:paraId="7FC58CB9" w14:textId="77777777" w:rsidR="00EF5B27" w:rsidRDefault="00000000">
      <w:pPr>
        <w:pStyle w:val="BodyText"/>
        <w:tabs>
          <w:tab w:val="right" w:leader="dot" w:pos="9754"/>
        </w:tabs>
        <w:spacing w:before="92"/>
        <w:ind w:left="113"/>
      </w:pPr>
      <w:hyperlink w:anchor="_bookmark24" w:history="1">
        <w:r>
          <w:rPr>
            <w:color w:val="4D4D4F"/>
          </w:rPr>
          <w:t xml:space="preserve">Figure 3: Annual monitoring being undertaken by DELWP staff at </w:t>
        </w:r>
        <w:r>
          <w:rPr>
            <w:color w:val="4D4D4F"/>
            <w:spacing w:val="4"/>
          </w:rPr>
          <w:t xml:space="preserve"> </w:t>
        </w:r>
        <w:r>
          <w:rPr>
            <w:color w:val="4D4D4F"/>
            <w:spacing w:val="-3"/>
          </w:rPr>
          <w:t>Truganina</w:t>
        </w:r>
        <w:r>
          <w:rPr>
            <w:color w:val="4D4D4F"/>
            <w:spacing w:val="5"/>
          </w:rPr>
          <w:t xml:space="preserve"> </w:t>
        </w:r>
        <w:r>
          <w:rPr>
            <w:color w:val="4D4D4F"/>
          </w:rPr>
          <w:t>Cemetery</w:t>
        </w:r>
        <w:r>
          <w:rPr>
            <w:color w:val="4D4D4F"/>
          </w:rPr>
          <w:tab/>
        </w:r>
        <w:r>
          <w:rPr>
            <w:color w:val="4D4D4F"/>
            <w:spacing w:val="3"/>
          </w:rPr>
          <w:t>63</w:t>
        </w:r>
      </w:hyperlink>
    </w:p>
    <w:p w14:paraId="58B48F30" w14:textId="77777777" w:rsidR="00EF5B27" w:rsidRDefault="00000000">
      <w:pPr>
        <w:pStyle w:val="BodyText"/>
        <w:tabs>
          <w:tab w:val="right" w:leader="dot" w:pos="9751"/>
        </w:tabs>
        <w:spacing w:before="92"/>
        <w:ind w:left="113"/>
      </w:pPr>
      <w:hyperlink w:anchor="_bookmark26" w:history="1">
        <w:r>
          <w:rPr>
            <w:color w:val="4D4D4F"/>
          </w:rPr>
          <w:t>Figure</w:t>
        </w:r>
        <w:r>
          <w:rPr>
            <w:color w:val="4D4D4F"/>
            <w:spacing w:val="6"/>
          </w:rPr>
          <w:t xml:space="preserve"> </w:t>
        </w:r>
        <w:r>
          <w:rPr>
            <w:color w:val="4D4D4F"/>
          </w:rPr>
          <w:t>4:</w:t>
        </w:r>
        <w:r>
          <w:rPr>
            <w:color w:val="4D4D4F"/>
            <w:spacing w:val="6"/>
          </w:rPr>
          <w:t xml:space="preserve"> </w:t>
        </w:r>
        <w:r>
          <w:rPr>
            <w:color w:val="4D4D4F"/>
          </w:rPr>
          <w:t>Example</w:t>
        </w:r>
        <w:r>
          <w:rPr>
            <w:color w:val="4D4D4F"/>
            <w:spacing w:val="6"/>
          </w:rPr>
          <w:t xml:space="preserve"> </w:t>
        </w:r>
        <w:r>
          <w:rPr>
            <w:color w:val="4D4D4F"/>
          </w:rPr>
          <w:t>of</w:t>
        </w:r>
        <w:r>
          <w:rPr>
            <w:color w:val="4D4D4F"/>
            <w:spacing w:val="6"/>
          </w:rPr>
          <w:t xml:space="preserve"> </w:t>
        </w:r>
        <w:r>
          <w:rPr>
            <w:color w:val="4D4D4F"/>
          </w:rPr>
          <w:t>a</w:t>
        </w:r>
        <w:r>
          <w:rPr>
            <w:color w:val="4D4D4F"/>
            <w:spacing w:val="6"/>
          </w:rPr>
          <w:t xml:space="preserve"> </w:t>
        </w:r>
        <w:r>
          <w:rPr>
            <w:color w:val="4D4D4F"/>
          </w:rPr>
          <w:t>KPI</w:t>
        </w:r>
        <w:r>
          <w:rPr>
            <w:color w:val="4D4D4F"/>
            <w:spacing w:val="6"/>
          </w:rPr>
          <w:t xml:space="preserve"> </w:t>
        </w:r>
        <w:r>
          <w:rPr>
            <w:color w:val="4D4D4F"/>
          </w:rPr>
          <w:t>indicator</w:t>
        </w:r>
        <w:r>
          <w:rPr>
            <w:color w:val="4D4D4F"/>
            <w:spacing w:val="6"/>
          </w:rPr>
          <w:t xml:space="preserve"> </w:t>
        </w:r>
        <w:r>
          <w:rPr>
            <w:color w:val="4D4D4F"/>
          </w:rPr>
          <w:t>chart,</w:t>
        </w:r>
        <w:r>
          <w:rPr>
            <w:color w:val="4D4D4F"/>
            <w:spacing w:val="6"/>
          </w:rPr>
          <w:t xml:space="preserve"> </w:t>
        </w:r>
        <w:r>
          <w:rPr>
            <w:color w:val="4D4D4F"/>
          </w:rPr>
          <w:t>in</w:t>
        </w:r>
        <w:r>
          <w:rPr>
            <w:color w:val="4D4D4F"/>
            <w:spacing w:val="6"/>
          </w:rPr>
          <w:t xml:space="preserve"> </w:t>
        </w:r>
        <w:r>
          <w:rPr>
            <w:color w:val="4D4D4F"/>
          </w:rPr>
          <w:t>this</w:t>
        </w:r>
        <w:r>
          <w:rPr>
            <w:color w:val="4D4D4F"/>
            <w:spacing w:val="6"/>
          </w:rPr>
          <w:t xml:space="preserve"> </w:t>
        </w:r>
        <w:r>
          <w:rPr>
            <w:color w:val="4D4D4F"/>
          </w:rPr>
          <w:t>case</w:t>
        </w:r>
        <w:r>
          <w:rPr>
            <w:color w:val="4D4D4F"/>
            <w:spacing w:val="6"/>
          </w:rPr>
          <w:t xml:space="preserve"> </w:t>
        </w:r>
        <w:r>
          <w:rPr>
            <w:color w:val="4D4D4F"/>
          </w:rPr>
          <w:t>the</w:t>
        </w:r>
        <w:r>
          <w:rPr>
            <w:color w:val="4D4D4F"/>
            <w:spacing w:val="6"/>
          </w:rPr>
          <w:t xml:space="preserve"> </w:t>
        </w:r>
        <w:r>
          <w:rPr>
            <w:color w:val="4D4D4F"/>
          </w:rPr>
          <w:t>KPI</w:t>
        </w:r>
        <w:r>
          <w:rPr>
            <w:color w:val="4D4D4F"/>
            <w:spacing w:val="6"/>
          </w:rPr>
          <w:t xml:space="preserve"> </w:t>
        </w:r>
        <w:r>
          <w:rPr>
            <w:color w:val="4D4D4F"/>
          </w:rPr>
          <w:t>was</w:t>
        </w:r>
        <w:r>
          <w:rPr>
            <w:color w:val="4D4D4F"/>
            <w:spacing w:val="6"/>
          </w:rPr>
          <w:t xml:space="preserve"> </w:t>
        </w:r>
        <w:r>
          <w:rPr>
            <w:color w:val="4D4D4F"/>
          </w:rPr>
          <w:t>recorded</w:t>
        </w:r>
        <w:r>
          <w:rPr>
            <w:color w:val="4D4D4F"/>
            <w:spacing w:val="6"/>
          </w:rPr>
          <w:t xml:space="preserve"> </w:t>
        </w:r>
        <w:r>
          <w:rPr>
            <w:color w:val="4D4D4F"/>
          </w:rPr>
          <w:t>as</w:t>
        </w:r>
        <w:r>
          <w:rPr>
            <w:color w:val="4D4D4F"/>
            <w:spacing w:val="6"/>
          </w:rPr>
          <w:t xml:space="preserve"> </w:t>
        </w:r>
        <w:r>
          <w:rPr>
            <w:color w:val="4D4D4F"/>
          </w:rPr>
          <w:t>achieved</w:t>
        </w:r>
        <w:r>
          <w:rPr>
            <w:color w:val="4D4D4F"/>
          </w:rPr>
          <w:tab/>
          <w:t>70</w:t>
        </w:r>
      </w:hyperlink>
    </w:p>
    <w:p w14:paraId="21E6198D" w14:textId="77777777" w:rsidR="00EF5B27" w:rsidRDefault="00000000">
      <w:pPr>
        <w:pStyle w:val="BodyText"/>
        <w:tabs>
          <w:tab w:val="right" w:leader="dot" w:pos="9751"/>
        </w:tabs>
        <w:spacing w:before="93"/>
        <w:ind w:left="113"/>
      </w:pPr>
      <w:hyperlink w:anchor="_bookmark27" w:history="1">
        <w:r>
          <w:rPr>
            <w:color w:val="4D4D4F"/>
          </w:rPr>
          <w:t>Figure 5: Natural Temperate Grassland in the Western</w:t>
        </w:r>
        <w:r>
          <w:rPr>
            <w:color w:val="4D4D4F"/>
            <w:spacing w:val="41"/>
          </w:rPr>
          <w:t xml:space="preserve"> </w:t>
        </w:r>
        <w:r>
          <w:rPr>
            <w:color w:val="4D4D4F"/>
          </w:rPr>
          <w:t>Grassland</w:t>
        </w:r>
        <w:r>
          <w:rPr>
            <w:color w:val="4D4D4F"/>
            <w:spacing w:val="5"/>
          </w:rPr>
          <w:t xml:space="preserve"> </w:t>
        </w:r>
        <w:r>
          <w:rPr>
            <w:color w:val="4D4D4F"/>
          </w:rPr>
          <w:t>Reserve</w:t>
        </w:r>
        <w:r>
          <w:rPr>
            <w:color w:val="4D4D4F"/>
          </w:rPr>
          <w:tab/>
          <w:t>73</w:t>
        </w:r>
      </w:hyperlink>
    </w:p>
    <w:p w14:paraId="136F0C65" w14:textId="77777777" w:rsidR="00EF5B27" w:rsidRDefault="00000000">
      <w:pPr>
        <w:pStyle w:val="BodyText"/>
        <w:tabs>
          <w:tab w:val="right" w:leader="dot" w:pos="9751"/>
        </w:tabs>
        <w:spacing w:before="92"/>
        <w:ind w:left="113"/>
      </w:pPr>
      <w:hyperlink w:anchor="_bookmark28" w:history="1">
        <w:r>
          <w:rPr>
            <w:color w:val="4D4D4F"/>
          </w:rPr>
          <w:t>Figure 6: Map of Natural Temperate Grassland monitoring</w:t>
        </w:r>
        <w:r>
          <w:rPr>
            <w:color w:val="4D4D4F"/>
            <w:spacing w:val="30"/>
          </w:rPr>
          <w:t xml:space="preserve"> </w:t>
        </w:r>
        <w:r>
          <w:rPr>
            <w:color w:val="4D4D4F"/>
          </w:rPr>
          <w:t>locations</w:t>
        </w:r>
        <w:r>
          <w:rPr>
            <w:color w:val="4D4D4F"/>
            <w:spacing w:val="3"/>
          </w:rPr>
          <w:t xml:space="preserve"> </w:t>
        </w:r>
        <w:r>
          <w:rPr>
            <w:color w:val="4D4D4F"/>
          </w:rPr>
          <w:t>(north)</w:t>
        </w:r>
        <w:r>
          <w:rPr>
            <w:color w:val="4D4D4F"/>
          </w:rPr>
          <w:tab/>
          <w:t>75</w:t>
        </w:r>
      </w:hyperlink>
    </w:p>
    <w:p w14:paraId="263B2DD3" w14:textId="77777777" w:rsidR="00EF5B27" w:rsidRDefault="00000000">
      <w:pPr>
        <w:pStyle w:val="BodyText"/>
        <w:tabs>
          <w:tab w:val="right" w:leader="dot" w:pos="9741"/>
        </w:tabs>
        <w:spacing w:before="93"/>
        <w:ind w:left="113"/>
      </w:pPr>
      <w:hyperlink w:anchor="_bookmark29" w:history="1">
        <w:r>
          <w:rPr>
            <w:color w:val="4D4D4F"/>
          </w:rPr>
          <w:t>Figure 7: Map of Natural Temperate Grassland monitoring</w:t>
        </w:r>
        <w:r>
          <w:rPr>
            <w:color w:val="4D4D4F"/>
            <w:spacing w:val="30"/>
          </w:rPr>
          <w:t xml:space="preserve"> </w:t>
        </w:r>
        <w:r>
          <w:rPr>
            <w:color w:val="4D4D4F"/>
          </w:rPr>
          <w:t>locations</w:t>
        </w:r>
        <w:r>
          <w:rPr>
            <w:color w:val="4D4D4F"/>
            <w:spacing w:val="3"/>
          </w:rPr>
          <w:t xml:space="preserve"> </w:t>
        </w:r>
        <w:r>
          <w:rPr>
            <w:color w:val="4D4D4F"/>
          </w:rPr>
          <w:t>(west)</w:t>
        </w:r>
        <w:r>
          <w:rPr>
            <w:color w:val="4D4D4F"/>
          </w:rPr>
          <w:tab/>
        </w:r>
        <w:r>
          <w:rPr>
            <w:color w:val="4D4D4F"/>
            <w:spacing w:val="-11"/>
          </w:rPr>
          <w:t>76</w:t>
        </w:r>
      </w:hyperlink>
    </w:p>
    <w:p w14:paraId="4759B4CB" w14:textId="77777777" w:rsidR="00EF5B27" w:rsidRDefault="00000000">
      <w:pPr>
        <w:pStyle w:val="BodyText"/>
        <w:tabs>
          <w:tab w:val="right" w:leader="dot" w:pos="9752"/>
        </w:tabs>
        <w:spacing w:before="92"/>
        <w:ind w:left="113"/>
      </w:pPr>
      <w:hyperlink w:anchor="_bookmark30" w:history="1">
        <w:r>
          <w:rPr>
            <w:color w:val="4D4D4F"/>
          </w:rPr>
          <w:t>Figure</w:t>
        </w:r>
        <w:r>
          <w:rPr>
            <w:color w:val="4D4D4F"/>
            <w:spacing w:val="4"/>
          </w:rPr>
          <w:t xml:space="preserve"> </w:t>
        </w:r>
        <w:r>
          <w:rPr>
            <w:color w:val="4D4D4F"/>
          </w:rPr>
          <w:t>8:</w:t>
        </w:r>
        <w:r>
          <w:rPr>
            <w:color w:val="4D4D4F"/>
            <w:spacing w:val="5"/>
          </w:rPr>
          <w:t xml:space="preserve"> </w:t>
        </w:r>
        <w:r>
          <w:rPr>
            <w:color w:val="4D4D4F"/>
          </w:rPr>
          <w:t>Cover</w:t>
        </w:r>
        <w:r>
          <w:rPr>
            <w:color w:val="4D4D4F"/>
            <w:spacing w:val="5"/>
          </w:rPr>
          <w:t xml:space="preserve"> </w:t>
        </w:r>
        <w:r>
          <w:rPr>
            <w:color w:val="4D4D4F"/>
          </w:rPr>
          <w:t>of</w:t>
        </w:r>
        <w:r>
          <w:rPr>
            <w:color w:val="4D4D4F"/>
            <w:spacing w:val="5"/>
          </w:rPr>
          <w:t xml:space="preserve"> </w:t>
        </w:r>
        <w:r>
          <w:rPr>
            <w:color w:val="4D4D4F"/>
          </w:rPr>
          <w:t>native</w:t>
        </w:r>
        <w:r>
          <w:rPr>
            <w:color w:val="4D4D4F"/>
            <w:spacing w:val="5"/>
          </w:rPr>
          <w:t xml:space="preserve"> </w:t>
        </w:r>
        <w:r>
          <w:rPr>
            <w:color w:val="4D4D4F"/>
          </w:rPr>
          <w:t>perennial</w:t>
        </w:r>
        <w:r>
          <w:rPr>
            <w:color w:val="4D4D4F"/>
            <w:spacing w:val="5"/>
          </w:rPr>
          <w:t xml:space="preserve"> </w:t>
        </w:r>
        <w:r>
          <w:rPr>
            <w:color w:val="4D4D4F"/>
          </w:rPr>
          <w:t>forbs</w:t>
        </w:r>
        <w:r>
          <w:rPr>
            <w:color w:val="4D4D4F"/>
            <w:spacing w:val="4"/>
          </w:rPr>
          <w:t xml:space="preserve"> </w:t>
        </w:r>
        <w:r>
          <w:rPr>
            <w:color w:val="4D4D4F"/>
          </w:rPr>
          <w:t>in</w:t>
        </w:r>
        <w:r>
          <w:rPr>
            <w:color w:val="4D4D4F"/>
            <w:spacing w:val="5"/>
          </w:rPr>
          <w:t xml:space="preserve"> </w:t>
        </w:r>
        <w:r>
          <w:rPr>
            <w:color w:val="4D4D4F"/>
          </w:rPr>
          <w:t>Natural</w:t>
        </w:r>
        <w:r>
          <w:rPr>
            <w:color w:val="4D4D4F"/>
            <w:spacing w:val="5"/>
          </w:rPr>
          <w:t xml:space="preserve"> </w:t>
        </w:r>
        <w:r>
          <w:rPr>
            <w:color w:val="4D4D4F"/>
          </w:rPr>
          <w:t>Temperate</w:t>
        </w:r>
        <w:r>
          <w:rPr>
            <w:color w:val="4D4D4F"/>
            <w:spacing w:val="5"/>
          </w:rPr>
          <w:t xml:space="preserve"> </w:t>
        </w:r>
        <w:r>
          <w:rPr>
            <w:color w:val="4D4D4F"/>
          </w:rPr>
          <w:t>Grassland,</w:t>
        </w:r>
        <w:r>
          <w:rPr>
            <w:color w:val="4D4D4F"/>
            <w:spacing w:val="5"/>
          </w:rPr>
          <w:t xml:space="preserve"> </w:t>
        </w:r>
        <w:r>
          <w:rPr>
            <w:color w:val="4D4D4F"/>
          </w:rPr>
          <w:t>displayed</w:t>
        </w:r>
        <w:r>
          <w:rPr>
            <w:color w:val="4D4D4F"/>
            <w:spacing w:val="5"/>
          </w:rPr>
          <w:t xml:space="preserve"> </w:t>
        </w:r>
        <w:r>
          <w:rPr>
            <w:color w:val="4D4D4F"/>
          </w:rPr>
          <w:t>by</w:t>
        </w:r>
        <w:r>
          <w:rPr>
            <w:color w:val="4D4D4F"/>
            <w:spacing w:val="4"/>
          </w:rPr>
          <w:t xml:space="preserve"> </w:t>
        </w:r>
        <w:r>
          <w:rPr>
            <w:color w:val="4D4D4F"/>
          </w:rPr>
          <w:t>state</w:t>
        </w:r>
        <w:r>
          <w:rPr>
            <w:color w:val="4D4D4F"/>
          </w:rPr>
          <w:tab/>
          <w:t>77</w:t>
        </w:r>
      </w:hyperlink>
    </w:p>
    <w:p w14:paraId="5779B1FA" w14:textId="77777777" w:rsidR="00EF5B27" w:rsidRDefault="00000000">
      <w:pPr>
        <w:pStyle w:val="BodyText"/>
        <w:tabs>
          <w:tab w:val="right" w:leader="dot" w:pos="9751"/>
        </w:tabs>
        <w:spacing w:before="93"/>
        <w:ind w:left="113"/>
      </w:pPr>
      <w:hyperlink w:anchor="_bookmark31" w:history="1">
        <w:r>
          <w:rPr>
            <w:color w:val="4D4D4F"/>
          </w:rPr>
          <w:t>Figure</w:t>
        </w:r>
        <w:r>
          <w:rPr>
            <w:color w:val="4D4D4F"/>
            <w:spacing w:val="5"/>
          </w:rPr>
          <w:t xml:space="preserve"> </w:t>
        </w:r>
        <w:r>
          <w:rPr>
            <w:color w:val="4D4D4F"/>
          </w:rPr>
          <w:t>9:</w:t>
        </w:r>
        <w:r>
          <w:rPr>
            <w:color w:val="4D4D4F"/>
            <w:spacing w:val="5"/>
          </w:rPr>
          <w:t xml:space="preserve"> </w:t>
        </w:r>
        <w:r>
          <w:rPr>
            <w:color w:val="4D4D4F"/>
          </w:rPr>
          <w:t>Richness</w:t>
        </w:r>
        <w:r>
          <w:rPr>
            <w:color w:val="4D4D4F"/>
            <w:spacing w:val="6"/>
          </w:rPr>
          <w:t xml:space="preserve"> </w:t>
        </w:r>
        <w:r>
          <w:rPr>
            <w:color w:val="4D4D4F"/>
          </w:rPr>
          <w:t>of</w:t>
        </w:r>
        <w:r>
          <w:rPr>
            <w:color w:val="4D4D4F"/>
            <w:spacing w:val="5"/>
          </w:rPr>
          <w:t xml:space="preserve"> </w:t>
        </w:r>
        <w:r>
          <w:rPr>
            <w:color w:val="4D4D4F"/>
          </w:rPr>
          <w:t>native</w:t>
        </w:r>
        <w:r>
          <w:rPr>
            <w:color w:val="4D4D4F"/>
            <w:spacing w:val="5"/>
          </w:rPr>
          <w:t xml:space="preserve"> </w:t>
        </w:r>
        <w:r>
          <w:rPr>
            <w:color w:val="4D4D4F"/>
          </w:rPr>
          <w:t>perennial</w:t>
        </w:r>
        <w:r>
          <w:rPr>
            <w:color w:val="4D4D4F"/>
            <w:spacing w:val="6"/>
          </w:rPr>
          <w:t xml:space="preserve"> </w:t>
        </w:r>
        <w:r>
          <w:rPr>
            <w:color w:val="4D4D4F"/>
          </w:rPr>
          <w:t>forbs</w:t>
        </w:r>
        <w:r>
          <w:rPr>
            <w:color w:val="4D4D4F"/>
            <w:spacing w:val="5"/>
          </w:rPr>
          <w:t xml:space="preserve"> </w:t>
        </w:r>
        <w:r>
          <w:rPr>
            <w:color w:val="4D4D4F"/>
          </w:rPr>
          <w:t>in</w:t>
        </w:r>
        <w:r>
          <w:rPr>
            <w:color w:val="4D4D4F"/>
            <w:spacing w:val="6"/>
          </w:rPr>
          <w:t xml:space="preserve"> </w:t>
        </w:r>
        <w:r>
          <w:rPr>
            <w:color w:val="4D4D4F"/>
          </w:rPr>
          <w:t>Natural</w:t>
        </w:r>
        <w:r>
          <w:rPr>
            <w:color w:val="4D4D4F"/>
            <w:spacing w:val="5"/>
          </w:rPr>
          <w:t xml:space="preserve"> </w:t>
        </w:r>
        <w:r>
          <w:rPr>
            <w:color w:val="4D4D4F"/>
          </w:rPr>
          <w:t>Temperate</w:t>
        </w:r>
        <w:r>
          <w:rPr>
            <w:color w:val="4D4D4F"/>
            <w:spacing w:val="5"/>
          </w:rPr>
          <w:t xml:space="preserve"> </w:t>
        </w:r>
        <w:r>
          <w:rPr>
            <w:color w:val="4D4D4F"/>
          </w:rPr>
          <w:t>Grassland,</w:t>
        </w:r>
        <w:r>
          <w:rPr>
            <w:color w:val="4D4D4F"/>
            <w:spacing w:val="6"/>
          </w:rPr>
          <w:t xml:space="preserve"> </w:t>
        </w:r>
        <w:r>
          <w:rPr>
            <w:color w:val="4D4D4F"/>
          </w:rPr>
          <w:t>displayed</w:t>
        </w:r>
        <w:r>
          <w:rPr>
            <w:color w:val="4D4D4F"/>
            <w:spacing w:val="5"/>
          </w:rPr>
          <w:t xml:space="preserve"> </w:t>
        </w:r>
        <w:r>
          <w:rPr>
            <w:color w:val="4D4D4F"/>
          </w:rPr>
          <w:t>by</w:t>
        </w:r>
        <w:r>
          <w:rPr>
            <w:color w:val="4D4D4F"/>
            <w:spacing w:val="6"/>
          </w:rPr>
          <w:t xml:space="preserve"> </w:t>
        </w:r>
        <w:r>
          <w:rPr>
            <w:color w:val="4D4D4F"/>
          </w:rPr>
          <w:t>state</w:t>
        </w:r>
        <w:r>
          <w:rPr>
            <w:color w:val="4D4D4F"/>
          </w:rPr>
          <w:tab/>
          <w:t>78</w:t>
        </w:r>
      </w:hyperlink>
    </w:p>
    <w:p w14:paraId="72ADA2AD" w14:textId="77777777" w:rsidR="00EF5B27" w:rsidRDefault="00000000">
      <w:pPr>
        <w:tabs>
          <w:tab w:val="right" w:leader="dot" w:pos="9750"/>
        </w:tabs>
        <w:spacing w:before="92"/>
        <w:ind w:left="113"/>
        <w:rPr>
          <w:sz w:val="20"/>
        </w:rPr>
      </w:pPr>
      <w:hyperlink w:anchor="_bookmark32" w:history="1">
        <w:r>
          <w:rPr>
            <w:color w:val="4D4D4F"/>
            <w:w w:val="105"/>
            <w:sz w:val="20"/>
          </w:rPr>
          <w:t xml:space="preserve">Figure </w:t>
        </w:r>
        <w:r>
          <w:rPr>
            <w:color w:val="4D4D4F"/>
            <w:spacing w:val="-3"/>
            <w:w w:val="105"/>
            <w:sz w:val="20"/>
          </w:rPr>
          <w:t xml:space="preserve">10: </w:t>
        </w:r>
        <w:r>
          <w:rPr>
            <w:color w:val="4D4D4F"/>
            <w:w w:val="105"/>
            <w:sz w:val="20"/>
          </w:rPr>
          <w:t xml:space="preserve">Cover of Kangaroo Grass </w:t>
        </w:r>
        <w:r>
          <w:rPr>
            <w:color w:val="4D4D4F"/>
            <w:spacing w:val="-3"/>
            <w:w w:val="105"/>
            <w:sz w:val="20"/>
          </w:rPr>
          <w:t>(</w:t>
        </w:r>
        <w:r>
          <w:rPr>
            <w:rFonts w:ascii="Arial Narrow"/>
            <w:i/>
            <w:color w:val="4D4D4F"/>
            <w:spacing w:val="-3"/>
            <w:w w:val="105"/>
            <w:sz w:val="20"/>
          </w:rPr>
          <w:t>Themeda triandra</w:t>
        </w:r>
        <w:r>
          <w:rPr>
            <w:color w:val="4D4D4F"/>
            <w:spacing w:val="-3"/>
            <w:w w:val="105"/>
            <w:sz w:val="20"/>
          </w:rPr>
          <w:t xml:space="preserve">), </w:t>
        </w:r>
        <w:r>
          <w:rPr>
            <w:color w:val="4D4D4F"/>
            <w:w w:val="105"/>
            <w:sz w:val="20"/>
          </w:rPr>
          <w:t>displayed</w:t>
        </w:r>
        <w:r>
          <w:rPr>
            <w:color w:val="4D4D4F"/>
            <w:spacing w:val="20"/>
            <w:w w:val="105"/>
            <w:sz w:val="20"/>
          </w:rPr>
          <w:t xml:space="preserve"> </w:t>
        </w:r>
        <w:r>
          <w:rPr>
            <w:color w:val="4D4D4F"/>
            <w:w w:val="105"/>
            <w:sz w:val="20"/>
          </w:rPr>
          <w:t>by</w:t>
        </w:r>
        <w:r>
          <w:rPr>
            <w:color w:val="4D4D4F"/>
            <w:spacing w:val="2"/>
            <w:w w:val="105"/>
            <w:sz w:val="20"/>
          </w:rPr>
          <w:t xml:space="preserve"> </w:t>
        </w:r>
        <w:r>
          <w:rPr>
            <w:color w:val="4D4D4F"/>
            <w:w w:val="105"/>
            <w:sz w:val="20"/>
          </w:rPr>
          <w:t>state</w:t>
        </w:r>
        <w:r>
          <w:rPr>
            <w:color w:val="4D4D4F"/>
            <w:w w:val="105"/>
            <w:sz w:val="20"/>
          </w:rPr>
          <w:tab/>
          <w:t>79</w:t>
        </w:r>
      </w:hyperlink>
    </w:p>
    <w:p w14:paraId="0A46C568" w14:textId="77777777" w:rsidR="00EF5B27" w:rsidRDefault="00000000">
      <w:pPr>
        <w:pStyle w:val="BodyText"/>
        <w:spacing w:before="93"/>
        <w:ind w:left="113"/>
      </w:pPr>
      <w:hyperlink w:anchor="_bookmark33" w:history="1">
        <w:r>
          <w:rPr>
            <w:color w:val="4D4D4F"/>
            <w:w w:val="105"/>
          </w:rPr>
          <w:t xml:space="preserve">Figure 11: Cover of perennial native grasses (excluding </w:t>
        </w:r>
        <w:r>
          <w:rPr>
            <w:rFonts w:ascii="Arial Narrow"/>
            <w:i/>
            <w:color w:val="4D4D4F"/>
            <w:w w:val="105"/>
          </w:rPr>
          <w:t>Themeda triandra</w:t>
        </w:r>
        <w:r>
          <w:rPr>
            <w:color w:val="4D4D4F"/>
            <w:w w:val="105"/>
          </w:rPr>
          <w:t>) in Natural Temperate Grassland,</w:t>
        </w:r>
      </w:hyperlink>
    </w:p>
    <w:p w14:paraId="580FD250" w14:textId="77777777" w:rsidR="00EF5B27" w:rsidRDefault="00000000">
      <w:pPr>
        <w:pStyle w:val="BodyText"/>
        <w:tabs>
          <w:tab w:val="right" w:leader="dot" w:pos="9753"/>
        </w:tabs>
        <w:spacing w:before="36"/>
        <w:ind w:left="953"/>
      </w:pPr>
      <w:hyperlink w:anchor="_bookmark33" w:history="1">
        <w:r>
          <w:rPr>
            <w:color w:val="4D4D4F"/>
          </w:rPr>
          <w:t>displayed</w:t>
        </w:r>
        <w:r>
          <w:rPr>
            <w:color w:val="4D4D4F"/>
            <w:spacing w:val="4"/>
          </w:rPr>
          <w:t xml:space="preserve"> </w:t>
        </w:r>
        <w:r>
          <w:rPr>
            <w:color w:val="4D4D4F"/>
          </w:rPr>
          <w:t>by</w:t>
        </w:r>
        <w:r>
          <w:rPr>
            <w:color w:val="4D4D4F"/>
            <w:spacing w:val="4"/>
          </w:rPr>
          <w:t xml:space="preserve"> </w:t>
        </w:r>
        <w:r>
          <w:rPr>
            <w:color w:val="4D4D4F"/>
          </w:rPr>
          <w:t>state</w:t>
        </w:r>
        <w:r>
          <w:rPr>
            <w:color w:val="4D4D4F"/>
          </w:rPr>
          <w:tab/>
          <w:t>80</w:t>
        </w:r>
      </w:hyperlink>
    </w:p>
    <w:p w14:paraId="7204355B" w14:textId="77777777" w:rsidR="00EF5B27" w:rsidRDefault="00000000">
      <w:pPr>
        <w:pStyle w:val="BodyText"/>
        <w:tabs>
          <w:tab w:val="right" w:leader="dot" w:pos="9752"/>
        </w:tabs>
        <w:spacing w:before="92"/>
        <w:ind w:left="113"/>
      </w:pPr>
      <w:hyperlink w:anchor="_bookmark36" w:history="1">
        <w:r>
          <w:rPr>
            <w:color w:val="4D4D4F"/>
          </w:rPr>
          <w:t xml:space="preserve">Figure </w:t>
        </w:r>
        <w:r>
          <w:rPr>
            <w:color w:val="4D4D4F"/>
            <w:spacing w:val="-4"/>
          </w:rPr>
          <w:t xml:space="preserve">12: </w:t>
        </w:r>
        <w:r>
          <w:rPr>
            <w:color w:val="4D4D4F"/>
          </w:rPr>
          <w:t>Percentage cover of all perennial vegetation comprised</w:t>
        </w:r>
        <w:r>
          <w:rPr>
            <w:color w:val="4D4D4F"/>
            <w:spacing w:val="43"/>
          </w:rPr>
          <w:t xml:space="preserve"> </w:t>
        </w:r>
        <w:r>
          <w:rPr>
            <w:color w:val="4D4D4F"/>
          </w:rPr>
          <w:t>of</w:t>
        </w:r>
        <w:r>
          <w:rPr>
            <w:color w:val="4D4D4F"/>
            <w:spacing w:val="4"/>
          </w:rPr>
          <w:t xml:space="preserve"> </w:t>
        </w:r>
        <w:r>
          <w:rPr>
            <w:color w:val="4D4D4F"/>
          </w:rPr>
          <w:t>weeds</w:t>
        </w:r>
        <w:r>
          <w:rPr>
            <w:color w:val="4D4D4F"/>
          </w:rPr>
          <w:tab/>
          <w:t>82</w:t>
        </w:r>
      </w:hyperlink>
    </w:p>
    <w:p w14:paraId="267FCC49" w14:textId="77777777" w:rsidR="00EF5B27" w:rsidRDefault="00000000">
      <w:pPr>
        <w:pStyle w:val="BodyText"/>
        <w:tabs>
          <w:tab w:val="right" w:leader="dot" w:pos="9754"/>
        </w:tabs>
        <w:spacing w:before="92"/>
        <w:ind w:left="113"/>
      </w:pPr>
      <w:hyperlink w:anchor="_bookmark37" w:history="1">
        <w:r>
          <w:rPr>
            <w:color w:val="4D4D4F"/>
          </w:rPr>
          <w:t xml:space="preserve">Figure </w:t>
        </w:r>
        <w:r>
          <w:rPr>
            <w:color w:val="4D4D4F"/>
            <w:spacing w:val="-4"/>
          </w:rPr>
          <w:t xml:space="preserve">13: </w:t>
        </w:r>
        <w:r>
          <w:rPr>
            <w:color w:val="4D4D4F"/>
          </w:rPr>
          <w:t>Grassy Eucalypt Woodland of the Victorian</w:t>
        </w:r>
        <w:r>
          <w:rPr>
            <w:color w:val="4D4D4F"/>
            <w:spacing w:val="38"/>
          </w:rPr>
          <w:t xml:space="preserve"> </w:t>
        </w:r>
        <w:r>
          <w:rPr>
            <w:color w:val="4D4D4F"/>
          </w:rPr>
          <w:t>Volcanic</w:t>
        </w:r>
        <w:r>
          <w:rPr>
            <w:color w:val="4D4D4F"/>
            <w:spacing w:val="4"/>
          </w:rPr>
          <w:t xml:space="preserve"> </w:t>
        </w:r>
        <w:r>
          <w:rPr>
            <w:color w:val="4D4D4F"/>
          </w:rPr>
          <w:t>Plain</w:t>
        </w:r>
        <w:r>
          <w:rPr>
            <w:color w:val="4D4D4F"/>
          </w:rPr>
          <w:tab/>
        </w:r>
        <w:r>
          <w:rPr>
            <w:color w:val="4D4D4F"/>
            <w:spacing w:val="3"/>
          </w:rPr>
          <w:t>88</w:t>
        </w:r>
      </w:hyperlink>
    </w:p>
    <w:p w14:paraId="0FCCD979" w14:textId="77777777" w:rsidR="00EF5B27" w:rsidRDefault="00000000">
      <w:pPr>
        <w:pStyle w:val="BodyText"/>
        <w:tabs>
          <w:tab w:val="right" w:leader="dot" w:pos="9751"/>
        </w:tabs>
        <w:spacing w:before="93"/>
        <w:ind w:left="113"/>
      </w:pPr>
      <w:hyperlink w:anchor="_bookmark38" w:history="1">
        <w:r>
          <w:rPr>
            <w:color w:val="4D4D4F"/>
          </w:rPr>
          <w:t xml:space="preserve">Figure </w:t>
        </w:r>
        <w:r>
          <w:rPr>
            <w:color w:val="4D4D4F"/>
            <w:spacing w:val="-4"/>
          </w:rPr>
          <w:t xml:space="preserve">14: </w:t>
        </w:r>
        <w:r>
          <w:rPr>
            <w:color w:val="4D4D4F"/>
          </w:rPr>
          <w:t>Map of monitored locations of Grassy</w:t>
        </w:r>
        <w:r>
          <w:rPr>
            <w:color w:val="4D4D4F"/>
            <w:spacing w:val="33"/>
          </w:rPr>
          <w:t xml:space="preserve"> </w:t>
        </w:r>
        <w:r>
          <w:rPr>
            <w:color w:val="4D4D4F"/>
          </w:rPr>
          <w:t>Eucalypt</w:t>
        </w:r>
        <w:r>
          <w:rPr>
            <w:color w:val="4D4D4F"/>
            <w:spacing w:val="4"/>
          </w:rPr>
          <w:t xml:space="preserve"> </w:t>
        </w:r>
        <w:r>
          <w:rPr>
            <w:color w:val="4D4D4F"/>
          </w:rPr>
          <w:t>Woddland</w:t>
        </w:r>
        <w:r>
          <w:rPr>
            <w:color w:val="4D4D4F"/>
          </w:rPr>
          <w:tab/>
          <w:t>90</w:t>
        </w:r>
      </w:hyperlink>
    </w:p>
    <w:p w14:paraId="40BFBF57" w14:textId="77777777" w:rsidR="00EF5B27" w:rsidRDefault="00000000">
      <w:pPr>
        <w:pStyle w:val="BodyText"/>
        <w:tabs>
          <w:tab w:val="right" w:leader="dot" w:pos="9745"/>
        </w:tabs>
        <w:spacing w:before="92"/>
        <w:ind w:left="113"/>
      </w:pPr>
      <w:hyperlink w:anchor="_bookmark39" w:history="1">
        <w:r>
          <w:rPr>
            <w:color w:val="4D4D4F"/>
          </w:rPr>
          <w:t xml:space="preserve">Figure </w:t>
        </w:r>
        <w:r>
          <w:rPr>
            <w:color w:val="4D4D4F"/>
            <w:spacing w:val="-5"/>
          </w:rPr>
          <w:t xml:space="preserve">15: </w:t>
        </w:r>
        <w:r>
          <w:rPr>
            <w:color w:val="4D4D4F"/>
          </w:rPr>
          <w:t>Example of Seasonal Herbaceous Wetlands</w:t>
        </w:r>
        <w:r>
          <w:rPr>
            <w:color w:val="4D4D4F"/>
            <w:spacing w:val="36"/>
          </w:rPr>
          <w:t xml:space="preserve"> </w:t>
        </w:r>
        <w:r>
          <w:rPr>
            <w:color w:val="4D4D4F"/>
          </w:rPr>
          <w:t>after</w:t>
        </w:r>
        <w:r>
          <w:rPr>
            <w:color w:val="4D4D4F"/>
            <w:spacing w:val="5"/>
          </w:rPr>
          <w:t xml:space="preserve"> </w:t>
        </w:r>
        <w:r>
          <w:rPr>
            <w:color w:val="4D4D4F"/>
          </w:rPr>
          <w:t>filling</w:t>
        </w:r>
        <w:r>
          <w:rPr>
            <w:color w:val="4D4D4F"/>
          </w:rPr>
          <w:tab/>
        </w:r>
        <w:r>
          <w:rPr>
            <w:color w:val="4D4D4F"/>
            <w:spacing w:val="-6"/>
          </w:rPr>
          <w:t>94</w:t>
        </w:r>
      </w:hyperlink>
    </w:p>
    <w:p w14:paraId="171C31EB" w14:textId="77777777" w:rsidR="00EF5B27" w:rsidRDefault="00000000">
      <w:pPr>
        <w:pStyle w:val="BodyText"/>
        <w:tabs>
          <w:tab w:val="right" w:leader="dot" w:pos="9752"/>
        </w:tabs>
        <w:spacing w:before="93"/>
        <w:ind w:left="113"/>
      </w:pPr>
      <w:hyperlink w:anchor="_bookmark41" w:history="1">
        <w:r>
          <w:rPr>
            <w:color w:val="4D4D4F"/>
          </w:rPr>
          <w:t>Figure</w:t>
        </w:r>
        <w:r>
          <w:rPr>
            <w:color w:val="4D4D4F"/>
            <w:spacing w:val="4"/>
          </w:rPr>
          <w:t xml:space="preserve"> </w:t>
        </w:r>
        <w:r>
          <w:rPr>
            <w:color w:val="4D4D4F"/>
            <w:spacing w:val="-5"/>
          </w:rPr>
          <w:t>16:</w:t>
        </w:r>
        <w:r>
          <w:rPr>
            <w:color w:val="4D4D4F"/>
            <w:spacing w:val="5"/>
          </w:rPr>
          <w:t xml:space="preserve"> </w:t>
        </w:r>
        <w:r>
          <w:rPr>
            <w:color w:val="4D4D4F"/>
          </w:rPr>
          <w:t>The</w:t>
        </w:r>
        <w:r>
          <w:rPr>
            <w:color w:val="4D4D4F"/>
            <w:spacing w:val="5"/>
          </w:rPr>
          <w:t xml:space="preserve"> </w:t>
        </w:r>
        <w:r>
          <w:rPr>
            <w:color w:val="4D4D4F"/>
          </w:rPr>
          <w:t>locations</w:t>
        </w:r>
        <w:r>
          <w:rPr>
            <w:color w:val="4D4D4F"/>
            <w:spacing w:val="5"/>
          </w:rPr>
          <w:t xml:space="preserve"> </w:t>
        </w:r>
        <w:r>
          <w:rPr>
            <w:color w:val="4D4D4F"/>
          </w:rPr>
          <w:t>of</w:t>
        </w:r>
        <w:r>
          <w:rPr>
            <w:color w:val="4D4D4F"/>
            <w:spacing w:val="5"/>
          </w:rPr>
          <w:t xml:space="preserve"> </w:t>
        </w:r>
        <w:r>
          <w:rPr>
            <w:color w:val="4D4D4F"/>
          </w:rPr>
          <w:t>the</w:t>
        </w:r>
        <w:r>
          <w:rPr>
            <w:color w:val="4D4D4F"/>
            <w:spacing w:val="5"/>
          </w:rPr>
          <w:t xml:space="preserve"> </w:t>
        </w:r>
        <w:r>
          <w:rPr>
            <w:color w:val="4D4D4F"/>
          </w:rPr>
          <w:t>subject</w:t>
        </w:r>
        <w:r>
          <w:rPr>
            <w:color w:val="4D4D4F"/>
            <w:spacing w:val="4"/>
          </w:rPr>
          <w:t xml:space="preserve"> </w:t>
        </w:r>
        <w:r>
          <w:rPr>
            <w:color w:val="4D4D4F"/>
          </w:rPr>
          <w:t>wetlands</w:t>
        </w:r>
        <w:r>
          <w:rPr>
            <w:color w:val="4D4D4F"/>
            <w:spacing w:val="5"/>
          </w:rPr>
          <w:t xml:space="preserve"> </w:t>
        </w:r>
        <w:r>
          <w:rPr>
            <w:color w:val="4D4D4F"/>
          </w:rPr>
          <w:t>within</w:t>
        </w:r>
        <w:r>
          <w:rPr>
            <w:color w:val="4D4D4F"/>
            <w:spacing w:val="5"/>
          </w:rPr>
          <w:t xml:space="preserve"> </w:t>
        </w:r>
        <w:r>
          <w:rPr>
            <w:color w:val="4D4D4F"/>
          </w:rPr>
          <w:t>the</w:t>
        </w:r>
        <w:r>
          <w:rPr>
            <w:color w:val="4D4D4F"/>
            <w:spacing w:val="5"/>
          </w:rPr>
          <w:t xml:space="preserve"> </w:t>
        </w:r>
        <w:r>
          <w:rPr>
            <w:color w:val="4D4D4F"/>
          </w:rPr>
          <w:t>protected</w:t>
        </w:r>
        <w:r>
          <w:rPr>
            <w:color w:val="4D4D4F"/>
            <w:spacing w:val="5"/>
          </w:rPr>
          <w:t xml:space="preserve"> </w:t>
        </w:r>
        <w:r>
          <w:rPr>
            <w:color w:val="4D4D4F"/>
          </w:rPr>
          <w:t>Western</w:t>
        </w:r>
        <w:r>
          <w:rPr>
            <w:color w:val="4D4D4F"/>
            <w:spacing w:val="5"/>
          </w:rPr>
          <w:t xml:space="preserve"> </w:t>
        </w:r>
        <w:r>
          <w:rPr>
            <w:color w:val="4D4D4F"/>
          </w:rPr>
          <w:t>Grassland</w:t>
        </w:r>
        <w:r>
          <w:rPr>
            <w:color w:val="4D4D4F"/>
            <w:spacing w:val="4"/>
          </w:rPr>
          <w:t xml:space="preserve"> </w:t>
        </w:r>
        <w:r>
          <w:rPr>
            <w:color w:val="4D4D4F"/>
          </w:rPr>
          <w:t>Reserve</w:t>
        </w:r>
        <w:r>
          <w:rPr>
            <w:color w:val="4D4D4F"/>
          </w:rPr>
          <w:tab/>
          <w:t>97</w:t>
        </w:r>
      </w:hyperlink>
    </w:p>
    <w:p w14:paraId="2FB3B886" w14:textId="77777777" w:rsidR="00EF5B27" w:rsidRDefault="00000000">
      <w:pPr>
        <w:pStyle w:val="BodyText"/>
        <w:tabs>
          <w:tab w:val="right" w:leader="dot" w:pos="9753"/>
        </w:tabs>
        <w:spacing w:before="92"/>
        <w:ind w:left="113"/>
      </w:pPr>
      <w:hyperlink w:anchor="_bookmark42" w:history="1">
        <w:r>
          <w:rPr>
            <w:color w:val="4D4D4F"/>
          </w:rPr>
          <w:t xml:space="preserve">Figure </w:t>
        </w:r>
        <w:r>
          <w:rPr>
            <w:color w:val="4D4D4F"/>
            <w:spacing w:val="-6"/>
          </w:rPr>
          <w:t xml:space="preserve">17: </w:t>
        </w:r>
        <w:r>
          <w:rPr>
            <w:color w:val="4D4D4F"/>
          </w:rPr>
          <w:t>The richness of native forbs for</w:t>
        </w:r>
        <w:r>
          <w:rPr>
            <w:color w:val="4D4D4F"/>
            <w:spacing w:val="40"/>
          </w:rPr>
          <w:t xml:space="preserve"> </w:t>
        </w:r>
        <w:r>
          <w:rPr>
            <w:color w:val="4D4D4F"/>
          </w:rPr>
          <w:t>each</w:t>
        </w:r>
        <w:r>
          <w:rPr>
            <w:color w:val="4D4D4F"/>
            <w:spacing w:val="4"/>
          </w:rPr>
          <w:t xml:space="preserve"> </w:t>
        </w:r>
        <w:r>
          <w:rPr>
            <w:color w:val="4D4D4F"/>
          </w:rPr>
          <w:t>wetland</w:t>
        </w:r>
        <w:r>
          <w:rPr>
            <w:color w:val="4D4D4F"/>
          </w:rPr>
          <w:tab/>
          <w:t>98</w:t>
        </w:r>
      </w:hyperlink>
    </w:p>
    <w:p w14:paraId="1CBAB058" w14:textId="77777777" w:rsidR="00EF5B27" w:rsidRDefault="00000000">
      <w:pPr>
        <w:pStyle w:val="BodyText"/>
        <w:tabs>
          <w:tab w:val="right" w:leader="dot" w:pos="9753"/>
        </w:tabs>
        <w:spacing w:before="93"/>
        <w:ind w:left="113"/>
      </w:pPr>
      <w:hyperlink w:anchor="_bookmark44" w:history="1">
        <w:r>
          <w:rPr>
            <w:color w:val="4D4D4F"/>
          </w:rPr>
          <w:t xml:space="preserve">Figure </w:t>
        </w:r>
        <w:r>
          <w:rPr>
            <w:color w:val="4D4D4F"/>
            <w:spacing w:val="-4"/>
          </w:rPr>
          <w:t xml:space="preserve">18: </w:t>
        </w:r>
        <w:r>
          <w:rPr>
            <w:color w:val="4D4D4F"/>
          </w:rPr>
          <w:t xml:space="preserve">The percentage of all perennial vegetation comprised of weeds for </w:t>
        </w:r>
        <w:r>
          <w:rPr>
            <w:color w:val="4D4D4F"/>
            <w:spacing w:val="7"/>
          </w:rPr>
          <w:t xml:space="preserve"> </w:t>
        </w:r>
        <w:r>
          <w:rPr>
            <w:color w:val="4D4D4F"/>
          </w:rPr>
          <w:t>each</w:t>
        </w:r>
        <w:r>
          <w:rPr>
            <w:color w:val="4D4D4F"/>
            <w:spacing w:val="4"/>
          </w:rPr>
          <w:t xml:space="preserve"> </w:t>
        </w:r>
        <w:r>
          <w:rPr>
            <w:color w:val="4D4D4F"/>
          </w:rPr>
          <w:t>wetland</w:t>
        </w:r>
        <w:r>
          <w:rPr>
            <w:color w:val="4D4D4F"/>
          </w:rPr>
          <w:tab/>
          <w:t>99</w:t>
        </w:r>
      </w:hyperlink>
    </w:p>
    <w:p w14:paraId="410BD445" w14:textId="77777777" w:rsidR="00EF5B27" w:rsidRDefault="00000000">
      <w:pPr>
        <w:pStyle w:val="BodyText"/>
        <w:tabs>
          <w:tab w:val="right" w:leader="dot" w:pos="9751"/>
        </w:tabs>
        <w:spacing w:before="92"/>
        <w:ind w:left="113"/>
      </w:pPr>
      <w:hyperlink w:anchor="_bookmark45" w:history="1">
        <w:r>
          <w:rPr>
            <w:color w:val="4D4D4F"/>
          </w:rPr>
          <w:t xml:space="preserve">Figure </w:t>
        </w:r>
        <w:r>
          <w:rPr>
            <w:color w:val="4D4D4F"/>
            <w:spacing w:val="-4"/>
          </w:rPr>
          <w:t xml:space="preserve">19: </w:t>
        </w:r>
        <w:r>
          <w:rPr>
            <w:color w:val="4D4D4F"/>
          </w:rPr>
          <w:t>Male Golden Sun Moth in the Western</w:t>
        </w:r>
        <w:r>
          <w:rPr>
            <w:color w:val="4D4D4F"/>
            <w:spacing w:val="41"/>
          </w:rPr>
          <w:t xml:space="preserve"> </w:t>
        </w:r>
        <w:r>
          <w:rPr>
            <w:color w:val="4D4D4F"/>
          </w:rPr>
          <w:t>Grassland</w:t>
        </w:r>
        <w:r>
          <w:rPr>
            <w:color w:val="4D4D4F"/>
            <w:spacing w:val="4"/>
          </w:rPr>
          <w:t xml:space="preserve"> </w:t>
        </w:r>
        <w:r>
          <w:rPr>
            <w:color w:val="4D4D4F"/>
          </w:rPr>
          <w:t>Reserve</w:t>
        </w:r>
        <w:r>
          <w:rPr>
            <w:color w:val="4D4D4F"/>
          </w:rPr>
          <w:tab/>
        </w:r>
        <w:r>
          <w:rPr>
            <w:color w:val="4D4D4F"/>
            <w:spacing w:val="-2"/>
          </w:rPr>
          <w:t>103</w:t>
        </w:r>
      </w:hyperlink>
    </w:p>
    <w:p w14:paraId="7DDB2CA9" w14:textId="77777777" w:rsidR="00EF5B27" w:rsidRDefault="00000000">
      <w:pPr>
        <w:pStyle w:val="BodyText"/>
        <w:tabs>
          <w:tab w:val="right" w:leader="dot" w:pos="9751"/>
        </w:tabs>
        <w:spacing w:before="93"/>
        <w:ind w:left="113"/>
      </w:pPr>
      <w:hyperlink w:anchor="_bookmark46" w:history="1">
        <w:r>
          <w:rPr>
            <w:color w:val="4D4D4F"/>
          </w:rPr>
          <w:t>Figure 20: Map of monitored areas for the Golden</w:t>
        </w:r>
        <w:r>
          <w:rPr>
            <w:color w:val="4D4D4F"/>
            <w:spacing w:val="29"/>
          </w:rPr>
          <w:t xml:space="preserve"> </w:t>
        </w:r>
        <w:r>
          <w:rPr>
            <w:color w:val="4D4D4F"/>
          </w:rPr>
          <w:t>Sun</w:t>
        </w:r>
        <w:r>
          <w:rPr>
            <w:color w:val="4D4D4F"/>
            <w:spacing w:val="3"/>
          </w:rPr>
          <w:t xml:space="preserve"> </w:t>
        </w:r>
        <w:r>
          <w:rPr>
            <w:color w:val="4D4D4F"/>
          </w:rPr>
          <w:t>Moth</w:t>
        </w:r>
        <w:r>
          <w:rPr>
            <w:color w:val="4D4D4F"/>
          </w:rPr>
          <w:tab/>
        </w:r>
        <w:r>
          <w:rPr>
            <w:color w:val="4D4D4F"/>
            <w:spacing w:val="-3"/>
          </w:rPr>
          <w:t>105</w:t>
        </w:r>
      </w:hyperlink>
    </w:p>
    <w:p w14:paraId="5C4D482D" w14:textId="77777777" w:rsidR="00EF5B27" w:rsidRDefault="00000000">
      <w:pPr>
        <w:pStyle w:val="BodyText"/>
        <w:tabs>
          <w:tab w:val="right" w:leader="dot" w:pos="9751"/>
        </w:tabs>
        <w:spacing w:before="92"/>
        <w:ind w:left="113"/>
      </w:pPr>
      <w:hyperlink w:anchor="_bookmark47" w:history="1">
        <w:r>
          <w:rPr>
            <w:color w:val="4D4D4F"/>
          </w:rPr>
          <w:t xml:space="preserve">Figure </w:t>
        </w:r>
        <w:r>
          <w:rPr>
            <w:color w:val="4D4D4F"/>
            <w:spacing w:val="-7"/>
          </w:rPr>
          <w:t xml:space="preserve">21: </w:t>
        </w:r>
        <w:r>
          <w:rPr>
            <w:color w:val="4D4D4F"/>
          </w:rPr>
          <w:t>The proportion of plots in which Golden Sun Moth</w:t>
        </w:r>
        <w:r>
          <w:rPr>
            <w:color w:val="4D4D4F"/>
            <w:spacing w:val="45"/>
          </w:rPr>
          <w:t xml:space="preserve"> </w:t>
        </w:r>
        <w:r>
          <w:rPr>
            <w:color w:val="4D4D4F"/>
          </w:rPr>
          <w:t>was</w:t>
        </w:r>
        <w:r>
          <w:rPr>
            <w:color w:val="4D4D4F"/>
            <w:spacing w:val="3"/>
          </w:rPr>
          <w:t xml:space="preserve"> </w:t>
        </w:r>
        <w:r>
          <w:rPr>
            <w:color w:val="4D4D4F"/>
          </w:rPr>
          <w:t>detected</w:t>
        </w:r>
        <w:r>
          <w:rPr>
            <w:color w:val="4D4D4F"/>
          </w:rPr>
          <w:tab/>
        </w:r>
        <w:r>
          <w:rPr>
            <w:color w:val="4D4D4F"/>
            <w:spacing w:val="-3"/>
          </w:rPr>
          <w:t>106</w:t>
        </w:r>
      </w:hyperlink>
    </w:p>
    <w:p w14:paraId="1BD6DF0F" w14:textId="77777777" w:rsidR="00EF5B27" w:rsidRDefault="00000000">
      <w:pPr>
        <w:pStyle w:val="BodyText"/>
        <w:tabs>
          <w:tab w:val="right" w:leader="dot" w:pos="9751"/>
        </w:tabs>
        <w:spacing w:before="93"/>
        <w:ind w:left="113"/>
      </w:pPr>
      <w:hyperlink w:anchor="_bookmark48" w:history="1">
        <w:r>
          <w:rPr>
            <w:color w:val="4D4D4F"/>
          </w:rPr>
          <w:t>Figure 22: A flowering</w:t>
        </w:r>
        <w:r>
          <w:rPr>
            <w:color w:val="4D4D4F"/>
            <w:spacing w:val="15"/>
          </w:rPr>
          <w:t xml:space="preserve"> </w:t>
        </w:r>
        <w:r>
          <w:rPr>
            <w:color w:val="4D4D4F"/>
          </w:rPr>
          <w:t>Matted</w:t>
        </w:r>
        <w:r>
          <w:rPr>
            <w:color w:val="4D4D4F"/>
            <w:spacing w:val="4"/>
          </w:rPr>
          <w:t xml:space="preserve"> </w:t>
        </w:r>
        <w:r>
          <w:rPr>
            <w:color w:val="4D4D4F"/>
          </w:rPr>
          <w:t>Flax-lily</w:t>
        </w:r>
        <w:r>
          <w:rPr>
            <w:color w:val="4D4D4F"/>
          </w:rPr>
          <w:tab/>
        </w:r>
        <w:r>
          <w:rPr>
            <w:color w:val="4D4D4F"/>
            <w:spacing w:val="-3"/>
          </w:rPr>
          <w:t>109</w:t>
        </w:r>
      </w:hyperlink>
    </w:p>
    <w:p w14:paraId="1D380DD4" w14:textId="77777777" w:rsidR="00EF5B27" w:rsidRDefault="00000000">
      <w:pPr>
        <w:pStyle w:val="BodyText"/>
        <w:tabs>
          <w:tab w:val="right" w:leader="dot" w:pos="9751"/>
        </w:tabs>
        <w:spacing w:before="92"/>
        <w:ind w:left="113"/>
      </w:pPr>
      <w:hyperlink w:anchor="_bookmark48" w:history="1">
        <w:r>
          <w:rPr>
            <w:color w:val="4D4D4F"/>
          </w:rPr>
          <w:t>Figure 23: A clump of Matted</w:t>
        </w:r>
        <w:r>
          <w:rPr>
            <w:color w:val="4D4D4F"/>
            <w:spacing w:val="22"/>
          </w:rPr>
          <w:t xml:space="preserve"> </w:t>
        </w:r>
        <w:r>
          <w:rPr>
            <w:color w:val="4D4D4F"/>
          </w:rPr>
          <w:t>Flax-lily</w:t>
        </w:r>
        <w:r>
          <w:rPr>
            <w:color w:val="4D4D4F"/>
            <w:spacing w:val="4"/>
          </w:rPr>
          <w:t xml:space="preserve"> </w:t>
        </w:r>
        <w:r>
          <w:rPr>
            <w:color w:val="4D4D4F"/>
          </w:rPr>
          <w:t>(foreground)</w:t>
        </w:r>
        <w:r>
          <w:rPr>
            <w:color w:val="4D4D4F"/>
          </w:rPr>
          <w:tab/>
        </w:r>
        <w:r>
          <w:rPr>
            <w:color w:val="4D4D4F"/>
            <w:spacing w:val="-3"/>
          </w:rPr>
          <w:t>109</w:t>
        </w:r>
      </w:hyperlink>
    </w:p>
    <w:p w14:paraId="0A774D85" w14:textId="77777777" w:rsidR="00EF5B27" w:rsidRDefault="00000000">
      <w:pPr>
        <w:pStyle w:val="BodyText"/>
        <w:tabs>
          <w:tab w:val="right" w:leader="dot" w:pos="9751"/>
        </w:tabs>
        <w:spacing w:before="93"/>
        <w:ind w:left="113"/>
      </w:pPr>
      <w:hyperlink w:anchor="_bookmark49" w:history="1">
        <w:r>
          <w:rPr>
            <w:color w:val="4D4D4F"/>
          </w:rPr>
          <w:t>Figure 24: Map of monitored locations for the</w:t>
        </w:r>
        <w:r>
          <w:rPr>
            <w:color w:val="4D4D4F"/>
            <w:spacing w:val="26"/>
          </w:rPr>
          <w:t xml:space="preserve"> </w:t>
        </w:r>
        <w:r>
          <w:rPr>
            <w:color w:val="4D4D4F"/>
          </w:rPr>
          <w:t>Matted</w:t>
        </w:r>
        <w:r>
          <w:rPr>
            <w:color w:val="4D4D4F"/>
            <w:spacing w:val="3"/>
          </w:rPr>
          <w:t xml:space="preserve"> </w:t>
        </w:r>
        <w:r>
          <w:rPr>
            <w:color w:val="4D4D4F"/>
          </w:rPr>
          <w:t>Flax-lily</w:t>
        </w:r>
        <w:r>
          <w:rPr>
            <w:color w:val="4D4D4F"/>
          </w:rPr>
          <w:tab/>
        </w:r>
        <w:r>
          <w:rPr>
            <w:color w:val="4D4D4F"/>
            <w:spacing w:val="-11"/>
          </w:rPr>
          <w:t>112</w:t>
        </w:r>
      </w:hyperlink>
    </w:p>
    <w:p w14:paraId="1DE59014" w14:textId="77777777" w:rsidR="00EF5B27" w:rsidRDefault="00000000">
      <w:pPr>
        <w:pStyle w:val="BodyText"/>
        <w:spacing w:before="92"/>
        <w:ind w:left="113"/>
      </w:pPr>
      <w:hyperlink w:anchor="_bookmark50" w:history="1">
        <w:r>
          <w:rPr>
            <w:color w:val="4D4D4F"/>
          </w:rPr>
          <w:t>Figure 25: Matted Flax-lily plants detected in the first four years of monitoring at Kalkallo Common,</w:t>
        </w:r>
      </w:hyperlink>
    </w:p>
    <w:p w14:paraId="0AD521EA" w14:textId="77777777" w:rsidR="00EF5B27" w:rsidRDefault="00000000">
      <w:pPr>
        <w:pStyle w:val="BodyText"/>
        <w:tabs>
          <w:tab w:val="right" w:leader="dot" w:pos="9751"/>
        </w:tabs>
        <w:spacing w:before="36"/>
        <w:ind w:left="985"/>
      </w:pPr>
      <w:hyperlink w:anchor="_bookmark50" w:history="1">
        <w:r>
          <w:rPr>
            <w:color w:val="4D4D4F"/>
          </w:rPr>
          <w:t xml:space="preserve">expressed as a percentage of the total number of plants known in </w:t>
        </w:r>
        <w:r>
          <w:rPr>
            <w:color w:val="4D4D4F"/>
            <w:spacing w:val="7"/>
          </w:rPr>
          <w:t xml:space="preserve"> </w:t>
        </w:r>
        <w:r>
          <w:rPr>
            <w:color w:val="4D4D4F"/>
          </w:rPr>
          <w:t>each</w:t>
        </w:r>
        <w:r>
          <w:rPr>
            <w:color w:val="4D4D4F"/>
            <w:spacing w:val="4"/>
          </w:rPr>
          <w:t xml:space="preserve"> </w:t>
        </w:r>
        <w:r>
          <w:rPr>
            <w:color w:val="4D4D4F"/>
          </w:rPr>
          <w:t>year</w:t>
        </w:r>
        <w:r>
          <w:rPr>
            <w:color w:val="4D4D4F"/>
          </w:rPr>
          <w:tab/>
        </w:r>
        <w:r>
          <w:rPr>
            <w:color w:val="4D4D4F"/>
            <w:spacing w:val="-11"/>
          </w:rPr>
          <w:t>113</w:t>
        </w:r>
      </w:hyperlink>
    </w:p>
    <w:p w14:paraId="2D82CEE6" w14:textId="77777777" w:rsidR="00EF5B27" w:rsidRDefault="00000000">
      <w:pPr>
        <w:pStyle w:val="BodyText"/>
        <w:tabs>
          <w:tab w:val="right" w:leader="dot" w:pos="9751"/>
        </w:tabs>
        <w:spacing w:before="92"/>
        <w:ind w:left="113"/>
      </w:pPr>
      <w:hyperlink w:anchor="_bookmark51" w:history="1">
        <w:r>
          <w:rPr>
            <w:color w:val="4D4D4F"/>
          </w:rPr>
          <w:t>Figure 26:</w:t>
        </w:r>
        <w:r>
          <w:rPr>
            <w:color w:val="4D4D4F"/>
            <w:spacing w:val="8"/>
          </w:rPr>
          <w:t xml:space="preserve"> </w:t>
        </w:r>
        <w:r>
          <w:rPr>
            <w:color w:val="4D4D4F"/>
          </w:rPr>
          <w:t>Spiny</w:t>
        </w:r>
        <w:r>
          <w:rPr>
            <w:color w:val="4D4D4F"/>
            <w:spacing w:val="4"/>
          </w:rPr>
          <w:t xml:space="preserve"> </w:t>
        </w:r>
        <w:r>
          <w:rPr>
            <w:color w:val="4D4D4F"/>
          </w:rPr>
          <w:t>Rice-flower</w:t>
        </w:r>
        <w:r>
          <w:rPr>
            <w:color w:val="4D4D4F"/>
          </w:rPr>
          <w:tab/>
        </w:r>
        <w:r>
          <w:rPr>
            <w:color w:val="4D4D4F"/>
            <w:spacing w:val="-11"/>
          </w:rPr>
          <w:t>115</w:t>
        </w:r>
      </w:hyperlink>
    </w:p>
    <w:p w14:paraId="0E480C93" w14:textId="77777777" w:rsidR="00EF5B27" w:rsidRDefault="00000000">
      <w:pPr>
        <w:pStyle w:val="BodyText"/>
        <w:tabs>
          <w:tab w:val="right" w:leader="dot" w:pos="9751"/>
        </w:tabs>
        <w:spacing w:before="93"/>
        <w:ind w:left="113"/>
      </w:pPr>
      <w:hyperlink w:anchor="_bookmark52" w:history="1">
        <w:r>
          <w:rPr>
            <w:color w:val="4D4D4F"/>
          </w:rPr>
          <w:t>Figure 27: Map of monitored locations of</w:t>
        </w:r>
        <w:r>
          <w:rPr>
            <w:color w:val="4D4D4F"/>
            <w:spacing w:val="24"/>
          </w:rPr>
          <w:t xml:space="preserve"> </w:t>
        </w:r>
        <w:r>
          <w:rPr>
            <w:color w:val="4D4D4F"/>
          </w:rPr>
          <w:t>Spiny</w:t>
        </w:r>
        <w:r>
          <w:rPr>
            <w:color w:val="4D4D4F"/>
            <w:spacing w:val="4"/>
          </w:rPr>
          <w:t xml:space="preserve"> </w:t>
        </w:r>
        <w:r>
          <w:rPr>
            <w:color w:val="4D4D4F"/>
          </w:rPr>
          <w:t>Rice-flower</w:t>
        </w:r>
        <w:r>
          <w:rPr>
            <w:color w:val="4D4D4F"/>
          </w:rPr>
          <w:tab/>
        </w:r>
        <w:r>
          <w:rPr>
            <w:color w:val="4D4D4F"/>
            <w:spacing w:val="-11"/>
          </w:rPr>
          <w:t>117</w:t>
        </w:r>
      </w:hyperlink>
    </w:p>
    <w:p w14:paraId="7D170DA9" w14:textId="77777777" w:rsidR="00EF5B27" w:rsidRDefault="00000000">
      <w:pPr>
        <w:pStyle w:val="BodyText"/>
        <w:spacing w:before="92"/>
        <w:ind w:left="113"/>
      </w:pPr>
      <w:hyperlink w:anchor="_bookmark53" w:history="1">
        <w:r>
          <w:rPr>
            <w:color w:val="4D4D4F"/>
          </w:rPr>
          <w:t>Figure 28: Population count of Spiny Rice-flower at Radio and Truganina Cemetery in 2019 and 2021</w:t>
        </w:r>
      </w:hyperlink>
    </w:p>
    <w:p w14:paraId="7873F750" w14:textId="77777777" w:rsidR="00EF5B27" w:rsidRDefault="00000000">
      <w:pPr>
        <w:pStyle w:val="BodyText"/>
        <w:tabs>
          <w:tab w:val="right" w:leader="dot" w:pos="9751"/>
        </w:tabs>
        <w:spacing w:before="36"/>
        <w:ind w:left="988"/>
      </w:pPr>
      <w:hyperlink w:anchor="_bookmark53" w:history="1">
        <w:r>
          <w:rPr>
            <w:color w:val="4D4D4F"/>
          </w:rPr>
          <w:t>(not monitored</w:t>
        </w:r>
        <w:r>
          <w:rPr>
            <w:color w:val="4D4D4F"/>
            <w:spacing w:val="7"/>
          </w:rPr>
          <w:t xml:space="preserve"> </w:t>
        </w:r>
        <w:r>
          <w:rPr>
            <w:color w:val="4D4D4F"/>
          </w:rPr>
          <w:t>in</w:t>
        </w:r>
        <w:r>
          <w:rPr>
            <w:color w:val="4D4D4F"/>
            <w:spacing w:val="3"/>
          </w:rPr>
          <w:t xml:space="preserve"> </w:t>
        </w:r>
        <w:r>
          <w:rPr>
            <w:color w:val="4D4D4F"/>
          </w:rPr>
          <w:t>2020)</w:t>
        </w:r>
        <w:r>
          <w:rPr>
            <w:color w:val="4D4D4F"/>
          </w:rPr>
          <w:tab/>
        </w:r>
        <w:r>
          <w:rPr>
            <w:color w:val="4D4D4F"/>
            <w:spacing w:val="-11"/>
          </w:rPr>
          <w:t>118</w:t>
        </w:r>
      </w:hyperlink>
    </w:p>
    <w:p w14:paraId="13E3C00F" w14:textId="77777777" w:rsidR="00EF5B27" w:rsidRDefault="00000000">
      <w:pPr>
        <w:pStyle w:val="BodyText"/>
        <w:tabs>
          <w:tab w:val="right" w:leader="dot" w:pos="9751"/>
        </w:tabs>
        <w:spacing w:before="93"/>
        <w:ind w:left="113"/>
      </w:pPr>
      <w:hyperlink w:anchor="_bookmark55" w:history="1">
        <w:r>
          <w:rPr>
            <w:color w:val="4D4D4F"/>
          </w:rPr>
          <w:t xml:space="preserve">Figure 29: </w:t>
        </w:r>
        <w:r>
          <w:rPr>
            <w:color w:val="4D4D4F"/>
            <w:spacing w:val="-4"/>
          </w:rPr>
          <w:t xml:space="preserve">Two </w:t>
        </w:r>
        <w:r>
          <w:rPr>
            <w:color w:val="4D4D4F"/>
          </w:rPr>
          <w:t>Spiny Rice-flower recruits,</w:t>
        </w:r>
        <w:r>
          <w:rPr>
            <w:color w:val="4D4D4F"/>
            <w:spacing w:val="33"/>
          </w:rPr>
          <w:t xml:space="preserve"> </w:t>
        </w:r>
        <w:r>
          <w:rPr>
            <w:color w:val="4D4D4F"/>
            <w:spacing w:val="-3"/>
          </w:rPr>
          <w:t>Truganina</w:t>
        </w:r>
        <w:r>
          <w:rPr>
            <w:color w:val="4D4D4F"/>
            <w:spacing w:val="5"/>
          </w:rPr>
          <w:t xml:space="preserve"> </w:t>
        </w:r>
        <w:r>
          <w:rPr>
            <w:color w:val="4D4D4F"/>
          </w:rPr>
          <w:t>Cemetery</w:t>
        </w:r>
        <w:r>
          <w:rPr>
            <w:color w:val="4D4D4F"/>
          </w:rPr>
          <w:tab/>
        </w:r>
        <w:r>
          <w:rPr>
            <w:color w:val="4D4D4F"/>
            <w:spacing w:val="-11"/>
          </w:rPr>
          <w:t>119</w:t>
        </w:r>
      </w:hyperlink>
    </w:p>
    <w:p w14:paraId="234BCD01" w14:textId="77777777" w:rsidR="00EF5B27" w:rsidRDefault="00000000">
      <w:pPr>
        <w:pStyle w:val="BodyText"/>
        <w:tabs>
          <w:tab w:val="right" w:leader="dot" w:pos="9751"/>
        </w:tabs>
        <w:spacing w:before="92"/>
        <w:ind w:left="113"/>
      </w:pPr>
      <w:hyperlink w:anchor="_bookmark56" w:history="1">
        <w:r>
          <w:rPr>
            <w:color w:val="4D4D4F"/>
          </w:rPr>
          <w:t>Figure 30: Southern</w:t>
        </w:r>
        <w:r>
          <w:rPr>
            <w:color w:val="4D4D4F"/>
            <w:spacing w:val="12"/>
          </w:rPr>
          <w:t xml:space="preserve"> </w:t>
        </w:r>
        <w:r>
          <w:rPr>
            <w:color w:val="4D4D4F"/>
          </w:rPr>
          <w:t>Brown</w:t>
        </w:r>
        <w:r>
          <w:rPr>
            <w:color w:val="4D4D4F"/>
            <w:spacing w:val="4"/>
          </w:rPr>
          <w:t xml:space="preserve"> </w:t>
        </w:r>
        <w:r>
          <w:rPr>
            <w:color w:val="4D4D4F"/>
          </w:rPr>
          <w:t>Bandicoot</w:t>
        </w:r>
        <w:r>
          <w:rPr>
            <w:color w:val="4D4D4F"/>
          </w:rPr>
          <w:tab/>
        </w:r>
        <w:r>
          <w:rPr>
            <w:color w:val="4D4D4F"/>
            <w:spacing w:val="-3"/>
          </w:rPr>
          <w:t>122</w:t>
        </w:r>
      </w:hyperlink>
    </w:p>
    <w:p w14:paraId="2E0452C4" w14:textId="77777777" w:rsidR="00EF5B27" w:rsidRDefault="00EF5B27">
      <w:pPr>
        <w:sectPr w:rsidR="00EF5B27">
          <w:pgSz w:w="11910" w:h="16840"/>
          <w:pgMar w:top="1080" w:right="1020" w:bottom="860" w:left="1020" w:header="530" w:footer="678" w:gutter="0"/>
          <w:cols w:space="720"/>
        </w:sectPr>
      </w:pPr>
    </w:p>
    <w:p w14:paraId="76E7F3E7" w14:textId="77777777" w:rsidR="00EF5B27" w:rsidRDefault="00000000">
      <w:pPr>
        <w:pStyle w:val="BodyText"/>
        <w:rPr>
          <w:sz w:val="24"/>
        </w:rPr>
      </w:pPr>
      <w:r>
        <w:lastRenderedPageBreak/>
        <w:pict w14:anchorId="66354CBD">
          <v:group id="_x0000_s4634" style="position:absolute;margin-left:587.05pt;margin-top:183.4pt;width:8.25pt;height:153.1pt;z-index:251318784;mso-position-horizontal-relative:page;mso-position-vertical-relative:page" coordorigin="11741,3668" coordsize="165,3062">
            <v:shape id="_x0000_s4641" style="position:absolute;left:11741;top:3668;width:165;height:561" coordorigin="11741,3668" coordsize="165,561" path="m11906,3668r-165,l11741,4228r165,-18l11906,3668xe" fillcolor="#00aed9" stroked="f">
              <v:path arrowok="t"/>
            </v:shape>
            <v:shape id="_x0000_s4640" style="position:absolute;left:11741;top:4118;width:165;height:425" coordorigin="11741,4118" coordsize="165,425" path="m11906,4118r-165,14l11741,4531r165,12l11906,4118xe" fillcolor="#047ebc" stroked="f">
              <v:path arrowok="t"/>
            </v:shape>
            <v:shape id="_x0000_s4639" type="#_x0000_t75" style="position:absolute;left:11741;top:4355;width:165;height:587">
              <v:imagedata r:id="rId30" o:title=""/>
            </v:shape>
            <v:shape id="_x0000_s4638" style="position:absolute;left:11741;top:5343;width:165;height:536" coordorigin="11741,5343" coordsize="165,536" path="m11741,5343r,535l11906,5872r,-525l11741,5343xe" fillcolor="#f36a2e" stroked="f">
              <v:path arrowok="t"/>
            </v:shape>
            <v:shape id="_x0000_s4637" style="position:absolute;left:11741;top:4925;width:165;height:501" coordorigin="11741,4926" coordsize="165,501" path="m11741,4926r,500l11906,5426r,-485l11741,4926xe" fillcolor="#49783f" stroked="f">
              <v:path arrowok="t"/>
            </v:shape>
            <v:shape id="_x0000_s4636" style="position:absolute;left:11741;top:5781;width:165;height:268" coordorigin="11741,5782" coordsize="165,268" path="m11906,5782r-165,8l11741,6039r165,10l11906,5782xe" fillcolor="#f99f2a" stroked="f">
              <v:path arrowok="t"/>
            </v:shape>
            <v:shape id="_x0000_s4635" style="position:absolute;left:11741;top:6023;width:165;height:707" coordorigin="11741,6023" coordsize="165,707" path="m11741,6023r,706l11906,6729r,-690l11741,6023xe" fillcolor="#ef412c" stroked="f">
              <v:path arrowok="t"/>
            </v:shape>
            <w10:wrap anchorx="page" anchory="page"/>
          </v:group>
        </w:pict>
      </w:r>
    </w:p>
    <w:p w14:paraId="3B84E8CB" w14:textId="77777777" w:rsidR="00EF5B27" w:rsidRDefault="00EF5B27">
      <w:pPr>
        <w:pStyle w:val="BodyText"/>
        <w:rPr>
          <w:sz w:val="24"/>
        </w:rPr>
      </w:pPr>
    </w:p>
    <w:p w14:paraId="74E38198" w14:textId="77777777" w:rsidR="00EF5B27" w:rsidRDefault="00EF5B27">
      <w:pPr>
        <w:pStyle w:val="BodyText"/>
        <w:rPr>
          <w:sz w:val="24"/>
        </w:rPr>
      </w:pPr>
    </w:p>
    <w:p w14:paraId="56EF99DB" w14:textId="77777777" w:rsidR="00EF5B27" w:rsidRDefault="00EF5B27">
      <w:pPr>
        <w:pStyle w:val="BodyText"/>
        <w:rPr>
          <w:sz w:val="24"/>
        </w:rPr>
      </w:pPr>
    </w:p>
    <w:p w14:paraId="40EE474B" w14:textId="77777777" w:rsidR="00EF5B27" w:rsidRDefault="00EF5B27">
      <w:pPr>
        <w:pStyle w:val="BodyText"/>
        <w:rPr>
          <w:sz w:val="24"/>
        </w:rPr>
      </w:pPr>
    </w:p>
    <w:p w14:paraId="1031CED5" w14:textId="77777777" w:rsidR="00EF5B27" w:rsidRDefault="00EF5B27">
      <w:pPr>
        <w:pStyle w:val="BodyText"/>
        <w:rPr>
          <w:sz w:val="24"/>
        </w:rPr>
      </w:pPr>
    </w:p>
    <w:p w14:paraId="61D878E6" w14:textId="77777777" w:rsidR="00EF5B27" w:rsidRDefault="00EF5B27">
      <w:pPr>
        <w:pStyle w:val="BodyText"/>
        <w:rPr>
          <w:sz w:val="24"/>
        </w:rPr>
      </w:pPr>
    </w:p>
    <w:p w14:paraId="48A3003F" w14:textId="77777777" w:rsidR="00EF5B27" w:rsidRDefault="00EF5B27">
      <w:pPr>
        <w:pStyle w:val="BodyText"/>
        <w:rPr>
          <w:sz w:val="24"/>
        </w:rPr>
      </w:pPr>
    </w:p>
    <w:p w14:paraId="304D51EC" w14:textId="77777777" w:rsidR="00EF5B27" w:rsidRDefault="00000000">
      <w:pPr>
        <w:pStyle w:val="BodyText"/>
        <w:tabs>
          <w:tab w:val="left" w:leader="dot" w:pos="9469"/>
        </w:tabs>
        <w:spacing w:before="199"/>
        <w:ind w:left="113"/>
      </w:pPr>
      <w:hyperlink w:anchor="_bookmark57" w:history="1">
        <w:r>
          <w:rPr>
            <w:color w:val="4D4D4F"/>
          </w:rPr>
          <w:t xml:space="preserve">Figure </w:t>
        </w:r>
        <w:r>
          <w:rPr>
            <w:color w:val="4D4D4F"/>
            <w:spacing w:val="-7"/>
          </w:rPr>
          <w:t xml:space="preserve">31: </w:t>
        </w:r>
        <w:r>
          <w:rPr>
            <w:color w:val="4D4D4F"/>
          </w:rPr>
          <w:t>Map of Southern Brown Bandicoot</w:t>
        </w:r>
        <w:r>
          <w:rPr>
            <w:color w:val="4D4D4F"/>
            <w:spacing w:val="36"/>
          </w:rPr>
          <w:t xml:space="preserve"> </w:t>
        </w:r>
        <w:r>
          <w:rPr>
            <w:color w:val="4D4D4F"/>
          </w:rPr>
          <w:t>management</w:t>
        </w:r>
        <w:r>
          <w:rPr>
            <w:color w:val="4D4D4F"/>
            <w:spacing w:val="5"/>
          </w:rPr>
          <w:t xml:space="preserve"> </w:t>
        </w:r>
        <w:r>
          <w:rPr>
            <w:color w:val="4D4D4F"/>
          </w:rPr>
          <w:t>area</w:t>
        </w:r>
        <w:r>
          <w:rPr>
            <w:color w:val="4D4D4F"/>
          </w:rPr>
          <w:tab/>
        </w:r>
        <w:r>
          <w:rPr>
            <w:color w:val="4D4D4F"/>
            <w:spacing w:val="-5"/>
          </w:rPr>
          <w:t>124</w:t>
        </w:r>
      </w:hyperlink>
    </w:p>
    <w:p w14:paraId="214C86D4" w14:textId="77777777" w:rsidR="00EF5B27" w:rsidRDefault="00000000">
      <w:pPr>
        <w:pStyle w:val="BodyText"/>
        <w:spacing w:before="92"/>
        <w:ind w:left="113"/>
      </w:pPr>
      <w:hyperlink w:anchor="_bookmark58" w:history="1">
        <w:r>
          <w:rPr>
            <w:color w:val="4D4D4F"/>
          </w:rPr>
          <w:t>Figure 32: The modelled proportion of sites occupied by Southern Brown Bandicoot</w:t>
        </w:r>
      </w:hyperlink>
    </w:p>
    <w:p w14:paraId="0FDD406B" w14:textId="77777777" w:rsidR="00EF5B27" w:rsidRDefault="00000000">
      <w:pPr>
        <w:pStyle w:val="BodyText"/>
        <w:tabs>
          <w:tab w:val="right" w:leader="dot" w:pos="9751"/>
        </w:tabs>
        <w:spacing w:before="36"/>
        <w:ind w:left="989"/>
      </w:pPr>
      <w:hyperlink w:anchor="_bookmark58" w:history="1">
        <w:r>
          <w:rPr>
            <w:color w:val="4D4D4F"/>
          </w:rPr>
          <w:t>and the detection probability for Southern</w:t>
        </w:r>
        <w:r>
          <w:rPr>
            <w:color w:val="4D4D4F"/>
            <w:spacing w:val="22"/>
          </w:rPr>
          <w:t xml:space="preserve"> </w:t>
        </w:r>
        <w:r>
          <w:rPr>
            <w:color w:val="4D4D4F"/>
          </w:rPr>
          <w:t>Brown</w:t>
        </w:r>
        <w:r>
          <w:rPr>
            <w:color w:val="4D4D4F"/>
            <w:spacing w:val="4"/>
          </w:rPr>
          <w:t xml:space="preserve"> </w:t>
        </w:r>
        <w:r>
          <w:rPr>
            <w:color w:val="4D4D4F"/>
          </w:rPr>
          <w:t>Bandicoot</w:t>
        </w:r>
        <w:r>
          <w:rPr>
            <w:color w:val="4D4D4F"/>
          </w:rPr>
          <w:tab/>
        </w:r>
        <w:r>
          <w:rPr>
            <w:color w:val="4D4D4F"/>
            <w:spacing w:val="-4"/>
          </w:rPr>
          <w:t>125</w:t>
        </w:r>
      </w:hyperlink>
    </w:p>
    <w:p w14:paraId="35FD14B3" w14:textId="77777777" w:rsidR="00EF5B27" w:rsidRDefault="00000000">
      <w:pPr>
        <w:pStyle w:val="BodyText"/>
        <w:tabs>
          <w:tab w:val="right" w:leader="dot" w:pos="9751"/>
        </w:tabs>
        <w:spacing w:before="92"/>
        <w:ind w:left="114"/>
      </w:pPr>
      <w:hyperlink w:anchor="_bookmark59" w:history="1">
        <w:r>
          <w:rPr>
            <w:color w:val="4D4D4F"/>
          </w:rPr>
          <w:t>Figure 33: Growling</w:t>
        </w:r>
        <w:r>
          <w:rPr>
            <w:color w:val="4D4D4F"/>
            <w:spacing w:val="13"/>
          </w:rPr>
          <w:t xml:space="preserve"> </w:t>
        </w:r>
        <w:r>
          <w:rPr>
            <w:color w:val="4D4D4F"/>
          </w:rPr>
          <w:t>Grass</w:t>
        </w:r>
        <w:r>
          <w:rPr>
            <w:color w:val="4D4D4F"/>
            <w:spacing w:val="5"/>
          </w:rPr>
          <w:t xml:space="preserve"> </w:t>
        </w:r>
        <w:r>
          <w:rPr>
            <w:color w:val="4D4D4F"/>
          </w:rPr>
          <w:t>Frog</w:t>
        </w:r>
        <w:r>
          <w:rPr>
            <w:color w:val="4D4D4F"/>
          </w:rPr>
          <w:tab/>
        </w:r>
        <w:r>
          <w:rPr>
            <w:color w:val="4D4D4F"/>
            <w:spacing w:val="-4"/>
          </w:rPr>
          <w:t>128</w:t>
        </w:r>
      </w:hyperlink>
    </w:p>
    <w:p w14:paraId="490FE9F9" w14:textId="77777777" w:rsidR="00EF5B27" w:rsidRDefault="00000000">
      <w:pPr>
        <w:pStyle w:val="BodyText"/>
        <w:tabs>
          <w:tab w:val="right" w:leader="dot" w:pos="9751"/>
        </w:tabs>
        <w:spacing w:before="93"/>
        <w:ind w:left="114"/>
      </w:pPr>
      <w:hyperlink w:anchor="_bookmark60" w:history="1">
        <w:r>
          <w:rPr>
            <w:color w:val="4D4D4F"/>
          </w:rPr>
          <w:t>Figure 34: Known Growling Grass Frog areas under</w:t>
        </w:r>
        <w:r>
          <w:rPr>
            <w:color w:val="4D4D4F"/>
            <w:spacing w:val="42"/>
          </w:rPr>
          <w:t xml:space="preserve"> </w:t>
        </w:r>
        <w:r>
          <w:rPr>
            <w:color w:val="4D4D4F"/>
          </w:rPr>
          <w:t>MSA</w:t>
        </w:r>
        <w:r>
          <w:rPr>
            <w:color w:val="4D4D4F"/>
            <w:spacing w:val="5"/>
          </w:rPr>
          <w:t xml:space="preserve"> </w:t>
        </w:r>
        <w:r>
          <w:rPr>
            <w:color w:val="4D4D4F"/>
          </w:rPr>
          <w:t>management</w:t>
        </w:r>
        <w:r>
          <w:rPr>
            <w:color w:val="4D4D4F"/>
          </w:rPr>
          <w:tab/>
        </w:r>
        <w:r>
          <w:rPr>
            <w:color w:val="4D4D4F"/>
            <w:spacing w:val="-3"/>
          </w:rPr>
          <w:t>130</w:t>
        </w:r>
      </w:hyperlink>
    </w:p>
    <w:p w14:paraId="028FD239" w14:textId="77777777" w:rsidR="00EF5B27" w:rsidRDefault="00000000">
      <w:pPr>
        <w:pStyle w:val="BodyText"/>
        <w:tabs>
          <w:tab w:val="right" w:leader="dot" w:pos="9751"/>
        </w:tabs>
        <w:spacing w:before="92"/>
        <w:ind w:left="114"/>
      </w:pPr>
      <w:hyperlink w:anchor="_bookmark61" w:history="1">
        <w:r>
          <w:rPr>
            <w:color w:val="4D4D4F"/>
          </w:rPr>
          <w:t>Figure 35: Small Golden</w:t>
        </w:r>
        <w:r>
          <w:rPr>
            <w:color w:val="4D4D4F"/>
            <w:spacing w:val="15"/>
          </w:rPr>
          <w:t xml:space="preserve"> </w:t>
        </w:r>
        <w:r>
          <w:rPr>
            <w:color w:val="4D4D4F"/>
          </w:rPr>
          <w:t>Moths</w:t>
        </w:r>
        <w:r>
          <w:rPr>
            <w:color w:val="4D4D4F"/>
            <w:spacing w:val="4"/>
          </w:rPr>
          <w:t xml:space="preserve"> </w:t>
        </w:r>
        <w:r>
          <w:rPr>
            <w:color w:val="4D4D4F"/>
          </w:rPr>
          <w:t>Orchid</w:t>
        </w:r>
        <w:r>
          <w:rPr>
            <w:color w:val="4D4D4F"/>
          </w:rPr>
          <w:tab/>
        </w:r>
        <w:r>
          <w:rPr>
            <w:color w:val="4D4D4F"/>
            <w:spacing w:val="-2"/>
          </w:rPr>
          <w:t>134</w:t>
        </w:r>
      </w:hyperlink>
    </w:p>
    <w:p w14:paraId="6280833C" w14:textId="77777777" w:rsidR="00EF5B27" w:rsidRDefault="00000000">
      <w:pPr>
        <w:pStyle w:val="BodyText"/>
        <w:tabs>
          <w:tab w:val="right" w:leader="dot" w:pos="9751"/>
        </w:tabs>
        <w:spacing w:before="93"/>
        <w:ind w:left="114"/>
      </w:pPr>
      <w:hyperlink w:anchor="_bookmark62" w:history="1">
        <w:r>
          <w:rPr>
            <w:color w:val="4D4D4F"/>
          </w:rPr>
          <w:t>Figure 36: Map of Conservation</w:t>
        </w:r>
        <w:r>
          <w:rPr>
            <w:color w:val="4D4D4F"/>
            <w:spacing w:val="19"/>
          </w:rPr>
          <w:t xml:space="preserve"> </w:t>
        </w:r>
        <w:r>
          <w:rPr>
            <w:color w:val="4D4D4F"/>
          </w:rPr>
          <w:t>Area</w:t>
        </w:r>
        <w:r>
          <w:rPr>
            <w:color w:val="4D4D4F"/>
            <w:spacing w:val="4"/>
          </w:rPr>
          <w:t xml:space="preserve"> </w:t>
        </w:r>
        <w:r>
          <w:rPr>
            <w:color w:val="4D4D4F"/>
          </w:rPr>
          <w:t>3</w:t>
        </w:r>
        <w:r>
          <w:rPr>
            <w:color w:val="4D4D4F"/>
          </w:rPr>
          <w:tab/>
        </w:r>
        <w:r>
          <w:rPr>
            <w:color w:val="4D4D4F"/>
            <w:spacing w:val="-3"/>
          </w:rPr>
          <w:t>135</w:t>
        </w:r>
      </w:hyperlink>
    </w:p>
    <w:p w14:paraId="77378D48" w14:textId="77777777" w:rsidR="00EF5B27" w:rsidRDefault="00000000">
      <w:pPr>
        <w:pStyle w:val="BodyText"/>
        <w:tabs>
          <w:tab w:val="right" w:leader="dot" w:pos="9751"/>
        </w:tabs>
        <w:spacing w:before="92"/>
        <w:ind w:left="114"/>
      </w:pPr>
      <w:hyperlink w:anchor="_bookmark63" w:history="1">
        <w:r>
          <w:rPr>
            <w:color w:val="4D4D4F"/>
          </w:rPr>
          <w:t xml:space="preserve">Figure 37: Striped Legless Lizard within the Western </w:t>
        </w:r>
        <w:r>
          <w:rPr>
            <w:color w:val="4D4D4F"/>
            <w:spacing w:val="1"/>
          </w:rPr>
          <w:t xml:space="preserve"> </w:t>
        </w:r>
        <w:r>
          <w:rPr>
            <w:color w:val="4D4D4F"/>
          </w:rPr>
          <w:t>Grassland</w:t>
        </w:r>
        <w:r>
          <w:rPr>
            <w:color w:val="4D4D4F"/>
            <w:spacing w:val="6"/>
          </w:rPr>
          <w:t xml:space="preserve"> </w:t>
        </w:r>
        <w:r>
          <w:rPr>
            <w:color w:val="4D4D4F"/>
          </w:rPr>
          <w:t>Reserve</w:t>
        </w:r>
        <w:r>
          <w:rPr>
            <w:color w:val="4D4D4F"/>
          </w:rPr>
          <w:tab/>
        </w:r>
        <w:r>
          <w:rPr>
            <w:color w:val="4D4D4F"/>
            <w:spacing w:val="-4"/>
          </w:rPr>
          <w:t>137</w:t>
        </w:r>
      </w:hyperlink>
    </w:p>
    <w:p w14:paraId="2933F6FF" w14:textId="77777777" w:rsidR="00EF5B27" w:rsidRDefault="00000000">
      <w:pPr>
        <w:pStyle w:val="BodyText"/>
        <w:tabs>
          <w:tab w:val="right" w:leader="dot" w:pos="9751"/>
        </w:tabs>
        <w:spacing w:before="93"/>
        <w:ind w:left="114"/>
      </w:pPr>
      <w:hyperlink w:anchor="_bookmark64" w:history="1">
        <w:r>
          <w:rPr>
            <w:color w:val="4D4D4F"/>
          </w:rPr>
          <w:t>Figure 38: Map of monitored areas for Striped</w:t>
        </w:r>
        <w:r>
          <w:rPr>
            <w:color w:val="4D4D4F"/>
            <w:spacing w:val="37"/>
          </w:rPr>
          <w:t xml:space="preserve"> </w:t>
        </w:r>
        <w:r>
          <w:rPr>
            <w:color w:val="4D4D4F"/>
          </w:rPr>
          <w:t>Legless</w:t>
        </w:r>
        <w:r>
          <w:rPr>
            <w:color w:val="4D4D4F"/>
            <w:spacing w:val="5"/>
          </w:rPr>
          <w:t xml:space="preserve"> </w:t>
        </w:r>
        <w:r>
          <w:rPr>
            <w:color w:val="4D4D4F"/>
          </w:rPr>
          <w:t>Lizard</w:t>
        </w:r>
        <w:r>
          <w:rPr>
            <w:color w:val="4D4D4F"/>
          </w:rPr>
          <w:tab/>
        </w:r>
        <w:r>
          <w:rPr>
            <w:color w:val="4D4D4F"/>
            <w:spacing w:val="-3"/>
          </w:rPr>
          <w:t>138</w:t>
        </w:r>
      </w:hyperlink>
    </w:p>
    <w:p w14:paraId="49976795" w14:textId="77777777" w:rsidR="00EF5B27" w:rsidRDefault="00000000">
      <w:pPr>
        <w:pStyle w:val="BodyText"/>
        <w:tabs>
          <w:tab w:val="right" w:leader="dot" w:pos="9739"/>
        </w:tabs>
        <w:spacing w:before="92"/>
        <w:ind w:left="114"/>
      </w:pPr>
      <w:hyperlink w:anchor="_bookmark67" w:history="1">
        <w:r>
          <w:rPr>
            <w:color w:val="4D4D4F"/>
          </w:rPr>
          <w:t>Figure 39:</w:t>
        </w:r>
        <w:r>
          <w:rPr>
            <w:color w:val="4D4D4F"/>
            <w:spacing w:val="7"/>
          </w:rPr>
          <w:t xml:space="preserve"> </w:t>
        </w:r>
        <w:r>
          <w:rPr>
            <w:color w:val="4D4D4F"/>
          </w:rPr>
          <w:t>Button</w:t>
        </w:r>
        <w:r>
          <w:rPr>
            <w:color w:val="4D4D4F"/>
            <w:spacing w:val="4"/>
          </w:rPr>
          <w:t xml:space="preserve"> </w:t>
        </w:r>
        <w:r>
          <w:rPr>
            <w:color w:val="4D4D4F"/>
          </w:rPr>
          <w:t>Wrinklewort</w:t>
        </w:r>
        <w:r>
          <w:rPr>
            <w:color w:val="4D4D4F"/>
          </w:rPr>
          <w:tab/>
        </w:r>
        <w:r>
          <w:rPr>
            <w:color w:val="4D4D4F"/>
            <w:spacing w:val="-12"/>
          </w:rPr>
          <w:t>141</w:t>
        </w:r>
      </w:hyperlink>
    </w:p>
    <w:p w14:paraId="506D9BE4" w14:textId="77777777" w:rsidR="00EF5B27" w:rsidRDefault="00000000">
      <w:pPr>
        <w:pStyle w:val="BodyText"/>
        <w:tabs>
          <w:tab w:val="right" w:leader="dot" w:pos="9751"/>
        </w:tabs>
        <w:spacing w:before="93"/>
        <w:ind w:left="114"/>
      </w:pPr>
      <w:hyperlink w:anchor="_bookmark68" w:history="1">
        <w:r>
          <w:rPr>
            <w:color w:val="4D4D4F"/>
          </w:rPr>
          <w:t>Figure 40: Map of monitored areas for</w:t>
        </w:r>
        <w:r>
          <w:rPr>
            <w:color w:val="4D4D4F"/>
            <w:spacing w:val="24"/>
          </w:rPr>
          <w:t xml:space="preserve"> </w:t>
        </w:r>
        <w:r>
          <w:rPr>
            <w:color w:val="4D4D4F"/>
          </w:rPr>
          <w:t>Button</w:t>
        </w:r>
        <w:r>
          <w:rPr>
            <w:color w:val="4D4D4F"/>
            <w:spacing w:val="4"/>
          </w:rPr>
          <w:t xml:space="preserve"> </w:t>
        </w:r>
        <w:r>
          <w:rPr>
            <w:color w:val="4D4D4F"/>
          </w:rPr>
          <w:t>Wrinklewort</w:t>
        </w:r>
        <w:r>
          <w:rPr>
            <w:color w:val="4D4D4F"/>
          </w:rPr>
          <w:tab/>
          <w:t>143</w:t>
        </w:r>
      </w:hyperlink>
    </w:p>
    <w:p w14:paraId="18024EBA" w14:textId="77777777" w:rsidR="00EF5B27" w:rsidRDefault="00000000">
      <w:pPr>
        <w:pStyle w:val="BodyText"/>
        <w:tabs>
          <w:tab w:val="right" w:leader="dot" w:pos="9751"/>
        </w:tabs>
        <w:spacing w:before="92"/>
        <w:ind w:left="114"/>
      </w:pPr>
      <w:hyperlink w:anchor="_bookmark68" w:history="1">
        <w:r>
          <w:rPr>
            <w:color w:val="4D4D4F"/>
          </w:rPr>
          <w:t xml:space="preserve">Figure </w:t>
        </w:r>
        <w:r>
          <w:rPr>
            <w:color w:val="4D4D4F"/>
            <w:spacing w:val="-9"/>
          </w:rPr>
          <w:t xml:space="preserve">41:  </w:t>
        </w:r>
        <w:r>
          <w:rPr>
            <w:color w:val="4D4D4F"/>
          </w:rPr>
          <w:t xml:space="preserve">Population count of Button Wrinklewort at </w:t>
        </w:r>
        <w:r>
          <w:rPr>
            <w:color w:val="4D4D4F"/>
            <w:spacing w:val="-3"/>
          </w:rPr>
          <w:t>Truganina</w:t>
        </w:r>
        <w:r>
          <w:rPr>
            <w:color w:val="4D4D4F"/>
            <w:spacing w:val="1"/>
          </w:rPr>
          <w:t xml:space="preserve"> </w:t>
        </w:r>
        <w:r>
          <w:rPr>
            <w:color w:val="4D4D4F"/>
          </w:rPr>
          <w:t>Cemetery,</w:t>
        </w:r>
        <w:r>
          <w:rPr>
            <w:color w:val="4D4D4F"/>
            <w:spacing w:val="3"/>
          </w:rPr>
          <w:t xml:space="preserve"> </w:t>
        </w:r>
        <w:r>
          <w:rPr>
            <w:color w:val="4D4D4F"/>
            <w:spacing w:val="-3"/>
          </w:rPr>
          <w:t>2015–2021</w:t>
        </w:r>
        <w:r>
          <w:rPr>
            <w:color w:val="4D4D4F"/>
            <w:spacing w:val="-3"/>
          </w:rPr>
          <w:tab/>
        </w:r>
        <w:r>
          <w:rPr>
            <w:color w:val="4D4D4F"/>
          </w:rPr>
          <w:t>143</w:t>
        </w:r>
      </w:hyperlink>
    </w:p>
    <w:p w14:paraId="2B92E154" w14:textId="77777777" w:rsidR="00EF5B27" w:rsidRDefault="00000000">
      <w:pPr>
        <w:pStyle w:val="BodyText"/>
        <w:tabs>
          <w:tab w:val="right" w:leader="dot" w:pos="9751"/>
        </w:tabs>
        <w:spacing w:before="93"/>
        <w:ind w:left="114"/>
      </w:pPr>
      <w:hyperlink w:anchor="_bookmark69" w:history="1">
        <w:r>
          <w:rPr>
            <w:color w:val="4D4D4F"/>
          </w:rPr>
          <w:t>Figure 42:</w:t>
        </w:r>
        <w:r>
          <w:rPr>
            <w:color w:val="4D4D4F"/>
            <w:spacing w:val="8"/>
          </w:rPr>
          <w:t xml:space="preserve"> </w:t>
        </w:r>
        <w:r>
          <w:rPr>
            <w:color w:val="4D4D4F"/>
          </w:rPr>
          <w:t>Large-fruit</w:t>
        </w:r>
        <w:r>
          <w:rPr>
            <w:color w:val="4D4D4F"/>
            <w:spacing w:val="5"/>
          </w:rPr>
          <w:t xml:space="preserve"> </w:t>
        </w:r>
        <w:r>
          <w:rPr>
            <w:color w:val="4D4D4F"/>
          </w:rPr>
          <w:t>Groundsel</w:t>
        </w:r>
        <w:r>
          <w:rPr>
            <w:color w:val="4D4D4F"/>
          </w:rPr>
          <w:tab/>
          <w:t>146</w:t>
        </w:r>
      </w:hyperlink>
    </w:p>
    <w:p w14:paraId="3CDB305A" w14:textId="77777777" w:rsidR="00EF5B27" w:rsidRDefault="00000000">
      <w:pPr>
        <w:pStyle w:val="BodyText"/>
        <w:tabs>
          <w:tab w:val="right" w:leader="dot" w:pos="9751"/>
        </w:tabs>
        <w:spacing w:before="92"/>
        <w:ind w:left="114"/>
      </w:pPr>
      <w:hyperlink w:anchor="_bookmark70" w:history="1">
        <w:r>
          <w:rPr>
            <w:color w:val="4D4D4F"/>
          </w:rPr>
          <w:t>Figure 43: Map of monitored areas of</w:t>
        </w:r>
        <w:r>
          <w:rPr>
            <w:color w:val="4D4D4F"/>
            <w:spacing w:val="28"/>
          </w:rPr>
          <w:t xml:space="preserve"> </w:t>
        </w:r>
        <w:r>
          <w:rPr>
            <w:color w:val="4D4D4F"/>
          </w:rPr>
          <w:t>Large-fruit</w:t>
        </w:r>
        <w:r>
          <w:rPr>
            <w:color w:val="4D4D4F"/>
            <w:spacing w:val="4"/>
          </w:rPr>
          <w:t xml:space="preserve"> </w:t>
        </w:r>
        <w:r>
          <w:rPr>
            <w:color w:val="4D4D4F"/>
          </w:rPr>
          <w:t>Groundsel</w:t>
        </w:r>
        <w:r>
          <w:rPr>
            <w:color w:val="4D4D4F"/>
          </w:rPr>
          <w:tab/>
          <w:t>148</w:t>
        </w:r>
      </w:hyperlink>
    </w:p>
    <w:p w14:paraId="3FDAC88F" w14:textId="77777777" w:rsidR="00EF5B27" w:rsidRDefault="00000000">
      <w:pPr>
        <w:pStyle w:val="BodyText"/>
        <w:tabs>
          <w:tab w:val="right" w:leader="dot" w:pos="9751"/>
        </w:tabs>
        <w:spacing w:before="92"/>
        <w:ind w:left="113"/>
      </w:pPr>
      <w:hyperlink w:anchor="_bookmark70" w:history="1">
        <w:r>
          <w:rPr>
            <w:color w:val="4D4D4F"/>
          </w:rPr>
          <w:t xml:space="preserve">Figure </w:t>
        </w:r>
        <w:r>
          <w:rPr>
            <w:color w:val="4D4D4F"/>
            <w:spacing w:val="2"/>
          </w:rPr>
          <w:t xml:space="preserve">44: </w:t>
        </w:r>
        <w:r>
          <w:rPr>
            <w:color w:val="4D4D4F"/>
          </w:rPr>
          <w:t>Population count Large-fruit Groundsel at Little</w:t>
        </w:r>
        <w:r>
          <w:rPr>
            <w:color w:val="4D4D4F"/>
            <w:spacing w:val="32"/>
          </w:rPr>
          <w:t xml:space="preserve"> </w:t>
        </w:r>
        <w:r>
          <w:rPr>
            <w:color w:val="4D4D4F"/>
          </w:rPr>
          <w:t>Raven,</w:t>
        </w:r>
        <w:r>
          <w:rPr>
            <w:color w:val="4D4D4F"/>
            <w:spacing w:val="4"/>
          </w:rPr>
          <w:t xml:space="preserve"> </w:t>
        </w:r>
        <w:r>
          <w:rPr>
            <w:color w:val="4D4D4F"/>
            <w:spacing w:val="-5"/>
          </w:rPr>
          <w:t>2017–2021</w:t>
        </w:r>
        <w:r>
          <w:rPr>
            <w:color w:val="4D4D4F"/>
            <w:spacing w:val="-5"/>
          </w:rPr>
          <w:tab/>
        </w:r>
        <w:r>
          <w:rPr>
            <w:color w:val="4D4D4F"/>
          </w:rPr>
          <w:t>148</w:t>
        </w:r>
      </w:hyperlink>
    </w:p>
    <w:p w14:paraId="474CE3F3" w14:textId="77777777" w:rsidR="00EF5B27" w:rsidRDefault="00000000">
      <w:pPr>
        <w:pStyle w:val="BodyText"/>
        <w:tabs>
          <w:tab w:val="right" w:leader="dot" w:pos="9751"/>
        </w:tabs>
        <w:spacing w:before="93"/>
        <w:ind w:left="113"/>
      </w:pPr>
      <w:hyperlink w:anchor="_bookmark75" w:history="1">
        <w:r>
          <w:rPr>
            <w:color w:val="4D4D4F"/>
          </w:rPr>
          <w:t>Figure 45: Timeline of regulatory changes enabling the</w:t>
        </w:r>
        <w:r>
          <w:rPr>
            <w:color w:val="4D4D4F"/>
            <w:spacing w:val="37"/>
          </w:rPr>
          <w:t xml:space="preserve"> </w:t>
        </w:r>
        <w:r>
          <w:rPr>
            <w:color w:val="4D4D4F"/>
          </w:rPr>
          <w:t>MSA</w:t>
        </w:r>
        <w:r>
          <w:rPr>
            <w:color w:val="4D4D4F"/>
            <w:spacing w:val="4"/>
          </w:rPr>
          <w:t xml:space="preserve"> </w:t>
        </w:r>
        <w:r>
          <w:rPr>
            <w:color w:val="4D4D4F"/>
          </w:rPr>
          <w:t>program</w:t>
        </w:r>
        <w:r>
          <w:rPr>
            <w:color w:val="4D4D4F"/>
          </w:rPr>
          <w:tab/>
        </w:r>
        <w:r>
          <w:rPr>
            <w:color w:val="4D4D4F"/>
            <w:spacing w:val="-4"/>
          </w:rPr>
          <w:t>166</w:t>
        </w:r>
      </w:hyperlink>
    </w:p>
    <w:p w14:paraId="6BD1BE7C" w14:textId="77777777" w:rsidR="00EF5B27" w:rsidRDefault="00000000">
      <w:pPr>
        <w:pStyle w:val="BodyText"/>
        <w:tabs>
          <w:tab w:val="right" w:leader="dot" w:pos="9751"/>
        </w:tabs>
        <w:spacing w:before="92"/>
        <w:ind w:left="113"/>
      </w:pPr>
      <w:hyperlink w:anchor="_bookmark77" w:history="1">
        <w:r>
          <w:rPr>
            <w:color w:val="4D4D4F"/>
          </w:rPr>
          <w:t>Figure 46: A point-intercept plot used to sample Natural</w:t>
        </w:r>
        <w:r>
          <w:rPr>
            <w:color w:val="4D4D4F"/>
            <w:spacing w:val="34"/>
          </w:rPr>
          <w:t xml:space="preserve"> </w:t>
        </w:r>
        <w:r>
          <w:rPr>
            <w:color w:val="4D4D4F"/>
          </w:rPr>
          <w:t>Temperate</w:t>
        </w:r>
        <w:r>
          <w:rPr>
            <w:color w:val="4D4D4F"/>
            <w:spacing w:val="4"/>
          </w:rPr>
          <w:t xml:space="preserve"> </w:t>
        </w:r>
        <w:r>
          <w:rPr>
            <w:color w:val="4D4D4F"/>
          </w:rPr>
          <w:t>Grassland</w:t>
        </w:r>
        <w:r>
          <w:rPr>
            <w:color w:val="4D4D4F"/>
          </w:rPr>
          <w:tab/>
        </w:r>
        <w:r>
          <w:rPr>
            <w:color w:val="4D4D4F"/>
            <w:spacing w:val="-5"/>
          </w:rPr>
          <w:t>172</w:t>
        </w:r>
      </w:hyperlink>
    </w:p>
    <w:p w14:paraId="688599C0" w14:textId="77777777" w:rsidR="00EF5B27" w:rsidRDefault="00000000">
      <w:pPr>
        <w:pStyle w:val="BodyText"/>
        <w:tabs>
          <w:tab w:val="right" w:leader="dot" w:pos="9751"/>
        </w:tabs>
        <w:spacing w:before="93"/>
        <w:ind w:left="113"/>
      </w:pPr>
      <w:hyperlink w:anchor="_bookmark82" w:history="1">
        <w:r>
          <w:rPr>
            <w:color w:val="4D4D4F"/>
            <w:w w:val="105"/>
          </w:rPr>
          <w:t xml:space="preserve">Figure </w:t>
        </w:r>
        <w:r>
          <w:rPr>
            <w:color w:val="4D4D4F"/>
            <w:spacing w:val="-5"/>
            <w:w w:val="105"/>
          </w:rPr>
          <w:t xml:space="preserve">47: </w:t>
        </w:r>
        <w:r>
          <w:rPr>
            <w:color w:val="4D4D4F"/>
            <w:w w:val="105"/>
          </w:rPr>
          <w:t>Hydrological phases of the Seasonal Herbaceous</w:t>
        </w:r>
        <w:r>
          <w:rPr>
            <w:color w:val="4D4D4F"/>
            <w:spacing w:val="-1"/>
            <w:w w:val="105"/>
          </w:rPr>
          <w:t xml:space="preserve"> </w:t>
        </w:r>
        <w:r>
          <w:rPr>
            <w:color w:val="4D4D4F"/>
            <w:w w:val="105"/>
          </w:rPr>
          <w:t>Wetlands</w:t>
        </w:r>
        <w:r>
          <w:rPr>
            <w:color w:val="4D4D4F"/>
            <w:w w:val="105"/>
          </w:rPr>
          <w:tab/>
        </w:r>
        <w:r>
          <w:rPr>
            <w:color w:val="4D4D4F"/>
            <w:spacing w:val="-5"/>
            <w:w w:val="105"/>
          </w:rPr>
          <w:t>179</w:t>
        </w:r>
      </w:hyperlink>
    </w:p>
    <w:p w14:paraId="68683A95" w14:textId="77777777" w:rsidR="00EF5B27" w:rsidRDefault="00000000">
      <w:pPr>
        <w:pStyle w:val="BodyText"/>
        <w:tabs>
          <w:tab w:val="right" w:leader="dot" w:pos="9751"/>
        </w:tabs>
        <w:spacing w:before="92"/>
        <w:ind w:left="113"/>
      </w:pPr>
      <w:hyperlink w:anchor="_bookmark84" w:history="1">
        <w:r>
          <w:rPr>
            <w:color w:val="4D4D4F"/>
          </w:rPr>
          <w:t>Figure 48: The small plot used to sample Seasonal</w:t>
        </w:r>
        <w:r>
          <w:rPr>
            <w:color w:val="4D4D4F"/>
            <w:spacing w:val="43"/>
          </w:rPr>
          <w:t xml:space="preserve"> </w:t>
        </w:r>
        <w:r>
          <w:rPr>
            <w:color w:val="4D4D4F"/>
          </w:rPr>
          <w:t>Herbaceous</w:t>
        </w:r>
        <w:r>
          <w:rPr>
            <w:color w:val="4D4D4F"/>
            <w:spacing w:val="4"/>
          </w:rPr>
          <w:t xml:space="preserve"> </w:t>
        </w:r>
        <w:r>
          <w:rPr>
            <w:color w:val="4D4D4F"/>
          </w:rPr>
          <w:t>Wetland</w:t>
        </w:r>
        <w:r>
          <w:rPr>
            <w:color w:val="4D4D4F"/>
          </w:rPr>
          <w:tab/>
        </w:r>
        <w:r>
          <w:rPr>
            <w:color w:val="4D4D4F"/>
            <w:spacing w:val="-3"/>
          </w:rPr>
          <w:t>180</w:t>
        </w:r>
      </w:hyperlink>
    </w:p>
    <w:p w14:paraId="019C4C2F" w14:textId="77777777" w:rsidR="00EF5B27" w:rsidRDefault="00EF5B27">
      <w:pPr>
        <w:pStyle w:val="BodyText"/>
        <w:spacing w:before="2"/>
        <w:rPr>
          <w:sz w:val="29"/>
        </w:rPr>
      </w:pPr>
    </w:p>
    <w:p w14:paraId="642369AF" w14:textId="77777777" w:rsidR="00EF5B27" w:rsidRDefault="00000000">
      <w:pPr>
        <w:pStyle w:val="Heading6"/>
        <w:ind w:left="113"/>
      </w:pPr>
      <w:r>
        <w:rPr>
          <w:color w:val="4D4D4F"/>
          <w:w w:val="105"/>
        </w:rPr>
        <w:t>Tables</w:t>
      </w:r>
    </w:p>
    <w:p w14:paraId="3D9A4AC6" w14:textId="77777777" w:rsidR="00EF5B27" w:rsidRDefault="00000000">
      <w:pPr>
        <w:pStyle w:val="BodyText"/>
        <w:tabs>
          <w:tab w:val="left" w:leader="dot" w:pos="9564"/>
        </w:tabs>
        <w:spacing w:before="150"/>
        <w:ind w:left="113"/>
      </w:pPr>
      <w:hyperlink w:anchor="_bookmark7" w:history="1">
        <w:r>
          <w:rPr>
            <w:color w:val="4D4D4F"/>
            <w:spacing w:val="-4"/>
          </w:rPr>
          <w:t xml:space="preserve">Table  </w:t>
        </w:r>
        <w:r>
          <w:rPr>
            <w:color w:val="4D4D4F"/>
            <w:spacing w:val="-7"/>
          </w:rPr>
          <w:t xml:space="preserve">1:  </w:t>
        </w:r>
        <w:r>
          <w:rPr>
            <w:color w:val="4D4D4F"/>
          </w:rPr>
          <w:t>Summary of recommendations</w:t>
        </w:r>
        <w:r>
          <w:rPr>
            <w:color w:val="4D4D4F"/>
            <w:spacing w:val="-24"/>
          </w:rPr>
          <w:t xml:space="preserve"> </w:t>
        </w:r>
        <w:r>
          <w:rPr>
            <w:color w:val="4D4D4F"/>
          </w:rPr>
          <w:t>and</w:t>
        </w:r>
        <w:r>
          <w:rPr>
            <w:color w:val="4D4D4F"/>
            <w:spacing w:val="9"/>
          </w:rPr>
          <w:t xml:space="preserve"> </w:t>
        </w:r>
        <w:r>
          <w:rPr>
            <w:color w:val="4D4D4F"/>
          </w:rPr>
          <w:t>challenges</w:t>
        </w:r>
        <w:r>
          <w:rPr>
            <w:color w:val="4D4D4F"/>
          </w:rPr>
          <w:tab/>
        </w:r>
        <w:r>
          <w:rPr>
            <w:color w:val="4D4D4F"/>
            <w:spacing w:val="-10"/>
          </w:rPr>
          <w:t>14</w:t>
        </w:r>
      </w:hyperlink>
    </w:p>
    <w:p w14:paraId="633357F5" w14:textId="77777777" w:rsidR="00EF5B27" w:rsidRDefault="00000000">
      <w:pPr>
        <w:pStyle w:val="BodyText"/>
        <w:tabs>
          <w:tab w:val="left" w:leader="dot" w:pos="9561"/>
        </w:tabs>
        <w:spacing w:before="92"/>
        <w:ind w:left="113"/>
      </w:pPr>
      <w:hyperlink w:anchor="_bookmark35" w:history="1">
        <w:r>
          <w:rPr>
            <w:color w:val="4D4D4F"/>
            <w:spacing w:val="-4"/>
          </w:rPr>
          <w:t>Table</w:t>
        </w:r>
        <w:r>
          <w:rPr>
            <w:color w:val="4D4D4F"/>
            <w:spacing w:val="6"/>
          </w:rPr>
          <w:t xml:space="preserve"> </w:t>
        </w:r>
        <w:r>
          <w:rPr>
            <w:color w:val="4D4D4F"/>
          </w:rPr>
          <w:t>2:</w:t>
        </w:r>
        <w:r>
          <w:rPr>
            <w:color w:val="4D4D4F"/>
            <w:spacing w:val="7"/>
          </w:rPr>
          <w:t xml:space="preserve"> </w:t>
        </w:r>
        <w:r>
          <w:rPr>
            <w:color w:val="4D4D4F"/>
          </w:rPr>
          <w:t>The</w:t>
        </w:r>
        <w:r>
          <w:rPr>
            <w:color w:val="4D4D4F"/>
            <w:spacing w:val="6"/>
          </w:rPr>
          <w:t xml:space="preserve"> </w:t>
        </w:r>
        <w:r>
          <w:rPr>
            <w:color w:val="4D4D4F"/>
          </w:rPr>
          <w:t>distribution</w:t>
        </w:r>
        <w:r>
          <w:rPr>
            <w:color w:val="4D4D4F"/>
            <w:spacing w:val="7"/>
          </w:rPr>
          <w:t xml:space="preserve"> </w:t>
        </w:r>
        <w:r>
          <w:rPr>
            <w:color w:val="4D4D4F"/>
          </w:rPr>
          <w:t>of</w:t>
        </w:r>
        <w:r>
          <w:rPr>
            <w:color w:val="4D4D4F"/>
            <w:spacing w:val="6"/>
          </w:rPr>
          <w:t xml:space="preserve"> </w:t>
        </w:r>
        <w:r>
          <w:rPr>
            <w:color w:val="4D4D4F"/>
          </w:rPr>
          <w:t>all</w:t>
        </w:r>
        <w:r>
          <w:rPr>
            <w:color w:val="4D4D4F"/>
            <w:spacing w:val="7"/>
          </w:rPr>
          <w:t xml:space="preserve"> </w:t>
        </w:r>
        <w:r>
          <w:rPr>
            <w:color w:val="4D4D4F"/>
          </w:rPr>
          <w:t>plots</w:t>
        </w:r>
        <w:r>
          <w:rPr>
            <w:color w:val="4D4D4F"/>
            <w:spacing w:val="6"/>
          </w:rPr>
          <w:t xml:space="preserve"> </w:t>
        </w:r>
        <w:r>
          <w:rPr>
            <w:color w:val="4D4D4F"/>
          </w:rPr>
          <w:t>according</w:t>
        </w:r>
        <w:r>
          <w:rPr>
            <w:color w:val="4D4D4F"/>
            <w:spacing w:val="7"/>
          </w:rPr>
          <w:t xml:space="preserve"> </w:t>
        </w:r>
        <w:r>
          <w:rPr>
            <w:color w:val="4D4D4F"/>
          </w:rPr>
          <w:t>to</w:t>
        </w:r>
        <w:r>
          <w:rPr>
            <w:color w:val="4D4D4F"/>
            <w:spacing w:val="6"/>
          </w:rPr>
          <w:t xml:space="preserve"> </w:t>
        </w:r>
        <w:r>
          <w:rPr>
            <w:color w:val="4D4D4F"/>
          </w:rPr>
          <w:t>bare</w:t>
        </w:r>
        <w:r>
          <w:rPr>
            <w:color w:val="4D4D4F"/>
            <w:spacing w:val="7"/>
          </w:rPr>
          <w:t xml:space="preserve"> </w:t>
        </w:r>
        <w:r>
          <w:rPr>
            <w:color w:val="4D4D4F"/>
          </w:rPr>
          <w:t>ground</w:t>
        </w:r>
        <w:r>
          <w:rPr>
            <w:color w:val="4D4D4F"/>
            <w:spacing w:val="6"/>
          </w:rPr>
          <w:t xml:space="preserve"> </w:t>
        </w:r>
        <w:r>
          <w:rPr>
            <w:color w:val="4D4D4F"/>
          </w:rPr>
          <w:t>categories</w:t>
        </w:r>
        <w:r>
          <w:rPr>
            <w:color w:val="4D4D4F"/>
          </w:rPr>
          <w:tab/>
        </w:r>
        <w:r>
          <w:rPr>
            <w:color w:val="4D4D4F"/>
            <w:spacing w:val="-7"/>
          </w:rPr>
          <w:t>81</w:t>
        </w:r>
      </w:hyperlink>
    </w:p>
    <w:p w14:paraId="43C23D87" w14:textId="77777777" w:rsidR="00EF5B27" w:rsidRDefault="00000000">
      <w:pPr>
        <w:pStyle w:val="BodyText"/>
        <w:tabs>
          <w:tab w:val="right" w:leader="dot" w:pos="9751"/>
        </w:tabs>
        <w:spacing w:before="93"/>
        <w:ind w:left="113"/>
      </w:pPr>
      <w:hyperlink w:anchor="_bookmark55" w:history="1">
        <w:r>
          <w:rPr>
            <w:color w:val="4D4D4F"/>
            <w:spacing w:val="-4"/>
          </w:rPr>
          <w:t xml:space="preserve">Table </w:t>
        </w:r>
        <w:r>
          <w:rPr>
            <w:color w:val="4D4D4F"/>
          </w:rPr>
          <w:t>3: Percentage of population formed</w:t>
        </w:r>
        <w:r>
          <w:rPr>
            <w:color w:val="4D4D4F"/>
            <w:spacing w:val="28"/>
          </w:rPr>
          <w:t xml:space="preserve"> </w:t>
        </w:r>
        <w:r>
          <w:rPr>
            <w:color w:val="4D4D4F"/>
          </w:rPr>
          <w:t>by</w:t>
        </w:r>
        <w:r>
          <w:rPr>
            <w:color w:val="4D4D4F"/>
            <w:spacing w:val="4"/>
          </w:rPr>
          <w:t xml:space="preserve"> </w:t>
        </w:r>
        <w:r>
          <w:rPr>
            <w:color w:val="4D4D4F"/>
          </w:rPr>
          <w:t>recruits</w:t>
        </w:r>
        <w:r>
          <w:rPr>
            <w:color w:val="4D4D4F"/>
          </w:rPr>
          <w:tab/>
        </w:r>
        <w:r>
          <w:rPr>
            <w:color w:val="4D4D4F"/>
            <w:spacing w:val="-11"/>
          </w:rPr>
          <w:t>119</w:t>
        </w:r>
      </w:hyperlink>
    </w:p>
    <w:p w14:paraId="0DBF30A0" w14:textId="77777777" w:rsidR="00EF5B27" w:rsidRDefault="00000000">
      <w:pPr>
        <w:pStyle w:val="BodyText"/>
        <w:tabs>
          <w:tab w:val="right" w:leader="dot" w:pos="9751"/>
        </w:tabs>
        <w:spacing w:before="92"/>
        <w:ind w:left="113"/>
      </w:pPr>
      <w:hyperlink w:anchor="_bookmark66" w:history="1">
        <w:r>
          <w:rPr>
            <w:color w:val="4D4D4F"/>
            <w:spacing w:val="-4"/>
          </w:rPr>
          <w:t>Table</w:t>
        </w:r>
        <w:r>
          <w:rPr>
            <w:color w:val="4D4D4F"/>
            <w:spacing w:val="5"/>
          </w:rPr>
          <w:t xml:space="preserve"> </w:t>
        </w:r>
        <w:r>
          <w:rPr>
            <w:color w:val="4D4D4F"/>
          </w:rPr>
          <w:t>4:</w:t>
        </w:r>
        <w:r>
          <w:rPr>
            <w:color w:val="4D4D4F"/>
            <w:spacing w:val="5"/>
          </w:rPr>
          <w:t xml:space="preserve"> </w:t>
        </w:r>
        <w:r>
          <w:rPr>
            <w:color w:val="4D4D4F"/>
          </w:rPr>
          <w:t>Detections</w:t>
        </w:r>
        <w:r>
          <w:rPr>
            <w:color w:val="4D4D4F"/>
            <w:spacing w:val="5"/>
          </w:rPr>
          <w:t xml:space="preserve"> </w:t>
        </w:r>
        <w:r>
          <w:rPr>
            <w:color w:val="4D4D4F"/>
          </w:rPr>
          <w:t>of</w:t>
        </w:r>
        <w:r>
          <w:rPr>
            <w:color w:val="4D4D4F"/>
            <w:spacing w:val="6"/>
          </w:rPr>
          <w:t xml:space="preserve"> </w:t>
        </w:r>
        <w:r>
          <w:rPr>
            <w:color w:val="4D4D4F"/>
          </w:rPr>
          <w:t>Striped</w:t>
        </w:r>
        <w:r>
          <w:rPr>
            <w:color w:val="4D4D4F"/>
            <w:spacing w:val="5"/>
          </w:rPr>
          <w:t xml:space="preserve"> </w:t>
        </w:r>
        <w:r>
          <w:rPr>
            <w:color w:val="4D4D4F"/>
          </w:rPr>
          <w:t>Legless</w:t>
        </w:r>
        <w:r>
          <w:rPr>
            <w:color w:val="4D4D4F"/>
            <w:spacing w:val="5"/>
          </w:rPr>
          <w:t xml:space="preserve"> </w:t>
        </w:r>
        <w:r>
          <w:rPr>
            <w:color w:val="4D4D4F"/>
          </w:rPr>
          <w:t>Lizard</w:t>
        </w:r>
        <w:r>
          <w:rPr>
            <w:color w:val="4D4D4F"/>
            <w:spacing w:val="5"/>
          </w:rPr>
          <w:t xml:space="preserve"> </w:t>
        </w:r>
        <w:r>
          <w:rPr>
            <w:color w:val="4D4D4F"/>
          </w:rPr>
          <w:t>at</w:t>
        </w:r>
        <w:r>
          <w:rPr>
            <w:color w:val="4D4D4F"/>
            <w:spacing w:val="6"/>
          </w:rPr>
          <w:t xml:space="preserve"> </w:t>
        </w:r>
        <w:r>
          <w:rPr>
            <w:color w:val="4D4D4F"/>
          </w:rPr>
          <w:t>permanent</w:t>
        </w:r>
        <w:r>
          <w:rPr>
            <w:color w:val="4D4D4F"/>
            <w:spacing w:val="5"/>
          </w:rPr>
          <w:t xml:space="preserve"> </w:t>
        </w:r>
        <w:r>
          <w:rPr>
            <w:color w:val="4D4D4F"/>
          </w:rPr>
          <w:t>monitoring</w:t>
        </w:r>
        <w:r>
          <w:rPr>
            <w:color w:val="4D4D4F"/>
            <w:spacing w:val="5"/>
          </w:rPr>
          <w:t xml:space="preserve"> </w:t>
        </w:r>
        <w:r>
          <w:rPr>
            <w:color w:val="4D4D4F"/>
          </w:rPr>
          <w:t>plots</w:t>
        </w:r>
        <w:r>
          <w:rPr>
            <w:color w:val="4D4D4F"/>
            <w:spacing w:val="5"/>
          </w:rPr>
          <w:t xml:space="preserve"> </w:t>
        </w:r>
        <w:r>
          <w:rPr>
            <w:color w:val="4D4D4F"/>
          </w:rPr>
          <w:t>(phase</w:t>
        </w:r>
        <w:r>
          <w:rPr>
            <w:color w:val="4D4D4F"/>
            <w:spacing w:val="6"/>
          </w:rPr>
          <w:t xml:space="preserve"> </w:t>
        </w:r>
        <w:r>
          <w:rPr>
            <w:color w:val="4D4D4F"/>
            <w:spacing w:val="-4"/>
          </w:rPr>
          <w:t>3)</w:t>
        </w:r>
        <w:r>
          <w:rPr>
            <w:color w:val="4D4D4F"/>
            <w:spacing w:val="5"/>
          </w:rPr>
          <w:t xml:space="preserve"> </w:t>
        </w:r>
        <w:r>
          <w:rPr>
            <w:color w:val="4D4D4F"/>
          </w:rPr>
          <w:t>by</w:t>
        </w:r>
        <w:r>
          <w:rPr>
            <w:color w:val="4D4D4F"/>
            <w:spacing w:val="5"/>
          </w:rPr>
          <w:t xml:space="preserve"> </w:t>
        </w:r>
        <w:r>
          <w:rPr>
            <w:color w:val="4D4D4F"/>
          </w:rPr>
          <w:t>year</w:t>
        </w:r>
        <w:r>
          <w:rPr>
            <w:color w:val="4D4D4F"/>
          </w:rPr>
          <w:tab/>
        </w:r>
        <w:r>
          <w:rPr>
            <w:color w:val="4D4D4F"/>
            <w:spacing w:val="-3"/>
          </w:rPr>
          <w:t>139</w:t>
        </w:r>
      </w:hyperlink>
    </w:p>
    <w:p w14:paraId="7AB90FA9" w14:textId="77777777" w:rsidR="00EF5B27" w:rsidRDefault="00000000">
      <w:pPr>
        <w:pStyle w:val="BodyText"/>
        <w:tabs>
          <w:tab w:val="right" w:leader="dot" w:pos="9751"/>
        </w:tabs>
        <w:spacing w:before="92"/>
        <w:ind w:left="113"/>
      </w:pPr>
      <w:hyperlink w:anchor="_bookmark72" w:history="1">
        <w:r>
          <w:rPr>
            <w:color w:val="4D4D4F"/>
            <w:spacing w:val="-4"/>
          </w:rPr>
          <w:t xml:space="preserve">Table </w:t>
        </w:r>
        <w:r>
          <w:rPr>
            <w:color w:val="4D4D4F"/>
          </w:rPr>
          <w:t>5:</w:t>
        </w:r>
        <w:r>
          <w:rPr>
            <w:color w:val="4D4D4F"/>
            <w:spacing w:val="11"/>
          </w:rPr>
          <w:t xml:space="preserve"> </w:t>
        </w:r>
        <w:r>
          <w:rPr>
            <w:color w:val="4D4D4F"/>
          </w:rPr>
          <w:t>Monitoring</w:t>
        </w:r>
        <w:r>
          <w:rPr>
            <w:color w:val="4D4D4F"/>
            <w:spacing w:val="4"/>
          </w:rPr>
          <w:t xml:space="preserve"> </w:t>
        </w:r>
        <w:r>
          <w:rPr>
            <w:color w:val="4D4D4F"/>
          </w:rPr>
          <w:t>timeframes</w:t>
        </w:r>
        <w:r>
          <w:rPr>
            <w:color w:val="4D4D4F"/>
          </w:rPr>
          <w:tab/>
        </w:r>
        <w:r>
          <w:rPr>
            <w:color w:val="4D4D4F"/>
            <w:spacing w:val="-3"/>
          </w:rPr>
          <w:t>154</w:t>
        </w:r>
      </w:hyperlink>
    </w:p>
    <w:p w14:paraId="289AC6AC" w14:textId="77777777" w:rsidR="00EF5B27" w:rsidRDefault="00000000">
      <w:pPr>
        <w:pStyle w:val="BodyText"/>
        <w:tabs>
          <w:tab w:val="right" w:leader="dot" w:pos="9751"/>
        </w:tabs>
        <w:spacing w:before="93"/>
        <w:ind w:left="113"/>
      </w:pPr>
      <w:hyperlink w:anchor="_bookmark73" w:history="1">
        <w:r>
          <w:rPr>
            <w:color w:val="4D4D4F"/>
            <w:spacing w:val="-4"/>
          </w:rPr>
          <w:t xml:space="preserve">Table </w:t>
        </w:r>
        <w:r>
          <w:rPr>
            <w:color w:val="4D4D4F"/>
          </w:rPr>
          <w:t>6: KPIs met as at 28</w:t>
        </w:r>
        <w:r>
          <w:rPr>
            <w:color w:val="4D4D4F"/>
            <w:spacing w:val="34"/>
          </w:rPr>
          <w:t xml:space="preserve"> </w:t>
        </w:r>
        <w:r>
          <w:rPr>
            <w:color w:val="4D4D4F"/>
          </w:rPr>
          <w:t>February</w:t>
        </w:r>
        <w:r>
          <w:rPr>
            <w:color w:val="4D4D4F"/>
            <w:spacing w:val="5"/>
          </w:rPr>
          <w:t xml:space="preserve"> </w:t>
        </w:r>
        <w:r>
          <w:rPr>
            <w:color w:val="4D4D4F"/>
          </w:rPr>
          <w:t>2022</w:t>
        </w:r>
        <w:r>
          <w:rPr>
            <w:color w:val="4D4D4F"/>
          </w:rPr>
          <w:tab/>
        </w:r>
        <w:r>
          <w:rPr>
            <w:color w:val="4D4D4F"/>
            <w:spacing w:val="-5"/>
          </w:rPr>
          <w:t>159</w:t>
        </w:r>
      </w:hyperlink>
    </w:p>
    <w:p w14:paraId="54C48D20" w14:textId="77777777" w:rsidR="00EF5B27" w:rsidRDefault="00000000">
      <w:pPr>
        <w:pStyle w:val="BodyText"/>
        <w:tabs>
          <w:tab w:val="right" w:leader="dot" w:pos="9751"/>
        </w:tabs>
        <w:spacing w:before="92"/>
        <w:ind w:left="113"/>
      </w:pPr>
      <w:hyperlink w:anchor="_bookmark74" w:history="1">
        <w:r>
          <w:rPr>
            <w:color w:val="4D4D4F"/>
            <w:spacing w:val="-4"/>
          </w:rPr>
          <w:t xml:space="preserve">Table </w:t>
        </w:r>
        <w:r>
          <w:rPr>
            <w:color w:val="4D4D4F"/>
          </w:rPr>
          <w:t>7: KPIs not met as at 28</w:t>
        </w:r>
        <w:r>
          <w:rPr>
            <w:color w:val="4D4D4F"/>
            <w:spacing w:val="38"/>
          </w:rPr>
          <w:t xml:space="preserve"> </w:t>
        </w:r>
        <w:r>
          <w:rPr>
            <w:color w:val="4D4D4F"/>
          </w:rPr>
          <w:t>February</w:t>
        </w:r>
        <w:r>
          <w:rPr>
            <w:color w:val="4D4D4F"/>
            <w:spacing w:val="4"/>
          </w:rPr>
          <w:t xml:space="preserve"> </w:t>
        </w:r>
        <w:r>
          <w:rPr>
            <w:color w:val="4D4D4F"/>
          </w:rPr>
          <w:t>2022</w:t>
        </w:r>
        <w:r>
          <w:rPr>
            <w:color w:val="4D4D4F"/>
          </w:rPr>
          <w:tab/>
        </w:r>
        <w:r>
          <w:rPr>
            <w:color w:val="4D4D4F"/>
            <w:spacing w:val="-10"/>
          </w:rPr>
          <w:t>161</w:t>
        </w:r>
      </w:hyperlink>
    </w:p>
    <w:p w14:paraId="1366D9E5" w14:textId="77777777" w:rsidR="00EF5B27" w:rsidRDefault="00000000">
      <w:pPr>
        <w:pStyle w:val="BodyText"/>
        <w:tabs>
          <w:tab w:val="right" w:leader="dot" w:pos="9751"/>
        </w:tabs>
        <w:spacing w:before="93"/>
        <w:ind w:left="113"/>
      </w:pPr>
      <w:hyperlink w:anchor="_bookmark74" w:history="1">
        <w:r>
          <w:rPr>
            <w:color w:val="4D4D4F"/>
            <w:spacing w:val="-4"/>
          </w:rPr>
          <w:t xml:space="preserve">Table </w:t>
        </w:r>
        <w:r>
          <w:rPr>
            <w:color w:val="4D4D4F"/>
          </w:rPr>
          <w:t>8: KPIs not assessed as at 28</w:t>
        </w:r>
        <w:r>
          <w:rPr>
            <w:color w:val="4D4D4F"/>
            <w:spacing w:val="43"/>
          </w:rPr>
          <w:t xml:space="preserve"> </w:t>
        </w:r>
        <w:r>
          <w:rPr>
            <w:color w:val="4D4D4F"/>
          </w:rPr>
          <w:t>February</w:t>
        </w:r>
        <w:r>
          <w:rPr>
            <w:color w:val="4D4D4F"/>
            <w:spacing w:val="5"/>
          </w:rPr>
          <w:t xml:space="preserve"> </w:t>
        </w:r>
        <w:r>
          <w:rPr>
            <w:color w:val="4D4D4F"/>
          </w:rPr>
          <w:t>2022</w:t>
        </w:r>
        <w:r>
          <w:rPr>
            <w:color w:val="4D4D4F"/>
          </w:rPr>
          <w:tab/>
        </w:r>
        <w:r>
          <w:rPr>
            <w:color w:val="4D4D4F"/>
            <w:spacing w:val="-10"/>
          </w:rPr>
          <w:t>161</w:t>
        </w:r>
      </w:hyperlink>
    </w:p>
    <w:p w14:paraId="6BC1F4CA" w14:textId="77777777" w:rsidR="00EF5B27" w:rsidRDefault="00000000">
      <w:pPr>
        <w:pStyle w:val="BodyText"/>
        <w:spacing w:before="92"/>
        <w:ind w:left="113"/>
      </w:pPr>
      <w:hyperlink w:anchor="_bookmark79" w:history="1">
        <w:r>
          <w:rPr>
            <w:color w:val="4D4D4F"/>
          </w:rPr>
          <w:t>Table 9: Sampling intensity for Natural Temperate Grassland, showing how the different</w:t>
        </w:r>
      </w:hyperlink>
    </w:p>
    <w:p w14:paraId="0AD8D7FB" w14:textId="77777777" w:rsidR="00EF5B27" w:rsidRDefault="00000000">
      <w:pPr>
        <w:pStyle w:val="BodyText"/>
        <w:tabs>
          <w:tab w:val="right" w:leader="dot" w:pos="9751"/>
        </w:tabs>
        <w:spacing w:before="36"/>
        <w:ind w:left="788"/>
      </w:pPr>
      <w:hyperlink w:anchor="_bookmark79" w:history="1">
        <w:r>
          <w:rPr>
            <w:color w:val="4D4D4F"/>
          </w:rPr>
          <w:t>plot types have been dispersed across the states in</w:t>
        </w:r>
        <w:r>
          <w:rPr>
            <w:color w:val="4D4D4F"/>
            <w:spacing w:val="43"/>
          </w:rPr>
          <w:t xml:space="preserve"> </w:t>
        </w:r>
        <w:r>
          <w:rPr>
            <w:color w:val="4D4D4F"/>
          </w:rPr>
          <w:t>different</w:t>
        </w:r>
        <w:r>
          <w:rPr>
            <w:color w:val="4D4D4F"/>
            <w:spacing w:val="5"/>
          </w:rPr>
          <w:t xml:space="preserve"> </w:t>
        </w:r>
        <w:r>
          <w:rPr>
            <w:color w:val="4D4D4F"/>
          </w:rPr>
          <w:t>years</w:t>
        </w:r>
        <w:r>
          <w:rPr>
            <w:color w:val="4D4D4F"/>
          </w:rPr>
          <w:tab/>
        </w:r>
        <w:r>
          <w:rPr>
            <w:color w:val="4D4D4F"/>
            <w:spacing w:val="-5"/>
          </w:rPr>
          <w:t>173</w:t>
        </w:r>
      </w:hyperlink>
    </w:p>
    <w:p w14:paraId="3BE26F8E" w14:textId="77777777" w:rsidR="00EF5B27" w:rsidRDefault="00000000">
      <w:pPr>
        <w:pStyle w:val="BodyText"/>
        <w:tabs>
          <w:tab w:val="right" w:leader="dot" w:pos="9751"/>
        </w:tabs>
        <w:spacing w:before="93"/>
        <w:ind w:left="113"/>
      </w:pPr>
      <w:hyperlink w:anchor="_bookmark80" w:history="1">
        <w:r>
          <w:rPr>
            <w:color w:val="4D4D4F"/>
            <w:spacing w:val="-4"/>
          </w:rPr>
          <w:t xml:space="preserve">Table </w:t>
        </w:r>
        <w:r>
          <w:rPr>
            <w:color w:val="4D4D4F"/>
            <w:spacing w:val="-3"/>
          </w:rPr>
          <w:t xml:space="preserve">10: </w:t>
        </w:r>
        <w:r>
          <w:rPr>
            <w:color w:val="4D4D4F"/>
          </w:rPr>
          <w:t>Definitions of woodland</w:t>
        </w:r>
        <w:r>
          <w:rPr>
            <w:color w:val="4D4D4F"/>
            <w:spacing w:val="26"/>
          </w:rPr>
          <w:t xml:space="preserve"> </w:t>
        </w:r>
        <w:r>
          <w:rPr>
            <w:color w:val="4D4D4F"/>
          </w:rPr>
          <w:t>structural</w:t>
        </w:r>
        <w:r>
          <w:rPr>
            <w:color w:val="4D4D4F"/>
            <w:spacing w:val="4"/>
          </w:rPr>
          <w:t xml:space="preserve"> </w:t>
        </w:r>
        <w:r>
          <w:rPr>
            <w:color w:val="4D4D4F"/>
          </w:rPr>
          <w:t>types</w:t>
        </w:r>
        <w:r>
          <w:rPr>
            <w:color w:val="4D4D4F"/>
          </w:rPr>
          <w:tab/>
        </w:r>
        <w:r>
          <w:rPr>
            <w:color w:val="4D4D4F"/>
            <w:spacing w:val="-5"/>
          </w:rPr>
          <w:t>178</w:t>
        </w:r>
      </w:hyperlink>
    </w:p>
    <w:p w14:paraId="78DE7D57" w14:textId="77777777" w:rsidR="00EF5B27" w:rsidRDefault="00000000">
      <w:pPr>
        <w:pStyle w:val="BodyText"/>
        <w:tabs>
          <w:tab w:val="right" w:leader="dot" w:pos="9751"/>
        </w:tabs>
        <w:spacing w:before="92"/>
        <w:ind w:left="113"/>
      </w:pPr>
      <w:hyperlink w:anchor="_bookmark85" w:history="1">
        <w:r>
          <w:rPr>
            <w:color w:val="4D4D4F"/>
            <w:spacing w:val="-4"/>
          </w:rPr>
          <w:t xml:space="preserve">Table </w:t>
        </w:r>
        <w:r>
          <w:rPr>
            <w:color w:val="4D4D4F"/>
            <w:spacing w:val="-11"/>
          </w:rPr>
          <w:t xml:space="preserve">11:  </w:t>
        </w:r>
        <w:r>
          <w:rPr>
            <w:color w:val="4D4D4F"/>
          </w:rPr>
          <w:t>Details of occupancy model covariates and the AIC values for</w:t>
        </w:r>
        <w:r>
          <w:rPr>
            <w:color w:val="4D4D4F"/>
            <w:spacing w:val="31"/>
          </w:rPr>
          <w:t xml:space="preserve"> </w:t>
        </w:r>
        <w:r>
          <w:rPr>
            <w:color w:val="4D4D4F"/>
          </w:rPr>
          <w:t>each</w:t>
        </w:r>
        <w:r>
          <w:rPr>
            <w:color w:val="4D4D4F"/>
            <w:spacing w:val="4"/>
          </w:rPr>
          <w:t xml:space="preserve"> </w:t>
        </w:r>
        <w:r>
          <w:rPr>
            <w:color w:val="4D4D4F"/>
          </w:rPr>
          <w:t>model</w:t>
        </w:r>
        <w:r>
          <w:rPr>
            <w:color w:val="4D4D4F"/>
          </w:rPr>
          <w:tab/>
        </w:r>
        <w:r>
          <w:rPr>
            <w:color w:val="4D4D4F"/>
            <w:spacing w:val="-4"/>
          </w:rPr>
          <w:t>187</w:t>
        </w:r>
      </w:hyperlink>
    </w:p>
    <w:p w14:paraId="0A7B5BE2" w14:textId="77777777" w:rsidR="00EF5B27" w:rsidRDefault="00EF5B27">
      <w:pPr>
        <w:sectPr w:rsidR="00EF5B27">
          <w:pgSz w:w="11910" w:h="16840"/>
          <w:pgMar w:top="1080" w:right="1020" w:bottom="860" w:left="1020" w:header="530" w:footer="678" w:gutter="0"/>
          <w:cols w:space="720"/>
        </w:sectPr>
      </w:pPr>
    </w:p>
    <w:p w14:paraId="3980A885" w14:textId="77777777" w:rsidR="00EF5B27" w:rsidRDefault="00000000">
      <w:pPr>
        <w:pStyle w:val="BodyText"/>
        <w:rPr>
          <w:sz w:val="52"/>
        </w:rPr>
      </w:pPr>
      <w:r>
        <w:lastRenderedPageBreak/>
        <w:pict w14:anchorId="25CDD696">
          <v:group id="_x0000_s4626" style="position:absolute;margin-left:587.05pt;margin-top:183.4pt;width:8.25pt;height:153.1pt;z-index:251319808;mso-position-horizontal-relative:page;mso-position-vertical-relative:page" coordorigin="11741,3668" coordsize="165,3062">
            <v:shape id="_x0000_s4633" style="position:absolute;left:11741;top:3668;width:165;height:561" coordorigin="11741,3668" coordsize="165,561" path="m11906,3668r-165,l11741,4228r165,-18l11906,3668xe" fillcolor="#00aed9" stroked="f">
              <v:path arrowok="t"/>
            </v:shape>
            <v:shape id="_x0000_s4632" style="position:absolute;left:11741;top:4118;width:165;height:425" coordorigin="11741,4118" coordsize="165,425" path="m11906,4118r-165,14l11741,4531r165,12l11906,4118xe" fillcolor="#047ebc" stroked="f">
              <v:path arrowok="t"/>
            </v:shape>
            <v:shape id="_x0000_s4631" type="#_x0000_t75" style="position:absolute;left:11741;top:4355;width:165;height:587">
              <v:imagedata r:id="rId30" o:title=""/>
            </v:shape>
            <v:shape id="_x0000_s4630" style="position:absolute;left:11741;top:5343;width:165;height:536" coordorigin="11741,5343" coordsize="165,536" path="m11741,5343r,535l11906,5872r,-525l11741,5343xe" fillcolor="#f36a2e" stroked="f">
              <v:path arrowok="t"/>
            </v:shape>
            <v:shape id="_x0000_s4629" style="position:absolute;left:11741;top:4925;width:165;height:501" coordorigin="11741,4926" coordsize="165,501" path="m11741,4926r,500l11906,5426r,-485l11741,4926xe" fillcolor="#49783f" stroked="f">
              <v:path arrowok="t"/>
            </v:shape>
            <v:shape id="_x0000_s4628" style="position:absolute;left:11741;top:5781;width:165;height:268" coordorigin="11741,5782" coordsize="165,268" path="m11906,5782r-165,8l11741,6039r165,10l11906,5782xe" fillcolor="#f99f2a" stroked="f">
              <v:path arrowok="t"/>
            </v:shape>
            <v:shape id="_x0000_s4627" style="position:absolute;left:11741;top:6023;width:165;height:707" coordorigin="11741,6023" coordsize="165,707" path="m11741,6023r,706l11906,6729r,-690l11741,6023xe" fillcolor="#ef412c" stroked="f">
              <v:path arrowok="t"/>
            </v:shape>
            <w10:wrap anchorx="page" anchory="page"/>
          </v:group>
        </w:pict>
      </w:r>
    </w:p>
    <w:p w14:paraId="17CDD1BB" w14:textId="77777777" w:rsidR="00EF5B27" w:rsidRDefault="00EF5B27">
      <w:pPr>
        <w:pStyle w:val="BodyText"/>
        <w:spacing w:before="9"/>
        <w:rPr>
          <w:sz w:val="38"/>
        </w:rPr>
      </w:pPr>
    </w:p>
    <w:p w14:paraId="4DF3BD7D" w14:textId="77777777" w:rsidR="00EF5B27" w:rsidRDefault="00000000">
      <w:pPr>
        <w:pStyle w:val="Heading2"/>
        <w:spacing w:before="0"/>
      </w:pPr>
      <w:bookmarkStart w:id="4" w:name="_bookmark4"/>
      <w:bookmarkEnd w:id="4"/>
      <w:r>
        <w:rPr>
          <w:color w:val="F99F2A"/>
        </w:rPr>
        <w:t>Acknowledgements</w:t>
      </w:r>
    </w:p>
    <w:p w14:paraId="1AB933FD" w14:textId="77777777" w:rsidR="00EF5B27" w:rsidRDefault="00EF5B27">
      <w:pPr>
        <w:pStyle w:val="BodyText"/>
        <w:spacing w:before="6"/>
        <w:rPr>
          <w:b/>
          <w:sz w:val="77"/>
        </w:rPr>
      </w:pPr>
    </w:p>
    <w:p w14:paraId="4E0C20A4" w14:textId="77777777" w:rsidR="00EF5B27" w:rsidRDefault="00000000">
      <w:pPr>
        <w:pStyle w:val="BodyText"/>
        <w:spacing w:before="1" w:line="254" w:lineRule="auto"/>
        <w:ind w:left="1871"/>
      </w:pPr>
      <w:r>
        <w:rPr>
          <w:color w:val="4D4D4F"/>
        </w:rPr>
        <w:t>The Victorian Minister for Environment and Climate Action is the responsible Minister, and the Victorian Department of Environment, Land, Water and Planning (DELWP) Secretary is the accountable officer, for implementing the Melbourne Strategic Assessment (MSA) program.</w:t>
      </w:r>
    </w:p>
    <w:p w14:paraId="424D021A" w14:textId="77777777" w:rsidR="00EF5B27" w:rsidRDefault="00000000">
      <w:pPr>
        <w:spacing w:before="3" w:line="256" w:lineRule="auto"/>
        <w:ind w:left="1871" w:right="212"/>
        <w:rPr>
          <w:rFonts w:ascii="Arial Narrow" w:hAnsi="Arial Narrow"/>
          <w:i/>
          <w:sz w:val="20"/>
        </w:rPr>
      </w:pPr>
      <w:r>
        <w:rPr>
          <w:color w:val="4D4D4F"/>
          <w:spacing w:val="-3"/>
          <w:w w:val="105"/>
          <w:sz w:val="20"/>
        </w:rPr>
        <w:t xml:space="preserve">However, </w:t>
      </w:r>
      <w:r>
        <w:rPr>
          <w:color w:val="4D4D4F"/>
          <w:w w:val="105"/>
          <w:sz w:val="20"/>
        </w:rPr>
        <w:t>many different public land management agencies are involved in the program’s implementation.</w:t>
      </w:r>
      <w:r>
        <w:rPr>
          <w:color w:val="4D4D4F"/>
          <w:spacing w:val="-28"/>
          <w:w w:val="105"/>
          <w:sz w:val="20"/>
        </w:rPr>
        <w:t xml:space="preserve"> </w:t>
      </w:r>
      <w:r>
        <w:rPr>
          <w:color w:val="4D4D4F"/>
          <w:w w:val="105"/>
          <w:sz w:val="20"/>
        </w:rPr>
        <w:t>We</w:t>
      </w:r>
      <w:r>
        <w:rPr>
          <w:color w:val="4D4D4F"/>
          <w:spacing w:val="-27"/>
          <w:w w:val="105"/>
          <w:sz w:val="20"/>
        </w:rPr>
        <w:t xml:space="preserve"> </w:t>
      </w:r>
      <w:r>
        <w:rPr>
          <w:color w:val="4D4D4F"/>
          <w:w w:val="105"/>
          <w:sz w:val="20"/>
        </w:rPr>
        <w:t>thank</w:t>
      </w:r>
      <w:r>
        <w:rPr>
          <w:color w:val="4D4D4F"/>
          <w:spacing w:val="-28"/>
          <w:w w:val="105"/>
          <w:sz w:val="20"/>
        </w:rPr>
        <w:t xml:space="preserve"> </w:t>
      </w:r>
      <w:r>
        <w:rPr>
          <w:color w:val="4D4D4F"/>
          <w:w w:val="105"/>
          <w:sz w:val="20"/>
        </w:rPr>
        <w:t>the</w:t>
      </w:r>
      <w:r>
        <w:rPr>
          <w:color w:val="4D4D4F"/>
          <w:spacing w:val="-27"/>
          <w:w w:val="105"/>
          <w:sz w:val="20"/>
        </w:rPr>
        <w:t xml:space="preserve"> </w:t>
      </w:r>
      <w:r>
        <w:rPr>
          <w:color w:val="4D4D4F"/>
          <w:w w:val="105"/>
          <w:sz w:val="20"/>
        </w:rPr>
        <w:t>many</w:t>
      </w:r>
      <w:r>
        <w:rPr>
          <w:color w:val="4D4D4F"/>
          <w:spacing w:val="-27"/>
          <w:w w:val="105"/>
          <w:sz w:val="20"/>
        </w:rPr>
        <w:t xml:space="preserve"> </w:t>
      </w:r>
      <w:r>
        <w:rPr>
          <w:color w:val="4D4D4F"/>
          <w:w w:val="105"/>
          <w:sz w:val="20"/>
        </w:rPr>
        <w:t>teams</w:t>
      </w:r>
      <w:r>
        <w:rPr>
          <w:color w:val="4D4D4F"/>
          <w:spacing w:val="-28"/>
          <w:w w:val="105"/>
          <w:sz w:val="20"/>
        </w:rPr>
        <w:t xml:space="preserve"> </w:t>
      </w:r>
      <w:r>
        <w:rPr>
          <w:color w:val="4D4D4F"/>
          <w:w w:val="105"/>
          <w:sz w:val="20"/>
        </w:rPr>
        <w:t>and</w:t>
      </w:r>
      <w:r>
        <w:rPr>
          <w:color w:val="4D4D4F"/>
          <w:spacing w:val="-27"/>
          <w:w w:val="105"/>
          <w:sz w:val="20"/>
        </w:rPr>
        <w:t xml:space="preserve"> </w:t>
      </w:r>
      <w:r>
        <w:rPr>
          <w:color w:val="4D4D4F"/>
          <w:w w:val="105"/>
          <w:sz w:val="20"/>
        </w:rPr>
        <w:t>individuals</w:t>
      </w:r>
      <w:r>
        <w:rPr>
          <w:color w:val="4D4D4F"/>
          <w:spacing w:val="-27"/>
          <w:w w:val="105"/>
          <w:sz w:val="20"/>
        </w:rPr>
        <w:t xml:space="preserve"> </w:t>
      </w:r>
      <w:r>
        <w:rPr>
          <w:color w:val="4D4D4F"/>
          <w:w w:val="105"/>
          <w:sz w:val="20"/>
        </w:rPr>
        <w:t>from</w:t>
      </w:r>
      <w:r>
        <w:rPr>
          <w:color w:val="4D4D4F"/>
          <w:spacing w:val="-28"/>
          <w:w w:val="105"/>
          <w:sz w:val="20"/>
        </w:rPr>
        <w:t xml:space="preserve"> </w:t>
      </w:r>
      <w:r>
        <w:rPr>
          <w:color w:val="4D4D4F"/>
          <w:spacing w:val="-4"/>
          <w:w w:val="105"/>
          <w:sz w:val="20"/>
        </w:rPr>
        <w:t>DELWP,</w:t>
      </w:r>
      <w:r>
        <w:rPr>
          <w:color w:val="4D4D4F"/>
          <w:spacing w:val="-27"/>
          <w:w w:val="105"/>
          <w:sz w:val="20"/>
        </w:rPr>
        <w:t xml:space="preserve"> </w:t>
      </w:r>
      <w:r>
        <w:rPr>
          <w:color w:val="4D4D4F"/>
          <w:w w:val="105"/>
          <w:sz w:val="20"/>
        </w:rPr>
        <w:t>Arthur</w:t>
      </w:r>
      <w:r>
        <w:rPr>
          <w:color w:val="4D4D4F"/>
          <w:spacing w:val="-27"/>
          <w:w w:val="105"/>
          <w:sz w:val="20"/>
        </w:rPr>
        <w:t xml:space="preserve"> </w:t>
      </w:r>
      <w:r>
        <w:rPr>
          <w:color w:val="4D4D4F"/>
          <w:w w:val="105"/>
          <w:sz w:val="20"/>
        </w:rPr>
        <w:t>Rylah</w:t>
      </w:r>
      <w:r>
        <w:rPr>
          <w:color w:val="4D4D4F"/>
          <w:spacing w:val="-28"/>
          <w:w w:val="105"/>
          <w:sz w:val="20"/>
        </w:rPr>
        <w:t xml:space="preserve"> </w:t>
      </w:r>
      <w:r>
        <w:rPr>
          <w:color w:val="4D4D4F"/>
          <w:w w:val="105"/>
          <w:sz w:val="20"/>
        </w:rPr>
        <w:t xml:space="preserve">Institute (ARI) and Parks Victoria for their contribution to this </w:t>
      </w:r>
      <w:r>
        <w:rPr>
          <w:rFonts w:ascii="Arial Narrow" w:hAnsi="Arial Narrow"/>
          <w:i/>
          <w:color w:val="4D4D4F"/>
          <w:spacing w:val="-3"/>
          <w:w w:val="105"/>
          <w:sz w:val="20"/>
        </w:rPr>
        <w:t xml:space="preserve">Strategic </w:t>
      </w:r>
      <w:r>
        <w:rPr>
          <w:rFonts w:ascii="Arial Narrow" w:hAnsi="Arial Narrow"/>
          <w:i/>
          <w:color w:val="4D4D4F"/>
          <w:w w:val="105"/>
          <w:sz w:val="20"/>
        </w:rPr>
        <w:t xml:space="preserve">Audit of the </w:t>
      </w:r>
      <w:r>
        <w:rPr>
          <w:rFonts w:ascii="Arial Narrow" w:hAnsi="Arial Narrow"/>
          <w:i/>
          <w:color w:val="4D4D4F"/>
          <w:spacing w:val="-3"/>
          <w:w w:val="105"/>
          <w:sz w:val="20"/>
        </w:rPr>
        <w:t xml:space="preserve">Implementation </w:t>
      </w:r>
      <w:r>
        <w:rPr>
          <w:rFonts w:ascii="Arial Narrow" w:hAnsi="Arial Narrow"/>
          <w:i/>
          <w:color w:val="4D4D4F"/>
          <w:w w:val="105"/>
          <w:sz w:val="20"/>
        </w:rPr>
        <w:t xml:space="preserve">of   the </w:t>
      </w:r>
      <w:r>
        <w:rPr>
          <w:rFonts w:ascii="Arial Narrow" w:hAnsi="Arial Narrow"/>
          <w:i/>
          <w:color w:val="4D4D4F"/>
          <w:spacing w:val="-3"/>
          <w:w w:val="105"/>
          <w:sz w:val="20"/>
        </w:rPr>
        <w:t xml:space="preserve">MSA </w:t>
      </w:r>
      <w:r>
        <w:rPr>
          <w:rFonts w:ascii="Arial Narrow" w:hAnsi="Arial Narrow"/>
          <w:i/>
          <w:color w:val="4D4D4F"/>
          <w:w w:val="105"/>
          <w:sz w:val="20"/>
        </w:rPr>
        <w:t>Conservation Outcomes 2022</w:t>
      </w:r>
      <w:r>
        <w:rPr>
          <w:rFonts w:ascii="Arial Narrow" w:hAnsi="Arial Narrow"/>
          <w:i/>
          <w:color w:val="4D4D4F"/>
          <w:spacing w:val="19"/>
          <w:w w:val="105"/>
          <w:sz w:val="20"/>
        </w:rPr>
        <w:t xml:space="preserve"> </w:t>
      </w:r>
      <w:r>
        <w:rPr>
          <w:rFonts w:ascii="Arial Narrow" w:hAnsi="Arial Narrow"/>
          <w:i/>
          <w:color w:val="4D4D4F"/>
          <w:w w:val="105"/>
          <w:sz w:val="20"/>
        </w:rPr>
        <w:t>Report.</w:t>
      </w:r>
    </w:p>
    <w:p w14:paraId="1F568713" w14:textId="77777777" w:rsidR="00EF5B27" w:rsidRDefault="00EF5B27">
      <w:pPr>
        <w:pStyle w:val="BodyText"/>
        <w:rPr>
          <w:rFonts w:ascii="Arial Narrow"/>
          <w:i/>
        </w:rPr>
      </w:pPr>
    </w:p>
    <w:p w14:paraId="55889F65" w14:textId="77777777" w:rsidR="00EF5B27" w:rsidRDefault="00000000">
      <w:pPr>
        <w:pStyle w:val="BodyText"/>
        <w:spacing w:before="10"/>
        <w:rPr>
          <w:rFonts w:ascii="Arial Narrow"/>
          <w:i/>
          <w:sz w:val="27"/>
        </w:rPr>
      </w:pPr>
      <w:r>
        <w:rPr>
          <w:noProof/>
        </w:rPr>
        <w:drawing>
          <wp:anchor distT="0" distB="0" distL="0" distR="0" simplePos="0" relativeHeight="251275776" behindDoc="0" locked="0" layoutInCell="1" allowOverlap="1" wp14:anchorId="64AE0FDB" wp14:editId="04A33CD3">
            <wp:simplePos x="0" y="0"/>
            <wp:positionH relativeFrom="page">
              <wp:posOffset>1836000</wp:posOffset>
            </wp:positionH>
            <wp:positionV relativeFrom="paragraph">
              <wp:posOffset>228002</wp:posOffset>
            </wp:positionV>
            <wp:extent cx="5014417" cy="3291840"/>
            <wp:effectExtent l="0" t="0" r="0" b="0"/>
            <wp:wrapTopAndBottom/>
            <wp:docPr id="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1.jpeg"/>
                    <pic:cNvPicPr/>
                  </pic:nvPicPr>
                  <pic:blipFill>
                    <a:blip r:embed="rId40" cstate="print"/>
                    <a:stretch>
                      <a:fillRect/>
                    </a:stretch>
                  </pic:blipFill>
                  <pic:spPr>
                    <a:xfrm>
                      <a:off x="0" y="0"/>
                      <a:ext cx="5014417" cy="3291840"/>
                    </a:xfrm>
                    <a:prstGeom prst="rect">
                      <a:avLst/>
                    </a:prstGeom>
                  </pic:spPr>
                </pic:pic>
              </a:graphicData>
            </a:graphic>
          </wp:anchor>
        </w:drawing>
      </w:r>
    </w:p>
    <w:p w14:paraId="7557C812" w14:textId="77777777" w:rsidR="00EF5B27" w:rsidRDefault="00000000">
      <w:pPr>
        <w:tabs>
          <w:tab w:val="left" w:pos="8528"/>
        </w:tabs>
        <w:spacing w:before="102"/>
        <w:ind w:left="1871"/>
        <w:rPr>
          <w:rFonts w:ascii="Century Gothic"/>
          <w:i/>
          <w:sz w:val="12"/>
        </w:rPr>
      </w:pPr>
      <w:r>
        <w:rPr>
          <w:color w:val="4D4D4F"/>
          <w:sz w:val="16"/>
        </w:rPr>
        <w:t>MSA  Sinclair</w:t>
      </w:r>
      <w:r>
        <w:rPr>
          <w:color w:val="4D4D4F"/>
          <w:spacing w:val="3"/>
          <w:sz w:val="16"/>
        </w:rPr>
        <w:t xml:space="preserve"> </w:t>
      </w:r>
      <w:r>
        <w:rPr>
          <w:color w:val="4D4D4F"/>
          <w:sz w:val="16"/>
        </w:rPr>
        <w:t>Power</w:t>
      </w:r>
      <w:r>
        <w:rPr>
          <w:color w:val="4D4D4F"/>
          <w:spacing w:val="19"/>
          <w:sz w:val="16"/>
        </w:rPr>
        <w:t xml:space="preserve"> </w:t>
      </w:r>
      <w:r>
        <w:rPr>
          <w:color w:val="4D4D4F"/>
          <w:sz w:val="16"/>
        </w:rPr>
        <w:t>Grassland</w:t>
      </w:r>
      <w:r>
        <w:rPr>
          <w:color w:val="4D4D4F"/>
          <w:sz w:val="16"/>
        </w:rPr>
        <w:tab/>
      </w:r>
      <w:r>
        <w:rPr>
          <w:rFonts w:ascii="Century Gothic"/>
          <w:i/>
          <w:color w:val="4D4D4F"/>
          <w:w w:val="95"/>
          <w:sz w:val="12"/>
        </w:rPr>
        <w:t>Source:</w:t>
      </w:r>
      <w:r>
        <w:rPr>
          <w:rFonts w:ascii="Century Gothic"/>
          <w:i/>
          <w:color w:val="4D4D4F"/>
          <w:spacing w:val="-19"/>
          <w:w w:val="95"/>
          <w:sz w:val="12"/>
        </w:rPr>
        <w:t xml:space="preserve"> </w:t>
      </w:r>
      <w:r>
        <w:rPr>
          <w:rFonts w:ascii="Century Gothic"/>
          <w:i/>
          <w:color w:val="4D4D4F"/>
          <w:w w:val="95"/>
          <w:sz w:val="12"/>
        </w:rPr>
        <w:t>Marcia</w:t>
      </w:r>
      <w:r>
        <w:rPr>
          <w:rFonts w:ascii="Century Gothic"/>
          <w:i/>
          <w:color w:val="4D4D4F"/>
          <w:spacing w:val="-20"/>
          <w:w w:val="95"/>
          <w:sz w:val="12"/>
        </w:rPr>
        <w:t xml:space="preserve"> </w:t>
      </w:r>
      <w:r>
        <w:rPr>
          <w:rFonts w:ascii="Century Gothic"/>
          <w:i/>
          <w:color w:val="4D4D4F"/>
          <w:w w:val="95"/>
          <w:sz w:val="12"/>
        </w:rPr>
        <w:t>Riederer</w:t>
      </w:r>
    </w:p>
    <w:p w14:paraId="43A34756" w14:textId="77777777" w:rsidR="00EF5B27" w:rsidRDefault="00EF5B27">
      <w:pPr>
        <w:rPr>
          <w:rFonts w:ascii="Century Gothic"/>
          <w:sz w:val="12"/>
        </w:rPr>
        <w:sectPr w:rsidR="00EF5B27">
          <w:pgSz w:w="11910" w:h="16840"/>
          <w:pgMar w:top="1080" w:right="1020" w:bottom="860" w:left="1020" w:header="530" w:footer="678" w:gutter="0"/>
          <w:cols w:space="720"/>
        </w:sectPr>
      </w:pPr>
    </w:p>
    <w:p w14:paraId="69F47E30" w14:textId="77777777" w:rsidR="00EF5B27" w:rsidRDefault="00EF5B27">
      <w:pPr>
        <w:pStyle w:val="BodyText"/>
        <w:rPr>
          <w:rFonts w:ascii="Century Gothic"/>
          <w:i/>
        </w:rPr>
      </w:pPr>
    </w:p>
    <w:p w14:paraId="6399F05F" w14:textId="77777777" w:rsidR="00EF5B27" w:rsidRDefault="00EF5B27">
      <w:pPr>
        <w:pStyle w:val="BodyText"/>
        <w:rPr>
          <w:rFonts w:ascii="Century Gothic"/>
          <w:i/>
        </w:rPr>
      </w:pPr>
    </w:p>
    <w:p w14:paraId="23A74CCC" w14:textId="77777777" w:rsidR="00EF5B27" w:rsidRDefault="00EF5B27">
      <w:pPr>
        <w:pStyle w:val="BodyText"/>
        <w:rPr>
          <w:rFonts w:ascii="Century Gothic"/>
          <w:i/>
        </w:rPr>
      </w:pPr>
    </w:p>
    <w:p w14:paraId="6439F13E" w14:textId="77777777" w:rsidR="00EF5B27" w:rsidRDefault="00EF5B27">
      <w:pPr>
        <w:pStyle w:val="BodyText"/>
        <w:spacing w:before="3"/>
        <w:rPr>
          <w:rFonts w:ascii="Century Gothic"/>
          <w:i/>
        </w:rPr>
      </w:pPr>
    </w:p>
    <w:p w14:paraId="1DE8CE23" w14:textId="77777777" w:rsidR="00EF5B27" w:rsidRDefault="00000000">
      <w:pPr>
        <w:pStyle w:val="Heading2"/>
        <w:spacing w:before="124"/>
      </w:pPr>
      <w:bookmarkStart w:id="5" w:name="_bookmark5"/>
      <w:bookmarkEnd w:id="5"/>
      <w:r>
        <w:rPr>
          <w:color w:val="F99F2A"/>
        </w:rPr>
        <w:t>Executive summary</w:t>
      </w:r>
    </w:p>
    <w:p w14:paraId="0738DCCD" w14:textId="77777777" w:rsidR="00EF5B27" w:rsidRDefault="00EF5B27">
      <w:pPr>
        <w:pStyle w:val="BodyText"/>
        <w:spacing w:before="6"/>
        <w:rPr>
          <w:b/>
          <w:sz w:val="77"/>
        </w:rPr>
      </w:pPr>
    </w:p>
    <w:p w14:paraId="2B7B4DE9" w14:textId="77777777" w:rsidR="00EF5B27" w:rsidRDefault="00000000">
      <w:pPr>
        <w:pStyle w:val="Heading6"/>
        <w:spacing w:line="254" w:lineRule="auto"/>
        <w:ind w:right="151"/>
      </w:pPr>
      <w:r>
        <w:rPr>
          <w:color w:val="4D4D4F"/>
        </w:rPr>
        <w:t xml:space="preserve">This Strategic Audit of the Implementation of Melbourne Strategic Assessment (MSA) Conservation Outcomes Report comes at a critical stage in the evolution of the MSA program as </w:t>
      </w:r>
      <w:r>
        <w:rPr>
          <w:color w:val="4D4D4F"/>
          <w:spacing w:val="-5"/>
        </w:rPr>
        <w:t xml:space="preserve">Melbourne’s </w:t>
      </w:r>
      <w:r>
        <w:rPr>
          <w:color w:val="4D4D4F"/>
          <w:spacing w:val="-4"/>
        </w:rPr>
        <w:t xml:space="preserve">population </w:t>
      </w:r>
      <w:r>
        <w:rPr>
          <w:color w:val="4D4D4F"/>
          <w:spacing w:val="-3"/>
        </w:rPr>
        <w:t xml:space="preserve">is predicted </w:t>
      </w:r>
      <w:r>
        <w:rPr>
          <w:color w:val="4D4D4F"/>
        </w:rPr>
        <w:t xml:space="preserve">to reach </w:t>
      </w:r>
      <w:r>
        <w:rPr>
          <w:color w:val="4D4D4F"/>
          <w:spacing w:val="-4"/>
        </w:rPr>
        <w:t xml:space="preserve">six </w:t>
      </w:r>
      <w:r>
        <w:rPr>
          <w:color w:val="4D4D4F"/>
          <w:spacing w:val="-5"/>
        </w:rPr>
        <w:t xml:space="preserve">million </w:t>
      </w:r>
      <w:r>
        <w:rPr>
          <w:color w:val="4D4D4F"/>
          <w:spacing w:val="-3"/>
        </w:rPr>
        <w:t>by 2030.</w:t>
      </w:r>
      <w:r>
        <w:rPr>
          <w:color w:val="4D4D4F"/>
          <w:spacing w:val="-3"/>
          <w:position w:val="7"/>
          <w:sz w:val="11"/>
        </w:rPr>
        <w:t xml:space="preserve">5 </w:t>
      </w:r>
      <w:r>
        <w:rPr>
          <w:color w:val="4D4D4F"/>
        </w:rPr>
        <w:t xml:space="preserve">The </w:t>
      </w:r>
      <w:r>
        <w:rPr>
          <w:color w:val="4D4D4F"/>
          <w:spacing w:val="-2"/>
        </w:rPr>
        <w:t xml:space="preserve">MSA </w:t>
      </w:r>
      <w:r>
        <w:rPr>
          <w:color w:val="4D4D4F"/>
        </w:rPr>
        <w:t>program was established under the Commonwealth Environment Protection and Biodiversity Conservation (EPBC) Act 1999 to mitigate the environmental impacts</w:t>
      </w:r>
    </w:p>
    <w:p w14:paraId="3468A848" w14:textId="77777777" w:rsidR="00EF5B27" w:rsidRDefault="00000000">
      <w:pPr>
        <w:spacing w:before="6" w:line="254" w:lineRule="auto"/>
        <w:ind w:left="2608"/>
        <w:rPr>
          <w:b/>
          <w:sz w:val="20"/>
        </w:rPr>
      </w:pPr>
      <w:r>
        <w:rPr>
          <w:b/>
          <w:color w:val="4D4D4F"/>
          <w:sz w:val="20"/>
        </w:rPr>
        <w:t>of urban development in Melbourne’s growth corridors on Matters of National Environmental Significance (MNES), including state and federally listed threatened species and communities (Figure 1).</w:t>
      </w:r>
    </w:p>
    <w:p w14:paraId="2E0C9452" w14:textId="77777777" w:rsidR="00EF5B27" w:rsidRDefault="00EF5B27">
      <w:pPr>
        <w:pStyle w:val="BodyText"/>
        <w:spacing w:before="2"/>
        <w:rPr>
          <w:b/>
          <w:sz w:val="11"/>
        </w:rPr>
      </w:pPr>
    </w:p>
    <w:p w14:paraId="33A2D02D" w14:textId="77777777" w:rsidR="00EF5B27" w:rsidRDefault="00EF5B27">
      <w:pPr>
        <w:rPr>
          <w:sz w:val="11"/>
        </w:rPr>
        <w:sectPr w:rsidR="00EF5B27">
          <w:headerReference w:type="default" r:id="rId41"/>
          <w:pgSz w:w="11910" w:h="16840"/>
          <w:pgMar w:top="1080" w:right="1020" w:bottom="860" w:left="1020" w:header="537" w:footer="678" w:gutter="0"/>
          <w:pgNumType w:start="10"/>
          <w:cols w:space="720"/>
        </w:sectPr>
      </w:pPr>
    </w:p>
    <w:p w14:paraId="081925A5" w14:textId="77777777" w:rsidR="00EF5B27" w:rsidRDefault="00000000">
      <w:pPr>
        <w:pStyle w:val="BodyText"/>
        <w:spacing w:before="129" w:line="254" w:lineRule="auto"/>
        <w:ind w:left="2608" w:right="3"/>
      </w:pPr>
      <w:r>
        <w:rPr>
          <w:color w:val="4D4D4F"/>
        </w:rPr>
        <w:t>An objective of the EPBC Act 1999 is to ensure that ‘nationally significant’ values including animals, plants, habitats and places are identified and any potential negative impacts on them, are carefully considered before changes in land use  or new developments are approved.</w:t>
      </w:r>
      <w:r>
        <w:rPr>
          <w:color w:val="4D4D4F"/>
          <w:position w:val="7"/>
          <w:sz w:val="11"/>
        </w:rPr>
        <w:t xml:space="preserve">6 </w:t>
      </w:r>
      <w:r>
        <w:rPr>
          <w:color w:val="4D4D4F"/>
        </w:rPr>
        <w:t xml:space="preserve">These values are referred to as MNES and this strategic audit assesses the conservation outcomes for </w:t>
      </w:r>
      <w:r>
        <w:rPr>
          <w:color w:val="4D4D4F"/>
          <w:spacing w:val="-6"/>
        </w:rPr>
        <w:t xml:space="preserve">12 </w:t>
      </w:r>
      <w:r>
        <w:rPr>
          <w:color w:val="4D4D4F"/>
        </w:rPr>
        <w:t xml:space="preserve">MNES including three ecological communities, five </w:t>
      </w:r>
      <w:r>
        <w:rPr>
          <w:color w:val="4D4D4F"/>
          <w:spacing w:val="-5"/>
        </w:rPr>
        <w:t xml:space="preserve">plant </w:t>
      </w:r>
      <w:r>
        <w:rPr>
          <w:color w:val="4D4D4F"/>
          <w:spacing w:val="-4"/>
        </w:rPr>
        <w:t xml:space="preserve">species </w:t>
      </w:r>
      <w:r>
        <w:rPr>
          <w:color w:val="4D4D4F"/>
          <w:spacing w:val="-3"/>
        </w:rPr>
        <w:t xml:space="preserve">and </w:t>
      </w:r>
      <w:r>
        <w:rPr>
          <w:color w:val="4D4D4F"/>
          <w:spacing w:val="-4"/>
        </w:rPr>
        <w:t xml:space="preserve">four </w:t>
      </w:r>
      <w:r>
        <w:rPr>
          <w:color w:val="4D4D4F"/>
          <w:spacing w:val="-5"/>
        </w:rPr>
        <w:t>animal</w:t>
      </w:r>
      <w:r>
        <w:rPr>
          <w:color w:val="4D4D4F"/>
          <w:spacing w:val="25"/>
        </w:rPr>
        <w:t xml:space="preserve"> </w:t>
      </w:r>
      <w:r>
        <w:rPr>
          <w:color w:val="4D4D4F"/>
          <w:spacing w:val="-4"/>
        </w:rPr>
        <w:t>species.</w:t>
      </w:r>
    </w:p>
    <w:p w14:paraId="47C5CF82" w14:textId="77777777" w:rsidR="00EF5B27" w:rsidRDefault="00000000">
      <w:pPr>
        <w:pStyle w:val="BodyText"/>
        <w:spacing w:before="128" w:line="254" w:lineRule="auto"/>
        <w:ind w:left="2608"/>
      </w:pPr>
      <w:r>
        <w:rPr>
          <w:color w:val="4D4D4F"/>
        </w:rPr>
        <w:t>The MSA program covers four growth corridors and seven local government areas (LGA) on Melbourne’s outskirts (Figure 2). Assessments are based on data supplied by DELWP, Arthur Rylah Institute (ARI) and Parks Victoria. The data is assessed for status, trend and data confidence of the conservation outcomes for 12 MNES defined in the monitoring and reporting framework (MRF),</w:t>
      </w:r>
      <w:r>
        <w:rPr>
          <w:color w:val="4D4D4F"/>
          <w:position w:val="7"/>
          <w:sz w:val="11"/>
        </w:rPr>
        <w:t xml:space="preserve">7 </w:t>
      </w:r>
      <w:r>
        <w:rPr>
          <w:color w:val="4D4D4F"/>
        </w:rPr>
        <w:t>and published in the Victorian Government Gazette,</w:t>
      </w:r>
      <w:r>
        <w:rPr>
          <w:color w:val="4D4D4F"/>
          <w:position w:val="7"/>
          <w:sz w:val="11"/>
        </w:rPr>
        <w:t xml:space="preserve">8 </w:t>
      </w:r>
      <w:r>
        <w:rPr>
          <w:color w:val="4D4D4F"/>
        </w:rPr>
        <w:t>for the reporting period 1 July 2020 to 30 June 2022.</w:t>
      </w:r>
    </w:p>
    <w:p w14:paraId="0AB67A48" w14:textId="77777777" w:rsidR="00EF5B27" w:rsidRDefault="00000000">
      <w:pPr>
        <w:spacing w:before="115"/>
        <w:ind w:left="360"/>
        <w:rPr>
          <w:b/>
          <w:sz w:val="28"/>
        </w:rPr>
      </w:pPr>
      <w:r>
        <w:br w:type="column"/>
      </w:r>
      <w:r>
        <w:rPr>
          <w:b/>
          <w:color w:val="F99F2A"/>
          <w:sz w:val="28"/>
        </w:rPr>
        <w:t>Background</w:t>
      </w:r>
    </w:p>
    <w:p w14:paraId="157DDDA6" w14:textId="77777777" w:rsidR="00EF5B27" w:rsidRDefault="00000000">
      <w:pPr>
        <w:pStyle w:val="BodyText"/>
        <w:spacing w:before="221" w:line="254" w:lineRule="auto"/>
        <w:ind w:left="360" w:right="135"/>
      </w:pPr>
      <w:r>
        <w:rPr>
          <w:color w:val="4D4D4F"/>
        </w:rPr>
        <w:t xml:space="preserve">The MSA program aligns State and Commonwealth biodiversity regulation </w:t>
      </w:r>
      <w:r>
        <w:rPr>
          <w:color w:val="4D4D4F"/>
          <w:spacing w:val="-4"/>
        </w:rPr>
        <w:t xml:space="preserve">under </w:t>
      </w:r>
      <w:r>
        <w:rPr>
          <w:color w:val="4D4D4F"/>
          <w:spacing w:val="-3"/>
        </w:rPr>
        <w:t xml:space="preserve">one program, </w:t>
      </w:r>
      <w:r>
        <w:rPr>
          <w:color w:val="4D4D4F"/>
          <w:spacing w:val="-6"/>
        </w:rPr>
        <w:t xml:space="preserve">aiming </w:t>
      </w:r>
      <w:r>
        <w:rPr>
          <w:color w:val="4D4D4F"/>
          <w:spacing w:val="-3"/>
        </w:rPr>
        <w:t xml:space="preserve">to </w:t>
      </w:r>
      <w:r>
        <w:rPr>
          <w:color w:val="4D4D4F"/>
          <w:spacing w:val="-4"/>
        </w:rPr>
        <w:t xml:space="preserve">ensure that </w:t>
      </w:r>
      <w:r>
        <w:rPr>
          <w:color w:val="4D4D4F"/>
        </w:rPr>
        <w:t xml:space="preserve">urban development within Melbourne’s growth </w:t>
      </w:r>
      <w:r>
        <w:rPr>
          <w:color w:val="4D4D4F"/>
          <w:spacing w:val="-4"/>
        </w:rPr>
        <w:t xml:space="preserve">areas </w:t>
      </w:r>
      <w:r>
        <w:rPr>
          <w:color w:val="4D4D4F"/>
          <w:spacing w:val="-5"/>
        </w:rPr>
        <w:t xml:space="preserve">complies </w:t>
      </w:r>
      <w:r>
        <w:rPr>
          <w:color w:val="4D4D4F"/>
          <w:spacing w:val="-4"/>
        </w:rPr>
        <w:t xml:space="preserve">with all biodiversity </w:t>
      </w:r>
      <w:r>
        <w:rPr>
          <w:color w:val="4D4D4F"/>
        </w:rPr>
        <w:t>requirements in a streamlined way. The program aims to implement a range of conservation commitments to ensure that urban development occurs in</w:t>
      </w:r>
      <w:r>
        <w:rPr>
          <w:color w:val="4D4D4F"/>
          <w:spacing w:val="22"/>
        </w:rPr>
        <w:t xml:space="preserve"> </w:t>
      </w:r>
      <w:r>
        <w:rPr>
          <w:color w:val="4D4D4F"/>
        </w:rPr>
        <w:t>a</w:t>
      </w:r>
    </w:p>
    <w:p w14:paraId="18ACD358" w14:textId="77777777" w:rsidR="00EF5B27" w:rsidRDefault="00000000">
      <w:pPr>
        <w:pStyle w:val="BodyText"/>
        <w:spacing w:before="11" w:line="254" w:lineRule="auto"/>
        <w:ind w:left="360" w:right="428"/>
      </w:pPr>
      <w:r>
        <w:rPr>
          <w:color w:val="4D4D4F"/>
        </w:rPr>
        <w:t>way that protects Matters of National Environmental Significance.</w:t>
      </w:r>
    </w:p>
    <w:p w14:paraId="393486A0" w14:textId="77777777" w:rsidR="00EF5B27" w:rsidRDefault="00000000">
      <w:pPr>
        <w:pStyle w:val="BodyText"/>
        <w:spacing w:before="116" w:line="256" w:lineRule="auto"/>
        <w:ind w:left="360" w:right="111"/>
      </w:pPr>
      <w:r>
        <w:rPr>
          <w:color w:val="4D4D4F"/>
        </w:rPr>
        <w:t xml:space="preserve">The </w:t>
      </w:r>
      <w:r>
        <w:rPr>
          <w:rFonts w:ascii="Arial Narrow" w:hAnsi="Arial Narrow"/>
          <w:i/>
          <w:color w:val="4D4D4F"/>
        </w:rPr>
        <w:t xml:space="preserve">Melbourne </w:t>
      </w:r>
      <w:r>
        <w:rPr>
          <w:rFonts w:ascii="Arial Narrow" w:hAnsi="Arial Narrow"/>
          <w:i/>
          <w:color w:val="4D4D4F"/>
          <w:spacing w:val="-3"/>
        </w:rPr>
        <w:t xml:space="preserve">Strategic </w:t>
      </w:r>
      <w:r>
        <w:rPr>
          <w:rFonts w:ascii="Arial Narrow" w:hAnsi="Arial Narrow"/>
          <w:i/>
          <w:color w:val="4D4D4F"/>
        </w:rPr>
        <w:t xml:space="preserve">Assessment </w:t>
      </w:r>
      <w:r>
        <w:rPr>
          <w:rFonts w:ascii="Arial Narrow" w:hAnsi="Arial Narrow"/>
          <w:i/>
          <w:color w:val="4D4D4F"/>
          <w:spacing w:val="-3"/>
        </w:rPr>
        <w:t xml:space="preserve">(Environment  Mitigation  </w:t>
      </w:r>
      <w:r>
        <w:rPr>
          <w:rFonts w:ascii="Arial Narrow" w:hAnsi="Arial Narrow"/>
          <w:i/>
          <w:color w:val="4D4D4F"/>
          <w:spacing w:val="-5"/>
        </w:rPr>
        <w:t xml:space="preserve">Levy)  </w:t>
      </w:r>
      <w:r>
        <w:rPr>
          <w:rFonts w:ascii="Arial Narrow" w:hAnsi="Arial Narrow"/>
          <w:i/>
          <w:color w:val="4D4D4F"/>
        </w:rPr>
        <w:t xml:space="preserve">Act  2020 </w:t>
      </w:r>
      <w:r>
        <w:rPr>
          <w:color w:val="4D4D4F"/>
        </w:rPr>
        <w:t>(MSA Act) was introduced to improve the MSA program’s operational and financial transparency, to set levies to reflect increasing land values and to ensure the ongoing viability of the program to 2060.</w:t>
      </w:r>
      <w:r>
        <w:rPr>
          <w:color w:val="4D4D4F"/>
          <w:position w:val="7"/>
          <w:sz w:val="11"/>
        </w:rPr>
        <w:t xml:space="preserve">9 </w:t>
      </w:r>
      <w:r>
        <w:rPr>
          <w:color w:val="4D4D4F"/>
        </w:rPr>
        <w:t>It also outlines statutory controls aiming to ensure that spending is directed solely to acquiring, managing and protecting  the habitat areas identified under the MSA program.</w:t>
      </w:r>
      <w:r>
        <w:rPr>
          <w:color w:val="4D4D4F"/>
          <w:position w:val="7"/>
          <w:sz w:val="11"/>
        </w:rPr>
        <w:t xml:space="preserve">10 </w:t>
      </w:r>
      <w:r>
        <w:rPr>
          <w:color w:val="4D4D4F"/>
        </w:rPr>
        <w:t>DELWP manages the delivery of the program on behalf of the DELWP</w:t>
      </w:r>
      <w:r>
        <w:rPr>
          <w:color w:val="4D4D4F"/>
          <w:spacing w:val="5"/>
        </w:rPr>
        <w:t xml:space="preserve"> </w:t>
      </w:r>
      <w:r>
        <w:rPr>
          <w:color w:val="4D4D4F"/>
        </w:rPr>
        <w:t>Secretary.</w:t>
      </w:r>
    </w:p>
    <w:p w14:paraId="2F1D6FAF" w14:textId="77777777" w:rsidR="00EF5B27" w:rsidRDefault="00EF5B27">
      <w:pPr>
        <w:spacing w:line="256" w:lineRule="auto"/>
        <w:sectPr w:rsidR="00EF5B27">
          <w:type w:val="continuous"/>
          <w:pgSz w:w="11910" w:h="16840"/>
          <w:pgMar w:top="1140" w:right="1020" w:bottom="280" w:left="1020" w:header="720" w:footer="720" w:gutter="0"/>
          <w:cols w:num="2" w:space="720" w:equalWidth="0">
            <w:col w:w="5950" w:space="40"/>
            <w:col w:w="3880"/>
          </w:cols>
        </w:sectPr>
      </w:pPr>
    </w:p>
    <w:p w14:paraId="175251F6" w14:textId="77777777" w:rsidR="00EF5B27" w:rsidRDefault="00000000">
      <w:pPr>
        <w:pStyle w:val="BodyText"/>
        <w:spacing w:before="11"/>
        <w:rPr>
          <w:sz w:val="28"/>
        </w:rPr>
      </w:pPr>
      <w:r>
        <w:pict w14:anchorId="05610C39">
          <v:group id="_x0000_s4618" style="position:absolute;margin-left:587.05pt;margin-top:183.4pt;width:8.25pt;height:153.1pt;z-index:251320832;mso-position-horizontal-relative:page;mso-position-vertical-relative:page" coordorigin="11741,3668" coordsize="165,3062">
            <v:shape id="_x0000_s4625" style="position:absolute;left:11741;top:3668;width:165;height:561" coordorigin="11741,3668" coordsize="165,561" path="m11906,3668r-165,l11741,4228r165,-18l11906,3668xe" fillcolor="#00aed9" stroked="f">
              <v:path arrowok="t"/>
            </v:shape>
            <v:shape id="_x0000_s4624" style="position:absolute;left:11741;top:4118;width:165;height:425" coordorigin="11741,4118" coordsize="165,425" path="m11906,4118r-165,14l11741,4531r165,12l11906,4118xe" fillcolor="#047ebc" stroked="f">
              <v:path arrowok="t"/>
            </v:shape>
            <v:shape id="_x0000_s4623" type="#_x0000_t75" style="position:absolute;left:11741;top:4355;width:165;height:587">
              <v:imagedata r:id="rId42" o:title=""/>
            </v:shape>
            <v:shape id="_x0000_s4622" style="position:absolute;left:11741;top:5343;width:165;height:536" coordorigin="11741,5343" coordsize="165,536" path="m11741,5343r,535l11906,5872r,-525l11741,5343xe" fillcolor="#f36a2e" stroked="f">
              <v:path arrowok="t"/>
            </v:shape>
            <v:shape id="_x0000_s4621" style="position:absolute;left:11741;top:4925;width:165;height:501" coordorigin="11741,4926" coordsize="165,501" path="m11741,4926r,500l11906,5426r,-485l11741,4926xe" fillcolor="#49783f" stroked="f">
              <v:path arrowok="t"/>
            </v:shape>
            <v:shape id="_x0000_s4620" style="position:absolute;left:11741;top:5781;width:165;height:268" coordorigin="11741,5782" coordsize="165,268" path="m11906,5782r-165,8l11741,6039r165,10l11906,5782xe" fillcolor="#f99f2a" stroked="f">
              <v:path arrowok="t"/>
            </v:shape>
            <v:shape id="_x0000_s4619" style="position:absolute;left:11741;top:6023;width:165;height:707" coordorigin="11741,6023" coordsize="165,707" path="m11741,6023r,706l11906,6729r,-690l11741,6023xe" fillcolor="#ef412c" stroked="f">
              <v:path arrowok="t"/>
            </v:shape>
            <w10:wrap anchorx="page" anchory="page"/>
          </v:group>
        </w:pict>
      </w:r>
    </w:p>
    <w:p w14:paraId="4C1F057C" w14:textId="77777777" w:rsidR="00EF5B27" w:rsidRDefault="00000000">
      <w:pPr>
        <w:pStyle w:val="BodyText"/>
        <w:spacing w:line="20" w:lineRule="exact"/>
        <w:ind w:left="2603"/>
        <w:rPr>
          <w:sz w:val="2"/>
        </w:rPr>
      </w:pPr>
      <w:r>
        <w:rPr>
          <w:sz w:val="2"/>
        </w:rPr>
      </w:r>
      <w:r>
        <w:rPr>
          <w:sz w:val="2"/>
        </w:rPr>
        <w:pict w14:anchorId="6E35B5EA">
          <v:group id="_x0000_s4616" style="width:357.2pt;height:.5pt;mso-position-horizontal-relative:char;mso-position-vertical-relative:line" coordsize="7144,10">
            <v:line id="_x0000_s4617" style="position:absolute" from="0,5" to="7143,5" strokecolor="#4d4d4f" strokeweight=".5pt"/>
            <w10:anchorlock/>
          </v:group>
        </w:pict>
      </w:r>
    </w:p>
    <w:p w14:paraId="5D224BF3" w14:textId="77777777" w:rsidR="00EF5B27" w:rsidRDefault="00000000">
      <w:pPr>
        <w:pStyle w:val="ListParagraph"/>
        <w:numPr>
          <w:ilvl w:val="0"/>
          <w:numId w:val="65"/>
        </w:numPr>
        <w:tabs>
          <w:tab w:val="left" w:pos="2836"/>
        </w:tabs>
        <w:spacing w:before="107" w:line="230" w:lineRule="auto"/>
        <w:ind w:right="111"/>
        <w:jc w:val="left"/>
        <w:rPr>
          <w:sz w:val="12"/>
        </w:rPr>
      </w:pPr>
      <w:r>
        <w:rPr>
          <w:color w:val="4D4D4F"/>
          <w:sz w:val="12"/>
        </w:rPr>
        <w:t xml:space="preserve">Australian Government, Centre for Population </w:t>
      </w:r>
      <w:r>
        <w:rPr>
          <w:color w:val="4D4D4F"/>
          <w:spacing w:val="2"/>
          <w:sz w:val="12"/>
        </w:rPr>
        <w:t xml:space="preserve">2020, </w:t>
      </w:r>
      <w:r>
        <w:rPr>
          <w:color w:val="4D4D4F"/>
          <w:sz w:val="12"/>
        </w:rPr>
        <w:t xml:space="preserve">Population Statement: Insights from Australia’s first population statement, </w:t>
      </w:r>
      <w:r>
        <w:rPr>
          <w:color w:val="4D4D4F"/>
          <w:spacing w:val="2"/>
          <w:sz w:val="12"/>
        </w:rPr>
        <w:t xml:space="preserve">shorturl. </w:t>
      </w:r>
      <w:r>
        <w:rPr>
          <w:color w:val="4D4D4F"/>
          <w:sz w:val="12"/>
        </w:rPr>
        <w:t xml:space="preserve">at/aeHU8 </w:t>
      </w:r>
      <w:r>
        <w:rPr>
          <w:color w:val="4D4D4F"/>
          <w:spacing w:val="2"/>
          <w:sz w:val="12"/>
        </w:rPr>
        <w:t xml:space="preserve">Accessed </w:t>
      </w:r>
      <w:r>
        <w:rPr>
          <w:color w:val="4D4D4F"/>
          <w:sz w:val="12"/>
        </w:rPr>
        <w:t>27 January</w:t>
      </w:r>
      <w:r>
        <w:rPr>
          <w:color w:val="4D4D4F"/>
          <w:spacing w:val="7"/>
          <w:sz w:val="12"/>
        </w:rPr>
        <w:t xml:space="preserve"> </w:t>
      </w:r>
      <w:r>
        <w:rPr>
          <w:color w:val="4D4D4F"/>
          <w:spacing w:val="2"/>
          <w:sz w:val="12"/>
        </w:rPr>
        <w:t>2022.</w:t>
      </w:r>
    </w:p>
    <w:p w14:paraId="07C88452" w14:textId="77777777" w:rsidR="00EF5B27" w:rsidRDefault="00000000">
      <w:pPr>
        <w:pStyle w:val="ListParagraph"/>
        <w:numPr>
          <w:ilvl w:val="0"/>
          <w:numId w:val="65"/>
        </w:numPr>
        <w:tabs>
          <w:tab w:val="left" w:pos="2836"/>
        </w:tabs>
        <w:spacing w:line="138" w:lineRule="exact"/>
        <w:jc w:val="left"/>
        <w:rPr>
          <w:sz w:val="12"/>
        </w:rPr>
      </w:pPr>
      <w:hyperlink r:id="rId43">
        <w:r>
          <w:rPr>
            <w:color w:val="4D4D4F"/>
            <w:sz w:val="12"/>
          </w:rPr>
          <w:t>Department of Agriculture, Water and the Environment</w:t>
        </w:r>
      </w:hyperlink>
      <w:r>
        <w:rPr>
          <w:color w:val="4D4D4F"/>
          <w:sz w:val="12"/>
        </w:rPr>
        <w:t>,</w:t>
      </w:r>
      <w:hyperlink r:id="rId44">
        <w:r>
          <w:rPr>
            <w:color w:val="F36A2E"/>
            <w:sz w:val="12"/>
          </w:rPr>
          <w:t xml:space="preserve"> </w:t>
        </w:r>
        <w:r>
          <w:rPr>
            <w:color w:val="F36A2E"/>
            <w:sz w:val="12"/>
            <w:u w:val="single" w:color="F36A2E"/>
          </w:rPr>
          <w:t>https://www.environment.gov.au/epbc/what-is-protected</w:t>
        </w:r>
        <w:r>
          <w:rPr>
            <w:color w:val="F36A2E"/>
            <w:sz w:val="12"/>
          </w:rPr>
          <w:t xml:space="preserve"> </w:t>
        </w:r>
      </w:hyperlink>
      <w:r>
        <w:rPr>
          <w:color w:val="4D4D4F"/>
          <w:sz w:val="12"/>
        </w:rPr>
        <w:t>Accessed 20 July</w:t>
      </w:r>
      <w:r>
        <w:rPr>
          <w:color w:val="4D4D4F"/>
          <w:spacing w:val="26"/>
          <w:sz w:val="12"/>
        </w:rPr>
        <w:t xml:space="preserve"> </w:t>
      </w:r>
      <w:r>
        <w:rPr>
          <w:color w:val="4D4D4F"/>
          <w:sz w:val="12"/>
        </w:rPr>
        <w:t>2021.</w:t>
      </w:r>
    </w:p>
    <w:p w14:paraId="3288E581" w14:textId="77777777" w:rsidR="00EF5B27" w:rsidRDefault="00000000">
      <w:pPr>
        <w:pStyle w:val="ListParagraph"/>
        <w:numPr>
          <w:ilvl w:val="0"/>
          <w:numId w:val="65"/>
        </w:numPr>
        <w:tabs>
          <w:tab w:val="left" w:pos="2836"/>
        </w:tabs>
        <w:spacing w:line="140" w:lineRule="exact"/>
        <w:jc w:val="left"/>
        <w:rPr>
          <w:sz w:val="12"/>
        </w:rPr>
      </w:pPr>
      <w:r>
        <w:rPr>
          <w:color w:val="4D4D4F"/>
          <w:sz w:val="12"/>
        </w:rPr>
        <w:t>DELWP</w:t>
      </w:r>
      <w:r>
        <w:rPr>
          <w:color w:val="4D4D4F"/>
          <w:spacing w:val="4"/>
          <w:sz w:val="12"/>
        </w:rPr>
        <w:t xml:space="preserve"> </w:t>
      </w:r>
      <w:r>
        <w:rPr>
          <w:color w:val="4D4D4F"/>
          <w:sz w:val="12"/>
        </w:rPr>
        <w:t>2015,</w:t>
      </w:r>
      <w:r>
        <w:rPr>
          <w:color w:val="4D4D4F"/>
          <w:spacing w:val="5"/>
          <w:sz w:val="12"/>
        </w:rPr>
        <w:t xml:space="preserve"> </w:t>
      </w:r>
      <w:r>
        <w:rPr>
          <w:color w:val="4D4D4F"/>
          <w:sz w:val="12"/>
        </w:rPr>
        <w:t>‘Monitoring</w:t>
      </w:r>
      <w:r>
        <w:rPr>
          <w:color w:val="4D4D4F"/>
          <w:spacing w:val="5"/>
          <w:sz w:val="12"/>
        </w:rPr>
        <w:t xml:space="preserve"> </w:t>
      </w:r>
      <w:r>
        <w:rPr>
          <w:color w:val="4D4D4F"/>
          <w:sz w:val="12"/>
        </w:rPr>
        <w:t>and</w:t>
      </w:r>
      <w:r>
        <w:rPr>
          <w:color w:val="4D4D4F"/>
          <w:spacing w:val="5"/>
          <w:sz w:val="12"/>
        </w:rPr>
        <w:t xml:space="preserve"> </w:t>
      </w:r>
      <w:r>
        <w:rPr>
          <w:color w:val="4D4D4F"/>
          <w:sz w:val="12"/>
        </w:rPr>
        <w:t>Reporting</w:t>
      </w:r>
      <w:r>
        <w:rPr>
          <w:color w:val="4D4D4F"/>
          <w:spacing w:val="5"/>
          <w:sz w:val="12"/>
        </w:rPr>
        <w:t xml:space="preserve"> </w:t>
      </w:r>
      <w:r>
        <w:rPr>
          <w:color w:val="4D4D4F"/>
          <w:sz w:val="12"/>
        </w:rPr>
        <w:t>Framework</w:t>
      </w:r>
      <w:r>
        <w:rPr>
          <w:color w:val="4D4D4F"/>
          <w:spacing w:val="5"/>
          <w:sz w:val="12"/>
        </w:rPr>
        <w:t xml:space="preserve"> </w:t>
      </w:r>
      <w:r>
        <w:rPr>
          <w:color w:val="4D4D4F"/>
          <w:sz w:val="12"/>
        </w:rPr>
        <w:t>–</w:t>
      </w:r>
      <w:r>
        <w:rPr>
          <w:color w:val="4D4D4F"/>
          <w:spacing w:val="5"/>
          <w:sz w:val="12"/>
        </w:rPr>
        <w:t xml:space="preserve"> </w:t>
      </w:r>
      <w:r>
        <w:rPr>
          <w:color w:val="4D4D4F"/>
          <w:sz w:val="12"/>
        </w:rPr>
        <w:t>Melbourne</w:t>
      </w:r>
      <w:r>
        <w:rPr>
          <w:color w:val="4D4D4F"/>
          <w:spacing w:val="5"/>
          <w:sz w:val="12"/>
        </w:rPr>
        <w:t xml:space="preserve"> </w:t>
      </w:r>
      <w:r>
        <w:rPr>
          <w:color w:val="4D4D4F"/>
          <w:sz w:val="12"/>
        </w:rPr>
        <w:t>Strategic</w:t>
      </w:r>
      <w:r>
        <w:rPr>
          <w:color w:val="4D4D4F"/>
          <w:spacing w:val="5"/>
          <w:sz w:val="12"/>
        </w:rPr>
        <w:t xml:space="preserve"> </w:t>
      </w:r>
      <w:r>
        <w:rPr>
          <w:color w:val="4D4D4F"/>
          <w:sz w:val="12"/>
        </w:rPr>
        <w:t>Assessment’,</w:t>
      </w:r>
      <w:r>
        <w:rPr>
          <w:color w:val="4D4D4F"/>
          <w:spacing w:val="5"/>
          <w:sz w:val="12"/>
        </w:rPr>
        <w:t xml:space="preserve"> </w:t>
      </w:r>
      <w:r>
        <w:rPr>
          <w:color w:val="4D4D4F"/>
          <w:sz w:val="12"/>
        </w:rPr>
        <w:t>East</w:t>
      </w:r>
      <w:r>
        <w:rPr>
          <w:color w:val="4D4D4F"/>
          <w:spacing w:val="5"/>
          <w:sz w:val="12"/>
        </w:rPr>
        <w:t xml:space="preserve"> </w:t>
      </w:r>
      <w:r>
        <w:rPr>
          <w:color w:val="4D4D4F"/>
          <w:sz w:val="12"/>
        </w:rPr>
        <w:t>Melbourne,</w:t>
      </w:r>
      <w:r>
        <w:rPr>
          <w:color w:val="4D4D4F"/>
          <w:spacing w:val="5"/>
          <w:sz w:val="12"/>
        </w:rPr>
        <w:t xml:space="preserve"> </w:t>
      </w:r>
      <w:r>
        <w:rPr>
          <w:color w:val="4D4D4F"/>
          <w:sz w:val="12"/>
        </w:rPr>
        <w:t>Victoria.</w:t>
      </w:r>
    </w:p>
    <w:p w14:paraId="48D943AE" w14:textId="77777777" w:rsidR="00EF5B27" w:rsidRDefault="00000000">
      <w:pPr>
        <w:pStyle w:val="ListParagraph"/>
        <w:numPr>
          <w:ilvl w:val="0"/>
          <w:numId w:val="65"/>
        </w:numPr>
        <w:tabs>
          <w:tab w:val="left" w:pos="2836"/>
        </w:tabs>
        <w:spacing w:before="1" w:line="230" w:lineRule="auto"/>
        <w:ind w:right="111"/>
        <w:jc w:val="both"/>
        <w:rPr>
          <w:sz w:val="12"/>
        </w:rPr>
      </w:pPr>
      <w:r>
        <w:rPr>
          <w:color w:val="4D4D4F"/>
          <w:sz w:val="12"/>
        </w:rPr>
        <w:t xml:space="preserve">State Government of Victoria </w:t>
      </w:r>
      <w:r>
        <w:rPr>
          <w:color w:val="4D4D4F"/>
          <w:spacing w:val="2"/>
          <w:sz w:val="12"/>
        </w:rPr>
        <w:t xml:space="preserve">2022, </w:t>
      </w:r>
      <w:r>
        <w:rPr>
          <w:color w:val="4D4D4F"/>
          <w:sz w:val="12"/>
        </w:rPr>
        <w:t xml:space="preserve">Victorian Government Gazette, Issue </w:t>
      </w:r>
      <w:r>
        <w:rPr>
          <w:color w:val="4D4D4F"/>
          <w:spacing w:val="2"/>
          <w:sz w:val="12"/>
        </w:rPr>
        <w:t xml:space="preserve">G4, </w:t>
      </w:r>
      <w:r>
        <w:rPr>
          <w:color w:val="4D4D4F"/>
          <w:sz w:val="12"/>
        </w:rPr>
        <w:t xml:space="preserve">‘Melbourne Strategic Assessment (Environment Mitigation Levy) </w:t>
      </w:r>
      <w:r>
        <w:rPr>
          <w:color w:val="4D4D4F"/>
          <w:spacing w:val="2"/>
          <w:sz w:val="12"/>
        </w:rPr>
        <w:t xml:space="preserve">Act 2020 </w:t>
      </w:r>
      <w:r>
        <w:rPr>
          <w:color w:val="4D4D4F"/>
          <w:sz w:val="12"/>
        </w:rPr>
        <w:t xml:space="preserve">- Notice of the </w:t>
      </w:r>
      <w:r>
        <w:rPr>
          <w:color w:val="4D4D4F"/>
          <w:spacing w:val="2"/>
          <w:sz w:val="12"/>
        </w:rPr>
        <w:t xml:space="preserve">Conservation </w:t>
      </w:r>
      <w:r>
        <w:rPr>
          <w:color w:val="4D4D4F"/>
          <w:sz w:val="12"/>
        </w:rPr>
        <w:t>Outcomes’,</w:t>
      </w:r>
      <w:r>
        <w:rPr>
          <w:color w:val="F36A2E"/>
          <w:sz w:val="12"/>
        </w:rPr>
        <w:t xml:space="preserve"> </w:t>
      </w:r>
      <w:hyperlink r:id="rId45">
        <w:r>
          <w:rPr>
            <w:color w:val="F36A2E"/>
            <w:sz w:val="12"/>
            <w:u w:val="single" w:color="F36A2E"/>
          </w:rPr>
          <w:t>http://www.gazette.vic.gov.au/gazette/Gazettes2022/GG2022G004.pd</w:t>
        </w:r>
        <w:r>
          <w:rPr>
            <w:color w:val="F36A2E"/>
            <w:sz w:val="12"/>
          </w:rPr>
          <w:t xml:space="preserve">f </w:t>
        </w:r>
      </w:hyperlink>
      <w:r>
        <w:rPr>
          <w:color w:val="4D4D4F"/>
          <w:spacing w:val="2"/>
          <w:sz w:val="12"/>
        </w:rPr>
        <w:t xml:space="preserve">Accessed  </w:t>
      </w:r>
      <w:r>
        <w:rPr>
          <w:color w:val="4D4D4F"/>
          <w:sz w:val="12"/>
        </w:rPr>
        <w:t>27 January</w:t>
      </w:r>
      <w:r>
        <w:rPr>
          <w:color w:val="4D4D4F"/>
          <w:spacing w:val="4"/>
          <w:sz w:val="12"/>
        </w:rPr>
        <w:t xml:space="preserve"> </w:t>
      </w:r>
      <w:r>
        <w:rPr>
          <w:color w:val="4D4D4F"/>
          <w:spacing w:val="2"/>
          <w:sz w:val="12"/>
        </w:rPr>
        <w:t>2022.</w:t>
      </w:r>
    </w:p>
    <w:p w14:paraId="52063E6E" w14:textId="77777777" w:rsidR="00EF5B27" w:rsidRDefault="00000000">
      <w:pPr>
        <w:pStyle w:val="ListParagraph"/>
        <w:numPr>
          <w:ilvl w:val="0"/>
          <w:numId w:val="65"/>
        </w:numPr>
        <w:tabs>
          <w:tab w:val="left" w:pos="2836"/>
        </w:tabs>
        <w:spacing w:line="230" w:lineRule="auto"/>
        <w:ind w:right="111"/>
        <w:jc w:val="left"/>
        <w:rPr>
          <w:sz w:val="12"/>
        </w:rPr>
      </w:pPr>
      <w:r>
        <w:rPr>
          <w:color w:val="4D4D4F"/>
          <w:sz w:val="12"/>
        </w:rPr>
        <w:t xml:space="preserve">Parliamentary Debates (Hansard), Legislative Assembly, Parliament of Victoria, </w:t>
      </w:r>
      <w:r>
        <w:rPr>
          <w:color w:val="4D4D4F"/>
          <w:spacing w:val="-3"/>
          <w:sz w:val="12"/>
        </w:rPr>
        <w:t xml:space="preserve">16 </w:t>
      </w:r>
      <w:r>
        <w:rPr>
          <w:color w:val="4D4D4F"/>
          <w:spacing w:val="2"/>
          <w:sz w:val="12"/>
        </w:rPr>
        <w:t xml:space="preserve">October </w:t>
      </w:r>
      <w:r>
        <w:rPr>
          <w:color w:val="4D4D4F"/>
          <w:sz w:val="12"/>
        </w:rPr>
        <w:t>2019, ‘Minister’s second reading speech – Melbourne Strategic Assessment (Environment Mitigation Levy) Bill</w:t>
      </w:r>
      <w:r>
        <w:rPr>
          <w:color w:val="4D4D4F"/>
          <w:spacing w:val="20"/>
          <w:sz w:val="12"/>
        </w:rPr>
        <w:t xml:space="preserve"> </w:t>
      </w:r>
      <w:r>
        <w:rPr>
          <w:color w:val="4D4D4F"/>
          <w:sz w:val="12"/>
        </w:rPr>
        <w:t>2019.</w:t>
      </w:r>
    </w:p>
    <w:p w14:paraId="5495E218" w14:textId="77777777" w:rsidR="00EF5B27" w:rsidRDefault="00000000">
      <w:pPr>
        <w:pStyle w:val="ListParagraph"/>
        <w:numPr>
          <w:ilvl w:val="0"/>
          <w:numId w:val="65"/>
        </w:numPr>
        <w:tabs>
          <w:tab w:val="left" w:pos="2835"/>
        </w:tabs>
        <w:spacing w:line="230" w:lineRule="auto"/>
        <w:ind w:left="2834" w:right="112" w:hanging="226"/>
        <w:jc w:val="left"/>
        <w:rPr>
          <w:sz w:val="12"/>
        </w:rPr>
      </w:pPr>
      <w:r>
        <w:rPr>
          <w:color w:val="4D4D4F"/>
          <w:sz w:val="12"/>
        </w:rPr>
        <w:t xml:space="preserve">Parliamentary Debates (Hansard), Legislative Assembly, Parliament of Victoria, </w:t>
      </w:r>
      <w:r>
        <w:rPr>
          <w:color w:val="4D4D4F"/>
          <w:spacing w:val="-3"/>
          <w:sz w:val="12"/>
        </w:rPr>
        <w:t xml:space="preserve">16 </w:t>
      </w:r>
      <w:r>
        <w:rPr>
          <w:color w:val="4D4D4F"/>
          <w:spacing w:val="2"/>
          <w:sz w:val="12"/>
        </w:rPr>
        <w:t xml:space="preserve">October </w:t>
      </w:r>
      <w:r>
        <w:rPr>
          <w:color w:val="4D4D4F"/>
          <w:sz w:val="12"/>
        </w:rPr>
        <w:t>2019, ‘Minister’s second reading speech – Melbourne Strategic Assessment (Environment Mitigation Levy) Bill</w:t>
      </w:r>
      <w:r>
        <w:rPr>
          <w:color w:val="4D4D4F"/>
          <w:spacing w:val="20"/>
          <w:sz w:val="12"/>
        </w:rPr>
        <w:t xml:space="preserve"> </w:t>
      </w:r>
      <w:r>
        <w:rPr>
          <w:color w:val="4D4D4F"/>
          <w:sz w:val="12"/>
        </w:rPr>
        <w:t>2019.</w:t>
      </w:r>
    </w:p>
    <w:p w14:paraId="150F8E49" w14:textId="77777777" w:rsidR="00EF5B27" w:rsidRDefault="00EF5B27">
      <w:pPr>
        <w:spacing w:line="230" w:lineRule="auto"/>
        <w:rPr>
          <w:sz w:val="12"/>
        </w:rPr>
        <w:sectPr w:rsidR="00EF5B27">
          <w:type w:val="continuous"/>
          <w:pgSz w:w="11910" w:h="16840"/>
          <w:pgMar w:top="1140" w:right="1020" w:bottom="280" w:left="1020" w:header="720" w:footer="720" w:gutter="0"/>
          <w:cols w:space="720"/>
        </w:sectPr>
      </w:pPr>
    </w:p>
    <w:p w14:paraId="10D238A6" w14:textId="77777777" w:rsidR="00EF5B27" w:rsidRDefault="00EF5B27">
      <w:pPr>
        <w:pStyle w:val="BodyText"/>
      </w:pPr>
    </w:p>
    <w:p w14:paraId="6BD3FFA2" w14:textId="77777777" w:rsidR="00EF5B27" w:rsidRDefault="00EF5B27">
      <w:pPr>
        <w:pStyle w:val="BodyText"/>
      </w:pPr>
    </w:p>
    <w:p w14:paraId="3F02E70F" w14:textId="77777777" w:rsidR="00EF5B27" w:rsidRDefault="00EF5B27">
      <w:pPr>
        <w:pStyle w:val="BodyText"/>
      </w:pPr>
    </w:p>
    <w:p w14:paraId="6D66F201" w14:textId="77777777" w:rsidR="00EF5B27" w:rsidRDefault="00EF5B27">
      <w:pPr>
        <w:pStyle w:val="BodyText"/>
        <w:spacing w:before="4"/>
        <w:rPr>
          <w:sz w:val="25"/>
        </w:rPr>
      </w:pPr>
    </w:p>
    <w:p w14:paraId="215EFC1D" w14:textId="77777777" w:rsidR="00EF5B27" w:rsidRDefault="00EF5B27">
      <w:pPr>
        <w:rPr>
          <w:sz w:val="25"/>
        </w:rPr>
        <w:sectPr w:rsidR="00EF5B27">
          <w:pgSz w:w="11910" w:h="16840"/>
          <w:pgMar w:top="1080" w:right="1020" w:bottom="860" w:left="1020" w:header="537" w:footer="678" w:gutter="0"/>
          <w:cols w:space="720"/>
        </w:sectPr>
      </w:pPr>
    </w:p>
    <w:p w14:paraId="53FA9FCD" w14:textId="77777777" w:rsidR="00EF5B27" w:rsidRDefault="00000000">
      <w:pPr>
        <w:pStyle w:val="BodyText"/>
        <w:spacing w:before="100" w:line="271" w:lineRule="auto"/>
        <w:ind w:left="2608"/>
      </w:pPr>
      <w:r>
        <w:rPr>
          <w:color w:val="4D4D4F"/>
        </w:rPr>
        <w:t>The MSA program’s strategic biodiversity offsetting program was established with the aim to achieve No Net Loss (NNL) for biodiversity throughout implementation of Growth Area Framework Plans.</w:t>
      </w:r>
    </w:p>
    <w:p w14:paraId="50D16F50" w14:textId="77777777" w:rsidR="00EF5B27" w:rsidRDefault="00000000">
      <w:pPr>
        <w:pStyle w:val="BodyText"/>
        <w:spacing w:line="271" w:lineRule="auto"/>
        <w:ind w:left="2608" w:right="144"/>
      </w:pPr>
      <w:r>
        <w:rPr>
          <w:color w:val="4D4D4F"/>
        </w:rPr>
        <w:t xml:space="preserve">The Victorian Government committed to establishing a Natural Temperate Grassland reserve as  an  offset  by 2022, via acquisition through use of a public acquisition overlay </w:t>
      </w:r>
      <w:r>
        <w:rPr>
          <w:color w:val="4D4D4F"/>
          <w:spacing w:val="-5"/>
        </w:rPr>
        <w:t xml:space="preserve">(PAO). </w:t>
      </w:r>
      <w:r>
        <w:rPr>
          <w:color w:val="4D4D4F"/>
        </w:rPr>
        <w:t xml:space="preserve">A </w:t>
      </w:r>
      <w:r>
        <w:rPr>
          <w:color w:val="4D4D4F"/>
          <w:spacing w:val="-3"/>
        </w:rPr>
        <w:t xml:space="preserve">PAO </w:t>
      </w:r>
      <w:r>
        <w:rPr>
          <w:color w:val="4D4D4F"/>
        </w:rPr>
        <w:t>is a planning mechanism that is used  by the State Government to designate areas for protection through planning scheme amendments on Crown land.</w:t>
      </w:r>
      <w:r>
        <w:rPr>
          <w:color w:val="4D4D4F"/>
          <w:spacing w:val="28"/>
        </w:rPr>
        <w:t xml:space="preserve"> </w:t>
      </w:r>
      <w:r>
        <w:rPr>
          <w:color w:val="4D4D4F"/>
        </w:rPr>
        <w:t>It</w:t>
      </w:r>
    </w:p>
    <w:p w14:paraId="0DA822DD" w14:textId="77777777" w:rsidR="00EF5B27" w:rsidRDefault="00000000">
      <w:pPr>
        <w:pStyle w:val="BodyText"/>
        <w:spacing w:line="271" w:lineRule="auto"/>
        <w:ind w:left="2608" w:right="80"/>
        <w:jc w:val="both"/>
      </w:pPr>
      <w:r>
        <w:rPr>
          <w:color w:val="4D4D4F"/>
          <w:w w:val="105"/>
        </w:rPr>
        <w:t>also</w:t>
      </w:r>
      <w:r>
        <w:rPr>
          <w:color w:val="4D4D4F"/>
          <w:spacing w:val="-19"/>
          <w:w w:val="105"/>
        </w:rPr>
        <w:t xml:space="preserve"> </w:t>
      </w:r>
      <w:r>
        <w:rPr>
          <w:color w:val="4D4D4F"/>
          <w:w w:val="105"/>
        </w:rPr>
        <w:t>committed</w:t>
      </w:r>
      <w:r>
        <w:rPr>
          <w:color w:val="4D4D4F"/>
          <w:spacing w:val="-18"/>
          <w:w w:val="105"/>
        </w:rPr>
        <w:t xml:space="preserve"> </w:t>
      </w:r>
      <w:r>
        <w:rPr>
          <w:color w:val="4D4D4F"/>
          <w:w w:val="105"/>
        </w:rPr>
        <w:t>to</w:t>
      </w:r>
      <w:r>
        <w:rPr>
          <w:color w:val="4D4D4F"/>
          <w:spacing w:val="-19"/>
          <w:w w:val="105"/>
        </w:rPr>
        <w:t xml:space="preserve"> </w:t>
      </w:r>
      <w:r>
        <w:rPr>
          <w:color w:val="4D4D4F"/>
          <w:w w:val="105"/>
        </w:rPr>
        <w:t>establishing</w:t>
      </w:r>
      <w:r>
        <w:rPr>
          <w:color w:val="4D4D4F"/>
          <w:spacing w:val="-18"/>
          <w:w w:val="105"/>
        </w:rPr>
        <w:t xml:space="preserve"> </w:t>
      </w:r>
      <w:r>
        <w:rPr>
          <w:color w:val="4D4D4F"/>
          <w:w w:val="105"/>
        </w:rPr>
        <w:t>a</w:t>
      </w:r>
      <w:r>
        <w:rPr>
          <w:color w:val="4D4D4F"/>
          <w:spacing w:val="-18"/>
          <w:w w:val="105"/>
        </w:rPr>
        <w:t xml:space="preserve"> </w:t>
      </w:r>
      <w:r>
        <w:rPr>
          <w:color w:val="4D4D4F"/>
          <w:w w:val="105"/>
        </w:rPr>
        <w:t>Grassy Eucalypt</w:t>
      </w:r>
      <w:r>
        <w:rPr>
          <w:color w:val="4D4D4F"/>
          <w:spacing w:val="-19"/>
          <w:w w:val="105"/>
        </w:rPr>
        <w:t xml:space="preserve"> </w:t>
      </w:r>
      <w:r>
        <w:rPr>
          <w:color w:val="4D4D4F"/>
          <w:w w:val="105"/>
        </w:rPr>
        <w:t>Woodland</w:t>
      </w:r>
      <w:r>
        <w:rPr>
          <w:color w:val="4D4D4F"/>
          <w:spacing w:val="-19"/>
          <w:w w:val="105"/>
        </w:rPr>
        <w:t xml:space="preserve"> </w:t>
      </w:r>
      <w:r>
        <w:rPr>
          <w:color w:val="4D4D4F"/>
          <w:w w:val="105"/>
        </w:rPr>
        <w:t>reserve</w:t>
      </w:r>
      <w:r>
        <w:rPr>
          <w:color w:val="4D4D4F"/>
          <w:spacing w:val="-19"/>
          <w:w w:val="105"/>
        </w:rPr>
        <w:t xml:space="preserve"> </w:t>
      </w:r>
      <w:r>
        <w:rPr>
          <w:color w:val="4D4D4F"/>
          <w:w w:val="105"/>
        </w:rPr>
        <w:t>as</w:t>
      </w:r>
      <w:r>
        <w:rPr>
          <w:color w:val="4D4D4F"/>
          <w:spacing w:val="-18"/>
          <w:w w:val="105"/>
        </w:rPr>
        <w:t xml:space="preserve"> </w:t>
      </w:r>
      <w:r>
        <w:rPr>
          <w:color w:val="4D4D4F"/>
          <w:w w:val="105"/>
        </w:rPr>
        <w:t>an</w:t>
      </w:r>
      <w:r>
        <w:rPr>
          <w:color w:val="4D4D4F"/>
          <w:spacing w:val="-19"/>
          <w:w w:val="105"/>
        </w:rPr>
        <w:t xml:space="preserve"> </w:t>
      </w:r>
      <w:r>
        <w:rPr>
          <w:color w:val="4D4D4F"/>
          <w:w w:val="105"/>
        </w:rPr>
        <w:t xml:space="preserve">offset by </w:t>
      </w:r>
      <w:r>
        <w:rPr>
          <w:color w:val="4D4D4F"/>
          <w:spacing w:val="-3"/>
          <w:w w:val="105"/>
        </w:rPr>
        <w:t>2020.</w:t>
      </w:r>
      <w:r>
        <w:rPr>
          <w:color w:val="4D4D4F"/>
          <w:spacing w:val="-3"/>
          <w:w w:val="105"/>
          <w:position w:val="7"/>
          <w:sz w:val="11"/>
        </w:rPr>
        <w:t xml:space="preserve">11 </w:t>
      </w:r>
      <w:r>
        <w:rPr>
          <w:color w:val="4D4D4F"/>
          <w:w w:val="105"/>
        </w:rPr>
        <w:t>These two reserves</w:t>
      </w:r>
      <w:r>
        <w:rPr>
          <w:color w:val="4D4D4F"/>
          <w:spacing w:val="-14"/>
          <w:w w:val="105"/>
        </w:rPr>
        <w:t xml:space="preserve"> </w:t>
      </w:r>
      <w:r>
        <w:rPr>
          <w:color w:val="4D4D4F"/>
          <w:w w:val="105"/>
        </w:rPr>
        <w:t>are</w:t>
      </w:r>
    </w:p>
    <w:p w14:paraId="064E20C0" w14:textId="77777777" w:rsidR="00EF5B27" w:rsidRDefault="00000000">
      <w:pPr>
        <w:pStyle w:val="BodyText"/>
        <w:spacing w:before="100" w:line="256" w:lineRule="auto"/>
        <w:ind w:left="321" w:right="857"/>
      </w:pPr>
      <w:r>
        <w:br w:type="column"/>
      </w:r>
      <w:r>
        <w:rPr>
          <w:color w:val="4D4D4F"/>
        </w:rPr>
        <w:t>considered two of Victoria’s most important and biodiverse ecological communities.</w:t>
      </w:r>
    </w:p>
    <w:p w14:paraId="7E4B1C85" w14:textId="77777777" w:rsidR="00EF5B27" w:rsidRDefault="00000000">
      <w:pPr>
        <w:pStyle w:val="BodyText"/>
        <w:spacing w:before="112"/>
        <w:ind w:left="321"/>
      </w:pPr>
      <w:r>
        <w:rPr>
          <w:color w:val="4D4D4F"/>
          <w:w w:val="105"/>
        </w:rPr>
        <w:t>Natural Temperate Grassland used</w:t>
      </w:r>
    </w:p>
    <w:p w14:paraId="2292120E" w14:textId="77777777" w:rsidR="00EF5B27" w:rsidRDefault="00000000">
      <w:pPr>
        <w:pStyle w:val="BodyText"/>
        <w:spacing w:before="16" w:line="256" w:lineRule="auto"/>
        <w:ind w:left="321" w:right="175"/>
      </w:pPr>
      <w:r>
        <w:rPr>
          <w:color w:val="4D4D4F"/>
        </w:rPr>
        <w:t>to be widespread across the Victorian Volcanic Plain in Victoria’s south-west. While these grasslands once covered over a third of the state, they are now small and fragmented.</w:t>
      </w:r>
    </w:p>
    <w:p w14:paraId="58CB60C0" w14:textId="77777777" w:rsidR="00EF5B27" w:rsidRDefault="00000000">
      <w:pPr>
        <w:pStyle w:val="BodyText"/>
        <w:spacing w:before="111" w:line="256" w:lineRule="auto"/>
        <w:ind w:left="321" w:right="757"/>
      </w:pPr>
      <w:r>
        <w:rPr>
          <w:color w:val="4D4D4F"/>
          <w:w w:val="105"/>
        </w:rPr>
        <w:t>In June 2008 and June 2009, the Australian Government listed Natural Temperate Grassland and Grassy Eucalypt Woodland</w:t>
      </w:r>
    </w:p>
    <w:p w14:paraId="0D4B9266" w14:textId="77777777" w:rsidR="00EF5B27" w:rsidRDefault="00000000">
      <w:pPr>
        <w:pStyle w:val="BodyText"/>
        <w:spacing w:line="256" w:lineRule="auto"/>
        <w:ind w:left="321" w:right="438"/>
      </w:pPr>
      <w:r>
        <w:rPr>
          <w:color w:val="4D4D4F"/>
        </w:rPr>
        <w:t>respectively as critically endangered under the Environment Protection and Biodiversity Conservation Act 1999 (EPBC Act).</w:t>
      </w:r>
    </w:p>
    <w:p w14:paraId="273C1511" w14:textId="77777777" w:rsidR="00EF5B27" w:rsidRDefault="00EF5B27">
      <w:pPr>
        <w:spacing w:line="256" w:lineRule="auto"/>
        <w:sectPr w:rsidR="00EF5B27">
          <w:type w:val="continuous"/>
          <w:pgSz w:w="11910" w:h="16840"/>
          <w:pgMar w:top="1140" w:right="1020" w:bottom="280" w:left="1020" w:header="720" w:footer="720" w:gutter="0"/>
          <w:cols w:num="2" w:space="720" w:equalWidth="0">
            <w:col w:w="5989" w:space="40"/>
            <w:col w:w="3841"/>
          </w:cols>
        </w:sectPr>
      </w:pPr>
    </w:p>
    <w:p w14:paraId="470107FD" w14:textId="77777777" w:rsidR="00EF5B27" w:rsidRDefault="00EF5B27">
      <w:pPr>
        <w:pStyle w:val="BodyText"/>
      </w:pPr>
    </w:p>
    <w:p w14:paraId="0D9C5472" w14:textId="77777777" w:rsidR="00EF5B27" w:rsidRDefault="00EF5B27">
      <w:pPr>
        <w:pStyle w:val="BodyText"/>
        <w:spacing w:before="8"/>
      </w:pPr>
    </w:p>
    <w:p w14:paraId="41606398" w14:textId="77777777" w:rsidR="00EF5B27" w:rsidRDefault="00000000">
      <w:pPr>
        <w:pStyle w:val="BodyText"/>
        <w:ind w:left="2608"/>
      </w:pPr>
      <w:r>
        <w:pict w14:anchorId="5439DD44">
          <v:shapetype id="_x0000_t202" coordsize="21600,21600" o:spt="202" path="m,l,21600r21600,l21600,xe">
            <v:stroke joinstyle="miter"/>
            <v:path gradientshapeok="t" o:connecttype="rect"/>
          </v:shapetype>
          <v:shape id="_x0000_s4615" type="#_x0000_t202" style="width:356.95pt;height:100pt;mso-left-percent:-10001;mso-top-percent:-10001;mso-position-horizontal:absolute;mso-position-horizontal-relative:char;mso-position-vertical:absolute;mso-position-vertical-relative:line;mso-left-percent:-10001;mso-top-percent:-10001" fillcolor="#ffe3c3" stroked="f">
            <v:textbox inset="0,0,0,0">
              <w:txbxContent>
                <w:p w14:paraId="730FFA85" w14:textId="77777777" w:rsidR="00EF5B27" w:rsidRDefault="00000000">
                  <w:pPr>
                    <w:pStyle w:val="BodyText"/>
                    <w:spacing w:before="192"/>
                    <w:ind w:left="226"/>
                  </w:pPr>
                  <w:r>
                    <w:rPr>
                      <w:color w:val="4D4D4F"/>
                    </w:rPr>
                    <w:t>Major offsets under the MSA program include the establishment</w:t>
                  </w:r>
                  <w:r>
                    <w:rPr>
                      <w:color w:val="4D4D4F"/>
                      <w:spacing w:val="2"/>
                    </w:rPr>
                    <w:t xml:space="preserve"> </w:t>
                  </w:r>
                  <w:r>
                    <w:rPr>
                      <w:color w:val="4D4D4F"/>
                    </w:rPr>
                    <w:t>of:</w:t>
                  </w:r>
                </w:p>
                <w:p w14:paraId="470ABFEB" w14:textId="77777777" w:rsidR="00EF5B27" w:rsidRDefault="00000000">
                  <w:pPr>
                    <w:pStyle w:val="BodyText"/>
                    <w:numPr>
                      <w:ilvl w:val="0"/>
                      <w:numId w:val="64"/>
                    </w:numPr>
                    <w:tabs>
                      <w:tab w:val="left" w:pos="397"/>
                    </w:tabs>
                    <w:spacing w:before="129"/>
                  </w:pPr>
                  <w:r>
                    <w:rPr>
                      <w:color w:val="4D4D4F"/>
                    </w:rPr>
                    <w:t>a</w:t>
                  </w:r>
                  <w:r>
                    <w:rPr>
                      <w:color w:val="4D4D4F"/>
                      <w:spacing w:val="13"/>
                    </w:rPr>
                    <w:t xml:space="preserve"> </w:t>
                  </w:r>
                  <w:r>
                    <w:rPr>
                      <w:color w:val="4D4D4F"/>
                    </w:rPr>
                    <w:t>15,000-hectare</w:t>
                  </w:r>
                  <w:r>
                    <w:rPr>
                      <w:color w:val="4D4D4F"/>
                      <w:spacing w:val="14"/>
                    </w:rPr>
                    <w:t xml:space="preserve"> </w:t>
                  </w:r>
                  <w:r>
                    <w:rPr>
                      <w:color w:val="4D4D4F"/>
                    </w:rPr>
                    <w:t>Western</w:t>
                  </w:r>
                  <w:r>
                    <w:rPr>
                      <w:color w:val="4D4D4F"/>
                      <w:spacing w:val="14"/>
                    </w:rPr>
                    <w:t xml:space="preserve"> </w:t>
                  </w:r>
                  <w:r>
                    <w:rPr>
                      <w:color w:val="4D4D4F"/>
                    </w:rPr>
                    <w:t>Grassland</w:t>
                  </w:r>
                  <w:r>
                    <w:rPr>
                      <w:color w:val="4D4D4F"/>
                      <w:spacing w:val="14"/>
                    </w:rPr>
                    <w:t xml:space="preserve"> </w:t>
                  </w:r>
                  <w:r>
                    <w:rPr>
                      <w:color w:val="4D4D4F"/>
                    </w:rPr>
                    <w:t>Reserve</w:t>
                  </w:r>
                  <w:r>
                    <w:rPr>
                      <w:color w:val="4D4D4F"/>
                      <w:spacing w:val="14"/>
                    </w:rPr>
                    <w:t xml:space="preserve"> </w:t>
                  </w:r>
                  <w:r>
                    <w:rPr>
                      <w:color w:val="4D4D4F"/>
                    </w:rPr>
                    <w:t>near</w:t>
                  </w:r>
                  <w:r>
                    <w:rPr>
                      <w:color w:val="4D4D4F"/>
                      <w:spacing w:val="14"/>
                    </w:rPr>
                    <w:t xml:space="preserve"> </w:t>
                  </w:r>
                  <w:r>
                    <w:rPr>
                      <w:color w:val="4D4D4F"/>
                    </w:rPr>
                    <w:t>Werribee</w:t>
                  </w:r>
                </w:p>
                <w:p w14:paraId="0271811A" w14:textId="77777777" w:rsidR="00EF5B27" w:rsidRDefault="00000000">
                  <w:pPr>
                    <w:pStyle w:val="BodyText"/>
                    <w:numPr>
                      <w:ilvl w:val="0"/>
                      <w:numId w:val="64"/>
                    </w:numPr>
                    <w:tabs>
                      <w:tab w:val="left" w:pos="397"/>
                    </w:tabs>
                    <w:spacing w:before="129"/>
                  </w:pPr>
                  <w:r>
                    <w:rPr>
                      <w:color w:val="4D4D4F"/>
                    </w:rPr>
                    <w:t>a 1,200-hectare Grassy Eucalypt Woodland protected area near</w:t>
                  </w:r>
                  <w:r>
                    <w:rPr>
                      <w:color w:val="4D4D4F"/>
                      <w:spacing w:val="37"/>
                    </w:rPr>
                    <w:t xml:space="preserve"> </w:t>
                  </w:r>
                  <w:r>
                    <w:rPr>
                      <w:color w:val="4D4D4F"/>
                    </w:rPr>
                    <w:t>Whittlesea</w:t>
                  </w:r>
                </w:p>
                <w:p w14:paraId="5772770B" w14:textId="77777777" w:rsidR="00EF5B27" w:rsidRDefault="00000000">
                  <w:pPr>
                    <w:pStyle w:val="BodyText"/>
                    <w:numPr>
                      <w:ilvl w:val="0"/>
                      <w:numId w:val="64"/>
                    </w:numPr>
                    <w:tabs>
                      <w:tab w:val="left" w:pos="397"/>
                    </w:tabs>
                    <w:spacing w:before="130" w:line="254" w:lineRule="auto"/>
                    <w:ind w:right="321"/>
                  </w:pPr>
                  <w:r>
                    <w:rPr>
                      <w:color w:val="4D4D4F"/>
                    </w:rPr>
                    <w:t>4,000 ha of reserve, across 36 Conservation Areas, within new suburbs inside the urban growth boundary</w:t>
                  </w:r>
                  <w:r>
                    <w:rPr>
                      <w:color w:val="4D4D4F"/>
                      <w:spacing w:val="17"/>
                    </w:rPr>
                    <w:t xml:space="preserve"> </w:t>
                  </w:r>
                  <w:r>
                    <w:rPr>
                      <w:color w:val="4D4D4F"/>
                      <w:spacing w:val="-4"/>
                    </w:rPr>
                    <w:t>(UGB).</w:t>
                  </w:r>
                </w:p>
              </w:txbxContent>
            </v:textbox>
            <w10:anchorlock/>
          </v:shape>
        </w:pict>
      </w:r>
    </w:p>
    <w:p w14:paraId="29D99151" w14:textId="77777777" w:rsidR="00EF5B27" w:rsidRDefault="00EF5B27">
      <w:pPr>
        <w:pStyle w:val="BodyText"/>
      </w:pPr>
    </w:p>
    <w:p w14:paraId="1AA894C3" w14:textId="77777777" w:rsidR="00EF5B27" w:rsidRDefault="00EF5B27">
      <w:pPr>
        <w:sectPr w:rsidR="00EF5B27">
          <w:type w:val="continuous"/>
          <w:pgSz w:w="11910" w:h="16840"/>
          <w:pgMar w:top="1140" w:right="1020" w:bottom="280" w:left="1020" w:header="720" w:footer="720" w:gutter="0"/>
          <w:cols w:space="720"/>
        </w:sectPr>
      </w:pPr>
    </w:p>
    <w:p w14:paraId="505FC97E" w14:textId="77777777" w:rsidR="00EF5B27" w:rsidRDefault="00EF5B27">
      <w:pPr>
        <w:pStyle w:val="BodyText"/>
        <w:spacing w:before="6"/>
        <w:rPr>
          <w:sz w:val="18"/>
        </w:rPr>
      </w:pPr>
    </w:p>
    <w:p w14:paraId="05C1B9A6" w14:textId="77777777" w:rsidR="00EF5B27" w:rsidRDefault="00000000">
      <w:pPr>
        <w:pStyle w:val="BodyText"/>
        <w:spacing w:line="254" w:lineRule="auto"/>
        <w:ind w:left="2603"/>
      </w:pPr>
      <w:r>
        <w:rPr>
          <w:color w:val="4D4D4F"/>
        </w:rPr>
        <w:t>The MSA program aims to streamline the biodiversity assessment and approvals process for developers by removing</w:t>
      </w:r>
    </w:p>
    <w:p w14:paraId="73FBC4BB" w14:textId="77777777" w:rsidR="00EF5B27" w:rsidRDefault="00000000">
      <w:pPr>
        <w:pStyle w:val="BodyText"/>
        <w:spacing w:before="4" w:line="254" w:lineRule="auto"/>
        <w:ind w:left="2603" w:right="55"/>
      </w:pPr>
      <w:r>
        <w:rPr>
          <w:color w:val="4D4D4F"/>
        </w:rPr>
        <w:t>the need for Federal and State planning approvals. Developers are required to pay a one-off Environmental Mitigation Levy to offset biodiversity impacts.</w:t>
      </w:r>
    </w:p>
    <w:p w14:paraId="1CB73950" w14:textId="77777777" w:rsidR="00EF5B27" w:rsidRDefault="00000000">
      <w:pPr>
        <w:pStyle w:val="BodyText"/>
        <w:spacing w:before="5" w:line="254" w:lineRule="auto"/>
        <w:ind w:left="2603"/>
      </w:pPr>
      <w:r>
        <w:rPr>
          <w:color w:val="4D4D4F"/>
        </w:rPr>
        <w:t>Funds go towards conservation programs and reserves, the ongoing protection</w:t>
      </w:r>
    </w:p>
    <w:p w14:paraId="3C1E83CF" w14:textId="77777777" w:rsidR="00EF5B27" w:rsidRDefault="00000000">
      <w:pPr>
        <w:pStyle w:val="BodyText"/>
        <w:spacing w:before="2" w:line="254" w:lineRule="auto"/>
        <w:ind w:left="2603"/>
      </w:pPr>
      <w:r>
        <w:rPr>
          <w:color w:val="4D4D4F"/>
          <w:spacing w:val="-3"/>
        </w:rPr>
        <w:t xml:space="preserve">and </w:t>
      </w:r>
      <w:r>
        <w:rPr>
          <w:color w:val="4D4D4F"/>
          <w:spacing w:val="-5"/>
        </w:rPr>
        <w:t xml:space="preserve">management </w:t>
      </w:r>
      <w:r>
        <w:rPr>
          <w:color w:val="4D4D4F"/>
          <w:spacing w:val="-3"/>
        </w:rPr>
        <w:t xml:space="preserve">of </w:t>
      </w:r>
      <w:r>
        <w:rPr>
          <w:color w:val="4D4D4F"/>
          <w:spacing w:val="-4"/>
        </w:rPr>
        <w:t xml:space="preserve">MNES, </w:t>
      </w:r>
      <w:r>
        <w:rPr>
          <w:color w:val="4D4D4F"/>
          <w:spacing w:val="-3"/>
        </w:rPr>
        <w:t xml:space="preserve">as </w:t>
      </w:r>
      <w:r>
        <w:rPr>
          <w:color w:val="4D4D4F"/>
          <w:spacing w:val="-4"/>
        </w:rPr>
        <w:t xml:space="preserve">well </w:t>
      </w:r>
      <w:r>
        <w:rPr>
          <w:color w:val="4D4D4F"/>
          <w:spacing w:val="-5"/>
        </w:rPr>
        <w:t xml:space="preserve">as environmental monitoring </w:t>
      </w:r>
      <w:r>
        <w:rPr>
          <w:color w:val="4D4D4F"/>
          <w:spacing w:val="-3"/>
        </w:rPr>
        <w:t>and reporting.</w:t>
      </w:r>
    </w:p>
    <w:p w14:paraId="79B37C8E" w14:textId="77777777" w:rsidR="00EF5B27" w:rsidRDefault="00000000">
      <w:pPr>
        <w:pStyle w:val="BodyText"/>
        <w:spacing w:before="116" w:line="254" w:lineRule="auto"/>
        <w:ind w:left="2603" w:right="285"/>
      </w:pPr>
      <w:r>
        <w:rPr>
          <w:color w:val="4D4D4F"/>
        </w:rPr>
        <w:t>Provisions under the MSA Act 2020 delegate responsibility for reporting on DELWP’s implementation of the</w:t>
      </w:r>
    </w:p>
    <w:p w14:paraId="75BE440D" w14:textId="77777777" w:rsidR="00EF5B27" w:rsidRDefault="00000000">
      <w:pPr>
        <w:pStyle w:val="BodyText"/>
        <w:spacing w:before="6"/>
        <w:rPr>
          <w:sz w:val="18"/>
        </w:rPr>
      </w:pPr>
      <w:r>
        <w:br w:type="column"/>
      </w:r>
    </w:p>
    <w:p w14:paraId="1F45994A" w14:textId="77777777" w:rsidR="00EF5B27" w:rsidRDefault="00000000">
      <w:pPr>
        <w:pStyle w:val="BodyText"/>
        <w:spacing w:line="254" w:lineRule="auto"/>
        <w:ind w:left="299" w:right="453"/>
      </w:pPr>
      <w:r>
        <w:rPr>
          <w:color w:val="4D4D4F"/>
          <w:spacing w:val="-4"/>
        </w:rPr>
        <w:t xml:space="preserve">MSA </w:t>
      </w:r>
      <w:r>
        <w:rPr>
          <w:color w:val="4D4D4F"/>
          <w:spacing w:val="-6"/>
        </w:rPr>
        <w:t xml:space="preserve">conservation outcomes </w:t>
      </w:r>
      <w:r>
        <w:rPr>
          <w:color w:val="4D4D4F"/>
          <w:spacing w:val="-4"/>
        </w:rPr>
        <w:t xml:space="preserve">to </w:t>
      </w:r>
      <w:r>
        <w:rPr>
          <w:color w:val="4D4D4F"/>
          <w:spacing w:val="-5"/>
        </w:rPr>
        <w:t xml:space="preserve">the </w:t>
      </w:r>
      <w:r>
        <w:rPr>
          <w:color w:val="4D4D4F"/>
          <w:spacing w:val="-7"/>
        </w:rPr>
        <w:t xml:space="preserve">Commissioner </w:t>
      </w:r>
      <w:r>
        <w:rPr>
          <w:color w:val="4D4D4F"/>
          <w:spacing w:val="-5"/>
        </w:rPr>
        <w:t xml:space="preserve">for </w:t>
      </w:r>
      <w:r>
        <w:rPr>
          <w:color w:val="4D4D4F"/>
          <w:spacing w:val="-7"/>
        </w:rPr>
        <w:t xml:space="preserve">Environmental </w:t>
      </w:r>
      <w:r>
        <w:rPr>
          <w:color w:val="4D4D4F"/>
          <w:spacing w:val="-5"/>
        </w:rPr>
        <w:t xml:space="preserve">Sustainability </w:t>
      </w:r>
      <w:r>
        <w:rPr>
          <w:color w:val="4D4D4F"/>
          <w:spacing w:val="-6"/>
        </w:rPr>
        <w:t xml:space="preserve">(the </w:t>
      </w:r>
      <w:r>
        <w:rPr>
          <w:color w:val="4D4D4F"/>
          <w:spacing w:val="-5"/>
        </w:rPr>
        <w:t xml:space="preserve">Commissioner). </w:t>
      </w:r>
      <w:r>
        <w:rPr>
          <w:color w:val="4D4D4F"/>
          <w:spacing w:val="-3"/>
        </w:rPr>
        <w:t xml:space="preserve">These </w:t>
      </w:r>
      <w:r>
        <w:rPr>
          <w:color w:val="4D4D4F"/>
          <w:spacing w:val="-5"/>
        </w:rPr>
        <w:t xml:space="preserve">delegations </w:t>
      </w:r>
      <w:r>
        <w:rPr>
          <w:color w:val="4D4D4F"/>
        </w:rPr>
        <w:t xml:space="preserve">are </w:t>
      </w:r>
      <w:r>
        <w:rPr>
          <w:color w:val="4D4D4F"/>
          <w:spacing w:val="-3"/>
        </w:rPr>
        <w:t xml:space="preserve">reproduced </w:t>
      </w:r>
      <w:r>
        <w:rPr>
          <w:color w:val="4D4D4F"/>
          <w:spacing w:val="-4"/>
        </w:rPr>
        <w:t xml:space="preserve">in </w:t>
      </w:r>
      <w:r>
        <w:rPr>
          <w:color w:val="4D4D4F"/>
          <w:spacing w:val="-3"/>
        </w:rPr>
        <w:t xml:space="preserve">the </w:t>
      </w:r>
      <w:r>
        <w:rPr>
          <w:color w:val="4D4D4F"/>
          <w:spacing w:val="-5"/>
        </w:rPr>
        <w:t xml:space="preserve">Commissioner </w:t>
      </w:r>
      <w:r>
        <w:rPr>
          <w:color w:val="4D4D4F"/>
        </w:rPr>
        <w:t xml:space="preserve">for Environmental Sustainability Act </w:t>
      </w:r>
      <w:r>
        <w:rPr>
          <w:color w:val="4D4D4F"/>
          <w:spacing w:val="2"/>
        </w:rPr>
        <w:t xml:space="preserve">2003 </w:t>
      </w:r>
      <w:r>
        <w:rPr>
          <w:color w:val="4D4D4F"/>
        </w:rPr>
        <w:t>(CES Act). The</w:t>
      </w:r>
    </w:p>
    <w:p w14:paraId="4C167B62" w14:textId="77777777" w:rsidR="00EF5B27" w:rsidRDefault="00000000">
      <w:pPr>
        <w:pStyle w:val="BodyText"/>
        <w:spacing w:before="8" w:line="254" w:lineRule="auto"/>
        <w:ind w:left="299" w:right="192"/>
      </w:pPr>
      <w:r>
        <w:rPr>
          <w:color w:val="4D4D4F"/>
        </w:rPr>
        <w:t>Commissioner is tasked with conducting strategic audits of, and preparing a report on, the progress of the MSA program’s conservation outcomes in relation to MNES every two years.</w:t>
      </w:r>
    </w:p>
    <w:p w14:paraId="15882DBB" w14:textId="77777777" w:rsidR="00EF5B27" w:rsidRDefault="00000000">
      <w:pPr>
        <w:pStyle w:val="BodyText"/>
        <w:spacing w:before="119" w:line="254" w:lineRule="auto"/>
        <w:ind w:left="299" w:right="192"/>
      </w:pPr>
      <w:r>
        <w:rPr>
          <w:color w:val="4D4D4F"/>
        </w:rPr>
        <w:t>Further information on this report’s historical and legislative context is provided in Appendix One.</w:t>
      </w:r>
    </w:p>
    <w:p w14:paraId="244F0B38"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6006" w:space="40"/>
            <w:col w:w="3824"/>
          </w:cols>
        </w:sectPr>
      </w:pPr>
    </w:p>
    <w:p w14:paraId="076E243C" w14:textId="77777777" w:rsidR="00EF5B27" w:rsidRDefault="00000000">
      <w:pPr>
        <w:pStyle w:val="BodyText"/>
      </w:pPr>
      <w:r>
        <w:pict w14:anchorId="4AEA5291">
          <v:group id="_x0000_s4607" style="position:absolute;margin-left:587.05pt;margin-top:183.4pt;width:8.25pt;height:153.1pt;z-index:251321856;mso-position-horizontal-relative:page;mso-position-vertical-relative:page" coordorigin="11741,3668" coordsize="165,3062">
            <v:shape id="_x0000_s4614" style="position:absolute;left:11741;top:3668;width:165;height:561" coordorigin="11741,3668" coordsize="165,561" path="m11906,3668r-165,l11741,4228r165,-18l11906,3668xe" fillcolor="#00aed9" stroked="f">
              <v:path arrowok="t"/>
            </v:shape>
            <v:shape id="_x0000_s4613" style="position:absolute;left:11741;top:4118;width:165;height:425" coordorigin="11741,4118" coordsize="165,425" path="m11906,4118r-165,14l11741,4531r165,12l11906,4118xe" fillcolor="#047ebc" stroked="f">
              <v:path arrowok="t"/>
            </v:shape>
            <v:shape id="_x0000_s4612" type="#_x0000_t75" style="position:absolute;left:11741;top:4355;width:165;height:587">
              <v:imagedata r:id="rId42" o:title=""/>
            </v:shape>
            <v:shape id="_x0000_s4611" style="position:absolute;left:11741;top:5343;width:165;height:536" coordorigin="11741,5343" coordsize="165,536" path="m11741,5343r,535l11906,5872r,-525l11741,5343xe" fillcolor="#f36a2e" stroked="f">
              <v:path arrowok="t"/>
            </v:shape>
            <v:shape id="_x0000_s4610" style="position:absolute;left:11741;top:4925;width:165;height:501" coordorigin="11741,4926" coordsize="165,501" path="m11741,4926r,500l11906,5426r,-485l11741,4926xe" fillcolor="#49783f" stroked="f">
              <v:path arrowok="t"/>
            </v:shape>
            <v:shape id="_x0000_s4609" style="position:absolute;left:11741;top:5781;width:165;height:268" coordorigin="11741,5782" coordsize="165,268" path="m11906,5782r-165,8l11741,6039r165,10l11906,5782xe" fillcolor="#f99f2a" stroked="f">
              <v:path arrowok="t"/>
            </v:shape>
            <v:shape id="_x0000_s4608" style="position:absolute;left:11741;top:6023;width:165;height:707" coordorigin="11741,6023" coordsize="165,707" path="m11741,6023r,706l11906,6729r,-690l11741,6023xe" fillcolor="#ef412c" stroked="f">
              <v:path arrowok="t"/>
            </v:shape>
            <w10:wrap anchorx="page" anchory="page"/>
          </v:group>
        </w:pict>
      </w:r>
    </w:p>
    <w:p w14:paraId="2770D0D0" w14:textId="77777777" w:rsidR="00EF5B27" w:rsidRDefault="00EF5B27">
      <w:pPr>
        <w:pStyle w:val="BodyText"/>
      </w:pPr>
    </w:p>
    <w:p w14:paraId="2E078C30" w14:textId="77777777" w:rsidR="00EF5B27" w:rsidRDefault="00EF5B27">
      <w:pPr>
        <w:pStyle w:val="BodyText"/>
      </w:pPr>
    </w:p>
    <w:p w14:paraId="7299D1FE" w14:textId="77777777" w:rsidR="00EF5B27" w:rsidRDefault="00EF5B27">
      <w:pPr>
        <w:pStyle w:val="BodyText"/>
      </w:pPr>
    </w:p>
    <w:p w14:paraId="121A0532" w14:textId="77777777" w:rsidR="00EF5B27" w:rsidRDefault="00EF5B27">
      <w:pPr>
        <w:pStyle w:val="BodyText"/>
      </w:pPr>
    </w:p>
    <w:p w14:paraId="0B4615D3" w14:textId="77777777" w:rsidR="00EF5B27" w:rsidRDefault="00EF5B27">
      <w:pPr>
        <w:pStyle w:val="BodyText"/>
        <w:spacing w:after="1"/>
      </w:pPr>
    </w:p>
    <w:p w14:paraId="1ABFFE25" w14:textId="77777777" w:rsidR="00EF5B27" w:rsidRDefault="00000000">
      <w:pPr>
        <w:pStyle w:val="BodyText"/>
        <w:spacing w:line="20" w:lineRule="exact"/>
        <w:ind w:left="2603"/>
        <w:rPr>
          <w:sz w:val="2"/>
        </w:rPr>
      </w:pPr>
      <w:r>
        <w:rPr>
          <w:sz w:val="2"/>
        </w:rPr>
      </w:r>
      <w:r>
        <w:rPr>
          <w:sz w:val="2"/>
        </w:rPr>
        <w:pict w14:anchorId="199F636F">
          <v:group id="_x0000_s4605" style="width:357.2pt;height:.5pt;mso-position-horizontal-relative:char;mso-position-vertical-relative:line" coordsize="7144,10">
            <v:line id="_x0000_s4606" style="position:absolute" from="0,5" to="7143,5" strokecolor="#4d4d4f" strokeweight=".5pt"/>
            <w10:anchorlock/>
          </v:group>
        </w:pict>
      </w:r>
    </w:p>
    <w:p w14:paraId="528597A6" w14:textId="77777777" w:rsidR="00EF5B27" w:rsidRDefault="00000000">
      <w:pPr>
        <w:pStyle w:val="ListParagraph"/>
        <w:numPr>
          <w:ilvl w:val="0"/>
          <w:numId w:val="65"/>
        </w:numPr>
        <w:tabs>
          <w:tab w:val="left" w:pos="2836"/>
        </w:tabs>
        <w:spacing w:before="102"/>
        <w:jc w:val="left"/>
        <w:rPr>
          <w:sz w:val="12"/>
        </w:rPr>
      </w:pPr>
      <w:r>
        <w:rPr>
          <w:color w:val="4D4D4F"/>
          <w:sz w:val="12"/>
        </w:rPr>
        <w:t>DEPI</w:t>
      </w:r>
      <w:r>
        <w:rPr>
          <w:color w:val="4D4D4F"/>
          <w:spacing w:val="4"/>
          <w:sz w:val="12"/>
        </w:rPr>
        <w:t xml:space="preserve"> </w:t>
      </w:r>
      <w:r>
        <w:rPr>
          <w:color w:val="4D4D4F"/>
          <w:sz w:val="12"/>
        </w:rPr>
        <w:t>2009,</w:t>
      </w:r>
      <w:r>
        <w:rPr>
          <w:color w:val="4D4D4F"/>
          <w:spacing w:val="5"/>
          <w:sz w:val="12"/>
        </w:rPr>
        <w:t xml:space="preserve"> </w:t>
      </w:r>
      <w:r>
        <w:rPr>
          <w:color w:val="4D4D4F"/>
          <w:sz w:val="12"/>
        </w:rPr>
        <w:t>‘Delivering</w:t>
      </w:r>
      <w:r>
        <w:rPr>
          <w:color w:val="4D4D4F"/>
          <w:spacing w:val="5"/>
          <w:sz w:val="12"/>
        </w:rPr>
        <w:t xml:space="preserve"> </w:t>
      </w:r>
      <w:r>
        <w:rPr>
          <w:color w:val="4D4D4F"/>
          <w:sz w:val="12"/>
        </w:rPr>
        <w:t>Melbourne’s</w:t>
      </w:r>
      <w:r>
        <w:rPr>
          <w:color w:val="4D4D4F"/>
          <w:spacing w:val="5"/>
          <w:sz w:val="12"/>
        </w:rPr>
        <w:t xml:space="preserve"> </w:t>
      </w:r>
      <w:r>
        <w:rPr>
          <w:color w:val="4D4D4F"/>
          <w:sz w:val="12"/>
        </w:rPr>
        <w:t>Newest</w:t>
      </w:r>
      <w:r>
        <w:rPr>
          <w:color w:val="4D4D4F"/>
          <w:spacing w:val="5"/>
          <w:sz w:val="12"/>
        </w:rPr>
        <w:t xml:space="preserve"> </w:t>
      </w:r>
      <w:r>
        <w:rPr>
          <w:color w:val="4D4D4F"/>
          <w:sz w:val="12"/>
        </w:rPr>
        <w:t>Sustainable</w:t>
      </w:r>
      <w:r>
        <w:rPr>
          <w:color w:val="4D4D4F"/>
          <w:spacing w:val="5"/>
          <w:sz w:val="12"/>
        </w:rPr>
        <w:t xml:space="preserve"> </w:t>
      </w:r>
      <w:r>
        <w:rPr>
          <w:color w:val="4D4D4F"/>
          <w:sz w:val="12"/>
        </w:rPr>
        <w:t>Communities:</w:t>
      </w:r>
      <w:r>
        <w:rPr>
          <w:color w:val="4D4D4F"/>
          <w:spacing w:val="5"/>
          <w:sz w:val="12"/>
        </w:rPr>
        <w:t xml:space="preserve"> </w:t>
      </w:r>
      <w:r>
        <w:rPr>
          <w:color w:val="4D4D4F"/>
          <w:spacing w:val="2"/>
          <w:sz w:val="12"/>
        </w:rPr>
        <w:t>Program</w:t>
      </w:r>
      <w:r>
        <w:rPr>
          <w:color w:val="4D4D4F"/>
          <w:spacing w:val="4"/>
          <w:sz w:val="12"/>
        </w:rPr>
        <w:t xml:space="preserve"> </w:t>
      </w:r>
      <w:r>
        <w:rPr>
          <w:color w:val="4D4D4F"/>
          <w:sz w:val="12"/>
        </w:rPr>
        <w:t>Report’,</w:t>
      </w:r>
      <w:r>
        <w:rPr>
          <w:color w:val="4D4D4F"/>
          <w:spacing w:val="5"/>
          <w:sz w:val="12"/>
        </w:rPr>
        <w:t xml:space="preserve"> </w:t>
      </w:r>
      <w:r>
        <w:rPr>
          <w:color w:val="4D4D4F"/>
          <w:sz w:val="12"/>
        </w:rPr>
        <w:t>East</w:t>
      </w:r>
      <w:r>
        <w:rPr>
          <w:color w:val="4D4D4F"/>
          <w:spacing w:val="5"/>
          <w:sz w:val="12"/>
        </w:rPr>
        <w:t xml:space="preserve"> </w:t>
      </w:r>
      <w:r>
        <w:rPr>
          <w:color w:val="4D4D4F"/>
          <w:sz w:val="12"/>
        </w:rPr>
        <w:t>Melbourne,</w:t>
      </w:r>
      <w:r>
        <w:rPr>
          <w:color w:val="4D4D4F"/>
          <w:spacing w:val="5"/>
          <w:sz w:val="12"/>
        </w:rPr>
        <w:t xml:space="preserve"> </w:t>
      </w:r>
      <w:r>
        <w:rPr>
          <w:color w:val="4D4D4F"/>
          <w:sz w:val="12"/>
        </w:rPr>
        <w:t>Victoria.</w:t>
      </w:r>
    </w:p>
    <w:p w14:paraId="6A179CB6" w14:textId="77777777" w:rsidR="00EF5B27" w:rsidRDefault="00EF5B27">
      <w:pPr>
        <w:rPr>
          <w:sz w:val="12"/>
        </w:rPr>
        <w:sectPr w:rsidR="00EF5B27">
          <w:type w:val="continuous"/>
          <w:pgSz w:w="11910" w:h="16840"/>
          <w:pgMar w:top="1140" w:right="1020" w:bottom="280" w:left="1020" w:header="720" w:footer="720" w:gutter="0"/>
          <w:cols w:space="720"/>
        </w:sectPr>
      </w:pPr>
    </w:p>
    <w:p w14:paraId="26E3D10E" w14:textId="77777777" w:rsidR="00EF5B27" w:rsidRDefault="00EF5B27">
      <w:pPr>
        <w:pStyle w:val="BodyText"/>
      </w:pPr>
    </w:p>
    <w:p w14:paraId="0CD7BEE3" w14:textId="77777777" w:rsidR="00EF5B27" w:rsidRDefault="00EF5B27">
      <w:pPr>
        <w:pStyle w:val="BodyText"/>
      </w:pPr>
    </w:p>
    <w:p w14:paraId="4BC2B1CD" w14:textId="77777777" w:rsidR="00EF5B27" w:rsidRDefault="00EF5B27">
      <w:pPr>
        <w:pStyle w:val="BodyText"/>
      </w:pPr>
    </w:p>
    <w:p w14:paraId="072BED2D" w14:textId="77777777" w:rsidR="00EF5B27" w:rsidRDefault="00EF5B27">
      <w:pPr>
        <w:pStyle w:val="BodyText"/>
      </w:pPr>
    </w:p>
    <w:p w14:paraId="3B3699CF" w14:textId="77777777" w:rsidR="00EF5B27" w:rsidRDefault="00EF5B27">
      <w:pPr>
        <w:pStyle w:val="BodyText"/>
        <w:spacing w:before="5"/>
        <w:rPr>
          <w:sz w:val="16"/>
        </w:rPr>
      </w:pPr>
    </w:p>
    <w:p w14:paraId="38B77876" w14:textId="77777777" w:rsidR="00EF5B27" w:rsidRDefault="00000000">
      <w:pPr>
        <w:pStyle w:val="BodyText"/>
        <w:ind w:left="596"/>
      </w:pPr>
      <w:bookmarkStart w:id="6" w:name="_bookmark6"/>
      <w:bookmarkEnd w:id="6"/>
      <w:r>
        <w:rPr>
          <w:noProof/>
        </w:rPr>
        <w:drawing>
          <wp:inline distT="0" distB="0" distL="0" distR="0" wp14:anchorId="12B662AF" wp14:editId="79F48061">
            <wp:extent cx="1065275" cy="1065276"/>
            <wp:effectExtent l="0" t="0" r="0" b="0"/>
            <wp:docPr id="9"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3.jpeg"/>
                    <pic:cNvPicPr/>
                  </pic:nvPicPr>
                  <pic:blipFill>
                    <a:blip r:embed="rId46" cstate="print"/>
                    <a:stretch>
                      <a:fillRect/>
                    </a:stretch>
                  </pic:blipFill>
                  <pic:spPr>
                    <a:xfrm>
                      <a:off x="0" y="0"/>
                      <a:ext cx="1065275" cy="1065276"/>
                    </a:xfrm>
                    <a:prstGeom prst="rect">
                      <a:avLst/>
                    </a:prstGeom>
                  </pic:spPr>
                </pic:pic>
              </a:graphicData>
            </a:graphic>
          </wp:inline>
        </w:drawing>
      </w:r>
    </w:p>
    <w:p w14:paraId="71950DAC" w14:textId="77777777" w:rsidR="00EF5B27" w:rsidRDefault="00000000">
      <w:pPr>
        <w:spacing w:before="85"/>
        <w:ind w:left="596"/>
        <w:rPr>
          <w:rFonts w:ascii="Century Gothic"/>
          <w:i/>
          <w:sz w:val="12"/>
        </w:rPr>
      </w:pPr>
      <w:r>
        <w:pict w14:anchorId="33EDFAE8">
          <v:shape id="_x0000_s4604" type="#_x0000_t202" style="position:absolute;left:0;text-align:left;margin-left:205.8pt;margin-top:-.1pt;width:332.55pt;height:313.45pt;z-index:251323904;mso-position-horizontal-relative:page" filled="f" strokecolor="#4d4d4f" strokeweight=".5pt">
            <v:textbox inset="0,0,0,0">
              <w:txbxContent>
                <w:p w14:paraId="0CF6AA89" w14:textId="77777777" w:rsidR="00EF5B27" w:rsidRDefault="00000000">
                  <w:pPr>
                    <w:spacing w:before="178"/>
                    <w:ind w:left="226"/>
                    <w:rPr>
                      <w:b/>
                      <w:sz w:val="28"/>
                    </w:rPr>
                  </w:pPr>
                  <w:r>
                    <w:rPr>
                      <w:b/>
                      <w:color w:val="F99F2A"/>
                      <w:sz w:val="28"/>
                    </w:rPr>
                    <w:t>Matters of National Environmental Significance</w:t>
                  </w:r>
                </w:p>
                <w:p w14:paraId="6DF9148C" w14:textId="77777777" w:rsidR="00EF5B27" w:rsidRDefault="00000000">
                  <w:pPr>
                    <w:spacing w:before="221" w:line="254" w:lineRule="auto"/>
                    <w:ind w:left="226" w:right="305"/>
                    <w:rPr>
                      <w:b/>
                      <w:sz w:val="20"/>
                    </w:rPr>
                  </w:pPr>
                  <w:r>
                    <w:rPr>
                      <w:b/>
                      <w:color w:val="4D4D4F"/>
                      <w:sz w:val="20"/>
                    </w:rPr>
                    <w:t>What are Matters of National Environmental Significance (MNES) under the EPBC Act?</w:t>
                  </w:r>
                </w:p>
                <w:p w14:paraId="07962358" w14:textId="77777777" w:rsidR="00EF5B27" w:rsidRDefault="00000000">
                  <w:pPr>
                    <w:pStyle w:val="BodyText"/>
                    <w:spacing w:before="116" w:line="254" w:lineRule="auto"/>
                    <w:ind w:left="226" w:right="305"/>
                  </w:pPr>
                  <w:r>
                    <w:rPr>
                      <w:color w:val="4D4D4F"/>
                    </w:rPr>
                    <w:t>The Environment Protection and Biodiversity Conservation Act 1999 (EPBC Act) ensures that ‘nationally significant’ values – including animals, plants, habitats and places – are identified, and any potential negative impacts</w:t>
                  </w:r>
                </w:p>
                <w:p w14:paraId="25D68A69" w14:textId="77777777" w:rsidR="00EF5B27" w:rsidRDefault="00000000">
                  <w:pPr>
                    <w:pStyle w:val="BodyText"/>
                    <w:spacing w:before="4" w:line="254" w:lineRule="auto"/>
                    <w:ind w:left="226" w:right="305"/>
                  </w:pPr>
                  <w:r>
                    <w:rPr>
                      <w:color w:val="4D4D4F"/>
                    </w:rPr>
                    <w:t>on them are carefully considered before changes in land use or new developments are approved.</w:t>
                  </w:r>
                  <w:r>
                    <w:rPr>
                      <w:color w:val="4D4D4F"/>
                      <w:position w:val="7"/>
                      <w:sz w:val="11"/>
                    </w:rPr>
                    <w:t xml:space="preserve">12 </w:t>
                  </w:r>
                  <w:r>
                    <w:rPr>
                      <w:color w:val="4D4D4F"/>
                    </w:rPr>
                    <w:t>These values are officially referred to as Matters of National Environmental Significance (MNES) and there are 12 listed under DELWP’s management of the MSA program.</w:t>
                  </w:r>
                </w:p>
                <w:p w14:paraId="3288B4C3" w14:textId="77777777" w:rsidR="00EF5B27" w:rsidRDefault="00EF5B27">
                  <w:pPr>
                    <w:pStyle w:val="BodyText"/>
                    <w:spacing w:before="11"/>
                    <w:rPr>
                      <w:sz w:val="18"/>
                    </w:rPr>
                  </w:pPr>
                </w:p>
                <w:p w14:paraId="418B75C8" w14:textId="77777777" w:rsidR="00EF5B27" w:rsidRDefault="00000000">
                  <w:pPr>
                    <w:ind w:left="226"/>
                    <w:rPr>
                      <w:b/>
                      <w:sz w:val="20"/>
                    </w:rPr>
                  </w:pPr>
                  <w:r>
                    <w:rPr>
                      <w:b/>
                      <w:color w:val="4D4D4F"/>
                      <w:sz w:val="20"/>
                    </w:rPr>
                    <w:t>What MNES are covered under the MSA program?</w:t>
                  </w:r>
                </w:p>
                <w:p w14:paraId="1E324470" w14:textId="77777777" w:rsidR="00EF5B27" w:rsidRDefault="00000000">
                  <w:pPr>
                    <w:pStyle w:val="BodyText"/>
                    <w:spacing w:before="130" w:line="254" w:lineRule="auto"/>
                    <w:ind w:left="226" w:right="305"/>
                  </w:pPr>
                  <w:r>
                    <w:rPr>
                      <w:color w:val="4D4D4F"/>
                    </w:rPr>
                    <w:t>This report assesses the conservation outcomes for 12 MNES reliant on land that is currently under the MSA program management. These 12 MNES are:</w:t>
                  </w:r>
                </w:p>
                <w:p w14:paraId="09783ACF" w14:textId="77777777" w:rsidR="00EF5B27" w:rsidRDefault="00000000">
                  <w:pPr>
                    <w:pStyle w:val="BodyText"/>
                    <w:spacing w:before="117" w:line="254" w:lineRule="auto"/>
                    <w:ind w:left="226"/>
                  </w:pPr>
                  <w:r>
                    <w:rPr>
                      <w:color w:val="4D4D4F"/>
                    </w:rPr>
                    <w:t>Ecosystems: Natural Temperate Grassland, Grassy Eucalypt Woodland and Seasonal Herbaceous Wetland.</w:t>
                  </w:r>
                </w:p>
                <w:p w14:paraId="6474BA90" w14:textId="77777777" w:rsidR="00EF5B27" w:rsidRDefault="00000000">
                  <w:pPr>
                    <w:pStyle w:val="BodyText"/>
                    <w:spacing w:before="116" w:line="254" w:lineRule="auto"/>
                    <w:ind w:left="226"/>
                  </w:pPr>
                  <w:r>
                    <w:rPr>
                      <w:color w:val="4D4D4F"/>
                    </w:rPr>
                    <w:t xml:space="preserve">Threatened species: Golden Sun Moth, Matted Flax-lily, Spiny Rice-flower, </w:t>
                  </w:r>
                  <w:r>
                    <w:rPr>
                      <w:color w:val="4D4D4F"/>
                      <w:spacing w:val="-3"/>
                    </w:rPr>
                    <w:t xml:space="preserve">Southern </w:t>
                  </w:r>
                  <w:r>
                    <w:rPr>
                      <w:color w:val="4D4D4F"/>
                    </w:rPr>
                    <w:t xml:space="preserve">Brown </w:t>
                  </w:r>
                  <w:r>
                    <w:rPr>
                      <w:color w:val="4D4D4F"/>
                      <w:spacing w:val="-4"/>
                    </w:rPr>
                    <w:t xml:space="preserve">Bandicoot, Growling </w:t>
                  </w:r>
                  <w:r>
                    <w:rPr>
                      <w:color w:val="4D4D4F"/>
                      <w:spacing w:val="-3"/>
                    </w:rPr>
                    <w:t xml:space="preserve">Grass Frog, </w:t>
                  </w:r>
                  <w:r>
                    <w:rPr>
                      <w:color w:val="4D4D4F"/>
                      <w:spacing w:val="-5"/>
                    </w:rPr>
                    <w:t xml:space="preserve">Small </w:t>
                  </w:r>
                  <w:r>
                    <w:rPr>
                      <w:color w:val="4D4D4F"/>
                      <w:spacing w:val="-4"/>
                    </w:rPr>
                    <w:t xml:space="preserve">Golden Moths Orchid, </w:t>
                  </w:r>
                  <w:r>
                    <w:rPr>
                      <w:color w:val="4D4D4F"/>
                    </w:rPr>
                    <w:t>Striped Legless Lizard, Button Wrinklewort, and Large-fruit Groundsel.</w:t>
                  </w:r>
                </w:p>
              </w:txbxContent>
            </v:textbox>
            <w10:wrap anchorx="page"/>
          </v:shape>
        </w:pict>
      </w:r>
      <w:r>
        <w:rPr>
          <w:rFonts w:ascii="Century Gothic"/>
          <w:i/>
          <w:color w:val="4D4D4F"/>
          <w:sz w:val="12"/>
        </w:rPr>
        <w:t>Growling Grass Frog</w:t>
      </w:r>
    </w:p>
    <w:p w14:paraId="7E3A7245" w14:textId="77777777" w:rsidR="00EF5B27" w:rsidRDefault="00000000">
      <w:pPr>
        <w:pStyle w:val="BodyText"/>
        <w:spacing w:before="6"/>
        <w:rPr>
          <w:rFonts w:ascii="Century Gothic"/>
          <w:i/>
          <w:sz w:val="10"/>
        </w:rPr>
      </w:pPr>
      <w:r>
        <w:rPr>
          <w:noProof/>
        </w:rPr>
        <w:drawing>
          <wp:anchor distT="0" distB="0" distL="0" distR="0" simplePos="0" relativeHeight="251276800" behindDoc="0" locked="0" layoutInCell="1" allowOverlap="1" wp14:anchorId="4BBF5EE3" wp14:editId="07A804AF">
            <wp:simplePos x="0" y="0"/>
            <wp:positionH relativeFrom="page">
              <wp:posOffset>1026756</wp:posOffset>
            </wp:positionH>
            <wp:positionV relativeFrom="paragraph">
              <wp:posOffset>106520</wp:posOffset>
            </wp:positionV>
            <wp:extent cx="1065275" cy="1065276"/>
            <wp:effectExtent l="0" t="0" r="0" b="0"/>
            <wp:wrapTopAndBottom/>
            <wp:docPr id="11"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4.jpeg"/>
                    <pic:cNvPicPr/>
                  </pic:nvPicPr>
                  <pic:blipFill>
                    <a:blip r:embed="rId47" cstate="print"/>
                    <a:stretch>
                      <a:fillRect/>
                    </a:stretch>
                  </pic:blipFill>
                  <pic:spPr>
                    <a:xfrm>
                      <a:off x="0" y="0"/>
                      <a:ext cx="1065275" cy="1065276"/>
                    </a:xfrm>
                    <a:prstGeom prst="rect">
                      <a:avLst/>
                    </a:prstGeom>
                  </pic:spPr>
                </pic:pic>
              </a:graphicData>
            </a:graphic>
          </wp:anchor>
        </w:drawing>
      </w:r>
    </w:p>
    <w:p w14:paraId="233ECBC3" w14:textId="77777777" w:rsidR="00EF5B27" w:rsidRDefault="00000000">
      <w:pPr>
        <w:spacing w:before="50"/>
        <w:ind w:left="596"/>
        <w:rPr>
          <w:rFonts w:ascii="Century Gothic"/>
          <w:i/>
          <w:sz w:val="12"/>
        </w:rPr>
      </w:pPr>
      <w:r>
        <w:rPr>
          <w:rFonts w:ascii="Century Gothic"/>
          <w:i/>
          <w:color w:val="4D4D4F"/>
          <w:sz w:val="12"/>
        </w:rPr>
        <w:t>Southern Brown Bandicoot</w:t>
      </w:r>
    </w:p>
    <w:p w14:paraId="3B1BB3B5" w14:textId="77777777" w:rsidR="00EF5B27" w:rsidRDefault="00000000">
      <w:pPr>
        <w:pStyle w:val="BodyText"/>
        <w:spacing w:before="9"/>
        <w:rPr>
          <w:rFonts w:ascii="Century Gothic"/>
          <w:i/>
          <w:sz w:val="11"/>
        </w:rPr>
      </w:pPr>
      <w:r>
        <w:rPr>
          <w:noProof/>
        </w:rPr>
        <w:drawing>
          <wp:anchor distT="0" distB="0" distL="0" distR="0" simplePos="0" relativeHeight="251277824" behindDoc="0" locked="0" layoutInCell="1" allowOverlap="1" wp14:anchorId="53C8555C" wp14:editId="477F9592">
            <wp:simplePos x="0" y="0"/>
            <wp:positionH relativeFrom="page">
              <wp:posOffset>1026761</wp:posOffset>
            </wp:positionH>
            <wp:positionV relativeFrom="paragraph">
              <wp:posOffset>116456</wp:posOffset>
            </wp:positionV>
            <wp:extent cx="1065275" cy="1065276"/>
            <wp:effectExtent l="0" t="0" r="0" b="0"/>
            <wp:wrapTopAndBottom/>
            <wp:docPr id="13"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5.jpeg"/>
                    <pic:cNvPicPr/>
                  </pic:nvPicPr>
                  <pic:blipFill>
                    <a:blip r:embed="rId48" cstate="print"/>
                    <a:stretch>
                      <a:fillRect/>
                    </a:stretch>
                  </pic:blipFill>
                  <pic:spPr>
                    <a:xfrm>
                      <a:off x="0" y="0"/>
                      <a:ext cx="1065275" cy="1065276"/>
                    </a:xfrm>
                    <a:prstGeom prst="rect">
                      <a:avLst/>
                    </a:prstGeom>
                  </pic:spPr>
                </pic:pic>
              </a:graphicData>
            </a:graphic>
          </wp:anchor>
        </w:drawing>
      </w:r>
    </w:p>
    <w:p w14:paraId="30CA059D" w14:textId="77777777" w:rsidR="00EF5B27" w:rsidRDefault="00000000">
      <w:pPr>
        <w:spacing w:before="51"/>
        <w:ind w:left="596"/>
        <w:rPr>
          <w:rFonts w:ascii="Century Gothic"/>
          <w:i/>
          <w:sz w:val="12"/>
        </w:rPr>
      </w:pPr>
      <w:r>
        <w:rPr>
          <w:rFonts w:ascii="Century Gothic"/>
          <w:i/>
          <w:color w:val="4D4D4F"/>
          <w:w w:val="95"/>
          <w:sz w:val="12"/>
        </w:rPr>
        <w:t>Golden Sun Moth</w:t>
      </w:r>
    </w:p>
    <w:p w14:paraId="5146303A" w14:textId="77777777" w:rsidR="00EF5B27" w:rsidRDefault="00000000">
      <w:pPr>
        <w:pStyle w:val="BodyText"/>
        <w:spacing w:before="9"/>
        <w:rPr>
          <w:rFonts w:ascii="Century Gothic"/>
          <w:i/>
          <w:sz w:val="15"/>
        </w:rPr>
      </w:pPr>
      <w:r>
        <w:rPr>
          <w:noProof/>
        </w:rPr>
        <w:drawing>
          <wp:anchor distT="0" distB="0" distL="0" distR="0" simplePos="0" relativeHeight="251278848" behindDoc="0" locked="0" layoutInCell="1" allowOverlap="1" wp14:anchorId="0499D224" wp14:editId="1C1F693A">
            <wp:simplePos x="0" y="0"/>
            <wp:positionH relativeFrom="page">
              <wp:posOffset>1026761</wp:posOffset>
            </wp:positionH>
            <wp:positionV relativeFrom="paragraph">
              <wp:posOffset>147474</wp:posOffset>
            </wp:positionV>
            <wp:extent cx="1065276" cy="1065276"/>
            <wp:effectExtent l="0" t="0" r="0" b="0"/>
            <wp:wrapTopAndBottom/>
            <wp:docPr id="15"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6.jpeg"/>
                    <pic:cNvPicPr/>
                  </pic:nvPicPr>
                  <pic:blipFill>
                    <a:blip r:embed="rId49" cstate="print"/>
                    <a:stretch>
                      <a:fillRect/>
                    </a:stretch>
                  </pic:blipFill>
                  <pic:spPr>
                    <a:xfrm>
                      <a:off x="0" y="0"/>
                      <a:ext cx="1065276" cy="1065276"/>
                    </a:xfrm>
                    <a:prstGeom prst="rect">
                      <a:avLst/>
                    </a:prstGeom>
                  </pic:spPr>
                </pic:pic>
              </a:graphicData>
            </a:graphic>
          </wp:anchor>
        </w:drawing>
      </w:r>
    </w:p>
    <w:p w14:paraId="0CB4F2E5" w14:textId="77777777" w:rsidR="00EF5B27" w:rsidRDefault="00000000">
      <w:pPr>
        <w:spacing w:before="56"/>
        <w:ind w:left="596"/>
        <w:rPr>
          <w:rFonts w:ascii="Century Gothic"/>
          <w:i/>
          <w:sz w:val="12"/>
        </w:rPr>
      </w:pPr>
      <w:r>
        <w:rPr>
          <w:rFonts w:ascii="Century Gothic"/>
          <w:i/>
          <w:color w:val="4D4D4F"/>
          <w:sz w:val="12"/>
        </w:rPr>
        <w:t>Matted Flax-lily</w:t>
      </w:r>
    </w:p>
    <w:p w14:paraId="14D6FC28" w14:textId="77777777" w:rsidR="00EF5B27" w:rsidRDefault="00EF5B27">
      <w:pPr>
        <w:pStyle w:val="BodyText"/>
        <w:spacing w:before="12"/>
        <w:rPr>
          <w:rFonts w:ascii="Century Gothic"/>
          <w:i/>
          <w:sz w:val="15"/>
        </w:rPr>
      </w:pPr>
    </w:p>
    <w:p w14:paraId="16945084" w14:textId="77777777" w:rsidR="00EF5B27" w:rsidRDefault="00000000">
      <w:pPr>
        <w:pStyle w:val="BodyText"/>
        <w:tabs>
          <w:tab w:val="left" w:pos="3091"/>
          <w:tab w:val="left" w:pos="5585"/>
          <w:tab w:val="left" w:pos="8080"/>
        </w:tabs>
        <w:ind w:left="596"/>
        <w:rPr>
          <w:rFonts w:ascii="Century Gothic"/>
        </w:rPr>
      </w:pPr>
      <w:r>
        <w:rPr>
          <w:rFonts w:ascii="Century Gothic"/>
          <w:noProof/>
        </w:rPr>
        <w:drawing>
          <wp:inline distT="0" distB="0" distL="0" distR="0" wp14:anchorId="7C1487BF" wp14:editId="3AA894A3">
            <wp:extent cx="1065288" cy="1065276"/>
            <wp:effectExtent l="0" t="0" r="0" b="0"/>
            <wp:docPr id="17"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7.jpeg"/>
                    <pic:cNvPicPr/>
                  </pic:nvPicPr>
                  <pic:blipFill>
                    <a:blip r:embed="rId50" cstate="print"/>
                    <a:stretch>
                      <a:fillRect/>
                    </a:stretch>
                  </pic:blipFill>
                  <pic:spPr>
                    <a:xfrm>
                      <a:off x="0" y="0"/>
                      <a:ext cx="1065288" cy="1065276"/>
                    </a:xfrm>
                    <a:prstGeom prst="rect">
                      <a:avLst/>
                    </a:prstGeom>
                  </pic:spPr>
                </pic:pic>
              </a:graphicData>
            </a:graphic>
          </wp:inline>
        </w:drawing>
      </w:r>
      <w:r>
        <w:rPr>
          <w:rFonts w:ascii="Century Gothic"/>
        </w:rPr>
        <w:tab/>
      </w:r>
      <w:r>
        <w:rPr>
          <w:rFonts w:ascii="Century Gothic"/>
          <w:noProof/>
        </w:rPr>
        <w:drawing>
          <wp:inline distT="0" distB="0" distL="0" distR="0" wp14:anchorId="705AFA91" wp14:editId="6D4B8635">
            <wp:extent cx="1065288" cy="1065276"/>
            <wp:effectExtent l="0" t="0" r="0" b="0"/>
            <wp:docPr id="19"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8.jpeg"/>
                    <pic:cNvPicPr/>
                  </pic:nvPicPr>
                  <pic:blipFill>
                    <a:blip r:embed="rId51" cstate="print"/>
                    <a:stretch>
                      <a:fillRect/>
                    </a:stretch>
                  </pic:blipFill>
                  <pic:spPr>
                    <a:xfrm>
                      <a:off x="0" y="0"/>
                      <a:ext cx="1065288" cy="1065276"/>
                    </a:xfrm>
                    <a:prstGeom prst="rect">
                      <a:avLst/>
                    </a:prstGeom>
                  </pic:spPr>
                </pic:pic>
              </a:graphicData>
            </a:graphic>
          </wp:inline>
        </w:drawing>
      </w:r>
      <w:r>
        <w:rPr>
          <w:rFonts w:ascii="Century Gothic"/>
        </w:rPr>
        <w:tab/>
      </w:r>
      <w:r>
        <w:rPr>
          <w:rFonts w:ascii="Century Gothic"/>
          <w:noProof/>
        </w:rPr>
        <w:drawing>
          <wp:inline distT="0" distB="0" distL="0" distR="0" wp14:anchorId="05689113" wp14:editId="17923616">
            <wp:extent cx="1065274" cy="1065276"/>
            <wp:effectExtent l="0" t="0" r="0" b="0"/>
            <wp:docPr id="21"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9.jpeg"/>
                    <pic:cNvPicPr/>
                  </pic:nvPicPr>
                  <pic:blipFill>
                    <a:blip r:embed="rId52" cstate="print"/>
                    <a:stretch>
                      <a:fillRect/>
                    </a:stretch>
                  </pic:blipFill>
                  <pic:spPr>
                    <a:xfrm>
                      <a:off x="0" y="0"/>
                      <a:ext cx="1065274" cy="1065276"/>
                    </a:xfrm>
                    <a:prstGeom prst="rect">
                      <a:avLst/>
                    </a:prstGeom>
                  </pic:spPr>
                </pic:pic>
              </a:graphicData>
            </a:graphic>
          </wp:inline>
        </w:drawing>
      </w:r>
      <w:r>
        <w:rPr>
          <w:rFonts w:ascii="Century Gothic"/>
        </w:rPr>
        <w:tab/>
      </w:r>
      <w:r>
        <w:rPr>
          <w:rFonts w:ascii="Century Gothic"/>
          <w:noProof/>
        </w:rPr>
        <w:drawing>
          <wp:inline distT="0" distB="0" distL="0" distR="0" wp14:anchorId="5F319599" wp14:editId="0C4503D9">
            <wp:extent cx="1065281" cy="1065276"/>
            <wp:effectExtent l="0" t="0" r="0" b="0"/>
            <wp:docPr id="23"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0.jpeg"/>
                    <pic:cNvPicPr/>
                  </pic:nvPicPr>
                  <pic:blipFill>
                    <a:blip r:embed="rId53" cstate="print"/>
                    <a:stretch>
                      <a:fillRect/>
                    </a:stretch>
                  </pic:blipFill>
                  <pic:spPr>
                    <a:xfrm>
                      <a:off x="0" y="0"/>
                      <a:ext cx="1065281" cy="1065276"/>
                    </a:xfrm>
                    <a:prstGeom prst="rect">
                      <a:avLst/>
                    </a:prstGeom>
                  </pic:spPr>
                </pic:pic>
              </a:graphicData>
            </a:graphic>
          </wp:inline>
        </w:drawing>
      </w:r>
    </w:p>
    <w:p w14:paraId="52E1A474" w14:textId="77777777" w:rsidR="00EF5B27" w:rsidRDefault="00EF5B27">
      <w:pPr>
        <w:rPr>
          <w:rFonts w:ascii="Century Gothic"/>
        </w:rPr>
        <w:sectPr w:rsidR="00EF5B27">
          <w:pgSz w:w="11910" w:h="16840"/>
          <w:pgMar w:top="1080" w:right="1020" w:bottom="860" w:left="1020" w:header="537" w:footer="678" w:gutter="0"/>
          <w:cols w:space="720"/>
        </w:sectPr>
      </w:pPr>
    </w:p>
    <w:p w14:paraId="356EE170" w14:textId="77777777" w:rsidR="00EF5B27" w:rsidRDefault="00000000">
      <w:pPr>
        <w:spacing w:before="79"/>
        <w:ind w:left="596"/>
        <w:rPr>
          <w:rFonts w:ascii="Century Gothic"/>
          <w:i/>
          <w:sz w:val="12"/>
        </w:rPr>
      </w:pPr>
      <w:r>
        <w:rPr>
          <w:rFonts w:ascii="Century Gothic"/>
          <w:i/>
          <w:color w:val="4D4D4F"/>
          <w:w w:val="95"/>
          <w:sz w:val="12"/>
        </w:rPr>
        <w:t>Natural Temperate Grassland</w:t>
      </w:r>
    </w:p>
    <w:p w14:paraId="79CB63B8" w14:textId="77777777" w:rsidR="00EF5B27" w:rsidRDefault="00000000">
      <w:pPr>
        <w:pStyle w:val="BodyText"/>
        <w:spacing w:before="10"/>
        <w:rPr>
          <w:rFonts w:ascii="Century Gothic"/>
          <w:i/>
          <w:sz w:val="13"/>
        </w:rPr>
      </w:pPr>
      <w:r>
        <w:rPr>
          <w:noProof/>
        </w:rPr>
        <w:drawing>
          <wp:anchor distT="0" distB="0" distL="0" distR="0" simplePos="0" relativeHeight="251279872" behindDoc="0" locked="0" layoutInCell="1" allowOverlap="1" wp14:anchorId="4EB15993" wp14:editId="04C629A8">
            <wp:simplePos x="0" y="0"/>
            <wp:positionH relativeFrom="page">
              <wp:posOffset>1026756</wp:posOffset>
            </wp:positionH>
            <wp:positionV relativeFrom="paragraph">
              <wp:posOffset>132823</wp:posOffset>
            </wp:positionV>
            <wp:extent cx="1065275" cy="1065276"/>
            <wp:effectExtent l="0" t="0" r="0" b="0"/>
            <wp:wrapTopAndBottom/>
            <wp:docPr id="25"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1.jpeg"/>
                    <pic:cNvPicPr/>
                  </pic:nvPicPr>
                  <pic:blipFill>
                    <a:blip r:embed="rId54" cstate="print"/>
                    <a:stretch>
                      <a:fillRect/>
                    </a:stretch>
                  </pic:blipFill>
                  <pic:spPr>
                    <a:xfrm>
                      <a:off x="0" y="0"/>
                      <a:ext cx="1065275" cy="1065276"/>
                    </a:xfrm>
                    <a:prstGeom prst="rect">
                      <a:avLst/>
                    </a:prstGeom>
                  </pic:spPr>
                </pic:pic>
              </a:graphicData>
            </a:graphic>
          </wp:anchor>
        </w:drawing>
      </w:r>
    </w:p>
    <w:p w14:paraId="0ABD887A" w14:textId="77777777" w:rsidR="00EF5B27" w:rsidRDefault="00000000">
      <w:pPr>
        <w:spacing w:before="51"/>
        <w:ind w:left="596"/>
        <w:rPr>
          <w:rFonts w:ascii="Century Gothic"/>
          <w:i/>
          <w:sz w:val="12"/>
        </w:rPr>
      </w:pPr>
      <w:r>
        <w:rPr>
          <w:rFonts w:ascii="Century Gothic"/>
          <w:i/>
          <w:color w:val="4D4D4F"/>
          <w:sz w:val="12"/>
        </w:rPr>
        <w:t>Button Wrinklewort</w:t>
      </w:r>
    </w:p>
    <w:p w14:paraId="242962E6" w14:textId="77777777" w:rsidR="00EF5B27" w:rsidRDefault="00000000">
      <w:pPr>
        <w:spacing w:before="79"/>
        <w:ind w:left="596"/>
        <w:rPr>
          <w:rFonts w:ascii="Century Gothic"/>
          <w:i/>
          <w:sz w:val="12"/>
        </w:rPr>
      </w:pPr>
      <w:r>
        <w:br w:type="column"/>
      </w:r>
      <w:r>
        <w:rPr>
          <w:rFonts w:ascii="Century Gothic"/>
          <w:i/>
          <w:color w:val="4D4D4F"/>
          <w:sz w:val="12"/>
        </w:rPr>
        <w:t>Grassy Eucalypt Woodland</w:t>
      </w:r>
    </w:p>
    <w:p w14:paraId="62C3DC55" w14:textId="77777777" w:rsidR="00EF5B27" w:rsidRDefault="00000000">
      <w:pPr>
        <w:pStyle w:val="BodyText"/>
        <w:spacing w:before="10"/>
        <w:rPr>
          <w:rFonts w:ascii="Century Gothic"/>
          <w:i/>
          <w:sz w:val="13"/>
        </w:rPr>
      </w:pPr>
      <w:r>
        <w:rPr>
          <w:noProof/>
        </w:rPr>
        <w:drawing>
          <wp:anchor distT="0" distB="0" distL="0" distR="0" simplePos="0" relativeHeight="251280896" behindDoc="0" locked="0" layoutInCell="1" allowOverlap="1" wp14:anchorId="4138CFEC" wp14:editId="3B8D6BEC">
            <wp:simplePos x="0" y="0"/>
            <wp:positionH relativeFrom="page">
              <wp:posOffset>2610761</wp:posOffset>
            </wp:positionH>
            <wp:positionV relativeFrom="paragraph">
              <wp:posOffset>132818</wp:posOffset>
            </wp:positionV>
            <wp:extent cx="1065276" cy="1065276"/>
            <wp:effectExtent l="0" t="0" r="0" b="0"/>
            <wp:wrapTopAndBottom/>
            <wp:docPr id="27"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2.jpeg"/>
                    <pic:cNvPicPr/>
                  </pic:nvPicPr>
                  <pic:blipFill>
                    <a:blip r:embed="rId55" cstate="print"/>
                    <a:stretch>
                      <a:fillRect/>
                    </a:stretch>
                  </pic:blipFill>
                  <pic:spPr>
                    <a:xfrm>
                      <a:off x="0" y="0"/>
                      <a:ext cx="1065276" cy="1065276"/>
                    </a:xfrm>
                    <a:prstGeom prst="rect">
                      <a:avLst/>
                    </a:prstGeom>
                  </pic:spPr>
                </pic:pic>
              </a:graphicData>
            </a:graphic>
          </wp:anchor>
        </w:drawing>
      </w:r>
    </w:p>
    <w:p w14:paraId="0EE88D5C" w14:textId="77777777" w:rsidR="00EF5B27" w:rsidRDefault="00000000">
      <w:pPr>
        <w:spacing w:before="51"/>
        <w:ind w:left="596"/>
        <w:rPr>
          <w:rFonts w:ascii="Century Gothic"/>
          <w:i/>
          <w:sz w:val="12"/>
        </w:rPr>
      </w:pPr>
      <w:r>
        <w:rPr>
          <w:rFonts w:ascii="Century Gothic"/>
          <w:i/>
          <w:color w:val="4D4D4F"/>
          <w:sz w:val="12"/>
        </w:rPr>
        <w:t>Spiny Rice-flower</w:t>
      </w:r>
    </w:p>
    <w:p w14:paraId="0A83CC28" w14:textId="77777777" w:rsidR="00EF5B27" w:rsidRDefault="00000000">
      <w:pPr>
        <w:spacing w:before="79"/>
        <w:ind w:left="596"/>
        <w:rPr>
          <w:rFonts w:ascii="Century Gothic"/>
          <w:i/>
          <w:sz w:val="12"/>
        </w:rPr>
      </w:pPr>
      <w:r>
        <w:br w:type="column"/>
      </w:r>
      <w:r>
        <w:rPr>
          <w:rFonts w:ascii="Century Gothic"/>
          <w:i/>
          <w:color w:val="4D4D4F"/>
          <w:spacing w:val="-2"/>
          <w:w w:val="95"/>
          <w:sz w:val="12"/>
        </w:rPr>
        <w:t>Striped Legless</w:t>
      </w:r>
      <w:r>
        <w:rPr>
          <w:rFonts w:ascii="Century Gothic"/>
          <w:i/>
          <w:color w:val="4D4D4F"/>
          <w:spacing w:val="10"/>
          <w:w w:val="95"/>
          <w:sz w:val="12"/>
        </w:rPr>
        <w:t xml:space="preserve"> </w:t>
      </w:r>
      <w:r>
        <w:rPr>
          <w:rFonts w:ascii="Century Gothic"/>
          <w:i/>
          <w:color w:val="4D4D4F"/>
          <w:spacing w:val="-2"/>
          <w:w w:val="95"/>
          <w:sz w:val="12"/>
        </w:rPr>
        <w:t>Lizard</w:t>
      </w:r>
    </w:p>
    <w:p w14:paraId="7D3BC3D0" w14:textId="77777777" w:rsidR="00EF5B27" w:rsidRDefault="00000000">
      <w:pPr>
        <w:pStyle w:val="BodyText"/>
        <w:spacing w:before="10"/>
        <w:rPr>
          <w:rFonts w:ascii="Century Gothic"/>
          <w:i/>
          <w:sz w:val="13"/>
        </w:rPr>
      </w:pPr>
      <w:r>
        <w:rPr>
          <w:noProof/>
        </w:rPr>
        <w:drawing>
          <wp:anchor distT="0" distB="0" distL="0" distR="0" simplePos="0" relativeHeight="251281920" behindDoc="0" locked="0" layoutInCell="1" allowOverlap="1" wp14:anchorId="3B7218BF" wp14:editId="232C3353">
            <wp:simplePos x="0" y="0"/>
            <wp:positionH relativeFrom="page">
              <wp:posOffset>4194761</wp:posOffset>
            </wp:positionH>
            <wp:positionV relativeFrom="paragraph">
              <wp:posOffset>132823</wp:posOffset>
            </wp:positionV>
            <wp:extent cx="1065265" cy="1065276"/>
            <wp:effectExtent l="0" t="0" r="0" b="0"/>
            <wp:wrapTopAndBottom/>
            <wp:docPr id="29"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3.jpeg"/>
                    <pic:cNvPicPr/>
                  </pic:nvPicPr>
                  <pic:blipFill>
                    <a:blip r:embed="rId56" cstate="print"/>
                    <a:stretch>
                      <a:fillRect/>
                    </a:stretch>
                  </pic:blipFill>
                  <pic:spPr>
                    <a:xfrm>
                      <a:off x="0" y="0"/>
                      <a:ext cx="1065265" cy="1065276"/>
                    </a:xfrm>
                    <a:prstGeom prst="rect">
                      <a:avLst/>
                    </a:prstGeom>
                  </pic:spPr>
                </pic:pic>
              </a:graphicData>
            </a:graphic>
          </wp:anchor>
        </w:drawing>
      </w:r>
    </w:p>
    <w:p w14:paraId="78D405FC" w14:textId="77777777" w:rsidR="00EF5B27" w:rsidRDefault="00000000">
      <w:pPr>
        <w:spacing w:before="51"/>
        <w:ind w:left="596"/>
        <w:rPr>
          <w:rFonts w:ascii="Century Gothic"/>
          <w:i/>
          <w:sz w:val="12"/>
        </w:rPr>
      </w:pPr>
      <w:r>
        <w:rPr>
          <w:rFonts w:ascii="Century Gothic"/>
          <w:i/>
          <w:color w:val="4D4D4F"/>
          <w:spacing w:val="-3"/>
          <w:w w:val="95"/>
          <w:sz w:val="12"/>
        </w:rPr>
        <w:t>Large-fruit Groundsel</w:t>
      </w:r>
    </w:p>
    <w:p w14:paraId="78F68576" w14:textId="77777777" w:rsidR="00EF5B27" w:rsidRDefault="00000000">
      <w:pPr>
        <w:spacing w:before="79"/>
        <w:ind w:left="596"/>
        <w:rPr>
          <w:rFonts w:ascii="Century Gothic"/>
          <w:i/>
          <w:sz w:val="12"/>
        </w:rPr>
      </w:pPr>
      <w:r>
        <w:br w:type="column"/>
      </w:r>
      <w:r>
        <w:rPr>
          <w:rFonts w:ascii="Century Gothic"/>
          <w:i/>
          <w:color w:val="4D4D4F"/>
          <w:w w:val="95"/>
          <w:sz w:val="12"/>
        </w:rPr>
        <w:t>Seasonal Herbaceous Wetland</w:t>
      </w:r>
    </w:p>
    <w:p w14:paraId="246AF5E2" w14:textId="77777777" w:rsidR="00EF5B27" w:rsidRDefault="00000000">
      <w:pPr>
        <w:pStyle w:val="BodyText"/>
        <w:spacing w:before="10"/>
        <w:rPr>
          <w:rFonts w:ascii="Century Gothic"/>
          <w:i/>
          <w:sz w:val="13"/>
        </w:rPr>
      </w:pPr>
      <w:r>
        <w:rPr>
          <w:noProof/>
        </w:rPr>
        <w:drawing>
          <wp:anchor distT="0" distB="0" distL="0" distR="0" simplePos="0" relativeHeight="251282944" behindDoc="0" locked="0" layoutInCell="1" allowOverlap="1" wp14:anchorId="71B9CC1E" wp14:editId="7FD89A59">
            <wp:simplePos x="0" y="0"/>
            <wp:positionH relativeFrom="page">
              <wp:posOffset>5778761</wp:posOffset>
            </wp:positionH>
            <wp:positionV relativeFrom="paragraph">
              <wp:posOffset>132823</wp:posOffset>
            </wp:positionV>
            <wp:extent cx="1065272" cy="1065276"/>
            <wp:effectExtent l="0" t="0" r="0" b="0"/>
            <wp:wrapTopAndBottom/>
            <wp:docPr id="31"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4.jpeg"/>
                    <pic:cNvPicPr/>
                  </pic:nvPicPr>
                  <pic:blipFill>
                    <a:blip r:embed="rId57" cstate="print"/>
                    <a:stretch>
                      <a:fillRect/>
                    </a:stretch>
                  </pic:blipFill>
                  <pic:spPr>
                    <a:xfrm>
                      <a:off x="0" y="0"/>
                      <a:ext cx="1065272" cy="1065276"/>
                    </a:xfrm>
                    <a:prstGeom prst="rect">
                      <a:avLst/>
                    </a:prstGeom>
                  </pic:spPr>
                </pic:pic>
              </a:graphicData>
            </a:graphic>
          </wp:anchor>
        </w:drawing>
      </w:r>
    </w:p>
    <w:p w14:paraId="366795E0" w14:textId="77777777" w:rsidR="00EF5B27" w:rsidRDefault="00000000">
      <w:pPr>
        <w:spacing w:before="51"/>
        <w:ind w:left="596"/>
        <w:rPr>
          <w:rFonts w:ascii="Century Gothic"/>
          <w:i/>
          <w:sz w:val="12"/>
        </w:rPr>
      </w:pPr>
      <w:r>
        <w:rPr>
          <w:rFonts w:ascii="Century Gothic"/>
          <w:i/>
          <w:color w:val="4D4D4F"/>
          <w:sz w:val="12"/>
        </w:rPr>
        <w:t>Small Golden Moths Orchid</w:t>
      </w:r>
    </w:p>
    <w:p w14:paraId="3EED83BF" w14:textId="77777777" w:rsidR="00EF5B27" w:rsidRDefault="00EF5B27">
      <w:pPr>
        <w:rPr>
          <w:rFonts w:ascii="Century Gothic"/>
          <w:sz w:val="12"/>
        </w:rPr>
        <w:sectPr w:rsidR="00EF5B27">
          <w:type w:val="continuous"/>
          <w:pgSz w:w="11910" w:h="16840"/>
          <w:pgMar w:top="1140" w:right="1020" w:bottom="280" w:left="1020" w:header="720" w:footer="720" w:gutter="0"/>
          <w:cols w:num="4" w:space="720" w:equalWidth="0">
            <w:col w:w="2309" w:space="186"/>
            <w:col w:w="2309" w:space="185"/>
            <w:col w:w="2309" w:space="186"/>
            <w:col w:w="2386"/>
          </w:cols>
        </w:sectPr>
      </w:pPr>
    </w:p>
    <w:p w14:paraId="38E41A44" w14:textId="77777777" w:rsidR="00EF5B27" w:rsidRDefault="00000000">
      <w:pPr>
        <w:pStyle w:val="BodyText"/>
        <w:spacing w:before="7"/>
        <w:rPr>
          <w:rFonts w:ascii="Century Gothic"/>
          <w:i/>
          <w:sz w:val="15"/>
        </w:rPr>
      </w:pPr>
      <w:r>
        <w:pict w14:anchorId="33A6477D">
          <v:group id="_x0000_s4596" style="position:absolute;margin-left:587.05pt;margin-top:183.4pt;width:8.25pt;height:153.1pt;z-index:251322880;mso-position-horizontal-relative:page;mso-position-vertical-relative:page" coordorigin="11741,3668" coordsize="165,3062">
            <v:shape id="_x0000_s4603" style="position:absolute;left:11741;top:3668;width:165;height:561" coordorigin="11741,3668" coordsize="165,561" path="m11906,3668r-165,l11741,4228r165,-18l11906,3668xe" fillcolor="#00aed9" stroked="f">
              <v:path arrowok="t"/>
            </v:shape>
            <v:shape id="_x0000_s4602" style="position:absolute;left:11741;top:4118;width:165;height:425" coordorigin="11741,4118" coordsize="165,425" path="m11906,4118r-165,14l11741,4531r165,12l11906,4118xe" fillcolor="#047ebc" stroked="f">
              <v:path arrowok="t"/>
            </v:shape>
            <v:shape id="_x0000_s4601" type="#_x0000_t75" style="position:absolute;left:11741;top:4355;width:165;height:587">
              <v:imagedata r:id="rId42" o:title=""/>
            </v:shape>
            <v:shape id="_x0000_s4600" style="position:absolute;left:11741;top:5343;width:165;height:536" coordorigin="11741,5343" coordsize="165,536" path="m11741,5343r,535l11906,5872r,-525l11741,5343xe" fillcolor="#f36a2e" stroked="f">
              <v:path arrowok="t"/>
            </v:shape>
            <v:shape id="_x0000_s4599" style="position:absolute;left:11741;top:4925;width:165;height:501" coordorigin="11741,4926" coordsize="165,501" path="m11741,4926r,500l11906,5426r,-485l11741,4926xe" fillcolor="#49783f" stroked="f">
              <v:path arrowok="t"/>
            </v:shape>
            <v:shape id="_x0000_s4598" style="position:absolute;left:11741;top:5781;width:165;height:268" coordorigin="11741,5782" coordsize="165,268" path="m11906,5782r-165,8l11741,6039r165,10l11906,5782xe" fillcolor="#f99f2a" stroked="f">
              <v:path arrowok="t"/>
            </v:shape>
            <v:shape id="_x0000_s4597" style="position:absolute;left:11741;top:6023;width:165;height:707" coordorigin="11741,6023" coordsize="165,707" path="m11741,6023r,706l11906,6729r,-690l11741,6023xe" fillcolor="#ef412c" stroked="f">
              <v:path arrowok="t"/>
            </v:shape>
            <w10:wrap anchorx="page" anchory="page"/>
          </v:group>
        </w:pict>
      </w:r>
    </w:p>
    <w:p w14:paraId="21D0816A" w14:textId="77777777" w:rsidR="00EF5B27" w:rsidRDefault="00000000">
      <w:pPr>
        <w:tabs>
          <w:tab w:val="left" w:pos="8977"/>
        </w:tabs>
        <w:spacing w:before="100"/>
        <w:ind w:left="596"/>
        <w:rPr>
          <w:rFonts w:ascii="Century Gothic"/>
          <w:i/>
          <w:sz w:val="12"/>
        </w:rPr>
      </w:pPr>
      <w:r>
        <w:rPr>
          <w:color w:val="4D4D4F"/>
          <w:sz w:val="16"/>
        </w:rPr>
        <w:t>Figure</w:t>
      </w:r>
      <w:r>
        <w:rPr>
          <w:color w:val="4D4D4F"/>
          <w:spacing w:val="9"/>
          <w:sz w:val="16"/>
        </w:rPr>
        <w:t xml:space="preserve"> </w:t>
      </w:r>
      <w:r>
        <w:rPr>
          <w:color w:val="4D4D4F"/>
          <w:spacing w:val="-4"/>
          <w:sz w:val="16"/>
        </w:rPr>
        <w:t>1:</w:t>
      </w:r>
      <w:r>
        <w:rPr>
          <w:color w:val="4D4D4F"/>
          <w:spacing w:val="9"/>
          <w:sz w:val="16"/>
        </w:rPr>
        <w:t xml:space="preserve"> </w:t>
      </w:r>
      <w:r>
        <w:rPr>
          <w:color w:val="4D4D4F"/>
          <w:sz w:val="16"/>
        </w:rPr>
        <w:t>Matters</w:t>
      </w:r>
      <w:r>
        <w:rPr>
          <w:color w:val="4D4D4F"/>
          <w:spacing w:val="9"/>
          <w:sz w:val="16"/>
        </w:rPr>
        <w:t xml:space="preserve"> </w:t>
      </w:r>
      <w:r>
        <w:rPr>
          <w:color w:val="4D4D4F"/>
          <w:sz w:val="16"/>
        </w:rPr>
        <w:t>of</w:t>
      </w:r>
      <w:r>
        <w:rPr>
          <w:color w:val="4D4D4F"/>
          <w:spacing w:val="9"/>
          <w:sz w:val="16"/>
        </w:rPr>
        <w:t xml:space="preserve"> </w:t>
      </w:r>
      <w:r>
        <w:rPr>
          <w:color w:val="4D4D4F"/>
          <w:sz w:val="16"/>
        </w:rPr>
        <w:t>National</w:t>
      </w:r>
      <w:r>
        <w:rPr>
          <w:color w:val="4D4D4F"/>
          <w:spacing w:val="9"/>
          <w:sz w:val="16"/>
        </w:rPr>
        <w:t xml:space="preserve"> </w:t>
      </w:r>
      <w:r>
        <w:rPr>
          <w:color w:val="4D4D4F"/>
          <w:sz w:val="16"/>
        </w:rPr>
        <w:t>Environmental</w:t>
      </w:r>
      <w:r>
        <w:rPr>
          <w:color w:val="4D4D4F"/>
          <w:spacing w:val="9"/>
          <w:sz w:val="16"/>
        </w:rPr>
        <w:t xml:space="preserve"> </w:t>
      </w:r>
      <w:r>
        <w:rPr>
          <w:color w:val="4D4D4F"/>
          <w:sz w:val="16"/>
        </w:rPr>
        <w:t>Significance</w:t>
      </w:r>
      <w:r>
        <w:rPr>
          <w:color w:val="4D4D4F"/>
          <w:spacing w:val="9"/>
          <w:sz w:val="16"/>
        </w:rPr>
        <w:t xml:space="preserve"> </w:t>
      </w:r>
      <w:r>
        <w:rPr>
          <w:color w:val="4D4D4F"/>
          <w:sz w:val="16"/>
        </w:rPr>
        <w:t>(MNES)</w:t>
      </w:r>
      <w:r>
        <w:rPr>
          <w:color w:val="4D4D4F"/>
          <w:spacing w:val="9"/>
          <w:sz w:val="16"/>
        </w:rPr>
        <w:t xml:space="preserve"> </w:t>
      </w:r>
      <w:r>
        <w:rPr>
          <w:color w:val="4D4D4F"/>
          <w:sz w:val="16"/>
        </w:rPr>
        <w:t>monitored</w:t>
      </w:r>
      <w:r>
        <w:rPr>
          <w:color w:val="4D4D4F"/>
          <w:spacing w:val="9"/>
          <w:sz w:val="16"/>
        </w:rPr>
        <w:t xml:space="preserve"> </w:t>
      </w:r>
      <w:r>
        <w:rPr>
          <w:color w:val="4D4D4F"/>
          <w:sz w:val="16"/>
        </w:rPr>
        <w:t>under</w:t>
      </w:r>
      <w:r>
        <w:rPr>
          <w:color w:val="4D4D4F"/>
          <w:spacing w:val="9"/>
          <w:sz w:val="16"/>
        </w:rPr>
        <w:t xml:space="preserve"> </w:t>
      </w:r>
      <w:r>
        <w:rPr>
          <w:color w:val="4D4D4F"/>
          <w:sz w:val="16"/>
        </w:rPr>
        <w:t>the</w:t>
      </w:r>
      <w:r>
        <w:rPr>
          <w:color w:val="4D4D4F"/>
          <w:spacing w:val="9"/>
          <w:sz w:val="16"/>
        </w:rPr>
        <w:t xml:space="preserve"> </w:t>
      </w:r>
      <w:r>
        <w:rPr>
          <w:color w:val="4D4D4F"/>
          <w:sz w:val="16"/>
        </w:rPr>
        <w:t>MSA</w:t>
      </w:r>
      <w:r>
        <w:rPr>
          <w:color w:val="4D4D4F"/>
          <w:spacing w:val="9"/>
          <w:sz w:val="16"/>
        </w:rPr>
        <w:t xml:space="preserve"> </w:t>
      </w:r>
      <w:r>
        <w:rPr>
          <w:color w:val="4D4D4F"/>
          <w:spacing w:val="2"/>
          <w:sz w:val="16"/>
        </w:rPr>
        <w:t>Program</w:t>
      </w:r>
      <w:r>
        <w:rPr>
          <w:color w:val="4D4D4F"/>
          <w:spacing w:val="2"/>
          <w:sz w:val="16"/>
        </w:rPr>
        <w:tab/>
      </w:r>
      <w:r>
        <w:rPr>
          <w:rFonts w:ascii="Century Gothic"/>
          <w:i/>
          <w:color w:val="4D4D4F"/>
          <w:sz w:val="12"/>
        </w:rPr>
        <w:t>Source:</w:t>
      </w:r>
      <w:r>
        <w:rPr>
          <w:rFonts w:ascii="Century Gothic"/>
          <w:i/>
          <w:color w:val="4D4D4F"/>
          <w:spacing w:val="-21"/>
          <w:sz w:val="12"/>
        </w:rPr>
        <w:t xml:space="preserve"> </w:t>
      </w:r>
      <w:r>
        <w:rPr>
          <w:rFonts w:ascii="Century Gothic"/>
          <w:i/>
          <w:color w:val="4D4D4F"/>
          <w:sz w:val="12"/>
        </w:rPr>
        <w:t>DELWP</w:t>
      </w:r>
    </w:p>
    <w:p w14:paraId="570189C3" w14:textId="77777777" w:rsidR="00EF5B27" w:rsidRDefault="00000000">
      <w:pPr>
        <w:pStyle w:val="BodyText"/>
        <w:spacing w:before="6"/>
        <w:rPr>
          <w:rFonts w:ascii="Century Gothic"/>
          <w:i/>
          <w:sz w:val="12"/>
        </w:rPr>
      </w:pPr>
      <w:r>
        <w:pict w14:anchorId="0D114355">
          <v:line id="_x0000_s4595" style="position:absolute;z-index:-251490816;mso-wrap-distance-left:0;mso-wrap-distance-right:0;mso-position-horizontal-relative:page" from="181.4pt,9.85pt" to="538.6pt,9.85pt" strokecolor="#4d4d4f" strokeweight=".5pt">
            <w10:wrap type="topAndBottom" anchorx="page"/>
          </v:line>
        </w:pict>
      </w:r>
    </w:p>
    <w:p w14:paraId="710ED7E7" w14:textId="77777777" w:rsidR="00EF5B27" w:rsidRDefault="00000000">
      <w:pPr>
        <w:pStyle w:val="ListParagraph"/>
        <w:numPr>
          <w:ilvl w:val="0"/>
          <w:numId w:val="65"/>
        </w:numPr>
        <w:tabs>
          <w:tab w:val="left" w:pos="2836"/>
        </w:tabs>
        <w:spacing w:before="83"/>
        <w:jc w:val="left"/>
        <w:rPr>
          <w:sz w:val="12"/>
        </w:rPr>
      </w:pPr>
      <w:hyperlink r:id="rId58">
        <w:r>
          <w:rPr>
            <w:color w:val="4D4D4F"/>
            <w:sz w:val="12"/>
          </w:rPr>
          <w:t>Department of Agriculture, Water and the Environment</w:t>
        </w:r>
      </w:hyperlink>
      <w:r>
        <w:rPr>
          <w:color w:val="4D4D4F"/>
          <w:sz w:val="12"/>
        </w:rPr>
        <w:t>,</w:t>
      </w:r>
      <w:hyperlink r:id="rId59">
        <w:r>
          <w:rPr>
            <w:color w:val="F36A2E"/>
            <w:sz w:val="12"/>
          </w:rPr>
          <w:t xml:space="preserve"> </w:t>
        </w:r>
        <w:r>
          <w:rPr>
            <w:color w:val="F36A2E"/>
            <w:sz w:val="12"/>
            <w:u w:val="single" w:color="F36A2E"/>
          </w:rPr>
          <w:t>https://www.environment.gov.au/epbc/what-is-protected</w:t>
        </w:r>
        <w:r>
          <w:rPr>
            <w:color w:val="F36A2E"/>
            <w:sz w:val="12"/>
          </w:rPr>
          <w:t xml:space="preserve"> </w:t>
        </w:r>
      </w:hyperlink>
      <w:r>
        <w:rPr>
          <w:color w:val="4D4D4F"/>
          <w:sz w:val="12"/>
        </w:rPr>
        <w:t>Accessed 20 July</w:t>
      </w:r>
      <w:r>
        <w:rPr>
          <w:color w:val="4D4D4F"/>
          <w:spacing w:val="24"/>
          <w:sz w:val="12"/>
        </w:rPr>
        <w:t xml:space="preserve"> </w:t>
      </w:r>
      <w:r>
        <w:rPr>
          <w:color w:val="4D4D4F"/>
          <w:sz w:val="12"/>
        </w:rPr>
        <w:t>2021.</w:t>
      </w:r>
    </w:p>
    <w:p w14:paraId="617D9F7E" w14:textId="77777777" w:rsidR="00EF5B27" w:rsidRDefault="00EF5B27">
      <w:pPr>
        <w:rPr>
          <w:sz w:val="12"/>
        </w:rPr>
        <w:sectPr w:rsidR="00EF5B27">
          <w:type w:val="continuous"/>
          <w:pgSz w:w="11910" w:h="16840"/>
          <w:pgMar w:top="1140" w:right="1020" w:bottom="280" w:left="1020" w:header="720" w:footer="720" w:gutter="0"/>
          <w:cols w:space="720"/>
        </w:sectPr>
      </w:pPr>
    </w:p>
    <w:p w14:paraId="2B5C983D" w14:textId="77777777" w:rsidR="00EF5B27" w:rsidRDefault="00EF5B27">
      <w:pPr>
        <w:pStyle w:val="BodyText"/>
      </w:pPr>
    </w:p>
    <w:p w14:paraId="1A49327B" w14:textId="77777777" w:rsidR="00EF5B27" w:rsidRDefault="00EF5B27">
      <w:pPr>
        <w:pStyle w:val="BodyText"/>
      </w:pPr>
    </w:p>
    <w:p w14:paraId="052255C1" w14:textId="77777777" w:rsidR="00EF5B27" w:rsidRDefault="00EF5B27">
      <w:pPr>
        <w:pStyle w:val="BodyText"/>
      </w:pPr>
    </w:p>
    <w:p w14:paraId="11408204" w14:textId="77777777" w:rsidR="00EF5B27" w:rsidRDefault="00EF5B27">
      <w:pPr>
        <w:pStyle w:val="BodyText"/>
        <w:spacing w:before="4"/>
        <w:rPr>
          <w:sz w:val="25"/>
        </w:rPr>
      </w:pPr>
    </w:p>
    <w:p w14:paraId="72C89011" w14:textId="77777777" w:rsidR="00EF5B27" w:rsidRDefault="00000000">
      <w:pPr>
        <w:pStyle w:val="BodyText"/>
        <w:spacing w:before="100" w:line="254" w:lineRule="auto"/>
        <w:ind w:left="2608" w:right="221"/>
        <w:jc w:val="both"/>
      </w:pPr>
      <w:r>
        <w:rPr>
          <w:color w:val="4D4D4F"/>
        </w:rPr>
        <w:t>This is the first Strategic Audit of the Implementation of MSA Conservation Outcomes Report by the Commissioner in accordance with section 18(A) of the CES Act 2003 and part 9 (Division 2) of the MSA Act 2020. It aims to establish a scientific baseline for the conservation outcomes for 12 MNES on land protected under the MSA program.</w:t>
      </w:r>
    </w:p>
    <w:p w14:paraId="134BDA5C" w14:textId="77777777" w:rsidR="00EF5B27" w:rsidRDefault="00EF5B27">
      <w:pPr>
        <w:pStyle w:val="BodyText"/>
      </w:pPr>
    </w:p>
    <w:p w14:paraId="6004AA66" w14:textId="77777777" w:rsidR="00EF5B27" w:rsidRDefault="00000000">
      <w:pPr>
        <w:pStyle w:val="BodyText"/>
        <w:spacing w:before="10"/>
        <w:rPr>
          <w:sz w:val="10"/>
        </w:rPr>
      </w:pPr>
      <w:r>
        <w:pict w14:anchorId="6A50BAD7">
          <v:shape id="_x0000_s4594" type="#_x0000_t202" style="position:absolute;margin-left:181.65pt;margin-top:7.8pt;width:356.95pt;height:93.85pt;z-index:-251489792;mso-wrap-distance-left:0;mso-wrap-distance-right:0;mso-position-horizontal-relative:page" fillcolor="#ffe3c3" stroked="f">
            <v:textbox inset="0,0,0,0">
              <w:txbxContent>
                <w:p w14:paraId="6A197936" w14:textId="77777777" w:rsidR="00EF5B27" w:rsidRDefault="00000000">
                  <w:pPr>
                    <w:pStyle w:val="BodyText"/>
                    <w:spacing w:before="192" w:line="254" w:lineRule="auto"/>
                    <w:ind w:left="226" w:right="1082"/>
                  </w:pPr>
                  <w:r>
                    <w:rPr>
                      <w:color w:val="4D4D4F"/>
                    </w:rPr>
                    <w:t>Consultation with DELWP between May and September 2021 led to the development of two key evaluation questions to frame this audit:</w:t>
                  </w:r>
                </w:p>
                <w:p w14:paraId="6E4BFD88" w14:textId="77777777" w:rsidR="00EF5B27" w:rsidRDefault="00000000">
                  <w:pPr>
                    <w:pStyle w:val="BodyText"/>
                    <w:numPr>
                      <w:ilvl w:val="0"/>
                      <w:numId w:val="63"/>
                    </w:numPr>
                    <w:tabs>
                      <w:tab w:val="left" w:pos="397"/>
                    </w:tabs>
                    <w:spacing w:before="116"/>
                  </w:pPr>
                  <w:r>
                    <w:rPr>
                      <w:color w:val="4D4D4F"/>
                    </w:rPr>
                    <w:t xml:space="preserve">Are the conservation outcomes for each of the </w:t>
                  </w:r>
                  <w:r>
                    <w:rPr>
                      <w:color w:val="4D4D4F"/>
                      <w:spacing w:val="-6"/>
                    </w:rPr>
                    <w:t xml:space="preserve">12 </w:t>
                  </w:r>
                  <w:r>
                    <w:rPr>
                      <w:color w:val="4D4D4F"/>
                    </w:rPr>
                    <w:t>MNES being</w:t>
                  </w:r>
                  <w:r>
                    <w:rPr>
                      <w:color w:val="4D4D4F"/>
                      <w:spacing w:val="44"/>
                    </w:rPr>
                    <w:t xml:space="preserve"> </w:t>
                  </w:r>
                  <w:r>
                    <w:rPr>
                      <w:color w:val="4D4D4F"/>
                    </w:rPr>
                    <w:t>met?</w:t>
                  </w:r>
                </w:p>
                <w:p w14:paraId="744A4057" w14:textId="77777777" w:rsidR="00EF5B27" w:rsidRDefault="00000000">
                  <w:pPr>
                    <w:pStyle w:val="BodyText"/>
                    <w:numPr>
                      <w:ilvl w:val="0"/>
                      <w:numId w:val="63"/>
                    </w:numPr>
                    <w:tabs>
                      <w:tab w:val="left" w:pos="397"/>
                    </w:tabs>
                    <w:spacing w:before="129" w:line="254" w:lineRule="auto"/>
                    <w:ind w:right="582"/>
                  </w:pPr>
                  <w:r>
                    <w:rPr>
                      <w:color w:val="4D4D4F"/>
                    </w:rPr>
                    <w:t>Is the current DELWP framework for MSA monitoring and reporting on the conservation outcomes</w:t>
                  </w:r>
                  <w:r>
                    <w:rPr>
                      <w:color w:val="4D4D4F"/>
                      <w:spacing w:val="7"/>
                    </w:rPr>
                    <w:t xml:space="preserve"> </w:t>
                  </w:r>
                  <w:r>
                    <w:rPr>
                      <w:color w:val="4D4D4F"/>
                    </w:rPr>
                    <w:t>adequate?</w:t>
                  </w:r>
                </w:p>
              </w:txbxContent>
            </v:textbox>
            <w10:wrap type="topAndBottom" anchorx="page"/>
          </v:shape>
        </w:pict>
      </w:r>
    </w:p>
    <w:p w14:paraId="2E0A06FD" w14:textId="77777777" w:rsidR="00EF5B27" w:rsidRDefault="00EF5B27">
      <w:pPr>
        <w:pStyle w:val="BodyText"/>
        <w:spacing w:before="10"/>
        <w:rPr>
          <w:sz w:val="24"/>
        </w:rPr>
      </w:pPr>
    </w:p>
    <w:p w14:paraId="51BADC05" w14:textId="77777777" w:rsidR="00EF5B27" w:rsidRDefault="00EF5B27">
      <w:pPr>
        <w:rPr>
          <w:sz w:val="24"/>
        </w:rPr>
        <w:sectPr w:rsidR="00EF5B27">
          <w:pgSz w:w="11910" w:h="16840"/>
          <w:pgMar w:top="1080" w:right="1020" w:bottom="860" w:left="1020" w:header="537" w:footer="678" w:gutter="0"/>
          <w:cols w:space="720"/>
        </w:sectPr>
      </w:pPr>
    </w:p>
    <w:p w14:paraId="089789EE" w14:textId="77777777" w:rsidR="00EF5B27" w:rsidRDefault="00000000">
      <w:pPr>
        <w:pStyle w:val="BodyText"/>
        <w:spacing w:before="101" w:line="254" w:lineRule="auto"/>
        <w:ind w:left="2608" w:right="-15"/>
      </w:pPr>
      <w:r>
        <w:rPr>
          <w:color w:val="4D4D4F"/>
          <w:spacing w:val="-6"/>
        </w:rPr>
        <w:t xml:space="preserve">Consultation </w:t>
      </w:r>
      <w:r>
        <w:rPr>
          <w:color w:val="4D4D4F"/>
          <w:spacing w:val="-4"/>
        </w:rPr>
        <w:t xml:space="preserve">with </w:t>
      </w:r>
      <w:r>
        <w:rPr>
          <w:color w:val="4D4D4F"/>
          <w:spacing w:val="-5"/>
        </w:rPr>
        <w:t xml:space="preserve">DELWP </w:t>
      </w:r>
      <w:r>
        <w:rPr>
          <w:color w:val="4D4D4F"/>
          <w:spacing w:val="-4"/>
        </w:rPr>
        <w:t xml:space="preserve">and </w:t>
      </w:r>
      <w:r>
        <w:rPr>
          <w:color w:val="4D4D4F"/>
        </w:rPr>
        <w:t xml:space="preserve">PV </w:t>
      </w:r>
      <w:r>
        <w:rPr>
          <w:color w:val="4D4D4F"/>
          <w:spacing w:val="-6"/>
        </w:rPr>
        <w:t xml:space="preserve">continued </w:t>
      </w:r>
      <w:r>
        <w:rPr>
          <w:color w:val="4D4D4F"/>
        </w:rPr>
        <w:t>into 2022 and involved interviews and meetings, as well as formal requests for information. Throughout the consultation period there were opportunities for DELWP to provide context for the limitations in the current framework – their comments have been recorded and referenced in this report as ‘personal communications’ where relevant to the conservation outcomes for MNES.</w:t>
      </w:r>
    </w:p>
    <w:p w14:paraId="38932855" w14:textId="77777777" w:rsidR="00EF5B27" w:rsidRDefault="00000000">
      <w:pPr>
        <w:pStyle w:val="BodyText"/>
        <w:spacing w:before="126" w:line="254" w:lineRule="auto"/>
        <w:ind w:left="2608" w:right="-15"/>
        <w:rPr>
          <w:sz w:val="11"/>
        </w:rPr>
      </w:pPr>
      <w:r>
        <w:rPr>
          <w:color w:val="4D4D4F"/>
          <w:spacing w:val="-6"/>
        </w:rPr>
        <w:t xml:space="preserve">DELWP </w:t>
      </w:r>
      <w:r>
        <w:rPr>
          <w:color w:val="4D4D4F"/>
          <w:spacing w:val="-5"/>
        </w:rPr>
        <w:t xml:space="preserve">staff </w:t>
      </w:r>
      <w:r>
        <w:rPr>
          <w:color w:val="4D4D4F"/>
          <w:spacing w:val="-6"/>
        </w:rPr>
        <w:t xml:space="preserve">provided </w:t>
      </w:r>
      <w:r>
        <w:rPr>
          <w:color w:val="4D4D4F"/>
          <w:spacing w:val="-5"/>
        </w:rPr>
        <w:t xml:space="preserve">data and </w:t>
      </w:r>
      <w:r>
        <w:rPr>
          <w:color w:val="4D4D4F"/>
          <w:spacing w:val="-6"/>
        </w:rPr>
        <w:t xml:space="preserve">evidence </w:t>
      </w:r>
      <w:r>
        <w:rPr>
          <w:color w:val="4D4D4F"/>
          <w:spacing w:val="-5"/>
        </w:rPr>
        <w:t xml:space="preserve">for </w:t>
      </w:r>
      <w:r>
        <w:rPr>
          <w:color w:val="4D4D4F"/>
        </w:rPr>
        <w:t xml:space="preserve">the </w:t>
      </w:r>
      <w:r>
        <w:rPr>
          <w:color w:val="4D4D4F"/>
          <w:spacing w:val="-3"/>
        </w:rPr>
        <w:t xml:space="preserve">findings in </w:t>
      </w:r>
      <w:r>
        <w:rPr>
          <w:color w:val="4D4D4F"/>
          <w:spacing w:val="-4"/>
        </w:rPr>
        <w:t xml:space="preserve">this </w:t>
      </w:r>
      <w:r>
        <w:rPr>
          <w:color w:val="4D4D4F"/>
        </w:rPr>
        <w:t xml:space="preserve">report, collected based on the methodologies of the Monitoring and Reporting Framework </w:t>
      </w:r>
      <w:r>
        <w:rPr>
          <w:color w:val="4D4D4F"/>
          <w:spacing w:val="-5"/>
        </w:rPr>
        <w:t>(MRF).</w:t>
      </w:r>
      <w:r>
        <w:rPr>
          <w:color w:val="4D4D4F"/>
          <w:spacing w:val="-5"/>
          <w:position w:val="7"/>
          <w:sz w:val="11"/>
        </w:rPr>
        <w:t>13</w:t>
      </w:r>
    </w:p>
    <w:p w14:paraId="007F198D" w14:textId="77777777" w:rsidR="00EF5B27" w:rsidRDefault="00000000">
      <w:pPr>
        <w:pStyle w:val="BodyText"/>
        <w:spacing w:before="119" w:line="254" w:lineRule="auto"/>
        <w:ind w:left="2608" w:right="122"/>
      </w:pPr>
      <w:r>
        <w:rPr>
          <w:color w:val="4D4D4F"/>
        </w:rPr>
        <w:t xml:space="preserve">Informal changes to the MRF have occurred since the official publication of the document in </w:t>
      </w:r>
      <w:r>
        <w:rPr>
          <w:color w:val="4D4D4F"/>
          <w:spacing w:val="-3"/>
        </w:rPr>
        <w:t xml:space="preserve">2015. </w:t>
      </w:r>
      <w:r>
        <w:rPr>
          <w:color w:val="4D4D4F"/>
        </w:rPr>
        <w:t xml:space="preserve">DELWP’s Arthur Rylah Institute (ARI) detailed these  in its MSA Outcomes Report </w:t>
      </w:r>
      <w:r>
        <w:rPr>
          <w:color w:val="4D4D4F"/>
          <w:spacing w:val="-5"/>
        </w:rPr>
        <w:t xml:space="preserve">2014/15– </w:t>
      </w:r>
      <w:r>
        <w:rPr>
          <w:color w:val="4D4D4F"/>
          <w:spacing w:val="-6"/>
        </w:rPr>
        <w:t>2019/20.</w:t>
      </w:r>
      <w:r>
        <w:rPr>
          <w:color w:val="4D4D4F"/>
          <w:spacing w:val="-6"/>
          <w:position w:val="7"/>
          <w:sz w:val="11"/>
        </w:rPr>
        <w:t xml:space="preserve">14 </w:t>
      </w:r>
      <w:r>
        <w:rPr>
          <w:color w:val="4D4D4F"/>
        </w:rPr>
        <w:t>ARI has since made further informal updates to the monitoring protocol for 2020–2022 via an internal document,</w:t>
      </w:r>
      <w:r>
        <w:rPr>
          <w:color w:val="4D4D4F"/>
          <w:position w:val="7"/>
          <w:sz w:val="11"/>
        </w:rPr>
        <w:t xml:space="preserve">15 </w:t>
      </w:r>
      <w:r>
        <w:rPr>
          <w:color w:val="4D4D4F"/>
        </w:rPr>
        <w:t>and these changes are included in Appendix</w:t>
      </w:r>
      <w:r>
        <w:rPr>
          <w:color w:val="4D4D4F"/>
          <w:spacing w:val="9"/>
        </w:rPr>
        <w:t xml:space="preserve"> </w:t>
      </w:r>
      <w:r>
        <w:rPr>
          <w:color w:val="4D4D4F"/>
          <w:spacing w:val="-3"/>
        </w:rPr>
        <w:t>Two.</w:t>
      </w:r>
    </w:p>
    <w:p w14:paraId="2703F371" w14:textId="77777777" w:rsidR="00EF5B27" w:rsidRDefault="00000000">
      <w:pPr>
        <w:pStyle w:val="BodyText"/>
        <w:spacing w:before="125" w:line="254" w:lineRule="auto"/>
        <w:ind w:left="2608" w:right="-15"/>
      </w:pPr>
      <w:r>
        <w:rPr>
          <w:color w:val="4D4D4F"/>
        </w:rPr>
        <w:t>The lack of published data and interpretation on many of the MNES conservation outcomes meant that this strategic audit relies on expert opinion (through personal communications) of DELWP and PV staff.</w:t>
      </w:r>
    </w:p>
    <w:p w14:paraId="5D9EF8E3" w14:textId="77777777" w:rsidR="00EF5B27" w:rsidRDefault="00000000">
      <w:pPr>
        <w:pStyle w:val="BodyText"/>
        <w:spacing w:before="101" w:line="254" w:lineRule="auto"/>
        <w:ind w:left="302" w:right="383"/>
      </w:pPr>
      <w:r>
        <w:br w:type="column"/>
      </w:r>
      <w:r>
        <w:rPr>
          <w:color w:val="4D4D4F"/>
        </w:rPr>
        <w:t xml:space="preserve">DELWP and PV were  provided  with an expert review draft of the scientific assessments contained within this </w:t>
      </w:r>
      <w:r>
        <w:rPr>
          <w:color w:val="4D4D4F"/>
          <w:spacing w:val="2"/>
        </w:rPr>
        <w:t xml:space="preserve">report </w:t>
      </w:r>
      <w:r>
        <w:rPr>
          <w:color w:val="4D4D4F"/>
        </w:rPr>
        <w:t>in May 2022</w:t>
      </w:r>
      <w:r>
        <w:rPr>
          <w:color w:val="4D4D4F"/>
          <w:spacing w:val="5"/>
        </w:rPr>
        <w:t xml:space="preserve"> </w:t>
      </w:r>
      <w:r>
        <w:rPr>
          <w:color w:val="4D4D4F"/>
        </w:rPr>
        <w:t>to:</w:t>
      </w:r>
    </w:p>
    <w:p w14:paraId="36BF02B5" w14:textId="77777777" w:rsidR="00EF5B27" w:rsidRDefault="00000000">
      <w:pPr>
        <w:pStyle w:val="ListParagraph"/>
        <w:numPr>
          <w:ilvl w:val="1"/>
          <w:numId w:val="66"/>
        </w:numPr>
        <w:tabs>
          <w:tab w:val="left" w:pos="473"/>
        </w:tabs>
        <w:spacing w:before="118"/>
        <w:rPr>
          <w:sz w:val="20"/>
        </w:rPr>
      </w:pPr>
      <w:r>
        <w:rPr>
          <w:color w:val="4D4D4F"/>
          <w:sz w:val="20"/>
        </w:rPr>
        <w:t>review these personal</w:t>
      </w:r>
      <w:r>
        <w:rPr>
          <w:color w:val="4D4D4F"/>
          <w:spacing w:val="17"/>
          <w:sz w:val="20"/>
        </w:rPr>
        <w:t xml:space="preserve"> </w:t>
      </w:r>
      <w:r>
        <w:rPr>
          <w:color w:val="4D4D4F"/>
          <w:sz w:val="20"/>
        </w:rPr>
        <w:t>communications</w:t>
      </w:r>
    </w:p>
    <w:p w14:paraId="58D79AA4" w14:textId="77777777" w:rsidR="00EF5B27" w:rsidRDefault="00000000">
      <w:pPr>
        <w:pStyle w:val="ListParagraph"/>
        <w:numPr>
          <w:ilvl w:val="1"/>
          <w:numId w:val="66"/>
        </w:numPr>
        <w:tabs>
          <w:tab w:val="left" w:pos="473"/>
        </w:tabs>
        <w:spacing w:before="129" w:line="254" w:lineRule="auto"/>
        <w:ind w:right="646"/>
        <w:jc w:val="both"/>
        <w:rPr>
          <w:sz w:val="20"/>
        </w:rPr>
      </w:pPr>
      <w:r>
        <w:rPr>
          <w:color w:val="4D4D4F"/>
          <w:sz w:val="20"/>
        </w:rPr>
        <w:t>ensure that no relevant scientific evidence had been missed in the production of this</w:t>
      </w:r>
      <w:r>
        <w:rPr>
          <w:color w:val="4D4D4F"/>
          <w:spacing w:val="10"/>
          <w:sz w:val="20"/>
        </w:rPr>
        <w:t xml:space="preserve"> </w:t>
      </w:r>
      <w:r>
        <w:rPr>
          <w:color w:val="4D4D4F"/>
          <w:sz w:val="20"/>
        </w:rPr>
        <w:t>report</w:t>
      </w:r>
    </w:p>
    <w:p w14:paraId="62546AF4" w14:textId="77777777" w:rsidR="00EF5B27" w:rsidRDefault="00000000">
      <w:pPr>
        <w:pStyle w:val="ListParagraph"/>
        <w:numPr>
          <w:ilvl w:val="1"/>
          <w:numId w:val="66"/>
        </w:numPr>
        <w:tabs>
          <w:tab w:val="left" w:pos="473"/>
        </w:tabs>
        <w:spacing w:before="117" w:line="254" w:lineRule="auto"/>
        <w:ind w:right="359"/>
        <w:rPr>
          <w:sz w:val="20"/>
        </w:rPr>
      </w:pPr>
      <w:r>
        <w:rPr>
          <w:color w:val="4D4D4F"/>
          <w:sz w:val="20"/>
        </w:rPr>
        <w:t>provide technical advice and corrections relating to information obtained in interviews and review of the science in the</w:t>
      </w:r>
      <w:r>
        <w:rPr>
          <w:color w:val="4D4D4F"/>
          <w:spacing w:val="14"/>
          <w:sz w:val="20"/>
        </w:rPr>
        <w:t xml:space="preserve"> </w:t>
      </w:r>
      <w:r>
        <w:rPr>
          <w:color w:val="4D4D4F"/>
          <w:spacing w:val="-5"/>
          <w:sz w:val="20"/>
        </w:rPr>
        <w:t>MRF.</w:t>
      </w:r>
    </w:p>
    <w:p w14:paraId="5B9809A0" w14:textId="77777777" w:rsidR="00EF5B27" w:rsidRDefault="00000000">
      <w:pPr>
        <w:pStyle w:val="BodyText"/>
        <w:spacing w:before="118" w:line="254" w:lineRule="auto"/>
        <w:ind w:left="302" w:right="141"/>
      </w:pPr>
      <w:r>
        <w:rPr>
          <w:color w:val="4D4D4F"/>
        </w:rPr>
        <w:t xml:space="preserve">Definitions of the MSA conservation outcomes for the purpose of the Commissioner’s </w:t>
      </w:r>
      <w:r>
        <w:rPr>
          <w:color w:val="4D4D4F"/>
          <w:spacing w:val="2"/>
        </w:rPr>
        <w:t xml:space="preserve">report </w:t>
      </w:r>
      <w:r>
        <w:rPr>
          <w:color w:val="4D4D4F"/>
        </w:rPr>
        <w:t xml:space="preserve">are based on </w:t>
      </w:r>
      <w:r>
        <w:rPr>
          <w:color w:val="4D4D4F"/>
          <w:spacing w:val="-3"/>
        </w:rPr>
        <w:t xml:space="preserve">those </w:t>
      </w:r>
      <w:r>
        <w:rPr>
          <w:color w:val="4D4D4F"/>
          <w:spacing w:val="-4"/>
        </w:rPr>
        <w:t xml:space="preserve">outlined </w:t>
      </w:r>
      <w:r>
        <w:rPr>
          <w:color w:val="4D4D4F"/>
          <w:spacing w:val="-3"/>
        </w:rPr>
        <w:t xml:space="preserve">in the formal </w:t>
      </w:r>
      <w:r>
        <w:rPr>
          <w:color w:val="4D4D4F"/>
          <w:spacing w:val="-4"/>
        </w:rPr>
        <w:t xml:space="preserve">notice </w:t>
      </w:r>
      <w:r>
        <w:rPr>
          <w:color w:val="4D4D4F"/>
          <w:spacing w:val="-3"/>
        </w:rPr>
        <w:t xml:space="preserve">in the </w:t>
      </w:r>
      <w:r>
        <w:rPr>
          <w:color w:val="4D4D4F"/>
          <w:spacing w:val="-6"/>
        </w:rPr>
        <w:t xml:space="preserve">Government Gazette </w:t>
      </w:r>
      <w:r>
        <w:rPr>
          <w:color w:val="4D4D4F"/>
          <w:spacing w:val="-7"/>
        </w:rPr>
        <w:t xml:space="preserve">published </w:t>
      </w:r>
      <w:r>
        <w:rPr>
          <w:color w:val="4D4D4F"/>
        </w:rPr>
        <w:t xml:space="preserve">27 </w:t>
      </w:r>
      <w:r>
        <w:rPr>
          <w:color w:val="4D4D4F"/>
          <w:spacing w:val="-6"/>
        </w:rPr>
        <w:t xml:space="preserve">January </w:t>
      </w:r>
      <w:r>
        <w:rPr>
          <w:color w:val="4D4D4F"/>
          <w:spacing w:val="-4"/>
        </w:rPr>
        <w:t>2022.</w:t>
      </w:r>
      <w:r>
        <w:rPr>
          <w:color w:val="4D4D4F"/>
          <w:spacing w:val="-4"/>
          <w:position w:val="7"/>
          <w:sz w:val="11"/>
        </w:rPr>
        <w:t xml:space="preserve">16 </w:t>
      </w:r>
      <w:r>
        <w:rPr>
          <w:color w:val="4D4D4F"/>
        </w:rPr>
        <w:t xml:space="preserve">There are </w:t>
      </w:r>
      <w:r>
        <w:rPr>
          <w:color w:val="4D4D4F"/>
          <w:spacing w:val="-4"/>
        </w:rPr>
        <w:t xml:space="preserve">discrepancies </w:t>
      </w:r>
      <w:r>
        <w:rPr>
          <w:color w:val="4D4D4F"/>
          <w:spacing w:val="-3"/>
        </w:rPr>
        <w:t xml:space="preserve">between the </w:t>
      </w:r>
      <w:r>
        <w:rPr>
          <w:color w:val="4D4D4F"/>
          <w:spacing w:val="-4"/>
        </w:rPr>
        <w:t xml:space="preserve">gazetted </w:t>
      </w:r>
      <w:r>
        <w:rPr>
          <w:color w:val="4D4D4F"/>
          <w:spacing w:val="-3"/>
        </w:rPr>
        <w:t xml:space="preserve">conservation outcomes and </w:t>
      </w:r>
      <w:r>
        <w:rPr>
          <w:color w:val="4D4D4F"/>
        </w:rPr>
        <w:t xml:space="preserve">the conservation outcomes statements contained within DELWP’s </w:t>
      </w:r>
      <w:r>
        <w:rPr>
          <w:color w:val="4D4D4F"/>
          <w:spacing w:val="-5"/>
        </w:rPr>
        <w:t>MRF.</w:t>
      </w:r>
    </w:p>
    <w:p w14:paraId="72B62A0B" w14:textId="77777777" w:rsidR="00EF5B27" w:rsidRDefault="00000000">
      <w:pPr>
        <w:pStyle w:val="BodyText"/>
        <w:spacing w:before="125" w:line="254" w:lineRule="auto"/>
        <w:ind w:left="302" w:right="271"/>
      </w:pPr>
      <w:r>
        <w:rPr>
          <w:color w:val="4D4D4F"/>
          <w:spacing w:val="-7"/>
        </w:rPr>
        <w:t xml:space="preserve">To </w:t>
      </w:r>
      <w:r>
        <w:rPr>
          <w:color w:val="4D4D4F"/>
        </w:rPr>
        <w:t>avoid confusion, both the gazetted conservation outcomes definitions and MRF conservation outcomes definitions are presented with the full scientific assessments for each MNES in Part 2   of this</w:t>
      </w:r>
      <w:r>
        <w:rPr>
          <w:color w:val="4D4D4F"/>
          <w:spacing w:val="7"/>
        </w:rPr>
        <w:t xml:space="preserve"> </w:t>
      </w:r>
      <w:r>
        <w:rPr>
          <w:color w:val="4D4D4F"/>
        </w:rPr>
        <w:t>report.</w:t>
      </w:r>
    </w:p>
    <w:p w14:paraId="5177EFEA"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6008" w:space="40"/>
            <w:col w:w="3822"/>
          </w:cols>
        </w:sectPr>
      </w:pPr>
    </w:p>
    <w:p w14:paraId="013BD108" w14:textId="77777777" w:rsidR="00EF5B27" w:rsidRDefault="00000000">
      <w:pPr>
        <w:pStyle w:val="BodyText"/>
        <w:spacing w:before="5" w:after="1"/>
        <w:rPr>
          <w:sz w:val="28"/>
        </w:rPr>
      </w:pPr>
      <w:r>
        <w:pict w14:anchorId="361CB554">
          <v:group id="_x0000_s4586" style="position:absolute;margin-left:587.05pt;margin-top:183.4pt;width:8.25pt;height:153.1pt;z-index:251324928;mso-position-horizontal-relative:page;mso-position-vertical-relative:page" coordorigin="11741,3668" coordsize="165,3062">
            <v:shape id="_x0000_s4593" style="position:absolute;left:11741;top:3668;width:165;height:561" coordorigin="11741,3668" coordsize="165,561" path="m11906,3668r-165,l11741,4228r165,-18l11906,3668xe" fillcolor="#00aed9" stroked="f">
              <v:path arrowok="t"/>
            </v:shape>
            <v:shape id="_x0000_s4592" style="position:absolute;left:11741;top:4118;width:165;height:425" coordorigin="11741,4118" coordsize="165,425" path="m11906,4118r-165,14l11741,4531r165,12l11906,4118xe" fillcolor="#047ebc" stroked="f">
              <v:path arrowok="t"/>
            </v:shape>
            <v:shape id="_x0000_s4591" type="#_x0000_t75" style="position:absolute;left:11741;top:4355;width:165;height:587">
              <v:imagedata r:id="rId42" o:title=""/>
            </v:shape>
            <v:shape id="_x0000_s4590" style="position:absolute;left:11741;top:5343;width:165;height:536" coordorigin="11741,5343" coordsize="165,536" path="m11741,5343r,535l11906,5872r,-525l11741,5343xe" fillcolor="#f36a2e" stroked="f">
              <v:path arrowok="t"/>
            </v:shape>
            <v:shape id="_x0000_s4589" style="position:absolute;left:11741;top:4925;width:165;height:501" coordorigin="11741,4926" coordsize="165,501" path="m11741,4926r,500l11906,5426r,-485l11741,4926xe" fillcolor="#49783f" stroked="f">
              <v:path arrowok="t"/>
            </v:shape>
            <v:shape id="_x0000_s4588" style="position:absolute;left:11741;top:5781;width:165;height:268" coordorigin="11741,5782" coordsize="165,268" path="m11906,5782r-165,8l11741,6039r165,10l11906,5782xe" fillcolor="#f99f2a" stroked="f">
              <v:path arrowok="t"/>
            </v:shape>
            <v:shape id="_x0000_s4587" style="position:absolute;left:11741;top:6023;width:165;height:707" coordorigin="11741,6023" coordsize="165,707" path="m11741,6023r,706l11906,6729r,-690l11741,6023xe" fillcolor="#ef412c" stroked="f">
              <v:path arrowok="t"/>
            </v:shape>
            <w10:wrap anchorx="page" anchory="page"/>
          </v:group>
        </w:pict>
      </w:r>
    </w:p>
    <w:p w14:paraId="6ECEDE65" w14:textId="77777777" w:rsidR="00EF5B27" w:rsidRDefault="00000000">
      <w:pPr>
        <w:pStyle w:val="BodyText"/>
        <w:spacing w:line="20" w:lineRule="exact"/>
        <w:ind w:left="2603"/>
        <w:rPr>
          <w:sz w:val="2"/>
        </w:rPr>
      </w:pPr>
      <w:r>
        <w:rPr>
          <w:sz w:val="2"/>
        </w:rPr>
      </w:r>
      <w:r>
        <w:rPr>
          <w:sz w:val="2"/>
        </w:rPr>
        <w:pict w14:anchorId="72B8E683">
          <v:group id="_x0000_s4584" style="width:357.2pt;height:.5pt;mso-position-horizontal-relative:char;mso-position-vertical-relative:line" coordsize="7144,10">
            <v:line id="_x0000_s4585" style="position:absolute" from="0,5" to="7143,5" strokecolor="#4d4d4f" strokeweight=".5pt"/>
            <w10:anchorlock/>
          </v:group>
        </w:pict>
      </w:r>
    </w:p>
    <w:p w14:paraId="1136B544" w14:textId="77777777" w:rsidR="00EF5B27" w:rsidRDefault="00000000">
      <w:pPr>
        <w:pStyle w:val="ListParagraph"/>
        <w:numPr>
          <w:ilvl w:val="0"/>
          <w:numId w:val="65"/>
        </w:numPr>
        <w:tabs>
          <w:tab w:val="left" w:pos="2836"/>
        </w:tabs>
        <w:spacing w:before="102" w:line="143" w:lineRule="exact"/>
        <w:jc w:val="left"/>
        <w:rPr>
          <w:sz w:val="12"/>
        </w:rPr>
      </w:pPr>
      <w:r>
        <w:rPr>
          <w:color w:val="4D4D4F"/>
          <w:sz w:val="12"/>
        </w:rPr>
        <w:t>DELWP</w:t>
      </w:r>
      <w:r>
        <w:rPr>
          <w:color w:val="4D4D4F"/>
          <w:spacing w:val="4"/>
          <w:sz w:val="12"/>
        </w:rPr>
        <w:t xml:space="preserve"> </w:t>
      </w:r>
      <w:r>
        <w:rPr>
          <w:color w:val="4D4D4F"/>
          <w:sz w:val="12"/>
        </w:rPr>
        <w:t>2015,</w:t>
      </w:r>
      <w:r>
        <w:rPr>
          <w:color w:val="4D4D4F"/>
          <w:spacing w:val="5"/>
          <w:sz w:val="12"/>
        </w:rPr>
        <w:t xml:space="preserve"> </w:t>
      </w:r>
      <w:r>
        <w:rPr>
          <w:color w:val="4D4D4F"/>
          <w:sz w:val="12"/>
        </w:rPr>
        <w:t>‘Monitoring</w:t>
      </w:r>
      <w:r>
        <w:rPr>
          <w:color w:val="4D4D4F"/>
          <w:spacing w:val="5"/>
          <w:sz w:val="12"/>
        </w:rPr>
        <w:t xml:space="preserve"> </w:t>
      </w:r>
      <w:r>
        <w:rPr>
          <w:color w:val="4D4D4F"/>
          <w:sz w:val="12"/>
        </w:rPr>
        <w:t>and</w:t>
      </w:r>
      <w:r>
        <w:rPr>
          <w:color w:val="4D4D4F"/>
          <w:spacing w:val="5"/>
          <w:sz w:val="12"/>
        </w:rPr>
        <w:t xml:space="preserve"> </w:t>
      </w:r>
      <w:r>
        <w:rPr>
          <w:color w:val="4D4D4F"/>
          <w:sz w:val="12"/>
        </w:rPr>
        <w:t>Reporting</w:t>
      </w:r>
      <w:r>
        <w:rPr>
          <w:color w:val="4D4D4F"/>
          <w:spacing w:val="5"/>
          <w:sz w:val="12"/>
        </w:rPr>
        <w:t xml:space="preserve"> </w:t>
      </w:r>
      <w:r>
        <w:rPr>
          <w:color w:val="4D4D4F"/>
          <w:sz w:val="12"/>
        </w:rPr>
        <w:t>Framework</w:t>
      </w:r>
      <w:r>
        <w:rPr>
          <w:color w:val="4D4D4F"/>
          <w:spacing w:val="5"/>
          <w:sz w:val="12"/>
        </w:rPr>
        <w:t xml:space="preserve"> </w:t>
      </w:r>
      <w:r>
        <w:rPr>
          <w:color w:val="4D4D4F"/>
          <w:sz w:val="12"/>
        </w:rPr>
        <w:t>–</w:t>
      </w:r>
      <w:r>
        <w:rPr>
          <w:color w:val="4D4D4F"/>
          <w:spacing w:val="5"/>
          <w:sz w:val="12"/>
        </w:rPr>
        <w:t xml:space="preserve"> </w:t>
      </w:r>
      <w:r>
        <w:rPr>
          <w:color w:val="4D4D4F"/>
          <w:sz w:val="12"/>
        </w:rPr>
        <w:t>Melbourne</w:t>
      </w:r>
      <w:r>
        <w:rPr>
          <w:color w:val="4D4D4F"/>
          <w:spacing w:val="5"/>
          <w:sz w:val="12"/>
        </w:rPr>
        <w:t xml:space="preserve"> </w:t>
      </w:r>
      <w:r>
        <w:rPr>
          <w:color w:val="4D4D4F"/>
          <w:sz w:val="12"/>
        </w:rPr>
        <w:t>Strategic</w:t>
      </w:r>
      <w:r>
        <w:rPr>
          <w:color w:val="4D4D4F"/>
          <w:spacing w:val="5"/>
          <w:sz w:val="12"/>
        </w:rPr>
        <w:t xml:space="preserve"> </w:t>
      </w:r>
      <w:r>
        <w:rPr>
          <w:color w:val="4D4D4F"/>
          <w:sz w:val="12"/>
        </w:rPr>
        <w:t>Assessment’,</w:t>
      </w:r>
      <w:r>
        <w:rPr>
          <w:color w:val="4D4D4F"/>
          <w:spacing w:val="5"/>
          <w:sz w:val="12"/>
        </w:rPr>
        <w:t xml:space="preserve"> </w:t>
      </w:r>
      <w:r>
        <w:rPr>
          <w:color w:val="4D4D4F"/>
          <w:sz w:val="12"/>
        </w:rPr>
        <w:t>East</w:t>
      </w:r>
      <w:r>
        <w:rPr>
          <w:color w:val="4D4D4F"/>
          <w:spacing w:val="5"/>
          <w:sz w:val="12"/>
        </w:rPr>
        <w:t xml:space="preserve"> </w:t>
      </w:r>
      <w:r>
        <w:rPr>
          <w:color w:val="4D4D4F"/>
          <w:sz w:val="12"/>
        </w:rPr>
        <w:t>Melbourne,</w:t>
      </w:r>
      <w:r>
        <w:rPr>
          <w:color w:val="4D4D4F"/>
          <w:spacing w:val="5"/>
          <w:sz w:val="12"/>
        </w:rPr>
        <w:t xml:space="preserve"> </w:t>
      </w:r>
      <w:r>
        <w:rPr>
          <w:color w:val="4D4D4F"/>
          <w:sz w:val="12"/>
        </w:rPr>
        <w:t>Victoria.</w:t>
      </w:r>
    </w:p>
    <w:p w14:paraId="7AD4B85B" w14:textId="77777777" w:rsidR="00EF5B27" w:rsidRDefault="00000000">
      <w:pPr>
        <w:pStyle w:val="ListParagraph"/>
        <w:numPr>
          <w:ilvl w:val="0"/>
          <w:numId w:val="65"/>
        </w:numPr>
        <w:tabs>
          <w:tab w:val="left" w:pos="2836"/>
        </w:tabs>
        <w:spacing w:before="2" w:line="230" w:lineRule="auto"/>
        <w:ind w:right="180"/>
        <w:jc w:val="left"/>
        <w:rPr>
          <w:sz w:val="12"/>
        </w:rPr>
      </w:pPr>
      <w:r>
        <w:rPr>
          <w:color w:val="4D4D4F"/>
          <w:spacing w:val="2"/>
          <w:sz w:val="12"/>
        </w:rPr>
        <w:t xml:space="preserve">Bruce </w:t>
      </w:r>
      <w:r>
        <w:rPr>
          <w:color w:val="4D4D4F"/>
          <w:sz w:val="12"/>
        </w:rPr>
        <w:t xml:space="preserve">M, Batpurev </w:t>
      </w:r>
      <w:r>
        <w:rPr>
          <w:color w:val="4D4D4F"/>
          <w:spacing w:val="2"/>
          <w:sz w:val="12"/>
        </w:rPr>
        <w:t xml:space="preserve">K, </w:t>
      </w:r>
      <w:r>
        <w:rPr>
          <w:color w:val="4D4D4F"/>
          <w:sz w:val="12"/>
        </w:rPr>
        <w:t xml:space="preserve">Bryant D, Sinclair S and Kohout M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Department of Environment, Land, Water and Planning, Heidelberg, Victoria.</w:t>
      </w:r>
    </w:p>
    <w:p w14:paraId="4DB18646" w14:textId="77777777" w:rsidR="00EF5B27" w:rsidRDefault="00000000">
      <w:pPr>
        <w:pStyle w:val="ListParagraph"/>
        <w:numPr>
          <w:ilvl w:val="0"/>
          <w:numId w:val="65"/>
        </w:numPr>
        <w:tabs>
          <w:tab w:val="left" w:pos="2836"/>
        </w:tabs>
        <w:spacing w:line="138" w:lineRule="exact"/>
        <w:jc w:val="left"/>
        <w:rPr>
          <w:sz w:val="12"/>
        </w:rPr>
      </w:pPr>
      <w:r>
        <w:rPr>
          <w:color w:val="4D4D4F"/>
          <w:sz w:val="12"/>
        </w:rPr>
        <w:t xml:space="preserve">DELWP, internal document, </w:t>
      </w:r>
      <w:r>
        <w:rPr>
          <w:color w:val="4D4D4F"/>
          <w:spacing w:val="2"/>
          <w:sz w:val="12"/>
        </w:rPr>
        <w:t xml:space="preserve">Accessed </w:t>
      </w:r>
      <w:r>
        <w:rPr>
          <w:color w:val="4D4D4F"/>
          <w:sz w:val="12"/>
        </w:rPr>
        <w:t xml:space="preserve">6 </w:t>
      </w:r>
      <w:r>
        <w:rPr>
          <w:color w:val="4D4D4F"/>
          <w:spacing w:val="2"/>
          <w:sz w:val="12"/>
        </w:rPr>
        <w:t>February</w:t>
      </w:r>
      <w:r>
        <w:rPr>
          <w:color w:val="4D4D4F"/>
          <w:spacing w:val="11"/>
          <w:sz w:val="12"/>
        </w:rPr>
        <w:t xml:space="preserve"> </w:t>
      </w:r>
      <w:r>
        <w:rPr>
          <w:color w:val="4D4D4F"/>
          <w:spacing w:val="2"/>
          <w:sz w:val="12"/>
        </w:rPr>
        <w:t>2022.</w:t>
      </w:r>
    </w:p>
    <w:p w14:paraId="2E791827" w14:textId="77777777" w:rsidR="00EF5B27" w:rsidRDefault="00000000">
      <w:pPr>
        <w:pStyle w:val="ListParagraph"/>
        <w:numPr>
          <w:ilvl w:val="0"/>
          <w:numId w:val="65"/>
        </w:numPr>
        <w:tabs>
          <w:tab w:val="left" w:pos="2836"/>
        </w:tabs>
        <w:spacing w:before="1" w:line="230" w:lineRule="auto"/>
        <w:ind w:right="180"/>
        <w:jc w:val="left"/>
        <w:rPr>
          <w:sz w:val="12"/>
        </w:rPr>
      </w:pPr>
      <w:r>
        <w:rPr>
          <w:color w:val="4D4D4F"/>
          <w:spacing w:val="-3"/>
          <w:sz w:val="12"/>
        </w:rPr>
        <w:t>State</w:t>
      </w:r>
      <w:r>
        <w:rPr>
          <w:color w:val="4D4D4F"/>
          <w:spacing w:val="-9"/>
          <w:sz w:val="12"/>
        </w:rPr>
        <w:t xml:space="preserve"> </w:t>
      </w:r>
      <w:r>
        <w:rPr>
          <w:color w:val="4D4D4F"/>
          <w:spacing w:val="-3"/>
          <w:sz w:val="12"/>
        </w:rPr>
        <w:t>Government</w:t>
      </w:r>
      <w:r>
        <w:rPr>
          <w:color w:val="4D4D4F"/>
          <w:spacing w:val="-8"/>
          <w:sz w:val="12"/>
        </w:rPr>
        <w:t xml:space="preserve"> </w:t>
      </w:r>
      <w:r>
        <w:rPr>
          <w:color w:val="4D4D4F"/>
          <w:sz w:val="12"/>
        </w:rPr>
        <w:t>of</w:t>
      </w:r>
      <w:r>
        <w:rPr>
          <w:color w:val="4D4D4F"/>
          <w:spacing w:val="-9"/>
          <w:sz w:val="12"/>
        </w:rPr>
        <w:t xml:space="preserve"> </w:t>
      </w:r>
      <w:r>
        <w:rPr>
          <w:color w:val="4D4D4F"/>
          <w:sz w:val="12"/>
        </w:rPr>
        <w:t>Victoria</w:t>
      </w:r>
      <w:r>
        <w:rPr>
          <w:color w:val="4D4D4F"/>
          <w:spacing w:val="-8"/>
          <w:sz w:val="12"/>
        </w:rPr>
        <w:t xml:space="preserve"> </w:t>
      </w:r>
      <w:r>
        <w:rPr>
          <w:color w:val="4D4D4F"/>
          <w:sz w:val="12"/>
        </w:rPr>
        <w:t>2022,</w:t>
      </w:r>
      <w:r>
        <w:rPr>
          <w:color w:val="4D4D4F"/>
          <w:spacing w:val="-8"/>
          <w:sz w:val="12"/>
        </w:rPr>
        <w:t xml:space="preserve"> </w:t>
      </w:r>
      <w:r>
        <w:rPr>
          <w:color w:val="4D4D4F"/>
          <w:sz w:val="12"/>
        </w:rPr>
        <w:t>Victorian</w:t>
      </w:r>
      <w:r>
        <w:rPr>
          <w:color w:val="4D4D4F"/>
          <w:spacing w:val="-9"/>
          <w:sz w:val="12"/>
        </w:rPr>
        <w:t xml:space="preserve"> </w:t>
      </w:r>
      <w:r>
        <w:rPr>
          <w:color w:val="4D4D4F"/>
          <w:spacing w:val="-3"/>
          <w:sz w:val="12"/>
        </w:rPr>
        <w:t>Government</w:t>
      </w:r>
      <w:r>
        <w:rPr>
          <w:color w:val="4D4D4F"/>
          <w:spacing w:val="-8"/>
          <w:sz w:val="12"/>
        </w:rPr>
        <w:t xml:space="preserve"> </w:t>
      </w:r>
      <w:r>
        <w:rPr>
          <w:color w:val="4D4D4F"/>
          <w:spacing w:val="-3"/>
          <w:sz w:val="12"/>
        </w:rPr>
        <w:t>Gazette,</w:t>
      </w:r>
      <w:r>
        <w:rPr>
          <w:color w:val="4D4D4F"/>
          <w:spacing w:val="-9"/>
          <w:sz w:val="12"/>
        </w:rPr>
        <w:t xml:space="preserve"> </w:t>
      </w:r>
      <w:r>
        <w:rPr>
          <w:color w:val="4D4D4F"/>
          <w:spacing w:val="-3"/>
          <w:sz w:val="12"/>
        </w:rPr>
        <w:t>Issue</w:t>
      </w:r>
      <w:r>
        <w:rPr>
          <w:color w:val="4D4D4F"/>
          <w:spacing w:val="-8"/>
          <w:sz w:val="12"/>
        </w:rPr>
        <w:t xml:space="preserve"> </w:t>
      </w:r>
      <w:r>
        <w:rPr>
          <w:color w:val="4D4D4F"/>
          <w:sz w:val="12"/>
        </w:rPr>
        <w:t>G4,</w:t>
      </w:r>
      <w:r>
        <w:rPr>
          <w:color w:val="4D4D4F"/>
          <w:spacing w:val="-8"/>
          <w:sz w:val="12"/>
        </w:rPr>
        <w:t xml:space="preserve"> </w:t>
      </w:r>
      <w:r>
        <w:rPr>
          <w:color w:val="4D4D4F"/>
          <w:sz w:val="12"/>
        </w:rPr>
        <w:t>‘Melbourne</w:t>
      </w:r>
      <w:r>
        <w:rPr>
          <w:color w:val="4D4D4F"/>
          <w:spacing w:val="-9"/>
          <w:sz w:val="12"/>
        </w:rPr>
        <w:t xml:space="preserve"> </w:t>
      </w:r>
      <w:r>
        <w:rPr>
          <w:color w:val="4D4D4F"/>
          <w:spacing w:val="-3"/>
          <w:sz w:val="12"/>
        </w:rPr>
        <w:t>Strategic</w:t>
      </w:r>
      <w:r>
        <w:rPr>
          <w:color w:val="4D4D4F"/>
          <w:spacing w:val="-8"/>
          <w:sz w:val="12"/>
        </w:rPr>
        <w:t xml:space="preserve"> </w:t>
      </w:r>
      <w:r>
        <w:rPr>
          <w:color w:val="4D4D4F"/>
          <w:sz w:val="12"/>
        </w:rPr>
        <w:t>Assessment</w:t>
      </w:r>
      <w:r>
        <w:rPr>
          <w:color w:val="4D4D4F"/>
          <w:spacing w:val="-9"/>
          <w:sz w:val="12"/>
        </w:rPr>
        <w:t xml:space="preserve"> </w:t>
      </w:r>
      <w:r>
        <w:rPr>
          <w:color w:val="4D4D4F"/>
          <w:spacing w:val="-3"/>
          <w:sz w:val="12"/>
        </w:rPr>
        <w:t>(Environment</w:t>
      </w:r>
      <w:r>
        <w:rPr>
          <w:color w:val="4D4D4F"/>
          <w:spacing w:val="-8"/>
          <w:sz w:val="12"/>
        </w:rPr>
        <w:t xml:space="preserve"> </w:t>
      </w:r>
      <w:r>
        <w:rPr>
          <w:color w:val="4D4D4F"/>
          <w:spacing w:val="-3"/>
          <w:sz w:val="12"/>
        </w:rPr>
        <w:t>Mitigation</w:t>
      </w:r>
      <w:r>
        <w:rPr>
          <w:color w:val="4D4D4F"/>
          <w:spacing w:val="-8"/>
          <w:sz w:val="12"/>
        </w:rPr>
        <w:t xml:space="preserve"> </w:t>
      </w:r>
      <w:r>
        <w:rPr>
          <w:color w:val="4D4D4F"/>
          <w:sz w:val="12"/>
        </w:rPr>
        <w:t>Levy)</w:t>
      </w:r>
      <w:r>
        <w:rPr>
          <w:color w:val="4D4D4F"/>
          <w:spacing w:val="-9"/>
          <w:sz w:val="12"/>
        </w:rPr>
        <w:t xml:space="preserve"> </w:t>
      </w:r>
      <w:r>
        <w:rPr>
          <w:color w:val="4D4D4F"/>
          <w:sz w:val="12"/>
        </w:rPr>
        <w:t>Act 2020</w:t>
      </w:r>
      <w:r>
        <w:rPr>
          <w:color w:val="4D4D4F"/>
          <w:spacing w:val="-10"/>
          <w:sz w:val="12"/>
        </w:rPr>
        <w:t xml:space="preserve"> </w:t>
      </w:r>
      <w:r>
        <w:rPr>
          <w:color w:val="4D4D4F"/>
          <w:sz w:val="12"/>
        </w:rPr>
        <w:t>–</w:t>
      </w:r>
      <w:r>
        <w:rPr>
          <w:color w:val="4D4D4F"/>
          <w:spacing w:val="-10"/>
          <w:sz w:val="12"/>
        </w:rPr>
        <w:t xml:space="preserve"> </w:t>
      </w:r>
      <w:r>
        <w:rPr>
          <w:color w:val="4D4D4F"/>
          <w:spacing w:val="-2"/>
          <w:sz w:val="12"/>
        </w:rPr>
        <w:t>Notice</w:t>
      </w:r>
      <w:r>
        <w:rPr>
          <w:color w:val="4D4D4F"/>
          <w:spacing w:val="-9"/>
          <w:sz w:val="12"/>
        </w:rPr>
        <w:t xml:space="preserve"> </w:t>
      </w:r>
      <w:r>
        <w:rPr>
          <w:color w:val="4D4D4F"/>
          <w:sz w:val="12"/>
        </w:rPr>
        <w:t>of</w:t>
      </w:r>
      <w:r>
        <w:rPr>
          <w:color w:val="4D4D4F"/>
          <w:spacing w:val="-10"/>
          <w:sz w:val="12"/>
        </w:rPr>
        <w:t xml:space="preserve"> </w:t>
      </w:r>
      <w:r>
        <w:rPr>
          <w:color w:val="4D4D4F"/>
          <w:sz w:val="12"/>
        </w:rPr>
        <w:t>the</w:t>
      </w:r>
      <w:r>
        <w:rPr>
          <w:color w:val="4D4D4F"/>
          <w:spacing w:val="-10"/>
          <w:sz w:val="12"/>
        </w:rPr>
        <w:t xml:space="preserve"> </w:t>
      </w:r>
      <w:r>
        <w:rPr>
          <w:color w:val="4D4D4F"/>
          <w:sz w:val="12"/>
        </w:rPr>
        <w:t>Conservation</w:t>
      </w:r>
      <w:r>
        <w:rPr>
          <w:color w:val="4D4D4F"/>
          <w:spacing w:val="-9"/>
          <w:sz w:val="12"/>
        </w:rPr>
        <w:t xml:space="preserve"> </w:t>
      </w:r>
      <w:r>
        <w:rPr>
          <w:color w:val="4D4D4F"/>
          <w:spacing w:val="-3"/>
          <w:sz w:val="12"/>
        </w:rPr>
        <w:t>Outcomes’,</w:t>
      </w:r>
      <w:r>
        <w:rPr>
          <w:color w:val="F36A2E"/>
          <w:spacing w:val="-10"/>
          <w:sz w:val="12"/>
        </w:rPr>
        <w:t xml:space="preserve"> </w:t>
      </w:r>
      <w:hyperlink r:id="rId60">
        <w:r>
          <w:rPr>
            <w:color w:val="F36A2E"/>
            <w:spacing w:val="-3"/>
            <w:sz w:val="12"/>
            <w:u w:val="single" w:color="F36A2E"/>
          </w:rPr>
          <w:t>http://www.gazette.vic.gov.au/gazette/Gazettes2022/GG2022G004.pd</w:t>
        </w:r>
        <w:r>
          <w:rPr>
            <w:color w:val="F36A2E"/>
            <w:spacing w:val="-3"/>
            <w:sz w:val="12"/>
          </w:rPr>
          <w:t>f</w:t>
        </w:r>
      </w:hyperlink>
      <w:r>
        <w:rPr>
          <w:color w:val="F36A2E"/>
          <w:spacing w:val="12"/>
          <w:sz w:val="12"/>
        </w:rPr>
        <w:t xml:space="preserve"> </w:t>
      </w:r>
      <w:r>
        <w:rPr>
          <w:color w:val="4D4D4F"/>
          <w:sz w:val="12"/>
        </w:rPr>
        <w:t>Accessed</w:t>
      </w:r>
      <w:r>
        <w:rPr>
          <w:color w:val="4D4D4F"/>
          <w:spacing w:val="-9"/>
          <w:sz w:val="12"/>
        </w:rPr>
        <w:t xml:space="preserve"> </w:t>
      </w:r>
      <w:r>
        <w:rPr>
          <w:color w:val="4D4D4F"/>
          <w:sz w:val="12"/>
        </w:rPr>
        <w:t>27</w:t>
      </w:r>
      <w:r>
        <w:rPr>
          <w:color w:val="4D4D4F"/>
          <w:spacing w:val="-10"/>
          <w:sz w:val="12"/>
        </w:rPr>
        <w:t xml:space="preserve"> </w:t>
      </w:r>
      <w:r>
        <w:rPr>
          <w:color w:val="4D4D4F"/>
          <w:sz w:val="12"/>
        </w:rPr>
        <w:t>January</w:t>
      </w:r>
      <w:r>
        <w:rPr>
          <w:color w:val="4D4D4F"/>
          <w:spacing w:val="-10"/>
          <w:sz w:val="12"/>
        </w:rPr>
        <w:t xml:space="preserve"> </w:t>
      </w:r>
      <w:r>
        <w:rPr>
          <w:color w:val="4D4D4F"/>
          <w:sz w:val="12"/>
        </w:rPr>
        <w:t>2022.</w:t>
      </w:r>
    </w:p>
    <w:p w14:paraId="76A05925" w14:textId="77777777" w:rsidR="00EF5B27" w:rsidRDefault="00EF5B27">
      <w:pPr>
        <w:spacing w:line="230" w:lineRule="auto"/>
        <w:rPr>
          <w:sz w:val="12"/>
        </w:rPr>
        <w:sectPr w:rsidR="00EF5B27">
          <w:type w:val="continuous"/>
          <w:pgSz w:w="11910" w:h="16840"/>
          <w:pgMar w:top="1140" w:right="1020" w:bottom="280" w:left="1020" w:header="720" w:footer="720" w:gutter="0"/>
          <w:cols w:space="720"/>
        </w:sectPr>
      </w:pPr>
    </w:p>
    <w:p w14:paraId="0088DD80" w14:textId="77777777" w:rsidR="00EF5B27" w:rsidRDefault="00EF5B27">
      <w:pPr>
        <w:pStyle w:val="BodyText"/>
      </w:pPr>
    </w:p>
    <w:p w14:paraId="1DA6311F" w14:textId="77777777" w:rsidR="00EF5B27" w:rsidRDefault="00EF5B27">
      <w:pPr>
        <w:pStyle w:val="BodyText"/>
      </w:pPr>
    </w:p>
    <w:p w14:paraId="0BB73FE4" w14:textId="77777777" w:rsidR="00EF5B27" w:rsidRDefault="00EF5B27">
      <w:pPr>
        <w:pStyle w:val="BodyText"/>
      </w:pPr>
    </w:p>
    <w:p w14:paraId="101AD3B4" w14:textId="77777777" w:rsidR="00EF5B27" w:rsidRDefault="00EF5B27">
      <w:pPr>
        <w:pStyle w:val="BodyText"/>
        <w:spacing w:before="8"/>
      </w:pPr>
    </w:p>
    <w:p w14:paraId="70384F41" w14:textId="77777777" w:rsidR="00EF5B27" w:rsidRDefault="00000000">
      <w:pPr>
        <w:pStyle w:val="Heading2"/>
      </w:pPr>
      <w:bookmarkStart w:id="7" w:name="_bookmark7"/>
      <w:bookmarkEnd w:id="7"/>
      <w:r>
        <w:rPr>
          <w:color w:val="F99F2A"/>
        </w:rPr>
        <w:t>Summary of recommendations and challenges</w:t>
      </w:r>
    </w:p>
    <w:p w14:paraId="3B457546" w14:textId="77777777" w:rsidR="00EF5B27" w:rsidRDefault="00EF5B27">
      <w:pPr>
        <w:pStyle w:val="BodyText"/>
        <w:rPr>
          <w:b/>
        </w:rPr>
      </w:pPr>
    </w:p>
    <w:p w14:paraId="72B0DC03" w14:textId="77777777" w:rsidR="00EF5B27" w:rsidRDefault="00EF5B27">
      <w:pPr>
        <w:pStyle w:val="BodyText"/>
        <w:spacing w:before="2"/>
        <w:rPr>
          <w:b/>
          <w:sz w:val="26"/>
        </w:rPr>
      </w:pPr>
    </w:p>
    <w:p w14:paraId="05F55A47" w14:textId="77777777" w:rsidR="00EF5B27" w:rsidRDefault="00000000">
      <w:pPr>
        <w:tabs>
          <w:tab w:val="left" w:pos="8977"/>
        </w:tabs>
        <w:spacing w:before="101"/>
        <w:ind w:left="113"/>
        <w:rPr>
          <w:rFonts w:ascii="Century Gothic"/>
          <w:i/>
          <w:sz w:val="12"/>
        </w:rPr>
      </w:pPr>
      <w:r>
        <w:pict w14:anchorId="3A702E5F">
          <v:group id="_x0000_s4581" style="position:absolute;left:0;text-align:left;margin-left:56.7pt;margin-top:20.9pt;width:481.9pt;height:.25pt;z-index:251329024;mso-position-horizontal-relative:page" coordorigin="1134,418" coordsize="9638,5">
            <v:line id="_x0000_s4583" style="position:absolute" from="1134,420" to="3628,420" strokeweight=".25pt"/>
            <v:line id="_x0000_s4582" style="position:absolute" from="3628,420" to="10772,420" strokeweight=".25pt"/>
            <w10:wrap anchorx="page"/>
          </v:group>
        </w:pict>
      </w:r>
      <w:r>
        <w:rPr>
          <w:color w:val="4D4D4F"/>
          <w:sz w:val="16"/>
        </w:rPr>
        <w:t xml:space="preserve">Table </w:t>
      </w:r>
      <w:r>
        <w:rPr>
          <w:color w:val="4D4D4F"/>
          <w:spacing w:val="-4"/>
          <w:sz w:val="16"/>
        </w:rPr>
        <w:t xml:space="preserve">1:  </w:t>
      </w:r>
      <w:r>
        <w:rPr>
          <w:color w:val="4D4D4F"/>
          <w:sz w:val="16"/>
        </w:rPr>
        <w:t>Summary of recommendations</w:t>
      </w:r>
      <w:r>
        <w:rPr>
          <w:color w:val="4D4D4F"/>
          <w:spacing w:val="29"/>
          <w:sz w:val="16"/>
        </w:rPr>
        <w:t xml:space="preserve"> </w:t>
      </w:r>
      <w:r>
        <w:rPr>
          <w:color w:val="4D4D4F"/>
          <w:sz w:val="16"/>
        </w:rPr>
        <w:t>and</w:t>
      </w:r>
      <w:r>
        <w:rPr>
          <w:color w:val="4D4D4F"/>
          <w:spacing w:val="12"/>
          <w:sz w:val="16"/>
        </w:rPr>
        <w:t xml:space="preserve"> </w:t>
      </w:r>
      <w:r>
        <w:rPr>
          <w:color w:val="4D4D4F"/>
          <w:sz w:val="16"/>
        </w:rPr>
        <w:t>challenges</w:t>
      </w:r>
      <w:r>
        <w:rPr>
          <w:color w:val="4D4D4F"/>
          <w:sz w:val="16"/>
        </w:rPr>
        <w:tab/>
      </w:r>
      <w:r>
        <w:rPr>
          <w:rFonts w:ascii="Century Gothic"/>
          <w:i/>
          <w:color w:val="4D4D4F"/>
          <w:sz w:val="12"/>
        </w:rPr>
        <w:t>Source:</w:t>
      </w:r>
      <w:r>
        <w:rPr>
          <w:rFonts w:ascii="Century Gothic"/>
          <w:i/>
          <w:color w:val="4D4D4F"/>
          <w:spacing w:val="-22"/>
          <w:sz w:val="12"/>
        </w:rPr>
        <w:t xml:space="preserve"> </w:t>
      </w:r>
      <w:r>
        <w:rPr>
          <w:rFonts w:ascii="Century Gothic"/>
          <w:i/>
          <w:color w:val="4D4D4F"/>
          <w:sz w:val="12"/>
        </w:rPr>
        <w:t>DELWP</w:t>
      </w:r>
    </w:p>
    <w:p w14:paraId="3094FA96" w14:textId="77777777" w:rsidR="00EF5B27" w:rsidRDefault="00000000">
      <w:pPr>
        <w:pStyle w:val="BodyText"/>
        <w:spacing w:before="2"/>
        <w:rPr>
          <w:rFonts w:ascii="Century Gothic"/>
          <w:i/>
          <w:sz w:val="8"/>
        </w:rPr>
      </w:pPr>
      <w:r>
        <w:pict w14:anchorId="7CAFB2DF">
          <v:shape id="_x0000_s4580" type="#_x0000_t202" style="position:absolute;margin-left:56.7pt;margin-top:6.2pt;width:481.9pt;height:25.4pt;z-index:-251488768;mso-wrap-distance-left:0;mso-wrap-distance-right:0;mso-position-horizontal-relative:page" fillcolor="#fecc91" stroked="f">
            <v:textbox inset="0,0,0,0">
              <w:txbxContent>
                <w:p w14:paraId="2FF96228" w14:textId="77777777" w:rsidR="00EF5B27" w:rsidRDefault="00000000">
                  <w:pPr>
                    <w:tabs>
                      <w:tab w:val="left" w:pos="2607"/>
                    </w:tabs>
                    <w:spacing w:before="142"/>
                    <w:ind w:left="113"/>
                    <w:rPr>
                      <w:b/>
                      <w:sz w:val="20"/>
                    </w:rPr>
                  </w:pPr>
                  <w:r>
                    <w:rPr>
                      <w:b/>
                      <w:color w:val="4D4D4F"/>
                      <w:sz w:val="20"/>
                    </w:rPr>
                    <w:t>Theme</w:t>
                  </w:r>
                  <w:r>
                    <w:rPr>
                      <w:b/>
                      <w:color w:val="4D4D4F"/>
                      <w:sz w:val="20"/>
                    </w:rPr>
                    <w:tab/>
                    <w:t>Monitoring, evaluation and reporting on the Conservation</w:t>
                  </w:r>
                  <w:r>
                    <w:rPr>
                      <w:b/>
                      <w:color w:val="4D4D4F"/>
                      <w:spacing w:val="16"/>
                      <w:sz w:val="20"/>
                    </w:rPr>
                    <w:t xml:space="preserve"> </w:t>
                  </w:r>
                  <w:r>
                    <w:rPr>
                      <w:b/>
                      <w:color w:val="4D4D4F"/>
                      <w:sz w:val="20"/>
                    </w:rPr>
                    <w:t>Outcomes</w:t>
                  </w:r>
                </w:p>
              </w:txbxContent>
            </v:textbox>
            <w10:wrap type="topAndBottom" anchorx="page"/>
          </v:shape>
        </w:pict>
      </w:r>
    </w:p>
    <w:p w14:paraId="5E5E0716" w14:textId="77777777" w:rsidR="00EF5B27" w:rsidRDefault="00EF5B27">
      <w:pPr>
        <w:pStyle w:val="BodyText"/>
        <w:spacing w:before="8"/>
        <w:rPr>
          <w:rFonts w:ascii="Century Gothic"/>
          <w:i/>
          <w:sz w:val="5"/>
        </w:rPr>
      </w:pPr>
    </w:p>
    <w:p w14:paraId="5842B27A" w14:textId="77777777" w:rsidR="00EF5B27" w:rsidRDefault="00EF5B27">
      <w:pPr>
        <w:rPr>
          <w:rFonts w:ascii="Century Gothic"/>
          <w:sz w:val="5"/>
        </w:rPr>
        <w:sectPr w:rsidR="00EF5B27">
          <w:footerReference w:type="default" r:id="rId61"/>
          <w:pgSz w:w="11910" w:h="16840"/>
          <w:pgMar w:top="1080" w:right="1020" w:bottom="860" w:left="1020" w:header="537" w:footer="678" w:gutter="0"/>
          <w:cols w:space="720"/>
        </w:sectPr>
      </w:pPr>
    </w:p>
    <w:p w14:paraId="11C5EA35" w14:textId="77777777" w:rsidR="00EF5B27" w:rsidRDefault="00000000">
      <w:pPr>
        <w:pStyle w:val="BodyText"/>
        <w:spacing w:before="53"/>
        <w:ind w:left="227"/>
      </w:pPr>
      <w:r>
        <w:pict w14:anchorId="7B6E1656">
          <v:group id="_x0000_s4577" style="position:absolute;left:0;text-align:left;margin-left:56.7pt;margin-top:-4.25pt;width:481.9pt;height:.25pt;z-index:251330048;mso-position-horizontal-relative:page" coordorigin="1134,-85" coordsize="9638,5">
            <v:line id="_x0000_s4579" style="position:absolute" from="1134,-82" to="3628,-82" strokeweight=".25pt"/>
            <v:line id="_x0000_s4578" style="position:absolute" from="3628,-82" to="10772,-82" strokeweight=".25pt"/>
            <w10:wrap anchorx="page"/>
          </v:group>
        </w:pict>
      </w:r>
      <w:r>
        <w:rPr>
          <w:color w:val="4D4D4F"/>
        </w:rPr>
        <w:t>Recommendation</w:t>
      </w:r>
    </w:p>
    <w:p w14:paraId="70B6BEB4" w14:textId="77777777" w:rsidR="00EF5B27" w:rsidRDefault="00000000">
      <w:pPr>
        <w:pStyle w:val="Heading1"/>
      </w:pPr>
      <w:r>
        <w:rPr>
          <w:color w:val="4D4D4F"/>
          <w:w w:val="105"/>
        </w:rPr>
        <w:t>01</w:t>
      </w:r>
    </w:p>
    <w:p w14:paraId="2DBEFC39" w14:textId="77777777" w:rsidR="00EF5B27" w:rsidRDefault="00000000">
      <w:pPr>
        <w:pStyle w:val="BodyText"/>
        <w:spacing w:before="53" w:line="254" w:lineRule="auto"/>
        <w:ind w:left="340" w:right="203"/>
      </w:pPr>
      <w:r>
        <w:br w:type="column"/>
      </w:r>
      <w:r>
        <w:rPr>
          <w:color w:val="4D4D4F"/>
          <w:w w:val="105"/>
        </w:rPr>
        <w:t>That</w:t>
      </w:r>
      <w:r>
        <w:rPr>
          <w:color w:val="4D4D4F"/>
          <w:spacing w:val="-21"/>
          <w:w w:val="105"/>
        </w:rPr>
        <w:t xml:space="preserve"> </w:t>
      </w:r>
      <w:r>
        <w:rPr>
          <w:color w:val="4D4D4F"/>
          <w:w w:val="105"/>
        </w:rPr>
        <w:t>DELWP</w:t>
      </w:r>
      <w:r>
        <w:rPr>
          <w:color w:val="4D4D4F"/>
          <w:spacing w:val="-20"/>
          <w:w w:val="105"/>
        </w:rPr>
        <w:t xml:space="preserve"> </w:t>
      </w:r>
      <w:r>
        <w:rPr>
          <w:color w:val="4D4D4F"/>
          <w:w w:val="105"/>
        </w:rPr>
        <w:t>undertakes</w:t>
      </w:r>
      <w:r>
        <w:rPr>
          <w:color w:val="4D4D4F"/>
          <w:spacing w:val="-20"/>
          <w:w w:val="105"/>
        </w:rPr>
        <w:t xml:space="preserve"> </w:t>
      </w:r>
      <w:r>
        <w:rPr>
          <w:color w:val="4D4D4F"/>
          <w:w w:val="105"/>
        </w:rPr>
        <w:t>a</w:t>
      </w:r>
      <w:r>
        <w:rPr>
          <w:color w:val="4D4D4F"/>
          <w:spacing w:val="-20"/>
          <w:w w:val="105"/>
        </w:rPr>
        <w:t xml:space="preserve"> </w:t>
      </w:r>
      <w:r>
        <w:rPr>
          <w:color w:val="4D4D4F"/>
          <w:w w:val="105"/>
        </w:rPr>
        <w:t>review</w:t>
      </w:r>
      <w:r>
        <w:rPr>
          <w:color w:val="4D4D4F"/>
          <w:spacing w:val="-21"/>
          <w:w w:val="105"/>
        </w:rPr>
        <w:t xml:space="preserve"> </w:t>
      </w:r>
      <w:r>
        <w:rPr>
          <w:color w:val="4D4D4F"/>
          <w:w w:val="105"/>
        </w:rPr>
        <w:t>of</w:t>
      </w:r>
      <w:r>
        <w:rPr>
          <w:color w:val="4D4D4F"/>
          <w:spacing w:val="-20"/>
          <w:w w:val="105"/>
        </w:rPr>
        <w:t xml:space="preserve"> </w:t>
      </w:r>
      <w:r>
        <w:rPr>
          <w:color w:val="4D4D4F"/>
          <w:w w:val="105"/>
        </w:rPr>
        <w:t>the</w:t>
      </w:r>
      <w:r>
        <w:rPr>
          <w:color w:val="4D4D4F"/>
          <w:spacing w:val="-20"/>
          <w:w w:val="105"/>
        </w:rPr>
        <w:t xml:space="preserve"> </w:t>
      </w:r>
      <w:r>
        <w:rPr>
          <w:color w:val="4D4D4F"/>
          <w:w w:val="105"/>
        </w:rPr>
        <w:t>MSA</w:t>
      </w:r>
      <w:r>
        <w:rPr>
          <w:color w:val="4D4D4F"/>
          <w:spacing w:val="-20"/>
          <w:w w:val="105"/>
        </w:rPr>
        <w:t xml:space="preserve"> </w:t>
      </w:r>
      <w:r>
        <w:rPr>
          <w:color w:val="4D4D4F"/>
          <w:w w:val="105"/>
        </w:rPr>
        <w:t>ecological</w:t>
      </w:r>
      <w:r>
        <w:rPr>
          <w:color w:val="4D4D4F"/>
          <w:spacing w:val="-21"/>
          <w:w w:val="105"/>
        </w:rPr>
        <w:t xml:space="preserve"> </w:t>
      </w:r>
      <w:r>
        <w:rPr>
          <w:color w:val="4D4D4F"/>
          <w:w w:val="105"/>
        </w:rPr>
        <w:t>monitoring</w:t>
      </w:r>
      <w:r>
        <w:rPr>
          <w:color w:val="4D4D4F"/>
          <w:spacing w:val="-20"/>
          <w:w w:val="105"/>
        </w:rPr>
        <w:t xml:space="preserve"> </w:t>
      </w:r>
      <w:r>
        <w:rPr>
          <w:color w:val="4D4D4F"/>
          <w:w w:val="105"/>
        </w:rPr>
        <w:t>and</w:t>
      </w:r>
      <w:r>
        <w:rPr>
          <w:color w:val="4D4D4F"/>
          <w:spacing w:val="-20"/>
          <w:w w:val="105"/>
        </w:rPr>
        <w:t xml:space="preserve"> </w:t>
      </w:r>
      <w:r>
        <w:rPr>
          <w:color w:val="4D4D4F"/>
          <w:w w:val="105"/>
        </w:rPr>
        <w:t xml:space="preserve">reporting framework </w:t>
      </w:r>
      <w:r>
        <w:rPr>
          <w:color w:val="4D4D4F"/>
          <w:spacing w:val="-3"/>
          <w:w w:val="105"/>
        </w:rPr>
        <w:t xml:space="preserve">(MRF), </w:t>
      </w:r>
      <w:r>
        <w:rPr>
          <w:color w:val="4D4D4F"/>
          <w:w w:val="105"/>
        </w:rPr>
        <w:t>including a redesign of existing methods and KPI measures where</w:t>
      </w:r>
      <w:r>
        <w:rPr>
          <w:color w:val="4D4D4F"/>
          <w:spacing w:val="-12"/>
          <w:w w:val="105"/>
        </w:rPr>
        <w:t xml:space="preserve"> </w:t>
      </w:r>
      <w:r>
        <w:rPr>
          <w:color w:val="4D4D4F"/>
          <w:w w:val="105"/>
        </w:rPr>
        <w:t>required,</w:t>
      </w:r>
      <w:r>
        <w:rPr>
          <w:color w:val="4D4D4F"/>
          <w:spacing w:val="-12"/>
          <w:w w:val="105"/>
        </w:rPr>
        <w:t xml:space="preserve"> </w:t>
      </w:r>
      <w:r>
        <w:rPr>
          <w:color w:val="4D4D4F"/>
          <w:w w:val="105"/>
        </w:rPr>
        <w:t>to</w:t>
      </w:r>
      <w:r>
        <w:rPr>
          <w:color w:val="4D4D4F"/>
          <w:spacing w:val="-12"/>
          <w:w w:val="105"/>
        </w:rPr>
        <w:t xml:space="preserve"> </w:t>
      </w:r>
      <w:r>
        <w:rPr>
          <w:color w:val="4D4D4F"/>
          <w:w w:val="105"/>
        </w:rPr>
        <w:t>achieve</w:t>
      </w:r>
      <w:r>
        <w:rPr>
          <w:color w:val="4D4D4F"/>
          <w:spacing w:val="-12"/>
          <w:w w:val="105"/>
        </w:rPr>
        <w:t xml:space="preserve"> </w:t>
      </w:r>
      <w:r>
        <w:rPr>
          <w:color w:val="4D4D4F"/>
          <w:w w:val="105"/>
        </w:rPr>
        <w:t>landscape-scale,</w:t>
      </w:r>
      <w:r>
        <w:rPr>
          <w:color w:val="4D4D4F"/>
          <w:spacing w:val="-12"/>
          <w:w w:val="105"/>
        </w:rPr>
        <w:t xml:space="preserve"> </w:t>
      </w:r>
      <w:r>
        <w:rPr>
          <w:color w:val="4D4D4F"/>
          <w:w w:val="105"/>
        </w:rPr>
        <w:t>MNES</w:t>
      </w:r>
      <w:r>
        <w:rPr>
          <w:color w:val="4D4D4F"/>
          <w:spacing w:val="-12"/>
          <w:w w:val="105"/>
        </w:rPr>
        <w:t xml:space="preserve"> </w:t>
      </w:r>
      <w:r>
        <w:rPr>
          <w:color w:val="4D4D4F"/>
          <w:w w:val="105"/>
        </w:rPr>
        <w:t>conservation</w:t>
      </w:r>
      <w:r>
        <w:rPr>
          <w:color w:val="4D4D4F"/>
          <w:spacing w:val="-11"/>
          <w:w w:val="105"/>
        </w:rPr>
        <w:t xml:space="preserve"> </w:t>
      </w:r>
      <w:r>
        <w:rPr>
          <w:color w:val="4D4D4F"/>
          <w:w w:val="105"/>
        </w:rPr>
        <w:t>outcomes.</w:t>
      </w:r>
    </w:p>
    <w:p w14:paraId="12DEE1DD" w14:textId="77777777" w:rsidR="00EF5B27" w:rsidRDefault="00000000">
      <w:pPr>
        <w:pStyle w:val="BodyText"/>
        <w:spacing w:before="4" w:line="254" w:lineRule="auto"/>
        <w:ind w:left="340" w:right="203"/>
      </w:pPr>
      <w:r>
        <w:pict w14:anchorId="495BCEDD">
          <v:group id="_x0000_s4574" style="position:absolute;left:0;text-align:left;margin-left:56.7pt;margin-top:45pt;width:481.9pt;height:.25pt;z-index:251332096;mso-position-horizontal-relative:page" coordorigin="1134,900" coordsize="9638,5">
            <v:line id="_x0000_s4576" style="position:absolute" from="1134,903" to="3628,903" strokeweight=".25pt"/>
            <v:line id="_x0000_s4575" style="position:absolute" from="3628,903" to="10772,903" strokeweight=".25pt"/>
            <w10:wrap anchorx="page"/>
          </v:group>
        </w:pict>
      </w:r>
      <w:r>
        <w:rPr>
          <w:color w:val="4D4D4F"/>
        </w:rPr>
        <w:t>This would include establishing a research strategy to address priority knowledge gaps and improve understanding of MNES and their management.</w:t>
      </w:r>
    </w:p>
    <w:p w14:paraId="0B8B95E2" w14:textId="77777777" w:rsidR="00EF5B27" w:rsidRDefault="00EF5B27">
      <w:pPr>
        <w:pStyle w:val="BodyText"/>
        <w:rPr>
          <w:sz w:val="24"/>
        </w:rPr>
      </w:pPr>
    </w:p>
    <w:p w14:paraId="0501B43B" w14:textId="77777777" w:rsidR="00EF5B27" w:rsidRDefault="00EF5B27">
      <w:pPr>
        <w:pStyle w:val="BodyText"/>
        <w:rPr>
          <w:sz w:val="24"/>
        </w:rPr>
      </w:pPr>
    </w:p>
    <w:p w14:paraId="2D6BE698" w14:textId="77777777" w:rsidR="00EF5B27" w:rsidRDefault="00EF5B27">
      <w:pPr>
        <w:pStyle w:val="BodyText"/>
        <w:rPr>
          <w:sz w:val="24"/>
        </w:rPr>
      </w:pPr>
    </w:p>
    <w:p w14:paraId="1F7A20AD" w14:textId="77777777" w:rsidR="00EF5B27" w:rsidRDefault="00000000">
      <w:pPr>
        <w:pStyle w:val="Heading3"/>
        <w:spacing w:before="188"/>
        <w:ind w:left="227"/>
      </w:pPr>
      <w:r>
        <w:rPr>
          <w:color w:val="F99F2A"/>
        </w:rPr>
        <w:t>Challenges the recommendation addresses</w:t>
      </w:r>
    </w:p>
    <w:p w14:paraId="2B443CF4" w14:textId="77777777" w:rsidR="00EF5B27" w:rsidRDefault="00000000">
      <w:pPr>
        <w:pStyle w:val="BodyText"/>
        <w:spacing w:before="256" w:line="254" w:lineRule="auto"/>
        <w:ind w:left="227" w:right="203"/>
      </w:pPr>
      <w:r>
        <w:rPr>
          <w:color w:val="4D4D4F"/>
          <w:spacing w:val="2"/>
        </w:rPr>
        <w:t xml:space="preserve">The </w:t>
      </w:r>
      <w:r>
        <w:rPr>
          <w:color w:val="4D4D4F"/>
        </w:rPr>
        <w:t xml:space="preserve">MSA </w:t>
      </w:r>
      <w:r>
        <w:rPr>
          <w:color w:val="4D4D4F"/>
          <w:spacing w:val="2"/>
        </w:rPr>
        <w:t xml:space="preserve">program </w:t>
      </w:r>
      <w:r>
        <w:rPr>
          <w:color w:val="4D4D4F"/>
        </w:rPr>
        <w:t xml:space="preserve">design is limited in </w:t>
      </w:r>
      <w:r>
        <w:rPr>
          <w:color w:val="4D4D4F"/>
          <w:spacing w:val="2"/>
        </w:rPr>
        <w:t xml:space="preserve">scope </w:t>
      </w:r>
      <w:r>
        <w:rPr>
          <w:color w:val="4D4D4F"/>
        </w:rPr>
        <w:t xml:space="preserve">to monitoring and </w:t>
      </w:r>
      <w:r>
        <w:rPr>
          <w:color w:val="4D4D4F"/>
          <w:spacing w:val="2"/>
        </w:rPr>
        <w:t xml:space="preserve">reporting </w:t>
      </w:r>
      <w:r>
        <w:rPr>
          <w:color w:val="4D4D4F"/>
        </w:rPr>
        <w:t xml:space="preserve">on MNES </w:t>
      </w:r>
      <w:r>
        <w:rPr>
          <w:color w:val="4D4D4F"/>
          <w:spacing w:val="-4"/>
        </w:rPr>
        <w:t xml:space="preserve">outcomes defined under </w:t>
      </w:r>
      <w:r>
        <w:rPr>
          <w:color w:val="4D4D4F"/>
          <w:spacing w:val="-3"/>
        </w:rPr>
        <w:t xml:space="preserve">the </w:t>
      </w:r>
      <w:r>
        <w:rPr>
          <w:color w:val="4D4D4F"/>
          <w:spacing w:val="-5"/>
        </w:rPr>
        <w:t xml:space="preserve">original </w:t>
      </w:r>
      <w:r>
        <w:rPr>
          <w:color w:val="4D4D4F"/>
          <w:spacing w:val="-4"/>
        </w:rPr>
        <w:t xml:space="preserve">agreement with </w:t>
      </w:r>
      <w:r>
        <w:rPr>
          <w:color w:val="4D4D4F"/>
          <w:spacing w:val="-3"/>
        </w:rPr>
        <w:t xml:space="preserve">the </w:t>
      </w:r>
      <w:r>
        <w:rPr>
          <w:color w:val="4D4D4F"/>
          <w:spacing w:val="-5"/>
        </w:rPr>
        <w:t xml:space="preserve">Commonwealth, </w:t>
      </w:r>
      <w:r>
        <w:rPr>
          <w:color w:val="4D4D4F"/>
          <w:spacing w:val="-4"/>
        </w:rPr>
        <w:t xml:space="preserve">with </w:t>
      </w:r>
      <w:r>
        <w:rPr>
          <w:color w:val="4D4D4F"/>
        </w:rPr>
        <w:t xml:space="preserve">a </w:t>
      </w:r>
      <w:r>
        <w:rPr>
          <w:color w:val="4D4D4F"/>
          <w:spacing w:val="-4"/>
        </w:rPr>
        <w:t xml:space="preserve">focus </w:t>
      </w:r>
      <w:r>
        <w:rPr>
          <w:color w:val="4D4D4F"/>
        </w:rPr>
        <w:t xml:space="preserve">on </w:t>
      </w:r>
      <w:r>
        <w:rPr>
          <w:color w:val="4D4D4F"/>
          <w:spacing w:val="-4"/>
        </w:rPr>
        <w:t xml:space="preserve">evidence </w:t>
      </w:r>
      <w:r>
        <w:rPr>
          <w:color w:val="4D4D4F"/>
          <w:spacing w:val="-3"/>
        </w:rPr>
        <w:t xml:space="preserve">to </w:t>
      </w:r>
      <w:r>
        <w:rPr>
          <w:color w:val="4D4D4F"/>
          <w:spacing w:val="-4"/>
        </w:rPr>
        <w:t xml:space="preserve">demonstrate </w:t>
      </w:r>
      <w:r>
        <w:rPr>
          <w:color w:val="4D4D4F"/>
          <w:spacing w:val="-6"/>
        </w:rPr>
        <w:t xml:space="preserve">maintaining </w:t>
      </w:r>
      <w:r>
        <w:rPr>
          <w:color w:val="4D4D4F"/>
          <w:spacing w:val="-3"/>
        </w:rPr>
        <w:t xml:space="preserve">the </w:t>
      </w:r>
      <w:r>
        <w:rPr>
          <w:color w:val="4D4D4F"/>
          <w:spacing w:val="-5"/>
        </w:rPr>
        <w:t xml:space="preserve">existence </w:t>
      </w:r>
      <w:r>
        <w:rPr>
          <w:color w:val="4D4D4F"/>
          <w:spacing w:val="-3"/>
        </w:rPr>
        <w:t xml:space="preserve">of </w:t>
      </w:r>
      <w:r>
        <w:rPr>
          <w:color w:val="4D4D4F"/>
          <w:spacing w:val="-4"/>
        </w:rPr>
        <w:t xml:space="preserve">species. </w:t>
      </w:r>
      <w:r>
        <w:rPr>
          <w:color w:val="4D4D4F"/>
          <w:spacing w:val="-6"/>
        </w:rPr>
        <w:t xml:space="preserve">However, </w:t>
      </w:r>
      <w:r>
        <w:rPr>
          <w:color w:val="4D4D4F"/>
          <w:spacing w:val="-5"/>
        </w:rPr>
        <w:t xml:space="preserve">comprehensive </w:t>
      </w:r>
      <w:r>
        <w:rPr>
          <w:color w:val="4D4D4F"/>
        </w:rPr>
        <w:t>analysis of biodiversity values at an ecosystem scale, coupled with rehabilitation, is required to achieve whole-of-landscape outcomes.</w:t>
      </w:r>
    </w:p>
    <w:p w14:paraId="73E327A4" w14:textId="77777777" w:rsidR="00EF5B27" w:rsidRDefault="00000000">
      <w:pPr>
        <w:pStyle w:val="BodyText"/>
        <w:spacing w:before="120" w:line="254" w:lineRule="auto"/>
        <w:ind w:left="227" w:right="203"/>
      </w:pPr>
      <w:r>
        <w:rPr>
          <w:color w:val="4D4D4F"/>
        </w:rPr>
        <w:t>Furthermore, limitations of the MRF are impacting on an ability to adequately assess program impacts on MNES:</w:t>
      </w:r>
    </w:p>
    <w:p w14:paraId="6C74B7F6" w14:textId="77777777" w:rsidR="00EF5B27" w:rsidRDefault="00000000">
      <w:pPr>
        <w:pStyle w:val="ListParagraph"/>
        <w:numPr>
          <w:ilvl w:val="0"/>
          <w:numId w:val="62"/>
        </w:numPr>
        <w:tabs>
          <w:tab w:val="left" w:pos="398"/>
        </w:tabs>
        <w:spacing w:before="116" w:line="254" w:lineRule="auto"/>
        <w:ind w:right="307"/>
        <w:rPr>
          <w:sz w:val="11"/>
        </w:rPr>
      </w:pPr>
      <w:r>
        <w:rPr>
          <w:color w:val="4D4D4F"/>
          <w:sz w:val="20"/>
        </w:rPr>
        <w:t>Data collected for the current MRF reveals little about whether DELWP is on track to fulfilling its conservation</w:t>
      </w:r>
      <w:r>
        <w:rPr>
          <w:color w:val="4D4D4F"/>
          <w:spacing w:val="16"/>
          <w:sz w:val="20"/>
        </w:rPr>
        <w:t xml:space="preserve"> </w:t>
      </w:r>
      <w:r>
        <w:rPr>
          <w:color w:val="4D4D4F"/>
          <w:spacing w:val="-3"/>
          <w:sz w:val="20"/>
        </w:rPr>
        <w:t>commitments.</w:t>
      </w:r>
      <w:r>
        <w:rPr>
          <w:color w:val="4D4D4F"/>
          <w:spacing w:val="-3"/>
          <w:position w:val="7"/>
          <w:sz w:val="11"/>
        </w:rPr>
        <w:t>17</w:t>
      </w:r>
    </w:p>
    <w:p w14:paraId="54C23C19" w14:textId="77777777" w:rsidR="00EF5B27" w:rsidRDefault="00000000">
      <w:pPr>
        <w:pStyle w:val="ListParagraph"/>
        <w:numPr>
          <w:ilvl w:val="0"/>
          <w:numId w:val="62"/>
        </w:numPr>
        <w:tabs>
          <w:tab w:val="left" w:pos="398"/>
        </w:tabs>
        <w:spacing w:before="115" w:line="254" w:lineRule="auto"/>
        <w:ind w:right="496"/>
        <w:rPr>
          <w:sz w:val="20"/>
        </w:rPr>
      </w:pPr>
      <w:r>
        <w:rPr>
          <w:color w:val="4D4D4F"/>
          <w:sz w:val="20"/>
        </w:rPr>
        <w:t>The current MRF will benefit from a review and redesign of measures to ensure clear definitions of what constitutes</w:t>
      </w:r>
      <w:r>
        <w:rPr>
          <w:color w:val="4D4D4F"/>
          <w:spacing w:val="20"/>
          <w:sz w:val="20"/>
        </w:rPr>
        <w:t xml:space="preserve"> </w:t>
      </w:r>
      <w:r>
        <w:rPr>
          <w:color w:val="4D4D4F"/>
          <w:sz w:val="20"/>
        </w:rPr>
        <w:t>success.</w:t>
      </w:r>
    </w:p>
    <w:p w14:paraId="3A885BEE" w14:textId="77777777" w:rsidR="00EF5B27" w:rsidRDefault="00000000">
      <w:pPr>
        <w:pStyle w:val="ListParagraph"/>
        <w:numPr>
          <w:ilvl w:val="0"/>
          <w:numId w:val="62"/>
        </w:numPr>
        <w:tabs>
          <w:tab w:val="left" w:pos="398"/>
        </w:tabs>
        <w:spacing w:before="116" w:line="254" w:lineRule="auto"/>
        <w:ind w:right="114"/>
        <w:rPr>
          <w:sz w:val="20"/>
        </w:rPr>
      </w:pPr>
      <w:r>
        <w:rPr>
          <w:color w:val="4D4D4F"/>
          <w:sz w:val="20"/>
        </w:rPr>
        <w:t xml:space="preserve">There is no requirement or intention under the existing MRF to assess and </w:t>
      </w:r>
      <w:r>
        <w:rPr>
          <w:color w:val="4D4D4F"/>
          <w:spacing w:val="2"/>
          <w:sz w:val="20"/>
        </w:rPr>
        <w:t xml:space="preserve">report </w:t>
      </w:r>
      <w:r>
        <w:rPr>
          <w:color w:val="4D4D4F"/>
          <w:sz w:val="20"/>
        </w:rPr>
        <w:t>on how effective management options are and how they impact on threatened species’ persistence under various</w:t>
      </w:r>
      <w:r>
        <w:rPr>
          <w:color w:val="4D4D4F"/>
          <w:spacing w:val="14"/>
          <w:sz w:val="20"/>
        </w:rPr>
        <w:t xml:space="preserve"> </w:t>
      </w:r>
      <w:r>
        <w:rPr>
          <w:color w:val="4D4D4F"/>
          <w:sz w:val="20"/>
        </w:rPr>
        <w:t>scenarios.</w:t>
      </w:r>
    </w:p>
    <w:p w14:paraId="1C3B92EE" w14:textId="77777777" w:rsidR="00EF5B27" w:rsidRDefault="00000000">
      <w:pPr>
        <w:pStyle w:val="BodyText"/>
        <w:spacing w:before="117" w:line="254" w:lineRule="auto"/>
        <w:ind w:left="227" w:right="288"/>
      </w:pPr>
      <w:r>
        <w:rPr>
          <w:color w:val="4D4D4F"/>
        </w:rPr>
        <w:t>The MSA program has yet to establish long-term datasets for many threatened species under its management. Gaps in critical data and knowledge underpinning species models and decision-support tools continue to hamper the MSA program’s ability to adequately assess whether it is meeting its conservation commitments.</w:t>
      </w:r>
    </w:p>
    <w:p w14:paraId="3480634B" w14:textId="77777777" w:rsidR="00EF5B27" w:rsidRDefault="00000000">
      <w:pPr>
        <w:pStyle w:val="BodyText"/>
        <w:spacing w:before="118" w:line="254" w:lineRule="auto"/>
        <w:ind w:left="227" w:right="203"/>
      </w:pPr>
      <w:r>
        <w:rPr>
          <w:color w:val="4D4D4F"/>
        </w:rPr>
        <w:t>There is also a lack of leveraging of existing partnerships, citizen science capabilities, Traditional Owner knowledge and community programs.</w:t>
      </w:r>
    </w:p>
    <w:p w14:paraId="3C6DFBE1"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704" w:space="677"/>
            <w:col w:w="7489"/>
          </w:cols>
        </w:sectPr>
      </w:pPr>
    </w:p>
    <w:p w14:paraId="6264B317" w14:textId="77777777" w:rsidR="00EF5B27" w:rsidRDefault="00000000">
      <w:pPr>
        <w:pStyle w:val="BodyText"/>
      </w:pPr>
      <w:r>
        <w:pict w14:anchorId="621BC43B">
          <v:group id="_x0000_s4566" style="position:absolute;margin-left:587.05pt;margin-top:183.4pt;width:8.25pt;height:153.1pt;z-index:251326976;mso-position-horizontal-relative:page;mso-position-vertical-relative:page" coordorigin="11741,3668" coordsize="165,3062">
            <v:shape id="_x0000_s4573" style="position:absolute;left:11741;top:3668;width:165;height:561" coordorigin="11741,3668" coordsize="165,561" path="m11906,3668r-165,l11741,4228r165,-18l11906,3668xe" fillcolor="#00aed9" stroked="f">
              <v:path arrowok="t"/>
            </v:shape>
            <v:shape id="_x0000_s4572" style="position:absolute;left:11741;top:4118;width:165;height:425" coordorigin="11741,4118" coordsize="165,425" path="m11906,4118r-165,14l11741,4531r165,12l11906,4118xe" fillcolor="#047ebc" stroked="f">
              <v:path arrowok="t"/>
            </v:shape>
            <v:shape id="_x0000_s4571" type="#_x0000_t75" style="position:absolute;left:11741;top:4355;width:165;height:587">
              <v:imagedata r:id="rId42" o:title=""/>
            </v:shape>
            <v:shape id="_x0000_s4570" style="position:absolute;left:11741;top:5343;width:165;height:536" coordorigin="11741,5343" coordsize="165,536" path="m11741,5343r,535l11906,5872r,-525l11741,5343xe" fillcolor="#f36a2e" stroked="f">
              <v:path arrowok="t"/>
            </v:shape>
            <v:shape id="_x0000_s4569" style="position:absolute;left:11741;top:4925;width:165;height:501" coordorigin="11741,4926" coordsize="165,501" path="m11741,4926r,500l11906,5426r,-485l11741,4926xe" fillcolor="#49783f" stroked="f">
              <v:path arrowok="t"/>
            </v:shape>
            <v:shape id="_x0000_s4568" style="position:absolute;left:11741;top:5781;width:165;height:268" coordorigin="11741,5782" coordsize="165,268" path="m11906,5782r-165,8l11741,6039r165,10l11906,5782xe" fillcolor="#f99f2a" stroked="f">
              <v:path arrowok="t"/>
            </v:shape>
            <v:shape id="_x0000_s4567" style="position:absolute;left:11741;top:6023;width:165;height:707" coordorigin="11741,6023" coordsize="165,707" path="m11741,6023r,706l11906,6729r,-690l11741,6023xe" fillcolor="#ef412c" stroked="f">
              <v:path arrowok="t"/>
            </v:shape>
            <w10:wrap anchorx="page" anchory="page"/>
          </v:group>
        </w:pict>
      </w:r>
    </w:p>
    <w:p w14:paraId="4C3756B7" w14:textId="77777777" w:rsidR="00EF5B27" w:rsidRDefault="00EF5B27">
      <w:pPr>
        <w:pStyle w:val="BodyText"/>
      </w:pPr>
    </w:p>
    <w:p w14:paraId="020690C3" w14:textId="77777777" w:rsidR="00EF5B27" w:rsidRDefault="00EF5B27">
      <w:pPr>
        <w:pStyle w:val="BodyText"/>
      </w:pPr>
    </w:p>
    <w:p w14:paraId="50EC39FE" w14:textId="77777777" w:rsidR="00EF5B27" w:rsidRDefault="00EF5B27">
      <w:pPr>
        <w:pStyle w:val="BodyText"/>
      </w:pPr>
    </w:p>
    <w:p w14:paraId="1179A51D" w14:textId="77777777" w:rsidR="00EF5B27" w:rsidRDefault="00EF5B27">
      <w:pPr>
        <w:pStyle w:val="BodyText"/>
      </w:pPr>
    </w:p>
    <w:p w14:paraId="02BFF9DE" w14:textId="77777777" w:rsidR="00EF5B27" w:rsidRDefault="00EF5B27">
      <w:pPr>
        <w:pStyle w:val="BodyText"/>
        <w:spacing w:before="2"/>
        <w:rPr>
          <w:sz w:val="29"/>
        </w:rPr>
      </w:pPr>
    </w:p>
    <w:p w14:paraId="19E17332" w14:textId="77777777" w:rsidR="00EF5B27" w:rsidRDefault="00000000">
      <w:pPr>
        <w:pStyle w:val="BodyText"/>
        <w:spacing w:line="20" w:lineRule="exact"/>
        <w:ind w:left="2603"/>
        <w:rPr>
          <w:sz w:val="2"/>
        </w:rPr>
      </w:pPr>
      <w:r>
        <w:rPr>
          <w:sz w:val="2"/>
        </w:rPr>
      </w:r>
      <w:r>
        <w:rPr>
          <w:sz w:val="2"/>
        </w:rPr>
        <w:pict w14:anchorId="72686A6E">
          <v:group id="_x0000_s4564" style="width:357.2pt;height:.5pt;mso-position-horizontal-relative:char;mso-position-vertical-relative:line" coordsize="7144,10">
            <v:line id="_x0000_s4565" style="position:absolute" from="0,5" to="7143,5" strokecolor="#4d4d4f" strokeweight=".5pt"/>
            <w10:anchorlock/>
          </v:group>
        </w:pict>
      </w:r>
    </w:p>
    <w:p w14:paraId="790D0BD2" w14:textId="77777777" w:rsidR="00EF5B27" w:rsidRDefault="00000000">
      <w:pPr>
        <w:pStyle w:val="ListParagraph"/>
        <w:numPr>
          <w:ilvl w:val="0"/>
          <w:numId w:val="65"/>
        </w:numPr>
        <w:tabs>
          <w:tab w:val="left" w:pos="2836"/>
        </w:tabs>
        <w:spacing w:before="107" w:line="230" w:lineRule="auto"/>
        <w:ind w:right="111"/>
        <w:jc w:val="left"/>
        <w:rPr>
          <w:sz w:val="12"/>
        </w:rPr>
      </w:pPr>
      <w:r>
        <w:rPr>
          <w:color w:val="4D4D4F"/>
          <w:spacing w:val="2"/>
          <w:sz w:val="12"/>
        </w:rPr>
        <w:t xml:space="preserve">Bruce </w:t>
      </w:r>
      <w:r>
        <w:rPr>
          <w:color w:val="4D4D4F"/>
          <w:sz w:val="12"/>
        </w:rPr>
        <w:t xml:space="preserve">M, Batpurev </w:t>
      </w:r>
      <w:r>
        <w:rPr>
          <w:color w:val="4D4D4F"/>
          <w:spacing w:val="2"/>
          <w:sz w:val="12"/>
        </w:rPr>
        <w:t xml:space="preserve">K, </w:t>
      </w:r>
      <w:r>
        <w:rPr>
          <w:color w:val="4D4D4F"/>
          <w:sz w:val="12"/>
        </w:rPr>
        <w:t xml:space="preserve">Bryant D, Sinclair S and Kohout M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Department of Environment, Land, Water and Planning, Heidelberg,</w:t>
      </w:r>
      <w:r>
        <w:rPr>
          <w:color w:val="4D4D4F"/>
          <w:spacing w:val="24"/>
          <w:sz w:val="12"/>
        </w:rPr>
        <w:t xml:space="preserve"> </w:t>
      </w:r>
      <w:r>
        <w:rPr>
          <w:color w:val="4D4D4F"/>
          <w:sz w:val="12"/>
        </w:rPr>
        <w:t>Victoria.</w:t>
      </w:r>
    </w:p>
    <w:p w14:paraId="048B7326" w14:textId="77777777" w:rsidR="00EF5B27" w:rsidRDefault="00EF5B27">
      <w:pPr>
        <w:spacing w:line="230" w:lineRule="auto"/>
        <w:rPr>
          <w:sz w:val="12"/>
        </w:rPr>
        <w:sectPr w:rsidR="00EF5B27">
          <w:type w:val="continuous"/>
          <w:pgSz w:w="11910" w:h="16840"/>
          <w:pgMar w:top="1140" w:right="1020" w:bottom="280" w:left="1020" w:header="720" w:footer="720" w:gutter="0"/>
          <w:cols w:space="720"/>
        </w:sectPr>
      </w:pPr>
    </w:p>
    <w:p w14:paraId="74CD3605" w14:textId="77777777" w:rsidR="00EF5B27" w:rsidRDefault="00EF5B27">
      <w:pPr>
        <w:pStyle w:val="BodyText"/>
      </w:pPr>
    </w:p>
    <w:p w14:paraId="7F9E4703" w14:textId="77777777" w:rsidR="00EF5B27" w:rsidRDefault="00EF5B27">
      <w:pPr>
        <w:pStyle w:val="BodyText"/>
      </w:pPr>
    </w:p>
    <w:p w14:paraId="76173F30" w14:textId="77777777" w:rsidR="00EF5B27" w:rsidRDefault="00EF5B27">
      <w:pPr>
        <w:pStyle w:val="BodyText"/>
      </w:pPr>
    </w:p>
    <w:p w14:paraId="74E01370" w14:textId="77777777" w:rsidR="00EF5B27" w:rsidRDefault="00EF5B27">
      <w:pPr>
        <w:pStyle w:val="BodyText"/>
      </w:pPr>
    </w:p>
    <w:p w14:paraId="5356AB65" w14:textId="77777777" w:rsidR="00EF5B27" w:rsidRDefault="00EF5B27">
      <w:pPr>
        <w:pStyle w:val="BodyText"/>
      </w:pPr>
    </w:p>
    <w:p w14:paraId="3EFA1756" w14:textId="77777777" w:rsidR="00EF5B27" w:rsidRDefault="00EF5B27">
      <w:pPr>
        <w:pStyle w:val="BodyText"/>
      </w:pPr>
    </w:p>
    <w:p w14:paraId="1B5E0953" w14:textId="77777777" w:rsidR="00EF5B27" w:rsidRDefault="00EF5B27">
      <w:pPr>
        <w:pStyle w:val="BodyText"/>
      </w:pPr>
    </w:p>
    <w:p w14:paraId="019868C8" w14:textId="77777777" w:rsidR="00EF5B27" w:rsidRDefault="00EF5B27">
      <w:pPr>
        <w:pStyle w:val="BodyText"/>
      </w:pPr>
    </w:p>
    <w:p w14:paraId="4EF879E7" w14:textId="77777777" w:rsidR="00EF5B27" w:rsidRDefault="00EF5B27">
      <w:pPr>
        <w:pStyle w:val="BodyText"/>
      </w:pPr>
    </w:p>
    <w:p w14:paraId="2D696411" w14:textId="77777777" w:rsidR="00EF5B27" w:rsidRDefault="00EF5B27">
      <w:pPr>
        <w:pStyle w:val="BodyText"/>
      </w:pPr>
    </w:p>
    <w:p w14:paraId="3F30BA9D" w14:textId="77777777" w:rsidR="00EF5B27" w:rsidRDefault="00EF5B27">
      <w:pPr>
        <w:pStyle w:val="BodyText"/>
        <w:spacing w:before="2"/>
        <w:rPr>
          <w:sz w:val="12"/>
        </w:rPr>
      </w:pPr>
    </w:p>
    <w:p w14:paraId="4B73FC17" w14:textId="77777777" w:rsidR="00EF5B27" w:rsidRDefault="00000000">
      <w:pPr>
        <w:pStyle w:val="BodyText"/>
        <w:ind w:left="113"/>
      </w:pPr>
      <w:r>
        <w:pict w14:anchorId="52076A1D">
          <v:shape id="_x0000_s4563" type="#_x0000_t202" style="width:481.15pt;height:25.4pt;mso-left-percent:-10001;mso-top-percent:-10001;mso-position-horizontal:absolute;mso-position-horizontal-relative:char;mso-position-vertical:absolute;mso-position-vertical-relative:line;mso-left-percent:-10001;mso-top-percent:-10001" fillcolor="#fecc91" stroked="f">
            <v:textbox inset="0,0,0,0">
              <w:txbxContent>
                <w:p w14:paraId="1F4BC4CE" w14:textId="77777777" w:rsidR="00EF5B27" w:rsidRDefault="00000000">
                  <w:pPr>
                    <w:tabs>
                      <w:tab w:val="left" w:pos="2607"/>
                    </w:tabs>
                    <w:spacing w:before="142"/>
                    <w:ind w:left="113"/>
                    <w:rPr>
                      <w:b/>
                      <w:sz w:val="20"/>
                    </w:rPr>
                  </w:pPr>
                  <w:r>
                    <w:rPr>
                      <w:b/>
                      <w:color w:val="4D4D4F"/>
                      <w:sz w:val="20"/>
                    </w:rPr>
                    <w:t>Theme</w:t>
                  </w:r>
                  <w:r>
                    <w:rPr>
                      <w:b/>
                      <w:color w:val="4D4D4F"/>
                      <w:sz w:val="20"/>
                    </w:rPr>
                    <w:tab/>
                    <w:t>Traditional Owner rights, knowledge, values and</w:t>
                  </w:r>
                  <w:r>
                    <w:rPr>
                      <w:b/>
                      <w:color w:val="4D4D4F"/>
                      <w:spacing w:val="23"/>
                      <w:sz w:val="20"/>
                    </w:rPr>
                    <w:t xml:space="preserve"> </w:t>
                  </w:r>
                  <w:r>
                    <w:rPr>
                      <w:b/>
                      <w:color w:val="4D4D4F"/>
                      <w:sz w:val="20"/>
                    </w:rPr>
                    <w:t>participation</w:t>
                  </w:r>
                </w:p>
              </w:txbxContent>
            </v:textbox>
            <w10:anchorlock/>
          </v:shape>
        </w:pict>
      </w:r>
    </w:p>
    <w:p w14:paraId="3B9ADD24" w14:textId="77777777" w:rsidR="00EF5B27" w:rsidRDefault="00EF5B27">
      <w:pPr>
        <w:pStyle w:val="BodyText"/>
        <w:spacing w:before="8"/>
        <w:rPr>
          <w:sz w:val="5"/>
        </w:rPr>
      </w:pPr>
    </w:p>
    <w:p w14:paraId="3F227F4D" w14:textId="77777777" w:rsidR="00EF5B27" w:rsidRDefault="00EF5B27">
      <w:pPr>
        <w:rPr>
          <w:sz w:val="5"/>
        </w:rPr>
        <w:sectPr w:rsidR="00EF5B27">
          <w:pgSz w:w="11910" w:h="16840"/>
          <w:pgMar w:top="1080" w:right="1020" w:bottom="860" w:left="1020" w:header="537" w:footer="678" w:gutter="0"/>
          <w:cols w:space="720"/>
        </w:sectPr>
      </w:pPr>
    </w:p>
    <w:p w14:paraId="297A82EB" w14:textId="77777777" w:rsidR="00EF5B27" w:rsidRDefault="00000000">
      <w:pPr>
        <w:pStyle w:val="BodyText"/>
        <w:spacing w:before="51"/>
        <w:ind w:left="227"/>
      </w:pPr>
      <w:r>
        <w:pict w14:anchorId="017EC8FC">
          <v:group id="_x0000_s4555" style="position:absolute;left:0;text-align:left;margin-left:587.05pt;margin-top:183.4pt;width:8.25pt;height:153.1pt;z-index:251333120;mso-position-horizontal-relative:page;mso-position-vertical-relative:page" coordorigin="11741,3668" coordsize="165,3062">
            <v:shape id="_x0000_s4562" style="position:absolute;left:11741;top:3668;width:165;height:561" coordorigin="11741,3668" coordsize="165,561" path="m11906,3668r-165,l11741,4228r165,-18l11906,3668xe" fillcolor="#00aed9" stroked="f">
              <v:path arrowok="t"/>
            </v:shape>
            <v:shape id="_x0000_s4561" style="position:absolute;left:11741;top:4118;width:165;height:425" coordorigin="11741,4118" coordsize="165,425" path="m11906,4118r-165,14l11741,4531r165,12l11906,4118xe" fillcolor="#047ebc" stroked="f">
              <v:path arrowok="t"/>
            </v:shape>
            <v:shape id="_x0000_s4560" type="#_x0000_t75" style="position:absolute;left:11741;top:4355;width:165;height:587">
              <v:imagedata r:id="rId42" o:title=""/>
            </v:shape>
            <v:shape id="_x0000_s4559" style="position:absolute;left:11741;top:5343;width:165;height:536" coordorigin="11741,5343" coordsize="165,536" path="m11741,5343r,535l11906,5872r,-525l11741,5343xe" fillcolor="#f36a2e" stroked="f">
              <v:path arrowok="t"/>
            </v:shape>
            <v:shape id="_x0000_s4558" style="position:absolute;left:11741;top:4925;width:165;height:501" coordorigin="11741,4926" coordsize="165,501" path="m11741,4926r,500l11906,5426r,-485l11741,4926xe" fillcolor="#49783f" stroked="f">
              <v:path arrowok="t"/>
            </v:shape>
            <v:shape id="_x0000_s4557" style="position:absolute;left:11741;top:5781;width:165;height:268" coordorigin="11741,5782" coordsize="165,268" path="m11906,5782r-165,8l11741,6039r165,10l11906,5782xe" fillcolor="#f99f2a" stroked="f">
              <v:path arrowok="t"/>
            </v:shape>
            <v:shape id="_x0000_s4556" style="position:absolute;left:11741;top:6023;width:165;height:707" coordorigin="11741,6023" coordsize="165,707" path="m11741,6023r,706l11906,6729r,-690l11741,6023xe" fillcolor="#ef412c" stroked="f">
              <v:path arrowok="t"/>
            </v:shape>
            <w10:wrap anchorx="page" anchory="page"/>
          </v:group>
        </w:pict>
      </w:r>
      <w:r>
        <w:pict w14:anchorId="77F114FB">
          <v:group id="_x0000_s4552" style="position:absolute;left:0;text-align:left;margin-left:56.7pt;margin-top:-29.85pt;width:481.15pt;height:.25pt;z-index:251334144;mso-position-horizontal-relative:page" coordorigin="1134,-597" coordsize="9623,5">
            <v:line id="_x0000_s4554" style="position:absolute" from="1134,-595" to="3628,-595" strokeweight=".25pt"/>
            <v:line id="_x0000_s4553" style="position:absolute" from="3628,-595" to="10756,-595" strokeweight=".25pt"/>
            <w10:wrap anchorx="page"/>
          </v:group>
        </w:pict>
      </w:r>
      <w:r>
        <w:pict w14:anchorId="76BECC2E">
          <v:group id="_x0000_s4549" style="position:absolute;left:0;text-align:left;margin-left:56.7pt;margin-top:-4.35pt;width:481.15pt;height:.25pt;z-index:251335168;mso-position-horizontal-relative:page" coordorigin="1134,-87" coordsize="9623,5">
            <v:line id="_x0000_s4551" style="position:absolute" from="1134,-84" to="3628,-84" strokeweight=".25pt"/>
            <v:line id="_x0000_s4550" style="position:absolute" from="3628,-84" to="10756,-84" strokeweight=".25pt"/>
            <w10:wrap anchorx="page"/>
          </v:group>
        </w:pict>
      </w:r>
      <w:r>
        <w:rPr>
          <w:color w:val="4D4D4F"/>
        </w:rPr>
        <w:t>Recommendation</w:t>
      </w:r>
    </w:p>
    <w:p w14:paraId="5BFD31F5" w14:textId="77777777" w:rsidR="00EF5B27" w:rsidRDefault="00000000">
      <w:pPr>
        <w:pStyle w:val="Heading1"/>
      </w:pPr>
      <w:r>
        <w:rPr>
          <w:color w:val="4D4D4F"/>
          <w:w w:val="105"/>
        </w:rPr>
        <w:t>02</w:t>
      </w:r>
    </w:p>
    <w:p w14:paraId="1B7273E0" w14:textId="77777777" w:rsidR="00EF5B27" w:rsidRDefault="00000000">
      <w:pPr>
        <w:pStyle w:val="BodyText"/>
        <w:spacing w:before="51" w:line="254" w:lineRule="auto"/>
        <w:ind w:left="340" w:right="203"/>
      </w:pPr>
      <w:r>
        <w:br w:type="column"/>
      </w:r>
      <w:r>
        <w:rPr>
          <w:color w:val="4D4D4F"/>
        </w:rPr>
        <w:t>That DELWP implements a strategy to embed Traditional Owner rights, knowledge, values and participation in the MSA program design and implementation. This includes mechanisms for the inclusion of cultural heritage and Traditional Owner values into the MSA program logic and monitoring and reporting framework (MRF).</w:t>
      </w:r>
    </w:p>
    <w:p w14:paraId="10D4131F" w14:textId="77777777" w:rsidR="00EF5B27" w:rsidRDefault="00EF5B27">
      <w:pPr>
        <w:pStyle w:val="BodyText"/>
        <w:rPr>
          <w:sz w:val="24"/>
        </w:rPr>
      </w:pPr>
    </w:p>
    <w:p w14:paraId="32EE4F53" w14:textId="77777777" w:rsidR="00EF5B27" w:rsidRDefault="00EF5B27">
      <w:pPr>
        <w:pStyle w:val="BodyText"/>
        <w:rPr>
          <w:sz w:val="24"/>
        </w:rPr>
      </w:pPr>
    </w:p>
    <w:p w14:paraId="7B65EC6E" w14:textId="77777777" w:rsidR="00EF5B27" w:rsidRDefault="00EF5B27">
      <w:pPr>
        <w:pStyle w:val="BodyText"/>
        <w:rPr>
          <w:sz w:val="24"/>
        </w:rPr>
      </w:pPr>
    </w:p>
    <w:p w14:paraId="102C2A88" w14:textId="77777777" w:rsidR="00EF5B27" w:rsidRDefault="00EF5B27">
      <w:pPr>
        <w:pStyle w:val="BodyText"/>
        <w:rPr>
          <w:sz w:val="24"/>
        </w:rPr>
      </w:pPr>
    </w:p>
    <w:p w14:paraId="09684C8C" w14:textId="77777777" w:rsidR="00EF5B27" w:rsidRDefault="00000000">
      <w:pPr>
        <w:pStyle w:val="Heading3"/>
        <w:spacing w:before="158"/>
        <w:ind w:left="227"/>
      </w:pPr>
      <w:r>
        <w:pict w14:anchorId="10ABF4C7">
          <v:group id="_x0000_s4546" style="position:absolute;left:0;text-align:left;margin-left:56.7pt;margin-top:-26.55pt;width:481.15pt;height:.25pt;z-index:251336192;mso-position-horizontal-relative:page" coordorigin="1134,-531" coordsize="9623,5">
            <v:line id="_x0000_s4548" style="position:absolute" from="1134,-528" to="3628,-528" strokeweight=".25pt"/>
            <v:line id="_x0000_s4547" style="position:absolute" from="3628,-528" to="10756,-528" strokeweight=".25pt"/>
            <w10:wrap anchorx="page"/>
          </v:group>
        </w:pict>
      </w:r>
      <w:r>
        <w:rPr>
          <w:color w:val="F99F2A"/>
        </w:rPr>
        <w:t>Challenges the recommendation addresses</w:t>
      </w:r>
    </w:p>
    <w:p w14:paraId="014D3FA0" w14:textId="77777777" w:rsidR="00EF5B27" w:rsidRDefault="00000000">
      <w:pPr>
        <w:pStyle w:val="BodyText"/>
        <w:spacing w:before="256" w:line="254" w:lineRule="auto"/>
        <w:ind w:left="227" w:right="533"/>
      </w:pPr>
      <w:r>
        <w:rPr>
          <w:color w:val="4D4D4F"/>
        </w:rPr>
        <w:t>There is a general and historical lack of documented and strategic consideration  of Aboriginal cultural heritage and Traditional Owner values in the design and implementation of the MSA program delivery model, and no apparent mechanism for the inclusion of these values into the current scope of</w:t>
      </w:r>
      <w:r>
        <w:rPr>
          <w:color w:val="4D4D4F"/>
          <w:spacing w:val="33"/>
        </w:rPr>
        <w:t xml:space="preserve"> </w:t>
      </w:r>
      <w:r>
        <w:rPr>
          <w:color w:val="4D4D4F"/>
        </w:rPr>
        <w:t>management.</w:t>
      </w:r>
    </w:p>
    <w:p w14:paraId="0B8E8969"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704" w:space="677"/>
            <w:col w:w="7489"/>
          </w:cols>
        </w:sectPr>
      </w:pPr>
    </w:p>
    <w:p w14:paraId="763A4208" w14:textId="77777777" w:rsidR="00EF5B27" w:rsidRDefault="00EF5B27">
      <w:pPr>
        <w:pStyle w:val="BodyText"/>
      </w:pPr>
    </w:p>
    <w:p w14:paraId="34041DC9" w14:textId="77777777" w:rsidR="00EF5B27" w:rsidRDefault="00EF5B27">
      <w:pPr>
        <w:pStyle w:val="BodyText"/>
      </w:pPr>
    </w:p>
    <w:p w14:paraId="1CF78768" w14:textId="77777777" w:rsidR="00EF5B27" w:rsidRDefault="00EF5B27">
      <w:pPr>
        <w:pStyle w:val="BodyText"/>
      </w:pPr>
    </w:p>
    <w:p w14:paraId="5F125D06" w14:textId="77777777" w:rsidR="00EF5B27" w:rsidRDefault="00EF5B27">
      <w:pPr>
        <w:pStyle w:val="BodyText"/>
      </w:pPr>
    </w:p>
    <w:p w14:paraId="5E878A84" w14:textId="77777777" w:rsidR="00EF5B27" w:rsidRDefault="00EF5B27">
      <w:pPr>
        <w:pStyle w:val="BodyText"/>
      </w:pPr>
    </w:p>
    <w:p w14:paraId="10D9D3E8" w14:textId="77777777" w:rsidR="00EF5B27" w:rsidRDefault="00EF5B27">
      <w:pPr>
        <w:pStyle w:val="BodyText"/>
      </w:pPr>
    </w:p>
    <w:p w14:paraId="0FA3189E" w14:textId="77777777" w:rsidR="00EF5B27" w:rsidRDefault="00EF5B27">
      <w:pPr>
        <w:pStyle w:val="BodyText"/>
      </w:pPr>
    </w:p>
    <w:p w14:paraId="7EF414C0" w14:textId="77777777" w:rsidR="00EF5B27" w:rsidRDefault="00EF5B27">
      <w:pPr>
        <w:pStyle w:val="BodyText"/>
      </w:pPr>
    </w:p>
    <w:p w14:paraId="74CD0228" w14:textId="77777777" w:rsidR="00EF5B27" w:rsidRDefault="00EF5B27">
      <w:pPr>
        <w:pStyle w:val="BodyText"/>
      </w:pPr>
    </w:p>
    <w:p w14:paraId="77D8B4D6" w14:textId="77777777" w:rsidR="00EF5B27" w:rsidRDefault="00EF5B27">
      <w:pPr>
        <w:pStyle w:val="BodyText"/>
      </w:pPr>
    </w:p>
    <w:p w14:paraId="4F9E5CC5" w14:textId="77777777" w:rsidR="00EF5B27" w:rsidRDefault="00EF5B27">
      <w:pPr>
        <w:pStyle w:val="BodyText"/>
        <w:spacing w:before="4"/>
        <w:rPr>
          <w:sz w:val="11"/>
        </w:rPr>
      </w:pPr>
    </w:p>
    <w:p w14:paraId="0959C21E" w14:textId="77777777" w:rsidR="00EF5B27" w:rsidRDefault="00000000">
      <w:pPr>
        <w:pStyle w:val="BodyText"/>
        <w:ind w:left="113"/>
      </w:pPr>
      <w:r>
        <w:pict w14:anchorId="6197E42F">
          <v:shape id="_x0000_s4545" type="#_x0000_t202" style="width:481.15pt;height:25.4pt;mso-left-percent:-10001;mso-top-percent:-10001;mso-position-horizontal:absolute;mso-position-horizontal-relative:char;mso-position-vertical:absolute;mso-position-vertical-relative:line;mso-left-percent:-10001;mso-top-percent:-10001" fillcolor="#fecc91" stroked="f">
            <v:textbox inset="0,0,0,0">
              <w:txbxContent>
                <w:p w14:paraId="30119981" w14:textId="77777777" w:rsidR="00EF5B27" w:rsidRDefault="00000000">
                  <w:pPr>
                    <w:tabs>
                      <w:tab w:val="left" w:pos="2607"/>
                    </w:tabs>
                    <w:spacing w:before="142"/>
                    <w:ind w:left="113"/>
                    <w:rPr>
                      <w:b/>
                      <w:sz w:val="20"/>
                    </w:rPr>
                  </w:pPr>
                  <w:r>
                    <w:rPr>
                      <w:b/>
                      <w:color w:val="4D4D4F"/>
                      <w:sz w:val="20"/>
                    </w:rPr>
                    <w:t>Theme</w:t>
                  </w:r>
                  <w:r>
                    <w:rPr>
                      <w:b/>
                      <w:color w:val="4D4D4F"/>
                      <w:sz w:val="20"/>
                    </w:rPr>
                    <w:tab/>
                    <w:t>Program design, governance and coordination (Program</w:t>
                  </w:r>
                  <w:r>
                    <w:rPr>
                      <w:b/>
                      <w:color w:val="4D4D4F"/>
                      <w:spacing w:val="33"/>
                      <w:sz w:val="20"/>
                    </w:rPr>
                    <w:t xml:space="preserve"> </w:t>
                  </w:r>
                  <w:r>
                    <w:rPr>
                      <w:b/>
                      <w:color w:val="4D4D4F"/>
                      <w:sz w:val="20"/>
                    </w:rPr>
                    <w:t>logic)</w:t>
                  </w:r>
                </w:p>
              </w:txbxContent>
            </v:textbox>
            <w10:anchorlock/>
          </v:shape>
        </w:pict>
      </w:r>
    </w:p>
    <w:p w14:paraId="5378B67D" w14:textId="77777777" w:rsidR="00EF5B27" w:rsidRDefault="00EF5B27">
      <w:pPr>
        <w:pStyle w:val="BodyText"/>
        <w:spacing w:before="8"/>
        <w:rPr>
          <w:sz w:val="5"/>
        </w:rPr>
      </w:pPr>
    </w:p>
    <w:p w14:paraId="58FDBF16" w14:textId="77777777" w:rsidR="00EF5B27" w:rsidRDefault="00EF5B27">
      <w:pPr>
        <w:rPr>
          <w:sz w:val="5"/>
        </w:rPr>
        <w:sectPr w:rsidR="00EF5B27">
          <w:pgSz w:w="11910" w:h="16840"/>
          <w:pgMar w:top="1080" w:right="1020" w:bottom="860" w:left="1020" w:header="537" w:footer="678" w:gutter="0"/>
          <w:cols w:space="720"/>
        </w:sectPr>
      </w:pPr>
    </w:p>
    <w:p w14:paraId="19989B7E" w14:textId="77777777" w:rsidR="00EF5B27" w:rsidRDefault="00000000">
      <w:pPr>
        <w:pStyle w:val="BodyText"/>
        <w:spacing w:before="51"/>
        <w:ind w:left="227"/>
      </w:pPr>
      <w:r>
        <w:pict w14:anchorId="1B19B937">
          <v:group id="_x0000_s4542" style="position:absolute;left:0;text-align:left;margin-left:56.7pt;margin-top:-29.85pt;width:481.15pt;height:.25pt;z-index:251340288;mso-position-horizontal-relative:page" coordorigin="1134,-597" coordsize="9623,5">
            <v:line id="_x0000_s4544" style="position:absolute" from="1134,-595" to="3628,-595" strokeweight=".25pt"/>
            <v:line id="_x0000_s4543" style="position:absolute" from="3628,-595" to="10756,-595" strokeweight=".25pt"/>
            <w10:wrap anchorx="page"/>
          </v:group>
        </w:pict>
      </w:r>
      <w:r>
        <w:pict w14:anchorId="44E33A2A">
          <v:group id="_x0000_s4539" style="position:absolute;left:0;text-align:left;margin-left:56.7pt;margin-top:-4.35pt;width:481.15pt;height:.25pt;z-index:251341312;mso-position-horizontal-relative:page" coordorigin="1134,-87" coordsize="9623,5">
            <v:line id="_x0000_s4541" style="position:absolute" from="1134,-84" to="3628,-84" strokeweight=".25pt"/>
            <v:line id="_x0000_s4540" style="position:absolute" from="3628,-84" to="10756,-84" strokeweight=".25pt"/>
            <w10:wrap anchorx="page"/>
          </v:group>
        </w:pict>
      </w:r>
      <w:r>
        <w:rPr>
          <w:color w:val="4D4D4F"/>
        </w:rPr>
        <w:t>Recommendation</w:t>
      </w:r>
    </w:p>
    <w:p w14:paraId="0E91E4DA" w14:textId="77777777" w:rsidR="00EF5B27" w:rsidRDefault="00000000">
      <w:pPr>
        <w:pStyle w:val="Heading1"/>
      </w:pPr>
      <w:r>
        <w:rPr>
          <w:color w:val="4D4D4F"/>
          <w:w w:val="105"/>
        </w:rPr>
        <w:t>03</w:t>
      </w:r>
    </w:p>
    <w:p w14:paraId="0E053BE4" w14:textId="77777777" w:rsidR="00EF5B27" w:rsidRDefault="00000000">
      <w:pPr>
        <w:pStyle w:val="BodyText"/>
        <w:spacing w:before="51"/>
        <w:ind w:left="340"/>
      </w:pPr>
      <w:r>
        <w:br w:type="column"/>
      </w:r>
      <w:r>
        <w:rPr>
          <w:color w:val="4D4D4F"/>
        </w:rPr>
        <w:t>That DELWP:</w:t>
      </w:r>
    </w:p>
    <w:p w14:paraId="79D7523F" w14:textId="77777777" w:rsidR="00EF5B27" w:rsidRDefault="00000000">
      <w:pPr>
        <w:pStyle w:val="ListParagraph"/>
        <w:numPr>
          <w:ilvl w:val="0"/>
          <w:numId w:val="61"/>
        </w:numPr>
        <w:tabs>
          <w:tab w:val="left" w:pos="542"/>
        </w:tabs>
        <w:spacing w:before="130" w:line="254" w:lineRule="auto"/>
        <w:ind w:right="450" w:firstLine="0"/>
        <w:rPr>
          <w:sz w:val="20"/>
        </w:rPr>
      </w:pPr>
      <w:r>
        <w:rPr>
          <w:color w:val="4D4D4F"/>
          <w:sz w:val="20"/>
        </w:rPr>
        <w:t>undertakes a contemporary redesign of the MSA program logic in consultation with Traditional Owners, scientists, land managers and community,</w:t>
      </w:r>
      <w:r>
        <w:rPr>
          <w:color w:val="4D4D4F"/>
          <w:spacing w:val="32"/>
          <w:sz w:val="20"/>
        </w:rPr>
        <w:t xml:space="preserve"> </w:t>
      </w:r>
      <w:r>
        <w:rPr>
          <w:color w:val="4D4D4F"/>
          <w:sz w:val="20"/>
        </w:rPr>
        <w:t>and</w:t>
      </w:r>
    </w:p>
    <w:p w14:paraId="547B3279" w14:textId="77777777" w:rsidR="00EF5B27" w:rsidRDefault="00000000">
      <w:pPr>
        <w:pStyle w:val="ListParagraph"/>
        <w:numPr>
          <w:ilvl w:val="0"/>
          <w:numId w:val="61"/>
        </w:numPr>
        <w:tabs>
          <w:tab w:val="left" w:pos="584"/>
        </w:tabs>
        <w:spacing w:before="115" w:line="254" w:lineRule="auto"/>
        <w:ind w:right="363" w:firstLine="0"/>
        <w:rPr>
          <w:sz w:val="20"/>
        </w:rPr>
      </w:pPr>
      <w:r>
        <w:pict w14:anchorId="5C3B2629">
          <v:group id="_x0000_s4536" style="position:absolute;left:0;text-align:left;margin-left:56.7pt;margin-top:39.2pt;width:481.15pt;height:.25pt;z-index:251342336;mso-position-horizontal-relative:page" coordorigin="1134,784" coordsize="9623,5">
            <v:line id="_x0000_s4538" style="position:absolute" from="1134,787" to="3628,787" strokeweight=".25pt"/>
            <v:line id="_x0000_s4537" style="position:absolute" from="3628,787" to="10756,787" strokeweight=".25pt"/>
            <w10:wrap anchorx="page"/>
          </v:group>
        </w:pict>
      </w:r>
      <w:r>
        <w:rPr>
          <w:color w:val="4D4D4F"/>
          <w:sz w:val="20"/>
        </w:rPr>
        <w:t>establishes a governance framework that supports better decision-making and risk management practices at all levels of MSA planning and</w:t>
      </w:r>
      <w:r>
        <w:rPr>
          <w:color w:val="4D4D4F"/>
          <w:spacing w:val="8"/>
          <w:sz w:val="20"/>
        </w:rPr>
        <w:t xml:space="preserve"> </w:t>
      </w:r>
      <w:r>
        <w:rPr>
          <w:color w:val="4D4D4F"/>
          <w:sz w:val="20"/>
        </w:rPr>
        <w:t>implementation.</w:t>
      </w:r>
    </w:p>
    <w:p w14:paraId="154C21E7" w14:textId="77777777" w:rsidR="00EF5B27" w:rsidRDefault="00EF5B27">
      <w:pPr>
        <w:pStyle w:val="BodyText"/>
        <w:rPr>
          <w:sz w:val="24"/>
        </w:rPr>
      </w:pPr>
    </w:p>
    <w:p w14:paraId="24BD5B82" w14:textId="77777777" w:rsidR="00EF5B27" w:rsidRDefault="00EF5B27">
      <w:pPr>
        <w:pStyle w:val="BodyText"/>
        <w:rPr>
          <w:sz w:val="24"/>
        </w:rPr>
      </w:pPr>
    </w:p>
    <w:p w14:paraId="0F6C53BC" w14:textId="77777777" w:rsidR="00EF5B27" w:rsidRDefault="00EF5B27">
      <w:pPr>
        <w:pStyle w:val="BodyText"/>
        <w:spacing w:before="11"/>
      </w:pPr>
    </w:p>
    <w:p w14:paraId="49D50E0A" w14:textId="77777777" w:rsidR="00EF5B27" w:rsidRDefault="00000000">
      <w:pPr>
        <w:pStyle w:val="Heading3"/>
        <w:ind w:left="227"/>
      </w:pPr>
      <w:r>
        <w:rPr>
          <w:color w:val="F99F2A"/>
        </w:rPr>
        <w:t>Challenges the recommendation addresses</w:t>
      </w:r>
    </w:p>
    <w:p w14:paraId="0D887F0F" w14:textId="77777777" w:rsidR="00EF5B27" w:rsidRDefault="00000000">
      <w:pPr>
        <w:pStyle w:val="BodyText"/>
        <w:spacing w:before="256" w:line="254" w:lineRule="auto"/>
        <w:ind w:left="227" w:right="203"/>
        <w:rPr>
          <w:sz w:val="11"/>
        </w:rPr>
      </w:pPr>
      <w:r>
        <w:rPr>
          <w:color w:val="4D4D4F"/>
        </w:rPr>
        <w:t>There are limitations in the current MSA program logic hampering an ability to assess program effectiveness and adjust management actions accordingly. Links between program objectives, actions, outputs and conservation outcomes remain unclear, and assumptions underpinning the original offsets model remain untested.</w:t>
      </w:r>
      <w:r>
        <w:rPr>
          <w:color w:val="4D4D4F"/>
          <w:position w:val="7"/>
          <w:sz w:val="11"/>
        </w:rPr>
        <w:t>18</w:t>
      </w:r>
    </w:p>
    <w:p w14:paraId="487F2BBB" w14:textId="77777777" w:rsidR="00EF5B27" w:rsidRDefault="00000000">
      <w:pPr>
        <w:pStyle w:val="BodyText"/>
        <w:spacing w:before="118" w:line="254" w:lineRule="auto"/>
        <w:ind w:left="227" w:right="203"/>
      </w:pPr>
      <w:r>
        <w:rPr>
          <w:color w:val="4D4D4F"/>
        </w:rPr>
        <w:t xml:space="preserve">At the time the MSA agreement was made in </w:t>
      </w:r>
      <w:r>
        <w:rPr>
          <w:color w:val="4D4D4F"/>
          <w:spacing w:val="-3"/>
        </w:rPr>
        <w:t xml:space="preserve">2010, </w:t>
      </w:r>
      <w:r>
        <w:rPr>
          <w:color w:val="4D4D4F"/>
        </w:rPr>
        <w:t>regulations and landscape-scale assessments of habitat extent and quality defined impacts to MNES and determined  the associated offsets required to compensate for those impacts for the program to achieve No Net Loss (NNL). Current implementation requirements are based on these original assessments. DELWP has no obligation to assess whether these requirements are appropriate or effective if delivered, nor has any obligation to adjust these requirements or keep pace with change should new information potentially influence outcomes for MNES (including Aboriginal cultural heritage and Traditional Owner knowledge and</w:t>
      </w:r>
      <w:r>
        <w:rPr>
          <w:color w:val="4D4D4F"/>
          <w:spacing w:val="8"/>
        </w:rPr>
        <w:t xml:space="preserve"> </w:t>
      </w:r>
      <w:r>
        <w:rPr>
          <w:color w:val="4D4D4F"/>
        </w:rPr>
        <w:t>values).</w:t>
      </w:r>
    </w:p>
    <w:p w14:paraId="51BD7123" w14:textId="77777777" w:rsidR="00EF5B27" w:rsidRDefault="00000000">
      <w:pPr>
        <w:pStyle w:val="BodyText"/>
        <w:spacing w:before="124" w:line="254" w:lineRule="auto"/>
        <w:ind w:left="227" w:right="126"/>
      </w:pPr>
      <w:r>
        <w:rPr>
          <w:color w:val="4D4D4F"/>
          <w:w w:val="105"/>
        </w:rPr>
        <w:t>There</w:t>
      </w:r>
      <w:r>
        <w:rPr>
          <w:color w:val="4D4D4F"/>
          <w:spacing w:val="-13"/>
          <w:w w:val="105"/>
        </w:rPr>
        <w:t xml:space="preserve"> </w:t>
      </w:r>
      <w:r>
        <w:rPr>
          <w:color w:val="4D4D4F"/>
          <w:w w:val="105"/>
        </w:rPr>
        <w:t>is</w:t>
      </w:r>
      <w:r>
        <w:rPr>
          <w:color w:val="4D4D4F"/>
          <w:spacing w:val="-12"/>
          <w:w w:val="105"/>
        </w:rPr>
        <w:t xml:space="preserve"> </w:t>
      </w:r>
      <w:r>
        <w:rPr>
          <w:color w:val="4D4D4F"/>
          <w:w w:val="105"/>
        </w:rPr>
        <w:t>a</w:t>
      </w:r>
      <w:r>
        <w:rPr>
          <w:color w:val="4D4D4F"/>
          <w:spacing w:val="-12"/>
          <w:w w:val="105"/>
        </w:rPr>
        <w:t xml:space="preserve"> </w:t>
      </w:r>
      <w:r>
        <w:rPr>
          <w:color w:val="4D4D4F"/>
          <w:w w:val="105"/>
        </w:rPr>
        <w:t>lack</w:t>
      </w:r>
      <w:r>
        <w:rPr>
          <w:color w:val="4D4D4F"/>
          <w:spacing w:val="-12"/>
          <w:w w:val="105"/>
        </w:rPr>
        <w:t xml:space="preserve"> </w:t>
      </w:r>
      <w:r>
        <w:rPr>
          <w:color w:val="4D4D4F"/>
          <w:w w:val="105"/>
        </w:rPr>
        <w:t>of</w:t>
      </w:r>
      <w:r>
        <w:rPr>
          <w:color w:val="4D4D4F"/>
          <w:spacing w:val="-12"/>
          <w:w w:val="105"/>
        </w:rPr>
        <w:t xml:space="preserve"> </w:t>
      </w:r>
      <w:r>
        <w:rPr>
          <w:color w:val="4D4D4F"/>
          <w:w w:val="105"/>
        </w:rPr>
        <w:t>formal</w:t>
      </w:r>
      <w:r>
        <w:rPr>
          <w:color w:val="4D4D4F"/>
          <w:spacing w:val="-12"/>
          <w:w w:val="105"/>
        </w:rPr>
        <w:t xml:space="preserve"> </w:t>
      </w:r>
      <w:r>
        <w:rPr>
          <w:color w:val="4D4D4F"/>
          <w:w w:val="105"/>
        </w:rPr>
        <w:t>governance</w:t>
      </w:r>
      <w:r>
        <w:rPr>
          <w:color w:val="4D4D4F"/>
          <w:spacing w:val="-12"/>
          <w:w w:val="105"/>
        </w:rPr>
        <w:t xml:space="preserve"> </w:t>
      </w:r>
      <w:r>
        <w:rPr>
          <w:color w:val="4D4D4F"/>
          <w:w w:val="105"/>
        </w:rPr>
        <w:t>arrangements</w:t>
      </w:r>
      <w:r>
        <w:rPr>
          <w:color w:val="4D4D4F"/>
          <w:spacing w:val="-12"/>
          <w:w w:val="105"/>
        </w:rPr>
        <w:t xml:space="preserve"> </w:t>
      </w:r>
      <w:r>
        <w:rPr>
          <w:color w:val="4D4D4F"/>
          <w:w w:val="105"/>
        </w:rPr>
        <w:t>for</w:t>
      </w:r>
      <w:r>
        <w:rPr>
          <w:color w:val="4D4D4F"/>
          <w:spacing w:val="-12"/>
          <w:w w:val="105"/>
        </w:rPr>
        <w:t xml:space="preserve"> </w:t>
      </w:r>
      <w:r>
        <w:rPr>
          <w:color w:val="4D4D4F"/>
          <w:w w:val="105"/>
        </w:rPr>
        <w:t>the</w:t>
      </w:r>
      <w:r>
        <w:rPr>
          <w:color w:val="4D4D4F"/>
          <w:spacing w:val="-13"/>
          <w:w w:val="105"/>
        </w:rPr>
        <w:t xml:space="preserve"> </w:t>
      </w:r>
      <w:r>
        <w:rPr>
          <w:color w:val="4D4D4F"/>
          <w:w w:val="105"/>
        </w:rPr>
        <w:t>MSA</w:t>
      </w:r>
      <w:r>
        <w:rPr>
          <w:color w:val="4D4D4F"/>
          <w:spacing w:val="-12"/>
          <w:w w:val="105"/>
        </w:rPr>
        <w:t xml:space="preserve"> </w:t>
      </w:r>
      <w:r>
        <w:rPr>
          <w:color w:val="4D4D4F"/>
          <w:w w:val="105"/>
        </w:rPr>
        <w:t>program</w:t>
      </w:r>
      <w:r>
        <w:rPr>
          <w:color w:val="4D4D4F"/>
          <w:spacing w:val="-12"/>
          <w:w w:val="105"/>
        </w:rPr>
        <w:t xml:space="preserve"> </w:t>
      </w:r>
      <w:r>
        <w:rPr>
          <w:color w:val="4D4D4F"/>
          <w:w w:val="105"/>
        </w:rPr>
        <w:t>to</w:t>
      </w:r>
      <w:r>
        <w:rPr>
          <w:color w:val="4D4D4F"/>
          <w:spacing w:val="-12"/>
          <w:w w:val="105"/>
        </w:rPr>
        <w:t xml:space="preserve"> </w:t>
      </w:r>
      <w:r>
        <w:rPr>
          <w:color w:val="4D4D4F"/>
          <w:w w:val="105"/>
        </w:rPr>
        <w:t>improve coordination</w:t>
      </w:r>
      <w:r>
        <w:rPr>
          <w:color w:val="4D4D4F"/>
          <w:spacing w:val="-30"/>
          <w:w w:val="105"/>
        </w:rPr>
        <w:t xml:space="preserve"> </w:t>
      </w:r>
      <w:r>
        <w:rPr>
          <w:color w:val="4D4D4F"/>
          <w:w w:val="105"/>
        </w:rPr>
        <w:t>of</w:t>
      </w:r>
      <w:r>
        <w:rPr>
          <w:color w:val="4D4D4F"/>
          <w:spacing w:val="-29"/>
          <w:w w:val="105"/>
        </w:rPr>
        <w:t xml:space="preserve"> </w:t>
      </w:r>
      <w:r>
        <w:rPr>
          <w:color w:val="4D4D4F"/>
          <w:w w:val="105"/>
        </w:rPr>
        <w:t>existing</w:t>
      </w:r>
      <w:r>
        <w:rPr>
          <w:color w:val="4D4D4F"/>
          <w:spacing w:val="-30"/>
          <w:w w:val="105"/>
        </w:rPr>
        <w:t xml:space="preserve"> </w:t>
      </w:r>
      <w:r>
        <w:rPr>
          <w:color w:val="4D4D4F"/>
          <w:w w:val="105"/>
        </w:rPr>
        <w:t>resources,</w:t>
      </w:r>
      <w:r>
        <w:rPr>
          <w:color w:val="4D4D4F"/>
          <w:spacing w:val="-29"/>
          <w:w w:val="105"/>
        </w:rPr>
        <w:t xml:space="preserve"> </w:t>
      </w:r>
      <w:r>
        <w:rPr>
          <w:color w:val="4D4D4F"/>
          <w:w w:val="105"/>
        </w:rPr>
        <w:t>effort</w:t>
      </w:r>
      <w:r>
        <w:rPr>
          <w:color w:val="4D4D4F"/>
          <w:spacing w:val="-29"/>
          <w:w w:val="105"/>
        </w:rPr>
        <w:t xml:space="preserve"> </w:t>
      </w:r>
      <w:r>
        <w:rPr>
          <w:color w:val="4D4D4F"/>
          <w:w w:val="105"/>
        </w:rPr>
        <w:t>and</w:t>
      </w:r>
      <w:r>
        <w:rPr>
          <w:color w:val="4D4D4F"/>
          <w:spacing w:val="-30"/>
          <w:w w:val="105"/>
        </w:rPr>
        <w:t xml:space="preserve"> </w:t>
      </w:r>
      <w:r>
        <w:rPr>
          <w:color w:val="4D4D4F"/>
          <w:w w:val="105"/>
        </w:rPr>
        <w:t>investments</w:t>
      </w:r>
      <w:r>
        <w:rPr>
          <w:color w:val="4D4D4F"/>
          <w:spacing w:val="-29"/>
          <w:w w:val="105"/>
        </w:rPr>
        <w:t xml:space="preserve"> </w:t>
      </w:r>
      <w:r>
        <w:rPr>
          <w:color w:val="4D4D4F"/>
          <w:w w:val="105"/>
        </w:rPr>
        <w:t>and</w:t>
      </w:r>
      <w:r>
        <w:rPr>
          <w:color w:val="4D4D4F"/>
          <w:spacing w:val="-29"/>
          <w:w w:val="105"/>
        </w:rPr>
        <w:t xml:space="preserve"> </w:t>
      </w:r>
      <w:r>
        <w:rPr>
          <w:color w:val="4D4D4F"/>
          <w:w w:val="105"/>
        </w:rPr>
        <w:t>enable</w:t>
      </w:r>
      <w:r>
        <w:rPr>
          <w:color w:val="4D4D4F"/>
          <w:spacing w:val="-30"/>
          <w:w w:val="105"/>
        </w:rPr>
        <w:t xml:space="preserve"> </w:t>
      </w:r>
      <w:r>
        <w:rPr>
          <w:color w:val="4D4D4F"/>
          <w:w w:val="105"/>
        </w:rPr>
        <w:t>better</w:t>
      </w:r>
      <w:r>
        <w:rPr>
          <w:color w:val="4D4D4F"/>
          <w:spacing w:val="-29"/>
          <w:w w:val="105"/>
        </w:rPr>
        <w:t xml:space="preserve"> </w:t>
      </w:r>
      <w:r>
        <w:rPr>
          <w:color w:val="4D4D4F"/>
          <w:w w:val="105"/>
        </w:rPr>
        <w:t xml:space="preserve">outcomes for </w:t>
      </w:r>
      <w:r>
        <w:rPr>
          <w:color w:val="4D4D4F"/>
          <w:spacing w:val="-4"/>
          <w:w w:val="105"/>
        </w:rPr>
        <w:t>MNES.</w:t>
      </w:r>
      <w:r>
        <w:rPr>
          <w:color w:val="4D4D4F"/>
          <w:spacing w:val="-4"/>
          <w:w w:val="105"/>
          <w:position w:val="7"/>
          <w:sz w:val="11"/>
        </w:rPr>
        <w:t xml:space="preserve">19 </w:t>
      </w:r>
      <w:r>
        <w:rPr>
          <w:color w:val="4D4D4F"/>
          <w:w w:val="105"/>
        </w:rPr>
        <w:t>Addressing this gap would encourage participation from stakeholders across all levels of MSA</w:t>
      </w:r>
      <w:r>
        <w:rPr>
          <w:color w:val="4D4D4F"/>
          <w:spacing w:val="3"/>
          <w:w w:val="105"/>
        </w:rPr>
        <w:t xml:space="preserve"> </w:t>
      </w:r>
      <w:r>
        <w:rPr>
          <w:color w:val="4D4D4F"/>
          <w:w w:val="105"/>
        </w:rPr>
        <w:t>management.</w:t>
      </w:r>
    </w:p>
    <w:p w14:paraId="6BAA1B23"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704" w:space="677"/>
            <w:col w:w="7489"/>
          </w:cols>
        </w:sectPr>
      </w:pPr>
    </w:p>
    <w:p w14:paraId="77DFFC3B" w14:textId="77777777" w:rsidR="00EF5B27" w:rsidRDefault="00000000">
      <w:pPr>
        <w:pStyle w:val="BodyText"/>
      </w:pPr>
      <w:r>
        <w:pict w14:anchorId="6433E8FB">
          <v:group id="_x0000_s4528" style="position:absolute;margin-left:587.05pt;margin-top:183.4pt;width:8.25pt;height:153.1pt;z-index:251338240;mso-position-horizontal-relative:page;mso-position-vertical-relative:page" coordorigin="11741,3668" coordsize="165,3062">
            <v:shape id="_x0000_s4535" style="position:absolute;left:11741;top:3668;width:165;height:561" coordorigin="11741,3668" coordsize="165,561" path="m11906,3668r-165,l11741,4228r165,-18l11906,3668xe" fillcolor="#00aed9" stroked="f">
              <v:path arrowok="t"/>
            </v:shape>
            <v:shape id="_x0000_s4534" style="position:absolute;left:11741;top:4118;width:165;height:425" coordorigin="11741,4118" coordsize="165,425" path="m11906,4118r-165,14l11741,4531r165,12l11906,4118xe" fillcolor="#047ebc" stroked="f">
              <v:path arrowok="t"/>
            </v:shape>
            <v:shape id="_x0000_s4533" type="#_x0000_t75" style="position:absolute;left:11741;top:4355;width:165;height:587">
              <v:imagedata r:id="rId42" o:title=""/>
            </v:shape>
            <v:shape id="_x0000_s4532" style="position:absolute;left:11741;top:5343;width:165;height:536" coordorigin="11741,5343" coordsize="165,536" path="m11741,5343r,535l11906,5872r,-525l11741,5343xe" fillcolor="#f36a2e" stroked="f">
              <v:path arrowok="t"/>
            </v:shape>
            <v:shape id="_x0000_s4531" style="position:absolute;left:11741;top:4925;width:165;height:501" coordorigin="11741,4926" coordsize="165,501" path="m11741,4926r,500l11906,5426r,-485l11741,4926xe" fillcolor="#49783f" stroked="f">
              <v:path arrowok="t"/>
            </v:shape>
            <v:shape id="_x0000_s4530" style="position:absolute;left:11741;top:5781;width:165;height:268" coordorigin="11741,5782" coordsize="165,268" path="m11906,5782r-165,8l11741,6039r165,10l11906,5782xe" fillcolor="#f99f2a" stroked="f">
              <v:path arrowok="t"/>
            </v:shape>
            <v:shape id="_x0000_s4529" style="position:absolute;left:11741;top:6023;width:165;height:707" coordorigin="11741,6023" coordsize="165,707" path="m11741,6023r,706l11906,6729r,-690l11741,6023xe" fillcolor="#ef412c" stroked="f">
              <v:path arrowok="t"/>
            </v:shape>
            <w10:wrap anchorx="page" anchory="page"/>
          </v:group>
        </w:pict>
      </w:r>
    </w:p>
    <w:p w14:paraId="66DC60A3" w14:textId="77777777" w:rsidR="00EF5B27" w:rsidRDefault="00EF5B27">
      <w:pPr>
        <w:pStyle w:val="BodyText"/>
      </w:pPr>
    </w:p>
    <w:p w14:paraId="2F743B23" w14:textId="77777777" w:rsidR="00EF5B27" w:rsidRDefault="00EF5B27">
      <w:pPr>
        <w:pStyle w:val="BodyText"/>
      </w:pPr>
    </w:p>
    <w:p w14:paraId="190D731A" w14:textId="77777777" w:rsidR="00EF5B27" w:rsidRDefault="00EF5B27">
      <w:pPr>
        <w:pStyle w:val="BodyText"/>
      </w:pPr>
    </w:p>
    <w:p w14:paraId="34056791" w14:textId="77777777" w:rsidR="00EF5B27" w:rsidRDefault="00EF5B27">
      <w:pPr>
        <w:pStyle w:val="BodyText"/>
      </w:pPr>
    </w:p>
    <w:p w14:paraId="4E62E537" w14:textId="77777777" w:rsidR="00EF5B27" w:rsidRDefault="00EF5B27">
      <w:pPr>
        <w:pStyle w:val="BodyText"/>
      </w:pPr>
    </w:p>
    <w:p w14:paraId="43004A05" w14:textId="77777777" w:rsidR="00EF5B27" w:rsidRDefault="00EF5B27">
      <w:pPr>
        <w:pStyle w:val="BodyText"/>
      </w:pPr>
    </w:p>
    <w:p w14:paraId="7D246FE3" w14:textId="77777777" w:rsidR="00EF5B27" w:rsidRDefault="00EF5B27">
      <w:pPr>
        <w:pStyle w:val="BodyText"/>
      </w:pPr>
    </w:p>
    <w:p w14:paraId="79E56201" w14:textId="77777777" w:rsidR="00EF5B27" w:rsidRDefault="00EF5B27">
      <w:pPr>
        <w:pStyle w:val="BodyText"/>
      </w:pPr>
    </w:p>
    <w:p w14:paraId="6FEDBB05" w14:textId="77777777" w:rsidR="00EF5B27" w:rsidRDefault="00EF5B27">
      <w:pPr>
        <w:pStyle w:val="BodyText"/>
      </w:pPr>
    </w:p>
    <w:p w14:paraId="0E2C95FF" w14:textId="77777777" w:rsidR="00EF5B27" w:rsidRDefault="00EF5B27">
      <w:pPr>
        <w:pStyle w:val="BodyText"/>
      </w:pPr>
    </w:p>
    <w:p w14:paraId="5F830FC2" w14:textId="77777777" w:rsidR="00EF5B27" w:rsidRDefault="00EF5B27">
      <w:pPr>
        <w:pStyle w:val="BodyText"/>
        <w:spacing w:before="10" w:after="1"/>
        <w:rPr>
          <w:sz w:val="10"/>
        </w:rPr>
      </w:pPr>
    </w:p>
    <w:p w14:paraId="42006130" w14:textId="77777777" w:rsidR="00EF5B27" w:rsidRDefault="00000000">
      <w:pPr>
        <w:pStyle w:val="BodyText"/>
        <w:spacing w:line="20" w:lineRule="exact"/>
        <w:ind w:left="2603"/>
        <w:rPr>
          <w:sz w:val="2"/>
        </w:rPr>
      </w:pPr>
      <w:r>
        <w:rPr>
          <w:sz w:val="2"/>
        </w:rPr>
      </w:r>
      <w:r>
        <w:rPr>
          <w:sz w:val="2"/>
        </w:rPr>
        <w:pict w14:anchorId="129D0944">
          <v:group id="_x0000_s4526" style="width:357.2pt;height:.5pt;mso-position-horizontal-relative:char;mso-position-vertical-relative:line" coordsize="7144,10">
            <v:line id="_x0000_s4527" style="position:absolute" from="0,5" to="7143,5" strokecolor="#4d4d4f" strokeweight=".5pt"/>
            <w10:anchorlock/>
          </v:group>
        </w:pict>
      </w:r>
    </w:p>
    <w:p w14:paraId="239D54DE" w14:textId="77777777" w:rsidR="00EF5B27" w:rsidRDefault="00000000">
      <w:pPr>
        <w:pStyle w:val="ListParagraph"/>
        <w:numPr>
          <w:ilvl w:val="0"/>
          <w:numId w:val="65"/>
        </w:numPr>
        <w:tabs>
          <w:tab w:val="left" w:pos="2836"/>
        </w:tabs>
        <w:spacing w:before="102" w:line="143" w:lineRule="exact"/>
        <w:jc w:val="left"/>
        <w:rPr>
          <w:sz w:val="12"/>
        </w:rPr>
      </w:pPr>
      <w:r>
        <w:rPr>
          <w:color w:val="4D4D4F"/>
          <w:sz w:val="12"/>
        </w:rPr>
        <w:t xml:space="preserve">VAGO 2020, Recommendation 7 in ‘Protecting Critically Endangered Grasslands’, Independent assurance </w:t>
      </w:r>
      <w:r>
        <w:rPr>
          <w:color w:val="4D4D4F"/>
          <w:spacing w:val="2"/>
          <w:sz w:val="12"/>
        </w:rPr>
        <w:t xml:space="preserve">report </w:t>
      </w:r>
      <w:r>
        <w:rPr>
          <w:color w:val="4D4D4F"/>
          <w:sz w:val="12"/>
        </w:rPr>
        <w:t>to Parliament</w:t>
      </w:r>
      <w:r>
        <w:rPr>
          <w:color w:val="4D4D4F"/>
          <w:spacing w:val="4"/>
          <w:sz w:val="12"/>
        </w:rPr>
        <w:t xml:space="preserve"> </w:t>
      </w:r>
      <w:r>
        <w:rPr>
          <w:color w:val="4D4D4F"/>
          <w:sz w:val="12"/>
        </w:rPr>
        <w:t>2019–20: 16.</w:t>
      </w:r>
    </w:p>
    <w:p w14:paraId="65CD87BC" w14:textId="77777777" w:rsidR="00EF5B27" w:rsidRDefault="00000000">
      <w:pPr>
        <w:pStyle w:val="ListParagraph"/>
        <w:numPr>
          <w:ilvl w:val="0"/>
          <w:numId w:val="65"/>
        </w:numPr>
        <w:tabs>
          <w:tab w:val="left" w:pos="2836"/>
        </w:tabs>
        <w:spacing w:line="143" w:lineRule="exact"/>
        <w:jc w:val="left"/>
        <w:rPr>
          <w:sz w:val="12"/>
        </w:rPr>
      </w:pPr>
      <w:r>
        <w:rPr>
          <w:color w:val="4D4D4F"/>
          <w:sz w:val="12"/>
        </w:rPr>
        <w:t xml:space="preserve">VAGO </w:t>
      </w:r>
      <w:r>
        <w:rPr>
          <w:color w:val="4D4D4F"/>
          <w:spacing w:val="2"/>
          <w:sz w:val="12"/>
        </w:rPr>
        <w:t xml:space="preserve">2020, </w:t>
      </w:r>
      <w:r>
        <w:rPr>
          <w:color w:val="4D4D4F"/>
          <w:sz w:val="12"/>
        </w:rPr>
        <w:t xml:space="preserve">‘Protecting Critically Endangered Grasslands’, Independent assurance </w:t>
      </w:r>
      <w:r>
        <w:rPr>
          <w:color w:val="4D4D4F"/>
          <w:spacing w:val="2"/>
          <w:sz w:val="12"/>
        </w:rPr>
        <w:t xml:space="preserve">report </w:t>
      </w:r>
      <w:r>
        <w:rPr>
          <w:color w:val="4D4D4F"/>
          <w:sz w:val="12"/>
        </w:rPr>
        <w:t>to Parliament</w:t>
      </w:r>
      <w:r>
        <w:rPr>
          <w:color w:val="4D4D4F"/>
          <w:spacing w:val="8"/>
          <w:sz w:val="12"/>
        </w:rPr>
        <w:t xml:space="preserve"> </w:t>
      </w:r>
      <w:r>
        <w:rPr>
          <w:color w:val="4D4D4F"/>
          <w:sz w:val="12"/>
        </w:rPr>
        <w:t>2019–20: 16.</w:t>
      </w:r>
    </w:p>
    <w:p w14:paraId="18DD3541" w14:textId="77777777" w:rsidR="00EF5B27" w:rsidRDefault="00EF5B27">
      <w:pPr>
        <w:spacing w:line="143" w:lineRule="exact"/>
        <w:rPr>
          <w:sz w:val="12"/>
        </w:rPr>
        <w:sectPr w:rsidR="00EF5B27">
          <w:type w:val="continuous"/>
          <w:pgSz w:w="11910" w:h="16840"/>
          <w:pgMar w:top="1140" w:right="1020" w:bottom="280" w:left="1020" w:header="720" w:footer="720" w:gutter="0"/>
          <w:cols w:space="720"/>
        </w:sectPr>
      </w:pPr>
    </w:p>
    <w:p w14:paraId="7950BF0C" w14:textId="77777777" w:rsidR="00EF5B27" w:rsidRDefault="00EF5B27">
      <w:pPr>
        <w:pStyle w:val="BodyText"/>
      </w:pPr>
    </w:p>
    <w:p w14:paraId="29BE37A8" w14:textId="77777777" w:rsidR="00EF5B27" w:rsidRDefault="00EF5B27">
      <w:pPr>
        <w:pStyle w:val="BodyText"/>
      </w:pPr>
    </w:p>
    <w:p w14:paraId="0169EB19" w14:textId="77777777" w:rsidR="00EF5B27" w:rsidRDefault="00EF5B27">
      <w:pPr>
        <w:pStyle w:val="BodyText"/>
      </w:pPr>
    </w:p>
    <w:p w14:paraId="576CC0FF" w14:textId="77777777" w:rsidR="00EF5B27" w:rsidRDefault="00EF5B27">
      <w:pPr>
        <w:pStyle w:val="BodyText"/>
      </w:pPr>
    </w:p>
    <w:p w14:paraId="0234E935" w14:textId="77777777" w:rsidR="00EF5B27" w:rsidRDefault="00EF5B27">
      <w:pPr>
        <w:pStyle w:val="BodyText"/>
      </w:pPr>
    </w:p>
    <w:p w14:paraId="42E34AC7" w14:textId="77777777" w:rsidR="00EF5B27" w:rsidRDefault="00EF5B27">
      <w:pPr>
        <w:pStyle w:val="BodyText"/>
      </w:pPr>
    </w:p>
    <w:p w14:paraId="24B89ACD" w14:textId="77777777" w:rsidR="00EF5B27" w:rsidRDefault="00EF5B27">
      <w:pPr>
        <w:pStyle w:val="BodyText"/>
      </w:pPr>
    </w:p>
    <w:p w14:paraId="5917612B" w14:textId="77777777" w:rsidR="00EF5B27" w:rsidRDefault="00EF5B27">
      <w:pPr>
        <w:pStyle w:val="BodyText"/>
      </w:pPr>
    </w:p>
    <w:p w14:paraId="70F79F63" w14:textId="77777777" w:rsidR="00EF5B27" w:rsidRDefault="00EF5B27">
      <w:pPr>
        <w:pStyle w:val="BodyText"/>
      </w:pPr>
    </w:p>
    <w:p w14:paraId="66AA80F7" w14:textId="77777777" w:rsidR="00EF5B27" w:rsidRDefault="00EF5B27">
      <w:pPr>
        <w:pStyle w:val="BodyText"/>
      </w:pPr>
    </w:p>
    <w:p w14:paraId="36226211" w14:textId="77777777" w:rsidR="00EF5B27" w:rsidRDefault="00EF5B27">
      <w:pPr>
        <w:pStyle w:val="BodyText"/>
        <w:spacing w:before="4"/>
        <w:rPr>
          <w:sz w:val="11"/>
        </w:rPr>
      </w:pPr>
    </w:p>
    <w:p w14:paraId="6018F3F3" w14:textId="77777777" w:rsidR="00EF5B27" w:rsidRDefault="00000000">
      <w:pPr>
        <w:pStyle w:val="BodyText"/>
        <w:ind w:left="113"/>
      </w:pPr>
      <w:r>
        <w:pict w14:anchorId="1E5B424C">
          <v:shape id="_x0000_s4525" type="#_x0000_t202" style="width:481.15pt;height:25.4pt;mso-left-percent:-10001;mso-top-percent:-10001;mso-position-horizontal:absolute;mso-position-horizontal-relative:char;mso-position-vertical:absolute;mso-position-vertical-relative:line;mso-left-percent:-10001;mso-top-percent:-10001" fillcolor="#fecc91" stroked="f">
            <v:textbox inset="0,0,0,0">
              <w:txbxContent>
                <w:p w14:paraId="1B70703C" w14:textId="77777777" w:rsidR="00EF5B27" w:rsidRDefault="00000000">
                  <w:pPr>
                    <w:tabs>
                      <w:tab w:val="left" w:pos="2607"/>
                    </w:tabs>
                    <w:spacing w:before="142"/>
                    <w:ind w:left="113"/>
                    <w:rPr>
                      <w:b/>
                      <w:sz w:val="20"/>
                    </w:rPr>
                  </w:pPr>
                  <w:r>
                    <w:rPr>
                      <w:b/>
                      <w:color w:val="4D4D4F"/>
                      <w:sz w:val="20"/>
                    </w:rPr>
                    <w:t>Theme</w:t>
                  </w:r>
                  <w:r>
                    <w:rPr>
                      <w:b/>
                      <w:color w:val="4D4D4F"/>
                      <w:sz w:val="20"/>
                    </w:rPr>
                    <w:tab/>
                    <w:t>Program design, governance and coordination (Land</w:t>
                  </w:r>
                  <w:r>
                    <w:rPr>
                      <w:b/>
                      <w:color w:val="4D4D4F"/>
                      <w:spacing w:val="27"/>
                      <w:sz w:val="20"/>
                    </w:rPr>
                    <w:t xml:space="preserve"> </w:t>
                  </w:r>
                  <w:r>
                    <w:rPr>
                      <w:b/>
                      <w:color w:val="4D4D4F"/>
                      <w:sz w:val="20"/>
                    </w:rPr>
                    <w:t>acquisition)</w:t>
                  </w:r>
                </w:p>
              </w:txbxContent>
            </v:textbox>
            <w10:anchorlock/>
          </v:shape>
        </w:pict>
      </w:r>
    </w:p>
    <w:p w14:paraId="38539FF2" w14:textId="77777777" w:rsidR="00EF5B27" w:rsidRDefault="00EF5B27">
      <w:pPr>
        <w:pStyle w:val="BodyText"/>
        <w:spacing w:before="8"/>
        <w:rPr>
          <w:sz w:val="5"/>
        </w:rPr>
      </w:pPr>
    </w:p>
    <w:p w14:paraId="7B2BEB9D" w14:textId="77777777" w:rsidR="00EF5B27" w:rsidRDefault="00EF5B27">
      <w:pPr>
        <w:rPr>
          <w:sz w:val="5"/>
        </w:rPr>
        <w:sectPr w:rsidR="00EF5B27">
          <w:footerReference w:type="default" r:id="rId62"/>
          <w:pgSz w:w="11910" w:h="16840"/>
          <w:pgMar w:top="1080" w:right="1020" w:bottom="860" w:left="1020" w:header="537" w:footer="678" w:gutter="0"/>
          <w:cols w:space="720"/>
        </w:sectPr>
      </w:pPr>
    </w:p>
    <w:p w14:paraId="5EFAEB08" w14:textId="77777777" w:rsidR="00EF5B27" w:rsidRDefault="00000000">
      <w:pPr>
        <w:pStyle w:val="BodyText"/>
        <w:spacing w:before="51"/>
        <w:ind w:left="227"/>
      </w:pPr>
      <w:r>
        <w:pict w14:anchorId="2E0B16C8">
          <v:group id="_x0000_s4522" style="position:absolute;left:0;text-align:left;margin-left:56.7pt;margin-top:-29.85pt;width:481.15pt;height:.25pt;z-index:251344384;mso-position-horizontal-relative:page" coordorigin="1134,-597" coordsize="9623,5">
            <v:line id="_x0000_s4524" style="position:absolute" from="1134,-595" to="3628,-595" strokeweight=".25pt"/>
            <v:line id="_x0000_s4523" style="position:absolute" from="3628,-595" to="10756,-595" strokeweight=".25pt"/>
            <w10:wrap anchorx="page"/>
          </v:group>
        </w:pict>
      </w:r>
      <w:r>
        <w:pict w14:anchorId="7A75C0D5">
          <v:group id="_x0000_s4519" style="position:absolute;left:0;text-align:left;margin-left:56.7pt;margin-top:-4.35pt;width:481.15pt;height:.25pt;z-index:251346432;mso-position-horizontal-relative:page" coordorigin="1134,-87" coordsize="9623,5">
            <v:line id="_x0000_s4521" style="position:absolute" from="1134,-84" to="3628,-84" strokeweight=".25pt"/>
            <v:line id="_x0000_s4520" style="position:absolute" from="3628,-84" to="10756,-84" strokeweight=".25pt"/>
            <w10:wrap anchorx="page"/>
          </v:group>
        </w:pict>
      </w:r>
      <w:r>
        <w:rPr>
          <w:color w:val="4D4D4F"/>
        </w:rPr>
        <w:t>Recommendation</w:t>
      </w:r>
    </w:p>
    <w:p w14:paraId="5B177BA1" w14:textId="77777777" w:rsidR="00EF5B27" w:rsidRDefault="00000000">
      <w:pPr>
        <w:pStyle w:val="Heading1"/>
      </w:pPr>
      <w:r>
        <w:rPr>
          <w:color w:val="4D4D4F"/>
          <w:w w:val="105"/>
        </w:rPr>
        <w:t>04</w:t>
      </w:r>
    </w:p>
    <w:p w14:paraId="2EEEB4A5" w14:textId="77777777" w:rsidR="00EF5B27" w:rsidRDefault="00000000">
      <w:pPr>
        <w:pStyle w:val="BodyText"/>
        <w:spacing w:before="51" w:line="254" w:lineRule="auto"/>
        <w:ind w:left="340" w:right="751"/>
      </w:pPr>
      <w:r>
        <w:br w:type="column"/>
      </w:r>
      <w:r>
        <w:rPr>
          <w:color w:val="4D4D4F"/>
        </w:rPr>
        <w:t>That DELWP actively implements a risk-based land acquisition strategy that prioritises MNES conservation outcomes. The land acquisition strategy must include the identification of interim management needs to support outcomes for MNES in priority areas where delays in acquisition have occurred and/or are likely to occur.</w:t>
      </w:r>
    </w:p>
    <w:p w14:paraId="1694D9AA" w14:textId="77777777" w:rsidR="00EF5B27" w:rsidRDefault="00EF5B27">
      <w:pPr>
        <w:pStyle w:val="BodyText"/>
        <w:rPr>
          <w:sz w:val="24"/>
        </w:rPr>
      </w:pPr>
    </w:p>
    <w:p w14:paraId="676EF951" w14:textId="77777777" w:rsidR="00EF5B27" w:rsidRDefault="00EF5B27">
      <w:pPr>
        <w:pStyle w:val="BodyText"/>
        <w:rPr>
          <w:sz w:val="24"/>
        </w:rPr>
      </w:pPr>
    </w:p>
    <w:p w14:paraId="275F78DC" w14:textId="77777777" w:rsidR="00EF5B27" w:rsidRDefault="00EF5B27">
      <w:pPr>
        <w:pStyle w:val="BodyText"/>
        <w:rPr>
          <w:sz w:val="24"/>
        </w:rPr>
      </w:pPr>
    </w:p>
    <w:p w14:paraId="14AC60FF" w14:textId="77777777" w:rsidR="00EF5B27" w:rsidRDefault="00000000">
      <w:pPr>
        <w:pStyle w:val="Heading3"/>
        <w:spacing w:before="192"/>
        <w:ind w:left="227"/>
      </w:pPr>
      <w:r>
        <w:pict w14:anchorId="1273A4D7">
          <v:group id="_x0000_s4516" style="position:absolute;left:0;text-align:left;margin-left:56.7pt;margin-top:-24.85pt;width:481.15pt;height:.25pt;z-index:251347456;mso-position-horizontal-relative:page" coordorigin="1134,-497" coordsize="9623,5">
            <v:line id="_x0000_s4518" style="position:absolute" from="1134,-494" to="3628,-494" strokeweight=".25pt"/>
            <v:line id="_x0000_s4517" style="position:absolute" from="3628,-494" to="10756,-494" strokeweight=".25pt"/>
            <w10:wrap anchorx="page"/>
          </v:group>
        </w:pict>
      </w:r>
      <w:r>
        <w:rPr>
          <w:color w:val="F99F2A"/>
        </w:rPr>
        <w:t>Challenges the recommendation addresses</w:t>
      </w:r>
    </w:p>
    <w:p w14:paraId="3411DEA5" w14:textId="77777777" w:rsidR="00EF5B27" w:rsidRDefault="00000000">
      <w:pPr>
        <w:pStyle w:val="BodyText"/>
        <w:spacing w:before="256" w:line="254" w:lineRule="auto"/>
        <w:ind w:left="227" w:right="167"/>
        <w:rPr>
          <w:sz w:val="11"/>
        </w:rPr>
      </w:pPr>
      <w:r>
        <w:rPr>
          <w:color w:val="4D4D4F"/>
        </w:rPr>
        <w:t xml:space="preserve">The limited acquisition of land is impacting on the MSA program outcomes. Monitoring is ostensibly on the values in the secured land, which is approximately </w:t>
      </w:r>
      <w:r>
        <w:rPr>
          <w:color w:val="4D4D4F"/>
          <w:spacing w:val="-3"/>
        </w:rPr>
        <w:t xml:space="preserve">10.6% </w:t>
      </w:r>
      <w:r>
        <w:rPr>
          <w:color w:val="4D4D4F"/>
        </w:rPr>
        <w:t>of the program area in the Western Grassland Reserve.</w:t>
      </w:r>
      <w:r>
        <w:rPr>
          <w:color w:val="4D4D4F"/>
          <w:position w:val="7"/>
          <w:sz w:val="11"/>
        </w:rPr>
        <w:t xml:space="preserve">20 </w:t>
      </w:r>
      <w:r>
        <w:rPr>
          <w:color w:val="4D4D4F"/>
        </w:rPr>
        <w:t>There exists no formal, structured process or strategy for systematically prioritising what, when and how areas  earmarked for protection are</w:t>
      </w:r>
      <w:r>
        <w:rPr>
          <w:color w:val="4D4D4F"/>
          <w:spacing w:val="16"/>
        </w:rPr>
        <w:t xml:space="preserve"> </w:t>
      </w:r>
      <w:r>
        <w:rPr>
          <w:color w:val="4D4D4F"/>
        </w:rPr>
        <w:t>acquired.</w:t>
      </w:r>
      <w:r>
        <w:rPr>
          <w:color w:val="4D4D4F"/>
          <w:position w:val="7"/>
          <w:sz w:val="11"/>
        </w:rPr>
        <w:t>21</w:t>
      </w:r>
    </w:p>
    <w:p w14:paraId="2C9728C6" w14:textId="77777777" w:rsidR="00EF5B27" w:rsidRDefault="00000000">
      <w:pPr>
        <w:pStyle w:val="BodyText"/>
        <w:spacing w:before="120" w:line="254" w:lineRule="auto"/>
        <w:ind w:left="227" w:right="131"/>
        <w:jc w:val="both"/>
      </w:pPr>
      <w:r>
        <w:rPr>
          <w:color w:val="4D4D4F"/>
        </w:rPr>
        <w:t xml:space="preserve">There is a need to prioritise urgent protection of MNES most immediately under threat </w:t>
      </w:r>
      <w:r>
        <w:rPr>
          <w:color w:val="4D4D4F"/>
          <w:spacing w:val="-3"/>
        </w:rPr>
        <w:t xml:space="preserve">and </w:t>
      </w:r>
      <w:r>
        <w:rPr>
          <w:color w:val="4D4D4F"/>
          <w:spacing w:val="-5"/>
        </w:rPr>
        <w:t xml:space="preserve">optimise </w:t>
      </w:r>
      <w:r>
        <w:rPr>
          <w:color w:val="4D4D4F"/>
          <w:spacing w:val="-3"/>
        </w:rPr>
        <w:t xml:space="preserve">outcomes for </w:t>
      </w:r>
      <w:r>
        <w:rPr>
          <w:color w:val="4D4D4F"/>
          <w:spacing w:val="-4"/>
        </w:rPr>
        <w:t xml:space="preserve">MNES </w:t>
      </w:r>
      <w:r>
        <w:rPr>
          <w:color w:val="4D4D4F"/>
        </w:rPr>
        <w:t xml:space="preserve">across </w:t>
      </w:r>
      <w:r>
        <w:rPr>
          <w:color w:val="4D4D4F"/>
          <w:spacing w:val="-3"/>
        </w:rPr>
        <w:t xml:space="preserve">the landscape </w:t>
      </w:r>
      <w:r>
        <w:rPr>
          <w:color w:val="4D4D4F"/>
        </w:rPr>
        <w:t xml:space="preserve">more </w:t>
      </w:r>
      <w:r>
        <w:rPr>
          <w:color w:val="4D4D4F"/>
          <w:spacing w:val="-4"/>
        </w:rPr>
        <w:t xml:space="preserve">broadly, including </w:t>
      </w:r>
      <w:r>
        <w:rPr>
          <w:color w:val="4D4D4F"/>
          <w:spacing w:val="-3"/>
        </w:rPr>
        <w:t xml:space="preserve">improved </w:t>
      </w:r>
      <w:r>
        <w:rPr>
          <w:color w:val="4D4D4F"/>
        </w:rPr>
        <w:t>interim management in privately held areas where the risk of degradation is high.</w:t>
      </w:r>
    </w:p>
    <w:p w14:paraId="3E03FCAF" w14:textId="77777777" w:rsidR="00EF5B27" w:rsidRDefault="00EF5B27">
      <w:pPr>
        <w:spacing w:line="254" w:lineRule="auto"/>
        <w:jc w:val="both"/>
        <w:sectPr w:rsidR="00EF5B27">
          <w:type w:val="continuous"/>
          <w:pgSz w:w="11910" w:h="16840"/>
          <w:pgMar w:top="1140" w:right="1020" w:bottom="280" w:left="1020" w:header="720" w:footer="720" w:gutter="0"/>
          <w:cols w:num="2" w:space="720" w:equalWidth="0">
            <w:col w:w="1704" w:space="677"/>
            <w:col w:w="7489"/>
          </w:cols>
        </w:sectPr>
      </w:pPr>
    </w:p>
    <w:p w14:paraId="3A01ADBA" w14:textId="77777777" w:rsidR="00EF5B27" w:rsidRDefault="00000000">
      <w:pPr>
        <w:pStyle w:val="BodyText"/>
      </w:pPr>
      <w:r>
        <w:pict w14:anchorId="79879083">
          <v:group id="_x0000_s4508" style="position:absolute;margin-left:587.05pt;margin-top:183.4pt;width:8.25pt;height:153.1pt;z-index:251343360;mso-position-horizontal-relative:page;mso-position-vertical-relative:page" coordorigin="11741,3668" coordsize="165,3062">
            <v:shape id="_x0000_s4515" style="position:absolute;left:11741;top:3668;width:165;height:561" coordorigin="11741,3668" coordsize="165,561" path="m11906,3668r-165,l11741,4228r165,-18l11906,3668xe" fillcolor="#00aed9" stroked="f">
              <v:path arrowok="t"/>
            </v:shape>
            <v:shape id="_x0000_s4514" style="position:absolute;left:11741;top:4118;width:165;height:425" coordorigin="11741,4118" coordsize="165,425" path="m11906,4118r-165,14l11741,4531r165,12l11906,4118xe" fillcolor="#047ebc" stroked="f">
              <v:path arrowok="t"/>
            </v:shape>
            <v:shape id="_x0000_s4513" type="#_x0000_t75" style="position:absolute;left:11741;top:4355;width:165;height:587">
              <v:imagedata r:id="rId42" o:title=""/>
            </v:shape>
            <v:shape id="_x0000_s4512" style="position:absolute;left:11741;top:5343;width:165;height:536" coordorigin="11741,5343" coordsize="165,536" path="m11741,5343r,535l11906,5872r,-525l11741,5343xe" fillcolor="#f36a2e" stroked="f">
              <v:path arrowok="t"/>
            </v:shape>
            <v:shape id="_x0000_s4511" style="position:absolute;left:11741;top:4925;width:165;height:501" coordorigin="11741,4926" coordsize="165,501" path="m11741,4926r,500l11906,5426r,-485l11741,4926xe" fillcolor="#49783f" stroked="f">
              <v:path arrowok="t"/>
            </v:shape>
            <v:shape id="_x0000_s4510" style="position:absolute;left:11741;top:5781;width:165;height:268" coordorigin="11741,5782" coordsize="165,268" path="m11906,5782r-165,8l11741,6039r165,10l11906,5782xe" fillcolor="#f99f2a" stroked="f">
              <v:path arrowok="t"/>
            </v:shape>
            <v:shape id="_x0000_s4509" style="position:absolute;left:11741;top:6023;width:165;height:707" coordorigin="11741,6023" coordsize="165,707" path="m11741,6023r,706l11906,6729r,-690l11741,6023xe" fillcolor="#ef412c" stroked="f">
              <v:path arrowok="t"/>
            </v:shape>
            <w10:wrap anchorx="page" anchory="page"/>
          </v:group>
        </w:pict>
      </w:r>
    </w:p>
    <w:p w14:paraId="6D727E7A" w14:textId="77777777" w:rsidR="00EF5B27" w:rsidRDefault="00EF5B27">
      <w:pPr>
        <w:pStyle w:val="BodyText"/>
      </w:pPr>
    </w:p>
    <w:p w14:paraId="5C6AFA37" w14:textId="77777777" w:rsidR="00EF5B27" w:rsidRDefault="00EF5B27">
      <w:pPr>
        <w:pStyle w:val="BodyText"/>
      </w:pPr>
    </w:p>
    <w:p w14:paraId="0F0DFF67" w14:textId="77777777" w:rsidR="00EF5B27" w:rsidRDefault="00EF5B27">
      <w:pPr>
        <w:pStyle w:val="BodyText"/>
      </w:pPr>
    </w:p>
    <w:p w14:paraId="270BC9B8" w14:textId="77777777" w:rsidR="00EF5B27" w:rsidRDefault="00EF5B27">
      <w:pPr>
        <w:pStyle w:val="BodyText"/>
      </w:pPr>
    </w:p>
    <w:p w14:paraId="0A464D45" w14:textId="77777777" w:rsidR="00EF5B27" w:rsidRDefault="00EF5B27">
      <w:pPr>
        <w:pStyle w:val="BodyText"/>
      </w:pPr>
    </w:p>
    <w:p w14:paraId="460F1719" w14:textId="77777777" w:rsidR="00EF5B27" w:rsidRDefault="00EF5B27">
      <w:pPr>
        <w:pStyle w:val="BodyText"/>
      </w:pPr>
    </w:p>
    <w:p w14:paraId="4BF5FB6A" w14:textId="77777777" w:rsidR="00EF5B27" w:rsidRDefault="00EF5B27">
      <w:pPr>
        <w:pStyle w:val="BodyText"/>
      </w:pPr>
    </w:p>
    <w:p w14:paraId="36BAE979" w14:textId="77777777" w:rsidR="00EF5B27" w:rsidRDefault="00EF5B27">
      <w:pPr>
        <w:pStyle w:val="BodyText"/>
      </w:pPr>
    </w:p>
    <w:p w14:paraId="3B9BAA3D" w14:textId="77777777" w:rsidR="00EF5B27" w:rsidRDefault="00EF5B27">
      <w:pPr>
        <w:pStyle w:val="BodyText"/>
      </w:pPr>
    </w:p>
    <w:p w14:paraId="5DDEB37C" w14:textId="77777777" w:rsidR="00EF5B27" w:rsidRDefault="00EF5B27">
      <w:pPr>
        <w:pStyle w:val="BodyText"/>
      </w:pPr>
    </w:p>
    <w:p w14:paraId="43988745" w14:textId="77777777" w:rsidR="00EF5B27" w:rsidRDefault="00EF5B27">
      <w:pPr>
        <w:pStyle w:val="BodyText"/>
      </w:pPr>
    </w:p>
    <w:p w14:paraId="4D8A3922" w14:textId="77777777" w:rsidR="00EF5B27" w:rsidRDefault="00EF5B27">
      <w:pPr>
        <w:pStyle w:val="BodyText"/>
      </w:pPr>
    </w:p>
    <w:p w14:paraId="4ABEA9BD" w14:textId="77777777" w:rsidR="00EF5B27" w:rsidRDefault="00EF5B27">
      <w:pPr>
        <w:pStyle w:val="BodyText"/>
      </w:pPr>
    </w:p>
    <w:p w14:paraId="0F829014" w14:textId="77777777" w:rsidR="00EF5B27" w:rsidRDefault="00EF5B27">
      <w:pPr>
        <w:pStyle w:val="BodyText"/>
      </w:pPr>
    </w:p>
    <w:p w14:paraId="1EDE0FA2" w14:textId="77777777" w:rsidR="00EF5B27" w:rsidRDefault="00EF5B27">
      <w:pPr>
        <w:pStyle w:val="BodyText"/>
      </w:pPr>
    </w:p>
    <w:p w14:paraId="480A6E73" w14:textId="77777777" w:rsidR="00EF5B27" w:rsidRDefault="00EF5B27">
      <w:pPr>
        <w:pStyle w:val="BodyText"/>
      </w:pPr>
    </w:p>
    <w:p w14:paraId="533C1F3F" w14:textId="77777777" w:rsidR="00EF5B27" w:rsidRDefault="00EF5B27">
      <w:pPr>
        <w:pStyle w:val="BodyText"/>
      </w:pPr>
    </w:p>
    <w:p w14:paraId="44879C30" w14:textId="77777777" w:rsidR="00EF5B27" w:rsidRDefault="00EF5B27">
      <w:pPr>
        <w:pStyle w:val="BodyText"/>
      </w:pPr>
    </w:p>
    <w:p w14:paraId="217FB149" w14:textId="77777777" w:rsidR="00EF5B27" w:rsidRDefault="00EF5B27">
      <w:pPr>
        <w:pStyle w:val="BodyText"/>
      </w:pPr>
    </w:p>
    <w:p w14:paraId="3AC0FAD0" w14:textId="77777777" w:rsidR="00EF5B27" w:rsidRDefault="00EF5B27">
      <w:pPr>
        <w:pStyle w:val="BodyText"/>
      </w:pPr>
    </w:p>
    <w:p w14:paraId="1862C75F" w14:textId="77777777" w:rsidR="00EF5B27" w:rsidRDefault="00EF5B27">
      <w:pPr>
        <w:pStyle w:val="BodyText"/>
        <w:spacing w:before="8" w:after="1"/>
        <w:rPr>
          <w:sz w:val="11"/>
        </w:rPr>
      </w:pPr>
    </w:p>
    <w:p w14:paraId="208737C5" w14:textId="77777777" w:rsidR="00EF5B27" w:rsidRDefault="00000000">
      <w:pPr>
        <w:pStyle w:val="BodyText"/>
        <w:spacing w:line="20" w:lineRule="exact"/>
        <w:ind w:left="2603"/>
        <w:rPr>
          <w:sz w:val="2"/>
        </w:rPr>
      </w:pPr>
      <w:r>
        <w:rPr>
          <w:sz w:val="2"/>
        </w:rPr>
      </w:r>
      <w:r>
        <w:rPr>
          <w:sz w:val="2"/>
        </w:rPr>
        <w:pict w14:anchorId="3DBD3527">
          <v:group id="_x0000_s4506" style="width:357.2pt;height:.5pt;mso-position-horizontal-relative:char;mso-position-vertical-relative:line" coordsize="7144,10">
            <v:line id="_x0000_s4507" style="position:absolute" from="0,5" to="7143,5" strokecolor="#4d4d4f" strokeweight=".5pt"/>
            <w10:anchorlock/>
          </v:group>
        </w:pict>
      </w:r>
    </w:p>
    <w:p w14:paraId="7E733324" w14:textId="77777777" w:rsidR="00EF5B27" w:rsidRDefault="00000000">
      <w:pPr>
        <w:pStyle w:val="ListParagraph"/>
        <w:numPr>
          <w:ilvl w:val="0"/>
          <w:numId w:val="65"/>
        </w:numPr>
        <w:tabs>
          <w:tab w:val="left" w:pos="2836"/>
        </w:tabs>
        <w:spacing w:before="102" w:line="143" w:lineRule="exact"/>
        <w:jc w:val="left"/>
        <w:rPr>
          <w:sz w:val="12"/>
        </w:rPr>
      </w:pPr>
      <w:r>
        <w:rPr>
          <w:color w:val="4D4D4F"/>
          <w:sz w:val="12"/>
        </w:rPr>
        <w:t>VAGO</w:t>
      </w:r>
      <w:r>
        <w:rPr>
          <w:color w:val="4D4D4F"/>
          <w:spacing w:val="13"/>
          <w:sz w:val="12"/>
        </w:rPr>
        <w:t xml:space="preserve"> </w:t>
      </w:r>
      <w:r>
        <w:rPr>
          <w:color w:val="4D4D4F"/>
          <w:spacing w:val="2"/>
          <w:sz w:val="12"/>
        </w:rPr>
        <w:t>2020,</w:t>
      </w:r>
      <w:r>
        <w:rPr>
          <w:color w:val="4D4D4F"/>
          <w:spacing w:val="14"/>
          <w:sz w:val="12"/>
        </w:rPr>
        <w:t xml:space="preserve"> </w:t>
      </w:r>
      <w:r>
        <w:rPr>
          <w:color w:val="4D4D4F"/>
          <w:sz w:val="12"/>
        </w:rPr>
        <w:t>‘Protecting</w:t>
      </w:r>
      <w:r>
        <w:rPr>
          <w:color w:val="4D4D4F"/>
          <w:spacing w:val="13"/>
          <w:sz w:val="12"/>
        </w:rPr>
        <w:t xml:space="preserve"> </w:t>
      </w:r>
      <w:r>
        <w:rPr>
          <w:color w:val="4D4D4F"/>
          <w:sz w:val="12"/>
        </w:rPr>
        <w:t>Critically</w:t>
      </w:r>
      <w:r>
        <w:rPr>
          <w:color w:val="4D4D4F"/>
          <w:spacing w:val="14"/>
          <w:sz w:val="12"/>
        </w:rPr>
        <w:t xml:space="preserve"> </w:t>
      </w:r>
      <w:r>
        <w:rPr>
          <w:color w:val="4D4D4F"/>
          <w:sz w:val="12"/>
        </w:rPr>
        <w:t>Endangered</w:t>
      </w:r>
      <w:r>
        <w:rPr>
          <w:color w:val="4D4D4F"/>
          <w:spacing w:val="13"/>
          <w:sz w:val="12"/>
        </w:rPr>
        <w:t xml:space="preserve"> </w:t>
      </w:r>
      <w:r>
        <w:rPr>
          <w:color w:val="4D4D4F"/>
          <w:sz w:val="12"/>
        </w:rPr>
        <w:t>Grasslands’,</w:t>
      </w:r>
      <w:r>
        <w:rPr>
          <w:color w:val="4D4D4F"/>
          <w:spacing w:val="14"/>
          <w:sz w:val="12"/>
        </w:rPr>
        <w:t xml:space="preserve"> </w:t>
      </w:r>
      <w:r>
        <w:rPr>
          <w:color w:val="4D4D4F"/>
          <w:sz w:val="12"/>
        </w:rPr>
        <w:t>Independent</w:t>
      </w:r>
      <w:r>
        <w:rPr>
          <w:color w:val="4D4D4F"/>
          <w:spacing w:val="14"/>
          <w:sz w:val="12"/>
        </w:rPr>
        <w:t xml:space="preserve"> </w:t>
      </w:r>
      <w:r>
        <w:rPr>
          <w:color w:val="4D4D4F"/>
          <w:sz w:val="12"/>
        </w:rPr>
        <w:t>assurance</w:t>
      </w:r>
      <w:r>
        <w:rPr>
          <w:color w:val="4D4D4F"/>
          <w:spacing w:val="13"/>
          <w:sz w:val="12"/>
        </w:rPr>
        <w:t xml:space="preserve"> </w:t>
      </w:r>
      <w:r>
        <w:rPr>
          <w:color w:val="4D4D4F"/>
          <w:spacing w:val="2"/>
          <w:sz w:val="12"/>
        </w:rPr>
        <w:t>report</w:t>
      </w:r>
      <w:r>
        <w:rPr>
          <w:color w:val="4D4D4F"/>
          <w:spacing w:val="14"/>
          <w:sz w:val="12"/>
        </w:rPr>
        <w:t xml:space="preserve"> </w:t>
      </w:r>
      <w:r>
        <w:rPr>
          <w:color w:val="4D4D4F"/>
          <w:sz w:val="12"/>
        </w:rPr>
        <w:t>to</w:t>
      </w:r>
      <w:r>
        <w:rPr>
          <w:color w:val="4D4D4F"/>
          <w:spacing w:val="13"/>
          <w:sz w:val="12"/>
        </w:rPr>
        <w:t xml:space="preserve"> </w:t>
      </w:r>
      <w:r>
        <w:rPr>
          <w:color w:val="4D4D4F"/>
          <w:sz w:val="12"/>
        </w:rPr>
        <w:t>Parliament</w:t>
      </w:r>
      <w:r>
        <w:rPr>
          <w:color w:val="4D4D4F"/>
          <w:spacing w:val="14"/>
          <w:sz w:val="12"/>
        </w:rPr>
        <w:t xml:space="preserve"> </w:t>
      </w:r>
      <w:r>
        <w:rPr>
          <w:color w:val="4D4D4F"/>
          <w:sz w:val="12"/>
        </w:rPr>
        <w:t>2019–20:</w:t>
      </w:r>
      <w:r>
        <w:rPr>
          <w:color w:val="4D4D4F"/>
          <w:spacing w:val="-6"/>
          <w:sz w:val="12"/>
        </w:rPr>
        <w:t xml:space="preserve"> </w:t>
      </w:r>
      <w:r>
        <w:rPr>
          <w:color w:val="4D4D4F"/>
          <w:sz w:val="12"/>
        </w:rPr>
        <w:t>9.</w:t>
      </w:r>
    </w:p>
    <w:p w14:paraId="247DDD39" w14:textId="77777777" w:rsidR="00EF5B27" w:rsidRDefault="00000000">
      <w:pPr>
        <w:pStyle w:val="ListParagraph"/>
        <w:numPr>
          <w:ilvl w:val="0"/>
          <w:numId w:val="65"/>
        </w:numPr>
        <w:tabs>
          <w:tab w:val="left" w:pos="2836"/>
        </w:tabs>
        <w:spacing w:line="143" w:lineRule="exact"/>
        <w:jc w:val="left"/>
        <w:rPr>
          <w:sz w:val="12"/>
        </w:rPr>
      </w:pPr>
      <w:r>
        <w:rPr>
          <w:color w:val="4D4D4F"/>
          <w:sz w:val="12"/>
        </w:rPr>
        <w:t>VAGO</w:t>
      </w:r>
      <w:r>
        <w:rPr>
          <w:color w:val="4D4D4F"/>
          <w:spacing w:val="13"/>
          <w:sz w:val="12"/>
        </w:rPr>
        <w:t xml:space="preserve"> </w:t>
      </w:r>
      <w:r>
        <w:rPr>
          <w:color w:val="4D4D4F"/>
          <w:spacing w:val="2"/>
          <w:sz w:val="12"/>
        </w:rPr>
        <w:t>2020,</w:t>
      </w:r>
      <w:r>
        <w:rPr>
          <w:color w:val="4D4D4F"/>
          <w:spacing w:val="14"/>
          <w:sz w:val="12"/>
        </w:rPr>
        <w:t xml:space="preserve"> </w:t>
      </w:r>
      <w:r>
        <w:rPr>
          <w:color w:val="4D4D4F"/>
          <w:sz w:val="12"/>
        </w:rPr>
        <w:t>‘Protecting</w:t>
      </w:r>
      <w:r>
        <w:rPr>
          <w:color w:val="4D4D4F"/>
          <w:spacing w:val="13"/>
          <w:sz w:val="12"/>
        </w:rPr>
        <w:t xml:space="preserve"> </w:t>
      </w:r>
      <w:r>
        <w:rPr>
          <w:color w:val="4D4D4F"/>
          <w:sz w:val="12"/>
        </w:rPr>
        <w:t>Critically</w:t>
      </w:r>
      <w:r>
        <w:rPr>
          <w:color w:val="4D4D4F"/>
          <w:spacing w:val="14"/>
          <w:sz w:val="12"/>
        </w:rPr>
        <w:t xml:space="preserve"> </w:t>
      </w:r>
      <w:r>
        <w:rPr>
          <w:color w:val="4D4D4F"/>
          <w:sz w:val="12"/>
        </w:rPr>
        <w:t>Endangered</w:t>
      </w:r>
      <w:r>
        <w:rPr>
          <w:color w:val="4D4D4F"/>
          <w:spacing w:val="13"/>
          <w:sz w:val="12"/>
        </w:rPr>
        <w:t xml:space="preserve"> </w:t>
      </w:r>
      <w:r>
        <w:rPr>
          <w:color w:val="4D4D4F"/>
          <w:sz w:val="12"/>
        </w:rPr>
        <w:t>Grasslands’,</w:t>
      </w:r>
      <w:r>
        <w:rPr>
          <w:color w:val="4D4D4F"/>
          <w:spacing w:val="14"/>
          <w:sz w:val="12"/>
        </w:rPr>
        <w:t xml:space="preserve"> </w:t>
      </w:r>
      <w:r>
        <w:rPr>
          <w:color w:val="4D4D4F"/>
          <w:sz w:val="12"/>
        </w:rPr>
        <w:t>Independent</w:t>
      </w:r>
      <w:r>
        <w:rPr>
          <w:color w:val="4D4D4F"/>
          <w:spacing w:val="14"/>
          <w:sz w:val="12"/>
        </w:rPr>
        <w:t xml:space="preserve"> </w:t>
      </w:r>
      <w:r>
        <w:rPr>
          <w:color w:val="4D4D4F"/>
          <w:sz w:val="12"/>
        </w:rPr>
        <w:t>assurance</w:t>
      </w:r>
      <w:r>
        <w:rPr>
          <w:color w:val="4D4D4F"/>
          <w:spacing w:val="13"/>
          <w:sz w:val="12"/>
        </w:rPr>
        <w:t xml:space="preserve"> </w:t>
      </w:r>
      <w:r>
        <w:rPr>
          <w:color w:val="4D4D4F"/>
          <w:spacing w:val="2"/>
          <w:sz w:val="12"/>
        </w:rPr>
        <w:t>report</w:t>
      </w:r>
      <w:r>
        <w:rPr>
          <w:color w:val="4D4D4F"/>
          <w:spacing w:val="14"/>
          <w:sz w:val="12"/>
        </w:rPr>
        <w:t xml:space="preserve"> </w:t>
      </w:r>
      <w:r>
        <w:rPr>
          <w:color w:val="4D4D4F"/>
          <w:sz w:val="12"/>
        </w:rPr>
        <w:t>to</w:t>
      </w:r>
      <w:r>
        <w:rPr>
          <w:color w:val="4D4D4F"/>
          <w:spacing w:val="13"/>
          <w:sz w:val="12"/>
        </w:rPr>
        <w:t xml:space="preserve"> </w:t>
      </w:r>
      <w:r>
        <w:rPr>
          <w:color w:val="4D4D4F"/>
          <w:sz w:val="12"/>
        </w:rPr>
        <w:t>Parliament</w:t>
      </w:r>
      <w:r>
        <w:rPr>
          <w:color w:val="4D4D4F"/>
          <w:spacing w:val="14"/>
          <w:sz w:val="12"/>
        </w:rPr>
        <w:t xml:space="preserve"> </w:t>
      </w:r>
      <w:r>
        <w:rPr>
          <w:color w:val="4D4D4F"/>
          <w:sz w:val="12"/>
        </w:rPr>
        <w:t>2019–20:</w:t>
      </w:r>
      <w:r>
        <w:rPr>
          <w:color w:val="4D4D4F"/>
          <w:spacing w:val="-6"/>
          <w:sz w:val="12"/>
        </w:rPr>
        <w:t xml:space="preserve"> </w:t>
      </w:r>
      <w:r>
        <w:rPr>
          <w:color w:val="4D4D4F"/>
          <w:sz w:val="12"/>
        </w:rPr>
        <w:t>9.</w:t>
      </w:r>
    </w:p>
    <w:p w14:paraId="0B9C91FA" w14:textId="77777777" w:rsidR="00EF5B27" w:rsidRDefault="00EF5B27">
      <w:pPr>
        <w:spacing w:line="143" w:lineRule="exact"/>
        <w:rPr>
          <w:sz w:val="12"/>
        </w:rPr>
        <w:sectPr w:rsidR="00EF5B27">
          <w:type w:val="continuous"/>
          <w:pgSz w:w="11910" w:h="16840"/>
          <w:pgMar w:top="1140" w:right="1020" w:bottom="280" w:left="1020" w:header="720" w:footer="720" w:gutter="0"/>
          <w:cols w:space="720"/>
        </w:sectPr>
      </w:pPr>
    </w:p>
    <w:p w14:paraId="1098D520" w14:textId="77777777" w:rsidR="00EF5B27" w:rsidRDefault="00EF5B27">
      <w:pPr>
        <w:pStyle w:val="BodyText"/>
      </w:pPr>
    </w:p>
    <w:p w14:paraId="5234F408" w14:textId="77777777" w:rsidR="00EF5B27" w:rsidRDefault="00EF5B27">
      <w:pPr>
        <w:pStyle w:val="BodyText"/>
      </w:pPr>
    </w:p>
    <w:p w14:paraId="5482B4B7" w14:textId="77777777" w:rsidR="00EF5B27" w:rsidRDefault="00EF5B27">
      <w:pPr>
        <w:pStyle w:val="BodyText"/>
      </w:pPr>
    </w:p>
    <w:p w14:paraId="355BBA35" w14:textId="77777777" w:rsidR="00EF5B27" w:rsidRDefault="00EF5B27">
      <w:pPr>
        <w:pStyle w:val="BodyText"/>
      </w:pPr>
    </w:p>
    <w:p w14:paraId="1B03420C" w14:textId="77777777" w:rsidR="00EF5B27" w:rsidRDefault="00EF5B27">
      <w:pPr>
        <w:pStyle w:val="BodyText"/>
      </w:pPr>
    </w:p>
    <w:p w14:paraId="67098213" w14:textId="77777777" w:rsidR="00EF5B27" w:rsidRDefault="00EF5B27">
      <w:pPr>
        <w:pStyle w:val="BodyText"/>
      </w:pPr>
    </w:p>
    <w:p w14:paraId="72D00A2F" w14:textId="77777777" w:rsidR="00EF5B27" w:rsidRDefault="00EF5B27">
      <w:pPr>
        <w:pStyle w:val="BodyText"/>
      </w:pPr>
    </w:p>
    <w:p w14:paraId="3223B3DF" w14:textId="77777777" w:rsidR="00EF5B27" w:rsidRDefault="00EF5B27">
      <w:pPr>
        <w:pStyle w:val="BodyText"/>
      </w:pPr>
    </w:p>
    <w:p w14:paraId="1EB84329" w14:textId="77777777" w:rsidR="00EF5B27" w:rsidRDefault="00EF5B27">
      <w:pPr>
        <w:pStyle w:val="BodyText"/>
      </w:pPr>
    </w:p>
    <w:p w14:paraId="1DF54ADF" w14:textId="77777777" w:rsidR="00EF5B27" w:rsidRDefault="00EF5B27">
      <w:pPr>
        <w:pStyle w:val="BodyText"/>
      </w:pPr>
    </w:p>
    <w:p w14:paraId="664611B8" w14:textId="77777777" w:rsidR="00EF5B27" w:rsidRDefault="00EF5B27">
      <w:pPr>
        <w:pStyle w:val="BodyText"/>
        <w:spacing w:before="4"/>
        <w:rPr>
          <w:sz w:val="11"/>
        </w:rPr>
      </w:pPr>
    </w:p>
    <w:p w14:paraId="2922AF57" w14:textId="77777777" w:rsidR="00EF5B27" w:rsidRDefault="00000000">
      <w:pPr>
        <w:pStyle w:val="BodyText"/>
        <w:ind w:left="113"/>
      </w:pPr>
      <w:r>
        <w:pict w14:anchorId="6B668BBC">
          <v:shape id="_x0000_s4505" type="#_x0000_t202" style="width:481.15pt;height:25.4pt;mso-left-percent:-10001;mso-top-percent:-10001;mso-position-horizontal:absolute;mso-position-horizontal-relative:char;mso-position-vertical:absolute;mso-position-vertical-relative:line;mso-left-percent:-10001;mso-top-percent:-10001" fillcolor="#fecc91" stroked="f">
            <v:textbox inset="0,0,0,0">
              <w:txbxContent>
                <w:p w14:paraId="4A27D5BA" w14:textId="77777777" w:rsidR="00EF5B27" w:rsidRDefault="00000000">
                  <w:pPr>
                    <w:tabs>
                      <w:tab w:val="left" w:pos="2607"/>
                    </w:tabs>
                    <w:spacing w:before="142"/>
                    <w:ind w:left="113"/>
                    <w:rPr>
                      <w:b/>
                      <w:sz w:val="20"/>
                    </w:rPr>
                  </w:pPr>
                  <w:r>
                    <w:rPr>
                      <w:b/>
                      <w:color w:val="4D4D4F"/>
                      <w:sz w:val="20"/>
                    </w:rPr>
                    <w:t>Theme</w:t>
                  </w:r>
                  <w:r>
                    <w:rPr>
                      <w:b/>
                      <w:color w:val="4D4D4F"/>
                      <w:sz w:val="20"/>
                    </w:rPr>
                    <w:tab/>
                    <w:t>Natural Temperate</w:t>
                  </w:r>
                  <w:r>
                    <w:rPr>
                      <w:b/>
                      <w:color w:val="4D4D4F"/>
                      <w:spacing w:val="8"/>
                      <w:sz w:val="20"/>
                    </w:rPr>
                    <w:t xml:space="preserve"> </w:t>
                  </w:r>
                  <w:r>
                    <w:rPr>
                      <w:b/>
                      <w:color w:val="4D4D4F"/>
                      <w:sz w:val="20"/>
                    </w:rPr>
                    <w:t>Grassland</w:t>
                  </w:r>
                </w:p>
              </w:txbxContent>
            </v:textbox>
            <w10:anchorlock/>
          </v:shape>
        </w:pict>
      </w:r>
    </w:p>
    <w:p w14:paraId="32AD5ADF" w14:textId="77777777" w:rsidR="00EF5B27" w:rsidRDefault="00EF5B27">
      <w:pPr>
        <w:pStyle w:val="BodyText"/>
        <w:spacing w:before="8"/>
        <w:rPr>
          <w:sz w:val="5"/>
        </w:rPr>
      </w:pPr>
    </w:p>
    <w:p w14:paraId="3F83F4AE" w14:textId="77777777" w:rsidR="00EF5B27" w:rsidRDefault="00EF5B27">
      <w:pPr>
        <w:rPr>
          <w:sz w:val="5"/>
        </w:rPr>
        <w:sectPr w:rsidR="00EF5B27">
          <w:pgSz w:w="11910" w:h="16840"/>
          <w:pgMar w:top="1080" w:right="1020" w:bottom="860" w:left="1020" w:header="537" w:footer="678" w:gutter="0"/>
          <w:cols w:space="720"/>
        </w:sectPr>
      </w:pPr>
    </w:p>
    <w:p w14:paraId="444E7E9E" w14:textId="77777777" w:rsidR="00EF5B27" w:rsidRDefault="00000000">
      <w:pPr>
        <w:pStyle w:val="BodyText"/>
        <w:spacing w:before="51"/>
        <w:ind w:left="227"/>
      </w:pPr>
      <w:r>
        <w:pict w14:anchorId="580B8ECD">
          <v:group id="_x0000_s4497" style="position:absolute;left:0;text-align:left;margin-left:587.05pt;margin-top:183.4pt;width:8.25pt;height:153.1pt;z-index:251348480;mso-position-horizontal-relative:page;mso-position-vertical-relative:page" coordorigin="11741,3668" coordsize="165,3062">
            <v:shape id="_x0000_s4504" style="position:absolute;left:11741;top:3668;width:165;height:561" coordorigin="11741,3668" coordsize="165,561" path="m11906,3668r-165,l11741,4228r165,-18l11906,3668xe" fillcolor="#00aed9" stroked="f">
              <v:path arrowok="t"/>
            </v:shape>
            <v:shape id="_x0000_s4503" style="position:absolute;left:11741;top:4118;width:165;height:425" coordorigin="11741,4118" coordsize="165,425" path="m11906,4118r-165,14l11741,4531r165,12l11906,4118xe" fillcolor="#047ebc" stroked="f">
              <v:path arrowok="t"/>
            </v:shape>
            <v:shape id="_x0000_s4502" type="#_x0000_t75" style="position:absolute;left:11741;top:4355;width:165;height:587">
              <v:imagedata r:id="rId42" o:title=""/>
            </v:shape>
            <v:shape id="_x0000_s4501" style="position:absolute;left:11741;top:5343;width:165;height:536" coordorigin="11741,5343" coordsize="165,536" path="m11741,5343r,535l11906,5872r,-525l11741,5343xe" fillcolor="#f36a2e" stroked="f">
              <v:path arrowok="t"/>
            </v:shape>
            <v:shape id="_x0000_s4500" style="position:absolute;left:11741;top:4925;width:165;height:501" coordorigin="11741,4926" coordsize="165,501" path="m11741,4926r,500l11906,5426r,-485l11741,4926xe" fillcolor="#49783f" stroked="f">
              <v:path arrowok="t"/>
            </v:shape>
            <v:shape id="_x0000_s4499" style="position:absolute;left:11741;top:5781;width:165;height:268" coordorigin="11741,5782" coordsize="165,268" path="m11906,5782r-165,8l11741,6039r165,10l11906,5782xe" fillcolor="#f99f2a" stroked="f">
              <v:path arrowok="t"/>
            </v:shape>
            <v:shape id="_x0000_s4498" style="position:absolute;left:11741;top:6023;width:165;height:707" coordorigin="11741,6023" coordsize="165,707" path="m11741,6023r,706l11906,6729r,-690l11741,6023xe" fillcolor="#ef412c" stroked="f">
              <v:path arrowok="t"/>
            </v:shape>
            <w10:wrap anchorx="page" anchory="page"/>
          </v:group>
        </w:pict>
      </w:r>
      <w:r>
        <w:pict w14:anchorId="4E7230B4">
          <v:group id="_x0000_s4494" style="position:absolute;left:0;text-align:left;margin-left:56.7pt;margin-top:-29.85pt;width:481.15pt;height:.25pt;z-index:251349504;mso-position-horizontal-relative:page" coordorigin="1134,-597" coordsize="9623,5">
            <v:line id="_x0000_s4496" style="position:absolute" from="1134,-595" to="3628,-595" strokeweight=".25pt"/>
            <v:line id="_x0000_s4495" style="position:absolute" from="3628,-595" to="10756,-595" strokeweight=".25pt"/>
            <w10:wrap anchorx="page"/>
          </v:group>
        </w:pict>
      </w:r>
      <w:r>
        <w:pict w14:anchorId="0DC34841">
          <v:group id="_x0000_s4491" style="position:absolute;left:0;text-align:left;margin-left:56.7pt;margin-top:-4.35pt;width:481.15pt;height:.25pt;z-index:251351552;mso-position-horizontal-relative:page" coordorigin="1134,-87" coordsize="9623,5">
            <v:line id="_x0000_s4493" style="position:absolute" from="1134,-84" to="3628,-84" strokeweight=".25pt"/>
            <v:line id="_x0000_s4492" style="position:absolute" from="3628,-84" to="10756,-84" strokeweight=".25pt"/>
            <w10:wrap anchorx="page"/>
          </v:group>
        </w:pict>
      </w:r>
      <w:r>
        <w:rPr>
          <w:color w:val="4D4D4F"/>
        </w:rPr>
        <w:t>Recommendation</w:t>
      </w:r>
    </w:p>
    <w:p w14:paraId="125C5136" w14:textId="77777777" w:rsidR="00EF5B27" w:rsidRDefault="00000000">
      <w:pPr>
        <w:pStyle w:val="Heading1"/>
      </w:pPr>
      <w:r>
        <w:pict w14:anchorId="17B79772">
          <v:group id="_x0000_s4488" style="position:absolute;left:0;text-align:left;margin-left:56.7pt;margin-top:104.8pt;width:481.15pt;height:.25pt;z-index:251352576;mso-position-horizontal-relative:page" coordorigin="1134,2096" coordsize="9623,5">
            <v:line id="_x0000_s4490" style="position:absolute" from="1134,2099" to="3628,2099" strokeweight=".25pt"/>
            <v:line id="_x0000_s4489" style="position:absolute" from="3628,2099" to="10756,2099" strokeweight=".25pt"/>
            <w10:wrap anchorx="page"/>
          </v:group>
        </w:pict>
      </w:r>
      <w:r>
        <w:rPr>
          <w:color w:val="4D4D4F"/>
          <w:w w:val="105"/>
        </w:rPr>
        <w:t>05</w:t>
      </w:r>
    </w:p>
    <w:p w14:paraId="7AA447F9" w14:textId="77777777" w:rsidR="00EF5B27" w:rsidRDefault="00EF5B27">
      <w:pPr>
        <w:pStyle w:val="BodyText"/>
        <w:rPr>
          <w:b/>
        </w:rPr>
      </w:pPr>
    </w:p>
    <w:p w14:paraId="0B6A26FA" w14:textId="77777777" w:rsidR="00EF5B27" w:rsidRDefault="00EF5B27">
      <w:pPr>
        <w:pStyle w:val="BodyText"/>
        <w:rPr>
          <w:b/>
        </w:rPr>
      </w:pPr>
    </w:p>
    <w:p w14:paraId="026600B1" w14:textId="77777777" w:rsidR="00EF5B27" w:rsidRDefault="00EF5B27">
      <w:pPr>
        <w:pStyle w:val="BodyText"/>
        <w:rPr>
          <w:b/>
        </w:rPr>
      </w:pPr>
    </w:p>
    <w:p w14:paraId="1E353ECD" w14:textId="77777777" w:rsidR="00EF5B27" w:rsidRDefault="00EF5B27">
      <w:pPr>
        <w:pStyle w:val="BodyText"/>
        <w:rPr>
          <w:b/>
        </w:rPr>
      </w:pPr>
    </w:p>
    <w:p w14:paraId="7BB6F04D" w14:textId="77777777" w:rsidR="00EF5B27" w:rsidRDefault="00EF5B27">
      <w:pPr>
        <w:pStyle w:val="BodyText"/>
        <w:rPr>
          <w:b/>
        </w:rPr>
      </w:pPr>
    </w:p>
    <w:p w14:paraId="342DA2CC" w14:textId="77777777" w:rsidR="00EF5B27" w:rsidRDefault="00EF5B27">
      <w:pPr>
        <w:pStyle w:val="BodyText"/>
        <w:rPr>
          <w:b/>
        </w:rPr>
      </w:pPr>
    </w:p>
    <w:p w14:paraId="55CB4A71" w14:textId="77777777" w:rsidR="00EF5B27" w:rsidRDefault="00EF5B27">
      <w:pPr>
        <w:pStyle w:val="BodyText"/>
        <w:rPr>
          <w:b/>
        </w:rPr>
      </w:pPr>
    </w:p>
    <w:p w14:paraId="72F3C530" w14:textId="77777777" w:rsidR="00EF5B27" w:rsidRDefault="00EF5B27">
      <w:pPr>
        <w:pStyle w:val="BodyText"/>
        <w:rPr>
          <w:b/>
        </w:rPr>
      </w:pPr>
    </w:p>
    <w:p w14:paraId="0CE0B11C" w14:textId="77777777" w:rsidR="00EF5B27" w:rsidRDefault="00000000">
      <w:pPr>
        <w:pStyle w:val="BodyText"/>
        <w:spacing w:before="7"/>
        <w:rPr>
          <w:b/>
          <w:sz w:val="12"/>
        </w:rPr>
      </w:pPr>
      <w:r>
        <w:rPr>
          <w:noProof/>
        </w:rPr>
        <w:drawing>
          <wp:anchor distT="0" distB="0" distL="0" distR="0" simplePos="0" relativeHeight="251283968" behindDoc="0" locked="0" layoutInCell="1" allowOverlap="1" wp14:anchorId="79399BDF" wp14:editId="321DA157">
            <wp:simplePos x="0" y="0"/>
            <wp:positionH relativeFrom="page">
              <wp:posOffset>724230</wp:posOffset>
            </wp:positionH>
            <wp:positionV relativeFrom="paragraph">
              <wp:posOffset>122470</wp:posOffset>
            </wp:positionV>
            <wp:extent cx="1065280" cy="1065276"/>
            <wp:effectExtent l="0" t="0" r="0" b="0"/>
            <wp:wrapTopAndBottom/>
            <wp:docPr id="3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5.jpeg"/>
                    <pic:cNvPicPr/>
                  </pic:nvPicPr>
                  <pic:blipFill>
                    <a:blip r:embed="rId63" cstate="print"/>
                    <a:stretch>
                      <a:fillRect/>
                    </a:stretch>
                  </pic:blipFill>
                  <pic:spPr>
                    <a:xfrm>
                      <a:off x="0" y="0"/>
                      <a:ext cx="1065280" cy="1065276"/>
                    </a:xfrm>
                    <a:prstGeom prst="rect">
                      <a:avLst/>
                    </a:prstGeom>
                  </pic:spPr>
                </pic:pic>
              </a:graphicData>
            </a:graphic>
          </wp:anchor>
        </w:drawing>
      </w:r>
    </w:p>
    <w:p w14:paraId="22F73D97" w14:textId="77777777" w:rsidR="00EF5B27" w:rsidRDefault="00000000">
      <w:pPr>
        <w:spacing w:before="44"/>
        <w:ind w:left="10" w:right="106"/>
        <w:jc w:val="center"/>
        <w:rPr>
          <w:rFonts w:ascii="Century Gothic"/>
          <w:i/>
          <w:sz w:val="12"/>
        </w:rPr>
      </w:pPr>
      <w:r>
        <w:rPr>
          <w:rFonts w:ascii="Century Gothic"/>
          <w:i/>
          <w:color w:val="4D4D4F"/>
          <w:w w:val="90"/>
          <w:sz w:val="12"/>
        </w:rPr>
        <w:t>Natural Temperate Grassland</w:t>
      </w:r>
    </w:p>
    <w:p w14:paraId="02028919" w14:textId="77777777" w:rsidR="00EF5B27" w:rsidRDefault="00000000">
      <w:pPr>
        <w:pStyle w:val="BodyText"/>
        <w:spacing w:before="51"/>
        <w:ind w:left="227"/>
      </w:pPr>
      <w:r>
        <w:br w:type="column"/>
      </w:r>
      <w:r>
        <w:rPr>
          <w:color w:val="4D4D4F"/>
        </w:rPr>
        <w:t>That DELWP:</w:t>
      </w:r>
    </w:p>
    <w:p w14:paraId="3652433F" w14:textId="77777777" w:rsidR="00EF5B27" w:rsidRDefault="00000000">
      <w:pPr>
        <w:pStyle w:val="ListParagraph"/>
        <w:numPr>
          <w:ilvl w:val="0"/>
          <w:numId w:val="60"/>
        </w:numPr>
        <w:tabs>
          <w:tab w:val="left" w:pos="421"/>
        </w:tabs>
        <w:spacing w:before="130" w:line="254" w:lineRule="auto"/>
        <w:ind w:right="245" w:firstLine="0"/>
        <w:rPr>
          <w:sz w:val="20"/>
        </w:rPr>
      </w:pPr>
      <w:r>
        <w:rPr>
          <w:color w:val="4D4D4F"/>
          <w:sz w:val="20"/>
        </w:rPr>
        <w:t xml:space="preserve">modifies the </w:t>
      </w:r>
      <w:r>
        <w:rPr>
          <w:color w:val="4D4D4F"/>
          <w:spacing w:val="-3"/>
          <w:sz w:val="20"/>
        </w:rPr>
        <w:t xml:space="preserve">monitoring </w:t>
      </w:r>
      <w:r>
        <w:rPr>
          <w:color w:val="4D4D4F"/>
          <w:sz w:val="20"/>
        </w:rPr>
        <w:t xml:space="preserve">methods </w:t>
      </w:r>
      <w:r>
        <w:rPr>
          <w:color w:val="4D4D4F"/>
          <w:spacing w:val="-2"/>
          <w:sz w:val="20"/>
        </w:rPr>
        <w:t xml:space="preserve">for </w:t>
      </w:r>
      <w:r>
        <w:rPr>
          <w:color w:val="4D4D4F"/>
          <w:sz w:val="20"/>
        </w:rPr>
        <w:t xml:space="preserve">Natural </w:t>
      </w:r>
      <w:r>
        <w:rPr>
          <w:color w:val="4D4D4F"/>
          <w:spacing w:val="-4"/>
          <w:sz w:val="20"/>
        </w:rPr>
        <w:t xml:space="preserve">Temperate </w:t>
      </w:r>
      <w:r>
        <w:rPr>
          <w:color w:val="4D4D4F"/>
          <w:sz w:val="20"/>
        </w:rPr>
        <w:t xml:space="preserve">Grassland to </w:t>
      </w:r>
      <w:r>
        <w:rPr>
          <w:color w:val="4D4D4F"/>
          <w:spacing w:val="-3"/>
          <w:sz w:val="20"/>
        </w:rPr>
        <w:t xml:space="preserve">organise </w:t>
      </w:r>
      <w:r>
        <w:rPr>
          <w:color w:val="4D4D4F"/>
          <w:sz w:val="20"/>
        </w:rPr>
        <w:t xml:space="preserve">by </w:t>
      </w:r>
      <w:r>
        <w:rPr>
          <w:color w:val="4D4D4F"/>
          <w:spacing w:val="-5"/>
          <w:sz w:val="20"/>
        </w:rPr>
        <w:t>management</w:t>
      </w:r>
      <w:r>
        <w:rPr>
          <w:color w:val="4D4D4F"/>
          <w:sz w:val="20"/>
        </w:rPr>
        <w:t xml:space="preserve"> </w:t>
      </w:r>
      <w:r>
        <w:rPr>
          <w:color w:val="4D4D4F"/>
          <w:spacing w:val="-5"/>
          <w:sz w:val="20"/>
        </w:rPr>
        <w:t>unit</w:t>
      </w:r>
      <w:r>
        <w:rPr>
          <w:color w:val="4D4D4F"/>
          <w:spacing w:val="1"/>
          <w:sz w:val="20"/>
        </w:rPr>
        <w:t xml:space="preserve"> </w:t>
      </w:r>
      <w:r>
        <w:rPr>
          <w:color w:val="4D4D4F"/>
          <w:spacing w:val="-3"/>
          <w:sz w:val="20"/>
        </w:rPr>
        <w:t>as</w:t>
      </w:r>
      <w:r>
        <w:rPr>
          <w:color w:val="4D4D4F"/>
          <w:spacing w:val="1"/>
          <w:sz w:val="20"/>
        </w:rPr>
        <w:t xml:space="preserve"> </w:t>
      </w:r>
      <w:r>
        <w:rPr>
          <w:color w:val="4D4D4F"/>
          <w:spacing w:val="-4"/>
          <w:sz w:val="20"/>
        </w:rPr>
        <w:t>well</w:t>
      </w:r>
      <w:r>
        <w:rPr>
          <w:color w:val="4D4D4F"/>
          <w:spacing w:val="1"/>
          <w:sz w:val="20"/>
        </w:rPr>
        <w:t xml:space="preserve"> </w:t>
      </w:r>
      <w:r>
        <w:rPr>
          <w:color w:val="4D4D4F"/>
          <w:spacing w:val="-3"/>
          <w:sz w:val="20"/>
        </w:rPr>
        <w:t>as</w:t>
      </w:r>
      <w:r>
        <w:rPr>
          <w:color w:val="4D4D4F"/>
          <w:spacing w:val="1"/>
          <w:sz w:val="20"/>
        </w:rPr>
        <w:t xml:space="preserve"> </w:t>
      </w:r>
      <w:r>
        <w:rPr>
          <w:color w:val="4D4D4F"/>
          <w:sz w:val="20"/>
        </w:rPr>
        <w:t>by</w:t>
      </w:r>
      <w:r>
        <w:rPr>
          <w:color w:val="4D4D4F"/>
          <w:spacing w:val="1"/>
          <w:sz w:val="20"/>
        </w:rPr>
        <w:t xml:space="preserve"> </w:t>
      </w:r>
      <w:r>
        <w:rPr>
          <w:color w:val="4D4D4F"/>
          <w:spacing w:val="-4"/>
          <w:sz w:val="20"/>
        </w:rPr>
        <w:t>state,</w:t>
      </w:r>
      <w:r>
        <w:rPr>
          <w:color w:val="4D4D4F"/>
          <w:spacing w:val="1"/>
          <w:sz w:val="20"/>
        </w:rPr>
        <w:t xml:space="preserve"> </w:t>
      </w:r>
      <w:r>
        <w:rPr>
          <w:color w:val="4D4D4F"/>
          <w:spacing w:val="-3"/>
          <w:sz w:val="20"/>
        </w:rPr>
        <w:t>and</w:t>
      </w:r>
      <w:r>
        <w:rPr>
          <w:color w:val="4D4D4F"/>
          <w:spacing w:val="1"/>
          <w:sz w:val="20"/>
        </w:rPr>
        <w:t xml:space="preserve"> </w:t>
      </w:r>
      <w:r>
        <w:rPr>
          <w:color w:val="4D4D4F"/>
          <w:spacing w:val="-5"/>
          <w:sz w:val="20"/>
        </w:rPr>
        <w:t>include</w:t>
      </w:r>
      <w:r>
        <w:rPr>
          <w:color w:val="4D4D4F"/>
          <w:spacing w:val="1"/>
          <w:sz w:val="20"/>
        </w:rPr>
        <w:t xml:space="preserve"> </w:t>
      </w:r>
      <w:r>
        <w:rPr>
          <w:color w:val="4D4D4F"/>
          <w:spacing w:val="-4"/>
          <w:sz w:val="20"/>
        </w:rPr>
        <w:t>‘time</w:t>
      </w:r>
      <w:r>
        <w:rPr>
          <w:color w:val="4D4D4F"/>
          <w:spacing w:val="1"/>
          <w:sz w:val="20"/>
        </w:rPr>
        <w:t xml:space="preserve"> </w:t>
      </w:r>
      <w:r>
        <w:rPr>
          <w:color w:val="4D4D4F"/>
          <w:spacing w:val="-5"/>
          <w:sz w:val="20"/>
        </w:rPr>
        <w:t>since</w:t>
      </w:r>
      <w:r>
        <w:rPr>
          <w:color w:val="4D4D4F"/>
          <w:spacing w:val="1"/>
          <w:sz w:val="20"/>
        </w:rPr>
        <w:t xml:space="preserve"> </w:t>
      </w:r>
      <w:r>
        <w:rPr>
          <w:color w:val="4D4D4F"/>
          <w:spacing w:val="-6"/>
          <w:sz w:val="20"/>
        </w:rPr>
        <w:t>acquisition’</w:t>
      </w:r>
      <w:r>
        <w:rPr>
          <w:color w:val="4D4D4F"/>
          <w:spacing w:val="1"/>
          <w:sz w:val="20"/>
        </w:rPr>
        <w:t xml:space="preserve"> </w:t>
      </w:r>
      <w:r>
        <w:rPr>
          <w:color w:val="4D4D4F"/>
          <w:spacing w:val="-3"/>
          <w:sz w:val="20"/>
        </w:rPr>
        <w:t>as</w:t>
      </w:r>
      <w:r>
        <w:rPr>
          <w:color w:val="4D4D4F"/>
          <w:spacing w:val="1"/>
          <w:sz w:val="20"/>
        </w:rPr>
        <w:t xml:space="preserve"> </w:t>
      </w:r>
      <w:r>
        <w:rPr>
          <w:color w:val="4D4D4F"/>
          <w:sz w:val="20"/>
        </w:rPr>
        <w:t>a</w:t>
      </w:r>
      <w:r>
        <w:rPr>
          <w:color w:val="4D4D4F"/>
          <w:spacing w:val="1"/>
          <w:sz w:val="20"/>
        </w:rPr>
        <w:t xml:space="preserve"> </w:t>
      </w:r>
      <w:r>
        <w:rPr>
          <w:color w:val="4D4D4F"/>
          <w:spacing w:val="-5"/>
          <w:sz w:val="20"/>
        </w:rPr>
        <w:t>parameter</w:t>
      </w:r>
    </w:p>
    <w:p w14:paraId="0CEAA674" w14:textId="77777777" w:rsidR="00EF5B27" w:rsidRDefault="00000000">
      <w:pPr>
        <w:pStyle w:val="ListParagraph"/>
        <w:numPr>
          <w:ilvl w:val="0"/>
          <w:numId w:val="60"/>
        </w:numPr>
        <w:tabs>
          <w:tab w:val="left" w:pos="471"/>
        </w:tabs>
        <w:spacing w:before="115" w:line="254" w:lineRule="auto"/>
        <w:ind w:right="810" w:firstLine="0"/>
        <w:rPr>
          <w:sz w:val="20"/>
        </w:rPr>
      </w:pPr>
      <w:r>
        <w:rPr>
          <w:color w:val="4D4D4F"/>
          <w:sz w:val="20"/>
        </w:rPr>
        <w:t>enhances interpretation of results by adding an overall ’grassland quality’ metric to the KPI reporting suite,</w:t>
      </w:r>
      <w:r>
        <w:rPr>
          <w:color w:val="4D4D4F"/>
          <w:spacing w:val="25"/>
          <w:sz w:val="20"/>
        </w:rPr>
        <w:t xml:space="preserve"> </w:t>
      </w:r>
      <w:r>
        <w:rPr>
          <w:color w:val="4D4D4F"/>
          <w:sz w:val="20"/>
        </w:rPr>
        <w:t>and</w:t>
      </w:r>
    </w:p>
    <w:p w14:paraId="21005D1A" w14:textId="77777777" w:rsidR="00EF5B27" w:rsidRDefault="00000000">
      <w:pPr>
        <w:pStyle w:val="ListParagraph"/>
        <w:numPr>
          <w:ilvl w:val="0"/>
          <w:numId w:val="60"/>
        </w:numPr>
        <w:tabs>
          <w:tab w:val="left" w:pos="512"/>
        </w:tabs>
        <w:spacing w:before="116"/>
        <w:ind w:left="511" w:hanging="284"/>
        <w:rPr>
          <w:sz w:val="20"/>
        </w:rPr>
      </w:pPr>
      <w:r>
        <w:rPr>
          <w:color w:val="4D4D4F"/>
          <w:sz w:val="20"/>
        </w:rPr>
        <w:t>addresses</w:t>
      </w:r>
      <w:r>
        <w:rPr>
          <w:color w:val="4D4D4F"/>
          <w:spacing w:val="11"/>
          <w:sz w:val="20"/>
        </w:rPr>
        <w:t xml:space="preserve"> </w:t>
      </w:r>
      <w:r>
        <w:rPr>
          <w:color w:val="4D4D4F"/>
          <w:sz w:val="20"/>
        </w:rPr>
        <w:t>areas</w:t>
      </w:r>
      <w:r>
        <w:rPr>
          <w:color w:val="4D4D4F"/>
          <w:spacing w:val="11"/>
          <w:sz w:val="20"/>
        </w:rPr>
        <w:t xml:space="preserve"> </w:t>
      </w:r>
      <w:r>
        <w:rPr>
          <w:color w:val="4D4D4F"/>
          <w:sz w:val="20"/>
        </w:rPr>
        <w:t>where</w:t>
      </w:r>
      <w:r>
        <w:rPr>
          <w:color w:val="4D4D4F"/>
          <w:spacing w:val="11"/>
          <w:sz w:val="20"/>
        </w:rPr>
        <w:t xml:space="preserve"> </w:t>
      </w:r>
      <w:r>
        <w:rPr>
          <w:color w:val="4D4D4F"/>
          <w:sz w:val="20"/>
        </w:rPr>
        <w:t>measures</w:t>
      </w:r>
      <w:r>
        <w:rPr>
          <w:color w:val="4D4D4F"/>
          <w:spacing w:val="11"/>
          <w:sz w:val="20"/>
        </w:rPr>
        <w:t xml:space="preserve"> </w:t>
      </w:r>
      <w:r>
        <w:rPr>
          <w:color w:val="4D4D4F"/>
          <w:sz w:val="20"/>
        </w:rPr>
        <w:t>indicate</w:t>
      </w:r>
      <w:r>
        <w:rPr>
          <w:color w:val="4D4D4F"/>
          <w:spacing w:val="11"/>
          <w:sz w:val="20"/>
        </w:rPr>
        <w:t xml:space="preserve"> </w:t>
      </w:r>
      <w:r>
        <w:rPr>
          <w:color w:val="4D4D4F"/>
          <w:sz w:val="20"/>
        </w:rPr>
        <w:t>grassland</w:t>
      </w:r>
      <w:r>
        <w:rPr>
          <w:color w:val="4D4D4F"/>
          <w:spacing w:val="11"/>
          <w:sz w:val="20"/>
        </w:rPr>
        <w:t xml:space="preserve"> </w:t>
      </w:r>
      <w:r>
        <w:rPr>
          <w:color w:val="4D4D4F"/>
          <w:sz w:val="20"/>
        </w:rPr>
        <w:t>condition</w:t>
      </w:r>
      <w:r>
        <w:rPr>
          <w:color w:val="4D4D4F"/>
          <w:spacing w:val="11"/>
          <w:sz w:val="20"/>
        </w:rPr>
        <w:t xml:space="preserve"> </w:t>
      </w:r>
      <w:r>
        <w:rPr>
          <w:color w:val="4D4D4F"/>
          <w:sz w:val="20"/>
        </w:rPr>
        <w:t>is</w:t>
      </w:r>
      <w:r>
        <w:rPr>
          <w:color w:val="4D4D4F"/>
          <w:spacing w:val="11"/>
          <w:sz w:val="20"/>
        </w:rPr>
        <w:t xml:space="preserve"> </w:t>
      </w:r>
      <w:r>
        <w:rPr>
          <w:color w:val="4D4D4F"/>
          <w:sz w:val="20"/>
        </w:rPr>
        <w:t>deteriorating.</w:t>
      </w:r>
    </w:p>
    <w:p w14:paraId="26006153" w14:textId="77777777" w:rsidR="00EF5B27" w:rsidRDefault="00EF5B27">
      <w:pPr>
        <w:pStyle w:val="BodyText"/>
        <w:rPr>
          <w:sz w:val="24"/>
        </w:rPr>
      </w:pPr>
    </w:p>
    <w:p w14:paraId="77A26D70" w14:textId="77777777" w:rsidR="00EF5B27" w:rsidRDefault="00EF5B27">
      <w:pPr>
        <w:pStyle w:val="BodyText"/>
        <w:rPr>
          <w:sz w:val="24"/>
        </w:rPr>
      </w:pPr>
    </w:p>
    <w:p w14:paraId="2D4D5C0C" w14:textId="77777777" w:rsidR="00EF5B27" w:rsidRDefault="00EF5B27">
      <w:pPr>
        <w:pStyle w:val="BodyText"/>
        <w:rPr>
          <w:sz w:val="24"/>
        </w:rPr>
      </w:pPr>
    </w:p>
    <w:p w14:paraId="0BD103AA" w14:textId="77777777" w:rsidR="00EF5B27" w:rsidRDefault="00000000">
      <w:pPr>
        <w:pStyle w:val="Heading3"/>
        <w:spacing w:before="186"/>
        <w:ind w:left="113"/>
      </w:pPr>
      <w:r>
        <w:rPr>
          <w:color w:val="F99F2A"/>
        </w:rPr>
        <w:t>Challenges the recommendation addresses</w:t>
      </w:r>
    </w:p>
    <w:p w14:paraId="6C865949" w14:textId="77777777" w:rsidR="00EF5B27" w:rsidRDefault="00000000">
      <w:pPr>
        <w:pStyle w:val="BodyText"/>
        <w:spacing w:before="256" w:line="254" w:lineRule="auto"/>
        <w:ind w:left="113" w:right="214"/>
        <w:jc w:val="both"/>
      </w:pPr>
      <w:r>
        <w:rPr>
          <w:color w:val="4D4D4F"/>
          <w:w w:val="105"/>
        </w:rPr>
        <w:t>Interpretation</w:t>
      </w:r>
      <w:r>
        <w:rPr>
          <w:color w:val="4D4D4F"/>
          <w:spacing w:val="-25"/>
          <w:w w:val="105"/>
        </w:rPr>
        <w:t xml:space="preserve"> </w:t>
      </w:r>
      <w:r>
        <w:rPr>
          <w:color w:val="4D4D4F"/>
          <w:w w:val="105"/>
        </w:rPr>
        <w:t>of</w:t>
      </w:r>
      <w:r>
        <w:rPr>
          <w:color w:val="4D4D4F"/>
          <w:spacing w:val="-24"/>
          <w:w w:val="105"/>
        </w:rPr>
        <w:t xml:space="preserve"> </w:t>
      </w:r>
      <w:r>
        <w:rPr>
          <w:color w:val="4D4D4F"/>
          <w:w w:val="105"/>
        </w:rPr>
        <w:t>results</w:t>
      </w:r>
      <w:r>
        <w:rPr>
          <w:color w:val="4D4D4F"/>
          <w:spacing w:val="-24"/>
          <w:w w:val="105"/>
        </w:rPr>
        <w:t xml:space="preserve"> </w:t>
      </w:r>
      <w:r>
        <w:rPr>
          <w:color w:val="4D4D4F"/>
          <w:w w:val="105"/>
        </w:rPr>
        <w:t>under</w:t>
      </w:r>
      <w:r>
        <w:rPr>
          <w:color w:val="4D4D4F"/>
          <w:spacing w:val="-25"/>
          <w:w w:val="105"/>
        </w:rPr>
        <w:t xml:space="preserve"> </w:t>
      </w:r>
      <w:r>
        <w:rPr>
          <w:color w:val="4D4D4F"/>
          <w:w w:val="105"/>
        </w:rPr>
        <w:t>DELWP’s</w:t>
      </w:r>
      <w:r>
        <w:rPr>
          <w:color w:val="4D4D4F"/>
          <w:spacing w:val="-24"/>
          <w:w w:val="105"/>
        </w:rPr>
        <w:t xml:space="preserve"> </w:t>
      </w:r>
      <w:r>
        <w:rPr>
          <w:color w:val="4D4D4F"/>
          <w:w w:val="105"/>
        </w:rPr>
        <w:t>framework</w:t>
      </w:r>
      <w:r>
        <w:rPr>
          <w:color w:val="4D4D4F"/>
          <w:spacing w:val="-24"/>
          <w:w w:val="105"/>
        </w:rPr>
        <w:t xml:space="preserve"> </w:t>
      </w:r>
      <w:r>
        <w:rPr>
          <w:color w:val="4D4D4F"/>
          <w:w w:val="105"/>
        </w:rPr>
        <w:t>for</w:t>
      </w:r>
      <w:r>
        <w:rPr>
          <w:color w:val="4D4D4F"/>
          <w:spacing w:val="-25"/>
          <w:w w:val="105"/>
        </w:rPr>
        <w:t xml:space="preserve"> </w:t>
      </w:r>
      <w:r>
        <w:rPr>
          <w:color w:val="4D4D4F"/>
          <w:w w:val="105"/>
        </w:rPr>
        <w:t>Natural</w:t>
      </w:r>
      <w:r>
        <w:rPr>
          <w:color w:val="4D4D4F"/>
          <w:spacing w:val="-24"/>
          <w:w w:val="105"/>
        </w:rPr>
        <w:t xml:space="preserve"> </w:t>
      </w:r>
      <w:r>
        <w:rPr>
          <w:color w:val="4D4D4F"/>
          <w:w w:val="105"/>
        </w:rPr>
        <w:t>Temperate</w:t>
      </w:r>
      <w:r>
        <w:rPr>
          <w:color w:val="4D4D4F"/>
          <w:spacing w:val="-24"/>
          <w:w w:val="105"/>
        </w:rPr>
        <w:t xml:space="preserve"> </w:t>
      </w:r>
      <w:r>
        <w:rPr>
          <w:color w:val="4D4D4F"/>
          <w:w w:val="105"/>
        </w:rPr>
        <w:t>Grassland is</w:t>
      </w:r>
      <w:r>
        <w:rPr>
          <w:color w:val="4D4D4F"/>
          <w:spacing w:val="-16"/>
          <w:w w:val="105"/>
        </w:rPr>
        <w:t xml:space="preserve"> </w:t>
      </w:r>
      <w:r>
        <w:rPr>
          <w:color w:val="4D4D4F"/>
          <w:w w:val="105"/>
        </w:rPr>
        <w:t>challenging,</w:t>
      </w:r>
      <w:r>
        <w:rPr>
          <w:color w:val="4D4D4F"/>
          <w:spacing w:val="-15"/>
          <w:w w:val="105"/>
        </w:rPr>
        <w:t xml:space="preserve"> </w:t>
      </w:r>
      <w:r>
        <w:rPr>
          <w:color w:val="4D4D4F"/>
          <w:w w:val="105"/>
        </w:rPr>
        <w:t>with</w:t>
      </w:r>
      <w:r>
        <w:rPr>
          <w:color w:val="4D4D4F"/>
          <w:spacing w:val="-15"/>
          <w:w w:val="105"/>
        </w:rPr>
        <w:t xml:space="preserve"> </w:t>
      </w:r>
      <w:r>
        <w:rPr>
          <w:color w:val="4D4D4F"/>
          <w:w w:val="105"/>
        </w:rPr>
        <w:t>seven</w:t>
      </w:r>
      <w:r>
        <w:rPr>
          <w:color w:val="4D4D4F"/>
          <w:spacing w:val="-15"/>
          <w:w w:val="105"/>
        </w:rPr>
        <w:t xml:space="preserve"> </w:t>
      </w:r>
      <w:r>
        <w:rPr>
          <w:color w:val="4D4D4F"/>
          <w:w w:val="105"/>
        </w:rPr>
        <w:t>KPIs</w:t>
      </w:r>
      <w:r>
        <w:rPr>
          <w:color w:val="4D4D4F"/>
          <w:spacing w:val="-15"/>
          <w:w w:val="105"/>
        </w:rPr>
        <w:t xml:space="preserve"> </w:t>
      </w:r>
      <w:r>
        <w:rPr>
          <w:color w:val="4D4D4F"/>
          <w:w w:val="105"/>
        </w:rPr>
        <w:t>that</w:t>
      </w:r>
      <w:r>
        <w:rPr>
          <w:color w:val="4D4D4F"/>
          <w:spacing w:val="-15"/>
          <w:w w:val="105"/>
        </w:rPr>
        <w:t xml:space="preserve"> </w:t>
      </w:r>
      <w:r>
        <w:rPr>
          <w:color w:val="4D4D4F"/>
          <w:w w:val="105"/>
        </w:rPr>
        <w:t>collectively</w:t>
      </w:r>
      <w:r>
        <w:rPr>
          <w:color w:val="4D4D4F"/>
          <w:spacing w:val="-15"/>
          <w:w w:val="105"/>
        </w:rPr>
        <w:t xml:space="preserve"> </w:t>
      </w:r>
      <w:r>
        <w:rPr>
          <w:color w:val="4D4D4F"/>
          <w:w w:val="105"/>
        </w:rPr>
        <w:t>represent</w:t>
      </w:r>
      <w:r>
        <w:rPr>
          <w:color w:val="4D4D4F"/>
          <w:spacing w:val="-16"/>
          <w:w w:val="105"/>
        </w:rPr>
        <w:t xml:space="preserve"> </w:t>
      </w:r>
      <w:r>
        <w:rPr>
          <w:color w:val="4D4D4F"/>
          <w:w w:val="105"/>
        </w:rPr>
        <w:t>grassland</w:t>
      </w:r>
      <w:r>
        <w:rPr>
          <w:color w:val="4D4D4F"/>
          <w:spacing w:val="-15"/>
          <w:w w:val="105"/>
        </w:rPr>
        <w:t xml:space="preserve"> </w:t>
      </w:r>
      <w:r>
        <w:rPr>
          <w:color w:val="4D4D4F"/>
          <w:w w:val="105"/>
        </w:rPr>
        <w:t>condition.</w:t>
      </w:r>
      <w:r>
        <w:rPr>
          <w:color w:val="4D4D4F"/>
          <w:spacing w:val="-15"/>
          <w:w w:val="105"/>
        </w:rPr>
        <w:t xml:space="preserve"> </w:t>
      </w:r>
      <w:r>
        <w:rPr>
          <w:color w:val="4D4D4F"/>
          <w:w w:val="105"/>
        </w:rPr>
        <w:t>These KPIs</w:t>
      </w:r>
      <w:r>
        <w:rPr>
          <w:color w:val="4D4D4F"/>
          <w:spacing w:val="-6"/>
          <w:w w:val="105"/>
        </w:rPr>
        <w:t xml:space="preserve"> </w:t>
      </w:r>
      <w:r>
        <w:rPr>
          <w:color w:val="4D4D4F"/>
          <w:w w:val="105"/>
        </w:rPr>
        <w:t>are</w:t>
      </w:r>
      <w:r>
        <w:rPr>
          <w:color w:val="4D4D4F"/>
          <w:spacing w:val="-6"/>
          <w:w w:val="105"/>
        </w:rPr>
        <w:t xml:space="preserve"> </w:t>
      </w:r>
      <w:r>
        <w:rPr>
          <w:color w:val="4D4D4F"/>
          <w:w w:val="105"/>
        </w:rPr>
        <w:t>disaggregated</w:t>
      </w:r>
      <w:r>
        <w:rPr>
          <w:color w:val="4D4D4F"/>
          <w:spacing w:val="-6"/>
          <w:w w:val="105"/>
        </w:rPr>
        <w:t xml:space="preserve"> </w:t>
      </w:r>
      <w:r>
        <w:rPr>
          <w:color w:val="4D4D4F"/>
          <w:w w:val="105"/>
        </w:rPr>
        <w:t>across</w:t>
      </w:r>
      <w:r>
        <w:rPr>
          <w:color w:val="4D4D4F"/>
          <w:spacing w:val="-6"/>
          <w:w w:val="105"/>
        </w:rPr>
        <w:t xml:space="preserve"> </w:t>
      </w:r>
      <w:r>
        <w:rPr>
          <w:color w:val="4D4D4F"/>
          <w:w w:val="105"/>
        </w:rPr>
        <w:t>five</w:t>
      </w:r>
      <w:r>
        <w:rPr>
          <w:color w:val="4D4D4F"/>
          <w:spacing w:val="-6"/>
          <w:w w:val="105"/>
        </w:rPr>
        <w:t xml:space="preserve"> </w:t>
      </w:r>
      <w:r>
        <w:rPr>
          <w:color w:val="4D4D4F"/>
          <w:w w:val="105"/>
        </w:rPr>
        <w:t>grassland</w:t>
      </w:r>
      <w:r>
        <w:rPr>
          <w:color w:val="4D4D4F"/>
          <w:spacing w:val="-5"/>
          <w:w w:val="105"/>
        </w:rPr>
        <w:t xml:space="preserve"> </w:t>
      </w:r>
      <w:r>
        <w:rPr>
          <w:color w:val="4D4D4F"/>
          <w:w w:val="105"/>
        </w:rPr>
        <w:t>states,</w:t>
      </w:r>
      <w:r>
        <w:rPr>
          <w:color w:val="4D4D4F"/>
          <w:spacing w:val="-6"/>
          <w:w w:val="105"/>
        </w:rPr>
        <w:t xml:space="preserve"> </w:t>
      </w:r>
      <w:r>
        <w:rPr>
          <w:color w:val="4D4D4F"/>
          <w:w w:val="105"/>
        </w:rPr>
        <w:t>each</w:t>
      </w:r>
      <w:r>
        <w:rPr>
          <w:color w:val="4D4D4F"/>
          <w:spacing w:val="-6"/>
          <w:w w:val="105"/>
        </w:rPr>
        <w:t xml:space="preserve"> </w:t>
      </w:r>
      <w:r>
        <w:rPr>
          <w:color w:val="4D4D4F"/>
          <w:w w:val="105"/>
        </w:rPr>
        <w:t>with</w:t>
      </w:r>
      <w:r>
        <w:rPr>
          <w:color w:val="4D4D4F"/>
          <w:spacing w:val="-6"/>
          <w:w w:val="105"/>
        </w:rPr>
        <w:t xml:space="preserve"> </w:t>
      </w:r>
      <w:r>
        <w:rPr>
          <w:color w:val="4D4D4F"/>
          <w:w w:val="105"/>
        </w:rPr>
        <w:t>separate</w:t>
      </w:r>
      <w:r>
        <w:rPr>
          <w:color w:val="4D4D4F"/>
          <w:spacing w:val="-6"/>
          <w:w w:val="105"/>
        </w:rPr>
        <w:t xml:space="preserve"> </w:t>
      </w:r>
      <w:r>
        <w:rPr>
          <w:color w:val="4D4D4F"/>
          <w:w w:val="105"/>
        </w:rPr>
        <w:t>baselines.</w:t>
      </w:r>
    </w:p>
    <w:p w14:paraId="791C3F20" w14:textId="77777777" w:rsidR="00EF5B27" w:rsidRDefault="00000000">
      <w:pPr>
        <w:pStyle w:val="BodyText"/>
        <w:spacing w:before="117" w:line="254" w:lineRule="auto"/>
        <w:ind w:left="113"/>
      </w:pPr>
      <w:r>
        <w:rPr>
          <w:color w:val="4D4D4F"/>
        </w:rPr>
        <w:t>It is possible that KPIs for Natural Temperate Grassland could be organised by management unit (i.e. stratify results by parcel of land) to highlight variation in the different land use histories and management regimes across the landscape.</w:t>
      </w:r>
    </w:p>
    <w:p w14:paraId="4BAEA756" w14:textId="77777777" w:rsidR="00EF5B27" w:rsidRDefault="00000000">
      <w:pPr>
        <w:pStyle w:val="BodyText"/>
        <w:spacing w:before="117" w:line="254" w:lineRule="auto"/>
        <w:ind w:left="113"/>
      </w:pPr>
      <w:r>
        <w:rPr>
          <w:color w:val="4D4D4F"/>
        </w:rPr>
        <w:t>There is no monitoring of variation in grassland condition as a function of time since acquisition. Such monitoring would help to inform a clearer picture of whether interim management actions are required or have been effective if applied.</w:t>
      </w:r>
    </w:p>
    <w:p w14:paraId="065659B3" w14:textId="77777777" w:rsidR="00EF5B27" w:rsidRDefault="00000000">
      <w:pPr>
        <w:pStyle w:val="BodyText"/>
        <w:spacing w:before="117" w:line="254" w:lineRule="auto"/>
        <w:ind w:left="113" w:right="521"/>
      </w:pPr>
      <w:r>
        <w:rPr>
          <w:color w:val="4D4D4F"/>
        </w:rPr>
        <w:t>Current findings indicate that grassland condition is deteriorating at some sites (e.g. the cover of native forbs in nutrient-enriched grassland states).</w:t>
      </w:r>
    </w:p>
    <w:p w14:paraId="39BBD822"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826" w:space="669"/>
            <w:col w:w="7375"/>
          </w:cols>
        </w:sectPr>
      </w:pPr>
    </w:p>
    <w:p w14:paraId="765F5B5A" w14:textId="77777777" w:rsidR="00EF5B27" w:rsidRDefault="00EF5B27">
      <w:pPr>
        <w:pStyle w:val="BodyText"/>
      </w:pPr>
    </w:p>
    <w:p w14:paraId="43408514" w14:textId="77777777" w:rsidR="00EF5B27" w:rsidRDefault="00EF5B27">
      <w:pPr>
        <w:pStyle w:val="BodyText"/>
      </w:pPr>
    </w:p>
    <w:p w14:paraId="1D3E33FF" w14:textId="77777777" w:rsidR="00EF5B27" w:rsidRDefault="00EF5B27">
      <w:pPr>
        <w:pStyle w:val="BodyText"/>
      </w:pPr>
    </w:p>
    <w:p w14:paraId="765D8E68" w14:textId="77777777" w:rsidR="00EF5B27" w:rsidRDefault="00EF5B27">
      <w:pPr>
        <w:pStyle w:val="BodyText"/>
      </w:pPr>
    </w:p>
    <w:p w14:paraId="7E2D24A3" w14:textId="77777777" w:rsidR="00EF5B27" w:rsidRDefault="00EF5B27">
      <w:pPr>
        <w:pStyle w:val="BodyText"/>
      </w:pPr>
    </w:p>
    <w:p w14:paraId="24E380F8" w14:textId="77777777" w:rsidR="00EF5B27" w:rsidRDefault="00EF5B27">
      <w:pPr>
        <w:pStyle w:val="BodyText"/>
      </w:pPr>
    </w:p>
    <w:p w14:paraId="46D77865" w14:textId="77777777" w:rsidR="00EF5B27" w:rsidRDefault="00EF5B27">
      <w:pPr>
        <w:pStyle w:val="BodyText"/>
      </w:pPr>
    </w:p>
    <w:p w14:paraId="53328D69" w14:textId="77777777" w:rsidR="00EF5B27" w:rsidRDefault="00EF5B27">
      <w:pPr>
        <w:pStyle w:val="BodyText"/>
      </w:pPr>
    </w:p>
    <w:p w14:paraId="5567E35D" w14:textId="77777777" w:rsidR="00EF5B27" w:rsidRDefault="00EF5B27">
      <w:pPr>
        <w:pStyle w:val="BodyText"/>
      </w:pPr>
    </w:p>
    <w:p w14:paraId="0D8A480C" w14:textId="77777777" w:rsidR="00EF5B27" w:rsidRDefault="00EF5B27">
      <w:pPr>
        <w:pStyle w:val="BodyText"/>
      </w:pPr>
    </w:p>
    <w:p w14:paraId="0CFA9EFF" w14:textId="77777777" w:rsidR="00EF5B27" w:rsidRDefault="00EF5B27">
      <w:pPr>
        <w:pStyle w:val="BodyText"/>
        <w:spacing w:before="4"/>
        <w:rPr>
          <w:sz w:val="11"/>
        </w:rPr>
      </w:pPr>
    </w:p>
    <w:p w14:paraId="05B25DAE" w14:textId="77777777" w:rsidR="00EF5B27" w:rsidRDefault="00000000">
      <w:pPr>
        <w:pStyle w:val="BodyText"/>
        <w:ind w:left="113"/>
      </w:pPr>
      <w:r>
        <w:pict w14:anchorId="2060E93B">
          <v:shape id="_x0000_s4487" type="#_x0000_t202" style="width:481.15pt;height:25.4pt;mso-left-percent:-10001;mso-top-percent:-10001;mso-position-horizontal:absolute;mso-position-horizontal-relative:char;mso-position-vertical:absolute;mso-position-vertical-relative:line;mso-left-percent:-10001;mso-top-percent:-10001" fillcolor="#fecc91" stroked="f">
            <v:textbox inset="0,0,0,0">
              <w:txbxContent>
                <w:p w14:paraId="1338050D" w14:textId="77777777" w:rsidR="00EF5B27" w:rsidRDefault="00000000">
                  <w:pPr>
                    <w:tabs>
                      <w:tab w:val="left" w:pos="2607"/>
                    </w:tabs>
                    <w:spacing w:before="142"/>
                    <w:ind w:left="113"/>
                    <w:rPr>
                      <w:b/>
                      <w:sz w:val="20"/>
                    </w:rPr>
                  </w:pPr>
                  <w:r>
                    <w:rPr>
                      <w:b/>
                      <w:color w:val="4D4D4F"/>
                      <w:sz w:val="20"/>
                    </w:rPr>
                    <w:t>Theme</w:t>
                  </w:r>
                  <w:r>
                    <w:rPr>
                      <w:b/>
                      <w:color w:val="4D4D4F"/>
                      <w:sz w:val="20"/>
                    </w:rPr>
                    <w:tab/>
                    <w:t>Grassy Eucalypt</w:t>
                  </w:r>
                  <w:r>
                    <w:rPr>
                      <w:b/>
                      <w:color w:val="4D4D4F"/>
                      <w:spacing w:val="8"/>
                      <w:sz w:val="20"/>
                    </w:rPr>
                    <w:t xml:space="preserve"> </w:t>
                  </w:r>
                  <w:r>
                    <w:rPr>
                      <w:b/>
                      <w:color w:val="4D4D4F"/>
                      <w:sz w:val="20"/>
                    </w:rPr>
                    <w:t>Woodland</w:t>
                  </w:r>
                </w:p>
              </w:txbxContent>
            </v:textbox>
            <w10:anchorlock/>
          </v:shape>
        </w:pict>
      </w:r>
    </w:p>
    <w:p w14:paraId="26C082CD" w14:textId="77777777" w:rsidR="00EF5B27" w:rsidRDefault="00EF5B27">
      <w:pPr>
        <w:pStyle w:val="BodyText"/>
        <w:spacing w:before="8"/>
        <w:rPr>
          <w:sz w:val="5"/>
        </w:rPr>
      </w:pPr>
    </w:p>
    <w:p w14:paraId="4266BADB" w14:textId="77777777" w:rsidR="00EF5B27" w:rsidRDefault="00EF5B27">
      <w:pPr>
        <w:rPr>
          <w:sz w:val="5"/>
        </w:rPr>
        <w:sectPr w:rsidR="00EF5B27">
          <w:pgSz w:w="11910" w:h="16840"/>
          <w:pgMar w:top="1080" w:right="1020" w:bottom="860" w:left="1020" w:header="537" w:footer="678" w:gutter="0"/>
          <w:cols w:space="720"/>
        </w:sectPr>
      </w:pPr>
    </w:p>
    <w:p w14:paraId="7A1B28DD" w14:textId="77777777" w:rsidR="00EF5B27" w:rsidRDefault="00000000">
      <w:pPr>
        <w:pStyle w:val="BodyText"/>
        <w:spacing w:before="51"/>
        <w:ind w:left="227"/>
      </w:pPr>
      <w:r>
        <w:pict w14:anchorId="40E03D3F">
          <v:group id="_x0000_s4479" style="position:absolute;left:0;text-align:left;margin-left:587.05pt;margin-top:183.4pt;width:8.25pt;height:153.1pt;z-index:251354624;mso-position-horizontal-relative:page;mso-position-vertical-relative:page" coordorigin="11741,3668" coordsize="165,3062">
            <v:shape id="_x0000_s4486" style="position:absolute;left:11741;top:3668;width:165;height:561" coordorigin="11741,3668" coordsize="165,561" path="m11906,3668r-165,l11741,4228r165,-18l11906,3668xe" fillcolor="#00aed9" stroked="f">
              <v:path arrowok="t"/>
            </v:shape>
            <v:shape id="_x0000_s4485" style="position:absolute;left:11741;top:4118;width:165;height:425" coordorigin="11741,4118" coordsize="165,425" path="m11906,4118r-165,14l11741,4531r165,12l11906,4118xe" fillcolor="#047ebc" stroked="f">
              <v:path arrowok="t"/>
            </v:shape>
            <v:shape id="_x0000_s4484" type="#_x0000_t75" style="position:absolute;left:11741;top:4355;width:165;height:587">
              <v:imagedata r:id="rId42" o:title=""/>
            </v:shape>
            <v:shape id="_x0000_s4483" style="position:absolute;left:11741;top:5343;width:165;height:536" coordorigin="11741,5343" coordsize="165,536" path="m11741,5343r,535l11906,5872r,-525l11741,5343xe" fillcolor="#f36a2e" stroked="f">
              <v:path arrowok="t"/>
            </v:shape>
            <v:shape id="_x0000_s4482" style="position:absolute;left:11741;top:4925;width:165;height:501" coordorigin="11741,4926" coordsize="165,501" path="m11741,4926r,500l11906,5426r,-485l11741,4926xe" fillcolor="#49783f" stroked="f">
              <v:path arrowok="t"/>
            </v:shape>
            <v:shape id="_x0000_s4481" style="position:absolute;left:11741;top:5781;width:165;height:268" coordorigin="11741,5782" coordsize="165,268" path="m11906,5782r-165,8l11741,6039r165,10l11906,5782xe" fillcolor="#f99f2a" stroked="f">
              <v:path arrowok="t"/>
            </v:shape>
            <v:shape id="_x0000_s4480" style="position:absolute;left:11741;top:6023;width:165;height:707" coordorigin="11741,6023" coordsize="165,707" path="m11741,6023r,706l11906,6729r,-690l11741,6023xe" fillcolor="#ef412c" stroked="f">
              <v:path arrowok="t"/>
            </v:shape>
            <w10:wrap anchorx="page" anchory="page"/>
          </v:group>
        </w:pict>
      </w:r>
      <w:r>
        <w:pict w14:anchorId="759A784B">
          <v:group id="_x0000_s4476" style="position:absolute;left:0;text-align:left;margin-left:56.7pt;margin-top:-29.85pt;width:481.15pt;height:.25pt;z-index:251355648;mso-position-horizontal-relative:page" coordorigin="1134,-597" coordsize="9623,5">
            <v:line id="_x0000_s4478" style="position:absolute" from="1134,-595" to="3628,-595" strokeweight=".25pt"/>
            <v:line id="_x0000_s4477" style="position:absolute" from="3628,-595" to="10756,-595" strokeweight=".25pt"/>
            <w10:wrap anchorx="page"/>
          </v:group>
        </w:pict>
      </w:r>
      <w:r>
        <w:pict w14:anchorId="4205D05A">
          <v:group id="_x0000_s4473" style="position:absolute;left:0;text-align:left;margin-left:56.7pt;margin-top:-4.35pt;width:481.15pt;height:.25pt;z-index:251356672;mso-position-horizontal-relative:page" coordorigin="1134,-87" coordsize="9623,5">
            <v:line id="_x0000_s4475" style="position:absolute" from="1134,-84" to="3628,-84" strokeweight=".25pt"/>
            <v:line id="_x0000_s4474" style="position:absolute" from="3628,-84" to="10756,-84" strokeweight=".25pt"/>
            <w10:wrap anchorx="page"/>
          </v:group>
        </w:pict>
      </w:r>
      <w:r>
        <w:rPr>
          <w:color w:val="4D4D4F"/>
        </w:rPr>
        <w:t>Recommendation</w:t>
      </w:r>
    </w:p>
    <w:p w14:paraId="7EFBA729" w14:textId="77777777" w:rsidR="00EF5B27" w:rsidRDefault="00000000">
      <w:pPr>
        <w:pStyle w:val="Heading1"/>
      </w:pPr>
      <w:r>
        <w:pict w14:anchorId="7416F751">
          <v:group id="_x0000_s4470" style="position:absolute;left:0;text-align:left;margin-left:56.7pt;margin-top:105.55pt;width:481.15pt;height:.25pt;z-index:251357696;mso-position-horizontal-relative:page" coordorigin="1134,2111" coordsize="9623,5">
            <v:line id="_x0000_s4472" style="position:absolute" from="1134,2113" to="3628,2113" strokeweight=".25pt"/>
            <v:line id="_x0000_s4471" style="position:absolute" from="3628,2113" to="10756,2113" strokeweight=".25pt"/>
            <w10:wrap anchorx="page"/>
          </v:group>
        </w:pict>
      </w:r>
      <w:r>
        <w:rPr>
          <w:color w:val="4D4D4F"/>
          <w:w w:val="105"/>
        </w:rPr>
        <w:t>06</w:t>
      </w:r>
    </w:p>
    <w:p w14:paraId="1748B9EC" w14:textId="77777777" w:rsidR="00EF5B27" w:rsidRDefault="00EF5B27">
      <w:pPr>
        <w:pStyle w:val="BodyText"/>
        <w:rPr>
          <w:b/>
        </w:rPr>
      </w:pPr>
    </w:p>
    <w:p w14:paraId="5C11471C" w14:textId="77777777" w:rsidR="00EF5B27" w:rsidRDefault="00EF5B27">
      <w:pPr>
        <w:pStyle w:val="BodyText"/>
        <w:rPr>
          <w:b/>
        </w:rPr>
      </w:pPr>
    </w:p>
    <w:p w14:paraId="1DE1D5BD" w14:textId="77777777" w:rsidR="00EF5B27" w:rsidRDefault="00EF5B27">
      <w:pPr>
        <w:pStyle w:val="BodyText"/>
        <w:rPr>
          <w:b/>
        </w:rPr>
      </w:pPr>
    </w:p>
    <w:p w14:paraId="7BD181F5" w14:textId="77777777" w:rsidR="00EF5B27" w:rsidRDefault="00EF5B27">
      <w:pPr>
        <w:pStyle w:val="BodyText"/>
        <w:rPr>
          <w:b/>
        </w:rPr>
      </w:pPr>
    </w:p>
    <w:p w14:paraId="2F738D17" w14:textId="77777777" w:rsidR="00EF5B27" w:rsidRDefault="00EF5B27">
      <w:pPr>
        <w:pStyle w:val="BodyText"/>
        <w:rPr>
          <w:b/>
        </w:rPr>
      </w:pPr>
    </w:p>
    <w:p w14:paraId="7EF87335" w14:textId="77777777" w:rsidR="00EF5B27" w:rsidRDefault="00EF5B27">
      <w:pPr>
        <w:pStyle w:val="BodyText"/>
        <w:rPr>
          <w:b/>
        </w:rPr>
      </w:pPr>
    </w:p>
    <w:p w14:paraId="1C68BFE0" w14:textId="77777777" w:rsidR="00EF5B27" w:rsidRDefault="00EF5B27">
      <w:pPr>
        <w:pStyle w:val="BodyText"/>
        <w:rPr>
          <w:b/>
        </w:rPr>
      </w:pPr>
    </w:p>
    <w:p w14:paraId="7995C585" w14:textId="77777777" w:rsidR="00EF5B27" w:rsidRDefault="00EF5B27">
      <w:pPr>
        <w:pStyle w:val="BodyText"/>
        <w:rPr>
          <w:b/>
        </w:rPr>
      </w:pPr>
    </w:p>
    <w:p w14:paraId="01C774A9" w14:textId="77777777" w:rsidR="00EF5B27" w:rsidRDefault="00000000">
      <w:pPr>
        <w:pStyle w:val="BodyText"/>
        <w:rPr>
          <w:b/>
          <w:sz w:val="12"/>
        </w:rPr>
      </w:pPr>
      <w:r>
        <w:rPr>
          <w:noProof/>
        </w:rPr>
        <w:drawing>
          <wp:anchor distT="0" distB="0" distL="0" distR="0" simplePos="0" relativeHeight="251284992" behindDoc="0" locked="0" layoutInCell="1" allowOverlap="1" wp14:anchorId="301ACA79" wp14:editId="0ED65B1A">
            <wp:simplePos x="0" y="0"/>
            <wp:positionH relativeFrom="page">
              <wp:posOffset>720001</wp:posOffset>
            </wp:positionH>
            <wp:positionV relativeFrom="paragraph">
              <wp:posOffset>118241</wp:posOffset>
            </wp:positionV>
            <wp:extent cx="1065275" cy="1065276"/>
            <wp:effectExtent l="0" t="0" r="0" b="0"/>
            <wp:wrapTopAndBottom/>
            <wp:docPr id="3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8.jpeg"/>
                    <pic:cNvPicPr/>
                  </pic:nvPicPr>
                  <pic:blipFill>
                    <a:blip r:embed="rId51" cstate="print"/>
                    <a:stretch>
                      <a:fillRect/>
                    </a:stretch>
                  </pic:blipFill>
                  <pic:spPr>
                    <a:xfrm>
                      <a:off x="0" y="0"/>
                      <a:ext cx="1065275" cy="1065276"/>
                    </a:xfrm>
                    <a:prstGeom prst="rect">
                      <a:avLst/>
                    </a:prstGeom>
                  </pic:spPr>
                </pic:pic>
              </a:graphicData>
            </a:graphic>
          </wp:anchor>
        </w:drawing>
      </w:r>
    </w:p>
    <w:p w14:paraId="5BD315E4" w14:textId="77777777" w:rsidR="00EF5B27" w:rsidRDefault="00000000">
      <w:pPr>
        <w:spacing w:before="50"/>
        <w:ind w:left="113"/>
        <w:rPr>
          <w:rFonts w:ascii="Century Gothic"/>
          <w:i/>
          <w:sz w:val="12"/>
        </w:rPr>
      </w:pPr>
      <w:r>
        <w:rPr>
          <w:rFonts w:ascii="Century Gothic"/>
          <w:i/>
          <w:color w:val="4D4D4F"/>
          <w:sz w:val="12"/>
        </w:rPr>
        <w:t>Grassy Eucalypt Woodland</w:t>
      </w:r>
    </w:p>
    <w:p w14:paraId="4BFBA2E6" w14:textId="77777777" w:rsidR="00EF5B27" w:rsidRDefault="00000000">
      <w:pPr>
        <w:pStyle w:val="BodyText"/>
        <w:spacing w:before="51"/>
        <w:ind w:left="227"/>
      </w:pPr>
      <w:r>
        <w:br w:type="column"/>
      </w:r>
      <w:r>
        <w:rPr>
          <w:color w:val="4D4D4F"/>
        </w:rPr>
        <w:t>That DELWP:</w:t>
      </w:r>
    </w:p>
    <w:p w14:paraId="0FA51E96" w14:textId="77777777" w:rsidR="00EF5B27" w:rsidRDefault="00000000">
      <w:pPr>
        <w:pStyle w:val="ListParagraph"/>
        <w:numPr>
          <w:ilvl w:val="0"/>
          <w:numId w:val="59"/>
        </w:numPr>
        <w:tabs>
          <w:tab w:val="left" w:pos="429"/>
        </w:tabs>
        <w:spacing w:before="130" w:line="254" w:lineRule="auto"/>
        <w:ind w:right="334" w:firstLine="0"/>
        <w:rPr>
          <w:sz w:val="20"/>
        </w:rPr>
      </w:pPr>
      <w:r>
        <w:rPr>
          <w:color w:val="4D4D4F"/>
          <w:sz w:val="20"/>
        </w:rPr>
        <w:t>delivers the Grassy Eucalypt Woodland baseline by 2026 as planned and immediately adopts interim management arrangements to prevent deterioration in the condition of those areas most at</w:t>
      </w:r>
      <w:r>
        <w:rPr>
          <w:color w:val="4D4D4F"/>
          <w:spacing w:val="28"/>
          <w:sz w:val="20"/>
        </w:rPr>
        <w:t xml:space="preserve"> </w:t>
      </w:r>
      <w:r>
        <w:rPr>
          <w:color w:val="4D4D4F"/>
          <w:sz w:val="20"/>
        </w:rPr>
        <w:t>risk</w:t>
      </w:r>
    </w:p>
    <w:p w14:paraId="4C93097A" w14:textId="77777777" w:rsidR="00EF5B27" w:rsidRDefault="00000000">
      <w:pPr>
        <w:pStyle w:val="ListParagraph"/>
        <w:numPr>
          <w:ilvl w:val="0"/>
          <w:numId w:val="59"/>
        </w:numPr>
        <w:tabs>
          <w:tab w:val="left" w:pos="455"/>
        </w:tabs>
        <w:spacing w:before="117" w:line="254" w:lineRule="auto"/>
        <w:ind w:right="240" w:firstLine="0"/>
        <w:rPr>
          <w:sz w:val="20"/>
        </w:rPr>
      </w:pPr>
      <w:r>
        <w:rPr>
          <w:color w:val="4D4D4F"/>
          <w:spacing w:val="-3"/>
          <w:sz w:val="20"/>
        </w:rPr>
        <w:t xml:space="preserve">changes the </w:t>
      </w:r>
      <w:r>
        <w:rPr>
          <w:color w:val="4D4D4F"/>
          <w:spacing w:val="-4"/>
          <w:sz w:val="20"/>
        </w:rPr>
        <w:t xml:space="preserve">monitoring </w:t>
      </w:r>
      <w:r>
        <w:rPr>
          <w:color w:val="4D4D4F"/>
          <w:spacing w:val="-3"/>
          <w:sz w:val="20"/>
        </w:rPr>
        <w:t xml:space="preserve">methods for the </w:t>
      </w:r>
      <w:r>
        <w:rPr>
          <w:color w:val="4D4D4F"/>
          <w:sz w:val="20"/>
        </w:rPr>
        <w:t xml:space="preserve">Grassy </w:t>
      </w:r>
      <w:r>
        <w:rPr>
          <w:color w:val="4D4D4F"/>
          <w:spacing w:val="-4"/>
          <w:sz w:val="20"/>
        </w:rPr>
        <w:t xml:space="preserve">Eucalypt </w:t>
      </w:r>
      <w:r>
        <w:rPr>
          <w:color w:val="4D4D4F"/>
          <w:spacing w:val="-3"/>
          <w:sz w:val="20"/>
        </w:rPr>
        <w:t xml:space="preserve">Woodland to </w:t>
      </w:r>
      <w:r>
        <w:rPr>
          <w:color w:val="4D4D4F"/>
          <w:sz w:val="20"/>
        </w:rPr>
        <w:t xml:space="preserve">be </w:t>
      </w:r>
      <w:r>
        <w:rPr>
          <w:color w:val="4D4D4F"/>
          <w:spacing w:val="-4"/>
          <w:sz w:val="20"/>
        </w:rPr>
        <w:t xml:space="preserve">organised </w:t>
      </w:r>
      <w:r>
        <w:rPr>
          <w:color w:val="4D4D4F"/>
          <w:sz w:val="20"/>
        </w:rPr>
        <w:t xml:space="preserve">by </w:t>
      </w:r>
      <w:r>
        <w:rPr>
          <w:color w:val="4D4D4F"/>
          <w:spacing w:val="-4"/>
          <w:sz w:val="20"/>
        </w:rPr>
        <w:t xml:space="preserve">management unit </w:t>
      </w:r>
      <w:r>
        <w:rPr>
          <w:color w:val="4D4D4F"/>
          <w:sz w:val="20"/>
        </w:rPr>
        <w:t xml:space="preserve">as </w:t>
      </w:r>
      <w:r>
        <w:rPr>
          <w:color w:val="4D4D4F"/>
          <w:spacing w:val="-3"/>
          <w:sz w:val="20"/>
        </w:rPr>
        <w:t xml:space="preserve">well </w:t>
      </w:r>
      <w:r>
        <w:rPr>
          <w:color w:val="4D4D4F"/>
          <w:sz w:val="20"/>
        </w:rPr>
        <w:t xml:space="preserve">as by </w:t>
      </w:r>
      <w:r>
        <w:rPr>
          <w:color w:val="4D4D4F"/>
          <w:spacing w:val="-4"/>
          <w:sz w:val="20"/>
        </w:rPr>
        <w:t xml:space="preserve">state, </w:t>
      </w:r>
      <w:r>
        <w:rPr>
          <w:color w:val="4D4D4F"/>
          <w:spacing w:val="-3"/>
          <w:sz w:val="20"/>
        </w:rPr>
        <w:t xml:space="preserve">measure </w:t>
      </w:r>
      <w:r>
        <w:rPr>
          <w:color w:val="4D4D4F"/>
          <w:spacing w:val="-4"/>
          <w:sz w:val="20"/>
        </w:rPr>
        <w:t xml:space="preserve">‘time since </w:t>
      </w:r>
      <w:r>
        <w:rPr>
          <w:color w:val="4D4D4F"/>
          <w:spacing w:val="-5"/>
          <w:sz w:val="20"/>
        </w:rPr>
        <w:t>acquisition’,</w:t>
      </w:r>
      <w:r>
        <w:rPr>
          <w:color w:val="4D4D4F"/>
          <w:spacing w:val="13"/>
          <w:sz w:val="20"/>
        </w:rPr>
        <w:t xml:space="preserve"> </w:t>
      </w:r>
      <w:r>
        <w:rPr>
          <w:color w:val="4D4D4F"/>
          <w:spacing w:val="-3"/>
          <w:sz w:val="20"/>
        </w:rPr>
        <w:t>and</w:t>
      </w:r>
    </w:p>
    <w:p w14:paraId="3FDF74DF" w14:textId="77777777" w:rsidR="00EF5B27" w:rsidRDefault="00000000">
      <w:pPr>
        <w:pStyle w:val="ListParagraph"/>
        <w:numPr>
          <w:ilvl w:val="0"/>
          <w:numId w:val="59"/>
        </w:numPr>
        <w:tabs>
          <w:tab w:val="left" w:pos="512"/>
        </w:tabs>
        <w:spacing w:before="115"/>
        <w:ind w:left="511" w:hanging="284"/>
        <w:rPr>
          <w:sz w:val="20"/>
        </w:rPr>
      </w:pPr>
      <w:r>
        <w:rPr>
          <w:color w:val="4D4D4F"/>
          <w:sz w:val="20"/>
        </w:rPr>
        <w:t>adds</w:t>
      </w:r>
      <w:r>
        <w:rPr>
          <w:color w:val="4D4D4F"/>
          <w:spacing w:val="6"/>
          <w:sz w:val="20"/>
        </w:rPr>
        <w:t xml:space="preserve"> </w:t>
      </w:r>
      <w:r>
        <w:rPr>
          <w:color w:val="4D4D4F"/>
          <w:sz w:val="20"/>
        </w:rPr>
        <w:t>an</w:t>
      </w:r>
      <w:r>
        <w:rPr>
          <w:color w:val="4D4D4F"/>
          <w:spacing w:val="7"/>
          <w:sz w:val="20"/>
        </w:rPr>
        <w:t xml:space="preserve"> </w:t>
      </w:r>
      <w:r>
        <w:rPr>
          <w:color w:val="4D4D4F"/>
          <w:sz w:val="20"/>
        </w:rPr>
        <w:t>overarching</w:t>
      </w:r>
      <w:r>
        <w:rPr>
          <w:color w:val="4D4D4F"/>
          <w:spacing w:val="7"/>
          <w:sz w:val="20"/>
        </w:rPr>
        <w:t xml:space="preserve"> </w:t>
      </w:r>
      <w:r>
        <w:rPr>
          <w:color w:val="4D4D4F"/>
          <w:sz w:val="20"/>
        </w:rPr>
        <w:t>’grassland</w:t>
      </w:r>
      <w:r>
        <w:rPr>
          <w:color w:val="4D4D4F"/>
          <w:spacing w:val="7"/>
          <w:sz w:val="20"/>
        </w:rPr>
        <w:t xml:space="preserve"> </w:t>
      </w:r>
      <w:r>
        <w:rPr>
          <w:color w:val="4D4D4F"/>
          <w:sz w:val="20"/>
        </w:rPr>
        <w:t>quality’</w:t>
      </w:r>
      <w:r>
        <w:rPr>
          <w:color w:val="4D4D4F"/>
          <w:spacing w:val="7"/>
          <w:sz w:val="20"/>
        </w:rPr>
        <w:t xml:space="preserve"> </w:t>
      </w:r>
      <w:r>
        <w:rPr>
          <w:color w:val="4D4D4F"/>
          <w:sz w:val="20"/>
        </w:rPr>
        <w:t>metric</w:t>
      </w:r>
      <w:r>
        <w:rPr>
          <w:color w:val="4D4D4F"/>
          <w:spacing w:val="7"/>
          <w:sz w:val="20"/>
        </w:rPr>
        <w:t xml:space="preserve"> </w:t>
      </w:r>
      <w:r>
        <w:rPr>
          <w:color w:val="4D4D4F"/>
          <w:sz w:val="20"/>
        </w:rPr>
        <w:t>to</w:t>
      </w:r>
      <w:r>
        <w:rPr>
          <w:color w:val="4D4D4F"/>
          <w:spacing w:val="7"/>
          <w:sz w:val="20"/>
        </w:rPr>
        <w:t xml:space="preserve"> </w:t>
      </w:r>
      <w:r>
        <w:rPr>
          <w:color w:val="4D4D4F"/>
          <w:sz w:val="20"/>
        </w:rPr>
        <w:t>the</w:t>
      </w:r>
      <w:r>
        <w:rPr>
          <w:color w:val="4D4D4F"/>
          <w:spacing w:val="7"/>
          <w:sz w:val="20"/>
        </w:rPr>
        <w:t xml:space="preserve"> </w:t>
      </w:r>
      <w:r>
        <w:rPr>
          <w:color w:val="4D4D4F"/>
          <w:sz w:val="20"/>
        </w:rPr>
        <w:t>KPI</w:t>
      </w:r>
      <w:r>
        <w:rPr>
          <w:color w:val="4D4D4F"/>
          <w:spacing w:val="6"/>
          <w:sz w:val="20"/>
        </w:rPr>
        <w:t xml:space="preserve"> </w:t>
      </w:r>
      <w:r>
        <w:rPr>
          <w:color w:val="4D4D4F"/>
          <w:sz w:val="20"/>
        </w:rPr>
        <w:t>reporting</w:t>
      </w:r>
      <w:r>
        <w:rPr>
          <w:color w:val="4D4D4F"/>
          <w:spacing w:val="7"/>
          <w:sz w:val="20"/>
        </w:rPr>
        <w:t xml:space="preserve"> </w:t>
      </w:r>
      <w:r>
        <w:rPr>
          <w:color w:val="4D4D4F"/>
          <w:sz w:val="20"/>
        </w:rPr>
        <w:t>suite.</w:t>
      </w:r>
    </w:p>
    <w:p w14:paraId="7A9369E6" w14:textId="77777777" w:rsidR="00EF5B27" w:rsidRDefault="00EF5B27">
      <w:pPr>
        <w:pStyle w:val="BodyText"/>
        <w:rPr>
          <w:sz w:val="24"/>
        </w:rPr>
      </w:pPr>
    </w:p>
    <w:p w14:paraId="04528310" w14:textId="77777777" w:rsidR="00EF5B27" w:rsidRDefault="00EF5B27">
      <w:pPr>
        <w:pStyle w:val="BodyText"/>
        <w:rPr>
          <w:sz w:val="24"/>
        </w:rPr>
      </w:pPr>
    </w:p>
    <w:p w14:paraId="6C7A9C81" w14:textId="77777777" w:rsidR="00EF5B27" w:rsidRDefault="00EF5B27">
      <w:pPr>
        <w:pStyle w:val="BodyText"/>
        <w:spacing w:before="11"/>
        <w:rPr>
          <w:sz w:val="17"/>
        </w:rPr>
      </w:pPr>
    </w:p>
    <w:p w14:paraId="36D2FAB3" w14:textId="77777777" w:rsidR="00EF5B27" w:rsidRDefault="00000000">
      <w:pPr>
        <w:pStyle w:val="Heading3"/>
        <w:ind w:left="113"/>
      </w:pPr>
      <w:r>
        <w:rPr>
          <w:color w:val="F99F2A"/>
        </w:rPr>
        <w:t>Challenges the recommendation addresses</w:t>
      </w:r>
    </w:p>
    <w:p w14:paraId="56E865FD" w14:textId="77777777" w:rsidR="00EF5B27" w:rsidRDefault="00000000">
      <w:pPr>
        <w:pStyle w:val="BodyText"/>
        <w:spacing w:before="256" w:line="254" w:lineRule="auto"/>
        <w:ind w:left="113" w:right="167"/>
      </w:pPr>
      <w:r>
        <w:rPr>
          <w:color w:val="4D4D4F"/>
          <w:spacing w:val="-4"/>
        </w:rPr>
        <w:t xml:space="preserve">Under </w:t>
      </w:r>
      <w:r>
        <w:rPr>
          <w:color w:val="4D4D4F"/>
          <w:spacing w:val="-3"/>
        </w:rPr>
        <w:t xml:space="preserve">the MSA program, </w:t>
      </w:r>
      <w:r>
        <w:rPr>
          <w:color w:val="4D4D4F"/>
          <w:spacing w:val="-4"/>
        </w:rPr>
        <w:t xml:space="preserve">2021 </w:t>
      </w:r>
      <w:r>
        <w:rPr>
          <w:color w:val="4D4D4F"/>
          <w:spacing w:val="-3"/>
        </w:rPr>
        <w:t xml:space="preserve">was the </w:t>
      </w:r>
      <w:r>
        <w:rPr>
          <w:color w:val="4D4D4F"/>
        </w:rPr>
        <w:t xml:space="preserve">first </w:t>
      </w:r>
      <w:r>
        <w:rPr>
          <w:color w:val="4D4D4F"/>
          <w:spacing w:val="-4"/>
        </w:rPr>
        <w:t xml:space="preserve">year that </w:t>
      </w:r>
      <w:r>
        <w:rPr>
          <w:color w:val="4D4D4F"/>
          <w:spacing w:val="-3"/>
        </w:rPr>
        <w:t xml:space="preserve">Grassy </w:t>
      </w:r>
      <w:r>
        <w:rPr>
          <w:color w:val="4D4D4F"/>
          <w:spacing w:val="-5"/>
        </w:rPr>
        <w:t xml:space="preserve">Eucalypt </w:t>
      </w:r>
      <w:r>
        <w:rPr>
          <w:color w:val="4D4D4F"/>
          <w:spacing w:val="-4"/>
        </w:rPr>
        <w:t xml:space="preserve">Woodland has </w:t>
      </w:r>
      <w:r>
        <w:rPr>
          <w:color w:val="4D4D4F"/>
          <w:spacing w:val="-3"/>
        </w:rPr>
        <w:t xml:space="preserve">been </w:t>
      </w:r>
      <w:r>
        <w:rPr>
          <w:color w:val="4D4D4F"/>
        </w:rPr>
        <w:t xml:space="preserve">protected and the first year that this community was able to be monitored. Therefore, there is not enough data to establish baseline measures to </w:t>
      </w:r>
      <w:r>
        <w:rPr>
          <w:color w:val="4D4D4F"/>
          <w:spacing w:val="2"/>
        </w:rPr>
        <w:t xml:space="preserve">report </w:t>
      </w:r>
      <w:r>
        <w:rPr>
          <w:color w:val="4D4D4F"/>
        </w:rPr>
        <w:t>against the associated KPIs.</w:t>
      </w:r>
    </w:p>
    <w:p w14:paraId="2C9D8742" w14:textId="77777777" w:rsidR="00EF5B27" w:rsidRDefault="00000000">
      <w:pPr>
        <w:pStyle w:val="BodyText"/>
        <w:spacing w:before="119" w:line="254" w:lineRule="auto"/>
        <w:ind w:left="113"/>
      </w:pPr>
      <w:r>
        <w:rPr>
          <w:color w:val="4D4D4F"/>
          <w:w w:val="105"/>
        </w:rPr>
        <w:t>Furthermore,</w:t>
      </w:r>
      <w:r>
        <w:rPr>
          <w:color w:val="4D4D4F"/>
          <w:spacing w:val="-20"/>
          <w:w w:val="105"/>
        </w:rPr>
        <w:t xml:space="preserve"> </w:t>
      </w:r>
      <w:r>
        <w:rPr>
          <w:color w:val="4D4D4F"/>
          <w:w w:val="105"/>
        </w:rPr>
        <w:t>interpretation</w:t>
      </w:r>
      <w:r>
        <w:rPr>
          <w:color w:val="4D4D4F"/>
          <w:spacing w:val="-20"/>
          <w:w w:val="105"/>
        </w:rPr>
        <w:t xml:space="preserve"> </w:t>
      </w:r>
      <w:r>
        <w:rPr>
          <w:color w:val="4D4D4F"/>
          <w:w w:val="105"/>
        </w:rPr>
        <w:t>of</w:t>
      </w:r>
      <w:r>
        <w:rPr>
          <w:color w:val="4D4D4F"/>
          <w:spacing w:val="-20"/>
          <w:w w:val="105"/>
        </w:rPr>
        <w:t xml:space="preserve"> </w:t>
      </w:r>
      <w:r>
        <w:rPr>
          <w:color w:val="4D4D4F"/>
          <w:w w:val="105"/>
        </w:rPr>
        <w:t>results</w:t>
      </w:r>
      <w:r>
        <w:rPr>
          <w:color w:val="4D4D4F"/>
          <w:spacing w:val="-20"/>
          <w:w w:val="105"/>
        </w:rPr>
        <w:t xml:space="preserve"> </w:t>
      </w:r>
      <w:r>
        <w:rPr>
          <w:color w:val="4D4D4F"/>
          <w:w w:val="105"/>
        </w:rPr>
        <w:t>under</w:t>
      </w:r>
      <w:r>
        <w:rPr>
          <w:color w:val="4D4D4F"/>
          <w:spacing w:val="-20"/>
          <w:w w:val="105"/>
        </w:rPr>
        <w:t xml:space="preserve"> </w:t>
      </w:r>
      <w:r>
        <w:rPr>
          <w:color w:val="4D4D4F"/>
          <w:w w:val="105"/>
        </w:rPr>
        <w:t>DELWP’s</w:t>
      </w:r>
      <w:r>
        <w:rPr>
          <w:color w:val="4D4D4F"/>
          <w:spacing w:val="-20"/>
          <w:w w:val="105"/>
        </w:rPr>
        <w:t xml:space="preserve"> </w:t>
      </w:r>
      <w:r>
        <w:rPr>
          <w:color w:val="4D4D4F"/>
          <w:w w:val="105"/>
        </w:rPr>
        <w:t>framework</w:t>
      </w:r>
      <w:r>
        <w:rPr>
          <w:color w:val="4D4D4F"/>
          <w:spacing w:val="-20"/>
          <w:w w:val="105"/>
        </w:rPr>
        <w:t xml:space="preserve"> </w:t>
      </w:r>
      <w:r>
        <w:rPr>
          <w:color w:val="4D4D4F"/>
          <w:w w:val="105"/>
        </w:rPr>
        <w:t>for</w:t>
      </w:r>
      <w:r>
        <w:rPr>
          <w:color w:val="4D4D4F"/>
          <w:spacing w:val="-20"/>
          <w:w w:val="105"/>
        </w:rPr>
        <w:t xml:space="preserve"> </w:t>
      </w:r>
      <w:r>
        <w:rPr>
          <w:color w:val="4D4D4F"/>
          <w:w w:val="105"/>
        </w:rPr>
        <w:t>Grassy</w:t>
      </w:r>
      <w:r>
        <w:rPr>
          <w:color w:val="4D4D4F"/>
          <w:spacing w:val="-20"/>
          <w:w w:val="105"/>
        </w:rPr>
        <w:t xml:space="preserve"> </w:t>
      </w:r>
      <w:r>
        <w:rPr>
          <w:color w:val="4D4D4F"/>
          <w:w w:val="105"/>
        </w:rPr>
        <w:t xml:space="preserve">Eucalypt </w:t>
      </w:r>
      <w:r>
        <w:rPr>
          <w:color w:val="4D4D4F"/>
          <w:spacing w:val="-3"/>
          <w:w w:val="105"/>
        </w:rPr>
        <w:t>Woodland</w:t>
      </w:r>
      <w:r>
        <w:rPr>
          <w:color w:val="4D4D4F"/>
          <w:spacing w:val="-23"/>
          <w:w w:val="105"/>
        </w:rPr>
        <w:t xml:space="preserve"> </w:t>
      </w:r>
      <w:r>
        <w:rPr>
          <w:color w:val="4D4D4F"/>
          <w:spacing w:val="-3"/>
          <w:w w:val="105"/>
        </w:rPr>
        <w:t>is</w:t>
      </w:r>
      <w:r>
        <w:rPr>
          <w:color w:val="4D4D4F"/>
          <w:spacing w:val="-23"/>
          <w:w w:val="105"/>
        </w:rPr>
        <w:t xml:space="preserve"> </w:t>
      </w:r>
      <w:r>
        <w:rPr>
          <w:color w:val="4D4D4F"/>
          <w:spacing w:val="-3"/>
          <w:w w:val="105"/>
        </w:rPr>
        <w:t>challenging,</w:t>
      </w:r>
      <w:r>
        <w:rPr>
          <w:color w:val="4D4D4F"/>
          <w:spacing w:val="-23"/>
          <w:w w:val="105"/>
        </w:rPr>
        <w:t xml:space="preserve"> </w:t>
      </w:r>
      <w:r>
        <w:rPr>
          <w:color w:val="4D4D4F"/>
          <w:w w:val="105"/>
        </w:rPr>
        <w:t>with</w:t>
      </w:r>
      <w:r>
        <w:rPr>
          <w:color w:val="4D4D4F"/>
          <w:spacing w:val="-23"/>
          <w:w w:val="105"/>
        </w:rPr>
        <w:t xml:space="preserve"> </w:t>
      </w:r>
      <w:r>
        <w:rPr>
          <w:color w:val="4D4D4F"/>
          <w:w w:val="105"/>
        </w:rPr>
        <w:t>seven</w:t>
      </w:r>
      <w:r>
        <w:rPr>
          <w:color w:val="4D4D4F"/>
          <w:spacing w:val="-23"/>
          <w:w w:val="105"/>
        </w:rPr>
        <w:t xml:space="preserve"> </w:t>
      </w:r>
      <w:r>
        <w:rPr>
          <w:color w:val="4D4D4F"/>
          <w:w w:val="105"/>
        </w:rPr>
        <w:t>KPIs</w:t>
      </w:r>
      <w:r>
        <w:rPr>
          <w:color w:val="4D4D4F"/>
          <w:spacing w:val="-23"/>
          <w:w w:val="105"/>
        </w:rPr>
        <w:t xml:space="preserve"> </w:t>
      </w:r>
      <w:r>
        <w:rPr>
          <w:color w:val="4D4D4F"/>
          <w:w w:val="105"/>
        </w:rPr>
        <w:t>reported</w:t>
      </w:r>
      <w:r>
        <w:rPr>
          <w:color w:val="4D4D4F"/>
          <w:spacing w:val="-23"/>
          <w:w w:val="105"/>
        </w:rPr>
        <w:t xml:space="preserve"> </w:t>
      </w:r>
      <w:r>
        <w:rPr>
          <w:color w:val="4D4D4F"/>
          <w:spacing w:val="-3"/>
          <w:w w:val="105"/>
        </w:rPr>
        <w:t>that</w:t>
      </w:r>
      <w:r>
        <w:rPr>
          <w:color w:val="4D4D4F"/>
          <w:spacing w:val="-23"/>
          <w:w w:val="105"/>
        </w:rPr>
        <w:t xml:space="preserve"> </w:t>
      </w:r>
      <w:r>
        <w:rPr>
          <w:color w:val="4D4D4F"/>
          <w:spacing w:val="-3"/>
          <w:w w:val="105"/>
        </w:rPr>
        <w:t>collectively</w:t>
      </w:r>
      <w:r>
        <w:rPr>
          <w:color w:val="4D4D4F"/>
          <w:spacing w:val="-23"/>
          <w:w w:val="105"/>
        </w:rPr>
        <w:t xml:space="preserve"> </w:t>
      </w:r>
      <w:r>
        <w:rPr>
          <w:color w:val="4D4D4F"/>
          <w:w w:val="105"/>
        </w:rPr>
        <w:t>represent</w:t>
      </w:r>
      <w:r>
        <w:rPr>
          <w:color w:val="4D4D4F"/>
          <w:spacing w:val="-22"/>
          <w:w w:val="105"/>
        </w:rPr>
        <w:t xml:space="preserve"> </w:t>
      </w:r>
      <w:r>
        <w:rPr>
          <w:color w:val="4D4D4F"/>
          <w:w w:val="105"/>
        </w:rPr>
        <w:t>grassland condition. These KPIs are disaggregated across five grassland states, each with a separate</w:t>
      </w:r>
      <w:r>
        <w:rPr>
          <w:color w:val="4D4D4F"/>
          <w:spacing w:val="1"/>
          <w:w w:val="105"/>
        </w:rPr>
        <w:t xml:space="preserve"> </w:t>
      </w:r>
      <w:r>
        <w:rPr>
          <w:color w:val="4D4D4F"/>
          <w:w w:val="105"/>
        </w:rPr>
        <w:t>baseline.</w:t>
      </w:r>
    </w:p>
    <w:p w14:paraId="325ABB7B" w14:textId="77777777" w:rsidR="00EF5B27" w:rsidRDefault="00000000">
      <w:pPr>
        <w:pStyle w:val="BodyText"/>
        <w:spacing w:before="118" w:line="254" w:lineRule="auto"/>
        <w:ind w:left="113" w:right="131"/>
        <w:jc w:val="both"/>
      </w:pPr>
      <w:r>
        <w:rPr>
          <w:color w:val="4D4D4F"/>
        </w:rPr>
        <w:t xml:space="preserve">It </w:t>
      </w:r>
      <w:r>
        <w:rPr>
          <w:color w:val="4D4D4F"/>
          <w:spacing w:val="-3"/>
        </w:rPr>
        <w:t xml:space="preserve">is </w:t>
      </w:r>
      <w:r>
        <w:rPr>
          <w:color w:val="4D4D4F"/>
          <w:spacing w:val="-4"/>
        </w:rPr>
        <w:t xml:space="preserve">possible </w:t>
      </w:r>
      <w:r>
        <w:rPr>
          <w:color w:val="4D4D4F"/>
          <w:spacing w:val="-3"/>
        </w:rPr>
        <w:t xml:space="preserve">that KPIs for </w:t>
      </w:r>
      <w:r>
        <w:rPr>
          <w:color w:val="4D4D4F"/>
        </w:rPr>
        <w:t xml:space="preserve">Grassy </w:t>
      </w:r>
      <w:r>
        <w:rPr>
          <w:color w:val="4D4D4F"/>
          <w:spacing w:val="-4"/>
        </w:rPr>
        <w:t xml:space="preserve">Eucalypt </w:t>
      </w:r>
      <w:r>
        <w:rPr>
          <w:color w:val="4D4D4F"/>
          <w:spacing w:val="-3"/>
        </w:rPr>
        <w:t xml:space="preserve">Woodland could </w:t>
      </w:r>
      <w:r>
        <w:rPr>
          <w:color w:val="4D4D4F"/>
        </w:rPr>
        <w:t xml:space="preserve">be </w:t>
      </w:r>
      <w:r>
        <w:rPr>
          <w:color w:val="4D4D4F"/>
          <w:spacing w:val="-4"/>
        </w:rPr>
        <w:t xml:space="preserve">organised </w:t>
      </w:r>
      <w:r>
        <w:rPr>
          <w:color w:val="4D4D4F"/>
        </w:rPr>
        <w:t xml:space="preserve">by </w:t>
      </w:r>
      <w:r>
        <w:rPr>
          <w:color w:val="4D4D4F"/>
          <w:spacing w:val="-4"/>
        </w:rPr>
        <w:t xml:space="preserve">management </w:t>
      </w:r>
      <w:r>
        <w:rPr>
          <w:color w:val="4D4D4F"/>
        </w:rPr>
        <w:t xml:space="preserve">unit </w:t>
      </w:r>
      <w:r>
        <w:rPr>
          <w:color w:val="4D4D4F"/>
          <w:spacing w:val="-3"/>
        </w:rPr>
        <w:t xml:space="preserve">(i.e. </w:t>
      </w:r>
      <w:r>
        <w:rPr>
          <w:color w:val="4D4D4F"/>
        </w:rPr>
        <w:t xml:space="preserve">stratify results by parcel of </w:t>
      </w:r>
      <w:r>
        <w:rPr>
          <w:color w:val="4D4D4F"/>
          <w:spacing w:val="-3"/>
        </w:rPr>
        <w:t xml:space="preserve">land) </w:t>
      </w:r>
      <w:r>
        <w:rPr>
          <w:color w:val="4D4D4F"/>
        </w:rPr>
        <w:t xml:space="preserve">to </w:t>
      </w:r>
      <w:r>
        <w:rPr>
          <w:color w:val="4D4D4F"/>
          <w:spacing w:val="-3"/>
        </w:rPr>
        <w:t xml:space="preserve">highlight </w:t>
      </w:r>
      <w:r>
        <w:rPr>
          <w:color w:val="4D4D4F"/>
        </w:rPr>
        <w:t>variation in the different land use histories and management regimes across the landscape.</w:t>
      </w:r>
    </w:p>
    <w:p w14:paraId="5DD7229E" w14:textId="77777777" w:rsidR="00EF5B27" w:rsidRDefault="00000000">
      <w:pPr>
        <w:pStyle w:val="BodyText"/>
        <w:spacing w:before="117" w:line="254" w:lineRule="auto"/>
        <w:ind w:left="113"/>
      </w:pPr>
      <w:r>
        <w:rPr>
          <w:color w:val="4D4D4F"/>
        </w:rPr>
        <w:t>There is no monitoring of variation in grassland condition as a function of time since acquisition. This may help to inform a clearer picture of whether interim management actions are required or have been effective if applied.</w:t>
      </w:r>
    </w:p>
    <w:p w14:paraId="2157E570"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826" w:space="669"/>
            <w:col w:w="7375"/>
          </w:cols>
        </w:sectPr>
      </w:pPr>
    </w:p>
    <w:p w14:paraId="4409AB97" w14:textId="77777777" w:rsidR="00EF5B27" w:rsidRDefault="00EF5B27">
      <w:pPr>
        <w:pStyle w:val="BodyText"/>
      </w:pPr>
    </w:p>
    <w:p w14:paraId="420898A5" w14:textId="77777777" w:rsidR="00EF5B27" w:rsidRDefault="00EF5B27">
      <w:pPr>
        <w:pStyle w:val="BodyText"/>
      </w:pPr>
    </w:p>
    <w:p w14:paraId="5ED4D525" w14:textId="77777777" w:rsidR="00EF5B27" w:rsidRDefault="00EF5B27">
      <w:pPr>
        <w:pStyle w:val="BodyText"/>
      </w:pPr>
    </w:p>
    <w:p w14:paraId="2601D92A" w14:textId="77777777" w:rsidR="00EF5B27" w:rsidRDefault="00EF5B27">
      <w:pPr>
        <w:pStyle w:val="BodyText"/>
      </w:pPr>
    </w:p>
    <w:p w14:paraId="2FF4E93D" w14:textId="77777777" w:rsidR="00EF5B27" w:rsidRDefault="00EF5B27">
      <w:pPr>
        <w:pStyle w:val="BodyText"/>
      </w:pPr>
    </w:p>
    <w:p w14:paraId="61A49FDA" w14:textId="77777777" w:rsidR="00EF5B27" w:rsidRDefault="00EF5B27">
      <w:pPr>
        <w:pStyle w:val="BodyText"/>
      </w:pPr>
    </w:p>
    <w:p w14:paraId="03954E1C" w14:textId="77777777" w:rsidR="00EF5B27" w:rsidRDefault="00EF5B27">
      <w:pPr>
        <w:pStyle w:val="BodyText"/>
      </w:pPr>
    </w:p>
    <w:p w14:paraId="11E22878" w14:textId="77777777" w:rsidR="00EF5B27" w:rsidRDefault="00EF5B27">
      <w:pPr>
        <w:pStyle w:val="BodyText"/>
      </w:pPr>
    </w:p>
    <w:p w14:paraId="2C374216" w14:textId="77777777" w:rsidR="00EF5B27" w:rsidRDefault="00EF5B27">
      <w:pPr>
        <w:pStyle w:val="BodyText"/>
      </w:pPr>
    </w:p>
    <w:p w14:paraId="5EEF0C33" w14:textId="77777777" w:rsidR="00EF5B27" w:rsidRDefault="00EF5B27">
      <w:pPr>
        <w:pStyle w:val="BodyText"/>
      </w:pPr>
    </w:p>
    <w:p w14:paraId="13B3E1F0" w14:textId="77777777" w:rsidR="00EF5B27" w:rsidRDefault="00EF5B27">
      <w:pPr>
        <w:pStyle w:val="BodyText"/>
        <w:spacing w:before="4"/>
        <w:rPr>
          <w:sz w:val="11"/>
        </w:rPr>
      </w:pPr>
    </w:p>
    <w:p w14:paraId="76EF6CC1" w14:textId="77777777" w:rsidR="00EF5B27" w:rsidRDefault="00000000">
      <w:pPr>
        <w:pStyle w:val="BodyText"/>
        <w:ind w:left="113"/>
      </w:pPr>
      <w:r>
        <w:pict w14:anchorId="34B0E9FC">
          <v:shape id="_x0000_s4469" type="#_x0000_t202" style="width:481.15pt;height:25.4pt;mso-left-percent:-10001;mso-top-percent:-10001;mso-position-horizontal:absolute;mso-position-horizontal-relative:char;mso-position-vertical:absolute;mso-position-vertical-relative:line;mso-left-percent:-10001;mso-top-percent:-10001" fillcolor="#fecc91" stroked="f">
            <v:textbox inset="0,0,0,0">
              <w:txbxContent>
                <w:p w14:paraId="484D817E" w14:textId="77777777" w:rsidR="00EF5B27" w:rsidRDefault="00000000">
                  <w:pPr>
                    <w:tabs>
                      <w:tab w:val="left" w:pos="2607"/>
                    </w:tabs>
                    <w:spacing w:before="142"/>
                    <w:ind w:left="113"/>
                    <w:rPr>
                      <w:b/>
                      <w:sz w:val="20"/>
                    </w:rPr>
                  </w:pPr>
                  <w:r>
                    <w:rPr>
                      <w:b/>
                      <w:color w:val="4D4D4F"/>
                      <w:sz w:val="20"/>
                    </w:rPr>
                    <w:t>Theme</w:t>
                  </w:r>
                  <w:r>
                    <w:rPr>
                      <w:b/>
                      <w:color w:val="4D4D4F"/>
                      <w:sz w:val="20"/>
                    </w:rPr>
                    <w:tab/>
                    <w:t>Seasonal Herbaceous</w:t>
                  </w:r>
                  <w:r>
                    <w:rPr>
                      <w:b/>
                      <w:color w:val="4D4D4F"/>
                      <w:spacing w:val="8"/>
                      <w:sz w:val="20"/>
                    </w:rPr>
                    <w:t xml:space="preserve"> </w:t>
                  </w:r>
                  <w:r>
                    <w:rPr>
                      <w:b/>
                      <w:color w:val="4D4D4F"/>
                      <w:sz w:val="20"/>
                    </w:rPr>
                    <w:t>Wetland</w:t>
                  </w:r>
                </w:p>
              </w:txbxContent>
            </v:textbox>
            <w10:anchorlock/>
          </v:shape>
        </w:pict>
      </w:r>
    </w:p>
    <w:p w14:paraId="5A2C2DA2" w14:textId="77777777" w:rsidR="00EF5B27" w:rsidRDefault="00EF5B27">
      <w:pPr>
        <w:pStyle w:val="BodyText"/>
        <w:spacing w:before="8"/>
        <w:rPr>
          <w:sz w:val="5"/>
        </w:rPr>
      </w:pPr>
    </w:p>
    <w:p w14:paraId="6BDF9410" w14:textId="77777777" w:rsidR="00EF5B27" w:rsidRDefault="00EF5B27">
      <w:pPr>
        <w:rPr>
          <w:sz w:val="5"/>
        </w:rPr>
        <w:sectPr w:rsidR="00EF5B27">
          <w:pgSz w:w="11910" w:h="16840"/>
          <w:pgMar w:top="1080" w:right="1020" w:bottom="860" w:left="1020" w:header="537" w:footer="678" w:gutter="0"/>
          <w:cols w:space="720"/>
        </w:sectPr>
      </w:pPr>
    </w:p>
    <w:p w14:paraId="7B401F72" w14:textId="77777777" w:rsidR="00EF5B27" w:rsidRDefault="00000000">
      <w:pPr>
        <w:pStyle w:val="BodyText"/>
        <w:spacing w:before="51"/>
        <w:ind w:left="227"/>
      </w:pPr>
      <w:r>
        <w:pict w14:anchorId="020D294A">
          <v:group id="_x0000_s4461" style="position:absolute;left:0;text-align:left;margin-left:587.05pt;margin-top:183.4pt;width:8.25pt;height:153.1pt;z-index:251358720;mso-position-horizontal-relative:page;mso-position-vertical-relative:page" coordorigin="11741,3668" coordsize="165,3062">
            <v:shape id="_x0000_s4468" style="position:absolute;left:11741;top:3668;width:165;height:561" coordorigin="11741,3668" coordsize="165,561" path="m11906,3668r-165,l11741,4228r165,-18l11906,3668xe" fillcolor="#00aed9" stroked="f">
              <v:path arrowok="t"/>
            </v:shape>
            <v:shape id="_x0000_s4467" style="position:absolute;left:11741;top:4118;width:165;height:425" coordorigin="11741,4118" coordsize="165,425" path="m11906,4118r-165,14l11741,4531r165,12l11906,4118xe" fillcolor="#047ebc" stroked="f">
              <v:path arrowok="t"/>
            </v:shape>
            <v:shape id="_x0000_s4466" type="#_x0000_t75" style="position:absolute;left:11741;top:4355;width:165;height:587">
              <v:imagedata r:id="rId42" o:title=""/>
            </v:shape>
            <v:shape id="_x0000_s4465" style="position:absolute;left:11741;top:5343;width:165;height:536" coordorigin="11741,5343" coordsize="165,536" path="m11741,5343r,535l11906,5872r,-525l11741,5343xe" fillcolor="#f36a2e" stroked="f">
              <v:path arrowok="t"/>
            </v:shape>
            <v:shape id="_x0000_s4464" style="position:absolute;left:11741;top:4925;width:165;height:501" coordorigin="11741,4926" coordsize="165,501" path="m11741,4926r,500l11906,5426r,-485l11741,4926xe" fillcolor="#49783f" stroked="f">
              <v:path arrowok="t"/>
            </v:shape>
            <v:shape id="_x0000_s4463" style="position:absolute;left:11741;top:5781;width:165;height:268" coordorigin="11741,5782" coordsize="165,268" path="m11906,5782r-165,8l11741,6039r165,10l11906,5782xe" fillcolor="#f99f2a" stroked="f">
              <v:path arrowok="t"/>
            </v:shape>
            <v:shape id="_x0000_s4462" style="position:absolute;left:11741;top:6023;width:165;height:707" coordorigin="11741,6023" coordsize="165,707" path="m11741,6023r,706l11906,6729r,-690l11741,6023xe" fillcolor="#ef412c" stroked="f">
              <v:path arrowok="t"/>
            </v:shape>
            <w10:wrap anchorx="page" anchory="page"/>
          </v:group>
        </w:pict>
      </w:r>
      <w:r>
        <w:pict w14:anchorId="4DF5ACF6">
          <v:group id="_x0000_s4458" style="position:absolute;left:0;text-align:left;margin-left:56.7pt;margin-top:-29.85pt;width:481.15pt;height:.25pt;z-index:251359744;mso-position-horizontal-relative:page" coordorigin="1134,-597" coordsize="9623,5">
            <v:line id="_x0000_s4460" style="position:absolute" from="1134,-595" to="3628,-595" strokeweight=".25pt"/>
            <v:line id="_x0000_s4459" style="position:absolute" from="3628,-595" to="10756,-595" strokeweight=".25pt"/>
            <w10:wrap anchorx="page"/>
          </v:group>
        </w:pict>
      </w:r>
      <w:r>
        <w:pict w14:anchorId="64F9323C">
          <v:group id="_x0000_s4455" style="position:absolute;left:0;text-align:left;margin-left:56.7pt;margin-top:-4.35pt;width:481.15pt;height:.25pt;z-index:251360768;mso-position-horizontal-relative:page" coordorigin="1134,-87" coordsize="9623,5">
            <v:line id="_x0000_s4457" style="position:absolute" from="1134,-84" to="3628,-84" strokeweight=".25pt"/>
            <v:line id="_x0000_s4456" style="position:absolute" from="3628,-84" to="10756,-84" strokeweight=".25pt"/>
            <w10:wrap anchorx="page"/>
          </v:group>
        </w:pict>
      </w:r>
      <w:r>
        <w:rPr>
          <w:color w:val="4D4D4F"/>
        </w:rPr>
        <w:t>Recommendation</w:t>
      </w:r>
    </w:p>
    <w:p w14:paraId="66035F82" w14:textId="77777777" w:rsidR="00EF5B27" w:rsidRDefault="00000000">
      <w:pPr>
        <w:pStyle w:val="Heading1"/>
      </w:pPr>
      <w:r>
        <w:pict w14:anchorId="4709029C">
          <v:group id="_x0000_s4452" style="position:absolute;left:0;text-align:left;margin-left:56.7pt;margin-top:90.65pt;width:481.15pt;height:.25pt;z-index:251362816;mso-position-horizontal-relative:page" coordorigin="1134,1813" coordsize="9623,5">
            <v:line id="_x0000_s4454" style="position:absolute" from="1134,1815" to="3628,1815" strokeweight=".25pt"/>
            <v:line id="_x0000_s4453" style="position:absolute" from="3628,1815" to="10756,1815" strokeweight=".25pt"/>
            <w10:wrap anchorx="page"/>
          </v:group>
        </w:pict>
      </w:r>
      <w:r>
        <w:rPr>
          <w:color w:val="4D4D4F"/>
          <w:w w:val="105"/>
        </w:rPr>
        <w:t>07</w:t>
      </w:r>
    </w:p>
    <w:p w14:paraId="2A73EB40" w14:textId="77777777" w:rsidR="00EF5B27" w:rsidRDefault="00EF5B27">
      <w:pPr>
        <w:pStyle w:val="BodyText"/>
        <w:rPr>
          <w:b/>
        </w:rPr>
      </w:pPr>
    </w:p>
    <w:p w14:paraId="3C14B4BE" w14:textId="77777777" w:rsidR="00EF5B27" w:rsidRDefault="00EF5B27">
      <w:pPr>
        <w:pStyle w:val="BodyText"/>
        <w:rPr>
          <w:b/>
        </w:rPr>
      </w:pPr>
    </w:p>
    <w:p w14:paraId="0166A33C" w14:textId="77777777" w:rsidR="00EF5B27" w:rsidRDefault="00EF5B27">
      <w:pPr>
        <w:pStyle w:val="BodyText"/>
        <w:rPr>
          <w:b/>
        </w:rPr>
      </w:pPr>
    </w:p>
    <w:p w14:paraId="5990EFD7" w14:textId="77777777" w:rsidR="00EF5B27" w:rsidRDefault="00EF5B27">
      <w:pPr>
        <w:pStyle w:val="BodyText"/>
        <w:rPr>
          <w:b/>
        </w:rPr>
      </w:pPr>
    </w:p>
    <w:p w14:paraId="284DEA0B" w14:textId="77777777" w:rsidR="00EF5B27" w:rsidRDefault="00EF5B27">
      <w:pPr>
        <w:pStyle w:val="BodyText"/>
        <w:rPr>
          <w:b/>
        </w:rPr>
      </w:pPr>
    </w:p>
    <w:p w14:paraId="50186C41" w14:textId="77777777" w:rsidR="00EF5B27" w:rsidRDefault="00EF5B27">
      <w:pPr>
        <w:pStyle w:val="BodyText"/>
        <w:rPr>
          <w:b/>
        </w:rPr>
      </w:pPr>
    </w:p>
    <w:p w14:paraId="53FDE5A9" w14:textId="77777777" w:rsidR="00EF5B27" w:rsidRDefault="00EF5B27">
      <w:pPr>
        <w:pStyle w:val="BodyText"/>
        <w:rPr>
          <w:b/>
        </w:rPr>
      </w:pPr>
    </w:p>
    <w:p w14:paraId="4E605B63" w14:textId="77777777" w:rsidR="00EF5B27" w:rsidRDefault="00000000">
      <w:pPr>
        <w:pStyle w:val="BodyText"/>
        <w:spacing w:before="10"/>
        <w:rPr>
          <w:b/>
          <w:sz w:val="14"/>
        </w:rPr>
      </w:pPr>
      <w:r>
        <w:rPr>
          <w:noProof/>
        </w:rPr>
        <w:drawing>
          <wp:anchor distT="0" distB="0" distL="0" distR="0" simplePos="0" relativeHeight="251286016" behindDoc="0" locked="0" layoutInCell="1" allowOverlap="1" wp14:anchorId="3FB5FA35" wp14:editId="434C8D6F">
            <wp:simplePos x="0" y="0"/>
            <wp:positionH relativeFrom="page">
              <wp:posOffset>720000</wp:posOffset>
            </wp:positionH>
            <wp:positionV relativeFrom="paragraph">
              <wp:posOffset>140085</wp:posOffset>
            </wp:positionV>
            <wp:extent cx="1065275" cy="1065276"/>
            <wp:effectExtent l="0" t="0" r="0" b="0"/>
            <wp:wrapTopAndBottom/>
            <wp:docPr id="37"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0.jpeg"/>
                    <pic:cNvPicPr/>
                  </pic:nvPicPr>
                  <pic:blipFill>
                    <a:blip r:embed="rId53" cstate="print"/>
                    <a:stretch>
                      <a:fillRect/>
                    </a:stretch>
                  </pic:blipFill>
                  <pic:spPr>
                    <a:xfrm>
                      <a:off x="0" y="0"/>
                      <a:ext cx="1065275" cy="1065276"/>
                    </a:xfrm>
                    <a:prstGeom prst="rect">
                      <a:avLst/>
                    </a:prstGeom>
                  </pic:spPr>
                </pic:pic>
              </a:graphicData>
            </a:graphic>
          </wp:anchor>
        </w:drawing>
      </w:r>
    </w:p>
    <w:p w14:paraId="619EBA62" w14:textId="77777777" w:rsidR="00EF5B27" w:rsidRDefault="00000000">
      <w:pPr>
        <w:spacing w:before="51"/>
        <w:ind w:left="60" w:right="106"/>
        <w:jc w:val="center"/>
        <w:rPr>
          <w:rFonts w:ascii="Century Gothic"/>
          <w:i/>
          <w:sz w:val="12"/>
        </w:rPr>
      </w:pPr>
      <w:r>
        <w:rPr>
          <w:rFonts w:ascii="Century Gothic"/>
          <w:i/>
          <w:color w:val="4D4D4F"/>
          <w:w w:val="90"/>
          <w:sz w:val="12"/>
        </w:rPr>
        <w:t>Seasonal Herbaceous Wetland</w:t>
      </w:r>
    </w:p>
    <w:p w14:paraId="21611E24" w14:textId="77777777" w:rsidR="00EF5B27" w:rsidRDefault="00000000">
      <w:pPr>
        <w:pStyle w:val="BodyText"/>
        <w:spacing w:before="51"/>
        <w:ind w:left="227"/>
      </w:pPr>
      <w:r>
        <w:br w:type="column"/>
      </w:r>
      <w:r>
        <w:rPr>
          <w:color w:val="4D4D4F"/>
        </w:rPr>
        <w:t>That DELWP:</w:t>
      </w:r>
    </w:p>
    <w:p w14:paraId="25CE0B12" w14:textId="77777777" w:rsidR="00EF5B27" w:rsidRDefault="00000000">
      <w:pPr>
        <w:pStyle w:val="ListParagraph"/>
        <w:numPr>
          <w:ilvl w:val="0"/>
          <w:numId w:val="58"/>
        </w:numPr>
        <w:tabs>
          <w:tab w:val="left" w:pos="429"/>
        </w:tabs>
        <w:spacing w:before="130" w:line="254" w:lineRule="auto"/>
        <w:ind w:right="955" w:firstLine="0"/>
        <w:rPr>
          <w:sz w:val="20"/>
        </w:rPr>
      </w:pPr>
      <w:r>
        <w:rPr>
          <w:color w:val="4D4D4F"/>
          <w:sz w:val="20"/>
        </w:rPr>
        <w:t>increases weed control efforts and funding for land managers to protect Seasonal Herbaceous</w:t>
      </w:r>
      <w:r>
        <w:rPr>
          <w:color w:val="4D4D4F"/>
          <w:spacing w:val="8"/>
          <w:sz w:val="20"/>
        </w:rPr>
        <w:t xml:space="preserve"> </w:t>
      </w:r>
      <w:r>
        <w:rPr>
          <w:color w:val="4D4D4F"/>
          <w:sz w:val="20"/>
        </w:rPr>
        <w:t>Wetland</w:t>
      </w:r>
    </w:p>
    <w:p w14:paraId="6C8B69A8" w14:textId="77777777" w:rsidR="00EF5B27" w:rsidRDefault="00000000">
      <w:pPr>
        <w:pStyle w:val="ListParagraph"/>
        <w:numPr>
          <w:ilvl w:val="0"/>
          <w:numId w:val="58"/>
        </w:numPr>
        <w:tabs>
          <w:tab w:val="left" w:pos="471"/>
        </w:tabs>
        <w:spacing w:before="115" w:line="254" w:lineRule="auto"/>
        <w:ind w:right="1273" w:firstLine="0"/>
        <w:rPr>
          <w:sz w:val="20"/>
        </w:rPr>
      </w:pPr>
      <w:r>
        <w:rPr>
          <w:color w:val="4D4D4F"/>
          <w:sz w:val="20"/>
        </w:rPr>
        <w:t>undertakes further research on the impacts of grazing, hydrological modification, and supplementary plantings of other native species,</w:t>
      </w:r>
      <w:r>
        <w:rPr>
          <w:color w:val="4D4D4F"/>
          <w:spacing w:val="5"/>
          <w:sz w:val="20"/>
        </w:rPr>
        <w:t xml:space="preserve"> </w:t>
      </w:r>
      <w:r>
        <w:rPr>
          <w:color w:val="4D4D4F"/>
          <w:sz w:val="20"/>
        </w:rPr>
        <w:t>and</w:t>
      </w:r>
    </w:p>
    <w:p w14:paraId="3B61541B" w14:textId="77777777" w:rsidR="00EF5B27" w:rsidRDefault="00000000">
      <w:pPr>
        <w:pStyle w:val="ListParagraph"/>
        <w:numPr>
          <w:ilvl w:val="0"/>
          <w:numId w:val="58"/>
        </w:numPr>
        <w:tabs>
          <w:tab w:val="left" w:pos="506"/>
        </w:tabs>
        <w:spacing w:before="116"/>
        <w:ind w:left="505" w:hanging="278"/>
        <w:rPr>
          <w:sz w:val="20"/>
        </w:rPr>
      </w:pPr>
      <w:r>
        <w:rPr>
          <w:color w:val="4D4D4F"/>
          <w:sz w:val="20"/>
        </w:rPr>
        <w:t xml:space="preserve">broadens the KPI </w:t>
      </w:r>
      <w:r>
        <w:rPr>
          <w:color w:val="4D4D4F"/>
          <w:spacing w:val="-3"/>
          <w:sz w:val="20"/>
        </w:rPr>
        <w:t xml:space="preserve">suite </w:t>
      </w:r>
      <w:r>
        <w:rPr>
          <w:color w:val="4D4D4F"/>
          <w:sz w:val="20"/>
        </w:rPr>
        <w:t>for future monitoring and reporting on wetland</w:t>
      </w:r>
      <w:r>
        <w:rPr>
          <w:color w:val="4D4D4F"/>
          <w:spacing w:val="-7"/>
          <w:sz w:val="20"/>
        </w:rPr>
        <w:t xml:space="preserve"> </w:t>
      </w:r>
      <w:r>
        <w:rPr>
          <w:color w:val="4D4D4F"/>
          <w:sz w:val="20"/>
        </w:rPr>
        <w:t>condition.</w:t>
      </w:r>
    </w:p>
    <w:p w14:paraId="1FE4763D" w14:textId="77777777" w:rsidR="00EF5B27" w:rsidRDefault="00EF5B27">
      <w:pPr>
        <w:pStyle w:val="BodyText"/>
        <w:rPr>
          <w:sz w:val="24"/>
        </w:rPr>
      </w:pPr>
    </w:p>
    <w:p w14:paraId="1A98C141" w14:textId="77777777" w:rsidR="00EF5B27" w:rsidRDefault="00EF5B27">
      <w:pPr>
        <w:pStyle w:val="BodyText"/>
        <w:rPr>
          <w:sz w:val="24"/>
        </w:rPr>
      </w:pPr>
    </w:p>
    <w:p w14:paraId="713A8BD7" w14:textId="77777777" w:rsidR="00EF5B27" w:rsidRDefault="00EF5B27">
      <w:pPr>
        <w:pStyle w:val="BodyText"/>
        <w:spacing w:before="2"/>
        <w:rPr>
          <w:sz w:val="21"/>
        </w:rPr>
      </w:pPr>
    </w:p>
    <w:p w14:paraId="6E139DE8" w14:textId="77777777" w:rsidR="00EF5B27" w:rsidRDefault="00000000">
      <w:pPr>
        <w:pStyle w:val="Heading3"/>
        <w:spacing w:before="1"/>
        <w:ind w:left="113"/>
      </w:pPr>
      <w:r>
        <w:rPr>
          <w:color w:val="F99F2A"/>
        </w:rPr>
        <w:t>Challenges the recommendation addresses</w:t>
      </w:r>
    </w:p>
    <w:p w14:paraId="019DAF37" w14:textId="77777777" w:rsidR="00EF5B27" w:rsidRDefault="00000000">
      <w:pPr>
        <w:pStyle w:val="BodyText"/>
        <w:spacing w:before="256" w:line="254" w:lineRule="auto"/>
        <w:ind w:left="113"/>
      </w:pPr>
      <w:r>
        <w:rPr>
          <w:color w:val="4D4D4F"/>
        </w:rPr>
        <w:t>Weeds appear to be increasing across the monitored sites, despite levels remaining within the 95% confidence interval tolerance of the defined baseline in each case.</w:t>
      </w:r>
    </w:p>
    <w:p w14:paraId="1957940B" w14:textId="77777777" w:rsidR="00EF5B27" w:rsidRDefault="00000000">
      <w:pPr>
        <w:pStyle w:val="BodyText"/>
        <w:spacing w:before="2" w:line="254" w:lineRule="auto"/>
        <w:ind w:left="113"/>
      </w:pPr>
      <w:r>
        <w:rPr>
          <w:color w:val="4D4D4F"/>
          <w:w w:val="105"/>
        </w:rPr>
        <w:t>Lack</w:t>
      </w:r>
      <w:r>
        <w:rPr>
          <w:color w:val="4D4D4F"/>
          <w:spacing w:val="-17"/>
          <w:w w:val="105"/>
        </w:rPr>
        <w:t xml:space="preserve"> </w:t>
      </w:r>
      <w:r>
        <w:rPr>
          <w:color w:val="4D4D4F"/>
          <w:w w:val="105"/>
        </w:rPr>
        <w:t>of</w:t>
      </w:r>
      <w:r>
        <w:rPr>
          <w:color w:val="4D4D4F"/>
          <w:spacing w:val="-16"/>
          <w:w w:val="105"/>
        </w:rPr>
        <w:t xml:space="preserve"> </w:t>
      </w:r>
      <w:r>
        <w:rPr>
          <w:color w:val="4D4D4F"/>
          <w:w w:val="105"/>
        </w:rPr>
        <w:t>weed</w:t>
      </w:r>
      <w:r>
        <w:rPr>
          <w:color w:val="4D4D4F"/>
          <w:spacing w:val="-17"/>
          <w:w w:val="105"/>
        </w:rPr>
        <w:t xml:space="preserve"> </w:t>
      </w:r>
      <w:r>
        <w:rPr>
          <w:color w:val="4D4D4F"/>
          <w:w w:val="105"/>
        </w:rPr>
        <w:t>control</w:t>
      </w:r>
      <w:r>
        <w:rPr>
          <w:color w:val="4D4D4F"/>
          <w:spacing w:val="-16"/>
          <w:w w:val="105"/>
        </w:rPr>
        <w:t xml:space="preserve"> </w:t>
      </w:r>
      <w:r>
        <w:rPr>
          <w:color w:val="4D4D4F"/>
          <w:w w:val="105"/>
        </w:rPr>
        <w:t>and</w:t>
      </w:r>
      <w:r>
        <w:rPr>
          <w:color w:val="4D4D4F"/>
          <w:spacing w:val="-16"/>
          <w:w w:val="105"/>
        </w:rPr>
        <w:t xml:space="preserve"> </w:t>
      </w:r>
      <w:r>
        <w:rPr>
          <w:color w:val="4D4D4F"/>
          <w:w w:val="105"/>
        </w:rPr>
        <w:t>recent</w:t>
      </w:r>
      <w:r>
        <w:rPr>
          <w:color w:val="4D4D4F"/>
          <w:spacing w:val="-17"/>
          <w:w w:val="105"/>
        </w:rPr>
        <w:t xml:space="preserve"> </w:t>
      </w:r>
      <w:r>
        <w:rPr>
          <w:color w:val="4D4D4F"/>
          <w:w w:val="105"/>
        </w:rPr>
        <w:t>restrictions</w:t>
      </w:r>
      <w:r>
        <w:rPr>
          <w:color w:val="4D4D4F"/>
          <w:spacing w:val="-16"/>
          <w:w w:val="105"/>
        </w:rPr>
        <w:t xml:space="preserve"> </w:t>
      </w:r>
      <w:r>
        <w:rPr>
          <w:color w:val="4D4D4F"/>
          <w:w w:val="105"/>
        </w:rPr>
        <w:t>to</w:t>
      </w:r>
      <w:r>
        <w:rPr>
          <w:color w:val="4D4D4F"/>
          <w:spacing w:val="-17"/>
          <w:w w:val="105"/>
        </w:rPr>
        <w:t xml:space="preserve"> </w:t>
      </w:r>
      <w:r>
        <w:rPr>
          <w:color w:val="4D4D4F"/>
          <w:w w:val="105"/>
        </w:rPr>
        <w:t>grazing</w:t>
      </w:r>
      <w:r>
        <w:rPr>
          <w:color w:val="4D4D4F"/>
          <w:spacing w:val="-16"/>
          <w:w w:val="105"/>
        </w:rPr>
        <w:t xml:space="preserve"> </w:t>
      </w:r>
      <w:r>
        <w:rPr>
          <w:color w:val="4D4D4F"/>
          <w:w w:val="105"/>
        </w:rPr>
        <w:t>in</w:t>
      </w:r>
      <w:r>
        <w:rPr>
          <w:color w:val="4D4D4F"/>
          <w:spacing w:val="-16"/>
          <w:w w:val="105"/>
        </w:rPr>
        <w:t xml:space="preserve"> </w:t>
      </w:r>
      <w:r>
        <w:rPr>
          <w:color w:val="4D4D4F"/>
          <w:w w:val="105"/>
        </w:rPr>
        <w:t>the</w:t>
      </w:r>
      <w:r>
        <w:rPr>
          <w:color w:val="4D4D4F"/>
          <w:spacing w:val="-17"/>
          <w:w w:val="105"/>
        </w:rPr>
        <w:t xml:space="preserve"> </w:t>
      </w:r>
      <w:r>
        <w:rPr>
          <w:color w:val="4D4D4F"/>
          <w:w w:val="105"/>
        </w:rPr>
        <w:t>surrounding</w:t>
      </w:r>
      <w:r>
        <w:rPr>
          <w:color w:val="4D4D4F"/>
          <w:spacing w:val="-16"/>
          <w:w w:val="105"/>
        </w:rPr>
        <w:t xml:space="preserve"> </w:t>
      </w:r>
      <w:r>
        <w:rPr>
          <w:color w:val="4D4D4F"/>
          <w:w w:val="105"/>
        </w:rPr>
        <w:t xml:space="preserve">Western Grassland Reserve is a </w:t>
      </w:r>
      <w:r>
        <w:rPr>
          <w:color w:val="4D4D4F"/>
          <w:spacing w:val="-3"/>
          <w:w w:val="105"/>
        </w:rPr>
        <w:t xml:space="preserve">likely </w:t>
      </w:r>
      <w:r>
        <w:rPr>
          <w:color w:val="4D4D4F"/>
          <w:w w:val="105"/>
        </w:rPr>
        <w:t>factor in the increase in weed</w:t>
      </w:r>
      <w:r>
        <w:rPr>
          <w:color w:val="4D4D4F"/>
          <w:spacing w:val="-13"/>
          <w:w w:val="105"/>
        </w:rPr>
        <w:t xml:space="preserve"> </w:t>
      </w:r>
      <w:r>
        <w:rPr>
          <w:color w:val="4D4D4F"/>
          <w:spacing w:val="-4"/>
          <w:w w:val="105"/>
        </w:rPr>
        <w:t>cover.</w:t>
      </w:r>
    </w:p>
    <w:p w14:paraId="4FD73347" w14:textId="77777777" w:rsidR="00EF5B27" w:rsidRDefault="00000000">
      <w:pPr>
        <w:pStyle w:val="BodyText"/>
        <w:spacing w:before="116" w:line="254" w:lineRule="auto"/>
        <w:ind w:left="113"/>
      </w:pPr>
      <w:r>
        <w:rPr>
          <w:color w:val="4D4D4F"/>
        </w:rPr>
        <w:t>DELWP has focused on monitoring of floristics in the design of KPIs for the wetlands, however there is potential for monitoring of other correlates of wetland condition to improve inferences, including the presence of certain fauna such as invertebrates, macroinvertebrates, birds and frogs.</w:t>
      </w:r>
    </w:p>
    <w:p w14:paraId="0DD70280"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826" w:space="669"/>
            <w:col w:w="7375"/>
          </w:cols>
        </w:sectPr>
      </w:pPr>
    </w:p>
    <w:p w14:paraId="0C87A040" w14:textId="77777777" w:rsidR="00EF5B27" w:rsidRDefault="00EF5B27">
      <w:pPr>
        <w:pStyle w:val="BodyText"/>
      </w:pPr>
    </w:p>
    <w:p w14:paraId="4A1B701F" w14:textId="77777777" w:rsidR="00EF5B27" w:rsidRDefault="00EF5B27">
      <w:pPr>
        <w:pStyle w:val="BodyText"/>
      </w:pPr>
    </w:p>
    <w:p w14:paraId="19A929EF" w14:textId="77777777" w:rsidR="00EF5B27" w:rsidRDefault="00EF5B27">
      <w:pPr>
        <w:pStyle w:val="BodyText"/>
      </w:pPr>
    </w:p>
    <w:p w14:paraId="09BA730B" w14:textId="77777777" w:rsidR="00EF5B27" w:rsidRDefault="00EF5B27">
      <w:pPr>
        <w:pStyle w:val="BodyText"/>
      </w:pPr>
    </w:p>
    <w:p w14:paraId="50DC2FD5" w14:textId="77777777" w:rsidR="00EF5B27" w:rsidRDefault="00EF5B27">
      <w:pPr>
        <w:pStyle w:val="BodyText"/>
      </w:pPr>
    </w:p>
    <w:p w14:paraId="2A23D91E" w14:textId="77777777" w:rsidR="00EF5B27" w:rsidRDefault="00EF5B27">
      <w:pPr>
        <w:pStyle w:val="BodyText"/>
      </w:pPr>
    </w:p>
    <w:p w14:paraId="3C4D2C77" w14:textId="77777777" w:rsidR="00EF5B27" w:rsidRDefault="00EF5B27">
      <w:pPr>
        <w:pStyle w:val="BodyText"/>
      </w:pPr>
    </w:p>
    <w:p w14:paraId="77AF9F87" w14:textId="77777777" w:rsidR="00EF5B27" w:rsidRDefault="00EF5B27">
      <w:pPr>
        <w:pStyle w:val="BodyText"/>
      </w:pPr>
    </w:p>
    <w:p w14:paraId="2787F721" w14:textId="77777777" w:rsidR="00EF5B27" w:rsidRDefault="00EF5B27">
      <w:pPr>
        <w:pStyle w:val="BodyText"/>
      </w:pPr>
    </w:p>
    <w:p w14:paraId="262074D9" w14:textId="77777777" w:rsidR="00EF5B27" w:rsidRDefault="00EF5B27">
      <w:pPr>
        <w:pStyle w:val="BodyText"/>
      </w:pPr>
    </w:p>
    <w:p w14:paraId="462F63BA" w14:textId="77777777" w:rsidR="00EF5B27" w:rsidRDefault="00EF5B27">
      <w:pPr>
        <w:pStyle w:val="BodyText"/>
        <w:spacing w:before="4"/>
        <w:rPr>
          <w:sz w:val="11"/>
        </w:rPr>
      </w:pPr>
    </w:p>
    <w:p w14:paraId="2311A792" w14:textId="77777777" w:rsidR="00EF5B27" w:rsidRDefault="00000000">
      <w:pPr>
        <w:pStyle w:val="BodyText"/>
        <w:ind w:left="113"/>
      </w:pPr>
      <w:r>
        <w:pict w14:anchorId="62622991">
          <v:shape id="_x0000_s4451" type="#_x0000_t202" style="width:481.15pt;height:25.4pt;mso-left-percent:-10001;mso-top-percent:-10001;mso-position-horizontal:absolute;mso-position-horizontal-relative:char;mso-position-vertical:absolute;mso-position-vertical-relative:line;mso-left-percent:-10001;mso-top-percent:-10001" fillcolor="#fecc91" stroked="f">
            <v:textbox inset="0,0,0,0">
              <w:txbxContent>
                <w:p w14:paraId="6A86EE0C" w14:textId="77777777" w:rsidR="00EF5B27" w:rsidRDefault="00000000">
                  <w:pPr>
                    <w:tabs>
                      <w:tab w:val="left" w:pos="2607"/>
                    </w:tabs>
                    <w:spacing w:before="142"/>
                    <w:ind w:left="113"/>
                    <w:rPr>
                      <w:b/>
                      <w:sz w:val="20"/>
                    </w:rPr>
                  </w:pPr>
                  <w:r>
                    <w:rPr>
                      <w:b/>
                      <w:color w:val="4D4D4F"/>
                      <w:sz w:val="20"/>
                    </w:rPr>
                    <w:t>Theme</w:t>
                  </w:r>
                  <w:r>
                    <w:rPr>
                      <w:b/>
                      <w:color w:val="4D4D4F"/>
                      <w:sz w:val="20"/>
                    </w:rPr>
                    <w:tab/>
                    <w:t>Golden Sun</w:t>
                  </w:r>
                  <w:r>
                    <w:rPr>
                      <w:b/>
                      <w:color w:val="4D4D4F"/>
                      <w:spacing w:val="7"/>
                      <w:sz w:val="20"/>
                    </w:rPr>
                    <w:t xml:space="preserve"> </w:t>
                  </w:r>
                  <w:r>
                    <w:rPr>
                      <w:b/>
                      <w:color w:val="4D4D4F"/>
                      <w:sz w:val="20"/>
                    </w:rPr>
                    <w:t>Moth</w:t>
                  </w:r>
                </w:p>
              </w:txbxContent>
            </v:textbox>
            <w10:anchorlock/>
          </v:shape>
        </w:pict>
      </w:r>
    </w:p>
    <w:p w14:paraId="77564D13" w14:textId="77777777" w:rsidR="00EF5B27" w:rsidRDefault="00EF5B27">
      <w:pPr>
        <w:pStyle w:val="BodyText"/>
        <w:spacing w:before="8"/>
        <w:rPr>
          <w:sz w:val="5"/>
        </w:rPr>
      </w:pPr>
    </w:p>
    <w:p w14:paraId="44D7C538" w14:textId="77777777" w:rsidR="00EF5B27" w:rsidRDefault="00EF5B27">
      <w:pPr>
        <w:rPr>
          <w:sz w:val="5"/>
        </w:rPr>
        <w:sectPr w:rsidR="00EF5B27">
          <w:pgSz w:w="11910" w:h="16840"/>
          <w:pgMar w:top="1080" w:right="1020" w:bottom="860" w:left="1020" w:header="537" w:footer="678" w:gutter="0"/>
          <w:cols w:space="720"/>
        </w:sectPr>
      </w:pPr>
    </w:p>
    <w:p w14:paraId="24B5BDCD" w14:textId="77777777" w:rsidR="00EF5B27" w:rsidRDefault="00000000">
      <w:pPr>
        <w:pStyle w:val="BodyText"/>
        <w:spacing w:before="51"/>
        <w:ind w:left="227"/>
      </w:pPr>
      <w:r>
        <w:pict w14:anchorId="6AE192B0">
          <v:group id="_x0000_s4448" style="position:absolute;left:0;text-align:left;margin-left:56.7pt;margin-top:-29.85pt;width:481.15pt;height:.25pt;z-index:251364864;mso-position-horizontal-relative:page" coordorigin="1134,-597" coordsize="9623,5">
            <v:line id="_x0000_s4450" style="position:absolute" from="1134,-595" to="3628,-595" strokeweight=".25pt"/>
            <v:line id="_x0000_s4449" style="position:absolute" from="3628,-595" to="10756,-595" strokeweight=".25pt"/>
            <w10:wrap anchorx="page"/>
          </v:group>
        </w:pict>
      </w:r>
      <w:r>
        <w:pict w14:anchorId="6AC5632B">
          <v:group id="_x0000_s4445" style="position:absolute;left:0;text-align:left;margin-left:56.7pt;margin-top:-4.35pt;width:481.15pt;height:.25pt;z-index:251365888;mso-position-horizontal-relative:page" coordorigin="1134,-87" coordsize="9623,5">
            <v:line id="_x0000_s4447" style="position:absolute" from="1134,-84" to="3628,-84" strokeweight=".25pt"/>
            <v:line id="_x0000_s4446" style="position:absolute" from="3628,-84" to="10756,-84" strokeweight=".25pt"/>
            <w10:wrap anchorx="page"/>
          </v:group>
        </w:pict>
      </w:r>
      <w:r>
        <w:rPr>
          <w:color w:val="4D4D4F"/>
        </w:rPr>
        <w:t>Recommendation</w:t>
      </w:r>
    </w:p>
    <w:p w14:paraId="6B3F2DBF" w14:textId="77777777" w:rsidR="00EF5B27" w:rsidRDefault="00000000">
      <w:pPr>
        <w:pStyle w:val="Heading1"/>
      </w:pPr>
      <w:r>
        <w:pict w14:anchorId="317A64EE">
          <v:group id="_x0000_s4442" style="position:absolute;left:0;text-align:left;margin-left:56.7pt;margin-top:50.95pt;width:481.15pt;height:.25pt;z-index:251367936;mso-position-horizontal-relative:page" coordorigin="1134,1019" coordsize="9623,5">
            <v:line id="_x0000_s4444" style="position:absolute" from="1134,1022" to="3628,1022" strokeweight=".25pt"/>
            <v:line id="_x0000_s4443" style="position:absolute" from="3628,1022" to="10756,1022" strokeweight=".25pt"/>
            <w10:wrap anchorx="page"/>
          </v:group>
        </w:pict>
      </w:r>
      <w:r>
        <w:rPr>
          <w:color w:val="4D4D4F"/>
          <w:spacing w:val="3"/>
          <w:w w:val="105"/>
        </w:rPr>
        <w:t>08</w:t>
      </w:r>
    </w:p>
    <w:p w14:paraId="71CAF524" w14:textId="77777777" w:rsidR="00EF5B27" w:rsidRDefault="00EF5B27">
      <w:pPr>
        <w:pStyle w:val="BodyText"/>
        <w:rPr>
          <w:b/>
        </w:rPr>
      </w:pPr>
    </w:p>
    <w:p w14:paraId="122B508E" w14:textId="77777777" w:rsidR="00EF5B27" w:rsidRDefault="00EF5B27">
      <w:pPr>
        <w:pStyle w:val="BodyText"/>
        <w:rPr>
          <w:b/>
        </w:rPr>
      </w:pPr>
    </w:p>
    <w:p w14:paraId="22BE0F69" w14:textId="77777777" w:rsidR="00EF5B27" w:rsidRDefault="00EF5B27">
      <w:pPr>
        <w:pStyle w:val="BodyText"/>
        <w:rPr>
          <w:b/>
        </w:rPr>
      </w:pPr>
    </w:p>
    <w:p w14:paraId="7061EEFB" w14:textId="77777777" w:rsidR="00EF5B27" w:rsidRDefault="00000000">
      <w:pPr>
        <w:pStyle w:val="BodyText"/>
        <w:rPr>
          <w:b/>
          <w:sz w:val="26"/>
        </w:rPr>
      </w:pPr>
      <w:r>
        <w:rPr>
          <w:noProof/>
        </w:rPr>
        <w:drawing>
          <wp:anchor distT="0" distB="0" distL="0" distR="0" simplePos="0" relativeHeight="251287040" behindDoc="0" locked="0" layoutInCell="1" allowOverlap="1" wp14:anchorId="3F7EBF20" wp14:editId="7C76FF18">
            <wp:simplePos x="0" y="0"/>
            <wp:positionH relativeFrom="page">
              <wp:posOffset>720001</wp:posOffset>
            </wp:positionH>
            <wp:positionV relativeFrom="paragraph">
              <wp:posOffset>226841</wp:posOffset>
            </wp:positionV>
            <wp:extent cx="1065288" cy="1065276"/>
            <wp:effectExtent l="0" t="0" r="0" b="0"/>
            <wp:wrapTopAndBottom/>
            <wp:docPr id="3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5.jpeg"/>
                    <pic:cNvPicPr/>
                  </pic:nvPicPr>
                  <pic:blipFill>
                    <a:blip r:embed="rId48" cstate="print"/>
                    <a:stretch>
                      <a:fillRect/>
                    </a:stretch>
                  </pic:blipFill>
                  <pic:spPr>
                    <a:xfrm>
                      <a:off x="0" y="0"/>
                      <a:ext cx="1065288" cy="1065276"/>
                    </a:xfrm>
                    <a:prstGeom prst="rect">
                      <a:avLst/>
                    </a:prstGeom>
                  </pic:spPr>
                </pic:pic>
              </a:graphicData>
            </a:graphic>
          </wp:anchor>
        </w:drawing>
      </w:r>
    </w:p>
    <w:p w14:paraId="781A0A17" w14:textId="77777777" w:rsidR="00EF5B27" w:rsidRDefault="00000000">
      <w:pPr>
        <w:spacing w:before="51"/>
        <w:ind w:left="60" w:right="787"/>
        <w:jc w:val="center"/>
        <w:rPr>
          <w:rFonts w:ascii="Century Gothic"/>
          <w:i/>
          <w:sz w:val="12"/>
        </w:rPr>
      </w:pPr>
      <w:r>
        <w:rPr>
          <w:rFonts w:ascii="Century Gothic"/>
          <w:i/>
          <w:color w:val="4D4D4F"/>
          <w:w w:val="85"/>
          <w:sz w:val="12"/>
        </w:rPr>
        <w:t>Golden Sun</w:t>
      </w:r>
      <w:r>
        <w:rPr>
          <w:rFonts w:ascii="Century Gothic"/>
          <w:i/>
          <w:color w:val="4D4D4F"/>
          <w:spacing w:val="-2"/>
          <w:w w:val="85"/>
          <w:sz w:val="12"/>
        </w:rPr>
        <w:t xml:space="preserve"> </w:t>
      </w:r>
      <w:r>
        <w:rPr>
          <w:rFonts w:ascii="Century Gothic"/>
          <w:i/>
          <w:color w:val="4D4D4F"/>
          <w:w w:val="85"/>
          <w:sz w:val="12"/>
        </w:rPr>
        <w:t>Moth</w:t>
      </w:r>
    </w:p>
    <w:p w14:paraId="1A021EC0" w14:textId="77777777" w:rsidR="00EF5B27" w:rsidRDefault="00000000">
      <w:pPr>
        <w:pStyle w:val="BodyText"/>
        <w:spacing w:before="51"/>
        <w:ind w:left="227"/>
      </w:pPr>
      <w:r>
        <w:br w:type="column"/>
      </w:r>
      <w:r>
        <w:rPr>
          <w:color w:val="4D4D4F"/>
        </w:rPr>
        <w:t>That DELWP:</w:t>
      </w:r>
    </w:p>
    <w:p w14:paraId="5E62721B" w14:textId="77777777" w:rsidR="00EF5B27" w:rsidRDefault="00000000">
      <w:pPr>
        <w:pStyle w:val="ListParagraph"/>
        <w:numPr>
          <w:ilvl w:val="0"/>
          <w:numId w:val="57"/>
        </w:numPr>
        <w:tabs>
          <w:tab w:val="left" w:pos="429"/>
        </w:tabs>
        <w:spacing w:before="130"/>
        <w:ind w:hanging="201"/>
        <w:rPr>
          <w:sz w:val="20"/>
        </w:rPr>
      </w:pPr>
      <w:r>
        <w:rPr>
          <w:color w:val="4D4D4F"/>
          <w:sz w:val="20"/>
        </w:rPr>
        <w:t>considers changes to the monitoring regime of the Golden Sun Moth,</w:t>
      </w:r>
      <w:r>
        <w:rPr>
          <w:color w:val="4D4D4F"/>
          <w:spacing w:val="33"/>
          <w:sz w:val="20"/>
        </w:rPr>
        <w:t xml:space="preserve"> </w:t>
      </w:r>
      <w:r>
        <w:rPr>
          <w:color w:val="4D4D4F"/>
          <w:sz w:val="20"/>
        </w:rPr>
        <w:t>and</w:t>
      </w:r>
    </w:p>
    <w:p w14:paraId="01C06528" w14:textId="77777777" w:rsidR="00EF5B27" w:rsidRDefault="00000000">
      <w:pPr>
        <w:pStyle w:val="ListParagraph"/>
        <w:numPr>
          <w:ilvl w:val="0"/>
          <w:numId w:val="57"/>
        </w:numPr>
        <w:tabs>
          <w:tab w:val="left" w:pos="471"/>
        </w:tabs>
        <w:spacing w:before="129"/>
        <w:ind w:left="470" w:hanging="243"/>
        <w:rPr>
          <w:sz w:val="20"/>
        </w:rPr>
      </w:pPr>
      <w:r>
        <w:rPr>
          <w:color w:val="4D4D4F"/>
          <w:sz w:val="20"/>
        </w:rPr>
        <w:t>undertakes research into biomass control</w:t>
      </w:r>
      <w:r>
        <w:rPr>
          <w:color w:val="4D4D4F"/>
          <w:spacing w:val="24"/>
          <w:sz w:val="20"/>
        </w:rPr>
        <w:t xml:space="preserve"> </w:t>
      </w:r>
      <w:r>
        <w:rPr>
          <w:color w:val="4D4D4F"/>
          <w:sz w:val="20"/>
        </w:rPr>
        <w:t>impacts.</w:t>
      </w:r>
    </w:p>
    <w:p w14:paraId="4CF55FDC" w14:textId="77777777" w:rsidR="00EF5B27" w:rsidRDefault="00EF5B27">
      <w:pPr>
        <w:pStyle w:val="BodyText"/>
        <w:rPr>
          <w:sz w:val="24"/>
        </w:rPr>
      </w:pPr>
    </w:p>
    <w:p w14:paraId="7C6B5AD4" w14:textId="77777777" w:rsidR="00EF5B27" w:rsidRDefault="00EF5B27">
      <w:pPr>
        <w:pStyle w:val="BodyText"/>
        <w:rPr>
          <w:sz w:val="24"/>
        </w:rPr>
      </w:pPr>
    </w:p>
    <w:p w14:paraId="3D887B0A" w14:textId="77777777" w:rsidR="00EF5B27" w:rsidRDefault="00EF5B27">
      <w:pPr>
        <w:pStyle w:val="BodyText"/>
        <w:spacing w:before="10"/>
        <w:rPr>
          <w:sz w:val="26"/>
        </w:rPr>
      </w:pPr>
    </w:p>
    <w:p w14:paraId="37E50A92" w14:textId="77777777" w:rsidR="00EF5B27" w:rsidRDefault="00000000">
      <w:pPr>
        <w:pStyle w:val="Heading3"/>
        <w:ind w:left="113"/>
      </w:pPr>
      <w:r>
        <w:rPr>
          <w:color w:val="F99F2A"/>
        </w:rPr>
        <w:t>Challenges the recommendation addresses</w:t>
      </w:r>
    </w:p>
    <w:p w14:paraId="68D35801" w14:textId="77777777" w:rsidR="00EF5B27" w:rsidRDefault="00EF5B27">
      <w:pPr>
        <w:pStyle w:val="BodyText"/>
        <w:spacing w:before="5"/>
        <w:rPr>
          <w:b/>
          <w:sz w:val="27"/>
        </w:rPr>
      </w:pPr>
    </w:p>
    <w:p w14:paraId="0EE41DD2" w14:textId="77777777" w:rsidR="00EF5B27" w:rsidRDefault="00000000">
      <w:pPr>
        <w:pStyle w:val="BodyText"/>
        <w:spacing w:line="254" w:lineRule="auto"/>
        <w:ind w:left="113" w:right="101"/>
      </w:pPr>
      <w:r>
        <w:rPr>
          <w:color w:val="4D4D4F"/>
        </w:rPr>
        <w:t>With additional Golden Sun Moth sites expected to come under MSA management over the next 18 months, there is a need to review the current monitoring regime.</w:t>
      </w:r>
    </w:p>
    <w:p w14:paraId="6058B3A4" w14:textId="77777777" w:rsidR="00EF5B27" w:rsidRDefault="00000000">
      <w:pPr>
        <w:pStyle w:val="BodyText"/>
        <w:spacing w:before="116" w:line="254" w:lineRule="auto"/>
        <w:ind w:left="113" w:right="101"/>
        <w:rPr>
          <w:sz w:val="11"/>
        </w:rPr>
      </w:pPr>
      <w:r>
        <w:rPr>
          <w:color w:val="4D4D4F"/>
        </w:rPr>
        <w:t xml:space="preserve">The </w:t>
      </w:r>
      <w:r>
        <w:rPr>
          <w:color w:val="4D4D4F"/>
          <w:spacing w:val="-3"/>
        </w:rPr>
        <w:t xml:space="preserve">Golden </w:t>
      </w:r>
      <w:r>
        <w:rPr>
          <w:color w:val="4D4D4F"/>
        </w:rPr>
        <w:t xml:space="preserve">Sun Moth was detected at </w:t>
      </w:r>
      <w:r>
        <w:rPr>
          <w:color w:val="4D4D4F"/>
          <w:spacing w:val="-3"/>
        </w:rPr>
        <w:t xml:space="preserve">four </w:t>
      </w:r>
      <w:r>
        <w:rPr>
          <w:color w:val="4D4D4F"/>
        </w:rPr>
        <w:t xml:space="preserve">of </w:t>
      </w:r>
      <w:r>
        <w:rPr>
          <w:color w:val="4D4D4F"/>
          <w:spacing w:val="-11"/>
        </w:rPr>
        <w:t xml:space="preserve">11 </w:t>
      </w:r>
      <w:r>
        <w:rPr>
          <w:color w:val="4D4D4F"/>
          <w:spacing w:val="-3"/>
        </w:rPr>
        <w:t xml:space="preserve">plots in </w:t>
      </w:r>
      <w:r>
        <w:rPr>
          <w:color w:val="4D4D4F"/>
        </w:rPr>
        <w:t xml:space="preserve">the </w:t>
      </w:r>
      <w:r>
        <w:rPr>
          <w:color w:val="4D4D4F"/>
          <w:spacing w:val="-5"/>
        </w:rPr>
        <w:t xml:space="preserve">2021–22 </w:t>
      </w:r>
      <w:r>
        <w:rPr>
          <w:color w:val="4D4D4F"/>
        </w:rPr>
        <w:t xml:space="preserve">season, </w:t>
      </w:r>
      <w:r>
        <w:rPr>
          <w:color w:val="4D4D4F"/>
          <w:spacing w:val="-3"/>
        </w:rPr>
        <w:t xml:space="preserve">suggesting </w:t>
      </w:r>
      <w:r>
        <w:rPr>
          <w:color w:val="4D4D4F"/>
        </w:rPr>
        <w:t>an overall decline in population numbers. This is the first year that the KPI has been in breach of the baseline for Golden Sun Moth and occupancy is the lowest recorded in eight years of monitoring.</w:t>
      </w:r>
      <w:r>
        <w:rPr>
          <w:color w:val="4D4D4F"/>
          <w:position w:val="7"/>
          <w:sz w:val="11"/>
        </w:rPr>
        <w:t>22</w:t>
      </w:r>
    </w:p>
    <w:p w14:paraId="45F076D1" w14:textId="77777777" w:rsidR="00EF5B27" w:rsidRDefault="00000000">
      <w:pPr>
        <w:pStyle w:val="BodyText"/>
        <w:spacing w:before="118" w:line="254" w:lineRule="auto"/>
        <w:ind w:left="113"/>
      </w:pPr>
      <w:r>
        <w:rPr>
          <w:color w:val="4D4D4F"/>
        </w:rPr>
        <w:t>The moths are presumed to eat C3 grasses, not Kangaroo Grass. DELWP’s Population Viability Analysis (PVA) modelling highlighted the importance of bare ground and</w:t>
      </w:r>
    </w:p>
    <w:p w14:paraId="350AFA68" w14:textId="77777777" w:rsidR="00EF5B27" w:rsidRDefault="00000000">
      <w:pPr>
        <w:pStyle w:val="BodyText"/>
        <w:spacing w:before="3" w:line="254" w:lineRule="auto"/>
        <w:ind w:left="113" w:right="167"/>
      </w:pPr>
      <w:r>
        <w:rPr>
          <w:color w:val="4D4D4F"/>
          <w:w w:val="105"/>
        </w:rPr>
        <w:t xml:space="preserve">C3 dominance grasses. Monitoring data show generally high grassland biomass levels </w:t>
      </w:r>
      <w:r>
        <w:rPr>
          <w:color w:val="4D4D4F"/>
          <w:spacing w:val="-3"/>
          <w:w w:val="105"/>
        </w:rPr>
        <w:t xml:space="preserve">(and </w:t>
      </w:r>
      <w:r>
        <w:rPr>
          <w:color w:val="4D4D4F"/>
          <w:w w:val="105"/>
        </w:rPr>
        <w:t xml:space="preserve">correspondingly less bare ground) in </w:t>
      </w:r>
      <w:r>
        <w:rPr>
          <w:color w:val="4D4D4F"/>
          <w:spacing w:val="-3"/>
          <w:w w:val="105"/>
        </w:rPr>
        <w:t xml:space="preserve">2021, </w:t>
      </w:r>
      <w:r>
        <w:rPr>
          <w:color w:val="4D4D4F"/>
          <w:w w:val="105"/>
        </w:rPr>
        <w:t>compared with previous years.</w:t>
      </w:r>
      <w:r>
        <w:rPr>
          <w:color w:val="4D4D4F"/>
          <w:w w:val="105"/>
          <w:position w:val="7"/>
          <w:sz w:val="11"/>
        </w:rPr>
        <w:t>23</w:t>
      </w:r>
      <w:r>
        <w:rPr>
          <w:color w:val="4D4D4F"/>
          <w:spacing w:val="4"/>
          <w:w w:val="105"/>
          <w:position w:val="7"/>
          <w:sz w:val="11"/>
        </w:rPr>
        <w:t xml:space="preserve"> </w:t>
      </w:r>
      <w:r>
        <w:rPr>
          <w:color w:val="4D4D4F"/>
          <w:spacing w:val="-3"/>
          <w:w w:val="105"/>
        </w:rPr>
        <w:t>DELWP</w:t>
      </w:r>
      <w:r>
        <w:rPr>
          <w:color w:val="4D4D4F"/>
          <w:spacing w:val="-19"/>
          <w:w w:val="105"/>
        </w:rPr>
        <w:t xml:space="preserve"> </w:t>
      </w:r>
      <w:r>
        <w:rPr>
          <w:color w:val="4D4D4F"/>
          <w:spacing w:val="-3"/>
          <w:w w:val="105"/>
        </w:rPr>
        <w:t>speculates</w:t>
      </w:r>
      <w:r>
        <w:rPr>
          <w:color w:val="4D4D4F"/>
          <w:spacing w:val="-19"/>
          <w:w w:val="105"/>
        </w:rPr>
        <w:t xml:space="preserve"> </w:t>
      </w:r>
      <w:r>
        <w:rPr>
          <w:color w:val="4D4D4F"/>
          <w:spacing w:val="-3"/>
          <w:w w:val="105"/>
        </w:rPr>
        <w:t>that</w:t>
      </w:r>
      <w:r>
        <w:rPr>
          <w:color w:val="4D4D4F"/>
          <w:spacing w:val="-19"/>
          <w:w w:val="105"/>
        </w:rPr>
        <w:t xml:space="preserve"> </w:t>
      </w:r>
      <w:r>
        <w:rPr>
          <w:color w:val="4D4D4F"/>
          <w:spacing w:val="-4"/>
          <w:w w:val="105"/>
        </w:rPr>
        <w:t>this</w:t>
      </w:r>
      <w:r>
        <w:rPr>
          <w:color w:val="4D4D4F"/>
          <w:spacing w:val="-20"/>
          <w:w w:val="105"/>
        </w:rPr>
        <w:t xml:space="preserve"> </w:t>
      </w:r>
      <w:r>
        <w:rPr>
          <w:color w:val="4D4D4F"/>
          <w:w w:val="105"/>
        </w:rPr>
        <w:t>factor</w:t>
      </w:r>
      <w:r>
        <w:rPr>
          <w:color w:val="4D4D4F"/>
          <w:spacing w:val="-19"/>
          <w:w w:val="105"/>
        </w:rPr>
        <w:t xml:space="preserve"> </w:t>
      </w:r>
      <w:r>
        <w:rPr>
          <w:color w:val="4D4D4F"/>
          <w:w w:val="105"/>
        </w:rPr>
        <w:t>may</w:t>
      </w:r>
      <w:r>
        <w:rPr>
          <w:color w:val="4D4D4F"/>
          <w:spacing w:val="-19"/>
          <w:w w:val="105"/>
        </w:rPr>
        <w:t xml:space="preserve"> </w:t>
      </w:r>
      <w:r>
        <w:rPr>
          <w:color w:val="4D4D4F"/>
          <w:w w:val="105"/>
        </w:rPr>
        <w:t>have</w:t>
      </w:r>
      <w:r>
        <w:rPr>
          <w:color w:val="4D4D4F"/>
          <w:spacing w:val="-20"/>
          <w:w w:val="105"/>
        </w:rPr>
        <w:t xml:space="preserve"> </w:t>
      </w:r>
      <w:r>
        <w:rPr>
          <w:color w:val="4D4D4F"/>
          <w:w w:val="105"/>
        </w:rPr>
        <w:t>had</w:t>
      </w:r>
      <w:r>
        <w:rPr>
          <w:color w:val="4D4D4F"/>
          <w:spacing w:val="-19"/>
          <w:w w:val="105"/>
        </w:rPr>
        <w:t xml:space="preserve"> </w:t>
      </w:r>
      <w:r>
        <w:rPr>
          <w:color w:val="4D4D4F"/>
          <w:w w:val="105"/>
        </w:rPr>
        <w:t>a</w:t>
      </w:r>
      <w:r>
        <w:rPr>
          <w:color w:val="4D4D4F"/>
          <w:spacing w:val="-19"/>
          <w:w w:val="105"/>
        </w:rPr>
        <w:t xml:space="preserve"> </w:t>
      </w:r>
      <w:r>
        <w:rPr>
          <w:color w:val="4D4D4F"/>
          <w:spacing w:val="-3"/>
          <w:w w:val="105"/>
        </w:rPr>
        <w:t>detrimental</w:t>
      </w:r>
      <w:r>
        <w:rPr>
          <w:color w:val="4D4D4F"/>
          <w:spacing w:val="-19"/>
          <w:w w:val="105"/>
        </w:rPr>
        <w:t xml:space="preserve"> </w:t>
      </w:r>
      <w:r>
        <w:rPr>
          <w:color w:val="4D4D4F"/>
          <w:w w:val="105"/>
        </w:rPr>
        <w:t>effect</w:t>
      </w:r>
      <w:r>
        <w:rPr>
          <w:color w:val="4D4D4F"/>
          <w:spacing w:val="-20"/>
          <w:w w:val="105"/>
        </w:rPr>
        <w:t xml:space="preserve"> </w:t>
      </w:r>
      <w:r>
        <w:rPr>
          <w:color w:val="4D4D4F"/>
          <w:w w:val="105"/>
        </w:rPr>
        <w:t>on</w:t>
      </w:r>
      <w:r>
        <w:rPr>
          <w:color w:val="4D4D4F"/>
          <w:spacing w:val="-19"/>
          <w:w w:val="105"/>
        </w:rPr>
        <w:t xml:space="preserve"> </w:t>
      </w:r>
      <w:r>
        <w:rPr>
          <w:color w:val="4D4D4F"/>
          <w:w w:val="105"/>
        </w:rPr>
        <w:t xml:space="preserve">moth emergence and </w:t>
      </w:r>
      <w:r>
        <w:rPr>
          <w:color w:val="4D4D4F"/>
          <w:spacing w:val="-3"/>
          <w:w w:val="105"/>
        </w:rPr>
        <w:t xml:space="preserve">detectability. Studies </w:t>
      </w:r>
      <w:r>
        <w:rPr>
          <w:color w:val="4D4D4F"/>
          <w:w w:val="105"/>
        </w:rPr>
        <w:t xml:space="preserve">have not </w:t>
      </w:r>
      <w:r>
        <w:rPr>
          <w:color w:val="4D4D4F"/>
          <w:spacing w:val="-2"/>
          <w:w w:val="105"/>
        </w:rPr>
        <w:t xml:space="preserve">yet </w:t>
      </w:r>
      <w:r>
        <w:rPr>
          <w:color w:val="4D4D4F"/>
          <w:w w:val="105"/>
        </w:rPr>
        <w:t xml:space="preserve">been undertaken to assess the </w:t>
      </w:r>
      <w:r>
        <w:rPr>
          <w:color w:val="4D4D4F"/>
          <w:spacing w:val="-3"/>
        </w:rPr>
        <w:t>relationship</w:t>
      </w:r>
      <w:r>
        <w:rPr>
          <w:color w:val="4D4D4F"/>
          <w:spacing w:val="-5"/>
        </w:rPr>
        <w:t xml:space="preserve"> </w:t>
      </w:r>
      <w:r>
        <w:rPr>
          <w:color w:val="4D4D4F"/>
        </w:rPr>
        <w:t>between</w:t>
      </w:r>
      <w:r>
        <w:rPr>
          <w:color w:val="4D4D4F"/>
          <w:spacing w:val="-4"/>
        </w:rPr>
        <w:t xml:space="preserve"> </w:t>
      </w:r>
      <w:r>
        <w:rPr>
          <w:color w:val="4D4D4F"/>
          <w:spacing w:val="-3"/>
        </w:rPr>
        <w:t>biomass</w:t>
      </w:r>
      <w:r>
        <w:rPr>
          <w:color w:val="4D4D4F"/>
          <w:spacing w:val="-5"/>
        </w:rPr>
        <w:t xml:space="preserve"> </w:t>
      </w:r>
      <w:r>
        <w:rPr>
          <w:color w:val="4D4D4F"/>
        </w:rPr>
        <w:t>control</w:t>
      </w:r>
      <w:r>
        <w:rPr>
          <w:color w:val="4D4D4F"/>
          <w:spacing w:val="-4"/>
        </w:rPr>
        <w:t xml:space="preserve"> </w:t>
      </w:r>
      <w:r>
        <w:rPr>
          <w:color w:val="4D4D4F"/>
        </w:rPr>
        <w:t>regimes</w:t>
      </w:r>
      <w:r>
        <w:rPr>
          <w:color w:val="4D4D4F"/>
          <w:spacing w:val="-5"/>
        </w:rPr>
        <w:t xml:space="preserve"> </w:t>
      </w:r>
      <w:r>
        <w:rPr>
          <w:color w:val="4D4D4F"/>
        </w:rPr>
        <w:t>and</w:t>
      </w:r>
      <w:r>
        <w:rPr>
          <w:color w:val="4D4D4F"/>
          <w:spacing w:val="-4"/>
        </w:rPr>
        <w:t xml:space="preserve"> </w:t>
      </w:r>
      <w:r>
        <w:rPr>
          <w:color w:val="4D4D4F"/>
        </w:rPr>
        <w:t>persistence</w:t>
      </w:r>
      <w:r>
        <w:rPr>
          <w:color w:val="4D4D4F"/>
          <w:spacing w:val="-5"/>
        </w:rPr>
        <w:t xml:space="preserve"> </w:t>
      </w:r>
      <w:r>
        <w:rPr>
          <w:color w:val="4D4D4F"/>
        </w:rPr>
        <w:t>of</w:t>
      </w:r>
      <w:r>
        <w:rPr>
          <w:color w:val="4D4D4F"/>
          <w:spacing w:val="-4"/>
        </w:rPr>
        <w:t xml:space="preserve"> </w:t>
      </w:r>
      <w:r>
        <w:rPr>
          <w:color w:val="4D4D4F"/>
        </w:rPr>
        <w:t>the</w:t>
      </w:r>
      <w:r>
        <w:rPr>
          <w:color w:val="4D4D4F"/>
          <w:spacing w:val="-4"/>
        </w:rPr>
        <w:t xml:space="preserve"> </w:t>
      </w:r>
      <w:r>
        <w:rPr>
          <w:color w:val="4D4D4F"/>
          <w:spacing w:val="-3"/>
        </w:rPr>
        <w:t>Golden</w:t>
      </w:r>
      <w:r>
        <w:rPr>
          <w:color w:val="4D4D4F"/>
          <w:spacing w:val="-5"/>
        </w:rPr>
        <w:t xml:space="preserve"> </w:t>
      </w:r>
      <w:r>
        <w:rPr>
          <w:color w:val="4D4D4F"/>
        </w:rPr>
        <w:t>Sun</w:t>
      </w:r>
      <w:r>
        <w:rPr>
          <w:color w:val="4D4D4F"/>
          <w:spacing w:val="-4"/>
        </w:rPr>
        <w:t xml:space="preserve"> </w:t>
      </w:r>
      <w:r>
        <w:rPr>
          <w:color w:val="4D4D4F"/>
        </w:rPr>
        <w:t>Moth.</w:t>
      </w:r>
    </w:p>
    <w:p w14:paraId="01353064"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826" w:space="669"/>
            <w:col w:w="7375"/>
          </w:cols>
        </w:sectPr>
      </w:pPr>
    </w:p>
    <w:p w14:paraId="708E202D" w14:textId="77777777" w:rsidR="00EF5B27" w:rsidRDefault="00000000">
      <w:pPr>
        <w:pStyle w:val="BodyText"/>
      </w:pPr>
      <w:r>
        <w:pict w14:anchorId="7C253F11">
          <v:group id="_x0000_s4434" style="position:absolute;margin-left:587.05pt;margin-top:183.4pt;width:8.25pt;height:153.1pt;z-index:251363840;mso-position-horizontal-relative:page;mso-position-vertical-relative:page" coordorigin="11741,3668" coordsize="165,3062">
            <v:shape id="_x0000_s4441" style="position:absolute;left:11741;top:3668;width:165;height:561" coordorigin="11741,3668" coordsize="165,561" path="m11906,3668r-165,l11741,4228r165,-18l11906,3668xe" fillcolor="#00aed9" stroked="f">
              <v:path arrowok="t"/>
            </v:shape>
            <v:shape id="_x0000_s4440" style="position:absolute;left:11741;top:4118;width:165;height:425" coordorigin="11741,4118" coordsize="165,425" path="m11906,4118r-165,14l11741,4531r165,12l11906,4118xe" fillcolor="#047ebc" stroked="f">
              <v:path arrowok="t"/>
            </v:shape>
            <v:shape id="_x0000_s4439" type="#_x0000_t75" style="position:absolute;left:11741;top:4355;width:165;height:587">
              <v:imagedata r:id="rId42" o:title=""/>
            </v:shape>
            <v:shape id="_x0000_s4438" style="position:absolute;left:11741;top:5343;width:165;height:536" coordorigin="11741,5343" coordsize="165,536" path="m11741,5343r,535l11906,5872r,-525l11741,5343xe" fillcolor="#f36a2e" stroked="f">
              <v:path arrowok="t"/>
            </v:shape>
            <v:shape id="_x0000_s4437" style="position:absolute;left:11741;top:4925;width:165;height:501" coordorigin="11741,4926" coordsize="165,501" path="m11741,4926r,500l11906,5426r,-485l11741,4926xe" fillcolor="#49783f" stroked="f">
              <v:path arrowok="t"/>
            </v:shape>
            <v:shape id="_x0000_s4436" style="position:absolute;left:11741;top:5781;width:165;height:268" coordorigin="11741,5782" coordsize="165,268" path="m11906,5782r-165,8l11741,6039r165,10l11906,5782xe" fillcolor="#f99f2a" stroked="f">
              <v:path arrowok="t"/>
            </v:shape>
            <v:shape id="_x0000_s4435" style="position:absolute;left:11741;top:6023;width:165;height:707" coordorigin="11741,6023" coordsize="165,707" path="m11741,6023r,706l11906,6729r,-690l11741,6023xe" fillcolor="#ef412c" stroked="f">
              <v:path arrowok="t"/>
            </v:shape>
            <w10:wrap anchorx="page" anchory="page"/>
          </v:group>
        </w:pict>
      </w:r>
    </w:p>
    <w:p w14:paraId="177552DD" w14:textId="77777777" w:rsidR="00EF5B27" w:rsidRDefault="00EF5B27">
      <w:pPr>
        <w:pStyle w:val="BodyText"/>
      </w:pPr>
    </w:p>
    <w:p w14:paraId="0AF8B8B0" w14:textId="77777777" w:rsidR="00EF5B27" w:rsidRDefault="00EF5B27">
      <w:pPr>
        <w:pStyle w:val="BodyText"/>
      </w:pPr>
    </w:p>
    <w:p w14:paraId="02D1E799" w14:textId="77777777" w:rsidR="00EF5B27" w:rsidRDefault="00EF5B27">
      <w:pPr>
        <w:pStyle w:val="BodyText"/>
      </w:pPr>
    </w:p>
    <w:p w14:paraId="49AE79C6" w14:textId="77777777" w:rsidR="00EF5B27" w:rsidRDefault="00EF5B27">
      <w:pPr>
        <w:pStyle w:val="BodyText"/>
      </w:pPr>
    </w:p>
    <w:p w14:paraId="45828CAE" w14:textId="77777777" w:rsidR="00EF5B27" w:rsidRDefault="00EF5B27">
      <w:pPr>
        <w:pStyle w:val="BodyText"/>
      </w:pPr>
    </w:p>
    <w:p w14:paraId="3C5BC155" w14:textId="77777777" w:rsidR="00EF5B27" w:rsidRDefault="00EF5B27">
      <w:pPr>
        <w:pStyle w:val="BodyText"/>
      </w:pPr>
    </w:p>
    <w:p w14:paraId="2714B6B8" w14:textId="77777777" w:rsidR="00EF5B27" w:rsidRDefault="00EF5B27">
      <w:pPr>
        <w:pStyle w:val="BodyText"/>
      </w:pPr>
    </w:p>
    <w:p w14:paraId="60B26657" w14:textId="77777777" w:rsidR="00EF5B27" w:rsidRDefault="00EF5B27">
      <w:pPr>
        <w:pStyle w:val="BodyText"/>
      </w:pPr>
    </w:p>
    <w:p w14:paraId="370D0BF8" w14:textId="77777777" w:rsidR="00EF5B27" w:rsidRDefault="00EF5B27">
      <w:pPr>
        <w:pStyle w:val="BodyText"/>
      </w:pPr>
    </w:p>
    <w:p w14:paraId="0A91064F" w14:textId="77777777" w:rsidR="00EF5B27" w:rsidRDefault="00EF5B27">
      <w:pPr>
        <w:pStyle w:val="BodyText"/>
      </w:pPr>
    </w:p>
    <w:p w14:paraId="78ABB6AC" w14:textId="77777777" w:rsidR="00EF5B27" w:rsidRDefault="00EF5B27">
      <w:pPr>
        <w:pStyle w:val="BodyText"/>
      </w:pPr>
    </w:p>
    <w:p w14:paraId="6E8BEA9A" w14:textId="77777777" w:rsidR="00EF5B27" w:rsidRDefault="00EF5B27">
      <w:pPr>
        <w:pStyle w:val="BodyText"/>
      </w:pPr>
    </w:p>
    <w:p w14:paraId="08B41B8C" w14:textId="77777777" w:rsidR="00EF5B27" w:rsidRDefault="00EF5B27">
      <w:pPr>
        <w:pStyle w:val="BodyText"/>
      </w:pPr>
    </w:p>
    <w:p w14:paraId="0091783F" w14:textId="77777777" w:rsidR="00EF5B27" w:rsidRDefault="00EF5B27">
      <w:pPr>
        <w:pStyle w:val="BodyText"/>
      </w:pPr>
    </w:p>
    <w:p w14:paraId="67BEA6B5" w14:textId="77777777" w:rsidR="00EF5B27" w:rsidRDefault="00EF5B27">
      <w:pPr>
        <w:pStyle w:val="BodyText"/>
      </w:pPr>
    </w:p>
    <w:p w14:paraId="180E52D6" w14:textId="77777777" w:rsidR="00EF5B27" w:rsidRDefault="00EF5B27">
      <w:pPr>
        <w:pStyle w:val="BodyText"/>
        <w:spacing w:before="3" w:after="1"/>
        <w:rPr>
          <w:sz w:val="15"/>
        </w:rPr>
      </w:pPr>
    </w:p>
    <w:p w14:paraId="788C9BF4" w14:textId="77777777" w:rsidR="00EF5B27" w:rsidRDefault="00000000">
      <w:pPr>
        <w:pStyle w:val="BodyText"/>
        <w:spacing w:line="20" w:lineRule="exact"/>
        <w:ind w:left="2603"/>
        <w:rPr>
          <w:sz w:val="2"/>
        </w:rPr>
      </w:pPr>
      <w:r>
        <w:rPr>
          <w:sz w:val="2"/>
        </w:rPr>
      </w:r>
      <w:r>
        <w:rPr>
          <w:sz w:val="2"/>
        </w:rPr>
        <w:pict w14:anchorId="34F21486">
          <v:group id="_x0000_s4432" style="width:357.2pt;height:.5pt;mso-position-horizontal-relative:char;mso-position-vertical-relative:line" coordsize="7144,10">
            <v:line id="_x0000_s4433" style="position:absolute" from="0,5" to="7143,5" strokecolor="#4d4d4f" strokeweight=".5pt"/>
            <w10:anchorlock/>
          </v:group>
        </w:pict>
      </w:r>
    </w:p>
    <w:p w14:paraId="4547D308" w14:textId="77777777" w:rsidR="00EF5B27" w:rsidRDefault="00000000">
      <w:pPr>
        <w:pStyle w:val="ListParagraph"/>
        <w:numPr>
          <w:ilvl w:val="0"/>
          <w:numId w:val="65"/>
        </w:numPr>
        <w:tabs>
          <w:tab w:val="left" w:pos="2836"/>
        </w:tabs>
        <w:spacing w:before="107" w:line="230" w:lineRule="auto"/>
        <w:ind w:right="111"/>
        <w:jc w:val="left"/>
        <w:rPr>
          <w:sz w:val="12"/>
        </w:rPr>
      </w:pPr>
      <w:r>
        <w:rPr>
          <w:color w:val="4D4D4F"/>
          <w:sz w:val="12"/>
        </w:rPr>
        <w:t xml:space="preserve">M </w:t>
      </w:r>
      <w:r>
        <w:rPr>
          <w:color w:val="4D4D4F"/>
          <w:spacing w:val="2"/>
          <w:sz w:val="12"/>
        </w:rPr>
        <w:t xml:space="preserve">Bruce, </w:t>
      </w:r>
      <w:r>
        <w:rPr>
          <w:color w:val="4D4D4F"/>
          <w:sz w:val="12"/>
        </w:rPr>
        <w:t xml:space="preserve">K Batpurev, D Bryant. S Sinclair and M Kohout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DELWP Heidelberg,</w:t>
      </w:r>
      <w:r>
        <w:rPr>
          <w:color w:val="4D4D4F"/>
          <w:spacing w:val="8"/>
          <w:sz w:val="12"/>
        </w:rPr>
        <w:t xml:space="preserve"> </w:t>
      </w:r>
      <w:r>
        <w:rPr>
          <w:color w:val="4D4D4F"/>
          <w:sz w:val="12"/>
        </w:rPr>
        <w:t>Victoria.</w:t>
      </w:r>
    </w:p>
    <w:p w14:paraId="6F77A941" w14:textId="77777777" w:rsidR="00EF5B27" w:rsidRDefault="00000000">
      <w:pPr>
        <w:pStyle w:val="ListParagraph"/>
        <w:numPr>
          <w:ilvl w:val="0"/>
          <w:numId w:val="65"/>
        </w:numPr>
        <w:tabs>
          <w:tab w:val="left" w:pos="2836"/>
        </w:tabs>
        <w:spacing w:line="141" w:lineRule="exact"/>
        <w:jc w:val="left"/>
        <w:rPr>
          <w:sz w:val="12"/>
        </w:rPr>
      </w:pPr>
      <w:r>
        <w:rPr>
          <w:color w:val="4D4D4F"/>
          <w:sz w:val="12"/>
        </w:rPr>
        <w:t xml:space="preserve">DELWP Officer, personal communication, 15 </w:t>
      </w:r>
      <w:r>
        <w:rPr>
          <w:color w:val="4D4D4F"/>
          <w:spacing w:val="2"/>
          <w:sz w:val="12"/>
        </w:rPr>
        <w:t>February</w:t>
      </w:r>
      <w:r>
        <w:rPr>
          <w:color w:val="4D4D4F"/>
          <w:spacing w:val="14"/>
          <w:sz w:val="12"/>
        </w:rPr>
        <w:t xml:space="preserve"> </w:t>
      </w:r>
      <w:r>
        <w:rPr>
          <w:color w:val="4D4D4F"/>
          <w:spacing w:val="2"/>
          <w:sz w:val="12"/>
        </w:rPr>
        <w:t>2022.</w:t>
      </w:r>
    </w:p>
    <w:p w14:paraId="5CA50A2A" w14:textId="77777777" w:rsidR="00EF5B27" w:rsidRDefault="00EF5B27">
      <w:pPr>
        <w:spacing w:line="141" w:lineRule="exact"/>
        <w:rPr>
          <w:sz w:val="12"/>
        </w:rPr>
        <w:sectPr w:rsidR="00EF5B27">
          <w:type w:val="continuous"/>
          <w:pgSz w:w="11910" w:h="16840"/>
          <w:pgMar w:top="1140" w:right="1020" w:bottom="280" w:left="1020" w:header="720" w:footer="720" w:gutter="0"/>
          <w:cols w:space="720"/>
        </w:sectPr>
      </w:pPr>
    </w:p>
    <w:p w14:paraId="4283C84C" w14:textId="77777777" w:rsidR="00EF5B27" w:rsidRDefault="00EF5B27">
      <w:pPr>
        <w:pStyle w:val="BodyText"/>
      </w:pPr>
    </w:p>
    <w:p w14:paraId="54A7D9AF" w14:textId="77777777" w:rsidR="00EF5B27" w:rsidRDefault="00EF5B27">
      <w:pPr>
        <w:pStyle w:val="BodyText"/>
      </w:pPr>
    </w:p>
    <w:p w14:paraId="4656F2C1" w14:textId="77777777" w:rsidR="00EF5B27" w:rsidRDefault="00EF5B27">
      <w:pPr>
        <w:pStyle w:val="BodyText"/>
      </w:pPr>
    </w:p>
    <w:p w14:paraId="10ABAA56" w14:textId="77777777" w:rsidR="00EF5B27" w:rsidRDefault="00EF5B27">
      <w:pPr>
        <w:pStyle w:val="BodyText"/>
      </w:pPr>
    </w:p>
    <w:p w14:paraId="24B25F04" w14:textId="77777777" w:rsidR="00EF5B27" w:rsidRDefault="00EF5B27">
      <w:pPr>
        <w:pStyle w:val="BodyText"/>
      </w:pPr>
    </w:p>
    <w:p w14:paraId="69F3D1A6" w14:textId="77777777" w:rsidR="00EF5B27" w:rsidRDefault="00EF5B27">
      <w:pPr>
        <w:pStyle w:val="BodyText"/>
      </w:pPr>
    </w:p>
    <w:p w14:paraId="49BECC28" w14:textId="77777777" w:rsidR="00EF5B27" w:rsidRDefault="00EF5B27">
      <w:pPr>
        <w:pStyle w:val="BodyText"/>
      </w:pPr>
    </w:p>
    <w:p w14:paraId="37AB083A" w14:textId="77777777" w:rsidR="00EF5B27" w:rsidRDefault="00EF5B27">
      <w:pPr>
        <w:pStyle w:val="BodyText"/>
      </w:pPr>
    </w:p>
    <w:p w14:paraId="37676FEA" w14:textId="77777777" w:rsidR="00EF5B27" w:rsidRDefault="00EF5B27">
      <w:pPr>
        <w:pStyle w:val="BodyText"/>
      </w:pPr>
    </w:p>
    <w:p w14:paraId="163D2B7E" w14:textId="77777777" w:rsidR="00EF5B27" w:rsidRDefault="00EF5B27">
      <w:pPr>
        <w:pStyle w:val="BodyText"/>
      </w:pPr>
    </w:p>
    <w:p w14:paraId="43BA3F30" w14:textId="77777777" w:rsidR="00EF5B27" w:rsidRDefault="00EF5B27">
      <w:pPr>
        <w:pStyle w:val="BodyText"/>
        <w:spacing w:before="4"/>
        <w:rPr>
          <w:sz w:val="11"/>
        </w:rPr>
      </w:pPr>
    </w:p>
    <w:p w14:paraId="5B16FA0A" w14:textId="77777777" w:rsidR="00EF5B27" w:rsidRDefault="00000000">
      <w:pPr>
        <w:pStyle w:val="BodyText"/>
        <w:ind w:left="113"/>
      </w:pPr>
      <w:r>
        <w:pict w14:anchorId="114C3DF7">
          <v:shape id="_x0000_s4431" type="#_x0000_t202" style="width:481.15pt;height:25.4pt;mso-left-percent:-10001;mso-top-percent:-10001;mso-position-horizontal:absolute;mso-position-horizontal-relative:char;mso-position-vertical:absolute;mso-position-vertical-relative:line;mso-left-percent:-10001;mso-top-percent:-10001" fillcolor="#fecc91" stroked="f">
            <v:textbox inset="0,0,0,0">
              <w:txbxContent>
                <w:p w14:paraId="70D6D501" w14:textId="77777777" w:rsidR="00EF5B27" w:rsidRDefault="00000000">
                  <w:pPr>
                    <w:tabs>
                      <w:tab w:val="left" w:pos="2607"/>
                    </w:tabs>
                    <w:spacing w:before="142"/>
                    <w:ind w:left="113"/>
                    <w:rPr>
                      <w:b/>
                      <w:sz w:val="20"/>
                    </w:rPr>
                  </w:pPr>
                  <w:r>
                    <w:rPr>
                      <w:b/>
                      <w:color w:val="4D4D4F"/>
                      <w:sz w:val="20"/>
                    </w:rPr>
                    <w:t>Theme</w:t>
                  </w:r>
                  <w:r>
                    <w:rPr>
                      <w:b/>
                      <w:color w:val="4D4D4F"/>
                      <w:sz w:val="20"/>
                    </w:rPr>
                    <w:tab/>
                    <w:t>Matted</w:t>
                  </w:r>
                  <w:r>
                    <w:rPr>
                      <w:b/>
                      <w:color w:val="4D4D4F"/>
                      <w:spacing w:val="3"/>
                      <w:sz w:val="20"/>
                    </w:rPr>
                    <w:t xml:space="preserve"> </w:t>
                  </w:r>
                  <w:r>
                    <w:rPr>
                      <w:b/>
                      <w:color w:val="4D4D4F"/>
                      <w:sz w:val="20"/>
                    </w:rPr>
                    <w:t>Flax-lily</w:t>
                  </w:r>
                </w:p>
              </w:txbxContent>
            </v:textbox>
            <w10:anchorlock/>
          </v:shape>
        </w:pict>
      </w:r>
    </w:p>
    <w:p w14:paraId="1B83372A" w14:textId="77777777" w:rsidR="00EF5B27" w:rsidRDefault="00EF5B27">
      <w:pPr>
        <w:pStyle w:val="BodyText"/>
        <w:spacing w:before="8"/>
        <w:rPr>
          <w:sz w:val="5"/>
        </w:rPr>
      </w:pPr>
    </w:p>
    <w:p w14:paraId="13E7FE75" w14:textId="77777777" w:rsidR="00EF5B27" w:rsidRDefault="00EF5B27">
      <w:pPr>
        <w:rPr>
          <w:sz w:val="5"/>
        </w:rPr>
        <w:sectPr w:rsidR="00EF5B27">
          <w:footerReference w:type="default" r:id="rId64"/>
          <w:pgSz w:w="11910" w:h="16840"/>
          <w:pgMar w:top="1080" w:right="1020" w:bottom="860" w:left="1020" w:header="537" w:footer="678" w:gutter="0"/>
          <w:cols w:space="720"/>
        </w:sectPr>
      </w:pPr>
    </w:p>
    <w:p w14:paraId="46198AD2" w14:textId="77777777" w:rsidR="00EF5B27" w:rsidRDefault="00000000">
      <w:pPr>
        <w:pStyle w:val="BodyText"/>
        <w:spacing w:before="51"/>
        <w:ind w:left="227"/>
      </w:pPr>
      <w:r>
        <w:pict w14:anchorId="34F1E022">
          <v:group id="_x0000_s4428" style="position:absolute;left:0;text-align:left;margin-left:56.7pt;margin-top:-29.85pt;width:481.15pt;height:.25pt;z-index:251371008;mso-position-horizontal-relative:page" coordorigin="1134,-597" coordsize="9623,5">
            <v:line id="_x0000_s4430" style="position:absolute" from="1134,-595" to="3628,-595" strokeweight=".25pt"/>
            <v:line id="_x0000_s4429" style="position:absolute" from="3628,-595" to="10756,-595" strokeweight=".25pt"/>
            <w10:wrap anchorx="page"/>
          </v:group>
        </w:pict>
      </w:r>
      <w:r>
        <w:pict w14:anchorId="3E30430E">
          <v:group id="_x0000_s4425" style="position:absolute;left:0;text-align:left;margin-left:56.7pt;margin-top:-4.35pt;width:481.15pt;height:.25pt;z-index:251372032;mso-position-horizontal-relative:page" coordorigin="1134,-87" coordsize="9623,5">
            <v:line id="_x0000_s4427" style="position:absolute" from="1134,-84" to="3628,-84" strokeweight=".25pt"/>
            <v:line id="_x0000_s4426" style="position:absolute" from="3628,-84" to="10756,-84" strokeweight=".25pt"/>
            <w10:wrap anchorx="page"/>
          </v:group>
        </w:pict>
      </w:r>
      <w:r>
        <w:rPr>
          <w:color w:val="4D4D4F"/>
        </w:rPr>
        <w:t>Recommendation</w:t>
      </w:r>
    </w:p>
    <w:p w14:paraId="5CEF7C98" w14:textId="77777777" w:rsidR="00EF5B27" w:rsidRDefault="00000000">
      <w:pPr>
        <w:pStyle w:val="Heading1"/>
      </w:pPr>
      <w:r>
        <w:rPr>
          <w:color w:val="4D4D4F"/>
          <w:w w:val="105"/>
        </w:rPr>
        <w:t>09</w:t>
      </w:r>
    </w:p>
    <w:p w14:paraId="6A8BB90B" w14:textId="77777777" w:rsidR="00EF5B27" w:rsidRDefault="00000000">
      <w:pPr>
        <w:pStyle w:val="BodyText"/>
        <w:spacing w:before="51" w:line="254" w:lineRule="auto"/>
        <w:ind w:left="227" w:right="195"/>
      </w:pPr>
      <w:r>
        <w:br w:type="column"/>
      </w:r>
      <w:r>
        <w:rPr>
          <w:color w:val="4D4D4F"/>
        </w:rPr>
        <w:t>That DELWP schedules periodic genetic sampling of future populations of the Matted Flax-lily to ensure viability and develop a biomass control plan for the species.</w:t>
      </w:r>
    </w:p>
    <w:p w14:paraId="0D46D56F"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704" w:space="790"/>
            <w:col w:w="7376"/>
          </w:cols>
        </w:sectPr>
      </w:pPr>
    </w:p>
    <w:p w14:paraId="7176AF28" w14:textId="77777777" w:rsidR="00EF5B27" w:rsidRDefault="00EF5B27">
      <w:pPr>
        <w:pStyle w:val="BodyText"/>
      </w:pPr>
    </w:p>
    <w:p w14:paraId="712A7555" w14:textId="77777777" w:rsidR="00EF5B27" w:rsidRDefault="00EF5B27">
      <w:pPr>
        <w:pStyle w:val="BodyText"/>
      </w:pPr>
    </w:p>
    <w:p w14:paraId="04E43BFD" w14:textId="77777777" w:rsidR="00EF5B27" w:rsidRDefault="00EF5B27">
      <w:pPr>
        <w:pStyle w:val="BodyText"/>
      </w:pPr>
    </w:p>
    <w:p w14:paraId="42DE00FF" w14:textId="77777777" w:rsidR="00EF5B27" w:rsidRDefault="00EF5B27">
      <w:pPr>
        <w:pStyle w:val="BodyText"/>
        <w:spacing w:before="9"/>
        <w:rPr>
          <w:sz w:val="13"/>
        </w:rPr>
      </w:pPr>
    </w:p>
    <w:p w14:paraId="59D9174B" w14:textId="77777777" w:rsidR="00EF5B27" w:rsidRDefault="00000000">
      <w:pPr>
        <w:pStyle w:val="BodyText"/>
        <w:ind w:left="113" w:right="-15"/>
      </w:pPr>
      <w:r>
        <w:rPr>
          <w:noProof/>
        </w:rPr>
        <w:drawing>
          <wp:inline distT="0" distB="0" distL="0" distR="0" wp14:anchorId="5C894D98" wp14:editId="1A72B46F">
            <wp:extent cx="1065288" cy="1065276"/>
            <wp:effectExtent l="0" t="0" r="0" b="0"/>
            <wp:docPr id="4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6.jpeg"/>
                    <pic:cNvPicPr/>
                  </pic:nvPicPr>
                  <pic:blipFill>
                    <a:blip r:embed="rId49" cstate="print"/>
                    <a:stretch>
                      <a:fillRect/>
                    </a:stretch>
                  </pic:blipFill>
                  <pic:spPr>
                    <a:xfrm>
                      <a:off x="0" y="0"/>
                      <a:ext cx="1065288" cy="1065276"/>
                    </a:xfrm>
                    <a:prstGeom prst="rect">
                      <a:avLst/>
                    </a:prstGeom>
                  </pic:spPr>
                </pic:pic>
              </a:graphicData>
            </a:graphic>
          </wp:inline>
        </w:drawing>
      </w:r>
    </w:p>
    <w:p w14:paraId="785F7E38" w14:textId="77777777" w:rsidR="00EF5B27" w:rsidRDefault="00000000">
      <w:pPr>
        <w:spacing w:before="85"/>
        <w:ind w:left="113"/>
        <w:rPr>
          <w:rFonts w:ascii="Century Gothic"/>
          <w:i/>
          <w:sz w:val="12"/>
        </w:rPr>
      </w:pPr>
      <w:r>
        <w:pict w14:anchorId="3D80D599">
          <v:group id="_x0000_s4422" style="position:absolute;left:0;text-align:left;margin-left:56.7pt;margin-top:-114.35pt;width:481.15pt;height:.25pt;z-index:251373056;mso-position-horizontal-relative:page" coordorigin="1134,-2287" coordsize="9623,5">
            <v:line id="_x0000_s4424" style="position:absolute" from="1134,-2284" to="3628,-2284" strokeweight=".25pt"/>
            <v:line id="_x0000_s4423" style="position:absolute" from="3628,-2284" to="10756,-2284" strokeweight=".25pt"/>
            <w10:wrap anchorx="page"/>
          </v:group>
        </w:pict>
      </w:r>
      <w:r>
        <w:rPr>
          <w:rFonts w:ascii="Century Gothic"/>
          <w:i/>
          <w:color w:val="4D4D4F"/>
          <w:sz w:val="12"/>
        </w:rPr>
        <w:t>Matted Flax-lily</w:t>
      </w:r>
    </w:p>
    <w:p w14:paraId="027A32B8" w14:textId="77777777" w:rsidR="00EF5B27" w:rsidRDefault="00000000">
      <w:pPr>
        <w:pStyle w:val="BodyText"/>
        <w:rPr>
          <w:rFonts w:ascii="Century Gothic"/>
          <w:i/>
          <w:sz w:val="36"/>
        </w:rPr>
      </w:pPr>
      <w:r>
        <w:br w:type="column"/>
      </w:r>
    </w:p>
    <w:p w14:paraId="24F86070" w14:textId="77777777" w:rsidR="00EF5B27" w:rsidRDefault="00EF5B27">
      <w:pPr>
        <w:pStyle w:val="BodyText"/>
        <w:spacing w:before="11"/>
        <w:rPr>
          <w:rFonts w:ascii="Century Gothic"/>
          <w:i/>
          <w:sz w:val="33"/>
        </w:rPr>
      </w:pPr>
    </w:p>
    <w:p w14:paraId="679866E1" w14:textId="77777777" w:rsidR="00EF5B27" w:rsidRDefault="00000000">
      <w:pPr>
        <w:pStyle w:val="Heading3"/>
        <w:ind w:left="113"/>
      </w:pPr>
      <w:r>
        <w:rPr>
          <w:color w:val="F99F2A"/>
        </w:rPr>
        <w:t>Challenges the recommendation addresses</w:t>
      </w:r>
    </w:p>
    <w:p w14:paraId="5CAFAD70" w14:textId="77777777" w:rsidR="00EF5B27" w:rsidRDefault="00000000">
      <w:pPr>
        <w:pStyle w:val="BodyText"/>
        <w:spacing w:before="256" w:line="254" w:lineRule="auto"/>
        <w:ind w:left="113" w:right="521"/>
      </w:pPr>
      <w:r>
        <w:rPr>
          <w:color w:val="4D4D4F"/>
        </w:rPr>
        <w:t>There is potentially some level of error in the counting of plants, at low levels, due to clonality.</w:t>
      </w:r>
      <w:r>
        <w:rPr>
          <w:color w:val="4D4D4F"/>
          <w:position w:val="7"/>
          <w:sz w:val="11"/>
        </w:rPr>
        <w:t xml:space="preserve">24 </w:t>
      </w:r>
      <w:r>
        <w:rPr>
          <w:color w:val="4D4D4F"/>
        </w:rPr>
        <w:t>Periodic genetic sampling of future populations will be important to account for clonality.</w:t>
      </w:r>
    </w:p>
    <w:p w14:paraId="5A9D8A83" w14:textId="77777777" w:rsidR="00EF5B27" w:rsidRDefault="00000000">
      <w:pPr>
        <w:pStyle w:val="BodyText"/>
        <w:spacing w:before="118" w:line="254" w:lineRule="auto"/>
        <w:ind w:left="113"/>
      </w:pPr>
      <w:r>
        <w:rPr>
          <w:color w:val="4D4D4F"/>
        </w:rPr>
        <w:t>Biomass control will be a necessary management intervention going forward for the species,</w:t>
      </w:r>
      <w:r>
        <w:rPr>
          <w:color w:val="4D4D4F"/>
          <w:position w:val="7"/>
          <w:sz w:val="11"/>
        </w:rPr>
        <w:t xml:space="preserve">25 </w:t>
      </w:r>
      <w:r>
        <w:rPr>
          <w:color w:val="4D4D4F"/>
        </w:rPr>
        <w:t>as the species risks decline if shaded out.</w:t>
      </w:r>
    </w:p>
    <w:p w14:paraId="68D7A1D9"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826" w:space="669"/>
            <w:col w:w="7375"/>
          </w:cols>
        </w:sectPr>
      </w:pPr>
    </w:p>
    <w:p w14:paraId="3368EF01" w14:textId="77777777" w:rsidR="00EF5B27" w:rsidRDefault="00EF5B27">
      <w:pPr>
        <w:pStyle w:val="BodyText"/>
      </w:pPr>
    </w:p>
    <w:p w14:paraId="5BA5C5CA" w14:textId="77777777" w:rsidR="00EF5B27" w:rsidRDefault="00EF5B27">
      <w:pPr>
        <w:pStyle w:val="BodyText"/>
      </w:pPr>
    </w:p>
    <w:p w14:paraId="01A1BAB7" w14:textId="77777777" w:rsidR="00EF5B27" w:rsidRDefault="00EF5B27">
      <w:pPr>
        <w:pStyle w:val="BodyText"/>
        <w:spacing w:before="10"/>
        <w:rPr>
          <w:sz w:val="16"/>
        </w:rPr>
      </w:pPr>
    </w:p>
    <w:p w14:paraId="3484BA46" w14:textId="77777777" w:rsidR="00EF5B27" w:rsidRDefault="00000000">
      <w:pPr>
        <w:pStyle w:val="BodyText"/>
        <w:ind w:left="113"/>
      </w:pPr>
      <w:r>
        <w:pict w14:anchorId="1A113D45">
          <v:shape id="_x0000_s4421" type="#_x0000_t202" style="width:481.15pt;height:25.3pt;mso-left-percent:-10001;mso-top-percent:-10001;mso-position-horizontal:absolute;mso-position-horizontal-relative:char;mso-position-vertical:absolute;mso-position-vertical-relative:line;mso-left-percent:-10001;mso-top-percent:-10001" fillcolor="#fecc91" stroked="f">
            <v:textbox inset="0,0,0,0">
              <w:txbxContent>
                <w:p w14:paraId="01A9955C" w14:textId="77777777" w:rsidR="00EF5B27" w:rsidRDefault="00000000">
                  <w:pPr>
                    <w:tabs>
                      <w:tab w:val="left" w:pos="2607"/>
                    </w:tabs>
                    <w:spacing w:before="140"/>
                    <w:ind w:left="113"/>
                    <w:rPr>
                      <w:b/>
                      <w:sz w:val="20"/>
                    </w:rPr>
                  </w:pPr>
                  <w:r>
                    <w:rPr>
                      <w:b/>
                      <w:color w:val="4D4D4F"/>
                      <w:sz w:val="20"/>
                    </w:rPr>
                    <w:t>Theme</w:t>
                  </w:r>
                  <w:r>
                    <w:rPr>
                      <w:b/>
                      <w:color w:val="4D4D4F"/>
                      <w:sz w:val="20"/>
                    </w:rPr>
                    <w:tab/>
                    <w:t>Spiny</w:t>
                  </w:r>
                  <w:r>
                    <w:rPr>
                      <w:b/>
                      <w:color w:val="4D4D4F"/>
                      <w:spacing w:val="4"/>
                      <w:sz w:val="20"/>
                    </w:rPr>
                    <w:t xml:space="preserve"> </w:t>
                  </w:r>
                  <w:r>
                    <w:rPr>
                      <w:b/>
                      <w:color w:val="4D4D4F"/>
                      <w:sz w:val="20"/>
                    </w:rPr>
                    <w:t>Rice-flower</w:t>
                  </w:r>
                </w:p>
              </w:txbxContent>
            </v:textbox>
            <w10:anchorlock/>
          </v:shape>
        </w:pict>
      </w:r>
    </w:p>
    <w:p w14:paraId="62EAE752" w14:textId="77777777" w:rsidR="00EF5B27" w:rsidRDefault="00EF5B27">
      <w:pPr>
        <w:pStyle w:val="BodyText"/>
        <w:spacing w:before="8"/>
        <w:rPr>
          <w:sz w:val="5"/>
        </w:rPr>
      </w:pPr>
    </w:p>
    <w:p w14:paraId="68B91C9A" w14:textId="77777777" w:rsidR="00EF5B27" w:rsidRDefault="00EF5B27">
      <w:pPr>
        <w:rPr>
          <w:sz w:val="5"/>
        </w:rPr>
        <w:sectPr w:rsidR="00EF5B27">
          <w:type w:val="continuous"/>
          <w:pgSz w:w="11910" w:h="16840"/>
          <w:pgMar w:top="1140" w:right="1020" w:bottom="280" w:left="1020" w:header="720" w:footer="720" w:gutter="0"/>
          <w:cols w:space="720"/>
        </w:sectPr>
      </w:pPr>
    </w:p>
    <w:p w14:paraId="208B2001" w14:textId="77777777" w:rsidR="00EF5B27" w:rsidRDefault="00000000">
      <w:pPr>
        <w:pStyle w:val="BodyText"/>
        <w:spacing w:before="49"/>
        <w:ind w:left="227"/>
      </w:pPr>
      <w:r>
        <w:pict w14:anchorId="22683FD5">
          <v:group id="_x0000_s4418" style="position:absolute;left:0;text-align:left;margin-left:56.7pt;margin-top:-29.95pt;width:481.15pt;height:.25pt;z-index:251375104;mso-position-horizontal-relative:page" coordorigin="1134,-599" coordsize="9623,5">
            <v:line id="_x0000_s4420" style="position:absolute" from="1134,-597" to="3628,-597" strokeweight=".25pt"/>
            <v:line id="_x0000_s4419" style="position:absolute" from="3628,-597" to="10756,-597" strokeweight=".25pt"/>
            <w10:wrap anchorx="page"/>
          </v:group>
        </w:pict>
      </w:r>
      <w:r>
        <w:pict w14:anchorId="146597F6">
          <v:group id="_x0000_s4415" style="position:absolute;left:0;text-align:left;margin-left:56.7pt;margin-top:-4.45pt;width:481.15pt;height:.25pt;z-index:251376128;mso-position-horizontal-relative:page" coordorigin="1134,-89" coordsize="9623,5">
            <v:line id="_x0000_s4417" style="position:absolute" from="1134,-86" to="3628,-86" strokeweight=".25pt"/>
            <v:line id="_x0000_s4416" style="position:absolute" from="3628,-86" to="10756,-86" strokeweight=".25pt"/>
            <w10:wrap anchorx="page"/>
          </v:group>
        </w:pict>
      </w:r>
      <w:r>
        <w:rPr>
          <w:color w:val="4D4D4F"/>
        </w:rPr>
        <w:t>Recommendation</w:t>
      </w:r>
    </w:p>
    <w:p w14:paraId="14579AF6" w14:textId="77777777" w:rsidR="00EF5B27" w:rsidRDefault="00000000">
      <w:pPr>
        <w:pStyle w:val="Heading1"/>
        <w:spacing w:before="3"/>
      </w:pPr>
      <w:r>
        <w:rPr>
          <w:color w:val="4D4D4F"/>
          <w:w w:val="105"/>
        </w:rPr>
        <w:t>10</w:t>
      </w:r>
    </w:p>
    <w:p w14:paraId="7FE0859D" w14:textId="77777777" w:rsidR="00EF5B27" w:rsidRDefault="00000000">
      <w:pPr>
        <w:pStyle w:val="BodyText"/>
        <w:spacing w:before="49"/>
        <w:ind w:left="227"/>
      </w:pPr>
      <w:r>
        <w:br w:type="column"/>
      </w:r>
      <w:r>
        <w:rPr>
          <w:color w:val="4D4D4F"/>
        </w:rPr>
        <w:t>That DELWP:</w:t>
      </w:r>
    </w:p>
    <w:p w14:paraId="6372C55B" w14:textId="77777777" w:rsidR="00EF5B27" w:rsidRDefault="00000000">
      <w:pPr>
        <w:pStyle w:val="ListParagraph"/>
        <w:numPr>
          <w:ilvl w:val="0"/>
          <w:numId w:val="56"/>
        </w:numPr>
        <w:tabs>
          <w:tab w:val="left" w:pos="429"/>
        </w:tabs>
        <w:spacing w:before="129"/>
        <w:ind w:hanging="201"/>
        <w:rPr>
          <w:sz w:val="20"/>
        </w:rPr>
      </w:pPr>
      <w:r>
        <w:rPr>
          <w:color w:val="4D4D4F"/>
          <w:sz w:val="20"/>
        </w:rPr>
        <w:t>clarifies the monitoring</w:t>
      </w:r>
      <w:r>
        <w:rPr>
          <w:color w:val="4D4D4F"/>
          <w:spacing w:val="12"/>
          <w:sz w:val="20"/>
        </w:rPr>
        <w:t xml:space="preserve"> </w:t>
      </w:r>
      <w:r>
        <w:rPr>
          <w:color w:val="4D4D4F"/>
          <w:sz w:val="20"/>
        </w:rPr>
        <w:t>design</w:t>
      </w:r>
    </w:p>
    <w:p w14:paraId="450A0E7F" w14:textId="77777777" w:rsidR="00EF5B27" w:rsidRDefault="00000000">
      <w:pPr>
        <w:pStyle w:val="ListParagraph"/>
        <w:numPr>
          <w:ilvl w:val="0"/>
          <w:numId w:val="56"/>
        </w:numPr>
        <w:tabs>
          <w:tab w:val="left" w:pos="471"/>
        </w:tabs>
        <w:spacing w:before="129" w:line="254" w:lineRule="auto"/>
        <w:ind w:left="227" w:right="1018" w:firstLine="0"/>
        <w:rPr>
          <w:sz w:val="20"/>
        </w:rPr>
      </w:pPr>
      <w:r>
        <w:rPr>
          <w:color w:val="4D4D4F"/>
          <w:sz w:val="20"/>
        </w:rPr>
        <w:t xml:space="preserve">assesses the adequacy of the current </w:t>
      </w:r>
      <w:r>
        <w:rPr>
          <w:color w:val="4D4D4F"/>
          <w:spacing w:val="-5"/>
          <w:sz w:val="20"/>
        </w:rPr>
        <w:t xml:space="preserve">10 </w:t>
      </w:r>
      <w:r>
        <w:rPr>
          <w:color w:val="4D4D4F"/>
          <w:sz w:val="20"/>
        </w:rPr>
        <w:t>year monitoring and reporting threshold,</w:t>
      </w:r>
      <w:r>
        <w:rPr>
          <w:color w:val="4D4D4F"/>
          <w:spacing w:val="3"/>
          <w:sz w:val="20"/>
        </w:rPr>
        <w:t xml:space="preserve"> </w:t>
      </w:r>
      <w:r>
        <w:rPr>
          <w:color w:val="4D4D4F"/>
          <w:sz w:val="20"/>
        </w:rPr>
        <w:t>and</w:t>
      </w:r>
    </w:p>
    <w:p w14:paraId="2DDB0131" w14:textId="77777777" w:rsidR="00EF5B27" w:rsidRDefault="00000000">
      <w:pPr>
        <w:pStyle w:val="ListParagraph"/>
        <w:numPr>
          <w:ilvl w:val="0"/>
          <w:numId w:val="56"/>
        </w:numPr>
        <w:tabs>
          <w:tab w:val="left" w:pos="512"/>
        </w:tabs>
        <w:spacing w:before="116"/>
        <w:ind w:left="511" w:hanging="284"/>
        <w:rPr>
          <w:sz w:val="20"/>
        </w:rPr>
      </w:pPr>
      <w:r>
        <w:rPr>
          <w:color w:val="4D4D4F"/>
          <w:sz w:val="20"/>
        </w:rPr>
        <w:t>develop a biomass control plan for the Spiny</w:t>
      </w:r>
      <w:r>
        <w:rPr>
          <w:color w:val="4D4D4F"/>
          <w:spacing w:val="31"/>
          <w:sz w:val="20"/>
        </w:rPr>
        <w:t xml:space="preserve"> </w:t>
      </w:r>
      <w:r>
        <w:rPr>
          <w:color w:val="4D4D4F"/>
          <w:sz w:val="20"/>
        </w:rPr>
        <w:t>Rice-flower.</w:t>
      </w:r>
    </w:p>
    <w:p w14:paraId="45C99396" w14:textId="77777777" w:rsidR="00EF5B27" w:rsidRDefault="00EF5B27">
      <w:pPr>
        <w:rPr>
          <w:sz w:val="20"/>
        </w:rPr>
        <w:sectPr w:rsidR="00EF5B27">
          <w:type w:val="continuous"/>
          <w:pgSz w:w="11910" w:h="16840"/>
          <w:pgMar w:top="1140" w:right="1020" w:bottom="280" w:left="1020" w:header="720" w:footer="720" w:gutter="0"/>
          <w:cols w:num="2" w:space="720" w:equalWidth="0">
            <w:col w:w="1704" w:space="790"/>
            <w:col w:w="7376"/>
          </w:cols>
        </w:sectPr>
      </w:pPr>
    </w:p>
    <w:p w14:paraId="612FB2B6" w14:textId="77777777" w:rsidR="00EF5B27" w:rsidRDefault="00EF5B27">
      <w:pPr>
        <w:pStyle w:val="BodyText"/>
      </w:pPr>
    </w:p>
    <w:p w14:paraId="7DE7EC6B" w14:textId="77777777" w:rsidR="00EF5B27" w:rsidRDefault="00EF5B27">
      <w:pPr>
        <w:pStyle w:val="BodyText"/>
      </w:pPr>
    </w:p>
    <w:p w14:paraId="4565D230" w14:textId="77777777" w:rsidR="00EF5B27" w:rsidRDefault="00EF5B27">
      <w:pPr>
        <w:pStyle w:val="BodyText"/>
        <w:spacing w:before="2"/>
        <w:rPr>
          <w:sz w:val="24"/>
        </w:rPr>
      </w:pPr>
    </w:p>
    <w:p w14:paraId="6E3D4517" w14:textId="77777777" w:rsidR="00EF5B27" w:rsidRDefault="00000000">
      <w:pPr>
        <w:pStyle w:val="BodyText"/>
        <w:ind w:left="113" w:right="-15"/>
      </w:pPr>
      <w:r>
        <w:rPr>
          <w:noProof/>
        </w:rPr>
        <w:drawing>
          <wp:inline distT="0" distB="0" distL="0" distR="0" wp14:anchorId="18837A15" wp14:editId="06EF3693">
            <wp:extent cx="1065276" cy="1065276"/>
            <wp:effectExtent l="0" t="0" r="0" b="0"/>
            <wp:docPr id="4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2.jpeg"/>
                    <pic:cNvPicPr/>
                  </pic:nvPicPr>
                  <pic:blipFill>
                    <a:blip r:embed="rId55" cstate="print"/>
                    <a:stretch>
                      <a:fillRect/>
                    </a:stretch>
                  </pic:blipFill>
                  <pic:spPr>
                    <a:xfrm>
                      <a:off x="0" y="0"/>
                      <a:ext cx="1065276" cy="1065276"/>
                    </a:xfrm>
                    <a:prstGeom prst="rect">
                      <a:avLst/>
                    </a:prstGeom>
                  </pic:spPr>
                </pic:pic>
              </a:graphicData>
            </a:graphic>
          </wp:inline>
        </w:drawing>
      </w:r>
    </w:p>
    <w:p w14:paraId="3F907266" w14:textId="77777777" w:rsidR="00EF5B27" w:rsidRDefault="00000000">
      <w:pPr>
        <w:spacing w:before="85"/>
        <w:ind w:left="113"/>
        <w:rPr>
          <w:rFonts w:ascii="Century Gothic"/>
          <w:i/>
          <w:sz w:val="12"/>
        </w:rPr>
      </w:pPr>
      <w:r>
        <w:pict w14:anchorId="220D48B2">
          <v:group id="_x0000_s4412" style="position:absolute;left:0;text-align:left;margin-left:56.7pt;margin-top:-113.5pt;width:481.15pt;height:.25pt;z-index:251377152;mso-position-horizontal-relative:page" coordorigin="1134,-2270" coordsize="9623,5">
            <v:line id="_x0000_s4414" style="position:absolute" from="1134,-2267" to="3628,-2267" strokeweight=".25pt"/>
            <v:line id="_x0000_s4413" style="position:absolute" from="3628,-2267" to="10756,-2267" strokeweight=".25pt"/>
            <w10:wrap anchorx="page"/>
          </v:group>
        </w:pict>
      </w:r>
      <w:r>
        <w:rPr>
          <w:rFonts w:ascii="Century Gothic"/>
          <w:i/>
          <w:color w:val="4D4D4F"/>
          <w:sz w:val="12"/>
        </w:rPr>
        <w:t>Spiny Rice-flower</w:t>
      </w:r>
    </w:p>
    <w:p w14:paraId="23819463" w14:textId="77777777" w:rsidR="00EF5B27" w:rsidRDefault="00000000">
      <w:pPr>
        <w:pStyle w:val="BodyText"/>
        <w:rPr>
          <w:rFonts w:ascii="Century Gothic"/>
          <w:i/>
          <w:sz w:val="36"/>
        </w:rPr>
      </w:pPr>
      <w:r>
        <w:br w:type="column"/>
      </w:r>
    </w:p>
    <w:p w14:paraId="3D2671EE" w14:textId="77777777" w:rsidR="00EF5B27" w:rsidRDefault="00000000">
      <w:pPr>
        <w:pStyle w:val="Heading3"/>
        <w:spacing w:before="299"/>
        <w:ind w:left="113"/>
      </w:pPr>
      <w:r>
        <w:rPr>
          <w:color w:val="F99F2A"/>
        </w:rPr>
        <w:t>Challenges the recommendation addresses</w:t>
      </w:r>
    </w:p>
    <w:p w14:paraId="06ED9ABF" w14:textId="77777777" w:rsidR="00EF5B27" w:rsidRDefault="00000000">
      <w:pPr>
        <w:pStyle w:val="BodyText"/>
        <w:spacing w:before="256" w:line="254" w:lineRule="auto"/>
        <w:ind w:left="113" w:right="292"/>
      </w:pPr>
      <w:r>
        <w:rPr>
          <w:color w:val="4D4D4F"/>
        </w:rPr>
        <w:t>The Spiny Rice-flower recruits periodically, roughly every 10 years and according to rainfall. Further testing may be required to assess the adequacy of the 10-year window in capturing the variable recruitment dynamics.</w:t>
      </w:r>
    </w:p>
    <w:p w14:paraId="64563859" w14:textId="77777777" w:rsidR="00EF5B27" w:rsidRDefault="00000000">
      <w:pPr>
        <w:pStyle w:val="BodyText"/>
        <w:spacing w:before="117" w:line="254" w:lineRule="auto"/>
        <w:ind w:left="113" w:right="521" w:hanging="1"/>
      </w:pPr>
      <w:r>
        <w:rPr>
          <w:color w:val="4D4D4F"/>
        </w:rPr>
        <w:t>Areas in which this species are found need a biomass control regime.</w:t>
      </w:r>
      <w:r>
        <w:rPr>
          <w:color w:val="4D4D4F"/>
          <w:position w:val="7"/>
          <w:sz w:val="11"/>
        </w:rPr>
        <w:t xml:space="preserve">26 </w:t>
      </w:r>
      <w:r>
        <w:rPr>
          <w:color w:val="4D4D4F"/>
        </w:rPr>
        <w:t>As the MSA program scales up, it will be important to maintain efforts to control biomass and manage the risk of degradation to current and new populations.</w:t>
      </w:r>
    </w:p>
    <w:p w14:paraId="5ABC998E"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826" w:space="669"/>
            <w:col w:w="7375"/>
          </w:cols>
        </w:sectPr>
      </w:pPr>
    </w:p>
    <w:p w14:paraId="105BB3A8" w14:textId="77777777" w:rsidR="00EF5B27" w:rsidRDefault="00000000">
      <w:pPr>
        <w:pStyle w:val="BodyText"/>
      </w:pPr>
      <w:r>
        <w:pict w14:anchorId="72AA9D57">
          <v:group id="_x0000_s4404" style="position:absolute;margin-left:587.05pt;margin-top:183.4pt;width:8.25pt;height:153.1pt;z-index:251369984;mso-position-horizontal-relative:page;mso-position-vertical-relative:page" coordorigin="11741,3668" coordsize="165,3062">
            <v:shape id="_x0000_s4411" style="position:absolute;left:11741;top:3668;width:165;height:561" coordorigin="11741,3668" coordsize="165,561" path="m11906,3668r-165,l11741,4228r165,-18l11906,3668xe" fillcolor="#00aed9" stroked="f">
              <v:path arrowok="t"/>
            </v:shape>
            <v:shape id="_x0000_s4410" style="position:absolute;left:11741;top:4118;width:165;height:425" coordorigin="11741,4118" coordsize="165,425" path="m11906,4118r-165,14l11741,4531r165,12l11906,4118xe" fillcolor="#047ebc" stroked="f">
              <v:path arrowok="t"/>
            </v:shape>
            <v:shape id="_x0000_s4409" type="#_x0000_t75" style="position:absolute;left:11741;top:4355;width:165;height:587">
              <v:imagedata r:id="rId42" o:title=""/>
            </v:shape>
            <v:shape id="_x0000_s4408" style="position:absolute;left:11741;top:5343;width:165;height:536" coordorigin="11741,5343" coordsize="165,536" path="m11741,5343r,535l11906,5872r,-525l11741,5343xe" fillcolor="#f36a2e" stroked="f">
              <v:path arrowok="t"/>
            </v:shape>
            <v:shape id="_x0000_s4407" style="position:absolute;left:11741;top:4925;width:165;height:501" coordorigin="11741,4926" coordsize="165,501" path="m11741,4926r,500l11906,5426r,-485l11741,4926xe" fillcolor="#49783f" stroked="f">
              <v:path arrowok="t"/>
            </v:shape>
            <v:shape id="_x0000_s4406" style="position:absolute;left:11741;top:5781;width:165;height:268" coordorigin="11741,5782" coordsize="165,268" path="m11906,5782r-165,8l11741,6039r165,10l11906,5782xe" fillcolor="#f99f2a" stroked="f">
              <v:path arrowok="t"/>
            </v:shape>
            <v:shape id="_x0000_s4405" style="position:absolute;left:11741;top:6023;width:165;height:707" coordorigin="11741,6023" coordsize="165,707" path="m11741,6023r,706l11906,6729r,-690l11741,6023xe" fillcolor="#ef412c" stroked="f">
              <v:path arrowok="t"/>
            </v:shape>
            <w10:wrap anchorx="page" anchory="page"/>
          </v:group>
        </w:pict>
      </w:r>
    </w:p>
    <w:p w14:paraId="2907EA0E" w14:textId="77777777" w:rsidR="00EF5B27" w:rsidRDefault="00EF5B27">
      <w:pPr>
        <w:pStyle w:val="BodyText"/>
        <w:rPr>
          <w:sz w:val="29"/>
        </w:rPr>
      </w:pPr>
    </w:p>
    <w:p w14:paraId="2FAAF381" w14:textId="77777777" w:rsidR="00EF5B27" w:rsidRDefault="00000000">
      <w:pPr>
        <w:pStyle w:val="BodyText"/>
        <w:spacing w:line="20" w:lineRule="exact"/>
        <w:ind w:left="2603"/>
        <w:rPr>
          <w:sz w:val="2"/>
        </w:rPr>
      </w:pPr>
      <w:r>
        <w:rPr>
          <w:sz w:val="2"/>
        </w:rPr>
      </w:r>
      <w:r>
        <w:rPr>
          <w:sz w:val="2"/>
        </w:rPr>
        <w:pict w14:anchorId="72EF1445">
          <v:group id="_x0000_s4402" style="width:357.2pt;height:.5pt;mso-position-horizontal-relative:char;mso-position-vertical-relative:line" coordsize="7144,10">
            <v:line id="_x0000_s4403" style="position:absolute" from="0,5" to="7143,5" strokecolor="#4d4d4f" strokeweight=".5pt"/>
            <w10:anchorlock/>
          </v:group>
        </w:pict>
      </w:r>
    </w:p>
    <w:p w14:paraId="4C4C5C3A" w14:textId="77777777" w:rsidR="00EF5B27" w:rsidRDefault="00000000">
      <w:pPr>
        <w:pStyle w:val="ListParagraph"/>
        <w:numPr>
          <w:ilvl w:val="0"/>
          <w:numId w:val="65"/>
        </w:numPr>
        <w:tabs>
          <w:tab w:val="left" w:pos="2836"/>
        </w:tabs>
        <w:spacing w:before="102" w:line="143" w:lineRule="exact"/>
        <w:jc w:val="lef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287AF809" w14:textId="77777777" w:rsidR="00EF5B27" w:rsidRDefault="00000000">
      <w:pPr>
        <w:pStyle w:val="ListParagraph"/>
        <w:numPr>
          <w:ilvl w:val="0"/>
          <w:numId w:val="65"/>
        </w:numPr>
        <w:tabs>
          <w:tab w:val="left" w:pos="2836"/>
        </w:tabs>
        <w:spacing w:line="140" w:lineRule="exact"/>
        <w:jc w:val="lef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108A3861" w14:textId="77777777" w:rsidR="00EF5B27" w:rsidRDefault="00000000">
      <w:pPr>
        <w:pStyle w:val="ListParagraph"/>
        <w:numPr>
          <w:ilvl w:val="0"/>
          <w:numId w:val="65"/>
        </w:numPr>
        <w:tabs>
          <w:tab w:val="left" w:pos="2836"/>
        </w:tabs>
        <w:spacing w:line="143" w:lineRule="exact"/>
        <w:jc w:val="lef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21A1A32D" w14:textId="77777777" w:rsidR="00EF5B27" w:rsidRDefault="00EF5B27">
      <w:pPr>
        <w:spacing w:line="143" w:lineRule="exact"/>
        <w:rPr>
          <w:sz w:val="12"/>
        </w:rPr>
        <w:sectPr w:rsidR="00EF5B27">
          <w:type w:val="continuous"/>
          <w:pgSz w:w="11910" w:h="16840"/>
          <w:pgMar w:top="1140" w:right="1020" w:bottom="280" w:left="1020" w:header="720" w:footer="720" w:gutter="0"/>
          <w:cols w:space="720"/>
        </w:sectPr>
      </w:pPr>
    </w:p>
    <w:p w14:paraId="50FDC931" w14:textId="77777777" w:rsidR="00EF5B27" w:rsidRDefault="00EF5B27">
      <w:pPr>
        <w:pStyle w:val="BodyText"/>
      </w:pPr>
    </w:p>
    <w:p w14:paraId="331C4075" w14:textId="77777777" w:rsidR="00EF5B27" w:rsidRDefault="00EF5B27">
      <w:pPr>
        <w:pStyle w:val="BodyText"/>
      </w:pPr>
    </w:p>
    <w:p w14:paraId="5DE1924F" w14:textId="77777777" w:rsidR="00EF5B27" w:rsidRDefault="00EF5B27">
      <w:pPr>
        <w:pStyle w:val="BodyText"/>
      </w:pPr>
    </w:p>
    <w:p w14:paraId="31B6B751" w14:textId="77777777" w:rsidR="00EF5B27" w:rsidRDefault="00EF5B27">
      <w:pPr>
        <w:pStyle w:val="BodyText"/>
      </w:pPr>
    </w:p>
    <w:p w14:paraId="49A3775E" w14:textId="77777777" w:rsidR="00EF5B27" w:rsidRDefault="00EF5B27">
      <w:pPr>
        <w:pStyle w:val="BodyText"/>
      </w:pPr>
    </w:p>
    <w:p w14:paraId="1F271BEE" w14:textId="77777777" w:rsidR="00EF5B27" w:rsidRDefault="00EF5B27">
      <w:pPr>
        <w:pStyle w:val="BodyText"/>
      </w:pPr>
    </w:p>
    <w:p w14:paraId="3A673794" w14:textId="77777777" w:rsidR="00EF5B27" w:rsidRDefault="00EF5B27">
      <w:pPr>
        <w:pStyle w:val="BodyText"/>
      </w:pPr>
    </w:p>
    <w:p w14:paraId="24CBF27F" w14:textId="77777777" w:rsidR="00EF5B27" w:rsidRDefault="00EF5B27">
      <w:pPr>
        <w:pStyle w:val="BodyText"/>
      </w:pPr>
    </w:p>
    <w:p w14:paraId="3F22C1C9" w14:textId="77777777" w:rsidR="00EF5B27" w:rsidRDefault="00EF5B27">
      <w:pPr>
        <w:pStyle w:val="BodyText"/>
      </w:pPr>
    </w:p>
    <w:p w14:paraId="33711915" w14:textId="77777777" w:rsidR="00EF5B27" w:rsidRDefault="00EF5B27">
      <w:pPr>
        <w:pStyle w:val="BodyText"/>
      </w:pPr>
    </w:p>
    <w:p w14:paraId="14DC0509" w14:textId="77777777" w:rsidR="00EF5B27" w:rsidRDefault="00EF5B27">
      <w:pPr>
        <w:pStyle w:val="BodyText"/>
        <w:spacing w:before="4"/>
        <w:rPr>
          <w:sz w:val="11"/>
        </w:rPr>
      </w:pPr>
    </w:p>
    <w:p w14:paraId="57B9EBE8" w14:textId="77777777" w:rsidR="00EF5B27" w:rsidRDefault="00000000">
      <w:pPr>
        <w:pStyle w:val="BodyText"/>
        <w:ind w:left="113"/>
      </w:pPr>
      <w:r>
        <w:pict w14:anchorId="12E86F68">
          <v:shape id="_x0000_s4401" type="#_x0000_t202" style="width:481.15pt;height:25.4pt;mso-left-percent:-10001;mso-top-percent:-10001;mso-position-horizontal:absolute;mso-position-horizontal-relative:char;mso-position-vertical:absolute;mso-position-vertical-relative:line;mso-left-percent:-10001;mso-top-percent:-10001" fillcolor="#fecc91" stroked="f">
            <v:textbox inset="0,0,0,0">
              <w:txbxContent>
                <w:p w14:paraId="0B387671" w14:textId="77777777" w:rsidR="00EF5B27" w:rsidRDefault="00000000">
                  <w:pPr>
                    <w:tabs>
                      <w:tab w:val="left" w:pos="2607"/>
                    </w:tabs>
                    <w:spacing w:before="142"/>
                    <w:ind w:left="113"/>
                    <w:rPr>
                      <w:b/>
                      <w:sz w:val="20"/>
                    </w:rPr>
                  </w:pPr>
                  <w:r>
                    <w:rPr>
                      <w:b/>
                      <w:color w:val="4D4D4F"/>
                      <w:sz w:val="20"/>
                    </w:rPr>
                    <w:t>Theme</w:t>
                  </w:r>
                  <w:r>
                    <w:rPr>
                      <w:b/>
                      <w:color w:val="4D4D4F"/>
                      <w:sz w:val="20"/>
                    </w:rPr>
                    <w:tab/>
                    <w:t>Southern Brown</w:t>
                  </w:r>
                  <w:r>
                    <w:rPr>
                      <w:b/>
                      <w:color w:val="4D4D4F"/>
                      <w:spacing w:val="8"/>
                      <w:sz w:val="20"/>
                    </w:rPr>
                    <w:t xml:space="preserve"> </w:t>
                  </w:r>
                  <w:r>
                    <w:rPr>
                      <w:b/>
                      <w:color w:val="4D4D4F"/>
                      <w:sz w:val="20"/>
                    </w:rPr>
                    <w:t>Bandicoot</w:t>
                  </w:r>
                </w:p>
              </w:txbxContent>
            </v:textbox>
            <w10:anchorlock/>
          </v:shape>
        </w:pict>
      </w:r>
    </w:p>
    <w:p w14:paraId="129C019E" w14:textId="77777777" w:rsidR="00EF5B27" w:rsidRDefault="00EF5B27">
      <w:pPr>
        <w:pStyle w:val="BodyText"/>
        <w:spacing w:before="8"/>
        <w:rPr>
          <w:sz w:val="5"/>
        </w:rPr>
      </w:pPr>
    </w:p>
    <w:p w14:paraId="05F6D82E" w14:textId="77777777" w:rsidR="00EF5B27" w:rsidRDefault="00EF5B27">
      <w:pPr>
        <w:rPr>
          <w:sz w:val="5"/>
        </w:rPr>
        <w:sectPr w:rsidR="00EF5B27">
          <w:pgSz w:w="11910" w:h="16840"/>
          <w:pgMar w:top="1080" w:right="1020" w:bottom="860" w:left="1020" w:header="537" w:footer="678" w:gutter="0"/>
          <w:cols w:space="720"/>
        </w:sectPr>
      </w:pPr>
    </w:p>
    <w:p w14:paraId="69CFFEA7" w14:textId="77777777" w:rsidR="00EF5B27" w:rsidRDefault="00000000">
      <w:pPr>
        <w:pStyle w:val="BodyText"/>
        <w:spacing w:before="51"/>
        <w:ind w:left="227"/>
      </w:pPr>
      <w:r>
        <w:pict w14:anchorId="7A06B50E">
          <v:group id="_x0000_s4398" style="position:absolute;left:0;text-align:left;margin-left:56.7pt;margin-top:-29.85pt;width:481.15pt;height:.25pt;z-index:251380224;mso-position-horizontal-relative:page" coordorigin="1134,-597" coordsize="9623,5">
            <v:line id="_x0000_s4400" style="position:absolute" from="1134,-595" to="3628,-595" strokeweight=".25pt"/>
            <v:line id="_x0000_s4399" style="position:absolute" from="3628,-595" to="10756,-595" strokeweight=".25pt"/>
            <w10:wrap anchorx="page"/>
          </v:group>
        </w:pict>
      </w:r>
      <w:r>
        <w:pict w14:anchorId="6E5CD6D7">
          <v:group id="_x0000_s4395" style="position:absolute;left:0;text-align:left;margin-left:56.7pt;margin-top:-4.35pt;width:481.15pt;height:.25pt;z-index:251381248;mso-position-horizontal-relative:page" coordorigin="1134,-87" coordsize="9623,5">
            <v:line id="_x0000_s4397" style="position:absolute" from="1134,-84" to="3628,-84" strokeweight=".25pt"/>
            <v:line id="_x0000_s4396" style="position:absolute" from="3628,-84" to="10756,-84" strokeweight=".25pt"/>
            <w10:wrap anchorx="page"/>
          </v:group>
        </w:pict>
      </w:r>
      <w:r>
        <w:rPr>
          <w:color w:val="4D4D4F"/>
        </w:rPr>
        <w:t>Recommendation</w:t>
      </w:r>
    </w:p>
    <w:p w14:paraId="6B69315F" w14:textId="77777777" w:rsidR="00EF5B27" w:rsidRDefault="00000000">
      <w:pPr>
        <w:pStyle w:val="Heading1"/>
      </w:pPr>
      <w:r>
        <w:rPr>
          <w:color w:val="4D4D4F"/>
          <w:spacing w:val="-56"/>
          <w:w w:val="105"/>
        </w:rPr>
        <w:t>11</w:t>
      </w:r>
    </w:p>
    <w:p w14:paraId="3D97E826" w14:textId="77777777" w:rsidR="00EF5B27" w:rsidRDefault="00000000">
      <w:pPr>
        <w:pStyle w:val="BodyText"/>
        <w:spacing w:before="51" w:line="254" w:lineRule="auto"/>
        <w:ind w:left="227" w:right="407"/>
      </w:pPr>
      <w:r>
        <w:br w:type="column"/>
      </w:r>
      <w:r>
        <w:rPr>
          <w:color w:val="4D4D4F"/>
        </w:rPr>
        <w:t>That DELWP undertakes research into habitat preferences and species responses to pressures and management regimes for the Southern Brown Bandicoot. This would include designing a protocol for leveraging citizen science and empowering partner organisations to contribute to reporting on the</w:t>
      </w:r>
      <w:r>
        <w:rPr>
          <w:color w:val="4D4D4F"/>
          <w:spacing w:val="37"/>
        </w:rPr>
        <w:t xml:space="preserve"> </w:t>
      </w:r>
      <w:r>
        <w:rPr>
          <w:color w:val="4D4D4F"/>
        </w:rPr>
        <w:t>KPIs.</w:t>
      </w:r>
    </w:p>
    <w:p w14:paraId="07B1BD2B"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704" w:space="790"/>
            <w:col w:w="7376"/>
          </w:cols>
        </w:sectPr>
      </w:pPr>
    </w:p>
    <w:p w14:paraId="48B2D969" w14:textId="77777777" w:rsidR="00EF5B27" w:rsidRDefault="00EF5B27">
      <w:pPr>
        <w:pStyle w:val="BodyText"/>
      </w:pPr>
    </w:p>
    <w:p w14:paraId="104B733B" w14:textId="77777777" w:rsidR="00EF5B27" w:rsidRDefault="00EF5B27">
      <w:pPr>
        <w:pStyle w:val="BodyText"/>
      </w:pPr>
    </w:p>
    <w:p w14:paraId="399048FE" w14:textId="77777777" w:rsidR="00EF5B27" w:rsidRDefault="00EF5B27">
      <w:pPr>
        <w:pStyle w:val="BodyText"/>
        <w:spacing w:before="9"/>
        <w:rPr>
          <w:sz w:val="19"/>
        </w:rPr>
      </w:pPr>
    </w:p>
    <w:p w14:paraId="6F4D18B4" w14:textId="77777777" w:rsidR="00EF5B27" w:rsidRDefault="00000000">
      <w:pPr>
        <w:pStyle w:val="BodyText"/>
        <w:ind w:left="113" w:right="-15"/>
      </w:pPr>
      <w:r>
        <w:rPr>
          <w:noProof/>
        </w:rPr>
        <w:drawing>
          <wp:inline distT="0" distB="0" distL="0" distR="0" wp14:anchorId="7AAAE093" wp14:editId="08766BF4">
            <wp:extent cx="1065275" cy="1065276"/>
            <wp:effectExtent l="0" t="0" r="0" b="0"/>
            <wp:docPr id="4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4.jpeg"/>
                    <pic:cNvPicPr/>
                  </pic:nvPicPr>
                  <pic:blipFill>
                    <a:blip r:embed="rId47" cstate="print"/>
                    <a:stretch>
                      <a:fillRect/>
                    </a:stretch>
                  </pic:blipFill>
                  <pic:spPr>
                    <a:xfrm>
                      <a:off x="0" y="0"/>
                      <a:ext cx="1065275" cy="1065276"/>
                    </a:xfrm>
                    <a:prstGeom prst="rect">
                      <a:avLst/>
                    </a:prstGeom>
                  </pic:spPr>
                </pic:pic>
              </a:graphicData>
            </a:graphic>
          </wp:inline>
        </w:drawing>
      </w:r>
    </w:p>
    <w:p w14:paraId="7BB9A8D3" w14:textId="77777777" w:rsidR="00EF5B27" w:rsidRDefault="00000000">
      <w:pPr>
        <w:spacing w:before="79"/>
        <w:ind w:left="113"/>
        <w:rPr>
          <w:rFonts w:ascii="Century Gothic"/>
          <w:i/>
          <w:sz w:val="12"/>
        </w:rPr>
      </w:pPr>
      <w:r>
        <w:pict w14:anchorId="42182F8E">
          <v:group id="_x0000_s4392" style="position:absolute;left:0;text-align:left;margin-left:56.7pt;margin-top:-114.65pt;width:481.15pt;height:.25pt;z-index:251383296;mso-position-horizontal-relative:page" coordorigin="1134,-2293" coordsize="9623,5">
            <v:line id="_x0000_s4394" style="position:absolute" from="1134,-2290" to="3628,-2290" strokeweight=".25pt"/>
            <v:line id="_x0000_s4393" style="position:absolute" from="3628,-2290" to="10756,-2290" strokeweight=".25pt"/>
            <w10:wrap anchorx="page"/>
          </v:group>
        </w:pict>
      </w:r>
      <w:r>
        <w:rPr>
          <w:rFonts w:ascii="Century Gothic"/>
          <w:i/>
          <w:color w:val="4D4D4F"/>
          <w:sz w:val="12"/>
        </w:rPr>
        <w:t>Southern Brown Bandicoot</w:t>
      </w:r>
    </w:p>
    <w:p w14:paraId="1C8E952D" w14:textId="77777777" w:rsidR="00EF5B27" w:rsidRDefault="00000000">
      <w:pPr>
        <w:pStyle w:val="BodyText"/>
        <w:rPr>
          <w:rFonts w:ascii="Century Gothic"/>
          <w:i/>
          <w:sz w:val="36"/>
        </w:rPr>
      </w:pPr>
      <w:r>
        <w:br w:type="column"/>
      </w:r>
    </w:p>
    <w:p w14:paraId="24FD8FD4" w14:textId="77777777" w:rsidR="00EF5B27" w:rsidRDefault="00000000">
      <w:pPr>
        <w:pStyle w:val="Heading3"/>
        <w:spacing w:before="239"/>
        <w:ind w:left="113"/>
      </w:pPr>
      <w:r>
        <w:rPr>
          <w:color w:val="F99F2A"/>
        </w:rPr>
        <w:t>Challenges the recommendation addresses</w:t>
      </w:r>
    </w:p>
    <w:p w14:paraId="2E837F80" w14:textId="77777777" w:rsidR="00EF5B27" w:rsidRDefault="00000000">
      <w:pPr>
        <w:pStyle w:val="BodyText"/>
        <w:spacing w:before="256" w:line="254" w:lineRule="auto"/>
        <w:ind w:left="113" w:right="292"/>
      </w:pPr>
      <w:r>
        <w:rPr>
          <w:color w:val="4D4D4F"/>
        </w:rPr>
        <w:t>Southern Brown Bandicoot occupancy appears to vary by site, which suggests that they may have distinct habitat preferences relating to various pressures in the local environment (including fox predation and urbanisation) and management regimes (including planned burning, predator control, weed control and native vegetation restoration).</w:t>
      </w:r>
    </w:p>
    <w:p w14:paraId="05BF0FEB" w14:textId="77777777" w:rsidR="00EF5B27" w:rsidRDefault="00000000">
      <w:pPr>
        <w:pStyle w:val="BodyText"/>
        <w:spacing w:before="120" w:line="254" w:lineRule="auto"/>
        <w:ind w:left="113" w:right="167"/>
      </w:pPr>
      <w:r>
        <w:pict w14:anchorId="34E5321A">
          <v:group id="_x0000_s4389" style="position:absolute;left:0;text-align:left;margin-left:56.7pt;margin-top:84.35pt;width:481.15pt;height:.25pt;z-index:251384320;mso-position-horizontal-relative:page" coordorigin="1134,1687" coordsize="9623,5">
            <v:line id="_x0000_s4391" style="position:absolute" from="1134,1689" to="3628,1689" strokeweight=".25pt"/>
            <v:line id="_x0000_s4390" style="position:absolute" from="3628,1689" to="10756,1689" strokeweight=".25pt"/>
            <w10:wrap anchorx="page"/>
          </v:group>
        </w:pict>
      </w:r>
      <w:r>
        <w:rPr>
          <w:color w:val="4D4D4F"/>
        </w:rPr>
        <w:t xml:space="preserve">There </w:t>
      </w:r>
      <w:r>
        <w:rPr>
          <w:color w:val="4D4D4F"/>
          <w:spacing w:val="-3"/>
        </w:rPr>
        <w:t xml:space="preserve">is unused potential </w:t>
      </w:r>
      <w:r>
        <w:rPr>
          <w:color w:val="4D4D4F"/>
        </w:rPr>
        <w:t xml:space="preserve">to leverage </w:t>
      </w:r>
      <w:r>
        <w:rPr>
          <w:color w:val="4D4D4F"/>
          <w:spacing w:val="-4"/>
        </w:rPr>
        <w:t xml:space="preserve">citizen </w:t>
      </w:r>
      <w:r>
        <w:rPr>
          <w:color w:val="4D4D4F"/>
        </w:rPr>
        <w:t xml:space="preserve">science to </w:t>
      </w:r>
      <w:r>
        <w:rPr>
          <w:color w:val="4D4D4F"/>
          <w:spacing w:val="-3"/>
        </w:rPr>
        <w:t xml:space="preserve">inform </w:t>
      </w:r>
      <w:r>
        <w:rPr>
          <w:color w:val="4D4D4F"/>
        </w:rPr>
        <w:t xml:space="preserve">a more </w:t>
      </w:r>
      <w:r>
        <w:rPr>
          <w:color w:val="4D4D4F"/>
          <w:spacing w:val="-3"/>
        </w:rPr>
        <w:t xml:space="preserve">complete </w:t>
      </w:r>
      <w:r>
        <w:rPr>
          <w:color w:val="4D4D4F"/>
        </w:rPr>
        <w:t xml:space="preserve">picture of the population dynamics of the Southern Brown Bandicoot. DELWP may assist in </w:t>
      </w:r>
      <w:r>
        <w:rPr>
          <w:color w:val="4D4D4F"/>
          <w:spacing w:val="-4"/>
        </w:rPr>
        <w:t xml:space="preserve">addressing </w:t>
      </w:r>
      <w:r>
        <w:rPr>
          <w:color w:val="4D4D4F"/>
          <w:spacing w:val="-3"/>
        </w:rPr>
        <w:t xml:space="preserve">the </w:t>
      </w:r>
      <w:r>
        <w:rPr>
          <w:color w:val="4D4D4F"/>
          <w:spacing w:val="-4"/>
        </w:rPr>
        <w:t xml:space="preserve">gap in </w:t>
      </w:r>
      <w:r>
        <w:rPr>
          <w:color w:val="4D4D4F"/>
          <w:spacing w:val="-5"/>
        </w:rPr>
        <w:t xml:space="preserve">monitoring </w:t>
      </w:r>
      <w:r>
        <w:rPr>
          <w:color w:val="4D4D4F"/>
          <w:spacing w:val="-4"/>
        </w:rPr>
        <w:t xml:space="preserve">standards, through providing </w:t>
      </w:r>
      <w:r>
        <w:rPr>
          <w:color w:val="4D4D4F"/>
          <w:spacing w:val="-5"/>
        </w:rPr>
        <w:t xml:space="preserve">information </w:t>
      </w:r>
      <w:r>
        <w:rPr>
          <w:color w:val="4D4D4F"/>
        </w:rPr>
        <w:t xml:space="preserve">on </w:t>
      </w:r>
      <w:r>
        <w:rPr>
          <w:color w:val="4D4D4F"/>
          <w:spacing w:val="-4"/>
        </w:rPr>
        <w:t xml:space="preserve">appropriate </w:t>
      </w:r>
      <w:r>
        <w:rPr>
          <w:color w:val="4D4D4F"/>
        </w:rPr>
        <w:t>methods or tools for citizen science data to be included in the broader analyses.</w:t>
      </w:r>
    </w:p>
    <w:p w14:paraId="0DD2699D"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826" w:space="669"/>
            <w:col w:w="7375"/>
          </w:cols>
        </w:sectPr>
      </w:pPr>
    </w:p>
    <w:p w14:paraId="5C2A6B33" w14:textId="77777777" w:rsidR="00EF5B27" w:rsidRDefault="00EF5B27">
      <w:pPr>
        <w:pStyle w:val="BodyText"/>
      </w:pPr>
    </w:p>
    <w:p w14:paraId="625F6216" w14:textId="77777777" w:rsidR="00EF5B27" w:rsidRDefault="00EF5B27">
      <w:pPr>
        <w:pStyle w:val="BodyText"/>
        <w:spacing w:before="11" w:after="1"/>
        <w:rPr>
          <w:sz w:val="23"/>
        </w:rPr>
      </w:pPr>
    </w:p>
    <w:p w14:paraId="0042C8AD" w14:textId="77777777" w:rsidR="00EF5B27" w:rsidRDefault="00000000">
      <w:pPr>
        <w:pStyle w:val="BodyText"/>
        <w:ind w:left="113"/>
      </w:pPr>
      <w:r>
        <w:pict w14:anchorId="794B5CD8">
          <v:shape id="_x0000_s4388" type="#_x0000_t202" style="width:481.15pt;height:25.3pt;mso-left-percent:-10001;mso-top-percent:-10001;mso-position-horizontal:absolute;mso-position-horizontal-relative:char;mso-position-vertical:absolute;mso-position-vertical-relative:line;mso-left-percent:-10001;mso-top-percent:-10001" fillcolor="#fecc91" stroked="f">
            <v:textbox inset="0,0,0,0">
              <w:txbxContent>
                <w:p w14:paraId="657D1487" w14:textId="77777777" w:rsidR="00EF5B27" w:rsidRDefault="00000000">
                  <w:pPr>
                    <w:tabs>
                      <w:tab w:val="left" w:pos="2607"/>
                    </w:tabs>
                    <w:spacing w:before="140"/>
                    <w:ind w:left="113"/>
                    <w:rPr>
                      <w:b/>
                      <w:sz w:val="20"/>
                    </w:rPr>
                  </w:pPr>
                  <w:r>
                    <w:rPr>
                      <w:b/>
                      <w:color w:val="4D4D4F"/>
                      <w:w w:val="105"/>
                      <w:sz w:val="20"/>
                    </w:rPr>
                    <w:t>Theme</w:t>
                  </w:r>
                  <w:r>
                    <w:rPr>
                      <w:b/>
                      <w:color w:val="4D4D4F"/>
                      <w:w w:val="105"/>
                      <w:sz w:val="20"/>
                    </w:rPr>
                    <w:tab/>
                    <w:t>Growling Grass</w:t>
                  </w:r>
                  <w:r>
                    <w:rPr>
                      <w:b/>
                      <w:color w:val="4D4D4F"/>
                      <w:spacing w:val="3"/>
                      <w:w w:val="105"/>
                      <w:sz w:val="20"/>
                    </w:rPr>
                    <w:t xml:space="preserve"> </w:t>
                  </w:r>
                  <w:r>
                    <w:rPr>
                      <w:b/>
                      <w:color w:val="4D4D4F"/>
                      <w:w w:val="105"/>
                      <w:sz w:val="20"/>
                    </w:rPr>
                    <w:t>Frog</w:t>
                  </w:r>
                </w:p>
              </w:txbxContent>
            </v:textbox>
            <w10:anchorlock/>
          </v:shape>
        </w:pict>
      </w:r>
    </w:p>
    <w:p w14:paraId="1D1950CB" w14:textId="77777777" w:rsidR="00EF5B27" w:rsidRDefault="00EF5B27">
      <w:pPr>
        <w:pStyle w:val="BodyText"/>
        <w:spacing w:before="8"/>
        <w:rPr>
          <w:sz w:val="5"/>
        </w:rPr>
      </w:pPr>
    </w:p>
    <w:p w14:paraId="6F3D3B36" w14:textId="77777777" w:rsidR="00EF5B27" w:rsidRDefault="00EF5B27">
      <w:pPr>
        <w:rPr>
          <w:sz w:val="5"/>
        </w:rPr>
        <w:sectPr w:rsidR="00EF5B27">
          <w:type w:val="continuous"/>
          <w:pgSz w:w="11910" w:h="16840"/>
          <w:pgMar w:top="1140" w:right="1020" w:bottom="280" w:left="1020" w:header="720" w:footer="720" w:gutter="0"/>
          <w:cols w:space="720"/>
        </w:sectPr>
      </w:pPr>
    </w:p>
    <w:p w14:paraId="1B156913" w14:textId="77777777" w:rsidR="00EF5B27" w:rsidRDefault="00000000">
      <w:pPr>
        <w:pStyle w:val="BodyText"/>
        <w:spacing w:before="49"/>
        <w:ind w:left="227"/>
      </w:pPr>
      <w:r>
        <w:pict w14:anchorId="5B35B371">
          <v:group id="_x0000_s4385" style="position:absolute;left:0;text-align:left;margin-left:56.7pt;margin-top:-4.45pt;width:481.15pt;height:.25pt;z-index:251385344;mso-position-horizontal-relative:page" coordorigin="1134,-89" coordsize="9623,5">
            <v:line id="_x0000_s4387" style="position:absolute" from="1134,-86" to="3628,-86" strokeweight=".25pt"/>
            <v:line id="_x0000_s4386" style="position:absolute" from="3628,-86" to="10756,-86" strokeweight=".25pt"/>
            <w10:wrap anchorx="page"/>
          </v:group>
        </w:pict>
      </w:r>
      <w:r>
        <w:rPr>
          <w:color w:val="4D4D4F"/>
        </w:rPr>
        <w:t>Recommendation</w:t>
      </w:r>
    </w:p>
    <w:p w14:paraId="1F6CCB75" w14:textId="77777777" w:rsidR="00EF5B27" w:rsidRDefault="00000000">
      <w:pPr>
        <w:pStyle w:val="Heading1"/>
        <w:spacing w:before="3"/>
      </w:pPr>
      <w:r>
        <w:rPr>
          <w:color w:val="4D4D4F"/>
          <w:w w:val="105"/>
        </w:rPr>
        <w:t>12</w:t>
      </w:r>
    </w:p>
    <w:p w14:paraId="2BC5FAE8" w14:textId="77777777" w:rsidR="00EF5B27" w:rsidRDefault="00000000">
      <w:pPr>
        <w:pStyle w:val="BodyText"/>
        <w:spacing w:before="49" w:line="254" w:lineRule="auto"/>
        <w:ind w:left="227" w:right="489"/>
        <w:jc w:val="both"/>
      </w:pPr>
      <w:r>
        <w:br w:type="column"/>
      </w:r>
      <w:r>
        <w:rPr>
          <w:color w:val="4D4D4F"/>
        </w:rPr>
        <w:t>That DELWP establishes baseline monitoring for new corridors for the Growling Grass Frog, evaluate threats and management responses, and encourage citizen science to supplement conventional monitoring.</w:t>
      </w:r>
    </w:p>
    <w:p w14:paraId="653760FC" w14:textId="77777777" w:rsidR="00EF5B27" w:rsidRDefault="00EF5B27">
      <w:pPr>
        <w:spacing w:line="254" w:lineRule="auto"/>
        <w:jc w:val="both"/>
        <w:sectPr w:rsidR="00EF5B27">
          <w:type w:val="continuous"/>
          <w:pgSz w:w="11910" w:h="16840"/>
          <w:pgMar w:top="1140" w:right="1020" w:bottom="280" w:left="1020" w:header="720" w:footer="720" w:gutter="0"/>
          <w:cols w:num="2" w:space="720" w:equalWidth="0">
            <w:col w:w="1704" w:space="790"/>
            <w:col w:w="7376"/>
          </w:cols>
        </w:sectPr>
      </w:pPr>
    </w:p>
    <w:p w14:paraId="1890810F" w14:textId="77777777" w:rsidR="00EF5B27" w:rsidRDefault="00000000">
      <w:pPr>
        <w:pStyle w:val="BodyText"/>
      </w:pPr>
      <w:r>
        <w:pict w14:anchorId="3631E253">
          <v:group id="_x0000_s4377" style="position:absolute;margin-left:587.05pt;margin-top:183.4pt;width:8.25pt;height:153.1pt;z-index:251379200;mso-position-horizontal-relative:page;mso-position-vertical-relative:page" coordorigin="11741,3668" coordsize="165,3062">
            <v:shape id="_x0000_s4384" style="position:absolute;left:11741;top:3668;width:165;height:561" coordorigin="11741,3668" coordsize="165,561" path="m11906,3668r-165,l11741,4228r165,-18l11906,3668xe" fillcolor="#00aed9" stroked="f">
              <v:path arrowok="t"/>
            </v:shape>
            <v:shape id="_x0000_s4383" style="position:absolute;left:11741;top:4118;width:165;height:425" coordorigin="11741,4118" coordsize="165,425" path="m11906,4118r-165,14l11741,4531r165,12l11906,4118xe" fillcolor="#047ebc" stroked="f">
              <v:path arrowok="t"/>
            </v:shape>
            <v:shape id="_x0000_s4382" type="#_x0000_t75" style="position:absolute;left:11741;top:4355;width:165;height:587">
              <v:imagedata r:id="rId42" o:title=""/>
            </v:shape>
            <v:shape id="_x0000_s4381" style="position:absolute;left:11741;top:5343;width:165;height:536" coordorigin="11741,5343" coordsize="165,536" path="m11741,5343r,535l11906,5872r,-525l11741,5343xe" fillcolor="#f36a2e" stroked="f">
              <v:path arrowok="t"/>
            </v:shape>
            <v:shape id="_x0000_s4380" style="position:absolute;left:11741;top:4925;width:165;height:501" coordorigin="11741,4926" coordsize="165,501" path="m11741,4926r,500l11906,5426r,-485l11741,4926xe" fillcolor="#49783f" stroked="f">
              <v:path arrowok="t"/>
            </v:shape>
            <v:shape id="_x0000_s4379" style="position:absolute;left:11741;top:5781;width:165;height:268" coordorigin="11741,5782" coordsize="165,268" path="m11906,5782r-165,8l11741,6039r165,10l11906,5782xe" fillcolor="#f99f2a" stroked="f">
              <v:path arrowok="t"/>
            </v:shape>
            <v:shape id="_x0000_s4378" style="position:absolute;left:11741;top:6023;width:165;height:707" coordorigin="11741,6023" coordsize="165,707" path="m11741,6023r,706l11906,6729r,-690l11741,6023xe" fillcolor="#ef412c" stroked="f">
              <v:path arrowok="t"/>
            </v:shape>
            <w10:wrap anchorx="page" anchory="page"/>
          </v:group>
        </w:pict>
      </w:r>
    </w:p>
    <w:p w14:paraId="7AB3EA4C" w14:textId="77777777" w:rsidR="00EF5B27" w:rsidRDefault="00EF5B27">
      <w:pPr>
        <w:pStyle w:val="BodyText"/>
      </w:pPr>
    </w:p>
    <w:p w14:paraId="63305B3F" w14:textId="77777777" w:rsidR="00EF5B27" w:rsidRDefault="00EF5B27">
      <w:pPr>
        <w:pStyle w:val="BodyText"/>
        <w:spacing w:before="4"/>
        <w:rPr>
          <w:sz w:val="15"/>
        </w:rPr>
      </w:pPr>
    </w:p>
    <w:p w14:paraId="5129609E" w14:textId="77777777" w:rsidR="00EF5B27" w:rsidRDefault="00000000">
      <w:pPr>
        <w:pStyle w:val="BodyText"/>
        <w:ind w:left="113" w:right="-15"/>
      </w:pPr>
      <w:r>
        <w:rPr>
          <w:noProof/>
        </w:rPr>
        <w:drawing>
          <wp:inline distT="0" distB="0" distL="0" distR="0" wp14:anchorId="32C44FB0" wp14:editId="3031DBFE">
            <wp:extent cx="1065288" cy="1065276"/>
            <wp:effectExtent l="0" t="0" r="0" b="0"/>
            <wp:docPr id="47"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3.jpeg"/>
                    <pic:cNvPicPr/>
                  </pic:nvPicPr>
                  <pic:blipFill>
                    <a:blip r:embed="rId46" cstate="print"/>
                    <a:stretch>
                      <a:fillRect/>
                    </a:stretch>
                  </pic:blipFill>
                  <pic:spPr>
                    <a:xfrm>
                      <a:off x="0" y="0"/>
                      <a:ext cx="1065288" cy="1065276"/>
                    </a:xfrm>
                    <a:prstGeom prst="rect">
                      <a:avLst/>
                    </a:prstGeom>
                  </pic:spPr>
                </pic:pic>
              </a:graphicData>
            </a:graphic>
          </wp:inline>
        </w:drawing>
      </w:r>
    </w:p>
    <w:p w14:paraId="3B6C7A58" w14:textId="77777777" w:rsidR="00EF5B27" w:rsidRDefault="00000000">
      <w:pPr>
        <w:spacing w:before="85"/>
        <w:ind w:left="113"/>
        <w:rPr>
          <w:rFonts w:ascii="Century Gothic"/>
          <w:i/>
          <w:sz w:val="12"/>
        </w:rPr>
      </w:pPr>
      <w:r>
        <w:pict w14:anchorId="03D17CF0">
          <v:group id="_x0000_s4374" style="position:absolute;left:0;text-align:left;margin-left:56.7pt;margin-top:-113.75pt;width:481.15pt;height:.25pt;z-index:251386368;mso-position-horizontal-relative:page" coordorigin="1134,-2275" coordsize="9623,5">
            <v:line id="_x0000_s4376" style="position:absolute" from="1134,-2273" to="3628,-2273" strokeweight=".25pt"/>
            <v:line id="_x0000_s4375" style="position:absolute" from="3628,-2273" to="10756,-2273" strokeweight=".25pt"/>
            <w10:wrap anchorx="page"/>
          </v:group>
        </w:pict>
      </w:r>
      <w:r>
        <w:rPr>
          <w:rFonts w:ascii="Century Gothic"/>
          <w:i/>
          <w:color w:val="4D4D4F"/>
          <w:sz w:val="12"/>
        </w:rPr>
        <w:t>Growling Grass Frog</w:t>
      </w:r>
    </w:p>
    <w:p w14:paraId="4B9E5FDB" w14:textId="77777777" w:rsidR="00EF5B27" w:rsidRDefault="00000000">
      <w:pPr>
        <w:pStyle w:val="BodyText"/>
        <w:spacing w:before="2"/>
        <w:rPr>
          <w:rFonts w:ascii="Century Gothic"/>
          <w:i/>
          <w:sz w:val="51"/>
        </w:rPr>
      </w:pPr>
      <w:r>
        <w:br w:type="column"/>
      </w:r>
    </w:p>
    <w:p w14:paraId="15D01EE4" w14:textId="77777777" w:rsidR="00EF5B27" w:rsidRDefault="00000000">
      <w:pPr>
        <w:pStyle w:val="Heading3"/>
        <w:ind w:left="113"/>
      </w:pPr>
      <w:r>
        <w:rPr>
          <w:color w:val="F99F2A"/>
        </w:rPr>
        <w:t>Challenges the recommendation addresses</w:t>
      </w:r>
    </w:p>
    <w:p w14:paraId="6C3DCB7F" w14:textId="77777777" w:rsidR="00EF5B27" w:rsidRDefault="00000000">
      <w:pPr>
        <w:pStyle w:val="BodyText"/>
        <w:spacing w:before="256" w:line="254" w:lineRule="auto"/>
        <w:ind w:left="113" w:right="167"/>
      </w:pPr>
      <w:r>
        <w:rPr>
          <w:color w:val="4D4D4F"/>
        </w:rPr>
        <w:t>There is an outstanding need to establish baseline occupancy monitoring for new Growling Grass Frog corridors. Mitigating threats (reduced groundwater, pollutants, pests and urbanisation) to the Growling Grass Frog and monitoring and evaluating responses is a critical knowledge gap.</w:t>
      </w:r>
    </w:p>
    <w:p w14:paraId="19B4A998"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826" w:space="669"/>
            <w:col w:w="7375"/>
          </w:cols>
        </w:sectPr>
      </w:pPr>
    </w:p>
    <w:p w14:paraId="42DAF9C5" w14:textId="77777777" w:rsidR="00EF5B27" w:rsidRDefault="00EF5B27">
      <w:pPr>
        <w:pStyle w:val="BodyText"/>
      </w:pPr>
    </w:p>
    <w:p w14:paraId="65ACD454" w14:textId="77777777" w:rsidR="00EF5B27" w:rsidRDefault="00EF5B27">
      <w:pPr>
        <w:pStyle w:val="BodyText"/>
      </w:pPr>
    </w:p>
    <w:p w14:paraId="325A8B95" w14:textId="77777777" w:rsidR="00EF5B27" w:rsidRDefault="00EF5B27">
      <w:pPr>
        <w:pStyle w:val="BodyText"/>
      </w:pPr>
    </w:p>
    <w:p w14:paraId="56A9B0A3" w14:textId="77777777" w:rsidR="00EF5B27" w:rsidRDefault="00EF5B27">
      <w:pPr>
        <w:pStyle w:val="BodyText"/>
      </w:pPr>
    </w:p>
    <w:p w14:paraId="46EA516E" w14:textId="77777777" w:rsidR="00EF5B27" w:rsidRDefault="00EF5B27">
      <w:pPr>
        <w:pStyle w:val="BodyText"/>
      </w:pPr>
    </w:p>
    <w:p w14:paraId="2642B83D" w14:textId="77777777" w:rsidR="00EF5B27" w:rsidRDefault="00EF5B27">
      <w:pPr>
        <w:pStyle w:val="BodyText"/>
      </w:pPr>
    </w:p>
    <w:p w14:paraId="68A2B661" w14:textId="77777777" w:rsidR="00EF5B27" w:rsidRDefault="00EF5B27">
      <w:pPr>
        <w:pStyle w:val="BodyText"/>
      </w:pPr>
    </w:p>
    <w:p w14:paraId="453B863F" w14:textId="77777777" w:rsidR="00EF5B27" w:rsidRDefault="00EF5B27">
      <w:pPr>
        <w:pStyle w:val="BodyText"/>
      </w:pPr>
    </w:p>
    <w:p w14:paraId="179A0504" w14:textId="77777777" w:rsidR="00EF5B27" w:rsidRDefault="00EF5B27">
      <w:pPr>
        <w:pStyle w:val="BodyText"/>
      </w:pPr>
    </w:p>
    <w:p w14:paraId="0ABF3409" w14:textId="77777777" w:rsidR="00EF5B27" w:rsidRDefault="00EF5B27">
      <w:pPr>
        <w:pStyle w:val="BodyText"/>
      </w:pPr>
    </w:p>
    <w:p w14:paraId="643BFEFB" w14:textId="77777777" w:rsidR="00EF5B27" w:rsidRDefault="00EF5B27">
      <w:pPr>
        <w:pStyle w:val="BodyText"/>
        <w:spacing w:before="4"/>
        <w:rPr>
          <w:sz w:val="11"/>
        </w:rPr>
      </w:pPr>
    </w:p>
    <w:p w14:paraId="6CB1C87C" w14:textId="77777777" w:rsidR="00EF5B27" w:rsidRDefault="00000000">
      <w:pPr>
        <w:pStyle w:val="BodyText"/>
        <w:ind w:left="113"/>
      </w:pPr>
      <w:r>
        <w:pict w14:anchorId="61612611">
          <v:shape id="_x0000_s4373" type="#_x0000_t202" style="width:481.15pt;height:25.4pt;mso-left-percent:-10001;mso-top-percent:-10001;mso-position-horizontal:absolute;mso-position-horizontal-relative:char;mso-position-vertical:absolute;mso-position-vertical-relative:line;mso-left-percent:-10001;mso-top-percent:-10001" fillcolor="#fecc91" stroked="f">
            <v:textbox inset="0,0,0,0">
              <w:txbxContent>
                <w:p w14:paraId="5750CC27" w14:textId="77777777" w:rsidR="00EF5B27" w:rsidRDefault="00000000">
                  <w:pPr>
                    <w:tabs>
                      <w:tab w:val="left" w:pos="2607"/>
                    </w:tabs>
                    <w:spacing w:before="142"/>
                    <w:ind w:left="113"/>
                    <w:rPr>
                      <w:b/>
                      <w:sz w:val="20"/>
                    </w:rPr>
                  </w:pPr>
                  <w:r>
                    <w:rPr>
                      <w:b/>
                      <w:color w:val="4D4D4F"/>
                      <w:sz w:val="20"/>
                    </w:rPr>
                    <w:t>Theme</w:t>
                  </w:r>
                  <w:r>
                    <w:rPr>
                      <w:b/>
                      <w:color w:val="4D4D4F"/>
                      <w:sz w:val="20"/>
                    </w:rPr>
                    <w:tab/>
                    <w:t>Small Golden Moths</w:t>
                  </w:r>
                  <w:r>
                    <w:rPr>
                      <w:b/>
                      <w:color w:val="4D4D4F"/>
                      <w:spacing w:val="11"/>
                      <w:sz w:val="20"/>
                    </w:rPr>
                    <w:t xml:space="preserve"> </w:t>
                  </w:r>
                  <w:r>
                    <w:rPr>
                      <w:b/>
                      <w:color w:val="4D4D4F"/>
                      <w:sz w:val="20"/>
                    </w:rPr>
                    <w:t>Orchid</w:t>
                  </w:r>
                </w:p>
              </w:txbxContent>
            </v:textbox>
            <w10:anchorlock/>
          </v:shape>
        </w:pict>
      </w:r>
    </w:p>
    <w:p w14:paraId="7B652D10" w14:textId="77777777" w:rsidR="00EF5B27" w:rsidRDefault="00EF5B27">
      <w:pPr>
        <w:pStyle w:val="BodyText"/>
        <w:spacing w:before="8"/>
        <w:rPr>
          <w:sz w:val="5"/>
        </w:rPr>
      </w:pPr>
    </w:p>
    <w:p w14:paraId="737EADEE" w14:textId="77777777" w:rsidR="00EF5B27" w:rsidRDefault="00EF5B27">
      <w:pPr>
        <w:rPr>
          <w:sz w:val="5"/>
        </w:rPr>
        <w:sectPr w:rsidR="00EF5B27">
          <w:pgSz w:w="11910" w:h="16840"/>
          <w:pgMar w:top="1080" w:right="1020" w:bottom="860" w:left="1020" w:header="537" w:footer="678" w:gutter="0"/>
          <w:cols w:space="720"/>
        </w:sectPr>
      </w:pPr>
    </w:p>
    <w:p w14:paraId="5DE36BAF" w14:textId="77777777" w:rsidR="00EF5B27" w:rsidRDefault="00000000">
      <w:pPr>
        <w:pStyle w:val="BodyText"/>
        <w:spacing w:before="51"/>
        <w:ind w:left="227"/>
      </w:pPr>
      <w:r>
        <w:pict w14:anchorId="66FE3B81">
          <v:group id="_x0000_s4370" style="position:absolute;left:0;text-align:left;margin-left:56.7pt;margin-top:-29.85pt;width:481.15pt;height:.25pt;z-index:251390464;mso-position-horizontal-relative:page" coordorigin="1134,-597" coordsize="9623,5">
            <v:line id="_x0000_s4372" style="position:absolute" from="1134,-595" to="3628,-595" strokeweight=".25pt"/>
            <v:line id="_x0000_s4371" style="position:absolute" from="3628,-595" to="10756,-595" strokeweight=".25pt"/>
            <w10:wrap anchorx="page"/>
          </v:group>
        </w:pict>
      </w:r>
      <w:r>
        <w:pict w14:anchorId="423DC231">
          <v:group id="_x0000_s4367" style="position:absolute;left:0;text-align:left;margin-left:56.7pt;margin-top:-4.35pt;width:481.15pt;height:.25pt;z-index:251391488;mso-position-horizontal-relative:page" coordorigin="1134,-87" coordsize="9623,5">
            <v:line id="_x0000_s4369" style="position:absolute" from="1134,-84" to="3628,-84" strokeweight=".25pt"/>
            <v:line id="_x0000_s4368" style="position:absolute" from="3628,-84" to="10756,-84" strokeweight=".25pt"/>
            <w10:wrap anchorx="page"/>
          </v:group>
        </w:pict>
      </w:r>
      <w:r>
        <w:rPr>
          <w:color w:val="4D4D4F"/>
        </w:rPr>
        <w:t>Recommendation</w:t>
      </w:r>
    </w:p>
    <w:p w14:paraId="78A70BE3" w14:textId="77777777" w:rsidR="00EF5B27" w:rsidRDefault="00000000">
      <w:pPr>
        <w:pStyle w:val="Heading1"/>
      </w:pPr>
      <w:r>
        <w:rPr>
          <w:color w:val="4D4D4F"/>
          <w:w w:val="105"/>
        </w:rPr>
        <w:t>13</w:t>
      </w:r>
    </w:p>
    <w:p w14:paraId="3B7FF236" w14:textId="77777777" w:rsidR="00EF5B27" w:rsidRDefault="00000000">
      <w:pPr>
        <w:pStyle w:val="BodyText"/>
        <w:spacing w:before="51" w:line="254" w:lineRule="auto"/>
        <w:ind w:left="227" w:right="561"/>
      </w:pPr>
      <w:r>
        <w:br w:type="column"/>
      </w:r>
      <w:r>
        <w:rPr>
          <w:color w:val="4D4D4F"/>
          <w:w w:val="105"/>
        </w:rPr>
        <w:t>That DELWP urgently assesses the impacts of biomass and pests on the Small Golden Moths Orchid.</w:t>
      </w:r>
    </w:p>
    <w:p w14:paraId="367BC714"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704" w:space="790"/>
            <w:col w:w="7376"/>
          </w:cols>
        </w:sectPr>
      </w:pPr>
    </w:p>
    <w:p w14:paraId="45910C5A" w14:textId="77777777" w:rsidR="00EF5B27" w:rsidRDefault="00EF5B27">
      <w:pPr>
        <w:pStyle w:val="BodyText"/>
      </w:pPr>
    </w:p>
    <w:p w14:paraId="6893BA79" w14:textId="77777777" w:rsidR="00EF5B27" w:rsidRDefault="00EF5B27">
      <w:pPr>
        <w:pStyle w:val="BodyText"/>
      </w:pPr>
    </w:p>
    <w:p w14:paraId="0665B5BD" w14:textId="77777777" w:rsidR="00EF5B27" w:rsidRDefault="00EF5B27">
      <w:pPr>
        <w:pStyle w:val="BodyText"/>
        <w:spacing w:before="10"/>
        <w:rPr>
          <w:sz w:val="16"/>
        </w:rPr>
      </w:pPr>
    </w:p>
    <w:p w14:paraId="06F9B7DB" w14:textId="77777777" w:rsidR="00EF5B27" w:rsidRDefault="00000000">
      <w:pPr>
        <w:pStyle w:val="BodyText"/>
        <w:ind w:left="113" w:right="-15"/>
      </w:pPr>
      <w:r>
        <w:rPr>
          <w:noProof/>
        </w:rPr>
        <w:drawing>
          <wp:inline distT="0" distB="0" distL="0" distR="0" wp14:anchorId="564FB514" wp14:editId="4AE2B3F4">
            <wp:extent cx="1065275" cy="1065276"/>
            <wp:effectExtent l="0" t="0" r="0" b="0"/>
            <wp:docPr id="49"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4.jpeg"/>
                    <pic:cNvPicPr/>
                  </pic:nvPicPr>
                  <pic:blipFill>
                    <a:blip r:embed="rId57" cstate="print"/>
                    <a:stretch>
                      <a:fillRect/>
                    </a:stretch>
                  </pic:blipFill>
                  <pic:spPr>
                    <a:xfrm>
                      <a:off x="0" y="0"/>
                      <a:ext cx="1065275" cy="1065276"/>
                    </a:xfrm>
                    <a:prstGeom prst="rect">
                      <a:avLst/>
                    </a:prstGeom>
                  </pic:spPr>
                </pic:pic>
              </a:graphicData>
            </a:graphic>
          </wp:inline>
        </w:drawing>
      </w:r>
    </w:p>
    <w:p w14:paraId="350EF5C5" w14:textId="77777777" w:rsidR="00EF5B27" w:rsidRDefault="00000000">
      <w:pPr>
        <w:spacing w:before="79"/>
        <w:ind w:left="113"/>
        <w:rPr>
          <w:rFonts w:ascii="Century Gothic"/>
          <w:i/>
          <w:sz w:val="12"/>
        </w:rPr>
      </w:pPr>
      <w:r>
        <w:pict w14:anchorId="761E82DC">
          <v:group id="_x0000_s4364" style="position:absolute;left:0;text-align:left;margin-left:56.7pt;margin-top:-113.95pt;width:481.15pt;height:.25pt;z-index:251392512;mso-position-horizontal-relative:page" coordorigin="1134,-2279" coordsize="9623,5">
            <v:line id="_x0000_s4366" style="position:absolute" from="1134,-2276" to="3628,-2276" strokeweight=".25pt"/>
            <v:line id="_x0000_s4365" style="position:absolute" from="3628,-2276" to="10756,-2276" strokeweight=".25pt"/>
            <w10:wrap anchorx="page"/>
          </v:group>
        </w:pict>
      </w:r>
      <w:r>
        <w:rPr>
          <w:rFonts w:ascii="Century Gothic"/>
          <w:i/>
          <w:color w:val="4D4D4F"/>
          <w:sz w:val="12"/>
        </w:rPr>
        <w:t>Small Golden Moths Orchid</w:t>
      </w:r>
    </w:p>
    <w:p w14:paraId="19F75CA9" w14:textId="77777777" w:rsidR="00EF5B27" w:rsidRDefault="00000000">
      <w:pPr>
        <w:pStyle w:val="BodyText"/>
        <w:spacing w:before="7"/>
        <w:rPr>
          <w:rFonts w:ascii="Century Gothic"/>
          <w:i/>
          <w:sz w:val="52"/>
        </w:rPr>
      </w:pPr>
      <w:r>
        <w:br w:type="column"/>
      </w:r>
    </w:p>
    <w:p w14:paraId="41AA8DEB" w14:textId="77777777" w:rsidR="00EF5B27" w:rsidRDefault="00000000">
      <w:pPr>
        <w:pStyle w:val="Heading3"/>
        <w:ind w:left="113"/>
      </w:pPr>
      <w:r>
        <w:rPr>
          <w:color w:val="F99F2A"/>
        </w:rPr>
        <w:t>Challenges the recommendation addresses</w:t>
      </w:r>
    </w:p>
    <w:p w14:paraId="471357FF" w14:textId="77777777" w:rsidR="00EF5B27" w:rsidRDefault="00000000">
      <w:pPr>
        <w:pStyle w:val="BodyText"/>
        <w:spacing w:before="256" w:line="254" w:lineRule="auto"/>
        <w:ind w:left="113" w:right="130"/>
        <w:jc w:val="both"/>
      </w:pPr>
      <w:r>
        <w:rPr>
          <w:color w:val="4D4D4F"/>
        </w:rPr>
        <w:t xml:space="preserve">It </w:t>
      </w:r>
      <w:r>
        <w:rPr>
          <w:color w:val="4D4D4F"/>
          <w:spacing w:val="-3"/>
        </w:rPr>
        <w:t xml:space="preserve">is </w:t>
      </w:r>
      <w:r>
        <w:rPr>
          <w:color w:val="4D4D4F"/>
          <w:spacing w:val="-4"/>
        </w:rPr>
        <w:t xml:space="preserve">unclear </w:t>
      </w:r>
      <w:r>
        <w:rPr>
          <w:color w:val="4D4D4F"/>
          <w:spacing w:val="-5"/>
        </w:rPr>
        <w:t xml:space="preserve">if, </w:t>
      </w:r>
      <w:r>
        <w:rPr>
          <w:color w:val="4D4D4F"/>
          <w:spacing w:val="-3"/>
        </w:rPr>
        <w:t xml:space="preserve">and </w:t>
      </w:r>
      <w:r>
        <w:rPr>
          <w:color w:val="4D4D4F"/>
        </w:rPr>
        <w:t xml:space="preserve">how </w:t>
      </w:r>
      <w:r>
        <w:rPr>
          <w:color w:val="4D4D4F"/>
          <w:spacing w:val="-3"/>
        </w:rPr>
        <w:t xml:space="preserve">well, the species is </w:t>
      </w:r>
      <w:r>
        <w:rPr>
          <w:color w:val="4D4D4F"/>
          <w:spacing w:val="-4"/>
        </w:rPr>
        <w:t xml:space="preserve">persisting, </w:t>
      </w:r>
      <w:r>
        <w:rPr>
          <w:color w:val="4D4D4F"/>
        </w:rPr>
        <w:t xml:space="preserve">as </w:t>
      </w:r>
      <w:r>
        <w:rPr>
          <w:color w:val="4D4D4F"/>
          <w:spacing w:val="-3"/>
        </w:rPr>
        <w:t xml:space="preserve">the </w:t>
      </w:r>
      <w:r>
        <w:rPr>
          <w:color w:val="4D4D4F"/>
        </w:rPr>
        <w:t xml:space="preserve">area </w:t>
      </w:r>
      <w:r>
        <w:rPr>
          <w:color w:val="4D4D4F"/>
          <w:spacing w:val="-5"/>
        </w:rPr>
        <w:t xml:space="preserve">containing </w:t>
      </w:r>
      <w:r>
        <w:rPr>
          <w:color w:val="4D4D4F"/>
          <w:spacing w:val="-3"/>
        </w:rPr>
        <w:t xml:space="preserve">the </w:t>
      </w:r>
      <w:r>
        <w:rPr>
          <w:color w:val="4D4D4F"/>
          <w:spacing w:val="-4"/>
        </w:rPr>
        <w:t xml:space="preserve">remnant grassland </w:t>
      </w:r>
      <w:r>
        <w:rPr>
          <w:color w:val="4D4D4F"/>
          <w:spacing w:val="-5"/>
        </w:rPr>
        <w:t xml:space="preserve">habitat </w:t>
      </w:r>
      <w:r>
        <w:rPr>
          <w:color w:val="4D4D4F"/>
          <w:spacing w:val="-3"/>
        </w:rPr>
        <w:t xml:space="preserve">of </w:t>
      </w:r>
      <w:r>
        <w:rPr>
          <w:color w:val="4D4D4F"/>
          <w:spacing w:val="-5"/>
        </w:rPr>
        <w:t xml:space="preserve">Small </w:t>
      </w:r>
      <w:r>
        <w:rPr>
          <w:color w:val="4D4D4F"/>
          <w:spacing w:val="-4"/>
        </w:rPr>
        <w:t xml:space="preserve">Golden Moths Orchid has yet </w:t>
      </w:r>
      <w:r>
        <w:rPr>
          <w:color w:val="4D4D4F"/>
          <w:spacing w:val="-3"/>
        </w:rPr>
        <w:t xml:space="preserve">to </w:t>
      </w:r>
      <w:r>
        <w:rPr>
          <w:color w:val="4D4D4F"/>
        </w:rPr>
        <w:t xml:space="preserve">be </w:t>
      </w:r>
      <w:r>
        <w:rPr>
          <w:color w:val="4D4D4F"/>
          <w:spacing w:val="-4"/>
        </w:rPr>
        <w:t xml:space="preserve">protected. </w:t>
      </w:r>
      <w:r>
        <w:rPr>
          <w:color w:val="4D4D4F"/>
          <w:spacing w:val="-5"/>
        </w:rPr>
        <w:t xml:space="preserve">Currently, </w:t>
      </w:r>
      <w:r>
        <w:rPr>
          <w:color w:val="4D4D4F"/>
          <w:spacing w:val="-3"/>
        </w:rPr>
        <w:t xml:space="preserve">there </w:t>
      </w:r>
      <w:r>
        <w:rPr>
          <w:color w:val="4D4D4F"/>
          <w:spacing w:val="-4"/>
        </w:rPr>
        <w:t xml:space="preserve">is </w:t>
      </w:r>
      <w:r>
        <w:rPr>
          <w:color w:val="4D4D4F"/>
        </w:rPr>
        <w:t xml:space="preserve">no </w:t>
      </w:r>
      <w:r>
        <w:rPr>
          <w:color w:val="4D4D4F"/>
          <w:spacing w:val="-3"/>
        </w:rPr>
        <w:t xml:space="preserve">direct </w:t>
      </w:r>
      <w:r>
        <w:rPr>
          <w:color w:val="4D4D4F"/>
          <w:spacing w:val="-5"/>
        </w:rPr>
        <w:t xml:space="preserve">interim management </w:t>
      </w:r>
      <w:r>
        <w:rPr>
          <w:color w:val="4D4D4F"/>
          <w:spacing w:val="-3"/>
        </w:rPr>
        <w:t xml:space="preserve">of the </w:t>
      </w:r>
      <w:r>
        <w:rPr>
          <w:color w:val="4D4D4F"/>
          <w:spacing w:val="-4"/>
        </w:rPr>
        <w:t xml:space="preserve">species </w:t>
      </w:r>
      <w:r>
        <w:rPr>
          <w:color w:val="4D4D4F"/>
          <w:spacing w:val="-3"/>
        </w:rPr>
        <w:t xml:space="preserve">where it </w:t>
      </w:r>
      <w:r>
        <w:rPr>
          <w:color w:val="4D4D4F"/>
          <w:spacing w:val="-4"/>
        </w:rPr>
        <w:t xml:space="preserve">is </w:t>
      </w:r>
      <w:r>
        <w:rPr>
          <w:color w:val="4D4D4F"/>
          <w:spacing w:val="-3"/>
        </w:rPr>
        <w:t xml:space="preserve">known to </w:t>
      </w:r>
      <w:r>
        <w:rPr>
          <w:color w:val="4D4D4F"/>
          <w:spacing w:val="-6"/>
        </w:rPr>
        <w:t>occur.</w:t>
      </w:r>
    </w:p>
    <w:p w14:paraId="4C23B37E" w14:textId="77777777" w:rsidR="00EF5B27" w:rsidRDefault="00000000">
      <w:pPr>
        <w:pStyle w:val="BodyText"/>
        <w:spacing w:before="117" w:line="254" w:lineRule="auto"/>
        <w:ind w:left="113" w:right="249"/>
        <w:jc w:val="both"/>
      </w:pPr>
      <w:r>
        <w:pict w14:anchorId="0B8F2F5B">
          <v:group id="_x0000_s4361" style="position:absolute;left:0;text-align:left;margin-left:56.7pt;margin-top:75.8pt;width:481.15pt;height:.25pt;z-index:251393536;mso-position-horizontal-relative:page" coordorigin="1134,1516" coordsize="9623,5">
            <v:line id="_x0000_s4363" style="position:absolute" from="1134,1518" to="3628,1518" strokeweight=".25pt"/>
            <v:line id="_x0000_s4362" style="position:absolute" from="3628,1518" to="10756,1518" strokeweight=".25pt"/>
            <w10:wrap anchorx="page"/>
          </v:group>
        </w:pict>
      </w:r>
      <w:r>
        <w:rPr>
          <w:color w:val="4D4D4F"/>
        </w:rPr>
        <w:t>As this is the last known population of the Small Golden Moths Orchid, the species is considered extremely vulnerable to threats and pressures such as subtle changes in biomass and rabbits.</w:t>
      </w:r>
    </w:p>
    <w:p w14:paraId="10A9CB28" w14:textId="77777777" w:rsidR="00EF5B27" w:rsidRDefault="00EF5B27">
      <w:pPr>
        <w:spacing w:line="254" w:lineRule="auto"/>
        <w:jc w:val="both"/>
        <w:sectPr w:rsidR="00EF5B27">
          <w:type w:val="continuous"/>
          <w:pgSz w:w="11910" w:h="16840"/>
          <w:pgMar w:top="1140" w:right="1020" w:bottom="280" w:left="1020" w:header="720" w:footer="720" w:gutter="0"/>
          <w:cols w:num="2" w:space="720" w:equalWidth="0">
            <w:col w:w="1826" w:space="669"/>
            <w:col w:w="7375"/>
          </w:cols>
        </w:sectPr>
      </w:pPr>
    </w:p>
    <w:p w14:paraId="5CE383F6" w14:textId="77777777" w:rsidR="00EF5B27" w:rsidRDefault="00EF5B27">
      <w:pPr>
        <w:pStyle w:val="BodyText"/>
      </w:pPr>
    </w:p>
    <w:p w14:paraId="1F4A6AAE" w14:textId="77777777" w:rsidR="00EF5B27" w:rsidRDefault="00EF5B27">
      <w:pPr>
        <w:pStyle w:val="BodyText"/>
      </w:pPr>
    </w:p>
    <w:p w14:paraId="04EB67C9" w14:textId="77777777" w:rsidR="00EF5B27" w:rsidRDefault="00EF5B27">
      <w:pPr>
        <w:pStyle w:val="BodyText"/>
        <w:spacing w:before="5"/>
        <w:rPr>
          <w:sz w:val="11"/>
        </w:rPr>
      </w:pPr>
    </w:p>
    <w:p w14:paraId="55F943F0" w14:textId="77777777" w:rsidR="00EF5B27" w:rsidRDefault="00000000">
      <w:pPr>
        <w:pStyle w:val="BodyText"/>
        <w:ind w:left="113"/>
      </w:pPr>
      <w:r>
        <w:pict w14:anchorId="36FCF9C9">
          <v:shape id="_x0000_s4360" type="#_x0000_t202" style="width:481.15pt;height:25.3pt;mso-left-percent:-10001;mso-top-percent:-10001;mso-position-horizontal:absolute;mso-position-horizontal-relative:char;mso-position-vertical:absolute;mso-position-vertical-relative:line;mso-left-percent:-10001;mso-top-percent:-10001" fillcolor="#fecc91" stroked="f">
            <v:textbox inset="0,0,0,0">
              <w:txbxContent>
                <w:p w14:paraId="22FEF57E" w14:textId="77777777" w:rsidR="00EF5B27" w:rsidRDefault="00000000">
                  <w:pPr>
                    <w:tabs>
                      <w:tab w:val="left" w:pos="2607"/>
                    </w:tabs>
                    <w:spacing w:before="140"/>
                    <w:ind w:left="113"/>
                    <w:rPr>
                      <w:b/>
                      <w:sz w:val="20"/>
                    </w:rPr>
                  </w:pPr>
                  <w:r>
                    <w:rPr>
                      <w:b/>
                      <w:color w:val="4D4D4F"/>
                      <w:w w:val="105"/>
                      <w:sz w:val="20"/>
                    </w:rPr>
                    <w:t>Theme</w:t>
                  </w:r>
                  <w:r>
                    <w:rPr>
                      <w:b/>
                      <w:color w:val="4D4D4F"/>
                      <w:w w:val="105"/>
                      <w:sz w:val="20"/>
                    </w:rPr>
                    <w:tab/>
                    <w:t>Striped Legless</w:t>
                  </w:r>
                  <w:r>
                    <w:rPr>
                      <w:b/>
                      <w:color w:val="4D4D4F"/>
                      <w:spacing w:val="3"/>
                      <w:w w:val="105"/>
                      <w:sz w:val="20"/>
                    </w:rPr>
                    <w:t xml:space="preserve"> </w:t>
                  </w:r>
                  <w:r>
                    <w:rPr>
                      <w:b/>
                      <w:color w:val="4D4D4F"/>
                      <w:w w:val="105"/>
                      <w:sz w:val="20"/>
                    </w:rPr>
                    <w:t>Lizard</w:t>
                  </w:r>
                </w:p>
              </w:txbxContent>
            </v:textbox>
            <w10:anchorlock/>
          </v:shape>
        </w:pict>
      </w:r>
    </w:p>
    <w:p w14:paraId="56B037AF" w14:textId="77777777" w:rsidR="00EF5B27" w:rsidRDefault="00EF5B27">
      <w:pPr>
        <w:pStyle w:val="BodyText"/>
        <w:spacing w:before="8"/>
        <w:rPr>
          <w:sz w:val="5"/>
        </w:rPr>
      </w:pPr>
    </w:p>
    <w:p w14:paraId="41552B30" w14:textId="77777777" w:rsidR="00EF5B27" w:rsidRDefault="00EF5B27">
      <w:pPr>
        <w:rPr>
          <w:sz w:val="5"/>
        </w:rPr>
        <w:sectPr w:rsidR="00EF5B27">
          <w:type w:val="continuous"/>
          <w:pgSz w:w="11910" w:h="16840"/>
          <w:pgMar w:top="1140" w:right="1020" w:bottom="280" w:left="1020" w:header="720" w:footer="720" w:gutter="0"/>
          <w:cols w:space="720"/>
        </w:sectPr>
      </w:pPr>
    </w:p>
    <w:p w14:paraId="7B669884" w14:textId="77777777" w:rsidR="00EF5B27" w:rsidRDefault="00000000">
      <w:pPr>
        <w:pStyle w:val="BodyText"/>
        <w:spacing w:before="49"/>
        <w:ind w:left="227"/>
      </w:pPr>
      <w:r>
        <w:pict w14:anchorId="22077282">
          <v:group id="_x0000_s4357" style="position:absolute;left:0;text-align:left;margin-left:56.7pt;margin-top:-4.45pt;width:481.15pt;height:.25pt;z-index:251394560;mso-position-horizontal-relative:page" coordorigin="1134,-89" coordsize="9623,5">
            <v:line id="_x0000_s4359" style="position:absolute" from="1134,-86" to="3628,-86" strokeweight=".25pt"/>
            <v:line id="_x0000_s4358" style="position:absolute" from="3628,-86" to="10756,-86" strokeweight=".25pt"/>
            <w10:wrap anchorx="page"/>
          </v:group>
        </w:pict>
      </w:r>
      <w:r>
        <w:rPr>
          <w:color w:val="4D4D4F"/>
        </w:rPr>
        <w:t>Recommendation</w:t>
      </w:r>
    </w:p>
    <w:p w14:paraId="29F5F61E" w14:textId="77777777" w:rsidR="00EF5B27" w:rsidRDefault="00000000">
      <w:pPr>
        <w:pStyle w:val="Heading1"/>
        <w:spacing w:before="3"/>
      </w:pPr>
      <w:r>
        <w:rPr>
          <w:color w:val="4D4D4F"/>
          <w:w w:val="105"/>
        </w:rPr>
        <w:t>14</w:t>
      </w:r>
    </w:p>
    <w:p w14:paraId="5BEFA19B" w14:textId="77777777" w:rsidR="00EF5B27" w:rsidRDefault="00000000">
      <w:pPr>
        <w:pStyle w:val="BodyText"/>
        <w:spacing w:before="49"/>
        <w:ind w:left="227"/>
      </w:pPr>
      <w:r>
        <w:br w:type="column"/>
      </w:r>
      <w:r>
        <w:rPr>
          <w:color w:val="4D4D4F"/>
        </w:rPr>
        <w:t>That DELWP:</w:t>
      </w:r>
    </w:p>
    <w:p w14:paraId="1317A6CE" w14:textId="77777777" w:rsidR="00EF5B27" w:rsidRDefault="00000000">
      <w:pPr>
        <w:pStyle w:val="ListParagraph"/>
        <w:numPr>
          <w:ilvl w:val="0"/>
          <w:numId w:val="55"/>
        </w:numPr>
        <w:tabs>
          <w:tab w:val="left" w:pos="429"/>
        </w:tabs>
        <w:spacing w:before="129" w:line="254" w:lineRule="auto"/>
        <w:ind w:right="442" w:firstLine="0"/>
        <w:rPr>
          <w:sz w:val="20"/>
        </w:rPr>
      </w:pPr>
      <w:r>
        <w:rPr>
          <w:color w:val="4D4D4F"/>
          <w:w w:val="105"/>
          <w:sz w:val="20"/>
        </w:rPr>
        <w:t>redesigns</w:t>
      </w:r>
      <w:r>
        <w:rPr>
          <w:color w:val="4D4D4F"/>
          <w:spacing w:val="-11"/>
          <w:w w:val="105"/>
          <w:sz w:val="20"/>
        </w:rPr>
        <w:t xml:space="preserve"> </w:t>
      </w:r>
      <w:r>
        <w:rPr>
          <w:color w:val="4D4D4F"/>
          <w:w w:val="105"/>
          <w:sz w:val="20"/>
        </w:rPr>
        <w:t>the</w:t>
      </w:r>
      <w:r>
        <w:rPr>
          <w:color w:val="4D4D4F"/>
          <w:spacing w:val="-11"/>
          <w:w w:val="105"/>
          <w:sz w:val="20"/>
        </w:rPr>
        <w:t xml:space="preserve"> </w:t>
      </w:r>
      <w:r>
        <w:rPr>
          <w:color w:val="4D4D4F"/>
          <w:w w:val="105"/>
          <w:sz w:val="20"/>
        </w:rPr>
        <w:t>KPI</w:t>
      </w:r>
      <w:r>
        <w:rPr>
          <w:color w:val="4D4D4F"/>
          <w:spacing w:val="-10"/>
          <w:w w:val="105"/>
          <w:sz w:val="20"/>
        </w:rPr>
        <w:t xml:space="preserve"> </w:t>
      </w:r>
      <w:r>
        <w:rPr>
          <w:color w:val="4D4D4F"/>
          <w:w w:val="105"/>
          <w:sz w:val="20"/>
        </w:rPr>
        <w:t>and</w:t>
      </w:r>
      <w:r>
        <w:rPr>
          <w:color w:val="4D4D4F"/>
          <w:spacing w:val="-11"/>
          <w:w w:val="105"/>
          <w:sz w:val="20"/>
        </w:rPr>
        <w:t xml:space="preserve"> </w:t>
      </w:r>
      <w:r>
        <w:rPr>
          <w:color w:val="4D4D4F"/>
          <w:w w:val="105"/>
          <w:sz w:val="20"/>
        </w:rPr>
        <w:t>monitoring</w:t>
      </w:r>
      <w:r>
        <w:rPr>
          <w:color w:val="4D4D4F"/>
          <w:spacing w:val="-10"/>
          <w:w w:val="105"/>
          <w:sz w:val="20"/>
        </w:rPr>
        <w:t xml:space="preserve"> </w:t>
      </w:r>
      <w:r>
        <w:rPr>
          <w:color w:val="4D4D4F"/>
          <w:w w:val="105"/>
          <w:sz w:val="20"/>
        </w:rPr>
        <w:t>protocol</w:t>
      </w:r>
      <w:r>
        <w:rPr>
          <w:color w:val="4D4D4F"/>
          <w:spacing w:val="-11"/>
          <w:w w:val="105"/>
          <w:sz w:val="20"/>
        </w:rPr>
        <w:t xml:space="preserve"> </w:t>
      </w:r>
      <w:r>
        <w:rPr>
          <w:color w:val="4D4D4F"/>
          <w:w w:val="105"/>
          <w:sz w:val="20"/>
        </w:rPr>
        <w:t>for</w:t>
      </w:r>
      <w:r>
        <w:rPr>
          <w:color w:val="4D4D4F"/>
          <w:spacing w:val="-11"/>
          <w:w w:val="105"/>
          <w:sz w:val="20"/>
        </w:rPr>
        <w:t xml:space="preserve"> </w:t>
      </w:r>
      <w:r>
        <w:rPr>
          <w:color w:val="4D4D4F"/>
          <w:w w:val="105"/>
          <w:sz w:val="20"/>
        </w:rPr>
        <w:t>the</w:t>
      </w:r>
      <w:r>
        <w:rPr>
          <w:color w:val="4D4D4F"/>
          <w:spacing w:val="-10"/>
          <w:w w:val="105"/>
          <w:sz w:val="20"/>
        </w:rPr>
        <w:t xml:space="preserve"> </w:t>
      </w:r>
      <w:r>
        <w:rPr>
          <w:color w:val="4D4D4F"/>
          <w:w w:val="105"/>
          <w:sz w:val="20"/>
        </w:rPr>
        <w:t>Striped</w:t>
      </w:r>
      <w:r>
        <w:rPr>
          <w:color w:val="4D4D4F"/>
          <w:spacing w:val="-11"/>
          <w:w w:val="105"/>
          <w:sz w:val="20"/>
        </w:rPr>
        <w:t xml:space="preserve"> </w:t>
      </w:r>
      <w:r>
        <w:rPr>
          <w:color w:val="4D4D4F"/>
          <w:w w:val="105"/>
          <w:sz w:val="20"/>
        </w:rPr>
        <w:t>Legless</w:t>
      </w:r>
      <w:r>
        <w:rPr>
          <w:color w:val="4D4D4F"/>
          <w:spacing w:val="-11"/>
          <w:w w:val="105"/>
          <w:sz w:val="20"/>
        </w:rPr>
        <w:t xml:space="preserve"> </w:t>
      </w:r>
      <w:r>
        <w:rPr>
          <w:color w:val="4D4D4F"/>
          <w:w w:val="105"/>
          <w:sz w:val="20"/>
        </w:rPr>
        <w:t>Lizard,</w:t>
      </w:r>
      <w:r>
        <w:rPr>
          <w:color w:val="4D4D4F"/>
          <w:spacing w:val="-10"/>
          <w:w w:val="105"/>
          <w:sz w:val="20"/>
        </w:rPr>
        <w:t xml:space="preserve"> </w:t>
      </w:r>
      <w:r>
        <w:rPr>
          <w:color w:val="4D4D4F"/>
          <w:w w:val="105"/>
          <w:sz w:val="20"/>
        </w:rPr>
        <w:t>such that</w:t>
      </w:r>
      <w:r>
        <w:rPr>
          <w:color w:val="4D4D4F"/>
          <w:spacing w:val="-16"/>
          <w:w w:val="105"/>
          <w:sz w:val="20"/>
        </w:rPr>
        <w:t xml:space="preserve"> </w:t>
      </w:r>
      <w:r>
        <w:rPr>
          <w:color w:val="4D4D4F"/>
          <w:w w:val="105"/>
          <w:sz w:val="20"/>
        </w:rPr>
        <w:t>the</w:t>
      </w:r>
      <w:r>
        <w:rPr>
          <w:color w:val="4D4D4F"/>
          <w:spacing w:val="-15"/>
          <w:w w:val="105"/>
          <w:sz w:val="20"/>
        </w:rPr>
        <w:t xml:space="preserve"> </w:t>
      </w:r>
      <w:r>
        <w:rPr>
          <w:color w:val="4D4D4F"/>
          <w:w w:val="105"/>
          <w:sz w:val="20"/>
        </w:rPr>
        <w:t>measure</w:t>
      </w:r>
      <w:r>
        <w:rPr>
          <w:color w:val="4D4D4F"/>
          <w:spacing w:val="-16"/>
          <w:w w:val="105"/>
          <w:sz w:val="20"/>
        </w:rPr>
        <w:t xml:space="preserve"> </w:t>
      </w:r>
      <w:r>
        <w:rPr>
          <w:color w:val="4D4D4F"/>
          <w:w w:val="105"/>
          <w:sz w:val="20"/>
        </w:rPr>
        <w:t>for</w:t>
      </w:r>
      <w:r>
        <w:rPr>
          <w:color w:val="4D4D4F"/>
          <w:spacing w:val="-15"/>
          <w:w w:val="105"/>
          <w:sz w:val="20"/>
        </w:rPr>
        <w:t xml:space="preserve"> </w:t>
      </w:r>
      <w:r>
        <w:rPr>
          <w:color w:val="4D4D4F"/>
          <w:w w:val="105"/>
          <w:sz w:val="20"/>
        </w:rPr>
        <w:t>persistence</w:t>
      </w:r>
      <w:r>
        <w:rPr>
          <w:color w:val="4D4D4F"/>
          <w:spacing w:val="-16"/>
          <w:w w:val="105"/>
          <w:sz w:val="20"/>
        </w:rPr>
        <w:t xml:space="preserve"> </w:t>
      </w:r>
      <w:r>
        <w:rPr>
          <w:color w:val="4D4D4F"/>
          <w:w w:val="105"/>
          <w:sz w:val="20"/>
        </w:rPr>
        <w:t>is</w:t>
      </w:r>
      <w:r>
        <w:rPr>
          <w:color w:val="4D4D4F"/>
          <w:spacing w:val="-15"/>
          <w:w w:val="105"/>
          <w:sz w:val="20"/>
        </w:rPr>
        <w:t xml:space="preserve"> </w:t>
      </w:r>
      <w:r>
        <w:rPr>
          <w:color w:val="4D4D4F"/>
          <w:w w:val="105"/>
          <w:sz w:val="20"/>
        </w:rPr>
        <w:t>a</w:t>
      </w:r>
      <w:r>
        <w:rPr>
          <w:color w:val="4D4D4F"/>
          <w:spacing w:val="-15"/>
          <w:w w:val="105"/>
          <w:sz w:val="20"/>
        </w:rPr>
        <w:t xml:space="preserve"> </w:t>
      </w:r>
      <w:r>
        <w:rPr>
          <w:color w:val="4D4D4F"/>
          <w:w w:val="105"/>
          <w:sz w:val="20"/>
        </w:rPr>
        <w:t>randomly</w:t>
      </w:r>
      <w:r>
        <w:rPr>
          <w:color w:val="4D4D4F"/>
          <w:spacing w:val="-16"/>
          <w:w w:val="105"/>
          <w:sz w:val="20"/>
        </w:rPr>
        <w:t xml:space="preserve"> </w:t>
      </w:r>
      <w:r>
        <w:rPr>
          <w:color w:val="4D4D4F"/>
          <w:w w:val="105"/>
          <w:sz w:val="20"/>
        </w:rPr>
        <w:t>sampled</w:t>
      </w:r>
      <w:r>
        <w:rPr>
          <w:color w:val="4D4D4F"/>
          <w:spacing w:val="-15"/>
          <w:w w:val="105"/>
          <w:sz w:val="20"/>
        </w:rPr>
        <w:t xml:space="preserve"> </w:t>
      </w:r>
      <w:r>
        <w:rPr>
          <w:color w:val="4D4D4F"/>
          <w:w w:val="105"/>
          <w:sz w:val="20"/>
        </w:rPr>
        <w:t>measure</w:t>
      </w:r>
      <w:r>
        <w:rPr>
          <w:color w:val="4D4D4F"/>
          <w:spacing w:val="-16"/>
          <w:w w:val="105"/>
          <w:sz w:val="20"/>
        </w:rPr>
        <w:t xml:space="preserve"> </w:t>
      </w:r>
      <w:r>
        <w:rPr>
          <w:color w:val="4D4D4F"/>
          <w:w w:val="105"/>
          <w:sz w:val="20"/>
        </w:rPr>
        <w:t>for</w:t>
      </w:r>
      <w:r>
        <w:rPr>
          <w:color w:val="4D4D4F"/>
          <w:spacing w:val="-15"/>
          <w:w w:val="105"/>
          <w:sz w:val="20"/>
        </w:rPr>
        <w:t xml:space="preserve"> </w:t>
      </w:r>
      <w:r>
        <w:rPr>
          <w:color w:val="4D4D4F"/>
          <w:w w:val="105"/>
          <w:sz w:val="20"/>
        </w:rPr>
        <w:t>occupancy across all sites and accounts for new locations,</w:t>
      </w:r>
      <w:r>
        <w:rPr>
          <w:color w:val="4D4D4F"/>
          <w:spacing w:val="-4"/>
          <w:w w:val="105"/>
          <w:sz w:val="20"/>
        </w:rPr>
        <w:t xml:space="preserve"> </w:t>
      </w:r>
      <w:r>
        <w:rPr>
          <w:color w:val="4D4D4F"/>
          <w:w w:val="105"/>
          <w:sz w:val="20"/>
        </w:rPr>
        <w:t>and</w:t>
      </w:r>
    </w:p>
    <w:p w14:paraId="0D66EB1B" w14:textId="77777777" w:rsidR="00EF5B27" w:rsidRDefault="00000000">
      <w:pPr>
        <w:pStyle w:val="ListParagraph"/>
        <w:numPr>
          <w:ilvl w:val="0"/>
          <w:numId w:val="55"/>
        </w:numPr>
        <w:tabs>
          <w:tab w:val="left" w:pos="471"/>
        </w:tabs>
        <w:spacing w:before="117" w:line="254" w:lineRule="auto"/>
        <w:ind w:right="282" w:firstLine="0"/>
        <w:rPr>
          <w:sz w:val="20"/>
        </w:rPr>
      </w:pPr>
      <w:r>
        <w:rPr>
          <w:color w:val="4D4D4F"/>
          <w:sz w:val="20"/>
        </w:rPr>
        <w:t>undertakes research to assess habitat preferences and population dynamics for the Striped Legless</w:t>
      </w:r>
      <w:r>
        <w:rPr>
          <w:color w:val="4D4D4F"/>
          <w:spacing w:val="14"/>
          <w:sz w:val="20"/>
        </w:rPr>
        <w:t xml:space="preserve"> </w:t>
      </w:r>
      <w:r>
        <w:rPr>
          <w:color w:val="4D4D4F"/>
          <w:sz w:val="20"/>
        </w:rPr>
        <w:t>Lizard.</w:t>
      </w:r>
    </w:p>
    <w:p w14:paraId="40561C1D" w14:textId="77777777" w:rsidR="00EF5B27" w:rsidRDefault="00EF5B27">
      <w:pPr>
        <w:spacing w:line="254" w:lineRule="auto"/>
        <w:rPr>
          <w:sz w:val="20"/>
        </w:rPr>
        <w:sectPr w:rsidR="00EF5B27">
          <w:type w:val="continuous"/>
          <w:pgSz w:w="11910" w:h="16840"/>
          <w:pgMar w:top="1140" w:right="1020" w:bottom="280" w:left="1020" w:header="720" w:footer="720" w:gutter="0"/>
          <w:cols w:num="2" w:space="720" w:equalWidth="0">
            <w:col w:w="1704" w:space="790"/>
            <w:col w:w="7376"/>
          </w:cols>
        </w:sectPr>
      </w:pPr>
    </w:p>
    <w:p w14:paraId="42814BF1" w14:textId="77777777" w:rsidR="00EF5B27" w:rsidRDefault="00EF5B27">
      <w:pPr>
        <w:pStyle w:val="BodyText"/>
        <w:spacing w:before="9"/>
        <w:rPr>
          <w:sz w:val="8"/>
        </w:rPr>
      </w:pPr>
    </w:p>
    <w:p w14:paraId="754B3A5C" w14:textId="77777777" w:rsidR="00EF5B27" w:rsidRDefault="00000000">
      <w:pPr>
        <w:pStyle w:val="BodyText"/>
        <w:spacing w:line="20" w:lineRule="exact"/>
        <w:ind w:left="110"/>
        <w:rPr>
          <w:sz w:val="2"/>
        </w:rPr>
      </w:pPr>
      <w:r>
        <w:rPr>
          <w:sz w:val="2"/>
        </w:rPr>
      </w:r>
      <w:r>
        <w:rPr>
          <w:sz w:val="2"/>
        </w:rPr>
        <w:pict w14:anchorId="01F6DFD5">
          <v:group id="_x0000_s4354" style="width:481.15pt;height:.25pt;mso-position-horizontal-relative:char;mso-position-vertical-relative:line" coordsize="9623,5">
            <v:line id="_x0000_s4356" style="position:absolute" from="0,3" to="2494,3" strokeweight=".25pt"/>
            <v:line id="_x0000_s4355" style="position:absolute" from="2494,3" to="9622,3" strokeweight=".25pt"/>
            <w10:anchorlock/>
          </v:group>
        </w:pict>
      </w:r>
    </w:p>
    <w:p w14:paraId="620AC525" w14:textId="77777777" w:rsidR="00EF5B27" w:rsidRDefault="00EF5B27">
      <w:pPr>
        <w:pStyle w:val="BodyText"/>
      </w:pPr>
    </w:p>
    <w:p w14:paraId="523A01AB" w14:textId="77777777" w:rsidR="00EF5B27" w:rsidRDefault="00EF5B27">
      <w:pPr>
        <w:sectPr w:rsidR="00EF5B27">
          <w:type w:val="continuous"/>
          <w:pgSz w:w="11910" w:h="16840"/>
          <w:pgMar w:top="1140" w:right="1020" w:bottom="280" w:left="1020" w:header="720" w:footer="720" w:gutter="0"/>
          <w:cols w:space="720"/>
        </w:sectPr>
      </w:pPr>
    </w:p>
    <w:p w14:paraId="165EE62C" w14:textId="77777777" w:rsidR="00EF5B27" w:rsidRDefault="00EF5B27">
      <w:pPr>
        <w:pStyle w:val="BodyText"/>
        <w:spacing w:before="7"/>
        <w:rPr>
          <w:sz w:val="27"/>
        </w:rPr>
      </w:pPr>
    </w:p>
    <w:p w14:paraId="51B0F2C9" w14:textId="77777777" w:rsidR="00EF5B27" w:rsidRDefault="00000000">
      <w:pPr>
        <w:pStyle w:val="BodyText"/>
        <w:ind w:left="113"/>
      </w:pPr>
      <w:r>
        <w:rPr>
          <w:noProof/>
        </w:rPr>
        <w:drawing>
          <wp:inline distT="0" distB="0" distL="0" distR="0" wp14:anchorId="76F5AD77" wp14:editId="4A0CAC30">
            <wp:extent cx="1060621" cy="1060608"/>
            <wp:effectExtent l="0" t="0" r="0" b="0"/>
            <wp:docPr id="51"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6.jpeg"/>
                    <pic:cNvPicPr/>
                  </pic:nvPicPr>
                  <pic:blipFill>
                    <a:blip r:embed="rId65" cstate="print"/>
                    <a:stretch>
                      <a:fillRect/>
                    </a:stretch>
                  </pic:blipFill>
                  <pic:spPr>
                    <a:xfrm>
                      <a:off x="0" y="0"/>
                      <a:ext cx="1060621" cy="1060608"/>
                    </a:xfrm>
                    <a:prstGeom prst="rect">
                      <a:avLst/>
                    </a:prstGeom>
                  </pic:spPr>
                </pic:pic>
              </a:graphicData>
            </a:graphic>
          </wp:inline>
        </w:drawing>
      </w:r>
    </w:p>
    <w:p w14:paraId="0C5EE9D5" w14:textId="77777777" w:rsidR="00EF5B27" w:rsidRDefault="00000000">
      <w:pPr>
        <w:spacing w:before="86"/>
        <w:ind w:left="113"/>
        <w:rPr>
          <w:rFonts w:ascii="Century Gothic"/>
          <w:i/>
          <w:sz w:val="12"/>
        </w:rPr>
      </w:pPr>
      <w:r>
        <w:rPr>
          <w:rFonts w:ascii="Century Gothic"/>
          <w:i/>
          <w:color w:val="4D4D4F"/>
          <w:sz w:val="12"/>
        </w:rPr>
        <w:t>Striped Legless Lizard</w:t>
      </w:r>
    </w:p>
    <w:p w14:paraId="303D3791" w14:textId="77777777" w:rsidR="00EF5B27" w:rsidRDefault="00000000">
      <w:pPr>
        <w:pStyle w:val="Heading3"/>
        <w:spacing w:before="288"/>
        <w:ind w:left="113"/>
      </w:pPr>
      <w:r>
        <w:rPr>
          <w:b w:val="0"/>
        </w:rPr>
        <w:br w:type="column"/>
      </w:r>
      <w:r>
        <w:rPr>
          <w:color w:val="F99F2A"/>
        </w:rPr>
        <w:t>Challenges the recommendation addresses</w:t>
      </w:r>
    </w:p>
    <w:p w14:paraId="37898F71" w14:textId="77777777" w:rsidR="00EF5B27" w:rsidRDefault="00000000">
      <w:pPr>
        <w:pStyle w:val="BodyText"/>
        <w:spacing w:before="239" w:line="254" w:lineRule="auto"/>
        <w:ind w:left="113" w:right="167"/>
      </w:pPr>
      <w:r>
        <w:rPr>
          <w:color w:val="4D4D4F"/>
        </w:rPr>
        <w:t>Overall, the species is viewed to be increasingly more common and widespread than was thought at the beginning of the MSA program.</w:t>
      </w:r>
      <w:r>
        <w:rPr>
          <w:color w:val="4D4D4F"/>
          <w:position w:val="7"/>
          <w:sz w:val="11"/>
        </w:rPr>
        <w:t xml:space="preserve">27 </w:t>
      </w:r>
      <w:r>
        <w:rPr>
          <w:color w:val="4D4D4F"/>
          <w:spacing w:val="-3"/>
        </w:rPr>
        <w:t xml:space="preserve">However, </w:t>
      </w:r>
      <w:r>
        <w:rPr>
          <w:color w:val="4D4D4F"/>
        </w:rPr>
        <w:t xml:space="preserve">habitat preferences for the species remains </w:t>
      </w:r>
      <w:r>
        <w:rPr>
          <w:color w:val="4D4D4F"/>
          <w:spacing w:val="-4"/>
        </w:rPr>
        <w:t xml:space="preserve">unclear. </w:t>
      </w:r>
      <w:r>
        <w:rPr>
          <w:color w:val="4D4D4F"/>
        </w:rPr>
        <w:t xml:space="preserve">Some monitored </w:t>
      </w:r>
      <w:r>
        <w:rPr>
          <w:color w:val="4D4D4F"/>
          <w:spacing w:val="-2"/>
        </w:rPr>
        <w:t xml:space="preserve">sites </w:t>
      </w:r>
      <w:r>
        <w:rPr>
          <w:color w:val="4D4D4F"/>
        </w:rPr>
        <w:t xml:space="preserve">in poorer condition have higher rates of detection, with other larger </w:t>
      </w:r>
      <w:r>
        <w:rPr>
          <w:color w:val="4D4D4F"/>
          <w:spacing w:val="-2"/>
        </w:rPr>
        <w:t xml:space="preserve">sites </w:t>
      </w:r>
      <w:r>
        <w:rPr>
          <w:color w:val="4D4D4F"/>
          <w:spacing w:val="-3"/>
        </w:rPr>
        <w:t xml:space="preserve">(assumed </w:t>
      </w:r>
      <w:r>
        <w:rPr>
          <w:color w:val="4D4D4F"/>
        </w:rPr>
        <w:t>more suitable habitat) having much lower rates of detection. Further research is required to better understand the Striped Legless Lizard’s habitat preferences to inform and target management</w:t>
      </w:r>
      <w:r>
        <w:rPr>
          <w:color w:val="4D4D4F"/>
          <w:spacing w:val="33"/>
        </w:rPr>
        <w:t xml:space="preserve"> </w:t>
      </w:r>
      <w:r>
        <w:rPr>
          <w:color w:val="4D4D4F"/>
        </w:rPr>
        <w:t>responses.</w:t>
      </w:r>
    </w:p>
    <w:p w14:paraId="3350ACC1" w14:textId="77777777" w:rsidR="00EF5B27" w:rsidRDefault="00000000">
      <w:pPr>
        <w:pStyle w:val="BodyText"/>
        <w:spacing w:before="121" w:line="254" w:lineRule="auto"/>
        <w:ind w:left="113" w:right="167"/>
      </w:pPr>
      <w:r>
        <w:rPr>
          <w:color w:val="4D4D4F"/>
          <w:spacing w:val="-4"/>
        </w:rPr>
        <w:t xml:space="preserve">Limitations </w:t>
      </w:r>
      <w:r>
        <w:rPr>
          <w:color w:val="4D4D4F"/>
          <w:spacing w:val="-3"/>
        </w:rPr>
        <w:t xml:space="preserve">with the </w:t>
      </w:r>
      <w:r>
        <w:rPr>
          <w:color w:val="4D4D4F"/>
          <w:spacing w:val="-4"/>
        </w:rPr>
        <w:t xml:space="preserve">existing monitoring </w:t>
      </w:r>
      <w:r>
        <w:rPr>
          <w:color w:val="4D4D4F"/>
          <w:spacing w:val="-3"/>
        </w:rPr>
        <w:t xml:space="preserve">protocol and </w:t>
      </w:r>
      <w:r>
        <w:rPr>
          <w:color w:val="4D4D4F"/>
          <w:spacing w:val="-4"/>
        </w:rPr>
        <w:t xml:space="preserve">indicator design </w:t>
      </w:r>
      <w:r>
        <w:rPr>
          <w:color w:val="4D4D4F"/>
          <w:spacing w:val="-3"/>
        </w:rPr>
        <w:t xml:space="preserve">mean the </w:t>
      </w:r>
      <w:r>
        <w:rPr>
          <w:color w:val="4D4D4F"/>
          <w:spacing w:val="-4"/>
        </w:rPr>
        <w:t xml:space="preserve">dataset </w:t>
      </w:r>
      <w:r>
        <w:rPr>
          <w:color w:val="4D4D4F"/>
          <w:spacing w:val="-3"/>
        </w:rPr>
        <w:t xml:space="preserve">is currently </w:t>
      </w:r>
      <w:r>
        <w:rPr>
          <w:color w:val="4D4D4F"/>
          <w:spacing w:val="-4"/>
        </w:rPr>
        <w:t xml:space="preserve">biased </w:t>
      </w:r>
      <w:r>
        <w:rPr>
          <w:color w:val="4D4D4F"/>
          <w:spacing w:val="-3"/>
        </w:rPr>
        <w:t xml:space="preserve">to </w:t>
      </w:r>
      <w:r>
        <w:rPr>
          <w:color w:val="4D4D4F"/>
          <w:spacing w:val="-4"/>
        </w:rPr>
        <w:t xml:space="preserve">locations </w:t>
      </w:r>
      <w:r>
        <w:rPr>
          <w:color w:val="4D4D4F"/>
        </w:rPr>
        <w:t xml:space="preserve">where </w:t>
      </w:r>
      <w:r>
        <w:rPr>
          <w:color w:val="4D4D4F"/>
          <w:spacing w:val="-3"/>
        </w:rPr>
        <w:t xml:space="preserve">the </w:t>
      </w:r>
      <w:r>
        <w:rPr>
          <w:color w:val="4D4D4F"/>
          <w:spacing w:val="-4"/>
        </w:rPr>
        <w:t xml:space="preserve">lizard </w:t>
      </w:r>
      <w:r>
        <w:rPr>
          <w:color w:val="4D4D4F"/>
          <w:spacing w:val="-3"/>
        </w:rPr>
        <w:t xml:space="preserve">has </w:t>
      </w:r>
      <w:r>
        <w:rPr>
          <w:color w:val="4D4D4F"/>
        </w:rPr>
        <w:t xml:space="preserve">been </w:t>
      </w:r>
      <w:r>
        <w:rPr>
          <w:color w:val="4D4D4F"/>
          <w:spacing w:val="-4"/>
        </w:rPr>
        <w:t xml:space="preserve">previously </w:t>
      </w:r>
      <w:r>
        <w:rPr>
          <w:color w:val="4D4D4F"/>
          <w:spacing w:val="-3"/>
        </w:rPr>
        <w:t xml:space="preserve">detected </w:t>
      </w:r>
      <w:r>
        <w:rPr>
          <w:color w:val="4D4D4F"/>
        </w:rPr>
        <w:t xml:space="preserve">– </w:t>
      </w:r>
      <w:r>
        <w:rPr>
          <w:color w:val="4D4D4F"/>
          <w:spacing w:val="-4"/>
        </w:rPr>
        <w:t xml:space="preserve">this makes </w:t>
      </w:r>
      <w:r>
        <w:rPr>
          <w:color w:val="4D4D4F"/>
          <w:spacing w:val="-3"/>
        </w:rPr>
        <w:t xml:space="preserve">the </w:t>
      </w:r>
      <w:r>
        <w:rPr>
          <w:color w:val="4D4D4F"/>
          <w:spacing w:val="-4"/>
        </w:rPr>
        <w:t xml:space="preserve">assessment </w:t>
      </w:r>
      <w:r>
        <w:rPr>
          <w:color w:val="4D4D4F"/>
        </w:rPr>
        <w:t xml:space="preserve">of </w:t>
      </w:r>
      <w:r>
        <w:rPr>
          <w:color w:val="4D4D4F"/>
          <w:spacing w:val="-3"/>
        </w:rPr>
        <w:t xml:space="preserve">any trends </w:t>
      </w:r>
      <w:r>
        <w:rPr>
          <w:color w:val="4D4D4F"/>
          <w:spacing w:val="-4"/>
        </w:rPr>
        <w:t xml:space="preserve">unclear </w:t>
      </w:r>
      <w:r>
        <w:rPr>
          <w:color w:val="4D4D4F"/>
          <w:spacing w:val="-3"/>
        </w:rPr>
        <w:t xml:space="preserve">and confidence in the data is </w:t>
      </w:r>
      <w:r>
        <w:rPr>
          <w:color w:val="4D4D4F"/>
          <w:spacing w:val="-4"/>
        </w:rPr>
        <w:t xml:space="preserve">low. Monitoring </w:t>
      </w:r>
      <w:r>
        <w:rPr>
          <w:color w:val="4D4D4F"/>
          <w:spacing w:val="-3"/>
        </w:rPr>
        <w:t xml:space="preserve">is also limited </w:t>
      </w:r>
      <w:r>
        <w:rPr>
          <w:color w:val="4D4D4F"/>
        </w:rPr>
        <w:t>by the design of the KPI; there is no baseline for comparison to assess trends.</w:t>
      </w:r>
    </w:p>
    <w:p w14:paraId="390045A0"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826" w:space="669"/>
            <w:col w:w="7375"/>
          </w:cols>
        </w:sectPr>
      </w:pPr>
    </w:p>
    <w:p w14:paraId="5A7BD8F9" w14:textId="77777777" w:rsidR="00EF5B27" w:rsidRDefault="00000000">
      <w:pPr>
        <w:pStyle w:val="BodyText"/>
        <w:spacing w:before="4"/>
        <w:rPr>
          <w:sz w:val="15"/>
        </w:rPr>
      </w:pPr>
      <w:r>
        <w:pict w14:anchorId="633684E1">
          <v:group id="_x0000_s4346" style="position:absolute;margin-left:587.05pt;margin-top:183.4pt;width:8.25pt;height:153.1pt;z-index:251389440;mso-position-horizontal-relative:page;mso-position-vertical-relative:page" coordorigin="11741,3668" coordsize="165,3062">
            <v:shape id="_x0000_s4353" style="position:absolute;left:11741;top:3668;width:165;height:561" coordorigin="11741,3668" coordsize="165,561" path="m11906,3668r-165,l11741,4228r165,-18l11906,3668xe" fillcolor="#00aed9" stroked="f">
              <v:path arrowok="t"/>
            </v:shape>
            <v:shape id="_x0000_s4352" style="position:absolute;left:11741;top:4118;width:165;height:425" coordorigin="11741,4118" coordsize="165,425" path="m11906,4118r-165,14l11741,4531r165,12l11906,4118xe" fillcolor="#047ebc" stroked="f">
              <v:path arrowok="t"/>
            </v:shape>
            <v:shape id="_x0000_s4351" type="#_x0000_t75" style="position:absolute;left:11741;top:4355;width:165;height:587">
              <v:imagedata r:id="rId42" o:title=""/>
            </v:shape>
            <v:shape id="_x0000_s4350" style="position:absolute;left:11741;top:5343;width:165;height:536" coordorigin="11741,5343" coordsize="165,536" path="m11741,5343r,535l11906,5872r,-525l11741,5343xe" fillcolor="#f36a2e" stroked="f">
              <v:path arrowok="t"/>
            </v:shape>
            <v:shape id="_x0000_s4349" style="position:absolute;left:11741;top:4925;width:165;height:501" coordorigin="11741,4926" coordsize="165,501" path="m11741,4926r,500l11906,5426r,-485l11741,4926xe" fillcolor="#49783f" stroked="f">
              <v:path arrowok="t"/>
            </v:shape>
            <v:shape id="_x0000_s4348" style="position:absolute;left:11741;top:5781;width:165;height:268" coordorigin="11741,5782" coordsize="165,268" path="m11906,5782r-165,8l11741,6039r165,10l11906,5782xe" fillcolor="#f99f2a" stroked="f">
              <v:path arrowok="t"/>
            </v:shape>
            <v:shape id="_x0000_s4347" style="position:absolute;left:11741;top:6023;width:165;height:707" coordorigin="11741,6023" coordsize="165,707" path="m11741,6023r,706l11906,6729r,-690l11741,6023xe" fillcolor="#ef412c" stroked="f">
              <v:path arrowok="t"/>
            </v:shape>
            <w10:wrap anchorx="page" anchory="page"/>
          </v:group>
        </w:pict>
      </w:r>
    </w:p>
    <w:p w14:paraId="5C3FBE18" w14:textId="77777777" w:rsidR="00EF5B27" w:rsidRDefault="00000000">
      <w:pPr>
        <w:pStyle w:val="BodyText"/>
        <w:spacing w:line="20" w:lineRule="exact"/>
        <w:ind w:left="2603"/>
        <w:rPr>
          <w:sz w:val="2"/>
        </w:rPr>
      </w:pPr>
      <w:r>
        <w:rPr>
          <w:sz w:val="2"/>
        </w:rPr>
      </w:r>
      <w:r>
        <w:rPr>
          <w:sz w:val="2"/>
        </w:rPr>
        <w:pict w14:anchorId="05AFF21F">
          <v:group id="_x0000_s4344" style="width:357.2pt;height:.5pt;mso-position-horizontal-relative:char;mso-position-vertical-relative:line" coordsize="7144,10">
            <v:line id="_x0000_s4345" style="position:absolute" from="0,5" to="7143,5" strokecolor="#4d4d4f" strokeweight=".5pt"/>
            <w10:anchorlock/>
          </v:group>
        </w:pict>
      </w:r>
    </w:p>
    <w:p w14:paraId="146C7F4E" w14:textId="77777777" w:rsidR="00EF5B27" w:rsidRDefault="00000000">
      <w:pPr>
        <w:pStyle w:val="ListParagraph"/>
        <w:numPr>
          <w:ilvl w:val="0"/>
          <w:numId w:val="65"/>
        </w:numPr>
        <w:tabs>
          <w:tab w:val="left" w:pos="2836"/>
        </w:tabs>
        <w:spacing w:before="102"/>
        <w:jc w:val="left"/>
        <w:rPr>
          <w:sz w:val="12"/>
        </w:rPr>
      </w:pPr>
      <w:r>
        <w:rPr>
          <w:color w:val="4D4D4F"/>
          <w:sz w:val="12"/>
        </w:rPr>
        <w:t>DELWP Officer, personal communication, 14 July</w:t>
      </w:r>
      <w:r>
        <w:rPr>
          <w:color w:val="4D4D4F"/>
          <w:spacing w:val="14"/>
          <w:sz w:val="12"/>
        </w:rPr>
        <w:t xml:space="preserve"> </w:t>
      </w:r>
      <w:r>
        <w:rPr>
          <w:color w:val="4D4D4F"/>
          <w:sz w:val="12"/>
        </w:rPr>
        <w:t>2021.</w:t>
      </w:r>
    </w:p>
    <w:p w14:paraId="215C8BFC" w14:textId="77777777" w:rsidR="00EF5B27" w:rsidRDefault="00EF5B27">
      <w:pPr>
        <w:rPr>
          <w:sz w:val="12"/>
        </w:rPr>
        <w:sectPr w:rsidR="00EF5B27">
          <w:type w:val="continuous"/>
          <w:pgSz w:w="11910" w:h="16840"/>
          <w:pgMar w:top="1140" w:right="1020" w:bottom="280" w:left="1020" w:header="720" w:footer="720" w:gutter="0"/>
          <w:cols w:space="720"/>
        </w:sectPr>
      </w:pPr>
    </w:p>
    <w:p w14:paraId="7673024F" w14:textId="77777777" w:rsidR="00EF5B27" w:rsidRDefault="00EF5B27">
      <w:pPr>
        <w:pStyle w:val="BodyText"/>
      </w:pPr>
    </w:p>
    <w:p w14:paraId="352C80A5" w14:textId="77777777" w:rsidR="00EF5B27" w:rsidRDefault="00EF5B27">
      <w:pPr>
        <w:pStyle w:val="BodyText"/>
      </w:pPr>
    </w:p>
    <w:p w14:paraId="074FFBCF" w14:textId="77777777" w:rsidR="00EF5B27" w:rsidRDefault="00EF5B27">
      <w:pPr>
        <w:pStyle w:val="BodyText"/>
      </w:pPr>
    </w:p>
    <w:p w14:paraId="227BDAB7" w14:textId="77777777" w:rsidR="00EF5B27" w:rsidRDefault="00EF5B27">
      <w:pPr>
        <w:pStyle w:val="BodyText"/>
      </w:pPr>
    </w:p>
    <w:p w14:paraId="04825FE6" w14:textId="77777777" w:rsidR="00EF5B27" w:rsidRDefault="00EF5B27">
      <w:pPr>
        <w:pStyle w:val="BodyText"/>
      </w:pPr>
    </w:p>
    <w:p w14:paraId="18A59DA0" w14:textId="77777777" w:rsidR="00EF5B27" w:rsidRDefault="00EF5B27">
      <w:pPr>
        <w:pStyle w:val="BodyText"/>
      </w:pPr>
    </w:p>
    <w:p w14:paraId="249CB6E7" w14:textId="77777777" w:rsidR="00EF5B27" w:rsidRDefault="00EF5B27">
      <w:pPr>
        <w:pStyle w:val="BodyText"/>
      </w:pPr>
    </w:p>
    <w:p w14:paraId="2B21831A" w14:textId="77777777" w:rsidR="00EF5B27" w:rsidRDefault="00EF5B27">
      <w:pPr>
        <w:pStyle w:val="BodyText"/>
      </w:pPr>
    </w:p>
    <w:p w14:paraId="3FAF455A" w14:textId="77777777" w:rsidR="00EF5B27" w:rsidRDefault="00EF5B27">
      <w:pPr>
        <w:pStyle w:val="BodyText"/>
      </w:pPr>
    </w:p>
    <w:p w14:paraId="42045D6B" w14:textId="77777777" w:rsidR="00EF5B27" w:rsidRDefault="00EF5B27">
      <w:pPr>
        <w:pStyle w:val="BodyText"/>
      </w:pPr>
    </w:p>
    <w:p w14:paraId="3C80B5E7" w14:textId="77777777" w:rsidR="00EF5B27" w:rsidRDefault="00EF5B27">
      <w:pPr>
        <w:pStyle w:val="BodyText"/>
        <w:spacing w:before="4"/>
        <w:rPr>
          <w:sz w:val="11"/>
        </w:rPr>
      </w:pPr>
    </w:p>
    <w:p w14:paraId="30CF2534" w14:textId="77777777" w:rsidR="00EF5B27" w:rsidRDefault="00000000">
      <w:pPr>
        <w:pStyle w:val="BodyText"/>
        <w:ind w:left="113"/>
      </w:pPr>
      <w:r>
        <w:pict w14:anchorId="708B64DA">
          <v:shape id="_x0000_s4343" type="#_x0000_t202" style="width:481.15pt;height:25.4pt;mso-left-percent:-10001;mso-top-percent:-10001;mso-position-horizontal:absolute;mso-position-horizontal-relative:char;mso-position-vertical:absolute;mso-position-vertical-relative:line;mso-left-percent:-10001;mso-top-percent:-10001" fillcolor="#fecc91" stroked="f">
            <v:textbox inset="0,0,0,0">
              <w:txbxContent>
                <w:p w14:paraId="278BB21A" w14:textId="77777777" w:rsidR="00EF5B27" w:rsidRDefault="00000000">
                  <w:pPr>
                    <w:tabs>
                      <w:tab w:val="left" w:pos="2607"/>
                    </w:tabs>
                    <w:spacing w:before="142"/>
                    <w:ind w:left="113"/>
                    <w:rPr>
                      <w:b/>
                      <w:sz w:val="20"/>
                    </w:rPr>
                  </w:pPr>
                  <w:r>
                    <w:rPr>
                      <w:b/>
                      <w:color w:val="4D4D4F"/>
                      <w:sz w:val="20"/>
                    </w:rPr>
                    <w:t>Theme</w:t>
                  </w:r>
                  <w:r>
                    <w:rPr>
                      <w:b/>
                      <w:color w:val="4D4D4F"/>
                      <w:sz w:val="20"/>
                    </w:rPr>
                    <w:tab/>
                    <w:t>Button</w:t>
                  </w:r>
                  <w:r>
                    <w:rPr>
                      <w:b/>
                      <w:color w:val="4D4D4F"/>
                      <w:spacing w:val="3"/>
                      <w:sz w:val="20"/>
                    </w:rPr>
                    <w:t xml:space="preserve"> </w:t>
                  </w:r>
                  <w:r>
                    <w:rPr>
                      <w:b/>
                      <w:color w:val="4D4D4F"/>
                      <w:sz w:val="20"/>
                    </w:rPr>
                    <w:t>Wrinklewort</w:t>
                  </w:r>
                </w:p>
              </w:txbxContent>
            </v:textbox>
            <w10:anchorlock/>
          </v:shape>
        </w:pict>
      </w:r>
    </w:p>
    <w:p w14:paraId="15D2FDE8" w14:textId="77777777" w:rsidR="00EF5B27" w:rsidRDefault="00EF5B27">
      <w:pPr>
        <w:pStyle w:val="BodyText"/>
        <w:spacing w:before="8"/>
        <w:rPr>
          <w:sz w:val="5"/>
        </w:rPr>
      </w:pPr>
    </w:p>
    <w:p w14:paraId="5A6361BB" w14:textId="77777777" w:rsidR="00EF5B27" w:rsidRDefault="00EF5B27">
      <w:pPr>
        <w:rPr>
          <w:sz w:val="5"/>
        </w:rPr>
        <w:sectPr w:rsidR="00EF5B27">
          <w:pgSz w:w="11910" w:h="16840"/>
          <w:pgMar w:top="1080" w:right="1020" w:bottom="860" w:left="1020" w:header="537" w:footer="678" w:gutter="0"/>
          <w:cols w:space="720"/>
        </w:sectPr>
      </w:pPr>
    </w:p>
    <w:p w14:paraId="31A92278" w14:textId="77777777" w:rsidR="00EF5B27" w:rsidRDefault="00000000">
      <w:pPr>
        <w:pStyle w:val="BodyText"/>
        <w:spacing w:before="51"/>
        <w:ind w:left="227"/>
      </w:pPr>
      <w:r>
        <w:pict w14:anchorId="2EA8F8BB">
          <v:group id="_x0000_s4340" style="position:absolute;left:0;text-align:left;margin-left:56.7pt;margin-top:-29.85pt;width:481.15pt;height:.25pt;z-index:251396608;mso-position-horizontal-relative:page" coordorigin="1134,-597" coordsize="9623,5">
            <v:line id="_x0000_s4342" style="position:absolute" from="1134,-595" to="3628,-595" strokeweight=".25pt"/>
            <v:line id="_x0000_s4341" style="position:absolute" from="3628,-595" to="10756,-595" strokeweight=".25pt"/>
            <w10:wrap anchorx="page"/>
          </v:group>
        </w:pict>
      </w:r>
      <w:r>
        <w:pict w14:anchorId="235AE963">
          <v:group id="_x0000_s4337" style="position:absolute;left:0;text-align:left;margin-left:56.7pt;margin-top:-4.35pt;width:481.15pt;height:.25pt;z-index:251397632;mso-position-horizontal-relative:page" coordorigin="1134,-87" coordsize="9623,5">
            <v:line id="_x0000_s4339" style="position:absolute" from="1134,-84" to="3628,-84" strokeweight=".25pt"/>
            <v:line id="_x0000_s4338" style="position:absolute" from="3628,-84" to="10756,-84" strokeweight=".25pt"/>
            <w10:wrap anchorx="page"/>
          </v:group>
        </w:pict>
      </w:r>
      <w:r>
        <w:rPr>
          <w:color w:val="4D4D4F"/>
        </w:rPr>
        <w:t>Recommendation</w:t>
      </w:r>
    </w:p>
    <w:p w14:paraId="409C1FC6" w14:textId="77777777" w:rsidR="00EF5B27" w:rsidRDefault="00000000">
      <w:pPr>
        <w:pStyle w:val="Heading1"/>
      </w:pPr>
      <w:r>
        <w:rPr>
          <w:color w:val="4D4D4F"/>
          <w:w w:val="105"/>
        </w:rPr>
        <w:t>15</w:t>
      </w:r>
    </w:p>
    <w:p w14:paraId="407BC207" w14:textId="77777777" w:rsidR="00EF5B27" w:rsidRDefault="00000000">
      <w:pPr>
        <w:pStyle w:val="BodyText"/>
        <w:spacing w:before="51" w:line="254" w:lineRule="auto"/>
        <w:ind w:left="227" w:right="246"/>
        <w:jc w:val="both"/>
      </w:pPr>
      <w:r>
        <w:br w:type="column"/>
      </w:r>
      <w:r>
        <w:rPr>
          <w:color w:val="4D4D4F"/>
        </w:rPr>
        <w:t>That DELWP assesses the causes of recruitment failure for the Button Wrinklewort population – including research into germination – and develop a management plan for the species based on the findings.</w:t>
      </w:r>
    </w:p>
    <w:p w14:paraId="66CF4AE0" w14:textId="77777777" w:rsidR="00EF5B27" w:rsidRDefault="00EF5B27">
      <w:pPr>
        <w:spacing w:line="254" w:lineRule="auto"/>
        <w:jc w:val="both"/>
        <w:sectPr w:rsidR="00EF5B27">
          <w:type w:val="continuous"/>
          <w:pgSz w:w="11910" w:h="16840"/>
          <w:pgMar w:top="1140" w:right="1020" w:bottom="280" w:left="1020" w:header="720" w:footer="720" w:gutter="0"/>
          <w:cols w:num="2" w:space="720" w:equalWidth="0">
            <w:col w:w="1704" w:space="790"/>
            <w:col w:w="7376"/>
          </w:cols>
        </w:sectPr>
      </w:pPr>
    </w:p>
    <w:p w14:paraId="39786664" w14:textId="77777777" w:rsidR="00EF5B27" w:rsidRDefault="00EF5B27">
      <w:pPr>
        <w:pStyle w:val="BodyText"/>
      </w:pPr>
    </w:p>
    <w:p w14:paraId="5AFCDD33" w14:textId="77777777" w:rsidR="00EF5B27" w:rsidRDefault="00EF5B27">
      <w:pPr>
        <w:pStyle w:val="BodyText"/>
      </w:pPr>
    </w:p>
    <w:p w14:paraId="31BEC352" w14:textId="77777777" w:rsidR="00EF5B27" w:rsidRDefault="00EF5B27">
      <w:pPr>
        <w:pStyle w:val="BodyText"/>
        <w:spacing w:before="10"/>
        <w:rPr>
          <w:sz w:val="16"/>
        </w:rPr>
      </w:pPr>
    </w:p>
    <w:p w14:paraId="7E57F9CD" w14:textId="77777777" w:rsidR="00EF5B27" w:rsidRDefault="00000000">
      <w:pPr>
        <w:pStyle w:val="BodyText"/>
        <w:ind w:left="113" w:right="-15"/>
      </w:pPr>
      <w:r>
        <w:rPr>
          <w:noProof/>
        </w:rPr>
        <w:drawing>
          <wp:inline distT="0" distB="0" distL="0" distR="0" wp14:anchorId="71B8516E" wp14:editId="4718DA54">
            <wp:extent cx="1065275" cy="1065276"/>
            <wp:effectExtent l="0" t="0" r="0" b="0"/>
            <wp:docPr id="5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1.jpeg"/>
                    <pic:cNvPicPr/>
                  </pic:nvPicPr>
                  <pic:blipFill>
                    <a:blip r:embed="rId54" cstate="print"/>
                    <a:stretch>
                      <a:fillRect/>
                    </a:stretch>
                  </pic:blipFill>
                  <pic:spPr>
                    <a:xfrm>
                      <a:off x="0" y="0"/>
                      <a:ext cx="1065275" cy="1065276"/>
                    </a:xfrm>
                    <a:prstGeom prst="rect">
                      <a:avLst/>
                    </a:prstGeom>
                  </pic:spPr>
                </pic:pic>
              </a:graphicData>
            </a:graphic>
          </wp:inline>
        </w:drawing>
      </w:r>
    </w:p>
    <w:p w14:paraId="10172596" w14:textId="77777777" w:rsidR="00EF5B27" w:rsidRDefault="00000000">
      <w:pPr>
        <w:spacing w:before="79"/>
        <w:ind w:left="113"/>
        <w:rPr>
          <w:rFonts w:ascii="Century Gothic"/>
          <w:i/>
          <w:sz w:val="12"/>
        </w:rPr>
      </w:pPr>
      <w:r>
        <w:pict w14:anchorId="1F7C9B9D">
          <v:group id="_x0000_s4334" style="position:absolute;left:0;text-align:left;margin-left:56.7pt;margin-top:-113.95pt;width:481.15pt;height:.25pt;z-index:251398656;mso-position-horizontal-relative:page" coordorigin="1134,-2279" coordsize="9623,5">
            <v:line id="_x0000_s4336" style="position:absolute" from="1134,-2276" to="3628,-2276" strokeweight=".25pt"/>
            <v:line id="_x0000_s4335" style="position:absolute" from="3628,-2276" to="10756,-2276" strokeweight=".25pt"/>
            <w10:wrap anchorx="page"/>
          </v:group>
        </w:pict>
      </w:r>
      <w:r>
        <w:rPr>
          <w:rFonts w:ascii="Century Gothic"/>
          <w:i/>
          <w:color w:val="4D4D4F"/>
          <w:sz w:val="12"/>
        </w:rPr>
        <w:t>Button Wrinklewort</w:t>
      </w:r>
    </w:p>
    <w:p w14:paraId="6309A58F" w14:textId="77777777" w:rsidR="00EF5B27" w:rsidRDefault="00000000">
      <w:pPr>
        <w:pStyle w:val="BodyText"/>
        <w:spacing w:before="7"/>
        <w:rPr>
          <w:rFonts w:ascii="Century Gothic"/>
          <w:i/>
          <w:sz w:val="52"/>
        </w:rPr>
      </w:pPr>
      <w:r>
        <w:br w:type="column"/>
      </w:r>
    </w:p>
    <w:p w14:paraId="04215664" w14:textId="77777777" w:rsidR="00EF5B27" w:rsidRDefault="00000000">
      <w:pPr>
        <w:pStyle w:val="Heading3"/>
        <w:ind w:left="113"/>
      </w:pPr>
      <w:r>
        <w:rPr>
          <w:color w:val="F99F2A"/>
        </w:rPr>
        <w:t>Challenges the recommendation addresses</w:t>
      </w:r>
    </w:p>
    <w:p w14:paraId="0DFBDBF9" w14:textId="77777777" w:rsidR="00EF5B27" w:rsidRDefault="00000000">
      <w:pPr>
        <w:pStyle w:val="BodyText"/>
        <w:spacing w:before="256" w:line="254" w:lineRule="auto"/>
        <w:ind w:left="113"/>
      </w:pPr>
      <w:r>
        <w:rPr>
          <w:color w:val="4D4D4F"/>
        </w:rPr>
        <w:t xml:space="preserve">At </w:t>
      </w:r>
      <w:r>
        <w:rPr>
          <w:color w:val="4D4D4F"/>
          <w:spacing w:val="-5"/>
        </w:rPr>
        <w:t xml:space="preserve">Truganina </w:t>
      </w:r>
      <w:r>
        <w:rPr>
          <w:color w:val="4D4D4F"/>
          <w:spacing w:val="-3"/>
        </w:rPr>
        <w:t xml:space="preserve">Cemetery, adult </w:t>
      </w:r>
      <w:r>
        <w:rPr>
          <w:color w:val="4D4D4F"/>
        </w:rPr>
        <w:t xml:space="preserve">Button Wrinklewort </w:t>
      </w:r>
      <w:r>
        <w:rPr>
          <w:color w:val="4D4D4F"/>
          <w:spacing w:val="-3"/>
        </w:rPr>
        <w:t xml:space="preserve">plants </w:t>
      </w:r>
      <w:r>
        <w:rPr>
          <w:color w:val="4D4D4F"/>
        </w:rPr>
        <w:t xml:space="preserve">are surviving at the </w:t>
      </w:r>
      <w:r>
        <w:rPr>
          <w:color w:val="4D4D4F"/>
          <w:spacing w:val="-3"/>
        </w:rPr>
        <w:t xml:space="preserve">anticipated </w:t>
      </w:r>
      <w:r>
        <w:rPr>
          <w:color w:val="4D4D4F"/>
        </w:rPr>
        <w:t>rate,</w:t>
      </w:r>
      <w:r>
        <w:rPr>
          <w:color w:val="4D4D4F"/>
          <w:position w:val="7"/>
          <w:sz w:val="11"/>
        </w:rPr>
        <w:t xml:space="preserve">28 </w:t>
      </w:r>
      <w:r>
        <w:rPr>
          <w:color w:val="4D4D4F"/>
        </w:rPr>
        <w:t xml:space="preserve">however recruitment is failing. </w:t>
      </w:r>
      <w:r>
        <w:rPr>
          <w:color w:val="4D4D4F"/>
          <w:spacing w:val="-3"/>
        </w:rPr>
        <w:t xml:space="preserve">Targeted </w:t>
      </w:r>
      <w:r>
        <w:rPr>
          <w:color w:val="4D4D4F"/>
        </w:rPr>
        <w:t>research is required to determine the cause of this and the role of pests, invertebrates, urbanisation and drought. This is in addition to research and experimental observation to better understand the effect of interventions on the long-term persistence of the population.</w:t>
      </w:r>
    </w:p>
    <w:p w14:paraId="1232A84A"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826" w:space="669"/>
            <w:col w:w="7375"/>
          </w:cols>
        </w:sectPr>
      </w:pPr>
    </w:p>
    <w:p w14:paraId="3C6EE7A4" w14:textId="77777777" w:rsidR="00EF5B27" w:rsidRDefault="00EF5B27">
      <w:pPr>
        <w:pStyle w:val="BodyText"/>
      </w:pPr>
    </w:p>
    <w:p w14:paraId="05B9405E" w14:textId="77777777" w:rsidR="00EF5B27" w:rsidRDefault="00EF5B27">
      <w:pPr>
        <w:pStyle w:val="BodyText"/>
      </w:pPr>
    </w:p>
    <w:p w14:paraId="2EE71C0F" w14:textId="77777777" w:rsidR="00EF5B27" w:rsidRDefault="00EF5B27">
      <w:pPr>
        <w:pStyle w:val="BodyText"/>
      </w:pPr>
    </w:p>
    <w:p w14:paraId="732C30FB" w14:textId="77777777" w:rsidR="00EF5B27" w:rsidRDefault="00EF5B27">
      <w:pPr>
        <w:pStyle w:val="BodyText"/>
        <w:spacing w:before="2"/>
        <w:rPr>
          <w:sz w:val="17"/>
        </w:rPr>
      </w:pPr>
    </w:p>
    <w:p w14:paraId="015FFC9B" w14:textId="77777777" w:rsidR="00EF5B27" w:rsidRDefault="00000000">
      <w:pPr>
        <w:pStyle w:val="BodyText"/>
        <w:ind w:left="113"/>
      </w:pPr>
      <w:r>
        <w:pict w14:anchorId="36B0FB2A">
          <v:shape id="_x0000_s4333" type="#_x0000_t202" style="width:481.15pt;height:25.3pt;mso-left-percent:-10001;mso-top-percent:-10001;mso-position-horizontal:absolute;mso-position-horizontal-relative:char;mso-position-vertical:absolute;mso-position-vertical-relative:line;mso-left-percent:-10001;mso-top-percent:-10001" fillcolor="#fecc91" stroked="f">
            <v:textbox inset="0,0,0,0">
              <w:txbxContent>
                <w:p w14:paraId="67DC9B7E" w14:textId="77777777" w:rsidR="00EF5B27" w:rsidRDefault="00000000">
                  <w:pPr>
                    <w:tabs>
                      <w:tab w:val="left" w:pos="2607"/>
                    </w:tabs>
                    <w:spacing w:before="140"/>
                    <w:ind w:left="113"/>
                    <w:rPr>
                      <w:b/>
                      <w:sz w:val="20"/>
                    </w:rPr>
                  </w:pPr>
                  <w:r>
                    <w:rPr>
                      <w:b/>
                      <w:color w:val="4D4D4F"/>
                      <w:sz w:val="20"/>
                    </w:rPr>
                    <w:t>Theme</w:t>
                  </w:r>
                  <w:r>
                    <w:rPr>
                      <w:b/>
                      <w:color w:val="4D4D4F"/>
                      <w:sz w:val="20"/>
                    </w:rPr>
                    <w:tab/>
                    <w:t>Large-fruit</w:t>
                  </w:r>
                  <w:r>
                    <w:rPr>
                      <w:b/>
                      <w:color w:val="4D4D4F"/>
                      <w:spacing w:val="4"/>
                      <w:sz w:val="20"/>
                    </w:rPr>
                    <w:t xml:space="preserve"> </w:t>
                  </w:r>
                  <w:r>
                    <w:rPr>
                      <w:b/>
                      <w:color w:val="4D4D4F"/>
                      <w:sz w:val="20"/>
                    </w:rPr>
                    <w:t>Groundsel</w:t>
                  </w:r>
                </w:p>
              </w:txbxContent>
            </v:textbox>
            <w10:anchorlock/>
          </v:shape>
        </w:pict>
      </w:r>
    </w:p>
    <w:p w14:paraId="5A6A7DAE" w14:textId="77777777" w:rsidR="00EF5B27" w:rsidRDefault="00EF5B27">
      <w:pPr>
        <w:pStyle w:val="BodyText"/>
        <w:spacing w:before="8"/>
        <w:rPr>
          <w:sz w:val="5"/>
        </w:rPr>
      </w:pPr>
    </w:p>
    <w:p w14:paraId="42645EF8" w14:textId="77777777" w:rsidR="00EF5B27" w:rsidRDefault="00EF5B27">
      <w:pPr>
        <w:rPr>
          <w:sz w:val="5"/>
        </w:rPr>
        <w:sectPr w:rsidR="00EF5B27">
          <w:type w:val="continuous"/>
          <w:pgSz w:w="11910" w:h="16840"/>
          <w:pgMar w:top="1140" w:right="1020" w:bottom="280" w:left="1020" w:header="720" w:footer="720" w:gutter="0"/>
          <w:cols w:space="720"/>
        </w:sectPr>
      </w:pPr>
    </w:p>
    <w:p w14:paraId="1F9C1E79" w14:textId="77777777" w:rsidR="00EF5B27" w:rsidRDefault="00000000">
      <w:pPr>
        <w:pStyle w:val="BodyText"/>
        <w:spacing w:before="49"/>
        <w:ind w:left="227"/>
      </w:pPr>
      <w:r>
        <w:pict w14:anchorId="3EA04D21">
          <v:group id="_x0000_s4330" style="position:absolute;left:0;text-align:left;margin-left:56.7pt;margin-top:-29.95pt;width:481.15pt;height:.25pt;z-index:251399680;mso-position-horizontal-relative:page" coordorigin="1134,-599" coordsize="9623,5">
            <v:line id="_x0000_s4332" style="position:absolute" from="1134,-597" to="3628,-597" strokeweight=".25pt"/>
            <v:line id="_x0000_s4331" style="position:absolute" from="3628,-597" to="10756,-597" strokeweight=".25pt"/>
            <w10:wrap anchorx="page"/>
          </v:group>
        </w:pict>
      </w:r>
      <w:r>
        <w:pict w14:anchorId="26BBC0C8">
          <v:group id="_x0000_s4327" style="position:absolute;left:0;text-align:left;margin-left:56.7pt;margin-top:-4.45pt;width:481.15pt;height:.25pt;z-index:251400704;mso-position-horizontal-relative:page" coordorigin="1134,-89" coordsize="9623,5">
            <v:line id="_x0000_s4329" style="position:absolute" from="1134,-86" to="3628,-86" strokeweight=".25pt"/>
            <v:line id="_x0000_s4328" style="position:absolute" from="3628,-86" to="10756,-86" strokeweight=".25pt"/>
            <w10:wrap anchorx="page"/>
          </v:group>
        </w:pict>
      </w:r>
      <w:r>
        <w:rPr>
          <w:color w:val="4D4D4F"/>
        </w:rPr>
        <w:t>Recommendation</w:t>
      </w:r>
    </w:p>
    <w:p w14:paraId="4349BB48" w14:textId="77777777" w:rsidR="00EF5B27" w:rsidRDefault="00000000">
      <w:pPr>
        <w:pStyle w:val="Heading1"/>
        <w:spacing w:before="3"/>
      </w:pPr>
      <w:r>
        <w:rPr>
          <w:color w:val="4D4D4F"/>
          <w:w w:val="105"/>
        </w:rPr>
        <w:t>16</w:t>
      </w:r>
    </w:p>
    <w:p w14:paraId="7EA2A340" w14:textId="77777777" w:rsidR="00EF5B27" w:rsidRDefault="00000000">
      <w:pPr>
        <w:pStyle w:val="BodyText"/>
        <w:spacing w:before="49" w:line="254" w:lineRule="auto"/>
        <w:ind w:left="227" w:right="407"/>
      </w:pPr>
      <w:r>
        <w:br w:type="column"/>
      </w:r>
      <w:r>
        <w:rPr>
          <w:color w:val="4D4D4F"/>
        </w:rPr>
        <w:t>That DELWP undertakes research into the benefits of population augmentation of the Large-fruit Groundsel via the planting of tube stock.</w:t>
      </w:r>
    </w:p>
    <w:p w14:paraId="405DD63F"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704" w:space="790"/>
            <w:col w:w="7376"/>
          </w:cols>
        </w:sectPr>
      </w:pPr>
    </w:p>
    <w:p w14:paraId="6AF0FC6F" w14:textId="77777777" w:rsidR="00EF5B27" w:rsidRDefault="00EF5B27">
      <w:pPr>
        <w:pStyle w:val="BodyText"/>
      </w:pPr>
    </w:p>
    <w:p w14:paraId="3A112E74" w14:textId="77777777" w:rsidR="00EF5B27" w:rsidRDefault="00EF5B27">
      <w:pPr>
        <w:pStyle w:val="BodyText"/>
      </w:pPr>
    </w:p>
    <w:p w14:paraId="402FE2FF" w14:textId="77777777" w:rsidR="00EF5B27" w:rsidRDefault="00EF5B27">
      <w:pPr>
        <w:pStyle w:val="BodyText"/>
        <w:spacing w:before="11"/>
        <w:rPr>
          <w:sz w:val="16"/>
        </w:rPr>
      </w:pPr>
    </w:p>
    <w:p w14:paraId="082415B9" w14:textId="77777777" w:rsidR="00EF5B27" w:rsidRDefault="00000000">
      <w:pPr>
        <w:pStyle w:val="BodyText"/>
        <w:ind w:left="113" w:right="-15"/>
      </w:pPr>
      <w:r>
        <w:rPr>
          <w:noProof/>
        </w:rPr>
        <w:drawing>
          <wp:inline distT="0" distB="0" distL="0" distR="0" wp14:anchorId="0BDF91AD" wp14:editId="1AE4453C">
            <wp:extent cx="1065276" cy="1065276"/>
            <wp:effectExtent l="0" t="0" r="0" b="0"/>
            <wp:docPr id="5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3.jpeg"/>
                    <pic:cNvPicPr/>
                  </pic:nvPicPr>
                  <pic:blipFill>
                    <a:blip r:embed="rId56" cstate="print"/>
                    <a:stretch>
                      <a:fillRect/>
                    </a:stretch>
                  </pic:blipFill>
                  <pic:spPr>
                    <a:xfrm>
                      <a:off x="0" y="0"/>
                      <a:ext cx="1065276" cy="1065276"/>
                    </a:xfrm>
                    <a:prstGeom prst="rect">
                      <a:avLst/>
                    </a:prstGeom>
                  </pic:spPr>
                </pic:pic>
              </a:graphicData>
            </a:graphic>
          </wp:inline>
        </w:drawing>
      </w:r>
    </w:p>
    <w:p w14:paraId="6B621FD0" w14:textId="77777777" w:rsidR="00EF5B27" w:rsidRDefault="00000000">
      <w:pPr>
        <w:spacing w:before="79"/>
        <w:ind w:left="113"/>
        <w:rPr>
          <w:rFonts w:ascii="Century Gothic"/>
          <w:i/>
          <w:sz w:val="12"/>
        </w:rPr>
      </w:pPr>
      <w:r>
        <w:pict w14:anchorId="4240C8CB">
          <v:group id="_x0000_s4324" style="position:absolute;left:0;text-align:left;margin-left:56.7pt;margin-top:-114pt;width:481.15pt;height:.25pt;z-index:251401728;mso-position-horizontal-relative:page" coordorigin="1134,-2280" coordsize="9623,5">
            <v:line id="_x0000_s4326" style="position:absolute" from="1134,-2277" to="3628,-2277" strokeweight=".25pt"/>
            <v:line id="_x0000_s4325" style="position:absolute" from="3628,-2277" to="10756,-2277" strokeweight=".25pt"/>
            <w10:wrap anchorx="page"/>
          </v:group>
        </w:pict>
      </w:r>
      <w:r>
        <w:rPr>
          <w:rFonts w:ascii="Century Gothic"/>
          <w:i/>
          <w:color w:val="4D4D4F"/>
          <w:sz w:val="12"/>
        </w:rPr>
        <w:t>Large-fruit Groundsel</w:t>
      </w:r>
    </w:p>
    <w:p w14:paraId="2E6B64F3" w14:textId="77777777" w:rsidR="00EF5B27" w:rsidRDefault="00000000">
      <w:pPr>
        <w:pStyle w:val="BodyText"/>
        <w:spacing w:before="8"/>
        <w:rPr>
          <w:rFonts w:ascii="Century Gothic"/>
          <w:i/>
          <w:sz w:val="52"/>
        </w:rPr>
      </w:pPr>
      <w:r>
        <w:br w:type="column"/>
      </w:r>
    </w:p>
    <w:p w14:paraId="690C97D1" w14:textId="77777777" w:rsidR="00EF5B27" w:rsidRDefault="00000000">
      <w:pPr>
        <w:pStyle w:val="Heading3"/>
        <w:ind w:left="113"/>
      </w:pPr>
      <w:r>
        <w:rPr>
          <w:color w:val="F99F2A"/>
        </w:rPr>
        <w:t>Challenges the recommendation addresses</w:t>
      </w:r>
    </w:p>
    <w:p w14:paraId="23290917" w14:textId="77777777" w:rsidR="00EF5B27" w:rsidRDefault="00000000">
      <w:pPr>
        <w:pStyle w:val="BodyText"/>
        <w:spacing w:before="247" w:line="254" w:lineRule="auto"/>
        <w:ind w:left="113" w:right="202"/>
      </w:pPr>
      <w:r>
        <w:rPr>
          <w:color w:val="4D4D4F"/>
        </w:rPr>
        <w:t xml:space="preserve">There is not enough data </w:t>
      </w:r>
      <w:r>
        <w:rPr>
          <w:color w:val="4D4D4F"/>
          <w:spacing w:val="-4"/>
        </w:rPr>
        <w:t xml:space="preserve">(in </w:t>
      </w:r>
      <w:r>
        <w:rPr>
          <w:color w:val="4D4D4F"/>
        </w:rPr>
        <w:t>part due to lack of protected populations on MSA land)   to conclude definitive insights on the species or management implications.</w:t>
      </w:r>
      <w:r>
        <w:rPr>
          <w:color w:val="4D4D4F"/>
          <w:position w:val="7"/>
          <w:sz w:val="11"/>
        </w:rPr>
        <w:t xml:space="preserve">29 </w:t>
      </w:r>
      <w:r>
        <w:rPr>
          <w:color w:val="4D4D4F"/>
        </w:rPr>
        <w:t>Given the small numbers, the population remains vulnerable to external</w:t>
      </w:r>
      <w:r>
        <w:rPr>
          <w:color w:val="4D4D4F"/>
          <w:spacing w:val="10"/>
        </w:rPr>
        <w:t xml:space="preserve"> </w:t>
      </w:r>
      <w:r>
        <w:rPr>
          <w:color w:val="4D4D4F"/>
        </w:rPr>
        <w:t>pressures.</w:t>
      </w:r>
    </w:p>
    <w:p w14:paraId="784E7ADD"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826" w:space="669"/>
            <w:col w:w="7375"/>
          </w:cols>
        </w:sectPr>
      </w:pPr>
    </w:p>
    <w:p w14:paraId="75CC635F" w14:textId="77777777" w:rsidR="00EF5B27" w:rsidRDefault="00000000">
      <w:pPr>
        <w:pStyle w:val="BodyText"/>
      </w:pPr>
      <w:r>
        <w:pict w14:anchorId="4A63DDDA">
          <v:group id="_x0000_s4316" style="position:absolute;margin-left:587.05pt;margin-top:183.4pt;width:8.25pt;height:153.1pt;z-index:251395584;mso-position-horizontal-relative:page;mso-position-vertical-relative:page" coordorigin="11741,3668" coordsize="165,3062">
            <v:shape id="_x0000_s4323" style="position:absolute;left:11741;top:3668;width:165;height:561" coordorigin="11741,3668" coordsize="165,561" path="m11906,3668r-165,l11741,4228r165,-18l11906,3668xe" fillcolor="#00aed9" stroked="f">
              <v:path arrowok="t"/>
            </v:shape>
            <v:shape id="_x0000_s4322" style="position:absolute;left:11741;top:4118;width:165;height:425" coordorigin="11741,4118" coordsize="165,425" path="m11906,4118r-165,14l11741,4531r165,12l11906,4118xe" fillcolor="#047ebc" stroked="f">
              <v:path arrowok="t"/>
            </v:shape>
            <v:shape id="_x0000_s4321" type="#_x0000_t75" style="position:absolute;left:11741;top:4355;width:165;height:587">
              <v:imagedata r:id="rId42" o:title=""/>
            </v:shape>
            <v:shape id="_x0000_s4320" style="position:absolute;left:11741;top:5343;width:165;height:536" coordorigin="11741,5343" coordsize="165,536" path="m11741,5343r,535l11906,5872r,-525l11741,5343xe" fillcolor="#f36a2e" stroked="f">
              <v:path arrowok="t"/>
            </v:shape>
            <v:shape id="_x0000_s4319" style="position:absolute;left:11741;top:4925;width:165;height:501" coordorigin="11741,4926" coordsize="165,501" path="m11741,4926r,500l11906,5426r,-485l11741,4926xe" fillcolor="#49783f" stroked="f">
              <v:path arrowok="t"/>
            </v:shape>
            <v:shape id="_x0000_s4318" style="position:absolute;left:11741;top:5781;width:165;height:268" coordorigin="11741,5782" coordsize="165,268" path="m11906,5782r-165,8l11741,6039r165,10l11906,5782xe" fillcolor="#f99f2a" stroked="f">
              <v:path arrowok="t"/>
            </v:shape>
            <v:shape id="_x0000_s4317" style="position:absolute;left:11741;top:6023;width:165;height:707" coordorigin="11741,6023" coordsize="165,707" path="m11741,6023r,706l11906,6729r,-690l11741,6023xe" fillcolor="#ef412c" stroked="f">
              <v:path arrowok="t"/>
            </v:shape>
            <w10:wrap anchorx="page" anchory="page"/>
          </v:group>
        </w:pict>
      </w:r>
    </w:p>
    <w:p w14:paraId="3D0D33B7" w14:textId="77777777" w:rsidR="00EF5B27" w:rsidRDefault="00EF5B27">
      <w:pPr>
        <w:pStyle w:val="BodyText"/>
      </w:pPr>
    </w:p>
    <w:p w14:paraId="3E85C53A" w14:textId="77777777" w:rsidR="00EF5B27" w:rsidRDefault="00EF5B27">
      <w:pPr>
        <w:pStyle w:val="BodyText"/>
      </w:pPr>
    </w:p>
    <w:p w14:paraId="2CEC226E" w14:textId="77777777" w:rsidR="00EF5B27" w:rsidRDefault="00EF5B27">
      <w:pPr>
        <w:pStyle w:val="BodyText"/>
      </w:pPr>
    </w:p>
    <w:p w14:paraId="79F1A010" w14:textId="77777777" w:rsidR="00EF5B27" w:rsidRDefault="00EF5B27">
      <w:pPr>
        <w:pStyle w:val="BodyText"/>
      </w:pPr>
    </w:p>
    <w:p w14:paraId="4596784E" w14:textId="77777777" w:rsidR="00EF5B27" w:rsidRDefault="00EF5B27">
      <w:pPr>
        <w:pStyle w:val="BodyText"/>
      </w:pPr>
    </w:p>
    <w:p w14:paraId="389210CB" w14:textId="77777777" w:rsidR="00EF5B27" w:rsidRDefault="00EF5B27">
      <w:pPr>
        <w:pStyle w:val="BodyText"/>
      </w:pPr>
    </w:p>
    <w:p w14:paraId="569B0806" w14:textId="77777777" w:rsidR="00EF5B27" w:rsidRDefault="00EF5B27">
      <w:pPr>
        <w:pStyle w:val="BodyText"/>
        <w:spacing w:before="8"/>
        <w:rPr>
          <w:sz w:val="17"/>
        </w:rPr>
      </w:pPr>
    </w:p>
    <w:p w14:paraId="148FA493" w14:textId="77777777" w:rsidR="00EF5B27" w:rsidRDefault="00000000">
      <w:pPr>
        <w:pStyle w:val="BodyText"/>
        <w:spacing w:line="20" w:lineRule="exact"/>
        <w:ind w:left="2603"/>
        <w:rPr>
          <w:sz w:val="2"/>
        </w:rPr>
      </w:pPr>
      <w:r>
        <w:rPr>
          <w:sz w:val="2"/>
        </w:rPr>
      </w:r>
      <w:r>
        <w:rPr>
          <w:sz w:val="2"/>
        </w:rPr>
        <w:pict w14:anchorId="3FD8F89C">
          <v:group id="_x0000_s4314" style="width:357.2pt;height:.5pt;mso-position-horizontal-relative:char;mso-position-vertical-relative:line" coordsize="7144,10">
            <v:line id="_x0000_s4315" style="position:absolute" from="0,5" to="7143,5" strokecolor="#4d4d4f" strokeweight=".5pt"/>
            <w10:anchorlock/>
          </v:group>
        </w:pict>
      </w:r>
    </w:p>
    <w:p w14:paraId="65A95F6F" w14:textId="77777777" w:rsidR="00EF5B27" w:rsidRDefault="00000000">
      <w:pPr>
        <w:pStyle w:val="ListParagraph"/>
        <w:numPr>
          <w:ilvl w:val="0"/>
          <w:numId w:val="65"/>
        </w:numPr>
        <w:tabs>
          <w:tab w:val="left" w:pos="2836"/>
        </w:tabs>
        <w:spacing w:before="102" w:line="143" w:lineRule="exact"/>
        <w:jc w:val="lef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2DBF22D5" w14:textId="77777777" w:rsidR="00EF5B27" w:rsidRDefault="00000000">
      <w:pPr>
        <w:pStyle w:val="ListParagraph"/>
        <w:numPr>
          <w:ilvl w:val="0"/>
          <w:numId w:val="65"/>
        </w:numPr>
        <w:tabs>
          <w:tab w:val="left" w:pos="2836"/>
        </w:tabs>
        <w:spacing w:line="143" w:lineRule="exact"/>
        <w:jc w:val="lef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18A80260" w14:textId="77777777" w:rsidR="00EF5B27" w:rsidRDefault="00EF5B27">
      <w:pPr>
        <w:spacing w:line="143" w:lineRule="exact"/>
        <w:rPr>
          <w:sz w:val="12"/>
        </w:rPr>
        <w:sectPr w:rsidR="00EF5B27">
          <w:type w:val="continuous"/>
          <w:pgSz w:w="11910" w:h="16840"/>
          <w:pgMar w:top="1140" w:right="1020" w:bottom="280" w:left="1020" w:header="720" w:footer="720" w:gutter="0"/>
          <w:cols w:space="720"/>
        </w:sectPr>
      </w:pPr>
    </w:p>
    <w:p w14:paraId="006FCACF" w14:textId="77777777" w:rsidR="00EF5B27" w:rsidRDefault="00000000">
      <w:pPr>
        <w:pStyle w:val="BodyText"/>
      </w:pPr>
      <w:r>
        <w:lastRenderedPageBreak/>
        <w:pict w14:anchorId="01C64507">
          <v:group id="_x0000_s4306" style="position:absolute;margin-left:587.05pt;margin-top:183.4pt;width:8.25pt;height:153.1pt;z-index:251402752;mso-position-horizontal-relative:page;mso-position-vertical-relative:page" coordorigin="11741,3668" coordsize="165,3062">
            <v:shape id="_x0000_s4313" style="position:absolute;left:11741;top:3668;width:165;height:561" coordorigin="11741,3668" coordsize="165,561" path="m11906,3668r-165,l11741,4228r165,-18l11906,3668xe" fillcolor="#00aed9" stroked="f">
              <v:path arrowok="t"/>
            </v:shape>
            <v:shape id="_x0000_s4312" style="position:absolute;left:11741;top:4118;width:165;height:425" coordorigin="11741,4118" coordsize="165,425" path="m11906,4118r-165,14l11741,4531r165,12l11906,4118xe" fillcolor="#047ebc" stroked="f">
              <v:path arrowok="t"/>
            </v:shape>
            <v:shape id="_x0000_s4311" type="#_x0000_t75" style="position:absolute;left:11741;top:4355;width:165;height:587">
              <v:imagedata r:id="rId42" o:title=""/>
            </v:shape>
            <v:shape id="_x0000_s4310" style="position:absolute;left:11741;top:5343;width:165;height:536" coordorigin="11741,5343" coordsize="165,536" path="m11741,5343r,535l11906,5872r,-525l11741,5343xe" fillcolor="#f36a2e" stroked="f">
              <v:path arrowok="t"/>
            </v:shape>
            <v:shape id="_x0000_s4309" style="position:absolute;left:11741;top:4925;width:165;height:501" coordorigin="11741,4926" coordsize="165,501" path="m11741,4926r,500l11906,5426r,-485l11741,4926xe" fillcolor="#49783f" stroked="f">
              <v:path arrowok="t"/>
            </v:shape>
            <v:shape id="_x0000_s4308" style="position:absolute;left:11741;top:5781;width:165;height:268" coordorigin="11741,5782" coordsize="165,268" path="m11906,5782r-165,8l11741,6039r165,10l11906,5782xe" fillcolor="#f99f2a" stroked="f">
              <v:path arrowok="t"/>
            </v:shape>
            <v:shape id="_x0000_s4307" style="position:absolute;left:11741;top:6023;width:165;height:707" coordorigin="11741,6023" coordsize="165,707" path="m11741,6023r,706l11906,6729r,-690l11741,6023xe" fillcolor="#ef412c" stroked="f">
              <v:path arrowok="t"/>
            </v:shape>
            <w10:wrap anchorx="page" anchory="page"/>
          </v:group>
        </w:pict>
      </w:r>
    </w:p>
    <w:p w14:paraId="5BC427F0" w14:textId="77777777" w:rsidR="00EF5B27" w:rsidRDefault="00EF5B27">
      <w:pPr>
        <w:pStyle w:val="BodyText"/>
      </w:pPr>
    </w:p>
    <w:p w14:paraId="0F3CF9A2" w14:textId="77777777" w:rsidR="00EF5B27" w:rsidRDefault="00EF5B27">
      <w:pPr>
        <w:pStyle w:val="BodyText"/>
      </w:pPr>
    </w:p>
    <w:p w14:paraId="314179D2" w14:textId="77777777" w:rsidR="00EF5B27" w:rsidRDefault="00EF5B27">
      <w:pPr>
        <w:pStyle w:val="BodyText"/>
        <w:spacing w:before="8"/>
      </w:pPr>
    </w:p>
    <w:p w14:paraId="37EB2915" w14:textId="77777777" w:rsidR="00EF5B27" w:rsidRDefault="00000000">
      <w:pPr>
        <w:pStyle w:val="Heading2"/>
      </w:pPr>
      <w:bookmarkStart w:id="8" w:name="_bookmark9"/>
      <w:bookmarkEnd w:id="8"/>
      <w:r>
        <w:rPr>
          <w:color w:val="F99F2A"/>
        </w:rPr>
        <w:t>Part 1: Summary of findings</w:t>
      </w:r>
    </w:p>
    <w:p w14:paraId="5393E285" w14:textId="77777777" w:rsidR="00EF5B27" w:rsidRDefault="00EF5B27">
      <w:pPr>
        <w:pStyle w:val="BodyText"/>
        <w:rPr>
          <w:b/>
        </w:rPr>
      </w:pPr>
    </w:p>
    <w:p w14:paraId="6B65E4A0" w14:textId="77777777" w:rsidR="00EF5B27" w:rsidRDefault="00EF5B27">
      <w:pPr>
        <w:pStyle w:val="BodyText"/>
        <w:rPr>
          <w:b/>
        </w:rPr>
      </w:pPr>
    </w:p>
    <w:p w14:paraId="3F00C5F0" w14:textId="77777777" w:rsidR="00EF5B27" w:rsidRDefault="00EF5B27">
      <w:pPr>
        <w:pStyle w:val="BodyText"/>
        <w:spacing w:before="4"/>
        <w:rPr>
          <w:b/>
          <w:sz w:val="29"/>
        </w:rPr>
      </w:pPr>
    </w:p>
    <w:p w14:paraId="1BB64CC0" w14:textId="77777777" w:rsidR="00EF5B27" w:rsidRDefault="00000000">
      <w:pPr>
        <w:pStyle w:val="BodyText"/>
        <w:spacing w:before="100" w:line="254" w:lineRule="auto"/>
        <w:ind w:left="2608"/>
      </w:pPr>
      <w:r>
        <w:rPr>
          <w:color w:val="4D4D4F"/>
          <w:spacing w:val="-4"/>
        </w:rPr>
        <w:t xml:space="preserve">This section provides </w:t>
      </w:r>
      <w:r>
        <w:rPr>
          <w:color w:val="4D4D4F"/>
        </w:rPr>
        <w:t xml:space="preserve">a </w:t>
      </w:r>
      <w:r>
        <w:rPr>
          <w:color w:val="4D4D4F"/>
          <w:spacing w:val="-4"/>
        </w:rPr>
        <w:t xml:space="preserve">summary </w:t>
      </w:r>
      <w:r>
        <w:rPr>
          <w:color w:val="4D4D4F"/>
          <w:spacing w:val="-3"/>
        </w:rPr>
        <w:t xml:space="preserve">of the </w:t>
      </w:r>
      <w:r>
        <w:rPr>
          <w:color w:val="4D4D4F"/>
          <w:spacing w:val="-4"/>
        </w:rPr>
        <w:t xml:space="preserve">findings </w:t>
      </w:r>
      <w:r>
        <w:rPr>
          <w:color w:val="4D4D4F"/>
          <w:spacing w:val="-3"/>
        </w:rPr>
        <w:t xml:space="preserve">as </w:t>
      </w:r>
      <w:r>
        <w:rPr>
          <w:color w:val="4D4D4F"/>
          <w:spacing w:val="-4"/>
        </w:rPr>
        <w:t xml:space="preserve">they relate </w:t>
      </w:r>
      <w:r>
        <w:rPr>
          <w:color w:val="4D4D4F"/>
          <w:spacing w:val="-3"/>
        </w:rPr>
        <w:t xml:space="preserve">to the </w:t>
      </w:r>
      <w:r>
        <w:rPr>
          <w:color w:val="4D4D4F"/>
          <w:spacing w:val="-8"/>
        </w:rPr>
        <w:t xml:space="preserve">16 </w:t>
      </w:r>
      <w:r>
        <w:rPr>
          <w:color w:val="4D4D4F"/>
          <w:spacing w:val="-5"/>
        </w:rPr>
        <w:t xml:space="preserve">recommendations </w:t>
      </w:r>
      <w:r>
        <w:rPr>
          <w:color w:val="4D4D4F"/>
          <w:spacing w:val="-3"/>
        </w:rPr>
        <w:t xml:space="preserve">presented in </w:t>
      </w:r>
      <w:r>
        <w:rPr>
          <w:color w:val="4D4D4F"/>
          <w:spacing w:val="-6"/>
        </w:rPr>
        <w:t xml:space="preserve">Table 1. </w:t>
      </w:r>
      <w:r>
        <w:rPr>
          <w:color w:val="4D4D4F"/>
          <w:spacing w:val="-3"/>
        </w:rPr>
        <w:t xml:space="preserve">Detailed scientific assessments </w:t>
      </w:r>
      <w:r>
        <w:rPr>
          <w:color w:val="4D4D4F"/>
        </w:rPr>
        <w:t xml:space="preserve">are </w:t>
      </w:r>
      <w:r>
        <w:rPr>
          <w:color w:val="4D4D4F"/>
          <w:spacing w:val="-3"/>
        </w:rPr>
        <w:t xml:space="preserve">included in </w:t>
      </w:r>
      <w:r>
        <w:rPr>
          <w:color w:val="4D4D4F"/>
        </w:rPr>
        <w:t xml:space="preserve">Part 2 of </w:t>
      </w:r>
      <w:r>
        <w:rPr>
          <w:color w:val="4D4D4F"/>
          <w:spacing w:val="-4"/>
        </w:rPr>
        <w:t xml:space="preserve">this </w:t>
      </w:r>
      <w:r>
        <w:rPr>
          <w:color w:val="4D4D4F"/>
        </w:rPr>
        <w:t>report.</w:t>
      </w:r>
    </w:p>
    <w:p w14:paraId="3BAB1CF2" w14:textId="77777777" w:rsidR="00EF5B27" w:rsidRDefault="00EF5B27">
      <w:pPr>
        <w:pStyle w:val="BodyText"/>
        <w:spacing w:before="1"/>
        <w:rPr>
          <w:sz w:val="19"/>
        </w:rPr>
      </w:pPr>
    </w:p>
    <w:p w14:paraId="2E82366C" w14:textId="77777777" w:rsidR="00EF5B27" w:rsidRDefault="00000000">
      <w:pPr>
        <w:pStyle w:val="Heading3"/>
      </w:pPr>
      <w:r>
        <w:rPr>
          <w:color w:val="F99F2A"/>
        </w:rPr>
        <w:t>Geographical scope</w:t>
      </w:r>
    </w:p>
    <w:p w14:paraId="546EA426" w14:textId="77777777" w:rsidR="00EF5B27" w:rsidRDefault="00000000">
      <w:pPr>
        <w:pStyle w:val="BodyText"/>
        <w:spacing w:before="3"/>
        <w:rPr>
          <w:b/>
          <w:sz w:val="22"/>
        </w:rPr>
      </w:pPr>
      <w:r>
        <w:pict w14:anchorId="2E52D48B">
          <v:group id="_x0000_s4303" style="position:absolute;margin-left:181.3pt;margin-top:15.95pt;width:357.4pt;height:228.5pt;z-index:251325952;mso-wrap-distance-left:0;mso-wrap-distance-right:0;mso-position-horizontal-relative:page" coordorigin="3626,319" coordsize="7148,4570">
            <v:shape id="_x0000_s4305" type="#_x0000_t75" style="position:absolute;left:3628;top:321;width:7143;height:4565">
              <v:imagedata r:id="rId66" o:title=""/>
            </v:shape>
            <v:rect id="_x0000_s4304" style="position:absolute;left:3628;top:321;width:7143;height:4565" filled="f" strokeweight=".25pt"/>
            <w10:wrap type="topAndBottom" anchorx="page"/>
          </v:group>
        </w:pict>
      </w:r>
    </w:p>
    <w:p w14:paraId="339C3A9E" w14:textId="77777777" w:rsidR="00EF5B27" w:rsidRDefault="00000000">
      <w:pPr>
        <w:tabs>
          <w:tab w:val="left" w:pos="8977"/>
        </w:tabs>
        <w:spacing w:before="103"/>
        <w:ind w:left="2608"/>
        <w:rPr>
          <w:rFonts w:ascii="Century Gothic"/>
          <w:i/>
          <w:sz w:val="12"/>
        </w:rPr>
      </w:pPr>
      <w:bookmarkStart w:id="9" w:name="_Ref112854143"/>
      <w:bookmarkStart w:id="10" w:name="_bookmark8"/>
      <w:bookmarkEnd w:id="9"/>
      <w:bookmarkEnd w:id="10"/>
      <w:r>
        <w:rPr>
          <w:color w:val="4D4D4F"/>
          <w:sz w:val="16"/>
        </w:rPr>
        <w:t>Figure 2: Map of the MSA</w:t>
      </w:r>
      <w:r>
        <w:rPr>
          <w:color w:val="4D4D4F"/>
          <w:spacing w:val="28"/>
          <w:sz w:val="16"/>
        </w:rPr>
        <w:t xml:space="preserve"> </w:t>
      </w:r>
      <w:r>
        <w:rPr>
          <w:color w:val="4D4D4F"/>
          <w:spacing w:val="2"/>
          <w:sz w:val="16"/>
        </w:rPr>
        <w:t>program</w:t>
      </w:r>
      <w:r>
        <w:rPr>
          <w:color w:val="4D4D4F"/>
          <w:spacing w:val="5"/>
          <w:sz w:val="16"/>
        </w:rPr>
        <w:t xml:space="preserve"> </w:t>
      </w:r>
      <w:r>
        <w:rPr>
          <w:color w:val="4D4D4F"/>
          <w:sz w:val="16"/>
        </w:rPr>
        <w:t>area</w:t>
      </w:r>
      <w:r>
        <w:rPr>
          <w:color w:val="4D4D4F"/>
          <w:sz w:val="16"/>
        </w:rPr>
        <w:tab/>
      </w:r>
      <w:r>
        <w:rPr>
          <w:rFonts w:ascii="Century Gothic"/>
          <w:i/>
          <w:color w:val="4D4D4F"/>
          <w:sz w:val="12"/>
        </w:rPr>
        <w:t>Source:</w:t>
      </w:r>
      <w:r>
        <w:rPr>
          <w:rFonts w:ascii="Century Gothic"/>
          <w:i/>
          <w:color w:val="4D4D4F"/>
          <w:spacing w:val="-21"/>
          <w:sz w:val="12"/>
        </w:rPr>
        <w:t xml:space="preserve"> </w:t>
      </w:r>
      <w:r>
        <w:rPr>
          <w:rFonts w:ascii="Century Gothic"/>
          <w:i/>
          <w:color w:val="4D4D4F"/>
          <w:sz w:val="12"/>
        </w:rPr>
        <w:t>DELWP</w:t>
      </w:r>
    </w:p>
    <w:p w14:paraId="0B81A00F" w14:textId="77777777" w:rsidR="00EF5B27" w:rsidRDefault="00EF5B27">
      <w:pPr>
        <w:pStyle w:val="BodyText"/>
        <w:spacing w:before="8"/>
        <w:rPr>
          <w:rFonts w:ascii="Century Gothic"/>
          <w:i/>
        </w:rPr>
      </w:pPr>
    </w:p>
    <w:p w14:paraId="06E61F11" w14:textId="77777777" w:rsidR="00EF5B27" w:rsidRDefault="00000000">
      <w:pPr>
        <w:pStyle w:val="BodyText"/>
        <w:spacing w:line="254" w:lineRule="auto"/>
        <w:ind w:left="2608" w:right="221"/>
      </w:pPr>
      <w:hyperlink w:anchor="_bookmark8" w:history="1">
        <w:r>
          <w:rPr>
            <w:color w:val="4D4D4F"/>
          </w:rPr>
          <w:t xml:space="preserve">Figure 2 </w:t>
        </w:r>
      </w:hyperlink>
      <w:r>
        <w:rPr>
          <w:color w:val="4D4D4F"/>
        </w:rPr>
        <w:t>shows the map of the full spatial extent of the MSA program area, covering four growth corridors (northern, north-western, western, south-eastern) and seven LGAs (Cardinia Shire Council, Casey City Council, Hume City Council, Melton City Council, Mitchell Shire Council, Whittlesea City Council, Wyndham City Council) within the 2010 UGB.</w:t>
      </w:r>
    </w:p>
    <w:p w14:paraId="45428AD2" w14:textId="77777777" w:rsidR="00EF5B27" w:rsidRDefault="00000000">
      <w:pPr>
        <w:pStyle w:val="BodyText"/>
        <w:spacing w:before="120" w:line="254" w:lineRule="auto"/>
        <w:ind w:left="2608"/>
      </w:pPr>
      <w:r>
        <w:rPr>
          <w:color w:val="4D4D4F"/>
        </w:rPr>
        <w:t>The Western Grasslands Reserve (WGR) and proposed Grassy Eucalypt Woodland investigation area form the majority of the MSA program’s consolidated</w:t>
      </w:r>
      <w:r>
        <w:rPr>
          <w:color w:val="4D4D4F"/>
          <w:spacing w:val="22"/>
        </w:rPr>
        <w:t xml:space="preserve"> </w:t>
      </w:r>
      <w:r>
        <w:rPr>
          <w:color w:val="4D4D4F"/>
        </w:rPr>
        <w:t>offsets.</w:t>
      </w:r>
    </w:p>
    <w:p w14:paraId="24D4643F" w14:textId="77777777" w:rsidR="00EF5B27" w:rsidRDefault="00000000">
      <w:pPr>
        <w:pStyle w:val="BodyText"/>
        <w:spacing w:before="116" w:line="254" w:lineRule="auto"/>
        <w:ind w:left="2608" w:right="151"/>
        <w:rPr>
          <w:sz w:val="11"/>
        </w:rPr>
      </w:pPr>
      <w:r>
        <w:rPr>
          <w:color w:val="4D4D4F"/>
        </w:rPr>
        <w:t xml:space="preserve">What is not shown on the map are the biodiversity conservation areas within the UGB. These are areas of high value, defined in the MSA Biodiversity Conservation Strategy </w:t>
      </w:r>
      <w:r>
        <w:rPr>
          <w:color w:val="4D4D4F"/>
          <w:spacing w:val="-3"/>
        </w:rPr>
        <w:t xml:space="preserve">(BCS) </w:t>
      </w:r>
      <w:r>
        <w:rPr>
          <w:color w:val="4D4D4F"/>
        </w:rPr>
        <w:t>for permanent protection. Several of these areas are small and fragmented parcels that can’t be viewed at this resolution. Full maps of proposed precincts and conservation areas are presented in detail in the 2009 Delivering Melbourne’s Newest Sustainable</w:t>
      </w:r>
      <w:r>
        <w:rPr>
          <w:color w:val="4D4D4F"/>
          <w:spacing w:val="10"/>
        </w:rPr>
        <w:t xml:space="preserve"> </w:t>
      </w:r>
      <w:r>
        <w:rPr>
          <w:color w:val="4D4D4F"/>
        </w:rPr>
        <w:t>Communities:</w:t>
      </w:r>
      <w:r>
        <w:rPr>
          <w:color w:val="4D4D4F"/>
          <w:spacing w:val="11"/>
        </w:rPr>
        <w:t xml:space="preserve"> </w:t>
      </w:r>
      <w:r>
        <w:rPr>
          <w:color w:val="4D4D4F"/>
        </w:rPr>
        <w:t>Program</w:t>
      </w:r>
      <w:r>
        <w:rPr>
          <w:color w:val="4D4D4F"/>
          <w:spacing w:val="11"/>
        </w:rPr>
        <w:t xml:space="preserve"> </w:t>
      </w:r>
      <w:r>
        <w:rPr>
          <w:color w:val="4D4D4F"/>
        </w:rPr>
        <w:t>Report</w:t>
      </w:r>
      <w:r>
        <w:rPr>
          <w:color w:val="4D4D4F"/>
          <w:spacing w:val="11"/>
        </w:rPr>
        <w:t xml:space="preserve"> </w:t>
      </w:r>
      <w:r>
        <w:rPr>
          <w:color w:val="4D4D4F"/>
        </w:rPr>
        <w:t>(MSA</w:t>
      </w:r>
      <w:r>
        <w:rPr>
          <w:color w:val="4D4D4F"/>
          <w:spacing w:val="11"/>
        </w:rPr>
        <w:t xml:space="preserve"> </w:t>
      </w:r>
      <w:r>
        <w:rPr>
          <w:color w:val="4D4D4F"/>
        </w:rPr>
        <w:t>Program</w:t>
      </w:r>
      <w:r>
        <w:rPr>
          <w:color w:val="4D4D4F"/>
          <w:spacing w:val="11"/>
        </w:rPr>
        <w:t xml:space="preserve"> </w:t>
      </w:r>
      <w:r>
        <w:rPr>
          <w:color w:val="4D4D4F"/>
        </w:rPr>
        <w:t>Report)</w:t>
      </w:r>
      <w:r>
        <w:rPr>
          <w:color w:val="4D4D4F"/>
          <w:position w:val="7"/>
          <w:sz w:val="11"/>
        </w:rPr>
        <w:t>30</w:t>
      </w:r>
      <w:r>
        <w:rPr>
          <w:color w:val="4D4D4F"/>
          <w:spacing w:val="7"/>
          <w:position w:val="7"/>
          <w:sz w:val="11"/>
        </w:rPr>
        <w:t xml:space="preserve"> </w:t>
      </w:r>
      <w:r>
        <w:rPr>
          <w:color w:val="4D4D4F"/>
        </w:rPr>
        <w:t>and</w:t>
      </w:r>
      <w:r>
        <w:rPr>
          <w:color w:val="4D4D4F"/>
          <w:spacing w:val="11"/>
        </w:rPr>
        <w:t xml:space="preserve"> </w:t>
      </w:r>
      <w:r>
        <w:rPr>
          <w:color w:val="4D4D4F"/>
        </w:rPr>
        <w:t>BCS.</w:t>
      </w:r>
      <w:r>
        <w:rPr>
          <w:color w:val="4D4D4F"/>
          <w:position w:val="7"/>
          <w:sz w:val="11"/>
        </w:rPr>
        <w:t>31</w:t>
      </w:r>
    </w:p>
    <w:p w14:paraId="03168315" w14:textId="77777777" w:rsidR="00EF5B27" w:rsidRDefault="00EF5B27">
      <w:pPr>
        <w:pStyle w:val="BodyText"/>
      </w:pPr>
    </w:p>
    <w:p w14:paraId="11AF66F7" w14:textId="77777777" w:rsidR="00EF5B27" w:rsidRDefault="00EF5B27">
      <w:pPr>
        <w:pStyle w:val="BodyText"/>
      </w:pPr>
    </w:p>
    <w:p w14:paraId="110DDD44" w14:textId="77777777" w:rsidR="00EF5B27" w:rsidRDefault="00EF5B27">
      <w:pPr>
        <w:pStyle w:val="BodyText"/>
      </w:pPr>
    </w:p>
    <w:p w14:paraId="5BEE216A" w14:textId="77777777" w:rsidR="00EF5B27" w:rsidRDefault="00000000">
      <w:pPr>
        <w:pStyle w:val="BodyText"/>
        <w:spacing w:before="6"/>
        <w:rPr>
          <w:sz w:val="13"/>
        </w:rPr>
      </w:pPr>
      <w:r>
        <w:pict w14:anchorId="3AB0986A">
          <v:line id="_x0000_s4302" style="position:absolute;z-index:251328000;mso-wrap-distance-left:0;mso-wrap-distance-right:0;mso-position-horizontal-relative:page" from="181.4pt,10.45pt" to="538.6pt,10.45pt" strokecolor="#4d4d4f" strokeweight=".5pt">
            <w10:wrap type="topAndBottom" anchorx="page"/>
          </v:line>
        </w:pict>
      </w:r>
    </w:p>
    <w:p w14:paraId="5984C3B0" w14:textId="77777777" w:rsidR="00EF5B27" w:rsidRDefault="00000000">
      <w:pPr>
        <w:pStyle w:val="ListParagraph"/>
        <w:numPr>
          <w:ilvl w:val="0"/>
          <w:numId w:val="65"/>
        </w:numPr>
        <w:tabs>
          <w:tab w:val="left" w:pos="2836"/>
        </w:tabs>
        <w:spacing w:before="83" w:line="143" w:lineRule="exact"/>
        <w:jc w:val="left"/>
        <w:rPr>
          <w:sz w:val="12"/>
        </w:rPr>
      </w:pPr>
      <w:r>
        <w:rPr>
          <w:color w:val="4D4D4F"/>
          <w:sz w:val="12"/>
        </w:rPr>
        <w:t>DEPI</w:t>
      </w:r>
      <w:r>
        <w:rPr>
          <w:color w:val="4D4D4F"/>
          <w:spacing w:val="4"/>
          <w:sz w:val="12"/>
        </w:rPr>
        <w:t xml:space="preserve"> </w:t>
      </w:r>
      <w:r>
        <w:rPr>
          <w:color w:val="4D4D4F"/>
          <w:sz w:val="12"/>
        </w:rPr>
        <w:t>2009,</w:t>
      </w:r>
      <w:r>
        <w:rPr>
          <w:color w:val="4D4D4F"/>
          <w:spacing w:val="5"/>
          <w:sz w:val="12"/>
        </w:rPr>
        <w:t xml:space="preserve"> </w:t>
      </w:r>
      <w:r>
        <w:rPr>
          <w:color w:val="4D4D4F"/>
          <w:sz w:val="12"/>
        </w:rPr>
        <w:t>‘Delivering</w:t>
      </w:r>
      <w:r>
        <w:rPr>
          <w:color w:val="4D4D4F"/>
          <w:spacing w:val="5"/>
          <w:sz w:val="12"/>
        </w:rPr>
        <w:t xml:space="preserve"> </w:t>
      </w:r>
      <w:r>
        <w:rPr>
          <w:color w:val="4D4D4F"/>
          <w:sz w:val="12"/>
        </w:rPr>
        <w:t>Melbourne’s</w:t>
      </w:r>
      <w:r>
        <w:rPr>
          <w:color w:val="4D4D4F"/>
          <w:spacing w:val="5"/>
          <w:sz w:val="12"/>
        </w:rPr>
        <w:t xml:space="preserve"> </w:t>
      </w:r>
      <w:r>
        <w:rPr>
          <w:color w:val="4D4D4F"/>
          <w:sz w:val="12"/>
        </w:rPr>
        <w:t>Newest</w:t>
      </w:r>
      <w:r>
        <w:rPr>
          <w:color w:val="4D4D4F"/>
          <w:spacing w:val="5"/>
          <w:sz w:val="12"/>
        </w:rPr>
        <w:t xml:space="preserve"> </w:t>
      </w:r>
      <w:r>
        <w:rPr>
          <w:color w:val="4D4D4F"/>
          <w:sz w:val="12"/>
        </w:rPr>
        <w:t>Sustainable</w:t>
      </w:r>
      <w:r>
        <w:rPr>
          <w:color w:val="4D4D4F"/>
          <w:spacing w:val="5"/>
          <w:sz w:val="12"/>
        </w:rPr>
        <w:t xml:space="preserve"> </w:t>
      </w:r>
      <w:r>
        <w:rPr>
          <w:color w:val="4D4D4F"/>
          <w:sz w:val="12"/>
        </w:rPr>
        <w:t>Communities:</w:t>
      </w:r>
      <w:r>
        <w:rPr>
          <w:color w:val="4D4D4F"/>
          <w:spacing w:val="5"/>
          <w:sz w:val="12"/>
        </w:rPr>
        <w:t xml:space="preserve"> </w:t>
      </w:r>
      <w:r>
        <w:rPr>
          <w:color w:val="4D4D4F"/>
          <w:spacing w:val="2"/>
          <w:sz w:val="12"/>
        </w:rPr>
        <w:t>Program</w:t>
      </w:r>
      <w:r>
        <w:rPr>
          <w:color w:val="4D4D4F"/>
          <w:spacing w:val="4"/>
          <w:sz w:val="12"/>
        </w:rPr>
        <w:t xml:space="preserve"> </w:t>
      </w:r>
      <w:r>
        <w:rPr>
          <w:color w:val="4D4D4F"/>
          <w:sz w:val="12"/>
        </w:rPr>
        <w:t>Report’,</w:t>
      </w:r>
      <w:r>
        <w:rPr>
          <w:color w:val="4D4D4F"/>
          <w:spacing w:val="5"/>
          <w:sz w:val="12"/>
        </w:rPr>
        <w:t xml:space="preserve"> </w:t>
      </w:r>
      <w:r>
        <w:rPr>
          <w:color w:val="4D4D4F"/>
          <w:sz w:val="12"/>
        </w:rPr>
        <w:t>East</w:t>
      </w:r>
      <w:r>
        <w:rPr>
          <w:color w:val="4D4D4F"/>
          <w:spacing w:val="5"/>
          <w:sz w:val="12"/>
        </w:rPr>
        <w:t xml:space="preserve"> </w:t>
      </w:r>
      <w:r>
        <w:rPr>
          <w:color w:val="4D4D4F"/>
          <w:sz w:val="12"/>
        </w:rPr>
        <w:t>Melbourne,</w:t>
      </w:r>
      <w:r>
        <w:rPr>
          <w:color w:val="4D4D4F"/>
          <w:spacing w:val="5"/>
          <w:sz w:val="12"/>
        </w:rPr>
        <w:t xml:space="preserve"> </w:t>
      </w:r>
      <w:r>
        <w:rPr>
          <w:color w:val="4D4D4F"/>
          <w:sz w:val="12"/>
        </w:rPr>
        <w:t>Victoria.</w:t>
      </w:r>
    </w:p>
    <w:p w14:paraId="55540B28" w14:textId="77777777" w:rsidR="00EF5B27" w:rsidRDefault="00000000">
      <w:pPr>
        <w:pStyle w:val="ListParagraph"/>
        <w:numPr>
          <w:ilvl w:val="0"/>
          <w:numId w:val="65"/>
        </w:numPr>
        <w:tabs>
          <w:tab w:val="left" w:pos="2836"/>
        </w:tabs>
        <w:spacing w:line="143" w:lineRule="exact"/>
        <w:jc w:val="left"/>
        <w:rPr>
          <w:sz w:val="12"/>
        </w:rPr>
      </w:pPr>
      <w:r>
        <w:rPr>
          <w:color w:val="4D4D4F"/>
          <w:sz w:val="12"/>
        </w:rPr>
        <w:t>DEPI</w:t>
      </w:r>
      <w:r>
        <w:rPr>
          <w:color w:val="4D4D4F"/>
          <w:spacing w:val="4"/>
          <w:sz w:val="12"/>
        </w:rPr>
        <w:t xml:space="preserve"> </w:t>
      </w:r>
      <w:r>
        <w:rPr>
          <w:color w:val="4D4D4F"/>
          <w:sz w:val="12"/>
        </w:rPr>
        <w:t>2013,</w:t>
      </w:r>
      <w:r>
        <w:rPr>
          <w:color w:val="4D4D4F"/>
          <w:spacing w:val="4"/>
          <w:sz w:val="12"/>
        </w:rPr>
        <w:t xml:space="preserve"> </w:t>
      </w:r>
      <w:r>
        <w:rPr>
          <w:color w:val="4D4D4F"/>
          <w:sz w:val="12"/>
        </w:rPr>
        <w:t>‘Biodiversity</w:t>
      </w:r>
      <w:r>
        <w:rPr>
          <w:color w:val="4D4D4F"/>
          <w:spacing w:val="4"/>
          <w:sz w:val="12"/>
        </w:rPr>
        <w:t xml:space="preserve"> </w:t>
      </w:r>
      <w:r>
        <w:rPr>
          <w:color w:val="4D4D4F"/>
          <w:spacing w:val="2"/>
          <w:sz w:val="12"/>
        </w:rPr>
        <w:t>Conservation</w:t>
      </w:r>
      <w:r>
        <w:rPr>
          <w:color w:val="4D4D4F"/>
          <w:spacing w:val="4"/>
          <w:sz w:val="12"/>
        </w:rPr>
        <w:t xml:space="preserve"> </w:t>
      </w:r>
      <w:r>
        <w:rPr>
          <w:color w:val="4D4D4F"/>
          <w:sz w:val="12"/>
        </w:rPr>
        <w:t>Strategy</w:t>
      </w:r>
      <w:r>
        <w:rPr>
          <w:color w:val="4D4D4F"/>
          <w:spacing w:val="4"/>
          <w:sz w:val="12"/>
        </w:rPr>
        <w:t xml:space="preserve"> </w:t>
      </w:r>
      <w:r>
        <w:rPr>
          <w:color w:val="4D4D4F"/>
          <w:sz w:val="12"/>
        </w:rPr>
        <w:t>for</w:t>
      </w:r>
      <w:r>
        <w:rPr>
          <w:color w:val="4D4D4F"/>
          <w:spacing w:val="5"/>
          <w:sz w:val="12"/>
        </w:rPr>
        <w:t xml:space="preserve"> </w:t>
      </w:r>
      <w:r>
        <w:rPr>
          <w:color w:val="4D4D4F"/>
          <w:sz w:val="12"/>
        </w:rPr>
        <w:t>Melbourne’s</w:t>
      </w:r>
      <w:r>
        <w:rPr>
          <w:color w:val="4D4D4F"/>
          <w:spacing w:val="4"/>
          <w:sz w:val="12"/>
        </w:rPr>
        <w:t xml:space="preserve"> </w:t>
      </w:r>
      <w:r>
        <w:rPr>
          <w:color w:val="4D4D4F"/>
          <w:spacing w:val="2"/>
          <w:sz w:val="12"/>
        </w:rPr>
        <w:t>Growth</w:t>
      </w:r>
      <w:r>
        <w:rPr>
          <w:color w:val="4D4D4F"/>
          <w:spacing w:val="4"/>
          <w:sz w:val="12"/>
        </w:rPr>
        <w:t xml:space="preserve"> </w:t>
      </w:r>
      <w:r>
        <w:rPr>
          <w:color w:val="4D4D4F"/>
          <w:sz w:val="12"/>
        </w:rPr>
        <w:t>Corridors’,</w:t>
      </w:r>
      <w:r>
        <w:rPr>
          <w:color w:val="4D4D4F"/>
          <w:spacing w:val="4"/>
          <w:sz w:val="12"/>
        </w:rPr>
        <w:t xml:space="preserve"> </w:t>
      </w:r>
      <w:r>
        <w:rPr>
          <w:color w:val="4D4D4F"/>
          <w:sz w:val="12"/>
        </w:rPr>
        <w:t>East</w:t>
      </w:r>
      <w:r>
        <w:rPr>
          <w:color w:val="4D4D4F"/>
          <w:spacing w:val="4"/>
          <w:sz w:val="12"/>
        </w:rPr>
        <w:t xml:space="preserve"> </w:t>
      </w:r>
      <w:r>
        <w:rPr>
          <w:color w:val="4D4D4F"/>
          <w:sz w:val="12"/>
        </w:rPr>
        <w:t>Melbourne,</w:t>
      </w:r>
      <w:r>
        <w:rPr>
          <w:color w:val="4D4D4F"/>
          <w:spacing w:val="4"/>
          <w:sz w:val="12"/>
        </w:rPr>
        <w:t xml:space="preserve"> </w:t>
      </w:r>
      <w:r>
        <w:rPr>
          <w:color w:val="4D4D4F"/>
          <w:sz w:val="12"/>
        </w:rPr>
        <w:t>Victoria.</w:t>
      </w:r>
    </w:p>
    <w:p w14:paraId="143CDDAB" w14:textId="77777777" w:rsidR="00EF5B27" w:rsidRDefault="00EF5B27">
      <w:pPr>
        <w:spacing w:line="143" w:lineRule="exact"/>
        <w:rPr>
          <w:sz w:val="12"/>
        </w:rPr>
        <w:sectPr w:rsidR="00EF5B27">
          <w:footerReference w:type="default" r:id="rId67"/>
          <w:pgSz w:w="11910" w:h="16840"/>
          <w:pgMar w:top="1080" w:right="1020" w:bottom="860" w:left="1020" w:header="537" w:footer="678" w:gutter="0"/>
          <w:cols w:space="720"/>
        </w:sectPr>
      </w:pPr>
    </w:p>
    <w:p w14:paraId="7E109E51" w14:textId="77777777" w:rsidR="00EF5B27" w:rsidRDefault="00000000">
      <w:pPr>
        <w:pStyle w:val="BodyText"/>
      </w:pPr>
      <w:r>
        <w:lastRenderedPageBreak/>
        <w:pict w14:anchorId="23D3E2AA">
          <v:group id="_x0000_s4294" style="position:absolute;margin-left:587.05pt;margin-top:183.4pt;width:8.25pt;height:153.1pt;z-index:251403776;mso-position-horizontal-relative:page;mso-position-vertical-relative:page" coordorigin="11741,3668" coordsize="165,3062">
            <v:shape id="_x0000_s4301" style="position:absolute;left:11741;top:3668;width:165;height:561" coordorigin="11741,3668" coordsize="165,561" path="m11906,3668r-165,l11741,4228r165,-18l11906,3668xe" fillcolor="#00aed9" stroked="f">
              <v:path arrowok="t"/>
            </v:shape>
            <v:shape id="_x0000_s4300" style="position:absolute;left:11741;top:4118;width:165;height:425" coordorigin="11741,4118" coordsize="165,425" path="m11906,4118r-165,14l11741,4531r165,12l11906,4118xe" fillcolor="#047ebc" stroked="f">
              <v:path arrowok="t"/>
            </v:shape>
            <v:shape id="_x0000_s4299" type="#_x0000_t75" style="position:absolute;left:11741;top:4355;width:165;height:587">
              <v:imagedata r:id="rId42" o:title=""/>
            </v:shape>
            <v:shape id="_x0000_s4298" style="position:absolute;left:11741;top:5343;width:165;height:536" coordorigin="11741,5343" coordsize="165,536" path="m11741,5343r,535l11906,5872r,-525l11741,5343xe" fillcolor="#f36a2e" stroked="f">
              <v:path arrowok="t"/>
            </v:shape>
            <v:shape id="_x0000_s4297" style="position:absolute;left:11741;top:4925;width:165;height:501" coordorigin="11741,4926" coordsize="165,501" path="m11741,4926r,500l11906,5426r,-485l11741,4926xe" fillcolor="#49783f" stroked="f">
              <v:path arrowok="t"/>
            </v:shape>
            <v:shape id="_x0000_s4296" style="position:absolute;left:11741;top:5781;width:165;height:268" coordorigin="11741,5782" coordsize="165,268" path="m11906,5782r-165,8l11741,6039r165,10l11906,5782xe" fillcolor="#f99f2a" stroked="f">
              <v:path arrowok="t"/>
            </v:shape>
            <v:shape id="_x0000_s4295" style="position:absolute;left:11741;top:6023;width:165;height:707" coordorigin="11741,6023" coordsize="165,707" path="m11741,6023r,706l11906,6729r,-690l11741,6023xe" fillcolor="#ef412c" stroked="f">
              <v:path arrowok="t"/>
            </v:shape>
            <w10:wrap anchorx="page" anchory="page"/>
          </v:group>
        </w:pict>
      </w:r>
    </w:p>
    <w:p w14:paraId="5E968847" w14:textId="77777777" w:rsidR="00EF5B27" w:rsidRDefault="00EF5B27">
      <w:pPr>
        <w:pStyle w:val="BodyText"/>
      </w:pPr>
    </w:p>
    <w:p w14:paraId="4FF6F990" w14:textId="77777777" w:rsidR="00EF5B27" w:rsidRDefault="00EF5B27">
      <w:pPr>
        <w:pStyle w:val="BodyText"/>
      </w:pPr>
    </w:p>
    <w:p w14:paraId="50D0E71F" w14:textId="77777777" w:rsidR="00EF5B27" w:rsidRDefault="00EF5B27">
      <w:pPr>
        <w:pStyle w:val="BodyText"/>
      </w:pPr>
    </w:p>
    <w:p w14:paraId="793F79FB" w14:textId="77777777" w:rsidR="00EF5B27" w:rsidRDefault="00EF5B27">
      <w:pPr>
        <w:pStyle w:val="BodyText"/>
      </w:pPr>
    </w:p>
    <w:p w14:paraId="13379DB4" w14:textId="77777777" w:rsidR="00EF5B27" w:rsidRDefault="00EF5B27">
      <w:pPr>
        <w:pStyle w:val="BodyText"/>
      </w:pPr>
    </w:p>
    <w:p w14:paraId="57A9BE42" w14:textId="77777777" w:rsidR="00EF5B27" w:rsidRDefault="00EF5B27">
      <w:pPr>
        <w:pStyle w:val="BodyText"/>
      </w:pPr>
    </w:p>
    <w:p w14:paraId="25F4C8D6" w14:textId="77777777" w:rsidR="00EF5B27" w:rsidRDefault="00EF5B27">
      <w:pPr>
        <w:pStyle w:val="BodyText"/>
      </w:pPr>
    </w:p>
    <w:p w14:paraId="3AC991EF" w14:textId="77777777" w:rsidR="00EF5B27" w:rsidRDefault="00EF5B27">
      <w:pPr>
        <w:pStyle w:val="BodyText"/>
      </w:pPr>
    </w:p>
    <w:p w14:paraId="61F04FA5" w14:textId="77777777" w:rsidR="00EF5B27" w:rsidRDefault="00EF5B27">
      <w:pPr>
        <w:pStyle w:val="BodyText"/>
        <w:spacing w:before="1"/>
      </w:pPr>
    </w:p>
    <w:p w14:paraId="5B2C5444" w14:textId="77777777" w:rsidR="00EF5B27" w:rsidRDefault="00000000">
      <w:pPr>
        <w:pStyle w:val="BodyText"/>
        <w:spacing w:before="100" w:line="254" w:lineRule="auto"/>
        <w:ind w:left="2608" w:right="151"/>
      </w:pPr>
      <w:r>
        <w:rPr>
          <w:color w:val="4D4D4F"/>
        </w:rPr>
        <w:t>DELWP undertakes ecological monitoring of MNES in sites across the program area. Sites include:</w:t>
      </w:r>
    </w:p>
    <w:p w14:paraId="4EA9A10D" w14:textId="77777777" w:rsidR="00EF5B27" w:rsidRDefault="00000000">
      <w:pPr>
        <w:pStyle w:val="ListParagraph"/>
        <w:numPr>
          <w:ilvl w:val="1"/>
          <w:numId w:val="55"/>
        </w:numPr>
        <w:tabs>
          <w:tab w:val="left" w:pos="2779"/>
        </w:tabs>
        <w:spacing w:before="116"/>
        <w:rPr>
          <w:sz w:val="20"/>
        </w:rPr>
      </w:pPr>
      <w:r>
        <w:rPr>
          <w:color w:val="4D4D4F"/>
          <w:w w:val="105"/>
          <w:sz w:val="20"/>
        </w:rPr>
        <w:t>The Western Grassland</w:t>
      </w:r>
      <w:r>
        <w:rPr>
          <w:color w:val="4D4D4F"/>
          <w:spacing w:val="3"/>
          <w:w w:val="105"/>
          <w:sz w:val="20"/>
        </w:rPr>
        <w:t xml:space="preserve"> </w:t>
      </w:r>
      <w:r>
        <w:rPr>
          <w:color w:val="4D4D4F"/>
          <w:w w:val="105"/>
          <w:sz w:val="20"/>
        </w:rPr>
        <w:t>Reserve</w:t>
      </w:r>
    </w:p>
    <w:p w14:paraId="5C943C39" w14:textId="77777777" w:rsidR="00EF5B27" w:rsidRDefault="00000000">
      <w:pPr>
        <w:pStyle w:val="ListParagraph"/>
        <w:numPr>
          <w:ilvl w:val="1"/>
          <w:numId w:val="55"/>
        </w:numPr>
        <w:tabs>
          <w:tab w:val="left" w:pos="2779"/>
        </w:tabs>
        <w:spacing w:before="129"/>
        <w:rPr>
          <w:sz w:val="20"/>
        </w:rPr>
      </w:pPr>
      <w:r>
        <w:rPr>
          <w:color w:val="4D4D4F"/>
          <w:w w:val="105"/>
          <w:sz w:val="20"/>
        </w:rPr>
        <w:t>Banda Bail Nature Conservation</w:t>
      </w:r>
      <w:r>
        <w:rPr>
          <w:color w:val="4D4D4F"/>
          <w:spacing w:val="3"/>
          <w:w w:val="105"/>
          <w:sz w:val="20"/>
        </w:rPr>
        <w:t xml:space="preserve"> </w:t>
      </w:r>
      <w:r>
        <w:rPr>
          <w:color w:val="4D4D4F"/>
          <w:w w:val="105"/>
          <w:sz w:val="20"/>
        </w:rPr>
        <w:t>Reserve</w:t>
      </w:r>
    </w:p>
    <w:p w14:paraId="3DD74201" w14:textId="77777777" w:rsidR="00EF5B27" w:rsidRDefault="00000000">
      <w:pPr>
        <w:pStyle w:val="ListParagraph"/>
        <w:numPr>
          <w:ilvl w:val="1"/>
          <w:numId w:val="55"/>
        </w:numPr>
        <w:tabs>
          <w:tab w:val="left" w:pos="2779"/>
        </w:tabs>
        <w:spacing w:before="129"/>
        <w:rPr>
          <w:sz w:val="20"/>
        </w:rPr>
      </w:pPr>
      <w:r>
        <w:rPr>
          <w:color w:val="4D4D4F"/>
          <w:sz w:val="20"/>
        </w:rPr>
        <w:t>Kalkallo Common and Donnybrook Cemetery</w:t>
      </w:r>
      <w:r>
        <w:rPr>
          <w:color w:val="4D4D4F"/>
          <w:spacing w:val="27"/>
          <w:sz w:val="20"/>
        </w:rPr>
        <w:t xml:space="preserve"> </w:t>
      </w:r>
      <w:r>
        <w:rPr>
          <w:color w:val="4D4D4F"/>
          <w:sz w:val="20"/>
        </w:rPr>
        <w:t>Grassland</w:t>
      </w:r>
    </w:p>
    <w:p w14:paraId="060BFE67" w14:textId="77777777" w:rsidR="00EF5B27" w:rsidRDefault="00000000">
      <w:pPr>
        <w:pStyle w:val="ListParagraph"/>
        <w:numPr>
          <w:ilvl w:val="1"/>
          <w:numId w:val="55"/>
        </w:numPr>
        <w:tabs>
          <w:tab w:val="left" w:pos="2779"/>
        </w:tabs>
        <w:spacing w:before="130"/>
        <w:rPr>
          <w:sz w:val="20"/>
        </w:rPr>
      </w:pPr>
      <w:r>
        <w:rPr>
          <w:color w:val="4D4D4F"/>
          <w:spacing w:val="-3"/>
          <w:sz w:val="20"/>
        </w:rPr>
        <w:t>Truganina</w:t>
      </w:r>
      <w:r>
        <w:rPr>
          <w:color w:val="4D4D4F"/>
          <w:spacing w:val="4"/>
          <w:sz w:val="20"/>
        </w:rPr>
        <w:t xml:space="preserve"> </w:t>
      </w:r>
      <w:r>
        <w:rPr>
          <w:color w:val="4D4D4F"/>
          <w:sz w:val="20"/>
        </w:rPr>
        <w:t>Cemetery</w:t>
      </w:r>
    </w:p>
    <w:p w14:paraId="152B6753" w14:textId="77777777" w:rsidR="00EF5B27" w:rsidRDefault="00000000">
      <w:pPr>
        <w:pStyle w:val="ListParagraph"/>
        <w:numPr>
          <w:ilvl w:val="1"/>
          <w:numId w:val="55"/>
        </w:numPr>
        <w:tabs>
          <w:tab w:val="left" w:pos="2779"/>
        </w:tabs>
        <w:spacing w:before="129"/>
        <w:rPr>
          <w:sz w:val="20"/>
        </w:rPr>
      </w:pPr>
      <w:r>
        <w:rPr>
          <w:color w:val="4D4D4F"/>
          <w:spacing w:val="-3"/>
          <w:sz w:val="20"/>
        </w:rPr>
        <w:t xml:space="preserve">Truganina </w:t>
      </w:r>
      <w:r>
        <w:rPr>
          <w:color w:val="4D4D4F"/>
          <w:sz w:val="20"/>
        </w:rPr>
        <w:t>South Nature Conservation</w:t>
      </w:r>
      <w:r>
        <w:rPr>
          <w:color w:val="4D4D4F"/>
          <w:spacing w:val="24"/>
          <w:sz w:val="20"/>
        </w:rPr>
        <w:t xml:space="preserve"> </w:t>
      </w:r>
      <w:r>
        <w:rPr>
          <w:color w:val="4D4D4F"/>
          <w:sz w:val="20"/>
        </w:rPr>
        <w:t>Reserve</w:t>
      </w:r>
    </w:p>
    <w:p w14:paraId="3D278D94" w14:textId="77777777" w:rsidR="00EF5B27" w:rsidRDefault="00000000">
      <w:pPr>
        <w:pStyle w:val="ListParagraph"/>
        <w:numPr>
          <w:ilvl w:val="1"/>
          <w:numId w:val="55"/>
        </w:numPr>
        <w:tabs>
          <w:tab w:val="left" w:pos="2779"/>
        </w:tabs>
        <w:spacing w:before="129"/>
        <w:rPr>
          <w:sz w:val="20"/>
        </w:rPr>
      </w:pPr>
      <w:r>
        <w:rPr>
          <w:color w:val="4D4D4F"/>
          <w:sz w:val="20"/>
        </w:rPr>
        <w:t>Several private land parcels at Mount</w:t>
      </w:r>
      <w:r>
        <w:rPr>
          <w:color w:val="4D4D4F"/>
          <w:spacing w:val="28"/>
          <w:sz w:val="20"/>
        </w:rPr>
        <w:t xml:space="preserve"> </w:t>
      </w:r>
      <w:r>
        <w:rPr>
          <w:color w:val="4D4D4F"/>
          <w:sz w:val="20"/>
        </w:rPr>
        <w:t>Ridley</w:t>
      </w:r>
    </w:p>
    <w:p w14:paraId="316F49F9" w14:textId="77777777" w:rsidR="00EF5B27" w:rsidRDefault="00000000">
      <w:pPr>
        <w:pStyle w:val="ListParagraph"/>
        <w:numPr>
          <w:ilvl w:val="1"/>
          <w:numId w:val="55"/>
        </w:numPr>
        <w:tabs>
          <w:tab w:val="left" w:pos="2779"/>
        </w:tabs>
        <w:spacing w:before="129"/>
        <w:rPr>
          <w:sz w:val="20"/>
        </w:rPr>
      </w:pPr>
      <w:r>
        <w:rPr>
          <w:color w:val="4D4D4F"/>
          <w:sz w:val="20"/>
        </w:rPr>
        <w:t>The</w:t>
      </w:r>
      <w:r>
        <w:rPr>
          <w:color w:val="4D4D4F"/>
          <w:spacing w:val="5"/>
          <w:sz w:val="20"/>
        </w:rPr>
        <w:t xml:space="preserve"> </w:t>
      </w:r>
      <w:r>
        <w:rPr>
          <w:color w:val="4D4D4F"/>
          <w:sz w:val="20"/>
        </w:rPr>
        <w:t>creek</w:t>
      </w:r>
      <w:r>
        <w:rPr>
          <w:color w:val="4D4D4F"/>
          <w:spacing w:val="6"/>
          <w:sz w:val="20"/>
        </w:rPr>
        <w:t xml:space="preserve"> </w:t>
      </w:r>
      <w:r>
        <w:rPr>
          <w:color w:val="4D4D4F"/>
          <w:sz w:val="20"/>
        </w:rPr>
        <w:t>corridors</w:t>
      </w:r>
      <w:r>
        <w:rPr>
          <w:color w:val="4D4D4F"/>
          <w:spacing w:val="6"/>
          <w:sz w:val="20"/>
        </w:rPr>
        <w:t xml:space="preserve"> </w:t>
      </w:r>
      <w:r>
        <w:rPr>
          <w:color w:val="4D4D4F"/>
          <w:sz w:val="20"/>
        </w:rPr>
        <w:t>of</w:t>
      </w:r>
      <w:r>
        <w:rPr>
          <w:color w:val="4D4D4F"/>
          <w:spacing w:val="6"/>
          <w:sz w:val="20"/>
        </w:rPr>
        <w:t xml:space="preserve"> </w:t>
      </w:r>
      <w:r>
        <w:rPr>
          <w:color w:val="4D4D4F"/>
          <w:sz w:val="20"/>
        </w:rPr>
        <w:t>the</w:t>
      </w:r>
      <w:r>
        <w:rPr>
          <w:color w:val="4D4D4F"/>
          <w:spacing w:val="5"/>
          <w:sz w:val="20"/>
        </w:rPr>
        <w:t xml:space="preserve"> </w:t>
      </w:r>
      <w:r>
        <w:rPr>
          <w:color w:val="4D4D4F"/>
          <w:sz w:val="20"/>
        </w:rPr>
        <w:t>Merri,</w:t>
      </w:r>
      <w:r>
        <w:rPr>
          <w:color w:val="4D4D4F"/>
          <w:spacing w:val="6"/>
          <w:sz w:val="20"/>
        </w:rPr>
        <w:t xml:space="preserve"> </w:t>
      </w:r>
      <w:r>
        <w:rPr>
          <w:color w:val="4D4D4F"/>
          <w:sz w:val="20"/>
        </w:rPr>
        <w:t>Darebin,</w:t>
      </w:r>
      <w:r>
        <w:rPr>
          <w:color w:val="4D4D4F"/>
          <w:spacing w:val="6"/>
          <w:sz w:val="20"/>
        </w:rPr>
        <w:t xml:space="preserve"> </w:t>
      </w:r>
      <w:r>
        <w:rPr>
          <w:color w:val="4D4D4F"/>
          <w:sz w:val="20"/>
        </w:rPr>
        <w:t>Cardinia</w:t>
      </w:r>
      <w:r>
        <w:rPr>
          <w:color w:val="4D4D4F"/>
          <w:spacing w:val="6"/>
          <w:sz w:val="20"/>
        </w:rPr>
        <w:t xml:space="preserve"> </w:t>
      </w:r>
      <w:r>
        <w:rPr>
          <w:color w:val="4D4D4F"/>
          <w:sz w:val="20"/>
        </w:rPr>
        <w:t>and</w:t>
      </w:r>
      <w:r>
        <w:rPr>
          <w:color w:val="4D4D4F"/>
          <w:spacing w:val="6"/>
          <w:sz w:val="20"/>
        </w:rPr>
        <w:t xml:space="preserve"> </w:t>
      </w:r>
      <w:r>
        <w:rPr>
          <w:color w:val="4D4D4F"/>
          <w:sz w:val="20"/>
        </w:rPr>
        <w:t>Kororoit</w:t>
      </w:r>
      <w:r>
        <w:rPr>
          <w:color w:val="4D4D4F"/>
          <w:spacing w:val="5"/>
          <w:sz w:val="20"/>
        </w:rPr>
        <w:t xml:space="preserve"> </w:t>
      </w:r>
      <w:r>
        <w:rPr>
          <w:color w:val="4D4D4F"/>
          <w:sz w:val="20"/>
        </w:rPr>
        <w:t>creeks</w:t>
      </w:r>
    </w:p>
    <w:p w14:paraId="15759BD1" w14:textId="77777777" w:rsidR="00EF5B27" w:rsidRDefault="00000000">
      <w:pPr>
        <w:pStyle w:val="ListParagraph"/>
        <w:numPr>
          <w:ilvl w:val="1"/>
          <w:numId w:val="55"/>
        </w:numPr>
        <w:tabs>
          <w:tab w:val="left" w:pos="2779"/>
        </w:tabs>
        <w:spacing w:before="130" w:line="333" w:lineRule="auto"/>
        <w:ind w:right="440"/>
        <w:rPr>
          <w:sz w:val="20"/>
        </w:rPr>
      </w:pPr>
      <w:r>
        <w:rPr>
          <w:color w:val="4D4D4F"/>
          <w:sz w:val="20"/>
        </w:rPr>
        <w:t>100 sites across almost 60,000 ha in Melbourne’s south-east, including the Royal Botanic Gardens</w:t>
      </w:r>
      <w:r>
        <w:rPr>
          <w:color w:val="4D4D4F"/>
          <w:spacing w:val="8"/>
          <w:sz w:val="20"/>
        </w:rPr>
        <w:t xml:space="preserve"> </w:t>
      </w:r>
      <w:r>
        <w:rPr>
          <w:color w:val="4D4D4F"/>
          <w:sz w:val="20"/>
        </w:rPr>
        <w:t>Cranbourne.</w:t>
      </w:r>
    </w:p>
    <w:p w14:paraId="5BE769E8" w14:textId="77777777" w:rsidR="00EF5B27" w:rsidRDefault="00000000">
      <w:pPr>
        <w:pStyle w:val="Heading3"/>
        <w:spacing w:before="151"/>
      </w:pPr>
      <w:r>
        <w:rPr>
          <w:color w:val="F99F2A"/>
        </w:rPr>
        <w:t>Data source</w:t>
      </w:r>
    </w:p>
    <w:p w14:paraId="57D6BFF9" w14:textId="77777777" w:rsidR="00EF5B27" w:rsidRDefault="00000000">
      <w:pPr>
        <w:pStyle w:val="BodyText"/>
        <w:spacing w:before="222" w:line="254" w:lineRule="auto"/>
        <w:ind w:left="2608" w:right="221"/>
      </w:pPr>
      <w:r>
        <w:rPr>
          <w:color w:val="4D4D4F"/>
        </w:rPr>
        <w:t>This report presents data supplied by DELWP and Parks Victoria in relation to status and trend information against conservation outcomes for MNES defined in the MRF and published in the Victorian Government Gazette,</w:t>
      </w:r>
      <w:r>
        <w:rPr>
          <w:color w:val="4D4D4F"/>
          <w:position w:val="7"/>
          <w:sz w:val="11"/>
        </w:rPr>
        <w:t xml:space="preserve">32 </w:t>
      </w:r>
      <w:r>
        <w:rPr>
          <w:color w:val="4D4D4F"/>
        </w:rPr>
        <w:t>with the data acquisition period for this report ending on 28 February 2022.</w:t>
      </w:r>
    </w:p>
    <w:p w14:paraId="648F935D" w14:textId="77777777" w:rsidR="00EF5B27" w:rsidRDefault="00EF5B27">
      <w:pPr>
        <w:pStyle w:val="BodyText"/>
        <w:spacing w:before="3"/>
        <w:rPr>
          <w:sz w:val="19"/>
        </w:rPr>
      </w:pPr>
    </w:p>
    <w:p w14:paraId="731543CE" w14:textId="77777777" w:rsidR="00EF5B27" w:rsidRDefault="00000000">
      <w:pPr>
        <w:pStyle w:val="Heading3"/>
      </w:pPr>
      <w:r>
        <w:rPr>
          <w:color w:val="F99F2A"/>
          <w:w w:val="105"/>
        </w:rPr>
        <w:t>Status 2020–2022</w:t>
      </w:r>
    </w:p>
    <w:p w14:paraId="11D71AB1" w14:textId="77777777" w:rsidR="00EF5B27" w:rsidRDefault="00000000">
      <w:pPr>
        <w:pStyle w:val="BodyText"/>
        <w:spacing w:before="221" w:line="254" w:lineRule="auto"/>
        <w:ind w:left="2608"/>
      </w:pPr>
      <w:r>
        <w:rPr>
          <w:color w:val="4D4D4F"/>
          <w:w w:val="105"/>
        </w:rPr>
        <w:t>The</w:t>
      </w:r>
      <w:r>
        <w:rPr>
          <w:color w:val="4D4D4F"/>
          <w:spacing w:val="-18"/>
          <w:w w:val="105"/>
        </w:rPr>
        <w:t xml:space="preserve"> </w:t>
      </w:r>
      <w:r>
        <w:rPr>
          <w:color w:val="4D4D4F"/>
          <w:w w:val="105"/>
        </w:rPr>
        <w:t>status</w:t>
      </w:r>
      <w:r>
        <w:rPr>
          <w:color w:val="4D4D4F"/>
          <w:spacing w:val="-18"/>
          <w:w w:val="105"/>
        </w:rPr>
        <w:t xml:space="preserve"> </w:t>
      </w:r>
      <w:r>
        <w:rPr>
          <w:color w:val="4D4D4F"/>
          <w:w w:val="105"/>
        </w:rPr>
        <w:t>for</w:t>
      </w:r>
      <w:r>
        <w:rPr>
          <w:color w:val="4D4D4F"/>
          <w:spacing w:val="-18"/>
          <w:w w:val="105"/>
        </w:rPr>
        <w:t xml:space="preserve"> </w:t>
      </w:r>
      <w:r>
        <w:rPr>
          <w:color w:val="4D4D4F"/>
          <w:w w:val="105"/>
        </w:rPr>
        <w:t>each</w:t>
      </w:r>
      <w:r>
        <w:rPr>
          <w:color w:val="4D4D4F"/>
          <w:spacing w:val="-17"/>
          <w:w w:val="105"/>
        </w:rPr>
        <w:t xml:space="preserve"> </w:t>
      </w:r>
      <w:r>
        <w:rPr>
          <w:color w:val="4D4D4F"/>
          <w:w w:val="105"/>
        </w:rPr>
        <w:t>MNES</w:t>
      </w:r>
      <w:r>
        <w:rPr>
          <w:color w:val="4D4D4F"/>
          <w:spacing w:val="-18"/>
          <w:w w:val="105"/>
        </w:rPr>
        <w:t xml:space="preserve"> </w:t>
      </w:r>
      <w:r>
        <w:rPr>
          <w:color w:val="4D4D4F"/>
          <w:w w:val="105"/>
        </w:rPr>
        <w:t>conservation</w:t>
      </w:r>
      <w:r>
        <w:rPr>
          <w:color w:val="4D4D4F"/>
          <w:spacing w:val="-18"/>
          <w:w w:val="105"/>
        </w:rPr>
        <w:t xml:space="preserve"> </w:t>
      </w:r>
      <w:r>
        <w:rPr>
          <w:color w:val="4D4D4F"/>
          <w:w w:val="105"/>
        </w:rPr>
        <w:t>outcomes</w:t>
      </w:r>
      <w:r>
        <w:rPr>
          <w:color w:val="4D4D4F"/>
          <w:spacing w:val="-18"/>
          <w:w w:val="105"/>
        </w:rPr>
        <w:t xml:space="preserve"> </w:t>
      </w:r>
      <w:r>
        <w:rPr>
          <w:color w:val="4D4D4F"/>
          <w:w w:val="105"/>
        </w:rPr>
        <w:t>KPI</w:t>
      </w:r>
      <w:r>
        <w:rPr>
          <w:color w:val="4D4D4F"/>
          <w:spacing w:val="-17"/>
          <w:w w:val="105"/>
        </w:rPr>
        <w:t xml:space="preserve"> </w:t>
      </w:r>
      <w:r>
        <w:rPr>
          <w:color w:val="4D4D4F"/>
          <w:w w:val="105"/>
        </w:rPr>
        <w:t>is</w:t>
      </w:r>
      <w:r>
        <w:rPr>
          <w:color w:val="4D4D4F"/>
          <w:spacing w:val="-18"/>
          <w:w w:val="105"/>
        </w:rPr>
        <w:t xml:space="preserve"> </w:t>
      </w:r>
      <w:r>
        <w:rPr>
          <w:color w:val="4D4D4F"/>
          <w:w w:val="105"/>
        </w:rPr>
        <w:t>assessed</w:t>
      </w:r>
      <w:r>
        <w:rPr>
          <w:color w:val="4D4D4F"/>
          <w:spacing w:val="-18"/>
          <w:w w:val="105"/>
        </w:rPr>
        <w:t xml:space="preserve"> </w:t>
      </w:r>
      <w:r>
        <w:rPr>
          <w:color w:val="4D4D4F"/>
          <w:w w:val="105"/>
        </w:rPr>
        <w:t>as</w:t>
      </w:r>
      <w:r>
        <w:rPr>
          <w:color w:val="4D4D4F"/>
          <w:spacing w:val="-18"/>
          <w:w w:val="105"/>
        </w:rPr>
        <w:t xml:space="preserve"> </w:t>
      </w:r>
      <w:r>
        <w:rPr>
          <w:color w:val="4D4D4F"/>
          <w:w w:val="105"/>
        </w:rPr>
        <w:t>either</w:t>
      </w:r>
      <w:r>
        <w:rPr>
          <w:color w:val="4D4D4F"/>
          <w:spacing w:val="-17"/>
          <w:w w:val="105"/>
        </w:rPr>
        <w:t xml:space="preserve"> </w:t>
      </w:r>
      <w:r>
        <w:rPr>
          <w:color w:val="4D4D4F"/>
          <w:w w:val="105"/>
        </w:rPr>
        <w:t>‘Met’,</w:t>
      </w:r>
      <w:r>
        <w:rPr>
          <w:color w:val="4D4D4F"/>
          <w:spacing w:val="-18"/>
          <w:w w:val="105"/>
        </w:rPr>
        <w:t xml:space="preserve"> </w:t>
      </w:r>
      <w:r>
        <w:rPr>
          <w:color w:val="4D4D4F"/>
          <w:w w:val="105"/>
        </w:rPr>
        <w:t>‘Not met’</w:t>
      </w:r>
      <w:r>
        <w:rPr>
          <w:color w:val="4D4D4F"/>
          <w:spacing w:val="-16"/>
          <w:w w:val="105"/>
        </w:rPr>
        <w:t xml:space="preserve"> </w:t>
      </w:r>
      <w:r>
        <w:rPr>
          <w:color w:val="4D4D4F"/>
          <w:w w:val="105"/>
        </w:rPr>
        <w:t>or</w:t>
      </w:r>
      <w:r>
        <w:rPr>
          <w:color w:val="4D4D4F"/>
          <w:spacing w:val="-15"/>
          <w:w w:val="105"/>
        </w:rPr>
        <w:t xml:space="preserve"> </w:t>
      </w:r>
      <w:r>
        <w:rPr>
          <w:color w:val="4D4D4F"/>
          <w:w w:val="105"/>
        </w:rPr>
        <w:t>‘Not</w:t>
      </w:r>
      <w:r>
        <w:rPr>
          <w:color w:val="4D4D4F"/>
          <w:spacing w:val="-15"/>
          <w:w w:val="105"/>
        </w:rPr>
        <w:t xml:space="preserve"> </w:t>
      </w:r>
      <w:r>
        <w:rPr>
          <w:color w:val="4D4D4F"/>
          <w:w w:val="105"/>
        </w:rPr>
        <w:t>assessed’</w:t>
      </w:r>
      <w:r>
        <w:rPr>
          <w:color w:val="4D4D4F"/>
          <w:spacing w:val="-15"/>
          <w:w w:val="105"/>
        </w:rPr>
        <w:t xml:space="preserve"> </w:t>
      </w:r>
      <w:r>
        <w:rPr>
          <w:color w:val="4D4D4F"/>
          <w:w w:val="105"/>
        </w:rPr>
        <w:t>according</w:t>
      </w:r>
      <w:r>
        <w:rPr>
          <w:color w:val="4D4D4F"/>
          <w:spacing w:val="-15"/>
          <w:w w:val="105"/>
        </w:rPr>
        <w:t xml:space="preserve"> </w:t>
      </w:r>
      <w:r>
        <w:rPr>
          <w:color w:val="4D4D4F"/>
          <w:w w:val="105"/>
        </w:rPr>
        <w:t>to</w:t>
      </w:r>
      <w:r>
        <w:rPr>
          <w:color w:val="4D4D4F"/>
          <w:spacing w:val="-16"/>
          <w:w w:val="105"/>
        </w:rPr>
        <w:t xml:space="preserve"> </w:t>
      </w:r>
      <w:r>
        <w:rPr>
          <w:color w:val="4D4D4F"/>
          <w:w w:val="105"/>
        </w:rPr>
        <w:t>the</w:t>
      </w:r>
      <w:r>
        <w:rPr>
          <w:color w:val="4D4D4F"/>
          <w:spacing w:val="-15"/>
          <w:w w:val="105"/>
        </w:rPr>
        <w:t xml:space="preserve"> </w:t>
      </w:r>
      <w:r>
        <w:rPr>
          <w:color w:val="4D4D4F"/>
          <w:w w:val="105"/>
        </w:rPr>
        <w:t>objective</w:t>
      </w:r>
      <w:r>
        <w:rPr>
          <w:color w:val="4D4D4F"/>
          <w:spacing w:val="-15"/>
          <w:w w:val="105"/>
        </w:rPr>
        <w:t xml:space="preserve"> </w:t>
      </w:r>
      <w:r>
        <w:rPr>
          <w:color w:val="4D4D4F"/>
          <w:w w:val="105"/>
        </w:rPr>
        <w:t>defined</w:t>
      </w:r>
      <w:r>
        <w:rPr>
          <w:color w:val="4D4D4F"/>
          <w:spacing w:val="-15"/>
          <w:w w:val="105"/>
        </w:rPr>
        <w:t xml:space="preserve"> </w:t>
      </w:r>
      <w:r>
        <w:rPr>
          <w:color w:val="4D4D4F"/>
          <w:w w:val="105"/>
        </w:rPr>
        <w:t>by</w:t>
      </w:r>
      <w:r>
        <w:rPr>
          <w:color w:val="4D4D4F"/>
          <w:spacing w:val="-15"/>
          <w:w w:val="105"/>
        </w:rPr>
        <w:t xml:space="preserve"> </w:t>
      </w:r>
      <w:r>
        <w:rPr>
          <w:color w:val="4D4D4F"/>
          <w:w w:val="105"/>
        </w:rPr>
        <w:t>the</w:t>
      </w:r>
      <w:r>
        <w:rPr>
          <w:color w:val="4D4D4F"/>
          <w:spacing w:val="-16"/>
          <w:w w:val="105"/>
        </w:rPr>
        <w:t xml:space="preserve"> </w:t>
      </w:r>
      <w:r>
        <w:rPr>
          <w:color w:val="4D4D4F"/>
          <w:w w:val="105"/>
        </w:rPr>
        <w:t>KPI.</w:t>
      </w:r>
      <w:r>
        <w:rPr>
          <w:color w:val="4D4D4F"/>
          <w:spacing w:val="-15"/>
          <w:w w:val="105"/>
        </w:rPr>
        <w:t xml:space="preserve"> </w:t>
      </w:r>
      <w:r>
        <w:rPr>
          <w:color w:val="4D4D4F"/>
          <w:w w:val="105"/>
        </w:rPr>
        <w:t>For</w:t>
      </w:r>
      <w:r>
        <w:rPr>
          <w:color w:val="4D4D4F"/>
          <w:spacing w:val="-15"/>
          <w:w w:val="105"/>
        </w:rPr>
        <w:t xml:space="preserve"> </w:t>
      </w:r>
      <w:r>
        <w:rPr>
          <w:color w:val="4D4D4F"/>
          <w:w w:val="105"/>
        </w:rPr>
        <w:t>each</w:t>
      </w:r>
      <w:r>
        <w:rPr>
          <w:color w:val="4D4D4F"/>
          <w:spacing w:val="-15"/>
          <w:w w:val="105"/>
        </w:rPr>
        <w:t xml:space="preserve"> </w:t>
      </w:r>
      <w:r>
        <w:rPr>
          <w:color w:val="4D4D4F"/>
          <w:w w:val="105"/>
        </w:rPr>
        <w:t xml:space="preserve">MNES under MSA management, DELWP has created performance targets that determine these statuses. </w:t>
      </w:r>
      <w:r>
        <w:rPr>
          <w:color w:val="4D4D4F"/>
          <w:spacing w:val="-3"/>
          <w:w w:val="105"/>
        </w:rPr>
        <w:t xml:space="preserve">Targets </w:t>
      </w:r>
      <w:r>
        <w:rPr>
          <w:color w:val="4D4D4F"/>
          <w:w w:val="105"/>
        </w:rPr>
        <w:t xml:space="preserve">vary according to the characteristics of the species or community – </w:t>
      </w:r>
      <w:r>
        <w:rPr>
          <w:color w:val="4D4D4F"/>
          <w:spacing w:val="-3"/>
          <w:w w:val="105"/>
        </w:rPr>
        <w:t xml:space="preserve">however, </w:t>
      </w:r>
      <w:r>
        <w:rPr>
          <w:color w:val="4D4D4F"/>
          <w:w w:val="105"/>
        </w:rPr>
        <w:t>there are several consistent</w:t>
      </w:r>
      <w:r>
        <w:rPr>
          <w:color w:val="4D4D4F"/>
          <w:spacing w:val="-15"/>
          <w:w w:val="105"/>
        </w:rPr>
        <w:t xml:space="preserve"> </w:t>
      </w:r>
      <w:r>
        <w:rPr>
          <w:color w:val="4D4D4F"/>
          <w:w w:val="105"/>
        </w:rPr>
        <w:t>themes:</w:t>
      </w:r>
    </w:p>
    <w:p w14:paraId="0427BEAA" w14:textId="77777777" w:rsidR="00EF5B27" w:rsidRDefault="00000000">
      <w:pPr>
        <w:pStyle w:val="ListParagraph"/>
        <w:numPr>
          <w:ilvl w:val="1"/>
          <w:numId w:val="55"/>
        </w:numPr>
        <w:tabs>
          <w:tab w:val="left" w:pos="2779"/>
        </w:tabs>
        <w:spacing w:before="120" w:line="254" w:lineRule="auto"/>
        <w:ind w:right="300"/>
        <w:rPr>
          <w:sz w:val="20"/>
        </w:rPr>
      </w:pPr>
      <w:r>
        <w:rPr>
          <w:color w:val="4D4D4F"/>
          <w:sz w:val="20"/>
        </w:rPr>
        <w:t xml:space="preserve">most KPIs are assessed against a baseline, which sets the measure that the  relevant attribute must remain above </w:t>
      </w:r>
      <w:r>
        <w:rPr>
          <w:color w:val="4D4D4F"/>
          <w:spacing w:val="-3"/>
          <w:sz w:val="20"/>
        </w:rPr>
        <w:t xml:space="preserve">(for </w:t>
      </w:r>
      <w:r>
        <w:rPr>
          <w:color w:val="4D4D4F"/>
          <w:sz w:val="20"/>
        </w:rPr>
        <w:t xml:space="preserve">desirable attributes such as populations of threatened species) or below </w:t>
      </w:r>
      <w:r>
        <w:rPr>
          <w:color w:val="4D4D4F"/>
          <w:spacing w:val="-3"/>
          <w:sz w:val="20"/>
        </w:rPr>
        <w:t xml:space="preserve">(for </w:t>
      </w:r>
      <w:r>
        <w:rPr>
          <w:color w:val="4D4D4F"/>
          <w:sz w:val="20"/>
        </w:rPr>
        <w:t>undesirable attributes such as weeds).</w:t>
      </w:r>
      <w:r>
        <w:rPr>
          <w:color w:val="4D4D4F"/>
          <w:spacing w:val="5"/>
          <w:sz w:val="20"/>
        </w:rPr>
        <w:t xml:space="preserve"> </w:t>
      </w:r>
      <w:r>
        <w:rPr>
          <w:color w:val="4D4D4F"/>
          <w:sz w:val="20"/>
        </w:rPr>
        <w:t>In</w:t>
      </w:r>
    </w:p>
    <w:p w14:paraId="03CA2261" w14:textId="77777777" w:rsidR="00EF5B27" w:rsidRDefault="00000000">
      <w:pPr>
        <w:pStyle w:val="BodyText"/>
        <w:spacing w:before="3" w:line="254" w:lineRule="auto"/>
        <w:ind w:left="2778" w:right="151"/>
      </w:pPr>
      <w:r>
        <w:rPr>
          <w:color w:val="4D4D4F"/>
        </w:rPr>
        <w:t>all such cases, the KPI is not met once the 95% confidence interval on the measure fails to meet the baseline.</w:t>
      </w:r>
    </w:p>
    <w:p w14:paraId="7C959390" w14:textId="77777777" w:rsidR="00EF5B27" w:rsidRDefault="00000000">
      <w:pPr>
        <w:pStyle w:val="ListParagraph"/>
        <w:numPr>
          <w:ilvl w:val="1"/>
          <w:numId w:val="55"/>
        </w:numPr>
        <w:tabs>
          <w:tab w:val="left" w:pos="2779"/>
        </w:tabs>
        <w:spacing w:before="116" w:line="254" w:lineRule="auto"/>
        <w:ind w:right="290"/>
        <w:rPr>
          <w:sz w:val="20"/>
        </w:rPr>
      </w:pPr>
      <w:r>
        <w:rPr>
          <w:color w:val="4D4D4F"/>
          <w:sz w:val="20"/>
        </w:rPr>
        <w:t xml:space="preserve">all baseline values that are derived from means </w:t>
      </w:r>
      <w:r>
        <w:rPr>
          <w:color w:val="4D4D4F"/>
          <w:spacing w:val="-3"/>
          <w:sz w:val="20"/>
        </w:rPr>
        <w:t xml:space="preserve">(for </w:t>
      </w:r>
      <w:r>
        <w:rPr>
          <w:color w:val="4D4D4F"/>
          <w:sz w:val="20"/>
        </w:rPr>
        <w:t>percentage cover and species counts) are rounded to the nearest whole</w:t>
      </w:r>
      <w:r>
        <w:rPr>
          <w:color w:val="4D4D4F"/>
          <w:spacing w:val="25"/>
          <w:sz w:val="20"/>
        </w:rPr>
        <w:t xml:space="preserve"> </w:t>
      </w:r>
      <w:r>
        <w:rPr>
          <w:color w:val="4D4D4F"/>
          <w:spacing w:val="-3"/>
          <w:sz w:val="20"/>
        </w:rPr>
        <w:t>number.</w:t>
      </w:r>
    </w:p>
    <w:p w14:paraId="114B0196" w14:textId="77777777" w:rsidR="00EF5B27" w:rsidRDefault="00EF5B27">
      <w:pPr>
        <w:pStyle w:val="BodyText"/>
      </w:pPr>
    </w:p>
    <w:p w14:paraId="05889E27" w14:textId="77777777" w:rsidR="00EF5B27" w:rsidRDefault="00EF5B27">
      <w:pPr>
        <w:pStyle w:val="BodyText"/>
      </w:pPr>
    </w:p>
    <w:p w14:paraId="6527FCA8" w14:textId="77777777" w:rsidR="00EF5B27" w:rsidRDefault="00EF5B27">
      <w:pPr>
        <w:pStyle w:val="BodyText"/>
      </w:pPr>
    </w:p>
    <w:p w14:paraId="4A14A59A" w14:textId="77777777" w:rsidR="00EF5B27" w:rsidRDefault="00000000">
      <w:pPr>
        <w:pStyle w:val="BodyText"/>
        <w:spacing w:before="5"/>
        <w:rPr>
          <w:sz w:val="29"/>
        </w:rPr>
      </w:pPr>
      <w:r>
        <w:pict w14:anchorId="12AB6A87">
          <v:line id="_x0000_s4293" style="position:absolute;z-index:251331072;mso-wrap-distance-left:0;mso-wrap-distance-right:0;mso-position-horizontal-relative:page" from="181.4pt,20.2pt" to="538.6pt,20.2pt" strokecolor="#4d4d4f" strokeweight=".5pt">
            <w10:wrap type="topAndBottom" anchorx="page"/>
          </v:line>
        </w:pict>
      </w:r>
    </w:p>
    <w:p w14:paraId="1521E65B" w14:textId="77777777" w:rsidR="00EF5B27" w:rsidRDefault="00000000">
      <w:pPr>
        <w:pStyle w:val="ListParagraph"/>
        <w:numPr>
          <w:ilvl w:val="0"/>
          <w:numId w:val="65"/>
        </w:numPr>
        <w:tabs>
          <w:tab w:val="left" w:pos="2836"/>
        </w:tabs>
        <w:spacing w:before="88" w:line="230" w:lineRule="auto"/>
        <w:ind w:right="111"/>
        <w:jc w:val="both"/>
        <w:rPr>
          <w:sz w:val="12"/>
        </w:rPr>
      </w:pPr>
      <w:r>
        <w:rPr>
          <w:color w:val="4D4D4F"/>
          <w:sz w:val="12"/>
        </w:rPr>
        <w:t xml:space="preserve">State Government of Victoria </w:t>
      </w:r>
      <w:r>
        <w:rPr>
          <w:color w:val="4D4D4F"/>
          <w:spacing w:val="2"/>
          <w:sz w:val="12"/>
        </w:rPr>
        <w:t xml:space="preserve">2022, </w:t>
      </w:r>
      <w:r>
        <w:rPr>
          <w:color w:val="4D4D4F"/>
          <w:sz w:val="12"/>
        </w:rPr>
        <w:t xml:space="preserve">Victorian Government Gazette, Issue </w:t>
      </w:r>
      <w:r>
        <w:rPr>
          <w:color w:val="4D4D4F"/>
          <w:spacing w:val="2"/>
          <w:sz w:val="12"/>
        </w:rPr>
        <w:t xml:space="preserve">G4, </w:t>
      </w:r>
      <w:r>
        <w:rPr>
          <w:color w:val="4D4D4F"/>
          <w:sz w:val="12"/>
        </w:rPr>
        <w:t xml:space="preserve">‘Melbourne Strategic Assessment (Environment Mitigation Levy) </w:t>
      </w:r>
      <w:r>
        <w:rPr>
          <w:color w:val="4D4D4F"/>
          <w:spacing w:val="2"/>
          <w:sz w:val="12"/>
        </w:rPr>
        <w:t xml:space="preserve">Act 2020 </w:t>
      </w:r>
      <w:r>
        <w:rPr>
          <w:color w:val="4D4D4F"/>
          <w:sz w:val="12"/>
        </w:rPr>
        <w:t xml:space="preserve">– Notice of the </w:t>
      </w:r>
      <w:r>
        <w:rPr>
          <w:color w:val="4D4D4F"/>
          <w:spacing w:val="2"/>
          <w:sz w:val="12"/>
        </w:rPr>
        <w:t xml:space="preserve">Conservation </w:t>
      </w:r>
      <w:r>
        <w:rPr>
          <w:color w:val="4D4D4F"/>
          <w:sz w:val="12"/>
        </w:rPr>
        <w:t>Outcomes’,</w:t>
      </w:r>
      <w:r>
        <w:rPr>
          <w:color w:val="F36A2E"/>
          <w:sz w:val="12"/>
        </w:rPr>
        <w:t xml:space="preserve"> </w:t>
      </w:r>
      <w:hyperlink r:id="rId68">
        <w:r>
          <w:rPr>
            <w:color w:val="F36A2E"/>
            <w:sz w:val="12"/>
            <w:u w:val="single" w:color="F36A2E"/>
          </w:rPr>
          <w:t>http://www.gazette.vic.gov.au/gazette/Gazettes2022/GG2022G004.pd</w:t>
        </w:r>
        <w:r>
          <w:rPr>
            <w:color w:val="F36A2E"/>
            <w:sz w:val="12"/>
          </w:rPr>
          <w:t xml:space="preserve">f </w:t>
        </w:r>
      </w:hyperlink>
      <w:r>
        <w:rPr>
          <w:color w:val="4D4D4F"/>
          <w:spacing w:val="2"/>
          <w:sz w:val="12"/>
        </w:rPr>
        <w:t xml:space="preserve">Accessed </w:t>
      </w:r>
      <w:r>
        <w:rPr>
          <w:color w:val="4D4D4F"/>
          <w:sz w:val="12"/>
        </w:rPr>
        <w:t>27 January</w:t>
      </w:r>
      <w:r>
        <w:rPr>
          <w:color w:val="4D4D4F"/>
          <w:spacing w:val="4"/>
          <w:sz w:val="12"/>
        </w:rPr>
        <w:t xml:space="preserve"> </w:t>
      </w:r>
      <w:r>
        <w:rPr>
          <w:color w:val="4D4D4F"/>
          <w:spacing w:val="2"/>
          <w:sz w:val="12"/>
        </w:rPr>
        <w:t>2022.</w:t>
      </w:r>
    </w:p>
    <w:p w14:paraId="508EE9A1" w14:textId="77777777" w:rsidR="00EF5B27" w:rsidRDefault="00EF5B27">
      <w:pPr>
        <w:spacing w:line="230" w:lineRule="auto"/>
        <w:jc w:val="both"/>
        <w:rPr>
          <w:sz w:val="12"/>
        </w:rPr>
        <w:sectPr w:rsidR="00EF5B27">
          <w:pgSz w:w="11910" w:h="16840"/>
          <w:pgMar w:top="1080" w:right="1020" w:bottom="860" w:left="1020" w:header="537" w:footer="678" w:gutter="0"/>
          <w:cols w:space="720"/>
        </w:sectPr>
      </w:pPr>
    </w:p>
    <w:p w14:paraId="15A5A4A6" w14:textId="77777777" w:rsidR="00EF5B27" w:rsidRDefault="00000000">
      <w:pPr>
        <w:pStyle w:val="BodyText"/>
      </w:pPr>
      <w:r>
        <w:lastRenderedPageBreak/>
        <w:pict w14:anchorId="55227D8E">
          <v:group id="_x0000_s4285" style="position:absolute;margin-left:587.05pt;margin-top:183.4pt;width:8.25pt;height:153.1pt;z-index:251404800;mso-position-horizontal-relative:page;mso-position-vertical-relative:page" coordorigin="11741,3668" coordsize="165,3062">
            <v:shape id="_x0000_s4292" style="position:absolute;left:11741;top:3668;width:165;height:561" coordorigin="11741,3668" coordsize="165,561" path="m11906,3668r-165,l11741,4228r165,-18l11906,3668xe" fillcolor="#00aed9" stroked="f">
              <v:path arrowok="t"/>
            </v:shape>
            <v:shape id="_x0000_s4291" style="position:absolute;left:11741;top:4118;width:165;height:425" coordorigin="11741,4118" coordsize="165,425" path="m11906,4118r-165,14l11741,4531r165,12l11906,4118xe" fillcolor="#047ebc" stroked="f">
              <v:path arrowok="t"/>
            </v:shape>
            <v:shape id="_x0000_s4290" type="#_x0000_t75" style="position:absolute;left:11741;top:4355;width:165;height:587">
              <v:imagedata r:id="rId42" o:title=""/>
            </v:shape>
            <v:shape id="_x0000_s4289" style="position:absolute;left:11741;top:5343;width:165;height:536" coordorigin="11741,5343" coordsize="165,536" path="m11741,5343r,535l11906,5872r,-525l11741,5343xe" fillcolor="#f36a2e" stroked="f">
              <v:path arrowok="t"/>
            </v:shape>
            <v:shape id="_x0000_s4288" style="position:absolute;left:11741;top:4925;width:165;height:501" coordorigin="11741,4926" coordsize="165,501" path="m11741,4926r,500l11906,5426r,-485l11741,4926xe" fillcolor="#49783f" stroked="f">
              <v:path arrowok="t"/>
            </v:shape>
            <v:shape id="_x0000_s4287" style="position:absolute;left:11741;top:5781;width:165;height:268" coordorigin="11741,5782" coordsize="165,268" path="m11906,5782r-165,8l11741,6039r165,10l11906,5782xe" fillcolor="#f99f2a" stroked="f">
              <v:path arrowok="t"/>
            </v:shape>
            <v:shape id="_x0000_s4286" style="position:absolute;left:11741;top:6023;width:165;height:707" coordorigin="11741,6023" coordsize="165,707" path="m11741,6023r,706l11906,6729r,-690l11741,6023xe" fillcolor="#ef412c" stroked="f">
              <v:path arrowok="t"/>
            </v:shape>
            <w10:wrap anchorx="page" anchory="page"/>
          </v:group>
        </w:pict>
      </w:r>
    </w:p>
    <w:p w14:paraId="0EAA4202" w14:textId="77777777" w:rsidR="00EF5B27" w:rsidRDefault="00EF5B27">
      <w:pPr>
        <w:pStyle w:val="BodyText"/>
      </w:pPr>
    </w:p>
    <w:p w14:paraId="34B30811" w14:textId="77777777" w:rsidR="00EF5B27" w:rsidRDefault="00EF5B27">
      <w:pPr>
        <w:pStyle w:val="BodyText"/>
      </w:pPr>
    </w:p>
    <w:p w14:paraId="534936A3" w14:textId="77777777" w:rsidR="00EF5B27" w:rsidRDefault="00EF5B27">
      <w:pPr>
        <w:pStyle w:val="BodyText"/>
        <w:spacing w:before="4"/>
        <w:rPr>
          <w:sz w:val="25"/>
        </w:rPr>
      </w:pPr>
    </w:p>
    <w:p w14:paraId="3AC1E97A" w14:textId="77777777" w:rsidR="00EF5B27" w:rsidRDefault="00000000">
      <w:pPr>
        <w:pStyle w:val="BodyText"/>
        <w:spacing w:before="100" w:line="254" w:lineRule="auto"/>
        <w:ind w:left="2608"/>
      </w:pPr>
      <w:r>
        <w:rPr>
          <w:color w:val="4D4D4F"/>
        </w:rPr>
        <w:t>In most cases, baselines are set by the conditions at the commencement of monitoring. This means that the target is to maintain or improve on what was present when MSA management commenced. In these cases, the baseline is calculated not from the first survey, but from the mean of the first five years of monitoring data. This approach is intended to dampen fluctuations between monitoring periods that are not related to management or long-term success (e.g. fluctuations in vegetation cover due to recent fires, or responses by animals to weather conditions).</w:t>
      </w:r>
    </w:p>
    <w:p w14:paraId="3C26B421" w14:textId="77777777" w:rsidR="00EF5B27" w:rsidRDefault="00000000">
      <w:pPr>
        <w:pStyle w:val="BodyText"/>
        <w:spacing w:before="122" w:line="254" w:lineRule="auto"/>
        <w:ind w:left="2608" w:right="151"/>
      </w:pPr>
      <w:r>
        <w:rPr>
          <w:color w:val="4D4D4F"/>
        </w:rPr>
        <w:t>A continuous improvement approach applies to some KPIs, which DELWP has designed to encourage positive outcomes (‘maintain gains’) for MNES. In these cases, if the measured mean in a five-yearly reporting cycle is an improvement from the baseline, the measured mean sets a new target for the next five-year reporting period. DELWP states that this approach is beneficial for measures where the most desirable outcome is always ‘complete removal’ (e.g. weeds) or ‘as high as possible’ (e.g. abundance of</w:t>
      </w:r>
    </w:p>
    <w:p w14:paraId="33D9226B" w14:textId="77777777" w:rsidR="00EF5B27" w:rsidRDefault="00000000">
      <w:pPr>
        <w:pStyle w:val="BodyText"/>
        <w:spacing w:before="8" w:line="254" w:lineRule="auto"/>
        <w:ind w:left="2608" w:right="465"/>
      </w:pPr>
      <w:r>
        <w:rPr>
          <w:color w:val="4D4D4F"/>
        </w:rPr>
        <w:t>a listed species). For other KPIs, the baseline is set and does not change, regardless  of the results. Such set baselines are considered appropriate in cases where the attribute is desired at moderate levels. For example, it is desirable for the cover of Kangaroo Grass in Natural Temperate Grasslands to be maintained within a range,  so a continuous improvement model is not</w:t>
      </w:r>
      <w:r>
        <w:rPr>
          <w:color w:val="4D4D4F"/>
          <w:spacing w:val="23"/>
        </w:rPr>
        <w:t xml:space="preserve"> </w:t>
      </w:r>
      <w:r>
        <w:rPr>
          <w:color w:val="4D4D4F"/>
        </w:rPr>
        <w:t>appropriate.</w:t>
      </w:r>
    </w:p>
    <w:p w14:paraId="2C0A20D7" w14:textId="77777777" w:rsidR="00EF5B27" w:rsidRDefault="00000000">
      <w:pPr>
        <w:pStyle w:val="BodyText"/>
        <w:spacing w:before="119" w:line="254" w:lineRule="auto"/>
        <w:ind w:left="2608" w:right="118"/>
        <w:jc w:val="both"/>
      </w:pPr>
      <w:r>
        <w:rPr>
          <w:color w:val="4D4D4F"/>
        </w:rPr>
        <w:t>There are exceptions to these general approaches, which are based on considerations of the ecology and survey techniques applicable to the measure in question. These are described and explained in the</w:t>
      </w:r>
      <w:r>
        <w:rPr>
          <w:color w:val="4D4D4F"/>
          <w:spacing w:val="19"/>
        </w:rPr>
        <w:t xml:space="preserve"> </w:t>
      </w:r>
      <w:r>
        <w:rPr>
          <w:color w:val="4D4D4F"/>
          <w:spacing w:val="-5"/>
        </w:rPr>
        <w:t>MRF.</w:t>
      </w:r>
    </w:p>
    <w:p w14:paraId="1B9A93E7" w14:textId="77777777" w:rsidR="00EF5B27" w:rsidRDefault="00000000">
      <w:pPr>
        <w:pStyle w:val="BodyText"/>
        <w:spacing w:before="117"/>
        <w:ind w:left="2608"/>
      </w:pPr>
      <w:r>
        <w:rPr>
          <w:color w:val="4D4D4F"/>
          <w:spacing w:val="-4"/>
          <w:w w:val="105"/>
        </w:rPr>
        <w:t>Many</w:t>
      </w:r>
      <w:r>
        <w:rPr>
          <w:color w:val="4D4D4F"/>
          <w:spacing w:val="-17"/>
          <w:w w:val="105"/>
        </w:rPr>
        <w:t xml:space="preserve"> </w:t>
      </w:r>
      <w:r>
        <w:rPr>
          <w:color w:val="4D4D4F"/>
          <w:spacing w:val="-3"/>
          <w:w w:val="105"/>
        </w:rPr>
        <w:t>KPIs</w:t>
      </w:r>
      <w:r>
        <w:rPr>
          <w:color w:val="4D4D4F"/>
          <w:spacing w:val="-17"/>
          <w:w w:val="105"/>
        </w:rPr>
        <w:t xml:space="preserve"> </w:t>
      </w:r>
      <w:r>
        <w:rPr>
          <w:color w:val="4D4D4F"/>
          <w:w w:val="105"/>
        </w:rPr>
        <w:t>are</w:t>
      </w:r>
      <w:r>
        <w:rPr>
          <w:color w:val="4D4D4F"/>
          <w:spacing w:val="-17"/>
          <w:w w:val="105"/>
        </w:rPr>
        <w:t xml:space="preserve"> </w:t>
      </w:r>
      <w:r>
        <w:rPr>
          <w:color w:val="4D4D4F"/>
          <w:spacing w:val="-3"/>
          <w:w w:val="105"/>
        </w:rPr>
        <w:t>currently</w:t>
      </w:r>
      <w:r>
        <w:rPr>
          <w:color w:val="4D4D4F"/>
          <w:spacing w:val="-17"/>
          <w:w w:val="105"/>
        </w:rPr>
        <w:t xml:space="preserve"> </w:t>
      </w:r>
      <w:r>
        <w:rPr>
          <w:color w:val="4D4D4F"/>
          <w:spacing w:val="-4"/>
          <w:w w:val="105"/>
        </w:rPr>
        <w:t>unable</w:t>
      </w:r>
      <w:r>
        <w:rPr>
          <w:color w:val="4D4D4F"/>
          <w:spacing w:val="-17"/>
          <w:w w:val="105"/>
        </w:rPr>
        <w:t xml:space="preserve"> </w:t>
      </w:r>
      <w:r>
        <w:rPr>
          <w:color w:val="4D4D4F"/>
          <w:spacing w:val="-3"/>
          <w:w w:val="105"/>
        </w:rPr>
        <w:t>to</w:t>
      </w:r>
      <w:r>
        <w:rPr>
          <w:color w:val="4D4D4F"/>
          <w:spacing w:val="-17"/>
          <w:w w:val="105"/>
        </w:rPr>
        <w:t xml:space="preserve"> </w:t>
      </w:r>
      <w:r>
        <w:rPr>
          <w:color w:val="4D4D4F"/>
          <w:w w:val="105"/>
        </w:rPr>
        <w:t>be</w:t>
      </w:r>
      <w:r>
        <w:rPr>
          <w:color w:val="4D4D4F"/>
          <w:spacing w:val="-17"/>
          <w:w w:val="105"/>
        </w:rPr>
        <w:t xml:space="preserve"> </w:t>
      </w:r>
      <w:r>
        <w:rPr>
          <w:color w:val="4D4D4F"/>
          <w:spacing w:val="-3"/>
          <w:w w:val="105"/>
        </w:rPr>
        <w:t>assessed,</w:t>
      </w:r>
      <w:r>
        <w:rPr>
          <w:color w:val="4D4D4F"/>
          <w:spacing w:val="-17"/>
          <w:w w:val="105"/>
        </w:rPr>
        <w:t xml:space="preserve"> </w:t>
      </w:r>
      <w:r>
        <w:rPr>
          <w:color w:val="4D4D4F"/>
          <w:spacing w:val="-3"/>
          <w:w w:val="105"/>
        </w:rPr>
        <w:t>the</w:t>
      </w:r>
      <w:r>
        <w:rPr>
          <w:color w:val="4D4D4F"/>
          <w:spacing w:val="-17"/>
          <w:w w:val="105"/>
        </w:rPr>
        <w:t xml:space="preserve"> </w:t>
      </w:r>
      <w:r>
        <w:rPr>
          <w:color w:val="4D4D4F"/>
          <w:spacing w:val="-3"/>
          <w:w w:val="105"/>
        </w:rPr>
        <w:t>reasons</w:t>
      </w:r>
      <w:r>
        <w:rPr>
          <w:color w:val="4D4D4F"/>
          <w:spacing w:val="-17"/>
          <w:w w:val="105"/>
        </w:rPr>
        <w:t xml:space="preserve"> </w:t>
      </w:r>
      <w:r>
        <w:rPr>
          <w:color w:val="4D4D4F"/>
          <w:spacing w:val="-3"/>
          <w:w w:val="105"/>
        </w:rPr>
        <w:t>for</w:t>
      </w:r>
      <w:r>
        <w:rPr>
          <w:color w:val="4D4D4F"/>
          <w:spacing w:val="-17"/>
          <w:w w:val="105"/>
        </w:rPr>
        <w:t xml:space="preserve"> </w:t>
      </w:r>
      <w:r>
        <w:rPr>
          <w:color w:val="4D4D4F"/>
          <w:spacing w:val="-3"/>
          <w:w w:val="105"/>
        </w:rPr>
        <w:t>which</w:t>
      </w:r>
      <w:r>
        <w:rPr>
          <w:color w:val="4D4D4F"/>
          <w:spacing w:val="-17"/>
          <w:w w:val="105"/>
        </w:rPr>
        <w:t xml:space="preserve"> </w:t>
      </w:r>
      <w:r>
        <w:rPr>
          <w:color w:val="4D4D4F"/>
          <w:w w:val="105"/>
        </w:rPr>
        <w:t>are</w:t>
      </w:r>
      <w:r>
        <w:rPr>
          <w:color w:val="4D4D4F"/>
          <w:spacing w:val="-17"/>
          <w:w w:val="105"/>
        </w:rPr>
        <w:t xml:space="preserve"> </w:t>
      </w:r>
      <w:r>
        <w:rPr>
          <w:color w:val="4D4D4F"/>
          <w:spacing w:val="-4"/>
          <w:w w:val="105"/>
        </w:rPr>
        <w:t>outlined</w:t>
      </w:r>
      <w:r>
        <w:rPr>
          <w:color w:val="4D4D4F"/>
          <w:spacing w:val="-17"/>
          <w:w w:val="105"/>
        </w:rPr>
        <w:t xml:space="preserve"> </w:t>
      </w:r>
      <w:r>
        <w:rPr>
          <w:color w:val="4D4D4F"/>
          <w:spacing w:val="-4"/>
          <w:w w:val="105"/>
        </w:rPr>
        <w:t>below.</w:t>
      </w:r>
    </w:p>
    <w:p w14:paraId="1428B673" w14:textId="77777777" w:rsidR="00EF5B27" w:rsidRDefault="00EF5B27">
      <w:pPr>
        <w:pStyle w:val="BodyText"/>
        <w:spacing w:before="2"/>
      </w:pPr>
    </w:p>
    <w:p w14:paraId="78EC0FB9" w14:textId="77777777" w:rsidR="00EF5B27" w:rsidRDefault="00000000">
      <w:pPr>
        <w:pStyle w:val="Heading3"/>
      </w:pPr>
      <w:r>
        <w:rPr>
          <w:color w:val="F99F2A"/>
        </w:rPr>
        <w:t>Reason for non-assessment</w:t>
      </w:r>
    </w:p>
    <w:p w14:paraId="13242405" w14:textId="77777777" w:rsidR="00EF5B27" w:rsidRDefault="00000000">
      <w:pPr>
        <w:pStyle w:val="BodyText"/>
        <w:spacing w:before="222" w:line="254" w:lineRule="auto"/>
        <w:ind w:left="2608"/>
      </w:pPr>
      <w:r>
        <w:rPr>
          <w:color w:val="4D4D4F"/>
          <w:w w:val="105"/>
        </w:rPr>
        <w:t>For</w:t>
      </w:r>
      <w:r>
        <w:rPr>
          <w:color w:val="4D4D4F"/>
          <w:spacing w:val="-12"/>
          <w:w w:val="105"/>
        </w:rPr>
        <w:t xml:space="preserve"> </w:t>
      </w:r>
      <w:r>
        <w:rPr>
          <w:color w:val="4D4D4F"/>
          <w:w w:val="105"/>
        </w:rPr>
        <w:t>many</w:t>
      </w:r>
      <w:r>
        <w:rPr>
          <w:color w:val="4D4D4F"/>
          <w:spacing w:val="-12"/>
          <w:w w:val="105"/>
        </w:rPr>
        <w:t xml:space="preserve"> </w:t>
      </w:r>
      <w:r>
        <w:rPr>
          <w:color w:val="4D4D4F"/>
          <w:w w:val="105"/>
        </w:rPr>
        <w:t>of</w:t>
      </w:r>
      <w:r>
        <w:rPr>
          <w:color w:val="4D4D4F"/>
          <w:spacing w:val="-12"/>
          <w:w w:val="105"/>
        </w:rPr>
        <w:t xml:space="preserve"> </w:t>
      </w:r>
      <w:r>
        <w:rPr>
          <w:color w:val="4D4D4F"/>
          <w:w w:val="105"/>
        </w:rPr>
        <w:t>the</w:t>
      </w:r>
      <w:r>
        <w:rPr>
          <w:color w:val="4D4D4F"/>
          <w:spacing w:val="-12"/>
          <w:w w:val="105"/>
        </w:rPr>
        <w:t xml:space="preserve"> </w:t>
      </w:r>
      <w:r>
        <w:rPr>
          <w:color w:val="4D4D4F"/>
          <w:w w:val="105"/>
        </w:rPr>
        <w:t>KPIs</w:t>
      </w:r>
      <w:r>
        <w:rPr>
          <w:color w:val="4D4D4F"/>
          <w:spacing w:val="-12"/>
          <w:w w:val="105"/>
        </w:rPr>
        <w:t xml:space="preserve"> </w:t>
      </w:r>
      <w:r>
        <w:rPr>
          <w:color w:val="4D4D4F"/>
          <w:w w:val="105"/>
        </w:rPr>
        <w:t>an</w:t>
      </w:r>
      <w:r>
        <w:rPr>
          <w:color w:val="4D4D4F"/>
          <w:spacing w:val="-12"/>
          <w:w w:val="105"/>
        </w:rPr>
        <w:t xml:space="preserve"> </w:t>
      </w:r>
      <w:r>
        <w:rPr>
          <w:color w:val="4D4D4F"/>
          <w:w w:val="105"/>
        </w:rPr>
        <w:t>assessment</w:t>
      </w:r>
      <w:r>
        <w:rPr>
          <w:color w:val="4D4D4F"/>
          <w:spacing w:val="-12"/>
          <w:w w:val="105"/>
        </w:rPr>
        <w:t xml:space="preserve"> </w:t>
      </w:r>
      <w:r>
        <w:rPr>
          <w:color w:val="4D4D4F"/>
          <w:w w:val="105"/>
        </w:rPr>
        <w:t>was</w:t>
      </w:r>
      <w:r>
        <w:rPr>
          <w:color w:val="4D4D4F"/>
          <w:spacing w:val="-12"/>
          <w:w w:val="105"/>
        </w:rPr>
        <w:t xml:space="preserve"> </w:t>
      </w:r>
      <w:r>
        <w:rPr>
          <w:color w:val="4D4D4F"/>
          <w:w w:val="105"/>
        </w:rPr>
        <w:t>unable</w:t>
      </w:r>
      <w:r>
        <w:rPr>
          <w:color w:val="4D4D4F"/>
          <w:spacing w:val="-12"/>
          <w:w w:val="105"/>
        </w:rPr>
        <w:t xml:space="preserve"> </w:t>
      </w:r>
      <w:r>
        <w:rPr>
          <w:color w:val="4D4D4F"/>
          <w:w w:val="105"/>
        </w:rPr>
        <w:t>to</w:t>
      </w:r>
      <w:r>
        <w:rPr>
          <w:color w:val="4D4D4F"/>
          <w:spacing w:val="-12"/>
          <w:w w:val="105"/>
        </w:rPr>
        <w:t xml:space="preserve"> </w:t>
      </w:r>
      <w:r>
        <w:rPr>
          <w:color w:val="4D4D4F"/>
          <w:w w:val="105"/>
        </w:rPr>
        <w:t>be</w:t>
      </w:r>
      <w:r>
        <w:rPr>
          <w:color w:val="4D4D4F"/>
          <w:spacing w:val="-12"/>
          <w:w w:val="105"/>
        </w:rPr>
        <w:t xml:space="preserve"> </w:t>
      </w:r>
      <w:r>
        <w:rPr>
          <w:color w:val="4D4D4F"/>
          <w:w w:val="105"/>
        </w:rPr>
        <w:t>made,</w:t>
      </w:r>
      <w:r>
        <w:rPr>
          <w:color w:val="4D4D4F"/>
          <w:spacing w:val="-12"/>
          <w:w w:val="105"/>
        </w:rPr>
        <w:t xml:space="preserve"> </w:t>
      </w:r>
      <w:r>
        <w:rPr>
          <w:color w:val="4D4D4F"/>
          <w:w w:val="105"/>
        </w:rPr>
        <w:t>with</w:t>
      </w:r>
      <w:r>
        <w:rPr>
          <w:color w:val="4D4D4F"/>
          <w:spacing w:val="-12"/>
          <w:w w:val="105"/>
        </w:rPr>
        <w:t xml:space="preserve"> </w:t>
      </w:r>
      <w:r>
        <w:rPr>
          <w:color w:val="4D4D4F"/>
          <w:w w:val="105"/>
        </w:rPr>
        <w:t>reasons</w:t>
      </w:r>
      <w:r>
        <w:rPr>
          <w:color w:val="4D4D4F"/>
          <w:spacing w:val="-12"/>
          <w:w w:val="105"/>
        </w:rPr>
        <w:t xml:space="preserve"> </w:t>
      </w:r>
      <w:r>
        <w:rPr>
          <w:color w:val="4D4D4F"/>
          <w:w w:val="105"/>
        </w:rPr>
        <w:t>for</w:t>
      </w:r>
      <w:r>
        <w:rPr>
          <w:color w:val="4D4D4F"/>
          <w:spacing w:val="-12"/>
          <w:w w:val="105"/>
        </w:rPr>
        <w:t xml:space="preserve"> </w:t>
      </w:r>
      <w:r>
        <w:rPr>
          <w:color w:val="4D4D4F"/>
          <w:w w:val="105"/>
        </w:rPr>
        <w:t>this varying</w:t>
      </w:r>
      <w:r>
        <w:rPr>
          <w:color w:val="4D4D4F"/>
          <w:spacing w:val="-5"/>
          <w:w w:val="105"/>
        </w:rPr>
        <w:t xml:space="preserve"> </w:t>
      </w:r>
      <w:r>
        <w:rPr>
          <w:color w:val="4D4D4F"/>
          <w:w w:val="105"/>
        </w:rPr>
        <w:t>with</w:t>
      </w:r>
      <w:r>
        <w:rPr>
          <w:color w:val="4D4D4F"/>
          <w:spacing w:val="-5"/>
          <w:w w:val="105"/>
        </w:rPr>
        <w:t xml:space="preserve"> </w:t>
      </w:r>
      <w:r>
        <w:rPr>
          <w:color w:val="4D4D4F"/>
          <w:w w:val="105"/>
        </w:rPr>
        <w:t>each</w:t>
      </w:r>
      <w:r>
        <w:rPr>
          <w:color w:val="4D4D4F"/>
          <w:spacing w:val="-5"/>
          <w:w w:val="105"/>
        </w:rPr>
        <w:t xml:space="preserve"> </w:t>
      </w:r>
      <w:r>
        <w:rPr>
          <w:color w:val="4D4D4F"/>
          <w:w w:val="105"/>
        </w:rPr>
        <w:t>KPI.</w:t>
      </w:r>
      <w:r>
        <w:rPr>
          <w:color w:val="4D4D4F"/>
          <w:spacing w:val="-5"/>
          <w:w w:val="105"/>
        </w:rPr>
        <w:t xml:space="preserve"> </w:t>
      </w:r>
      <w:r>
        <w:rPr>
          <w:color w:val="4D4D4F"/>
          <w:w w:val="105"/>
        </w:rPr>
        <w:t>Reasons</w:t>
      </w:r>
      <w:r>
        <w:rPr>
          <w:color w:val="4D4D4F"/>
          <w:spacing w:val="-5"/>
          <w:w w:val="105"/>
        </w:rPr>
        <w:t xml:space="preserve"> </w:t>
      </w:r>
      <w:r>
        <w:rPr>
          <w:color w:val="4D4D4F"/>
          <w:w w:val="105"/>
        </w:rPr>
        <w:t>for</w:t>
      </w:r>
      <w:r>
        <w:rPr>
          <w:color w:val="4D4D4F"/>
          <w:spacing w:val="-5"/>
          <w:w w:val="105"/>
        </w:rPr>
        <w:t xml:space="preserve"> </w:t>
      </w:r>
      <w:r>
        <w:rPr>
          <w:color w:val="4D4D4F"/>
          <w:w w:val="105"/>
        </w:rPr>
        <w:t>non-assessments</w:t>
      </w:r>
      <w:r>
        <w:rPr>
          <w:color w:val="4D4D4F"/>
          <w:spacing w:val="-5"/>
          <w:w w:val="105"/>
        </w:rPr>
        <w:t xml:space="preserve"> </w:t>
      </w:r>
      <w:r>
        <w:rPr>
          <w:color w:val="4D4D4F"/>
          <w:w w:val="105"/>
        </w:rPr>
        <w:t>are</w:t>
      </w:r>
      <w:r>
        <w:rPr>
          <w:color w:val="4D4D4F"/>
          <w:spacing w:val="-5"/>
          <w:w w:val="105"/>
        </w:rPr>
        <w:t xml:space="preserve"> </w:t>
      </w:r>
      <w:r>
        <w:rPr>
          <w:color w:val="4D4D4F"/>
          <w:w w:val="105"/>
        </w:rPr>
        <w:t>defined</w:t>
      </w:r>
      <w:r>
        <w:rPr>
          <w:color w:val="4D4D4F"/>
          <w:spacing w:val="-5"/>
          <w:w w:val="105"/>
        </w:rPr>
        <w:t xml:space="preserve"> </w:t>
      </w:r>
      <w:r>
        <w:rPr>
          <w:color w:val="4D4D4F"/>
          <w:w w:val="105"/>
        </w:rPr>
        <w:t>below.</w:t>
      </w:r>
    </w:p>
    <w:p w14:paraId="6C869860" w14:textId="77777777" w:rsidR="00EF5B27" w:rsidRDefault="00000000">
      <w:pPr>
        <w:pStyle w:val="ListParagraph"/>
        <w:numPr>
          <w:ilvl w:val="1"/>
          <w:numId w:val="55"/>
        </w:numPr>
        <w:tabs>
          <w:tab w:val="left" w:pos="2779"/>
        </w:tabs>
        <w:spacing w:before="115"/>
        <w:rPr>
          <w:sz w:val="20"/>
        </w:rPr>
      </w:pPr>
      <w:r>
        <w:rPr>
          <w:color w:val="4D4D4F"/>
          <w:spacing w:val="-7"/>
          <w:sz w:val="20"/>
        </w:rPr>
        <w:t xml:space="preserve">N/A </w:t>
      </w:r>
      <w:r>
        <w:rPr>
          <w:color w:val="4D4D4F"/>
          <w:sz w:val="20"/>
        </w:rPr>
        <w:t>(not applicable): The KPI was able to be</w:t>
      </w:r>
      <w:r>
        <w:rPr>
          <w:color w:val="4D4D4F"/>
          <w:spacing w:val="12"/>
          <w:sz w:val="20"/>
        </w:rPr>
        <w:t xml:space="preserve"> </w:t>
      </w:r>
      <w:r>
        <w:rPr>
          <w:color w:val="4D4D4F"/>
          <w:sz w:val="20"/>
        </w:rPr>
        <w:t>assessed.</w:t>
      </w:r>
    </w:p>
    <w:p w14:paraId="02907C70" w14:textId="77777777" w:rsidR="00EF5B27" w:rsidRDefault="00000000">
      <w:pPr>
        <w:pStyle w:val="ListParagraph"/>
        <w:numPr>
          <w:ilvl w:val="1"/>
          <w:numId w:val="55"/>
        </w:numPr>
        <w:tabs>
          <w:tab w:val="left" w:pos="2779"/>
        </w:tabs>
        <w:spacing w:before="130" w:line="254" w:lineRule="auto"/>
        <w:ind w:right="363"/>
        <w:rPr>
          <w:sz w:val="20"/>
        </w:rPr>
      </w:pPr>
      <w:r>
        <w:rPr>
          <w:color w:val="4D4D4F"/>
          <w:sz w:val="20"/>
        </w:rPr>
        <w:t>Baseline not yet set: For many of the KPIs, not enough time has elapsed for the baseline to have been set – as this occurs after the fifth year of monitoring once enough data has been collected. This means the baseline is set as the mean measure of five years of data for that KPI from the commencement of</w:t>
      </w:r>
      <w:r>
        <w:rPr>
          <w:color w:val="4D4D4F"/>
          <w:spacing w:val="20"/>
          <w:sz w:val="20"/>
        </w:rPr>
        <w:t xml:space="preserve"> </w:t>
      </w:r>
      <w:r>
        <w:rPr>
          <w:color w:val="4D4D4F"/>
          <w:sz w:val="20"/>
        </w:rPr>
        <w:t>monitoring.</w:t>
      </w:r>
    </w:p>
    <w:p w14:paraId="7C0274FA" w14:textId="77777777" w:rsidR="00EF5B27" w:rsidRDefault="00000000">
      <w:pPr>
        <w:pStyle w:val="ListParagraph"/>
        <w:numPr>
          <w:ilvl w:val="1"/>
          <w:numId w:val="55"/>
        </w:numPr>
        <w:tabs>
          <w:tab w:val="left" w:pos="2779"/>
        </w:tabs>
        <w:spacing w:before="118" w:line="254" w:lineRule="auto"/>
        <w:ind w:right="384"/>
        <w:rPr>
          <w:sz w:val="20"/>
        </w:rPr>
      </w:pPr>
      <w:r>
        <w:rPr>
          <w:color w:val="4D4D4F"/>
          <w:sz w:val="20"/>
        </w:rPr>
        <w:t>Baseline set in 2022: For some of the KPIs, the baseline was set in 2022, meaning that not enough time has elapsed for the baseline to have been</w:t>
      </w:r>
      <w:r>
        <w:rPr>
          <w:color w:val="4D4D4F"/>
          <w:spacing w:val="34"/>
          <w:sz w:val="20"/>
        </w:rPr>
        <w:t xml:space="preserve"> </w:t>
      </w:r>
      <w:r>
        <w:rPr>
          <w:color w:val="4D4D4F"/>
          <w:sz w:val="20"/>
        </w:rPr>
        <w:t>set.</w:t>
      </w:r>
    </w:p>
    <w:p w14:paraId="054EA60B" w14:textId="77777777" w:rsidR="00EF5B27" w:rsidRDefault="00000000">
      <w:pPr>
        <w:pStyle w:val="ListParagraph"/>
        <w:numPr>
          <w:ilvl w:val="1"/>
          <w:numId w:val="55"/>
        </w:numPr>
        <w:tabs>
          <w:tab w:val="left" w:pos="2779"/>
        </w:tabs>
        <w:spacing w:before="116" w:line="254" w:lineRule="auto"/>
        <w:ind w:right="230"/>
        <w:rPr>
          <w:sz w:val="20"/>
        </w:rPr>
      </w:pPr>
      <w:r>
        <w:rPr>
          <w:color w:val="4D4D4F"/>
          <w:sz w:val="20"/>
        </w:rPr>
        <w:t xml:space="preserve">Change </w:t>
      </w:r>
      <w:r>
        <w:rPr>
          <w:color w:val="4D4D4F"/>
          <w:spacing w:val="-3"/>
          <w:sz w:val="20"/>
        </w:rPr>
        <w:t xml:space="preserve">in monitoring method: DELWP indicates that </w:t>
      </w:r>
      <w:r>
        <w:rPr>
          <w:color w:val="4D4D4F"/>
          <w:sz w:val="20"/>
        </w:rPr>
        <w:t xml:space="preserve">some changes to the </w:t>
      </w:r>
      <w:r>
        <w:rPr>
          <w:color w:val="4D4D4F"/>
          <w:spacing w:val="-3"/>
          <w:sz w:val="20"/>
        </w:rPr>
        <w:t xml:space="preserve">monitoring </w:t>
      </w:r>
      <w:r>
        <w:rPr>
          <w:color w:val="4D4D4F"/>
          <w:sz w:val="20"/>
        </w:rPr>
        <w:t>methods have been necessary over time as new information comes in, and knowledge of the species and systems improve. This has impacted the ability for    an assessment to be made for some KPIs, as previous data collected according to outdated methodology is no longer</w:t>
      </w:r>
      <w:r>
        <w:rPr>
          <w:color w:val="4D4D4F"/>
          <w:spacing w:val="18"/>
          <w:sz w:val="20"/>
        </w:rPr>
        <w:t xml:space="preserve"> </w:t>
      </w:r>
      <w:r>
        <w:rPr>
          <w:color w:val="4D4D4F"/>
          <w:sz w:val="20"/>
        </w:rPr>
        <w:t>valid.</w:t>
      </w:r>
    </w:p>
    <w:p w14:paraId="3544AAEB" w14:textId="77777777" w:rsidR="00EF5B27" w:rsidRDefault="00000000">
      <w:pPr>
        <w:pStyle w:val="ListParagraph"/>
        <w:numPr>
          <w:ilvl w:val="1"/>
          <w:numId w:val="55"/>
        </w:numPr>
        <w:tabs>
          <w:tab w:val="left" w:pos="2779"/>
        </w:tabs>
        <w:spacing w:before="119" w:line="254" w:lineRule="auto"/>
        <w:ind w:right="228"/>
        <w:rPr>
          <w:sz w:val="20"/>
        </w:rPr>
      </w:pPr>
      <w:r>
        <w:rPr>
          <w:color w:val="4D4D4F"/>
          <w:sz w:val="20"/>
        </w:rPr>
        <w:t>Data not provided: For some of the KPIs, data may have been collected but was not formally provided by DELWP for</w:t>
      </w:r>
      <w:r>
        <w:rPr>
          <w:color w:val="4D4D4F"/>
          <w:spacing w:val="24"/>
          <w:sz w:val="20"/>
        </w:rPr>
        <w:t xml:space="preserve"> </w:t>
      </w:r>
      <w:r>
        <w:rPr>
          <w:color w:val="4D4D4F"/>
          <w:sz w:val="20"/>
        </w:rPr>
        <w:t>assessment.</w:t>
      </w:r>
    </w:p>
    <w:p w14:paraId="265DD8AF" w14:textId="77777777" w:rsidR="00EF5B27" w:rsidRDefault="00000000">
      <w:pPr>
        <w:pStyle w:val="ListParagraph"/>
        <w:numPr>
          <w:ilvl w:val="1"/>
          <w:numId w:val="55"/>
        </w:numPr>
        <w:tabs>
          <w:tab w:val="left" w:pos="2779"/>
        </w:tabs>
        <w:spacing w:before="116" w:line="254" w:lineRule="auto"/>
        <w:ind w:right="191"/>
        <w:jc w:val="both"/>
        <w:rPr>
          <w:sz w:val="20"/>
        </w:rPr>
      </w:pPr>
      <w:r>
        <w:rPr>
          <w:color w:val="4D4D4F"/>
          <w:sz w:val="20"/>
        </w:rPr>
        <w:t xml:space="preserve">Lack of drawdown event: For some of the Seasonal Herbaceous Wetlands KPIs, data may </w:t>
      </w:r>
      <w:r>
        <w:rPr>
          <w:color w:val="4D4D4F"/>
          <w:spacing w:val="-3"/>
          <w:sz w:val="20"/>
        </w:rPr>
        <w:t xml:space="preserve">only </w:t>
      </w:r>
      <w:r>
        <w:rPr>
          <w:color w:val="4D4D4F"/>
          <w:sz w:val="20"/>
        </w:rPr>
        <w:t>be collected after a drawdown event has occurred. An assessment has not been made due to lack of this event occurring in the defined reporting</w:t>
      </w:r>
      <w:r>
        <w:rPr>
          <w:color w:val="4D4D4F"/>
          <w:spacing w:val="34"/>
          <w:sz w:val="20"/>
        </w:rPr>
        <w:t xml:space="preserve"> </w:t>
      </w:r>
      <w:r>
        <w:rPr>
          <w:color w:val="4D4D4F"/>
          <w:sz w:val="20"/>
        </w:rPr>
        <w:t>period.</w:t>
      </w:r>
    </w:p>
    <w:p w14:paraId="794E66D8" w14:textId="77777777" w:rsidR="00EF5B27" w:rsidRDefault="00EF5B27">
      <w:pPr>
        <w:spacing w:line="254" w:lineRule="auto"/>
        <w:jc w:val="both"/>
        <w:rPr>
          <w:sz w:val="20"/>
        </w:rPr>
        <w:sectPr w:rsidR="00EF5B27">
          <w:pgSz w:w="11910" w:h="16840"/>
          <w:pgMar w:top="1080" w:right="1020" w:bottom="860" w:left="1020" w:header="537" w:footer="678" w:gutter="0"/>
          <w:cols w:space="720"/>
        </w:sectPr>
      </w:pPr>
    </w:p>
    <w:p w14:paraId="4FCC724A" w14:textId="77777777" w:rsidR="00EF5B27" w:rsidRDefault="00EF5B27">
      <w:pPr>
        <w:pStyle w:val="BodyText"/>
      </w:pPr>
    </w:p>
    <w:p w14:paraId="71496A9B" w14:textId="77777777" w:rsidR="00EF5B27" w:rsidRDefault="00EF5B27">
      <w:pPr>
        <w:pStyle w:val="BodyText"/>
      </w:pPr>
    </w:p>
    <w:p w14:paraId="288BA177" w14:textId="77777777" w:rsidR="00EF5B27" w:rsidRDefault="00EF5B27">
      <w:pPr>
        <w:pStyle w:val="BodyText"/>
      </w:pPr>
    </w:p>
    <w:p w14:paraId="0FBE0E1A" w14:textId="77777777" w:rsidR="00EF5B27" w:rsidRDefault="00EF5B27">
      <w:pPr>
        <w:pStyle w:val="BodyText"/>
        <w:spacing w:before="4"/>
        <w:rPr>
          <w:sz w:val="25"/>
        </w:rPr>
      </w:pPr>
    </w:p>
    <w:p w14:paraId="092FB3F2" w14:textId="77777777" w:rsidR="00EF5B27" w:rsidRDefault="00000000">
      <w:pPr>
        <w:pStyle w:val="ListParagraph"/>
        <w:numPr>
          <w:ilvl w:val="1"/>
          <w:numId w:val="55"/>
        </w:numPr>
        <w:tabs>
          <w:tab w:val="left" w:pos="2779"/>
        </w:tabs>
        <w:spacing w:before="100" w:line="254" w:lineRule="auto"/>
        <w:ind w:right="315"/>
        <w:rPr>
          <w:sz w:val="20"/>
        </w:rPr>
      </w:pPr>
      <w:r>
        <w:rPr>
          <w:color w:val="4D4D4F"/>
          <w:sz w:val="20"/>
        </w:rPr>
        <w:t>Not monitored in 2020–2022: Some KPIs were not monitored over 2020–2022, and therefore an assessment cannot be made for this</w:t>
      </w:r>
      <w:r>
        <w:rPr>
          <w:color w:val="4D4D4F"/>
          <w:spacing w:val="32"/>
          <w:sz w:val="20"/>
        </w:rPr>
        <w:t xml:space="preserve"> </w:t>
      </w:r>
      <w:r>
        <w:rPr>
          <w:color w:val="4D4D4F"/>
          <w:sz w:val="20"/>
        </w:rPr>
        <w:t>period.</w:t>
      </w:r>
    </w:p>
    <w:p w14:paraId="0616FCBF" w14:textId="77777777" w:rsidR="00EF5B27" w:rsidRDefault="00000000">
      <w:pPr>
        <w:pStyle w:val="ListParagraph"/>
        <w:numPr>
          <w:ilvl w:val="1"/>
          <w:numId w:val="55"/>
        </w:numPr>
        <w:tabs>
          <w:tab w:val="left" w:pos="2779"/>
        </w:tabs>
        <w:spacing w:before="59" w:line="254" w:lineRule="auto"/>
        <w:ind w:right="157"/>
        <w:rPr>
          <w:sz w:val="20"/>
        </w:rPr>
      </w:pPr>
      <w:r>
        <w:rPr>
          <w:color w:val="4D4D4F"/>
          <w:sz w:val="20"/>
        </w:rPr>
        <w:t xml:space="preserve">Population not yet under MSA management: Some areas earmarked for monitoring of </w:t>
      </w:r>
      <w:r>
        <w:rPr>
          <w:color w:val="4D4D4F"/>
          <w:spacing w:val="-4"/>
          <w:sz w:val="20"/>
        </w:rPr>
        <w:t xml:space="preserve">MNES </w:t>
      </w:r>
      <w:r>
        <w:rPr>
          <w:color w:val="4D4D4F"/>
          <w:spacing w:val="-3"/>
          <w:sz w:val="20"/>
        </w:rPr>
        <w:t xml:space="preserve">KPIs </w:t>
      </w:r>
      <w:r>
        <w:rPr>
          <w:color w:val="4D4D4F"/>
          <w:sz w:val="20"/>
        </w:rPr>
        <w:t xml:space="preserve">are </w:t>
      </w:r>
      <w:r>
        <w:rPr>
          <w:color w:val="4D4D4F"/>
          <w:spacing w:val="-3"/>
          <w:sz w:val="20"/>
        </w:rPr>
        <w:t xml:space="preserve">not yet under </w:t>
      </w:r>
      <w:r>
        <w:rPr>
          <w:color w:val="4D4D4F"/>
          <w:sz w:val="20"/>
        </w:rPr>
        <w:t xml:space="preserve">MSA </w:t>
      </w:r>
      <w:r>
        <w:rPr>
          <w:color w:val="4D4D4F"/>
          <w:spacing w:val="-4"/>
          <w:sz w:val="20"/>
        </w:rPr>
        <w:t xml:space="preserve">management </w:t>
      </w:r>
      <w:r>
        <w:rPr>
          <w:color w:val="4D4D4F"/>
          <w:spacing w:val="-5"/>
          <w:sz w:val="20"/>
        </w:rPr>
        <w:t xml:space="preserve">(due </w:t>
      </w:r>
      <w:r>
        <w:rPr>
          <w:color w:val="4D4D4F"/>
          <w:spacing w:val="-3"/>
          <w:sz w:val="20"/>
        </w:rPr>
        <w:t xml:space="preserve">to land not yet </w:t>
      </w:r>
      <w:r>
        <w:rPr>
          <w:color w:val="4D4D4F"/>
          <w:spacing w:val="-4"/>
          <w:sz w:val="20"/>
        </w:rPr>
        <w:t xml:space="preserve">being acquired), </w:t>
      </w:r>
      <w:r>
        <w:rPr>
          <w:color w:val="4D4D4F"/>
          <w:sz w:val="20"/>
        </w:rPr>
        <w:t>and therefore remain</w:t>
      </w:r>
      <w:r>
        <w:rPr>
          <w:color w:val="4D4D4F"/>
          <w:spacing w:val="13"/>
          <w:sz w:val="20"/>
        </w:rPr>
        <w:t xml:space="preserve"> </w:t>
      </w:r>
      <w:r>
        <w:rPr>
          <w:color w:val="4D4D4F"/>
          <w:sz w:val="20"/>
        </w:rPr>
        <w:t>unassessed.</w:t>
      </w:r>
    </w:p>
    <w:p w14:paraId="3AEAD6D9" w14:textId="77777777" w:rsidR="00EF5B27" w:rsidRDefault="00EF5B27">
      <w:pPr>
        <w:pStyle w:val="BodyText"/>
        <w:spacing w:before="3"/>
        <w:rPr>
          <w:sz w:val="19"/>
        </w:rPr>
      </w:pPr>
    </w:p>
    <w:p w14:paraId="5E4103CB" w14:textId="77777777" w:rsidR="00EF5B27" w:rsidRDefault="00000000">
      <w:pPr>
        <w:pStyle w:val="Heading3"/>
      </w:pPr>
      <w:r>
        <w:rPr>
          <w:color w:val="F99F2A"/>
        </w:rPr>
        <w:t>Trend</w:t>
      </w:r>
    </w:p>
    <w:p w14:paraId="7F3B6F17" w14:textId="77777777" w:rsidR="00EF5B27" w:rsidRDefault="00000000">
      <w:pPr>
        <w:pStyle w:val="BodyText"/>
        <w:spacing w:before="221" w:line="254" w:lineRule="auto"/>
        <w:ind w:left="2608" w:right="126"/>
        <w:jc w:val="both"/>
      </w:pPr>
      <w:r>
        <w:pict w14:anchorId="2737997D">
          <v:group id="_x0000_s4282" style="position:absolute;left:0;text-align:left;margin-left:476.25pt;margin-top:80.55pt;width:8pt;height:13.55pt;z-index:251406848;mso-position-horizontal-relative:page" coordorigin="9525,1611" coordsize="160,271">
            <v:shape id="_x0000_s4284" style="position:absolute;left:9573;top:1832;width:50;height:50" coordorigin="9574,1832" coordsize="50,50" path="m9605,1832r-14,l9585,1835r-9,9l9574,1850r,14l9576,1870r9,9l9591,1882r14,l9611,1879r9,-9l9623,1864r,-14l9620,1844r-9,-9l9605,1832xe" fillcolor="#808285" stroked="f">
              <v:path arrowok="t"/>
            </v:shape>
            <v:shape id="_x0000_s4283" type="#_x0000_t75" style="position:absolute;left:9524;top:1610;width:160;height:190">
              <v:imagedata r:id="rId69" o:title=""/>
            </v:shape>
            <w10:wrap anchorx="page"/>
          </v:group>
        </w:pict>
      </w:r>
      <w:r>
        <w:rPr>
          <w:noProof/>
        </w:rPr>
        <w:drawing>
          <wp:anchor distT="0" distB="0" distL="0" distR="0" simplePos="0" relativeHeight="251408896" behindDoc="0" locked="0" layoutInCell="1" allowOverlap="1" wp14:anchorId="1B080F47" wp14:editId="1F3ED97B">
            <wp:simplePos x="0" y="0"/>
            <wp:positionH relativeFrom="page">
              <wp:posOffset>4592113</wp:posOffset>
            </wp:positionH>
            <wp:positionV relativeFrom="paragraph">
              <wp:posOffset>1081273</wp:posOffset>
            </wp:positionV>
            <wp:extent cx="151841" cy="65493"/>
            <wp:effectExtent l="0" t="0" r="0" b="0"/>
            <wp:wrapNone/>
            <wp:docPr id="5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9.png"/>
                    <pic:cNvPicPr/>
                  </pic:nvPicPr>
                  <pic:blipFill>
                    <a:blip r:embed="rId70" cstate="print"/>
                    <a:stretch>
                      <a:fillRect/>
                    </a:stretch>
                  </pic:blipFill>
                  <pic:spPr>
                    <a:xfrm>
                      <a:off x="0" y="0"/>
                      <a:ext cx="151841" cy="65493"/>
                    </a:xfrm>
                    <a:prstGeom prst="rect">
                      <a:avLst/>
                    </a:prstGeom>
                  </pic:spPr>
                </pic:pic>
              </a:graphicData>
            </a:graphic>
          </wp:anchor>
        </w:drawing>
      </w:r>
      <w:r>
        <w:rPr>
          <w:color w:val="4D4D4F"/>
        </w:rPr>
        <w:t xml:space="preserve">The trend summary presents an overall </w:t>
      </w:r>
      <w:r>
        <w:rPr>
          <w:color w:val="4D4D4F"/>
          <w:spacing w:val="-4"/>
        </w:rPr>
        <w:t xml:space="preserve">analysis </w:t>
      </w:r>
      <w:r>
        <w:rPr>
          <w:color w:val="4D4D4F"/>
        </w:rPr>
        <w:t xml:space="preserve">of the trend </w:t>
      </w:r>
      <w:r>
        <w:rPr>
          <w:color w:val="4D4D4F"/>
          <w:spacing w:val="-3"/>
        </w:rPr>
        <w:t xml:space="preserve">assessments </w:t>
      </w:r>
      <w:r>
        <w:rPr>
          <w:color w:val="4D4D4F"/>
          <w:spacing w:val="-2"/>
        </w:rPr>
        <w:t xml:space="preserve">for </w:t>
      </w:r>
      <w:r>
        <w:rPr>
          <w:color w:val="4D4D4F"/>
        </w:rPr>
        <w:t xml:space="preserve">each KPI. The </w:t>
      </w:r>
      <w:r>
        <w:rPr>
          <w:color w:val="4D4D4F"/>
          <w:spacing w:val="-4"/>
        </w:rPr>
        <w:t xml:space="preserve">trend </w:t>
      </w:r>
      <w:r>
        <w:rPr>
          <w:color w:val="4D4D4F"/>
          <w:spacing w:val="-5"/>
        </w:rPr>
        <w:t xml:space="preserve">identifies whether </w:t>
      </w:r>
      <w:r>
        <w:rPr>
          <w:color w:val="4D4D4F"/>
          <w:spacing w:val="-4"/>
        </w:rPr>
        <w:t xml:space="preserve">the status </w:t>
      </w:r>
      <w:r>
        <w:rPr>
          <w:color w:val="4D4D4F"/>
          <w:spacing w:val="-3"/>
        </w:rPr>
        <w:t xml:space="preserve">of </w:t>
      </w:r>
      <w:r>
        <w:rPr>
          <w:color w:val="4D4D4F"/>
          <w:spacing w:val="-4"/>
        </w:rPr>
        <w:t xml:space="preserve">the </w:t>
      </w:r>
      <w:r>
        <w:rPr>
          <w:color w:val="4D4D4F"/>
          <w:spacing w:val="-5"/>
        </w:rPr>
        <w:t xml:space="preserve">indicator </w:t>
      </w:r>
      <w:r>
        <w:rPr>
          <w:color w:val="4D4D4F"/>
          <w:spacing w:val="-4"/>
        </w:rPr>
        <w:t xml:space="preserve">is </w:t>
      </w:r>
      <w:r>
        <w:rPr>
          <w:color w:val="4D4D4F"/>
          <w:spacing w:val="-5"/>
        </w:rPr>
        <w:t xml:space="preserve">deteriorating, improving </w:t>
      </w:r>
      <w:r>
        <w:rPr>
          <w:color w:val="4D4D4F"/>
        </w:rPr>
        <w:t xml:space="preserve">or </w:t>
      </w:r>
      <w:r>
        <w:rPr>
          <w:color w:val="4D4D4F"/>
          <w:spacing w:val="-5"/>
        </w:rPr>
        <w:t xml:space="preserve">stable. </w:t>
      </w:r>
      <w:r>
        <w:rPr>
          <w:color w:val="4D4D4F"/>
        </w:rPr>
        <w:t xml:space="preserve">The legend for trend in the </w:t>
      </w:r>
      <w:r>
        <w:rPr>
          <w:color w:val="4D4D4F"/>
          <w:spacing w:val="2"/>
        </w:rPr>
        <w:t xml:space="preserve">report </w:t>
      </w:r>
      <w:r>
        <w:rPr>
          <w:color w:val="4D4D4F"/>
        </w:rPr>
        <w:t>card reads as follows:</w:t>
      </w:r>
    </w:p>
    <w:p w14:paraId="2621B839" w14:textId="77777777" w:rsidR="00EF5B27" w:rsidRDefault="00EF5B27">
      <w:pPr>
        <w:pStyle w:val="BodyText"/>
      </w:pPr>
    </w:p>
    <w:p w14:paraId="76A527B7" w14:textId="77777777" w:rsidR="00EF5B27" w:rsidRDefault="00EF5B27">
      <w:pPr>
        <w:pStyle w:val="BodyText"/>
        <w:spacing w:before="3"/>
        <w:rPr>
          <w:sz w:val="19"/>
        </w:rPr>
      </w:pPr>
    </w:p>
    <w:p w14:paraId="38F17C7C" w14:textId="77777777" w:rsidR="00EF5B27" w:rsidRDefault="00EF5B27">
      <w:pPr>
        <w:rPr>
          <w:sz w:val="19"/>
        </w:rPr>
        <w:sectPr w:rsidR="00EF5B27">
          <w:pgSz w:w="11910" w:h="16840"/>
          <w:pgMar w:top="1080" w:right="1020" w:bottom="860" w:left="1020" w:header="537" w:footer="678" w:gutter="0"/>
          <w:cols w:space="720"/>
        </w:sectPr>
      </w:pPr>
    </w:p>
    <w:p w14:paraId="23417532" w14:textId="77777777" w:rsidR="00EF5B27" w:rsidRDefault="00000000">
      <w:pPr>
        <w:pStyle w:val="Heading5"/>
        <w:jc w:val="right"/>
      </w:pPr>
      <w:r>
        <w:rPr>
          <w:noProof/>
        </w:rPr>
        <w:drawing>
          <wp:anchor distT="0" distB="0" distL="0" distR="0" simplePos="0" relativeHeight="251407872" behindDoc="0" locked="0" layoutInCell="1" allowOverlap="1" wp14:anchorId="492A107C" wp14:editId="6DC745DA">
            <wp:simplePos x="0" y="0"/>
            <wp:positionH relativeFrom="page">
              <wp:posOffset>2314021</wp:posOffset>
            </wp:positionH>
            <wp:positionV relativeFrom="paragraph">
              <wp:posOffset>134044</wp:posOffset>
            </wp:positionV>
            <wp:extent cx="151841" cy="66116"/>
            <wp:effectExtent l="0" t="0" r="0" b="0"/>
            <wp:wrapNone/>
            <wp:docPr id="5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0.png"/>
                    <pic:cNvPicPr/>
                  </pic:nvPicPr>
                  <pic:blipFill>
                    <a:blip r:embed="rId71" cstate="print"/>
                    <a:stretch>
                      <a:fillRect/>
                    </a:stretch>
                  </pic:blipFill>
                  <pic:spPr>
                    <a:xfrm>
                      <a:off x="0" y="0"/>
                      <a:ext cx="151841" cy="66116"/>
                    </a:xfrm>
                    <a:prstGeom prst="rect">
                      <a:avLst/>
                    </a:prstGeom>
                  </pic:spPr>
                </pic:pic>
              </a:graphicData>
            </a:graphic>
          </wp:anchor>
        </w:drawing>
      </w:r>
      <w:r>
        <w:rPr>
          <w:color w:val="5DB84B"/>
          <w:w w:val="85"/>
        </w:rPr>
        <w:t>Improving</w:t>
      </w:r>
    </w:p>
    <w:p w14:paraId="2139B1F8" w14:textId="77777777" w:rsidR="00EF5B27" w:rsidRDefault="00000000">
      <w:pPr>
        <w:spacing w:before="96"/>
        <w:ind w:left="585"/>
        <w:rPr>
          <w:rFonts w:ascii="Century Gothic"/>
          <w:sz w:val="25"/>
        </w:rPr>
      </w:pPr>
      <w:r>
        <w:br w:type="column"/>
      </w:r>
      <w:r>
        <w:rPr>
          <w:noProof/>
          <w:position w:val="-2"/>
        </w:rPr>
        <w:drawing>
          <wp:inline distT="0" distB="0" distL="0" distR="0" wp14:anchorId="10CFB01D" wp14:editId="0AA3FC04">
            <wp:extent cx="66128" cy="150228"/>
            <wp:effectExtent l="0" t="0" r="0" b="0"/>
            <wp:docPr id="6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1.png"/>
                    <pic:cNvPicPr/>
                  </pic:nvPicPr>
                  <pic:blipFill>
                    <a:blip r:embed="rId72" cstate="print"/>
                    <a:stretch>
                      <a:fillRect/>
                    </a:stretch>
                  </pic:blipFill>
                  <pic:spPr>
                    <a:xfrm>
                      <a:off x="0" y="0"/>
                      <a:ext cx="66128" cy="150228"/>
                    </a:xfrm>
                    <a:prstGeom prst="rect">
                      <a:avLst/>
                    </a:prstGeom>
                  </pic:spPr>
                </pic:pic>
              </a:graphicData>
            </a:graphic>
          </wp:inline>
        </w:drawing>
      </w:r>
      <w:r>
        <w:rPr>
          <w:rFonts w:ascii="Times New Roman"/>
          <w:sz w:val="20"/>
        </w:rPr>
        <w:t xml:space="preserve">  </w:t>
      </w:r>
      <w:r>
        <w:rPr>
          <w:rFonts w:ascii="Times New Roman"/>
          <w:spacing w:val="1"/>
          <w:sz w:val="20"/>
        </w:rPr>
        <w:t xml:space="preserve"> </w:t>
      </w:r>
      <w:r>
        <w:rPr>
          <w:rFonts w:ascii="Century Gothic"/>
          <w:color w:val="F9A02A"/>
          <w:spacing w:val="-4"/>
          <w:w w:val="90"/>
          <w:sz w:val="25"/>
        </w:rPr>
        <w:t>Stable</w:t>
      </w:r>
    </w:p>
    <w:p w14:paraId="3D6D306A" w14:textId="77777777" w:rsidR="00EF5B27" w:rsidRDefault="00000000">
      <w:pPr>
        <w:pStyle w:val="Heading5"/>
        <w:ind w:left="901"/>
      </w:pPr>
      <w:r>
        <w:br w:type="column"/>
      </w:r>
      <w:r>
        <w:rPr>
          <w:color w:val="EF422C"/>
          <w:w w:val="85"/>
        </w:rPr>
        <w:t>Deteriorating</w:t>
      </w:r>
    </w:p>
    <w:p w14:paraId="20E72AA0" w14:textId="77777777" w:rsidR="00EF5B27" w:rsidRDefault="00000000">
      <w:pPr>
        <w:spacing w:before="103"/>
        <w:ind w:left="789"/>
        <w:rPr>
          <w:rFonts w:ascii="Century Gothic"/>
          <w:sz w:val="25"/>
        </w:rPr>
      </w:pPr>
      <w:r>
        <w:br w:type="column"/>
      </w:r>
      <w:r>
        <w:rPr>
          <w:rFonts w:ascii="Century Gothic"/>
          <w:color w:val="808285"/>
          <w:sz w:val="25"/>
        </w:rPr>
        <w:t>Unclear</w:t>
      </w:r>
    </w:p>
    <w:p w14:paraId="5F5B06FA" w14:textId="77777777" w:rsidR="00EF5B27" w:rsidRDefault="00EF5B27">
      <w:pPr>
        <w:rPr>
          <w:rFonts w:ascii="Century Gothic"/>
          <w:sz w:val="25"/>
        </w:rPr>
        <w:sectPr w:rsidR="00EF5B27">
          <w:type w:val="continuous"/>
          <w:pgSz w:w="11910" w:h="16840"/>
          <w:pgMar w:top="1140" w:right="1020" w:bottom="280" w:left="1020" w:header="720" w:footer="720" w:gutter="0"/>
          <w:cols w:num="4" w:space="720" w:equalWidth="0">
            <w:col w:w="4082" w:space="40"/>
            <w:col w:w="1518" w:space="39"/>
            <w:col w:w="2300" w:space="39"/>
            <w:col w:w="1852"/>
          </w:cols>
        </w:sectPr>
      </w:pPr>
    </w:p>
    <w:p w14:paraId="42279045" w14:textId="77777777" w:rsidR="00EF5B27" w:rsidRDefault="00000000">
      <w:pPr>
        <w:pStyle w:val="BodyText"/>
        <w:rPr>
          <w:rFonts w:ascii="Century Gothic"/>
        </w:rPr>
      </w:pPr>
      <w:r>
        <w:pict w14:anchorId="5007D0C3">
          <v:group id="_x0000_s4274" style="position:absolute;margin-left:587.05pt;margin-top:183.4pt;width:8.25pt;height:153.1pt;z-index:251405824;mso-position-horizontal-relative:page;mso-position-vertical-relative:page" coordorigin="11741,3668" coordsize="165,3062">
            <v:shape id="_x0000_s4281" style="position:absolute;left:11741;top:3668;width:165;height:561" coordorigin="11741,3668" coordsize="165,561" path="m11906,3668r-165,l11741,4228r165,-18l11906,3668xe" fillcolor="#00aed9" stroked="f">
              <v:path arrowok="t"/>
            </v:shape>
            <v:shape id="_x0000_s4280" style="position:absolute;left:11741;top:4118;width:165;height:425" coordorigin="11741,4118" coordsize="165,425" path="m11906,4118r-165,14l11741,4531r165,12l11906,4118xe" fillcolor="#047ebc" stroked="f">
              <v:path arrowok="t"/>
            </v:shape>
            <v:shape id="_x0000_s4279" type="#_x0000_t75" style="position:absolute;left:11741;top:4355;width:165;height:587">
              <v:imagedata r:id="rId42" o:title=""/>
            </v:shape>
            <v:shape id="_x0000_s4278" style="position:absolute;left:11741;top:5343;width:165;height:536" coordorigin="11741,5343" coordsize="165,536" path="m11741,5343r,535l11906,5872r,-525l11741,5343xe" fillcolor="#f36a2e" stroked="f">
              <v:path arrowok="t"/>
            </v:shape>
            <v:shape id="_x0000_s4277" style="position:absolute;left:11741;top:4925;width:165;height:501" coordorigin="11741,4926" coordsize="165,501" path="m11741,4926r,500l11906,5426r,-485l11741,4926xe" fillcolor="#49783f" stroked="f">
              <v:path arrowok="t"/>
            </v:shape>
            <v:shape id="_x0000_s4276" style="position:absolute;left:11741;top:5781;width:165;height:268" coordorigin="11741,5782" coordsize="165,268" path="m11906,5782r-165,8l11741,6039r165,10l11906,5782xe" fillcolor="#f99f2a" stroked="f">
              <v:path arrowok="t"/>
            </v:shape>
            <v:shape id="_x0000_s4275" style="position:absolute;left:11741;top:6023;width:165;height:707" coordorigin="11741,6023" coordsize="165,707" path="m11741,6023r,706l11906,6729r,-690l11741,6023xe" fillcolor="#ef412c" stroked="f">
              <v:path arrowok="t"/>
            </v:shape>
            <w10:wrap anchorx="page" anchory="page"/>
          </v:group>
        </w:pict>
      </w:r>
    </w:p>
    <w:p w14:paraId="02D66CAE" w14:textId="77777777" w:rsidR="00EF5B27" w:rsidRDefault="00EF5B27">
      <w:pPr>
        <w:pStyle w:val="BodyText"/>
        <w:spacing w:before="7"/>
        <w:rPr>
          <w:rFonts w:ascii="Century Gothic"/>
          <w:sz w:val="23"/>
        </w:rPr>
      </w:pPr>
    </w:p>
    <w:p w14:paraId="7713F8DE" w14:textId="77777777" w:rsidR="00EF5B27" w:rsidRDefault="00000000">
      <w:pPr>
        <w:spacing w:before="115"/>
        <w:ind w:left="2608"/>
        <w:rPr>
          <w:b/>
          <w:sz w:val="28"/>
        </w:rPr>
      </w:pPr>
      <w:r>
        <w:rPr>
          <w:b/>
          <w:color w:val="F99F2A"/>
          <w:sz w:val="28"/>
        </w:rPr>
        <w:t>Data confidence</w:t>
      </w:r>
    </w:p>
    <w:p w14:paraId="543F5C8D" w14:textId="77777777" w:rsidR="00EF5B27" w:rsidRDefault="00000000">
      <w:pPr>
        <w:pStyle w:val="BodyText"/>
        <w:spacing w:before="222" w:line="254" w:lineRule="auto"/>
        <w:ind w:left="2608" w:right="465"/>
      </w:pPr>
      <w:r>
        <w:rPr>
          <w:color w:val="4D4D4F"/>
        </w:rPr>
        <w:t>Data confidence reflects on knowledge gaps and data limitations when assessing the status and trend of each KPI. The legend for data quality in the report card is:</w:t>
      </w:r>
    </w:p>
    <w:p w14:paraId="1DCE8064" w14:textId="77777777" w:rsidR="00EF5B27" w:rsidRDefault="00000000">
      <w:pPr>
        <w:pStyle w:val="ListParagraph"/>
        <w:numPr>
          <w:ilvl w:val="1"/>
          <w:numId w:val="55"/>
        </w:numPr>
        <w:tabs>
          <w:tab w:val="left" w:pos="2779"/>
        </w:tabs>
        <w:spacing w:before="115" w:line="254" w:lineRule="auto"/>
        <w:ind w:right="710"/>
        <w:rPr>
          <w:sz w:val="20"/>
        </w:rPr>
      </w:pPr>
      <w:r>
        <w:rPr>
          <w:b/>
          <w:color w:val="4D4D4F"/>
          <w:spacing w:val="-7"/>
          <w:sz w:val="20"/>
        </w:rPr>
        <w:t xml:space="preserve">N/A </w:t>
      </w:r>
      <w:r>
        <w:rPr>
          <w:b/>
          <w:color w:val="4D4D4F"/>
          <w:sz w:val="20"/>
        </w:rPr>
        <w:t>(not applicable)</w:t>
      </w:r>
      <w:r>
        <w:rPr>
          <w:color w:val="4D4D4F"/>
          <w:sz w:val="20"/>
        </w:rPr>
        <w:t>: A KPI data confidence assessment has not been made, because</w:t>
      </w:r>
      <w:r>
        <w:rPr>
          <w:color w:val="4D4D4F"/>
          <w:spacing w:val="8"/>
          <w:sz w:val="20"/>
        </w:rPr>
        <w:t xml:space="preserve"> </w:t>
      </w:r>
      <w:r>
        <w:rPr>
          <w:color w:val="4D4D4F"/>
          <w:sz w:val="20"/>
        </w:rPr>
        <w:t>status</w:t>
      </w:r>
      <w:r>
        <w:rPr>
          <w:color w:val="4D4D4F"/>
          <w:spacing w:val="9"/>
          <w:sz w:val="20"/>
        </w:rPr>
        <w:t xml:space="preserve"> </w:t>
      </w:r>
      <w:r>
        <w:rPr>
          <w:color w:val="4D4D4F"/>
          <w:sz w:val="20"/>
        </w:rPr>
        <w:t>and</w:t>
      </w:r>
      <w:r>
        <w:rPr>
          <w:color w:val="4D4D4F"/>
          <w:spacing w:val="8"/>
          <w:sz w:val="20"/>
        </w:rPr>
        <w:t xml:space="preserve"> </w:t>
      </w:r>
      <w:r>
        <w:rPr>
          <w:color w:val="4D4D4F"/>
          <w:sz w:val="20"/>
        </w:rPr>
        <w:t>trend</w:t>
      </w:r>
      <w:r>
        <w:rPr>
          <w:color w:val="4D4D4F"/>
          <w:spacing w:val="9"/>
          <w:sz w:val="20"/>
        </w:rPr>
        <w:t xml:space="preserve"> </w:t>
      </w:r>
      <w:r>
        <w:rPr>
          <w:color w:val="4D4D4F"/>
          <w:sz w:val="20"/>
        </w:rPr>
        <w:t>assessments</w:t>
      </w:r>
      <w:r>
        <w:rPr>
          <w:color w:val="4D4D4F"/>
          <w:spacing w:val="8"/>
          <w:sz w:val="20"/>
        </w:rPr>
        <w:t xml:space="preserve"> </w:t>
      </w:r>
      <w:r>
        <w:rPr>
          <w:color w:val="4D4D4F"/>
          <w:sz w:val="20"/>
        </w:rPr>
        <w:t>have</w:t>
      </w:r>
      <w:r>
        <w:rPr>
          <w:color w:val="4D4D4F"/>
          <w:spacing w:val="9"/>
          <w:sz w:val="20"/>
        </w:rPr>
        <w:t xml:space="preserve"> </w:t>
      </w:r>
      <w:r>
        <w:rPr>
          <w:color w:val="4D4D4F"/>
          <w:sz w:val="20"/>
        </w:rPr>
        <w:t>not</w:t>
      </w:r>
      <w:r>
        <w:rPr>
          <w:color w:val="4D4D4F"/>
          <w:spacing w:val="8"/>
          <w:sz w:val="20"/>
        </w:rPr>
        <w:t xml:space="preserve"> </w:t>
      </w:r>
      <w:r>
        <w:rPr>
          <w:color w:val="4D4D4F"/>
          <w:sz w:val="20"/>
        </w:rPr>
        <w:t>been</w:t>
      </w:r>
      <w:r>
        <w:rPr>
          <w:color w:val="4D4D4F"/>
          <w:spacing w:val="9"/>
          <w:sz w:val="20"/>
        </w:rPr>
        <w:t xml:space="preserve"> </w:t>
      </w:r>
      <w:r>
        <w:rPr>
          <w:color w:val="4D4D4F"/>
          <w:sz w:val="20"/>
        </w:rPr>
        <w:t>made</w:t>
      </w:r>
      <w:r>
        <w:rPr>
          <w:color w:val="4D4D4F"/>
          <w:spacing w:val="8"/>
          <w:sz w:val="20"/>
        </w:rPr>
        <w:t xml:space="preserve"> </w:t>
      </w:r>
      <w:r>
        <w:rPr>
          <w:color w:val="4D4D4F"/>
          <w:sz w:val="20"/>
        </w:rPr>
        <w:t>for</w:t>
      </w:r>
      <w:r>
        <w:rPr>
          <w:color w:val="4D4D4F"/>
          <w:spacing w:val="9"/>
          <w:sz w:val="20"/>
        </w:rPr>
        <w:t xml:space="preserve"> </w:t>
      </w:r>
      <w:r>
        <w:rPr>
          <w:color w:val="4D4D4F"/>
          <w:sz w:val="20"/>
        </w:rPr>
        <w:t>this</w:t>
      </w:r>
      <w:r>
        <w:rPr>
          <w:color w:val="4D4D4F"/>
          <w:spacing w:val="8"/>
          <w:sz w:val="20"/>
        </w:rPr>
        <w:t xml:space="preserve"> </w:t>
      </w:r>
      <w:r>
        <w:rPr>
          <w:color w:val="4D4D4F"/>
          <w:spacing w:val="-3"/>
          <w:sz w:val="20"/>
        </w:rPr>
        <w:t>indicator.</w:t>
      </w:r>
    </w:p>
    <w:p w14:paraId="162036C6" w14:textId="77777777" w:rsidR="00EF5B27" w:rsidRDefault="00000000">
      <w:pPr>
        <w:pStyle w:val="ListParagraph"/>
        <w:numPr>
          <w:ilvl w:val="1"/>
          <w:numId w:val="55"/>
        </w:numPr>
        <w:tabs>
          <w:tab w:val="left" w:pos="2779"/>
        </w:tabs>
        <w:spacing w:before="59" w:line="254" w:lineRule="auto"/>
        <w:ind w:right="606"/>
        <w:rPr>
          <w:sz w:val="20"/>
        </w:rPr>
      </w:pPr>
      <w:r>
        <w:rPr>
          <w:b/>
          <w:color w:val="4D4D4F"/>
          <w:sz w:val="20"/>
        </w:rPr>
        <w:t>Insufficient evidence</w:t>
      </w:r>
      <w:r>
        <w:rPr>
          <w:color w:val="4D4D4F"/>
          <w:sz w:val="20"/>
        </w:rPr>
        <w:t xml:space="preserve">: There is negligible evidence </w:t>
      </w:r>
      <w:r>
        <w:rPr>
          <w:color w:val="4D4D4F"/>
          <w:spacing w:val="-3"/>
          <w:sz w:val="20"/>
        </w:rPr>
        <w:t xml:space="preserve">(that </w:t>
      </w:r>
      <w:r>
        <w:rPr>
          <w:color w:val="4D4D4F"/>
          <w:sz w:val="20"/>
        </w:rPr>
        <w:t xml:space="preserve">is, suitable data </w:t>
      </w:r>
      <w:r>
        <w:rPr>
          <w:color w:val="4D4D4F"/>
          <w:spacing w:val="-3"/>
          <w:sz w:val="20"/>
        </w:rPr>
        <w:t xml:space="preserve">and/or </w:t>
      </w:r>
      <w:r>
        <w:rPr>
          <w:color w:val="4D4D4F"/>
          <w:sz w:val="20"/>
        </w:rPr>
        <w:t>thresholds) and no status and trend assessments can be</w:t>
      </w:r>
      <w:r>
        <w:rPr>
          <w:color w:val="4D4D4F"/>
          <w:spacing w:val="8"/>
          <w:sz w:val="20"/>
        </w:rPr>
        <w:t xml:space="preserve"> </w:t>
      </w:r>
      <w:r>
        <w:rPr>
          <w:color w:val="4D4D4F"/>
          <w:sz w:val="20"/>
        </w:rPr>
        <w:t>made.</w:t>
      </w:r>
    </w:p>
    <w:p w14:paraId="6CE2177A" w14:textId="77777777" w:rsidR="00EF5B27" w:rsidRDefault="00000000">
      <w:pPr>
        <w:pStyle w:val="ListParagraph"/>
        <w:numPr>
          <w:ilvl w:val="1"/>
          <w:numId w:val="55"/>
        </w:numPr>
        <w:tabs>
          <w:tab w:val="left" w:pos="2779"/>
        </w:tabs>
        <w:spacing w:before="59" w:line="254" w:lineRule="auto"/>
        <w:ind w:right="659"/>
        <w:rPr>
          <w:sz w:val="20"/>
        </w:rPr>
      </w:pPr>
      <w:r>
        <w:rPr>
          <w:b/>
          <w:color w:val="4D4D4F"/>
          <w:w w:val="105"/>
          <w:sz w:val="20"/>
        </w:rPr>
        <w:t>Low</w:t>
      </w:r>
      <w:r>
        <w:rPr>
          <w:color w:val="4D4D4F"/>
          <w:w w:val="105"/>
          <w:sz w:val="20"/>
        </w:rPr>
        <w:t>:</w:t>
      </w:r>
      <w:r>
        <w:rPr>
          <w:color w:val="4D4D4F"/>
          <w:spacing w:val="-20"/>
          <w:w w:val="105"/>
          <w:sz w:val="20"/>
        </w:rPr>
        <w:t xml:space="preserve"> </w:t>
      </w:r>
      <w:r>
        <w:rPr>
          <w:color w:val="4D4D4F"/>
          <w:w w:val="105"/>
          <w:sz w:val="20"/>
        </w:rPr>
        <w:t>An</w:t>
      </w:r>
      <w:r>
        <w:rPr>
          <w:color w:val="4D4D4F"/>
          <w:spacing w:val="-19"/>
          <w:w w:val="105"/>
          <w:sz w:val="20"/>
        </w:rPr>
        <w:t xml:space="preserve"> </w:t>
      </w:r>
      <w:r>
        <w:rPr>
          <w:color w:val="4D4D4F"/>
          <w:w w:val="105"/>
          <w:sz w:val="20"/>
        </w:rPr>
        <w:t>assessment</w:t>
      </w:r>
      <w:r>
        <w:rPr>
          <w:color w:val="4D4D4F"/>
          <w:spacing w:val="-19"/>
          <w:w w:val="105"/>
          <w:sz w:val="20"/>
        </w:rPr>
        <w:t xml:space="preserve"> </w:t>
      </w:r>
      <w:r>
        <w:rPr>
          <w:color w:val="4D4D4F"/>
          <w:w w:val="105"/>
          <w:sz w:val="20"/>
        </w:rPr>
        <w:t>can</w:t>
      </w:r>
      <w:r>
        <w:rPr>
          <w:color w:val="4D4D4F"/>
          <w:spacing w:val="-19"/>
          <w:w w:val="105"/>
          <w:sz w:val="20"/>
        </w:rPr>
        <w:t xml:space="preserve"> </w:t>
      </w:r>
      <w:r>
        <w:rPr>
          <w:color w:val="4D4D4F"/>
          <w:w w:val="105"/>
          <w:sz w:val="20"/>
        </w:rPr>
        <w:t>be</w:t>
      </w:r>
      <w:r>
        <w:rPr>
          <w:color w:val="4D4D4F"/>
          <w:spacing w:val="-20"/>
          <w:w w:val="105"/>
          <w:sz w:val="20"/>
        </w:rPr>
        <w:t xml:space="preserve"> </w:t>
      </w:r>
      <w:r>
        <w:rPr>
          <w:color w:val="4D4D4F"/>
          <w:w w:val="105"/>
          <w:sz w:val="20"/>
        </w:rPr>
        <w:t>made,</w:t>
      </w:r>
      <w:r>
        <w:rPr>
          <w:color w:val="4D4D4F"/>
          <w:spacing w:val="-19"/>
          <w:w w:val="105"/>
          <w:sz w:val="20"/>
        </w:rPr>
        <w:t xml:space="preserve"> </w:t>
      </w:r>
      <w:r>
        <w:rPr>
          <w:color w:val="4D4D4F"/>
          <w:w w:val="105"/>
          <w:sz w:val="20"/>
        </w:rPr>
        <w:t>but</w:t>
      </w:r>
      <w:r>
        <w:rPr>
          <w:color w:val="4D4D4F"/>
          <w:spacing w:val="-19"/>
          <w:w w:val="105"/>
          <w:sz w:val="20"/>
        </w:rPr>
        <w:t xml:space="preserve"> </w:t>
      </w:r>
      <w:r>
        <w:rPr>
          <w:color w:val="4D4D4F"/>
          <w:w w:val="105"/>
          <w:sz w:val="20"/>
        </w:rPr>
        <w:t>there</w:t>
      </w:r>
      <w:r>
        <w:rPr>
          <w:color w:val="4D4D4F"/>
          <w:spacing w:val="-19"/>
          <w:w w:val="105"/>
          <w:sz w:val="20"/>
        </w:rPr>
        <w:t xml:space="preserve"> </w:t>
      </w:r>
      <w:r>
        <w:rPr>
          <w:color w:val="4D4D4F"/>
          <w:w w:val="105"/>
          <w:sz w:val="20"/>
        </w:rPr>
        <w:t>is</w:t>
      </w:r>
      <w:r>
        <w:rPr>
          <w:color w:val="4D4D4F"/>
          <w:spacing w:val="-19"/>
          <w:w w:val="105"/>
          <w:sz w:val="20"/>
        </w:rPr>
        <w:t xml:space="preserve"> </w:t>
      </w:r>
      <w:r>
        <w:rPr>
          <w:color w:val="4D4D4F"/>
          <w:w w:val="105"/>
          <w:sz w:val="20"/>
        </w:rPr>
        <w:t>only</w:t>
      </w:r>
      <w:r>
        <w:rPr>
          <w:color w:val="4D4D4F"/>
          <w:spacing w:val="-20"/>
          <w:w w:val="105"/>
          <w:sz w:val="20"/>
        </w:rPr>
        <w:t xml:space="preserve"> </w:t>
      </w:r>
      <w:r>
        <w:rPr>
          <w:color w:val="4D4D4F"/>
          <w:w w:val="105"/>
          <w:sz w:val="20"/>
        </w:rPr>
        <w:t>minimal</w:t>
      </w:r>
      <w:r>
        <w:rPr>
          <w:color w:val="4D4D4F"/>
          <w:spacing w:val="-19"/>
          <w:w w:val="105"/>
          <w:sz w:val="20"/>
        </w:rPr>
        <w:t xml:space="preserve"> </w:t>
      </w:r>
      <w:r>
        <w:rPr>
          <w:color w:val="4D4D4F"/>
          <w:w w:val="105"/>
          <w:sz w:val="20"/>
        </w:rPr>
        <w:t>evidence</w:t>
      </w:r>
      <w:r>
        <w:rPr>
          <w:color w:val="4D4D4F"/>
          <w:spacing w:val="-19"/>
          <w:w w:val="105"/>
          <w:sz w:val="20"/>
        </w:rPr>
        <w:t xml:space="preserve"> </w:t>
      </w:r>
      <w:r>
        <w:rPr>
          <w:color w:val="4D4D4F"/>
          <w:w w:val="105"/>
          <w:sz w:val="20"/>
        </w:rPr>
        <w:t>to</w:t>
      </w:r>
      <w:r>
        <w:rPr>
          <w:color w:val="4D4D4F"/>
          <w:spacing w:val="-19"/>
          <w:w w:val="105"/>
          <w:sz w:val="20"/>
        </w:rPr>
        <w:t xml:space="preserve"> </w:t>
      </w:r>
      <w:r>
        <w:rPr>
          <w:color w:val="4D4D4F"/>
          <w:w w:val="105"/>
          <w:sz w:val="20"/>
        </w:rPr>
        <w:t>guide the</w:t>
      </w:r>
      <w:r>
        <w:rPr>
          <w:color w:val="4D4D4F"/>
          <w:spacing w:val="1"/>
          <w:w w:val="105"/>
          <w:sz w:val="20"/>
        </w:rPr>
        <w:t xml:space="preserve"> </w:t>
      </w:r>
      <w:r>
        <w:rPr>
          <w:color w:val="4D4D4F"/>
          <w:w w:val="105"/>
          <w:sz w:val="20"/>
        </w:rPr>
        <w:t>assessment.</w:t>
      </w:r>
    </w:p>
    <w:p w14:paraId="38ABA373" w14:textId="77777777" w:rsidR="00EF5B27" w:rsidRDefault="00000000">
      <w:pPr>
        <w:pStyle w:val="ListParagraph"/>
        <w:numPr>
          <w:ilvl w:val="1"/>
          <w:numId w:val="55"/>
        </w:numPr>
        <w:tabs>
          <w:tab w:val="left" w:pos="2779"/>
        </w:tabs>
        <w:spacing w:before="59"/>
        <w:rPr>
          <w:sz w:val="20"/>
        </w:rPr>
      </w:pPr>
      <w:r>
        <w:rPr>
          <w:b/>
          <w:color w:val="4D4D4F"/>
          <w:sz w:val="20"/>
        </w:rPr>
        <w:t>Moderate</w:t>
      </w:r>
      <w:r>
        <w:rPr>
          <w:color w:val="4D4D4F"/>
          <w:sz w:val="20"/>
        </w:rPr>
        <w:t>: Limited evidence or limited</w:t>
      </w:r>
      <w:r>
        <w:rPr>
          <w:color w:val="4D4D4F"/>
          <w:spacing w:val="16"/>
          <w:sz w:val="20"/>
        </w:rPr>
        <w:t xml:space="preserve"> </w:t>
      </w:r>
      <w:r>
        <w:rPr>
          <w:color w:val="4D4D4F"/>
          <w:sz w:val="20"/>
        </w:rPr>
        <w:t>consensus.</w:t>
      </w:r>
    </w:p>
    <w:p w14:paraId="2BAA3DA2" w14:textId="77777777" w:rsidR="00EF5B27" w:rsidRDefault="00000000">
      <w:pPr>
        <w:pStyle w:val="ListParagraph"/>
        <w:numPr>
          <w:ilvl w:val="1"/>
          <w:numId w:val="55"/>
        </w:numPr>
        <w:tabs>
          <w:tab w:val="left" w:pos="2779"/>
        </w:tabs>
        <w:spacing w:before="73"/>
        <w:rPr>
          <w:sz w:val="20"/>
        </w:rPr>
      </w:pPr>
      <w:r>
        <w:rPr>
          <w:b/>
          <w:color w:val="4D4D4F"/>
          <w:sz w:val="20"/>
        </w:rPr>
        <w:t>High</w:t>
      </w:r>
      <w:r>
        <w:rPr>
          <w:color w:val="4D4D4F"/>
          <w:sz w:val="20"/>
        </w:rPr>
        <w:t>: Adequate high-quality evidence and high level of</w:t>
      </w:r>
      <w:r>
        <w:rPr>
          <w:color w:val="4D4D4F"/>
          <w:spacing w:val="32"/>
          <w:sz w:val="20"/>
        </w:rPr>
        <w:t xml:space="preserve"> </w:t>
      </w:r>
      <w:r>
        <w:rPr>
          <w:color w:val="4D4D4F"/>
          <w:sz w:val="20"/>
        </w:rPr>
        <w:t>consensus.</w:t>
      </w:r>
    </w:p>
    <w:p w14:paraId="3D0B34F0" w14:textId="77777777" w:rsidR="00EF5B27" w:rsidRDefault="00EF5B27">
      <w:pPr>
        <w:pStyle w:val="BodyText"/>
        <w:spacing w:before="2"/>
      </w:pPr>
    </w:p>
    <w:p w14:paraId="71FAA0CB" w14:textId="77777777" w:rsidR="00EF5B27" w:rsidRDefault="00000000">
      <w:pPr>
        <w:pStyle w:val="Heading3"/>
        <w:spacing w:before="1"/>
      </w:pPr>
      <w:r>
        <w:rPr>
          <w:color w:val="F99F2A"/>
        </w:rPr>
        <w:t>Year that baseline was/will be set</w:t>
      </w:r>
    </w:p>
    <w:p w14:paraId="36F78222" w14:textId="77777777" w:rsidR="00EF5B27" w:rsidRDefault="00000000">
      <w:pPr>
        <w:pStyle w:val="BodyText"/>
        <w:spacing w:before="221" w:line="254" w:lineRule="auto"/>
        <w:ind w:left="2608" w:right="221"/>
      </w:pPr>
      <w:r>
        <w:rPr>
          <w:color w:val="4D4D4F"/>
          <w:w w:val="105"/>
        </w:rPr>
        <w:t>In</w:t>
      </w:r>
      <w:r>
        <w:rPr>
          <w:color w:val="4D4D4F"/>
          <w:spacing w:val="-14"/>
          <w:w w:val="105"/>
        </w:rPr>
        <w:t xml:space="preserve"> </w:t>
      </w:r>
      <w:r>
        <w:rPr>
          <w:color w:val="4D4D4F"/>
          <w:w w:val="105"/>
        </w:rPr>
        <w:t>many</w:t>
      </w:r>
      <w:r>
        <w:rPr>
          <w:color w:val="4D4D4F"/>
          <w:spacing w:val="-13"/>
          <w:w w:val="105"/>
        </w:rPr>
        <w:t xml:space="preserve"> </w:t>
      </w:r>
      <w:r>
        <w:rPr>
          <w:color w:val="4D4D4F"/>
          <w:w w:val="105"/>
        </w:rPr>
        <w:t>cases,</w:t>
      </w:r>
      <w:r>
        <w:rPr>
          <w:color w:val="4D4D4F"/>
          <w:spacing w:val="-13"/>
          <w:w w:val="105"/>
        </w:rPr>
        <w:t xml:space="preserve"> </w:t>
      </w:r>
      <w:r>
        <w:rPr>
          <w:color w:val="4D4D4F"/>
          <w:w w:val="105"/>
        </w:rPr>
        <w:t>the</w:t>
      </w:r>
      <w:r>
        <w:rPr>
          <w:color w:val="4D4D4F"/>
          <w:spacing w:val="-13"/>
          <w:w w:val="105"/>
        </w:rPr>
        <w:t xml:space="preserve"> </w:t>
      </w:r>
      <w:r>
        <w:rPr>
          <w:color w:val="4D4D4F"/>
          <w:w w:val="105"/>
        </w:rPr>
        <w:t>baselines</w:t>
      </w:r>
      <w:r>
        <w:rPr>
          <w:color w:val="4D4D4F"/>
          <w:spacing w:val="-13"/>
          <w:w w:val="105"/>
        </w:rPr>
        <w:t xml:space="preserve"> </w:t>
      </w:r>
      <w:r>
        <w:rPr>
          <w:color w:val="4D4D4F"/>
          <w:w w:val="105"/>
        </w:rPr>
        <w:t>for</w:t>
      </w:r>
      <w:r>
        <w:rPr>
          <w:color w:val="4D4D4F"/>
          <w:spacing w:val="-14"/>
          <w:w w:val="105"/>
        </w:rPr>
        <w:t xml:space="preserve"> </w:t>
      </w:r>
      <w:r>
        <w:rPr>
          <w:color w:val="4D4D4F"/>
          <w:w w:val="105"/>
        </w:rPr>
        <w:t>KPIs</w:t>
      </w:r>
      <w:r>
        <w:rPr>
          <w:color w:val="4D4D4F"/>
          <w:spacing w:val="-13"/>
          <w:w w:val="105"/>
        </w:rPr>
        <w:t xml:space="preserve"> </w:t>
      </w:r>
      <w:r>
        <w:rPr>
          <w:color w:val="4D4D4F"/>
          <w:w w:val="105"/>
        </w:rPr>
        <w:t>have</w:t>
      </w:r>
      <w:r>
        <w:rPr>
          <w:color w:val="4D4D4F"/>
          <w:spacing w:val="-13"/>
          <w:w w:val="105"/>
        </w:rPr>
        <w:t xml:space="preserve"> </w:t>
      </w:r>
      <w:r>
        <w:rPr>
          <w:color w:val="4D4D4F"/>
          <w:w w:val="105"/>
        </w:rPr>
        <w:t>not</w:t>
      </w:r>
      <w:r>
        <w:rPr>
          <w:color w:val="4D4D4F"/>
          <w:spacing w:val="-13"/>
          <w:w w:val="105"/>
        </w:rPr>
        <w:t xml:space="preserve"> </w:t>
      </w:r>
      <w:r>
        <w:rPr>
          <w:color w:val="4D4D4F"/>
          <w:w w:val="105"/>
        </w:rPr>
        <w:t>yet</w:t>
      </w:r>
      <w:r>
        <w:rPr>
          <w:color w:val="4D4D4F"/>
          <w:spacing w:val="-13"/>
          <w:w w:val="105"/>
        </w:rPr>
        <w:t xml:space="preserve"> </w:t>
      </w:r>
      <w:r>
        <w:rPr>
          <w:color w:val="4D4D4F"/>
          <w:w w:val="105"/>
        </w:rPr>
        <w:t>been</w:t>
      </w:r>
      <w:r>
        <w:rPr>
          <w:color w:val="4D4D4F"/>
          <w:spacing w:val="-13"/>
          <w:w w:val="105"/>
        </w:rPr>
        <w:t xml:space="preserve"> </w:t>
      </w:r>
      <w:r>
        <w:rPr>
          <w:color w:val="4D4D4F"/>
          <w:w w:val="105"/>
        </w:rPr>
        <w:t>set,</w:t>
      </w:r>
      <w:r>
        <w:rPr>
          <w:color w:val="4D4D4F"/>
          <w:spacing w:val="-14"/>
          <w:w w:val="105"/>
        </w:rPr>
        <w:t xml:space="preserve"> </w:t>
      </w:r>
      <w:r>
        <w:rPr>
          <w:color w:val="4D4D4F"/>
          <w:w w:val="105"/>
        </w:rPr>
        <w:t>the</w:t>
      </w:r>
      <w:r>
        <w:rPr>
          <w:color w:val="4D4D4F"/>
          <w:spacing w:val="-13"/>
          <w:w w:val="105"/>
        </w:rPr>
        <w:t xml:space="preserve"> </w:t>
      </w:r>
      <w:r>
        <w:rPr>
          <w:color w:val="4D4D4F"/>
          <w:w w:val="105"/>
        </w:rPr>
        <w:t>reasons</w:t>
      </w:r>
      <w:r>
        <w:rPr>
          <w:color w:val="4D4D4F"/>
          <w:spacing w:val="-13"/>
          <w:w w:val="105"/>
        </w:rPr>
        <w:t xml:space="preserve"> </w:t>
      </w:r>
      <w:r>
        <w:rPr>
          <w:color w:val="4D4D4F"/>
          <w:w w:val="105"/>
        </w:rPr>
        <w:t>for</w:t>
      </w:r>
      <w:r>
        <w:rPr>
          <w:color w:val="4D4D4F"/>
          <w:spacing w:val="-13"/>
          <w:w w:val="105"/>
        </w:rPr>
        <w:t xml:space="preserve"> </w:t>
      </w:r>
      <w:r>
        <w:rPr>
          <w:color w:val="4D4D4F"/>
          <w:w w:val="105"/>
        </w:rPr>
        <w:t>which may</w:t>
      </w:r>
      <w:r>
        <w:rPr>
          <w:color w:val="4D4D4F"/>
          <w:spacing w:val="1"/>
          <w:w w:val="105"/>
        </w:rPr>
        <w:t xml:space="preserve"> </w:t>
      </w:r>
      <w:r>
        <w:rPr>
          <w:color w:val="4D4D4F"/>
          <w:w w:val="105"/>
        </w:rPr>
        <w:t>include:</w:t>
      </w:r>
    </w:p>
    <w:p w14:paraId="50482BE4" w14:textId="77777777" w:rsidR="00EF5B27" w:rsidRDefault="00000000">
      <w:pPr>
        <w:pStyle w:val="ListParagraph"/>
        <w:numPr>
          <w:ilvl w:val="1"/>
          <w:numId w:val="55"/>
        </w:numPr>
        <w:tabs>
          <w:tab w:val="left" w:pos="2779"/>
        </w:tabs>
        <w:spacing w:before="116" w:line="254" w:lineRule="auto"/>
        <w:ind w:right="317"/>
        <w:rPr>
          <w:sz w:val="20"/>
        </w:rPr>
      </w:pPr>
      <w:r>
        <w:rPr>
          <w:color w:val="4D4D4F"/>
          <w:sz w:val="20"/>
        </w:rPr>
        <w:t>a lack of data for the baselines to be set under the current definitions. For some KPIs, the baseline is calculated not from the first survey, but from the mean of the first five years of monitoring data. In such instances, not enough time has elapsed for the baseline to be</w:t>
      </w:r>
      <w:r>
        <w:rPr>
          <w:color w:val="4D4D4F"/>
          <w:spacing w:val="19"/>
          <w:sz w:val="20"/>
        </w:rPr>
        <w:t xml:space="preserve"> </w:t>
      </w:r>
      <w:r>
        <w:rPr>
          <w:color w:val="4D4D4F"/>
          <w:sz w:val="20"/>
        </w:rPr>
        <w:t>calculated</w:t>
      </w:r>
    </w:p>
    <w:p w14:paraId="7BC8A5FD" w14:textId="77777777" w:rsidR="00EF5B27" w:rsidRDefault="00000000">
      <w:pPr>
        <w:pStyle w:val="ListParagraph"/>
        <w:numPr>
          <w:ilvl w:val="1"/>
          <w:numId w:val="55"/>
        </w:numPr>
        <w:tabs>
          <w:tab w:val="left" w:pos="2779"/>
        </w:tabs>
        <w:spacing w:before="61"/>
        <w:rPr>
          <w:sz w:val="20"/>
        </w:rPr>
      </w:pPr>
      <w:r>
        <w:rPr>
          <w:color w:val="4D4D4F"/>
          <w:sz w:val="20"/>
        </w:rPr>
        <w:t>monitoring has not yet commenced due to lack of protection of monitored</w:t>
      </w:r>
      <w:r>
        <w:rPr>
          <w:color w:val="4D4D4F"/>
          <w:spacing w:val="17"/>
          <w:sz w:val="20"/>
        </w:rPr>
        <w:t xml:space="preserve"> </w:t>
      </w:r>
      <w:r>
        <w:rPr>
          <w:color w:val="4D4D4F"/>
          <w:sz w:val="20"/>
        </w:rPr>
        <w:t>areas</w:t>
      </w:r>
    </w:p>
    <w:p w14:paraId="5B94C4C8" w14:textId="77777777" w:rsidR="00EF5B27" w:rsidRDefault="00000000">
      <w:pPr>
        <w:pStyle w:val="ListParagraph"/>
        <w:numPr>
          <w:ilvl w:val="1"/>
          <w:numId w:val="55"/>
        </w:numPr>
        <w:tabs>
          <w:tab w:val="left" w:pos="2779"/>
        </w:tabs>
        <w:spacing w:before="72"/>
        <w:rPr>
          <w:sz w:val="20"/>
        </w:rPr>
      </w:pPr>
      <w:r>
        <w:rPr>
          <w:color w:val="4D4D4F"/>
          <w:sz w:val="20"/>
        </w:rPr>
        <w:t>the KPI is not measured against a</w:t>
      </w:r>
      <w:r>
        <w:rPr>
          <w:color w:val="4D4D4F"/>
          <w:spacing w:val="32"/>
          <w:sz w:val="20"/>
        </w:rPr>
        <w:t xml:space="preserve"> </w:t>
      </w:r>
      <w:r>
        <w:rPr>
          <w:color w:val="4D4D4F"/>
          <w:sz w:val="20"/>
        </w:rPr>
        <w:t>baseline.</w:t>
      </w:r>
    </w:p>
    <w:p w14:paraId="754E1FD1" w14:textId="77777777" w:rsidR="00EF5B27" w:rsidRDefault="00EF5B27">
      <w:pPr>
        <w:rPr>
          <w:sz w:val="20"/>
        </w:rPr>
        <w:sectPr w:rsidR="00EF5B27">
          <w:type w:val="continuous"/>
          <w:pgSz w:w="11910" w:h="16840"/>
          <w:pgMar w:top="1140" w:right="1020" w:bottom="280" w:left="1020" w:header="720" w:footer="720" w:gutter="0"/>
          <w:cols w:space="720"/>
        </w:sectPr>
      </w:pPr>
    </w:p>
    <w:p w14:paraId="51279C18" w14:textId="77777777" w:rsidR="00EF5B27" w:rsidRDefault="00EF5B27">
      <w:pPr>
        <w:pStyle w:val="BodyText"/>
      </w:pPr>
    </w:p>
    <w:p w14:paraId="779C38A1" w14:textId="77777777" w:rsidR="00EF5B27" w:rsidRDefault="00EF5B27">
      <w:pPr>
        <w:pStyle w:val="BodyText"/>
      </w:pPr>
    </w:p>
    <w:p w14:paraId="3F35789E" w14:textId="77777777" w:rsidR="00EF5B27" w:rsidRDefault="00EF5B27">
      <w:pPr>
        <w:pStyle w:val="BodyText"/>
      </w:pPr>
    </w:p>
    <w:p w14:paraId="01611042" w14:textId="77777777" w:rsidR="00EF5B27" w:rsidRDefault="00EF5B27">
      <w:pPr>
        <w:pStyle w:val="BodyText"/>
        <w:spacing w:before="8"/>
      </w:pPr>
    </w:p>
    <w:p w14:paraId="03B952B4" w14:textId="77777777" w:rsidR="00EF5B27" w:rsidRDefault="00000000">
      <w:pPr>
        <w:pStyle w:val="Heading2"/>
      </w:pPr>
      <w:bookmarkStart w:id="11" w:name="_bookmark10"/>
      <w:bookmarkEnd w:id="11"/>
      <w:r>
        <w:rPr>
          <w:color w:val="F99F2A"/>
        </w:rPr>
        <w:t>MSA program design and implementation</w:t>
      </w:r>
    </w:p>
    <w:p w14:paraId="77A662A2" w14:textId="77777777" w:rsidR="00EF5B27" w:rsidRDefault="00EF5B27">
      <w:pPr>
        <w:pStyle w:val="BodyText"/>
        <w:spacing w:before="6"/>
        <w:rPr>
          <w:b/>
          <w:sz w:val="77"/>
        </w:rPr>
      </w:pPr>
    </w:p>
    <w:p w14:paraId="4522E2BC" w14:textId="77777777" w:rsidR="00EF5B27" w:rsidRDefault="00000000">
      <w:pPr>
        <w:pStyle w:val="Heading6"/>
        <w:spacing w:before="1" w:line="254" w:lineRule="auto"/>
      </w:pPr>
      <w:r>
        <w:pict w14:anchorId="56E0A23A">
          <v:group id="_x0000_s4271" style="position:absolute;left:0;text-align:left;margin-left:56.7pt;margin-top:59.45pt;width:481.15pt;height:.25pt;z-index:251410944;mso-position-horizontal-relative:page" coordorigin="1134,1189" coordsize="9623,5">
            <v:line id="_x0000_s4273" style="position:absolute" from="1134,1191" to="3628,1191" strokeweight=".25pt"/>
            <v:line id="_x0000_s4272" style="position:absolute" from="3628,1191" to="10756,1191" strokeweight=".25pt"/>
            <w10:wrap anchorx="page"/>
          </v:group>
        </w:pict>
      </w:r>
      <w:r>
        <w:rPr>
          <w:color w:val="4D4D4F"/>
        </w:rPr>
        <w:t xml:space="preserve">The </w:t>
      </w:r>
      <w:r>
        <w:rPr>
          <w:color w:val="4D4D4F"/>
          <w:spacing w:val="-3"/>
        </w:rPr>
        <w:t xml:space="preserve">four </w:t>
      </w:r>
      <w:r>
        <w:rPr>
          <w:color w:val="4D4D4F"/>
          <w:spacing w:val="-4"/>
        </w:rPr>
        <w:t xml:space="preserve">recommendations </w:t>
      </w:r>
      <w:r>
        <w:rPr>
          <w:color w:val="4D4D4F"/>
          <w:spacing w:val="-3"/>
        </w:rPr>
        <w:t xml:space="preserve">in </w:t>
      </w:r>
      <w:r>
        <w:rPr>
          <w:color w:val="4D4D4F"/>
          <w:spacing w:val="-4"/>
        </w:rPr>
        <w:t xml:space="preserve">this section inform </w:t>
      </w:r>
      <w:r>
        <w:rPr>
          <w:color w:val="4D4D4F"/>
          <w:spacing w:val="-3"/>
        </w:rPr>
        <w:t xml:space="preserve">practical </w:t>
      </w:r>
      <w:r>
        <w:rPr>
          <w:color w:val="4D4D4F"/>
          <w:spacing w:val="-4"/>
        </w:rPr>
        <w:t xml:space="preserve">measures </w:t>
      </w:r>
      <w:r>
        <w:rPr>
          <w:color w:val="4D4D4F"/>
        </w:rPr>
        <w:t xml:space="preserve">to </w:t>
      </w:r>
      <w:r>
        <w:rPr>
          <w:color w:val="4D4D4F"/>
          <w:spacing w:val="-3"/>
        </w:rPr>
        <w:t xml:space="preserve">drive </w:t>
      </w:r>
      <w:r>
        <w:rPr>
          <w:color w:val="4D4D4F"/>
          <w:spacing w:val="-5"/>
        </w:rPr>
        <w:t xml:space="preserve">continuous </w:t>
      </w:r>
      <w:r>
        <w:rPr>
          <w:color w:val="4D4D4F"/>
        </w:rPr>
        <w:t>improvement of the MSA program itself to support and improve the conservation outcomes of the MNES.</w:t>
      </w:r>
    </w:p>
    <w:p w14:paraId="666126E1" w14:textId="77777777" w:rsidR="00EF5B27" w:rsidRDefault="00EF5B27">
      <w:pPr>
        <w:pStyle w:val="BodyText"/>
        <w:rPr>
          <w:b/>
        </w:rPr>
      </w:pPr>
    </w:p>
    <w:p w14:paraId="381D64C0" w14:textId="77777777" w:rsidR="00EF5B27" w:rsidRDefault="00000000">
      <w:pPr>
        <w:pStyle w:val="BodyText"/>
        <w:spacing w:before="11"/>
        <w:rPr>
          <w:b/>
          <w:sz w:val="11"/>
        </w:rPr>
      </w:pPr>
      <w:r>
        <w:pict w14:anchorId="02BC7FAA">
          <v:shape id="_x0000_s4270" type="#_x0000_t202" style="position:absolute;margin-left:56.7pt;margin-top:8.45pt;width:481.15pt;height:25.4pt;z-index:251337216;mso-wrap-distance-left:0;mso-wrap-distance-right:0;mso-position-horizontal-relative:page" fillcolor="#fecc91" stroked="f">
            <v:textbox inset="0,0,0,0">
              <w:txbxContent>
                <w:p w14:paraId="3FFA2231" w14:textId="77777777" w:rsidR="00EF5B27" w:rsidRDefault="00000000">
                  <w:pPr>
                    <w:tabs>
                      <w:tab w:val="left" w:pos="2607"/>
                    </w:tabs>
                    <w:spacing w:before="142"/>
                    <w:ind w:left="113"/>
                    <w:rPr>
                      <w:b/>
                      <w:sz w:val="20"/>
                    </w:rPr>
                  </w:pPr>
                  <w:r>
                    <w:rPr>
                      <w:b/>
                      <w:color w:val="4D4D4F"/>
                      <w:sz w:val="20"/>
                    </w:rPr>
                    <w:t>Theme</w:t>
                  </w:r>
                  <w:r>
                    <w:rPr>
                      <w:b/>
                      <w:color w:val="4D4D4F"/>
                      <w:sz w:val="20"/>
                    </w:rPr>
                    <w:tab/>
                    <w:t>Monitoring, evaluation and reporting on the Conservation</w:t>
                  </w:r>
                  <w:r>
                    <w:rPr>
                      <w:b/>
                      <w:color w:val="4D4D4F"/>
                      <w:spacing w:val="16"/>
                      <w:sz w:val="20"/>
                    </w:rPr>
                    <w:t xml:space="preserve"> </w:t>
                  </w:r>
                  <w:r>
                    <w:rPr>
                      <w:b/>
                      <w:color w:val="4D4D4F"/>
                      <w:sz w:val="20"/>
                    </w:rPr>
                    <w:t>Outcomes</w:t>
                  </w:r>
                </w:p>
              </w:txbxContent>
            </v:textbox>
            <w10:wrap type="topAndBottom" anchorx="page"/>
          </v:shape>
        </w:pict>
      </w:r>
    </w:p>
    <w:p w14:paraId="5AAED983" w14:textId="77777777" w:rsidR="00EF5B27" w:rsidRDefault="00EF5B27">
      <w:pPr>
        <w:pStyle w:val="BodyText"/>
        <w:spacing w:before="8"/>
        <w:rPr>
          <w:b/>
          <w:sz w:val="5"/>
        </w:rPr>
      </w:pPr>
    </w:p>
    <w:p w14:paraId="00DB6689" w14:textId="77777777" w:rsidR="00EF5B27" w:rsidRDefault="00EF5B27">
      <w:pPr>
        <w:rPr>
          <w:sz w:val="5"/>
        </w:rPr>
        <w:sectPr w:rsidR="00EF5B27">
          <w:pgSz w:w="11910" w:h="16840"/>
          <w:pgMar w:top="1080" w:right="1020" w:bottom="860" w:left="1020" w:header="537" w:footer="678" w:gutter="0"/>
          <w:cols w:space="720"/>
        </w:sectPr>
      </w:pPr>
    </w:p>
    <w:p w14:paraId="7BF9577A" w14:textId="77777777" w:rsidR="00EF5B27" w:rsidRDefault="00000000">
      <w:pPr>
        <w:pStyle w:val="BodyText"/>
        <w:spacing w:before="54"/>
        <w:ind w:left="227"/>
      </w:pPr>
      <w:r>
        <w:pict w14:anchorId="147A4226">
          <v:group id="_x0000_s4267" style="position:absolute;left:0;text-align:left;margin-left:56.7pt;margin-top:-4.2pt;width:481.15pt;height:.25pt;z-index:251411968;mso-position-horizontal-relative:page" coordorigin="1134,-84" coordsize="9623,5">
            <v:line id="_x0000_s4269" style="position:absolute" from="1134,-81" to="3628,-81" strokeweight=".25pt"/>
            <v:line id="_x0000_s4268" style="position:absolute" from="3628,-81" to="10756,-81" strokeweight=".25pt"/>
            <w10:wrap anchorx="page"/>
          </v:group>
        </w:pict>
      </w:r>
      <w:r>
        <w:rPr>
          <w:color w:val="4D4D4F"/>
        </w:rPr>
        <w:t>Recommendation</w:t>
      </w:r>
    </w:p>
    <w:p w14:paraId="279DEEFD" w14:textId="77777777" w:rsidR="00EF5B27" w:rsidRDefault="00000000">
      <w:pPr>
        <w:pStyle w:val="Heading1"/>
        <w:spacing w:before="3"/>
      </w:pPr>
      <w:r>
        <w:rPr>
          <w:color w:val="4D4D4F"/>
          <w:w w:val="105"/>
        </w:rPr>
        <w:t>01</w:t>
      </w:r>
    </w:p>
    <w:p w14:paraId="70E6351A" w14:textId="77777777" w:rsidR="00EF5B27" w:rsidRDefault="00000000">
      <w:pPr>
        <w:pStyle w:val="BodyText"/>
        <w:spacing w:before="54" w:line="254" w:lineRule="auto"/>
        <w:ind w:left="227" w:right="195"/>
      </w:pPr>
      <w:r>
        <w:br w:type="column"/>
      </w:r>
      <w:r>
        <w:rPr>
          <w:color w:val="4D4D4F"/>
          <w:w w:val="105"/>
        </w:rPr>
        <w:t>That</w:t>
      </w:r>
      <w:r>
        <w:rPr>
          <w:color w:val="4D4D4F"/>
          <w:spacing w:val="-21"/>
          <w:w w:val="105"/>
        </w:rPr>
        <w:t xml:space="preserve"> </w:t>
      </w:r>
      <w:r>
        <w:rPr>
          <w:color w:val="4D4D4F"/>
          <w:w w:val="105"/>
        </w:rPr>
        <w:t>DELWP</w:t>
      </w:r>
      <w:r>
        <w:rPr>
          <w:color w:val="4D4D4F"/>
          <w:spacing w:val="-20"/>
          <w:w w:val="105"/>
        </w:rPr>
        <w:t xml:space="preserve"> </w:t>
      </w:r>
      <w:r>
        <w:rPr>
          <w:color w:val="4D4D4F"/>
          <w:w w:val="105"/>
        </w:rPr>
        <w:t>undertakes</w:t>
      </w:r>
      <w:r>
        <w:rPr>
          <w:color w:val="4D4D4F"/>
          <w:spacing w:val="-20"/>
          <w:w w:val="105"/>
        </w:rPr>
        <w:t xml:space="preserve"> </w:t>
      </w:r>
      <w:r>
        <w:rPr>
          <w:color w:val="4D4D4F"/>
          <w:w w:val="105"/>
        </w:rPr>
        <w:t>a</w:t>
      </w:r>
      <w:r>
        <w:rPr>
          <w:color w:val="4D4D4F"/>
          <w:spacing w:val="-20"/>
          <w:w w:val="105"/>
        </w:rPr>
        <w:t xml:space="preserve"> </w:t>
      </w:r>
      <w:r>
        <w:rPr>
          <w:color w:val="4D4D4F"/>
          <w:w w:val="105"/>
        </w:rPr>
        <w:t>review</w:t>
      </w:r>
      <w:r>
        <w:rPr>
          <w:color w:val="4D4D4F"/>
          <w:spacing w:val="-21"/>
          <w:w w:val="105"/>
        </w:rPr>
        <w:t xml:space="preserve"> </w:t>
      </w:r>
      <w:r>
        <w:rPr>
          <w:color w:val="4D4D4F"/>
          <w:w w:val="105"/>
        </w:rPr>
        <w:t>of</w:t>
      </w:r>
      <w:r>
        <w:rPr>
          <w:color w:val="4D4D4F"/>
          <w:spacing w:val="-20"/>
          <w:w w:val="105"/>
        </w:rPr>
        <w:t xml:space="preserve"> </w:t>
      </w:r>
      <w:r>
        <w:rPr>
          <w:color w:val="4D4D4F"/>
          <w:w w:val="105"/>
        </w:rPr>
        <w:t>the</w:t>
      </w:r>
      <w:r>
        <w:rPr>
          <w:color w:val="4D4D4F"/>
          <w:spacing w:val="-20"/>
          <w:w w:val="105"/>
        </w:rPr>
        <w:t xml:space="preserve"> </w:t>
      </w:r>
      <w:r>
        <w:rPr>
          <w:color w:val="4D4D4F"/>
          <w:w w:val="105"/>
        </w:rPr>
        <w:t>MSA</w:t>
      </w:r>
      <w:r>
        <w:rPr>
          <w:color w:val="4D4D4F"/>
          <w:spacing w:val="-20"/>
          <w:w w:val="105"/>
        </w:rPr>
        <w:t xml:space="preserve"> </w:t>
      </w:r>
      <w:r>
        <w:rPr>
          <w:color w:val="4D4D4F"/>
          <w:w w:val="105"/>
        </w:rPr>
        <w:t>ecological</w:t>
      </w:r>
      <w:r>
        <w:rPr>
          <w:color w:val="4D4D4F"/>
          <w:spacing w:val="-21"/>
          <w:w w:val="105"/>
        </w:rPr>
        <w:t xml:space="preserve"> </w:t>
      </w:r>
      <w:r>
        <w:rPr>
          <w:color w:val="4D4D4F"/>
          <w:w w:val="105"/>
        </w:rPr>
        <w:t>monitoring</w:t>
      </w:r>
      <w:r>
        <w:rPr>
          <w:color w:val="4D4D4F"/>
          <w:spacing w:val="-20"/>
          <w:w w:val="105"/>
        </w:rPr>
        <w:t xml:space="preserve"> </w:t>
      </w:r>
      <w:r>
        <w:rPr>
          <w:color w:val="4D4D4F"/>
          <w:w w:val="105"/>
        </w:rPr>
        <w:t>and</w:t>
      </w:r>
      <w:r>
        <w:rPr>
          <w:color w:val="4D4D4F"/>
          <w:spacing w:val="-20"/>
          <w:w w:val="105"/>
        </w:rPr>
        <w:t xml:space="preserve"> </w:t>
      </w:r>
      <w:r>
        <w:rPr>
          <w:color w:val="4D4D4F"/>
          <w:w w:val="105"/>
        </w:rPr>
        <w:t xml:space="preserve">reporting framework </w:t>
      </w:r>
      <w:r>
        <w:rPr>
          <w:color w:val="4D4D4F"/>
          <w:spacing w:val="-3"/>
          <w:w w:val="105"/>
        </w:rPr>
        <w:t xml:space="preserve">(MRF), </w:t>
      </w:r>
      <w:r>
        <w:rPr>
          <w:color w:val="4D4D4F"/>
          <w:w w:val="105"/>
        </w:rPr>
        <w:t>including a redesign of existing methods and KPI measures where</w:t>
      </w:r>
      <w:r>
        <w:rPr>
          <w:color w:val="4D4D4F"/>
          <w:spacing w:val="-12"/>
          <w:w w:val="105"/>
        </w:rPr>
        <w:t xml:space="preserve"> </w:t>
      </w:r>
      <w:r>
        <w:rPr>
          <w:color w:val="4D4D4F"/>
          <w:w w:val="105"/>
        </w:rPr>
        <w:t>required,</w:t>
      </w:r>
      <w:r>
        <w:rPr>
          <w:color w:val="4D4D4F"/>
          <w:spacing w:val="-12"/>
          <w:w w:val="105"/>
        </w:rPr>
        <w:t xml:space="preserve"> </w:t>
      </w:r>
      <w:r>
        <w:rPr>
          <w:color w:val="4D4D4F"/>
          <w:w w:val="105"/>
        </w:rPr>
        <w:t>to</w:t>
      </w:r>
      <w:r>
        <w:rPr>
          <w:color w:val="4D4D4F"/>
          <w:spacing w:val="-12"/>
          <w:w w:val="105"/>
        </w:rPr>
        <w:t xml:space="preserve"> </w:t>
      </w:r>
      <w:r>
        <w:rPr>
          <w:color w:val="4D4D4F"/>
          <w:w w:val="105"/>
        </w:rPr>
        <w:t>achieve</w:t>
      </w:r>
      <w:r>
        <w:rPr>
          <w:color w:val="4D4D4F"/>
          <w:spacing w:val="-12"/>
          <w:w w:val="105"/>
        </w:rPr>
        <w:t xml:space="preserve"> </w:t>
      </w:r>
      <w:r>
        <w:rPr>
          <w:color w:val="4D4D4F"/>
          <w:w w:val="105"/>
        </w:rPr>
        <w:t>landscape-scale,</w:t>
      </w:r>
      <w:r>
        <w:rPr>
          <w:color w:val="4D4D4F"/>
          <w:spacing w:val="-12"/>
          <w:w w:val="105"/>
        </w:rPr>
        <w:t xml:space="preserve"> </w:t>
      </w:r>
      <w:r>
        <w:rPr>
          <w:color w:val="4D4D4F"/>
          <w:w w:val="105"/>
        </w:rPr>
        <w:t>MNES</w:t>
      </w:r>
      <w:r>
        <w:rPr>
          <w:color w:val="4D4D4F"/>
          <w:spacing w:val="-12"/>
          <w:w w:val="105"/>
        </w:rPr>
        <w:t xml:space="preserve"> </w:t>
      </w:r>
      <w:r>
        <w:rPr>
          <w:color w:val="4D4D4F"/>
          <w:w w:val="105"/>
        </w:rPr>
        <w:t>conservation</w:t>
      </w:r>
      <w:r>
        <w:rPr>
          <w:color w:val="4D4D4F"/>
          <w:spacing w:val="-11"/>
          <w:w w:val="105"/>
        </w:rPr>
        <w:t xml:space="preserve"> </w:t>
      </w:r>
      <w:r>
        <w:rPr>
          <w:color w:val="4D4D4F"/>
          <w:w w:val="105"/>
        </w:rPr>
        <w:t>outcomes.</w:t>
      </w:r>
    </w:p>
    <w:p w14:paraId="4A901471" w14:textId="77777777" w:rsidR="00EF5B27" w:rsidRDefault="00000000">
      <w:pPr>
        <w:pStyle w:val="BodyText"/>
        <w:spacing w:before="3" w:line="254" w:lineRule="auto"/>
        <w:ind w:left="227" w:right="407"/>
      </w:pPr>
      <w:r>
        <w:rPr>
          <w:color w:val="4D4D4F"/>
        </w:rPr>
        <w:t>This would include establishing a research strategy to address priority knowledge gaps and improve understanding of MNES and their management.</w:t>
      </w:r>
    </w:p>
    <w:p w14:paraId="146CFF68"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704" w:space="790"/>
            <w:col w:w="7376"/>
          </w:cols>
        </w:sectPr>
      </w:pPr>
    </w:p>
    <w:p w14:paraId="348EEFC8" w14:textId="77777777" w:rsidR="00EF5B27" w:rsidRDefault="00000000">
      <w:pPr>
        <w:pStyle w:val="BodyText"/>
      </w:pPr>
      <w:r>
        <w:pict w14:anchorId="314877C9">
          <v:group id="_x0000_s4259" style="position:absolute;margin-left:587.05pt;margin-top:183.4pt;width:8.25pt;height:153.1pt;z-index:251409920;mso-position-horizontal-relative:page;mso-position-vertical-relative:page" coordorigin="11741,3668" coordsize="165,3062">
            <v:shape id="_x0000_s4266" style="position:absolute;left:11741;top:3668;width:165;height:561" coordorigin="11741,3668" coordsize="165,561" path="m11906,3668r-165,l11741,4228r165,-18l11906,3668xe" fillcolor="#00aed9" stroked="f">
              <v:path arrowok="t"/>
            </v:shape>
            <v:shape id="_x0000_s4265" style="position:absolute;left:11741;top:4118;width:165;height:425" coordorigin="11741,4118" coordsize="165,425" path="m11906,4118r-165,14l11741,4531r165,12l11906,4118xe" fillcolor="#047ebc" stroked="f">
              <v:path arrowok="t"/>
            </v:shape>
            <v:shape id="_x0000_s4264" type="#_x0000_t75" style="position:absolute;left:11741;top:4355;width:165;height:587">
              <v:imagedata r:id="rId42" o:title=""/>
            </v:shape>
            <v:shape id="_x0000_s4263" style="position:absolute;left:11741;top:5343;width:165;height:536" coordorigin="11741,5343" coordsize="165,536" path="m11741,5343r,535l11906,5872r,-525l11741,5343xe" fillcolor="#f36a2e" stroked="f">
              <v:path arrowok="t"/>
            </v:shape>
            <v:shape id="_x0000_s4262" style="position:absolute;left:11741;top:4925;width:165;height:501" coordorigin="11741,4926" coordsize="165,501" path="m11741,4926r,500l11906,5426r,-485l11741,4926xe" fillcolor="#49783f" stroked="f">
              <v:path arrowok="t"/>
            </v:shape>
            <v:shape id="_x0000_s4261" style="position:absolute;left:11741;top:5781;width:165;height:268" coordorigin="11741,5782" coordsize="165,268" path="m11906,5782r-165,8l11741,6039r165,10l11906,5782xe" fillcolor="#f99f2a" stroked="f">
              <v:path arrowok="t"/>
            </v:shape>
            <v:shape id="_x0000_s4260" style="position:absolute;left:11741;top:6023;width:165;height:707" coordorigin="11741,6023" coordsize="165,707" path="m11741,6023r,706l11906,6729r,-690l11741,6023xe" fillcolor="#ef412c" stroked="f">
              <v:path arrowok="t"/>
            </v:shape>
            <w10:wrap anchorx="page" anchory="page"/>
          </v:group>
        </w:pict>
      </w:r>
    </w:p>
    <w:p w14:paraId="6A918B91" w14:textId="77777777" w:rsidR="00EF5B27" w:rsidRDefault="00EF5B27">
      <w:pPr>
        <w:pStyle w:val="BodyText"/>
        <w:rPr>
          <w:sz w:val="11"/>
        </w:rPr>
      </w:pPr>
    </w:p>
    <w:p w14:paraId="6CA4378E" w14:textId="77777777" w:rsidR="00EF5B27" w:rsidRDefault="00000000">
      <w:pPr>
        <w:pStyle w:val="BodyText"/>
        <w:spacing w:line="20" w:lineRule="exact"/>
        <w:ind w:left="110"/>
        <w:rPr>
          <w:sz w:val="2"/>
        </w:rPr>
      </w:pPr>
      <w:r>
        <w:rPr>
          <w:sz w:val="2"/>
        </w:rPr>
      </w:r>
      <w:r>
        <w:rPr>
          <w:sz w:val="2"/>
        </w:rPr>
        <w:pict w14:anchorId="541B3EF3">
          <v:group id="_x0000_s4256" style="width:481.15pt;height:.25pt;mso-position-horizontal-relative:char;mso-position-vertical-relative:line" coordsize="9623,5">
            <v:line id="_x0000_s4258" style="position:absolute" from="0,3" to="2494,3" strokeweight=".25pt"/>
            <v:line id="_x0000_s4257" style="position:absolute" from="2494,3" to="9622,3" strokeweight=".25pt"/>
            <w10:anchorlock/>
          </v:group>
        </w:pict>
      </w:r>
    </w:p>
    <w:p w14:paraId="72F4226B" w14:textId="77777777" w:rsidR="00EF5B27" w:rsidRDefault="00EF5B27">
      <w:pPr>
        <w:pStyle w:val="BodyText"/>
        <w:rPr>
          <w:sz w:val="24"/>
        </w:rPr>
      </w:pPr>
    </w:p>
    <w:p w14:paraId="1AD94900" w14:textId="77777777" w:rsidR="00EF5B27" w:rsidRDefault="00000000">
      <w:pPr>
        <w:pStyle w:val="Heading6"/>
        <w:spacing w:before="111"/>
      </w:pPr>
      <w:r>
        <w:rPr>
          <w:color w:val="4D4D4F"/>
        </w:rPr>
        <w:t>Clarifying the objective: rehabilitation or maintenance</w:t>
      </w:r>
    </w:p>
    <w:p w14:paraId="1CD24EA8" w14:textId="77777777" w:rsidR="00EF5B27" w:rsidRDefault="00000000">
      <w:pPr>
        <w:pStyle w:val="BodyText"/>
        <w:spacing w:before="129" w:line="254" w:lineRule="auto"/>
        <w:ind w:left="2608" w:right="465"/>
      </w:pPr>
      <w:r>
        <w:rPr>
          <w:color w:val="4D4D4F"/>
        </w:rPr>
        <w:t>The MSA program design is limited in scope to monitoring and reporting on MNES outcomes defined under the original agreement with the Commonwealth, with a focus on evidence to demonstrate maintaining the existence of species. However, comprehensive analysis of biodiversity values at an ecosystem scale, coupled with rehabilitation, is required to achieve whole-of-landscape outcomes.</w:t>
      </w:r>
    </w:p>
    <w:p w14:paraId="4B204BB6" w14:textId="77777777" w:rsidR="00EF5B27" w:rsidRDefault="00000000">
      <w:pPr>
        <w:pStyle w:val="BodyText"/>
        <w:spacing w:before="120" w:line="254" w:lineRule="auto"/>
        <w:ind w:left="2608" w:right="308"/>
      </w:pPr>
      <w:r>
        <w:rPr>
          <w:color w:val="4D4D4F"/>
        </w:rPr>
        <w:t>Many areas within the Western Grassland Reserve are acquired in poor condition and, as such, much of the focus is on weed management and protection of higher quality areas from weed encroachment. DELWP has indicated that restoration to improve grassland condition has not been a realistic or feasible objective.</w:t>
      </w:r>
      <w:r>
        <w:rPr>
          <w:color w:val="4D4D4F"/>
          <w:position w:val="7"/>
          <w:sz w:val="11"/>
        </w:rPr>
        <w:t xml:space="preserve">33 </w:t>
      </w:r>
      <w:r>
        <w:rPr>
          <w:color w:val="4D4D4F"/>
          <w:spacing w:val="-3"/>
        </w:rPr>
        <w:t xml:space="preserve">However, </w:t>
      </w:r>
      <w:r>
        <w:rPr>
          <w:color w:val="4D4D4F"/>
        </w:rPr>
        <w:t>comprehensive analysis of biodiversity values at an ecosystem scale is required to achieve whole-of-landscape</w:t>
      </w:r>
      <w:r>
        <w:rPr>
          <w:color w:val="4D4D4F"/>
          <w:spacing w:val="8"/>
        </w:rPr>
        <w:t xml:space="preserve"> </w:t>
      </w:r>
      <w:r>
        <w:rPr>
          <w:color w:val="4D4D4F"/>
        </w:rPr>
        <w:t>outcomes.</w:t>
      </w:r>
    </w:p>
    <w:p w14:paraId="3105664D" w14:textId="77777777" w:rsidR="00EF5B27" w:rsidRDefault="00000000">
      <w:pPr>
        <w:pStyle w:val="Heading6"/>
        <w:spacing w:before="120"/>
      </w:pPr>
      <w:r>
        <w:rPr>
          <w:color w:val="4D4D4F"/>
        </w:rPr>
        <w:t>Focus of MRF review</w:t>
      </w:r>
    </w:p>
    <w:p w14:paraId="37326201" w14:textId="77777777" w:rsidR="00EF5B27" w:rsidRDefault="00000000">
      <w:pPr>
        <w:pStyle w:val="BodyText"/>
        <w:spacing w:before="130" w:line="254" w:lineRule="auto"/>
        <w:ind w:left="2608" w:right="248"/>
      </w:pPr>
      <w:r>
        <w:rPr>
          <w:color w:val="4D4D4F"/>
        </w:rPr>
        <w:t xml:space="preserve">The MSA ecological monitoring program is undertaken with scientific rigour by well- respected and qualified scientists; </w:t>
      </w:r>
      <w:r>
        <w:rPr>
          <w:color w:val="4D4D4F"/>
          <w:spacing w:val="-3"/>
        </w:rPr>
        <w:t xml:space="preserve">however, </w:t>
      </w:r>
      <w:r>
        <w:rPr>
          <w:color w:val="4D4D4F"/>
        </w:rPr>
        <w:t>there is a need to improve metrics, define thresholds to measure success or failure, triggers for management intervention and   to establish counterfactual</w:t>
      </w:r>
      <w:r>
        <w:rPr>
          <w:color w:val="4D4D4F"/>
          <w:spacing w:val="12"/>
        </w:rPr>
        <w:t xml:space="preserve"> </w:t>
      </w:r>
      <w:r>
        <w:rPr>
          <w:color w:val="4D4D4F"/>
        </w:rPr>
        <w:t>controls.</w:t>
      </w:r>
    </w:p>
    <w:p w14:paraId="22E68586" w14:textId="77777777" w:rsidR="00EF5B27" w:rsidRDefault="00000000">
      <w:pPr>
        <w:pStyle w:val="BodyText"/>
        <w:spacing w:before="118"/>
        <w:ind w:left="2608"/>
      </w:pPr>
      <w:r>
        <w:rPr>
          <w:color w:val="4D4D4F"/>
        </w:rPr>
        <w:t>Specifically, there are three aspects of the MRF that require attention:</w:t>
      </w:r>
    </w:p>
    <w:p w14:paraId="009D3243" w14:textId="77777777" w:rsidR="00EF5B27" w:rsidRDefault="00000000">
      <w:pPr>
        <w:pStyle w:val="BodyText"/>
        <w:spacing w:before="129" w:line="254" w:lineRule="auto"/>
        <w:ind w:left="2608" w:right="147"/>
        <w:rPr>
          <w:sz w:val="11"/>
        </w:rPr>
      </w:pPr>
      <w:r>
        <w:rPr>
          <w:rFonts w:ascii="Arial Narrow"/>
          <w:i/>
          <w:color w:val="4D4D4F"/>
          <w:spacing w:val="-3"/>
        </w:rPr>
        <w:t xml:space="preserve">Data </w:t>
      </w:r>
      <w:r>
        <w:rPr>
          <w:rFonts w:ascii="Arial Narrow"/>
          <w:i/>
          <w:color w:val="4D4D4F"/>
          <w:spacing w:val="-4"/>
        </w:rPr>
        <w:t xml:space="preserve">collection: </w:t>
      </w:r>
      <w:r>
        <w:rPr>
          <w:color w:val="4D4D4F"/>
        </w:rPr>
        <w:t>Data collected for the current MRF framework reveals little about whether DELWP is on track to fulfil its conservation commitments. This may be due,    in many cases, to the fact that there is not enough data for the current KPIs to be properly assessed. Consequently, reporting on the conservation outcomes to date has not presented detailed analyses or interpretation of the monitoring</w:t>
      </w:r>
      <w:r>
        <w:rPr>
          <w:color w:val="4D4D4F"/>
          <w:spacing w:val="31"/>
        </w:rPr>
        <w:t xml:space="preserve"> </w:t>
      </w:r>
      <w:r>
        <w:rPr>
          <w:color w:val="4D4D4F"/>
        </w:rPr>
        <w:t>results.</w:t>
      </w:r>
      <w:r>
        <w:rPr>
          <w:color w:val="4D4D4F"/>
          <w:position w:val="7"/>
          <w:sz w:val="11"/>
        </w:rPr>
        <w:t>34</w:t>
      </w:r>
    </w:p>
    <w:p w14:paraId="299DD9E1" w14:textId="77777777" w:rsidR="00EF5B27" w:rsidRDefault="00EF5B27">
      <w:pPr>
        <w:pStyle w:val="BodyText"/>
      </w:pPr>
    </w:p>
    <w:p w14:paraId="27BC66A8" w14:textId="77777777" w:rsidR="00EF5B27" w:rsidRDefault="00000000">
      <w:pPr>
        <w:pStyle w:val="BodyText"/>
        <w:spacing w:before="6"/>
        <w:rPr>
          <w:sz w:val="24"/>
        </w:rPr>
      </w:pPr>
      <w:r>
        <w:pict w14:anchorId="344AC6BF">
          <v:line id="_x0000_s4255" style="position:absolute;z-index:251339264;mso-wrap-distance-left:0;mso-wrap-distance-right:0;mso-position-horizontal-relative:page" from="181.4pt,17.2pt" to="538.6pt,17.2pt" strokecolor="#4d4d4f" strokeweight=".5pt">
            <w10:wrap type="topAndBottom" anchorx="page"/>
          </v:line>
        </w:pict>
      </w:r>
    </w:p>
    <w:p w14:paraId="01BAF8D0" w14:textId="77777777" w:rsidR="00EF5B27" w:rsidRDefault="00000000">
      <w:pPr>
        <w:pStyle w:val="ListParagraph"/>
        <w:numPr>
          <w:ilvl w:val="0"/>
          <w:numId w:val="65"/>
        </w:numPr>
        <w:tabs>
          <w:tab w:val="left" w:pos="2836"/>
        </w:tabs>
        <w:spacing w:before="83" w:line="143" w:lineRule="exact"/>
        <w:jc w:val="left"/>
        <w:rPr>
          <w:sz w:val="12"/>
        </w:rPr>
      </w:pPr>
      <w:r>
        <w:rPr>
          <w:color w:val="4D4D4F"/>
          <w:sz w:val="12"/>
        </w:rPr>
        <w:t>DELWP Officer, personal communication, 20 July</w:t>
      </w:r>
      <w:r>
        <w:rPr>
          <w:color w:val="4D4D4F"/>
          <w:spacing w:val="14"/>
          <w:sz w:val="12"/>
        </w:rPr>
        <w:t xml:space="preserve"> </w:t>
      </w:r>
      <w:r>
        <w:rPr>
          <w:color w:val="4D4D4F"/>
          <w:sz w:val="12"/>
        </w:rPr>
        <w:t>2021.</w:t>
      </w:r>
    </w:p>
    <w:p w14:paraId="7CE8011D" w14:textId="77777777" w:rsidR="00EF5B27" w:rsidRDefault="00000000">
      <w:pPr>
        <w:pStyle w:val="ListParagraph"/>
        <w:numPr>
          <w:ilvl w:val="0"/>
          <w:numId w:val="65"/>
        </w:numPr>
        <w:tabs>
          <w:tab w:val="left" w:pos="2836"/>
        </w:tabs>
        <w:spacing w:before="2" w:line="230" w:lineRule="auto"/>
        <w:ind w:right="111"/>
        <w:jc w:val="left"/>
        <w:rPr>
          <w:sz w:val="12"/>
        </w:rPr>
      </w:pPr>
      <w:r>
        <w:rPr>
          <w:color w:val="4D4D4F"/>
          <w:spacing w:val="2"/>
          <w:sz w:val="12"/>
        </w:rPr>
        <w:t xml:space="preserve">Bruce </w:t>
      </w:r>
      <w:r>
        <w:rPr>
          <w:color w:val="4D4D4F"/>
          <w:sz w:val="12"/>
        </w:rPr>
        <w:t xml:space="preserve">M, Batpurev </w:t>
      </w:r>
      <w:r>
        <w:rPr>
          <w:color w:val="4D4D4F"/>
          <w:spacing w:val="2"/>
          <w:sz w:val="12"/>
        </w:rPr>
        <w:t xml:space="preserve">K, </w:t>
      </w:r>
      <w:r>
        <w:rPr>
          <w:color w:val="4D4D4F"/>
          <w:sz w:val="12"/>
        </w:rPr>
        <w:t xml:space="preserve">Bryant D, Sinclair S and Kohout M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Department of Environment, Land, Water and Planning, Heidelberg,</w:t>
      </w:r>
      <w:r>
        <w:rPr>
          <w:color w:val="4D4D4F"/>
          <w:spacing w:val="24"/>
          <w:sz w:val="12"/>
        </w:rPr>
        <w:t xml:space="preserve"> </w:t>
      </w:r>
      <w:r>
        <w:rPr>
          <w:color w:val="4D4D4F"/>
          <w:sz w:val="12"/>
        </w:rPr>
        <w:t>Victoria.</w:t>
      </w:r>
    </w:p>
    <w:p w14:paraId="6B7FAAE9" w14:textId="77777777" w:rsidR="00EF5B27" w:rsidRDefault="00EF5B27">
      <w:pPr>
        <w:spacing w:line="230" w:lineRule="auto"/>
        <w:rPr>
          <w:sz w:val="12"/>
        </w:rPr>
        <w:sectPr w:rsidR="00EF5B27">
          <w:type w:val="continuous"/>
          <w:pgSz w:w="11910" w:h="16840"/>
          <w:pgMar w:top="1140" w:right="1020" w:bottom="280" w:left="1020" w:header="720" w:footer="720" w:gutter="0"/>
          <w:cols w:space="720"/>
        </w:sectPr>
      </w:pPr>
    </w:p>
    <w:p w14:paraId="1BCC9F10" w14:textId="77777777" w:rsidR="00EF5B27" w:rsidRDefault="00000000">
      <w:pPr>
        <w:pStyle w:val="BodyText"/>
      </w:pPr>
      <w:r>
        <w:lastRenderedPageBreak/>
        <w:pict w14:anchorId="33B75864">
          <v:group id="_x0000_s4247" style="position:absolute;margin-left:587.05pt;margin-top:183.4pt;width:8.25pt;height:153.1pt;z-index:251412992;mso-position-horizontal-relative:page;mso-position-vertical-relative:page" coordorigin="11741,3668" coordsize="165,3062">
            <v:shape id="_x0000_s4254" style="position:absolute;left:11741;top:3668;width:165;height:561" coordorigin="11741,3668" coordsize="165,561" path="m11906,3668r-165,l11741,4228r165,-18l11906,3668xe" fillcolor="#00aed9" stroked="f">
              <v:path arrowok="t"/>
            </v:shape>
            <v:shape id="_x0000_s4253" style="position:absolute;left:11741;top:4118;width:165;height:425" coordorigin="11741,4118" coordsize="165,425" path="m11906,4118r-165,14l11741,4531r165,12l11906,4118xe" fillcolor="#047ebc" stroked="f">
              <v:path arrowok="t"/>
            </v:shape>
            <v:shape id="_x0000_s4252" type="#_x0000_t75" style="position:absolute;left:11741;top:4355;width:165;height:587">
              <v:imagedata r:id="rId42" o:title=""/>
            </v:shape>
            <v:shape id="_x0000_s4251" style="position:absolute;left:11741;top:5343;width:165;height:536" coordorigin="11741,5343" coordsize="165,536" path="m11741,5343r,535l11906,5872r,-525l11741,5343xe" fillcolor="#f36a2e" stroked="f">
              <v:path arrowok="t"/>
            </v:shape>
            <v:shape id="_x0000_s4250" style="position:absolute;left:11741;top:4925;width:165;height:501" coordorigin="11741,4926" coordsize="165,501" path="m11741,4926r,500l11906,5426r,-485l11741,4926xe" fillcolor="#49783f" stroked="f">
              <v:path arrowok="t"/>
            </v:shape>
            <v:shape id="_x0000_s4249" style="position:absolute;left:11741;top:5781;width:165;height:268" coordorigin="11741,5782" coordsize="165,268" path="m11906,5782r-165,8l11741,6039r165,10l11906,5782xe" fillcolor="#f99f2a" stroked="f">
              <v:path arrowok="t"/>
            </v:shape>
            <v:shape id="_x0000_s4248" style="position:absolute;left:11741;top:6023;width:165;height:707" coordorigin="11741,6023" coordsize="165,707" path="m11741,6023r,706l11906,6729r,-690l11741,6023xe" fillcolor="#ef412c" stroked="f">
              <v:path arrowok="t"/>
            </v:shape>
            <w10:wrap anchorx="page" anchory="page"/>
          </v:group>
        </w:pict>
      </w:r>
    </w:p>
    <w:p w14:paraId="13FEEA61" w14:textId="77777777" w:rsidR="00EF5B27" w:rsidRDefault="00EF5B27">
      <w:pPr>
        <w:pStyle w:val="BodyText"/>
      </w:pPr>
    </w:p>
    <w:p w14:paraId="35723C3E" w14:textId="77777777" w:rsidR="00EF5B27" w:rsidRDefault="00EF5B27">
      <w:pPr>
        <w:pStyle w:val="BodyText"/>
      </w:pPr>
    </w:p>
    <w:p w14:paraId="7A7DE86B" w14:textId="77777777" w:rsidR="00EF5B27" w:rsidRDefault="00EF5B27">
      <w:pPr>
        <w:pStyle w:val="BodyText"/>
      </w:pPr>
    </w:p>
    <w:p w14:paraId="4B4A3F2A" w14:textId="77777777" w:rsidR="00EF5B27" w:rsidRDefault="00EF5B27">
      <w:pPr>
        <w:pStyle w:val="BodyText"/>
      </w:pPr>
    </w:p>
    <w:p w14:paraId="7A66167B" w14:textId="77777777" w:rsidR="00EF5B27" w:rsidRDefault="00EF5B27">
      <w:pPr>
        <w:pStyle w:val="BodyText"/>
      </w:pPr>
    </w:p>
    <w:p w14:paraId="39795FED" w14:textId="77777777" w:rsidR="00EF5B27" w:rsidRDefault="00EF5B27">
      <w:pPr>
        <w:pStyle w:val="BodyText"/>
      </w:pPr>
    </w:p>
    <w:p w14:paraId="0061C8AA" w14:textId="77777777" w:rsidR="00EF5B27" w:rsidRDefault="00EF5B27">
      <w:pPr>
        <w:pStyle w:val="BodyText"/>
      </w:pPr>
    </w:p>
    <w:p w14:paraId="425BD2C3" w14:textId="77777777" w:rsidR="00EF5B27" w:rsidRDefault="00EF5B27">
      <w:pPr>
        <w:pStyle w:val="BodyText"/>
      </w:pPr>
    </w:p>
    <w:p w14:paraId="57B154BD" w14:textId="77777777" w:rsidR="00EF5B27" w:rsidRDefault="00EF5B27">
      <w:pPr>
        <w:pStyle w:val="BodyText"/>
        <w:spacing w:before="1"/>
      </w:pPr>
    </w:p>
    <w:p w14:paraId="490CACFA" w14:textId="77777777" w:rsidR="00EF5B27" w:rsidRDefault="00000000">
      <w:pPr>
        <w:pStyle w:val="BodyText"/>
        <w:spacing w:before="100" w:line="254" w:lineRule="auto"/>
        <w:ind w:left="2608" w:right="151"/>
      </w:pPr>
      <w:r>
        <w:rPr>
          <w:rFonts w:ascii="Arial Narrow"/>
          <w:i/>
          <w:color w:val="4D4D4F"/>
          <w:spacing w:val="-3"/>
        </w:rPr>
        <w:t xml:space="preserve">KPI development: </w:t>
      </w:r>
      <w:r>
        <w:rPr>
          <w:color w:val="4D4D4F"/>
        </w:rPr>
        <w:t xml:space="preserve">The current MRF will benefit from a review and redesign of some measures to ensure that they are current and tailored to each MNES, including clearer definitions of what constitutes success or </w:t>
      </w:r>
      <w:r>
        <w:rPr>
          <w:color w:val="4D4D4F"/>
          <w:spacing w:val="-3"/>
        </w:rPr>
        <w:t xml:space="preserve">failure </w:t>
      </w:r>
      <w:r>
        <w:rPr>
          <w:color w:val="4D4D4F"/>
          <w:spacing w:val="-4"/>
        </w:rPr>
        <w:t xml:space="preserve">(in </w:t>
      </w:r>
      <w:r>
        <w:rPr>
          <w:color w:val="4D4D4F"/>
        </w:rPr>
        <w:t xml:space="preserve">an ecological </w:t>
      </w:r>
      <w:r>
        <w:rPr>
          <w:color w:val="4D4D4F"/>
          <w:spacing w:val="-3"/>
        </w:rPr>
        <w:t xml:space="preserve">sense). </w:t>
      </w:r>
      <w:r>
        <w:rPr>
          <w:color w:val="4D4D4F"/>
        </w:rPr>
        <w:t xml:space="preserve">Another issue with the existing KPI design is that </w:t>
      </w:r>
      <w:r>
        <w:rPr>
          <w:color w:val="4D4D4F"/>
          <w:spacing w:val="-3"/>
        </w:rPr>
        <w:t xml:space="preserve">maintaining </w:t>
      </w:r>
      <w:r>
        <w:rPr>
          <w:color w:val="4D4D4F"/>
        </w:rPr>
        <w:t xml:space="preserve">the current standard satisfies outcomes for Commonwealth reporting </w:t>
      </w:r>
      <w:r>
        <w:rPr>
          <w:color w:val="4D4D4F"/>
          <w:spacing w:val="-3"/>
        </w:rPr>
        <w:t xml:space="preserve">(see above) </w:t>
      </w:r>
      <w:r>
        <w:rPr>
          <w:color w:val="4D4D4F"/>
        </w:rPr>
        <w:t>with no imperative to improve</w:t>
      </w:r>
      <w:r>
        <w:rPr>
          <w:color w:val="4D4D4F"/>
          <w:spacing w:val="-19"/>
        </w:rPr>
        <w:t xml:space="preserve"> </w:t>
      </w:r>
      <w:r>
        <w:rPr>
          <w:color w:val="4D4D4F"/>
        </w:rPr>
        <w:t>outcomes.</w:t>
      </w:r>
    </w:p>
    <w:p w14:paraId="0654D641" w14:textId="77777777" w:rsidR="00EF5B27" w:rsidRDefault="00000000">
      <w:pPr>
        <w:pStyle w:val="BodyText"/>
        <w:spacing w:before="119" w:line="254" w:lineRule="auto"/>
        <w:ind w:left="2608" w:right="221"/>
      </w:pPr>
      <w:r>
        <w:rPr>
          <w:rFonts w:ascii="Arial Narrow" w:hAnsi="Arial Narrow"/>
          <w:i/>
          <w:color w:val="4D4D4F"/>
        </w:rPr>
        <w:t xml:space="preserve">Management </w:t>
      </w:r>
      <w:r>
        <w:rPr>
          <w:rFonts w:ascii="Arial Narrow" w:hAnsi="Arial Narrow"/>
          <w:i/>
          <w:color w:val="4D4D4F"/>
          <w:spacing w:val="-3"/>
        </w:rPr>
        <w:t xml:space="preserve">integration: </w:t>
      </w:r>
      <w:r>
        <w:rPr>
          <w:color w:val="4D4D4F"/>
        </w:rPr>
        <w:t xml:space="preserve">There is no requirement or intention under the existing framework to assess and report on how effective management options are and how they impact on threatened species’ persistence under various scenarios. Without tangible measures and targets allowing an assessment of management performance, DELWP is unable to provide assurance to the public about the protection of MNES under MSA management – nor about the cost effectiveness of their actions. Explicit and time-bound targets should be introduced to the </w:t>
      </w:r>
      <w:r>
        <w:rPr>
          <w:color w:val="4D4D4F"/>
          <w:spacing w:val="-4"/>
        </w:rPr>
        <w:t xml:space="preserve">MSA’s </w:t>
      </w:r>
      <w:r>
        <w:rPr>
          <w:color w:val="4D4D4F"/>
        </w:rPr>
        <w:t>monitoring</w:t>
      </w:r>
      <w:r>
        <w:rPr>
          <w:color w:val="4D4D4F"/>
          <w:spacing w:val="35"/>
        </w:rPr>
        <w:t xml:space="preserve"> </w:t>
      </w:r>
      <w:r>
        <w:rPr>
          <w:color w:val="4D4D4F"/>
        </w:rPr>
        <w:t>framework</w:t>
      </w:r>
    </w:p>
    <w:p w14:paraId="7FAC3082" w14:textId="77777777" w:rsidR="00EF5B27" w:rsidRDefault="00000000">
      <w:pPr>
        <w:pStyle w:val="BodyText"/>
        <w:spacing w:before="9" w:line="254" w:lineRule="auto"/>
        <w:ind w:left="2608" w:right="151"/>
      </w:pPr>
      <w:r>
        <w:rPr>
          <w:color w:val="4D4D4F"/>
        </w:rPr>
        <w:t>for the management of MNES to guide management performance. A significant issue with the MSA program’s monitoring design is that it does not include counterfactual controls (monitoring of areas that are not included under MSA management), limiting the ability to compare and evaluate MSA management against other management (including ‘no management’) scenarios.</w:t>
      </w:r>
    </w:p>
    <w:p w14:paraId="0BCDF493" w14:textId="77777777" w:rsidR="00EF5B27" w:rsidRDefault="00000000">
      <w:pPr>
        <w:pStyle w:val="Heading6"/>
        <w:spacing w:before="119"/>
      </w:pPr>
      <w:r>
        <w:rPr>
          <w:color w:val="4D4D4F"/>
          <w:w w:val="105"/>
        </w:rPr>
        <w:t>Research strategy</w:t>
      </w:r>
    </w:p>
    <w:p w14:paraId="772C5CED" w14:textId="77777777" w:rsidR="00EF5B27" w:rsidRDefault="00000000">
      <w:pPr>
        <w:pStyle w:val="BodyText"/>
        <w:spacing w:before="130" w:line="254" w:lineRule="auto"/>
        <w:ind w:left="2608" w:right="308"/>
      </w:pPr>
      <w:r>
        <w:rPr>
          <w:color w:val="4D4D4F"/>
        </w:rPr>
        <w:t xml:space="preserve">Following the review of the </w:t>
      </w:r>
      <w:r>
        <w:rPr>
          <w:color w:val="4D4D4F"/>
          <w:spacing w:val="-5"/>
        </w:rPr>
        <w:t xml:space="preserve">MRF, </w:t>
      </w:r>
      <w:r>
        <w:rPr>
          <w:color w:val="4D4D4F"/>
        </w:rPr>
        <w:t>a research strategy must be developed to support  its implementation. The strategy should aim to leverage existing partnerships, citizen science capabilities and community programs where</w:t>
      </w:r>
      <w:r>
        <w:rPr>
          <w:color w:val="4D4D4F"/>
          <w:spacing w:val="32"/>
        </w:rPr>
        <w:t xml:space="preserve"> </w:t>
      </w:r>
      <w:r>
        <w:rPr>
          <w:color w:val="4D4D4F"/>
        </w:rPr>
        <w:t>practical.</w:t>
      </w:r>
    </w:p>
    <w:p w14:paraId="7BF5F2C5" w14:textId="77777777" w:rsidR="00EF5B27" w:rsidRDefault="00000000">
      <w:pPr>
        <w:pStyle w:val="BodyText"/>
        <w:spacing w:before="117" w:line="254" w:lineRule="auto"/>
        <w:ind w:left="2608" w:right="308"/>
      </w:pPr>
      <w:r>
        <w:rPr>
          <w:color w:val="4D4D4F"/>
        </w:rPr>
        <w:t>The MSA program has yet to establish long-term datasets for many threatened species under its management. Gaps in critical data and knowledge underpinning species models and decision-support tools continue to hamper the program’s ability to adequately assess whether it is meeting conservation commitments.</w:t>
      </w:r>
    </w:p>
    <w:p w14:paraId="256F6761" w14:textId="77777777" w:rsidR="00EF5B27" w:rsidRDefault="00000000">
      <w:pPr>
        <w:pStyle w:val="BodyText"/>
        <w:spacing w:before="118" w:line="254" w:lineRule="auto"/>
        <w:ind w:left="2608"/>
      </w:pPr>
      <w:r>
        <w:rPr>
          <w:color w:val="4D4D4F"/>
        </w:rPr>
        <w:t>The research strategy would ensure best practice in data governance and information integrity, underpinned by enhanced capabilities to maintain centralised multi-agency information repositories, including spatial information.</w:t>
      </w:r>
    </w:p>
    <w:p w14:paraId="3DDDB8CC" w14:textId="77777777" w:rsidR="00EF5B27" w:rsidRDefault="00EF5B27">
      <w:pPr>
        <w:spacing w:line="254" w:lineRule="auto"/>
        <w:sectPr w:rsidR="00EF5B27">
          <w:pgSz w:w="11910" w:h="16840"/>
          <w:pgMar w:top="1080" w:right="1020" w:bottom="860" w:left="1020" w:header="537" w:footer="678" w:gutter="0"/>
          <w:cols w:space="720"/>
        </w:sectPr>
      </w:pPr>
    </w:p>
    <w:p w14:paraId="7E074BAA" w14:textId="77777777" w:rsidR="00EF5B27" w:rsidRDefault="00EF5B27">
      <w:pPr>
        <w:pStyle w:val="BodyText"/>
      </w:pPr>
    </w:p>
    <w:p w14:paraId="78EEA5A0" w14:textId="77777777" w:rsidR="00EF5B27" w:rsidRDefault="00EF5B27">
      <w:pPr>
        <w:pStyle w:val="BodyText"/>
      </w:pPr>
    </w:p>
    <w:p w14:paraId="7654E87A" w14:textId="77777777" w:rsidR="00EF5B27" w:rsidRDefault="00EF5B27">
      <w:pPr>
        <w:pStyle w:val="BodyText"/>
      </w:pPr>
    </w:p>
    <w:p w14:paraId="32678C2E" w14:textId="77777777" w:rsidR="00EF5B27" w:rsidRDefault="00EF5B27">
      <w:pPr>
        <w:pStyle w:val="BodyText"/>
      </w:pPr>
    </w:p>
    <w:p w14:paraId="49797DED" w14:textId="77777777" w:rsidR="00EF5B27" w:rsidRDefault="00EF5B27">
      <w:pPr>
        <w:pStyle w:val="BodyText"/>
      </w:pPr>
    </w:p>
    <w:p w14:paraId="54E0D64C" w14:textId="77777777" w:rsidR="00EF5B27" w:rsidRDefault="00EF5B27">
      <w:pPr>
        <w:pStyle w:val="BodyText"/>
      </w:pPr>
    </w:p>
    <w:p w14:paraId="5089FC59" w14:textId="77777777" w:rsidR="00EF5B27" w:rsidRDefault="00EF5B27">
      <w:pPr>
        <w:pStyle w:val="BodyText"/>
      </w:pPr>
    </w:p>
    <w:p w14:paraId="58A2BAE5" w14:textId="77777777" w:rsidR="00EF5B27" w:rsidRDefault="00EF5B27">
      <w:pPr>
        <w:pStyle w:val="BodyText"/>
      </w:pPr>
    </w:p>
    <w:p w14:paraId="75E8D7DA" w14:textId="77777777" w:rsidR="00EF5B27" w:rsidRDefault="00EF5B27">
      <w:pPr>
        <w:pStyle w:val="BodyText"/>
      </w:pPr>
    </w:p>
    <w:p w14:paraId="00ADBF49" w14:textId="77777777" w:rsidR="00EF5B27" w:rsidRDefault="00EF5B27">
      <w:pPr>
        <w:pStyle w:val="BodyText"/>
      </w:pPr>
    </w:p>
    <w:p w14:paraId="248FF504" w14:textId="77777777" w:rsidR="00EF5B27" w:rsidRDefault="00EF5B27">
      <w:pPr>
        <w:pStyle w:val="BodyText"/>
        <w:spacing w:before="4"/>
        <w:rPr>
          <w:sz w:val="11"/>
        </w:rPr>
      </w:pPr>
    </w:p>
    <w:p w14:paraId="41B75559" w14:textId="77777777" w:rsidR="00EF5B27" w:rsidRDefault="00000000">
      <w:pPr>
        <w:pStyle w:val="BodyText"/>
        <w:ind w:left="129"/>
      </w:pPr>
      <w:r>
        <w:pict w14:anchorId="33DA8510">
          <v:shape id="_x0000_s4246" type="#_x0000_t202" style="width:481.15pt;height:25.4pt;mso-left-percent:-10001;mso-top-percent:-10001;mso-position-horizontal:absolute;mso-position-horizontal-relative:char;mso-position-vertical:absolute;mso-position-vertical-relative:line;mso-left-percent:-10001;mso-top-percent:-10001" fillcolor="#fecc91" stroked="f">
            <v:textbox inset="0,0,0,0">
              <w:txbxContent>
                <w:p w14:paraId="35820147" w14:textId="77777777" w:rsidR="00EF5B27" w:rsidRDefault="00000000">
                  <w:pPr>
                    <w:tabs>
                      <w:tab w:val="left" w:pos="2607"/>
                    </w:tabs>
                    <w:spacing w:before="142"/>
                    <w:ind w:left="113"/>
                    <w:rPr>
                      <w:b/>
                      <w:sz w:val="20"/>
                    </w:rPr>
                  </w:pPr>
                  <w:r>
                    <w:rPr>
                      <w:b/>
                      <w:color w:val="4D4D4F"/>
                      <w:sz w:val="20"/>
                    </w:rPr>
                    <w:t>Theme</w:t>
                  </w:r>
                  <w:r>
                    <w:rPr>
                      <w:b/>
                      <w:color w:val="4D4D4F"/>
                      <w:sz w:val="20"/>
                    </w:rPr>
                    <w:tab/>
                    <w:t>Traditional Owner rights, knowledge, values and</w:t>
                  </w:r>
                  <w:r>
                    <w:rPr>
                      <w:b/>
                      <w:color w:val="4D4D4F"/>
                      <w:spacing w:val="23"/>
                      <w:sz w:val="20"/>
                    </w:rPr>
                    <w:t xml:space="preserve"> </w:t>
                  </w:r>
                  <w:r>
                    <w:rPr>
                      <w:b/>
                      <w:color w:val="4D4D4F"/>
                      <w:sz w:val="20"/>
                    </w:rPr>
                    <w:t>participation</w:t>
                  </w:r>
                </w:p>
              </w:txbxContent>
            </v:textbox>
            <w10:anchorlock/>
          </v:shape>
        </w:pict>
      </w:r>
    </w:p>
    <w:p w14:paraId="315213D5" w14:textId="77777777" w:rsidR="00EF5B27" w:rsidRDefault="00EF5B27">
      <w:pPr>
        <w:pStyle w:val="BodyText"/>
        <w:spacing w:before="8"/>
        <w:rPr>
          <w:sz w:val="5"/>
        </w:rPr>
      </w:pPr>
    </w:p>
    <w:p w14:paraId="34CFA21B" w14:textId="77777777" w:rsidR="00EF5B27" w:rsidRDefault="00EF5B27">
      <w:pPr>
        <w:rPr>
          <w:sz w:val="5"/>
        </w:rPr>
        <w:sectPr w:rsidR="00EF5B27">
          <w:pgSz w:w="11910" w:h="16840"/>
          <w:pgMar w:top="1080" w:right="1020" w:bottom="860" w:left="1020" w:header="537" w:footer="678" w:gutter="0"/>
          <w:cols w:space="720"/>
        </w:sectPr>
      </w:pPr>
    </w:p>
    <w:p w14:paraId="1C8AA37A" w14:textId="77777777" w:rsidR="00EF5B27" w:rsidRDefault="00000000">
      <w:pPr>
        <w:pStyle w:val="BodyText"/>
        <w:spacing w:before="51"/>
        <w:ind w:left="242"/>
      </w:pPr>
      <w:r>
        <w:pict w14:anchorId="612F8795">
          <v:group id="_x0000_s4243" style="position:absolute;left:0;text-align:left;margin-left:57.45pt;margin-top:-29.85pt;width:481.15pt;height:.25pt;z-index:251415040;mso-position-horizontal-relative:page" coordorigin="1149,-597" coordsize="9623,5">
            <v:line id="_x0000_s4245" style="position:absolute" from="1149,-595" to="3644,-595" strokeweight=".25pt"/>
            <v:line id="_x0000_s4244" style="position:absolute" from="3644,-595" to="10772,-595" strokeweight=".25pt"/>
            <w10:wrap anchorx="page"/>
          </v:group>
        </w:pict>
      </w:r>
      <w:r>
        <w:pict w14:anchorId="777157FC">
          <v:group id="_x0000_s4240" style="position:absolute;left:0;text-align:left;margin-left:57.45pt;margin-top:-4.35pt;width:481.15pt;height:.25pt;z-index:251416064;mso-position-horizontal-relative:page" coordorigin="1149,-87" coordsize="9623,5">
            <v:line id="_x0000_s4242" style="position:absolute" from="1149,-84" to="3644,-84" strokeweight=".25pt"/>
            <v:line id="_x0000_s4241" style="position:absolute" from="3644,-84" to="10772,-84" strokeweight=".25pt"/>
            <w10:wrap anchorx="page"/>
          </v:group>
        </w:pict>
      </w:r>
      <w:r>
        <w:rPr>
          <w:color w:val="4D4D4F"/>
        </w:rPr>
        <w:t>Recommendation</w:t>
      </w:r>
    </w:p>
    <w:p w14:paraId="0DAE459B" w14:textId="77777777" w:rsidR="00EF5B27" w:rsidRDefault="00000000">
      <w:pPr>
        <w:pStyle w:val="Heading1"/>
        <w:ind w:left="242"/>
      </w:pPr>
      <w:r>
        <w:rPr>
          <w:color w:val="4D4D4F"/>
          <w:w w:val="105"/>
        </w:rPr>
        <w:t>02</w:t>
      </w:r>
    </w:p>
    <w:p w14:paraId="71B10D51" w14:textId="77777777" w:rsidR="00EF5B27" w:rsidRDefault="00000000">
      <w:pPr>
        <w:pStyle w:val="BodyText"/>
        <w:spacing w:before="51" w:line="254" w:lineRule="auto"/>
        <w:ind w:left="242" w:right="167"/>
      </w:pPr>
      <w:r>
        <w:br w:type="column"/>
      </w:r>
      <w:r>
        <w:rPr>
          <w:color w:val="4D4D4F"/>
        </w:rPr>
        <w:t>That DELWP implements a strategy to embed Traditional Owner rights, knowledge, values and participation in the MSA program design and implementation. This includes mechanisms for the inclusion of cultural heritage and Traditional Owner values into the MSA program logic and monitoring and reporting framework (MRF).</w:t>
      </w:r>
    </w:p>
    <w:p w14:paraId="3058DD9A"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720" w:space="775"/>
            <w:col w:w="7375"/>
          </w:cols>
        </w:sectPr>
      </w:pPr>
    </w:p>
    <w:p w14:paraId="5C3A3C7A" w14:textId="77777777" w:rsidR="00EF5B27" w:rsidRDefault="00000000">
      <w:pPr>
        <w:pStyle w:val="BodyText"/>
        <w:rPr>
          <w:sz w:val="21"/>
        </w:rPr>
      </w:pPr>
      <w:r>
        <w:pict w14:anchorId="52495E39">
          <v:group id="_x0000_s4232" style="position:absolute;margin-left:587.05pt;margin-top:183.4pt;width:8.25pt;height:153.1pt;z-index:251414016;mso-position-horizontal-relative:page;mso-position-vertical-relative:page" coordorigin="11741,3668" coordsize="165,3062">
            <v:shape id="_x0000_s4239" style="position:absolute;left:11741;top:3668;width:165;height:561" coordorigin="11741,3668" coordsize="165,561" path="m11906,3668r-165,l11741,4228r165,-18l11906,3668xe" fillcolor="#00aed9" stroked="f">
              <v:path arrowok="t"/>
            </v:shape>
            <v:shape id="_x0000_s4238" style="position:absolute;left:11741;top:4118;width:165;height:425" coordorigin="11741,4118" coordsize="165,425" path="m11906,4118r-165,14l11741,4531r165,12l11906,4118xe" fillcolor="#047ebc" stroked="f">
              <v:path arrowok="t"/>
            </v:shape>
            <v:shape id="_x0000_s4237" type="#_x0000_t75" style="position:absolute;left:11741;top:4355;width:165;height:587">
              <v:imagedata r:id="rId42" o:title=""/>
            </v:shape>
            <v:shape id="_x0000_s4236" style="position:absolute;left:11741;top:5343;width:165;height:536" coordorigin="11741,5343" coordsize="165,536" path="m11741,5343r,535l11906,5872r,-525l11741,5343xe" fillcolor="#f36a2e" stroked="f">
              <v:path arrowok="t"/>
            </v:shape>
            <v:shape id="_x0000_s4235" style="position:absolute;left:11741;top:4925;width:165;height:501" coordorigin="11741,4926" coordsize="165,501" path="m11741,4926r,500l11906,5426r,-485l11741,4926xe" fillcolor="#49783f" stroked="f">
              <v:path arrowok="t"/>
            </v:shape>
            <v:shape id="_x0000_s4234" style="position:absolute;left:11741;top:5781;width:165;height:268" coordorigin="11741,5782" coordsize="165,268" path="m11906,5782r-165,8l11741,6039r165,10l11906,5782xe" fillcolor="#f99f2a" stroked="f">
              <v:path arrowok="t"/>
            </v:shape>
            <v:shape id="_x0000_s4233" style="position:absolute;left:11741;top:6023;width:165;height:707" coordorigin="11741,6023" coordsize="165,707" path="m11741,6023r,706l11906,6729r,-690l11741,6023xe" fillcolor="#ef412c" stroked="f">
              <v:path arrowok="t"/>
            </v:shape>
            <w10:wrap anchorx="page" anchory="page"/>
          </v:group>
        </w:pict>
      </w:r>
    </w:p>
    <w:p w14:paraId="412F04DD" w14:textId="77777777" w:rsidR="00EF5B27" w:rsidRDefault="00000000">
      <w:pPr>
        <w:pStyle w:val="BodyText"/>
        <w:spacing w:line="20" w:lineRule="exact"/>
        <w:ind w:left="126"/>
        <w:rPr>
          <w:sz w:val="2"/>
        </w:rPr>
      </w:pPr>
      <w:r>
        <w:rPr>
          <w:sz w:val="2"/>
        </w:rPr>
      </w:r>
      <w:r>
        <w:rPr>
          <w:sz w:val="2"/>
        </w:rPr>
        <w:pict w14:anchorId="09B6CC65">
          <v:group id="_x0000_s4229" style="width:481.15pt;height:.25pt;mso-position-horizontal-relative:char;mso-position-vertical-relative:line" coordsize="9623,5">
            <v:line id="_x0000_s4231" style="position:absolute" from="0,3" to="2494,3" strokeweight=".25pt"/>
            <v:line id="_x0000_s4230" style="position:absolute" from="2494,3" to="9622,3" strokeweight=".25pt"/>
            <w10:anchorlock/>
          </v:group>
        </w:pict>
      </w:r>
    </w:p>
    <w:p w14:paraId="43DA6561" w14:textId="77777777" w:rsidR="00EF5B27" w:rsidRDefault="00EF5B27">
      <w:pPr>
        <w:pStyle w:val="BodyText"/>
        <w:spacing w:before="11"/>
        <w:rPr>
          <w:sz w:val="24"/>
        </w:rPr>
      </w:pPr>
    </w:p>
    <w:p w14:paraId="2C7024F0" w14:textId="77777777" w:rsidR="00EF5B27" w:rsidRDefault="00000000">
      <w:pPr>
        <w:pStyle w:val="BodyText"/>
        <w:spacing w:before="100" w:line="254" w:lineRule="auto"/>
        <w:ind w:left="2608" w:right="465"/>
        <w:rPr>
          <w:sz w:val="11"/>
        </w:rPr>
      </w:pPr>
      <w:r>
        <w:rPr>
          <w:color w:val="4D4D4F"/>
        </w:rPr>
        <w:t>There is a lack of documented and strategic consideration of Aboriginal cultural heritage and Traditional Owner values in the design and implementation of the MSA program and no apparent formal mechanism for the inclusion of these values under the current delivery model. This is a significant gap which, if addressed, has great potential to support Aboriginal Self-Determination and to reflect current-day partnerships and expectations around healing and caring for</w:t>
      </w:r>
      <w:r>
        <w:rPr>
          <w:color w:val="4D4D4F"/>
          <w:spacing w:val="5"/>
        </w:rPr>
        <w:t xml:space="preserve"> </w:t>
      </w:r>
      <w:r>
        <w:rPr>
          <w:color w:val="4D4D4F"/>
        </w:rPr>
        <w:t>Country.</w:t>
      </w:r>
      <w:r>
        <w:rPr>
          <w:color w:val="4D4D4F"/>
          <w:position w:val="7"/>
          <w:sz w:val="11"/>
        </w:rPr>
        <w:t>35</w:t>
      </w:r>
    </w:p>
    <w:p w14:paraId="6545D7D6" w14:textId="77777777" w:rsidR="00EF5B27" w:rsidRDefault="00000000">
      <w:pPr>
        <w:pStyle w:val="BodyText"/>
        <w:spacing w:before="121" w:line="254" w:lineRule="auto"/>
        <w:ind w:left="2608" w:right="221"/>
        <w:rPr>
          <w:sz w:val="11"/>
        </w:rPr>
      </w:pPr>
      <w:r>
        <w:rPr>
          <w:color w:val="4D4D4F"/>
        </w:rPr>
        <w:t xml:space="preserve">Historically, much of the focus on Traditional Owner values has been on the mitigation of impacts to cultural heritage at the precinct structure planning phase. The Program Report refers only to cultural heritage (in the form of artifacts) and the requirement for Cultural Heritage Management Plans during precinct structure planning. </w:t>
      </w:r>
      <w:r>
        <w:rPr>
          <w:color w:val="4D4D4F"/>
          <w:position w:val="7"/>
          <w:sz w:val="11"/>
        </w:rPr>
        <w:t>36</w:t>
      </w:r>
    </w:p>
    <w:p w14:paraId="437625FA" w14:textId="77777777" w:rsidR="00EF5B27" w:rsidRDefault="00000000">
      <w:pPr>
        <w:pStyle w:val="BodyText"/>
        <w:spacing w:before="5" w:line="254" w:lineRule="auto"/>
        <w:ind w:left="2608" w:right="409"/>
      </w:pPr>
      <w:r>
        <w:rPr>
          <w:color w:val="4D4D4F"/>
        </w:rPr>
        <w:t xml:space="preserve">There </w:t>
      </w:r>
      <w:r>
        <w:rPr>
          <w:color w:val="4D4D4F"/>
          <w:spacing w:val="-3"/>
        </w:rPr>
        <w:t xml:space="preserve">is potential </w:t>
      </w:r>
      <w:r>
        <w:rPr>
          <w:color w:val="4D4D4F"/>
        </w:rPr>
        <w:t xml:space="preserve">to expand MSA processes to redefine and </w:t>
      </w:r>
      <w:r>
        <w:rPr>
          <w:color w:val="4D4D4F"/>
          <w:spacing w:val="-3"/>
        </w:rPr>
        <w:t xml:space="preserve">retain </w:t>
      </w:r>
      <w:r>
        <w:rPr>
          <w:color w:val="4D4D4F"/>
        </w:rPr>
        <w:t xml:space="preserve">Aboriginal </w:t>
      </w:r>
      <w:r>
        <w:rPr>
          <w:color w:val="4D4D4F"/>
          <w:spacing w:val="-3"/>
        </w:rPr>
        <w:t xml:space="preserve">cultural </w:t>
      </w:r>
      <w:r>
        <w:rPr>
          <w:color w:val="4D4D4F"/>
        </w:rPr>
        <w:t>heritage and to improve Traditional Owner involvement ensuring cultural values  are properly recognised and protected under the MSA program and acknowledge Traditional Owner rights to inform culturally sensitive land use and</w:t>
      </w:r>
      <w:r>
        <w:rPr>
          <w:color w:val="4D4D4F"/>
          <w:spacing w:val="6"/>
        </w:rPr>
        <w:t xml:space="preserve"> </w:t>
      </w:r>
      <w:r>
        <w:rPr>
          <w:color w:val="4D4D4F"/>
        </w:rPr>
        <w:t>management.</w:t>
      </w:r>
    </w:p>
    <w:p w14:paraId="269BBD9D" w14:textId="77777777" w:rsidR="00EF5B27" w:rsidRDefault="00000000">
      <w:pPr>
        <w:pStyle w:val="BodyText"/>
        <w:spacing w:before="118" w:line="254" w:lineRule="auto"/>
        <w:ind w:left="2608" w:right="220"/>
        <w:jc w:val="both"/>
      </w:pPr>
      <w:r>
        <w:rPr>
          <w:color w:val="4D4D4F"/>
          <w:w w:val="105"/>
        </w:rPr>
        <w:t xml:space="preserve">In partnership with Traditional Owners, DELWP released a </w:t>
      </w:r>
      <w:r>
        <w:rPr>
          <w:rFonts w:ascii="Arial Narrow"/>
          <w:i/>
          <w:color w:val="4D4D4F"/>
          <w:spacing w:val="-3"/>
          <w:w w:val="105"/>
        </w:rPr>
        <w:t xml:space="preserve">Strategy </w:t>
      </w:r>
      <w:r>
        <w:rPr>
          <w:rFonts w:ascii="Arial Narrow"/>
          <w:i/>
          <w:color w:val="4D4D4F"/>
          <w:w w:val="105"/>
        </w:rPr>
        <w:t xml:space="preserve">for </w:t>
      </w:r>
      <w:r>
        <w:rPr>
          <w:rFonts w:ascii="Arial Narrow"/>
          <w:i/>
          <w:color w:val="4D4D4F"/>
          <w:spacing w:val="-3"/>
          <w:w w:val="105"/>
        </w:rPr>
        <w:t xml:space="preserve">establishing </w:t>
      </w:r>
      <w:r>
        <w:rPr>
          <w:rFonts w:ascii="Arial Narrow"/>
          <w:i/>
          <w:color w:val="4D4D4F"/>
          <w:w w:val="105"/>
        </w:rPr>
        <w:t xml:space="preserve">a </w:t>
      </w:r>
      <w:r>
        <w:rPr>
          <w:rFonts w:ascii="Arial Narrow"/>
          <w:i/>
          <w:color w:val="4D4D4F"/>
          <w:spacing w:val="-3"/>
          <w:w w:val="105"/>
        </w:rPr>
        <w:t xml:space="preserve">Grassy </w:t>
      </w:r>
      <w:r>
        <w:rPr>
          <w:rFonts w:ascii="Arial Narrow"/>
          <w:i/>
          <w:color w:val="4D4D4F"/>
          <w:spacing w:val="-4"/>
          <w:w w:val="105"/>
        </w:rPr>
        <w:t xml:space="preserve">Eucalypt </w:t>
      </w:r>
      <w:r>
        <w:rPr>
          <w:rFonts w:ascii="Arial Narrow"/>
          <w:i/>
          <w:color w:val="4D4D4F"/>
          <w:w w:val="105"/>
        </w:rPr>
        <w:t xml:space="preserve">Woodland </w:t>
      </w:r>
      <w:r>
        <w:rPr>
          <w:rFonts w:ascii="Arial Narrow"/>
          <w:i/>
          <w:color w:val="4D4D4F"/>
          <w:spacing w:val="-3"/>
          <w:w w:val="105"/>
        </w:rPr>
        <w:t xml:space="preserve">Protected </w:t>
      </w:r>
      <w:r>
        <w:rPr>
          <w:rFonts w:ascii="Arial Narrow"/>
          <w:i/>
          <w:color w:val="4D4D4F"/>
          <w:w w:val="105"/>
        </w:rPr>
        <w:t>Area</w:t>
      </w:r>
      <w:r>
        <w:rPr>
          <w:color w:val="4D4D4F"/>
          <w:w w:val="105"/>
        </w:rPr>
        <w:t>,</w:t>
      </w:r>
      <w:r>
        <w:rPr>
          <w:color w:val="4D4D4F"/>
          <w:w w:val="105"/>
          <w:position w:val="7"/>
          <w:sz w:val="11"/>
        </w:rPr>
        <w:t xml:space="preserve">37 </w:t>
      </w:r>
      <w:r>
        <w:rPr>
          <w:color w:val="4D4D4F"/>
          <w:w w:val="105"/>
        </w:rPr>
        <w:t xml:space="preserve">in June </w:t>
      </w:r>
      <w:r>
        <w:rPr>
          <w:color w:val="4D4D4F"/>
          <w:spacing w:val="-3"/>
          <w:w w:val="105"/>
        </w:rPr>
        <w:t xml:space="preserve">2021, </w:t>
      </w:r>
      <w:r>
        <w:rPr>
          <w:color w:val="4D4D4F"/>
          <w:w w:val="105"/>
        </w:rPr>
        <w:t>which outlines an approach to</w:t>
      </w:r>
      <w:r>
        <w:rPr>
          <w:color w:val="4D4D4F"/>
          <w:spacing w:val="-19"/>
          <w:w w:val="105"/>
        </w:rPr>
        <w:t xml:space="preserve"> </w:t>
      </w:r>
      <w:r>
        <w:rPr>
          <w:color w:val="4D4D4F"/>
          <w:w w:val="105"/>
        </w:rPr>
        <w:t>the</w:t>
      </w:r>
      <w:r>
        <w:rPr>
          <w:color w:val="4D4D4F"/>
          <w:spacing w:val="-19"/>
          <w:w w:val="105"/>
        </w:rPr>
        <w:t xml:space="preserve"> </w:t>
      </w:r>
      <w:r>
        <w:rPr>
          <w:color w:val="4D4D4F"/>
          <w:w w:val="105"/>
        </w:rPr>
        <w:t>protection</w:t>
      </w:r>
      <w:r>
        <w:rPr>
          <w:color w:val="4D4D4F"/>
          <w:spacing w:val="-19"/>
          <w:w w:val="105"/>
        </w:rPr>
        <w:t xml:space="preserve"> </w:t>
      </w:r>
      <w:r>
        <w:rPr>
          <w:color w:val="4D4D4F"/>
          <w:w w:val="105"/>
        </w:rPr>
        <w:t>of</w:t>
      </w:r>
      <w:r>
        <w:rPr>
          <w:color w:val="4D4D4F"/>
          <w:spacing w:val="-19"/>
          <w:w w:val="105"/>
        </w:rPr>
        <w:t xml:space="preserve"> </w:t>
      </w:r>
      <w:r>
        <w:rPr>
          <w:color w:val="4D4D4F"/>
          <w:w w:val="105"/>
        </w:rPr>
        <w:t>this</w:t>
      </w:r>
      <w:r>
        <w:rPr>
          <w:color w:val="4D4D4F"/>
          <w:spacing w:val="-19"/>
          <w:w w:val="105"/>
        </w:rPr>
        <w:t xml:space="preserve"> </w:t>
      </w:r>
      <w:r>
        <w:rPr>
          <w:color w:val="4D4D4F"/>
          <w:w w:val="105"/>
        </w:rPr>
        <w:t>area</w:t>
      </w:r>
      <w:r>
        <w:rPr>
          <w:color w:val="4D4D4F"/>
          <w:spacing w:val="-20"/>
          <w:w w:val="105"/>
        </w:rPr>
        <w:t xml:space="preserve"> </w:t>
      </w:r>
      <w:r>
        <w:rPr>
          <w:color w:val="4D4D4F"/>
          <w:w w:val="105"/>
        </w:rPr>
        <w:t>with</w:t>
      </w:r>
      <w:r>
        <w:rPr>
          <w:color w:val="4D4D4F"/>
          <w:spacing w:val="-19"/>
          <w:w w:val="105"/>
        </w:rPr>
        <w:t xml:space="preserve"> </w:t>
      </w:r>
      <w:r>
        <w:rPr>
          <w:color w:val="4D4D4F"/>
          <w:w w:val="105"/>
        </w:rPr>
        <w:t>the</w:t>
      </w:r>
      <w:r>
        <w:rPr>
          <w:color w:val="4D4D4F"/>
          <w:spacing w:val="-19"/>
          <w:w w:val="105"/>
        </w:rPr>
        <w:t xml:space="preserve"> </w:t>
      </w:r>
      <w:r>
        <w:rPr>
          <w:color w:val="4D4D4F"/>
          <w:w w:val="105"/>
        </w:rPr>
        <w:t>help</w:t>
      </w:r>
      <w:r>
        <w:rPr>
          <w:color w:val="4D4D4F"/>
          <w:spacing w:val="-19"/>
          <w:w w:val="105"/>
        </w:rPr>
        <w:t xml:space="preserve"> </w:t>
      </w:r>
      <w:r>
        <w:rPr>
          <w:color w:val="4D4D4F"/>
          <w:w w:val="105"/>
        </w:rPr>
        <w:t>of</w:t>
      </w:r>
      <w:r>
        <w:rPr>
          <w:color w:val="4D4D4F"/>
          <w:spacing w:val="-19"/>
          <w:w w:val="105"/>
        </w:rPr>
        <w:t xml:space="preserve"> </w:t>
      </w:r>
      <w:r>
        <w:rPr>
          <w:color w:val="4D4D4F"/>
          <w:spacing w:val="-3"/>
          <w:w w:val="105"/>
        </w:rPr>
        <w:t>Trust</w:t>
      </w:r>
      <w:r>
        <w:rPr>
          <w:color w:val="4D4D4F"/>
          <w:spacing w:val="-19"/>
          <w:w w:val="105"/>
        </w:rPr>
        <w:t xml:space="preserve"> </w:t>
      </w:r>
      <w:r>
        <w:rPr>
          <w:color w:val="4D4D4F"/>
          <w:w w:val="105"/>
        </w:rPr>
        <w:t>for</w:t>
      </w:r>
      <w:r>
        <w:rPr>
          <w:color w:val="4D4D4F"/>
          <w:spacing w:val="-19"/>
          <w:w w:val="105"/>
        </w:rPr>
        <w:t xml:space="preserve"> </w:t>
      </w:r>
      <w:r>
        <w:rPr>
          <w:color w:val="4D4D4F"/>
          <w:w w:val="105"/>
        </w:rPr>
        <w:t>Nature,</w:t>
      </w:r>
      <w:r>
        <w:rPr>
          <w:color w:val="4D4D4F"/>
          <w:spacing w:val="-19"/>
          <w:w w:val="105"/>
        </w:rPr>
        <w:t xml:space="preserve"> </w:t>
      </w:r>
      <w:r>
        <w:rPr>
          <w:color w:val="4D4D4F"/>
          <w:w w:val="105"/>
        </w:rPr>
        <w:t>Hume</w:t>
      </w:r>
      <w:r>
        <w:rPr>
          <w:color w:val="4D4D4F"/>
          <w:spacing w:val="-19"/>
          <w:w w:val="105"/>
        </w:rPr>
        <w:t xml:space="preserve"> </w:t>
      </w:r>
      <w:r>
        <w:rPr>
          <w:color w:val="4D4D4F"/>
          <w:w w:val="105"/>
        </w:rPr>
        <w:t>City</w:t>
      </w:r>
      <w:r>
        <w:rPr>
          <w:color w:val="4D4D4F"/>
          <w:spacing w:val="-19"/>
          <w:w w:val="105"/>
        </w:rPr>
        <w:t xml:space="preserve"> </w:t>
      </w:r>
      <w:r>
        <w:rPr>
          <w:color w:val="4D4D4F"/>
          <w:w w:val="105"/>
        </w:rPr>
        <w:t>Council</w:t>
      </w:r>
      <w:r>
        <w:rPr>
          <w:color w:val="4D4D4F"/>
          <w:spacing w:val="-19"/>
          <w:w w:val="105"/>
        </w:rPr>
        <w:t xml:space="preserve"> </w:t>
      </w:r>
      <w:r>
        <w:rPr>
          <w:color w:val="4D4D4F"/>
          <w:w w:val="105"/>
        </w:rPr>
        <w:t>and informed</w:t>
      </w:r>
      <w:r>
        <w:rPr>
          <w:color w:val="4D4D4F"/>
          <w:spacing w:val="-23"/>
          <w:w w:val="105"/>
        </w:rPr>
        <w:t xml:space="preserve"> </w:t>
      </w:r>
      <w:r>
        <w:rPr>
          <w:color w:val="4D4D4F"/>
          <w:w w:val="105"/>
        </w:rPr>
        <w:t>by</w:t>
      </w:r>
      <w:r>
        <w:rPr>
          <w:color w:val="4D4D4F"/>
          <w:spacing w:val="-22"/>
          <w:w w:val="105"/>
        </w:rPr>
        <w:t xml:space="preserve"> </w:t>
      </w:r>
      <w:r>
        <w:rPr>
          <w:color w:val="4D4D4F"/>
          <w:w w:val="105"/>
        </w:rPr>
        <w:t>Traditional</w:t>
      </w:r>
      <w:r>
        <w:rPr>
          <w:color w:val="4D4D4F"/>
          <w:spacing w:val="-22"/>
          <w:w w:val="105"/>
        </w:rPr>
        <w:t xml:space="preserve"> </w:t>
      </w:r>
      <w:r>
        <w:rPr>
          <w:color w:val="4D4D4F"/>
          <w:w w:val="105"/>
        </w:rPr>
        <w:t>Owner</w:t>
      </w:r>
      <w:r>
        <w:rPr>
          <w:color w:val="4D4D4F"/>
          <w:spacing w:val="-23"/>
          <w:w w:val="105"/>
        </w:rPr>
        <w:t xml:space="preserve"> </w:t>
      </w:r>
      <w:r>
        <w:rPr>
          <w:color w:val="4D4D4F"/>
          <w:w w:val="105"/>
        </w:rPr>
        <w:t>knowledge</w:t>
      </w:r>
      <w:r>
        <w:rPr>
          <w:color w:val="4D4D4F"/>
          <w:spacing w:val="-22"/>
          <w:w w:val="105"/>
        </w:rPr>
        <w:t xml:space="preserve"> </w:t>
      </w:r>
      <w:r>
        <w:rPr>
          <w:color w:val="4D4D4F"/>
          <w:w w:val="105"/>
        </w:rPr>
        <w:t>and</w:t>
      </w:r>
      <w:r>
        <w:rPr>
          <w:color w:val="4D4D4F"/>
          <w:spacing w:val="-22"/>
          <w:w w:val="105"/>
        </w:rPr>
        <w:t xml:space="preserve"> </w:t>
      </w:r>
      <w:r>
        <w:rPr>
          <w:color w:val="4D4D4F"/>
          <w:w w:val="105"/>
        </w:rPr>
        <w:t>values.</w:t>
      </w:r>
      <w:r>
        <w:rPr>
          <w:color w:val="4D4D4F"/>
          <w:spacing w:val="-22"/>
          <w:w w:val="105"/>
        </w:rPr>
        <w:t xml:space="preserve"> </w:t>
      </w:r>
      <w:r>
        <w:rPr>
          <w:color w:val="4D4D4F"/>
          <w:w w:val="105"/>
        </w:rPr>
        <w:t>The</w:t>
      </w:r>
      <w:r>
        <w:rPr>
          <w:color w:val="4D4D4F"/>
          <w:spacing w:val="-23"/>
          <w:w w:val="105"/>
        </w:rPr>
        <w:t xml:space="preserve"> </w:t>
      </w:r>
      <w:r>
        <w:rPr>
          <w:color w:val="4D4D4F"/>
          <w:w w:val="105"/>
        </w:rPr>
        <w:t>strategy</w:t>
      </w:r>
      <w:r>
        <w:rPr>
          <w:color w:val="4D4D4F"/>
          <w:spacing w:val="-22"/>
          <w:w w:val="105"/>
        </w:rPr>
        <w:t xml:space="preserve"> </w:t>
      </w:r>
      <w:r>
        <w:rPr>
          <w:color w:val="4D4D4F"/>
          <w:w w:val="105"/>
        </w:rPr>
        <w:t>details</w:t>
      </w:r>
      <w:r>
        <w:rPr>
          <w:color w:val="4D4D4F"/>
          <w:spacing w:val="-22"/>
          <w:w w:val="105"/>
        </w:rPr>
        <w:t xml:space="preserve"> </w:t>
      </w:r>
      <w:r>
        <w:rPr>
          <w:color w:val="4D4D4F"/>
          <w:w w:val="105"/>
        </w:rPr>
        <w:t>high-level objectives</w:t>
      </w:r>
      <w:r>
        <w:rPr>
          <w:color w:val="4D4D4F"/>
          <w:spacing w:val="-24"/>
          <w:w w:val="105"/>
        </w:rPr>
        <w:t xml:space="preserve"> </w:t>
      </w:r>
      <w:r>
        <w:rPr>
          <w:color w:val="4D4D4F"/>
          <w:w w:val="105"/>
        </w:rPr>
        <w:t>for</w:t>
      </w:r>
      <w:r>
        <w:rPr>
          <w:color w:val="4D4D4F"/>
          <w:spacing w:val="-24"/>
          <w:w w:val="105"/>
        </w:rPr>
        <w:t xml:space="preserve"> </w:t>
      </w:r>
      <w:r>
        <w:rPr>
          <w:color w:val="4D4D4F"/>
          <w:w w:val="105"/>
        </w:rPr>
        <w:t>management,</w:t>
      </w:r>
      <w:r>
        <w:rPr>
          <w:color w:val="4D4D4F"/>
          <w:spacing w:val="-24"/>
          <w:w w:val="105"/>
        </w:rPr>
        <w:t xml:space="preserve"> </w:t>
      </w:r>
      <w:r>
        <w:rPr>
          <w:color w:val="4D4D4F"/>
          <w:w w:val="105"/>
        </w:rPr>
        <w:t>co-developed</w:t>
      </w:r>
      <w:r>
        <w:rPr>
          <w:color w:val="4D4D4F"/>
          <w:spacing w:val="-23"/>
          <w:w w:val="105"/>
        </w:rPr>
        <w:t xml:space="preserve"> </w:t>
      </w:r>
      <w:r>
        <w:rPr>
          <w:color w:val="4D4D4F"/>
          <w:w w:val="105"/>
        </w:rPr>
        <w:t>with</w:t>
      </w:r>
      <w:r>
        <w:rPr>
          <w:color w:val="4D4D4F"/>
          <w:spacing w:val="-24"/>
          <w:w w:val="105"/>
        </w:rPr>
        <w:t xml:space="preserve"> </w:t>
      </w:r>
      <w:r>
        <w:rPr>
          <w:color w:val="4D4D4F"/>
          <w:w w:val="105"/>
        </w:rPr>
        <w:t>Traditional</w:t>
      </w:r>
      <w:r>
        <w:rPr>
          <w:color w:val="4D4D4F"/>
          <w:spacing w:val="-24"/>
          <w:w w:val="105"/>
        </w:rPr>
        <w:t xml:space="preserve"> </w:t>
      </w:r>
      <w:r>
        <w:rPr>
          <w:color w:val="4D4D4F"/>
          <w:w w:val="105"/>
        </w:rPr>
        <w:t>Owners.</w:t>
      </w:r>
      <w:r>
        <w:rPr>
          <w:color w:val="4D4D4F"/>
          <w:spacing w:val="-24"/>
          <w:w w:val="105"/>
        </w:rPr>
        <w:t xml:space="preserve"> </w:t>
      </w:r>
      <w:r>
        <w:rPr>
          <w:color w:val="4D4D4F"/>
          <w:w w:val="105"/>
        </w:rPr>
        <w:t>DELWP</w:t>
      </w:r>
      <w:r>
        <w:rPr>
          <w:color w:val="4D4D4F"/>
          <w:spacing w:val="-24"/>
          <w:w w:val="105"/>
        </w:rPr>
        <w:t xml:space="preserve"> </w:t>
      </w:r>
      <w:r>
        <w:rPr>
          <w:color w:val="4D4D4F"/>
          <w:w w:val="105"/>
        </w:rPr>
        <w:t>applied</w:t>
      </w:r>
    </w:p>
    <w:p w14:paraId="3FC6090D" w14:textId="77777777" w:rsidR="00EF5B27" w:rsidRDefault="00000000">
      <w:pPr>
        <w:pStyle w:val="BodyText"/>
        <w:spacing w:before="6" w:line="254" w:lineRule="auto"/>
        <w:ind w:left="2608" w:right="151"/>
      </w:pPr>
      <w:r>
        <w:rPr>
          <w:color w:val="4D4D4F"/>
        </w:rPr>
        <w:t>a multi-tenure approach to land protection through either Crown land reserves or negotiated on-title land management agreements on private land. A 4.9 ha reserve containing Grassy Eucalypt Woodland was secured in 2021, and monitoring has now commenced in this area. However, Traditional Owners were not included in the design of associated KPIs.</w:t>
      </w:r>
    </w:p>
    <w:p w14:paraId="2B560979" w14:textId="77777777" w:rsidR="00EF5B27" w:rsidRDefault="00000000">
      <w:pPr>
        <w:pStyle w:val="BodyText"/>
        <w:spacing w:before="119" w:line="254" w:lineRule="auto"/>
        <w:ind w:left="2608" w:right="151"/>
      </w:pPr>
      <w:r>
        <w:rPr>
          <w:color w:val="4D4D4F"/>
        </w:rPr>
        <w:t>Program logic and MRF redesign should build on recent partnerships to address pathways and mechanisms enabling the inclusion of Aboriginal cultural heritage and Traditional Owner knowledge and values into MSA frameworks.</w:t>
      </w:r>
    </w:p>
    <w:p w14:paraId="1EB620F4" w14:textId="77777777" w:rsidR="00EF5B27" w:rsidRDefault="00EF5B27">
      <w:pPr>
        <w:pStyle w:val="BodyText"/>
      </w:pPr>
    </w:p>
    <w:p w14:paraId="4C1AFABF" w14:textId="77777777" w:rsidR="00EF5B27" w:rsidRDefault="00EF5B27">
      <w:pPr>
        <w:pStyle w:val="BodyText"/>
      </w:pPr>
    </w:p>
    <w:p w14:paraId="42123D84" w14:textId="77777777" w:rsidR="00EF5B27" w:rsidRDefault="00EF5B27">
      <w:pPr>
        <w:pStyle w:val="BodyText"/>
      </w:pPr>
    </w:p>
    <w:p w14:paraId="50CEB968" w14:textId="77777777" w:rsidR="00EF5B27" w:rsidRDefault="00EF5B27">
      <w:pPr>
        <w:pStyle w:val="BodyText"/>
      </w:pPr>
    </w:p>
    <w:p w14:paraId="25ABBD6C" w14:textId="77777777" w:rsidR="00EF5B27" w:rsidRDefault="00000000">
      <w:pPr>
        <w:pStyle w:val="BodyText"/>
        <w:spacing w:before="9"/>
        <w:rPr>
          <w:sz w:val="17"/>
        </w:rPr>
      </w:pPr>
      <w:r>
        <w:pict w14:anchorId="44CBE3EE">
          <v:line id="_x0000_s4228" style="position:absolute;z-index:251345408;mso-wrap-distance-left:0;mso-wrap-distance-right:0;mso-position-horizontal-relative:page" from="181.4pt,13.05pt" to="538.6pt,13.05pt" strokecolor="#4d4d4f" strokeweight=".5pt">
            <w10:wrap type="topAndBottom" anchorx="page"/>
          </v:line>
        </w:pict>
      </w:r>
    </w:p>
    <w:p w14:paraId="488EAEA0" w14:textId="77777777" w:rsidR="00EF5B27" w:rsidRDefault="00000000">
      <w:pPr>
        <w:pStyle w:val="ListParagraph"/>
        <w:numPr>
          <w:ilvl w:val="0"/>
          <w:numId w:val="65"/>
        </w:numPr>
        <w:tabs>
          <w:tab w:val="left" w:pos="2836"/>
        </w:tabs>
        <w:spacing w:before="83" w:line="143" w:lineRule="exact"/>
        <w:jc w:val="left"/>
        <w:rPr>
          <w:sz w:val="12"/>
        </w:rPr>
      </w:pPr>
      <w:r>
        <w:rPr>
          <w:color w:val="4D4D4F"/>
          <w:sz w:val="12"/>
        </w:rPr>
        <w:t>DELWP</w:t>
      </w:r>
      <w:r>
        <w:rPr>
          <w:color w:val="4D4D4F"/>
          <w:spacing w:val="5"/>
          <w:sz w:val="12"/>
        </w:rPr>
        <w:t xml:space="preserve"> </w:t>
      </w:r>
      <w:r>
        <w:rPr>
          <w:color w:val="4D4D4F"/>
          <w:spacing w:val="2"/>
          <w:sz w:val="12"/>
        </w:rPr>
        <w:t>2020,</w:t>
      </w:r>
      <w:r>
        <w:rPr>
          <w:color w:val="4D4D4F"/>
          <w:spacing w:val="6"/>
          <w:sz w:val="12"/>
        </w:rPr>
        <w:t xml:space="preserve"> </w:t>
      </w:r>
      <w:r>
        <w:rPr>
          <w:color w:val="4D4D4F"/>
          <w:sz w:val="12"/>
        </w:rPr>
        <w:t>‘Pupangarli</w:t>
      </w:r>
      <w:r>
        <w:rPr>
          <w:color w:val="4D4D4F"/>
          <w:spacing w:val="6"/>
          <w:sz w:val="12"/>
        </w:rPr>
        <w:t xml:space="preserve"> </w:t>
      </w:r>
      <w:r>
        <w:rPr>
          <w:color w:val="4D4D4F"/>
          <w:sz w:val="12"/>
        </w:rPr>
        <w:t>Marnmarnepu</w:t>
      </w:r>
      <w:r>
        <w:rPr>
          <w:color w:val="4D4D4F"/>
          <w:spacing w:val="6"/>
          <w:sz w:val="12"/>
        </w:rPr>
        <w:t xml:space="preserve"> </w:t>
      </w:r>
      <w:r>
        <w:rPr>
          <w:color w:val="4D4D4F"/>
          <w:sz w:val="12"/>
        </w:rPr>
        <w:t>'Owning</w:t>
      </w:r>
      <w:r>
        <w:rPr>
          <w:color w:val="4D4D4F"/>
          <w:spacing w:val="6"/>
          <w:sz w:val="12"/>
        </w:rPr>
        <w:t xml:space="preserve"> </w:t>
      </w:r>
      <w:r>
        <w:rPr>
          <w:color w:val="4D4D4F"/>
          <w:sz w:val="12"/>
        </w:rPr>
        <w:t>Our</w:t>
      </w:r>
      <w:r>
        <w:rPr>
          <w:color w:val="4D4D4F"/>
          <w:spacing w:val="6"/>
          <w:sz w:val="12"/>
        </w:rPr>
        <w:t xml:space="preserve"> </w:t>
      </w:r>
      <w:r>
        <w:rPr>
          <w:color w:val="4D4D4F"/>
          <w:sz w:val="12"/>
        </w:rPr>
        <w:t>Future’</w:t>
      </w:r>
      <w:r>
        <w:rPr>
          <w:color w:val="4D4D4F"/>
          <w:spacing w:val="6"/>
          <w:sz w:val="12"/>
        </w:rPr>
        <w:t xml:space="preserve"> </w:t>
      </w:r>
      <w:r>
        <w:rPr>
          <w:color w:val="4D4D4F"/>
          <w:sz w:val="12"/>
        </w:rPr>
        <w:t>Aboriginal</w:t>
      </w:r>
      <w:r>
        <w:rPr>
          <w:color w:val="4D4D4F"/>
          <w:spacing w:val="6"/>
          <w:sz w:val="12"/>
        </w:rPr>
        <w:t xml:space="preserve"> </w:t>
      </w:r>
      <w:r>
        <w:rPr>
          <w:color w:val="4D4D4F"/>
          <w:sz w:val="12"/>
        </w:rPr>
        <w:t>Self-Determination</w:t>
      </w:r>
      <w:r>
        <w:rPr>
          <w:color w:val="4D4D4F"/>
          <w:spacing w:val="6"/>
          <w:sz w:val="12"/>
        </w:rPr>
        <w:t xml:space="preserve"> </w:t>
      </w:r>
      <w:r>
        <w:rPr>
          <w:color w:val="4D4D4F"/>
          <w:sz w:val="12"/>
        </w:rPr>
        <w:t>Reform</w:t>
      </w:r>
      <w:r>
        <w:rPr>
          <w:color w:val="4D4D4F"/>
          <w:spacing w:val="6"/>
          <w:sz w:val="12"/>
        </w:rPr>
        <w:t xml:space="preserve"> </w:t>
      </w:r>
      <w:r>
        <w:rPr>
          <w:color w:val="4D4D4F"/>
          <w:sz w:val="12"/>
        </w:rPr>
        <w:t>Strategy</w:t>
      </w:r>
      <w:r>
        <w:rPr>
          <w:color w:val="4D4D4F"/>
          <w:spacing w:val="5"/>
          <w:sz w:val="12"/>
        </w:rPr>
        <w:t xml:space="preserve"> </w:t>
      </w:r>
      <w:r>
        <w:rPr>
          <w:color w:val="4D4D4F"/>
          <w:sz w:val="12"/>
        </w:rPr>
        <w:t>2020–2025’.</w:t>
      </w:r>
    </w:p>
    <w:p w14:paraId="24CE1A86" w14:textId="77777777" w:rsidR="00EF5B27" w:rsidRDefault="00000000">
      <w:pPr>
        <w:pStyle w:val="ListParagraph"/>
        <w:numPr>
          <w:ilvl w:val="0"/>
          <w:numId w:val="65"/>
        </w:numPr>
        <w:tabs>
          <w:tab w:val="left" w:pos="2836"/>
        </w:tabs>
        <w:spacing w:line="140" w:lineRule="exact"/>
        <w:jc w:val="left"/>
        <w:rPr>
          <w:sz w:val="12"/>
        </w:rPr>
      </w:pPr>
      <w:r>
        <w:rPr>
          <w:color w:val="4D4D4F"/>
          <w:sz w:val="12"/>
        </w:rPr>
        <w:t>DEPI</w:t>
      </w:r>
      <w:r>
        <w:rPr>
          <w:color w:val="4D4D4F"/>
          <w:spacing w:val="4"/>
          <w:sz w:val="12"/>
        </w:rPr>
        <w:t xml:space="preserve"> </w:t>
      </w:r>
      <w:r>
        <w:rPr>
          <w:color w:val="4D4D4F"/>
          <w:sz w:val="12"/>
        </w:rPr>
        <w:t>2009,</w:t>
      </w:r>
      <w:r>
        <w:rPr>
          <w:color w:val="4D4D4F"/>
          <w:spacing w:val="5"/>
          <w:sz w:val="12"/>
        </w:rPr>
        <w:t xml:space="preserve"> </w:t>
      </w:r>
      <w:r>
        <w:rPr>
          <w:color w:val="4D4D4F"/>
          <w:sz w:val="12"/>
        </w:rPr>
        <w:t>‘Delivering</w:t>
      </w:r>
      <w:r>
        <w:rPr>
          <w:color w:val="4D4D4F"/>
          <w:spacing w:val="5"/>
          <w:sz w:val="12"/>
        </w:rPr>
        <w:t xml:space="preserve"> </w:t>
      </w:r>
      <w:r>
        <w:rPr>
          <w:color w:val="4D4D4F"/>
          <w:sz w:val="12"/>
        </w:rPr>
        <w:t>Melbourne’s</w:t>
      </w:r>
      <w:r>
        <w:rPr>
          <w:color w:val="4D4D4F"/>
          <w:spacing w:val="5"/>
          <w:sz w:val="12"/>
        </w:rPr>
        <w:t xml:space="preserve"> </w:t>
      </w:r>
      <w:r>
        <w:rPr>
          <w:color w:val="4D4D4F"/>
          <w:sz w:val="12"/>
        </w:rPr>
        <w:t>Newest</w:t>
      </w:r>
      <w:r>
        <w:rPr>
          <w:color w:val="4D4D4F"/>
          <w:spacing w:val="5"/>
          <w:sz w:val="12"/>
        </w:rPr>
        <w:t xml:space="preserve"> </w:t>
      </w:r>
      <w:r>
        <w:rPr>
          <w:color w:val="4D4D4F"/>
          <w:sz w:val="12"/>
        </w:rPr>
        <w:t>Sustainable</w:t>
      </w:r>
      <w:r>
        <w:rPr>
          <w:color w:val="4D4D4F"/>
          <w:spacing w:val="5"/>
          <w:sz w:val="12"/>
        </w:rPr>
        <w:t xml:space="preserve"> </w:t>
      </w:r>
      <w:r>
        <w:rPr>
          <w:color w:val="4D4D4F"/>
          <w:sz w:val="12"/>
        </w:rPr>
        <w:t>Communities:</w:t>
      </w:r>
      <w:r>
        <w:rPr>
          <w:color w:val="4D4D4F"/>
          <w:spacing w:val="5"/>
          <w:sz w:val="12"/>
        </w:rPr>
        <w:t xml:space="preserve"> </w:t>
      </w:r>
      <w:r>
        <w:rPr>
          <w:color w:val="4D4D4F"/>
          <w:spacing w:val="2"/>
          <w:sz w:val="12"/>
        </w:rPr>
        <w:t>Program</w:t>
      </w:r>
      <w:r>
        <w:rPr>
          <w:color w:val="4D4D4F"/>
          <w:spacing w:val="4"/>
          <w:sz w:val="12"/>
        </w:rPr>
        <w:t xml:space="preserve"> </w:t>
      </w:r>
      <w:r>
        <w:rPr>
          <w:color w:val="4D4D4F"/>
          <w:sz w:val="12"/>
        </w:rPr>
        <w:t>Report’,</w:t>
      </w:r>
      <w:r>
        <w:rPr>
          <w:color w:val="4D4D4F"/>
          <w:spacing w:val="5"/>
          <w:sz w:val="12"/>
        </w:rPr>
        <w:t xml:space="preserve"> </w:t>
      </w:r>
      <w:r>
        <w:rPr>
          <w:color w:val="4D4D4F"/>
          <w:sz w:val="12"/>
        </w:rPr>
        <w:t>East</w:t>
      </w:r>
      <w:r>
        <w:rPr>
          <w:color w:val="4D4D4F"/>
          <w:spacing w:val="5"/>
          <w:sz w:val="12"/>
        </w:rPr>
        <w:t xml:space="preserve"> </w:t>
      </w:r>
      <w:r>
        <w:rPr>
          <w:color w:val="4D4D4F"/>
          <w:sz w:val="12"/>
        </w:rPr>
        <w:t>Melbourne,</w:t>
      </w:r>
      <w:r>
        <w:rPr>
          <w:color w:val="4D4D4F"/>
          <w:spacing w:val="5"/>
          <w:sz w:val="12"/>
        </w:rPr>
        <w:t xml:space="preserve"> </w:t>
      </w:r>
      <w:r>
        <w:rPr>
          <w:color w:val="4D4D4F"/>
          <w:sz w:val="12"/>
        </w:rPr>
        <w:t>Victoria.</w:t>
      </w:r>
    </w:p>
    <w:p w14:paraId="11DC5DD3" w14:textId="77777777" w:rsidR="00EF5B27" w:rsidRDefault="00000000">
      <w:pPr>
        <w:pStyle w:val="ListParagraph"/>
        <w:numPr>
          <w:ilvl w:val="0"/>
          <w:numId w:val="65"/>
        </w:numPr>
        <w:tabs>
          <w:tab w:val="left" w:pos="2836"/>
        </w:tabs>
        <w:spacing w:line="143" w:lineRule="exact"/>
        <w:jc w:val="left"/>
        <w:rPr>
          <w:sz w:val="12"/>
        </w:rPr>
      </w:pPr>
      <w:r>
        <w:rPr>
          <w:color w:val="4D4D4F"/>
          <w:sz w:val="12"/>
        </w:rPr>
        <w:t>DELWP</w:t>
      </w:r>
      <w:r>
        <w:rPr>
          <w:color w:val="4D4D4F"/>
          <w:spacing w:val="6"/>
          <w:sz w:val="12"/>
        </w:rPr>
        <w:t xml:space="preserve"> </w:t>
      </w:r>
      <w:r>
        <w:rPr>
          <w:color w:val="4D4D4F"/>
          <w:sz w:val="12"/>
        </w:rPr>
        <w:t>2021,</w:t>
      </w:r>
      <w:r>
        <w:rPr>
          <w:color w:val="4D4D4F"/>
          <w:spacing w:val="6"/>
          <w:sz w:val="12"/>
        </w:rPr>
        <w:t xml:space="preserve"> </w:t>
      </w:r>
      <w:r>
        <w:rPr>
          <w:color w:val="4D4D4F"/>
          <w:sz w:val="12"/>
        </w:rPr>
        <w:t>‘Strategy</w:t>
      </w:r>
      <w:r>
        <w:rPr>
          <w:color w:val="4D4D4F"/>
          <w:spacing w:val="6"/>
          <w:sz w:val="12"/>
        </w:rPr>
        <w:t xml:space="preserve"> </w:t>
      </w:r>
      <w:r>
        <w:rPr>
          <w:color w:val="4D4D4F"/>
          <w:sz w:val="12"/>
        </w:rPr>
        <w:t>for</w:t>
      </w:r>
      <w:r>
        <w:rPr>
          <w:color w:val="4D4D4F"/>
          <w:spacing w:val="6"/>
          <w:sz w:val="12"/>
        </w:rPr>
        <w:t xml:space="preserve"> </w:t>
      </w:r>
      <w:r>
        <w:rPr>
          <w:color w:val="4D4D4F"/>
          <w:sz w:val="12"/>
        </w:rPr>
        <w:t>establishing</w:t>
      </w:r>
      <w:r>
        <w:rPr>
          <w:color w:val="4D4D4F"/>
          <w:spacing w:val="6"/>
          <w:sz w:val="12"/>
        </w:rPr>
        <w:t xml:space="preserve"> </w:t>
      </w:r>
      <w:r>
        <w:rPr>
          <w:color w:val="4D4D4F"/>
          <w:sz w:val="12"/>
        </w:rPr>
        <w:t>a</w:t>
      </w:r>
      <w:r>
        <w:rPr>
          <w:color w:val="4D4D4F"/>
          <w:spacing w:val="6"/>
          <w:sz w:val="12"/>
        </w:rPr>
        <w:t xml:space="preserve"> </w:t>
      </w:r>
      <w:r>
        <w:rPr>
          <w:color w:val="4D4D4F"/>
          <w:spacing w:val="2"/>
          <w:sz w:val="12"/>
        </w:rPr>
        <w:t>Grassy</w:t>
      </w:r>
      <w:r>
        <w:rPr>
          <w:color w:val="4D4D4F"/>
          <w:spacing w:val="6"/>
          <w:sz w:val="12"/>
        </w:rPr>
        <w:t xml:space="preserve"> </w:t>
      </w:r>
      <w:r>
        <w:rPr>
          <w:color w:val="4D4D4F"/>
          <w:sz w:val="12"/>
        </w:rPr>
        <w:t>Eucalypt</w:t>
      </w:r>
      <w:r>
        <w:rPr>
          <w:color w:val="4D4D4F"/>
          <w:spacing w:val="6"/>
          <w:sz w:val="12"/>
        </w:rPr>
        <w:t xml:space="preserve"> </w:t>
      </w:r>
      <w:r>
        <w:rPr>
          <w:color w:val="4D4D4F"/>
          <w:sz w:val="12"/>
        </w:rPr>
        <w:t>Woodland</w:t>
      </w:r>
      <w:r>
        <w:rPr>
          <w:color w:val="4D4D4F"/>
          <w:spacing w:val="6"/>
          <w:sz w:val="12"/>
        </w:rPr>
        <w:t xml:space="preserve"> </w:t>
      </w:r>
      <w:r>
        <w:rPr>
          <w:color w:val="4D4D4F"/>
          <w:spacing w:val="2"/>
          <w:sz w:val="12"/>
        </w:rPr>
        <w:t>Protected</w:t>
      </w:r>
      <w:r>
        <w:rPr>
          <w:color w:val="4D4D4F"/>
          <w:spacing w:val="6"/>
          <w:sz w:val="12"/>
        </w:rPr>
        <w:t xml:space="preserve"> </w:t>
      </w:r>
      <w:r>
        <w:rPr>
          <w:color w:val="4D4D4F"/>
          <w:spacing w:val="2"/>
          <w:sz w:val="12"/>
        </w:rPr>
        <w:t>Area</w:t>
      </w:r>
      <w:r>
        <w:rPr>
          <w:color w:val="4D4D4F"/>
          <w:spacing w:val="6"/>
          <w:sz w:val="12"/>
        </w:rPr>
        <w:t xml:space="preserve"> </w:t>
      </w:r>
      <w:r>
        <w:rPr>
          <w:color w:val="4D4D4F"/>
          <w:sz w:val="12"/>
        </w:rPr>
        <w:t>–</w:t>
      </w:r>
      <w:r>
        <w:rPr>
          <w:color w:val="4D4D4F"/>
          <w:spacing w:val="6"/>
          <w:sz w:val="12"/>
        </w:rPr>
        <w:t xml:space="preserve"> </w:t>
      </w:r>
      <w:r>
        <w:rPr>
          <w:color w:val="4D4D4F"/>
          <w:sz w:val="12"/>
        </w:rPr>
        <w:t>Melbourne</w:t>
      </w:r>
      <w:r>
        <w:rPr>
          <w:color w:val="4D4D4F"/>
          <w:spacing w:val="6"/>
          <w:sz w:val="12"/>
        </w:rPr>
        <w:t xml:space="preserve"> </w:t>
      </w:r>
      <w:r>
        <w:rPr>
          <w:color w:val="4D4D4F"/>
          <w:sz w:val="12"/>
        </w:rPr>
        <w:t>Strategic</w:t>
      </w:r>
      <w:r>
        <w:rPr>
          <w:color w:val="4D4D4F"/>
          <w:spacing w:val="6"/>
          <w:sz w:val="12"/>
        </w:rPr>
        <w:t xml:space="preserve"> </w:t>
      </w:r>
      <w:r>
        <w:rPr>
          <w:color w:val="4D4D4F"/>
          <w:sz w:val="12"/>
        </w:rPr>
        <w:t>Assessment’.</w:t>
      </w:r>
    </w:p>
    <w:p w14:paraId="4E0824A5" w14:textId="77777777" w:rsidR="00EF5B27" w:rsidRDefault="00EF5B27">
      <w:pPr>
        <w:spacing w:line="143" w:lineRule="exact"/>
        <w:rPr>
          <w:sz w:val="12"/>
        </w:rPr>
        <w:sectPr w:rsidR="00EF5B27">
          <w:type w:val="continuous"/>
          <w:pgSz w:w="11910" w:h="16840"/>
          <w:pgMar w:top="1140" w:right="1020" w:bottom="280" w:left="1020" w:header="720" w:footer="720" w:gutter="0"/>
          <w:cols w:space="720"/>
        </w:sectPr>
      </w:pPr>
    </w:p>
    <w:p w14:paraId="2972A23D" w14:textId="77777777" w:rsidR="00EF5B27" w:rsidRDefault="00EF5B27">
      <w:pPr>
        <w:pStyle w:val="BodyText"/>
      </w:pPr>
    </w:p>
    <w:p w14:paraId="2DC6BEE6" w14:textId="77777777" w:rsidR="00EF5B27" w:rsidRDefault="00EF5B27">
      <w:pPr>
        <w:pStyle w:val="BodyText"/>
      </w:pPr>
    </w:p>
    <w:p w14:paraId="3C9654FF" w14:textId="77777777" w:rsidR="00EF5B27" w:rsidRDefault="00EF5B27">
      <w:pPr>
        <w:pStyle w:val="BodyText"/>
      </w:pPr>
    </w:p>
    <w:p w14:paraId="6E479380" w14:textId="77777777" w:rsidR="00EF5B27" w:rsidRDefault="00EF5B27">
      <w:pPr>
        <w:pStyle w:val="BodyText"/>
      </w:pPr>
    </w:p>
    <w:p w14:paraId="4AF27FAC" w14:textId="77777777" w:rsidR="00EF5B27" w:rsidRDefault="00EF5B27">
      <w:pPr>
        <w:pStyle w:val="BodyText"/>
      </w:pPr>
    </w:p>
    <w:p w14:paraId="5418D229" w14:textId="77777777" w:rsidR="00EF5B27" w:rsidRDefault="00EF5B27">
      <w:pPr>
        <w:pStyle w:val="BodyText"/>
      </w:pPr>
    </w:p>
    <w:p w14:paraId="57433F37" w14:textId="77777777" w:rsidR="00EF5B27" w:rsidRDefault="00EF5B27">
      <w:pPr>
        <w:pStyle w:val="BodyText"/>
      </w:pPr>
    </w:p>
    <w:p w14:paraId="49DD1665" w14:textId="77777777" w:rsidR="00EF5B27" w:rsidRDefault="00EF5B27">
      <w:pPr>
        <w:pStyle w:val="BodyText"/>
      </w:pPr>
    </w:p>
    <w:p w14:paraId="41B0EC5F" w14:textId="77777777" w:rsidR="00EF5B27" w:rsidRDefault="00EF5B27">
      <w:pPr>
        <w:pStyle w:val="BodyText"/>
      </w:pPr>
    </w:p>
    <w:p w14:paraId="3B68BD85" w14:textId="77777777" w:rsidR="00EF5B27" w:rsidRDefault="00EF5B27">
      <w:pPr>
        <w:pStyle w:val="BodyText"/>
      </w:pPr>
    </w:p>
    <w:p w14:paraId="3C3B7C52" w14:textId="77777777" w:rsidR="00EF5B27" w:rsidRDefault="00EF5B27">
      <w:pPr>
        <w:pStyle w:val="BodyText"/>
        <w:spacing w:before="4"/>
        <w:rPr>
          <w:sz w:val="11"/>
        </w:rPr>
      </w:pPr>
    </w:p>
    <w:p w14:paraId="511D29EF" w14:textId="77777777" w:rsidR="00EF5B27" w:rsidRDefault="00000000">
      <w:pPr>
        <w:pStyle w:val="BodyText"/>
        <w:ind w:left="113"/>
      </w:pPr>
      <w:r>
        <w:pict w14:anchorId="1891D86A">
          <v:shape id="_x0000_s4227" type="#_x0000_t202" style="width:481.15pt;height:25.4pt;mso-left-percent:-10001;mso-top-percent:-10001;mso-position-horizontal:absolute;mso-position-horizontal-relative:char;mso-position-vertical:absolute;mso-position-vertical-relative:line;mso-left-percent:-10001;mso-top-percent:-10001" fillcolor="#fecc91" stroked="f">
            <v:textbox inset="0,0,0,0">
              <w:txbxContent>
                <w:p w14:paraId="29482A57" w14:textId="77777777" w:rsidR="00EF5B27" w:rsidRDefault="00000000">
                  <w:pPr>
                    <w:tabs>
                      <w:tab w:val="left" w:pos="2607"/>
                    </w:tabs>
                    <w:spacing w:before="142"/>
                    <w:ind w:left="113"/>
                    <w:rPr>
                      <w:b/>
                      <w:sz w:val="20"/>
                    </w:rPr>
                  </w:pPr>
                  <w:r>
                    <w:rPr>
                      <w:b/>
                      <w:color w:val="4D4D4F"/>
                      <w:sz w:val="20"/>
                    </w:rPr>
                    <w:t>Theme</w:t>
                  </w:r>
                  <w:r>
                    <w:rPr>
                      <w:b/>
                      <w:color w:val="4D4D4F"/>
                      <w:sz w:val="20"/>
                    </w:rPr>
                    <w:tab/>
                    <w:t>Program design, governance and coordination (Program</w:t>
                  </w:r>
                  <w:r>
                    <w:rPr>
                      <w:b/>
                      <w:color w:val="4D4D4F"/>
                      <w:spacing w:val="33"/>
                      <w:sz w:val="20"/>
                    </w:rPr>
                    <w:t xml:space="preserve"> </w:t>
                  </w:r>
                  <w:r>
                    <w:rPr>
                      <w:b/>
                      <w:color w:val="4D4D4F"/>
                      <w:sz w:val="20"/>
                    </w:rPr>
                    <w:t>logic)</w:t>
                  </w:r>
                </w:p>
              </w:txbxContent>
            </v:textbox>
            <w10:anchorlock/>
          </v:shape>
        </w:pict>
      </w:r>
    </w:p>
    <w:p w14:paraId="66DE8EFD" w14:textId="77777777" w:rsidR="00EF5B27" w:rsidRDefault="00EF5B27">
      <w:pPr>
        <w:pStyle w:val="BodyText"/>
        <w:spacing w:before="8"/>
        <w:rPr>
          <w:sz w:val="5"/>
        </w:rPr>
      </w:pPr>
    </w:p>
    <w:p w14:paraId="03205F99" w14:textId="77777777" w:rsidR="00EF5B27" w:rsidRDefault="00EF5B27">
      <w:pPr>
        <w:rPr>
          <w:sz w:val="5"/>
        </w:rPr>
        <w:sectPr w:rsidR="00EF5B27">
          <w:pgSz w:w="11910" w:h="16840"/>
          <w:pgMar w:top="1080" w:right="1020" w:bottom="860" w:left="1020" w:header="537" w:footer="678" w:gutter="0"/>
          <w:cols w:space="720"/>
        </w:sectPr>
      </w:pPr>
    </w:p>
    <w:p w14:paraId="0C002257" w14:textId="77777777" w:rsidR="00EF5B27" w:rsidRDefault="00000000">
      <w:pPr>
        <w:pStyle w:val="BodyText"/>
        <w:spacing w:before="51"/>
        <w:ind w:left="227"/>
      </w:pPr>
      <w:r>
        <w:pict w14:anchorId="2E2807EA">
          <v:group id="_x0000_s4224" style="position:absolute;left:0;text-align:left;margin-left:56.7pt;margin-top:-29.85pt;width:481.15pt;height:.25pt;z-index:251419136;mso-position-horizontal-relative:page" coordorigin="1134,-597" coordsize="9623,5">
            <v:line id="_x0000_s4226" style="position:absolute" from="1134,-595" to="3628,-595" strokeweight=".25pt"/>
            <v:line id="_x0000_s4225" style="position:absolute" from="3628,-595" to="10756,-595" strokeweight=".25pt"/>
            <w10:wrap anchorx="page"/>
          </v:group>
        </w:pict>
      </w:r>
      <w:r>
        <w:pict w14:anchorId="50C478B2">
          <v:group id="_x0000_s4221" style="position:absolute;left:0;text-align:left;margin-left:56.7pt;margin-top:-4.35pt;width:481.15pt;height:.25pt;z-index:251420160;mso-position-horizontal-relative:page" coordorigin="1134,-87" coordsize="9623,5">
            <v:line id="_x0000_s4223" style="position:absolute" from="1134,-84" to="3628,-84" strokeweight=".25pt"/>
            <v:line id="_x0000_s4222" style="position:absolute" from="3628,-84" to="10756,-84" strokeweight=".25pt"/>
            <w10:wrap anchorx="page"/>
          </v:group>
        </w:pict>
      </w:r>
      <w:r>
        <w:rPr>
          <w:color w:val="4D4D4F"/>
        </w:rPr>
        <w:t>Recommendation</w:t>
      </w:r>
    </w:p>
    <w:p w14:paraId="7C320818" w14:textId="77777777" w:rsidR="00EF5B27" w:rsidRDefault="00000000">
      <w:pPr>
        <w:pStyle w:val="Heading1"/>
      </w:pPr>
      <w:r>
        <w:rPr>
          <w:color w:val="4D4D4F"/>
          <w:w w:val="105"/>
        </w:rPr>
        <w:t>03</w:t>
      </w:r>
    </w:p>
    <w:p w14:paraId="266D8329" w14:textId="77777777" w:rsidR="00EF5B27" w:rsidRDefault="00000000">
      <w:pPr>
        <w:pStyle w:val="BodyText"/>
        <w:spacing w:before="51"/>
        <w:ind w:left="227"/>
      </w:pPr>
      <w:r>
        <w:br w:type="column"/>
      </w:r>
      <w:r>
        <w:rPr>
          <w:color w:val="4D4D4F"/>
        </w:rPr>
        <w:t>That DELWP:</w:t>
      </w:r>
    </w:p>
    <w:p w14:paraId="524D8F97" w14:textId="77777777" w:rsidR="00EF5B27" w:rsidRDefault="00000000">
      <w:pPr>
        <w:pStyle w:val="ListParagraph"/>
        <w:numPr>
          <w:ilvl w:val="0"/>
          <w:numId w:val="54"/>
        </w:numPr>
        <w:tabs>
          <w:tab w:val="left" w:pos="429"/>
        </w:tabs>
        <w:spacing w:before="130" w:line="254" w:lineRule="auto"/>
        <w:ind w:right="450" w:firstLine="0"/>
        <w:rPr>
          <w:sz w:val="20"/>
        </w:rPr>
      </w:pPr>
      <w:r>
        <w:rPr>
          <w:color w:val="4D4D4F"/>
          <w:sz w:val="20"/>
        </w:rPr>
        <w:t>undertakes a contemporary redesign of the MSA program logic in consultation with Traditional Owners, scientists, land managers and community,</w:t>
      </w:r>
      <w:r>
        <w:rPr>
          <w:color w:val="4D4D4F"/>
          <w:spacing w:val="32"/>
          <w:sz w:val="20"/>
        </w:rPr>
        <w:t xml:space="preserve"> </w:t>
      </w:r>
      <w:r>
        <w:rPr>
          <w:color w:val="4D4D4F"/>
          <w:sz w:val="20"/>
        </w:rPr>
        <w:t>and</w:t>
      </w:r>
    </w:p>
    <w:p w14:paraId="048A6994" w14:textId="77777777" w:rsidR="00EF5B27" w:rsidRDefault="00000000">
      <w:pPr>
        <w:pStyle w:val="ListParagraph"/>
        <w:numPr>
          <w:ilvl w:val="0"/>
          <w:numId w:val="54"/>
        </w:numPr>
        <w:tabs>
          <w:tab w:val="left" w:pos="471"/>
        </w:tabs>
        <w:spacing w:before="115" w:line="254" w:lineRule="auto"/>
        <w:ind w:right="363" w:firstLine="0"/>
        <w:rPr>
          <w:sz w:val="20"/>
        </w:rPr>
      </w:pPr>
      <w:r>
        <w:rPr>
          <w:color w:val="4D4D4F"/>
          <w:sz w:val="20"/>
        </w:rPr>
        <w:t>establishes a governance framework that supports better decision-making and risk management practices at all levels of MSA planning and</w:t>
      </w:r>
      <w:r>
        <w:rPr>
          <w:color w:val="4D4D4F"/>
          <w:spacing w:val="8"/>
          <w:sz w:val="20"/>
        </w:rPr>
        <w:t xml:space="preserve"> </w:t>
      </w:r>
      <w:r>
        <w:rPr>
          <w:color w:val="4D4D4F"/>
          <w:sz w:val="20"/>
        </w:rPr>
        <w:t>implementation.</w:t>
      </w:r>
    </w:p>
    <w:p w14:paraId="4D00FE73" w14:textId="77777777" w:rsidR="00EF5B27" w:rsidRDefault="00EF5B27">
      <w:pPr>
        <w:spacing w:line="254" w:lineRule="auto"/>
        <w:rPr>
          <w:sz w:val="20"/>
        </w:rPr>
        <w:sectPr w:rsidR="00EF5B27">
          <w:type w:val="continuous"/>
          <w:pgSz w:w="11910" w:h="16840"/>
          <w:pgMar w:top="1140" w:right="1020" w:bottom="280" w:left="1020" w:header="720" w:footer="720" w:gutter="0"/>
          <w:cols w:num="2" w:space="720" w:equalWidth="0">
            <w:col w:w="1704" w:space="790"/>
            <w:col w:w="7376"/>
          </w:cols>
        </w:sectPr>
      </w:pPr>
    </w:p>
    <w:p w14:paraId="3A2E57A5" w14:textId="77777777" w:rsidR="00EF5B27" w:rsidRDefault="00000000">
      <w:pPr>
        <w:pStyle w:val="BodyText"/>
        <w:spacing w:before="5"/>
        <w:rPr>
          <w:sz w:val="12"/>
        </w:rPr>
      </w:pPr>
      <w:r>
        <w:pict w14:anchorId="1C571298">
          <v:group id="_x0000_s4213" style="position:absolute;margin-left:587.05pt;margin-top:183.4pt;width:8.25pt;height:153.1pt;z-index:251418112;mso-position-horizontal-relative:page;mso-position-vertical-relative:page" coordorigin="11741,3668" coordsize="165,3062">
            <v:shape id="_x0000_s4220" style="position:absolute;left:11741;top:3668;width:165;height:561" coordorigin="11741,3668" coordsize="165,561" path="m11906,3668r-165,l11741,4228r165,-18l11906,3668xe" fillcolor="#00aed9" stroked="f">
              <v:path arrowok="t"/>
            </v:shape>
            <v:shape id="_x0000_s4219" style="position:absolute;left:11741;top:4118;width:165;height:425" coordorigin="11741,4118" coordsize="165,425" path="m11906,4118r-165,14l11741,4531r165,12l11906,4118xe" fillcolor="#047ebc" stroked="f">
              <v:path arrowok="t"/>
            </v:shape>
            <v:shape id="_x0000_s4218" type="#_x0000_t75" style="position:absolute;left:11741;top:4355;width:165;height:587">
              <v:imagedata r:id="rId42" o:title=""/>
            </v:shape>
            <v:shape id="_x0000_s4217" style="position:absolute;left:11741;top:5343;width:165;height:536" coordorigin="11741,5343" coordsize="165,536" path="m11741,5343r,535l11906,5872r,-525l11741,5343xe" fillcolor="#f36a2e" stroked="f">
              <v:path arrowok="t"/>
            </v:shape>
            <v:shape id="_x0000_s4216" style="position:absolute;left:11741;top:4925;width:165;height:501" coordorigin="11741,4926" coordsize="165,501" path="m11741,4926r,500l11906,5426r,-485l11741,4926xe" fillcolor="#49783f" stroked="f">
              <v:path arrowok="t"/>
            </v:shape>
            <v:shape id="_x0000_s4215" style="position:absolute;left:11741;top:5781;width:165;height:268" coordorigin="11741,5782" coordsize="165,268" path="m11906,5782r-165,8l11741,6039r165,10l11906,5782xe" fillcolor="#f99f2a" stroked="f">
              <v:path arrowok="t"/>
            </v:shape>
            <v:shape id="_x0000_s4214" style="position:absolute;left:11741;top:6023;width:165;height:707" coordorigin="11741,6023" coordsize="165,707" path="m11741,6023r,706l11906,6729r,-690l11741,6023xe" fillcolor="#ef412c" stroked="f">
              <v:path arrowok="t"/>
            </v:shape>
            <w10:wrap anchorx="page" anchory="page"/>
          </v:group>
        </w:pict>
      </w:r>
    </w:p>
    <w:p w14:paraId="1EE534ED" w14:textId="77777777" w:rsidR="00EF5B27" w:rsidRDefault="00000000">
      <w:pPr>
        <w:pStyle w:val="BodyText"/>
        <w:spacing w:line="20" w:lineRule="exact"/>
        <w:ind w:left="110"/>
        <w:rPr>
          <w:sz w:val="2"/>
        </w:rPr>
      </w:pPr>
      <w:r>
        <w:rPr>
          <w:sz w:val="2"/>
        </w:rPr>
      </w:r>
      <w:r>
        <w:rPr>
          <w:sz w:val="2"/>
        </w:rPr>
        <w:pict w14:anchorId="3143F88B">
          <v:group id="_x0000_s4210" style="width:481.15pt;height:.25pt;mso-position-horizontal-relative:char;mso-position-vertical-relative:line" coordsize="9623,5">
            <v:line id="_x0000_s4212" style="position:absolute" from="0,3" to="2494,3" strokeweight=".25pt"/>
            <v:line id="_x0000_s4211" style="position:absolute" from="2494,3" to="9622,3" strokeweight=".25pt"/>
            <w10:anchorlock/>
          </v:group>
        </w:pict>
      </w:r>
    </w:p>
    <w:p w14:paraId="5A2C35B9" w14:textId="77777777" w:rsidR="00EF5B27" w:rsidRDefault="00EF5B27">
      <w:pPr>
        <w:pStyle w:val="BodyText"/>
        <w:rPr>
          <w:sz w:val="24"/>
        </w:rPr>
      </w:pPr>
    </w:p>
    <w:p w14:paraId="6D15DAF0" w14:textId="77777777" w:rsidR="00EF5B27" w:rsidRDefault="00000000">
      <w:pPr>
        <w:pStyle w:val="Heading6"/>
        <w:spacing w:before="111"/>
      </w:pPr>
      <w:r>
        <w:rPr>
          <w:color w:val="4D4D4F"/>
          <w:w w:val="105"/>
        </w:rPr>
        <w:t>Program logic</w:t>
      </w:r>
    </w:p>
    <w:p w14:paraId="7A7D1621" w14:textId="77777777" w:rsidR="00EF5B27" w:rsidRDefault="00000000">
      <w:pPr>
        <w:pStyle w:val="BodyText"/>
        <w:spacing w:before="129" w:line="254" w:lineRule="auto"/>
        <w:ind w:left="2608" w:right="30" w:hanging="1"/>
      </w:pPr>
      <w:r>
        <w:rPr>
          <w:color w:val="4D4D4F"/>
        </w:rPr>
        <w:t>The current MSA program logic</w:t>
      </w:r>
      <w:r>
        <w:rPr>
          <w:color w:val="4D4D4F"/>
          <w:position w:val="7"/>
          <w:sz w:val="11"/>
        </w:rPr>
        <w:t xml:space="preserve">38 </w:t>
      </w:r>
      <w:r>
        <w:rPr>
          <w:color w:val="4D4D4F"/>
        </w:rPr>
        <w:t>is hampering the ability to assess program effectiveness and adjust management actions. Accordingly, the program logic requires redesign to better establish links between program objectives, actions, outputs, and conservation outcomes (also part of VAGO Recommendation 7).</w:t>
      </w:r>
      <w:r>
        <w:rPr>
          <w:color w:val="4D4D4F"/>
          <w:position w:val="7"/>
          <w:sz w:val="11"/>
        </w:rPr>
        <w:t xml:space="preserve">39 </w:t>
      </w:r>
      <w:r>
        <w:rPr>
          <w:color w:val="4D4D4F"/>
        </w:rPr>
        <w:t>Noting also that the assumptions underpinning the original offsets model remain untested.</w:t>
      </w:r>
    </w:p>
    <w:p w14:paraId="2BC6F463" w14:textId="77777777" w:rsidR="00EF5B27" w:rsidRDefault="00000000">
      <w:pPr>
        <w:pStyle w:val="BodyText"/>
        <w:spacing w:before="120" w:line="254" w:lineRule="auto"/>
        <w:ind w:left="2608" w:right="221"/>
      </w:pPr>
      <w:r>
        <w:rPr>
          <w:color w:val="4D4D4F"/>
        </w:rPr>
        <w:t>This redesign process should be undertaken in consultation with traditional owners, scientists, land managers and community. A collaborative, co-design process will help to foster genuine partnerships essential to the ongoing success of the program.</w:t>
      </w:r>
    </w:p>
    <w:p w14:paraId="0A9A524F" w14:textId="77777777" w:rsidR="00EF5B27" w:rsidRDefault="00000000">
      <w:pPr>
        <w:pStyle w:val="Heading6"/>
        <w:spacing w:before="117"/>
      </w:pPr>
      <w:r>
        <w:rPr>
          <w:color w:val="4D4D4F"/>
          <w:w w:val="105"/>
        </w:rPr>
        <w:t>Testing assumptions</w:t>
      </w:r>
    </w:p>
    <w:p w14:paraId="5D545A18" w14:textId="77777777" w:rsidR="00EF5B27" w:rsidRDefault="00000000">
      <w:pPr>
        <w:pStyle w:val="BodyText"/>
        <w:spacing w:before="129" w:line="254" w:lineRule="auto"/>
        <w:ind w:left="2608" w:right="151"/>
      </w:pPr>
      <w:r>
        <w:rPr>
          <w:color w:val="4D4D4F"/>
        </w:rPr>
        <w:t>DELWP’s current performance reporting is based on the original MSA program agreement, according to requirements under the Commonwealth approved MSA Program Report</w:t>
      </w:r>
      <w:r>
        <w:rPr>
          <w:color w:val="4D4D4F"/>
          <w:position w:val="7"/>
          <w:sz w:val="11"/>
        </w:rPr>
        <w:t xml:space="preserve">40 </w:t>
      </w:r>
      <w:r>
        <w:rPr>
          <w:color w:val="4D4D4F"/>
        </w:rPr>
        <w:t>and Biodiversity Conservation Strategy,</w:t>
      </w:r>
      <w:r>
        <w:rPr>
          <w:color w:val="4D4D4F"/>
          <w:position w:val="7"/>
          <w:sz w:val="11"/>
        </w:rPr>
        <w:t xml:space="preserve">41 </w:t>
      </w:r>
      <w:r>
        <w:rPr>
          <w:color w:val="4D4D4F"/>
        </w:rPr>
        <w:t>where 2011 timestamped native vegetation datasets and values assessments performed in the original</w:t>
      </w:r>
    </w:p>
    <w:p w14:paraId="081129CE" w14:textId="77777777" w:rsidR="00EF5B27" w:rsidRDefault="00000000">
      <w:pPr>
        <w:pStyle w:val="BodyText"/>
        <w:spacing w:before="5" w:line="254" w:lineRule="auto"/>
        <w:ind w:left="2608" w:right="151"/>
      </w:pPr>
      <w:r>
        <w:rPr>
          <w:color w:val="4D4D4F"/>
        </w:rPr>
        <w:t>2009 Strategic Impact Assessment are applied.</w:t>
      </w:r>
      <w:r>
        <w:rPr>
          <w:color w:val="4D4D4F"/>
          <w:position w:val="7"/>
          <w:sz w:val="11"/>
        </w:rPr>
        <w:t xml:space="preserve">42 </w:t>
      </w:r>
      <w:r>
        <w:rPr>
          <w:color w:val="4D4D4F"/>
        </w:rPr>
        <w:t>There was no expectation in the original MSA design that these timestamped values would be re-evaluated, however these assumptions must be revisited – particularly in respect to the inclusion of a restoration objective in the redesigned MRF (see Recommendation 1).</w:t>
      </w:r>
    </w:p>
    <w:p w14:paraId="157D8A92" w14:textId="77777777" w:rsidR="00EF5B27" w:rsidRDefault="00000000">
      <w:pPr>
        <w:pStyle w:val="BodyText"/>
        <w:spacing w:before="118" w:line="254" w:lineRule="auto"/>
        <w:ind w:left="2608"/>
      </w:pPr>
      <w:r>
        <w:rPr>
          <w:color w:val="4D4D4F"/>
        </w:rPr>
        <w:t>At the time the MSA agreement was made in 2010, regulations and landscape-scale assessments of habitat extent and quality impacts to MNES determined the associated offsets required to compensate for those impacts for the program to achieve NNL. Current implementation requirements are based on these original assessments.</w:t>
      </w:r>
    </w:p>
    <w:p w14:paraId="0C39C880" w14:textId="77777777" w:rsidR="00EF5B27" w:rsidRDefault="00EF5B27">
      <w:pPr>
        <w:pStyle w:val="BodyText"/>
      </w:pPr>
    </w:p>
    <w:p w14:paraId="1FCD9897" w14:textId="77777777" w:rsidR="00EF5B27" w:rsidRDefault="00EF5B27">
      <w:pPr>
        <w:pStyle w:val="BodyText"/>
      </w:pPr>
    </w:p>
    <w:p w14:paraId="2D639446" w14:textId="77777777" w:rsidR="00EF5B27" w:rsidRDefault="00EF5B27">
      <w:pPr>
        <w:pStyle w:val="BodyText"/>
      </w:pPr>
    </w:p>
    <w:p w14:paraId="603C1CD7" w14:textId="77777777" w:rsidR="00EF5B27" w:rsidRDefault="00000000">
      <w:pPr>
        <w:pStyle w:val="BodyText"/>
        <w:spacing w:before="6"/>
        <w:rPr>
          <w:sz w:val="24"/>
        </w:rPr>
      </w:pPr>
      <w:r>
        <w:pict w14:anchorId="17A2CBE2">
          <v:line id="_x0000_s4209" style="position:absolute;z-index:251350528;mso-wrap-distance-left:0;mso-wrap-distance-right:0;mso-position-horizontal-relative:page" from="181.4pt,17.2pt" to="538.6pt,17.2pt" strokecolor="#4d4d4f" strokeweight=".5pt">
            <w10:wrap type="topAndBottom" anchorx="page"/>
          </v:line>
        </w:pict>
      </w:r>
    </w:p>
    <w:p w14:paraId="7D2B5505" w14:textId="77777777" w:rsidR="00EF5B27" w:rsidRDefault="00000000">
      <w:pPr>
        <w:pStyle w:val="ListParagraph"/>
        <w:numPr>
          <w:ilvl w:val="0"/>
          <w:numId w:val="65"/>
        </w:numPr>
        <w:tabs>
          <w:tab w:val="left" w:pos="2836"/>
        </w:tabs>
        <w:spacing w:before="85" w:line="235" w:lineRule="auto"/>
        <w:ind w:right="111"/>
        <w:jc w:val="both"/>
        <w:rPr>
          <w:sz w:val="12"/>
        </w:rPr>
      </w:pPr>
      <w:r>
        <w:rPr>
          <w:color w:val="4D4D4F"/>
          <w:w w:val="110"/>
          <w:sz w:val="12"/>
        </w:rPr>
        <w:t>MSA program logic is defined as ‘</w:t>
      </w:r>
      <w:r>
        <w:rPr>
          <w:rFonts w:ascii="Arial Narrow" w:hAnsi="Arial Narrow"/>
          <w:i/>
          <w:color w:val="4D4D4F"/>
          <w:w w:val="110"/>
          <w:sz w:val="12"/>
        </w:rPr>
        <w:t>the relationships between program activities and processes, program outputs and program outcomes and how activities are expected to lead to outcomes. It provides a framework for determining program assumptions, key evaluation questions        and</w:t>
      </w:r>
      <w:r>
        <w:rPr>
          <w:rFonts w:ascii="Arial Narrow" w:hAnsi="Arial Narrow"/>
          <w:i/>
          <w:color w:val="4D4D4F"/>
          <w:spacing w:val="-4"/>
          <w:w w:val="110"/>
          <w:sz w:val="12"/>
        </w:rPr>
        <w:t xml:space="preserve"> </w:t>
      </w:r>
      <w:r>
        <w:rPr>
          <w:rFonts w:ascii="Arial Narrow" w:hAnsi="Arial Narrow"/>
          <w:i/>
          <w:color w:val="4D4D4F"/>
          <w:w w:val="110"/>
          <w:sz w:val="12"/>
        </w:rPr>
        <w:t>key</w:t>
      </w:r>
      <w:r>
        <w:rPr>
          <w:rFonts w:ascii="Arial Narrow" w:hAnsi="Arial Narrow"/>
          <w:i/>
          <w:color w:val="4D4D4F"/>
          <w:spacing w:val="-4"/>
          <w:w w:val="110"/>
          <w:sz w:val="12"/>
        </w:rPr>
        <w:t xml:space="preserve"> </w:t>
      </w:r>
      <w:r>
        <w:rPr>
          <w:rFonts w:ascii="Arial Narrow" w:hAnsi="Arial Narrow"/>
          <w:i/>
          <w:color w:val="4D4D4F"/>
          <w:w w:val="110"/>
          <w:sz w:val="12"/>
        </w:rPr>
        <w:t>performance</w:t>
      </w:r>
      <w:r>
        <w:rPr>
          <w:rFonts w:ascii="Arial Narrow" w:hAnsi="Arial Narrow"/>
          <w:i/>
          <w:color w:val="4D4D4F"/>
          <w:spacing w:val="-3"/>
          <w:w w:val="110"/>
          <w:sz w:val="12"/>
        </w:rPr>
        <w:t xml:space="preserve"> </w:t>
      </w:r>
      <w:r>
        <w:rPr>
          <w:rFonts w:ascii="Arial Narrow" w:hAnsi="Arial Narrow"/>
          <w:i/>
          <w:color w:val="4D4D4F"/>
          <w:w w:val="110"/>
          <w:sz w:val="12"/>
        </w:rPr>
        <w:t>indicators</w:t>
      </w:r>
      <w:r>
        <w:rPr>
          <w:rFonts w:ascii="Arial Narrow" w:hAnsi="Arial Narrow"/>
          <w:i/>
          <w:color w:val="4D4D4F"/>
          <w:spacing w:val="-4"/>
          <w:w w:val="110"/>
          <w:sz w:val="12"/>
        </w:rPr>
        <w:t xml:space="preserve"> </w:t>
      </w:r>
      <w:r>
        <w:rPr>
          <w:rFonts w:ascii="Arial Narrow" w:hAnsi="Arial Narrow"/>
          <w:i/>
          <w:color w:val="4D4D4F"/>
          <w:spacing w:val="-3"/>
          <w:w w:val="110"/>
          <w:sz w:val="12"/>
        </w:rPr>
        <w:t>(KPIs)</w:t>
      </w:r>
      <w:r>
        <w:rPr>
          <w:color w:val="4D4D4F"/>
          <w:spacing w:val="-3"/>
          <w:w w:val="110"/>
          <w:sz w:val="12"/>
        </w:rPr>
        <w:t xml:space="preserve">.’ </w:t>
      </w:r>
      <w:r>
        <w:rPr>
          <w:color w:val="4D4D4F"/>
          <w:w w:val="110"/>
          <w:sz w:val="12"/>
        </w:rPr>
        <w:t>DELWP</w:t>
      </w:r>
      <w:r>
        <w:rPr>
          <w:color w:val="4D4D4F"/>
          <w:spacing w:val="-3"/>
          <w:w w:val="110"/>
          <w:sz w:val="12"/>
        </w:rPr>
        <w:t xml:space="preserve"> </w:t>
      </w:r>
      <w:r>
        <w:rPr>
          <w:color w:val="4D4D4F"/>
          <w:w w:val="110"/>
          <w:sz w:val="12"/>
        </w:rPr>
        <w:t>2015,</w:t>
      </w:r>
      <w:r>
        <w:rPr>
          <w:color w:val="4D4D4F"/>
          <w:spacing w:val="-3"/>
          <w:w w:val="110"/>
          <w:sz w:val="12"/>
        </w:rPr>
        <w:t xml:space="preserve"> </w:t>
      </w:r>
      <w:r>
        <w:rPr>
          <w:color w:val="4D4D4F"/>
          <w:w w:val="110"/>
          <w:sz w:val="12"/>
        </w:rPr>
        <w:t>‘Monitoring</w:t>
      </w:r>
      <w:r>
        <w:rPr>
          <w:color w:val="4D4D4F"/>
          <w:spacing w:val="-3"/>
          <w:w w:val="110"/>
          <w:sz w:val="12"/>
        </w:rPr>
        <w:t xml:space="preserve"> </w:t>
      </w:r>
      <w:r>
        <w:rPr>
          <w:color w:val="4D4D4F"/>
          <w:w w:val="110"/>
          <w:sz w:val="12"/>
        </w:rPr>
        <w:t>and</w:t>
      </w:r>
      <w:r>
        <w:rPr>
          <w:color w:val="4D4D4F"/>
          <w:spacing w:val="-2"/>
          <w:w w:val="110"/>
          <w:sz w:val="12"/>
        </w:rPr>
        <w:t xml:space="preserve"> </w:t>
      </w:r>
      <w:r>
        <w:rPr>
          <w:color w:val="4D4D4F"/>
          <w:w w:val="110"/>
          <w:sz w:val="12"/>
        </w:rPr>
        <w:t>Reporting</w:t>
      </w:r>
      <w:r>
        <w:rPr>
          <w:color w:val="4D4D4F"/>
          <w:spacing w:val="-3"/>
          <w:w w:val="110"/>
          <w:sz w:val="12"/>
        </w:rPr>
        <w:t xml:space="preserve"> </w:t>
      </w:r>
      <w:r>
        <w:rPr>
          <w:color w:val="4D4D4F"/>
          <w:w w:val="110"/>
          <w:sz w:val="12"/>
        </w:rPr>
        <w:t>Framework</w:t>
      </w:r>
      <w:r>
        <w:rPr>
          <w:color w:val="4D4D4F"/>
          <w:spacing w:val="-3"/>
          <w:w w:val="110"/>
          <w:sz w:val="12"/>
        </w:rPr>
        <w:t xml:space="preserve"> </w:t>
      </w:r>
      <w:r>
        <w:rPr>
          <w:color w:val="4D4D4F"/>
          <w:w w:val="110"/>
          <w:sz w:val="12"/>
        </w:rPr>
        <w:t>–</w:t>
      </w:r>
      <w:r>
        <w:rPr>
          <w:color w:val="4D4D4F"/>
          <w:spacing w:val="-3"/>
          <w:w w:val="110"/>
          <w:sz w:val="12"/>
        </w:rPr>
        <w:t xml:space="preserve"> </w:t>
      </w:r>
      <w:r>
        <w:rPr>
          <w:color w:val="4D4D4F"/>
          <w:w w:val="110"/>
          <w:sz w:val="12"/>
        </w:rPr>
        <w:t>Melbourne</w:t>
      </w:r>
      <w:r>
        <w:rPr>
          <w:color w:val="4D4D4F"/>
          <w:spacing w:val="-3"/>
          <w:w w:val="110"/>
          <w:sz w:val="12"/>
        </w:rPr>
        <w:t xml:space="preserve"> </w:t>
      </w:r>
      <w:r>
        <w:rPr>
          <w:color w:val="4D4D4F"/>
          <w:w w:val="110"/>
          <w:sz w:val="12"/>
        </w:rPr>
        <w:t>Strategic</w:t>
      </w:r>
      <w:r>
        <w:rPr>
          <w:color w:val="4D4D4F"/>
          <w:spacing w:val="-3"/>
          <w:w w:val="110"/>
          <w:sz w:val="12"/>
        </w:rPr>
        <w:t xml:space="preserve"> </w:t>
      </w:r>
      <w:r>
        <w:rPr>
          <w:color w:val="4D4D4F"/>
          <w:w w:val="110"/>
          <w:sz w:val="12"/>
        </w:rPr>
        <w:t>Assessment’,</w:t>
      </w:r>
      <w:r>
        <w:rPr>
          <w:color w:val="4D4D4F"/>
          <w:spacing w:val="-3"/>
          <w:w w:val="110"/>
          <w:sz w:val="12"/>
        </w:rPr>
        <w:t xml:space="preserve"> </w:t>
      </w:r>
      <w:r>
        <w:rPr>
          <w:color w:val="4D4D4F"/>
          <w:w w:val="110"/>
          <w:sz w:val="12"/>
        </w:rPr>
        <w:t>East Melbourne, Victoria:</w:t>
      </w:r>
      <w:r>
        <w:rPr>
          <w:color w:val="4D4D4F"/>
          <w:spacing w:val="-5"/>
          <w:w w:val="110"/>
          <w:sz w:val="12"/>
        </w:rPr>
        <w:t xml:space="preserve"> </w:t>
      </w:r>
      <w:r>
        <w:rPr>
          <w:color w:val="4D4D4F"/>
          <w:w w:val="110"/>
          <w:sz w:val="12"/>
        </w:rPr>
        <w:t>10.</w:t>
      </w:r>
    </w:p>
    <w:p w14:paraId="026996C2" w14:textId="77777777" w:rsidR="00EF5B27" w:rsidRDefault="00000000">
      <w:pPr>
        <w:pStyle w:val="ListParagraph"/>
        <w:numPr>
          <w:ilvl w:val="0"/>
          <w:numId w:val="65"/>
        </w:numPr>
        <w:tabs>
          <w:tab w:val="left" w:pos="2836"/>
        </w:tabs>
        <w:spacing w:line="136" w:lineRule="exact"/>
        <w:jc w:val="left"/>
        <w:rPr>
          <w:sz w:val="12"/>
        </w:rPr>
      </w:pPr>
      <w:r>
        <w:rPr>
          <w:color w:val="4D4D4F"/>
          <w:sz w:val="12"/>
        </w:rPr>
        <w:t xml:space="preserve">VAGO 2020, Recommendation 7 in ‘Protecting Critically Endangered Grasslands’, Independent assurance </w:t>
      </w:r>
      <w:r>
        <w:rPr>
          <w:color w:val="4D4D4F"/>
          <w:spacing w:val="2"/>
          <w:sz w:val="12"/>
        </w:rPr>
        <w:t xml:space="preserve">report </w:t>
      </w:r>
      <w:r>
        <w:rPr>
          <w:color w:val="4D4D4F"/>
          <w:sz w:val="12"/>
        </w:rPr>
        <w:t>to Parliament</w:t>
      </w:r>
      <w:r>
        <w:rPr>
          <w:color w:val="4D4D4F"/>
          <w:spacing w:val="4"/>
          <w:sz w:val="12"/>
        </w:rPr>
        <w:t xml:space="preserve"> </w:t>
      </w:r>
      <w:r>
        <w:rPr>
          <w:color w:val="4D4D4F"/>
          <w:sz w:val="12"/>
        </w:rPr>
        <w:t>2019–20: 16.</w:t>
      </w:r>
    </w:p>
    <w:p w14:paraId="27C9405C" w14:textId="77777777" w:rsidR="00EF5B27" w:rsidRDefault="00000000">
      <w:pPr>
        <w:pStyle w:val="ListParagraph"/>
        <w:numPr>
          <w:ilvl w:val="0"/>
          <w:numId w:val="65"/>
        </w:numPr>
        <w:tabs>
          <w:tab w:val="left" w:pos="2836"/>
        </w:tabs>
        <w:spacing w:line="140" w:lineRule="exact"/>
        <w:jc w:val="left"/>
        <w:rPr>
          <w:sz w:val="12"/>
        </w:rPr>
      </w:pPr>
      <w:r>
        <w:rPr>
          <w:color w:val="4D4D4F"/>
          <w:sz w:val="12"/>
        </w:rPr>
        <w:t>DEPI</w:t>
      </w:r>
      <w:r>
        <w:rPr>
          <w:color w:val="4D4D4F"/>
          <w:spacing w:val="4"/>
          <w:sz w:val="12"/>
        </w:rPr>
        <w:t xml:space="preserve"> </w:t>
      </w:r>
      <w:r>
        <w:rPr>
          <w:color w:val="4D4D4F"/>
          <w:sz w:val="12"/>
        </w:rPr>
        <w:t>2009,</w:t>
      </w:r>
      <w:r>
        <w:rPr>
          <w:color w:val="4D4D4F"/>
          <w:spacing w:val="5"/>
          <w:sz w:val="12"/>
        </w:rPr>
        <w:t xml:space="preserve"> </w:t>
      </w:r>
      <w:r>
        <w:rPr>
          <w:color w:val="4D4D4F"/>
          <w:sz w:val="12"/>
        </w:rPr>
        <w:t>‘Delivering</w:t>
      </w:r>
      <w:r>
        <w:rPr>
          <w:color w:val="4D4D4F"/>
          <w:spacing w:val="5"/>
          <w:sz w:val="12"/>
        </w:rPr>
        <w:t xml:space="preserve"> </w:t>
      </w:r>
      <w:r>
        <w:rPr>
          <w:color w:val="4D4D4F"/>
          <w:sz w:val="12"/>
        </w:rPr>
        <w:t>Melbourne’s</w:t>
      </w:r>
      <w:r>
        <w:rPr>
          <w:color w:val="4D4D4F"/>
          <w:spacing w:val="5"/>
          <w:sz w:val="12"/>
        </w:rPr>
        <w:t xml:space="preserve"> </w:t>
      </w:r>
      <w:r>
        <w:rPr>
          <w:color w:val="4D4D4F"/>
          <w:sz w:val="12"/>
        </w:rPr>
        <w:t>Newest</w:t>
      </w:r>
      <w:r>
        <w:rPr>
          <w:color w:val="4D4D4F"/>
          <w:spacing w:val="5"/>
          <w:sz w:val="12"/>
        </w:rPr>
        <w:t xml:space="preserve"> </w:t>
      </w:r>
      <w:r>
        <w:rPr>
          <w:color w:val="4D4D4F"/>
          <w:sz w:val="12"/>
        </w:rPr>
        <w:t>Sustainable</w:t>
      </w:r>
      <w:r>
        <w:rPr>
          <w:color w:val="4D4D4F"/>
          <w:spacing w:val="5"/>
          <w:sz w:val="12"/>
        </w:rPr>
        <w:t xml:space="preserve"> </w:t>
      </w:r>
      <w:r>
        <w:rPr>
          <w:color w:val="4D4D4F"/>
          <w:sz w:val="12"/>
        </w:rPr>
        <w:t>Communities:</w:t>
      </w:r>
      <w:r>
        <w:rPr>
          <w:color w:val="4D4D4F"/>
          <w:spacing w:val="5"/>
          <w:sz w:val="12"/>
        </w:rPr>
        <w:t xml:space="preserve"> </w:t>
      </w:r>
      <w:r>
        <w:rPr>
          <w:color w:val="4D4D4F"/>
          <w:spacing w:val="2"/>
          <w:sz w:val="12"/>
        </w:rPr>
        <w:t>Program</w:t>
      </w:r>
      <w:r>
        <w:rPr>
          <w:color w:val="4D4D4F"/>
          <w:spacing w:val="4"/>
          <w:sz w:val="12"/>
        </w:rPr>
        <w:t xml:space="preserve"> </w:t>
      </w:r>
      <w:r>
        <w:rPr>
          <w:color w:val="4D4D4F"/>
          <w:sz w:val="12"/>
        </w:rPr>
        <w:t>Report’,</w:t>
      </w:r>
      <w:r>
        <w:rPr>
          <w:color w:val="4D4D4F"/>
          <w:spacing w:val="5"/>
          <w:sz w:val="12"/>
        </w:rPr>
        <w:t xml:space="preserve"> </w:t>
      </w:r>
      <w:r>
        <w:rPr>
          <w:color w:val="4D4D4F"/>
          <w:sz w:val="12"/>
        </w:rPr>
        <w:t>East</w:t>
      </w:r>
      <w:r>
        <w:rPr>
          <w:color w:val="4D4D4F"/>
          <w:spacing w:val="5"/>
          <w:sz w:val="12"/>
        </w:rPr>
        <w:t xml:space="preserve"> </w:t>
      </w:r>
      <w:r>
        <w:rPr>
          <w:color w:val="4D4D4F"/>
          <w:sz w:val="12"/>
        </w:rPr>
        <w:t>Melbourne,</w:t>
      </w:r>
      <w:r>
        <w:rPr>
          <w:color w:val="4D4D4F"/>
          <w:spacing w:val="5"/>
          <w:sz w:val="12"/>
        </w:rPr>
        <w:t xml:space="preserve"> </w:t>
      </w:r>
      <w:r>
        <w:rPr>
          <w:color w:val="4D4D4F"/>
          <w:sz w:val="12"/>
        </w:rPr>
        <w:t>Victoria.</w:t>
      </w:r>
    </w:p>
    <w:p w14:paraId="6EB6BF85" w14:textId="77777777" w:rsidR="00EF5B27" w:rsidRDefault="00000000">
      <w:pPr>
        <w:pStyle w:val="ListParagraph"/>
        <w:numPr>
          <w:ilvl w:val="0"/>
          <w:numId w:val="65"/>
        </w:numPr>
        <w:tabs>
          <w:tab w:val="left" w:pos="2836"/>
        </w:tabs>
        <w:spacing w:line="140" w:lineRule="exact"/>
        <w:jc w:val="left"/>
        <w:rPr>
          <w:sz w:val="12"/>
        </w:rPr>
      </w:pPr>
      <w:r>
        <w:rPr>
          <w:color w:val="4D4D4F"/>
          <w:sz w:val="12"/>
        </w:rPr>
        <w:t>DEPI</w:t>
      </w:r>
      <w:r>
        <w:rPr>
          <w:color w:val="4D4D4F"/>
          <w:spacing w:val="4"/>
          <w:sz w:val="12"/>
        </w:rPr>
        <w:t xml:space="preserve"> </w:t>
      </w:r>
      <w:r>
        <w:rPr>
          <w:color w:val="4D4D4F"/>
          <w:sz w:val="12"/>
        </w:rPr>
        <w:t>2013,</w:t>
      </w:r>
      <w:r>
        <w:rPr>
          <w:color w:val="4D4D4F"/>
          <w:spacing w:val="4"/>
          <w:sz w:val="12"/>
        </w:rPr>
        <w:t xml:space="preserve"> </w:t>
      </w:r>
      <w:r>
        <w:rPr>
          <w:color w:val="4D4D4F"/>
          <w:sz w:val="12"/>
        </w:rPr>
        <w:t>‘Biodiversity</w:t>
      </w:r>
      <w:r>
        <w:rPr>
          <w:color w:val="4D4D4F"/>
          <w:spacing w:val="4"/>
          <w:sz w:val="12"/>
        </w:rPr>
        <w:t xml:space="preserve"> </w:t>
      </w:r>
      <w:r>
        <w:rPr>
          <w:color w:val="4D4D4F"/>
          <w:spacing w:val="2"/>
          <w:sz w:val="12"/>
        </w:rPr>
        <w:t>Conservation</w:t>
      </w:r>
      <w:r>
        <w:rPr>
          <w:color w:val="4D4D4F"/>
          <w:spacing w:val="4"/>
          <w:sz w:val="12"/>
        </w:rPr>
        <w:t xml:space="preserve"> </w:t>
      </w:r>
      <w:r>
        <w:rPr>
          <w:color w:val="4D4D4F"/>
          <w:sz w:val="12"/>
        </w:rPr>
        <w:t>Strategy</w:t>
      </w:r>
      <w:r>
        <w:rPr>
          <w:color w:val="4D4D4F"/>
          <w:spacing w:val="4"/>
          <w:sz w:val="12"/>
        </w:rPr>
        <w:t xml:space="preserve"> </w:t>
      </w:r>
      <w:r>
        <w:rPr>
          <w:color w:val="4D4D4F"/>
          <w:sz w:val="12"/>
        </w:rPr>
        <w:t>for</w:t>
      </w:r>
      <w:r>
        <w:rPr>
          <w:color w:val="4D4D4F"/>
          <w:spacing w:val="5"/>
          <w:sz w:val="12"/>
        </w:rPr>
        <w:t xml:space="preserve"> </w:t>
      </w:r>
      <w:r>
        <w:rPr>
          <w:color w:val="4D4D4F"/>
          <w:sz w:val="12"/>
        </w:rPr>
        <w:t>Melbourne’s</w:t>
      </w:r>
      <w:r>
        <w:rPr>
          <w:color w:val="4D4D4F"/>
          <w:spacing w:val="4"/>
          <w:sz w:val="12"/>
        </w:rPr>
        <w:t xml:space="preserve"> </w:t>
      </w:r>
      <w:r>
        <w:rPr>
          <w:color w:val="4D4D4F"/>
          <w:spacing w:val="2"/>
          <w:sz w:val="12"/>
        </w:rPr>
        <w:t>Growth</w:t>
      </w:r>
      <w:r>
        <w:rPr>
          <w:color w:val="4D4D4F"/>
          <w:spacing w:val="4"/>
          <w:sz w:val="12"/>
        </w:rPr>
        <w:t xml:space="preserve"> </w:t>
      </w:r>
      <w:r>
        <w:rPr>
          <w:color w:val="4D4D4F"/>
          <w:sz w:val="12"/>
        </w:rPr>
        <w:t>Corridors’,</w:t>
      </w:r>
      <w:r>
        <w:rPr>
          <w:color w:val="4D4D4F"/>
          <w:spacing w:val="4"/>
          <w:sz w:val="12"/>
        </w:rPr>
        <w:t xml:space="preserve"> </w:t>
      </w:r>
      <w:r>
        <w:rPr>
          <w:color w:val="4D4D4F"/>
          <w:sz w:val="12"/>
        </w:rPr>
        <w:t>East</w:t>
      </w:r>
      <w:r>
        <w:rPr>
          <w:color w:val="4D4D4F"/>
          <w:spacing w:val="4"/>
          <w:sz w:val="12"/>
        </w:rPr>
        <w:t xml:space="preserve"> </w:t>
      </w:r>
      <w:r>
        <w:rPr>
          <w:color w:val="4D4D4F"/>
          <w:sz w:val="12"/>
        </w:rPr>
        <w:t>Melbourne,</w:t>
      </w:r>
      <w:r>
        <w:rPr>
          <w:color w:val="4D4D4F"/>
          <w:spacing w:val="4"/>
          <w:sz w:val="12"/>
        </w:rPr>
        <w:t xml:space="preserve"> </w:t>
      </w:r>
      <w:r>
        <w:rPr>
          <w:color w:val="4D4D4F"/>
          <w:sz w:val="12"/>
        </w:rPr>
        <w:t>Victoria.</w:t>
      </w:r>
    </w:p>
    <w:p w14:paraId="73DE47B3" w14:textId="77777777" w:rsidR="00EF5B27" w:rsidRDefault="00000000">
      <w:pPr>
        <w:pStyle w:val="ListParagraph"/>
        <w:numPr>
          <w:ilvl w:val="0"/>
          <w:numId w:val="65"/>
        </w:numPr>
        <w:tabs>
          <w:tab w:val="left" w:pos="2836"/>
        </w:tabs>
        <w:spacing w:before="2" w:line="230" w:lineRule="auto"/>
        <w:ind w:right="112"/>
        <w:jc w:val="left"/>
        <w:rPr>
          <w:sz w:val="12"/>
        </w:rPr>
      </w:pPr>
      <w:r>
        <w:rPr>
          <w:color w:val="4D4D4F"/>
          <w:sz w:val="12"/>
        </w:rPr>
        <w:t xml:space="preserve">Department of Sustainability and Environment (DSE) 2009, ‘Delivering Melbourne’s Newest Sustainable Communities: Strategic </w:t>
      </w:r>
      <w:r>
        <w:rPr>
          <w:color w:val="4D4D4F"/>
          <w:spacing w:val="2"/>
          <w:sz w:val="12"/>
        </w:rPr>
        <w:t xml:space="preserve">Impact </w:t>
      </w:r>
      <w:r>
        <w:rPr>
          <w:color w:val="4D4D4F"/>
          <w:sz w:val="12"/>
        </w:rPr>
        <w:t>Assessment</w:t>
      </w:r>
      <w:r>
        <w:rPr>
          <w:color w:val="4D4D4F"/>
          <w:spacing w:val="5"/>
          <w:sz w:val="12"/>
        </w:rPr>
        <w:t xml:space="preserve"> </w:t>
      </w:r>
      <w:r>
        <w:rPr>
          <w:color w:val="4D4D4F"/>
          <w:spacing w:val="2"/>
          <w:sz w:val="12"/>
        </w:rPr>
        <w:t>Report</w:t>
      </w:r>
      <w:r>
        <w:rPr>
          <w:color w:val="4D4D4F"/>
          <w:spacing w:val="5"/>
          <w:sz w:val="12"/>
        </w:rPr>
        <w:t xml:space="preserve"> </w:t>
      </w:r>
      <w:r>
        <w:rPr>
          <w:color w:val="4D4D4F"/>
          <w:sz w:val="12"/>
        </w:rPr>
        <w:t>for</w:t>
      </w:r>
      <w:r>
        <w:rPr>
          <w:color w:val="4D4D4F"/>
          <w:spacing w:val="5"/>
          <w:sz w:val="12"/>
        </w:rPr>
        <w:t xml:space="preserve"> </w:t>
      </w:r>
      <w:r>
        <w:rPr>
          <w:color w:val="4D4D4F"/>
          <w:sz w:val="12"/>
        </w:rPr>
        <w:t>the</w:t>
      </w:r>
      <w:r>
        <w:rPr>
          <w:color w:val="4D4D4F"/>
          <w:spacing w:val="5"/>
          <w:sz w:val="12"/>
        </w:rPr>
        <w:t xml:space="preserve"> </w:t>
      </w:r>
      <w:r>
        <w:rPr>
          <w:color w:val="4D4D4F"/>
          <w:sz w:val="12"/>
        </w:rPr>
        <w:t>Environment</w:t>
      </w:r>
      <w:r>
        <w:rPr>
          <w:color w:val="4D4D4F"/>
          <w:spacing w:val="5"/>
          <w:sz w:val="12"/>
        </w:rPr>
        <w:t xml:space="preserve"> </w:t>
      </w:r>
      <w:r>
        <w:rPr>
          <w:color w:val="4D4D4F"/>
          <w:sz w:val="12"/>
        </w:rPr>
        <w:t>Protection</w:t>
      </w:r>
      <w:r>
        <w:rPr>
          <w:color w:val="4D4D4F"/>
          <w:spacing w:val="5"/>
          <w:sz w:val="12"/>
        </w:rPr>
        <w:t xml:space="preserve"> </w:t>
      </w:r>
      <w:r>
        <w:rPr>
          <w:color w:val="4D4D4F"/>
          <w:sz w:val="12"/>
        </w:rPr>
        <w:t>and</w:t>
      </w:r>
      <w:r>
        <w:rPr>
          <w:color w:val="4D4D4F"/>
          <w:spacing w:val="5"/>
          <w:sz w:val="12"/>
        </w:rPr>
        <w:t xml:space="preserve"> </w:t>
      </w:r>
      <w:r>
        <w:rPr>
          <w:color w:val="4D4D4F"/>
          <w:sz w:val="12"/>
        </w:rPr>
        <w:t>Biodiversity</w:t>
      </w:r>
      <w:r>
        <w:rPr>
          <w:color w:val="4D4D4F"/>
          <w:spacing w:val="5"/>
          <w:sz w:val="12"/>
        </w:rPr>
        <w:t xml:space="preserve"> </w:t>
      </w:r>
      <w:r>
        <w:rPr>
          <w:color w:val="4D4D4F"/>
          <w:spacing w:val="2"/>
          <w:sz w:val="12"/>
        </w:rPr>
        <w:t>Conservation</w:t>
      </w:r>
      <w:r>
        <w:rPr>
          <w:color w:val="4D4D4F"/>
          <w:spacing w:val="6"/>
          <w:sz w:val="12"/>
        </w:rPr>
        <w:t xml:space="preserve"> </w:t>
      </w:r>
      <w:r>
        <w:rPr>
          <w:color w:val="4D4D4F"/>
          <w:spacing w:val="2"/>
          <w:sz w:val="12"/>
        </w:rPr>
        <w:t>Act</w:t>
      </w:r>
      <w:r>
        <w:rPr>
          <w:color w:val="4D4D4F"/>
          <w:spacing w:val="5"/>
          <w:sz w:val="12"/>
        </w:rPr>
        <w:t xml:space="preserve"> </w:t>
      </w:r>
      <w:r>
        <w:rPr>
          <w:color w:val="4D4D4F"/>
          <w:sz w:val="12"/>
        </w:rPr>
        <w:t>1999’.</w:t>
      </w:r>
      <w:r>
        <w:rPr>
          <w:color w:val="4D4D4F"/>
          <w:spacing w:val="5"/>
          <w:sz w:val="12"/>
        </w:rPr>
        <w:t xml:space="preserve"> </w:t>
      </w:r>
      <w:r>
        <w:rPr>
          <w:color w:val="4D4D4F"/>
          <w:sz w:val="12"/>
        </w:rPr>
        <w:t>East</w:t>
      </w:r>
      <w:r>
        <w:rPr>
          <w:color w:val="4D4D4F"/>
          <w:spacing w:val="5"/>
          <w:sz w:val="12"/>
        </w:rPr>
        <w:t xml:space="preserve"> </w:t>
      </w:r>
      <w:r>
        <w:rPr>
          <w:color w:val="4D4D4F"/>
          <w:sz w:val="12"/>
        </w:rPr>
        <w:t>Melbourne,</w:t>
      </w:r>
      <w:r>
        <w:rPr>
          <w:color w:val="4D4D4F"/>
          <w:spacing w:val="5"/>
          <w:sz w:val="12"/>
        </w:rPr>
        <w:t xml:space="preserve"> </w:t>
      </w:r>
      <w:r>
        <w:rPr>
          <w:color w:val="4D4D4F"/>
          <w:sz w:val="12"/>
        </w:rPr>
        <w:t>Victoria.</w:t>
      </w:r>
    </w:p>
    <w:p w14:paraId="31719DEE" w14:textId="77777777" w:rsidR="00EF5B27" w:rsidRDefault="00EF5B27">
      <w:pPr>
        <w:spacing w:line="230" w:lineRule="auto"/>
        <w:rPr>
          <w:sz w:val="12"/>
        </w:rPr>
        <w:sectPr w:rsidR="00EF5B27">
          <w:type w:val="continuous"/>
          <w:pgSz w:w="11910" w:h="16840"/>
          <w:pgMar w:top="1140" w:right="1020" w:bottom="280" w:left="1020" w:header="720" w:footer="720" w:gutter="0"/>
          <w:cols w:space="720"/>
        </w:sectPr>
      </w:pPr>
    </w:p>
    <w:p w14:paraId="6EC48FB2" w14:textId="77777777" w:rsidR="00EF5B27" w:rsidRDefault="00000000">
      <w:pPr>
        <w:pStyle w:val="BodyText"/>
      </w:pPr>
      <w:r>
        <w:lastRenderedPageBreak/>
        <w:pict w14:anchorId="5B745958">
          <v:group id="_x0000_s4201" style="position:absolute;margin-left:587.05pt;margin-top:183.4pt;width:8.25pt;height:153.1pt;z-index:251421184;mso-position-horizontal-relative:page;mso-position-vertical-relative:page" coordorigin="11741,3668" coordsize="165,3062">
            <v:shape id="_x0000_s4208" style="position:absolute;left:11741;top:3668;width:165;height:561" coordorigin="11741,3668" coordsize="165,561" path="m11906,3668r-165,l11741,4228r165,-18l11906,3668xe" fillcolor="#00aed9" stroked="f">
              <v:path arrowok="t"/>
            </v:shape>
            <v:shape id="_x0000_s4207" style="position:absolute;left:11741;top:4118;width:165;height:425" coordorigin="11741,4118" coordsize="165,425" path="m11906,4118r-165,14l11741,4531r165,12l11906,4118xe" fillcolor="#047ebc" stroked="f">
              <v:path arrowok="t"/>
            </v:shape>
            <v:shape id="_x0000_s4206" type="#_x0000_t75" style="position:absolute;left:11741;top:4355;width:165;height:587">
              <v:imagedata r:id="rId42" o:title=""/>
            </v:shape>
            <v:shape id="_x0000_s4205" style="position:absolute;left:11741;top:5343;width:165;height:536" coordorigin="11741,5343" coordsize="165,536" path="m11741,5343r,535l11906,5872r,-525l11741,5343xe" fillcolor="#f36a2e" stroked="f">
              <v:path arrowok="t"/>
            </v:shape>
            <v:shape id="_x0000_s4204" style="position:absolute;left:11741;top:4925;width:165;height:501" coordorigin="11741,4926" coordsize="165,501" path="m11741,4926r,500l11906,5426r,-485l11741,4926xe" fillcolor="#49783f" stroked="f">
              <v:path arrowok="t"/>
            </v:shape>
            <v:shape id="_x0000_s4203" style="position:absolute;left:11741;top:5781;width:165;height:268" coordorigin="11741,5782" coordsize="165,268" path="m11906,5782r-165,8l11741,6039r165,10l11906,5782xe" fillcolor="#f99f2a" stroked="f">
              <v:path arrowok="t"/>
            </v:shape>
            <v:shape id="_x0000_s4202" style="position:absolute;left:11741;top:6023;width:165;height:707" coordorigin="11741,6023" coordsize="165,707" path="m11741,6023r,706l11906,6729r,-690l11741,6023xe" fillcolor="#ef412c" stroked="f">
              <v:path arrowok="t"/>
            </v:shape>
            <w10:wrap anchorx="page" anchory="page"/>
          </v:group>
        </w:pict>
      </w:r>
    </w:p>
    <w:p w14:paraId="05C99083" w14:textId="77777777" w:rsidR="00EF5B27" w:rsidRDefault="00EF5B27">
      <w:pPr>
        <w:pStyle w:val="BodyText"/>
      </w:pPr>
    </w:p>
    <w:p w14:paraId="20B993FC" w14:textId="77777777" w:rsidR="00EF5B27" w:rsidRDefault="00EF5B27">
      <w:pPr>
        <w:pStyle w:val="BodyText"/>
      </w:pPr>
    </w:p>
    <w:p w14:paraId="0A6EEC56" w14:textId="77777777" w:rsidR="00EF5B27" w:rsidRDefault="00EF5B27">
      <w:pPr>
        <w:pStyle w:val="BodyText"/>
      </w:pPr>
    </w:p>
    <w:p w14:paraId="5C6D6526" w14:textId="77777777" w:rsidR="00EF5B27" w:rsidRDefault="00EF5B27">
      <w:pPr>
        <w:pStyle w:val="BodyText"/>
      </w:pPr>
    </w:p>
    <w:p w14:paraId="6BCE4EB3" w14:textId="77777777" w:rsidR="00EF5B27" w:rsidRDefault="00EF5B27">
      <w:pPr>
        <w:pStyle w:val="BodyText"/>
      </w:pPr>
    </w:p>
    <w:p w14:paraId="64AE1872" w14:textId="77777777" w:rsidR="00EF5B27" w:rsidRDefault="00EF5B27">
      <w:pPr>
        <w:pStyle w:val="BodyText"/>
      </w:pPr>
    </w:p>
    <w:p w14:paraId="05ECAB27" w14:textId="77777777" w:rsidR="00EF5B27" w:rsidRDefault="00EF5B27">
      <w:pPr>
        <w:pStyle w:val="BodyText"/>
      </w:pPr>
    </w:p>
    <w:p w14:paraId="636EB38F" w14:textId="77777777" w:rsidR="00EF5B27" w:rsidRDefault="00EF5B27">
      <w:pPr>
        <w:pStyle w:val="BodyText"/>
      </w:pPr>
    </w:p>
    <w:p w14:paraId="28EB5E3A" w14:textId="77777777" w:rsidR="00EF5B27" w:rsidRDefault="00EF5B27">
      <w:pPr>
        <w:pStyle w:val="BodyText"/>
        <w:spacing w:before="1"/>
      </w:pPr>
    </w:p>
    <w:p w14:paraId="688A9269" w14:textId="77777777" w:rsidR="00EF5B27" w:rsidRDefault="00000000">
      <w:pPr>
        <w:pStyle w:val="BodyText"/>
        <w:spacing w:before="100" w:line="254" w:lineRule="auto"/>
        <w:ind w:left="2608" w:right="221"/>
      </w:pPr>
      <w:r>
        <w:rPr>
          <w:color w:val="4D4D4F"/>
        </w:rPr>
        <w:t>Under the current model, DELWP is under no formal obligation to assess whether these requirements are appropriate or effective if delivered, nor under any obligation to adjust these requirements or keep pace with change should new information potentially influence outcomes for MNES (including Aboriginal cultural heritage and Traditional Owner knowledge and values).</w:t>
      </w:r>
    </w:p>
    <w:p w14:paraId="271FC0F4" w14:textId="77777777" w:rsidR="00EF5B27" w:rsidRDefault="00000000">
      <w:pPr>
        <w:pStyle w:val="BodyText"/>
        <w:spacing w:before="119" w:line="254" w:lineRule="auto"/>
        <w:ind w:left="2608" w:right="151"/>
      </w:pPr>
      <w:r>
        <w:rPr>
          <w:color w:val="4D4D4F"/>
          <w:w w:val="105"/>
        </w:rPr>
        <w:t>A</w:t>
      </w:r>
      <w:r>
        <w:rPr>
          <w:color w:val="4D4D4F"/>
          <w:spacing w:val="-15"/>
          <w:w w:val="105"/>
        </w:rPr>
        <w:t xml:space="preserve"> </w:t>
      </w:r>
      <w:r>
        <w:rPr>
          <w:color w:val="4D4D4F"/>
          <w:w w:val="105"/>
        </w:rPr>
        <w:t>process</w:t>
      </w:r>
      <w:r>
        <w:rPr>
          <w:color w:val="4D4D4F"/>
          <w:spacing w:val="-14"/>
          <w:w w:val="105"/>
        </w:rPr>
        <w:t xml:space="preserve"> </w:t>
      </w:r>
      <w:r>
        <w:rPr>
          <w:color w:val="4D4D4F"/>
          <w:w w:val="105"/>
        </w:rPr>
        <w:t>for</w:t>
      </w:r>
      <w:r>
        <w:rPr>
          <w:color w:val="4D4D4F"/>
          <w:spacing w:val="-15"/>
          <w:w w:val="105"/>
        </w:rPr>
        <w:t xml:space="preserve"> </w:t>
      </w:r>
      <w:r>
        <w:rPr>
          <w:color w:val="4D4D4F"/>
          <w:w w:val="105"/>
        </w:rPr>
        <w:t>redesign</w:t>
      </w:r>
      <w:r>
        <w:rPr>
          <w:color w:val="4D4D4F"/>
          <w:spacing w:val="-14"/>
          <w:w w:val="105"/>
        </w:rPr>
        <w:t xml:space="preserve"> </w:t>
      </w:r>
      <w:r>
        <w:rPr>
          <w:color w:val="4D4D4F"/>
          <w:w w:val="105"/>
        </w:rPr>
        <w:t>of</w:t>
      </w:r>
      <w:r>
        <w:rPr>
          <w:color w:val="4D4D4F"/>
          <w:spacing w:val="-15"/>
          <w:w w:val="105"/>
        </w:rPr>
        <w:t xml:space="preserve"> </w:t>
      </w:r>
      <w:r>
        <w:rPr>
          <w:color w:val="4D4D4F"/>
          <w:w w:val="105"/>
        </w:rPr>
        <w:t>the</w:t>
      </w:r>
      <w:r>
        <w:rPr>
          <w:color w:val="4D4D4F"/>
          <w:spacing w:val="-14"/>
          <w:w w:val="105"/>
        </w:rPr>
        <w:t xml:space="preserve"> </w:t>
      </w:r>
      <w:r>
        <w:rPr>
          <w:color w:val="4D4D4F"/>
          <w:w w:val="105"/>
        </w:rPr>
        <w:t>MSA</w:t>
      </w:r>
      <w:r>
        <w:rPr>
          <w:color w:val="4D4D4F"/>
          <w:spacing w:val="-15"/>
          <w:w w:val="105"/>
        </w:rPr>
        <w:t xml:space="preserve"> </w:t>
      </w:r>
      <w:r>
        <w:rPr>
          <w:color w:val="4D4D4F"/>
          <w:w w:val="105"/>
        </w:rPr>
        <w:t>program</w:t>
      </w:r>
      <w:r>
        <w:rPr>
          <w:color w:val="4D4D4F"/>
          <w:spacing w:val="-14"/>
          <w:w w:val="105"/>
        </w:rPr>
        <w:t xml:space="preserve"> </w:t>
      </w:r>
      <w:r>
        <w:rPr>
          <w:color w:val="4D4D4F"/>
          <w:w w:val="105"/>
        </w:rPr>
        <w:t>logic</w:t>
      </w:r>
      <w:r>
        <w:rPr>
          <w:color w:val="4D4D4F"/>
          <w:spacing w:val="-15"/>
          <w:w w:val="105"/>
        </w:rPr>
        <w:t xml:space="preserve"> </w:t>
      </w:r>
      <w:r>
        <w:rPr>
          <w:color w:val="4D4D4F"/>
          <w:w w:val="105"/>
        </w:rPr>
        <w:t>would</w:t>
      </w:r>
      <w:r>
        <w:rPr>
          <w:color w:val="4D4D4F"/>
          <w:spacing w:val="-14"/>
          <w:w w:val="105"/>
        </w:rPr>
        <w:t xml:space="preserve"> </w:t>
      </w:r>
      <w:r>
        <w:rPr>
          <w:color w:val="4D4D4F"/>
          <w:w w:val="105"/>
        </w:rPr>
        <w:t>provide</w:t>
      </w:r>
      <w:r>
        <w:rPr>
          <w:color w:val="4D4D4F"/>
          <w:spacing w:val="-15"/>
          <w:w w:val="105"/>
        </w:rPr>
        <w:t xml:space="preserve"> </w:t>
      </w:r>
      <w:r>
        <w:rPr>
          <w:color w:val="4D4D4F"/>
          <w:w w:val="105"/>
        </w:rPr>
        <w:t>opportunity</w:t>
      </w:r>
      <w:r>
        <w:rPr>
          <w:color w:val="4D4D4F"/>
          <w:spacing w:val="-14"/>
          <w:w w:val="105"/>
        </w:rPr>
        <w:t xml:space="preserve"> </w:t>
      </w:r>
      <w:r>
        <w:rPr>
          <w:color w:val="4D4D4F"/>
          <w:w w:val="105"/>
        </w:rPr>
        <w:t>to</w:t>
      </w:r>
      <w:r>
        <w:rPr>
          <w:color w:val="4D4D4F"/>
          <w:spacing w:val="-15"/>
          <w:w w:val="105"/>
        </w:rPr>
        <w:t xml:space="preserve"> </w:t>
      </w:r>
      <w:r>
        <w:rPr>
          <w:color w:val="4D4D4F"/>
          <w:w w:val="105"/>
        </w:rPr>
        <w:t>test assumptions</w:t>
      </w:r>
      <w:r>
        <w:rPr>
          <w:color w:val="4D4D4F"/>
          <w:spacing w:val="-17"/>
          <w:w w:val="105"/>
        </w:rPr>
        <w:t xml:space="preserve"> </w:t>
      </w:r>
      <w:r>
        <w:rPr>
          <w:color w:val="4D4D4F"/>
          <w:w w:val="105"/>
        </w:rPr>
        <w:t>in</w:t>
      </w:r>
      <w:r>
        <w:rPr>
          <w:color w:val="4D4D4F"/>
          <w:spacing w:val="-16"/>
          <w:w w:val="105"/>
        </w:rPr>
        <w:t xml:space="preserve"> </w:t>
      </w:r>
      <w:r>
        <w:rPr>
          <w:color w:val="4D4D4F"/>
          <w:w w:val="105"/>
        </w:rPr>
        <w:t>the</w:t>
      </w:r>
      <w:r>
        <w:rPr>
          <w:color w:val="4D4D4F"/>
          <w:spacing w:val="-17"/>
          <w:w w:val="105"/>
        </w:rPr>
        <w:t xml:space="preserve"> </w:t>
      </w:r>
      <w:r>
        <w:rPr>
          <w:color w:val="4D4D4F"/>
          <w:w w:val="105"/>
        </w:rPr>
        <w:t>original</w:t>
      </w:r>
      <w:r>
        <w:rPr>
          <w:color w:val="4D4D4F"/>
          <w:spacing w:val="-16"/>
          <w:w w:val="105"/>
        </w:rPr>
        <w:t xml:space="preserve"> </w:t>
      </w:r>
      <w:r>
        <w:rPr>
          <w:color w:val="4D4D4F"/>
          <w:w w:val="105"/>
        </w:rPr>
        <w:t>strategic</w:t>
      </w:r>
      <w:r>
        <w:rPr>
          <w:color w:val="4D4D4F"/>
          <w:spacing w:val="-17"/>
          <w:w w:val="105"/>
        </w:rPr>
        <w:t xml:space="preserve"> </w:t>
      </w:r>
      <w:r>
        <w:rPr>
          <w:color w:val="4D4D4F"/>
          <w:w w:val="105"/>
        </w:rPr>
        <w:t>impact</w:t>
      </w:r>
      <w:r>
        <w:rPr>
          <w:color w:val="4D4D4F"/>
          <w:spacing w:val="-16"/>
          <w:w w:val="105"/>
        </w:rPr>
        <w:t xml:space="preserve"> </w:t>
      </w:r>
      <w:r>
        <w:rPr>
          <w:color w:val="4D4D4F"/>
          <w:w w:val="105"/>
        </w:rPr>
        <w:t>assessment</w:t>
      </w:r>
      <w:r>
        <w:rPr>
          <w:color w:val="4D4D4F"/>
          <w:spacing w:val="-16"/>
          <w:w w:val="105"/>
        </w:rPr>
        <w:t xml:space="preserve"> </w:t>
      </w:r>
      <w:r>
        <w:rPr>
          <w:color w:val="4D4D4F"/>
          <w:w w:val="105"/>
        </w:rPr>
        <w:t>and</w:t>
      </w:r>
      <w:r>
        <w:rPr>
          <w:color w:val="4D4D4F"/>
          <w:spacing w:val="-17"/>
          <w:w w:val="105"/>
        </w:rPr>
        <w:t xml:space="preserve"> </w:t>
      </w:r>
      <w:r>
        <w:rPr>
          <w:color w:val="4D4D4F"/>
          <w:w w:val="105"/>
        </w:rPr>
        <w:t>offsets</w:t>
      </w:r>
      <w:r>
        <w:rPr>
          <w:color w:val="4D4D4F"/>
          <w:spacing w:val="-16"/>
          <w:w w:val="105"/>
        </w:rPr>
        <w:t xml:space="preserve"> </w:t>
      </w:r>
      <w:r>
        <w:rPr>
          <w:color w:val="4D4D4F"/>
          <w:w w:val="105"/>
        </w:rPr>
        <w:t>delivery</w:t>
      </w:r>
      <w:r>
        <w:rPr>
          <w:color w:val="4D4D4F"/>
          <w:spacing w:val="-17"/>
          <w:w w:val="105"/>
        </w:rPr>
        <w:t xml:space="preserve"> </w:t>
      </w:r>
      <w:r>
        <w:rPr>
          <w:color w:val="4D4D4F"/>
          <w:w w:val="105"/>
        </w:rPr>
        <w:t>model. This</w:t>
      </w:r>
      <w:r>
        <w:rPr>
          <w:color w:val="4D4D4F"/>
          <w:spacing w:val="-21"/>
          <w:w w:val="105"/>
        </w:rPr>
        <w:t xml:space="preserve"> </w:t>
      </w:r>
      <w:r>
        <w:rPr>
          <w:color w:val="4D4D4F"/>
          <w:w w:val="105"/>
        </w:rPr>
        <w:t>redesign</w:t>
      </w:r>
      <w:r>
        <w:rPr>
          <w:color w:val="4D4D4F"/>
          <w:spacing w:val="-21"/>
          <w:w w:val="105"/>
        </w:rPr>
        <w:t xml:space="preserve"> </w:t>
      </w:r>
      <w:r>
        <w:rPr>
          <w:color w:val="4D4D4F"/>
          <w:w w:val="105"/>
        </w:rPr>
        <w:t>process</w:t>
      </w:r>
      <w:r>
        <w:rPr>
          <w:color w:val="4D4D4F"/>
          <w:spacing w:val="-21"/>
          <w:w w:val="105"/>
        </w:rPr>
        <w:t xml:space="preserve"> </w:t>
      </w:r>
      <w:r>
        <w:rPr>
          <w:color w:val="4D4D4F"/>
          <w:w w:val="105"/>
        </w:rPr>
        <w:t>would</w:t>
      </w:r>
      <w:r>
        <w:rPr>
          <w:color w:val="4D4D4F"/>
          <w:spacing w:val="-21"/>
          <w:w w:val="105"/>
        </w:rPr>
        <w:t xml:space="preserve"> </w:t>
      </w:r>
      <w:r>
        <w:rPr>
          <w:color w:val="4D4D4F"/>
          <w:w w:val="105"/>
        </w:rPr>
        <w:t>consider</w:t>
      </w:r>
      <w:r>
        <w:rPr>
          <w:color w:val="4D4D4F"/>
          <w:spacing w:val="-20"/>
          <w:w w:val="105"/>
        </w:rPr>
        <w:t xml:space="preserve"> </w:t>
      </w:r>
      <w:r>
        <w:rPr>
          <w:color w:val="4D4D4F"/>
          <w:w w:val="105"/>
        </w:rPr>
        <w:t>a</w:t>
      </w:r>
      <w:r>
        <w:rPr>
          <w:color w:val="4D4D4F"/>
          <w:spacing w:val="-21"/>
          <w:w w:val="105"/>
        </w:rPr>
        <w:t xml:space="preserve"> </w:t>
      </w:r>
      <w:r>
        <w:rPr>
          <w:color w:val="4D4D4F"/>
          <w:w w:val="105"/>
        </w:rPr>
        <w:t>review</w:t>
      </w:r>
      <w:r>
        <w:rPr>
          <w:color w:val="4D4D4F"/>
          <w:spacing w:val="-21"/>
          <w:w w:val="105"/>
        </w:rPr>
        <w:t xml:space="preserve"> </w:t>
      </w:r>
      <w:r>
        <w:rPr>
          <w:color w:val="4D4D4F"/>
          <w:w w:val="105"/>
        </w:rPr>
        <w:t>of</w:t>
      </w:r>
      <w:r>
        <w:rPr>
          <w:color w:val="4D4D4F"/>
          <w:spacing w:val="-21"/>
          <w:w w:val="105"/>
        </w:rPr>
        <w:t xml:space="preserve"> </w:t>
      </w:r>
      <w:r>
        <w:rPr>
          <w:color w:val="4D4D4F"/>
          <w:w w:val="105"/>
        </w:rPr>
        <w:t>the</w:t>
      </w:r>
      <w:r>
        <w:rPr>
          <w:color w:val="4D4D4F"/>
          <w:spacing w:val="-20"/>
          <w:w w:val="105"/>
        </w:rPr>
        <w:t xml:space="preserve"> </w:t>
      </w:r>
      <w:r>
        <w:rPr>
          <w:color w:val="4D4D4F"/>
          <w:w w:val="105"/>
        </w:rPr>
        <w:t>program’s</w:t>
      </w:r>
      <w:r>
        <w:rPr>
          <w:color w:val="4D4D4F"/>
          <w:spacing w:val="-21"/>
          <w:w w:val="105"/>
        </w:rPr>
        <w:t xml:space="preserve"> </w:t>
      </w:r>
      <w:r>
        <w:rPr>
          <w:color w:val="4D4D4F"/>
          <w:w w:val="105"/>
        </w:rPr>
        <w:t>offset</w:t>
      </w:r>
      <w:r>
        <w:rPr>
          <w:color w:val="4D4D4F"/>
          <w:spacing w:val="-21"/>
          <w:w w:val="105"/>
        </w:rPr>
        <w:t xml:space="preserve"> </w:t>
      </w:r>
      <w:r>
        <w:rPr>
          <w:color w:val="4D4D4F"/>
          <w:w w:val="105"/>
        </w:rPr>
        <w:t>equation,</w:t>
      </w:r>
      <w:r>
        <w:rPr>
          <w:color w:val="4D4D4F"/>
          <w:spacing w:val="-21"/>
          <w:w w:val="105"/>
        </w:rPr>
        <w:t xml:space="preserve"> </w:t>
      </w:r>
      <w:r>
        <w:rPr>
          <w:color w:val="4D4D4F"/>
          <w:w w:val="105"/>
        </w:rPr>
        <w:t>with an</w:t>
      </w:r>
      <w:r>
        <w:rPr>
          <w:color w:val="4D4D4F"/>
          <w:spacing w:val="-14"/>
          <w:w w:val="105"/>
        </w:rPr>
        <w:t xml:space="preserve"> </w:t>
      </w:r>
      <w:r>
        <w:rPr>
          <w:color w:val="4D4D4F"/>
          <w:w w:val="105"/>
        </w:rPr>
        <w:t>assessment</w:t>
      </w:r>
      <w:r>
        <w:rPr>
          <w:color w:val="4D4D4F"/>
          <w:spacing w:val="-13"/>
          <w:w w:val="105"/>
        </w:rPr>
        <w:t xml:space="preserve"> </w:t>
      </w:r>
      <w:r>
        <w:rPr>
          <w:color w:val="4D4D4F"/>
          <w:w w:val="105"/>
        </w:rPr>
        <w:t>of</w:t>
      </w:r>
      <w:r>
        <w:rPr>
          <w:color w:val="4D4D4F"/>
          <w:spacing w:val="-13"/>
          <w:w w:val="105"/>
        </w:rPr>
        <w:t xml:space="preserve"> </w:t>
      </w:r>
      <w:r>
        <w:rPr>
          <w:color w:val="4D4D4F"/>
          <w:w w:val="105"/>
        </w:rPr>
        <w:t>what</w:t>
      </w:r>
      <w:r>
        <w:rPr>
          <w:color w:val="4D4D4F"/>
          <w:spacing w:val="-13"/>
          <w:w w:val="105"/>
        </w:rPr>
        <w:t xml:space="preserve"> </w:t>
      </w:r>
      <w:r>
        <w:rPr>
          <w:color w:val="4D4D4F"/>
          <w:w w:val="105"/>
        </w:rPr>
        <w:t>No</w:t>
      </w:r>
      <w:r>
        <w:rPr>
          <w:color w:val="4D4D4F"/>
          <w:spacing w:val="-13"/>
          <w:w w:val="105"/>
        </w:rPr>
        <w:t xml:space="preserve"> </w:t>
      </w:r>
      <w:r>
        <w:rPr>
          <w:color w:val="4D4D4F"/>
          <w:w w:val="105"/>
        </w:rPr>
        <w:t>Net</w:t>
      </w:r>
      <w:r>
        <w:rPr>
          <w:color w:val="4D4D4F"/>
          <w:spacing w:val="-14"/>
          <w:w w:val="105"/>
        </w:rPr>
        <w:t xml:space="preserve"> </w:t>
      </w:r>
      <w:r>
        <w:rPr>
          <w:color w:val="4D4D4F"/>
          <w:w w:val="105"/>
        </w:rPr>
        <w:t>Loss</w:t>
      </w:r>
      <w:r>
        <w:rPr>
          <w:color w:val="4D4D4F"/>
          <w:spacing w:val="-13"/>
          <w:w w:val="105"/>
        </w:rPr>
        <w:t xml:space="preserve"> </w:t>
      </w:r>
      <w:r>
        <w:rPr>
          <w:color w:val="4D4D4F"/>
          <w:w w:val="105"/>
        </w:rPr>
        <w:t>(NNL)</w:t>
      </w:r>
      <w:r>
        <w:rPr>
          <w:color w:val="4D4D4F"/>
          <w:spacing w:val="-13"/>
          <w:w w:val="105"/>
        </w:rPr>
        <w:t xml:space="preserve"> </w:t>
      </w:r>
      <w:r>
        <w:rPr>
          <w:color w:val="4D4D4F"/>
          <w:w w:val="105"/>
        </w:rPr>
        <w:t>for</w:t>
      </w:r>
      <w:r>
        <w:rPr>
          <w:color w:val="4D4D4F"/>
          <w:spacing w:val="-13"/>
          <w:w w:val="105"/>
        </w:rPr>
        <w:t xml:space="preserve"> </w:t>
      </w:r>
      <w:r>
        <w:rPr>
          <w:color w:val="4D4D4F"/>
          <w:w w:val="105"/>
        </w:rPr>
        <w:t>MNES</w:t>
      </w:r>
      <w:r>
        <w:rPr>
          <w:color w:val="4D4D4F"/>
          <w:spacing w:val="-13"/>
          <w:w w:val="105"/>
        </w:rPr>
        <w:t xml:space="preserve"> </w:t>
      </w:r>
      <w:r>
        <w:rPr>
          <w:color w:val="4D4D4F"/>
          <w:w w:val="105"/>
        </w:rPr>
        <w:t>means</w:t>
      </w:r>
      <w:r>
        <w:rPr>
          <w:color w:val="4D4D4F"/>
          <w:spacing w:val="-14"/>
          <w:w w:val="105"/>
        </w:rPr>
        <w:t xml:space="preserve"> </w:t>
      </w:r>
      <w:r>
        <w:rPr>
          <w:color w:val="4D4D4F"/>
          <w:w w:val="105"/>
        </w:rPr>
        <w:t>in</w:t>
      </w:r>
      <w:r>
        <w:rPr>
          <w:color w:val="4D4D4F"/>
          <w:spacing w:val="-13"/>
          <w:w w:val="105"/>
        </w:rPr>
        <w:t xml:space="preserve"> </w:t>
      </w:r>
      <w:r>
        <w:rPr>
          <w:color w:val="4D4D4F"/>
          <w:w w:val="105"/>
        </w:rPr>
        <w:t>practice,</w:t>
      </w:r>
      <w:r>
        <w:rPr>
          <w:color w:val="4D4D4F"/>
          <w:spacing w:val="-13"/>
          <w:w w:val="105"/>
        </w:rPr>
        <w:t xml:space="preserve"> </w:t>
      </w:r>
      <w:r>
        <w:rPr>
          <w:color w:val="4D4D4F"/>
          <w:w w:val="105"/>
        </w:rPr>
        <w:t>and</w:t>
      </w:r>
      <w:r>
        <w:rPr>
          <w:color w:val="4D4D4F"/>
          <w:spacing w:val="-13"/>
          <w:w w:val="105"/>
        </w:rPr>
        <w:t xml:space="preserve"> </w:t>
      </w:r>
      <w:r>
        <w:rPr>
          <w:color w:val="4D4D4F"/>
          <w:w w:val="105"/>
        </w:rPr>
        <w:t>how</w:t>
      </w:r>
      <w:r>
        <w:rPr>
          <w:color w:val="4D4D4F"/>
          <w:spacing w:val="-13"/>
          <w:w w:val="105"/>
        </w:rPr>
        <w:t xml:space="preserve"> </w:t>
      </w:r>
      <w:r>
        <w:rPr>
          <w:color w:val="4D4D4F"/>
          <w:w w:val="105"/>
        </w:rPr>
        <w:t>this may</w:t>
      </w:r>
      <w:r>
        <w:rPr>
          <w:color w:val="4D4D4F"/>
          <w:spacing w:val="-12"/>
          <w:w w:val="105"/>
        </w:rPr>
        <w:t xml:space="preserve"> </w:t>
      </w:r>
      <w:r>
        <w:rPr>
          <w:color w:val="4D4D4F"/>
          <w:w w:val="105"/>
        </w:rPr>
        <w:t>be</w:t>
      </w:r>
      <w:r>
        <w:rPr>
          <w:color w:val="4D4D4F"/>
          <w:spacing w:val="-12"/>
          <w:w w:val="105"/>
        </w:rPr>
        <w:t xml:space="preserve"> </w:t>
      </w:r>
      <w:r>
        <w:rPr>
          <w:color w:val="4D4D4F"/>
          <w:w w:val="105"/>
        </w:rPr>
        <w:t>measured,</w:t>
      </w:r>
      <w:r>
        <w:rPr>
          <w:color w:val="4D4D4F"/>
          <w:spacing w:val="-11"/>
          <w:w w:val="105"/>
        </w:rPr>
        <w:t xml:space="preserve"> </w:t>
      </w:r>
      <w:r>
        <w:rPr>
          <w:color w:val="4D4D4F"/>
          <w:w w:val="105"/>
        </w:rPr>
        <w:t>monitored,</w:t>
      </w:r>
      <w:r>
        <w:rPr>
          <w:color w:val="4D4D4F"/>
          <w:spacing w:val="-12"/>
          <w:w w:val="105"/>
        </w:rPr>
        <w:t xml:space="preserve"> </w:t>
      </w:r>
      <w:r>
        <w:rPr>
          <w:color w:val="4D4D4F"/>
          <w:w w:val="105"/>
        </w:rPr>
        <w:t>and</w:t>
      </w:r>
      <w:r>
        <w:rPr>
          <w:color w:val="4D4D4F"/>
          <w:spacing w:val="-12"/>
          <w:w w:val="105"/>
        </w:rPr>
        <w:t xml:space="preserve"> </w:t>
      </w:r>
      <w:r>
        <w:rPr>
          <w:color w:val="4D4D4F"/>
          <w:w w:val="105"/>
        </w:rPr>
        <w:t>adjusted</w:t>
      </w:r>
      <w:r>
        <w:rPr>
          <w:color w:val="4D4D4F"/>
          <w:spacing w:val="-11"/>
          <w:w w:val="105"/>
        </w:rPr>
        <w:t xml:space="preserve"> </w:t>
      </w:r>
      <w:r>
        <w:rPr>
          <w:color w:val="4D4D4F"/>
          <w:w w:val="105"/>
        </w:rPr>
        <w:t>over</w:t>
      </w:r>
      <w:r>
        <w:rPr>
          <w:color w:val="4D4D4F"/>
          <w:spacing w:val="-12"/>
          <w:w w:val="105"/>
        </w:rPr>
        <w:t xml:space="preserve"> </w:t>
      </w:r>
      <w:r>
        <w:rPr>
          <w:color w:val="4D4D4F"/>
          <w:w w:val="105"/>
        </w:rPr>
        <w:t>the</w:t>
      </w:r>
      <w:r>
        <w:rPr>
          <w:color w:val="4D4D4F"/>
          <w:spacing w:val="-12"/>
          <w:w w:val="105"/>
        </w:rPr>
        <w:t xml:space="preserve"> </w:t>
      </w:r>
      <w:r>
        <w:rPr>
          <w:color w:val="4D4D4F"/>
          <w:w w:val="105"/>
        </w:rPr>
        <w:t>lifetime</w:t>
      </w:r>
      <w:r>
        <w:rPr>
          <w:color w:val="4D4D4F"/>
          <w:spacing w:val="-11"/>
          <w:w w:val="105"/>
        </w:rPr>
        <w:t xml:space="preserve"> </w:t>
      </w:r>
      <w:r>
        <w:rPr>
          <w:color w:val="4D4D4F"/>
          <w:w w:val="105"/>
        </w:rPr>
        <w:t>of</w:t>
      </w:r>
      <w:r>
        <w:rPr>
          <w:color w:val="4D4D4F"/>
          <w:spacing w:val="-12"/>
          <w:w w:val="105"/>
        </w:rPr>
        <w:t xml:space="preserve"> </w:t>
      </w:r>
      <w:r>
        <w:rPr>
          <w:color w:val="4D4D4F"/>
          <w:w w:val="105"/>
        </w:rPr>
        <w:t>the</w:t>
      </w:r>
      <w:r>
        <w:rPr>
          <w:color w:val="4D4D4F"/>
          <w:spacing w:val="-12"/>
          <w:w w:val="105"/>
        </w:rPr>
        <w:t xml:space="preserve"> </w:t>
      </w:r>
      <w:r>
        <w:rPr>
          <w:color w:val="4D4D4F"/>
          <w:w w:val="105"/>
        </w:rPr>
        <w:t>program.</w:t>
      </w:r>
    </w:p>
    <w:p w14:paraId="083A1F52" w14:textId="77777777" w:rsidR="00EF5B27" w:rsidRDefault="00000000">
      <w:pPr>
        <w:pStyle w:val="Heading6"/>
        <w:spacing w:before="120"/>
      </w:pPr>
      <w:r>
        <w:rPr>
          <w:color w:val="4D4D4F"/>
        </w:rPr>
        <w:t>Governance framework</w:t>
      </w:r>
    </w:p>
    <w:p w14:paraId="38D035A0" w14:textId="77777777" w:rsidR="00EF5B27" w:rsidRDefault="00000000">
      <w:pPr>
        <w:pStyle w:val="BodyText"/>
        <w:spacing w:before="129" w:line="254" w:lineRule="auto"/>
        <w:ind w:left="2608" w:right="254"/>
        <w:jc w:val="both"/>
      </w:pPr>
      <w:r>
        <w:rPr>
          <w:color w:val="4D4D4F"/>
        </w:rPr>
        <w:t>Improved governance arrangements with the potential to provide strategic oversight and improve coordination of existing resources and investments would enable better outcomes for MNES.</w:t>
      </w:r>
    </w:p>
    <w:p w14:paraId="26A614BE" w14:textId="77777777" w:rsidR="00EF5B27" w:rsidRDefault="00000000">
      <w:pPr>
        <w:pStyle w:val="BodyText"/>
        <w:spacing w:before="117" w:line="254" w:lineRule="auto"/>
        <w:ind w:left="2608" w:right="322"/>
      </w:pPr>
      <w:r>
        <w:rPr>
          <w:color w:val="4D4D4F"/>
        </w:rPr>
        <w:t xml:space="preserve">Broadly, there is a lack of a demonstrated risk management processes to guide    MSA program delivery, prioritisation and investment decisions. It is unclear whether a formal risk register is being maintained and if identified risks are appropriately managed and mitigated. </w:t>
      </w:r>
      <w:r>
        <w:rPr>
          <w:color w:val="4D4D4F"/>
          <w:spacing w:val="-3"/>
        </w:rPr>
        <w:t xml:space="preserve">VAGO </w:t>
      </w:r>
      <w:r>
        <w:rPr>
          <w:color w:val="4D4D4F"/>
        </w:rPr>
        <w:t>determined in 2020 that the MSA program’s</w:t>
      </w:r>
      <w:r>
        <w:rPr>
          <w:color w:val="4D4D4F"/>
          <w:spacing w:val="-27"/>
        </w:rPr>
        <w:t xml:space="preserve"> </w:t>
      </w:r>
      <w:r>
        <w:rPr>
          <w:color w:val="4D4D4F"/>
        </w:rPr>
        <w:t>“current</w:t>
      </w:r>
    </w:p>
    <w:p w14:paraId="4C7679CA" w14:textId="77777777" w:rsidR="00EF5B27" w:rsidRDefault="00000000">
      <w:pPr>
        <w:pStyle w:val="BodyText"/>
        <w:spacing w:before="5" w:line="254" w:lineRule="auto"/>
        <w:ind w:left="2608" w:right="248"/>
      </w:pPr>
      <w:r>
        <w:rPr>
          <w:color w:val="4D4D4F"/>
        </w:rPr>
        <w:t xml:space="preserve">governance arrangements are not adequate to effectively oversee the MSA program’s future delivery and manage risks because they do not include all delivery partners     </w:t>
      </w:r>
      <w:r>
        <w:rPr>
          <w:color w:val="4D4D4F"/>
          <w:spacing w:val="-3"/>
        </w:rPr>
        <w:t xml:space="preserve">nor </w:t>
      </w:r>
      <w:r>
        <w:rPr>
          <w:color w:val="4D4D4F"/>
          <w:spacing w:val="-4"/>
        </w:rPr>
        <w:t xml:space="preserve">separate </w:t>
      </w:r>
      <w:r>
        <w:rPr>
          <w:color w:val="4D4D4F"/>
          <w:spacing w:val="-5"/>
        </w:rPr>
        <w:t xml:space="preserve">oversight </w:t>
      </w:r>
      <w:r>
        <w:rPr>
          <w:color w:val="4D4D4F"/>
          <w:spacing w:val="-3"/>
        </w:rPr>
        <w:t xml:space="preserve">from </w:t>
      </w:r>
      <w:r>
        <w:rPr>
          <w:color w:val="4D4D4F"/>
          <w:spacing w:val="-6"/>
        </w:rPr>
        <w:t>management.”</w:t>
      </w:r>
      <w:r>
        <w:rPr>
          <w:color w:val="4D4D4F"/>
          <w:spacing w:val="-6"/>
          <w:position w:val="7"/>
          <w:sz w:val="11"/>
        </w:rPr>
        <w:t>43</w:t>
      </w:r>
      <w:r>
        <w:rPr>
          <w:color w:val="4D4D4F"/>
          <w:spacing w:val="12"/>
          <w:position w:val="7"/>
          <w:sz w:val="11"/>
        </w:rPr>
        <w:t xml:space="preserve"> </w:t>
      </w:r>
      <w:r>
        <w:rPr>
          <w:color w:val="4D4D4F"/>
          <w:spacing w:val="-4"/>
        </w:rPr>
        <w:t xml:space="preserve">DELWP </w:t>
      </w:r>
      <w:r>
        <w:rPr>
          <w:color w:val="4D4D4F"/>
        </w:rPr>
        <w:t xml:space="preserve">report </w:t>
      </w:r>
      <w:r>
        <w:rPr>
          <w:color w:val="4D4D4F"/>
          <w:spacing w:val="-4"/>
        </w:rPr>
        <w:t xml:space="preserve">that </w:t>
      </w:r>
      <w:r>
        <w:rPr>
          <w:color w:val="4D4D4F"/>
          <w:spacing w:val="-5"/>
        </w:rPr>
        <w:t xml:space="preserve">this </w:t>
      </w:r>
      <w:r>
        <w:rPr>
          <w:color w:val="4D4D4F"/>
          <w:spacing w:val="-4"/>
        </w:rPr>
        <w:t xml:space="preserve">has </w:t>
      </w:r>
      <w:r>
        <w:rPr>
          <w:color w:val="4D4D4F"/>
          <w:spacing w:val="-3"/>
        </w:rPr>
        <w:t xml:space="preserve">been </w:t>
      </w:r>
      <w:r>
        <w:rPr>
          <w:color w:val="4D4D4F"/>
          <w:spacing w:val="-4"/>
        </w:rPr>
        <w:t xml:space="preserve">addressed </w:t>
      </w:r>
      <w:r>
        <w:rPr>
          <w:color w:val="4D4D4F"/>
        </w:rPr>
        <w:t xml:space="preserve">by </w:t>
      </w:r>
      <w:r>
        <w:rPr>
          <w:color w:val="4D4D4F"/>
          <w:spacing w:val="-3"/>
        </w:rPr>
        <w:t xml:space="preserve">the </w:t>
      </w:r>
      <w:r>
        <w:rPr>
          <w:color w:val="4D4D4F"/>
          <w:spacing w:val="-5"/>
        </w:rPr>
        <w:t xml:space="preserve">inclusion </w:t>
      </w:r>
      <w:r>
        <w:rPr>
          <w:color w:val="4D4D4F"/>
          <w:spacing w:val="-3"/>
        </w:rPr>
        <w:t xml:space="preserve">of </w:t>
      </w:r>
      <w:r>
        <w:rPr>
          <w:color w:val="4D4D4F"/>
          <w:spacing w:val="-4"/>
        </w:rPr>
        <w:t xml:space="preserve">agencies, </w:t>
      </w:r>
      <w:r>
        <w:rPr>
          <w:color w:val="4D4D4F"/>
          <w:spacing w:val="-3"/>
        </w:rPr>
        <w:t xml:space="preserve">partners and </w:t>
      </w:r>
      <w:r>
        <w:rPr>
          <w:color w:val="4D4D4F"/>
          <w:spacing w:val="-6"/>
        </w:rPr>
        <w:t xml:space="preserve">Traditional </w:t>
      </w:r>
      <w:r>
        <w:rPr>
          <w:color w:val="4D4D4F"/>
        </w:rPr>
        <w:t xml:space="preserve">Owners </w:t>
      </w:r>
      <w:r>
        <w:rPr>
          <w:color w:val="4D4D4F"/>
          <w:spacing w:val="-4"/>
        </w:rPr>
        <w:t xml:space="preserve">in </w:t>
      </w:r>
      <w:r>
        <w:rPr>
          <w:color w:val="4D4D4F"/>
          <w:spacing w:val="-3"/>
        </w:rPr>
        <w:t xml:space="preserve">its </w:t>
      </w:r>
      <w:r>
        <w:rPr>
          <w:color w:val="4D4D4F"/>
          <w:spacing w:val="-4"/>
        </w:rPr>
        <w:t xml:space="preserve">Adaptive </w:t>
      </w:r>
      <w:r>
        <w:rPr>
          <w:color w:val="4D4D4F"/>
          <w:spacing w:val="-5"/>
        </w:rPr>
        <w:t xml:space="preserve">Management </w:t>
      </w:r>
      <w:r>
        <w:rPr>
          <w:color w:val="4D4D4F"/>
        </w:rPr>
        <w:t xml:space="preserve">Working Group’s membership and </w:t>
      </w:r>
      <w:r>
        <w:rPr>
          <w:color w:val="4D4D4F"/>
          <w:spacing w:val="-4"/>
        </w:rPr>
        <w:t xml:space="preserve">Terms </w:t>
      </w:r>
      <w:r>
        <w:rPr>
          <w:color w:val="4D4D4F"/>
        </w:rPr>
        <w:t xml:space="preserve">of Reference. This group, </w:t>
      </w:r>
      <w:r>
        <w:rPr>
          <w:color w:val="4D4D4F"/>
          <w:spacing w:val="-4"/>
        </w:rPr>
        <w:t xml:space="preserve">however, </w:t>
      </w:r>
      <w:r>
        <w:rPr>
          <w:color w:val="4D4D4F"/>
        </w:rPr>
        <w:t>does not formally oversee program level policy and management</w:t>
      </w:r>
      <w:r>
        <w:rPr>
          <w:color w:val="4D4D4F"/>
          <w:spacing w:val="38"/>
        </w:rPr>
        <w:t xml:space="preserve"> </w:t>
      </w:r>
      <w:r>
        <w:rPr>
          <w:color w:val="4D4D4F"/>
        </w:rPr>
        <w:t>decisions.</w:t>
      </w:r>
    </w:p>
    <w:p w14:paraId="782B2022" w14:textId="77777777" w:rsidR="00EF5B27" w:rsidRDefault="00000000">
      <w:pPr>
        <w:pStyle w:val="BodyText"/>
        <w:spacing w:before="121" w:line="254" w:lineRule="auto"/>
        <w:ind w:left="2608"/>
      </w:pPr>
      <w:r>
        <w:rPr>
          <w:color w:val="4D4D4F"/>
        </w:rPr>
        <w:t>The establishment of an independent advisory group as part of the governance framework for the MSA program, would help to provide strategic oversight for the program and provide a structure for timely consultation with the relevant experts.</w:t>
      </w:r>
    </w:p>
    <w:p w14:paraId="297CABD1" w14:textId="77777777" w:rsidR="00EF5B27" w:rsidRDefault="00EF5B27">
      <w:pPr>
        <w:pStyle w:val="BodyText"/>
      </w:pPr>
    </w:p>
    <w:p w14:paraId="2ED84752" w14:textId="77777777" w:rsidR="00EF5B27" w:rsidRDefault="00EF5B27">
      <w:pPr>
        <w:pStyle w:val="BodyText"/>
      </w:pPr>
    </w:p>
    <w:p w14:paraId="3A34D8D3" w14:textId="77777777" w:rsidR="00EF5B27" w:rsidRDefault="00EF5B27">
      <w:pPr>
        <w:pStyle w:val="BodyText"/>
      </w:pPr>
    </w:p>
    <w:p w14:paraId="186EEDCC" w14:textId="77777777" w:rsidR="00EF5B27" w:rsidRDefault="00EF5B27">
      <w:pPr>
        <w:pStyle w:val="BodyText"/>
      </w:pPr>
    </w:p>
    <w:p w14:paraId="72A56819" w14:textId="77777777" w:rsidR="00EF5B27" w:rsidRDefault="00EF5B27">
      <w:pPr>
        <w:pStyle w:val="BodyText"/>
      </w:pPr>
    </w:p>
    <w:p w14:paraId="4E9781BD" w14:textId="77777777" w:rsidR="00EF5B27" w:rsidRDefault="00EF5B27">
      <w:pPr>
        <w:pStyle w:val="BodyText"/>
      </w:pPr>
    </w:p>
    <w:p w14:paraId="255916D7" w14:textId="77777777" w:rsidR="00EF5B27" w:rsidRDefault="00EF5B27">
      <w:pPr>
        <w:pStyle w:val="BodyText"/>
      </w:pPr>
    </w:p>
    <w:p w14:paraId="65CDEE26" w14:textId="77777777" w:rsidR="00EF5B27" w:rsidRDefault="00EF5B27">
      <w:pPr>
        <w:pStyle w:val="BodyText"/>
      </w:pPr>
    </w:p>
    <w:p w14:paraId="283622EA" w14:textId="77777777" w:rsidR="00EF5B27" w:rsidRDefault="00EF5B27">
      <w:pPr>
        <w:pStyle w:val="BodyText"/>
      </w:pPr>
    </w:p>
    <w:p w14:paraId="3FE62F31" w14:textId="77777777" w:rsidR="00EF5B27" w:rsidRDefault="00EF5B27">
      <w:pPr>
        <w:pStyle w:val="BodyText"/>
      </w:pPr>
    </w:p>
    <w:p w14:paraId="7CAD4FE0" w14:textId="77777777" w:rsidR="00EF5B27" w:rsidRDefault="00EF5B27">
      <w:pPr>
        <w:pStyle w:val="BodyText"/>
      </w:pPr>
    </w:p>
    <w:p w14:paraId="1FDE45DA" w14:textId="77777777" w:rsidR="00EF5B27" w:rsidRDefault="00EF5B27">
      <w:pPr>
        <w:pStyle w:val="BodyText"/>
      </w:pPr>
    </w:p>
    <w:p w14:paraId="2D2A913E" w14:textId="77777777" w:rsidR="00EF5B27" w:rsidRDefault="00EF5B27">
      <w:pPr>
        <w:pStyle w:val="BodyText"/>
      </w:pPr>
    </w:p>
    <w:p w14:paraId="5512B138" w14:textId="77777777" w:rsidR="00EF5B27" w:rsidRDefault="00EF5B27">
      <w:pPr>
        <w:pStyle w:val="BodyText"/>
      </w:pPr>
    </w:p>
    <w:p w14:paraId="492585F0" w14:textId="77777777" w:rsidR="00EF5B27" w:rsidRDefault="00000000">
      <w:pPr>
        <w:pStyle w:val="BodyText"/>
        <w:spacing w:before="11"/>
        <w:rPr>
          <w:sz w:val="16"/>
        </w:rPr>
      </w:pPr>
      <w:r>
        <w:pict w14:anchorId="1994604F">
          <v:line id="_x0000_s4200" style="position:absolute;z-index:251353600;mso-wrap-distance-left:0;mso-wrap-distance-right:0;mso-position-horizontal-relative:page" from="181.4pt,12.55pt" to="538.6pt,12.55pt" strokecolor="#4d4d4f" strokeweight=".5pt">
            <w10:wrap type="topAndBottom" anchorx="page"/>
          </v:line>
        </w:pict>
      </w:r>
    </w:p>
    <w:p w14:paraId="3F9024CD" w14:textId="77777777" w:rsidR="00EF5B27" w:rsidRDefault="00000000">
      <w:pPr>
        <w:pStyle w:val="ListParagraph"/>
        <w:numPr>
          <w:ilvl w:val="0"/>
          <w:numId w:val="65"/>
        </w:numPr>
        <w:tabs>
          <w:tab w:val="left" w:pos="2836"/>
        </w:tabs>
        <w:spacing w:before="83"/>
        <w:jc w:val="left"/>
        <w:rPr>
          <w:sz w:val="12"/>
        </w:rPr>
      </w:pPr>
      <w:r>
        <w:rPr>
          <w:color w:val="4D4D4F"/>
          <w:sz w:val="12"/>
        </w:rPr>
        <w:t xml:space="preserve">VAGO </w:t>
      </w:r>
      <w:r>
        <w:rPr>
          <w:color w:val="4D4D4F"/>
          <w:spacing w:val="2"/>
          <w:sz w:val="12"/>
        </w:rPr>
        <w:t xml:space="preserve">2020, </w:t>
      </w:r>
      <w:r>
        <w:rPr>
          <w:color w:val="4D4D4F"/>
          <w:sz w:val="12"/>
        </w:rPr>
        <w:t xml:space="preserve">‘Protecting Critically Endangered Grasslands’, Independent assurance </w:t>
      </w:r>
      <w:r>
        <w:rPr>
          <w:color w:val="4D4D4F"/>
          <w:spacing w:val="2"/>
          <w:sz w:val="12"/>
        </w:rPr>
        <w:t xml:space="preserve">report </w:t>
      </w:r>
      <w:r>
        <w:rPr>
          <w:color w:val="4D4D4F"/>
          <w:sz w:val="12"/>
        </w:rPr>
        <w:t>to Parliament</w:t>
      </w:r>
      <w:r>
        <w:rPr>
          <w:color w:val="4D4D4F"/>
          <w:spacing w:val="8"/>
          <w:sz w:val="12"/>
        </w:rPr>
        <w:t xml:space="preserve"> </w:t>
      </w:r>
      <w:r>
        <w:rPr>
          <w:color w:val="4D4D4F"/>
          <w:sz w:val="12"/>
        </w:rPr>
        <w:t>2019–20: 16.</w:t>
      </w:r>
    </w:p>
    <w:p w14:paraId="17E0936F" w14:textId="77777777" w:rsidR="00EF5B27" w:rsidRDefault="00EF5B27">
      <w:pPr>
        <w:rPr>
          <w:sz w:val="12"/>
        </w:rPr>
        <w:sectPr w:rsidR="00EF5B27">
          <w:pgSz w:w="11910" w:h="16840"/>
          <w:pgMar w:top="1080" w:right="1020" w:bottom="860" w:left="1020" w:header="537" w:footer="678" w:gutter="0"/>
          <w:cols w:space="720"/>
        </w:sectPr>
      </w:pPr>
    </w:p>
    <w:p w14:paraId="1D84BD54" w14:textId="77777777" w:rsidR="00EF5B27" w:rsidRDefault="00EF5B27">
      <w:pPr>
        <w:pStyle w:val="BodyText"/>
      </w:pPr>
    </w:p>
    <w:p w14:paraId="085FF53E" w14:textId="77777777" w:rsidR="00EF5B27" w:rsidRDefault="00EF5B27">
      <w:pPr>
        <w:pStyle w:val="BodyText"/>
      </w:pPr>
    </w:p>
    <w:p w14:paraId="64500810" w14:textId="77777777" w:rsidR="00EF5B27" w:rsidRDefault="00EF5B27">
      <w:pPr>
        <w:pStyle w:val="BodyText"/>
      </w:pPr>
    </w:p>
    <w:p w14:paraId="6D524505" w14:textId="77777777" w:rsidR="00EF5B27" w:rsidRDefault="00EF5B27">
      <w:pPr>
        <w:pStyle w:val="BodyText"/>
      </w:pPr>
    </w:p>
    <w:p w14:paraId="082ED0A6" w14:textId="77777777" w:rsidR="00EF5B27" w:rsidRDefault="00EF5B27">
      <w:pPr>
        <w:pStyle w:val="BodyText"/>
      </w:pPr>
    </w:p>
    <w:p w14:paraId="07071F4A" w14:textId="77777777" w:rsidR="00EF5B27" w:rsidRDefault="00EF5B27">
      <w:pPr>
        <w:pStyle w:val="BodyText"/>
      </w:pPr>
    </w:p>
    <w:p w14:paraId="37480917" w14:textId="77777777" w:rsidR="00EF5B27" w:rsidRDefault="00EF5B27">
      <w:pPr>
        <w:pStyle w:val="BodyText"/>
      </w:pPr>
    </w:p>
    <w:p w14:paraId="61917B77" w14:textId="77777777" w:rsidR="00EF5B27" w:rsidRDefault="00EF5B27">
      <w:pPr>
        <w:pStyle w:val="BodyText"/>
      </w:pPr>
    </w:p>
    <w:p w14:paraId="253A6258" w14:textId="77777777" w:rsidR="00EF5B27" w:rsidRDefault="00EF5B27">
      <w:pPr>
        <w:pStyle w:val="BodyText"/>
      </w:pPr>
    </w:p>
    <w:p w14:paraId="4BDB82D7" w14:textId="77777777" w:rsidR="00EF5B27" w:rsidRDefault="00EF5B27">
      <w:pPr>
        <w:pStyle w:val="BodyText"/>
      </w:pPr>
    </w:p>
    <w:p w14:paraId="3F3746C6" w14:textId="77777777" w:rsidR="00EF5B27" w:rsidRDefault="00EF5B27">
      <w:pPr>
        <w:pStyle w:val="BodyText"/>
        <w:spacing w:before="4"/>
        <w:rPr>
          <w:sz w:val="11"/>
        </w:rPr>
      </w:pPr>
    </w:p>
    <w:p w14:paraId="46A2FD82" w14:textId="77777777" w:rsidR="00EF5B27" w:rsidRDefault="00000000">
      <w:pPr>
        <w:pStyle w:val="BodyText"/>
        <w:ind w:left="113"/>
      </w:pPr>
      <w:r>
        <w:pict w14:anchorId="5A431637">
          <v:shape id="_x0000_s4199" type="#_x0000_t202" style="width:481.15pt;height:25.4pt;mso-left-percent:-10001;mso-top-percent:-10001;mso-position-horizontal:absolute;mso-position-horizontal-relative:char;mso-position-vertical:absolute;mso-position-vertical-relative:line;mso-left-percent:-10001;mso-top-percent:-10001" fillcolor="#fecc91" stroked="f">
            <v:textbox inset="0,0,0,0">
              <w:txbxContent>
                <w:p w14:paraId="4E83FEE2" w14:textId="77777777" w:rsidR="00EF5B27" w:rsidRDefault="00000000">
                  <w:pPr>
                    <w:tabs>
                      <w:tab w:val="left" w:pos="2607"/>
                    </w:tabs>
                    <w:spacing w:before="142"/>
                    <w:ind w:left="113"/>
                    <w:rPr>
                      <w:b/>
                      <w:sz w:val="20"/>
                    </w:rPr>
                  </w:pPr>
                  <w:r>
                    <w:rPr>
                      <w:b/>
                      <w:color w:val="4D4D4F"/>
                      <w:sz w:val="20"/>
                    </w:rPr>
                    <w:t>Theme</w:t>
                  </w:r>
                  <w:r>
                    <w:rPr>
                      <w:b/>
                      <w:color w:val="4D4D4F"/>
                      <w:sz w:val="20"/>
                    </w:rPr>
                    <w:tab/>
                    <w:t>Program design, governance and coordination (Land</w:t>
                  </w:r>
                  <w:r>
                    <w:rPr>
                      <w:b/>
                      <w:color w:val="4D4D4F"/>
                      <w:spacing w:val="27"/>
                      <w:sz w:val="20"/>
                    </w:rPr>
                    <w:t xml:space="preserve"> </w:t>
                  </w:r>
                  <w:r>
                    <w:rPr>
                      <w:b/>
                      <w:color w:val="4D4D4F"/>
                      <w:sz w:val="20"/>
                    </w:rPr>
                    <w:t>acquisition)</w:t>
                  </w:r>
                </w:p>
              </w:txbxContent>
            </v:textbox>
            <w10:anchorlock/>
          </v:shape>
        </w:pict>
      </w:r>
    </w:p>
    <w:p w14:paraId="75E44D6C" w14:textId="77777777" w:rsidR="00EF5B27" w:rsidRDefault="00EF5B27">
      <w:pPr>
        <w:pStyle w:val="BodyText"/>
        <w:spacing w:before="8"/>
        <w:rPr>
          <w:sz w:val="5"/>
        </w:rPr>
      </w:pPr>
    </w:p>
    <w:p w14:paraId="527B2956" w14:textId="77777777" w:rsidR="00EF5B27" w:rsidRDefault="00EF5B27">
      <w:pPr>
        <w:rPr>
          <w:sz w:val="5"/>
        </w:rPr>
        <w:sectPr w:rsidR="00EF5B27">
          <w:pgSz w:w="11910" w:h="16840"/>
          <w:pgMar w:top="1080" w:right="1020" w:bottom="860" w:left="1020" w:header="537" w:footer="678" w:gutter="0"/>
          <w:cols w:space="720"/>
        </w:sectPr>
      </w:pPr>
    </w:p>
    <w:p w14:paraId="59EDA0E2" w14:textId="77777777" w:rsidR="00EF5B27" w:rsidRDefault="00000000">
      <w:pPr>
        <w:pStyle w:val="BodyText"/>
        <w:spacing w:before="51"/>
        <w:ind w:left="227"/>
      </w:pPr>
      <w:r>
        <w:pict w14:anchorId="5AB811C6">
          <v:group id="_x0000_s4196" style="position:absolute;left:0;text-align:left;margin-left:56.7pt;margin-top:-29.85pt;width:481.15pt;height:.25pt;z-index:251423232;mso-position-horizontal-relative:page" coordorigin="1134,-597" coordsize="9623,5">
            <v:line id="_x0000_s4198" style="position:absolute" from="1134,-595" to="3628,-595" strokeweight=".25pt"/>
            <v:line id="_x0000_s4197" style="position:absolute" from="3628,-595" to="10756,-595" strokeweight=".25pt"/>
            <w10:wrap anchorx="page"/>
          </v:group>
        </w:pict>
      </w:r>
      <w:r>
        <w:pict w14:anchorId="628EB1F1">
          <v:group id="_x0000_s4193" style="position:absolute;left:0;text-align:left;margin-left:56.7pt;margin-top:-4.35pt;width:481.15pt;height:.25pt;z-index:251424256;mso-position-horizontal-relative:page" coordorigin="1134,-87" coordsize="9623,5">
            <v:line id="_x0000_s4195" style="position:absolute" from="1134,-84" to="3628,-84" strokeweight=".25pt"/>
            <v:line id="_x0000_s4194" style="position:absolute" from="3628,-84" to="10756,-84" strokeweight=".25pt"/>
            <w10:wrap anchorx="page"/>
          </v:group>
        </w:pict>
      </w:r>
      <w:r>
        <w:rPr>
          <w:color w:val="4D4D4F"/>
        </w:rPr>
        <w:t>Recommendation</w:t>
      </w:r>
    </w:p>
    <w:p w14:paraId="0C41D360" w14:textId="77777777" w:rsidR="00EF5B27" w:rsidRDefault="00000000">
      <w:pPr>
        <w:pStyle w:val="Heading1"/>
      </w:pPr>
      <w:r>
        <w:rPr>
          <w:color w:val="4D4D4F"/>
          <w:w w:val="105"/>
        </w:rPr>
        <w:t>04</w:t>
      </w:r>
    </w:p>
    <w:p w14:paraId="5456B21C" w14:textId="77777777" w:rsidR="00EF5B27" w:rsidRDefault="00000000">
      <w:pPr>
        <w:pStyle w:val="BodyText"/>
        <w:spacing w:before="51" w:line="254" w:lineRule="auto"/>
        <w:ind w:left="340" w:right="751"/>
      </w:pPr>
      <w:r>
        <w:br w:type="column"/>
      </w:r>
      <w:r>
        <w:rPr>
          <w:color w:val="4D4D4F"/>
        </w:rPr>
        <w:t>That DELWP actively implements a risk-based land acquisition strategy that prioritises MNES conservation outcomes. The land acquisition strategy must include the identification of interim management needs to support outcomes for MNES in priority areas where delays in acquisition have occurred and/or are likely to occur.</w:t>
      </w:r>
    </w:p>
    <w:p w14:paraId="1CFBCAC5" w14:textId="77777777" w:rsidR="00EF5B27" w:rsidRDefault="00EF5B27">
      <w:pPr>
        <w:pStyle w:val="BodyText"/>
        <w:rPr>
          <w:sz w:val="24"/>
        </w:rPr>
      </w:pPr>
    </w:p>
    <w:p w14:paraId="029E9EF1" w14:textId="77777777" w:rsidR="00EF5B27" w:rsidRDefault="00EF5B27">
      <w:pPr>
        <w:pStyle w:val="BodyText"/>
        <w:spacing w:before="6"/>
        <w:rPr>
          <w:sz w:val="24"/>
        </w:rPr>
      </w:pPr>
    </w:p>
    <w:p w14:paraId="1A443FF2" w14:textId="77777777" w:rsidR="00EF5B27" w:rsidRDefault="00000000">
      <w:pPr>
        <w:pStyle w:val="Heading6"/>
        <w:ind w:left="227"/>
      </w:pPr>
      <w:r>
        <w:pict w14:anchorId="174D62AA">
          <v:group id="_x0000_s4190" style="position:absolute;left:0;text-align:left;margin-left:56.7pt;margin-top:-21.2pt;width:481.15pt;height:.25pt;z-index:251425280;mso-position-horizontal-relative:page" coordorigin="1134,-424" coordsize="9623,5">
            <v:line id="_x0000_s4192" style="position:absolute" from="1134,-421" to="3628,-421" strokeweight=".25pt"/>
            <v:line id="_x0000_s4191" style="position:absolute" from="3628,-421" to="10756,-421" strokeweight=".25pt"/>
            <w10:wrap anchorx="page"/>
          </v:group>
        </w:pict>
      </w:r>
      <w:r>
        <w:rPr>
          <w:color w:val="4D4D4F"/>
        </w:rPr>
        <w:t>Land acquisition</w:t>
      </w:r>
    </w:p>
    <w:p w14:paraId="4755E9D4" w14:textId="77777777" w:rsidR="00EF5B27" w:rsidRDefault="00000000">
      <w:pPr>
        <w:pStyle w:val="BodyText"/>
        <w:spacing w:before="129" w:line="254" w:lineRule="auto"/>
        <w:ind w:left="227" w:right="203"/>
        <w:rPr>
          <w:sz w:val="11"/>
        </w:rPr>
      </w:pPr>
      <w:r>
        <w:rPr>
          <w:color w:val="4D4D4F"/>
        </w:rPr>
        <w:t>Limited acquisition of land is impacting delivery of the MSA program outcomes. Monitoring of MNES is ostensibly conducted on secured land, which is approximately only 10% of the program area in the Western Grassland Reserve.</w:t>
      </w:r>
      <w:r>
        <w:rPr>
          <w:color w:val="4D4D4F"/>
          <w:position w:val="7"/>
          <w:sz w:val="11"/>
        </w:rPr>
        <w:t>44</w:t>
      </w:r>
    </w:p>
    <w:p w14:paraId="45F83C5D" w14:textId="77777777" w:rsidR="00EF5B27" w:rsidRDefault="00000000">
      <w:pPr>
        <w:pStyle w:val="BodyText"/>
        <w:spacing w:before="117" w:line="254" w:lineRule="auto"/>
        <w:ind w:left="227" w:right="231"/>
        <w:rPr>
          <w:sz w:val="11"/>
        </w:rPr>
      </w:pPr>
      <w:r>
        <w:rPr>
          <w:color w:val="4D4D4F"/>
        </w:rPr>
        <w:t xml:space="preserve">This significantly hinders DELWP’s ability to implement direct management practices, with challenges such as the disparate or fragmented nature of the acquired   properties, condition of properties with the passage of time since the baseline values and targets were set, and the resourcing for direct management limited to </w:t>
      </w:r>
      <w:r>
        <w:rPr>
          <w:color w:val="4D4D4F"/>
          <w:spacing w:val="-5"/>
        </w:rPr>
        <w:t xml:space="preserve">10  </w:t>
      </w:r>
      <w:r>
        <w:rPr>
          <w:color w:val="4D4D4F"/>
        </w:rPr>
        <w:t xml:space="preserve">years.  As </w:t>
      </w:r>
      <w:r>
        <w:rPr>
          <w:color w:val="4D4D4F"/>
          <w:spacing w:val="-3"/>
        </w:rPr>
        <w:t xml:space="preserve">VAGO </w:t>
      </w:r>
      <w:r>
        <w:rPr>
          <w:color w:val="4D4D4F"/>
        </w:rPr>
        <w:t xml:space="preserve">determined in 2020 regarding the importance of early acquisition: “The MSA was established and conservation commitments were developed, on the basis of early acquisition of land for the WGR and GEWR. </w:t>
      </w:r>
      <w:r>
        <w:rPr>
          <w:color w:val="4D4D4F"/>
          <w:spacing w:val="-3"/>
        </w:rPr>
        <w:t xml:space="preserve">However, </w:t>
      </w:r>
      <w:r>
        <w:rPr>
          <w:color w:val="4D4D4F"/>
        </w:rPr>
        <w:t xml:space="preserve">DELWP has not met the 2020 acquisition target set by the MSA program. Modelling by DELWP shows the significant ecological benefit gained from buying land early. The longer the period between the state applying a planning acquisition overlay </w:t>
      </w:r>
      <w:r>
        <w:rPr>
          <w:color w:val="4D4D4F"/>
          <w:spacing w:val="-5"/>
        </w:rPr>
        <w:t xml:space="preserve">(PAO) </w:t>
      </w:r>
      <w:r>
        <w:rPr>
          <w:color w:val="4D4D4F"/>
        </w:rPr>
        <w:t xml:space="preserve">and purchasing land, the greater  the risk that affected landowners may not manage their land for invasive weeds and animals. As at December </w:t>
      </w:r>
      <w:r>
        <w:rPr>
          <w:color w:val="4D4D4F"/>
          <w:spacing w:val="-6"/>
        </w:rPr>
        <w:t xml:space="preserve">2019, </w:t>
      </w:r>
      <w:r>
        <w:rPr>
          <w:color w:val="4D4D4F"/>
        </w:rPr>
        <w:t>DELWP had acquired around 10% of land in the WGR,  or 1,568.6 hectares. It has not yet acquired any land for the</w:t>
      </w:r>
      <w:r>
        <w:rPr>
          <w:color w:val="4D4D4F"/>
          <w:spacing w:val="30"/>
        </w:rPr>
        <w:t xml:space="preserve"> </w:t>
      </w:r>
      <w:r>
        <w:rPr>
          <w:color w:val="4D4D4F"/>
        </w:rPr>
        <w:t>GEWR.”</w:t>
      </w:r>
      <w:r>
        <w:rPr>
          <w:color w:val="4D4D4F"/>
          <w:position w:val="7"/>
          <w:sz w:val="11"/>
        </w:rPr>
        <w:t>45</w:t>
      </w:r>
    </w:p>
    <w:p w14:paraId="5F308729" w14:textId="77777777" w:rsidR="00EF5B27" w:rsidRDefault="00000000">
      <w:pPr>
        <w:pStyle w:val="BodyText"/>
        <w:spacing w:before="129" w:line="254" w:lineRule="auto"/>
        <w:ind w:left="227" w:right="206"/>
      </w:pPr>
      <w:r>
        <w:rPr>
          <w:color w:val="4D4D4F"/>
        </w:rPr>
        <w:t>DELWP has developed a set of prioritisation criteria to guide its MSA land acquisition.</w:t>
      </w:r>
      <w:r>
        <w:rPr>
          <w:color w:val="4D4D4F"/>
          <w:position w:val="7"/>
          <w:sz w:val="11"/>
        </w:rPr>
        <w:t xml:space="preserve">46 </w:t>
      </w:r>
      <w:r>
        <w:rPr>
          <w:color w:val="4D4D4F"/>
          <w:spacing w:val="-3"/>
        </w:rPr>
        <w:t xml:space="preserve">However, </w:t>
      </w:r>
      <w:r>
        <w:rPr>
          <w:color w:val="4D4D4F"/>
        </w:rPr>
        <w:t xml:space="preserve">it is unclear </w:t>
      </w:r>
      <w:r>
        <w:rPr>
          <w:color w:val="4D4D4F"/>
          <w:spacing w:val="-3"/>
        </w:rPr>
        <w:t xml:space="preserve">if, </w:t>
      </w:r>
      <w:r>
        <w:rPr>
          <w:color w:val="4D4D4F"/>
        </w:rPr>
        <w:t>how and to what extent these criteria are currently applied, and there exists no formal, structured process or strategy for systematically   prioritising</w:t>
      </w:r>
      <w:r>
        <w:rPr>
          <w:color w:val="4D4D4F"/>
          <w:spacing w:val="5"/>
        </w:rPr>
        <w:t xml:space="preserve"> </w:t>
      </w:r>
      <w:r>
        <w:rPr>
          <w:color w:val="4D4D4F"/>
        </w:rPr>
        <w:t>what,</w:t>
      </w:r>
      <w:r>
        <w:rPr>
          <w:color w:val="4D4D4F"/>
          <w:spacing w:val="6"/>
        </w:rPr>
        <w:t xml:space="preserve"> </w:t>
      </w:r>
      <w:r>
        <w:rPr>
          <w:color w:val="4D4D4F"/>
        </w:rPr>
        <w:t>when</w:t>
      </w:r>
      <w:r>
        <w:rPr>
          <w:color w:val="4D4D4F"/>
          <w:spacing w:val="6"/>
        </w:rPr>
        <w:t xml:space="preserve"> </w:t>
      </w:r>
      <w:r>
        <w:rPr>
          <w:color w:val="4D4D4F"/>
        </w:rPr>
        <w:t>and</w:t>
      </w:r>
      <w:r>
        <w:rPr>
          <w:color w:val="4D4D4F"/>
          <w:spacing w:val="6"/>
        </w:rPr>
        <w:t xml:space="preserve"> </w:t>
      </w:r>
      <w:r>
        <w:rPr>
          <w:color w:val="4D4D4F"/>
        </w:rPr>
        <w:t>how</w:t>
      </w:r>
      <w:r>
        <w:rPr>
          <w:color w:val="4D4D4F"/>
          <w:spacing w:val="6"/>
        </w:rPr>
        <w:t xml:space="preserve"> </w:t>
      </w:r>
      <w:r>
        <w:rPr>
          <w:color w:val="4D4D4F"/>
        </w:rPr>
        <w:t>areas</w:t>
      </w:r>
      <w:r>
        <w:rPr>
          <w:color w:val="4D4D4F"/>
          <w:spacing w:val="6"/>
        </w:rPr>
        <w:t xml:space="preserve"> </w:t>
      </w:r>
      <w:r>
        <w:rPr>
          <w:color w:val="4D4D4F"/>
        </w:rPr>
        <w:t>earmarked</w:t>
      </w:r>
      <w:r>
        <w:rPr>
          <w:color w:val="4D4D4F"/>
          <w:spacing w:val="6"/>
        </w:rPr>
        <w:t xml:space="preserve"> </w:t>
      </w:r>
      <w:r>
        <w:rPr>
          <w:color w:val="4D4D4F"/>
        </w:rPr>
        <w:t>for</w:t>
      </w:r>
      <w:r>
        <w:rPr>
          <w:color w:val="4D4D4F"/>
          <w:spacing w:val="6"/>
        </w:rPr>
        <w:t xml:space="preserve"> </w:t>
      </w:r>
      <w:r>
        <w:rPr>
          <w:color w:val="4D4D4F"/>
        </w:rPr>
        <w:t>protection</w:t>
      </w:r>
      <w:r>
        <w:rPr>
          <w:color w:val="4D4D4F"/>
          <w:spacing w:val="6"/>
        </w:rPr>
        <w:t xml:space="preserve"> </w:t>
      </w:r>
      <w:r>
        <w:rPr>
          <w:color w:val="4D4D4F"/>
          <w:spacing w:val="-3"/>
        </w:rPr>
        <w:t>(usually</w:t>
      </w:r>
      <w:r>
        <w:rPr>
          <w:color w:val="4D4D4F"/>
          <w:spacing w:val="6"/>
        </w:rPr>
        <w:t xml:space="preserve"> </w:t>
      </w:r>
      <w:r>
        <w:rPr>
          <w:color w:val="4D4D4F"/>
        </w:rPr>
        <w:t>through</w:t>
      </w:r>
    </w:p>
    <w:p w14:paraId="63BE25C1" w14:textId="77777777" w:rsidR="00EF5B27" w:rsidRDefault="00000000">
      <w:pPr>
        <w:pStyle w:val="BodyText"/>
        <w:spacing w:before="5" w:line="254" w:lineRule="auto"/>
        <w:ind w:left="227" w:right="203"/>
      </w:pPr>
      <w:r>
        <w:rPr>
          <w:color w:val="4D4D4F"/>
        </w:rPr>
        <w:t>the application of a PAO) are acquired. It is recommended that DELWP develops and applies a comprehensive set of evidence- and risk-based criteria to prioritise funding and management actions supporting the MSA conservation outcomes. These criteria should inform strategic planning processes to develop a land acquisition strategy that prioritises actions supporting optimal outcomes for MNES and the community.</w:t>
      </w:r>
    </w:p>
    <w:p w14:paraId="10BB529B"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704" w:space="677"/>
            <w:col w:w="7489"/>
          </w:cols>
        </w:sectPr>
      </w:pPr>
    </w:p>
    <w:p w14:paraId="7D5CB096" w14:textId="77777777" w:rsidR="00EF5B27" w:rsidRDefault="00000000">
      <w:pPr>
        <w:pStyle w:val="BodyText"/>
      </w:pPr>
      <w:r>
        <w:pict w14:anchorId="0ECECDC1">
          <v:group id="_x0000_s4182" style="position:absolute;margin-left:587.05pt;margin-top:183.4pt;width:8.25pt;height:153.1pt;z-index:251422208;mso-position-horizontal-relative:page;mso-position-vertical-relative:page" coordorigin="11741,3668" coordsize="165,3062">
            <v:shape id="_x0000_s4189" style="position:absolute;left:11741;top:3668;width:165;height:561" coordorigin="11741,3668" coordsize="165,561" path="m11906,3668r-165,l11741,4228r165,-18l11906,3668xe" fillcolor="#00aed9" stroked="f">
              <v:path arrowok="t"/>
            </v:shape>
            <v:shape id="_x0000_s4188" style="position:absolute;left:11741;top:4118;width:165;height:425" coordorigin="11741,4118" coordsize="165,425" path="m11906,4118r-165,14l11741,4531r165,12l11906,4118xe" fillcolor="#047ebc" stroked="f">
              <v:path arrowok="t"/>
            </v:shape>
            <v:shape id="_x0000_s4187" type="#_x0000_t75" style="position:absolute;left:11741;top:4355;width:165;height:587">
              <v:imagedata r:id="rId42" o:title=""/>
            </v:shape>
            <v:shape id="_x0000_s4186" style="position:absolute;left:11741;top:5343;width:165;height:536" coordorigin="11741,5343" coordsize="165,536" path="m11741,5343r,535l11906,5872r,-525l11741,5343xe" fillcolor="#f36a2e" stroked="f">
              <v:path arrowok="t"/>
            </v:shape>
            <v:shape id="_x0000_s4185" style="position:absolute;left:11741;top:4925;width:165;height:501" coordorigin="11741,4926" coordsize="165,501" path="m11741,4926r,500l11906,5426r,-485l11741,4926xe" fillcolor="#49783f" stroked="f">
              <v:path arrowok="t"/>
            </v:shape>
            <v:shape id="_x0000_s4184" style="position:absolute;left:11741;top:5781;width:165;height:268" coordorigin="11741,5782" coordsize="165,268" path="m11906,5782r-165,8l11741,6039r165,10l11906,5782xe" fillcolor="#f99f2a" stroked="f">
              <v:path arrowok="t"/>
            </v:shape>
            <v:shape id="_x0000_s4183" style="position:absolute;left:11741;top:6023;width:165;height:707" coordorigin="11741,6023" coordsize="165,707" path="m11741,6023r,706l11906,6729r,-690l11741,6023xe" fillcolor="#ef412c" stroked="f">
              <v:path arrowok="t"/>
            </v:shape>
            <w10:wrap anchorx="page" anchory="page"/>
          </v:group>
        </w:pict>
      </w:r>
    </w:p>
    <w:p w14:paraId="67EF781B" w14:textId="77777777" w:rsidR="00EF5B27" w:rsidRDefault="00EF5B27">
      <w:pPr>
        <w:pStyle w:val="BodyText"/>
      </w:pPr>
    </w:p>
    <w:p w14:paraId="68DF8956" w14:textId="77777777" w:rsidR="00EF5B27" w:rsidRDefault="00EF5B27">
      <w:pPr>
        <w:pStyle w:val="BodyText"/>
      </w:pPr>
    </w:p>
    <w:p w14:paraId="62A486CD" w14:textId="77777777" w:rsidR="00EF5B27" w:rsidRDefault="00EF5B27">
      <w:pPr>
        <w:pStyle w:val="BodyText"/>
      </w:pPr>
    </w:p>
    <w:p w14:paraId="5CD44927" w14:textId="77777777" w:rsidR="00EF5B27" w:rsidRDefault="00EF5B27">
      <w:pPr>
        <w:pStyle w:val="BodyText"/>
        <w:spacing w:before="6"/>
        <w:rPr>
          <w:sz w:val="27"/>
        </w:rPr>
      </w:pPr>
    </w:p>
    <w:p w14:paraId="57073F79" w14:textId="77777777" w:rsidR="00EF5B27" w:rsidRDefault="00000000">
      <w:pPr>
        <w:pStyle w:val="BodyText"/>
        <w:spacing w:line="20" w:lineRule="exact"/>
        <w:ind w:left="2603"/>
        <w:rPr>
          <w:sz w:val="2"/>
        </w:rPr>
      </w:pPr>
      <w:r>
        <w:rPr>
          <w:sz w:val="2"/>
        </w:rPr>
      </w:r>
      <w:r>
        <w:rPr>
          <w:sz w:val="2"/>
        </w:rPr>
        <w:pict w14:anchorId="6AF84378">
          <v:group id="_x0000_s4180" style="width:357.2pt;height:.5pt;mso-position-horizontal-relative:char;mso-position-vertical-relative:line" coordsize="7144,10">
            <v:line id="_x0000_s4181" style="position:absolute" from="0,5" to="7143,5" strokecolor="#4d4d4f" strokeweight=".5pt"/>
            <w10:anchorlock/>
          </v:group>
        </w:pict>
      </w:r>
    </w:p>
    <w:p w14:paraId="4C1AEAC9" w14:textId="77777777" w:rsidR="00EF5B27" w:rsidRDefault="00000000">
      <w:pPr>
        <w:pStyle w:val="ListParagraph"/>
        <w:numPr>
          <w:ilvl w:val="0"/>
          <w:numId w:val="65"/>
        </w:numPr>
        <w:tabs>
          <w:tab w:val="left" w:pos="2836"/>
        </w:tabs>
        <w:spacing w:before="102" w:line="143" w:lineRule="exact"/>
        <w:jc w:val="left"/>
        <w:rPr>
          <w:sz w:val="12"/>
        </w:rPr>
      </w:pPr>
      <w:r>
        <w:rPr>
          <w:color w:val="4D4D4F"/>
          <w:sz w:val="12"/>
        </w:rPr>
        <w:t>VAGO</w:t>
      </w:r>
      <w:r>
        <w:rPr>
          <w:color w:val="4D4D4F"/>
          <w:spacing w:val="13"/>
          <w:sz w:val="12"/>
        </w:rPr>
        <w:t xml:space="preserve"> </w:t>
      </w:r>
      <w:r>
        <w:rPr>
          <w:color w:val="4D4D4F"/>
          <w:spacing w:val="2"/>
          <w:sz w:val="12"/>
        </w:rPr>
        <w:t>2020,</w:t>
      </w:r>
      <w:r>
        <w:rPr>
          <w:color w:val="4D4D4F"/>
          <w:spacing w:val="14"/>
          <w:sz w:val="12"/>
        </w:rPr>
        <w:t xml:space="preserve"> </w:t>
      </w:r>
      <w:r>
        <w:rPr>
          <w:color w:val="4D4D4F"/>
          <w:sz w:val="12"/>
        </w:rPr>
        <w:t>‘Protecting</w:t>
      </w:r>
      <w:r>
        <w:rPr>
          <w:color w:val="4D4D4F"/>
          <w:spacing w:val="13"/>
          <w:sz w:val="12"/>
        </w:rPr>
        <w:t xml:space="preserve"> </w:t>
      </w:r>
      <w:r>
        <w:rPr>
          <w:color w:val="4D4D4F"/>
          <w:sz w:val="12"/>
        </w:rPr>
        <w:t>Critically</w:t>
      </w:r>
      <w:r>
        <w:rPr>
          <w:color w:val="4D4D4F"/>
          <w:spacing w:val="14"/>
          <w:sz w:val="12"/>
        </w:rPr>
        <w:t xml:space="preserve"> </w:t>
      </w:r>
      <w:r>
        <w:rPr>
          <w:color w:val="4D4D4F"/>
          <w:sz w:val="12"/>
        </w:rPr>
        <w:t>Endangered</w:t>
      </w:r>
      <w:r>
        <w:rPr>
          <w:color w:val="4D4D4F"/>
          <w:spacing w:val="13"/>
          <w:sz w:val="12"/>
        </w:rPr>
        <w:t xml:space="preserve"> </w:t>
      </w:r>
      <w:r>
        <w:rPr>
          <w:color w:val="4D4D4F"/>
          <w:sz w:val="12"/>
        </w:rPr>
        <w:t>Grasslands’,</w:t>
      </w:r>
      <w:r>
        <w:rPr>
          <w:color w:val="4D4D4F"/>
          <w:spacing w:val="14"/>
          <w:sz w:val="12"/>
        </w:rPr>
        <w:t xml:space="preserve"> </w:t>
      </w:r>
      <w:r>
        <w:rPr>
          <w:color w:val="4D4D4F"/>
          <w:sz w:val="12"/>
        </w:rPr>
        <w:t>Independent</w:t>
      </w:r>
      <w:r>
        <w:rPr>
          <w:color w:val="4D4D4F"/>
          <w:spacing w:val="14"/>
          <w:sz w:val="12"/>
        </w:rPr>
        <w:t xml:space="preserve"> </w:t>
      </w:r>
      <w:r>
        <w:rPr>
          <w:color w:val="4D4D4F"/>
          <w:sz w:val="12"/>
        </w:rPr>
        <w:t>assurance</w:t>
      </w:r>
      <w:r>
        <w:rPr>
          <w:color w:val="4D4D4F"/>
          <w:spacing w:val="13"/>
          <w:sz w:val="12"/>
        </w:rPr>
        <w:t xml:space="preserve"> </w:t>
      </w:r>
      <w:r>
        <w:rPr>
          <w:color w:val="4D4D4F"/>
          <w:spacing w:val="2"/>
          <w:sz w:val="12"/>
        </w:rPr>
        <w:t>report</w:t>
      </w:r>
      <w:r>
        <w:rPr>
          <w:color w:val="4D4D4F"/>
          <w:spacing w:val="14"/>
          <w:sz w:val="12"/>
        </w:rPr>
        <w:t xml:space="preserve"> </w:t>
      </w:r>
      <w:r>
        <w:rPr>
          <w:color w:val="4D4D4F"/>
          <w:sz w:val="12"/>
        </w:rPr>
        <w:t>to</w:t>
      </w:r>
      <w:r>
        <w:rPr>
          <w:color w:val="4D4D4F"/>
          <w:spacing w:val="13"/>
          <w:sz w:val="12"/>
        </w:rPr>
        <w:t xml:space="preserve"> </w:t>
      </w:r>
      <w:r>
        <w:rPr>
          <w:color w:val="4D4D4F"/>
          <w:sz w:val="12"/>
        </w:rPr>
        <w:t>Parliament</w:t>
      </w:r>
      <w:r>
        <w:rPr>
          <w:color w:val="4D4D4F"/>
          <w:spacing w:val="14"/>
          <w:sz w:val="12"/>
        </w:rPr>
        <w:t xml:space="preserve"> </w:t>
      </w:r>
      <w:r>
        <w:rPr>
          <w:color w:val="4D4D4F"/>
          <w:sz w:val="12"/>
        </w:rPr>
        <w:t>2019–20:</w:t>
      </w:r>
      <w:r>
        <w:rPr>
          <w:color w:val="4D4D4F"/>
          <w:spacing w:val="-6"/>
          <w:sz w:val="12"/>
        </w:rPr>
        <w:t xml:space="preserve"> </w:t>
      </w:r>
      <w:r>
        <w:rPr>
          <w:color w:val="4D4D4F"/>
          <w:sz w:val="12"/>
        </w:rPr>
        <w:t>9.</w:t>
      </w:r>
    </w:p>
    <w:p w14:paraId="3FADF517" w14:textId="77777777" w:rsidR="00EF5B27" w:rsidRDefault="00000000">
      <w:pPr>
        <w:pStyle w:val="ListParagraph"/>
        <w:numPr>
          <w:ilvl w:val="0"/>
          <w:numId w:val="65"/>
        </w:numPr>
        <w:tabs>
          <w:tab w:val="left" w:pos="2836"/>
        </w:tabs>
        <w:spacing w:line="140" w:lineRule="exact"/>
        <w:jc w:val="left"/>
        <w:rPr>
          <w:sz w:val="12"/>
        </w:rPr>
      </w:pPr>
      <w:r>
        <w:rPr>
          <w:color w:val="4D4D4F"/>
          <w:sz w:val="12"/>
        </w:rPr>
        <w:t>VAGO</w:t>
      </w:r>
      <w:r>
        <w:rPr>
          <w:color w:val="4D4D4F"/>
          <w:spacing w:val="13"/>
          <w:sz w:val="12"/>
        </w:rPr>
        <w:t xml:space="preserve"> </w:t>
      </w:r>
      <w:r>
        <w:rPr>
          <w:color w:val="4D4D4F"/>
          <w:spacing w:val="2"/>
          <w:sz w:val="12"/>
        </w:rPr>
        <w:t>2020,</w:t>
      </w:r>
      <w:r>
        <w:rPr>
          <w:color w:val="4D4D4F"/>
          <w:spacing w:val="14"/>
          <w:sz w:val="12"/>
        </w:rPr>
        <w:t xml:space="preserve"> </w:t>
      </w:r>
      <w:r>
        <w:rPr>
          <w:color w:val="4D4D4F"/>
          <w:sz w:val="12"/>
        </w:rPr>
        <w:t>‘Protecting</w:t>
      </w:r>
      <w:r>
        <w:rPr>
          <w:color w:val="4D4D4F"/>
          <w:spacing w:val="13"/>
          <w:sz w:val="12"/>
        </w:rPr>
        <w:t xml:space="preserve"> </w:t>
      </w:r>
      <w:r>
        <w:rPr>
          <w:color w:val="4D4D4F"/>
          <w:sz w:val="12"/>
        </w:rPr>
        <w:t>Critically</w:t>
      </w:r>
      <w:r>
        <w:rPr>
          <w:color w:val="4D4D4F"/>
          <w:spacing w:val="14"/>
          <w:sz w:val="12"/>
        </w:rPr>
        <w:t xml:space="preserve"> </w:t>
      </w:r>
      <w:r>
        <w:rPr>
          <w:color w:val="4D4D4F"/>
          <w:sz w:val="12"/>
        </w:rPr>
        <w:t>Endangered</w:t>
      </w:r>
      <w:r>
        <w:rPr>
          <w:color w:val="4D4D4F"/>
          <w:spacing w:val="13"/>
          <w:sz w:val="12"/>
        </w:rPr>
        <w:t xml:space="preserve"> </w:t>
      </w:r>
      <w:r>
        <w:rPr>
          <w:color w:val="4D4D4F"/>
          <w:sz w:val="12"/>
        </w:rPr>
        <w:t>Grasslands’,</w:t>
      </w:r>
      <w:r>
        <w:rPr>
          <w:color w:val="4D4D4F"/>
          <w:spacing w:val="14"/>
          <w:sz w:val="12"/>
        </w:rPr>
        <w:t xml:space="preserve"> </w:t>
      </w:r>
      <w:r>
        <w:rPr>
          <w:color w:val="4D4D4F"/>
          <w:sz w:val="12"/>
        </w:rPr>
        <w:t>Independent</w:t>
      </w:r>
      <w:r>
        <w:rPr>
          <w:color w:val="4D4D4F"/>
          <w:spacing w:val="14"/>
          <w:sz w:val="12"/>
        </w:rPr>
        <w:t xml:space="preserve"> </w:t>
      </w:r>
      <w:r>
        <w:rPr>
          <w:color w:val="4D4D4F"/>
          <w:sz w:val="12"/>
        </w:rPr>
        <w:t>assurance</w:t>
      </w:r>
      <w:r>
        <w:rPr>
          <w:color w:val="4D4D4F"/>
          <w:spacing w:val="13"/>
          <w:sz w:val="12"/>
        </w:rPr>
        <w:t xml:space="preserve"> </w:t>
      </w:r>
      <w:r>
        <w:rPr>
          <w:color w:val="4D4D4F"/>
          <w:spacing w:val="2"/>
          <w:sz w:val="12"/>
        </w:rPr>
        <w:t>report</w:t>
      </w:r>
      <w:r>
        <w:rPr>
          <w:color w:val="4D4D4F"/>
          <w:spacing w:val="14"/>
          <w:sz w:val="12"/>
        </w:rPr>
        <w:t xml:space="preserve"> </w:t>
      </w:r>
      <w:r>
        <w:rPr>
          <w:color w:val="4D4D4F"/>
          <w:sz w:val="12"/>
        </w:rPr>
        <w:t>to</w:t>
      </w:r>
      <w:r>
        <w:rPr>
          <w:color w:val="4D4D4F"/>
          <w:spacing w:val="13"/>
          <w:sz w:val="12"/>
        </w:rPr>
        <w:t xml:space="preserve"> </w:t>
      </w:r>
      <w:r>
        <w:rPr>
          <w:color w:val="4D4D4F"/>
          <w:sz w:val="12"/>
        </w:rPr>
        <w:t>Parliament</w:t>
      </w:r>
      <w:r>
        <w:rPr>
          <w:color w:val="4D4D4F"/>
          <w:spacing w:val="14"/>
          <w:sz w:val="12"/>
        </w:rPr>
        <w:t xml:space="preserve"> </w:t>
      </w:r>
      <w:r>
        <w:rPr>
          <w:color w:val="4D4D4F"/>
          <w:sz w:val="12"/>
        </w:rPr>
        <w:t>2019–20:</w:t>
      </w:r>
      <w:r>
        <w:rPr>
          <w:color w:val="4D4D4F"/>
          <w:spacing w:val="-6"/>
          <w:sz w:val="12"/>
        </w:rPr>
        <w:t xml:space="preserve"> </w:t>
      </w:r>
      <w:r>
        <w:rPr>
          <w:color w:val="4D4D4F"/>
          <w:sz w:val="12"/>
        </w:rPr>
        <w:t>9.</w:t>
      </w:r>
    </w:p>
    <w:p w14:paraId="0FA0458E" w14:textId="77777777" w:rsidR="00EF5B27" w:rsidRDefault="00000000">
      <w:pPr>
        <w:pStyle w:val="ListParagraph"/>
        <w:numPr>
          <w:ilvl w:val="0"/>
          <w:numId w:val="65"/>
        </w:numPr>
        <w:tabs>
          <w:tab w:val="left" w:pos="2836"/>
        </w:tabs>
        <w:spacing w:line="143" w:lineRule="exact"/>
        <w:jc w:val="left"/>
        <w:rPr>
          <w:sz w:val="12"/>
        </w:rPr>
      </w:pPr>
      <w:r>
        <w:rPr>
          <w:color w:val="4D4D4F"/>
          <w:sz w:val="12"/>
        </w:rPr>
        <w:t xml:space="preserve">VAGO </w:t>
      </w:r>
      <w:r>
        <w:rPr>
          <w:color w:val="4D4D4F"/>
          <w:spacing w:val="2"/>
          <w:sz w:val="12"/>
        </w:rPr>
        <w:t xml:space="preserve">2020, </w:t>
      </w:r>
      <w:r>
        <w:rPr>
          <w:color w:val="4D4D4F"/>
          <w:sz w:val="12"/>
        </w:rPr>
        <w:t xml:space="preserve">‘Protecting Critically Endangered Grasslands’, Independent assurance </w:t>
      </w:r>
      <w:r>
        <w:rPr>
          <w:color w:val="4D4D4F"/>
          <w:spacing w:val="2"/>
          <w:sz w:val="12"/>
        </w:rPr>
        <w:t xml:space="preserve">report </w:t>
      </w:r>
      <w:r>
        <w:rPr>
          <w:color w:val="4D4D4F"/>
          <w:sz w:val="12"/>
        </w:rPr>
        <w:t>to Parliament</w:t>
      </w:r>
      <w:r>
        <w:rPr>
          <w:color w:val="4D4D4F"/>
          <w:spacing w:val="9"/>
          <w:sz w:val="12"/>
        </w:rPr>
        <w:t xml:space="preserve"> </w:t>
      </w:r>
      <w:r>
        <w:rPr>
          <w:color w:val="4D4D4F"/>
          <w:sz w:val="12"/>
        </w:rPr>
        <w:t xml:space="preserve">2019–20: </w:t>
      </w:r>
      <w:r>
        <w:rPr>
          <w:color w:val="4D4D4F"/>
          <w:spacing w:val="2"/>
          <w:sz w:val="12"/>
        </w:rPr>
        <w:t>36.</w:t>
      </w:r>
    </w:p>
    <w:p w14:paraId="12991608" w14:textId="77777777" w:rsidR="00EF5B27" w:rsidRDefault="00EF5B27">
      <w:pPr>
        <w:spacing w:line="143" w:lineRule="exact"/>
        <w:rPr>
          <w:sz w:val="12"/>
        </w:rPr>
        <w:sectPr w:rsidR="00EF5B27">
          <w:type w:val="continuous"/>
          <w:pgSz w:w="11910" w:h="16840"/>
          <w:pgMar w:top="1140" w:right="1020" w:bottom="280" w:left="1020" w:header="720" w:footer="720" w:gutter="0"/>
          <w:cols w:space="720"/>
        </w:sectPr>
      </w:pPr>
    </w:p>
    <w:p w14:paraId="15EEE249" w14:textId="77777777" w:rsidR="00EF5B27" w:rsidRDefault="00000000">
      <w:pPr>
        <w:pStyle w:val="BodyText"/>
      </w:pPr>
      <w:r>
        <w:lastRenderedPageBreak/>
        <w:pict w14:anchorId="51414169">
          <v:group id="_x0000_s4172" style="position:absolute;margin-left:587.05pt;margin-top:183.4pt;width:8.25pt;height:153.1pt;z-index:251427328;mso-position-horizontal-relative:page;mso-position-vertical-relative:page" coordorigin="11741,3668" coordsize="165,3062">
            <v:shape id="_x0000_s4179" style="position:absolute;left:11741;top:3668;width:165;height:561" coordorigin="11741,3668" coordsize="165,561" path="m11906,3668r-165,l11741,4228r165,-18l11906,3668xe" fillcolor="#00aed9" stroked="f">
              <v:path arrowok="t"/>
            </v:shape>
            <v:shape id="_x0000_s4178" style="position:absolute;left:11741;top:4118;width:165;height:425" coordorigin="11741,4118" coordsize="165,425" path="m11906,4118r-165,14l11741,4531r165,12l11906,4118xe" fillcolor="#047ebc" stroked="f">
              <v:path arrowok="t"/>
            </v:shape>
            <v:shape id="_x0000_s4177" type="#_x0000_t75" style="position:absolute;left:11741;top:4355;width:165;height:587">
              <v:imagedata r:id="rId42" o:title=""/>
            </v:shape>
            <v:shape id="_x0000_s4176" style="position:absolute;left:11741;top:5343;width:165;height:536" coordorigin="11741,5343" coordsize="165,536" path="m11741,5343r,535l11906,5872r,-525l11741,5343xe" fillcolor="#f36a2e" stroked="f">
              <v:path arrowok="t"/>
            </v:shape>
            <v:shape id="_x0000_s4175" style="position:absolute;left:11741;top:4925;width:165;height:501" coordorigin="11741,4926" coordsize="165,501" path="m11741,4926r,500l11906,5426r,-485l11741,4926xe" fillcolor="#49783f" stroked="f">
              <v:path arrowok="t"/>
            </v:shape>
            <v:shape id="_x0000_s4174" style="position:absolute;left:11741;top:5781;width:165;height:268" coordorigin="11741,5782" coordsize="165,268" path="m11906,5782r-165,8l11741,6039r165,10l11906,5782xe" fillcolor="#f99f2a" stroked="f">
              <v:path arrowok="t"/>
            </v:shape>
            <v:shape id="_x0000_s4173" style="position:absolute;left:11741;top:6023;width:165;height:707" coordorigin="11741,6023" coordsize="165,707" path="m11741,6023r,706l11906,6729r,-690l11741,6023xe" fillcolor="#ef412c" stroked="f">
              <v:path arrowok="t"/>
            </v:shape>
            <w10:wrap anchorx="page" anchory="page"/>
          </v:group>
        </w:pict>
      </w:r>
    </w:p>
    <w:p w14:paraId="086BD8E6" w14:textId="77777777" w:rsidR="00EF5B27" w:rsidRDefault="00EF5B27">
      <w:pPr>
        <w:pStyle w:val="BodyText"/>
      </w:pPr>
    </w:p>
    <w:p w14:paraId="2C6CA2E2" w14:textId="77777777" w:rsidR="00EF5B27" w:rsidRDefault="00EF5B27">
      <w:pPr>
        <w:pStyle w:val="BodyText"/>
      </w:pPr>
    </w:p>
    <w:p w14:paraId="5EB17BD6" w14:textId="77777777" w:rsidR="00EF5B27" w:rsidRDefault="00EF5B27">
      <w:pPr>
        <w:pStyle w:val="BodyText"/>
      </w:pPr>
    </w:p>
    <w:p w14:paraId="59E8A25F" w14:textId="77777777" w:rsidR="00EF5B27" w:rsidRDefault="00EF5B27">
      <w:pPr>
        <w:pStyle w:val="BodyText"/>
      </w:pPr>
    </w:p>
    <w:p w14:paraId="4CAA0A5A" w14:textId="77777777" w:rsidR="00EF5B27" w:rsidRDefault="00EF5B27">
      <w:pPr>
        <w:pStyle w:val="BodyText"/>
      </w:pPr>
    </w:p>
    <w:p w14:paraId="325BF17E" w14:textId="77777777" w:rsidR="00EF5B27" w:rsidRDefault="00EF5B27">
      <w:pPr>
        <w:pStyle w:val="BodyText"/>
      </w:pPr>
    </w:p>
    <w:p w14:paraId="0C4C3D9A" w14:textId="77777777" w:rsidR="00EF5B27" w:rsidRDefault="00EF5B27">
      <w:pPr>
        <w:pStyle w:val="BodyText"/>
      </w:pPr>
    </w:p>
    <w:p w14:paraId="63E3F3B7" w14:textId="77777777" w:rsidR="00EF5B27" w:rsidRDefault="00EF5B27">
      <w:pPr>
        <w:pStyle w:val="BodyText"/>
      </w:pPr>
    </w:p>
    <w:p w14:paraId="3B09AB37" w14:textId="77777777" w:rsidR="00EF5B27" w:rsidRDefault="00EF5B27">
      <w:pPr>
        <w:pStyle w:val="BodyText"/>
        <w:spacing w:before="2"/>
        <w:rPr>
          <w:sz w:val="19"/>
        </w:rPr>
      </w:pPr>
    </w:p>
    <w:p w14:paraId="7CFA40DB" w14:textId="77777777" w:rsidR="00EF5B27" w:rsidRDefault="00000000">
      <w:pPr>
        <w:pStyle w:val="Heading6"/>
        <w:spacing w:before="111"/>
      </w:pPr>
      <w:r>
        <w:rPr>
          <w:color w:val="4D4D4F"/>
        </w:rPr>
        <w:t>Interim management</w:t>
      </w:r>
    </w:p>
    <w:p w14:paraId="279716A2" w14:textId="77777777" w:rsidR="00EF5B27" w:rsidRDefault="00000000">
      <w:pPr>
        <w:pStyle w:val="BodyText"/>
        <w:spacing w:before="129" w:line="254" w:lineRule="auto"/>
        <w:ind w:left="2608" w:right="465"/>
      </w:pPr>
      <w:r>
        <w:rPr>
          <w:color w:val="4D4D4F"/>
        </w:rPr>
        <w:t>A land acquisition strategy – with a focus on optimising outcomes for MNES – must also include a condition assessment and the identification of interim management to</w:t>
      </w:r>
      <w:r>
        <w:rPr>
          <w:color w:val="4D4D4F"/>
          <w:spacing w:val="6"/>
        </w:rPr>
        <w:t xml:space="preserve"> </w:t>
      </w:r>
      <w:r>
        <w:rPr>
          <w:color w:val="4D4D4F"/>
        </w:rPr>
        <w:t>support</w:t>
      </w:r>
      <w:r>
        <w:rPr>
          <w:color w:val="4D4D4F"/>
          <w:spacing w:val="6"/>
        </w:rPr>
        <w:t xml:space="preserve"> </w:t>
      </w:r>
      <w:r>
        <w:rPr>
          <w:color w:val="4D4D4F"/>
        </w:rPr>
        <w:t>outcomes</w:t>
      </w:r>
      <w:r>
        <w:rPr>
          <w:color w:val="4D4D4F"/>
          <w:spacing w:val="6"/>
        </w:rPr>
        <w:t xml:space="preserve"> </w:t>
      </w:r>
      <w:r>
        <w:rPr>
          <w:color w:val="4D4D4F"/>
        </w:rPr>
        <w:t>for</w:t>
      </w:r>
      <w:r>
        <w:rPr>
          <w:color w:val="4D4D4F"/>
          <w:spacing w:val="6"/>
        </w:rPr>
        <w:t xml:space="preserve"> </w:t>
      </w:r>
      <w:r>
        <w:rPr>
          <w:color w:val="4D4D4F"/>
        </w:rPr>
        <w:t>MNES</w:t>
      </w:r>
      <w:r>
        <w:rPr>
          <w:color w:val="4D4D4F"/>
          <w:spacing w:val="6"/>
        </w:rPr>
        <w:t xml:space="preserve"> </w:t>
      </w:r>
      <w:r>
        <w:rPr>
          <w:color w:val="4D4D4F"/>
        </w:rPr>
        <w:t>in</w:t>
      </w:r>
      <w:r>
        <w:rPr>
          <w:color w:val="4D4D4F"/>
          <w:spacing w:val="6"/>
        </w:rPr>
        <w:t xml:space="preserve"> </w:t>
      </w:r>
      <w:r>
        <w:rPr>
          <w:color w:val="4D4D4F"/>
        </w:rPr>
        <w:t>priority</w:t>
      </w:r>
      <w:r>
        <w:rPr>
          <w:color w:val="4D4D4F"/>
          <w:spacing w:val="6"/>
        </w:rPr>
        <w:t xml:space="preserve"> </w:t>
      </w:r>
      <w:r>
        <w:rPr>
          <w:color w:val="4D4D4F"/>
        </w:rPr>
        <w:t>areas</w:t>
      </w:r>
      <w:r>
        <w:rPr>
          <w:color w:val="4D4D4F"/>
          <w:spacing w:val="6"/>
        </w:rPr>
        <w:t xml:space="preserve"> </w:t>
      </w:r>
      <w:r>
        <w:rPr>
          <w:color w:val="4D4D4F"/>
        </w:rPr>
        <w:t>where</w:t>
      </w:r>
      <w:r>
        <w:rPr>
          <w:color w:val="4D4D4F"/>
          <w:spacing w:val="6"/>
        </w:rPr>
        <w:t xml:space="preserve"> </w:t>
      </w:r>
      <w:r>
        <w:rPr>
          <w:color w:val="4D4D4F"/>
        </w:rPr>
        <w:t>delays</w:t>
      </w:r>
      <w:r>
        <w:rPr>
          <w:color w:val="4D4D4F"/>
          <w:spacing w:val="6"/>
        </w:rPr>
        <w:t xml:space="preserve"> </w:t>
      </w:r>
      <w:r>
        <w:rPr>
          <w:color w:val="4D4D4F"/>
        </w:rPr>
        <w:t>in</w:t>
      </w:r>
      <w:r>
        <w:rPr>
          <w:color w:val="4D4D4F"/>
          <w:spacing w:val="6"/>
        </w:rPr>
        <w:t xml:space="preserve"> </w:t>
      </w:r>
      <w:r>
        <w:rPr>
          <w:color w:val="4D4D4F"/>
        </w:rPr>
        <w:t>acquisition</w:t>
      </w:r>
      <w:r>
        <w:rPr>
          <w:color w:val="4D4D4F"/>
          <w:spacing w:val="6"/>
        </w:rPr>
        <w:t xml:space="preserve"> </w:t>
      </w:r>
      <w:r>
        <w:rPr>
          <w:color w:val="4D4D4F"/>
        </w:rPr>
        <w:t>have</w:t>
      </w:r>
    </w:p>
    <w:p w14:paraId="6A4C0F1A" w14:textId="77777777" w:rsidR="00EF5B27" w:rsidRDefault="00000000">
      <w:pPr>
        <w:pStyle w:val="BodyText"/>
        <w:spacing w:before="4" w:line="254" w:lineRule="auto"/>
        <w:ind w:left="2608" w:right="151"/>
      </w:pPr>
      <w:r>
        <w:rPr>
          <w:color w:val="4D4D4F"/>
        </w:rPr>
        <w:t>occurred and/or are likely to occur. The lack of existing data to evaluate the MSA KPIs and management effectiveness largely reflects the fact that MSA land protection commenced in 2013 and acquisitions have been slower than expected over time.</w:t>
      </w:r>
    </w:p>
    <w:p w14:paraId="02EC58E0" w14:textId="77777777" w:rsidR="00EF5B27" w:rsidRDefault="00000000">
      <w:pPr>
        <w:pStyle w:val="BodyText"/>
        <w:spacing w:before="117" w:line="254" w:lineRule="auto"/>
        <w:ind w:left="2608"/>
        <w:rPr>
          <w:sz w:val="11"/>
        </w:rPr>
      </w:pPr>
      <w:r>
        <w:rPr>
          <w:color w:val="4D4D4F"/>
        </w:rPr>
        <w:t xml:space="preserve">This strategy would enable DELWP to identify and implement risk-based actions that prioritise urgent protection of MNES most immediately under threat and optimise outcomes for MNES across the landscape more broadly, including improved interim management in privately held areas where the risk of degradation is high (see VAGO Recommendations 1-4, in </w:t>
      </w:r>
      <w:r>
        <w:rPr>
          <w:rFonts w:ascii="Arial Narrow"/>
          <w:i/>
          <w:color w:val="4D4D4F"/>
        </w:rPr>
        <w:t xml:space="preserve">Protecting Critically Endangered Grasslands </w:t>
      </w:r>
      <w:r>
        <w:rPr>
          <w:color w:val="4D4D4F"/>
        </w:rPr>
        <w:t>Report 2020).</w:t>
      </w:r>
      <w:r>
        <w:rPr>
          <w:color w:val="4D4D4F"/>
          <w:position w:val="7"/>
          <w:sz w:val="11"/>
        </w:rPr>
        <w:t>47</w:t>
      </w:r>
    </w:p>
    <w:p w14:paraId="401A4997" w14:textId="77777777" w:rsidR="00EF5B27" w:rsidRDefault="00000000">
      <w:pPr>
        <w:pStyle w:val="BodyText"/>
        <w:spacing w:before="9"/>
        <w:rPr>
          <w:sz w:val="29"/>
        </w:rPr>
      </w:pPr>
      <w:r>
        <w:rPr>
          <w:noProof/>
        </w:rPr>
        <w:drawing>
          <wp:anchor distT="0" distB="0" distL="0" distR="0" simplePos="0" relativeHeight="251288064" behindDoc="0" locked="0" layoutInCell="1" allowOverlap="1" wp14:anchorId="4F774BDC" wp14:editId="2EA61449">
            <wp:simplePos x="0" y="0"/>
            <wp:positionH relativeFrom="page">
              <wp:posOffset>2304008</wp:posOffset>
            </wp:positionH>
            <wp:positionV relativeFrom="paragraph">
              <wp:posOffset>255284</wp:posOffset>
            </wp:positionV>
            <wp:extent cx="4540836" cy="2980944"/>
            <wp:effectExtent l="0" t="0" r="0" b="0"/>
            <wp:wrapTopAndBottom/>
            <wp:docPr id="63"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2.jpeg"/>
                    <pic:cNvPicPr/>
                  </pic:nvPicPr>
                  <pic:blipFill>
                    <a:blip r:embed="rId73" cstate="print"/>
                    <a:stretch>
                      <a:fillRect/>
                    </a:stretch>
                  </pic:blipFill>
                  <pic:spPr>
                    <a:xfrm>
                      <a:off x="0" y="0"/>
                      <a:ext cx="4540836" cy="2980944"/>
                    </a:xfrm>
                    <a:prstGeom prst="rect">
                      <a:avLst/>
                    </a:prstGeom>
                  </pic:spPr>
                </pic:pic>
              </a:graphicData>
            </a:graphic>
          </wp:anchor>
        </w:drawing>
      </w:r>
    </w:p>
    <w:p w14:paraId="4B85F2E2" w14:textId="77777777" w:rsidR="00EF5B27" w:rsidRDefault="00000000">
      <w:pPr>
        <w:tabs>
          <w:tab w:val="left" w:pos="8528"/>
        </w:tabs>
        <w:spacing w:before="108"/>
        <w:ind w:left="2608"/>
        <w:rPr>
          <w:rFonts w:ascii="Century Gothic"/>
          <w:i/>
          <w:sz w:val="12"/>
        </w:rPr>
      </w:pPr>
      <w:r>
        <w:rPr>
          <w:color w:val="4D4D4F"/>
          <w:spacing w:val="2"/>
          <w:sz w:val="16"/>
        </w:rPr>
        <w:t>Correa</w:t>
      </w:r>
      <w:r>
        <w:rPr>
          <w:color w:val="4D4D4F"/>
          <w:spacing w:val="10"/>
          <w:sz w:val="16"/>
        </w:rPr>
        <w:t xml:space="preserve"> </w:t>
      </w:r>
      <w:r>
        <w:rPr>
          <w:color w:val="4D4D4F"/>
          <w:sz w:val="16"/>
        </w:rPr>
        <w:t>-</w:t>
      </w:r>
      <w:r>
        <w:rPr>
          <w:color w:val="4D4D4F"/>
          <w:spacing w:val="10"/>
          <w:sz w:val="16"/>
        </w:rPr>
        <w:t xml:space="preserve"> </w:t>
      </w:r>
      <w:r>
        <w:rPr>
          <w:color w:val="4D4D4F"/>
          <w:sz w:val="16"/>
        </w:rPr>
        <w:t>Glengowrie</w:t>
      </w:r>
      <w:r>
        <w:rPr>
          <w:color w:val="4D4D4F"/>
          <w:sz w:val="16"/>
        </w:rPr>
        <w:tab/>
      </w:r>
      <w:r>
        <w:rPr>
          <w:rFonts w:ascii="Century Gothic"/>
          <w:i/>
          <w:color w:val="4D4D4F"/>
          <w:w w:val="95"/>
          <w:sz w:val="12"/>
        </w:rPr>
        <w:t>Source:</w:t>
      </w:r>
      <w:r>
        <w:rPr>
          <w:rFonts w:ascii="Century Gothic"/>
          <w:i/>
          <w:color w:val="4D4D4F"/>
          <w:spacing w:val="-20"/>
          <w:w w:val="95"/>
          <w:sz w:val="12"/>
        </w:rPr>
        <w:t xml:space="preserve"> </w:t>
      </w:r>
      <w:r>
        <w:rPr>
          <w:rFonts w:ascii="Century Gothic"/>
          <w:i/>
          <w:color w:val="4D4D4F"/>
          <w:w w:val="95"/>
          <w:sz w:val="12"/>
        </w:rPr>
        <w:t>Marcia</w:t>
      </w:r>
      <w:r>
        <w:rPr>
          <w:rFonts w:ascii="Century Gothic"/>
          <w:i/>
          <w:color w:val="4D4D4F"/>
          <w:spacing w:val="-20"/>
          <w:w w:val="95"/>
          <w:sz w:val="12"/>
        </w:rPr>
        <w:t xml:space="preserve"> </w:t>
      </w:r>
      <w:r>
        <w:rPr>
          <w:rFonts w:ascii="Century Gothic"/>
          <w:i/>
          <w:color w:val="4D4D4F"/>
          <w:w w:val="95"/>
          <w:sz w:val="12"/>
        </w:rPr>
        <w:t>Riederer</w:t>
      </w:r>
    </w:p>
    <w:p w14:paraId="6CC3AE74" w14:textId="77777777" w:rsidR="00EF5B27" w:rsidRDefault="00EF5B27">
      <w:pPr>
        <w:pStyle w:val="BodyText"/>
        <w:rPr>
          <w:rFonts w:ascii="Century Gothic"/>
          <w:i/>
        </w:rPr>
      </w:pPr>
    </w:p>
    <w:p w14:paraId="2A0876A0" w14:textId="77777777" w:rsidR="00EF5B27" w:rsidRDefault="00EF5B27">
      <w:pPr>
        <w:pStyle w:val="BodyText"/>
        <w:rPr>
          <w:rFonts w:ascii="Century Gothic"/>
          <w:i/>
        </w:rPr>
      </w:pPr>
    </w:p>
    <w:p w14:paraId="21BBB3EA" w14:textId="77777777" w:rsidR="00EF5B27" w:rsidRDefault="00EF5B27">
      <w:pPr>
        <w:pStyle w:val="BodyText"/>
        <w:rPr>
          <w:rFonts w:ascii="Century Gothic"/>
          <w:i/>
        </w:rPr>
      </w:pPr>
    </w:p>
    <w:p w14:paraId="38F1DF0A" w14:textId="77777777" w:rsidR="00EF5B27" w:rsidRDefault="00EF5B27">
      <w:pPr>
        <w:pStyle w:val="BodyText"/>
        <w:rPr>
          <w:rFonts w:ascii="Century Gothic"/>
          <w:i/>
        </w:rPr>
      </w:pPr>
    </w:p>
    <w:p w14:paraId="320663F7" w14:textId="77777777" w:rsidR="00EF5B27" w:rsidRDefault="00EF5B27">
      <w:pPr>
        <w:pStyle w:val="BodyText"/>
        <w:rPr>
          <w:rFonts w:ascii="Century Gothic"/>
          <w:i/>
        </w:rPr>
      </w:pPr>
    </w:p>
    <w:p w14:paraId="3A35D2B2" w14:textId="77777777" w:rsidR="00EF5B27" w:rsidRDefault="00EF5B27">
      <w:pPr>
        <w:pStyle w:val="BodyText"/>
        <w:rPr>
          <w:rFonts w:ascii="Century Gothic"/>
          <w:i/>
        </w:rPr>
      </w:pPr>
    </w:p>
    <w:p w14:paraId="3DE0D9F2" w14:textId="77777777" w:rsidR="00EF5B27" w:rsidRDefault="00EF5B27">
      <w:pPr>
        <w:pStyle w:val="BodyText"/>
        <w:rPr>
          <w:rFonts w:ascii="Century Gothic"/>
          <w:i/>
        </w:rPr>
      </w:pPr>
    </w:p>
    <w:p w14:paraId="7615E63D" w14:textId="77777777" w:rsidR="00EF5B27" w:rsidRDefault="00EF5B27">
      <w:pPr>
        <w:pStyle w:val="BodyText"/>
        <w:rPr>
          <w:rFonts w:ascii="Century Gothic"/>
          <w:i/>
        </w:rPr>
      </w:pPr>
    </w:p>
    <w:p w14:paraId="412E9D62" w14:textId="77777777" w:rsidR="00EF5B27" w:rsidRDefault="00EF5B27">
      <w:pPr>
        <w:pStyle w:val="BodyText"/>
        <w:rPr>
          <w:rFonts w:ascii="Century Gothic"/>
          <w:i/>
        </w:rPr>
      </w:pPr>
    </w:p>
    <w:p w14:paraId="34588FBF" w14:textId="77777777" w:rsidR="00EF5B27" w:rsidRDefault="00000000">
      <w:pPr>
        <w:pStyle w:val="BodyText"/>
        <w:rPr>
          <w:rFonts w:ascii="Century Gothic"/>
          <w:i/>
        </w:rPr>
      </w:pPr>
      <w:r>
        <w:pict w14:anchorId="3464F46F">
          <v:line id="_x0000_s4171" style="position:absolute;z-index:251361792;mso-wrap-distance-left:0;mso-wrap-distance-right:0;mso-position-horizontal-relative:page" from="181.4pt,14.5pt" to="538.6pt,14.5pt" strokecolor="#4d4d4f" strokeweight=".5pt">
            <w10:wrap type="topAndBottom" anchorx="page"/>
          </v:line>
        </w:pict>
      </w:r>
    </w:p>
    <w:p w14:paraId="448F4F61" w14:textId="77777777" w:rsidR="00EF5B27" w:rsidRDefault="00000000">
      <w:pPr>
        <w:pStyle w:val="ListParagraph"/>
        <w:numPr>
          <w:ilvl w:val="0"/>
          <w:numId w:val="65"/>
        </w:numPr>
        <w:tabs>
          <w:tab w:val="left" w:pos="2836"/>
        </w:tabs>
        <w:spacing w:before="83"/>
        <w:jc w:val="left"/>
        <w:rPr>
          <w:sz w:val="12"/>
        </w:rPr>
      </w:pPr>
      <w:r>
        <w:rPr>
          <w:color w:val="4D4D4F"/>
          <w:sz w:val="12"/>
        </w:rPr>
        <w:t>VAGO</w:t>
      </w:r>
      <w:r>
        <w:rPr>
          <w:color w:val="4D4D4F"/>
          <w:spacing w:val="-3"/>
          <w:sz w:val="12"/>
        </w:rPr>
        <w:t xml:space="preserve"> </w:t>
      </w:r>
      <w:r>
        <w:rPr>
          <w:color w:val="4D4D4F"/>
          <w:sz w:val="12"/>
        </w:rPr>
        <w:t>2020,</w:t>
      </w:r>
      <w:r>
        <w:rPr>
          <w:color w:val="4D4D4F"/>
          <w:spacing w:val="-3"/>
          <w:sz w:val="12"/>
        </w:rPr>
        <w:t xml:space="preserve"> </w:t>
      </w:r>
      <w:r>
        <w:rPr>
          <w:color w:val="4D4D4F"/>
          <w:sz w:val="12"/>
        </w:rPr>
        <w:t>Recommendation</w:t>
      </w:r>
      <w:r>
        <w:rPr>
          <w:color w:val="4D4D4F"/>
          <w:spacing w:val="-3"/>
          <w:sz w:val="12"/>
        </w:rPr>
        <w:t xml:space="preserve"> </w:t>
      </w:r>
      <w:r>
        <w:rPr>
          <w:color w:val="4D4D4F"/>
          <w:sz w:val="12"/>
        </w:rPr>
        <w:t>1-4</w:t>
      </w:r>
      <w:r>
        <w:rPr>
          <w:color w:val="4D4D4F"/>
          <w:spacing w:val="-2"/>
          <w:sz w:val="12"/>
        </w:rPr>
        <w:t xml:space="preserve"> </w:t>
      </w:r>
      <w:r>
        <w:rPr>
          <w:color w:val="4D4D4F"/>
          <w:sz w:val="12"/>
        </w:rPr>
        <w:t>in</w:t>
      </w:r>
      <w:r>
        <w:rPr>
          <w:color w:val="4D4D4F"/>
          <w:spacing w:val="-3"/>
          <w:sz w:val="12"/>
        </w:rPr>
        <w:t xml:space="preserve"> </w:t>
      </w:r>
      <w:r>
        <w:rPr>
          <w:color w:val="4D4D4F"/>
          <w:sz w:val="12"/>
        </w:rPr>
        <w:t>‘Protecting</w:t>
      </w:r>
      <w:r>
        <w:rPr>
          <w:color w:val="4D4D4F"/>
          <w:spacing w:val="-3"/>
          <w:sz w:val="12"/>
        </w:rPr>
        <w:t xml:space="preserve"> </w:t>
      </w:r>
      <w:r>
        <w:rPr>
          <w:color w:val="4D4D4F"/>
          <w:sz w:val="12"/>
        </w:rPr>
        <w:t>Critically</w:t>
      </w:r>
      <w:r>
        <w:rPr>
          <w:color w:val="4D4D4F"/>
          <w:spacing w:val="-3"/>
          <w:sz w:val="12"/>
        </w:rPr>
        <w:t xml:space="preserve"> </w:t>
      </w:r>
      <w:r>
        <w:rPr>
          <w:color w:val="4D4D4F"/>
          <w:sz w:val="12"/>
        </w:rPr>
        <w:t>Endangered</w:t>
      </w:r>
      <w:r>
        <w:rPr>
          <w:color w:val="4D4D4F"/>
          <w:spacing w:val="-2"/>
          <w:sz w:val="12"/>
        </w:rPr>
        <w:t xml:space="preserve"> </w:t>
      </w:r>
      <w:r>
        <w:rPr>
          <w:color w:val="4D4D4F"/>
          <w:sz w:val="12"/>
        </w:rPr>
        <w:t>Grasslands’,</w:t>
      </w:r>
      <w:r>
        <w:rPr>
          <w:color w:val="4D4D4F"/>
          <w:spacing w:val="-3"/>
          <w:sz w:val="12"/>
        </w:rPr>
        <w:t xml:space="preserve"> </w:t>
      </w:r>
      <w:r>
        <w:rPr>
          <w:color w:val="4D4D4F"/>
          <w:sz w:val="12"/>
        </w:rPr>
        <w:t>Independent</w:t>
      </w:r>
      <w:r>
        <w:rPr>
          <w:color w:val="4D4D4F"/>
          <w:spacing w:val="-3"/>
          <w:sz w:val="12"/>
        </w:rPr>
        <w:t xml:space="preserve"> </w:t>
      </w:r>
      <w:r>
        <w:rPr>
          <w:color w:val="4D4D4F"/>
          <w:sz w:val="12"/>
        </w:rPr>
        <w:t>assurance</w:t>
      </w:r>
      <w:r>
        <w:rPr>
          <w:color w:val="4D4D4F"/>
          <w:spacing w:val="-2"/>
          <w:sz w:val="12"/>
        </w:rPr>
        <w:t xml:space="preserve"> </w:t>
      </w:r>
      <w:r>
        <w:rPr>
          <w:color w:val="4D4D4F"/>
          <w:sz w:val="12"/>
        </w:rPr>
        <w:t>report</w:t>
      </w:r>
      <w:r>
        <w:rPr>
          <w:color w:val="4D4D4F"/>
          <w:spacing w:val="-3"/>
          <w:sz w:val="12"/>
        </w:rPr>
        <w:t xml:space="preserve"> </w:t>
      </w:r>
      <w:r>
        <w:rPr>
          <w:color w:val="4D4D4F"/>
          <w:sz w:val="12"/>
        </w:rPr>
        <w:t>to</w:t>
      </w:r>
      <w:r>
        <w:rPr>
          <w:color w:val="4D4D4F"/>
          <w:spacing w:val="-3"/>
          <w:sz w:val="12"/>
        </w:rPr>
        <w:t xml:space="preserve"> </w:t>
      </w:r>
      <w:r>
        <w:rPr>
          <w:color w:val="4D4D4F"/>
          <w:sz w:val="12"/>
        </w:rPr>
        <w:t>Parliament</w:t>
      </w:r>
      <w:r>
        <w:rPr>
          <w:color w:val="4D4D4F"/>
          <w:spacing w:val="-3"/>
          <w:sz w:val="12"/>
        </w:rPr>
        <w:t xml:space="preserve"> </w:t>
      </w:r>
      <w:r>
        <w:rPr>
          <w:color w:val="4D4D4F"/>
          <w:sz w:val="12"/>
        </w:rPr>
        <w:t>2019–20:</w:t>
      </w:r>
      <w:r>
        <w:rPr>
          <w:color w:val="4D4D4F"/>
          <w:spacing w:val="-12"/>
          <w:sz w:val="12"/>
        </w:rPr>
        <w:t xml:space="preserve"> </w:t>
      </w:r>
      <w:r>
        <w:rPr>
          <w:color w:val="4D4D4F"/>
          <w:sz w:val="12"/>
        </w:rPr>
        <w:t>16.</w:t>
      </w:r>
    </w:p>
    <w:p w14:paraId="48E51088" w14:textId="77777777" w:rsidR="00EF5B27" w:rsidRDefault="00EF5B27">
      <w:pPr>
        <w:rPr>
          <w:sz w:val="12"/>
        </w:rPr>
        <w:sectPr w:rsidR="00EF5B27">
          <w:pgSz w:w="11910" w:h="16840"/>
          <w:pgMar w:top="1080" w:right="1020" w:bottom="860" w:left="1020" w:header="537" w:footer="678" w:gutter="0"/>
          <w:cols w:space="720"/>
        </w:sectPr>
      </w:pPr>
    </w:p>
    <w:p w14:paraId="16B81883" w14:textId="77777777" w:rsidR="00EF5B27" w:rsidRDefault="00EF5B27">
      <w:pPr>
        <w:pStyle w:val="BodyText"/>
      </w:pPr>
    </w:p>
    <w:p w14:paraId="2F910AAB" w14:textId="77777777" w:rsidR="00EF5B27" w:rsidRDefault="00EF5B27">
      <w:pPr>
        <w:pStyle w:val="BodyText"/>
      </w:pPr>
    </w:p>
    <w:p w14:paraId="6A531AFC" w14:textId="77777777" w:rsidR="00EF5B27" w:rsidRDefault="00EF5B27">
      <w:pPr>
        <w:pStyle w:val="BodyText"/>
      </w:pPr>
    </w:p>
    <w:p w14:paraId="113F1FB9" w14:textId="77777777" w:rsidR="00EF5B27" w:rsidRDefault="00EF5B27">
      <w:pPr>
        <w:pStyle w:val="BodyText"/>
        <w:spacing w:before="8"/>
      </w:pPr>
    </w:p>
    <w:p w14:paraId="3DB0BE72" w14:textId="77777777" w:rsidR="00EF5B27" w:rsidRDefault="00000000">
      <w:pPr>
        <w:pStyle w:val="Heading2"/>
      </w:pPr>
      <w:bookmarkStart w:id="12" w:name="_bookmark11"/>
      <w:bookmarkEnd w:id="12"/>
      <w:r>
        <w:rPr>
          <w:color w:val="F99F2A"/>
        </w:rPr>
        <w:t>MNES Conservation Outcomes</w:t>
      </w:r>
    </w:p>
    <w:p w14:paraId="4086E4C5" w14:textId="77777777" w:rsidR="00EF5B27" w:rsidRDefault="00EF5B27">
      <w:pPr>
        <w:pStyle w:val="BodyText"/>
        <w:rPr>
          <w:b/>
        </w:rPr>
      </w:pPr>
    </w:p>
    <w:p w14:paraId="12032CBD" w14:textId="77777777" w:rsidR="00EF5B27" w:rsidRDefault="00EF5B27">
      <w:pPr>
        <w:pStyle w:val="BodyText"/>
        <w:rPr>
          <w:b/>
        </w:rPr>
      </w:pPr>
    </w:p>
    <w:p w14:paraId="1ED819F7" w14:textId="77777777" w:rsidR="00EF5B27" w:rsidRDefault="00EF5B27">
      <w:pPr>
        <w:pStyle w:val="BodyText"/>
        <w:spacing w:before="5"/>
        <w:rPr>
          <w:b/>
          <w:sz w:val="28"/>
        </w:rPr>
      </w:pPr>
    </w:p>
    <w:p w14:paraId="6368E142" w14:textId="77777777" w:rsidR="00EF5B27" w:rsidRDefault="00EF5B27">
      <w:pPr>
        <w:rPr>
          <w:sz w:val="28"/>
        </w:rPr>
        <w:sectPr w:rsidR="00EF5B27">
          <w:pgSz w:w="11910" w:h="16840"/>
          <w:pgMar w:top="1080" w:right="1020" w:bottom="860" w:left="1020" w:header="537" w:footer="678" w:gutter="0"/>
          <w:cols w:space="720"/>
        </w:sectPr>
      </w:pPr>
    </w:p>
    <w:p w14:paraId="49969A96" w14:textId="77777777" w:rsidR="00EF5B27" w:rsidRDefault="00EF5B27">
      <w:pPr>
        <w:pStyle w:val="BodyText"/>
        <w:rPr>
          <w:b/>
        </w:rPr>
      </w:pPr>
    </w:p>
    <w:p w14:paraId="31B53EC4" w14:textId="77777777" w:rsidR="00EF5B27" w:rsidRDefault="00EF5B27">
      <w:pPr>
        <w:pStyle w:val="BodyText"/>
        <w:rPr>
          <w:b/>
        </w:rPr>
      </w:pPr>
    </w:p>
    <w:p w14:paraId="1135A99E" w14:textId="77777777" w:rsidR="00EF5B27" w:rsidRDefault="00EF5B27">
      <w:pPr>
        <w:pStyle w:val="BodyText"/>
        <w:rPr>
          <w:b/>
        </w:rPr>
      </w:pPr>
    </w:p>
    <w:p w14:paraId="52B8BFA8" w14:textId="77777777" w:rsidR="00EF5B27" w:rsidRDefault="00EF5B27">
      <w:pPr>
        <w:pStyle w:val="BodyText"/>
        <w:spacing w:before="2" w:after="1"/>
        <w:rPr>
          <w:b/>
          <w:sz w:val="16"/>
        </w:rPr>
      </w:pPr>
    </w:p>
    <w:p w14:paraId="149D5EC9" w14:textId="77777777" w:rsidR="00EF5B27" w:rsidRDefault="00000000">
      <w:pPr>
        <w:pStyle w:val="BodyText"/>
        <w:ind w:left="120" w:right="-15"/>
      </w:pPr>
      <w:r>
        <w:rPr>
          <w:noProof/>
        </w:rPr>
        <w:drawing>
          <wp:inline distT="0" distB="0" distL="0" distR="0" wp14:anchorId="20021DD8" wp14:editId="0C3FA0F1">
            <wp:extent cx="1371600" cy="1371600"/>
            <wp:effectExtent l="0" t="0" r="0" b="0"/>
            <wp:docPr id="65"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3.jpeg"/>
                    <pic:cNvPicPr/>
                  </pic:nvPicPr>
                  <pic:blipFill>
                    <a:blip r:embed="rId74" cstate="print"/>
                    <a:stretch>
                      <a:fillRect/>
                    </a:stretch>
                  </pic:blipFill>
                  <pic:spPr>
                    <a:xfrm>
                      <a:off x="0" y="0"/>
                      <a:ext cx="1371600" cy="1371600"/>
                    </a:xfrm>
                    <a:prstGeom prst="rect">
                      <a:avLst/>
                    </a:prstGeom>
                  </pic:spPr>
                </pic:pic>
              </a:graphicData>
            </a:graphic>
          </wp:inline>
        </w:drawing>
      </w:r>
    </w:p>
    <w:p w14:paraId="7449F4D2" w14:textId="77777777" w:rsidR="00EF5B27" w:rsidRDefault="00000000">
      <w:pPr>
        <w:spacing w:before="80"/>
        <w:ind w:left="113"/>
        <w:rPr>
          <w:rFonts w:ascii="Century Gothic"/>
          <w:i/>
          <w:sz w:val="12"/>
        </w:rPr>
      </w:pPr>
      <w:r>
        <w:rPr>
          <w:rFonts w:ascii="Century Gothic"/>
          <w:i/>
          <w:color w:val="4D4D4F"/>
          <w:sz w:val="12"/>
        </w:rPr>
        <w:t>Natural Temperate Grassland</w:t>
      </w:r>
    </w:p>
    <w:p w14:paraId="54421825" w14:textId="77777777" w:rsidR="00EF5B27" w:rsidRDefault="00000000">
      <w:pPr>
        <w:pStyle w:val="Heading6"/>
        <w:spacing w:before="111" w:line="254" w:lineRule="auto"/>
        <w:ind w:left="113"/>
      </w:pPr>
      <w:r>
        <w:rPr>
          <w:b w:val="0"/>
        </w:rPr>
        <w:br w:type="column"/>
      </w:r>
      <w:r>
        <w:rPr>
          <w:color w:val="4D4D4F"/>
        </w:rPr>
        <w:t>These 12 recommendations relate to each of the 12 MNES – the ecological communities, plants and animals that are protected by the MSA program.</w:t>
      </w:r>
    </w:p>
    <w:p w14:paraId="06A52706" w14:textId="77777777" w:rsidR="00EF5B27" w:rsidRDefault="00000000">
      <w:pPr>
        <w:spacing w:before="233"/>
        <w:ind w:left="113"/>
        <w:rPr>
          <w:b/>
          <w:sz w:val="28"/>
        </w:rPr>
      </w:pPr>
      <w:r>
        <w:rPr>
          <w:b/>
          <w:color w:val="F99F2A"/>
          <w:sz w:val="28"/>
        </w:rPr>
        <w:t>MNES 1: Natural Temperate Grassland</w:t>
      </w:r>
    </w:p>
    <w:p w14:paraId="08D6D405" w14:textId="77777777" w:rsidR="00EF5B27" w:rsidRDefault="00000000">
      <w:pPr>
        <w:spacing w:before="222"/>
        <w:ind w:left="113"/>
        <w:rPr>
          <w:b/>
          <w:sz w:val="20"/>
        </w:rPr>
      </w:pPr>
      <w:r>
        <w:rPr>
          <w:b/>
          <w:color w:val="4D4D4F"/>
          <w:sz w:val="20"/>
        </w:rPr>
        <w:t>Key insights and management implications for Natural Temperate Grassland</w:t>
      </w:r>
    </w:p>
    <w:p w14:paraId="34907831" w14:textId="77777777" w:rsidR="00EF5B27" w:rsidRDefault="00000000">
      <w:pPr>
        <w:pStyle w:val="BodyText"/>
        <w:spacing w:before="129" w:line="254" w:lineRule="auto"/>
        <w:ind w:left="113"/>
      </w:pPr>
      <w:r>
        <w:rPr>
          <w:color w:val="4D4D4F"/>
        </w:rPr>
        <w:t>Of all the MNES, Natural Temperate Grassland associated with the Western Grassland Reserve has received the most attention from stakeholders</w:t>
      </w:r>
      <w:r>
        <w:rPr>
          <w:color w:val="4D4D4F"/>
          <w:position w:val="7"/>
          <w:sz w:val="11"/>
        </w:rPr>
        <w:t xml:space="preserve">48 </w:t>
      </w:r>
      <w:r>
        <w:rPr>
          <w:color w:val="4D4D4F"/>
        </w:rPr>
        <w:t>– consequently a</w:t>
      </w:r>
    </w:p>
    <w:p w14:paraId="255FC85E" w14:textId="77777777" w:rsidR="00EF5B27" w:rsidRDefault="00000000">
      <w:pPr>
        <w:pStyle w:val="BodyText"/>
        <w:spacing w:before="2" w:line="254" w:lineRule="auto"/>
        <w:ind w:left="113"/>
      </w:pPr>
      <w:r>
        <w:rPr>
          <w:color w:val="4D4D4F"/>
        </w:rPr>
        <w:t>large degree of resources has been directed toward monitoring Natural Temperate Grassland. (DELWP commenced monitoring Natural Temperate Grassland in 2013.)</w:t>
      </w:r>
    </w:p>
    <w:p w14:paraId="66968C72" w14:textId="77777777" w:rsidR="00EF5B27" w:rsidRDefault="00000000">
      <w:pPr>
        <w:pStyle w:val="BodyText"/>
        <w:spacing w:before="116" w:line="254" w:lineRule="auto"/>
        <w:ind w:left="113" w:right="167"/>
      </w:pPr>
      <w:r>
        <w:rPr>
          <w:color w:val="4D4D4F"/>
          <w:spacing w:val="-4"/>
        </w:rPr>
        <w:t xml:space="preserve">One of </w:t>
      </w:r>
      <w:r>
        <w:rPr>
          <w:color w:val="4D4D4F"/>
          <w:spacing w:val="-5"/>
        </w:rPr>
        <w:t xml:space="preserve">the </w:t>
      </w:r>
      <w:r>
        <w:rPr>
          <w:color w:val="4D4D4F"/>
          <w:spacing w:val="-7"/>
        </w:rPr>
        <w:t xml:space="preserve">main </w:t>
      </w:r>
      <w:r>
        <w:rPr>
          <w:color w:val="4D4D4F"/>
          <w:spacing w:val="-6"/>
        </w:rPr>
        <w:t xml:space="preserve">issues </w:t>
      </w:r>
      <w:r>
        <w:rPr>
          <w:color w:val="4D4D4F"/>
          <w:spacing w:val="-5"/>
        </w:rPr>
        <w:t xml:space="preserve">around </w:t>
      </w:r>
      <w:r>
        <w:rPr>
          <w:color w:val="4D4D4F"/>
          <w:spacing w:val="-7"/>
        </w:rPr>
        <w:t xml:space="preserve">interpretation </w:t>
      </w:r>
      <w:r>
        <w:rPr>
          <w:color w:val="4D4D4F"/>
          <w:spacing w:val="-4"/>
        </w:rPr>
        <w:t xml:space="preserve">of </w:t>
      </w:r>
      <w:r>
        <w:rPr>
          <w:color w:val="4D4D4F"/>
          <w:spacing w:val="-5"/>
        </w:rPr>
        <w:t xml:space="preserve">the </w:t>
      </w:r>
      <w:r>
        <w:rPr>
          <w:color w:val="4D4D4F"/>
          <w:spacing w:val="-6"/>
        </w:rPr>
        <w:t xml:space="preserve">results </w:t>
      </w:r>
      <w:r>
        <w:rPr>
          <w:color w:val="4D4D4F"/>
          <w:spacing w:val="-5"/>
        </w:rPr>
        <w:t xml:space="preserve">for </w:t>
      </w:r>
      <w:r>
        <w:rPr>
          <w:color w:val="4D4D4F"/>
          <w:spacing w:val="-6"/>
        </w:rPr>
        <w:t xml:space="preserve">Natural </w:t>
      </w:r>
      <w:r>
        <w:rPr>
          <w:color w:val="4D4D4F"/>
          <w:spacing w:val="-7"/>
        </w:rPr>
        <w:t xml:space="preserve">Temperate </w:t>
      </w:r>
      <w:r>
        <w:rPr>
          <w:color w:val="4D4D4F"/>
          <w:spacing w:val="-6"/>
        </w:rPr>
        <w:t xml:space="preserve">Grassland </w:t>
      </w:r>
      <w:r>
        <w:rPr>
          <w:color w:val="4D4D4F"/>
        </w:rPr>
        <w:t>under the current framework is that most of the KPIs are disaggregated by ‘states’ – and this is how they have traditionally been reported, each with separate baselines.</w:t>
      </w:r>
    </w:p>
    <w:p w14:paraId="3896EA80" w14:textId="77777777" w:rsidR="00EF5B27" w:rsidRDefault="00000000">
      <w:pPr>
        <w:pStyle w:val="BodyText"/>
        <w:spacing w:before="117" w:line="254" w:lineRule="auto"/>
        <w:ind w:left="113" w:right="219"/>
      </w:pPr>
      <w:r>
        <w:rPr>
          <w:color w:val="4D4D4F"/>
        </w:rPr>
        <w:t>It is possible that KPIs for Natural Temperate Grassland could be organised by management unit (i.e. stratify results by parcel of land) to highlight variation in the different land use histories and management regimes across  the  landscape.  Time since acquisition would seem an important variable, as this is the period within which DELWP has had the ability to have any direct management impact. This variable would provide a more robust baseline to assess change in grassland condition as a function    of time since acquisition as additional land acquisition occurs. This may help to inform  a clearer picture of whether interim management actions are required or have been effective if</w:t>
      </w:r>
      <w:r>
        <w:rPr>
          <w:color w:val="4D4D4F"/>
          <w:spacing w:val="7"/>
        </w:rPr>
        <w:t xml:space="preserve"> </w:t>
      </w:r>
      <w:r>
        <w:rPr>
          <w:color w:val="4D4D4F"/>
        </w:rPr>
        <w:t>applied.</w:t>
      </w:r>
    </w:p>
    <w:p w14:paraId="10AEF85C"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2309" w:space="186"/>
            <w:col w:w="7375"/>
          </w:cols>
        </w:sectPr>
      </w:pPr>
    </w:p>
    <w:p w14:paraId="237A9C51" w14:textId="77777777" w:rsidR="00EF5B27" w:rsidRDefault="00000000">
      <w:pPr>
        <w:pStyle w:val="BodyText"/>
      </w:pPr>
      <w:r>
        <w:pict w14:anchorId="000DFD3E">
          <v:group id="_x0000_s4163" style="position:absolute;margin-left:587.05pt;margin-top:183.4pt;width:8.25pt;height:153.1pt;z-index:251429376;mso-position-horizontal-relative:page;mso-position-vertical-relative:page" coordorigin="11741,3668" coordsize="165,3062">
            <v:shape id="_x0000_s4170" style="position:absolute;left:11741;top:3668;width:165;height:561" coordorigin="11741,3668" coordsize="165,561" path="m11906,3668r-165,l11741,4228r165,-18l11906,3668xe" fillcolor="#00aed9" stroked="f">
              <v:path arrowok="t"/>
            </v:shape>
            <v:shape id="_x0000_s4169" style="position:absolute;left:11741;top:4118;width:165;height:425" coordorigin="11741,4118" coordsize="165,425" path="m11906,4118r-165,14l11741,4531r165,12l11906,4118xe" fillcolor="#047ebc" stroked="f">
              <v:path arrowok="t"/>
            </v:shape>
            <v:shape id="_x0000_s4168" type="#_x0000_t75" style="position:absolute;left:11741;top:4355;width:165;height:587">
              <v:imagedata r:id="rId42" o:title=""/>
            </v:shape>
            <v:shape id="_x0000_s4167" style="position:absolute;left:11741;top:5343;width:165;height:536" coordorigin="11741,5343" coordsize="165,536" path="m11741,5343r,535l11906,5872r,-525l11741,5343xe" fillcolor="#f36a2e" stroked="f">
              <v:path arrowok="t"/>
            </v:shape>
            <v:shape id="_x0000_s4166" style="position:absolute;left:11741;top:4925;width:165;height:501" coordorigin="11741,4926" coordsize="165,501" path="m11741,4926r,500l11906,5426r,-485l11741,4926xe" fillcolor="#49783f" stroked="f">
              <v:path arrowok="t"/>
            </v:shape>
            <v:shape id="_x0000_s4165" style="position:absolute;left:11741;top:5781;width:165;height:268" coordorigin="11741,5782" coordsize="165,268" path="m11906,5782r-165,8l11741,6039r165,10l11906,5782xe" fillcolor="#f99f2a" stroked="f">
              <v:path arrowok="t"/>
            </v:shape>
            <v:shape id="_x0000_s4164" style="position:absolute;left:11741;top:6023;width:165;height:707" coordorigin="11741,6023" coordsize="165,707" path="m11741,6023r,706l11906,6729r,-690l11741,6023xe" fillcolor="#ef412c" stroked="f">
              <v:path arrowok="t"/>
            </v:shape>
            <w10:wrap anchorx="page" anchory="page"/>
          </v:group>
        </w:pict>
      </w:r>
    </w:p>
    <w:p w14:paraId="31CBA06D" w14:textId="77777777" w:rsidR="00EF5B27" w:rsidRDefault="00EF5B27">
      <w:pPr>
        <w:pStyle w:val="BodyText"/>
        <w:spacing w:before="4"/>
        <w:rPr>
          <w:sz w:val="12"/>
        </w:rPr>
      </w:pPr>
    </w:p>
    <w:tbl>
      <w:tblPr>
        <w:tblW w:w="0" w:type="auto"/>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3BC0DAEF" w14:textId="77777777">
        <w:trPr>
          <w:trHeight w:val="561"/>
        </w:trPr>
        <w:tc>
          <w:tcPr>
            <w:tcW w:w="2980" w:type="dxa"/>
            <w:shd w:val="clear" w:color="auto" w:fill="FECC91"/>
          </w:tcPr>
          <w:p w14:paraId="6BD636A2" w14:textId="77777777" w:rsidR="00EF5B27" w:rsidRDefault="00000000">
            <w:pPr>
              <w:pStyle w:val="TableParagraph"/>
              <w:spacing w:before="91" w:line="244" w:lineRule="auto"/>
              <w:ind w:left="80" w:right="244"/>
              <w:rPr>
                <w:b/>
                <w:sz w:val="16"/>
              </w:rPr>
            </w:pPr>
            <w:r>
              <w:rPr>
                <w:b/>
                <w:sz w:val="16"/>
              </w:rPr>
              <w:t>KPI 1: Hectares making transition between states</w:t>
            </w:r>
          </w:p>
        </w:tc>
        <w:tc>
          <w:tcPr>
            <w:tcW w:w="1078" w:type="dxa"/>
            <w:shd w:val="clear" w:color="auto" w:fill="FECC91"/>
          </w:tcPr>
          <w:p w14:paraId="13FAD82B"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1943B214" w14:textId="77777777" w:rsidR="00EF5B27" w:rsidRDefault="00EF5B27">
            <w:pPr>
              <w:pStyle w:val="TableParagraph"/>
              <w:spacing w:before="7"/>
              <w:rPr>
                <w:sz w:val="15"/>
              </w:rPr>
            </w:pPr>
          </w:p>
          <w:p w14:paraId="5513758B"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66912BE3" w14:textId="77777777" w:rsidR="00EF5B27" w:rsidRDefault="00EF5B27">
            <w:pPr>
              <w:pStyle w:val="TableParagraph"/>
              <w:spacing w:before="7"/>
              <w:rPr>
                <w:sz w:val="15"/>
              </w:rPr>
            </w:pPr>
          </w:p>
          <w:p w14:paraId="6A4D8DDC"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3C482E6D"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3829EEF4"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34752D84" w14:textId="77777777">
        <w:trPr>
          <w:trHeight w:val="448"/>
        </w:trPr>
        <w:tc>
          <w:tcPr>
            <w:tcW w:w="2980" w:type="dxa"/>
          </w:tcPr>
          <w:p w14:paraId="709BE9EC" w14:textId="77777777" w:rsidR="00EF5B27" w:rsidRDefault="00EF5B27">
            <w:pPr>
              <w:pStyle w:val="TableParagraph"/>
              <w:spacing w:before="11"/>
              <w:rPr>
                <w:sz w:val="11"/>
              </w:rPr>
            </w:pPr>
          </w:p>
          <w:p w14:paraId="286A008A" w14:textId="77777777" w:rsidR="00EF5B27" w:rsidRDefault="00000000">
            <w:pPr>
              <w:pStyle w:val="TableParagraph"/>
              <w:ind w:left="80"/>
              <w:rPr>
                <w:sz w:val="14"/>
              </w:rPr>
            </w:pPr>
            <w:r>
              <w:rPr>
                <w:color w:val="4D4D4F"/>
                <w:w w:val="105"/>
                <w:sz w:val="14"/>
              </w:rPr>
              <w:t>Herb-rich grassland</w:t>
            </w:r>
          </w:p>
        </w:tc>
        <w:tc>
          <w:tcPr>
            <w:tcW w:w="1078" w:type="dxa"/>
          </w:tcPr>
          <w:p w14:paraId="05A38714" w14:textId="77777777" w:rsidR="00EF5B27" w:rsidRDefault="00EF5B27">
            <w:pPr>
              <w:pStyle w:val="TableParagraph"/>
              <w:spacing w:before="11"/>
              <w:rPr>
                <w:sz w:val="11"/>
              </w:rPr>
            </w:pPr>
          </w:p>
          <w:p w14:paraId="6D81AEAE"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23172DB1" w14:textId="77777777" w:rsidR="00EF5B27" w:rsidRDefault="00EF5B27">
            <w:pPr>
              <w:pStyle w:val="TableParagraph"/>
              <w:spacing w:before="11"/>
              <w:rPr>
                <w:sz w:val="11"/>
              </w:rPr>
            </w:pPr>
          </w:p>
          <w:p w14:paraId="4B40A91B" w14:textId="77777777" w:rsidR="00EF5B27" w:rsidRDefault="00000000">
            <w:pPr>
              <w:pStyle w:val="TableParagraph"/>
              <w:ind w:left="143" w:right="142"/>
              <w:jc w:val="center"/>
              <w:rPr>
                <w:sz w:val="14"/>
              </w:rPr>
            </w:pPr>
            <w:r>
              <w:rPr>
                <w:color w:val="4D4D4F"/>
                <w:sz w:val="14"/>
              </w:rPr>
              <w:t>Change in monitoring method</w:t>
            </w:r>
          </w:p>
        </w:tc>
        <w:tc>
          <w:tcPr>
            <w:tcW w:w="964" w:type="dxa"/>
          </w:tcPr>
          <w:p w14:paraId="0AA4476E" w14:textId="77777777" w:rsidR="00EF5B27" w:rsidRDefault="00EF5B27">
            <w:pPr>
              <w:pStyle w:val="TableParagraph"/>
              <w:spacing w:before="4"/>
              <w:rPr>
                <w:sz w:val="7"/>
              </w:rPr>
            </w:pPr>
          </w:p>
          <w:p w14:paraId="5B54F989" w14:textId="77777777" w:rsidR="00EF5B27" w:rsidRDefault="00000000">
            <w:pPr>
              <w:pStyle w:val="TableParagraph"/>
              <w:spacing w:line="187" w:lineRule="exact"/>
              <w:ind w:left="400"/>
              <w:rPr>
                <w:sz w:val="18"/>
              </w:rPr>
            </w:pPr>
            <w:r>
              <w:rPr>
                <w:noProof/>
                <w:position w:val="-3"/>
                <w:sz w:val="18"/>
              </w:rPr>
              <w:drawing>
                <wp:inline distT="0" distB="0" distL="0" distR="0" wp14:anchorId="33B8F623" wp14:editId="59C7628C">
                  <wp:extent cx="100572" cy="119062"/>
                  <wp:effectExtent l="0" t="0" r="0" b="0"/>
                  <wp:docPr id="6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4.png"/>
                          <pic:cNvPicPr/>
                        </pic:nvPicPr>
                        <pic:blipFill>
                          <a:blip r:embed="rId75" cstate="print"/>
                          <a:stretch>
                            <a:fillRect/>
                          </a:stretch>
                        </pic:blipFill>
                        <pic:spPr>
                          <a:xfrm>
                            <a:off x="0" y="0"/>
                            <a:ext cx="100572" cy="119062"/>
                          </a:xfrm>
                          <a:prstGeom prst="rect">
                            <a:avLst/>
                          </a:prstGeom>
                        </pic:spPr>
                      </pic:pic>
                    </a:graphicData>
                  </a:graphic>
                </wp:inline>
              </w:drawing>
            </w:r>
          </w:p>
          <w:p w14:paraId="65F5EDE9" w14:textId="77777777" w:rsidR="00EF5B27" w:rsidRDefault="00EF5B27">
            <w:pPr>
              <w:pStyle w:val="TableParagraph"/>
              <w:spacing w:before="8"/>
              <w:rPr>
                <w:sz w:val="2"/>
              </w:rPr>
            </w:pPr>
          </w:p>
          <w:p w14:paraId="26B4E820" w14:textId="77777777" w:rsidR="00EF5B27" w:rsidRDefault="00000000">
            <w:pPr>
              <w:pStyle w:val="TableParagraph"/>
              <w:spacing w:line="48" w:lineRule="exact"/>
              <w:ind w:left="448"/>
              <w:rPr>
                <w:sz w:val="4"/>
              </w:rPr>
            </w:pPr>
            <w:r>
              <w:rPr>
                <w:sz w:val="4"/>
              </w:rPr>
            </w:r>
            <w:r>
              <w:rPr>
                <w:sz w:val="4"/>
              </w:rPr>
              <w:pict w14:anchorId="4E843005">
                <v:group id="_x0000_s4161" style="width:2.45pt;height:2.45pt;mso-position-horizontal-relative:char;mso-position-vertical-relative:line" coordsize="49,49">
                  <v:shape id="_x0000_s4162" style="position:absolute;width:49;height:49" coordsize="49,49" path="m31,l18,,12,2,2,12,,17,,31r2,6l12,46r6,3l31,49r6,-3l46,37r3,-6l49,17,46,12,37,2,31,xe" fillcolor="#808285" stroked="f">
                    <v:path arrowok="t"/>
                  </v:shape>
                  <w10:wrap type="none"/>
                  <w10:anchorlock/>
                </v:group>
              </w:pict>
            </w:r>
          </w:p>
        </w:tc>
        <w:tc>
          <w:tcPr>
            <w:tcW w:w="964" w:type="dxa"/>
          </w:tcPr>
          <w:p w14:paraId="0539DD5C" w14:textId="77777777" w:rsidR="00EF5B27" w:rsidRDefault="00EF5B27">
            <w:pPr>
              <w:pStyle w:val="TableParagraph"/>
              <w:spacing w:before="11"/>
              <w:rPr>
                <w:sz w:val="11"/>
              </w:rPr>
            </w:pPr>
          </w:p>
          <w:p w14:paraId="17EDBBB6" w14:textId="77777777" w:rsidR="00EF5B27" w:rsidRDefault="00000000">
            <w:pPr>
              <w:pStyle w:val="TableParagraph"/>
              <w:ind w:left="318" w:right="323"/>
              <w:jc w:val="center"/>
              <w:rPr>
                <w:sz w:val="14"/>
              </w:rPr>
            </w:pPr>
            <w:r>
              <w:rPr>
                <w:color w:val="4D4D4F"/>
                <w:w w:val="105"/>
                <w:sz w:val="14"/>
              </w:rPr>
              <w:t>N/A</w:t>
            </w:r>
          </w:p>
        </w:tc>
        <w:tc>
          <w:tcPr>
            <w:tcW w:w="1489" w:type="dxa"/>
          </w:tcPr>
          <w:p w14:paraId="1646EBD1" w14:textId="77777777" w:rsidR="00EF5B27" w:rsidRDefault="00EF5B27">
            <w:pPr>
              <w:pStyle w:val="TableParagraph"/>
              <w:spacing w:before="11"/>
              <w:rPr>
                <w:sz w:val="11"/>
              </w:rPr>
            </w:pPr>
          </w:p>
          <w:p w14:paraId="39D17B55" w14:textId="77777777" w:rsidR="00EF5B27" w:rsidRDefault="00000000">
            <w:pPr>
              <w:pStyle w:val="TableParagraph"/>
              <w:ind w:left="451" w:right="457"/>
              <w:jc w:val="center"/>
              <w:rPr>
                <w:sz w:val="14"/>
              </w:rPr>
            </w:pPr>
            <w:r>
              <w:rPr>
                <w:color w:val="4D4D4F"/>
                <w:w w:val="105"/>
                <w:sz w:val="14"/>
              </w:rPr>
              <w:t>N/A</w:t>
            </w:r>
          </w:p>
        </w:tc>
      </w:tr>
      <w:tr w:rsidR="00EF5B27" w14:paraId="3AE52D2E" w14:textId="77777777">
        <w:trPr>
          <w:trHeight w:val="448"/>
        </w:trPr>
        <w:tc>
          <w:tcPr>
            <w:tcW w:w="2980" w:type="dxa"/>
          </w:tcPr>
          <w:p w14:paraId="0E5FFF4B" w14:textId="77777777" w:rsidR="00EF5B27" w:rsidRDefault="00EF5B27">
            <w:pPr>
              <w:pStyle w:val="TableParagraph"/>
              <w:spacing w:before="11"/>
              <w:rPr>
                <w:sz w:val="11"/>
              </w:rPr>
            </w:pPr>
          </w:p>
          <w:p w14:paraId="13D187A9" w14:textId="77777777" w:rsidR="00EF5B27" w:rsidRDefault="00000000">
            <w:pPr>
              <w:pStyle w:val="TableParagraph"/>
              <w:ind w:left="79"/>
              <w:rPr>
                <w:sz w:val="14"/>
              </w:rPr>
            </w:pPr>
            <w:r>
              <w:rPr>
                <w:rFonts w:ascii="Arial Narrow"/>
                <w:i/>
                <w:color w:val="4D4D4F"/>
                <w:w w:val="110"/>
                <w:sz w:val="14"/>
              </w:rPr>
              <w:t xml:space="preserve">Themeda </w:t>
            </w:r>
            <w:r>
              <w:rPr>
                <w:color w:val="4D4D4F"/>
                <w:w w:val="110"/>
                <w:sz w:val="14"/>
              </w:rPr>
              <w:t>grassland</w:t>
            </w:r>
          </w:p>
        </w:tc>
        <w:tc>
          <w:tcPr>
            <w:tcW w:w="1078" w:type="dxa"/>
          </w:tcPr>
          <w:p w14:paraId="684E26B3" w14:textId="77777777" w:rsidR="00EF5B27" w:rsidRDefault="00EF5B27">
            <w:pPr>
              <w:pStyle w:val="TableParagraph"/>
              <w:spacing w:before="11"/>
              <w:rPr>
                <w:sz w:val="11"/>
              </w:rPr>
            </w:pPr>
          </w:p>
          <w:p w14:paraId="192F85BC"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4F2A3591" w14:textId="77777777" w:rsidR="00EF5B27" w:rsidRDefault="00EF5B27">
            <w:pPr>
              <w:pStyle w:val="TableParagraph"/>
              <w:spacing w:before="11"/>
              <w:rPr>
                <w:sz w:val="11"/>
              </w:rPr>
            </w:pPr>
          </w:p>
          <w:p w14:paraId="2155E554" w14:textId="77777777" w:rsidR="00EF5B27" w:rsidRDefault="00000000">
            <w:pPr>
              <w:pStyle w:val="TableParagraph"/>
              <w:ind w:left="143" w:right="142"/>
              <w:jc w:val="center"/>
              <w:rPr>
                <w:sz w:val="14"/>
              </w:rPr>
            </w:pPr>
            <w:r>
              <w:rPr>
                <w:color w:val="4D4D4F"/>
                <w:sz w:val="14"/>
              </w:rPr>
              <w:t>Change in monitoring method</w:t>
            </w:r>
          </w:p>
        </w:tc>
        <w:tc>
          <w:tcPr>
            <w:tcW w:w="964" w:type="dxa"/>
          </w:tcPr>
          <w:p w14:paraId="774B7F56" w14:textId="77777777" w:rsidR="00EF5B27" w:rsidRDefault="00EF5B27">
            <w:pPr>
              <w:pStyle w:val="TableParagraph"/>
              <w:spacing w:before="4"/>
              <w:rPr>
                <w:sz w:val="7"/>
              </w:rPr>
            </w:pPr>
          </w:p>
          <w:p w14:paraId="2660EC72" w14:textId="77777777" w:rsidR="00EF5B27" w:rsidRDefault="00000000">
            <w:pPr>
              <w:pStyle w:val="TableParagraph"/>
              <w:spacing w:line="187" w:lineRule="exact"/>
              <w:ind w:left="400"/>
              <w:rPr>
                <w:sz w:val="18"/>
              </w:rPr>
            </w:pPr>
            <w:r>
              <w:rPr>
                <w:noProof/>
                <w:position w:val="-3"/>
                <w:sz w:val="18"/>
              </w:rPr>
              <w:drawing>
                <wp:inline distT="0" distB="0" distL="0" distR="0" wp14:anchorId="40331E56" wp14:editId="041FA003">
                  <wp:extent cx="100572" cy="119062"/>
                  <wp:effectExtent l="0" t="0" r="0" b="0"/>
                  <wp:docPr id="69"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4.png"/>
                          <pic:cNvPicPr/>
                        </pic:nvPicPr>
                        <pic:blipFill>
                          <a:blip r:embed="rId75" cstate="print"/>
                          <a:stretch>
                            <a:fillRect/>
                          </a:stretch>
                        </pic:blipFill>
                        <pic:spPr>
                          <a:xfrm>
                            <a:off x="0" y="0"/>
                            <a:ext cx="100572" cy="119062"/>
                          </a:xfrm>
                          <a:prstGeom prst="rect">
                            <a:avLst/>
                          </a:prstGeom>
                        </pic:spPr>
                      </pic:pic>
                    </a:graphicData>
                  </a:graphic>
                </wp:inline>
              </w:drawing>
            </w:r>
          </w:p>
          <w:p w14:paraId="6F5BA1F6" w14:textId="77777777" w:rsidR="00EF5B27" w:rsidRDefault="00EF5B27">
            <w:pPr>
              <w:pStyle w:val="TableParagraph"/>
              <w:spacing w:before="8"/>
              <w:rPr>
                <w:sz w:val="2"/>
              </w:rPr>
            </w:pPr>
          </w:p>
          <w:p w14:paraId="29613E53" w14:textId="77777777" w:rsidR="00EF5B27" w:rsidRDefault="00000000">
            <w:pPr>
              <w:pStyle w:val="TableParagraph"/>
              <w:spacing w:line="48" w:lineRule="exact"/>
              <w:ind w:left="448"/>
              <w:rPr>
                <w:sz w:val="4"/>
              </w:rPr>
            </w:pPr>
            <w:r>
              <w:rPr>
                <w:sz w:val="4"/>
              </w:rPr>
            </w:r>
            <w:r>
              <w:rPr>
                <w:sz w:val="4"/>
              </w:rPr>
              <w:pict w14:anchorId="5A7623D8">
                <v:group id="_x0000_s4159" style="width:2.45pt;height:2.45pt;mso-position-horizontal-relative:char;mso-position-vertical-relative:line" coordsize="49,49">
                  <v:shape id="_x0000_s4160" style="position:absolute;width:49;height:49" coordsize="49,49" path="m31,l18,,12,2,2,12,,17,,31r2,6l12,46r6,3l31,49r6,-3l46,37r3,-6l49,17,46,12,37,2,31,xe" fillcolor="#808285" stroked="f">
                    <v:path arrowok="t"/>
                  </v:shape>
                  <w10:wrap type="none"/>
                  <w10:anchorlock/>
                </v:group>
              </w:pict>
            </w:r>
          </w:p>
        </w:tc>
        <w:tc>
          <w:tcPr>
            <w:tcW w:w="964" w:type="dxa"/>
          </w:tcPr>
          <w:p w14:paraId="12A0B59F" w14:textId="77777777" w:rsidR="00EF5B27" w:rsidRDefault="00EF5B27">
            <w:pPr>
              <w:pStyle w:val="TableParagraph"/>
              <w:spacing w:before="11"/>
              <w:rPr>
                <w:sz w:val="11"/>
              </w:rPr>
            </w:pPr>
          </w:p>
          <w:p w14:paraId="3A644278" w14:textId="77777777" w:rsidR="00EF5B27" w:rsidRDefault="00000000">
            <w:pPr>
              <w:pStyle w:val="TableParagraph"/>
              <w:ind w:left="318" w:right="323"/>
              <w:jc w:val="center"/>
              <w:rPr>
                <w:sz w:val="14"/>
              </w:rPr>
            </w:pPr>
            <w:r>
              <w:rPr>
                <w:color w:val="4D4D4F"/>
                <w:w w:val="105"/>
                <w:sz w:val="14"/>
              </w:rPr>
              <w:t>N/A</w:t>
            </w:r>
          </w:p>
        </w:tc>
        <w:tc>
          <w:tcPr>
            <w:tcW w:w="1489" w:type="dxa"/>
          </w:tcPr>
          <w:p w14:paraId="3356C7CB" w14:textId="77777777" w:rsidR="00EF5B27" w:rsidRDefault="00EF5B27">
            <w:pPr>
              <w:pStyle w:val="TableParagraph"/>
              <w:spacing w:before="11"/>
              <w:rPr>
                <w:sz w:val="11"/>
              </w:rPr>
            </w:pPr>
          </w:p>
          <w:p w14:paraId="233B7430" w14:textId="77777777" w:rsidR="00EF5B27" w:rsidRDefault="00000000">
            <w:pPr>
              <w:pStyle w:val="TableParagraph"/>
              <w:ind w:left="451" w:right="457"/>
              <w:jc w:val="center"/>
              <w:rPr>
                <w:sz w:val="14"/>
              </w:rPr>
            </w:pPr>
            <w:r>
              <w:rPr>
                <w:color w:val="4D4D4F"/>
                <w:w w:val="105"/>
                <w:sz w:val="14"/>
              </w:rPr>
              <w:t>N/A</w:t>
            </w:r>
          </w:p>
        </w:tc>
      </w:tr>
      <w:tr w:rsidR="00EF5B27" w14:paraId="11F85CE6" w14:textId="77777777">
        <w:trPr>
          <w:trHeight w:val="448"/>
        </w:trPr>
        <w:tc>
          <w:tcPr>
            <w:tcW w:w="2980" w:type="dxa"/>
          </w:tcPr>
          <w:p w14:paraId="05030C17" w14:textId="77777777" w:rsidR="00EF5B27" w:rsidRDefault="00EF5B27">
            <w:pPr>
              <w:pStyle w:val="TableParagraph"/>
              <w:spacing w:before="11"/>
              <w:rPr>
                <w:sz w:val="11"/>
              </w:rPr>
            </w:pPr>
          </w:p>
          <w:p w14:paraId="60F381AE" w14:textId="77777777" w:rsidR="00EF5B27" w:rsidRDefault="00000000">
            <w:pPr>
              <w:pStyle w:val="TableParagraph"/>
              <w:ind w:left="79"/>
              <w:rPr>
                <w:sz w:val="14"/>
              </w:rPr>
            </w:pPr>
            <w:r>
              <w:rPr>
                <w:color w:val="4D4D4F"/>
                <w:w w:val="105"/>
                <w:sz w:val="14"/>
              </w:rPr>
              <w:t>C3 grassland</w:t>
            </w:r>
          </w:p>
        </w:tc>
        <w:tc>
          <w:tcPr>
            <w:tcW w:w="1078" w:type="dxa"/>
          </w:tcPr>
          <w:p w14:paraId="78C2DA4E" w14:textId="77777777" w:rsidR="00EF5B27" w:rsidRDefault="00EF5B27">
            <w:pPr>
              <w:pStyle w:val="TableParagraph"/>
              <w:spacing w:before="11"/>
              <w:rPr>
                <w:sz w:val="11"/>
              </w:rPr>
            </w:pPr>
          </w:p>
          <w:p w14:paraId="663DEA54"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70538C6D" w14:textId="77777777" w:rsidR="00EF5B27" w:rsidRDefault="00EF5B27">
            <w:pPr>
              <w:pStyle w:val="TableParagraph"/>
              <w:spacing w:before="11"/>
              <w:rPr>
                <w:sz w:val="11"/>
              </w:rPr>
            </w:pPr>
          </w:p>
          <w:p w14:paraId="503F31B9" w14:textId="77777777" w:rsidR="00EF5B27" w:rsidRDefault="00000000">
            <w:pPr>
              <w:pStyle w:val="TableParagraph"/>
              <w:ind w:left="143" w:right="142"/>
              <w:jc w:val="center"/>
              <w:rPr>
                <w:sz w:val="14"/>
              </w:rPr>
            </w:pPr>
            <w:r>
              <w:rPr>
                <w:color w:val="4D4D4F"/>
                <w:sz w:val="14"/>
              </w:rPr>
              <w:t>Change in monitoring method</w:t>
            </w:r>
          </w:p>
        </w:tc>
        <w:tc>
          <w:tcPr>
            <w:tcW w:w="964" w:type="dxa"/>
          </w:tcPr>
          <w:p w14:paraId="2363776D" w14:textId="77777777" w:rsidR="00EF5B27" w:rsidRDefault="00EF5B27">
            <w:pPr>
              <w:pStyle w:val="TableParagraph"/>
              <w:spacing w:before="4"/>
              <w:rPr>
                <w:sz w:val="7"/>
              </w:rPr>
            </w:pPr>
          </w:p>
          <w:p w14:paraId="39E955AF" w14:textId="77777777" w:rsidR="00EF5B27" w:rsidRDefault="00000000">
            <w:pPr>
              <w:pStyle w:val="TableParagraph"/>
              <w:spacing w:line="187" w:lineRule="exact"/>
              <w:ind w:left="400"/>
              <w:rPr>
                <w:sz w:val="18"/>
              </w:rPr>
            </w:pPr>
            <w:r>
              <w:rPr>
                <w:noProof/>
                <w:position w:val="-3"/>
                <w:sz w:val="18"/>
              </w:rPr>
              <w:drawing>
                <wp:inline distT="0" distB="0" distL="0" distR="0" wp14:anchorId="0149FAB3" wp14:editId="0E2367B8">
                  <wp:extent cx="100572" cy="119062"/>
                  <wp:effectExtent l="0" t="0" r="0" b="0"/>
                  <wp:docPr id="71"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5.png"/>
                          <pic:cNvPicPr/>
                        </pic:nvPicPr>
                        <pic:blipFill>
                          <a:blip r:embed="rId76" cstate="print"/>
                          <a:stretch>
                            <a:fillRect/>
                          </a:stretch>
                        </pic:blipFill>
                        <pic:spPr>
                          <a:xfrm>
                            <a:off x="0" y="0"/>
                            <a:ext cx="100572" cy="119062"/>
                          </a:xfrm>
                          <a:prstGeom prst="rect">
                            <a:avLst/>
                          </a:prstGeom>
                        </pic:spPr>
                      </pic:pic>
                    </a:graphicData>
                  </a:graphic>
                </wp:inline>
              </w:drawing>
            </w:r>
          </w:p>
          <w:p w14:paraId="4788E02F" w14:textId="77777777" w:rsidR="00EF5B27" w:rsidRDefault="00EF5B27">
            <w:pPr>
              <w:pStyle w:val="TableParagraph"/>
              <w:spacing w:before="8"/>
              <w:rPr>
                <w:sz w:val="2"/>
              </w:rPr>
            </w:pPr>
          </w:p>
          <w:p w14:paraId="690D3B18" w14:textId="77777777" w:rsidR="00EF5B27" w:rsidRDefault="00000000">
            <w:pPr>
              <w:pStyle w:val="TableParagraph"/>
              <w:spacing w:line="48" w:lineRule="exact"/>
              <w:ind w:left="448"/>
              <w:rPr>
                <w:sz w:val="4"/>
              </w:rPr>
            </w:pPr>
            <w:r>
              <w:rPr>
                <w:sz w:val="4"/>
              </w:rPr>
            </w:r>
            <w:r>
              <w:rPr>
                <w:sz w:val="4"/>
              </w:rPr>
              <w:pict w14:anchorId="07014A78">
                <v:group id="_x0000_s4157" style="width:2.45pt;height:2.45pt;mso-position-horizontal-relative:char;mso-position-vertical-relative:line" coordsize="49,49">
                  <v:shape id="_x0000_s4158" style="position:absolute;width:49;height:49" coordsize="49,49" path="m31,l18,,12,2,2,12,,17,,31r2,6l12,46r6,3l31,49r6,-3l46,37r3,-6l49,17,46,12,37,2,31,xe" fillcolor="#808285" stroked="f">
                    <v:path arrowok="t"/>
                  </v:shape>
                  <w10:wrap type="none"/>
                  <w10:anchorlock/>
                </v:group>
              </w:pict>
            </w:r>
          </w:p>
        </w:tc>
        <w:tc>
          <w:tcPr>
            <w:tcW w:w="964" w:type="dxa"/>
          </w:tcPr>
          <w:p w14:paraId="3BA1079F" w14:textId="77777777" w:rsidR="00EF5B27" w:rsidRDefault="00EF5B27">
            <w:pPr>
              <w:pStyle w:val="TableParagraph"/>
              <w:spacing w:before="11"/>
              <w:rPr>
                <w:sz w:val="11"/>
              </w:rPr>
            </w:pPr>
          </w:p>
          <w:p w14:paraId="2BAE3AED" w14:textId="77777777" w:rsidR="00EF5B27" w:rsidRDefault="00000000">
            <w:pPr>
              <w:pStyle w:val="TableParagraph"/>
              <w:ind w:left="318" w:right="323"/>
              <w:jc w:val="center"/>
              <w:rPr>
                <w:sz w:val="14"/>
              </w:rPr>
            </w:pPr>
            <w:r>
              <w:rPr>
                <w:color w:val="4D4D4F"/>
                <w:w w:val="105"/>
                <w:sz w:val="14"/>
              </w:rPr>
              <w:t>N/A</w:t>
            </w:r>
          </w:p>
        </w:tc>
        <w:tc>
          <w:tcPr>
            <w:tcW w:w="1489" w:type="dxa"/>
          </w:tcPr>
          <w:p w14:paraId="5617599B" w14:textId="77777777" w:rsidR="00EF5B27" w:rsidRDefault="00EF5B27">
            <w:pPr>
              <w:pStyle w:val="TableParagraph"/>
              <w:spacing w:before="11"/>
              <w:rPr>
                <w:sz w:val="11"/>
              </w:rPr>
            </w:pPr>
          </w:p>
          <w:p w14:paraId="58D58266" w14:textId="77777777" w:rsidR="00EF5B27" w:rsidRDefault="00000000">
            <w:pPr>
              <w:pStyle w:val="TableParagraph"/>
              <w:ind w:left="451" w:right="457"/>
              <w:jc w:val="center"/>
              <w:rPr>
                <w:sz w:val="14"/>
              </w:rPr>
            </w:pPr>
            <w:r>
              <w:rPr>
                <w:color w:val="4D4D4F"/>
                <w:w w:val="105"/>
                <w:sz w:val="14"/>
              </w:rPr>
              <w:t>N/A</w:t>
            </w:r>
          </w:p>
        </w:tc>
      </w:tr>
      <w:tr w:rsidR="00EF5B27" w14:paraId="43AEA01E" w14:textId="77777777">
        <w:trPr>
          <w:trHeight w:val="448"/>
        </w:trPr>
        <w:tc>
          <w:tcPr>
            <w:tcW w:w="2980" w:type="dxa"/>
          </w:tcPr>
          <w:p w14:paraId="00108EDE" w14:textId="77777777" w:rsidR="00EF5B27" w:rsidRDefault="00EF5B27">
            <w:pPr>
              <w:pStyle w:val="TableParagraph"/>
              <w:spacing w:before="11"/>
              <w:rPr>
                <w:sz w:val="11"/>
              </w:rPr>
            </w:pPr>
          </w:p>
          <w:p w14:paraId="16458DAD" w14:textId="77777777" w:rsidR="00EF5B27" w:rsidRDefault="00000000">
            <w:pPr>
              <w:pStyle w:val="TableParagraph"/>
              <w:ind w:left="79"/>
              <w:rPr>
                <w:sz w:val="14"/>
              </w:rPr>
            </w:pPr>
            <w:r>
              <w:rPr>
                <w:color w:val="4D4D4F"/>
                <w:w w:val="105"/>
                <w:sz w:val="14"/>
              </w:rPr>
              <w:t>Nutrient-enriched grassland</w:t>
            </w:r>
          </w:p>
        </w:tc>
        <w:tc>
          <w:tcPr>
            <w:tcW w:w="1078" w:type="dxa"/>
          </w:tcPr>
          <w:p w14:paraId="0558F414" w14:textId="77777777" w:rsidR="00EF5B27" w:rsidRDefault="00EF5B27">
            <w:pPr>
              <w:pStyle w:val="TableParagraph"/>
              <w:spacing w:before="11"/>
              <w:rPr>
                <w:sz w:val="11"/>
              </w:rPr>
            </w:pPr>
          </w:p>
          <w:p w14:paraId="40985650"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2F340171" w14:textId="77777777" w:rsidR="00EF5B27" w:rsidRDefault="00EF5B27">
            <w:pPr>
              <w:pStyle w:val="TableParagraph"/>
              <w:spacing w:before="11"/>
              <w:rPr>
                <w:sz w:val="11"/>
              </w:rPr>
            </w:pPr>
          </w:p>
          <w:p w14:paraId="79280D29" w14:textId="77777777" w:rsidR="00EF5B27" w:rsidRDefault="00000000">
            <w:pPr>
              <w:pStyle w:val="TableParagraph"/>
              <w:ind w:left="143" w:right="142"/>
              <w:jc w:val="center"/>
              <w:rPr>
                <w:sz w:val="14"/>
              </w:rPr>
            </w:pPr>
            <w:r>
              <w:rPr>
                <w:color w:val="4D4D4F"/>
                <w:sz w:val="14"/>
              </w:rPr>
              <w:t>Change in monitoring method</w:t>
            </w:r>
          </w:p>
        </w:tc>
        <w:tc>
          <w:tcPr>
            <w:tcW w:w="964" w:type="dxa"/>
          </w:tcPr>
          <w:p w14:paraId="108DD82E" w14:textId="77777777" w:rsidR="00EF5B27" w:rsidRDefault="00EF5B27">
            <w:pPr>
              <w:pStyle w:val="TableParagraph"/>
              <w:spacing w:before="5"/>
              <w:rPr>
                <w:sz w:val="7"/>
              </w:rPr>
            </w:pPr>
          </w:p>
          <w:p w14:paraId="2CAB20F9" w14:textId="77777777" w:rsidR="00EF5B27" w:rsidRDefault="00000000">
            <w:pPr>
              <w:pStyle w:val="TableParagraph"/>
              <w:spacing w:line="187" w:lineRule="exact"/>
              <w:ind w:left="400"/>
              <w:rPr>
                <w:sz w:val="18"/>
              </w:rPr>
            </w:pPr>
            <w:r>
              <w:rPr>
                <w:noProof/>
                <w:position w:val="-3"/>
                <w:sz w:val="18"/>
              </w:rPr>
              <w:drawing>
                <wp:inline distT="0" distB="0" distL="0" distR="0" wp14:anchorId="57929377" wp14:editId="2D302D13">
                  <wp:extent cx="100572" cy="119062"/>
                  <wp:effectExtent l="0" t="0" r="0" b="0"/>
                  <wp:docPr id="7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5.png"/>
                          <pic:cNvPicPr/>
                        </pic:nvPicPr>
                        <pic:blipFill>
                          <a:blip r:embed="rId76" cstate="print"/>
                          <a:stretch>
                            <a:fillRect/>
                          </a:stretch>
                        </pic:blipFill>
                        <pic:spPr>
                          <a:xfrm>
                            <a:off x="0" y="0"/>
                            <a:ext cx="100572" cy="119062"/>
                          </a:xfrm>
                          <a:prstGeom prst="rect">
                            <a:avLst/>
                          </a:prstGeom>
                        </pic:spPr>
                      </pic:pic>
                    </a:graphicData>
                  </a:graphic>
                </wp:inline>
              </w:drawing>
            </w:r>
          </w:p>
          <w:p w14:paraId="3C1CB624" w14:textId="77777777" w:rsidR="00EF5B27" w:rsidRDefault="00EF5B27">
            <w:pPr>
              <w:pStyle w:val="TableParagraph"/>
              <w:spacing w:before="7"/>
              <w:rPr>
                <w:sz w:val="2"/>
              </w:rPr>
            </w:pPr>
          </w:p>
          <w:p w14:paraId="34845A12" w14:textId="77777777" w:rsidR="00EF5B27" w:rsidRDefault="00000000">
            <w:pPr>
              <w:pStyle w:val="TableParagraph"/>
              <w:spacing w:line="48" w:lineRule="exact"/>
              <w:ind w:left="448"/>
              <w:rPr>
                <w:sz w:val="4"/>
              </w:rPr>
            </w:pPr>
            <w:r>
              <w:rPr>
                <w:sz w:val="4"/>
              </w:rPr>
            </w:r>
            <w:r>
              <w:rPr>
                <w:sz w:val="4"/>
              </w:rPr>
              <w:pict w14:anchorId="60C02770">
                <v:group id="_x0000_s4155" style="width:2.45pt;height:2.45pt;mso-position-horizontal-relative:char;mso-position-vertical-relative:line" coordsize="49,49">
                  <v:shape id="_x0000_s4156" style="position:absolute;width:49;height:49" coordsize="49,49" path="m31,l18,,12,2,2,12,,17,,31r2,6l12,46r6,3l31,49r6,-3l46,37r3,-6l49,17,46,12,37,2,31,xe" fillcolor="#808285" stroked="f">
                    <v:path arrowok="t"/>
                  </v:shape>
                  <w10:wrap type="none"/>
                  <w10:anchorlock/>
                </v:group>
              </w:pict>
            </w:r>
          </w:p>
        </w:tc>
        <w:tc>
          <w:tcPr>
            <w:tcW w:w="964" w:type="dxa"/>
          </w:tcPr>
          <w:p w14:paraId="548039F5" w14:textId="77777777" w:rsidR="00EF5B27" w:rsidRDefault="00EF5B27">
            <w:pPr>
              <w:pStyle w:val="TableParagraph"/>
              <w:spacing w:before="11"/>
              <w:rPr>
                <w:sz w:val="11"/>
              </w:rPr>
            </w:pPr>
          </w:p>
          <w:p w14:paraId="563C488A" w14:textId="77777777" w:rsidR="00EF5B27" w:rsidRDefault="00000000">
            <w:pPr>
              <w:pStyle w:val="TableParagraph"/>
              <w:ind w:left="318" w:right="323"/>
              <w:jc w:val="center"/>
              <w:rPr>
                <w:sz w:val="14"/>
              </w:rPr>
            </w:pPr>
            <w:r>
              <w:rPr>
                <w:color w:val="4D4D4F"/>
                <w:w w:val="105"/>
                <w:sz w:val="14"/>
              </w:rPr>
              <w:t>N/A</w:t>
            </w:r>
          </w:p>
        </w:tc>
        <w:tc>
          <w:tcPr>
            <w:tcW w:w="1489" w:type="dxa"/>
          </w:tcPr>
          <w:p w14:paraId="61B7BC7C" w14:textId="77777777" w:rsidR="00EF5B27" w:rsidRDefault="00EF5B27">
            <w:pPr>
              <w:pStyle w:val="TableParagraph"/>
              <w:spacing w:before="11"/>
              <w:rPr>
                <w:sz w:val="11"/>
              </w:rPr>
            </w:pPr>
          </w:p>
          <w:p w14:paraId="60C6BF88" w14:textId="77777777" w:rsidR="00EF5B27" w:rsidRDefault="00000000">
            <w:pPr>
              <w:pStyle w:val="TableParagraph"/>
              <w:ind w:left="451" w:right="457"/>
              <w:jc w:val="center"/>
              <w:rPr>
                <w:sz w:val="14"/>
              </w:rPr>
            </w:pPr>
            <w:r>
              <w:rPr>
                <w:color w:val="4D4D4F"/>
                <w:w w:val="105"/>
                <w:sz w:val="14"/>
              </w:rPr>
              <w:t>N/A</w:t>
            </w:r>
          </w:p>
        </w:tc>
      </w:tr>
      <w:tr w:rsidR="00EF5B27" w14:paraId="05787A28" w14:textId="77777777">
        <w:trPr>
          <w:trHeight w:val="448"/>
        </w:trPr>
        <w:tc>
          <w:tcPr>
            <w:tcW w:w="2980" w:type="dxa"/>
          </w:tcPr>
          <w:p w14:paraId="1D418554" w14:textId="77777777" w:rsidR="00EF5B27" w:rsidRDefault="00EF5B27">
            <w:pPr>
              <w:pStyle w:val="TableParagraph"/>
              <w:spacing w:before="11"/>
              <w:rPr>
                <w:sz w:val="11"/>
              </w:rPr>
            </w:pPr>
          </w:p>
          <w:p w14:paraId="75A4A69A" w14:textId="77777777" w:rsidR="00EF5B27" w:rsidRDefault="00000000">
            <w:pPr>
              <w:pStyle w:val="TableParagraph"/>
              <w:ind w:left="79"/>
              <w:rPr>
                <w:sz w:val="14"/>
              </w:rPr>
            </w:pPr>
            <w:r>
              <w:rPr>
                <w:color w:val="4D4D4F"/>
                <w:w w:val="105"/>
                <w:sz w:val="14"/>
              </w:rPr>
              <w:t>De-rocked grassland</w:t>
            </w:r>
          </w:p>
        </w:tc>
        <w:tc>
          <w:tcPr>
            <w:tcW w:w="1078" w:type="dxa"/>
          </w:tcPr>
          <w:p w14:paraId="48985FE6" w14:textId="77777777" w:rsidR="00EF5B27" w:rsidRDefault="00EF5B27">
            <w:pPr>
              <w:pStyle w:val="TableParagraph"/>
              <w:spacing w:before="11"/>
              <w:rPr>
                <w:sz w:val="11"/>
              </w:rPr>
            </w:pPr>
          </w:p>
          <w:p w14:paraId="18A3E16F"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620C21DC" w14:textId="77777777" w:rsidR="00EF5B27" w:rsidRDefault="00EF5B27">
            <w:pPr>
              <w:pStyle w:val="TableParagraph"/>
              <w:spacing w:before="11"/>
              <w:rPr>
                <w:sz w:val="11"/>
              </w:rPr>
            </w:pPr>
          </w:p>
          <w:p w14:paraId="067BDA27" w14:textId="77777777" w:rsidR="00EF5B27" w:rsidRDefault="00000000">
            <w:pPr>
              <w:pStyle w:val="TableParagraph"/>
              <w:ind w:left="143" w:right="142"/>
              <w:jc w:val="center"/>
              <w:rPr>
                <w:sz w:val="14"/>
              </w:rPr>
            </w:pPr>
            <w:r>
              <w:rPr>
                <w:color w:val="4D4D4F"/>
                <w:sz w:val="14"/>
              </w:rPr>
              <w:t>Change in monitoring method</w:t>
            </w:r>
          </w:p>
        </w:tc>
        <w:tc>
          <w:tcPr>
            <w:tcW w:w="964" w:type="dxa"/>
          </w:tcPr>
          <w:p w14:paraId="586CCCDA" w14:textId="77777777" w:rsidR="00EF5B27" w:rsidRDefault="00EF5B27">
            <w:pPr>
              <w:pStyle w:val="TableParagraph"/>
              <w:spacing w:before="4"/>
              <w:rPr>
                <w:sz w:val="7"/>
              </w:rPr>
            </w:pPr>
          </w:p>
          <w:p w14:paraId="60FBBA5C" w14:textId="77777777" w:rsidR="00EF5B27" w:rsidRDefault="00000000">
            <w:pPr>
              <w:pStyle w:val="TableParagraph"/>
              <w:spacing w:line="187" w:lineRule="exact"/>
              <w:ind w:left="400"/>
              <w:rPr>
                <w:sz w:val="18"/>
              </w:rPr>
            </w:pPr>
            <w:r>
              <w:rPr>
                <w:noProof/>
                <w:position w:val="-3"/>
                <w:sz w:val="18"/>
              </w:rPr>
              <w:drawing>
                <wp:inline distT="0" distB="0" distL="0" distR="0" wp14:anchorId="46B5E833" wp14:editId="4B99D7AD">
                  <wp:extent cx="100572" cy="119062"/>
                  <wp:effectExtent l="0" t="0" r="0" b="0"/>
                  <wp:docPr id="7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5.png"/>
                          <pic:cNvPicPr/>
                        </pic:nvPicPr>
                        <pic:blipFill>
                          <a:blip r:embed="rId76" cstate="print"/>
                          <a:stretch>
                            <a:fillRect/>
                          </a:stretch>
                        </pic:blipFill>
                        <pic:spPr>
                          <a:xfrm>
                            <a:off x="0" y="0"/>
                            <a:ext cx="100572" cy="119062"/>
                          </a:xfrm>
                          <a:prstGeom prst="rect">
                            <a:avLst/>
                          </a:prstGeom>
                        </pic:spPr>
                      </pic:pic>
                    </a:graphicData>
                  </a:graphic>
                </wp:inline>
              </w:drawing>
            </w:r>
          </w:p>
          <w:p w14:paraId="34293C3B" w14:textId="77777777" w:rsidR="00EF5B27" w:rsidRDefault="00EF5B27">
            <w:pPr>
              <w:pStyle w:val="TableParagraph"/>
              <w:spacing w:before="8"/>
              <w:rPr>
                <w:sz w:val="2"/>
              </w:rPr>
            </w:pPr>
          </w:p>
          <w:p w14:paraId="2CF870FC" w14:textId="77777777" w:rsidR="00EF5B27" w:rsidRDefault="00000000">
            <w:pPr>
              <w:pStyle w:val="TableParagraph"/>
              <w:spacing w:line="48" w:lineRule="exact"/>
              <w:ind w:left="448"/>
              <w:rPr>
                <w:sz w:val="4"/>
              </w:rPr>
            </w:pPr>
            <w:r>
              <w:rPr>
                <w:sz w:val="4"/>
              </w:rPr>
            </w:r>
            <w:r>
              <w:rPr>
                <w:sz w:val="4"/>
              </w:rPr>
              <w:pict w14:anchorId="10B03F6D">
                <v:group id="_x0000_s4153" style="width:2.45pt;height:2.45pt;mso-position-horizontal-relative:char;mso-position-vertical-relative:line" coordsize="49,49">
                  <v:shape id="_x0000_s4154" style="position:absolute;width:49;height:49" coordsize="49,49" path="m31,l18,,12,2,2,12,,17,,31r2,6l12,46r6,3l31,49r6,-3l46,37r3,-6l49,17,46,12,37,2,31,xe" fillcolor="#808285" stroked="f">
                    <v:path arrowok="t"/>
                  </v:shape>
                  <w10:wrap type="none"/>
                  <w10:anchorlock/>
                </v:group>
              </w:pict>
            </w:r>
          </w:p>
        </w:tc>
        <w:tc>
          <w:tcPr>
            <w:tcW w:w="964" w:type="dxa"/>
          </w:tcPr>
          <w:p w14:paraId="52134D4F" w14:textId="77777777" w:rsidR="00EF5B27" w:rsidRDefault="00EF5B27">
            <w:pPr>
              <w:pStyle w:val="TableParagraph"/>
              <w:spacing w:before="11"/>
              <w:rPr>
                <w:sz w:val="11"/>
              </w:rPr>
            </w:pPr>
          </w:p>
          <w:p w14:paraId="4989C0C4" w14:textId="77777777" w:rsidR="00EF5B27" w:rsidRDefault="00000000">
            <w:pPr>
              <w:pStyle w:val="TableParagraph"/>
              <w:ind w:left="318" w:right="323"/>
              <w:jc w:val="center"/>
              <w:rPr>
                <w:sz w:val="14"/>
              </w:rPr>
            </w:pPr>
            <w:r>
              <w:rPr>
                <w:color w:val="4D4D4F"/>
                <w:w w:val="105"/>
                <w:sz w:val="14"/>
              </w:rPr>
              <w:t>N/A</w:t>
            </w:r>
          </w:p>
        </w:tc>
        <w:tc>
          <w:tcPr>
            <w:tcW w:w="1489" w:type="dxa"/>
          </w:tcPr>
          <w:p w14:paraId="44B4FCB7" w14:textId="77777777" w:rsidR="00EF5B27" w:rsidRDefault="00EF5B27">
            <w:pPr>
              <w:pStyle w:val="TableParagraph"/>
              <w:spacing w:before="11"/>
              <w:rPr>
                <w:sz w:val="11"/>
              </w:rPr>
            </w:pPr>
          </w:p>
          <w:p w14:paraId="6E4FC654" w14:textId="77777777" w:rsidR="00EF5B27" w:rsidRDefault="00000000">
            <w:pPr>
              <w:pStyle w:val="TableParagraph"/>
              <w:ind w:left="451" w:right="457"/>
              <w:jc w:val="center"/>
              <w:rPr>
                <w:sz w:val="14"/>
              </w:rPr>
            </w:pPr>
            <w:r>
              <w:rPr>
                <w:color w:val="4D4D4F"/>
                <w:w w:val="105"/>
                <w:sz w:val="14"/>
              </w:rPr>
              <w:t>N/A</w:t>
            </w:r>
          </w:p>
        </w:tc>
      </w:tr>
    </w:tbl>
    <w:p w14:paraId="79F30AE6" w14:textId="77777777" w:rsidR="00EF5B27" w:rsidRDefault="00EF5B27">
      <w:pPr>
        <w:pStyle w:val="BodyText"/>
        <w:spacing w:before="1"/>
        <w:rPr>
          <w:sz w:val="26"/>
        </w:rPr>
      </w:pPr>
    </w:p>
    <w:p w14:paraId="7BF6067F" w14:textId="77777777" w:rsidR="00EF5B27" w:rsidRDefault="00000000">
      <w:pPr>
        <w:pStyle w:val="BodyText"/>
        <w:spacing w:before="100"/>
        <w:ind w:left="2608"/>
      </w:pPr>
      <w:r>
        <w:rPr>
          <w:color w:val="4D4D4F"/>
        </w:rPr>
        <w:t>Comments: KPI 1 compares the results from vegetation mapping completed at</w:t>
      </w:r>
    </w:p>
    <w:p w14:paraId="28643A89" w14:textId="77777777" w:rsidR="00EF5B27" w:rsidRDefault="00000000">
      <w:pPr>
        <w:pStyle w:val="BodyText"/>
        <w:spacing w:before="16" w:line="254" w:lineRule="auto"/>
        <w:ind w:left="2608"/>
      </w:pPr>
      <w:r>
        <w:rPr>
          <w:color w:val="4D4D4F"/>
        </w:rPr>
        <w:t>five-yearly intervals. With respect to grassland state change, DELWP was unable to provide a formal assessment of KPI 1 in 2021, due to a recent change in its monitoring protocol leading to dataset incompatibility issues, therefore status, trend and data confidence assessments for KPI 1 are not presented here.</w:t>
      </w:r>
    </w:p>
    <w:p w14:paraId="2826721D" w14:textId="77777777" w:rsidR="00EF5B27" w:rsidRDefault="00EF5B27">
      <w:pPr>
        <w:pStyle w:val="BodyText"/>
      </w:pPr>
    </w:p>
    <w:p w14:paraId="65F47BEE" w14:textId="77777777" w:rsidR="00EF5B27" w:rsidRDefault="00000000">
      <w:pPr>
        <w:pStyle w:val="BodyText"/>
        <w:spacing w:before="3"/>
        <w:rPr>
          <w:sz w:val="19"/>
        </w:rPr>
      </w:pPr>
      <w:r>
        <w:pict w14:anchorId="547DEA46">
          <v:line id="_x0000_s4152" style="position:absolute;z-index:251366912;mso-wrap-distance-left:0;mso-wrap-distance-right:0;mso-position-horizontal-relative:page" from="184.6pt,14pt" to="538.3pt,14pt" strokecolor="#4d4d4f" strokeweight=".5pt">
            <w10:wrap type="topAndBottom" anchorx="page"/>
          </v:line>
        </w:pict>
      </w:r>
    </w:p>
    <w:p w14:paraId="6F43388B" w14:textId="77777777" w:rsidR="00EF5B27" w:rsidRDefault="00000000">
      <w:pPr>
        <w:pStyle w:val="ListParagraph"/>
        <w:numPr>
          <w:ilvl w:val="0"/>
          <w:numId w:val="65"/>
        </w:numPr>
        <w:tabs>
          <w:tab w:val="left" w:pos="2899"/>
        </w:tabs>
        <w:spacing w:before="83"/>
        <w:ind w:left="2898"/>
        <w:jc w:val="left"/>
        <w:rPr>
          <w:sz w:val="12"/>
        </w:rPr>
      </w:pPr>
      <w:r>
        <w:rPr>
          <w:color w:val="4D4D4F"/>
          <w:sz w:val="12"/>
        </w:rPr>
        <w:t>DELWP Officer, personal communication, 20 July</w:t>
      </w:r>
      <w:r>
        <w:rPr>
          <w:color w:val="4D4D4F"/>
          <w:spacing w:val="14"/>
          <w:sz w:val="12"/>
        </w:rPr>
        <w:t xml:space="preserve"> </w:t>
      </w:r>
      <w:r>
        <w:rPr>
          <w:color w:val="4D4D4F"/>
          <w:sz w:val="12"/>
        </w:rPr>
        <w:t>2021.</w:t>
      </w:r>
    </w:p>
    <w:p w14:paraId="00DD1999" w14:textId="77777777" w:rsidR="00EF5B27" w:rsidRDefault="00EF5B27">
      <w:pPr>
        <w:rPr>
          <w:sz w:val="12"/>
        </w:rPr>
        <w:sectPr w:rsidR="00EF5B27">
          <w:type w:val="continuous"/>
          <w:pgSz w:w="11910" w:h="16840"/>
          <w:pgMar w:top="1140" w:right="1020" w:bottom="280" w:left="1020" w:header="720" w:footer="720" w:gutter="0"/>
          <w:cols w:space="720"/>
        </w:sectPr>
      </w:pPr>
    </w:p>
    <w:p w14:paraId="3D2BA1AE" w14:textId="77777777" w:rsidR="00EF5B27" w:rsidRDefault="00000000">
      <w:pPr>
        <w:pStyle w:val="BodyText"/>
      </w:pPr>
      <w:r>
        <w:lastRenderedPageBreak/>
        <w:pict w14:anchorId="7D9169AD">
          <v:group id="_x0000_s4144" style="position:absolute;margin-left:587.05pt;margin-top:183.4pt;width:8.25pt;height:153.1pt;z-index:251431424;mso-position-horizontal-relative:page;mso-position-vertical-relative:page" coordorigin="11741,3668" coordsize="165,3062">
            <v:shape id="_x0000_s4151" style="position:absolute;left:11741;top:3668;width:165;height:561" coordorigin="11741,3668" coordsize="165,561" path="m11906,3668r-165,l11741,4228r165,-18l11906,3668xe" fillcolor="#00aed9" stroked="f">
              <v:path arrowok="t"/>
            </v:shape>
            <v:shape id="_x0000_s4150" style="position:absolute;left:11741;top:4118;width:165;height:425" coordorigin="11741,4118" coordsize="165,425" path="m11906,4118r-165,14l11741,4531r165,12l11906,4118xe" fillcolor="#047ebc" stroked="f">
              <v:path arrowok="t"/>
            </v:shape>
            <v:shape id="_x0000_s4149" type="#_x0000_t75" style="position:absolute;left:11741;top:4355;width:165;height:587">
              <v:imagedata r:id="rId42" o:title=""/>
            </v:shape>
            <v:shape id="_x0000_s4148" style="position:absolute;left:11741;top:5343;width:165;height:536" coordorigin="11741,5343" coordsize="165,536" path="m11741,5343r,535l11906,5872r,-525l11741,5343xe" fillcolor="#f36a2e" stroked="f">
              <v:path arrowok="t"/>
            </v:shape>
            <v:shape id="_x0000_s4147" style="position:absolute;left:11741;top:4925;width:165;height:501" coordorigin="11741,4926" coordsize="165,501" path="m11741,4926r,500l11906,5426r,-485l11741,4926xe" fillcolor="#49783f" stroked="f">
              <v:path arrowok="t"/>
            </v:shape>
            <v:shape id="_x0000_s4146" style="position:absolute;left:11741;top:5781;width:165;height:268" coordorigin="11741,5782" coordsize="165,268" path="m11906,5782r-165,8l11741,6039r165,10l11906,5782xe" fillcolor="#f99f2a" stroked="f">
              <v:path arrowok="t"/>
            </v:shape>
            <v:shape id="_x0000_s4145" style="position:absolute;left:11741;top:6023;width:165;height:707" coordorigin="11741,6023" coordsize="165,707" path="m11741,6023r,706l11906,6729r,-690l11741,6023xe" fillcolor="#ef412c" stroked="f">
              <v:path arrowok="t"/>
            </v:shape>
            <w10:wrap anchorx="page" anchory="page"/>
          </v:group>
        </w:pict>
      </w:r>
    </w:p>
    <w:p w14:paraId="4DE6524C" w14:textId="77777777" w:rsidR="00EF5B27" w:rsidRDefault="00EF5B27">
      <w:pPr>
        <w:pStyle w:val="BodyText"/>
      </w:pPr>
    </w:p>
    <w:p w14:paraId="17F01ADC" w14:textId="77777777" w:rsidR="00EF5B27" w:rsidRDefault="00EF5B27">
      <w:pPr>
        <w:pStyle w:val="BodyText"/>
      </w:pPr>
    </w:p>
    <w:p w14:paraId="714316F3" w14:textId="77777777" w:rsidR="00EF5B27" w:rsidRDefault="00EF5B27">
      <w:pPr>
        <w:pStyle w:val="BodyText"/>
      </w:pPr>
    </w:p>
    <w:p w14:paraId="35D46ED9" w14:textId="77777777" w:rsidR="00EF5B27" w:rsidRDefault="00EF5B27">
      <w:pPr>
        <w:pStyle w:val="BodyText"/>
      </w:pPr>
    </w:p>
    <w:p w14:paraId="31AD5D5D" w14:textId="77777777" w:rsidR="00EF5B27" w:rsidRDefault="00EF5B27">
      <w:pPr>
        <w:pStyle w:val="BodyText"/>
      </w:pPr>
    </w:p>
    <w:p w14:paraId="62E38D27" w14:textId="77777777" w:rsidR="00EF5B27" w:rsidRDefault="00EF5B27">
      <w:pPr>
        <w:pStyle w:val="BodyText"/>
      </w:pPr>
    </w:p>
    <w:p w14:paraId="4EAAFF3D" w14:textId="77777777" w:rsidR="00EF5B27" w:rsidRDefault="00EF5B27">
      <w:pPr>
        <w:pStyle w:val="BodyText"/>
      </w:pPr>
    </w:p>
    <w:p w14:paraId="110E9A7C" w14:textId="77777777" w:rsidR="00EF5B27" w:rsidRDefault="00EF5B27">
      <w:pPr>
        <w:pStyle w:val="BodyText"/>
      </w:pPr>
    </w:p>
    <w:p w14:paraId="784939EC" w14:textId="77777777" w:rsidR="00EF5B27" w:rsidRDefault="00EF5B27">
      <w:pPr>
        <w:pStyle w:val="BodyText"/>
        <w:spacing w:before="1"/>
      </w:pPr>
    </w:p>
    <w:p w14:paraId="2C3FF963" w14:textId="77777777" w:rsidR="00EF5B27" w:rsidRDefault="00000000">
      <w:pPr>
        <w:pStyle w:val="BodyText"/>
        <w:spacing w:before="100" w:line="254" w:lineRule="auto"/>
        <w:ind w:left="2608" w:right="112"/>
      </w:pPr>
      <w:r>
        <w:rPr>
          <w:color w:val="4D4D4F"/>
        </w:rPr>
        <w:t xml:space="preserve">Note that monitoring toward this KPI was not undertaken in 2020 due to </w:t>
      </w:r>
      <w:r>
        <w:rPr>
          <w:color w:val="4D4D4F"/>
          <w:spacing w:val="-3"/>
        </w:rPr>
        <w:t xml:space="preserve">COVID-19 </w:t>
      </w:r>
      <w:r>
        <w:rPr>
          <w:color w:val="4D4D4F"/>
        </w:rPr>
        <w:t xml:space="preserve">restrictions. DELWP has indicated that the interpretation of KPI 1 is now complicated by the shift to the use of point-based field surveys. This new survey method was prompted by the recommendations of </w:t>
      </w:r>
      <w:r>
        <w:rPr>
          <w:color w:val="4D4D4F"/>
          <w:spacing w:val="-3"/>
        </w:rPr>
        <w:t xml:space="preserve">VAGO, </w:t>
      </w:r>
      <w:r>
        <w:rPr>
          <w:color w:val="4D4D4F"/>
        </w:rPr>
        <w:t xml:space="preserve">covering the whole of the Western Grassland Reserve, and will offer a more repeatable means of assessing state change in future reports, according to </w:t>
      </w:r>
      <w:r>
        <w:rPr>
          <w:color w:val="4D4D4F"/>
          <w:spacing w:val="-3"/>
        </w:rPr>
        <w:t>DELWP.</w:t>
      </w:r>
      <w:r>
        <w:rPr>
          <w:color w:val="4D4D4F"/>
          <w:spacing w:val="-3"/>
          <w:position w:val="7"/>
          <w:sz w:val="11"/>
        </w:rPr>
        <w:t xml:space="preserve">49 </w:t>
      </w:r>
      <w:r>
        <w:rPr>
          <w:color w:val="4D4D4F"/>
        </w:rPr>
        <w:t xml:space="preserve">DELWP intended for this KPI to highlight changes brought about by dramatic changes in land use leading to wholescale degradation of grasslands on large scales (e.g. conversion to cropping,  fertiliser  application,  heavy and ongoing grazing which impacts on </w:t>
      </w:r>
      <w:r>
        <w:rPr>
          <w:rFonts w:ascii="Arial Narrow"/>
          <w:i/>
          <w:color w:val="4D4D4F"/>
        </w:rPr>
        <w:t>Themeda</w:t>
      </w:r>
      <w:r>
        <w:rPr>
          <w:color w:val="4D4D4F"/>
        </w:rPr>
        <w:t>).</w:t>
      </w:r>
      <w:r>
        <w:rPr>
          <w:color w:val="4D4D4F"/>
          <w:position w:val="7"/>
          <w:sz w:val="11"/>
        </w:rPr>
        <w:t xml:space="preserve">50 </w:t>
      </w:r>
      <w:r>
        <w:rPr>
          <w:color w:val="4D4D4F"/>
        </w:rPr>
        <w:t>It was not intended to deal with incremental</w:t>
      </w:r>
      <w:r>
        <w:rPr>
          <w:color w:val="4D4D4F"/>
          <w:spacing w:val="5"/>
        </w:rPr>
        <w:t xml:space="preserve"> </w:t>
      </w:r>
      <w:r>
        <w:rPr>
          <w:color w:val="4D4D4F"/>
        </w:rPr>
        <w:t>changes</w:t>
      </w:r>
      <w:r>
        <w:rPr>
          <w:color w:val="4D4D4F"/>
          <w:spacing w:val="6"/>
        </w:rPr>
        <w:t xml:space="preserve"> </w:t>
      </w:r>
      <w:r>
        <w:rPr>
          <w:color w:val="4D4D4F"/>
        </w:rPr>
        <w:t>on</w:t>
      </w:r>
      <w:r>
        <w:rPr>
          <w:color w:val="4D4D4F"/>
          <w:spacing w:val="6"/>
        </w:rPr>
        <w:t xml:space="preserve"> </w:t>
      </w:r>
      <w:r>
        <w:rPr>
          <w:color w:val="4D4D4F"/>
        </w:rPr>
        <w:t>a</w:t>
      </w:r>
      <w:r>
        <w:rPr>
          <w:color w:val="4D4D4F"/>
          <w:spacing w:val="6"/>
        </w:rPr>
        <w:t xml:space="preserve"> </w:t>
      </w:r>
      <w:r>
        <w:rPr>
          <w:color w:val="4D4D4F"/>
        </w:rPr>
        <w:t>fine</w:t>
      </w:r>
      <w:r>
        <w:rPr>
          <w:color w:val="4D4D4F"/>
          <w:spacing w:val="6"/>
        </w:rPr>
        <w:t xml:space="preserve"> </w:t>
      </w:r>
      <w:r>
        <w:rPr>
          <w:color w:val="4D4D4F"/>
        </w:rPr>
        <w:t>scale,</w:t>
      </w:r>
      <w:r>
        <w:rPr>
          <w:color w:val="4D4D4F"/>
          <w:spacing w:val="5"/>
        </w:rPr>
        <w:t xml:space="preserve"> </w:t>
      </w:r>
      <w:r>
        <w:rPr>
          <w:color w:val="4D4D4F"/>
        </w:rPr>
        <w:t>with</w:t>
      </w:r>
      <w:r>
        <w:rPr>
          <w:color w:val="4D4D4F"/>
          <w:spacing w:val="6"/>
        </w:rPr>
        <w:t xml:space="preserve"> </w:t>
      </w:r>
      <w:r>
        <w:rPr>
          <w:color w:val="4D4D4F"/>
        </w:rPr>
        <w:t>other</w:t>
      </w:r>
      <w:r>
        <w:rPr>
          <w:color w:val="4D4D4F"/>
          <w:spacing w:val="6"/>
        </w:rPr>
        <w:t xml:space="preserve"> </w:t>
      </w:r>
      <w:r>
        <w:rPr>
          <w:color w:val="4D4D4F"/>
        </w:rPr>
        <w:t>KPIs</w:t>
      </w:r>
      <w:r>
        <w:rPr>
          <w:color w:val="4D4D4F"/>
          <w:spacing w:val="6"/>
        </w:rPr>
        <w:t xml:space="preserve"> </w:t>
      </w:r>
      <w:r>
        <w:rPr>
          <w:color w:val="4D4D4F"/>
        </w:rPr>
        <w:t>being</w:t>
      </w:r>
      <w:r>
        <w:rPr>
          <w:color w:val="4D4D4F"/>
          <w:spacing w:val="6"/>
        </w:rPr>
        <w:t xml:space="preserve"> </w:t>
      </w:r>
      <w:r>
        <w:rPr>
          <w:color w:val="4D4D4F"/>
        </w:rPr>
        <w:t>more</w:t>
      </w:r>
      <w:r>
        <w:rPr>
          <w:color w:val="4D4D4F"/>
          <w:spacing w:val="5"/>
        </w:rPr>
        <w:t xml:space="preserve"> </w:t>
      </w:r>
      <w:r>
        <w:rPr>
          <w:color w:val="4D4D4F"/>
        </w:rPr>
        <w:t>appropriate</w:t>
      </w:r>
      <w:r>
        <w:rPr>
          <w:color w:val="4D4D4F"/>
          <w:spacing w:val="6"/>
        </w:rPr>
        <w:t xml:space="preserve"> </w:t>
      </w:r>
      <w:r>
        <w:rPr>
          <w:color w:val="4D4D4F"/>
        </w:rPr>
        <w:t>for</w:t>
      </w:r>
      <w:r>
        <w:rPr>
          <w:color w:val="4D4D4F"/>
          <w:spacing w:val="6"/>
        </w:rPr>
        <w:t xml:space="preserve"> </w:t>
      </w:r>
      <w:r>
        <w:rPr>
          <w:color w:val="4D4D4F"/>
        </w:rPr>
        <w:t>this.</w:t>
      </w:r>
    </w:p>
    <w:p w14:paraId="2D4F1F1C" w14:textId="77777777" w:rsidR="00EF5B27" w:rsidRDefault="00EF5B27">
      <w:pPr>
        <w:pStyle w:val="BodyText"/>
      </w:pPr>
    </w:p>
    <w:p w14:paraId="4F694E56" w14:textId="77777777" w:rsidR="00EF5B27" w:rsidRDefault="00EF5B27">
      <w:pPr>
        <w:pStyle w:val="BodyText"/>
        <w:spacing w:before="5"/>
        <w:rPr>
          <w:sz w:val="12"/>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12CE6B04" w14:textId="77777777">
        <w:trPr>
          <w:trHeight w:val="561"/>
        </w:trPr>
        <w:tc>
          <w:tcPr>
            <w:tcW w:w="2980" w:type="dxa"/>
            <w:shd w:val="clear" w:color="auto" w:fill="FECC91"/>
          </w:tcPr>
          <w:p w14:paraId="15EF18EE" w14:textId="77777777" w:rsidR="00EF5B27" w:rsidRDefault="00EF5B27">
            <w:pPr>
              <w:pStyle w:val="TableParagraph"/>
              <w:spacing w:before="7"/>
              <w:rPr>
                <w:sz w:val="15"/>
              </w:rPr>
            </w:pPr>
          </w:p>
          <w:p w14:paraId="109C1437" w14:textId="77777777" w:rsidR="00EF5B27" w:rsidRDefault="00000000">
            <w:pPr>
              <w:pStyle w:val="TableParagraph"/>
              <w:spacing w:before="1"/>
              <w:ind w:left="80"/>
              <w:rPr>
                <w:b/>
                <w:sz w:val="16"/>
              </w:rPr>
            </w:pPr>
            <w:r>
              <w:rPr>
                <w:b/>
                <w:sz w:val="16"/>
              </w:rPr>
              <w:t>KPI 2: Cover of native perennial forbs</w:t>
            </w:r>
          </w:p>
        </w:tc>
        <w:tc>
          <w:tcPr>
            <w:tcW w:w="1078" w:type="dxa"/>
            <w:shd w:val="clear" w:color="auto" w:fill="FECC91"/>
          </w:tcPr>
          <w:p w14:paraId="4EC04CD5"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425072D4" w14:textId="77777777" w:rsidR="00EF5B27" w:rsidRDefault="00EF5B27">
            <w:pPr>
              <w:pStyle w:val="TableParagraph"/>
              <w:spacing w:before="7"/>
              <w:rPr>
                <w:sz w:val="15"/>
              </w:rPr>
            </w:pPr>
          </w:p>
          <w:p w14:paraId="2351F4A0"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1A226E27" w14:textId="77777777" w:rsidR="00EF5B27" w:rsidRDefault="00EF5B27">
            <w:pPr>
              <w:pStyle w:val="TableParagraph"/>
              <w:spacing w:before="7"/>
              <w:rPr>
                <w:sz w:val="15"/>
              </w:rPr>
            </w:pPr>
          </w:p>
          <w:p w14:paraId="35E88158"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33B6E922"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0B1A80DE"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72E360C9" w14:textId="77777777">
        <w:trPr>
          <w:trHeight w:val="448"/>
        </w:trPr>
        <w:tc>
          <w:tcPr>
            <w:tcW w:w="2980" w:type="dxa"/>
          </w:tcPr>
          <w:p w14:paraId="13EC2BEF" w14:textId="77777777" w:rsidR="00EF5B27" w:rsidRDefault="00EF5B27">
            <w:pPr>
              <w:pStyle w:val="TableParagraph"/>
              <w:spacing w:before="11"/>
              <w:rPr>
                <w:sz w:val="11"/>
              </w:rPr>
            </w:pPr>
          </w:p>
          <w:p w14:paraId="665E1B21" w14:textId="77777777" w:rsidR="00EF5B27" w:rsidRDefault="00000000">
            <w:pPr>
              <w:pStyle w:val="TableParagraph"/>
              <w:ind w:left="80"/>
              <w:rPr>
                <w:sz w:val="14"/>
              </w:rPr>
            </w:pPr>
            <w:r>
              <w:rPr>
                <w:color w:val="4D4D4F"/>
                <w:w w:val="105"/>
                <w:sz w:val="14"/>
              </w:rPr>
              <w:t>Herb-rich grassland</w:t>
            </w:r>
          </w:p>
        </w:tc>
        <w:tc>
          <w:tcPr>
            <w:tcW w:w="1078" w:type="dxa"/>
          </w:tcPr>
          <w:p w14:paraId="4343C0BE" w14:textId="77777777" w:rsidR="00EF5B27" w:rsidRDefault="00EF5B27">
            <w:pPr>
              <w:pStyle w:val="TableParagraph"/>
              <w:spacing w:before="11"/>
              <w:rPr>
                <w:sz w:val="11"/>
              </w:rPr>
            </w:pPr>
          </w:p>
          <w:p w14:paraId="19460740" w14:textId="77777777" w:rsidR="00EF5B27" w:rsidRDefault="00000000">
            <w:pPr>
              <w:pStyle w:val="TableParagraph"/>
              <w:ind w:left="128" w:right="124"/>
              <w:jc w:val="center"/>
              <w:rPr>
                <w:sz w:val="14"/>
              </w:rPr>
            </w:pPr>
            <w:r>
              <w:rPr>
                <w:color w:val="4D4D4F"/>
                <w:sz w:val="14"/>
              </w:rPr>
              <w:t>Met</w:t>
            </w:r>
          </w:p>
        </w:tc>
        <w:tc>
          <w:tcPr>
            <w:tcW w:w="2155" w:type="dxa"/>
          </w:tcPr>
          <w:p w14:paraId="2E90EE01" w14:textId="77777777" w:rsidR="00EF5B27" w:rsidRDefault="00EF5B27">
            <w:pPr>
              <w:pStyle w:val="TableParagraph"/>
              <w:spacing w:before="11"/>
              <w:rPr>
                <w:sz w:val="11"/>
              </w:rPr>
            </w:pPr>
          </w:p>
          <w:p w14:paraId="09076858" w14:textId="77777777" w:rsidR="00EF5B27" w:rsidRDefault="00000000">
            <w:pPr>
              <w:pStyle w:val="TableParagraph"/>
              <w:ind w:left="139" w:right="142"/>
              <w:jc w:val="center"/>
              <w:rPr>
                <w:sz w:val="14"/>
              </w:rPr>
            </w:pPr>
            <w:r>
              <w:rPr>
                <w:color w:val="4D4D4F"/>
                <w:w w:val="105"/>
                <w:sz w:val="14"/>
              </w:rPr>
              <w:t>N/A</w:t>
            </w:r>
          </w:p>
        </w:tc>
        <w:tc>
          <w:tcPr>
            <w:tcW w:w="964" w:type="dxa"/>
          </w:tcPr>
          <w:p w14:paraId="7C3AB27C" w14:textId="77777777" w:rsidR="00EF5B27" w:rsidRDefault="00EF5B27">
            <w:pPr>
              <w:pStyle w:val="TableParagraph"/>
              <w:spacing w:before="8"/>
              <w:rPr>
                <w:sz w:val="8"/>
              </w:rPr>
            </w:pPr>
          </w:p>
          <w:p w14:paraId="72DE39ED" w14:textId="77777777" w:rsidR="00EF5B27" w:rsidRDefault="00000000">
            <w:pPr>
              <w:pStyle w:val="TableParagraph"/>
              <w:spacing w:line="232" w:lineRule="exact"/>
              <w:ind w:left="427"/>
              <w:rPr>
                <w:sz w:val="20"/>
              </w:rPr>
            </w:pPr>
            <w:r>
              <w:rPr>
                <w:noProof/>
                <w:position w:val="-4"/>
                <w:sz w:val="20"/>
              </w:rPr>
              <w:drawing>
                <wp:inline distT="0" distB="0" distL="0" distR="0" wp14:anchorId="4E90016A" wp14:editId="05932B2F">
                  <wp:extent cx="64988" cy="147637"/>
                  <wp:effectExtent l="0" t="0" r="0" b="0"/>
                  <wp:docPr id="7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6.png"/>
                          <pic:cNvPicPr/>
                        </pic:nvPicPr>
                        <pic:blipFill>
                          <a:blip r:embed="rId77" cstate="print"/>
                          <a:stretch>
                            <a:fillRect/>
                          </a:stretch>
                        </pic:blipFill>
                        <pic:spPr>
                          <a:xfrm>
                            <a:off x="0" y="0"/>
                            <a:ext cx="64988" cy="147637"/>
                          </a:xfrm>
                          <a:prstGeom prst="rect">
                            <a:avLst/>
                          </a:prstGeom>
                        </pic:spPr>
                      </pic:pic>
                    </a:graphicData>
                  </a:graphic>
                </wp:inline>
              </w:drawing>
            </w:r>
          </w:p>
        </w:tc>
        <w:tc>
          <w:tcPr>
            <w:tcW w:w="964" w:type="dxa"/>
          </w:tcPr>
          <w:p w14:paraId="5261351A" w14:textId="77777777" w:rsidR="00EF5B27" w:rsidRDefault="00EF5B27">
            <w:pPr>
              <w:pStyle w:val="TableParagraph"/>
              <w:spacing w:before="11"/>
              <w:rPr>
                <w:sz w:val="11"/>
              </w:rPr>
            </w:pPr>
          </w:p>
          <w:p w14:paraId="763F17F5" w14:textId="77777777" w:rsidR="00EF5B27" w:rsidRDefault="00000000">
            <w:pPr>
              <w:pStyle w:val="TableParagraph"/>
              <w:ind w:left="344"/>
              <w:rPr>
                <w:sz w:val="14"/>
              </w:rPr>
            </w:pPr>
            <w:r>
              <w:rPr>
                <w:color w:val="4D4D4F"/>
                <w:w w:val="105"/>
                <w:sz w:val="14"/>
              </w:rPr>
              <w:t>High</w:t>
            </w:r>
          </w:p>
        </w:tc>
        <w:tc>
          <w:tcPr>
            <w:tcW w:w="1489" w:type="dxa"/>
          </w:tcPr>
          <w:p w14:paraId="6D871952" w14:textId="77777777" w:rsidR="00EF5B27" w:rsidRDefault="00000000">
            <w:pPr>
              <w:pStyle w:val="TableParagraph"/>
              <w:spacing w:before="134"/>
              <w:ind w:left="588"/>
              <w:rPr>
                <w:sz w:val="16"/>
              </w:rPr>
            </w:pPr>
            <w:r>
              <w:rPr>
                <w:color w:val="4D4D4F"/>
                <w:sz w:val="16"/>
              </w:rPr>
              <w:t>2019</w:t>
            </w:r>
          </w:p>
        </w:tc>
      </w:tr>
      <w:tr w:rsidR="00EF5B27" w14:paraId="6F1A2EE8" w14:textId="77777777">
        <w:trPr>
          <w:trHeight w:val="448"/>
        </w:trPr>
        <w:tc>
          <w:tcPr>
            <w:tcW w:w="2980" w:type="dxa"/>
          </w:tcPr>
          <w:p w14:paraId="180504EB" w14:textId="77777777" w:rsidR="00EF5B27" w:rsidRDefault="00EF5B27">
            <w:pPr>
              <w:pStyle w:val="TableParagraph"/>
              <w:spacing w:before="11"/>
              <w:rPr>
                <w:sz w:val="11"/>
              </w:rPr>
            </w:pPr>
          </w:p>
          <w:p w14:paraId="139A75A1" w14:textId="77777777" w:rsidR="00EF5B27" w:rsidRDefault="00000000">
            <w:pPr>
              <w:pStyle w:val="TableParagraph"/>
              <w:ind w:left="80"/>
              <w:rPr>
                <w:sz w:val="14"/>
              </w:rPr>
            </w:pPr>
            <w:r>
              <w:rPr>
                <w:rFonts w:ascii="Arial Narrow"/>
                <w:i/>
                <w:color w:val="4D4D4F"/>
                <w:w w:val="110"/>
                <w:sz w:val="14"/>
              </w:rPr>
              <w:t xml:space="preserve">Themeda </w:t>
            </w:r>
            <w:r>
              <w:rPr>
                <w:color w:val="4D4D4F"/>
                <w:w w:val="110"/>
                <w:sz w:val="14"/>
              </w:rPr>
              <w:t>grassland</w:t>
            </w:r>
          </w:p>
        </w:tc>
        <w:tc>
          <w:tcPr>
            <w:tcW w:w="1078" w:type="dxa"/>
          </w:tcPr>
          <w:p w14:paraId="279F5531" w14:textId="77777777" w:rsidR="00EF5B27" w:rsidRDefault="00EF5B27">
            <w:pPr>
              <w:pStyle w:val="TableParagraph"/>
              <w:spacing w:before="11"/>
              <w:rPr>
                <w:sz w:val="11"/>
              </w:rPr>
            </w:pPr>
          </w:p>
          <w:p w14:paraId="2693F904" w14:textId="77777777" w:rsidR="00EF5B27" w:rsidRDefault="00000000">
            <w:pPr>
              <w:pStyle w:val="TableParagraph"/>
              <w:ind w:left="128" w:right="124"/>
              <w:jc w:val="center"/>
              <w:rPr>
                <w:sz w:val="14"/>
              </w:rPr>
            </w:pPr>
            <w:r>
              <w:rPr>
                <w:color w:val="4D4D4F"/>
                <w:sz w:val="14"/>
              </w:rPr>
              <w:t>Met</w:t>
            </w:r>
          </w:p>
        </w:tc>
        <w:tc>
          <w:tcPr>
            <w:tcW w:w="2155" w:type="dxa"/>
          </w:tcPr>
          <w:p w14:paraId="15C4DB7B" w14:textId="77777777" w:rsidR="00EF5B27" w:rsidRDefault="00EF5B27">
            <w:pPr>
              <w:pStyle w:val="TableParagraph"/>
              <w:spacing w:before="11"/>
              <w:rPr>
                <w:sz w:val="11"/>
              </w:rPr>
            </w:pPr>
          </w:p>
          <w:p w14:paraId="3C24CD09" w14:textId="77777777" w:rsidR="00EF5B27" w:rsidRDefault="00000000">
            <w:pPr>
              <w:pStyle w:val="TableParagraph"/>
              <w:ind w:left="139" w:right="142"/>
              <w:jc w:val="center"/>
              <w:rPr>
                <w:sz w:val="14"/>
              </w:rPr>
            </w:pPr>
            <w:r>
              <w:rPr>
                <w:color w:val="4D4D4F"/>
                <w:w w:val="105"/>
                <w:sz w:val="14"/>
              </w:rPr>
              <w:t>N/A</w:t>
            </w:r>
          </w:p>
        </w:tc>
        <w:tc>
          <w:tcPr>
            <w:tcW w:w="964" w:type="dxa"/>
          </w:tcPr>
          <w:p w14:paraId="6ADA9374" w14:textId="77777777" w:rsidR="00EF5B27" w:rsidRDefault="00EF5B27">
            <w:pPr>
              <w:pStyle w:val="TableParagraph"/>
              <w:spacing w:before="8"/>
              <w:rPr>
                <w:sz w:val="8"/>
              </w:rPr>
            </w:pPr>
          </w:p>
          <w:p w14:paraId="5E57CA64" w14:textId="77777777" w:rsidR="00EF5B27" w:rsidRDefault="00000000">
            <w:pPr>
              <w:pStyle w:val="TableParagraph"/>
              <w:spacing w:line="232" w:lineRule="exact"/>
              <w:ind w:left="427"/>
              <w:rPr>
                <w:sz w:val="20"/>
              </w:rPr>
            </w:pPr>
            <w:r>
              <w:rPr>
                <w:noProof/>
                <w:position w:val="-4"/>
                <w:sz w:val="20"/>
              </w:rPr>
              <w:drawing>
                <wp:inline distT="0" distB="0" distL="0" distR="0" wp14:anchorId="79EC5E39" wp14:editId="7BE79ABA">
                  <wp:extent cx="64988" cy="147637"/>
                  <wp:effectExtent l="0" t="0" r="0" b="0"/>
                  <wp:docPr id="7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6.png"/>
                          <pic:cNvPicPr/>
                        </pic:nvPicPr>
                        <pic:blipFill>
                          <a:blip r:embed="rId77" cstate="print"/>
                          <a:stretch>
                            <a:fillRect/>
                          </a:stretch>
                        </pic:blipFill>
                        <pic:spPr>
                          <a:xfrm>
                            <a:off x="0" y="0"/>
                            <a:ext cx="64988" cy="147637"/>
                          </a:xfrm>
                          <a:prstGeom prst="rect">
                            <a:avLst/>
                          </a:prstGeom>
                        </pic:spPr>
                      </pic:pic>
                    </a:graphicData>
                  </a:graphic>
                </wp:inline>
              </w:drawing>
            </w:r>
          </w:p>
        </w:tc>
        <w:tc>
          <w:tcPr>
            <w:tcW w:w="964" w:type="dxa"/>
          </w:tcPr>
          <w:p w14:paraId="68FC44E7" w14:textId="77777777" w:rsidR="00EF5B27" w:rsidRDefault="00EF5B27">
            <w:pPr>
              <w:pStyle w:val="TableParagraph"/>
              <w:spacing w:before="11"/>
              <w:rPr>
                <w:sz w:val="11"/>
              </w:rPr>
            </w:pPr>
          </w:p>
          <w:p w14:paraId="30EC454F" w14:textId="77777777" w:rsidR="00EF5B27" w:rsidRDefault="00000000">
            <w:pPr>
              <w:pStyle w:val="TableParagraph"/>
              <w:ind w:left="344"/>
              <w:rPr>
                <w:sz w:val="14"/>
              </w:rPr>
            </w:pPr>
            <w:r>
              <w:rPr>
                <w:color w:val="4D4D4F"/>
                <w:w w:val="105"/>
                <w:sz w:val="14"/>
              </w:rPr>
              <w:t>High</w:t>
            </w:r>
          </w:p>
        </w:tc>
        <w:tc>
          <w:tcPr>
            <w:tcW w:w="1489" w:type="dxa"/>
          </w:tcPr>
          <w:p w14:paraId="732BB70C" w14:textId="77777777" w:rsidR="00EF5B27" w:rsidRDefault="00000000">
            <w:pPr>
              <w:pStyle w:val="TableParagraph"/>
              <w:spacing w:before="134"/>
              <w:ind w:left="587"/>
              <w:rPr>
                <w:sz w:val="16"/>
              </w:rPr>
            </w:pPr>
            <w:r>
              <w:rPr>
                <w:color w:val="4D4D4F"/>
                <w:sz w:val="16"/>
              </w:rPr>
              <w:t>2018</w:t>
            </w:r>
          </w:p>
        </w:tc>
      </w:tr>
      <w:tr w:rsidR="00EF5B27" w14:paraId="5DCD6063" w14:textId="77777777">
        <w:trPr>
          <w:trHeight w:val="448"/>
        </w:trPr>
        <w:tc>
          <w:tcPr>
            <w:tcW w:w="2980" w:type="dxa"/>
          </w:tcPr>
          <w:p w14:paraId="5A867BAE" w14:textId="77777777" w:rsidR="00EF5B27" w:rsidRDefault="00EF5B27">
            <w:pPr>
              <w:pStyle w:val="TableParagraph"/>
              <w:spacing w:before="11"/>
              <w:rPr>
                <w:sz w:val="11"/>
              </w:rPr>
            </w:pPr>
          </w:p>
          <w:p w14:paraId="7443B6B9" w14:textId="77777777" w:rsidR="00EF5B27" w:rsidRDefault="00000000">
            <w:pPr>
              <w:pStyle w:val="TableParagraph"/>
              <w:ind w:left="80"/>
              <w:rPr>
                <w:sz w:val="14"/>
              </w:rPr>
            </w:pPr>
            <w:r>
              <w:rPr>
                <w:color w:val="4D4D4F"/>
                <w:w w:val="105"/>
                <w:sz w:val="14"/>
              </w:rPr>
              <w:t>C3 grassland</w:t>
            </w:r>
          </w:p>
        </w:tc>
        <w:tc>
          <w:tcPr>
            <w:tcW w:w="1078" w:type="dxa"/>
          </w:tcPr>
          <w:p w14:paraId="64C5C25A" w14:textId="77777777" w:rsidR="00EF5B27" w:rsidRDefault="00EF5B27">
            <w:pPr>
              <w:pStyle w:val="TableParagraph"/>
              <w:spacing w:before="11"/>
              <w:rPr>
                <w:sz w:val="11"/>
              </w:rPr>
            </w:pPr>
          </w:p>
          <w:p w14:paraId="11BDED4F"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3E45B7C8" w14:textId="77777777" w:rsidR="00EF5B27" w:rsidRDefault="00EF5B27">
            <w:pPr>
              <w:pStyle w:val="TableParagraph"/>
              <w:spacing w:before="11"/>
              <w:rPr>
                <w:sz w:val="11"/>
              </w:rPr>
            </w:pPr>
          </w:p>
          <w:p w14:paraId="13A84375" w14:textId="77777777" w:rsidR="00EF5B27" w:rsidRDefault="00000000">
            <w:pPr>
              <w:pStyle w:val="TableParagraph"/>
              <w:ind w:left="143" w:right="142"/>
              <w:jc w:val="center"/>
              <w:rPr>
                <w:sz w:val="14"/>
              </w:rPr>
            </w:pPr>
            <w:r>
              <w:rPr>
                <w:color w:val="4D4D4F"/>
                <w:sz w:val="14"/>
              </w:rPr>
              <w:t>Baseline not yet set</w:t>
            </w:r>
          </w:p>
        </w:tc>
        <w:tc>
          <w:tcPr>
            <w:tcW w:w="964" w:type="dxa"/>
          </w:tcPr>
          <w:p w14:paraId="3930A424" w14:textId="77777777" w:rsidR="00EF5B27" w:rsidRDefault="00EF5B27">
            <w:pPr>
              <w:pStyle w:val="TableParagraph"/>
              <w:spacing w:before="4"/>
              <w:rPr>
                <w:sz w:val="7"/>
              </w:rPr>
            </w:pPr>
          </w:p>
          <w:p w14:paraId="1A15BB3E" w14:textId="77777777" w:rsidR="00EF5B27" w:rsidRDefault="00000000">
            <w:pPr>
              <w:pStyle w:val="TableParagraph"/>
              <w:spacing w:line="187" w:lineRule="exact"/>
              <w:ind w:left="400"/>
              <w:rPr>
                <w:sz w:val="18"/>
              </w:rPr>
            </w:pPr>
            <w:r>
              <w:rPr>
                <w:noProof/>
                <w:position w:val="-3"/>
                <w:sz w:val="18"/>
              </w:rPr>
              <w:drawing>
                <wp:inline distT="0" distB="0" distL="0" distR="0" wp14:anchorId="7F27D2AB" wp14:editId="35C9E920">
                  <wp:extent cx="100411" cy="118872"/>
                  <wp:effectExtent l="0" t="0" r="0" b="0"/>
                  <wp:docPr id="8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7.png"/>
                          <pic:cNvPicPr/>
                        </pic:nvPicPr>
                        <pic:blipFill>
                          <a:blip r:embed="rId78" cstate="print"/>
                          <a:stretch>
                            <a:fillRect/>
                          </a:stretch>
                        </pic:blipFill>
                        <pic:spPr>
                          <a:xfrm>
                            <a:off x="0" y="0"/>
                            <a:ext cx="100411" cy="118872"/>
                          </a:xfrm>
                          <a:prstGeom prst="rect">
                            <a:avLst/>
                          </a:prstGeom>
                        </pic:spPr>
                      </pic:pic>
                    </a:graphicData>
                  </a:graphic>
                </wp:inline>
              </w:drawing>
            </w:r>
          </w:p>
          <w:p w14:paraId="4EBCFBE9" w14:textId="77777777" w:rsidR="00EF5B27" w:rsidRDefault="00EF5B27">
            <w:pPr>
              <w:pStyle w:val="TableParagraph"/>
              <w:spacing w:before="8"/>
              <w:rPr>
                <w:sz w:val="2"/>
              </w:rPr>
            </w:pPr>
          </w:p>
          <w:p w14:paraId="4318F0F0" w14:textId="77777777" w:rsidR="00EF5B27" w:rsidRDefault="00000000">
            <w:pPr>
              <w:pStyle w:val="TableParagraph"/>
              <w:spacing w:line="48" w:lineRule="exact"/>
              <w:ind w:left="448"/>
              <w:rPr>
                <w:sz w:val="4"/>
              </w:rPr>
            </w:pPr>
            <w:r>
              <w:rPr>
                <w:sz w:val="4"/>
              </w:rPr>
            </w:r>
            <w:r>
              <w:rPr>
                <w:sz w:val="4"/>
              </w:rPr>
              <w:pict w14:anchorId="31E610AA">
                <v:group id="_x0000_s4142" style="width:2.45pt;height:2.45pt;mso-position-horizontal-relative:char;mso-position-vertical-relative:line" coordsize="49,49">
                  <v:shape id="_x0000_s4143" style="position:absolute;width:49;height:49" coordsize="49,49" path="m31,l18,,12,2,2,12,,17,,31r2,6l12,46r6,3l31,49r6,-3l46,37r3,-6l49,17,46,12,37,2,31,xe" fillcolor="#808285" stroked="f">
                    <v:path arrowok="t"/>
                  </v:shape>
                  <w10:wrap type="none"/>
                  <w10:anchorlock/>
                </v:group>
              </w:pict>
            </w:r>
          </w:p>
        </w:tc>
        <w:tc>
          <w:tcPr>
            <w:tcW w:w="964" w:type="dxa"/>
          </w:tcPr>
          <w:p w14:paraId="2EDFF21E" w14:textId="77777777" w:rsidR="00EF5B27" w:rsidRDefault="00EF5B27">
            <w:pPr>
              <w:pStyle w:val="TableParagraph"/>
              <w:spacing w:before="11"/>
              <w:rPr>
                <w:sz w:val="11"/>
              </w:rPr>
            </w:pPr>
          </w:p>
          <w:p w14:paraId="605834F3" w14:textId="77777777" w:rsidR="00EF5B27" w:rsidRDefault="00000000">
            <w:pPr>
              <w:pStyle w:val="TableParagraph"/>
              <w:ind w:left="368"/>
              <w:rPr>
                <w:sz w:val="14"/>
              </w:rPr>
            </w:pPr>
            <w:r>
              <w:rPr>
                <w:color w:val="4D4D4F"/>
                <w:w w:val="105"/>
                <w:sz w:val="14"/>
              </w:rPr>
              <w:t>N/A</w:t>
            </w:r>
          </w:p>
        </w:tc>
        <w:tc>
          <w:tcPr>
            <w:tcW w:w="1489" w:type="dxa"/>
          </w:tcPr>
          <w:p w14:paraId="32F43621" w14:textId="77777777" w:rsidR="00EF5B27" w:rsidRDefault="00000000">
            <w:pPr>
              <w:pStyle w:val="TableParagraph"/>
              <w:spacing w:before="134"/>
              <w:ind w:left="579"/>
              <w:rPr>
                <w:sz w:val="16"/>
              </w:rPr>
            </w:pPr>
            <w:r>
              <w:rPr>
                <w:color w:val="4D4D4F"/>
                <w:sz w:val="16"/>
              </w:rPr>
              <w:t>2022</w:t>
            </w:r>
          </w:p>
        </w:tc>
      </w:tr>
      <w:tr w:rsidR="00EF5B27" w14:paraId="5DC6BE69" w14:textId="77777777">
        <w:trPr>
          <w:trHeight w:val="448"/>
        </w:trPr>
        <w:tc>
          <w:tcPr>
            <w:tcW w:w="2980" w:type="dxa"/>
          </w:tcPr>
          <w:p w14:paraId="2AF78BFC" w14:textId="77777777" w:rsidR="00EF5B27" w:rsidRDefault="00EF5B27">
            <w:pPr>
              <w:pStyle w:val="TableParagraph"/>
              <w:spacing w:before="11"/>
              <w:rPr>
                <w:sz w:val="11"/>
              </w:rPr>
            </w:pPr>
          </w:p>
          <w:p w14:paraId="75C20A1A" w14:textId="77777777" w:rsidR="00EF5B27" w:rsidRDefault="00000000">
            <w:pPr>
              <w:pStyle w:val="TableParagraph"/>
              <w:ind w:left="80"/>
              <w:rPr>
                <w:sz w:val="14"/>
              </w:rPr>
            </w:pPr>
            <w:r>
              <w:rPr>
                <w:color w:val="4D4D4F"/>
                <w:w w:val="105"/>
                <w:sz w:val="14"/>
              </w:rPr>
              <w:t>Nutrient-enriched grassland</w:t>
            </w:r>
          </w:p>
        </w:tc>
        <w:tc>
          <w:tcPr>
            <w:tcW w:w="1078" w:type="dxa"/>
          </w:tcPr>
          <w:p w14:paraId="300A7332" w14:textId="77777777" w:rsidR="00EF5B27" w:rsidRDefault="00EF5B27">
            <w:pPr>
              <w:pStyle w:val="TableParagraph"/>
              <w:spacing w:before="11"/>
              <w:rPr>
                <w:sz w:val="11"/>
              </w:rPr>
            </w:pPr>
          </w:p>
          <w:p w14:paraId="1BF2006F" w14:textId="77777777" w:rsidR="00EF5B27" w:rsidRDefault="00000000">
            <w:pPr>
              <w:pStyle w:val="TableParagraph"/>
              <w:ind w:left="128" w:right="125"/>
              <w:jc w:val="center"/>
              <w:rPr>
                <w:sz w:val="14"/>
              </w:rPr>
            </w:pPr>
            <w:r>
              <w:rPr>
                <w:color w:val="4D4D4F"/>
                <w:sz w:val="14"/>
              </w:rPr>
              <w:t>Not met</w:t>
            </w:r>
          </w:p>
        </w:tc>
        <w:tc>
          <w:tcPr>
            <w:tcW w:w="2155" w:type="dxa"/>
          </w:tcPr>
          <w:p w14:paraId="2E076FCD" w14:textId="77777777" w:rsidR="00EF5B27" w:rsidRDefault="00EF5B27">
            <w:pPr>
              <w:pStyle w:val="TableParagraph"/>
              <w:spacing w:before="11"/>
              <w:rPr>
                <w:sz w:val="11"/>
              </w:rPr>
            </w:pPr>
          </w:p>
          <w:p w14:paraId="6E58DE44" w14:textId="77777777" w:rsidR="00EF5B27" w:rsidRDefault="00000000">
            <w:pPr>
              <w:pStyle w:val="TableParagraph"/>
              <w:ind w:left="138" w:right="142"/>
              <w:jc w:val="center"/>
              <w:rPr>
                <w:sz w:val="14"/>
              </w:rPr>
            </w:pPr>
            <w:r>
              <w:rPr>
                <w:color w:val="4D4D4F"/>
                <w:w w:val="105"/>
                <w:sz w:val="14"/>
              </w:rPr>
              <w:t>N/A</w:t>
            </w:r>
          </w:p>
        </w:tc>
        <w:tc>
          <w:tcPr>
            <w:tcW w:w="964" w:type="dxa"/>
          </w:tcPr>
          <w:p w14:paraId="6253CBE4" w14:textId="77777777" w:rsidR="00EF5B27" w:rsidRDefault="00EF5B27">
            <w:pPr>
              <w:pStyle w:val="TableParagraph"/>
              <w:spacing w:before="1"/>
              <w:rPr>
                <w:sz w:val="15"/>
              </w:rPr>
            </w:pPr>
          </w:p>
          <w:p w14:paraId="43C1C6F7" w14:textId="77777777" w:rsidR="00EF5B27" w:rsidRDefault="00000000">
            <w:pPr>
              <w:pStyle w:val="TableParagraph"/>
              <w:spacing w:line="101" w:lineRule="exact"/>
              <w:ind w:left="361"/>
              <w:rPr>
                <w:sz w:val="10"/>
              </w:rPr>
            </w:pPr>
            <w:r>
              <w:rPr>
                <w:noProof/>
                <w:position w:val="-1"/>
                <w:sz w:val="10"/>
              </w:rPr>
              <w:drawing>
                <wp:inline distT="0" distB="0" distL="0" distR="0" wp14:anchorId="621A0DDE" wp14:editId="1C92DBC3">
                  <wp:extent cx="149256" cy="64388"/>
                  <wp:effectExtent l="0" t="0" r="0" b="0"/>
                  <wp:docPr id="8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8.png"/>
                          <pic:cNvPicPr/>
                        </pic:nvPicPr>
                        <pic:blipFill>
                          <a:blip r:embed="rId79" cstate="print"/>
                          <a:stretch>
                            <a:fillRect/>
                          </a:stretch>
                        </pic:blipFill>
                        <pic:spPr>
                          <a:xfrm>
                            <a:off x="0" y="0"/>
                            <a:ext cx="149256" cy="64388"/>
                          </a:xfrm>
                          <a:prstGeom prst="rect">
                            <a:avLst/>
                          </a:prstGeom>
                        </pic:spPr>
                      </pic:pic>
                    </a:graphicData>
                  </a:graphic>
                </wp:inline>
              </w:drawing>
            </w:r>
          </w:p>
        </w:tc>
        <w:tc>
          <w:tcPr>
            <w:tcW w:w="964" w:type="dxa"/>
          </w:tcPr>
          <w:p w14:paraId="7BFAC319" w14:textId="77777777" w:rsidR="00EF5B27" w:rsidRDefault="00EF5B27">
            <w:pPr>
              <w:pStyle w:val="TableParagraph"/>
              <w:spacing w:before="11"/>
              <w:rPr>
                <w:sz w:val="11"/>
              </w:rPr>
            </w:pPr>
          </w:p>
          <w:p w14:paraId="5E1BA053" w14:textId="77777777" w:rsidR="00EF5B27" w:rsidRDefault="00000000">
            <w:pPr>
              <w:pStyle w:val="TableParagraph"/>
              <w:ind w:left="344"/>
              <w:rPr>
                <w:sz w:val="14"/>
              </w:rPr>
            </w:pPr>
            <w:r>
              <w:rPr>
                <w:color w:val="4D4D4F"/>
                <w:w w:val="105"/>
                <w:sz w:val="14"/>
              </w:rPr>
              <w:t>High</w:t>
            </w:r>
          </w:p>
        </w:tc>
        <w:tc>
          <w:tcPr>
            <w:tcW w:w="1489" w:type="dxa"/>
          </w:tcPr>
          <w:p w14:paraId="64E26EEF" w14:textId="77777777" w:rsidR="00EF5B27" w:rsidRDefault="00000000">
            <w:pPr>
              <w:pStyle w:val="TableParagraph"/>
              <w:spacing w:before="134"/>
              <w:ind w:left="588"/>
              <w:rPr>
                <w:sz w:val="16"/>
              </w:rPr>
            </w:pPr>
            <w:r>
              <w:rPr>
                <w:color w:val="4D4D4F"/>
                <w:sz w:val="16"/>
              </w:rPr>
              <w:t>2017</w:t>
            </w:r>
          </w:p>
        </w:tc>
      </w:tr>
      <w:tr w:rsidR="00EF5B27" w14:paraId="05426E29" w14:textId="77777777">
        <w:trPr>
          <w:trHeight w:val="448"/>
        </w:trPr>
        <w:tc>
          <w:tcPr>
            <w:tcW w:w="2980" w:type="dxa"/>
          </w:tcPr>
          <w:p w14:paraId="2C839817" w14:textId="77777777" w:rsidR="00EF5B27" w:rsidRDefault="00EF5B27">
            <w:pPr>
              <w:pStyle w:val="TableParagraph"/>
              <w:spacing w:before="11"/>
              <w:rPr>
                <w:sz w:val="11"/>
              </w:rPr>
            </w:pPr>
          </w:p>
          <w:p w14:paraId="4F6E6AF1" w14:textId="77777777" w:rsidR="00EF5B27" w:rsidRDefault="00000000">
            <w:pPr>
              <w:pStyle w:val="TableParagraph"/>
              <w:ind w:left="80"/>
              <w:rPr>
                <w:sz w:val="14"/>
              </w:rPr>
            </w:pPr>
            <w:r>
              <w:rPr>
                <w:color w:val="4D4D4F"/>
                <w:w w:val="105"/>
                <w:sz w:val="14"/>
              </w:rPr>
              <w:t>De-rocked grassland</w:t>
            </w:r>
          </w:p>
        </w:tc>
        <w:tc>
          <w:tcPr>
            <w:tcW w:w="1078" w:type="dxa"/>
          </w:tcPr>
          <w:p w14:paraId="5A098F6B" w14:textId="77777777" w:rsidR="00EF5B27" w:rsidRDefault="00EF5B27">
            <w:pPr>
              <w:pStyle w:val="TableParagraph"/>
              <w:spacing w:before="11"/>
              <w:rPr>
                <w:sz w:val="11"/>
              </w:rPr>
            </w:pPr>
          </w:p>
          <w:p w14:paraId="3BCFDCFB"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305D4C3F" w14:textId="77777777" w:rsidR="00EF5B27" w:rsidRDefault="00EF5B27">
            <w:pPr>
              <w:pStyle w:val="TableParagraph"/>
              <w:spacing w:before="11"/>
              <w:rPr>
                <w:sz w:val="11"/>
              </w:rPr>
            </w:pPr>
          </w:p>
          <w:p w14:paraId="0642D62C" w14:textId="77777777" w:rsidR="00EF5B27" w:rsidRDefault="00000000">
            <w:pPr>
              <w:pStyle w:val="TableParagraph"/>
              <w:ind w:left="143" w:right="142"/>
              <w:jc w:val="center"/>
              <w:rPr>
                <w:sz w:val="14"/>
              </w:rPr>
            </w:pPr>
            <w:r>
              <w:rPr>
                <w:color w:val="4D4D4F"/>
                <w:sz w:val="14"/>
              </w:rPr>
              <w:t>Baseline not yet set</w:t>
            </w:r>
          </w:p>
        </w:tc>
        <w:tc>
          <w:tcPr>
            <w:tcW w:w="964" w:type="dxa"/>
          </w:tcPr>
          <w:p w14:paraId="4D1EFBD3" w14:textId="77777777" w:rsidR="00EF5B27" w:rsidRDefault="00EF5B27">
            <w:pPr>
              <w:pStyle w:val="TableParagraph"/>
              <w:spacing w:before="4"/>
              <w:rPr>
                <w:sz w:val="7"/>
              </w:rPr>
            </w:pPr>
          </w:p>
          <w:p w14:paraId="38AF9D14" w14:textId="77777777" w:rsidR="00EF5B27" w:rsidRDefault="00000000">
            <w:pPr>
              <w:pStyle w:val="TableParagraph"/>
              <w:spacing w:line="187" w:lineRule="exact"/>
              <w:ind w:left="400"/>
              <w:rPr>
                <w:sz w:val="18"/>
              </w:rPr>
            </w:pPr>
            <w:r>
              <w:rPr>
                <w:noProof/>
                <w:position w:val="-3"/>
                <w:sz w:val="18"/>
              </w:rPr>
              <w:drawing>
                <wp:inline distT="0" distB="0" distL="0" distR="0" wp14:anchorId="490580B6" wp14:editId="73279AC9">
                  <wp:extent cx="100411" cy="118872"/>
                  <wp:effectExtent l="0" t="0" r="0" b="0"/>
                  <wp:docPr id="85"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7.png"/>
                          <pic:cNvPicPr/>
                        </pic:nvPicPr>
                        <pic:blipFill>
                          <a:blip r:embed="rId78" cstate="print"/>
                          <a:stretch>
                            <a:fillRect/>
                          </a:stretch>
                        </pic:blipFill>
                        <pic:spPr>
                          <a:xfrm>
                            <a:off x="0" y="0"/>
                            <a:ext cx="100411" cy="118872"/>
                          </a:xfrm>
                          <a:prstGeom prst="rect">
                            <a:avLst/>
                          </a:prstGeom>
                        </pic:spPr>
                      </pic:pic>
                    </a:graphicData>
                  </a:graphic>
                </wp:inline>
              </w:drawing>
            </w:r>
          </w:p>
          <w:p w14:paraId="4429D06C" w14:textId="77777777" w:rsidR="00EF5B27" w:rsidRDefault="00EF5B27">
            <w:pPr>
              <w:pStyle w:val="TableParagraph"/>
              <w:spacing w:before="8"/>
              <w:rPr>
                <w:sz w:val="2"/>
              </w:rPr>
            </w:pPr>
          </w:p>
          <w:p w14:paraId="132D9601" w14:textId="77777777" w:rsidR="00EF5B27" w:rsidRDefault="00000000">
            <w:pPr>
              <w:pStyle w:val="TableParagraph"/>
              <w:spacing w:line="48" w:lineRule="exact"/>
              <w:ind w:left="448"/>
              <w:rPr>
                <w:sz w:val="4"/>
              </w:rPr>
            </w:pPr>
            <w:r>
              <w:rPr>
                <w:sz w:val="4"/>
              </w:rPr>
            </w:r>
            <w:r>
              <w:rPr>
                <w:sz w:val="4"/>
              </w:rPr>
              <w:pict w14:anchorId="68D97ADB">
                <v:group id="_x0000_s4140" style="width:2.45pt;height:2.45pt;mso-position-horizontal-relative:char;mso-position-vertical-relative:line" coordsize="49,49">
                  <v:shape id="_x0000_s4141" style="position:absolute;width:49;height:49" coordsize="49,49" path="m31,l18,,12,2,2,12,,17,,31r2,6l12,46r6,3l31,49r6,-3l46,37r3,-6l49,17,46,12,37,2,31,xe" fillcolor="#808285" stroked="f">
                    <v:path arrowok="t"/>
                  </v:shape>
                  <w10:wrap type="none"/>
                  <w10:anchorlock/>
                </v:group>
              </w:pict>
            </w:r>
          </w:p>
        </w:tc>
        <w:tc>
          <w:tcPr>
            <w:tcW w:w="964" w:type="dxa"/>
          </w:tcPr>
          <w:p w14:paraId="56E064E0" w14:textId="77777777" w:rsidR="00EF5B27" w:rsidRDefault="00EF5B27">
            <w:pPr>
              <w:pStyle w:val="TableParagraph"/>
              <w:spacing w:before="11"/>
              <w:rPr>
                <w:sz w:val="11"/>
              </w:rPr>
            </w:pPr>
          </w:p>
          <w:p w14:paraId="798ACE45" w14:textId="77777777" w:rsidR="00EF5B27" w:rsidRDefault="00000000">
            <w:pPr>
              <w:pStyle w:val="TableParagraph"/>
              <w:ind w:left="368"/>
              <w:rPr>
                <w:sz w:val="14"/>
              </w:rPr>
            </w:pPr>
            <w:r>
              <w:rPr>
                <w:color w:val="4D4D4F"/>
                <w:w w:val="105"/>
                <w:sz w:val="14"/>
              </w:rPr>
              <w:t>N/A</w:t>
            </w:r>
          </w:p>
        </w:tc>
        <w:tc>
          <w:tcPr>
            <w:tcW w:w="1489" w:type="dxa"/>
          </w:tcPr>
          <w:p w14:paraId="5D1838A8" w14:textId="77777777" w:rsidR="00EF5B27" w:rsidRDefault="00000000">
            <w:pPr>
              <w:pStyle w:val="TableParagraph"/>
              <w:spacing w:before="134"/>
              <w:ind w:left="579"/>
              <w:rPr>
                <w:sz w:val="16"/>
              </w:rPr>
            </w:pPr>
            <w:r>
              <w:rPr>
                <w:color w:val="4D4D4F"/>
                <w:sz w:val="16"/>
              </w:rPr>
              <w:t>2023</w:t>
            </w:r>
          </w:p>
        </w:tc>
      </w:tr>
    </w:tbl>
    <w:p w14:paraId="6088C84D" w14:textId="77777777" w:rsidR="00EF5B27" w:rsidRDefault="00EF5B27">
      <w:pPr>
        <w:pStyle w:val="BodyText"/>
        <w:spacing w:before="3"/>
        <w:rPr>
          <w:sz w:val="34"/>
        </w:rPr>
      </w:pPr>
    </w:p>
    <w:p w14:paraId="7A790EA8" w14:textId="77777777" w:rsidR="00EF5B27" w:rsidRDefault="00000000">
      <w:pPr>
        <w:pStyle w:val="BodyText"/>
        <w:spacing w:before="1" w:line="254" w:lineRule="auto"/>
        <w:ind w:left="2608" w:right="287"/>
      </w:pPr>
      <w:r>
        <w:rPr>
          <w:color w:val="4D4D4F"/>
        </w:rPr>
        <w:t>Comments: KPI 2 measures the cover of the valuable and diverse native perennial forb component, which includes many rare species.</w:t>
      </w:r>
      <w:r>
        <w:rPr>
          <w:color w:val="4D4D4F"/>
          <w:position w:val="7"/>
          <w:sz w:val="11"/>
        </w:rPr>
        <w:t xml:space="preserve">51 </w:t>
      </w:r>
      <w:r>
        <w:rPr>
          <w:color w:val="4D4D4F"/>
        </w:rPr>
        <w:t xml:space="preserve">This KPI was met in two states: Herb-rich grassland and </w:t>
      </w:r>
      <w:r>
        <w:rPr>
          <w:rFonts w:ascii="Arial Narrow" w:hAnsi="Arial Narrow"/>
          <w:i/>
          <w:color w:val="4D4D4F"/>
        </w:rPr>
        <w:t xml:space="preserve">Themeda </w:t>
      </w:r>
      <w:r>
        <w:rPr>
          <w:color w:val="4D4D4F"/>
        </w:rPr>
        <w:t>grassland and the trend is stable. This KPI was       not met in the Nutrient-enriched grassland state and the trend for this indicator is a pattern of deterioration. Where an assessment can be made for KPI 2, confidence in the data is high, with sufficient data collected for multiple plots over multiple years. The baseline has not yet been set for the other states because these states are not yet sufficiently protected – thus an assessment of status and trend cannot be made for these states. This KPI is assessed using a continuous improvement approach, where any increase over the baseline in a five-year reporting period will lead to the calculation of a new baseline for subsequent reporting</w:t>
      </w:r>
      <w:r>
        <w:rPr>
          <w:color w:val="4D4D4F"/>
          <w:spacing w:val="35"/>
        </w:rPr>
        <w:t xml:space="preserve"> </w:t>
      </w:r>
      <w:r>
        <w:rPr>
          <w:color w:val="4D4D4F"/>
        </w:rPr>
        <w:t>periods.</w:t>
      </w:r>
    </w:p>
    <w:p w14:paraId="11343753" w14:textId="77777777" w:rsidR="00EF5B27" w:rsidRDefault="00EF5B27">
      <w:pPr>
        <w:pStyle w:val="BodyText"/>
      </w:pPr>
    </w:p>
    <w:p w14:paraId="1B3B1B09" w14:textId="77777777" w:rsidR="00EF5B27" w:rsidRDefault="00EF5B27">
      <w:pPr>
        <w:pStyle w:val="BodyText"/>
      </w:pPr>
    </w:p>
    <w:p w14:paraId="4588DE5E" w14:textId="77777777" w:rsidR="00EF5B27" w:rsidRDefault="00EF5B27">
      <w:pPr>
        <w:pStyle w:val="BodyText"/>
      </w:pPr>
    </w:p>
    <w:p w14:paraId="2EC79B89" w14:textId="77777777" w:rsidR="00EF5B27" w:rsidRDefault="00EF5B27">
      <w:pPr>
        <w:pStyle w:val="BodyText"/>
      </w:pPr>
    </w:p>
    <w:p w14:paraId="3AA69303" w14:textId="77777777" w:rsidR="00EF5B27" w:rsidRDefault="00EF5B27">
      <w:pPr>
        <w:pStyle w:val="BodyText"/>
      </w:pPr>
    </w:p>
    <w:p w14:paraId="2362B56E" w14:textId="77777777" w:rsidR="00EF5B27" w:rsidRDefault="00000000">
      <w:pPr>
        <w:pStyle w:val="BodyText"/>
        <w:spacing w:before="1"/>
        <w:rPr>
          <w:sz w:val="26"/>
        </w:rPr>
      </w:pPr>
      <w:r>
        <w:pict w14:anchorId="7A4B0543">
          <v:line id="_x0000_s4139" style="position:absolute;z-index:251368960;mso-wrap-distance-left:0;mso-wrap-distance-right:0;mso-position-horizontal-relative:page" from="181.4pt,18.15pt" to="538.6pt,18.15pt" strokecolor="#4d4d4f" strokeweight=".5pt">
            <w10:wrap type="topAndBottom" anchorx="page"/>
          </v:line>
        </w:pict>
      </w:r>
    </w:p>
    <w:p w14:paraId="1CD7008C" w14:textId="77777777" w:rsidR="00EF5B27" w:rsidRDefault="00000000">
      <w:pPr>
        <w:pStyle w:val="ListParagraph"/>
        <w:numPr>
          <w:ilvl w:val="0"/>
          <w:numId w:val="65"/>
        </w:numPr>
        <w:tabs>
          <w:tab w:val="left" w:pos="2836"/>
        </w:tabs>
        <w:spacing w:before="83" w:line="143" w:lineRule="exact"/>
        <w:jc w:val="left"/>
        <w:rPr>
          <w:sz w:val="12"/>
        </w:rPr>
      </w:pPr>
      <w:r>
        <w:rPr>
          <w:color w:val="4D4D4F"/>
          <w:sz w:val="12"/>
        </w:rPr>
        <w:t xml:space="preserve">DELWP, internal document, provided </w:t>
      </w:r>
      <w:r>
        <w:rPr>
          <w:color w:val="4D4D4F"/>
          <w:spacing w:val="-3"/>
          <w:sz w:val="12"/>
        </w:rPr>
        <w:t xml:space="preserve">16  </w:t>
      </w:r>
      <w:r>
        <w:rPr>
          <w:color w:val="4D4D4F"/>
          <w:spacing w:val="2"/>
          <w:sz w:val="12"/>
        </w:rPr>
        <w:t xml:space="preserve">February </w:t>
      </w:r>
      <w:r>
        <w:rPr>
          <w:color w:val="4D4D4F"/>
          <w:spacing w:val="5"/>
          <w:sz w:val="12"/>
        </w:rPr>
        <w:t xml:space="preserve"> </w:t>
      </w:r>
      <w:r>
        <w:rPr>
          <w:color w:val="4D4D4F"/>
          <w:spacing w:val="2"/>
          <w:sz w:val="12"/>
        </w:rPr>
        <w:t>2022.</w:t>
      </w:r>
    </w:p>
    <w:p w14:paraId="7F3CCE8D" w14:textId="77777777" w:rsidR="00EF5B27" w:rsidRDefault="00000000">
      <w:pPr>
        <w:pStyle w:val="ListParagraph"/>
        <w:numPr>
          <w:ilvl w:val="0"/>
          <w:numId w:val="65"/>
        </w:numPr>
        <w:tabs>
          <w:tab w:val="left" w:pos="2836"/>
        </w:tabs>
        <w:spacing w:line="140" w:lineRule="exact"/>
        <w:jc w:val="left"/>
        <w:rPr>
          <w:sz w:val="12"/>
        </w:rPr>
      </w:pPr>
      <w:r>
        <w:rPr>
          <w:color w:val="4D4D4F"/>
          <w:sz w:val="12"/>
        </w:rPr>
        <w:t xml:space="preserve">DELWP, internal document, provided </w:t>
      </w:r>
      <w:r>
        <w:rPr>
          <w:color w:val="4D4D4F"/>
          <w:spacing w:val="-3"/>
          <w:sz w:val="12"/>
        </w:rPr>
        <w:t xml:space="preserve">16  </w:t>
      </w:r>
      <w:r>
        <w:rPr>
          <w:color w:val="4D4D4F"/>
          <w:spacing w:val="2"/>
          <w:sz w:val="12"/>
        </w:rPr>
        <w:t xml:space="preserve">February </w:t>
      </w:r>
      <w:r>
        <w:rPr>
          <w:color w:val="4D4D4F"/>
          <w:spacing w:val="5"/>
          <w:sz w:val="12"/>
        </w:rPr>
        <w:t xml:space="preserve"> </w:t>
      </w:r>
      <w:r>
        <w:rPr>
          <w:color w:val="4D4D4F"/>
          <w:spacing w:val="2"/>
          <w:sz w:val="12"/>
        </w:rPr>
        <w:t>2022.</w:t>
      </w:r>
    </w:p>
    <w:p w14:paraId="5ACCF34D" w14:textId="77777777" w:rsidR="00EF5B27" w:rsidRDefault="00000000">
      <w:pPr>
        <w:pStyle w:val="ListParagraph"/>
        <w:numPr>
          <w:ilvl w:val="0"/>
          <w:numId w:val="65"/>
        </w:numPr>
        <w:tabs>
          <w:tab w:val="left" w:pos="2836"/>
        </w:tabs>
        <w:spacing w:before="2" w:line="230" w:lineRule="auto"/>
        <w:ind w:right="112"/>
        <w:jc w:val="both"/>
        <w:rPr>
          <w:sz w:val="12"/>
        </w:rPr>
      </w:pPr>
      <w:r>
        <w:rPr>
          <w:color w:val="4D4D4F"/>
          <w:sz w:val="12"/>
        </w:rPr>
        <w:t xml:space="preserve">Stuwe </w:t>
      </w:r>
      <w:r>
        <w:rPr>
          <w:color w:val="4D4D4F"/>
          <w:w w:val="130"/>
          <w:sz w:val="12"/>
        </w:rPr>
        <w:t xml:space="preserve">J </w:t>
      </w:r>
      <w:r>
        <w:rPr>
          <w:color w:val="4D4D4F"/>
          <w:sz w:val="12"/>
        </w:rPr>
        <w:t xml:space="preserve">1986, ‘An assessment of the conservation status of native grasslands on the western plains, Victoria and sites of botanical significance.’ </w:t>
      </w:r>
      <w:r>
        <w:rPr>
          <w:color w:val="4D4D4F"/>
          <w:spacing w:val="2"/>
          <w:sz w:val="12"/>
        </w:rPr>
        <w:t xml:space="preserve">Arthur Rylah </w:t>
      </w:r>
      <w:r>
        <w:rPr>
          <w:color w:val="4D4D4F"/>
          <w:sz w:val="12"/>
        </w:rPr>
        <w:t xml:space="preserve">Institute for Environmental Research Technical </w:t>
      </w:r>
      <w:r>
        <w:rPr>
          <w:color w:val="4D4D4F"/>
          <w:spacing w:val="2"/>
          <w:sz w:val="12"/>
        </w:rPr>
        <w:t xml:space="preserve">Report </w:t>
      </w:r>
      <w:r>
        <w:rPr>
          <w:color w:val="4D4D4F"/>
          <w:sz w:val="12"/>
        </w:rPr>
        <w:t xml:space="preserve">Series No. </w:t>
      </w:r>
      <w:r>
        <w:rPr>
          <w:color w:val="4D4D4F"/>
          <w:spacing w:val="2"/>
          <w:sz w:val="12"/>
        </w:rPr>
        <w:t xml:space="preserve">48, Conservation Forests </w:t>
      </w:r>
      <w:r>
        <w:rPr>
          <w:color w:val="4D4D4F"/>
          <w:sz w:val="12"/>
        </w:rPr>
        <w:t xml:space="preserve">&amp; </w:t>
      </w:r>
      <w:r>
        <w:rPr>
          <w:color w:val="4D4D4F"/>
          <w:spacing w:val="2"/>
          <w:sz w:val="12"/>
        </w:rPr>
        <w:t xml:space="preserve">Lands, </w:t>
      </w:r>
      <w:r>
        <w:rPr>
          <w:color w:val="4D4D4F"/>
          <w:sz w:val="12"/>
        </w:rPr>
        <w:t xml:space="preserve">Fisheries  and Wildlife </w:t>
      </w:r>
      <w:r>
        <w:rPr>
          <w:color w:val="4D4D4F"/>
          <w:spacing w:val="2"/>
          <w:sz w:val="12"/>
        </w:rPr>
        <w:t xml:space="preserve">Service, </w:t>
      </w:r>
      <w:r>
        <w:rPr>
          <w:color w:val="4D4D4F"/>
          <w:sz w:val="12"/>
        </w:rPr>
        <w:t>Heidelberg,</w:t>
      </w:r>
      <w:r>
        <w:rPr>
          <w:color w:val="4D4D4F"/>
          <w:spacing w:val="7"/>
          <w:sz w:val="12"/>
        </w:rPr>
        <w:t xml:space="preserve"> </w:t>
      </w:r>
      <w:r>
        <w:rPr>
          <w:color w:val="4D4D4F"/>
          <w:sz w:val="12"/>
        </w:rPr>
        <w:t>Victoria.</w:t>
      </w:r>
    </w:p>
    <w:p w14:paraId="039EC963" w14:textId="77777777" w:rsidR="00EF5B27" w:rsidRDefault="00EF5B27">
      <w:pPr>
        <w:spacing w:line="230" w:lineRule="auto"/>
        <w:jc w:val="both"/>
        <w:rPr>
          <w:sz w:val="12"/>
        </w:rPr>
        <w:sectPr w:rsidR="00EF5B27">
          <w:pgSz w:w="11910" w:h="16840"/>
          <w:pgMar w:top="1080" w:right="1020" w:bottom="860" w:left="1020" w:header="537" w:footer="678" w:gutter="0"/>
          <w:cols w:space="720"/>
        </w:sectPr>
      </w:pPr>
    </w:p>
    <w:p w14:paraId="7DA08A77" w14:textId="77777777" w:rsidR="00EF5B27" w:rsidRDefault="00000000">
      <w:pPr>
        <w:pStyle w:val="BodyText"/>
      </w:pPr>
      <w:r>
        <w:lastRenderedPageBreak/>
        <w:pict w14:anchorId="2B15D626">
          <v:group id="_x0000_s4131" style="position:absolute;margin-left:587.05pt;margin-top:183.4pt;width:8.25pt;height:153.1pt;z-index:251433472;mso-position-horizontal-relative:page;mso-position-vertical-relative:page" coordorigin="11741,3668" coordsize="165,3062">
            <v:shape id="_x0000_s4138" style="position:absolute;left:11741;top:3668;width:165;height:561" coordorigin="11741,3668" coordsize="165,561" path="m11906,3668r-165,l11741,4228r165,-18l11906,3668xe" fillcolor="#00aed9" stroked="f">
              <v:path arrowok="t"/>
            </v:shape>
            <v:shape id="_x0000_s4137" style="position:absolute;left:11741;top:4118;width:165;height:425" coordorigin="11741,4118" coordsize="165,425" path="m11906,4118r-165,14l11741,4531r165,12l11906,4118xe" fillcolor="#047ebc" stroked="f">
              <v:path arrowok="t"/>
            </v:shape>
            <v:shape id="_x0000_s4136" type="#_x0000_t75" style="position:absolute;left:11741;top:4355;width:165;height:587">
              <v:imagedata r:id="rId42" o:title=""/>
            </v:shape>
            <v:shape id="_x0000_s4135" style="position:absolute;left:11741;top:5343;width:165;height:536" coordorigin="11741,5343" coordsize="165,536" path="m11741,5343r,535l11906,5872r,-525l11741,5343xe" fillcolor="#f36a2e" stroked="f">
              <v:path arrowok="t"/>
            </v:shape>
            <v:shape id="_x0000_s4134" style="position:absolute;left:11741;top:4925;width:165;height:501" coordorigin="11741,4926" coordsize="165,501" path="m11741,4926r,500l11906,5426r,-485l11741,4926xe" fillcolor="#49783f" stroked="f">
              <v:path arrowok="t"/>
            </v:shape>
            <v:shape id="_x0000_s4133" style="position:absolute;left:11741;top:5781;width:165;height:268" coordorigin="11741,5782" coordsize="165,268" path="m11906,5782r-165,8l11741,6039r165,10l11906,5782xe" fillcolor="#f99f2a" stroked="f">
              <v:path arrowok="t"/>
            </v:shape>
            <v:shape id="_x0000_s4132" style="position:absolute;left:11741;top:6023;width:165;height:707" coordorigin="11741,6023" coordsize="165,707" path="m11741,6023r,706l11906,6729r,-690l11741,6023xe" fillcolor="#ef412c" stroked="f">
              <v:path arrowok="t"/>
            </v:shape>
            <w10:wrap anchorx="page" anchory="page"/>
          </v:group>
        </w:pict>
      </w:r>
    </w:p>
    <w:p w14:paraId="12ECFD94" w14:textId="77777777" w:rsidR="00EF5B27" w:rsidRDefault="00EF5B27">
      <w:pPr>
        <w:pStyle w:val="BodyText"/>
      </w:pPr>
    </w:p>
    <w:p w14:paraId="28C8E478" w14:textId="77777777" w:rsidR="00EF5B27" w:rsidRDefault="00EF5B27">
      <w:pPr>
        <w:pStyle w:val="BodyText"/>
      </w:pPr>
    </w:p>
    <w:p w14:paraId="3DF190EF" w14:textId="77777777" w:rsidR="00EF5B27" w:rsidRDefault="00EF5B27">
      <w:pPr>
        <w:pStyle w:val="BodyText"/>
      </w:pPr>
    </w:p>
    <w:p w14:paraId="7751E348" w14:textId="77777777" w:rsidR="00EF5B27" w:rsidRDefault="00EF5B27">
      <w:pPr>
        <w:pStyle w:val="BodyText"/>
      </w:pPr>
    </w:p>
    <w:p w14:paraId="1B8945C8" w14:textId="77777777" w:rsidR="00EF5B27" w:rsidRDefault="00EF5B27">
      <w:pPr>
        <w:pStyle w:val="BodyText"/>
      </w:pPr>
    </w:p>
    <w:p w14:paraId="7C46D09C" w14:textId="77777777" w:rsidR="00EF5B27" w:rsidRDefault="00EF5B27">
      <w:pPr>
        <w:pStyle w:val="BodyText"/>
      </w:pPr>
    </w:p>
    <w:p w14:paraId="43BDF166" w14:textId="77777777" w:rsidR="00EF5B27" w:rsidRDefault="00EF5B27">
      <w:pPr>
        <w:pStyle w:val="BodyText"/>
      </w:pPr>
    </w:p>
    <w:p w14:paraId="68E2B24A" w14:textId="77777777" w:rsidR="00EF5B27" w:rsidRDefault="00EF5B27">
      <w:pPr>
        <w:pStyle w:val="BodyText"/>
      </w:pPr>
    </w:p>
    <w:p w14:paraId="5BDEB1B9" w14:textId="77777777" w:rsidR="00EF5B27" w:rsidRDefault="00EF5B27">
      <w:pPr>
        <w:pStyle w:val="BodyText"/>
        <w:spacing w:before="1"/>
      </w:pPr>
    </w:p>
    <w:p w14:paraId="0954F52E" w14:textId="77777777" w:rsidR="00EF5B27" w:rsidRDefault="00000000">
      <w:pPr>
        <w:pStyle w:val="BodyText"/>
        <w:spacing w:before="100" w:line="254" w:lineRule="auto"/>
        <w:ind w:left="2608" w:right="151"/>
      </w:pPr>
      <w:r>
        <w:rPr>
          <w:color w:val="4D4D4F"/>
        </w:rPr>
        <w:t>According to DELWP, the decline of forbs in Nutrient-enriched grassland is attributable to two sources:</w:t>
      </w:r>
    </w:p>
    <w:p w14:paraId="1B4E9990" w14:textId="77777777" w:rsidR="00EF5B27" w:rsidRDefault="00000000">
      <w:pPr>
        <w:pStyle w:val="ListParagraph"/>
        <w:numPr>
          <w:ilvl w:val="1"/>
          <w:numId w:val="54"/>
        </w:numPr>
        <w:tabs>
          <w:tab w:val="left" w:pos="2779"/>
        </w:tabs>
        <w:spacing w:before="116" w:line="254" w:lineRule="auto"/>
        <w:ind w:right="198"/>
        <w:rPr>
          <w:sz w:val="20"/>
        </w:rPr>
      </w:pPr>
      <w:r>
        <w:rPr>
          <w:color w:val="4D4D4F"/>
          <w:sz w:val="20"/>
        </w:rPr>
        <w:t>new properties being acquired which have low forb cover (e.g., Argoona Rd),</w:t>
      </w:r>
      <w:r>
        <w:rPr>
          <w:color w:val="4D4D4F"/>
          <w:position w:val="7"/>
          <w:sz w:val="11"/>
        </w:rPr>
        <w:t xml:space="preserve">52 </w:t>
      </w:r>
      <w:r>
        <w:rPr>
          <w:color w:val="4D4D4F"/>
          <w:sz w:val="20"/>
        </w:rPr>
        <w:t>when added to the dataset, they cause an overall decrease in mean cover</w:t>
      </w:r>
    </w:p>
    <w:p w14:paraId="3165F777" w14:textId="77777777" w:rsidR="00EF5B27" w:rsidRDefault="00000000">
      <w:pPr>
        <w:pStyle w:val="ListParagraph"/>
        <w:numPr>
          <w:ilvl w:val="1"/>
          <w:numId w:val="54"/>
        </w:numPr>
        <w:tabs>
          <w:tab w:val="left" w:pos="2779"/>
        </w:tabs>
        <w:spacing w:before="116" w:line="254" w:lineRule="auto"/>
        <w:ind w:right="232"/>
        <w:rPr>
          <w:sz w:val="20"/>
        </w:rPr>
      </w:pPr>
      <w:r>
        <w:rPr>
          <w:color w:val="4D4D4F"/>
          <w:sz w:val="20"/>
        </w:rPr>
        <w:t>increasing biomass levels after the cessation of grazing, causing the competitive exclusion of those native forbs which prosper under grazing. This loss is  exacerbated by the failure of other forb species to recolonise ungrazed grasslands, due to their need for open space, combined with their rarity in the landscape and low dispersal</w:t>
      </w:r>
      <w:r>
        <w:rPr>
          <w:color w:val="4D4D4F"/>
          <w:spacing w:val="8"/>
          <w:sz w:val="20"/>
        </w:rPr>
        <w:t xml:space="preserve"> </w:t>
      </w:r>
      <w:r>
        <w:rPr>
          <w:color w:val="4D4D4F"/>
          <w:sz w:val="20"/>
        </w:rPr>
        <w:t>ability.</w:t>
      </w:r>
    </w:p>
    <w:p w14:paraId="2FD35504" w14:textId="77777777" w:rsidR="00EF5B27" w:rsidRDefault="00000000">
      <w:pPr>
        <w:pStyle w:val="BodyText"/>
        <w:spacing w:before="119" w:line="254" w:lineRule="auto"/>
        <w:ind w:left="2608" w:right="465"/>
      </w:pPr>
      <w:r>
        <w:rPr>
          <w:color w:val="4D4D4F"/>
        </w:rPr>
        <w:t>DELWP suspects that rectifying this problem in Nutrient-enriched grassland will likely require:</w:t>
      </w:r>
    </w:p>
    <w:p w14:paraId="59714A8D" w14:textId="77777777" w:rsidR="00EF5B27" w:rsidRDefault="00000000">
      <w:pPr>
        <w:pStyle w:val="ListParagraph"/>
        <w:numPr>
          <w:ilvl w:val="1"/>
          <w:numId w:val="54"/>
        </w:numPr>
        <w:tabs>
          <w:tab w:val="left" w:pos="2779"/>
        </w:tabs>
        <w:spacing w:before="116" w:line="254" w:lineRule="auto"/>
        <w:ind w:right="127"/>
        <w:rPr>
          <w:sz w:val="20"/>
        </w:rPr>
      </w:pPr>
      <w:r>
        <w:rPr>
          <w:color w:val="4D4D4F"/>
          <w:spacing w:val="-5"/>
          <w:sz w:val="20"/>
        </w:rPr>
        <w:t xml:space="preserve">improved </w:t>
      </w:r>
      <w:r>
        <w:rPr>
          <w:color w:val="4D4D4F"/>
          <w:spacing w:val="-6"/>
          <w:sz w:val="20"/>
        </w:rPr>
        <w:t xml:space="preserve">interim management </w:t>
      </w:r>
      <w:r>
        <w:rPr>
          <w:color w:val="4D4D4F"/>
          <w:spacing w:val="-4"/>
          <w:sz w:val="20"/>
        </w:rPr>
        <w:t xml:space="preserve">to </w:t>
      </w:r>
      <w:r>
        <w:rPr>
          <w:color w:val="4D4D4F"/>
          <w:spacing w:val="-5"/>
          <w:sz w:val="20"/>
        </w:rPr>
        <w:t xml:space="preserve">ensure that newly protected </w:t>
      </w:r>
      <w:r>
        <w:rPr>
          <w:color w:val="4D4D4F"/>
          <w:spacing w:val="-4"/>
          <w:sz w:val="20"/>
        </w:rPr>
        <w:t xml:space="preserve">properties </w:t>
      </w:r>
      <w:r>
        <w:rPr>
          <w:color w:val="4D4D4F"/>
          <w:spacing w:val="-3"/>
          <w:sz w:val="20"/>
        </w:rPr>
        <w:t xml:space="preserve">are </w:t>
      </w:r>
      <w:r>
        <w:rPr>
          <w:color w:val="4D4D4F"/>
          <w:spacing w:val="-4"/>
          <w:sz w:val="20"/>
        </w:rPr>
        <w:t xml:space="preserve">in </w:t>
      </w:r>
      <w:r>
        <w:rPr>
          <w:color w:val="4D4D4F"/>
          <w:spacing w:val="-6"/>
          <w:sz w:val="20"/>
        </w:rPr>
        <w:t xml:space="preserve">relatively </w:t>
      </w:r>
      <w:r>
        <w:rPr>
          <w:color w:val="4D4D4F"/>
          <w:sz w:val="20"/>
        </w:rPr>
        <w:t>good</w:t>
      </w:r>
      <w:r>
        <w:rPr>
          <w:color w:val="4D4D4F"/>
          <w:spacing w:val="3"/>
          <w:sz w:val="20"/>
        </w:rPr>
        <w:t xml:space="preserve"> </w:t>
      </w:r>
      <w:r>
        <w:rPr>
          <w:color w:val="4D4D4F"/>
          <w:sz w:val="20"/>
        </w:rPr>
        <w:t>condition</w:t>
      </w:r>
    </w:p>
    <w:p w14:paraId="6A45E3BA" w14:textId="77777777" w:rsidR="00EF5B27" w:rsidRDefault="00000000">
      <w:pPr>
        <w:pStyle w:val="ListParagraph"/>
        <w:numPr>
          <w:ilvl w:val="1"/>
          <w:numId w:val="54"/>
        </w:numPr>
        <w:tabs>
          <w:tab w:val="left" w:pos="2779"/>
        </w:tabs>
        <w:spacing w:before="116" w:line="254" w:lineRule="auto"/>
        <w:ind w:right="363"/>
        <w:rPr>
          <w:sz w:val="20"/>
        </w:rPr>
      </w:pPr>
      <w:r>
        <w:rPr>
          <w:color w:val="4D4D4F"/>
          <w:sz w:val="20"/>
        </w:rPr>
        <w:t>biomass control, via either a return to grazing regimes sufficient to provide space for the forbs, or the introduction of fire regimes, coupled</w:t>
      </w:r>
      <w:r>
        <w:rPr>
          <w:color w:val="4D4D4F"/>
          <w:spacing w:val="27"/>
          <w:sz w:val="20"/>
        </w:rPr>
        <w:t xml:space="preserve"> </w:t>
      </w:r>
      <w:r>
        <w:rPr>
          <w:color w:val="4D4D4F"/>
          <w:sz w:val="20"/>
        </w:rPr>
        <w:t>with</w:t>
      </w:r>
    </w:p>
    <w:p w14:paraId="163E54FA" w14:textId="77777777" w:rsidR="00EF5B27" w:rsidRDefault="00000000">
      <w:pPr>
        <w:pStyle w:val="ListParagraph"/>
        <w:numPr>
          <w:ilvl w:val="1"/>
          <w:numId w:val="54"/>
        </w:numPr>
        <w:tabs>
          <w:tab w:val="left" w:pos="2779"/>
        </w:tabs>
        <w:spacing w:before="116"/>
        <w:rPr>
          <w:sz w:val="11"/>
        </w:rPr>
      </w:pPr>
      <w:r>
        <w:rPr>
          <w:color w:val="4D4D4F"/>
          <w:sz w:val="20"/>
        </w:rPr>
        <w:t>specific efforts to re-introduce those forbs that are</w:t>
      </w:r>
      <w:r>
        <w:rPr>
          <w:color w:val="4D4D4F"/>
          <w:spacing w:val="38"/>
          <w:sz w:val="20"/>
        </w:rPr>
        <w:t xml:space="preserve"> </w:t>
      </w:r>
      <w:r>
        <w:rPr>
          <w:color w:val="4D4D4F"/>
          <w:sz w:val="20"/>
        </w:rPr>
        <w:t>lacking.</w:t>
      </w:r>
      <w:r>
        <w:rPr>
          <w:color w:val="4D4D4F"/>
          <w:position w:val="7"/>
          <w:sz w:val="11"/>
        </w:rPr>
        <w:t>53</w:t>
      </w:r>
    </w:p>
    <w:p w14:paraId="704EBEB4" w14:textId="77777777" w:rsidR="00EF5B27" w:rsidRDefault="00EF5B27">
      <w:pPr>
        <w:pStyle w:val="BodyText"/>
      </w:pPr>
    </w:p>
    <w:p w14:paraId="17F6EEF6" w14:textId="77777777" w:rsidR="00EF5B27" w:rsidRDefault="00EF5B27">
      <w:pPr>
        <w:pStyle w:val="BodyText"/>
        <w:spacing w:before="8" w:after="1"/>
        <w:rPr>
          <w:sz w:val="12"/>
        </w:rPr>
      </w:pPr>
    </w:p>
    <w:tbl>
      <w:tblPr>
        <w:tblW w:w="0" w:type="auto"/>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3524054B" w14:textId="77777777">
        <w:trPr>
          <w:trHeight w:val="561"/>
        </w:trPr>
        <w:tc>
          <w:tcPr>
            <w:tcW w:w="2980" w:type="dxa"/>
            <w:shd w:val="clear" w:color="auto" w:fill="FECC91"/>
          </w:tcPr>
          <w:p w14:paraId="773A18AC" w14:textId="77777777" w:rsidR="00EF5B27" w:rsidRDefault="00EF5B27">
            <w:pPr>
              <w:pStyle w:val="TableParagraph"/>
              <w:spacing w:before="7"/>
              <w:rPr>
                <w:sz w:val="15"/>
              </w:rPr>
            </w:pPr>
          </w:p>
          <w:p w14:paraId="0AD17F5D" w14:textId="77777777" w:rsidR="00EF5B27" w:rsidRDefault="00000000">
            <w:pPr>
              <w:pStyle w:val="TableParagraph"/>
              <w:spacing w:before="1"/>
              <w:ind w:left="80"/>
              <w:rPr>
                <w:b/>
                <w:sz w:val="16"/>
              </w:rPr>
            </w:pPr>
            <w:r>
              <w:rPr>
                <w:b/>
                <w:sz w:val="16"/>
              </w:rPr>
              <w:t>KPI 3: Richness of native perennial forbs</w:t>
            </w:r>
          </w:p>
        </w:tc>
        <w:tc>
          <w:tcPr>
            <w:tcW w:w="1078" w:type="dxa"/>
            <w:shd w:val="clear" w:color="auto" w:fill="FECC91"/>
          </w:tcPr>
          <w:p w14:paraId="220FD673"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54A2AE14" w14:textId="77777777" w:rsidR="00EF5B27" w:rsidRDefault="00EF5B27">
            <w:pPr>
              <w:pStyle w:val="TableParagraph"/>
              <w:spacing w:before="7"/>
              <w:rPr>
                <w:sz w:val="15"/>
              </w:rPr>
            </w:pPr>
          </w:p>
          <w:p w14:paraId="7FFD06DC"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28FD1EB5" w14:textId="77777777" w:rsidR="00EF5B27" w:rsidRDefault="00EF5B27">
            <w:pPr>
              <w:pStyle w:val="TableParagraph"/>
              <w:spacing w:before="7"/>
              <w:rPr>
                <w:sz w:val="15"/>
              </w:rPr>
            </w:pPr>
          </w:p>
          <w:p w14:paraId="118FD81A"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566228D2"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0EC4F628"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23D00B26" w14:textId="77777777">
        <w:trPr>
          <w:trHeight w:val="448"/>
        </w:trPr>
        <w:tc>
          <w:tcPr>
            <w:tcW w:w="2980" w:type="dxa"/>
          </w:tcPr>
          <w:p w14:paraId="41EBE0E4" w14:textId="77777777" w:rsidR="00EF5B27" w:rsidRDefault="00EF5B27">
            <w:pPr>
              <w:pStyle w:val="TableParagraph"/>
              <w:spacing w:before="11"/>
              <w:rPr>
                <w:sz w:val="11"/>
              </w:rPr>
            </w:pPr>
          </w:p>
          <w:p w14:paraId="111F7215" w14:textId="77777777" w:rsidR="00EF5B27" w:rsidRDefault="00000000">
            <w:pPr>
              <w:pStyle w:val="TableParagraph"/>
              <w:ind w:left="80"/>
              <w:rPr>
                <w:sz w:val="14"/>
              </w:rPr>
            </w:pPr>
            <w:r>
              <w:rPr>
                <w:color w:val="4D4D4F"/>
                <w:w w:val="105"/>
                <w:sz w:val="14"/>
              </w:rPr>
              <w:t>Herb-rich grassland</w:t>
            </w:r>
          </w:p>
        </w:tc>
        <w:tc>
          <w:tcPr>
            <w:tcW w:w="1078" w:type="dxa"/>
          </w:tcPr>
          <w:p w14:paraId="7E684EA4" w14:textId="77777777" w:rsidR="00EF5B27" w:rsidRDefault="00EF5B27">
            <w:pPr>
              <w:pStyle w:val="TableParagraph"/>
              <w:spacing w:before="11"/>
              <w:rPr>
                <w:sz w:val="11"/>
              </w:rPr>
            </w:pPr>
          </w:p>
          <w:p w14:paraId="029DE091" w14:textId="77777777" w:rsidR="00EF5B27" w:rsidRDefault="00000000">
            <w:pPr>
              <w:pStyle w:val="TableParagraph"/>
              <w:ind w:left="128" w:right="124"/>
              <w:jc w:val="center"/>
              <w:rPr>
                <w:sz w:val="14"/>
              </w:rPr>
            </w:pPr>
            <w:r>
              <w:rPr>
                <w:color w:val="4D4D4F"/>
                <w:sz w:val="14"/>
              </w:rPr>
              <w:t>Met</w:t>
            </w:r>
          </w:p>
        </w:tc>
        <w:tc>
          <w:tcPr>
            <w:tcW w:w="2155" w:type="dxa"/>
          </w:tcPr>
          <w:p w14:paraId="7DBCDF3B" w14:textId="77777777" w:rsidR="00EF5B27" w:rsidRDefault="00EF5B27">
            <w:pPr>
              <w:pStyle w:val="TableParagraph"/>
              <w:spacing w:before="11"/>
              <w:rPr>
                <w:sz w:val="11"/>
              </w:rPr>
            </w:pPr>
          </w:p>
          <w:p w14:paraId="51CCE25B" w14:textId="77777777" w:rsidR="00EF5B27" w:rsidRDefault="00000000">
            <w:pPr>
              <w:pStyle w:val="TableParagraph"/>
              <w:ind w:left="139" w:right="142"/>
              <w:jc w:val="center"/>
              <w:rPr>
                <w:sz w:val="14"/>
              </w:rPr>
            </w:pPr>
            <w:r>
              <w:rPr>
                <w:color w:val="4D4D4F"/>
                <w:w w:val="105"/>
                <w:sz w:val="14"/>
              </w:rPr>
              <w:t>N/A</w:t>
            </w:r>
          </w:p>
        </w:tc>
        <w:tc>
          <w:tcPr>
            <w:tcW w:w="964" w:type="dxa"/>
          </w:tcPr>
          <w:p w14:paraId="3C149AA5" w14:textId="77777777" w:rsidR="00EF5B27" w:rsidRDefault="00EF5B27">
            <w:pPr>
              <w:pStyle w:val="TableParagraph"/>
              <w:spacing w:before="8"/>
              <w:rPr>
                <w:sz w:val="8"/>
              </w:rPr>
            </w:pPr>
          </w:p>
          <w:p w14:paraId="7D7D80C2" w14:textId="77777777" w:rsidR="00EF5B27" w:rsidRDefault="00000000">
            <w:pPr>
              <w:pStyle w:val="TableParagraph"/>
              <w:spacing w:line="235" w:lineRule="exact"/>
              <w:ind w:left="427"/>
              <w:rPr>
                <w:sz w:val="20"/>
              </w:rPr>
            </w:pPr>
            <w:r>
              <w:rPr>
                <w:noProof/>
                <w:position w:val="-4"/>
                <w:sz w:val="20"/>
              </w:rPr>
              <w:drawing>
                <wp:inline distT="0" distB="0" distL="0" distR="0" wp14:anchorId="7FC53E8D" wp14:editId="4CFDA3C1">
                  <wp:extent cx="65743" cy="149351"/>
                  <wp:effectExtent l="0" t="0" r="0" b="0"/>
                  <wp:docPr id="87"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9.png"/>
                          <pic:cNvPicPr/>
                        </pic:nvPicPr>
                        <pic:blipFill>
                          <a:blip r:embed="rId80" cstate="print"/>
                          <a:stretch>
                            <a:fillRect/>
                          </a:stretch>
                        </pic:blipFill>
                        <pic:spPr>
                          <a:xfrm>
                            <a:off x="0" y="0"/>
                            <a:ext cx="65743" cy="149351"/>
                          </a:xfrm>
                          <a:prstGeom prst="rect">
                            <a:avLst/>
                          </a:prstGeom>
                        </pic:spPr>
                      </pic:pic>
                    </a:graphicData>
                  </a:graphic>
                </wp:inline>
              </w:drawing>
            </w:r>
          </w:p>
        </w:tc>
        <w:tc>
          <w:tcPr>
            <w:tcW w:w="964" w:type="dxa"/>
          </w:tcPr>
          <w:p w14:paraId="52C183FE" w14:textId="77777777" w:rsidR="00EF5B27" w:rsidRDefault="00EF5B27">
            <w:pPr>
              <w:pStyle w:val="TableParagraph"/>
              <w:spacing w:before="11"/>
              <w:rPr>
                <w:sz w:val="11"/>
              </w:rPr>
            </w:pPr>
          </w:p>
          <w:p w14:paraId="64F1884E" w14:textId="77777777" w:rsidR="00EF5B27" w:rsidRDefault="00000000">
            <w:pPr>
              <w:pStyle w:val="TableParagraph"/>
              <w:ind w:left="344"/>
              <w:rPr>
                <w:sz w:val="14"/>
              </w:rPr>
            </w:pPr>
            <w:r>
              <w:rPr>
                <w:color w:val="4D4D4F"/>
                <w:w w:val="105"/>
                <w:sz w:val="14"/>
              </w:rPr>
              <w:t>High</w:t>
            </w:r>
          </w:p>
        </w:tc>
        <w:tc>
          <w:tcPr>
            <w:tcW w:w="1489" w:type="dxa"/>
          </w:tcPr>
          <w:p w14:paraId="2106FACB" w14:textId="77777777" w:rsidR="00EF5B27" w:rsidRDefault="00000000">
            <w:pPr>
              <w:pStyle w:val="TableParagraph"/>
              <w:spacing w:before="134"/>
              <w:ind w:left="451" w:right="457"/>
              <w:jc w:val="center"/>
              <w:rPr>
                <w:sz w:val="16"/>
              </w:rPr>
            </w:pPr>
            <w:r>
              <w:rPr>
                <w:color w:val="4D4D4F"/>
                <w:sz w:val="16"/>
              </w:rPr>
              <w:t>2017</w:t>
            </w:r>
          </w:p>
        </w:tc>
      </w:tr>
      <w:tr w:rsidR="00EF5B27" w14:paraId="583F5201" w14:textId="77777777">
        <w:trPr>
          <w:trHeight w:val="448"/>
        </w:trPr>
        <w:tc>
          <w:tcPr>
            <w:tcW w:w="2980" w:type="dxa"/>
          </w:tcPr>
          <w:p w14:paraId="7F487CA1" w14:textId="77777777" w:rsidR="00EF5B27" w:rsidRDefault="00EF5B27">
            <w:pPr>
              <w:pStyle w:val="TableParagraph"/>
              <w:spacing w:before="11"/>
              <w:rPr>
                <w:sz w:val="11"/>
              </w:rPr>
            </w:pPr>
          </w:p>
          <w:p w14:paraId="1AE225CD" w14:textId="77777777" w:rsidR="00EF5B27" w:rsidRDefault="00000000">
            <w:pPr>
              <w:pStyle w:val="TableParagraph"/>
              <w:ind w:left="80"/>
              <w:rPr>
                <w:sz w:val="14"/>
              </w:rPr>
            </w:pPr>
            <w:r>
              <w:rPr>
                <w:rFonts w:ascii="Arial Narrow"/>
                <w:i/>
                <w:color w:val="4D4D4F"/>
                <w:w w:val="110"/>
                <w:sz w:val="14"/>
              </w:rPr>
              <w:t xml:space="preserve">Themeda </w:t>
            </w:r>
            <w:r>
              <w:rPr>
                <w:color w:val="4D4D4F"/>
                <w:w w:val="110"/>
                <w:sz w:val="14"/>
              </w:rPr>
              <w:t>grassland</w:t>
            </w:r>
          </w:p>
        </w:tc>
        <w:tc>
          <w:tcPr>
            <w:tcW w:w="1078" w:type="dxa"/>
          </w:tcPr>
          <w:p w14:paraId="70D0DFF1" w14:textId="77777777" w:rsidR="00EF5B27" w:rsidRDefault="00EF5B27">
            <w:pPr>
              <w:pStyle w:val="TableParagraph"/>
              <w:spacing w:before="11"/>
              <w:rPr>
                <w:sz w:val="11"/>
              </w:rPr>
            </w:pPr>
          </w:p>
          <w:p w14:paraId="182C22C7" w14:textId="77777777" w:rsidR="00EF5B27" w:rsidRDefault="00000000">
            <w:pPr>
              <w:pStyle w:val="TableParagraph"/>
              <w:ind w:left="128" w:right="124"/>
              <w:jc w:val="center"/>
              <w:rPr>
                <w:sz w:val="14"/>
              </w:rPr>
            </w:pPr>
            <w:r>
              <w:rPr>
                <w:color w:val="4D4D4F"/>
                <w:sz w:val="14"/>
              </w:rPr>
              <w:t>Met</w:t>
            </w:r>
          </w:p>
        </w:tc>
        <w:tc>
          <w:tcPr>
            <w:tcW w:w="2155" w:type="dxa"/>
          </w:tcPr>
          <w:p w14:paraId="703EFA71" w14:textId="77777777" w:rsidR="00EF5B27" w:rsidRDefault="00EF5B27">
            <w:pPr>
              <w:pStyle w:val="TableParagraph"/>
              <w:spacing w:before="11"/>
              <w:rPr>
                <w:sz w:val="11"/>
              </w:rPr>
            </w:pPr>
          </w:p>
          <w:p w14:paraId="3B1AAC33" w14:textId="77777777" w:rsidR="00EF5B27" w:rsidRDefault="00000000">
            <w:pPr>
              <w:pStyle w:val="TableParagraph"/>
              <w:ind w:left="139" w:right="142"/>
              <w:jc w:val="center"/>
              <w:rPr>
                <w:sz w:val="14"/>
              </w:rPr>
            </w:pPr>
            <w:r>
              <w:rPr>
                <w:color w:val="4D4D4F"/>
                <w:w w:val="105"/>
                <w:sz w:val="14"/>
              </w:rPr>
              <w:t>N/A</w:t>
            </w:r>
          </w:p>
        </w:tc>
        <w:tc>
          <w:tcPr>
            <w:tcW w:w="964" w:type="dxa"/>
          </w:tcPr>
          <w:p w14:paraId="094CF0C7" w14:textId="77777777" w:rsidR="00EF5B27" w:rsidRDefault="00EF5B27">
            <w:pPr>
              <w:pStyle w:val="TableParagraph"/>
              <w:spacing w:before="8"/>
              <w:rPr>
                <w:sz w:val="8"/>
              </w:rPr>
            </w:pPr>
          </w:p>
          <w:p w14:paraId="67BDCA5F" w14:textId="77777777" w:rsidR="00EF5B27" w:rsidRDefault="00000000">
            <w:pPr>
              <w:pStyle w:val="TableParagraph"/>
              <w:spacing w:line="232" w:lineRule="exact"/>
              <w:ind w:left="427"/>
              <w:rPr>
                <w:sz w:val="20"/>
              </w:rPr>
            </w:pPr>
            <w:r>
              <w:rPr>
                <w:noProof/>
                <w:position w:val="-4"/>
                <w:sz w:val="20"/>
              </w:rPr>
              <w:drawing>
                <wp:inline distT="0" distB="0" distL="0" distR="0" wp14:anchorId="397FF8C2" wp14:editId="7D76F58D">
                  <wp:extent cx="64988" cy="147637"/>
                  <wp:effectExtent l="0" t="0" r="0" b="0"/>
                  <wp:docPr id="8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0.png"/>
                          <pic:cNvPicPr/>
                        </pic:nvPicPr>
                        <pic:blipFill>
                          <a:blip r:embed="rId81" cstate="print"/>
                          <a:stretch>
                            <a:fillRect/>
                          </a:stretch>
                        </pic:blipFill>
                        <pic:spPr>
                          <a:xfrm>
                            <a:off x="0" y="0"/>
                            <a:ext cx="64988" cy="147637"/>
                          </a:xfrm>
                          <a:prstGeom prst="rect">
                            <a:avLst/>
                          </a:prstGeom>
                        </pic:spPr>
                      </pic:pic>
                    </a:graphicData>
                  </a:graphic>
                </wp:inline>
              </w:drawing>
            </w:r>
          </w:p>
        </w:tc>
        <w:tc>
          <w:tcPr>
            <w:tcW w:w="964" w:type="dxa"/>
          </w:tcPr>
          <w:p w14:paraId="770994AC" w14:textId="77777777" w:rsidR="00EF5B27" w:rsidRDefault="00EF5B27">
            <w:pPr>
              <w:pStyle w:val="TableParagraph"/>
              <w:spacing w:before="11"/>
              <w:rPr>
                <w:sz w:val="11"/>
              </w:rPr>
            </w:pPr>
          </w:p>
          <w:p w14:paraId="4599757B" w14:textId="77777777" w:rsidR="00EF5B27" w:rsidRDefault="00000000">
            <w:pPr>
              <w:pStyle w:val="TableParagraph"/>
              <w:ind w:left="344"/>
              <w:rPr>
                <w:sz w:val="14"/>
              </w:rPr>
            </w:pPr>
            <w:r>
              <w:rPr>
                <w:color w:val="4D4D4F"/>
                <w:w w:val="105"/>
                <w:sz w:val="14"/>
              </w:rPr>
              <w:t>High</w:t>
            </w:r>
          </w:p>
        </w:tc>
        <w:tc>
          <w:tcPr>
            <w:tcW w:w="1489" w:type="dxa"/>
          </w:tcPr>
          <w:p w14:paraId="2B3CD836" w14:textId="77777777" w:rsidR="00EF5B27" w:rsidRDefault="00000000">
            <w:pPr>
              <w:pStyle w:val="TableParagraph"/>
              <w:spacing w:before="134"/>
              <w:ind w:left="453" w:right="457"/>
              <w:jc w:val="center"/>
              <w:rPr>
                <w:sz w:val="16"/>
              </w:rPr>
            </w:pPr>
            <w:r>
              <w:rPr>
                <w:color w:val="4D4D4F"/>
                <w:sz w:val="16"/>
              </w:rPr>
              <w:t>2018</w:t>
            </w:r>
          </w:p>
        </w:tc>
      </w:tr>
      <w:tr w:rsidR="00EF5B27" w14:paraId="0D6C9FAD" w14:textId="77777777">
        <w:trPr>
          <w:trHeight w:val="448"/>
        </w:trPr>
        <w:tc>
          <w:tcPr>
            <w:tcW w:w="2980" w:type="dxa"/>
          </w:tcPr>
          <w:p w14:paraId="1039C7A8" w14:textId="77777777" w:rsidR="00EF5B27" w:rsidRDefault="00EF5B27">
            <w:pPr>
              <w:pStyle w:val="TableParagraph"/>
              <w:spacing w:before="11"/>
              <w:rPr>
                <w:sz w:val="11"/>
              </w:rPr>
            </w:pPr>
          </w:p>
          <w:p w14:paraId="13AD42F6" w14:textId="77777777" w:rsidR="00EF5B27" w:rsidRDefault="00000000">
            <w:pPr>
              <w:pStyle w:val="TableParagraph"/>
              <w:ind w:left="80"/>
              <w:rPr>
                <w:sz w:val="14"/>
              </w:rPr>
            </w:pPr>
            <w:r>
              <w:rPr>
                <w:color w:val="4D4D4F"/>
                <w:w w:val="105"/>
                <w:sz w:val="14"/>
              </w:rPr>
              <w:t>C3 grassland</w:t>
            </w:r>
          </w:p>
        </w:tc>
        <w:tc>
          <w:tcPr>
            <w:tcW w:w="1078" w:type="dxa"/>
          </w:tcPr>
          <w:p w14:paraId="78EEA36B" w14:textId="77777777" w:rsidR="00EF5B27" w:rsidRDefault="00EF5B27">
            <w:pPr>
              <w:pStyle w:val="TableParagraph"/>
              <w:spacing w:before="11"/>
              <w:rPr>
                <w:sz w:val="11"/>
              </w:rPr>
            </w:pPr>
          </w:p>
          <w:p w14:paraId="760027B8"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7F00B4C0" w14:textId="77777777" w:rsidR="00EF5B27" w:rsidRDefault="00EF5B27">
            <w:pPr>
              <w:pStyle w:val="TableParagraph"/>
              <w:spacing w:before="11"/>
              <w:rPr>
                <w:sz w:val="11"/>
              </w:rPr>
            </w:pPr>
          </w:p>
          <w:p w14:paraId="59233424" w14:textId="77777777" w:rsidR="00EF5B27" w:rsidRDefault="00000000">
            <w:pPr>
              <w:pStyle w:val="TableParagraph"/>
              <w:ind w:left="143" w:right="142"/>
              <w:jc w:val="center"/>
              <w:rPr>
                <w:sz w:val="14"/>
              </w:rPr>
            </w:pPr>
            <w:r>
              <w:rPr>
                <w:color w:val="4D4D4F"/>
                <w:sz w:val="14"/>
              </w:rPr>
              <w:t>Baseline not yet set</w:t>
            </w:r>
          </w:p>
        </w:tc>
        <w:tc>
          <w:tcPr>
            <w:tcW w:w="964" w:type="dxa"/>
          </w:tcPr>
          <w:p w14:paraId="369435CD" w14:textId="77777777" w:rsidR="00EF5B27" w:rsidRDefault="00EF5B27">
            <w:pPr>
              <w:pStyle w:val="TableParagraph"/>
              <w:spacing w:before="4"/>
              <w:rPr>
                <w:sz w:val="7"/>
              </w:rPr>
            </w:pPr>
          </w:p>
          <w:p w14:paraId="6EE0C273" w14:textId="77777777" w:rsidR="00EF5B27" w:rsidRDefault="00000000">
            <w:pPr>
              <w:pStyle w:val="TableParagraph"/>
              <w:spacing w:line="187" w:lineRule="exact"/>
              <w:ind w:left="400"/>
              <w:rPr>
                <w:sz w:val="18"/>
              </w:rPr>
            </w:pPr>
            <w:r>
              <w:rPr>
                <w:noProof/>
                <w:position w:val="-3"/>
                <w:sz w:val="18"/>
              </w:rPr>
              <w:drawing>
                <wp:inline distT="0" distB="0" distL="0" distR="0" wp14:anchorId="57B72293" wp14:editId="27B64116">
                  <wp:extent cx="100572" cy="119062"/>
                  <wp:effectExtent l="0" t="0" r="0" b="0"/>
                  <wp:docPr id="91"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5.png"/>
                          <pic:cNvPicPr/>
                        </pic:nvPicPr>
                        <pic:blipFill>
                          <a:blip r:embed="rId76" cstate="print"/>
                          <a:stretch>
                            <a:fillRect/>
                          </a:stretch>
                        </pic:blipFill>
                        <pic:spPr>
                          <a:xfrm>
                            <a:off x="0" y="0"/>
                            <a:ext cx="100572" cy="119062"/>
                          </a:xfrm>
                          <a:prstGeom prst="rect">
                            <a:avLst/>
                          </a:prstGeom>
                        </pic:spPr>
                      </pic:pic>
                    </a:graphicData>
                  </a:graphic>
                </wp:inline>
              </w:drawing>
            </w:r>
          </w:p>
          <w:p w14:paraId="3F90B2D5" w14:textId="77777777" w:rsidR="00EF5B27" w:rsidRDefault="00EF5B27">
            <w:pPr>
              <w:pStyle w:val="TableParagraph"/>
              <w:spacing w:before="8"/>
              <w:rPr>
                <w:sz w:val="2"/>
              </w:rPr>
            </w:pPr>
          </w:p>
          <w:p w14:paraId="2D29755D" w14:textId="77777777" w:rsidR="00EF5B27" w:rsidRDefault="00000000">
            <w:pPr>
              <w:pStyle w:val="TableParagraph"/>
              <w:spacing w:line="48" w:lineRule="exact"/>
              <w:ind w:left="448"/>
              <w:rPr>
                <w:sz w:val="4"/>
              </w:rPr>
            </w:pPr>
            <w:r>
              <w:rPr>
                <w:sz w:val="4"/>
              </w:rPr>
            </w:r>
            <w:r>
              <w:rPr>
                <w:sz w:val="4"/>
              </w:rPr>
              <w:pict w14:anchorId="105C1A07">
                <v:group id="_x0000_s4129" style="width:2.45pt;height:2.45pt;mso-position-horizontal-relative:char;mso-position-vertical-relative:line" coordsize="49,49">
                  <v:shape id="_x0000_s4130" style="position:absolute;width:49;height:49" coordsize="49,49" path="m31,l18,,12,2,2,12,,17,,31r2,6l12,46r6,3l31,49r6,-3l46,37r3,-6l49,17,46,12,37,2,31,xe" fillcolor="#808285" stroked="f">
                    <v:path arrowok="t"/>
                  </v:shape>
                  <w10:wrap type="none"/>
                  <w10:anchorlock/>
                </v:group>
              </w:pict>
            </w:r>
          </w:p>
        </w:tc>
        <w:tc>
          <w:tcPr>
            <w:tcW w:w="964" w:type="dxa"/>
          </w:tcPr>
          <w:p w14:paraId="2A883E6A" w14:textId="77777777" w:rsidR="00EF5B27" w:rsidRDefault="00EF5B27">
            <w:pPr>
              <w:pStyle w:val="TableParagraph"/>
              <w:spacing w:before="11"/>
              <w:rPr>
                <w:sz w:val="11"/>
              </w:rPr>
            </w:pPr>
          </w:p>
          <w:p w14:paraId="47CF22E0" w14:textId="77777777" w:rsidR="00EF5B27" w:rsidRDefault="00000000">
            <w:pPr>
              <w:pStyle w:val="TableParagraph"/>
              <w:ind w:left="368"/>
              <w:rPr>
                <w:sz w:val="14"/>
              </w:rPr>
            </w:pPr>
            <w:r>
              <w:rPr>
                <w:color w:val="4D4D4F"/>
                <w:w w:val="105"/>
                <w:sz w:val="14"/>
              </w:rPr>
              <w:t>N/A</w:t>
            </w:r>
          </w:p>
        </w:tc>
        <w:tc>
          <w:tcPr>
            <w:tcW w:w="1489" w:type="dxa"/>
          </w:tcPr>
          <w:p w14:paraId="7079D851" w14:textId="77777777" w:rsidR="00EF5B27" w:rsidRDefault="00000000">
            <w:pPr>
              <w:pStyle w:val="TableParagraph"/>
              <w:spacing w:before="134"/>
              <w:ind w:left="457" w:right="457"/>
              <w:jc w:val="center"/>
              <w:rPr>
                <w:sz w:val="16"/>
              </w:rPr>
            </w:pPr>
            <w:r>
              <w:rPr>
                <w:color w:val="4D4D4F"/>
                <w:sz w:val="16"/>
              </w:rPr>
              <w:t>2022</w:t>
            </w:r>
          </w:p>
        </w:tc>
      </w:tr>
      <w:tr w:rsidR="00EF5B27" w14:paraId="26F120B7" w14:textId="77777777">
        <w:trPr>
          <w:trHeight w:val="448"/>
        </w:trPr>
        <w:tc>
          <w:tcPr>
            <w:tcW w:w="2980" w:type="dxa"/>
          </w:tcPr>
          <w:p w14:paraId="1B367A41" w14:textId="77777777" w:rsidR="00EF5B27" w:rsidRDefault="00EF5B27">
            <w:pPr>
              <w:pStyle w:val="TableParagraph"/>
              <w:spacing w:before="11"/>
              <w:rPr>
                <w:sz w:val="11"/>
              </w:rPr>
            </w:pPr>
          </w:p>
          <w:p w14:paraId="13FCD141" w14:textId="77777777" w:rsidR="00EF5B27" w:rsidRDefault="00000000">
            <w:pPr>
              <w:pStyle w:val="TableParagraph"/>
              <w:ind w:left="80"/>
              <w:rPr>
                <w:sz w:val="14"/>
              </w:rPr>
            </w:pPr>
            <w:r>
              <w:rPr>
                <w:color w:val="4D4D4F"/>
                <w:w w:val="105"/>
                <w:sz w:val="14"/>
              </w:rPr>
              <w:t>Nutrient-enriched grassland</w:t>
            </w:r>
          </w:p>
        </w:tc>
        <w:tc>
          <w:tcPr>
            <w:tcW w:w="1078" w:type="dxa"/>
          </w:tcPr>
          <w:p w14:paraId="64F46295" w14:textId="77777777" w:rsidR="00EF5B27" w:rsidRDefault="00EF5B27">
            <w:pPr>
              <w:pStyle w:val="TableParagraph"/>
              <w:spacing w:before="11"/>
              <w:rPr>
                <w:sz w:val="11"/>
              </w:rPr>
            </w:pPr>
          </w:p>
          <w:p w14:paraId="0E76E245" w14:textId="77777777" w:rsidR="00EF5B27" w:rsidRDefault="00000000">
            <w:pPr>
              <w:pStyle w:val="TableParagraph"/>
              <w:ind w:left="128" w:right="124"/>
              <w:jc w:val="center"/>
              <w:rPr>
                <w:sz w:val="14"/>
              </w:rPr>
            </w:pPr>
            <w:r>
              <w:rPr>
                <w:color w:val="4D4D4F"/>
                <w:sz w:val="14"/>
              </w:rPr>
              <w:t>Met</w:t>
            </w:r>
          </w:p>
        </w:tc>
        <w:tc>
          <w:tcPr>
            <w:tcW w:w="2155" w:type="dxa"/>
          </w:tcPr>
          <w:p w14:paraId="01D33960" w14:textId="77777777" w:rsidR="00EF5B27" w:rsidRDefault="00EF5B27">
            <w:pPr>
              <w:pStyle w:val="TableParagraph"/>
              <w:spacing w:before="11"/>
              <w:rPr>
                <w:sz w:val="11"/>
              </w:rPr>
            </w:pPr>
          </w:p>
          <w:p w14:paraId="1F4CD638" w14:textId="77777777" w:rsidR="00EF5B27" w:rsidRDefault="00000000">
            <w:pPr>
              <w:pStyle w:val="TableParagraph"/>
              <w:ind w:left="139" w:right="142"/>
              <w:jc w:val="center"/>
              <w:rPr>
                <w:sz w:val="14"/>
              </w:rPr>
            </w:pPr>
            <w:r>
              <w:rPr>
                <w:color w:val="4D4D4F"/>
                <w:w w:val="105"/>
                <w:sz w:val="14"/>
              </w:rPr>
              <w:t>N/A</w:t>
            </w:r>
          </w:p>
        </w:tc>
        <w:tc>
          <w:tcPr>
            <w:tcW w:w="964" w:type="dxa"/>
          </w:tcPr>
          <w:p w14:paraId="61C2DA9E" w14:textId="77777777" w:rsidR="00EF5B27" w:rsidRDefault="00EF5B27">
            <w:pPr>
              <w:pStyle w:val="TableParagraph"/>
              <w:spacing w:before="8"/>
              <w:rPr>
                <w:sz w:val="8"/>
              </w:rPr>
            </w:pPr>
          </w:p>
          <w:p w14:paraId="0B49B9B1" w14:textId="77777777" w:rsidR="00EF5B27" w:rsidRDefault="00000000">
            <w:pPr>
              <w:pStyle w:val="TableParagraph"/>
              <w:spacing w:line="232" w:lineRule="exact"/>
              <w:ind w:left="427"/>
              <w:rPr>
                <w:sz w:val="20"/>
              </w:rPr>
            </w:pPr>
            <w:r>
              <w:rPr>
                <w:noProof/>
                <w:position w:val="-4"/>
                <w:sz w:val="20"/>
              </w:rPr>
              <w:drawing>
                <wp:inline distT="0" distB="0" distL="0" distR="0" wp14:anchorId="385F43A1" wp14:editId="39B23D19">
                  <wp:extent cx="64988" cy="147637"/>
                  <wp:effectExtent l="0" t="0" r="0" b="0"/>
                  <wp:docPr id="9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0.png"/>
                          <pic:cNvPicPr/>
                        </pic:nvPicPr>
                        <pic:blipFill>
                          <a:blip r:embed="rId81" cstate="print"/>
                          <a:stretch>
                            <a:fillRect/>
                          </a:stretch>
                        </pic:blipFill>
                        <pic:spPr>
                          <a:xfrm>
                            <a:off x="0" y="0"/>
                            <a:ext cx="64988" cy="147637"/>
                          </a:xfrm>
                          <a:prstGeom prst="rect">
                            <a:avLst/>
                          </a:prstGeom>
                        </pic:spPr>
                      </pic:pic>
                    </a:graphicData>
                  </a:graphic>
                </wp:inline>
              </w:drawing>
            </w:r>
          </w:p>
        </w:tc>
        <w:tc>
          <w:tcPr>
            <w:tcW w:w="964" w:type="dxa"/>
          </w:tcPr>
          <w:p w14:paraId="26656A0F" w14:textId="77777777" w:rsidR="00EF5B27" w:rsidRDefault="00EF5B27">
            <w:pPr>
              <w:pStyle w:val="TableParagraph"/>
              <w:spacing w:before="11"/>
              <w:rPr>
                <w:sz w:val="11"/>
              </w:rPr>
            </w:pPr>
          </w:p>
          <w:p w14:paraId="1BA2821D" w14:textId="77777777" w:rsidR="00EF5B27" w:rsidRDefault="00000000">
            <w:pPr>
              <w:pStyle w:val="TableParagraph"/>
              <w:ind w:left="344"/>
              <w:rPr>
                <w:sz w:val="14"/>
              </w:rPr>
            </w:pPr>
            <w:r>
              <w:rPr>
                <w:color w:val="4D4D4F"/>
                <w:w w:val="105"/>
                <w:sz w:val="14"/>
              </w:rPr>
              <w:t>High</w:t>
            </w:r>
          </w:p>
        </w:tc>
        <w:tc>
          <w:tcPr>
            <w:tcW w:w="1489" w:type="dxa"/>
          </w:tcPr>
          <w:p w14:paraId="44666302" w14:textId="77777777" w:rsidR="00EF5B27" w:rsidRDefault="00000000">
            <w:pPr>
              <w:pStyle w:val="TableParagraph"/>
              <w:spacing w:before="134"/>
              <w:ind w:left="451" w:right="457"/>
              <w:jc w:val="center"/>
              <w:rPr>
                <w:sz w:val="16"/>
              </w:rPr>
            </w:pPr>
            <w:r>
              <w:rPr>
                <w:color w:val="4D4D4F"/>
                <w:sz w:val="16"/>
              </w:rPr>
              <w:t>2017</w:t>
            </w:r>
          </w:p>
        </w:tc>
      </w:tr>
      <w:tr w:rsidR="00EF5B27" w14:paraId="0C42FDF5" w14:textId="77777777">
        <w:trPr>
          <w:trHeight w:val="448"/>
        </w:trPr>
        <w:tc>
          <w:tcPr>
            <w:tcW w:w="2980" w:type="dxa"/>
          </w:tcPr>
          <w:p w14:paraId="0B80CFEB" w14:textId="77777777" w:rsidR="00EF5B27" w:rsidRDefault="00EF5B27">
            <w:pPr>
              <w:pStyle w:val="TableParagraph"/>
              <w:spacing w:before="11"/>
              <w:rPr>
                <w:sz w:val="11"/>
              </w:rPr>
            </w:pPr>
          </w:p>
          <w:p w14:paraId="67B53021" w14:textId="77777777" w:rsidR="00EF5B27" w:rsidRDefault="00000000">
            <w:pPr>
              <w:pStyle w:val="TableParagraph"/>
              <w:ind w:left="80"/>
              <w:rPr>
                <w:sz w:val="14"/>
              </w:rPr>
            </w:pPr>
            <w:r>
              <w:rPr>
                <w:color w:val="4D4D4F"/>
                <w:w w:val="105"/>
                <w:sz w:val="14"/>
              </w:rPr>
              <w:t>De-rocked grassland</w:t>
            </w:r>
          </w:p>
        </w:tc>
        <w:tc>
          <w:tcPr>
            <w:tcW w:w="1078" w:type="dxa"/>
          </w:tcPr>
          <w:p w14:paraId="2D043FF3" w14:textId="77777777" w:rsidR="00EF5B27" w:rsidRDefault="00EF5B27">
            <w:pPr>
              <w:pStyle w:val="TableParagraph"/>
              <w:spacing w:before="11"/>
              <w:rPr>
                <w:sz w:val="11"/>
              </w:rPr>
            </w:pPr>
          </w:p>
          <w:p w14:paraId="17161E94"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469FCA50" w14:textId="77777777" w:rsidR="00EF5B27" w:rsidRDefault="00EF5B27">
            <w:pPr>
              <w:pStyle w:val="TableParagraph"/>
              <w:spacing w:before="11"/>
              <w:rPr>
                <w:sz w:val="11"/>
              </w:rPr>
            </w:pPr>
          </w:p>
          <w:p w14:paraId="7B2141E4" w14:textId="77777777" w:rsidR="00EF5B27" w:rsidRDefault="00000000">
            <w:pPr>
              <w:pStyle w:val="TableParagraph"/>
              <w:ind w:left="143" w:right="142"/>
              <w:jc w:val="center"/>
              <w:rPr>
                <w:sz w:val="14"/>
              </w:rPr>
            </w:pPr>
            <w:r>
              <w:rPr>
                <w:color w:val="4D4D4F"/>
                <w:sz w:val="14"/>
              </w:rPr>
              <w:t>Baseline not yet set</w:t>
            </w:r>
          </w:p>
        </w:tc>
        <w:tc>
          <w:tcPr>
            <w:tcW w:w="964" w:type="dxa"/>
          </w:tcPr>
          <w:p w14:paraId="45E9B812" w14:textId="77777777" w:rsidR="00EF5B27" w:rsidRDefault="00EF5B27">
            <w:pPr>
              <w:pStyle w:val="TableParagraph"/>
              <w:spacing w:before="4"/>
              <w:rPr>
                <w:sz w:val="7"/>
              </w:rPr>
            </w:pPr>
          </w:p>
          <w:p w14:paraId="32476847" w14:textId="77777777" w:rsidR="00EF5B27" w:rsidRDefault="00000000">
            <w:pPr>
              <w:pStyle w:val="TableParagraph"/>
              <w:spacing w:line="187" w:lineRule="exact"/>
              <w:ind w:left="400"/>
              <w:rPr>
                <w:sz w:val="18"/>
              </w:rPr>
            </w:pPr>
            <w:r>
              <w:rPr>
                <w:noProof/>
                <w:position w:val="-3"/>
                <w:sz w:val="18"/>
              </w:rPr>
              <w:drawing>
                <wp:inline distT="0" distB="0" distL="0" distR="0" wp14:anchorId="05DEB81C" wp14:editId="4C49BD59">
                  <wp:extent cx="100572" cy="119062"/>
                  <wp:effectExtent l="0" t="0" r="0" b="0"/>
                  <wp:docPr id="9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1.png"/>
                          <pic:cNvPicPr/>
                        </pic:nvPicPr>
                        <pic:blipFill>
                          <a:blip r:embed="rId75" cstate="print"/>
                          <a:stretch>
                            <a:fillRect/>
                          </a:stretch>
                        </pic:blipFill>
                        <pic:spPr>
                          <a:xfrm>
                            <a:off x="0" y="0"/>
                            <a:ext cx="100572" cy="119062"/>
                          </a:xfrm>
                          <a:prstGeom prst="rect">
                            <a:avLst/>
                          </a:prstGeom>
                        </pic:spPr>
                      </pic:pic>
                    </a:graphicData>
                  </a:graphic>
                </wp:inline>
              </w:drawing>
            </w:r>
          </w:p>
          <w:p w14:paraId="7878282F" w14:textId="77777777" w:rsidR="00EF5B27" w:rsidRDefault="00EF5B27">
            <w:pPr>
              <w:pStyle w:val="TableParagraph"/>
              <w:spacing w:before="8"/>
              <w:rPr>
                <w:sz w:val="2"/>
              </w:rPr>
            </w:pPr>
          </w:p>
          <w:p w14:paraId="34AA7C59" w14:textId="77777777" w:rsidR="00EF5B27" w:rsidRDefault="00000000">
            <w:pPr>
              <w:pStyle w:val="TableParagraph"/>
              <w:spacing w:line="48" w:lineRule="exact"/>
              <w:ind w:left="448"/>
              <w:rPr>
                <w:sz w:val="4"/>
              </w:rPr>
            </w:pPr>
            <w:r>
              <w:rPr>
                <w:sz w:val="4"/>
              </w:rPr>
            </w:r>
            <w:r>
              <w:rPr>
                <w:sz w:val="4"/>
              </w:rPr>
              <w:pict w14:anchorId="307E5AA6">
                <v:group id="_x0000_s4127" style="width:2.45pt;height:2.45pt;mso-position-horizontal-relative:char;mso-position-vertical-relative:line" coordsize="49,49">
                  <v:shape id="_x0000_s4128" style="position:absolute;width:49;height:49" coordsize="49,49" path="m31,l18,,12,2,2,12,,17,,31r2,6l12,46r6,3l31,49r6,-3l46,37r3,-6l49,17,46,12,37,2,31,xe" fillcolor="#808285" stroked="f">
                    <v:path arrowok="t"/>
                  </v:shape>
                  <w10:wrap type="none"/>
                  <w10:anchorlock/>
                </v:group>
              </w:pict>
            </w:r>
          </w:p>
        </w:tc>
        <w:tc>
          <w:tcPr>
            <w:tcW w:w="964" w:type="dxa"/>
          </w:tcPr>
          <w:p w14:paraId="0B71441E" w14:textId="77777777" w:rsidR="00EF5B27" w:rsidRDefault="00EF5B27">
            <w:pPr>
              <w:pStyle w:val="TableParagraph"/>
              <w:spacing w:before="11"/>
              <w:rPr>
                <w:sz w:val="11"/>
              </w:rPr>
            </w:pPr>
          </w:p>
          <w:p w14:paraId="134EE7F3" w14:textId="77777777" w:rsidR="00EF5B27" w:rsidRDefault="00000000">
            <w:pPr>
              <w:pStyle w:val="TableParagraph"/>
              <w:ind w:left="368"/>
              <w:rPr>
                <w:sz w:val="14"/>
              </w:rPr>
            </w:pPr>
            <w:r>
              <w:rPr>
                <w:color w:val="4D4D4F"/>
                <w:w w:val="105"/>
                <w:sz w:val="14"/>
              </w:rPr>
              <w:t>N/A</w:t>
            </w:r>
          </w:p>
        </w:tc>
        <w:tc>
          <w:tcPr>
            <w:tcW w:w="1489" w:type="dxa"/>
          </w:tcPr>
          <w:p w14:paraId="55251FD4" w14:textId="77777777" w:rsidR="00EF5B27" w:rsidRDefault="00000000">
            <w:pPr>
              <w:pStyle w:val="TableParagraph"/>
              <w:spacing w:before="134"/>
              <w:ind w:left="457" w:right="457"/>
              <w:jc w:val="center"/>
              <w:rPr>
                <w:sz w:val="16"/>
              </w:rPr>
            </w:pPr>
            <w:r>
              <w:rPr>
                <w:color w:val="4D4D4F"/>
                <w:w w:val="105"/>
                <w:sz w:val="16"/>
              </w:rPr>
              <w:t>Unclear</w:t>
            </w:r>
          </w:p>
        </w:tc>
      </w:tr>
    </w:tbl>
    <w:p w14:paraId="01154FBD" w14:textId="77777777" w:rsidR="00EF5B27" w:rsidRDefault="00EF5B27">
      <w:pPr>
        <w:pStyle w:val="BodyText"/>
        <w:spacing w:before="1"/>
        <w:rPr>
          <w:sz w:val="34"/>
        </w:rPr>
      </w:pPr>
    </w:p>
    <w:p w14:paraId="29A0ADD3" w14:textId="77777777" w:rsidR="00EF5B27" w:rsidRDefault="00000000">
      <w:pPr>
        <w:pStyle w:val="BodyText"/>
        <w:spacing w:before="1" w:line="254" w:lineRule="auto"/>
        <w:ind w:left="2608" w:right="119"/>
      </w:pPr>
      <w:r>
        <w:rPr>
          <w:color w:val="4D4D4F"/>
          <w:spacing w:val="-4"/>
        </w:rPr>
        <w:t xml:space="preserve">Comments: </w:t>
      </w:r>
      <w:r>
        <w:rPr>
          <w:color w:val="4D4D4F"/>
        </w:rPr>
        <w:t xml:space="preserve">KPI 3 </w:t>
      </w:r>
      <w:r>
        <w:rPr>
          <w:color w:val="4D4D4F"/>
          <w:spacing w:val="-4"/>
        </w:rPr>
        <w:t xml:space="preserve">measures </w:t>
      </w:r>
      <w:r>
        <w:rPr>
          <w:color w:val="4D4D4F"/>
          <w:spacing w:val="-3"/>
        </w:rPr>
        <w:t xml:space="preserve">the </w:t>
      </w:r>
      <w:r>
        <w:rPr>
          <w:color w:val="4D4D4F"/>
          <w:spacing w:val="-4"/>
        </w:rPr>
        <w:t xml:space="preserve">richness </w:t>
      </w:r>
      <w:r>
        <w:rPr>
          <w:color w:val="4D4D4F"/>
          <w:spacing w:val="-3"/>
        </w:rPr>
        <w:t xml:space="preserve">of the </w:t>
      </w:r>
      <w:r>
        <w:rPr>
          <w:color w:val="4D4D4F"/>
          <w:spacing w:val="-4"/>
        </w:rPr>
        <w:t xml:space="preserve">native </w:t>
      </w:r>
      <w:r>
        <w:rPr>
          <w:color w:val="4D4D4F"/>
          <w:spacing w:val="-5"/>
        </w:rPr>
        <w:t xml:space="preserve">perennial </w:t>
      </w:r>
      <w:r>
        <w:rPr>
          <w:color w:val="4D4D4F"/>
          <w:spacing w:val="-3"/>
        </w:rPr>
        <w:t xml:space="preserve">forb </w:t>
      </w:r>
      <w:r>
        <w:rPr>
          <w:color w:val="4D4D4F"/>
          <w:spacing w:val="-4"/>
        </w:rPr>
        <w:t xml:space="preserve">component </w:t>
      </w:r>
      <w:r>
        <w:rPr>
          <w:color w:val="4D4D4F"/>
          <w:spacing w:val="-6"/>
        </w:rPr>
        <w:t xml:space="preserve">(explicitly </w:t>
      </w:r>
      <w:r>
        <w:rPr>
          <w:color w:val="4D4D4F"/>
        </w:rPr>
        <w:t>at the scale of the 400 m</w:t>
      </w:r>
      <w:r>
        <w:rPr>
          <w:color w:val="4D4D4F"/>
          <w:position w:val="7"/>
          <w:sz w:val="11"/>
        </w:rPr>
        <w:t xml:space="preserve">2 </w:t>
      </w:r>
      <w:r>
        <w:rPr>
          <w:color w:val="4D4D4F"/>
          <w:spacing w:val="-3"/>
        </w:rPr>
        <w:t xml:space="preserve">plot). </w:t>
      </w:r>
      <w:r>
        <w:rPr>
          <w:color w:val="4D4D4F"/>
        </w:rPr>
        <w:t xml:space="preserve">This KPI is assessed </w:t>
      </w:r>
      <w:r>
        <w:rPr>
          <w:color w:val="4D4D4F"/>
          <w:spacing w:val="-3"/>
        </w:rPr>
        <w:t xml:space="preserve">using </w:t>
      </w:r>
      <w:r>
        <w:rPr>
          <w:color w:val="4D4D4F"/>
        </w:rPr>
        <w:t xml:space="preserve">a continuous improvement approach, where any increase over the baseline in a five-year reporting period will lead to the calculation of a new baseline for subsequent reporting periods. This KPI was met in the three states for which assessment is possible: Herb-rich grassland, </w:t>
      </w:r>
      <w:r>
        <w:rPr>
          <w:rFonts w:ascii="Arial Narrow"/>
          <w:i/>
          <w:color w:val="4D4D4F"/>
        </w:rPr>
        <w:t xml:space="preserve">Themeda </w:t>
      </w:r>
      <w:r>
        <w:rPr>
          <w:color w:val="4D4D4F"/>
        </w:rPr>
        <w:t xml:space="preserve">grassland, and Nutrient-enriched grassland, with the trend being stable for </w:t>
      </w:r>
      <w:r>
        <w:rPr>
          <w:color w:val="4D4D4F"/>
          <w:spacing w:val="-2"/>
        </w:rPr>
        <w:t xml:space="preserve">all </w:t>
      </w:r>
      <w:r>
        <w:rPr>
          <w:color w:val="4D4D4F"/>
        </w:rPr>
        <w:t xml:space="preserve">three states. The baseline has not yet been set for the other states because these states are not yet sufficiently protected. Where an assessment can be made for KPI 3, confidence in the data is high, with sufficient data collected for </w:t>
      </w:r>
      <w:r>
        <w:rPr>
          <w:color w:val="4D4D4F"/>
          <w:spacing w:val="-3"/>
        </w:rPr>
        <w:t xml:space="preserve">multiple </w:t>
      </w:r>
      <w:r>
        <w:rPr>
          <w:color w:val="4D4D4F"/>
        </w:rPr>
        <w:t xml:space="preserve">plots over </w:t>
      </w:r>
      <w:r>
        <w:rPr>
          <w:color w:val="4D4D4F"/>
          <w:spacing w:val="-3"/>
        </w:rPr>
        <w:t xml:space="preserve">multiple </w:t>
      </w:r>
      <w:r>
        <w:rPr>
          <w:color w:val="4D4D4F"/>
        </w:rPr>
        <w:t>years.</w:t>
      </w:r>
    </w:p>
    <w:p w14:paraId="143938EB" w14:textId="77777777" w:rsidR="00EF5B27" w:rsidRDefault="00000000">
      <w:pPr>
        <w:pStyle w:val="BodyText"/>
        <w:spacing w:before="4"/>
        <w:rPr>
          <w:sz w:val="22"/>
        </w:rPr>
      </w:pPr>
      <w:r>
        <w:pict w14:anchorId="7A685F07">
          <v:line id="_x0000_s4126" style="position:absolute;z-index:251374080;mso-wrap-distance-left:0;mso-wrap-distance-right:0;mso-position-horizontal-relative:page" from="181.4pt,15.85pt" to="538.6pt,15.85pt" strokecolor="#4d4d4f" strokeweight=".5pt">
            <w10:wrap type="topAndBottom" anchorx="page"/>
          </v:line>
        </w:pict>
      </w:r>
    </w:p>
    <w:p w14:paraId="7249565D" w14:textId="77777777" w:rsidR="00EF5B27" w:rsidRDefault="00000000">
      <w:pPr>
        <w:pStyle w:val="ListParagraph"/>
        <w:numPr>
          <w:ilvl w:val="0"/>
          <w:numId w:val="65"/>
        </w:numPr>
        <w:tabs>
          <w:tab w:val="left" w:pos="2836"/>
        </w:tabs>
        <w:spacing w:before="83" w:line="143" w:lineRule="exact"/>
        <w:jc w:val="left"/>
        <w:rPr>
          <w:sz w:val="12"/>
        </w:rPr>
      </w:pPr>
      <w:r>
        <w:rPr>
          <w:color w:val="4D4D4F"/>
          <w:sz w:val="12"/>
        </w:rPr>
        <w:t xml:space="preserve">DELWP, internal document, provided </w:t>
      </w:r>
      <w:r>
        <w:rPr>
          <w:color w:val="4D4D4F"/>
          <w:spacing w:val="-3"/>
          <w:sz w:val="12"/>
        </w:rPr>
        <w:t xml:space="preserve">16  </w:t>
      </w:r>
      <w:r>
        <w:rPr>
          <w:color w:val="4D4D4F"/>
          <w:spacing w:val="2"/>
          <w:sz w:val="12"/>
        </w:rPr>
        <w:t xml:space="preserve">February </w:t>
      </w:r>
      <w:r>
        <w:rPr>
          <w:color w:val="4D4D4F"/>
          <w:spacing w:val="5"/>
          <w:sz w:val="12"/>
        </w:rPr>
        <w:t xml:space="preserve"> </w:t>
      </w:r>
      <w:r>
        <w:rPr>
          <w:color w:val="4D4D4F"/>
          <w:spacing w:val="2"/>
          <w:sz w:val="12"/>
        </w:rPr>
        <w:t>2022.</w:t>
      </w:r>
    </w:p>
    <w:p w14:paraId="02831ED2" w14:textId="77777777" w:rsidR="00EF5B27" w:rsidRDefault="00000000">
      <w:pPr>
        <w:pStyle w:val="ListParagraph"/>
        <w:numPr>
          <w:ilvl w:val="0"/>
          <w:numId w:val="65"/>
        </w:numPr>
        <w:tabs>
          <w:tab w:val="left" w:pos="2836"/>
        </w:tabs>
        <w:spacing w:line="143" w:lineRule="exact"/>
        <w:jc w:val="left"/>
        <w:rPr>
          <w:sz w:val="12"/>
        </w:rPr>
      </w:pPr>
      <w:r>
        <w:rPr>
          <w:color w:val="4D4D4F"/>
          <w:sz w:val="12"/>
        </w:rPr>
        <w:t xml:space="preserve">DELWP, internal document, provided </w:t>
      </w:r>
      <w:r>
        <w:rPr>
          <w:color w:val="4D4D4F"/>
          <w:spacing w:val="-3"/>
          <w:sz w:val="12"/>
        </w:rPr>
        <w:t xml:space="preserve">16  </w:t>
      </w:r>
      <w:r>
        <w:rPr>
          <w:color w:val="4D4D4F"/>
          <w:spacing w:val="2"/>
          <w:sz w:val="12"/>
        </w:rPr>
        <w:t xml:space="preserve">February </w:t>
      </w:r>
      <w:r>
        <w:rPr>
          <w:color w:val="4D4D4F"/>
          <w:spacing w:val="5"/>
          <w:sz w:val="12"/>
        </w:rPr>
        <w:t xml:space="preserve"> </w:t>
      </w:r>
      <w:r>
        <w:rPr>
          <w:color w:val="4D4D4F"/>
          <w:spacing w:val="2"/>
          <w:sz w:val="12"/>
        </w:rPr>
        <w:t>2022.</w:t>
      </w:r>
    </w:p>
    <w:p w14:paraId="7B41FEE1"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2DDBFE78" w14:textId="77777777" w:rsidR="00EF5B27" w:rsidRDefault="00000000">
      <w:pPr>
        <w:pStyle w:val="BodyText"/>
      </w:pPr>
      <w:r>
        <w:lastRenderedPageBreak/>
        <w:pict w14:anchorId="11128FC0">
          <v:group id="_x0000_s4118" style="position:absolute;margin-left:587.05pt;margin-top:183.4pt;width:8.25pt;height:153.1pt;z-index:251435520;mso-position-horizontal-relative:page;mso-position-vertical-relative:page" coordorigin="11741,3668" coordsize="165,3062">
            <v:shape id="_x0000_s4125" style="position:absolute;left:11741;top:3668;width:165;height:561" coordorigin="11741,3668" coordsize="165,561" path="m11906,3668r-165,l11741,4228r165,-18l11906,3668xe" fillcolor="#00aed9" stroked="f">
              <v:path arrowok="t"/>
            </v:shape>
            <v:shape id="_x0000_s4124" style="position:absolute;left:11741;top:4118;width:165;height:425" coordorigin="11741,4118" coordsize="165,425" path="m11906,4118r-165,14l11741,4531r165,12l11906,4118xe" fillcolor="#047ebc" stroked="f">
              <v:path arrowok="t"/>
            </v:shape>
            <v:shape id="_x0000_s4123" type="#_x0000_t75" style="position:absolute;left:11741;top:4355;width:165;height:587">
              <v:imagedata r:id="rId42" o:title=""/>
            </v:shape>
            <v:shape id="_x0000_s4122" style="position:absolute;left:11741;top:5343;width:165;height:536" coordorigin="11741,5343" coordsize="165,536" path="m11741,5343r,535l11906,5872r,-525l11741,5343xe" fillcolor="#f36a2e" stroked="f">
              <v:path arrowok="t"/>
            </v:shape>
            <v:shape id="_x0000_s4121" style="position:absolute;left:11741;top:4925;width:165;height:501" coordorigin="11741,4926" coordsize="165,501" path="m11741,4926r,500l11906,5426r,-485l11741,4926xe" fillcolor="#49783f" stroked="f">
              <v:path arrowok="t"/>
            </v:shape>
            <v:shape id="_x0000_s4120" style="position:absolute;left:11741;top:5781;width:165;height:268" coordorigin="11741,5782" coordsize="165,268" path="m11906,5782r-165,8l11741,6039r165,10l11906,5782xe" fillcolor="#f99f2a" stroked="f">
              <v:path arrowok="t"/>
            </v:shape>
            <v:shape id="_x0000_s4119" style="position:absolute;left:11741;top:6023;width:165;height:707" coordorigin="11741,6023" coordsize="165,707" path="m11741,6023r,706l11906,6729r,-690l11741,6023xe" fillcolor="#ef412c" stroked="f">
              <v:path arrowok="t"/>
            </v:shape>
            <w10:wrap anchorx="page" anchory="page"/>
          </v:group>
        </w:pict>
      </w:r>
    </w:p>
    <w:p w14:paraId="6BBE0E65" w14:textId="77777777" w:rsidR="00EF5B27" w:rsidRDefault="00EF5B27">
      <w:pPr>
        <w:pStyle w:val="BodyText"/>
      </w:pPr>
    </w:p>
    <w:p w14:paraId="753B197F" w14:textId="77777777" w:rsidR="00EF5B27" w:rsidRDefault="00EF5B27">
      <w:pPr>
        <w:pStyle w:val="BodyText"/>
      </w:pPr>
    </w:p>
    <w:p w14:paraId="774E110C" w14:textId="77777777" w:rsidR="00EF5B27" w:rsidRDefault="00EF5B27">
      <w:pPr>
        <w:pStyle w:val="BodyText"/>
      </w:pPr>
    </w:p>
    <w:p w14:paraId="08F0F991" w14:textId="77777777" w:rsidR="00EF5B27" w:rsidRDefault="00EF5B27">
      <w:pPr>
        <w:pStyle w:val="BodyText"/>
      </w:pPr>
    </w:p>
    <w:p w14:paraId="1FA2DB10" w14:textId="77777777" w:rsidR="00EF5B27" w:rsidRDefault="00EF5B27">
      <w:pPr>
        <w:pStyle w:val="BodyText"/>
      </w:pPr>
    </w:p>
    <w:p w14:paraId="45BAAECF" w14:textId="77777777" w:rsidR="00EF5B27" w:rsidRDefault="00EF5B27">
      <w:pPr>
        <w:pStyle w:val="BodyText"/>
      </w:pPr>
    </w:p>
    <w:p w14:paraId="25D1054E" w14:textId="77777777" w:rsidR="00EF5B27" w:rsidRDefault="00EF5B27">
      <w:pPr>
        <w:pStyle w:val="BodyText"/>
      </w:pPr>
    </w:p>
    <w:p w14:paraId="5EC54D76" w14:textId="77777777" w:rsidR="00EF5B27" w:rsidRDefault="00EF5B27">
      <w:pPr>
        <w:pStyle w:val="BodyText"/>
      </w:pPr>
    </w:p>
    <w:p w14:paraId="523996AF" w14:textId="77777777" w:rsidR="00EF5B27" w:rsidRDefault="00EF5B27">
      <w:pPr>
        <w:pStyle w:val="BodyText"/>
      </w:pPr>
    </w:p>
    <w:p w14:paraId="0656AA38" w14:textId="77777777" w:rsidR="00EF5B27" w:rsidRDefault="00EF5B27">
      <w:pPr>
        <w:pStyle w:val="BodyText"/>
        <w:spacing w:before="1"/>
        <w:rPr>
          <w:sz w:val="11"/>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6E80A258" w14:textId="77777777">
        <w:trPr>
          <w:trHeight w:val="561"/>
        </w:trPr>
        <w:tc>
          <w:tcPr>
            <w:tcW w:w="2980" w:type="dxa"/>
            <w:shd w:val="clear" w:color="auto" w:fill="FECC91"/>
          </w:tcPr>
          <w:p w14:paraId="45CCD65F" w14:textId="77777777" w:rsidR="00EF5B27" w:rsidRDefault="00EF5B27">
            <w:pPr>
              <w:pStyle w:val="TableParagraph"/>
              <w:spacing w:before="7"/>
              <w:rPr>
                <w:sz w:val="15"/>
              </w:rPr>
            </w:pPr>
          </w:p>
          <w:p w14:paraId="5E48E4E9" w14:textId="77777777" w:rsidR="00EF5B27" w:rsidRDefault="00000000">
            <w:pPr>
              <w:pStyle w:val="TableParagraph"/>
              <w:spacing w:before="1"/>
              <w:ind w:left="80"/>
              <w:rPr>
                <w:b/>
                <w:sz w:val="16"/>
              </w:rPr>
            </w:pPr>
            <w:r>
              <w:rPr>
                <w:b/>
                <w:sz w:val="16"/>
              </w:rPr>
              <w:t>KPI 4: Cover of Kangaroo Grass</w:t>
            </w:r>
          </w:p>
        </w:tc>
        <w:tc>
          <w:tcPr>
            <w:tcW w:w="1078" w:type="dxa"/>
            <w:shd w:val="clear" w:color="auto" w:fill="FECC91"/>
          </w:tcPr>
          <w:p w14:paraId="2D8295CA"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05B92361" w14:textId="77777777" w:rsidR="00EF5B27" w:rsidRDefault="00EF5B27">
            <w:pPr>
              <w:pStyle w:val="TableParagraph"/>
              <w:spacing w:before="7"/>
              <w:rPr>
                <w:sz w:val="15"/>
              </w:rPr>
            </w:pPr>
          </w:p>
          <w:p w14:paraId="2A8EEE2C"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4853CEB9" w14:textId="77777777" w:rsidR="00EF5B27" w:rsidRDefault="00EF5B27">
            <w:pPr>
              <w:pStyle w:val="TableParagraph"/>
              <w:spacing w:before="7"/>
              <w:rPr>
                <w:sz w:val="15"/>
              </w:rPr>
            </w:pPr>
          </w:p>
          <w:p w14:paraId="522E66A6"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5924C72B"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72F9A6CB"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7D8862B6" w14:textId="77777777">
        <w:trPr>
          <w:trHeight w:val="448"/>
        </w:trPr>
        <w:tc>
          <w:tcPr>
            <w:tcW w:w="2980" w:type="dxa"/>
          </w:tcPr>
          <w:p w14:paraId="57E0F9B0" w14:textId="77777777" w:rsidR="00EF5B27" w:rsidRDefault="00EF5B27">
            <w:pPr>
              <w:pStyle w:val="TableParagraph"/>
              <w:spacing w:before="11"/>
              <w:rPr>
                <w:sz w:val="11"/>
              </w:rPr>
            </w:pPr>
          </w:p>
          <w:p w14:paraId="6CD7A82E" w14:textId="77777777" w:rsidR="00EF5B27" w:rsidRDefault="00000000">
            <w:pPr>
              <w:pStyle w:val="TableParagraph"/>
              <w:ind w:left="80"/>
              <w:rPr>
                <w:sz w:val="14"/>
              </w:rPr>
            </w:pPr>
            <w:r>
              <w:rPr>
                <w:color w:val="4D4D4F"/>
                <w:w w:val="105"/>
                <w:sz w:val="14"/>
              </w:rPr>
              <w:t>Herb-rich grassland</w:t>
            </w:r>
          </w:p>
        </w:tc>
        <w:tc>
          <w:tcPr>
            <w:tcW w:w="1078" w:type="dxa"/>
          </w:tcPr>
          <w:p w14:paraId="285BE559" w14:textId="77777777" w:rsidR="00EF5B27" w:rsidRDefault="00EF5B27">
            <w:pPr>
              <w:pStyle w:val="TableParagraph"/>
              <w:spacing w:before="11"/>
              <w:rPr>
                <w:sz w:val="11"/>
              </w:rPr>
            </w:pPr>
          </w:p>
          <w:p w14:paraId="687A4BE4" w14:textId="77777777" w:rsidR="00EF5B27" w:rsidRDefault="00000000">
            <w:pPr>
              <w:pStyle w:val="TableParagraph"/>
              <w:ind w:left="128" w:right="124"/>
              <w:jc w:val="center"/>
              <w:rPr>
                <w:sz w:val="14"/>
              </w:rPr>
            </w:pPr>
            <w:r>
              <w:rPr>
                <w:color w:val="4D4D4F"/>
                <w:sz w:val="14"/>
              </w:rPr>
              <w:t>Met</w:t>
            </w:r>
          </w:p>
        </w:tc>
        <w:tc>
          <w:tcPr>
            <w:tcW w:w="2155" w:type="dxa"/>
          </w:tcPr>
          <w:p w14:paraId="36BE4B63" w14:textId="77777777" w:rsidR="00EF5B27" w:rsidRDefault="00EF5B27">
            <w:pPr>
              <w:pStyle w:val="TableParagraph"/>
              <w:spacing w:before="11"/>
              <w:rPr>
                <w:sz w:val="11"/>
              </w:rPr>
            </w:pPr>
          </w:p>
          <w:p w14:paraId="3D5EDB79" w14:textId="77777777" w:rsidR="00EF5B27" w:rsidRDefault="00000000">
            <w:pPr>
              <w:pStyle w:val="TableParagraph"/>
              <w:ind w:left="139" w:right="142"/>
              <w:jc w:val="center"/>
              <w:rPr>
                <w:sz w:val="14"/>
              </w:rPr>
            </w:pPr>
            <w:r>
              <w:rPr>
                <w:color w:val="4D4D4F"/>
                <w:w w:val="105"/>
                <w:sz w:val="14"/>
              </w:rPr>
              <w:t>N/A</w:t>
            </w:r>
          </w:p>
        </w:tc>
        <w:tc>
          <w:tcPr>
            <w:tcW w:w="964" w:type="dxa"/>
          </w:tcPr>
          <w:p w14:paraId="7B1687DF" w14:textId="77777777" w:rsidR="00EF5B27" w:rsidRDefault="00EF5B27">
            <w:pPr>
              <w:pStyle w:val="TableParagraph"/>
              <w:spacing w:before="8"/>
              <w:rPr>
                <w:sz w:val="8"/>
              </w:rPr>
            </w:pPr>
          </w:p>
          <w:p w14:paraId="2A676AD4" w14:textId="77777777" w:rsidR="00EF5B27" w:rsidRDefault="00000000">
            <w:pPr>
              <w:pStyle w:val="TableParagraph"/>
              <w:spacing w:line="235" w:lineRule="exact"/>
              <w:ind w:left="427"/>
              <w:rPr>
                <w:sz w:val="20"/>
              </w:rPr>
            </w:pPr>
            <w:r>
              <w:rPr>
                <w:noProof/>
                <w:position w:val="-4"/>
                <w:sz w:val="20"/>
              </w:rPr>
              <w:drawing>
                <wp:inline distT="0" distB="0" distL="0" distR="0" wp14:anchorId="10216423" wp14:editId="6C0B4CB5">
                  <wp:extent cx="65743" cy="149351"/>
                  <wp:effectExtent l="0" t="0" r="0" b="0"/>
                  <wp:docPr id="97"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2.png"/>
                          <pic:cNvPicPr/>
                        </pic:nvPicPr>
                        <pic:blipFill>
                          <a:blip r:embed="rId82" cstate="print"/>
                          <a:stretch>
                            <a:fillRect/>
                          </a:stretch>
                        </pic:blipFill>
                        <pic:spPr>
                          <a:xfrm>
                            <a:off x="0" y="0"/>
                            <a:ext cx="65743" cy="149351"/>
                          </a:xfrm>
                          <a:prstGeom prst="rect">
                            <a:avLst/>
                          </a:prstGeom>
                        </pic:spPr>
                      </pic:pic>
                    </a:graphicData>
                  </a:graphic>
                </wp:inline>
              </w:drawing>
            </w:r>
          </w:p>
        </w:tc>
        <w:tc>
          <w:tcPr>
            <w:tcW w:w="964" w:type="dxa"/>
          </w:tcPr>
          <w:p w14:paraId="5C7A0162" w14:textId="77777777" w:rsidR="00EF5B27" w:rsidRDefault="00EF5B27">
            <w:pPr>
              <w:pStyle w:val="TableParagraph"/>
              <w:spacing w:before="11"/>
              <w:rPr>
                <w:sz w:val="11"/>
              </w:rPr>
            </w:pPr>
          </w:p>
          <w:p w14:paraId="4F93F98C" w14:textId="77777777" w:rsidR="00EF5B27" w:rsidRDefault="00000000">
            <w:pPr>
              <w:pStyle w:val="TableParagraph"/>
              <w:ind w:left="344"/>
              <w:rPr>
                <w:sz w:val="14"/>
              </w:rPr>
            </w:pPr>
            <w:r>
              <w:rPr>
                <w:color w:val="4D4D4F"/>
                <w:w w:val="105"/>
                <w:sz w:val="14"/>
              </w:rPr>
              <w:t>High</w:t>
            </w:r>
          </w:p>
        </w:tc>
        <w:tc>
          <w:tcPr>
            <w:tcW w:w="1489" w:type="dxa"/>
          </w:tcPr>
          <w:p w14:paraId="7AD94DBE" w14:textId="77777777" w:rsidR="00EF5B27" w:rsidRDefault="00000000">
            <w:pPr>
              <w:pStyle w:val="TableParagraph"/>
              <w:spacing w:before="134"/>
              <w:ind w:left="451" w:right="457"/>
              <w:jc w:val="center"/>
              <w:rPr>
                <w:sz w:val="16"/>
              </w:rPr>
            </w:pPr>
            <w:r>
              <w:rPr>
                <w:color w:val="4D4D4F"/>
                <w:sz w:val="16"/>
              </w:rPr>
              <w:t>2017</w:t>
            </w:r>
          </w:p>
        </w:tc>
      </w:tr>
      <w:tr w:rsidR="00EF5B27" w14:paraId="4F80D924" w14:textId="77777777">
        <w:trPr>
          <w:trHeight w:val="448"/>
        </w:trPr>
        <w:tc>
          <w:tcPr>
            <w:tcW w:w="2980" w:type="dxa"/>
          </w:tcPr>
          <w:p w14:paraId="743FE782" w14:textId="77777777" w:rsidR="00EF5B27" w:rsidRDefault="00EF5B27">
            <w:pPr>
              <w:pStyle w:val="TableParagraph"/>
              <w:spacing w:before="11"/>
              <w:rPr>
                <w:sz w:val="11"/>
              </w:rPr>
            </w:pPr>
          </w:p>
          <w:p w14:paraId="52A16F1F" w14:textId="77777777" w:rsidR="00EF5B27" w:rsidRDefault="00000000">
            <w:pPr>
              <w:pStyle w:val="TableParagraph"/>
              <w:ind w:left="80"/>
              <w:rPr>
                <w:sz w:val="14"/>
              </w:rPr>
            </w:pPr>
            <w:r>
              <w:rPr>
                <w:rFonts w:ascii="Arial Narrow"/>
                <w:i/>
                <w:color w:val="4D4D4F"/>
                <w:w w:val="110"/>
                <w:sz w:val="14"/>
              </w:rPr>
              <w:t xml:space="preserve">Themeda </w:t>
            </w:r>
            <w:r>
              <w:rPr>
                <w:color w:val="4D4D4F"/>
                <w:w w:val="110"/>
                <w:sz w:val="14"/>
              </w:rPr>
              <w:t>grassland</w:t>
            </w:r>
          </w:p>
        </w:tc>
        <w:tc>
          <w:tcPr>
            <w:tcW w:w="1078" w:type="dxa"/>
          </w:tcPr>
          <w:p w14:paraId="1630CCB5" w14:textId="77777777" w:rsidR="00EF5B27" w:rsidRDefault="00EF5B27">
            <w:pPr>
              <w:pStyle w:val="TableParagraph"/>
              <w:spacing w:before="11"/>
              <w:rPr>
                <w:sz w:val="11"/>
              </w:rPr>
            </w:pPr>
          </w:p>
          <w:p w14:paraId="692A0A6D" w14:textId="77777777" w:rsidR="00EF5B27" w:rsidRDefault="00000000">
            <w:pPr>
              <w:pStyle w:val="TableParagraph"/>
              <w:ind w:left="128" w:right="124"/>
              <w:jc w:val="center"/>
              <w:rPr>
                <w:sz w:val="14"/>
              </w:rPr>
            </w:pPr>
            <w:r>
              <w:rPr>
                <w:color w:val="4D4D4F"/>
                <w:sz w:val="14"/>
              </w:rPr>
              <w:t>Met</w:t>
            </w:r>
          </w:p>
        </w:tc>
        <w:tc>
          <w:tcPr>
            <w:tcW w:w="2155" w:type="dxa"/>
          </w:tcPr>
          <w:p w14:paraId="0CDEED2A" w14:textId="77777777" w:rsidR="00EF5B27" w:rsidRDefault="00EF5B27">
            <w:pPr>
              <w:pStyle w:val="TableParagraph"/>
              <w:spacing w:before="11"/>
              <w:rPr>
                <w:sz w:val="11"/>
              </w:rPr>
            </w:pPr>
          </w:p>
          <w:p w14:paraId="5F3D1782" w14:textId="77777777" w:rsidR="00EF5B27" w:rsidRDefault="00000000">
            <w:pPr>
              <w:pStyle w:val="TableParagraph"/>
              <w:ind w:left="138" w:right="142"/>
              <w:jc w:val="center"/>
              <w:rPr>
                <w:sz w:val="14"/>
              </w:rPr>
            </w:pPr>
            <w:r>
              <w:rPr>
                <w:color w:val="4D4D4F"/>
                <w:w w:val="105"/>
                <w:sz w:val="14"/>
              </w:rPr>
              <w:t>N/A</w:t>
            </w:r>
          </w:p>
        </w:tc>
        <w:tc>
          <w:tcPr>
            <w:tcW w:w="964" w:type="dxa"/>
          </w:tcPr>
          <w:p w14:paraId="45BBB95B" w14:textId="77777777" w:rsidR="00EF5B27" w:rsidRDefault="00EF5B27">
            <w:pPr>
              <w:pStyle w:val="TableParagraph"/>
              <w:spacing w:before="8"/>
              <w:rPr>
                <w:sz w:val="8"/>
              </w:rPr>
            </w:pPr>
          </w:p>
          <w:p w14:paraId="4DC2BDD0" w14:textId="77777777" w:rsidR="00EF5B27" w:rsidRDefault="00000000">
            <w:pPr>
              <w:pStyle w:val="TableParagraph"/>
              <w:spacing w:line="232" w:lineRule="exact"/>
              <w:ind w:left="427"/>
              <w:rPr>
                <w:sz w:val="20"/>
              </w:rPr>
            </w:pPr>
            <w:r>
              <w:rPr>
                <w:noProof/>
                <w:position w:val="-4"/>
                <w:sz w:val="20"/>
              </w:rPr>
              <w:drawing>
                <wp:inline distT="0" distB="0" distL="0" distR="0" wp14:anchorId="088AAC3A" wp14:editId="4AFDD2E9">
                  <wp:extent cx="64988" cy="147637"/>
                  <wp:effectExtent l="0" t="0" r="0" b="0"/>
                  <wp:docPr id="9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6.png"/>
                          <pic:cNvPicPr/>
                        </pic:nvPicPr>
                        <pic:blipFill>
                          <a:blip r:embed="rId77" cstate="print"/>
                          <a:stretch>
                            <a:fillRect/>
                          </a:stretch>
                        </pic:blipFill>
                        <pic:spPr>
                          <a:xfrm>
                            <a:off x="0" y="0"/>
                            <a:ext cx="64988" cy="147637"/>
                          </a:xfrm>
                          <a:prstGeom prst="rect">
                            <a:avLst/>
                          </a:prstGeom>
                        </pic:spPr>
                      </pic:pic>
                    </a:graphicData>
                  </a:graphic>
                </wp:inline>
              </w:drawing>
            </w:r>
          </w:p>
        </w:tc>
        <w:tc>
          <w:tcPr>
            <w:tcW w:w="964" w:type="dxa"/>
          </w:tcPr>
          <w:p w14:paraId="42F8A1AA" w14:textId="77777777" w:rsidR="00EF5B27" w:rsidRDefault="00EF5B27">
            <w:pPr>
              <w:pStyle w:val="TableParagraph"/>
              <w:spacing w:before="11"/>
              <w:rPr>
                <w:sz w:val="11"/>
              </w:rPr>
            </w:pPr>
          </w:p>
          <w:p w14:paraId="575ECD13" w14:textId="77777777" w:rsidR="00EF5B27" w:rsidRDefault="00000000">
            <w:pPr>
              <w:pStyle w:val="TableParagraph"/>
              <w:ind w:left="344"/>
              <w:rPr>
                <w:sz w:val="14"/>
              </w:rPr>
            </w:pPr>
            <w:r>
              <w:rPr>
                <w:color w:val="4D4D4F"/>
                <w:w w:val="105"/>
                <w:sz w:val="14"/>
              </w:rPr>
              <w:t>High</w:t>
            </w:r>
          </w:p>
        </w:tc>
        <w:tc>
          <w:tcPr>
            <w:tcW w:w="1489" w:type="dxa"/>
          </w:tcPr>
          <w:p w14:paraId="6AEE3554" w14:textId="77777777" w:rsidR="00EF5B27" w:rsidRDefault="00000000">
            <w:pPr>
              <w:pStyle w:val="TableParagraph"/>
              <w:spacing w:before="134"/>
              <w:ind w:left="451" w:right="457"/>
              <w:jc w:val="center"/>
              <w:rPr>
                <w:sz w:val="16"/>
              </w:rPr>
            </w:pPr>
            <w:r>
              <w:rPr>
                <w:color w:val="4D4D4F"/>
                <w:sz w:val="16"/>
              </w:rPr>
              <w:t>2017</w:t>
            </w:r>
          </w:p>
        </w:tc>
      </w:tr>
      <w:tr w:rsidR="00EF5B27" w14:paraId="3B7A2227" w14:textId="77777777">
        <w:trPr>
          <w:trHeight w:val="448"/>
        </w:trPr>
        <w:tc>
          <w:tcPr>
            <w:tcW w:w="2980" w:type="dxa"/>
          </w:tcPr>
          <w:p w14:paraId="1D171D36" w14:textId="77777777" w:rsidR="00EF5B27" w:rsidRDefault="00EF5B27">
            <w:pPr>
              <w:pStyle w:val="TableParagraph"/>
              <w:spacing w:before="11"/>
              <w:rPr>
                <w:sz w:val="11"/>
              </w:rPr>
            </w:pPr>
          </w:p>
          <w:p w14:paraId="1AC86002" w14:textId="77777777" w:rsidR="00EF5B27" w:rsidRDefault="00000000">
            <w:pPr>
              <w:pStyle w:val="TableParagraph"/>
              <w:ind w:left="80"/>
              <w:rPr>
                <w:sz w:val="14"/>
              </w:rPr>
            </w:pPr>
            <w:r>
              <w:rPr>
                <w:color w:val="4D4D4F"/>
                <w:w w:val="105"/>
                <w:sz w:val="14"/>
              </w:rPr>
              <w:t>C3 grassland</w:t>
            </w:r>
          </w:p>
        </w:tc>
        <w:tc>
          <w:tcPr>
            <w:tcW w:w="1078" w:type="dxa"/>
          </w:tcPr>
          <w:p w14:paraId="1417F9D5" w14:textId="77777777" w:rsidR="00EF5B27" w:rsidRDefault="00EF5B27">
            <w:pPr>
              <w:pStyle w:val="TableParagraph"/>
              <w:spacing w:before="11"/>
              <w:rPr>
                <w:sz w:val="11"/>
              </w:rPr>
            </w:pPr>
          </w:p>
          <w:p w14:paraId="76D81054"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59F7704F" w14:textId="77777777" w:rsidR="00EF5B27" w:rsidRDefault="00EF5B27">
            <w:pPr>
              <w:pStyle w:val="TableParagraph"/>
              <w:spacing w:before="11"/>
              <w:rPr>
                <w:sz w:val="11"/>
              </w:rPr>
            </w:pPr>
          </w:p>
          <w:p w14:paraId="049C620A" w14:textId="77777777" w:rsidR="00EF5B27" w:rsidRDefault="00000000">
            <w:pPr>
              <w:pStyle w:val="TableParagraph"/>
              <w:ind w:left="143" w:right="142"/>
              <w:jc w:val="center"/>
              <w:rPr>
                <w:sz w:val="14"/>
              </w:rPr>
            </w:pPr>
            <w:r>
              <w:rPr>
                <w:color w:val="4D4D4F"/>
                <w:sz w:val="14"/>
              </w:rPr>
              <w:t>Baseline not yet set</w:t>
            </w:r>
          </w:p>
        </w:tc>
        <w:tc>
          <w:tcPr>
            <w:tcW w:w="964" w:type="dxa"/>
          </w:tcPr>
          <w:p w14:paraId="7E69DD37" w14:textId="77777777" w:rsidR="00EF5B27" w:rsidRDefault="00EF5B27">
            <w:pPr>
              <w:pStyle w:val="TableParagraph"/>
              <w:spacing w:before="4"/>
              <w:rPr>
                <w:sz w:val="7"/>
              </w:rPr>
            </w:pPr>
          </w:p>
          <w:p w14:paraId="3E58810A" w14:textId="77777777" w:rsidR="00EF5B27" w:rsidRDefault="00000000">
            <w:pPr>
              <w:pStyle w:val="TableParagraph"/>
              <w:spacing w:line="187" w:lineRule="exact"/>
              <w:ind w:left="400"/>
              <w:rPr>
                <w:sz w:val="18"/>
              </w:rPr>
            </w:pPr>
            <w:r>
              <w:rPr>
                <w:noProof/>
                <w:position w:val="-3"/>
                <w:sz w:val="18"/>
              </w:rPr>
              <w:drawing>
                <wp:inline distT="0" distB="0" distL="0" distR="0" wp14:anchorId="06910413" wp14:editId="0455EEB3">
                  <wp:extent cx="100572" cy="119062"/>
                  <wp:effectExtent l="0" t="0" r="0" b="0"/>
                  <wp:docPr id="101"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3.png"/>
                          <pic:cNvPicPr/>
                        </pic:nvPicPr>
                        <pic:blipFill>
                          <a:blip r:embed="rId83" cstate="print"/>
                          <a:stretch>
                            <a:fillRect/>
                          </a:stretch>
                        </pic:blipFill>
                        <pic:spPr>
                          <a:xfrm>
                            <a:off x="0" y="0"/>
                            <a:ext cx="100572" cy="119062"/>
                          </a:xfrm>
                          <a:prstGeom prst="rect">
                            <a:avLst/>
                          </a:prstGeom>
                        </pic:spPr>
                      </pic:pic>
                    </a:graphicData>
                  </a:graphic>
                </wp:inline>
              </w:drawing>
            </w:r>
          </w:p>
          <w:p w14:paraId="645B326C" w14:textId="77777777" w:rsidR="00EF5B27" w:rsidRDefault="00EF5B27">
            <w:pPr>
              <w:pStyle w:val="TableParagraph"/>
              <w:spacing w:before="8"/>
              <w:rPr>
                <w:sz w:val="2"/>
              </w:rPr>
            </w:pPr>
          </w:p>
          <w:p w14:paraId="19AA589D" w14:textId="77777777" w:rsidR="00EF5B27" w:rsidRDefault="00000000">
            <w:pPr>
              <w:pStyle w:val="TableParagraph"/>
              <w:spacing w:line="48" w:lineRule="exact"/>
              <w:ind w:left="448"/>
              <w:rPr>
                <w:sz w:val="4"/>
              </w:rPr>
            </w:pPr>
            <w:r>
              <w:rPr>
                <w:sz w:val="4"/>
              </w:rPr>
            </w:r>
            <w:r>
              <w:rPr>
                <w:sz w:val="4"/>
              </w:rPr>
              <w:pict w14:anchorId="4017D7D6">
                <v:group id="_x0000_s4116" style="width:2.45pt;height:2.45pt;mso-position-horizontal-relative:char;mso-position-vertical-relative:line" coordsize="49,49">
                  <v:shape id="_x0000_s4117" style="position:absolute;width:49;height:49" coordsize="49,49" path="m31,l18,,12,2,2,12,,17,,31r2,6l12,46r6,3l31,49r6,-3l46,37r3,-6l49,17,46,12,37,2,31,xe" fillcolor="#808285" stroked="f">
                    <v:path arrowok="t"/>
                  </v:shape>
                  <w10:wrap type="none"/>
                  <w10:anchorlock/>
                </v:group>
              </w:pict>
            </w:r>
          </w:p>
        </w:tc>
        <w:tc>
          <w:tcPr>
            <w:tcW w:w="964" w:type="dxa"/>
          </w:tcPr>
          <w:p w14:paraId="371650C8" w14:textId="77777777" w:rsidR="00EF5B27" w:rsidRDefault="00EF5B27">
            <w:pPr>
              <w:pStyle w:val="TableParagraph"/>
              <w:spacing w:before="11"/>
              <w:rPr>
                <w:sz w:val="11"/>
              </w:rPr>
            </w:pPr>
          </w:p>
          <w:p w14:paraId="6E25E903" w14:textId="77777777" w:rsidR="00EF5B27" w:rsidRDefault="00000000">
            <w:pPr>
              <w:pStyle w:val="TableParagraph"/>
              <w:ind w:left="368"/>
              <w:rPr>
                <w:sz w:val="14"/>
              </w:rPr>
            </w:pPr>
            <w:r>
              <w:rPr>
                <w:color w:val="4D4D4F"/>
                <w:w w:val="105"/>
                <w:sz w:val="14"/>
              </w:rPr>
              <w:t>N/A</w:t>
            </w:r>
          </w:p>
        </w:tc>
        <w:tc>
          <w:tcPr>
            <w:tcW w:w="1489" w:type="dxa"/>
          </w:tcPr>
          <w:p w14:paraId="3F69088F" w14:textId="77777777" w:rsidR="00EF5B27" w:rsidRDefault="00000000">
            <w:pPr>
              <w:pStyle w:val="TableParagraph"/>
              <w:spacing w:before="134"/>
              <w:ind w:left="457" w:right="457"/>
              <w:jc w:val="center"/>
              <w:rPr>
                <w:sz w:val="16"/>
              </w:rPr>
            </w:pPr>
            <w:r>
              <w:rPr>
                <w:color w:val="4D4D4F"/>
                <w:w w:val="105"/>
                <w:sz w:val="16"/>
              </w:rPr>
              <w:t>Unclear</w:t>
            </w:r>
          </w:p>
        </w:tc>
      </w:tr>
      <w:tr w:rsidR="00EF5B27" w14:paraId="140C2A32" w14:textId="77777777">
        <w:trPr>
          <w:trHeight w:val="448"/>
        </w:trPr>
        <w:tc>
          <w:tcPr>
            <w:tcW w:w="2980" w:type="dxa"/>
          </w:tcPr>
          <w:p w14:paraId="577D0197" w14:textId="77777777" w:rsidR="00EF5B27" w:rsidRDefault="00EF5B27">
            <w:pPr>
              <w:pStyle w:val="TableParagraph"/>
              <w:spacing w:before="11"/>
              <w:rPr>
                <w:sz w:val="11"/>
              </w:rPr>
            </w:pPr>
          </w:p>
          <w:p w14:paraId="71B2EC5F" w14:textId="77777777" w:rsidR="00EF5B27" w:rsidRDefault="00000000">
            <w:pPr>
              <w:pStyle w:val="TableParagraph"/>
              <w:ind w:left="80"/>
              <w:rPr>
                <w:sz w:val="14"/>
              </w:rPr>
            </w:pPr>
            <w:r>
              <w:rPr>
                <w:color w:val="4D4D4F"/>
                <w:w w:val="105"/>
                <w:sz w:val="14"/>
              </w:rPr>
              <w:t>Nutrient-enriched grassland</w:t>
            </w:r>
          </w:p>
        </w:tc>
        <w:tc>
          <w:tcPr>
            <w:tcW w:w="1078" w:type="dxa"/>
          </w:tcPr>
          <w:p w14:paraId="7822F5A4" w14:textId="77777777" w:rsidR="00EF5B27" w:rsidRDefault="00EF5B27">
            <w:pPr>
              <w:pStyle w:val="TableParagraph"/>
              <w:spacing w:before="11"/>
              <w:rPr>
                <w:sz w:val="11"/>
              </w:rPr>
            </w:pPr>
          </w:p>
          <w:p w14:paraId="70367B9A" w14:textId="77777777" w:rsidR="00EF5B27" w:rsidRDefault="00000000">
            <w:pPr>
              <w:pStyle w:val="TableParagraph"/>
              <w:ind w:left="128" w:right="124"/>
              <w:jc w:val="center"/>
              <w:rPr>
                <w:sz w:val="14"/>
              </w:rPr>
            </w:pPr>
            <w:r>
              <w:rPr>
                <w:color w:val="4D4D4F"/>
                <w:sz w:val="14"/>
              </w:rPr>
              <w:t>Met</w:t>
            </w:r>
          </w:p>
        </w:tc>
        <w:tc>
          <w:tcPr>
            <w:tcW w:w="2155" w:type="dxa"/>
          </w:tcPr>
          <w:p w14:paraId="7530B9DB" w14:textId="77777777" w:rsidR="00EF5B27" w:rsidRDefault="00EF5B27">
            <w:pPr>
              <w:pStyle w:val="TableParagraph"/>
              <w:spacing w:before="11"/>
              <w:rPr>
                <w:sz w:val="11"/>
              </w:rPr>
            </w:pPr>
          </w:p>
          <w:p w14:paraId="6956EA96" w14:textId="77777777" w:rsidR="00EF5B27" w:rsidRDefault="00000000">
            <w:pPr>
              <w:pStyle w:val="TableParagraph"/>
              <w:ind w:left="139" w:right="142"/>
              <w:jc w:val="center"/>
              <w:rPr>
                <w:sz w:val="14"/>
              </w:rPr>
            </w:pPr>
            <w:r>
              <w:rPr>
                <w:color w:val="4D4D4F"/>
                <w:w w:val="105"/>
                <w:sz w:val="14"/>
              </w:rPr>
              <w:t>N/A</w:t>
            </w:r>
          </w:p>
        </w:tc>
        <w:tc>
          <w:tcPr>
            <w:tcW w:w="964" w:type="dxa"/>
          </w:tcPr>
          <w:p w14:paraId="46726937" w14:textId="77777777" w:rsidR="00EF5B27" w:rsidRDefault="00EF5B27">
            <w:pPr>
              <w:pStyle w:val="TableParagraph"/>
              <w:spacing w:before="8"/>
              <w:rPr>
                <w:sz w:val="8"/>
              </w:rPr>
            </w:pPr>
          </w:p>
          <w:p w14:paraId="2E3B2BF6" w14:textId="77777777" w:rsidR="00EF5B27" w:rsidRDefault="00000000">
            <w:pPr>
              <w:pStyle w:val="TableParagraph"/>
              <w:spacing w:line="232" w:lineRule="exact"/>
              <w:ind w:left="427"/>
              <w:rPr>
                <w:sz w:val="20"/>
              </w:rPr>
            </w:pPr>
            <w:r>
              <w:rPr>
                <w:noProof/>
                <w:position w:val="-4"/>
                <w:sz w:val="20"/>
              </w:rPr>
              <w:drawing>
                <wp:inline distT="0" distB="0" distL="0" distR="0" wp14:anchorId="6DC015B7" wp14:editId="7D0DF9AC">
                  <wp:extent cx="64988" cy="147637"/>
                  <wp:effectExtent l="0" t="0" r="0" b="0"/>
                  <wp:docPr id="10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46.png"/>
                          <pic:cNvPicPr/>
                        </pic:nvPicPr>
                        <pic:blipFill>
                          <a:blip r:embed="rId77" cstate="print"/>
                          <a:stretch>
                            <a:fillRect/>
                          </a:stretch>
                        </pic:blipFill>
                        <pic:spPr>
                          <a:xfrm>
                            <a:off x="0" y="0"/>
                            <a:ext cx="64988" cy="147637"/>
                          </a:xfrm>
                          <a:prstGeom prst="rect">
                            <a:avLst/>
                          </a:prstGeom>
                        </pic:spPr>
                      </pic:pic>
                    </a:graphicData>
                  </a:graphic>
                </wp:inline>
              </w:drawing>
            </w:r>
          </w:p>
        </w:tc>
        <w:tc>
          <w:tcPr>
            <w:tcW w:w="964" w:type="dxa"/>
          </w:tcPr>
          <w:p w14:paraId="2F125310" w14:textId="77777777" w:rsidR="00EF5B27" w:rsidRDefault="00EF5B27">
            <w:pPr>
              <w:pStyle w:val="TableParagraph"/>
              <w:spacing w:before="11"/>
              <w:rPr>
                <w:sz w:val="11"/>
              </w:rPr>
            </w:pPr>
          </w:p>
          <w:p w14:paraId="6D09465B" w14:textId="77777777" w:rsidR="00EF5B27" w:rsidRDefault="00000000">
            <w:pPr>
              <w:pStyle w:val="TableParagraph"/>
              <w:ind w:left="344"/>
              <w:rPr>
                <w:sz w:val="14"/>
              </w:rPr>
            </w:pPr>
            <w:r>
              <w:rPr>
                <w:color w:val="4D4D4F"/>
                <w:w w:val="105"/>
                <w:sz w:val="14"/>
              </w:rPr>
              <w:t>High</w:t>
            </w:r>
          </w:p>
        </w:tc>
        <w:tc>
          <w:tcPr>
            <w:tcW w:w="1489" w:type="dxa"/>
          </w:tcPr>
          <w:p w14:paraId="17DCFE15" w14:textId="77777777" w:rsidR="00EF5B27" w:rsidRDefault="00000000">
            <w:pPr>
              <w:pStyle w:val="TableParagraph"/>
              <w:spacing w:before="134"/>
              <w:ind w:left="451" w:right="457"/>
              <w:jc w:val="center"/>
              <w:rPr>
                <w:sz w:val="16"/>
              </w:rPr>
            </w:pPr>
            <w:r>
              <w:rPr>
                <w:color w:val="4D4D4F"/>
                <w:sz w:val="16"/>
              </w:rPr>
              <w:t>2017</w:t>
            </w:r>
          </w:p>
        </w:tc>
      </w:tr>
      <w:tr w:rsidR="00EF5B27" w14:paraId="01AC1835" w14:textId="77777777">
        <w:trPr>
          <w:trHeight w:val="448"/>
        </w:trPr>
        <w:tc>
          <w:tcPr>
            <w:tcW w:w="2980" w:type="dxa"/>
          </w:tcPr>
          <w:p w14:paraId="31BB8D57" w14:textId="77777777" w:rsidR="00EF5B27" w:rsidRDefault="00EF5B27">
            <w:pPr>
              <w:pStyle w:val="TableParagraph"/>
              <w:spacing w:before="11"/>
              <w:rPr>
                <w:sz w:val="11"/>
              </w:rPr>
            </w:pPr>
          </w:p>
          <w:p w14:paraId="032A1FE5" w14:textId="77777777" w:rsidR="00EF5B27" w:rsidRDefault="00000000">
            <w:pPr>
              <w:pStyle w:val="TableParagraph"/>
              <w:ind w:left="80"/>
              <w:rPr>
                <w:sz w:val="14"/>
              </w:rPr>
            </w:pPr>
            <w:r>
              <w:rPr>
                <w:color w:val="4D4D4F"/>
                <w:w w:val="105"/>
                <w:sz w:val="14"/>
              </w:rPr>
              <w:t>De-rocked grassland</w:t>
            </w:r>
          </w:p>
        </w:tc>
        <w:tc>
          <w:tcPr>
            <w:tcW w:w="1078" w:type="dxa"/>
          </w:tcPr>
          <w:p w14:paraId="02164D24" w14:textId="77777777" w:rsidR="00EF5B27" w:rsidRDefault="00EF5B27">
            <w:pPr>
              <w:pStyle w:val="TableParagraph"/>
              <w:spacing w:before="11"/>
              <w:rPr>
                <w:sz w:val="11"/>
              </w:rPr>
            </w:pPr>
          </w:p>
          <w:p w14:paraId="2C9A135B"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2DE55A27" w14:textId="77777777" w:rsidR="00EF5B27" w:rsidRDefault="00EF5B27">
            <w:pPr>
              <w:pStyle w:val="TableParagraph"/>
              <w:spacing w:before="11"/>
              <w:rPr>
                <w:sz w:val="11"/>
              </w:rPr>
            </w:pPr>
          </w:p>
          <w:p w14:paraId="52C06308" w14:textId="77777777" w:rsidR="00EF5B27" w:rsidRDefault="00000000">
            <w:pPr>
              <w:pStyle w:val="TableParagraph"/>
              <w:ind w:left="143" w:right="142"/>
              <w:jc w:val="center"/>
              <w:rPr>
                <w:sz w:val="14"/>
              </w:rPr>
            </w:pPr>
            <w:r>
              <w:rPr>
                <w:color w:val="4D4D4F"/>
                <w:sz w:val="14"/>
              </w:rPr>
              <w:t>Baseline not yet set</w:t>
            </w:r>
          </w:p>
        </w:tc>
        <w:tc>
          <w:tcPr>
            <w:tcW w:w="964" w:type="dxa"/>
          </w:tcPr>
          <w:p w14:paraId="39A41415" w14:textId="77777777" w:rsidR="00EF5B27" w:rsidRDefault="00EF5B27">
            <w:pPr>
              <w:pStyle w:val="TableParagraph"/>
              <w:spacing w:before="4"/>
              <w:rPr>
                <w:sz w:val="7"/>
              </w:rPr>
            </w:pPr>
          </w:p>
          <w:p w14:paraId="66A32BDD" w14:textId="77777777" w:rsidR="00EF5B27" w:rsidRDefault="00000000">
            <w:pPr>
              <w:pStyle w:val="TableParagraph"/>
              <w:spacing w:line="187" w:lineRule="exact"/>
              <w:ind w:left="400"/>
              <w:rPr>
                <w:sz w:val="18"/>
              </w:rPr>
            </w:pPr>
            <w:r>
              <w:rPr>
                <w:noProof/>
                <w:position w:val="-3"/>
                <w:sz w:val="18"/>
              </w:rPr>
              <w:drawing>
                <wp:inline distT="0" distB="0" distL="0" distR="0" wp14:anchorId="1C3046C7" wp14:editId="03180D8C">
                  <wp:extent cx="100572" cy="119062"/>
                  <wp:effectExtent l="0" t="0" r="0" b="0"/>
                  <wp:docPr id="105"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4.png"/>
                          <pic:cNvPicPr/>
                        </pic:nvPicPr>
                        <pic:blipFill>
                          <a:blip r:embed="rId84" cstate="print"/>
                          <a:stretch>
                            <a:fillRect/>
                          </a:stretch>
                        </pic:blipFill>
                        <pic:spPr>
                          <a:xfrm>
                            <a:off x="0" y="0"/>
                            <a:ext cx="100572" cy="119062"/>
                          </a:xfrm>
                          <a:prstGeom prst="rect">
                            <a:avLst/>
                          </a:prstGeom>
                        </pic:spPr>
                      </pic:pic>
                    </a:graphicData>
                  </a:graphic>
                </wp:inline>
              </w:drawing>
            </w:r>
          </w:p>
          <w:p w14:paraId="1CD6AD01" w14:textId="77777777" w:rsidR="00EF5B27" w:rsidRDefault="00EF5B27">
            <w:pPr>
              <w:pStyle w:val="TableParagraph"/>
              <w:spacing w:before="8"/>
              <w:rPr>
                <w:sz w:val="2"/>
              </w:rPr>
            </w:pPr>
          </w:p>
          <w:p w14:paraId="72B7D288" w14:textId="77777777" w:rsidR="00EF5B27" w:rsidRDefault="00000000">
            <w:pPr>
              <w:pStyle w:val="TableParagraph"/>
              <w:spacing w:line="48" w:lineRule="exact"/>
              <w:ind w:left="448"/>
              <w:rPr>
                <w:sz w:val="4"/>
              </w:rPr>
            </w:pPr>
            <w:r>
              <w:rPr>
                <w:sz w:val="4"/>
              </w:rPr>
            </w:r>
            <w:r>
              <w:rPr>
                <w:sz w:val="4"/>
              </w:rPr>
              <w:pict w14:anchorId="5A34ADF0">
                <v:group id="_x0000_s4114" style="width:2.45pt;height:2.45pt;mso-position-horizontal-relative:char;mso-position-vertical-relative:line" coordsize="49,49">
                  <v:shape id="_x0000_s4115" style="position:absolute;width:49;height:49" coordsize="49,49" path="m31,l18,,12,2,2,12,,17,,31r2,6l12,46r6,3l31,49r6,-3l46,37r3,-6l49,17,46,12,37,2,31,xe" fillcolor="#808285" stroked="f">
                    <v:path arrowok="t"/>
                  </v:shape>
                  <w10:wrap type="none"/>
                  <w10:anchorlock/>
                </v:group>
              </w:pict>
            </w:r>
          </w:p>
        </w:tc>
        <w:tc>
          <w:tcPr>
            <w:tcW w:w="964" w:type="dxa"/>
          </w:tcPr>
          <w:p w14:paraId="11149D13" w14:textId="77777777" w:rsidR="00EF5B27" w:rsidRDefault="00EF5B27">
            <w:pPr>
              <w:pStyle w:val="TableParagraph"/>
              <w:spacing w:before="11"/>
              <w:rPr>
                <w:sz w:val="11"/>
              </w:rPr>
            </w:pPr>
          </w:p>
          <w:p w14:paraId="5EDAAA82" w14:textId="77777777" w:rsidR="00EF5B27" w:rsidRDefault="00000000">
            <w:pPr>
              <w:pStyle w:val="TableParagraph"/>
              <w:ind w:left="368"/>
              <w:rPr>
                <w:sz w:val="14"/>
              </w:rPr>
            </w:pPr>
            <w:r>
              <w:rPr>
                <w:color w:val="4D4D4F"/>
                <w:w w:val="105"/>
                <w:sz w:val="14"/>
              </w:rPr>
              <w:t>N/A</w:t>
            </w:r>
          </w:p>
        </w:tc>
        <w:tc>
          <w:tcPr>
            <w:tcW w:w="1489" w:type="dxa"/>
          </w:tcPr>
          <w:p w14:paraId="05CC1772" w14:textId="77777777" w:rsidR="00EF5B27" w:rsidRDefault="00000000">
            <w:pPr>
              <w:pStyle w:val="TableParagraph"/>
              <w:spacing w:before="134"/>
              <w:ind w:left="457" w:right="457"/>
              <w:jc w:val="center"/>
              <w:rPr>
                <w:sz w:val="16"/>
              </w:rPr>
            </w:pPr>
            <w:r>
              <w:rPr>
                <w:color w:val="4D4D4F"/>
                <w:w w:val="105"/>
                <w:sz w:val="16"/>
              </w:rPr>
              <w:t>Unclear</w:t>
            </w:r>
          </w:p>
        </w:tc>
      </w:tr>
    </w:tbl>
    <w:p w14:paraId="422947AD" w14:textId="77777777" w:rsidR="00EF5B27" w:rsidRDefault="00EF5B27">
      <w:pPr>
        <w:pStyle w:val="BodyText"/>
        <w:spacing w:before="1"/>
        <w:rPr>
          <w:sz w:val="26"/>
        </w:rPr>
      </w:pPr>
    </w:p>
    <w:p w14:paraId="44AF87F3" w14:textId="77777777" w:rsidR="00EF5B27" w:rsidRDefault="00000000">
      <w:pPr>
        <w:pStyle w:val="BodyText"/>
        <w:spacing w:before="100" w:line="254" w:lineRule="auto"/>
        <w:ind w:left="2608" w:right="112"/>
      </w:pPr>
      <w:r>
        <w:rPr>
          <w:color w:val="4D4D4F"/>
        </w:rPr>
        <w:t xml:space="preserve">Comments: KPI 4 measures the  cover  of  Kangaroo  Grass  </w:t>
      </w:r>
      <w:r>
        <w:rPr>
          <w:color w:val="4D4D4F"/>
          <w:spacing w:val="-3"/>
        </w:rPr>
        <w:t>(</w:t>
      </w:r>
      <w:r>
        <w:rPr>
          <w:rFonts w:ascii="Arial Narrow"/>
          <w:i/>
          <w:color w:val="4D4D4F"/>
          <w:spacing w:val="-3"/>
        </w:rPr>
        <w:t>Themeda  triandra</w:t>
      </w:r>
      <w:r>
        <w:rPr>
          <w:color w:val="4D4D4F"/>
          <w:spacing w:val="-3"/>
        </w:rPr>
        <w:t xml:space="preserve">)  </w:t>
      </w:r>
      <w:r>
        <w:rPr>
          <w:color w:val="4D4D4F"/>
        </w:rPr>
        <w:t>which was the natural dominant of Natural Temperate Grassland and can be considered a foundational species that regulates nutrient dynamics and species competition in the community.</w:t>
      </w:r>
      <w:r>
        <w:rPr>
          <w:color w:val="4D4D4F"/>
          <w:position w:val="7"/>
          <w:sz w:val="11"/>
        </w:rPr>
        <w:t xml:space="preserve">54 </w:t>
      </w:r>
      <w:r>
        <w:rPr>
          <w:color w:val="4D4D4F"/>
        </w:rPr>
        <w:t xml:space="preserve">For the most intact state (Herb-rich  grassland),  this  KPI  is  assessed using a set baseline approach (rather than a continuous improvement approach), where the baseline remains at </w:t>
      </w:r>
      <w:r>
        <w:rPr>
          <w:color w:val="4D4D4F"/>
          <w:spacing w:val="3"/>
        </w:rPr>
        <w:t xml:space="preserve">29%. </w:t>
      </w:r>
      <w:r>
        <w:rPr>
          <w:color w:val="4D4D4F"/>
        </w:rPr>
        <w:t>This reflects the fact that Kangaroo Grass is valuable but can become over-abundant.</w:t>
      </w:r>
      <w:r>
        <w:rPr>
          <w:color w:val="4D4D4F"/>
          <w:position w:val="7"/>
          <w:sz w:val="11"/>
        </w:rPr>
        <w:t xml:space="preserve">55 </w:t>
      </w:r>
      <w:r>
        <w:rPr>
          <w:color w:val="4D4D4F"/>
        </w:rPr>
        <w:t xml:space="preserve">It is assumed that the intact Herb-rich grasslands have an acceptable level of Kangaroo Grass </w:t>
      </w:r>
      <w:r>
        <w:rPr>
          <w:color w:val="4D4D4F"/>
          <w:spacing w:val="-4"/>
        </w:rPr>
        <w:t xml:space="preserve">cover. </w:t>
      </w:r>
      <w:r>
        <w:rPr>
          <w:color w:val="4D4D4F"/>
        </w:rPr>
        <w:t xml:space="preserve">For all other states, a continuous improvement approach will be taken, where any increase over the baseline in a five-year reporting period will lead to the calculation of a new baseline for subsequent reporting periods until a cover of </w:t>
      </w:r>
      <w:r>
        <w:rPr>
          <w:color w:val="4D4D4F"/>
          <w:spacing w:val="2"/>
        </w:rPr>
        <w:t xml:space="preserve">29% </w:t>
      </w:r>
      <w:r>
        <w:rPr>
          <w:color w:val="4D4D4F"/>
        </w:rPr>
        <w:t xml:space="preserve">is reached, when the baseline will become fixed. </w:t>
      </w:r>
      <w:r>
        <w:rPr>
          <w:color w:val="4D4D4F"/>
          <w:spacing w:val="-3"/>
        </w:rPr>
        <w:t xml:space="preserve">However, </w:t>
      </w:r>
      <w:r>
        <w:rPr>
          <w:color w:val="4D4D4F"/>
        </w:rPr>
        <w:t xml:space="preserve">the baseline has not yet been set for the other states because these states are not yet sufficiently protected. With respect to the maintenance of Kangaroo Grass </w:t>
      </w:r>
      <w:r>
        <w:rPr>
          <w:color w:val="4D4D4F"/>
          <w:spacing w:val="-4"/>
        </w:rPr>
        <w:t xml:space="preserve">cover, </w:t>
      </w:r>
      <w:r>
        <w:rPr>
          <w:color w:val="4D4D4F"/>
        </w:rPr>
        <w:t xml:space="preserve">KPI 4 has been met for all states where it can be assessed (Herb-rich grassland, </w:t>
      </w:r>
      <w:r>
        <w:rPr>
          <w:rFonts w:ascii="Arial Narrow"/>
          <w:i/>
          <w:color w:val="4D4D4F"/>
        </w:rPr>
        <w:t xml:space="preserve">Themeda </w:t>
      </w:r>
      <w:r>
        <w:rPr>
          <w:color w:val="4D4D4F"/>
        </w:rPr>
        <w:t xml:space="preserve">grassland, Nutrient-enriched grassland) and the trend     is currently stable, although cover is increasing in states Herb-rich grassland and </w:t>
      </w:r>
      <w:r>
        <w:rPr>
          <w:rFonts w:ascii="Arial Narrow"/>
          <w:i/>
          <w:color w:val="4D4D4F"/>
        </w:rPr>
        <w:t xml:space="preserve">Themeda </w:t>
      </w:r>
      <w:r>
        <w:rPr>
          <w:color w:val="4D4D4F"/>
        </w:rPr>
        <w:t xml:space="preserve">grassland. In the case of </w:t>
      </w:r>
      <w:r>
        <w:rPr>
          <w:rFonts w:ascii="Arial Narrow"/>
          <w:i/>
          <w:color w:val="4D4D4F"/>
        </w:rPr>
        <w:t xml:space="preserve">Themeda </w:t>
      </w:r>
      <w:r>
        <w:rPr>
          <w:color w:val="4D4D4F"/>
        </w:rPr>
        <w:t xml:space="preserve">grassland, this appears </w:t>
      </w:r>
      <w:r>
        <w:rPr>
          <w:color w:val="4D4D4F"/>
          <w:spacing w:val="-3"/>
        </w:rPr>
        <w:t xml:space="preserve">likely  </w:t>
      </w:r>
      <w:r>
        <w:rPr>
          <w:color w:val="4D4D4F"/>
        </w:rPr>
        <w:t>to result in    the raising of the benchmark in future years, in line with the continuous improvement approach. Where an assessment can be made for KPI 4, confidence in the data is high, with sufficient data collected for multiple plots and over multiple</w:t>
      </w:r>
      <w:r>
        <w:rPr>
          <w:color w:val="4D4D4F"/>
          <w:spacing w:val="31"/>
        </w:rPr>
        <w:t xml:space="preserve"> </w:t>
      </w:r>
      <w:r>
        <w:rPr>
          <w:color w:val="4D4D4F"/>
        </w:rPr>
        <w:t>years.</w:t>
      </w:r>
    </w:p>
    <w:p w14:paraId="1CFF466D" w14:textId="77777777" w:rsidR="00EF5B27" w:rsidRDefault="00EF5B27">
      <w:pPr>
        <w:pStyle w:val="BodyText"/>
      </w:pPr>
    </w:p>
    <w:p w14:paraId="083D9293" w14:textId="77777777" w:rsidR="00EF5B27" w:rsidRDefault="00EF5B27">
      <w:pPr>
        <w:pStyle w:val="BodyText"/>
      </w:pPr>
    </w:p>
    <w:p w14:paraId="3D2CD61D" w14:textId="77777777" w:rsidR="00EF5B27" w:rsidRDefault="00EF5B27">
      <w:pPr>
        <w:pStyle w:val="BodyText"/>
      </w:pPr>
    </w:p>
    <w:p w14:paraId="7C1EDFA9" w14:textId="77777777" w:rsidR="00EF5B27" w:rsidRDefault="00EF5B27">
      <w:pPr>
        <w:pStyle w:val="BodyText"/>
      </w:pPr>
    </w:p>
    <w:p w14:paraId="47776163" w14:textId="77777777" w:rsidR="00EF5B27" w:rsidRDefault="00EF5B27">
      <w:pPr>
        <w:pStyle w:val="BodyText"/>
      </w:pPr>
    </w:p>
    <w:p w14:paraId="49DFEAB5" w14:textId="77777777" w:rsidR="00EF5B27" w:rsidRDefault="00EF5B27">
      <w:pPr>
        <w:pStyle w:val="BodyText"/>
      </w:pPr>
    </w:p>
    <w:p w14:paraId="2E3BF021" w14:textId="77777777" w:rsidR="00EF5B27" w:rsidRDefault="00EF5B27">
      <w:pPr>
        <w:pStyle w:val="BodyText"/>
      </w:pPr>
    </w:p>
    <w:p w14:paraId="4C77FBAD" w14:textId="77777777" w:rsidR="00EF5B27" w:rsidRDefault="00EF5B27">
      <w:pPr>
        <w:pStyle w:val="BodyText"/>
      </w:pPr>
    </w:p>
    <w:p w14:paraId="31FF05F3" w14:textId="77777777" w:rsidR="00EF5B27" w:rsidRDefault="00000000">
      <w:pPr>
        <w:pStyle w:val="BodyText"/>
        <w:rPr>
          <w:sz w:val="17"/>
        </w:rPr>
      </w:pPr>
      <w:r>
        <w:pict w14:anchorId="3201C334">
          <v:line id="_x0000_s4113" style="position:absolute;z-index:251378176;mso-wrap-distance-left:0;mso-wrap-distance-right:0;mso-position-horizontal-relative:page" from="181.4pt,12.6pt" to="538.6pt,12.6pt" strokecolor="#4d4d4f" strokeweight=".5pt">
            <w10:wrap type="topAndBottom" anchorx="page"/>
          </v:line>
        </w:pict>
      </w:r>
    </w:p>
    <w:p w14:paraId="1F93F68C" w14:textId="77777777" w:rsidR="00EF5B27" w:rsidRDefault="00000000">
      <w:pPr>
        <w:pStyle w:val="ListParagraph"/>
        <w:numPr>
          <w:ilvl w:val="0"/>
          <w:numId w:val="65"/>
        </w:numPr>
        <w:tabs>
          <w:tab w:val="left" w:pos="2836"/>
        </w:tabs>
        <w:spacing w:before="88" w:line="230" w:lineRule="auto"/>
        <w:ind w:right="112"/>
        <w:jc w:val="both"/>
        <w:rPr>
          <w:sz w:val="12"/>
        </w:rPr>
      </w:pPr>
      <w:r>
        <w:rPr>
          <w:color w:val="4D4D4F"/>
          <w:spacing w:val="2"/>
          <w:w w:val="105"/>
          <w:sz w:val="12"/>
        </w:rPr>
        <w:t xml:space="preserve">Prober </w:t>
      </w:r>
      <w:r>
        <w:rPr>
          <w:color w:val="4D4D4F"/>
          <w:w w:val="105"/>
          <w:sz w:val="12"/>
        </w:rPr>
        <w:t xml:space="preserve">SM and Lunt ID 2009. ‘Restoration of </w:t>
      </w:r>
      <w:r>
        <w:rPr>
          <w:rFonts w:ascii="Arial Narrow" w:hAnsi="Arial Narrow"/>
          <w:i/>
          <w:color w:val="4D4D4F"/>
          <w:w w:val="105"/>
          <w:sz w:val="12"/>
        </w:rPr>
        <w:t xml:space="preserve">Themeda australis </w:t>
      </w:r>
      <w:r>
        <w:rPr>
          <w:color w:val="4D4D4F"/>
          <w:spacing w:val="2"/>
          <w:w w:val="105"/>
          <w:sz w:val="12"/>
        </w:rPr>
        <w:t xml:space="preserve">swards </w:t>
      </w:r>
      <w:r>
        <w:rPr>
          <w:color w:val="4D4D4F"/>
          <w:w w:val="105"/>
          <w:sz w:val="12"/>
        </w:rPr>
        <w:t xml:space="preserve">suppresses soil nitrate and enhances ecological resistance to invasion by exotic annuals.’ Biological Invasions </w:t>
      </w:r>
      <w:r>
        <w:rPr>
          <w:color w:val="4D4D4F"/>
          <w:spacing w:val="-5"/>
          <w:w w:val="105"/>
          <w:sz w:val="12"/>
        </w:rPr>
        <w:t>11,</w:t>
      </w:r>
      <w:r>
        <w:rPr>
          <w:color w:val="4D4D4F"/>
          <w:w w:val="105"/>
          <w:sz w:val="12"/>
        </w:rPr>
        <w:t xml:space="preserve"> </w:t>
      </w:r>
      <w:r>
        <w:rPr>
          <w:color w:val="4D4D4F"/>
          <w:spacing w:val="-3"/>
          <w:w w:val="105"/>
          <w:sz w:val="12"/>
        </w:rPr>
        <w:t>171-181.</w:t>
      </w:r>
    </w:p>
    <w:p w14:paraId="0A662657" w14:textId="77777777" w:rsidR="00EF5B27" w:rsidRDefault="00000000">
      <w:pPr>
        <w:pStyle w:val="ListParagraph"/>
        <w:numPr>
          <w:ilvl w:val="0"/>
          <w:numId w:val="65"/>
        </w:numPr>
        <w:tabs>
          <w:tab w:val="left" w:pos="2836"/>
        </w:tabs>
        <w:spacing w:line="230" w:lineRule="auto"/>
        <w:ind w:right="112"/>
        <w:jc w:val="both"/>
        <w:rPr>
          <w:sz w:val="12"/>
        </w:rPr>
      </w:pPr>
      <w:r>
        <w:rPr>
          <w:color w:val="4D4D4F"/>
          <w:sz w:val="12"/>
        </w:rPr>
        <w:t xml:space="preserve">Stuwe </w:t>
      </w:r>
      <w:r>
        <w:rPr>
          <w:color w:val="4D4D4F"/>
          <w:w w:val="130"/>
          <w:sz w:val="12"/>
        </w:rPr>
        <w:t xml:space="preserve">J </w:t>
      </w:r>
      <w:r>
        <w:rPr>
          <w:color w:val="4D4D4F"/>
          <w:sz w:val="12"/>
        </w:rPr>
        <w:t xml:space="preserve">1986, ‘An assessment of the conservation status of native grasslands on the western plains, Victoria and sites of botanical significance.’ </w:t>
      </w:r>
      <w:r>
        <w:rPr>
          <w:color w:val="4D4D4F"/>
          <w:spacing w:val="2"/>
          <w:sz w:val="12"/>
        </w:rPr>
        <w:t xml:space="preserve">Arthur Rylah </w:t>
      </w:r>
      <w:r>
        <w:rPr>
          <w:color w:val="4D4D4F"/>
          <w:sz w:val="12"/>
        </w:rPr>
        <w:t xml:space="preserve">Institute for Environmental Research Technical </w:t>
      </w:r>
      <w:r>
        <w:rPr>
          <w:color w:val="4D4D4F"/>
          <w:spacing w:val="2"/>
          <w:sz w:val="12"/>
        </w:rPr>
        <w:t xml:space="preserve">Report </w:t>
      </w:r>
      <w:r>
        <w:rPr>
          <w:color w:val="4D4D4F"/>
          <w:sz w:val="12"/>
        </w:rPr>
        <w:t xml:space="preserve">Series No. </w:t>
      </w:r>
      <w:r>
        <w:rPr>
          <w:color w:val="4D4D4F"/>
          <w:spacing w:val="2"/>
          <w:sz w:val="12"/>
        </w:rPr>
        <w:t xml:space="preserve">48, Conservation Forests </w:t>
      </w:r>
      <w:r>
        <w:rPr>
          <w:color w:val="4D4D4F"/>
          <w:sz w:val="12"/>
        </w:rPr>
        <w:t xml:space="preserve">&amp; </w:t>
      </w:r>
      <w:r>
        <w:rPr>
          <w:color w:val="4D4D4F"/>
          <w:spacing w:val="2"/>
          <w:sz w:val="12"/>
        </w:rPr>
        <w:t xml:space="preserve">Lands, </w:t>
      </w:r>
      <w:r>
        <w:rPr>
          <w:color w:val="4D4D4F"/>
          <w:sz w:val="12"/>
        </w:rPr>
        <w:t xml:space="preserve">Fisheries  and Wildlife </w:t>
      </w:r>
      <w:r>
        <w:rPr>
          <w:color w:val="4D4D4F"/>
          <w:spacing w:val="2"/>
          <w:sz w:val="12"/>
        </w:rPr>
        <w:t xml:space="preserve">Service, </w:t>
      </w:r>
      <w:r>
        <w:rPr>
          <w:color w:val="4D4D4F"/>
          <w:sz w:val="12"/>
        </w:rPr>
        <w:t>Heidelberg,</w:t>
      </w:r>
      <w:r>
        <w:rPr>
          <w:color w:val="4D4D4F"/>
          <w:spacing w:val="7"/>
          <w:sz w:val="12"/>
        </w:rPr>
        <w:t xml:space="preserve"> </w:t>
      </w:r>
      <w:r>
        <w:rPr>
          <w:color w:val="4D4D4F"/>
          <w:sz w:val="12"/>
        </w:rPr>
        <w:t>Victoria.</w:t>
      </w:r>
    </w:p>
    <w:p w14:paraId="0BD9840B" w14:textId="77777777" w:rsidR="00EF5B27" w:rsidRDefault="00EF5B27">
      <w:pPr>
        <w:spacing w:line="230" w:lineRule="auto"/>
        <w:jc w:val="both"/>
        <w:rPr>
          <w:sz w:val="12"/>
        </w:rPr>
        <w:sectPr w:rsidR="00EF5B27">
          <w:pgSz w:w="11910" w:h="16840"/>
          <w:pgMar w:top="1080" w:right="1020" w:bottom="860" w:left="1020" w:header="537" w:footer="678" w:gutter="0"/>
          <w:cols w:space="720"/>
        </w:sectPr>
      </w:pPr>
    </w:p>
    <w:p w14:paraId="32AB4275" w14:textId="77777777" w:rsidR="00EF5B27" w:rsidRDefault="00000000">
      <w:pPr>
        <w:pStyle w:val="BodyText"/>
      </w:pPr>
      <w:r>
        <w:lastRenderedPageBreak/>
        <w:pict w14:anchorId="08AA74C4">
          <v:group id="_x0000_s4105" style="position:absolute;margin-left:587.05pt;margin-top:183.4pt;width:8.25pt;height:153.1pt;z-index:251438592;mso-position-horizontal-relative:page;mso-position-vertical-relative:page" coordorigin="11741,3668" coordsize="165,3062">
            <v:shape id="_x0000_s4112" style="position:absolute;left:11741;top:3668;width:165;height:561" coordorigin="11741,3668" coordsize="165,561" path="m11906,3668r-165,l11741,4228r165,-18l11906,3668xe" fillcolor="#00aed9" stroked="f">
              <v:path arrowok="t"/>
            </v:shape>
            <v:shape id="_x0000_s4111" style="position:absolute;left:11741;top:4118;width:165;height:425" coordorigin="11741,4118" coordsize="165,425" path="m11906,4118r-165,14l11741,4531r165,12l11906,4118xe" fillcolor="#047ebc" stroked="f">
              <v:path arrowok="t"/>
            </v:shape>
            <v:shape id="_x0000_s4110" type="#_x0000_t75" style="position:absolute;left:11741;top:4355;width:165;height:587">
              <v:imagedata r:id="rId42" o:title=""/>
            </v:shape>
            <v:shape id="_x0000_s4109" style="position:absolute;left:11741;top:5343;width:165;height:536" coordorigin="11741,5343" coordsize="165,536" path="m11741,5343r,535l11906,5872r,-525l11741,5343xe" fillcolor="#f36a2e" stroked="f">
              <v:path arrowok="t"/>
            </v:shape>
            <v:shape id="_x0000_s4108" style="position:absolute;left:11741;top:4925;width:165;height:501" coordorigin="11741,4926" coordsize="165,501" path="m11741,4926r,500l11906,5426r,-485l11741,4926xe" fillcolor="#49783f" stroked="f">
              <v:path arrowok="t"/>
            </v:shape>
            <v:shape id="_x0000_s4107" style="position:absolute;left:11741;top:5781;width:165;height:268" coordorigin="11741,5782" coordsize="165,268" path="m11906,5782r-165,8l11741,6039r165,10l11906,5782xe" fillcolor="#f99f2a" stroked="f">
              <v:path arrowok="t"/>
            </v:shape>
            <v:shape id="_x0000_s4106" style="position:absolute;left:11741;top:6023;width:165;height:707" coordorigin="11741,6023" coordsize="165,707" path="m11741,6023r,706l11906,6729r,-690l11741,6023xe" fillcolor="#ef412c" stroked="f">
              <v:path arrowok="t"/>
            </v:shape>
            <w10:wrap anchorx="page" anchory="page"/>
          </v:group>
        </w:pict>
      </w:r>
    </w:p>
    <w:p w14:paraId="6F215FA3" w14:textId="77777777" w:rsidR="00EF5B27" w:rsidRDefault="00EF5B27">
      <w:pPr>
        <w:pStyle w:val="BodyText"/>
      </w:pPr>
    </w:p>
    <w:p w14:paraId="6E5EE7F3" w14:textId="77777777" w:rsidR="00EF5B27" w:rsidRDefault="00EF5B27">
      <w:pPr>
        <w:pStyle w:val="BodyText"/>
      </w:pPr>
    </w:p>
    <w:p w14:paraId="49F5394E" w14:textId="77777777" w:rsidR="00EF5B27" w:rsidRDefault="00EF5B27">
      <w:pPr>
        <w:pStyle w:val="BodyText"/>
      </w:pPr>
    </w:p>
    <w:p w14:paraId="5FA4520E" w14:textId="77777777" w:rsidR="00EF5B27" w:rsidRDefault="00EF5B27">
      <w:pPr>
        <w:pStyle w:val="BodyText"/>
      </w:pPr>
    </w:p>
    <w:p w14:paraId="3DECD26E" w14:textId="77777777" w:rsidR="00EF5B27" w:rsidRDefault="00EF5B27">
      <w:pPr>
        <w:pStyle w:val="BodyText"/>
      </w:pPr>
    </w:p>
    <w:p w14:paraId="41519CA7" w14:textId="77777777" w:rsidR="00EF5B27" w:rsidRDefault="00EF5B27">
      <w:pPr>
        <w:pStyle w:val="BodyText"/>
      </w:pPr>
    </w:p>
    <w:p w14:paraId="72F39293" w14:textId="77777777" w:rsidR="00EF5B27" w:rsidRDefault="00EF5B27">
      <w:pPr>
        <w:pStyle w:val="BodyText"/>
      </w:pPr>
    </w:p>
    <w:p w14:paraId="054AFE6D" w14:textId="77777777" w:rsidR="00EF5B27" w:rsidRDefault="00EF5B27">
      <w:pPr>
        <w:pStyle w:val="BodyText"/>
      </w:pPr>
    </w:p>
    <w:p w14:paraId="290F5A2A" w14:textId="77777777" w:rsidR="00EF5B27" w:rsidRDefault="00EF5B27">
      <w:pPr>
        <w:pStyle w:val="BodyText"/>
      </w:pPr>
    </w:p>
    <w:p w14:paraId="4D02CA6F" w14:textId="77777777" w:rsidR="00EF5B27" w:rsidRDefault="00EF5B27">
      <w:pPr>
        <w:pStyle w:val="BodyText"/>
        <w:spacing w:before="1"/>
        <w:rPr>
          <w:sz w:val="11"/>
        </w:rPr>
      </w:pPr>
    </w:p>
    <w:tbl>
      <w:tblPr>
        <w:tblW w:w="0" w:type="auto"/>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6DF41768" w14:textId="77777777">
        <w:trPr>
          <w:trHeight w:val="561"/>
        </w:trPr>
        <w:tc>
          <w:tcPr>
            <w:tcW w:w="2980" w:type="dxa"/>
            <w:shd w:val="clear" w:color="auto" w:fill="FECC91"/>
          </w:tcPr>
          <w:p w14:paraId="7F1CE19B" w14:textId="77777777" w:rsidR="00EF5B27" w:rsidRDefault="00000000">
            <w:pPr>
              <w:pStyle w:val="TableParagraph"/>
              <w:spacing w:before="91" w:line="244" w:lineRule="auto"/>
              <w:ind w:left="80" w:right="244"/>
              <w:rPr>
                <w:b/>
                <w:sz w:val="16"/>
              </w:rPr>
            </w:pPr>
            <w:r>
              <w:rPr>
                <w:b/>
                <w:sz w:val="16"/>
              </w:rPr>
              <w:t>KPI 5: Cover of any native perennial grass (ex. Kangaroo Grass)</w:t>
            </w:r>
          </w:p>
        </w:tc>
        <w:tc>
          <w:tcPr>
            <w:tcW w:w="1078" w:type="dxa"/>
            <w:shd w:val="clear" w:color="auto" w:fill="FECC91"/>
          </w:tcPr>
          <w:p w14:paraId="1207FCFC"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578104D2" w14:textId="77777777" w:rsidR="00EF5B27" w:rsidRDefault="00EF5B27">
            <w:pPr>
              <w:pStyle w:val="TableParagraph"/>
              <w:spacing w:before="7"/>
              <w:rPr>
                <w:sz w:val="15"/>
              </w:rPr>
            </w:pPr>
          </w:p>
          <w:p w14:paraId="0BA2CBC0"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7F6F47F5" w14:textId="77777777" w:rsidR="00EF5B27" w:rsidRDefault="00EF5B27">
            <w:pPr>
              <w:pStyle w:val="TableParagraph"/>
              <w:spacing w:before="7"/>
              <w:rPr>
                <w:sz w:val="15"/>
              </w:rPr>
            </w:pPr>
          </w:p>
          <w:p w14:paraId="6B287F95"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0BB36175"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7BAE6F63"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0EE6B3D3" w14:textId="77777777">
        <w:trPr>
          <w:trHeight w:val="448"/>
        </w:trPr>
        <w:tc>
          <w:tcPr>
            <w:tcW w:w="2980" w:type="dxa"/>
          </w:tcPr>
          <w:p w14:paraId="4832E718" w14:textId="77777777" w:rsidR="00EF5B27" w:rsidRDefault="00EF5B27">
            <w:pPr>
              <w:pStyle w:val="TableParagraph"/>
              <w:spacing w:before="11"/>
              <w:rPr>
                <w:sz w:val="11"/>
              </w:rPr>
            </w:pPr>
          </w:p>
          <w:p w14:paraId="63D8565D" w14:textId="77777777" w:rsidR="00EF5B27" w:rsidRDefault="00000000">
            <w:pPr>
              <w:pStyle w:val="TableParagraph"/>
              <w:ind w:left="80"/>
              <w:rPr>
                <w:sz w:val="14"/>
              </w:rPr>
            </w:pPr>
            <w:r>
              <w:rPr>
                <w:color w:val="4D4D4F"/>
                <w:w w:val="105"/>
                <w:sz w:val="14"/>
              </w:rPr>
              <w:t>Herb-rich grassland</w:t>
            </w:r>
          </w:p>
        </w:tc>
        <w:tc>
          <w:tcPr>
            <w:tcW w:w="1078" w:type="dxa"/>
          </w:tcPr>
          <w:p w14:paraId="7D761508" w14:textId="77777777" w:rsidR="00EF5B27" w:rsidRDefault="00EF5B27">
            <w:pPr>
              <w:pStyle w:val="TableParagraph"/>
              <w:spacing w:before="11"/>
              <w:rPr>
                <w:sz w:val="11"/>
              </w:rPr>
            </w:pPr>
          </w:p>
          <w:p w14:paraId="3611DFA6" w14:textId="77777777" w:rsidR="00EF5B27" w:rsidRDefault="00000000">
            <w:pPr>
              <w:pStyle w:val="TableParagraph"/>
              <w:ind w:left="128" w:right="124"/>
              <w:jc w:val="center"/>
              <w:rPr>
                <w:sz w:val="14"/>
              </w:rPr>
            </w:pPr>
            <w:r>
              <w:rPr>
                <w:color w:val="4D4D4F"/>
                <w:sz w:val="14"/>
              </w:rPr>
              <w:t>Met</w:t>
            </w:r>
          </w:p>
        </w:tc>
        <w:tc>
          <w:tcPr>
            <w:tcW w:w="2155" w:type="dxa"/>
          </w:tcPr>
          <w:p w14:paraId="66BDB400" w14:textId="77777777" w:rsidR="00EF5B27" w:rsidRDefault="00EF5B27">
            <w:pPr>
              <w:pStyle w:val="TableParagraph"/>
              <w:spacing w:before="11"/>
              <w:rPr>
                <w:sz w:val="11"/>
              </w:rPr>
            </w:pPr>
          </w:p>
          <w:p w14:paraId="16AF55E5" w14:textId="77777777" w:rsidR="00EF5B27" w:rsidRDefault="00000000">
            <w:pPr>
              <w:pStyle w:val="TableParagraph"/>
              <w:ind w:left="139" w:right="142"/>
              <w:jc w:val="center"/>
              <w:rPr>
                <w:sz w:val="14"/>
              </w:rPr>
            </w:pPr>
            <w:r>
              <w:rPr>
                <w:color w:val="4D4D4F"/>
                <w:w w:val="105"/>
                <w:sz w:val="14"/>
              </w:rPr>
              <w:t>N/A</w:t>
            </w:r>
          </w:p>
        </w:tc>
        <w:tc>
          <w:tcPr>
            <w:tcW w:w="964" w:type="dxa"/>
          </w:tcPr>
          <w:p w14:paraId="5F7EE943" w14:textId="77777777" w:rsidR="00EF5B27" w:rsidRDefault="00EF5B27">
            <w:pPr>
              <w:pStyle w:val="TableParagraph"/>
              <w:spacing w:before="8"/>
              <w:rPr>
                <w:sz w:val="8"/>
              </w:rPr>
            </w:pPr>
          </w:p>
          <w:p w14:paraId="22C79C96" w14:textId="77777777" w:rsidR="00EF5B27" w:rsidRDefault="00000000">
            <w:pPr>
              <w:pStyle w:val="TableParagraph"/>
              <w:spacing w:line="235" w:lineRule="exact"/>
              <w:ind w:left="427"/>
              <w:rPr>
                <w:sz w:val="20"/>
              </w:rPr>
            </w:pPr>
            <w:r>
              <w:rPr>
                <w:noProof/>
                <w:position w:val="-4"/>
                <w:sz w:val="20"/>
              </w:rPr>
              <w:drawing>
                <wp:inline distT="0" distB="0" distL="0" distR="0" wp14:anchorId="0E4E32A3" wp14:editId="68F949DD">
                  <wp:extent cx="65743" cy="149351"/>
                  <wp:effectExtent l="0" t="0" r="0" b="0"/>
                  <wp:docPr id="107"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5.png"/>
                          <pic:cNvPicPr/>
                        </pic:nvPicPr>
                        <pic:blipFill>
                          <a:blip r:embed="rId85" cstate="print"/>
                          <a:stretch>
                            <a:fillRect/>
                          </a:stretch>
                        </pic:blipFill>
                        <pic:spPr>
                          <a:xfrm>
                            <a:off x="0" y="0"/>
                            <a:ext cx="65743" cy="149351"/>
                          </a:xfrm>
                          <a:prstGeom prst="rect">
                            <a:avLst/>
                          </a:prstGeom>
                        </pic:spPr>
                      </pic:pic>
                    </a:graphicData>
                  </a:graphic>
                </wp:inline>
              </w:drawing>
            </w:r>
          </w:p>
        </w:tc>
        <w:tc>
          <w:tcPr>
            <w:tcW w:w="964" w:type="dxa"/>
          </w:tcPr>
          <w:p w14:paraId="5ECEF9E3" w14:textId="77777777" w:rsidR="00EF5B27" w:rsidRDefault="00EF5B27">
            <w:pPr>
              <w:pStyle w:val="TableParagraph"/>
              <w:spacing w:before="11"/>
              <w:rPr>
                <w:sz w:val="11"/>
              </w:rPr>
            </w:pPr>
          </w:p>
          <w:p w14:paraId="455559AC" w14:textId="77777777" w:rsidR="00EF5B27" w:rsidRDefault="00000000">
            <w:pPr>
              <w:pStyle w:val="TableParagraph"/>
              <w:ind w:left="344"/>
              <w:rPr>
                <w:sz w:val="14"/>
              </w:rPr>
            </w:pPr>
            <w:r>
              <w:rPr>
                <w:color w:val="4D4D4F"/>
                <w:w w:val="105"/>
                <w:sz w:val="14"/>
              </w:rPr>
              <w:t>High</w:t>
            </w:r>
          </w:p>
        </w:tc>
        <w:tc>
          <w:tcPr>
            <w:tcW w:w="1489" w:type="dxa"/>
          </w:tcPr>
          <w:p w14:paraId="765DFE03" w14:textId="77777777" w:rsidR="00EF5B27" w:rsidRDefault="00000000">
            <w:pPr>
              <w:pStyle w:val="TableParagraph"/>
              <w:spacing w:before="134"/>
              <w:ind w:left="452" w:right="457"/>
              <w:jc w:val="center"/>
              <w:rPr>
                <w:sz w:val="16"/>
              </w:rPr>
            </w:pPr>
            <w:r>
              <w:rPr>
                <w:color w:val="4D4D4F"/>
                <w:sz w:val="16"/>
              </w:rPr>
              <w:t>2013</w:t>
            </w:r>
          </w:p>
        </w:tc>
      </w:tr>
      <w:tr w:rsidR="00EF5B27" w14:paraId="4CB5A4A3" w14:textId="77777777">
        <w:trPr>
          <w:trHeight w:val="448"/>
        </w:trPr>
        <w:tc>
          <w:tcPr>
            <w:tcW w:w="2980" w:type="dxa"/>
          </w:tcPr>
          <w:p w14:paraId="438D6D82" w14:textId="77777777" w:rsidR="00EF5B27" w:rsidRDefault="00EF5B27">
            <w:pPr>
              <w:pStyle w:val="TableParagraph"/>
              <w:spacing w:before="11"/>
              <w:rPr>
                <w:sz w:val="11"/>
              </w:rPr>
            </w:pPr>
          </w:p>
          <w:p w14:paraId="23AEF57C" w14:textId="77777777" w:rsidR="00EF5B27" w:rsidRDefault="00000000">
            <w:pPr>
              <w:pStyle w:val="TableParagraph"/>
              <w:ind w:left="80"/>
              <w:rPr>
                <w:sz w:val="14"/>
              </w:rPr>
            </w:pPr>
            <w:r>
              <w:rPr>
                <w:rFonts w:ascii="Arial Narrow"/>
                <w:i/>
                <w:color w:val="4D4D4F"/>
                <w:w w:val="110"/>
                <w:sz w:val="14"/>
              </w:rPr>
              <w:t xml:space="preserve">Themeda </w:t>
            </w:r>
            <w:r>
              <w:rPr>
                <w:color w:val="4D4D4F"/>
                <w:w w:val="110"/>
                <w:sz w:val="14"/>
              </w:rPr>
              <w:t>grassland</w:t>
            </w:r>
          </w:p>
        </w:tc>
        <w:tc>
          <w:tcPr>
            <w:tcW w:w="1078" w:type="dxa"/>
          </w:tcPr>
          <w:p w14:paraId="0A0C670C" w14:textId="77777777" w:rsidR="00EF5B27" w:rsidRDefault="00EF5B27">
            <w:pPr>
              <w:pStyle w:val="TableParagraph"/>
              <w:spacing w:before="11"/>
              <w:rPr>
                <w:sz w:val="11"/>
              </w:rPr>
            </w:pPr>
          </w:p>
          <w:p w14:paraId="18D9F866" w14:textId="77777777" w:rsidR="00EF5B27" w:rsidRDefault="00000000">
            <w:pPr>
              <w:pStyle w:val="TableParagraph"/>
              <w:ind w:left="128" w:right="124"/>
              <w:jc w:val="center"/>
              <w:rPr>
                <w:sz w:val="14"/>
              </w:rPr>
            </w:pPr>
            <w:r>
              <w:rPr>
                <w:color w:val="4D4D4F"/>
                <w:sz w:val="14"/>
              </w:rPr>
              <w:t>Met</w:t>
            </w:r>
          </w:p>
        </w:tc>
        <w:tc>
          <w:tcPr>
            <w:tcW w:w="2155" w:type="dxa"/>
          </w:tcPr>
          <w:p w14:paraId="7D1B2E01" w14:textId="77777777" w:rsidR="00EF5B27" w:rsidRDefault="00EF5B27">
            <w:pPr>
              <w:pStyle w:val="TableParagraph"/>
              <w:spacing w:before="11"/>
              <w:rPr>
                <w:sz w:val="11"/>
              </w:rPr>
            </w:pPr>
          </w:p>
          <w:p w14:paraId="16C0CB1C" w14:textId="77777777" w:rsidR="00EF5B27" w:rsidRDefault="00000000">
            <w:pPr>
              <w:pStyle w:val="TableParagraph"/>
              <w:ind w:left="138" w:right="142"/>
              <w:jc w:val="center"/>
              <w:rPr>
                <w:sz w:val="14"/>
              </w:rPr>
            </w:pPr>
            <w:r>
              <w:rPr>
                <w:color w:val="4D4D4F"/>
                <w:w w:val="105"/>
                <w:sz w:val="14"/>
              </w:rPr>
              <w:t>N/A</w:t>
            </w:r>
          </w:p>
        </w:tc>
        <w:tc>
          <w:tcPr>
            <w:tcW w:w="964" w:type="dxa"/>
          </w:tcPr>
          <w:p w14:paraId="7D3CB6A1" w14:textId="77777777" w:rsidR="00EF5B27" w:rsidRDefault="00EF5B27">
            <w:pPr>
              <w:pStyle w:val="TableParagraph"/>
              <w:spacing w:before="8"/>
              <w:rPr>
                <w:sz w:val="8"/>
              </w:rPr>
            </w:pPr>
          </w:p>
          <w:p w14:paraId="1D3726F1" w14:textId="77777777" w:rsidR="00EF5B27" w:rsidRDefault="00000000">
            <w:pPr>
              <w:pStyle w:val="TableParagraph"/>
              <w:spacing w:line="232" w:lineRule="exact"/>
              <w:ind w:left="427"/>
              <w:rPr>
                <w:sz w:val="20"/>
              </w:rPr>
            </w:pPr>
            <w:r>
              <w:rPr>
                <w:noProof/>
                <w:position w:val="-4"/>
                <w:sz w:val="20"/>
              </w:rPr>
              <w:drawing>
                <wp:inline distT="0" distB="0" distL="0" distR="0" wp14:anchorId="3E939B65" wp14:editId="3FBD520D">
                  <wp:extent cx="64988" cy="147637"/>
                  <wp:effectExtent l="0" t="0" r="0" b="0"/>
                  <wp:docPr id="10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0.png"/>
                          <pic:cNvPicPr/>
                        </pic:nvPicPr>
                        <pic:blipFill>
                          <a:blip r:embed="rId81" cstate="print"/>
                          <a:stretch>
                            <a:fillRect/>
                          </a:stretch>
                        </pic:blipFill>
                        <pic:spPr>
                          <a:xfrm>
                            <a:off x="0" y="0"/>
                            <a:ext cx="64988" cy="147637"/>
                          </a:xfrm>
                          <a:prstGeom prst="rect">
                            <a:avLst/>
                          </a:prstGeom>
                        </pic:spPr>
                      </pic:pic>
                    </a:graphicData>
                  </a:graphic>
                </wp:inline>
              </w:drawing>
            </w:r>
          </w:p>
        </w:tc>
        <w:tc>
          <w:tcPr>
            <w:tcW w:w="964" w:type="dxa"/>
          </w:tcPr>
          <w:p w14:paraId="67DDA71E" w14:textId="77777777" w:rsidR="00EF5B27" w:rsidRDefault="00EF5B27">
            <w:pPr>
              <w:pStyle w:val="TableParagraph"/>
              <w:spacing w:before="11"/>
              <w:rPr>
                <w:sz w:val="11"/>
              </w:rPr>
            </w:pPr>
          </w:p>
          <w:p w14:paraId="3D611340" w14:textId="77777777" w:rsidR="00EF5B27" w:rsidRDefault="00000000">
            <w:pPr>
              <w:pStyle w:val="TableParagraph"/>
              <w:ind w:left="344"/>
              <w:rPr>
                <w:sz w:val="14"/>
              </w:rPr>
            </w:pPr>
            <w:r>
              <w:rPr>
                <w:color w:val="4D4D4F"/>
                <w:w w:val="105"/>
                <w:sz w:val="14"/>
              </w:rPr>
              <w:t>High</w:t>
            </w:r>
          </w:p>
        </w:tc>
        <w:tc>
          <w:tcPr>
            <w:tcW w:w="1489" w:type="dxa"/>
          </w:tcPr>
          <w:p w14:paraId="502C4090" w14:textId="77777777" w:rsidR="00EF5B27" w:rsidRDefault="00000000">
            <w:pPr>
              <w:pStyle w:val="TableParagraph"/>
              <w:spacing w:before="134"/>
              <w:ind w:left="452" w:right="457"/>
              <w:jc w:val="center"/>
              <w:rPr>
                <w:sz w:val="16"/>
              </w:rPr>
            </w:pPr>
            <w:r>
              <w:rPr>
                <w:color w:val="4D4D4F"/>
                <w:sz w:val="16"/>
              </w:rPr>
              <w:t>2013</w:t>
            </w:r>
          </w:p>
        </w:tc>
      </w:tr>
      <w:tr w:rsidR="00EF5B27" w14:paraId="241E4E2A" w14:textId="77777777">
        <w:trPr>
          <w:trHeight w:val="448"/>
        </w:trPr>
        <w:tc>
          <w:tcPr>
            <w:tcW w:w="2980" w:type="dxa"/>
          </w:tcPr>
          <w:p w14:paraId="6F79D043" w14:textId="77777777" w:rsidR="00EF5B27" w:rsidRDefault="00EF5B27">
            <w:pPr>
              <w:pStyle w:val="TableParagraph"/>
              <w:spacing w:before="11"/>
              <w:rPr>
                <w:sz w:val="11"/>
              </w:rPr>
            </w:pPr>
          </w:p>
          <w:p w14:paraId="2F378C62" w14:textId="77777777" w:rsidR="00EF5B27" w:rsidRDefault="00000000">
            <w:pPr>
              <w:pStyle w:val="TableParagraph"/>
              <w:ind w:left="80"/>
              <w:rPr>
                <w:sz w:val="14"/>
              </w:rPr>
            </w:pPr>
            <w:r>
              <w:rPr>
                <w:color w:val="4D4D4F"/>
                <w:w w:val="105"/>
                <w:sz w:val="14"/>
              </w:rPr>
              <w:t>C3 grassland</w:t>
            </w:r>
          </w:p>
        </w:tc>
        <w:tc>
          <w:tcPr>
            <w:tcW w:w="1078" w:type="dxa"/>
          </w:tcPr>
          <w:p w14:paraId="011150C4" w14:textId="77777777" w:rsidR="00EF5B27" w:rsidRDefault="00EF5B27">
            <w:pPr>
              <w:pStyle w:val="TableParagraph"/>
              <w:spacing w:before="11"/>
              <w:rPr>
                <w:sz w:val="11"/>
              </w:rPr>
            </w:pPr>
          </w:p>
          <w:p w14:paraId="1054156B"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04C675C7" w14:textId="77777777" w:rsidR="00EF5B27" w:rsidRDefault="00EF5B27">
            <w:pPr>
              <w:pStyle w:val="TableParagraph"/>
              <w:spacing w:before="11"/>
              <w:rPr>
                <w:sz w:val="11"/>
              </w:rPr>
            </w:pPr>
          </w:p>
          <w:p w14:paraId="4CA11258" w14:textId="77777777" w:rsidR="00EF5B27" w:rsidRDefault="00000000">
            <w:pPr>
              <w:pStyle w:val="TableParagraph"/>
              <w:ind w:left="143" w:right="142"/>
              <w:jc w:val="center"/>
              <w:rPr>
                <w:sz w:val="14"/>
              </w:rPr>
            </w:pPr>
            <w:r>
              <w:rPr>
                <w:color w:val="4D4D4F"/>
                <w:sz w:val="14"/>
              </w:rPr>
              <w:t>Baseline not yet set</w:t>
            </w:r>
          </w:p>
        </w:tc>
        <w:tc>
          <w:tcPr>
            <w:tcW w:w="964" w:type="dxa"/>
          </w:tcPr>
          <w:p w14:paraId="5A49A142" w14:textId="77777777" w:rsidR="00EF5B27" w:rsidRDefault="00EF5B27">
            <w:pPr>
              <w:pStyle w:val="TableParagraph"/>
              <w:spacing w:before="4"/>
              <w:rPr>
                <w:sz w:val="7"/>
              </w:rPr>
            </w:pPr>
          </w:p>
          <w:p w14:paraId="55BC36B2" w14:textId="77777777" w:rsidR="00EF5B27" w:rsidRDefault="00000000">
            <w:pPr>
              <w:pStyle w:val="TableParagraph"/>
              <w:spacing w:line="187" w:lineRule="exact"/>
              <w:ind w:left="400"/>
              <w:rPr>
                <w:sz w:val="18"/>
              </w:rPr>
            </w:pPr>
            <w:r>
              <w:rPr>
                <w:noProof/>
                <w:position w:val="-3"/>
                <w:sz w:val="18"/>
              </w:rPr>
              <w:drawing>
                <wp:inline distT="0" distB="0" distL="0" distR="0" wp14:anchorId="5D0186D3" wp14:editId="1E9E3F25">
                  <wp:extent cx="100572" cy="119062"/>
                  <wp:effectExtent l="0" t="0" r="0" b="0"/>
                  <wp:docPr id="111"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6.png"/>
                          <pic:cNvPicPr/>
                        </pic:nvPicPr>
                        <pic:blipFill>
                          <a:blip r:embed="rId86" cstate="print"/>
                          <a:stretch>
                            <a:fillRect/>
                          </a:stretch>
                        </pic:blipFill>
                        <pic:spPr>
                          <a:xfrm>
                            <a:off x="0" y="0"/>
                            <a:ext cx="100572" cy="119062"/>
                          </a:xfrm>
                          <a:prstGeom prst="rect">
                            <a:avLst/>
                          </a:prstGeom>
                        </pic:spPr>
                      </pic:pic>
                    </a:graphicData>
                  </a:graphic>
                </wp:inline>
              </w:drawing>
            </w:r>
          </w:p>
          <w:p w14:paraId="308B1CB6" w14:textId="77777777" w:rsidR="00EF5B27" w:rsidRDefault="00EF5B27">
            <w:pPr>
              <w:pStyle w:val="TableParagraph"/>
              <w:spacing w:before="8"/>
              <w:rPr>
                <w:sz w:val="2"/>
              </w:rPr>
            </w:pPr>
          </w:p>
          <w:p w14:paraId="63D947FC" w14:textId="77777777" w:rsidR="00EF5B27" w:rsidRDefault="00000000">
            <w:pPr>
              <w:pStyle w:val="TableParagraph"/>
              <w:spacing w:line="48" w:lineRule="exact"/>
              <w:ind w:left="448"/>
              <w:rPr>
                <w:sz w:val="4"/>
              </w:rPr>
            </w:pPr>
            <w:r>
              <w:rPr>
                <w:sz w:val="4"/>
              </w:rPr>
            </w:r>
            <w:r>
              <w:rPr>
                <w:sz w:val="4"/>
              </w:rPr>
              <w:pict w14:anchorId="08EBE1D6">
                <v:group id="_x0000_s4103" style="width:2.45pt;height:2.45pt;mso-position-horizontal-relative:char;mso-position-vertical-relative:line" coordsize="49,49">
                  <v:shape id="_x0000_s4104" style="position:absolute;width:49;height:49" coordsize="49,49" path="m31,l18,,12,2,2,12,,17,,31r2,6l12,46r6,3l31,49r6,-3l46,37r3,-6l49,17,46,12,37,2,31,xe" fillcolor="#808285" stroked="f">
                    <v:path arrowok="t"/>
                  </v:shape>
                  <w10:wrap type="none"/>
                  <w10:anchorlock/>
                </v:group>
              </w:pict>
            </w:r>
          </w:p>
        </w:tc>
        <w:tc>
          <w:tcPr>
            <w:tcW w:w="964" w:type="dxa"/>
          </w:tcPr>
          <w:p w14:paraId="21AB6E88" w14:textId="77777777" w:rsidR="00EF5B27" w:rsidRDefault="00EF5B27">
            <w:pPr>
              <w:pStyle w:val="TableParagraph"/>
              <w:spacing w:before="11"/>
              <w:rPr>
                <w:sz w:val="11"/>
              </w:rPr>
            </w:pPr>
          </w:p>
          <w:p w14:paraId="48BC2508" w14:textId="77777777" w:rsidR="00EF5B27" w:rsidRDefault="00000000">
            <w:pPr>
              <w:pStyle w:val="TableParagraph"/>
              <w:ind w:left="368"/>
              <w:rPr>
                <w:sz w:val="14"/>
              </w:rPr>
            </w:pPr>
            <w:r>
              <w:rPr>
                <w:color w:val="4D4D4F"/>
                <w:w w:val="105"/>
                <w:sz w:val="14"/>
              </w:rPr>
              <w:t>N/A</w:t>
            </w:r>
          </w:p>
        </w:tc>
        <w:tc>
          <w:tcPr>
            <w:tcW w:w="1489" w:type="dxa"/>
          </w:tcPr>
          <w:p w14:paraId="74E584A3" w14:textId="77777777" w:rsidR="00EF5B27" w:rsidRDefault="00000000">
            <w:pPr>
              <w:pStyle w:val="TableParagraph"/>
              <w:spacing w:before="134"/>
              <w:ind w:left="457" w:right="457"/>
              <w:jc w:val="center"/>
              <w:rPr>
                <w:sz w:val="16"/>
              </w:rPr>
            </w:pPr>
            <w:r>
              <w:rPr>
                <w:color w:val="4D4D4F"/>
                <w:w w:val="105"/>
                <w:sz w:val="16"/>
              </w:rPr>
              <w:t>Unclear</w:t>
            </w:r>
          </w:p>
        </w:tc>
      </w:tr>
      <w:tr w:rsidR="00EF5B27" w14:paraId="74221049" w14:textId="77777777">
        <w:trPr>
          <w:trHeight w:val="448"/>
        </w:trPr>
        <w:tc>
          <w:tcPr>
            <w:tcW w:w="2980" w:type="dxa"/>
          </w:tcPr>
          <w:p w14:paraId="39A958EE" w14:textId="77777777" w:rsidR="00EF5B27" w:rsidRDefault="00EF5B27">
            <w:pPr>
              <w:pStyle w:val="TableParagraph"/>
              <w:spacing w:before="11"/>
              <w:rPr>
                <w:sz w:val="11"/>
              </w:rPr>
            </w:pPr>
          </w:p>
          <w:p w14:paraId="30C57ABA" w14:textId="77777777" w:rsidR="00EF5B27" w:rsidRDefault="00000000">
            <w:pPr>
              <w:pStyle w:val="TableParagraph"/>
              <w:ind w:left="80"/>
              <w:rPr>
                <w:sz w:val="14"/>
              </w:rPr>
            </w:pPr>
            <w:r>
              <w:rPr>
                <w:color w:val="4D4D4F"/>
                <w:w w:val="105"/>
                <w:sz w:val="14"/>
              </w:rPr>
              <w:t>Nutrient-enriched grassland</w:t>
            </w:r>
          </w:p>
        </w:tc>
        <w:tc>
          <w:tcPr>
            <w:tcW w:w="1078" w:type="dxa"/>
          </w:tcPr>
          <w:p w14:paraId="23020A5D" w14:textId="77777777" w:rsidR="00EF5B27" w:rsidRDefault="00EF5B27">
            <w:pPr>
              <w:pStyle w:val="TableParagraph"/>
              <w:spacing w:before="11"/>
              <w:rPr>
                <w:sz w:val="11"/>
              </w:rPr>
            </w:pPr>
          </w:p>
          <w:p w14:paraId="20544EA1" w14:textId="77777777" w:rsidR="00EF5B27" w:rsidRDefault="00000000">
            <w:pPr>
              <w:pStyle w:val="TableParagraph"/>
              <w:ind w:left="128" w:right="124"/>
              <w:jc w:val="center"/>
              <w:rPr>
                <w:sz w:val="14"/>
              </w:rPr>
            </w:pPr>
            <w:r>
              <w:rPr>
                <w:color w:val="4D4D4F"/>
                <w:sz w:val="14"/>
              </w:rPr>
              <w:t>Met</w:t>
            </w:r>
          </w:p>
        </w:tc>
        <w:tc>
          <w:tcPr>
            <w:tcW w:w="2155" w:type="dxa"/>
          </w:tcPr>
          <w:p w14:paraId="5D593CD8" w14:textId="77777777" w:rsidR="00EF5B27" w:rsidRDefault="00EF5B27">
            <w:pPr>
              <w:pStyle w:val="TableParagraph"/>
              <w:spacing w:before="11"/>
              <w:rPr>
                <w:sz w:val="11"/>
              </w:rPr>
            </w:pPr>
          </w:p>
          <w:p w14:paraId="438019D0" w14:textId="77777777" w:rsidR="00EF5B27" w:rsidRDefault="00000000">
            <w:pPr>
              <w:pStyle w:val="TableParagraph"/>
              <w:ind w:left="139" w:right="142"/>
              <w:jc w:val="center"/>
              <w:rPr>
                <w:sz w:val="14"/>
              </w:rPr>
            </w:pPr>
            <w:r>
              <w:rPr>
                <w:color w:val="4D4D4F"/>
                <w:w w:val="105"/>
                <w:sz w:val="14"/>
              </w:rPr>
              <w:t>N/A</w:t>
            </w:r>
          </w:p>
        </w:tc>
        <w:tc>
          <w:tcPr>
            <w:tcW w:w="964" w:type="dxa"/>
          </w:tcPr>
          <w:p w14:paraId="246B1742" w14:textId="77777777" w:rsidR="00EF5B27" w:rsidRDefault="00EF5B27">
            <w:pPr>
              <w:pStyle w:val="TableParagraph"/>
              <w:spacing w:before="1"/>
              <w:rPr>
                <w:sz w:val="15"/>
              </w:rPr>
            </w:pPr>
          </w:p>
          <w:p w14:paraId="3B67F886" w14:textId="77777777" w:rsidR="00EF5B27" w:rsidRDefault="00000000">
            <w:pPr>
              <w:pStyle w:val="TableParagraph"/>
              <w:spacing w:line="102" w:lineRule="exact"/>
              <w:ind w:left="361"/>
              <w:rPr>
                <w:sz w:val="10"/>
              </w:rPr>
            </w:pPr>
            <w:r>
              <w:rPr>
                <w:noProof/>
                <w:position w:val="-1"/>
                <w:sz w:val="10"/>
              </w:rPr>
              <w:drawing>
                <wp:inline distT="0" distB="0" distL="0" distR="0" wp14:anchorId="5C437EC5" wp14:editId="246335F7">
                  <wp:extent cx="151464" cy="65341"/>
                  <wp:effectExtent l="0" t="0" r="0" b="0"/>
                  <wp:docPr id="11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7.png"/>
                          <pic:cNvPicPr/>
                        </pic:nvPicPr>
                        <pic:blipFill>
                          <a:blip r:embed="rId87" cstate="print"/>
                          <a:stretch>
                            <a:fillRect/>
                          </a:stretch>
                        </pic:blipFill>
                        <pic:spPr>
                          <a:xfrm>
                            <a:off x="0" y="0"/>
                            <a:ext cx="151464" cy="65341"/>
                          </a:xfrm>
                          <a:prstGeom prst="rect">
                            <a:avLst/>
                          </a:prstGeom>
                        </pic:spPr>
                      </pic:pic>
                    </a:graphicData>
                  </a:graphic>
                </wp:inline>
              </w:drawing>
            </w:r>
          </w:p>
        </w:tc>
        <w:tc>
          <w:tcPr>
            <w:tcW w:w="964" w:type="dxa"/>
          </w:tcPr>
          <w:p w14:paraId="1EB5F357" w14:textId="77777777" w:rsidR="00EF5B27" w:rsidRDefault="00EF5B27">
            <w:pPr>
              <w:pStyle w:val="TableParagraph"/>
              <w:spacing w:before="11"/>
              <w:rPr>
                <w:sz w:val="11"/>
              </w:rPr>
            </w:pPr>
          </w:p>
          <w:p w14:paraId="45450F18" w14:textId="77777777" w:rsidR="00EF5B27" w:rsidRDefault="00000000">
            <w:pPr>
              <w:pStyle w:val="TableParagraph"/>
              <w:ind w:left="344"/>
              <w:rPr>
                <w:sz w:val="14"/>
              </w:rPr>
            </w:pPr>
            <w:r>
              <w:rPr>
                <w:color w:val="4D4D4F"/>
                <w:w w:val="105"/>
                <w:sz w:val="14"/>
              </w:rPr>
              <w:t>High</w:t>
            </w:r>
          </w:p>
        </w:tc>
        <w:tc>
          <w:tcPr>
            <w:tcW w:w="1489" w:type="dxa"/>
          </w:tcPr>
          <w:p w14:paraId="0560F84B" w14:textId="77777777" w:rsidR="00EF5B27" w:rsidRDefault="00000000">
            <w:pPr>
              <w:pStyle w:val="TableParagraph"/>
              <w:spacing w:before="134"/>
              <w:ind w:left="452" w:right="457"/>
              <w:jc w:val="center"/>
              <w:rPr>
                <w:sz w:val="16"/>
              </w:rPr>
            </w:pPr>
            <w:r>
              <w:rPr>
                <w:color w:val="4D4D4F"/>
                <w:sz w:val="16"/>
              </w:rPr>
              <w:t>2013</w:t>
            </w:r>
          </w:p>
        </w:tc>
      </w:tr>
      <w:tr w:rsidR="00EF5B27" w14:paraId="475B4FA2" w14:textId="77777777">
        <w:trPr>
          <w:trHeight w:val="448"/>
        </w:trPr>
        <w:tc>
          <w:tcPr>
            <w:tcW w:w="2980" w:type="dxa"/>
          </w:tcPr>
          <w:p w14:paraId="59D7C5D1" w14:textId="77777777" w:rsidR="00EF5B27" w:rsidRDefault="00EF5B27">
            <w:pPr>
              <w:pStyle w:val="TableParagraph"/>
              <w:spacing w:before="11"/>
              <w:rPr>
                <w:sz w:val="11"/>
              </w:rPr>
            </w:pPr>
          </w:p>
          <w:p w14:paraId="45CCC229" w14:textId="77777777" w:rsidR="00EF5B27" w:rsidRDefault="00000000">
            <w:pPr>
              <w:pStyle w:val="TableParagraph"/>
              <w:ind w:left="80"/>
              <w:rPr>
                <w:sz w:val="14"/>
              </w:rPr>
            </w:pPr>
            <w:r>
              <w:rPr>
                <w:color w:val="4D4D4F"/>
                <w:w w:val="105"/>
                <w:sz w:val="14"/>
              </w:rPr>
              <w:t>De-rocked grassland</w:t>
            </w:r>
          </w:p>
        </w:tc>
        <w:tc>
          <w:tcPr>
            <w:tcW w:w="1078" w:type="dxa"/>
          </w:tcPr>
          <w:p w14:paraId="5B417390" w14:textId="77777777" w:rsidR="00EF5B27" w:rsidRDefault="00EF5B27">
            <w:pPr>
              <w:pStyle w:val="TableParagraph"/>
              <w:spacing w:before="11"/>
              <w:rPr>
                <w:sz w:val="11"/>
              </w:rPr>
            </w:pPr>
          </w:p>
          <w:p w14:paraId="78FB3EE4"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59A89A07" w14:textId="77777777" w:rsidR="00EF5B27" w:rsidRDefault="00EF5B27">
            <w:pPr>
              <w:pStyle w:val="TableParagraph"/>
              <w:spacing w:before="11"/>
              <w:rPr>
                <w:sz w:val="11"/>
              </w:rPr>
            </w:pPr>
          </w:p>
          <w:p w14:paraId="3429D948" w14:textId="77777777" w:rsidR="00EF5B27" w:rsidRDefault="00000000">
            <w:pPr>
              <w:pStyle w:val="TableParagraph"/>
              <w:ind w:left="143" w:right="142"/>
              <w:jc w:val="center"/>
              <w:rPr>
                <w:sz w:val="14"/>
              </w:rPr>
            </w:pPr>
            <w:r>
              <w:rPr>
                <w:color w:val="4D4D4F"/>
                <w:sz w:val="14"/>
              </w:rPr>
              <w:t>Baseline not yet set</w:t>
            </w:r>
          </w:p>
        </w:tc>
        <w:tc>
          <w:tcPr>
            <w:tcW w:w="964" w:type="dxa"/>
          </w:tcPr>
          <w:p w14:paraId="448177B9" w14:textId="77777777" w:rsidR="00EF5B27" w:rsidRDefault="00EF5B27">
            <w:pPr>
              <w:pStyle w:val="TableParagraph"/>
              <w:spacing w:before="4"/>
              <w:rPr>
                <w:sz w:val="7"/>
              </w:rPr>
            </w:pPr>
          </w:p>
          <w:p w14:paraId="35DAC282" w14:textId="77777777" w:rsidR="00EF5B27" w:rsidRDefault="00000000">
            <w:pPr>
              <w:pStyle w:val="TableParagraph"/>
              <w:spacing w:line="187" w:lineRule="exact"/>
              <w:ind w:left="400"/>
              <w:rPr>
                <w:sz w:val="18"/>
              </w:rPr>
            </w:pPr>
            <w:r>
              <w:rPr>
                <w:noProof/>
                <w:position w:val="-3"/>
                <w:sz w:val="18"/>
              </w:rPr>
              <w:drawing>
                <wp:inline distT="0" distB="0" distL="0" distR="0" wp14:anchorId="0D1A1BE0" wp14:editId="3DAC1D5E">
                  <wp:extent cx="100572" cy="119062"/>
                  <wp:effectExtent l="0" t="0" r="0" b="0"/>
                  <wp:docPr id="115"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8.png"/>
                          <pic:cNvPicPr/>
                        </pic:nvPicPr>
                        <pic:blipFill>
                          <a:blip r:embed="rId76" cstate="print"/>
                          <a:stretch>
                            <a:fillRect/>
                          </a:stretch>
                        </pic:blipFill>
                        <pic:spPr>
                          <a:xfrm>
                            <a:off x="0" y="0"/>
                            <a:ext cx="100572" cy="119062"/>
                          </a:xfrm>
                          <a:prstGeom prst="rect">
                            <a:avLst/>
                          </a:prstGeom>
                        </pic:spPr>
                      </pic:pic>
                    </a:graphicData>
                  </a:graphic>
                </wp:inline>
              </w:drawing>
            </w:r>
          </w:p>
          <w:p w14:paraId="2464C7F3" w14:textId="77777777" w:rsidR="00EF5B27" w:rsidRDefault="00EF5B27">
            <w:pPr>
              <w:pStyle w:val="TableParagraph"/>
              <w:spacing w:before="8"/>
              <w:rPr>
                <w:sz w:val="2"/>
              </w:rPr>
            </w:pPr>
          </w:p>
          <w:p w14:paraId="49577D22" w14:textId="77777777" w:rsidR="00EF5B27" w:rsidRDefault="00000000">
            <w:pPr>
              <w:pStyle w:val="TableParagraph"/>
              <w:spacing w:line="48" w:lineRule="exact"/>
              <w:ind w:left="448"/>
              <w:rPr>
                <w:sz w:val="4"/>
              </w:rPr>
            </w:pPr>
            <w:r>
              <w:rPr>
                <w:sz w:val="4"/>
              </w:rPr>
            </w:r>
            <w:r>
              <w:rPr>
                <w:sz w:val="4"/>
              </w:rPr>
              <w:pict w14:anchorId="132C9D28">
                <v:group id="_x0000_s4101" style="width:2.45pt;height:2.45pt;mso-position-horizontal-relative:char;mso-position-vertical-relative:line" coordsize="49,49">
                  <v:shape id="_x0000_s4102" style="position:absolute;width:49;height:49" coordsize="49,49" path="m31,l18,,12,2,2,12,,17,,31r2,6l12,46r6,3l31,49r6,-3l46,37r3,-6l49,17,46,12,37,2,31,xe" fillcolor="#808285" stroked="f">
                    <v:path arrowok="t"/>
                  </v:shape>
                  <w10:wrap type="none"/>
                  <w10:anchorlock/>
                </v:group>
              </w:pict>
            </w:r>
          </w:p>
        </w:tc>
        <w:tc>
          <w:tcPr>
            <w:tcW w:w="964" w:type="dxa"/>
          </w:tcPr>
          <w:p w14:paraId="3C68629C" w14:textId="77777777" w:rsidR="00EF5B27" w:rsidRDefault="00EF5B27">
            <w:pPr>
              <w:pStyle w:val="TableParagraph"/>
              <w:spacing w:before="11"/>
              <w:rPr>
                <w:sz w:val="11"/>
              </w:rPr>
            </w:pPr>
          </w:p>
          <w:p w14:paraId="0B9BCBAC" w14:textId="77777777" w:rsidR="00EF5B27" w:rsidRDefault="00000000">
            <w:pPr>
              <w:pStyle w:val="TableParagraph"/>
              <w:ind w:left="368"/>
              <w:rPr>
                <w:sz w:val="14"/>
              </w:rPr>
            </w:pPr>
            <w:r>
              <w:rPr>
                <w:color w:val="4D4D4F"/>
                <w:w w:val="105"/>
                <w:sz w:val="14"/>
              </w:rPr>
              <w:t>N/A</w:t>
            </w:r>
          </w:p>
        </w:tc>
        <w:tc>
          <w:tcPr>
            <w:tcW w:w="1489" w:type="dxa"/>
          </w:tcPr>
          <w:p w14:paraId="72E14685" w14:textId="77777777" w:rsidR="00EF5B27" w:rsidRDefault="00000000">
            <w:pPr>
              <w:pStyle w:val="TableParagraph"/>
              <w:spacing w:before="134"/>
              <w:ind w:left="457" w:right="457"/>
              <w:jc w:val="center"/>
              <w:rPr>
                <w:sz w:val="16"/>
              </w:rPr>
            </w:pPr>
            <w:r>
              <w:rPr>
                <w:color w:val="4D4D4F"/>
                <w:w w:val="105"/>
                <w:sz w:val="16"/>
              </w:rPr>
              <w:t>Unclear</w:t>
            </w:r>
          </w:p>
        </w:tc>
      </w:tr>
    </w:tbl>
    <w:p w14:paraId="150AC24F" w14:textId="77777777" w:rsidR="00EF5B27" w:rsidRDefault="00EF5B27">
      <w:pPr>
        <w:pStyle w:val="BodyText"/>
        <w:spacing w:before="1"/>
        <w:rPr>
          <w:sz w:val="26"/>
        </w:rPr>
      </w:pPr>
    </w:p>
    <w:p w14:paraId="58CD1CFA" w14:textId="77777777" w:rsidR="00EF5B27" w:rsidRDefault="00000000">
      <w:pPr>
        <w:pStyle w:val="BodyText"/>
        <w:spacing w:before="100" w:line="254" w:lineRule="auto"/>
        <w:ind w:left="2608" w:right="274"/>
      </w:pPr>
      <w:r>
        <w:rPr>
          <w:color w:val="4D4D4F"/>
        </w:rPr>
        <w:t xml:space="preserve">Comments: KPI 5 measures the cover of native perennial grasses (other than Kangaroo Grass). This KPI is assessed using a set baseline approach (rather than a continuous improvement approach), where the baseline remains at the value defined in the first monitoring period, reflecting the fact that moderate levels of native grass cover must be maintained, and that both loss of cover and over-growth may be problematic. This KPI was met in the three states for which assessment is possible: Herb-rich grassland, </w:t>
      </w:r>
      <w:r>
        <w:rPr>
          <w:rFonts w:ascii="Arial Narrow"/>
          <w:i/>
          <w:color w:val="4D4D4F"/>
        </w:rPr>
        <w:t xml:space="preserve">Themeda </w:t>
      </w:r>
      <w:r>
        <w:rPr>
          <w:color w:val="4D4D4F"/>
        </w:rPr>
        <w:t>grassland and Nutrient-enriched grassland.  The baseline has not yet been set for the other states because these states are not yet sufficiently protected. Where an assessment can be made for KPI 5, confidence in   the data is high, with sufficient data collected for multiple plots over multiple</w:t>
      </w:r>
      <w:r>
        <w:rPr>
          <w:color w:val="4D4D4F"/>
          <w:spacing w:val="19"/>
        </w:rPr>
        <w:t xml:space="preserve"> </w:t>
      </w:r>
      <w:r>
        <w:rPr>
          <w:color w:val="4D4D4F"/>
        </w:rPr>
        <w:t>years.</w:t>
      </w:r>
    </w:p>
    <w:p w14:paraId="4FDD7936" w14:textId="77777777" w:rsidR="00EF5B27" w:rsidRDefault="00000000">
      <w:pPr>
        <w:pStyle w:val="BodyText"/>
        <w:spacing w:before="126" w:line="254" w:lineRule="auto"/>
        <w:ind w:left="2608" w:right="288"/>
      </w:pPr>
      <w:r>
        <w:rPr>
          <w:color w:val="4D4D4F"/>
        </w:rPr>
        <w:t xml:space="preserve">In state Nutrient-enriched grassland, the cover of natives is apparently decreasing  and a breach of the </w:t>
      </w:r>
      <w:r>
        <w:rPr>
          <w:color w:val="4D4D4F"/>
          <w:spacing w:val="-3"/>
        </w:rPr>
        <w:t xml:space="preserve">baseline is possible </w:t>
      </w:r>
      <w:r>
        <w:rPr>
          <w:color w:val="4D4D4F"/>
        </w:rPr>
        <w:t xml:space="preserve">over the next few years, according to </w:t>
      </w:r>
      <w:r>
        <w:rPr>
          <w:color w:val="4D4D4F"/>
          <w:spacing w:val="-4"/>
        </w:rPr>
        <w:t>DELWP.</w:t>
      </w:r>
      <w:r>
        <w:rPr>
          <w:color w:val="4D4D4F"/>
          <w:spacing w:val="-4"/>
          <w:position w:val="7"/>
          <w:sz w:val="11"/>
        </w:rPr>
        <w:t xml:space="preserve">56 </w:t>
      </w:r>
      <w:r>
        <w:rPr>
          <w:color w:val="4D4D4F"/>
        </w:rPr>
        <w:t xml:space="preserve">The </w:t>
      </w:r>
      <w:r>
        <w:rPr>
          <w:color w:val="4D4D4F"/>
          <w:spacing w:val="-3"/>
        </w:rPr>
        <w:t xml:space="preserve">likely </w:t>
      </w:r>
      <w:r>
        <w:rPr>
          <w:color w:val="4D4D4F"/>
        </w:rPr>
        <w:t>explanation for this apparent decrease in native grass cover is attributable to two</w:t>
      </w:r>
      <w:r>
        <w:rPr>
          <w:color w:val="4D4D4F"/>
          <w:spacing w:val="7"/>
        </w:rPr>
        <w:t xml:space="preserve"> </w:t>
      </w:r>
      <w:r>
        <w:rPr>
          <w:color w:val="4D4D4F"/>
        </w:rPr>
        <w:t>sources:</w:t>
      </w:r>
    </w:p>
    <w:p w14:paraId="7E7FF703" w14:textId="77777777" w:rsidR="00EF5B27" w:rsidRDefault="00000000">
      <w:pPr>
        <w:pStyle w:val="ListParagraph"/>
        <w:numPr>
          <w:ilvl w:val="1"/>
          <w:numId w:val="54"/>
        </w:numPr>
        <w:tabs>
          <w:tab w:val="left" w:pos="2779"/>
        </w:tabs>
        <w:spacing w:before="118" w:line="254" w:lineRule="auto"/>
        <w:ind w:right="175"/>
        <w:rPr>
          <w:sz w:val="20"/>
        </w:rPr>
      </w:pPr>
      <w:r>
        <w:rPr>
          <w:color w:val="4D4D4F"/>
          <w:sz w:val="20"/>
        </w:rPr>
        <w:t>new properties being acquired which have lower native grass cover; when added to the dataset, they cause an overall decrease in the</w:t>
      </w:r>
      <w:r>
        <w:rPr>
          <w:color w:val="4D4D4F"/>
          <w:spacing w:val="37"/>
          <w:sz w:val="20"/>
        </w:rPr>
        <w:t xml:space="preserve"> </w:t>
      </w:r>
      <w:r>
        <w:rPr>
          <w:color w:val="4D4D4F"/>
          <w:sz w:val="20"/>
        </w:rPr>
        <w:t>mean</w:t>
      </w:r>
    </w:p>
    <w:p w14:paraId="0E342B99" w14:textId="77777777" w:rsidR="00EF5B27" w:rsidRDefault="00000000">
      <w:pPr>
        <w:pStyle w:val="ListParagraph"/>
        <w:numPr>
          <w:ilvl w:val="1"/>
          <w:numId w:val="54"/>
        </w:numPr>
        <w:tabs>
          <w:tab w:val="left" w:pos="2779"/>
        </w:tabs>
        <w:spacing w:before="116"/>
        <w:rPr>
          <w:sz w:val="11"/>
        </w:rPr>
      </w:pPr>
      <w:r>
        <w:rPr>
          <w:color w:val="4D4D4F"/>
          <w:sz w:val="20"/>
        </w:rPr>
        <w:t>an actual decrease at managed</w:t>
      </w:r>
      <w:r>
        <w:rPr>
          <w:color w:val="4D4D4F"/>
          <w:spacing w:val="22"/>
          <w:sz w:val="20"/>
        </w:rPr>
        <w:t xml:space="preserve"> </w:t>
      </w:r>
      <w:r>
        <w:rPr>
          <w:color w:val="4D4D4F"/>
          <w:sz w:val="20"/>
        </w:rPr>
        <w:t>sites.</w:t>
      </w:r>
      <w:r>
        <w:rPr>
          <w:color w:val="4D4D4F"/>
          <w:position w:val="7"/>
          <w:sz w:val="11"/>
        </w:rPr>
        <w:t>57</w:t>
      </w:r>
    </w:p>
    <w:p w14:paraId="027949A7" w14:textId="77777777" w:rsidR="00EF5B27" w:rsidRDefault="00EF5B27">
      <w:pPr>
        <w:pStyle w:val="BodyText"/>
      </w:pPr>
    </w:p>
    <w:p w14:paraId="020B4092" w14:textId="77777777" w:rsidR="00EF5B27" w:rsidRDefault="00EF5B27">
      <w:pPr>
        <w:pStyle w:val="BodyText"/>
      </w:pPr>
    </w:p>
    <w:p w14:paraId="04B8DDAA" w14:textId="77777777" w:rsidR="00EF5B27" w:rsidRDefault="00EF5B27">
      <w:pPr>
        <w:pStyle w:val="BodyText"/>
      </w:pPr>
    </w:p>
    <w:p w14:paraId="431C64D8" w14:textId="77777777" w:rsidR="00EF5B27" w:rsidRDefault="00EF5B27">
      <w:pPr>
        <w:pStyle w:val="BodyText"/>
      </w:pPr>
    </w:p>
    <w:p w14:paraId="33559D7B" w14:textId="77777777" w:rsidR="00EF5B27" w:rsidRDefault="00EF5B27">
      <w:pPr>
        <w:pStyle w:val="BodyText"/>
      </w:pPr>
    </w:p>
    <w:p w14:paraId="768750B2" w14:textId="77777777" w:rsidR="00EF5B27" w:rsidRDefault="00EF5B27">
      <w:pPr>
        <w:pStyle w:val="BodyText"/>
      </w:pPr>
    </w:p>
    <w:p w14:paraId="402FB4C6" w14:textId="77777777" w:rsidR="00EF5B27" w:rsidRDefault="00EF5B27">
      <w:pPr>
        <w:pStyle w:val="BodyText"/>
      </w:pPr>
    </w:p>
    <w:p w14:paraId="0136F05E" w14:textId="77777777" w:rsidR="00EF5B27" w:rsidRDefault="00EF5B27">
      <w:pPr>
        <w:pStyle w:val="BodyText"/>
      </w:pPr>
    </w:p>
    <w:p w14:paraId="33AFF0DC" w14:textId="77777777" w:rsidR="00EF5B27" w:rsidRDefault="00EF5B27">
      <w:pPr>
        <w:pStyle w:val="BodyText"/>
      </w:pPr>
    </w:p>
    <w:p w14:paraId="7FB7EFED" w14:textId="77777777" w:rsidR="00EF5B27" w:rsidRDefault="00EF5B27">
      <w:pPr>
        <w:pStyle w:val="BodyText"/>
      </w:pPr>
    </w:p>
    <w:p w14:paraId="4E7C51CB" w14:textId="77777777" w:rsidR="00EF5B27" w:rsidRDefault="00EF5B27">
      <w:pPr>
        <w:pStyle w:val="BodyText"/>
      </w:pPr>
    </w:p>
    <w:p w14:paraId="125AB031" w14:textId="77777777" w:rsidR="00EF5B27" w:rsidRDefault="00000000">
      <w:pPr>
        <w:pStyle w:val="BodyText"/>
        <w:spacing w:before="1"/>
        <w:rPr>
          <w:sz w:val="28"/>
        </w:rPr>
      </w:pPr>
      <w:r>
        <w:pict w14:anchorId="3195B89C">
          <v:line id="_x0000_s4100" style="position:absolute;z-index:251382272;mso-wrap-distance-left:0;mso-wrap-distance-right:0;mso-position-horizontal-relative:page" from="181.4pt,19.35pt" to="538.6pt,19.35pt" strokecolor="#4d4d4f" strokeweight=".5pt">
            <w10:wrap type="topAndBottom" anchorx="page"/>
          </v:line>
        </w:pict>
      </w:r>
    </w:p>
    <w:p w14:paraId="3C25FA4E" w14:textId="77777777" w:rsidR="00EF5B27" w:rsidRDefault="00000000">
      <w:pPr>
        <w:pStyle w:val="ListParagraph"/>
        <w:numPr>
          <w:ilvl w:val="0"/>
          <w:numId w:val="65"/>
        </w:numPr>
        <w:tabs>
          <w:tab w:val="left" w:pos="2836"/>
        </w:tabs>
        <w:spacing w:before="83" w:line="143" w:lineRule="exact"/>
        <w:jc w:val="left"/>
        <w:rPr>
          <w:sz w:val="12"/>
        </w:rPr>
      </w:pPr>
      <w:r>
        <w:rPr>
          <w:color w:val="4D4D4F"/>
          <w:sz w:val="12"/>
        </w:rPr>
        <w:t xml:space="preserve">DELWP, internal document, provided </w:t>
      </w:r>
      <w:r>
        <w:rPr>
          <w:color w:val="4D4D4F"/>
          <w:spacing w:val="-3"/>
          <w:sz w:val="12"/>
        </w:rPr>
        <w:t xml:space="preserve">16  </w:t>
      </w:r>
      <w:r>
        <w:rPr>
          <w:color w:val="4D4D4F"/>
          <w:spacing w:val="2"/>
          <w:sz w:val="12"/>
        </w:rPr>
        <w:t xml:space="preserve">February </w:t>
      </w:r>
      <w:r>
        <w:rPr>
          <w:color w:val="4D4D4F"/>
          <w:spacing w:val="5"/>
          <w:sz w:val="12"/>
        </w:rPr>
        <w:t xml:space="preserve"> </w:t>
      </w:r>
      <w:r>
        <w:rPr>
          <w:color w:val="4D4D4F"/>
          <w:spacing w:val="2"/>
          <w:sz w:val="12"/>
        </w:rPr>
        <w:t>2022.</w:t>
      </w:r>
    </w:p>
    <w:p w14:paraId="18004626" w14:textId="77777777" w:rsidR="00EF5B27" w:rsidRDefault="00000000">
      <w:pPr>
        <w:pStyle w:val="ListParagraph"/>
        <w:numPr>
          <w:ilvl w:val="0"/>
          <w:numId w:val="65"/>
        </w:numPr>
        <w:tabs>
          <w:tab w:val="left" w:pos="2836"/>
        </w:tabs>
        <w:spacing w:line="143" w:lineRule="exact"/>
        <w:jc w:val="left"/>
        <w:rPr>
          <w:sz w:val="12"/>
        </w:rPr>
      </w:pPr>
      <w:r>
        <w:rPr>
          <w:color w:val="4D4D4F"/>
          <w:sz w:val="12"/>
        </w:rPr>
        <w:t xml:space="preserve">DELWP, internal document, provided </w:t>
      </w:r>
      <w:r>
        <w:rPr>
          <w:color w:val="4D4D4F"/>
          <w:spacing w:val="-3"/>
          <w:sz w:val="12"/>
        </w:rPr>
        <w:t xml:space="preserve">16  </w:t>
      </w:r>
      <w:r>
        <w:rPr>
          <w:color w:val="4D4D4F"/>
          <w:spacing w:val="2"/>
          <w:sz w:val="12"/>
        </w:rPr>
        <w:t xml:space="preserve">February </w:t>
      </w:r>
      <w:r>
        <w:rPr>
          <w:color w:val="4D4D4F"/>
          <w:spacing w:val="5"/>
          <w:sz w:val="12"/>
        </w:rPr>
        <w:t xml:space="preserve"> </w:t>
      </w:r>
      <w:r>
        <w:rPr>
          <w:color w:val="4D4D4F"/>
          <w:spacing w:val="2"/>
          <w:sz w:val="12"/>
        </w:rPr>
        <w:t>2022.</w:t>
      </w:r>
    </w:p>
    <w:p w14:paraId="5D8FE20A"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73DF8959" w14:textId="77777777" w:rsidR="00EF5B27" w:rsidRDefault="00000000">
      <w:pPr>
        <w:pStyle w:val="BodyText"/>
      </w:pPr>
      <w:r>
        <w:lastRenderedPageBreak/>
        <w:pict w14:anchorId="57D81189">
          <v:group id="_x0000_s4092" style="position:absolute;margin-left:587.05pt;margin-top:183.4pt;width:8.25pt;height:153.1pt;z-index:251439616;mso-position-horizontal-relative:page;mso-position-vertical-relative:page" coordorigin="11741,3668" coordsize="165,3062">
            <v:shape id="_x0000_s4099" style="position:absolute;left:11741;top:3668;width:165;height:561" coordorigin="11741,3668" coordsize="165,561" path="m11906,3668r-165,l11741,4228r165,-18l11906,3668xe" fillcolor="#00aed9" stroked="f">
              <v:path arrowok="t"/>
            </v:shape>
            <v:shape id="_x0000_s4098" style="position:absolute;left:11741;top:4118;width:165;height:425" coordorigin="11741,4118" coordsize="165,425" path="m11906,4118r-165,14l11741,4531r165,12l11906,4118xe" fillcolor="#047ebc" stroked="f">
              <v:path arrowok="t"/>
            </v:shape>
            <v:shape id="_x0000_s4097" type="#_x0000_t75" style="position:absolute;left:11741;top:4355;width:165;height:587">
              <v:imagedata r:id="rId42" o:title=""/>
            </v:shape>
            <v:shape id="_x0000_s4096" style="position:absolute;left:11741;top:5343;width:165;height:536" coordorigin="11741,5343" coordsize="165,536" path="m11741,5343r,535l11906,5872r,-525l11741,5343xe" fillcolor="#f36a2e" stroked="f">
              <v:path arrowok="t"/>
            </v:shape>
            <v:shape id="_x0000_s4095" style="position:absolute;left:11741;top:4925;width:165;height:501" coordorigin="11741,4926" coordsize="165,501" path="m11741,4926r,500l11906,5426r,-485l11741,4926xe" fillcolor="#49783f" stroked="f">
              <v:path arrowok="t"/>
            </v:shape>
            <v:shape id="_x0000_s4094" style="position:absolute;left:11741;top:5781;width:165;height:268" coordorigin="11741,5782" coordsize="165,268" path="m11906,5782r-165,8l11741,6039r165,10l11906,5782xe" fillcolor="#f99f2a" stroked="f">
              <v:path arrowok="t"/>
            </v:shape>
            <v:shape id="_x0000_s4093" style="position:absolute;left:11741;top:6023;width:165;height:707" coordorigin="11741,6023" coordsize="165,707" path="m11741,6023r,706l11906,6729r,-690l11741,6023xe" fillcolor="#ef412c" stroked="f">
              <v:path arrowok="t"/>
            </v:shape>
            <w10:wrap anchorx="page" anchory="page"/>
          </v:group>
        </w:pict>
      </w:r>
    </w:p>
    <w:p w14:paraId="61A514DD" w14:textId="77777777" w:rsidR="00EF5B27" w:rsidRDefault="00EF5B27">
      <w:pPr>
        <w:pStyle w:val="BodyText"/>
      </w:pPr>
    </w:p>
    <w:p w14:paraId="151E541B" w14:textId="77777777" w:rsidR="00EF5B27" w:rsidRDefault="00EF5B27">
      <w:pPr>
        <w:pStyle w:val="BodyText"/>
      </w:pPr>
    </w:p>
    <w:p w14:paraId="478D3FEA" w14:textId="77777777" w:rsidR="00EF5B27" w:rsidRDefault="00EF5B27">
      <w:pPr>
        <w:pStyle w:val="BodyText"/>
      </w:pPr>
    </w:p>
    <w:p w14:paraId="10D9BF04" w14:textId="77777777" w:rsidR="00EF5B27" w:rsidRDefault="00EF5B27">
      <w:pPr>
        <w:pStyle w:val="BodyText"/>
      </w:pPr>
    </w:p>
    <w:p w14:paraId="0C81A91D" w14:textId="77777777" w:rsidR="00EF5B27" w:rsidRDefault="00EF5B27">
      <w:pPr>
        <w:pStyle w:val="BodyText"/>
      </w:pPr>
    </w:p>
    <w:p w14:paraId="65417AE6" w14:textId="77777777" w:rsidR="00EF5B27" w:rsidRDefault="00EF5B27">
      <w:pPr>
        <w:pStyle w:val="BodyText"/>
      </w:pPr>
    </w:p>
    <w:p w14:paraId="1C14C0B1" w14:textId="77777777" w:rsidR="00EF5B27" w:rsidRDefault="00EF5B27">
      <w:pPr>
        <w:pStyle w:val="BodyText"/>
      </w:pPr>
    </w:p>
    <w:p w14:paraId="633118CC" w14:textId="77777777" w:rsidR="00EF5B27" w:rsidRDefault="00EF5B27">
      <w:pPr>
        <w:pStyle w:val="BodyText"/>
      </w:pPr>
    </w:p>
    <w:p w14:paraId="6D91236C" w14:textId="77777777" w:rsidR="00EF5B27" w:rsidRDefault="00EF5B27">
      <w:pPr>
        <w:pStyle w:val="BodyText"/>
      </w:pPr>
    </w:p>
    <w:p w14:paraId="7408D3DA" w14:textId="77777777" w:rsidR="00EF5B27" w:rsidRDefault="00EF5B27">
      <w:pPr>
        <w:pStyle w:val="BodyText"/>
        <w:spacing w:before="1"/>
        <w:rPr>
          <w:sz w:val="11"/>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7A84FDC0" w14:textId="77777777">
        <w:trPr>
          <w:trHeight w:val="561"/>
        </w:trPr>
        <w:tc>
          <w:tcPr>
            <w:tcW w:w="2980" w:type="dxa"/>
            <w:shd w:val="clear" w:color="auto" w:fill="FECC91"/>
          </w:tcPr>
          <w:p w14:paraId="11B44883" w14:textId="77777777" w:rsidR="00EF5B27" w:rsidRDefault="00000000">
            <w:pPr>
              <w:pStyle w:val="TableParagraph"/>
              <w:spacing w:before="91" w:line="244" w:lineRule="auto"/>
              <w:ind w:left="80" w:right="244"/>
              <w:rPr>
                <w:b/>
                <w:sz w:val="16"/>
              </w:rPr>
            </w:pPr>
            <w:r>
              <w:rPr>
                <w:b/>
                <w:sz w:val="16"/>
              </w:rPr>
              <w:t>KPI 6: Percentage of plots that have bare ground between 25 – 75%</w:t>
            </w:r>
          </w:p>
        </w:tc>
        <w:tc>
          <w:tcPr>
            <w:tcW w:w="1078" w:type="dxa"/>
            <w:shd w:val="clear" w:color="auto" w:fill="FECC91"/>
          </w:tcPr>
          <w:p w14:paraId="4C4E75DF"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790CD342" w14:textId="77777777" w:rsidR="00EF5B27" w:rsidRDefault="00EF5B27">
            <w:pPr>
              <w:pStyle w:val="TableParagraph"/>
              <w:spacing w:before="7"/>
              <w:rPr>
                <w:sz w:val="15"/>
              </w:rPr>
            </w:pPr>
          </w:p>
          <w:p w14:paraId="7C1196B7"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49CFE18B" w14:textId="77777777" w:rsidR="00EF5B27" w:rsidRDefault="00EF5B27">
            <w:pPr>
              <w:pStyle w:val="TableParagraph"/>
              <w:spacing w:before="7"/>
              <w:rPr>
                <w:sz w:val="15"/>
              </w:rPr>
            </w:pPr>
          </w:p>
          <w:p w14:paraId="470C5D19"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405C6C7C"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34BABA2C"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0C65C38E" w14:textId="77777777">
        <w:trPr>
          <w:trHeight w:val="448"/>
        </w:trPr>
        <w:tc>
          <w:tcPr>
            <w:tcW w:w="2980" w:type="dxa"/>
          </w:tcPr>
          <w:p w14:paraId="5B07B1CC" w14:textId="77777777" w:rsidR="00EF5B27" w:rsidRDefault="00EF5B27">
            <w:pPr>
              <w:pStyle w:val="TableParagraph"/>
              <w:spacing w:before="11"/>
              <w:rPr>
                <w:sz w:val="11"/>
              </w:rPr>
            </w:pPr>
          </w:p>
          <w:p w14:paraId="513CD379" w14:textId="77777777" w:rsidR="00EF5B27" w:rsidRDefault="00000000">
            <w:pPr>
              <w:pStyle w:val="TableParagraph"/>
              <w:ind w:left="80"/>
              <w:rPr>
                <w:sz w:val="14"/>
              </w:rPr>
            </w:pPr>
            <w:r>
              <w:rPr>
                <w:color w:val="4D4D4F"/>
                <w:w w:val="105"/>
                <w:sz w:val="14"/>
              </w:rPr>
              <w:t>Herb-rich grassland</w:t>
            </w:r>
          </w:p>
        </w:tc>
        <w:tc>
          <w:tcPr>
            <w:tcW w:w="1078" w:type="dxa"/>
          </w:tcPr>
          <w:p w14:paraId="2589A62B" w14:textId="77777777" w:rsidR="00EF5B27" w:rsidRDefault="00EF5B27">
            <w:pPr>
              <w:pStyle w:val="TableParagraph"/>
              <w:spacing w:before="11"/>
              <w:rPr>
                <w:sz w:val="11"/>
              </w:rPr>
            </w:pPr>
          </w:p>
          <w:p w14:paraId="2CB897F7" w14:textId="77777777" w:rsidR="00EF5B27" w:rsidRDefault="00000000">
            <w:pPr>
              <w:pStyle w:val="TableParagraph"/>
              <w:ind w:left="128" w:right="124"/>
              <w:jc w:val="center"/>
              <w:rPr>
                <w:sz w:val="14"/>
              </w:rPr>
            </w:pPr>
            <w:r>
              <w:rPr>
                <w:color w:val="4D4D4F"/>
                <w:sz w:val="14"/>
              </w:rPr>
              <w:t>Met</w:t>
            </w:r>
          </w:p>
        </w:tc>
        <w:tc>
          <w:tcPr>
            <w:tcW w:w="2155" w:type="dxa"/>
          </w:tcPr>
          <w:p w14:paraId="40AA9820" w14:textId="77777777" w:rsidR="00EF5B27" w:rsidRDefault="00EF5B27">
            <w:pPr>
              <w:pStyle w:val="TableParagraph"/>
              <w:spacing w:before="11"/>
              <w:rPr>
                <w:sz w:val="11"/>
              </w:rPr>
            </w:pPr>
          </w:p>
          <w:p w14:paraId="6B9AE2B5" w14:textId="77777777" w:rsidR="00EF5B27" w:rsidRDefault="00000000">
            <w:pPr>
              <w:pStyle w:val="TableParagraph"/>
              <w:ind w:left="139" w:right="142"/>
              <w:jc w:val="center"/>
              <w:rPr>
                <w:sz w:val="14"/>
              </w:rPr>
            </w:pPr>
            <w:r>
              <w:rPr>
                <w:color w:val="4D4D4F"/>
                <w:w w:val="105"/>
                <w:sz w:val="14"/>
              </w:rPr>
              <w:t>N/A</w:t>
            </w:r>
          </w:p>
        </w:tc>
        <w:tc>
          <w:tcPr>
            <w:tcW w:w="964" w:type="dxa"/>
          </w:tcPr>
          <w:p w14:paraId="2FF826DA" w14:textId="77777777" w:rsidR="00EF5B27" w:rsidRDefault="00EF5B27">
            <w:pPr>
              <w:pStyle w:val="TableParagraph"/>
              <w:spacing w:before="8"/>
              <w:rPr>
                <w:sz w:val="8"/>
              </w:rPr>
            </w:pPr>
          </w:p>
          <w:p w14:paraId="5DF73EA7" w14:textId="77777777" w:rsidR="00EF5B27" w:rsidRDefault="00000000">
            <w:pPr>
              <w:pStyle w:val="TableParagraph"/>
              <w:spacing w:line="235" w:lineRule="exact"/>
              <w:ind w:left="427"/>
              <w:rPr>
                <w:sz w:val="20"/>
              </w:rPr>
            </w:pPr>
            <w:r>
              <w:rPr>
                <w:noProof/>
                <w:position w:val="-4"/>
                <w:sz w:val="20"/>
              </w:rPr>
              <w:drawing>
                <wp:inline distT="0" distB="0" distL="0" distR="0" wp14:anchorId="17259EF2" wp14:editId="194F6C27">
                  <wp:extent cx="65743" cy="149351"/>
                  <wp:effectExtent l="0" t="0" r="0" b="0"/>
                  <wp:docPr id="117"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2.png"/>
                          <pic:cNvPicPr/>
                        </pic:nvPicPr>
                        <pic:blipFill>
                          <a:blip r:embed="rId82" cstate="print"/>
                          <a:stretch>
                            <a:fillRect/>
                          </a:stretch>
                        </pic:blipFill>
                        <pic:spPr>
                          <a:xfrm>
                            <a:off x="0" y="0"/>
                            <a:ext cx="65743" cy="149351"/>
                          </a:xfrm>
                          <a:prstGeom prst="rect">
                            <a:avLst/>
                          </a:prstGeom>
                        </pic:spPr>
                      </pic:pic>
                    </a:graphicData>
                  </a:graphic>
                </wp:inline>
              </w:drawing>
            </w:r>
          </w:p>
        </w:tc>
        <w:tc>
          <w:tcPr>
            <w:tcW w:w="964" w:type="dxa"/>
          </w:tcPr>
          <w:p w14:paraId="712B751E" w14:textId="77777777" w:rsidR="00EF5B27" w:rsidRDefault="00EF5B27">
            <w:pPr>
              <w:pStyle w:val="TableParagraph"/>
              <w:spacing w:before="11"/>
              <w:rPr>
                <w:sz w:val="11"/>
              </w:rPr>
            </w:pPr>
          </w:p>
          <w:p w14:paraId="2B38E1AE" w14:textId="77777777" w:rsidR="00EF5B27" w:rsidRDefault="00000000">
            <w:pPr>
              <w:pStyle w:val="TableParagraph"/>
              <w:ind w:left="323" w:right="323"/>
              <w:jc w:val="center"/>
              <w:rPr>
                <w:sz w:val="14"/>
              </w:rPr>
            </w:pPr>
            <w:r>
              <w:rPr>
                <w:color w:val="4D4D4F"/>
                <w:w w:val="105"/>
                <w:sz w:val="14"/>
              </w:rPr>
              <w:t>High</w:t>
            </w:r>
          </w:p>
        </w:tc>
        <w:tc>
          <w:tcPr>
            <w:tcW w:w="1489" w:type="dxa"/>
          </w:tcPr>
          <w:p w14:paraId="4036ABB3" w14:textId="77777777" w:rsidR="00EF5B27" w:rsidRDefault="00000000">
            <w:pPr>
              <w:pStyle w:val="TableParagraph"/>
              <w:spacing w:before="134"/>
              <w:ind w:left="449" w:right="457"/>
              <w:jc w:val="center"/>
              <w:rPr>
                <w:sz w:val="16"/>
              </w:rPr>
            </w:pPr>
            <w:r>
              <w:rPr>
                <w:color w:val="4D4D4F"/>
                <w:w w:val="105"/>
                <w:sz w:val="16"/>
              </w:rPr>
              <w:t>N/A</w:t>
            </w:r>
          </w:p>
        </w:tc>
      </w:tr>
      <w:tr w:rsidR="00EF5B27" w14:paraId="609962BF" w14:textId="77777777">
        <w:trPr>
          <w:trHeight w:val="448"/>
        </w:trPr>
        <w:tc>
          <w:tcPr>
            <w:tcW w:w="2980" w:type="dxa"/>
          </w:tcPr>
          <w:p w14:paraId="370BC3AD" w14:textId="77777777" w:rsidR="00EF5B27" w:rsidRDefault="00EF5B27">
            <w:pPr>
              <w:pStyle w:val="TableParagraph"/>
              <w:spacing w:before="11"/>
              <w:rPr>
                <w:sz w:val="11"/>
              </w:rPr>
            </w:pPr>
          </w:p>
          <w:p w14:paraId="595E9A50" w14:textId="77777777" w:rsidR="00EF5B27" w:rsidRDefault="00000000">
            <w:pPr>
              <w:pStyle w:val="TableParagraph"/>
              <w:ind w:left="80"/>
              <w:rPr>
                <w:sz w:val="14"/>
              </w:rPr>
            </w:pPr>
            <w:r>
              <w:rPr>
                <w:rFonts w:ascii="Arial Narrow"/>
                <w:i/>
                <w:color w:val="4D4D4F"/>
                <w:w w:val="110"/>
                <w:sz w:val="14"/>
              </w:rPr>
              <w:t xml:space="preserve">Themeda </w:t>
            </w:r>
            <w:r>
              <w:rPr>
                <w:color w:val="4D4D4F"/>
                <w:w w:val="110"/>
                <w:sz w:val="14"/>
              </w:rPr>
              <w:t>grassland</w:t>
            </w:r>
          </w:p>
        </w:tc>
        <w:tc>
          <w:tcPr>
            <w:tcW w:w="1078" w:type="dxa"/>
          </w:tcPr>
          <w:p w14:paraId="1D52E06E" w14:textId="77777777" w:rsidR="00EF5B27" w:rsidRDefault="00EF5B27">
            <w:pPr>
              <w:pStyle w:val="TableParagraph"/>
              <w:spacing w:before="11"/>
              <w:rPr>
                <w:sz w:val="11"/>
              </w:rPr>
            </w:pPr>
          </w:p>
          <w:p w14:paraId="0F78AEFC" w14:textId="77777777" w:rsidR="00EF5B27" w:rsidRDefault="00000000">
            <w:pPr>
              <w:pStyle w:val="TableParagraph"/>
              <w:ind w:left="128" w:right="124"/>
              <w:jc w:val="center"/>
              <w:rPr>
                <w:sz w:val="14"/>
              </w:rPr>
            </w:pPr>
            <w:r>
              <w:rPr>
                <w:color w:val="4D4D4F"/>
                <w:sz w:val="14"/>
              </w:rPr>
              <w:t>Met</w:t>
            </w:r>
          </w:p>
        </w:tc>
        <w:tc>
          <w:tcPr>
            <w:tcW w:w="2155" w:type="dxa"/>
          </w:tcPr>
          <w:p w14:paraId="23DDB6EA" w14:textId="77777777" w:rsidR="00EF5B27" w:rsidRDefault="00EF5B27">
            <w:pPr>
              <w:pStyle w:val="TableParagraph"/>
              <w:spacing w:before="11"/>
              <w:rPr>
                <w:sz w:val="11"/>
              </w:rPr>
            </w:pPr>
          </w:p>
          <w:p w14:paraId="0BBEFFC9" w14:textId="77777777" w:rsidR="00EF5B27" w:rsidRDefault="00000000">
            <w:pPr>
              <w:pStyle w:val="TableParagraph"/>
              <w:ind w:left="138" w:right="142"/>
              <w:jc w:val="center"/>
              <w:rPr>
                <w:sz w:val="14"/>
              </w:rPr>
            </w:pPr>
            <w:r>
              <w:rPr>
                <w:color w:val="4D4D4F"/>
                <w:w w:val="105"/>
                <w:sz w:val="14"/>
              </w:rPr>
              <w:t>N/A</w:t>
            </w:r>
          </w:p>
        </w:tc>
        <w:tc>
          <w:tcPr>
            <w:tcW w:w="964" w:type="dxa"/>
          </w:tcPr>
          <w:p w14:paraId="39676E27" w14:textId="77777777" w:rsidR="00EF5B27" w:rsidRDefault="00EF5B27">
            <w:pPr>
              <w:pStyle w:val="TableParagraph"/>
              <w:spacing w:before="8"/>
              <w:rPr>
                <w:sz w:val="8"/>
              </w:rPr>
            </w:pPr>
          </w:p>
          <w:p w14:paraId="4FF9A77B" w14:textId="77777777" w:rsidR="00EF5B27" w:rsidRDefault="00000000">
            <w:pPr>
              <w:pStyle w:val="TableParagraph"/>
              <w:spacing w:line="232" w:lineRule="exact"/>
              <w:ind w:left="427"/>
              <w:rPr>
                <w:sz w:val="20"/>
              </w:rPr>
            </w:pPr>
            <w:r>
              <w:rPr>
                <w:noProof/>
                <w:position w:val="-4"/>
                <w:sz w:val="20"/>
              </w:rPr>
              <w:drawing>
                <wp:inline distT="0" distB="0" distL="0" distR="0" wp14:anchorId="16F4DD87" wp14:editId="4AE330DA">
                  <wp:extent cx="64988" cy="147637"/>
                  <wp:effectExtent l="0" t="0" r="0" b="0"/>
                  <wp:docPr id="11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46.png"/>
                          <pic:cNvPicPr/>
                        </pic:nvPicPr>
                        <pic:blipFill>
                          <a:blip r:embed="rId77" cstate="print"/>
                          <a:stretch>
                            <a:fillRect/>
                          </a:stretch>
                        </pic:blipFill>
                        <pic:spPr>
                          <a:xfrm>
                            <a:off x="0" y="0"/>
                            <a:ext cx="64988" cy="147637"/>
                          </a:xfrm>
                          <a:prstGeom prst="rect">
                            <a:avLst/>
                          </a:prstGeom>
                        </pic:spPr>
                      </pic:pic>
                    </a:graphicData>
                  </a:graphic>
                </wp:inline>
              </w:drawing>
            </w:r>
          </w:p>
        </w:tc>
        <w:tc>
          <w:tcPr>
            <w:tcW w:w="964" w:type="dxa"/>
          </w:tcPr>
          <w:p w14:paraId="379B074E" w14:textId="77777777" w:rsidR="00EF5B27" w:rsidRDefault="00EF5B27">
            <w:pPr>
              <w:pStyle w:val="TableParagraph"/>
              <w:spacing w:before="11"/>
              <w:rPr>
                <w:sz w:val="11"/>
              </w:rPr>
            </w:pPr>
          </w:p>
          <w:p w14:paraId="51740B35" w14:textId="77777777" w:rsidR="00EF5B27" w:rsidRDefault="00000000">
            <w:pPr>
              <w:pStyle w:val="TableParagraph"/>
              <w:ind w:left="323" w:right="323"/>
              <w:jc w:val="center"/>
              <w:rPr>
                <w:sz w:val="14"/>
              </w:rPr>
            </w:pPr>
            <w:r>
              <w:rPr>
                <w:color w:val="4D4D4F"/>
                <w:w w:val="105"/>
                <w:sz w:val="14"/>
              </w:rPr>
              <w:t>High</w:t>
            </w:r>
          </w:p>
        </w:tc>
        <w:tc>
          <w:tcPr>
            <w:tcW w:w="1489" w:type="dxa"/>
          </w:tcPr>
          <w:p w14:paraId="6BDEE238" w14:textId="77777777" w:rsidR="00EF5B27" w:rsidRDefault="00000000">
            <w:pPr>
              <w:pStyle w:val="TableParagraph"/>
              <w:spacing w:before="134"/>
              <w:ind w:left="449" w:right="457"/>
              <w:jc w:val="center"/>
              <w:rPr>
                <w:sz w:val="16"/>
              </w:rPr>
            </w:pPr>
            <w:r>
              <w:rPr>
                <w:color w:val="4D4D4F"/>
                <w:w w:val="105"/>
                <w:sz w:val="16"/>
              </w:rPr>
              <w:t>N/A</w:t>
            </w:r>
          </w:p>
        </w:tc>
      </w:tr>
      <w:tr w:rsidR="00EF5B27" w14:paraId="4F38AE68" w14:textId="77777777">
        <w:trPr>
          <w:trHeight w:val="448"/>
        </w:trPr>
        <w:tc>
          <w:tcPr>
            <w:tcW w:w="2980" w:type="dxa"/>
          </w:tcPr>
          <w:p w14:paraId="776E2282" w14:textId="77777777" w:rsidR="00EF5B27" w:rsidRDefault="00EF5B27">
            <w:pPr>
              <w:pStyle w:val="TableParagraph"/>
              <w:spacing w:before="11"/>
              <w:rPr>
                <w:sz w:val="11"/>
              </w:rPr>
            </w:pPr>
          </w:p>
          <w:p w14:paraId="572ECF5C" w14:textId="77777777" w:rsidR="00EF5B27" w:rsidRDefault="00000000">
            <w:pPr>
              <w:pStyle w:val="TableParagraph"/>
              <w:ind w:left="80"/>
              <w:rPr>
                <w:sz w:val="14"/>
              </w:rPr>
            </w:pPr>
            <w:r>
              <w:rPr>
                <w:color w:val="4D4D4F"/>
                <w:w w:val="105"/>
                <w:sz w:val="14"/>
              </w:rPr>
              <w:t>C3 grassland</w:t>
            </w:r>
          </w:p>
        </w:tc>
        <w:tc>
          <w:tcPr>
            <w:tcW w:w="1078" w:type="dxa"/>
          </w:tcPr>
          <w:p w14:paraId="39D5D942" w14:textId="77777777" w:rsidR="00EF5B27" w:rsidRDefault="00EF5B27">
            <w:pPr>
              <w:pStyle w:val="TableParagraph"/>
              <w:spacing w:before="11"/>
              <w:rPr>
                <w:sz w:val="11"/>
              </w:rPr>
            </w:pPr>
          </w:p>
          <w:p w14:paraId="5BFC94D6" w14:textId="77777777" w:rsidR="00EF5B27" w:rsidRDefault="00000000">
            <w:pPr>
              <w:pStyle w:val="TableParagraph"/>
              <w:ind w:left="128" w:right="124"/>
              <w:jc w:val="center"/>
              <w:rPr>
                <w:sz w:val="14"/>
              </w:rPr>
            </w:pPr>
            <w:r>
              <w:rPr>
                <w:color w:val="4D4D4F"/>
                <w:sz w:val="14"/>
              </w:rPr>
              <w:t>Met</w:t>
            </w:r>
          </w:p>
        </w:tc>
        <w:tc>
          <w:tcPr>
            <w:tcW w:w="2155" w:type="dxa"/>
          </w:tcPr>
          <w:p w14:paraId="03E6CA1C" w14:textId="77777777" w:rsidR="00EF5B27" w:rsidRDefault="00EF5B27">
            <w:pPr>
              <w:pStyle w:val="TableParagraph"/>
              <w:spacing w:before="11"/>
              <w:rPr>
                <w:sz w:val="11"/>
              </w:rPr>
            </w:pPr>
          </w:p>
          <w:p w14:paraId="47E44B05" w14:textId="77777777" w:rsidR="00EF5B27" w:rsidRDefault="00000000">
            <w:pPr>
              <w:pStyle w:val="TableParagraph"/>
              <w:ind w:left="139" w:right="142"/>
              <w:jc w:val="center"/>
              <w:rPr>
                <w:sz w:val="14"/>
              </w:rPr>
            </w:pPr>
            <w:r>
              <w:rPr>
                <w:color w:val="4D4D4F"/>
                <w:w w:val="105"/>
                <w:sz w:val="14"/>
              </w:rPr>
              <w:t>N/A</w:t>
            </w:r>
          </w:p>
        </w:tc>
        <w:tc>
          <w:tcPr>
            <w:tcW w:w="964" w:type="dxa"/>
          </w:tcPr>
          <w:p w14:paraId="1C1ED729" w14:textId="77777777" w:rsidR="00EF5B27" w:rsidRDefault="00EF5B27">
            <w:pPr>
              <w:pStyle w:val="TableParagraph"/>
              <w:spacing w:before="8"/>
              <w:rPr>
                <w:sz w:val="8"/>
              </w:rPr>
            </w:pPr>
          </w:p>
          <w:p w14:paraId="6630F94A" w14:textId="77777777" w:rsidR="00EF5B27" w:rsidRDefault="00000000">
            <w:pPr>
              <w:pStyle w:val="TableParagraph"/>
              <w:spacing w:line="235" w:lineRule="exact"/>
              <w:ind w:left="427"/>
              <w:rPr>
                <w:sz w:val="20"/>
              </w:rPr>
            </w:pPr>
            <w:r>
              <w:rPr>
                <w:noProof/>
                <w:position w:val="-4"/>
                <w:sz w:val="20"/>
              </w:rPr>
              <w:drawing>
                <wp:inline distT="0" distB="0" distL="0" distR="0" wp14:anchorId="08D5E680" wp14:editId="10F88509">
                  <wp:extent cx="65743" cy="149351"/>
                  <wp:effectExtent l="0" t="0" r="0" b="0"/>
                  <wp:docPr id="121"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59.png"/>
                          <pic:cNvPicPr/>
                        </pic:nvPicPr>
                        <pic:blipFill>
                          <a:blip r:embed="rId88" cstate="print"/>
                          <a:stretch>
                            <a:fillRect/>
                          </a:stretch>
                        </pic:blipFill>
                        <pic:spPr>
                          <a:xfrm>
                            <a:off x="0" y="0"/>
                            <a:ext cx="65743" cy="149351"/>
                          </a:xfrm>
                          <a:prstGeom prst="rect">
                            <a:avLst/>
                          </a:prstGeom>
                        </pic:spPr>
                      </pic:pic>
                    </a:graphicData>
                  </a:graphic>
                </wp:inline>
              </w:drawing>
            </w:r>
          </w:p>
        </w:tc>
        <w:tc>
          <w:tcPr>
            <w:tcW w:w="964" w:type="dxa"/>
          </w:tcPr>
          <w:p w14:paraId="7FD86AF7" w14:textId="77777777" w:rsidR="00EF5B27" w:rsidRDefault="00EF5B27">
            <w:pPr>
              <w:pStyle w:val="TableParagraph"/>
              <w:spacing w:before="11"/>
              <w:rPr>
                <w:sz w:val="11"/>
              </w:rPr>
            </w:pPr>
          </w:p>
          <w:p w14:paraId="2C8C72D4" w14:textId="77777777" w:rsidR="00EF5B27" w:rsidRDefault="00000000">
            <w:pPr>
              <w:pStyle w:val="TableParagraph"/>
              <w:ind w:left="323" w:right="323"/>
              <w:jc w:val="center"/>
              <w:rPr>
                <w:sz w:val="14"/>
              </w:rPr>
            </w:pPr>
            <w:r>
              <w:rPr>
                <w:color w:val="4D4D4F"/>
                <w:w w:val="105"/>
                <w:sz w:val="14"/>
              </w:rPr>
              <w:t>High</w:t>
            </w:r>
          </w:p>
        </w:tc>
        <w:tc>
          <w:tcPr>
            <w:tcW w:w="1489" w:type="dxa"/>
          </w:tcPr>
          <w:p w14:paraId="231DF47A" w14:textId="77777777" w:rsidR="00EF5B27" w:rsidRDefault="00000000">
            <w:pPr>
              <w:pStyle w:val="TableParagraph"/>
              <w:spacing w:before="134"/>
              <w:ind w:left="449" w:right="457"/>
              <w:jc w:val="center"/>
              <w:rPr>
                <w:sz w:val="16"/>
              </w:rPr>
            </w:pPr>
            <w:r>
              <w:rPr>
                <w:color w:val="4D4D4F"/>
                <w:w w:val="105"/>
                <w:sz w:val="16"/>
              </w:rPr>
              <w:t>N/A</w:t>
            </w:r>
          </w:p>
        </w:tc>
      </w:tr>
      <w:tr w:rsidR="00EF5B27" w14:paraId="1C52CBF7" w14:textId="77777777">
        <w:trPr>
          <w:trHeight w:val="448"/>
        </w:trPr>
        <w:tc>
          <w:tcPr>
            <w:tcW w:w="2980" w:type="dxa"/>
          </w:tcPr>
          <w:p w14:paraId="4C87AD90" w14:textId="77777777" w:rsidR="00EF5B27" w:rsidRDefault="00EF5B27">
            <w:pPr>
              <w:pStyle w:val="TableParagraph"/>
              <w:spacing w:before="11"/>
              <w:rPr>
                <w:sz w:val="11"/>
              </w:rPr>
            </w:pPr>
          </w:p>
          <w:p w14:paraId="0C1A48BA" w14:textId="77777777" w:rsidR="00EF5B27" w:rsidRDefault="00000000">
            <w:pPr>
              <w:pStyle w:val="TableParagraph"/>
              <w:ind w:left="80"/>
              <w:rPr>
                <w:sz w:val="14"/>
              </w:rPr>
            </w:pPr>
            <w:r>
              <w:rPr>
                <w:color w:val="4D4D4F"/>
                <w:w w:val="105"/>
                <w:sz w:val="14"/>
              </w:rPr>
              <w:t>Nutrient-enriched grassland</w:t>
            </w:r>
          </w:p>
        </w:tc>
        <w:tc>
          <w:tcPr>
            <w:tcW w:w="1078" w:type="dxa"/>
          </w:tcPr>
          <w:p w14:paraId="6764D21F" w14:textId="77777777" w:rsidR="00EF5B27" w:rsidRDefault="00EF5B27">
            <w:pPr>
              <w:pStyle w:val="TableParagraph"/>
              <w:spacing w:before="11"/>
              <w:rPr>
                <w:sz w:val="11"/>
              </w:rPr>
            </w:pPr>
          </w:p>
          <w:p w14:paraId="21DDE533" w14:textId="77777777" w:rsidR="00EF5B27" w:rsidRDefault="00000000">
            <w:pPr>
              <w:pStyle w:val="TableParagraph"/>
              <w:ind w:left="128" w:right="124"/>
              <w:jc w:val="center"/>
              <w:rPr>
                <w:sz w:val="14"/>
              </w:rPr>
            </w:pPr>
            <w:r>
              <w:rPr>
                <w:color w:val="4D4D4F"/>
                <w:sz w:val="14"/>
              </w:rPr>
              <w:t>Met</w:t>
            </w:r>
          </w:p>
        </w:tc>
        <w:tc>
          <w:tcPr>
            <w:tcW w:w="2155" w:type="dxa"/>
          </w:tcPr>
          <w:p w14:paraId="58AEAB9E" w14:textId="77777777" w:rsidR="00EF5B27" w:rsidRDefault="00EF5B27">
            <w:pPr>
              <w:pStyle w:val="TableParagraph"/>
              <w:spacing w:before="11"/>
              <w:rPr>
                <w:sz w:val="11"/>
              </w:rPr>
            </w:pPr>
          </w:p>
          <w:p w14:paraId="3FFAC149" w14:textId="77777777" w:rsidR="00EF5B27" w:rsidRDefault="00000000">
            <w:pPr>
              <w:pStyle w:val="TableParagraph"/>
              <w:ind w:left="139" w:right="142"/>
              <w:jc w:val="center"/>
              <w:rPr>
                <w:sz w:val="14"/>
              </w:rPr>
            </w:pPr>
            <w:r>
              <w:rPr>
                <w:color w:val="4D4D4F"/>
                <w:w w:val="105"/>
                <w:sz w:val="14"/>
              </w:rPr>
              <w:t>N/A</w:t>
            </w:r>
          </w:p>
        </w:tc>
        <w:tc>
          <w:tcPr>
            <w:tcW w:w="964" w:type="dxa"/>
          </w:tcPr>
          <w:p w14:paraId="11D5F526" w14:textId="77777777" w:rsidR="00EF5B27" w:rsidRDefault="00EF5B27">
            <w:pPr>
              <w:pStyle w:val="TableParagraph"/>
              <w:spacing w:before="8"/>
              <w:rPr>
                <w:sz w:val="8"/>
              </w:rPr>
            </w:pPr>
          </w:p>
          <w:p w14:paraId="582A6E4C" w14:textId="77777777" w:rsidR="00EF5B27" w:rsidRDefault="00000000">
            <w:pPr>
              <w:pStyle w:val="TableParagraph"/>
              <w:spacing w:line="232" w:lineRule="exact"/>
              <w:ind w:left="427"/>
              <w:rPr>
                <w:sz w:val="20"/>
              </w:rPr>
            </w:pPr>
            <w:r>
              <w:rPr>
                <w:noProof/>
                <w:position w:val="-4"/>
                <w:sz w:val="20"/>
              </w:rPr>
              <w:drawing>
                <wp:inline distT="0" distB="0" distL="0" distR="0" wp14:anchorId="29145727" wp14:editId="0C604571">
                  <wp:extent cx="64988" cy="147637"/>
                  <wp:effectExtent l="0" t="0" r="0" b="0"/>
                  <wp:docPr id="12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46.png"/>
                          <pic:cNvPicPr/>
                        </pic:nvPicPr>
                        <pic:blipFill>
                          <a:blip r:embed="rId77" cstate="print"/>
                          <a:stretch>
                            <a:fillRect/>
                          </a:stretch>
                        </pic:blipFill>
                        <pic:spPr>
                          <a:xfrm>
                            <a:off x="0" y="0"/>
                            <a:ext cx="64988" cy="147637"/>
                          </a:xfrm>
                          <a:prstGeom prst="rect">
                            <a:avLst/>
                          </a:prstGeom>
                        </pic:spPr>
                      </pic:pic>
                    </a:graphicData>
                  </a:graphic>
                </wp:inline>
              </w:drawing>
            </w:r>
          </w:p>
        </w:tc>
        <w:tc>
          <w:tcPr>
            <w:tcW w:w="964" w:type="dxa"/>
          </w:tcPr>
          <w:p w14:paraId="6ED63BFD" w14:textId="77777777" w:rsidR="00EF5B27" w:rsidRDefault="00EF5B27">
            <w:pPr>
              <w:pStyle w:val="TableParagraph"/>
              <w:spacing w:before="11"/>
              <w:rPr>
                <w:sz w:val="11"/>
              </w:rPr>
            </w:pPr>
          </w:p>
          <w:p w14:paraId="2BC845B5" w14:textId="77777777" w:rsidR="00EF5B27" w:rsidRDefault="00000000">
            <w:pPr>
              <w:pStyle w:val="TableParagraph"/>
              <w:ind w:left="323" w:right="323"/>
              <w:jc w:val="center"/>
              <w:rPr>
                <w:sz w:val="14"/>
              </w:rPr>
            </w:pPr>
            <w:r>
              <w:rPr>
                <w:color w:val="4D4D4F"/>
                <w:w w:val="105"/>
                <w:sz w:val="14"/>
              </w:rPr>
              <w:t>High</w:t>
            </w:r>
          </w:p>
        </w:tc>
        <w:tc>
          <w:tcPr>
            <w:tcW w:w="1489" w:type="dxa"/>
          </w:tcPr>
          <w:p w14:paraId="3D2700B4" w14:textId="77777777" w:rsidR="00EF5B27" w:rsidRDefault="00000000">
            <w:pPr>
              <w:pStyle w:val="TableParagraph"/>
              <w:spacing w:before="134"/>
              <w:ind w:left="449" w:right="457"/>
              <w:jc w:val="center"/>
              <w:rPr>
                <w:sz w:val="16"/>
              </w:rPr>
            </w:pPr>
            <w:r>
              <w:rPr>
                <w:color w:val="4D4D4F"/>
                <w:w w:val="105"/>
                <w:sz w:val="16"/>
              </w:rPr>
              <w:t>N/A</w:t>
            </w:r>
          </w:p>
        </w:tc>
      </w:tr>
      <w:tr w:rsidR="00EF5B27" w14:paraId="7F60C32F" w14:textId="77777777">
        <w:trPr>
          <w:trHeight w:val="448"/>
        </w:trPr>
        <w:tc>
          <w:tcPr>
            <w:tcW w:w="2980" w:type="dxa"/>
          </w:tcPr>
          <w:p w14:paraId="2F677CA7" w14:textId="77777777" w:rsidR="00EF5B27" w:rsidRDefault="00EF5B27">
            <w:pPr>
              <w:pStyle w:val="TableParagraph"/>
              <w:spacing w:before="11"/>
              <w:rPr>
                <w:sz w:val="11"/>
              </w:rPr>
            </w:pPr>
          </w:p>
          <w:p w14:paraId="3025D5CE" w14:textId="77777777" w:rsidR="00EF5B27" w:rsidRDefault="00000000">
            <w:pPr>
              <w:pStyle w:val="TableParagraph"/>
              <w:ind w:left="80"/>
              <w:rPr>
                <w:sz w:val="14"/>
              </w:rPr>
            </w:pPr>
            <w:r>
              <w:rPr>
                <w:color w:val="4D4D4F"/>
                <w:w w:val="105"/>
                <w:sz w:val="14"/>
              </w:rPr>
              <w:t>De-rocked grassland</w:t>
            </w:r>
          </w:p>
        </w:tc>
        <w:tc>
          <w:tcPr>
            <w:tcW w:w="1078" w:type="dxa"/>
          </w:tcPr>
          <w:p w14:paraId="36881016" w14:textId="77777777" w:rsidR="00EF5B27" w:rsidRDefault="00EF5B27">
            <w:pPr>
              <w:pStyle w:val="TableParagraph"/>
              <w:spacing w:before="11"/>
              <w:rPr>
                <w:sz w:val="11"/>
              </w:rPr>
            </w:pPr>
          </w:p>
          <w:p w14:paraId="1CDDE413" w14:textId="77777777" w:rsidR="00EF5B27" w:rsidRDefault="00000000">
            <w:pPr>
              <w:pStyle w:val="TableParagraph"/>
              <w:ind w:left="128" w:right="124"/>
              <w:jc w:val="center"/>
              <w:rPr>
                <w:sz w:val="14"/>
              </w:rPr>
            </w:pPr>
            <w:r>
              <w:rPr>
                <w:color w:val="4D4D4F"/>
                <w:sz w:val="14"/>
              </w:rPr>
              <w:t>Met</w:t>
            </w:r>
          </w:p>
        </w:tc>
        <w:tc>
          <w:tcPr>
            <w:tcW w:w="2155" w:type="dxa"/>
          </w:tcPr>
          <w:p w14:paraId="07837CB4" w14:textId="77777777" w:rsidR="00EF5B27" w:rsidRDefault="00EF5B27">
            <w:pPr>
              <w:pStyle w:val="TableParagraph"/>
              <w:spacing w:before="11"/>
              <w:rPr>
                <w:sz w:val="11"/>
              </w:rPr>
            </w:pPr>
          </w:p>
          <w:p w14:paraId="5A53CA06" w14:textId="77777777" w:rsidR="00EF5B27" w:rsidRDefault="00000000">
            <w:pPr>
              <w:pStyle w:val="TableParagraph"/>
              <w:ind w:left="139" w:right="142"/>
              <w:jc w:val="center"/>
              <w:rPr>
                <w:sz w:val="14"/>
              </w:rPr>
            </w:pPr>
            <w:r>
              <w:rPr>
                <w:color w:val="4D4D4F"/>
                <w:w w:val="105"/>
                <w:sz w:val="14"/>
              </w:rPr>
              <w:t>N/A</w:t>
            </w:r>
          </w:p>
        </w:tc>
        <w:tc>
          <w:tcPr>
            <w:tcW w:w="964" w:type="dxa"/>
          </w:tcPr>
          <w:p w14:paraId="5B7A30B4" w14:textId="77777777" w:rsidR="00EF5B27" w:rsidRDefault="00EF5B27">
            <w:pPr>
              <w:pStyle w:val="TableParagraph"/>
              <w:spacing w:before="8"/>
              <w:rPr>
                <w:sz w:val="8"/>
              </w:rPr>
            </w:pPr>
          </w:p>
          <w:p w14:paraId="79AB5223" w14:textId="77777777" w:rsidR="00EF5B27" w:rsidRDefault="00000000">
            <w:pPr>
              <w:pStyle w:val="TableParagraph"/>
              <w:spacing w:line="235" w:lineRule="exact"/>
              <w:ind w:left="427"/>
              <w:rPr>
                <w:sz w:val="20"/>
              </w:rPr>
            </w:pPr>
            <w:r>
              <w:rPr>
                <w:noProof/>
                <w:position w:val="-4"/>
                <w:sz w:val="20"/>
              </w:rPr>
              <w:drawing>
                <wp:inline distT="0" distB="0" distL="0" distR="0" wp14:anchorId="6454C475" wp14:editId="2301B67D">
                  <wp:extent cx="65743" cy="149351"/>
                  <wp:effectExtent l="0" t="0" r="0" b="0"/>
                  <wp:docPr id="125"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0.png"/>
                          <pic:cNvPicPr/>
                        </pic:nvPicPr>
                        <pic:blipFill>
                          <a:blip r:embed="rId82" cstate="print"/>
                          <a:stretch>
                            <a:fillRect/>
                          </a:stretch>
                        </pic:blipFill>
                        <pic:spPr>
                          <a:xfrm>
                            <a:off x="0" y="0"/>
                            <a:ext cx="65743" cy="149351"/>
                          </a:xfrm>
                          <a:prstGeom prst="rect">
                            <a:avLst/>
                          </a:prstGeom>
                        </pic:spPr>
                      </pic:pic>
                    </a:graphicData>
                  </a:graphic>
                </wp:inline>
              </w:drawing>
            </w:r>
          </w:p>
        </w:tc>
        <w:tc>
          <w:tcPr>
            <w:tcW w:w="964" w:type="dxa"/>
          </w:tcPr>
          <w:p w14:paraId="3C7B065F" w14:textId="77777777" w:rsidR="00EF5B27" w:rsidRDefault="00EF5B27">
            <w:pPr>
              <w:pStyle w:val="TableParagraph"/>
              <w:spacing w:before="11"/>
              <w:rPr>
                <w:sz w:val="11"/>
              </w:rPr>
            </w:pPr>
          </w:p>
          <w:p w14:paraId="56B03584" w14:textId="77777777" w:rsidR="00EF5B27" w:rsidRDefault="00000000">
            <w:pPr>
              <w:pStyle w:val="TableParagraph"/>
              <w:ind w:left="323" w:right="323"/>
              <w:jc w:val="center"/>
              <w:rPr>
                <w:sz w:val="14"/>
              </w:rPr>
            </w:pPr>
            <w:r>
              <w:rPr>
                <w:color w:val="4D4D4F"/>
                <w:w w:val="105"/>
                <w:sz w:val="14"/>
              </w:rPr>
              <w:t>High</w:t>
            </w:r>
          </w:p>
        </w:tc>
        <w:tc>
          <w:tcPr>
            <w:tcW w:w="1489" w:type="dxa"/>
          </w:tcPr>
          <w:p w14:paraId="4101DBF9" w14:textId="77777777" w:rsidR="00EF5B27" w:rsidRDefault="00000000">
            <w:pPr>
              <w:pStyle w:val="TableParagraph"/>
              <w:spacing w:before="134"/>
              <w:ind w:left="449" w:right="457"/>
              <w:jc w:val="center"/>
              <w:rPr>
                <w:sz w:val="16"/>
              </w:rPr>
            </w:pPr>
            <w:r>
              <w:rPr>
                <w:color w:val="4D4D4F"/>
                <w:w w:val="105"/>
                <w:sz w:val="16"/>
              </w:rPr>
              <w:t>N/A</w:t>
            </w:r>
          </w:p>
        </w:tc>
      </w:tr>
    </w:tbl>
    <w:p w14:paraId="3E2CD936" w14:textId="77777777" w:rsidR="00EF5B27" w:rsidRDefault="00EF5B27">
      <w:pPr>
        <w:pStyle w:val="BodyText"/>
        <w:spacing w:before="1"/>
        <w:rPr>
          <w:sz w:val="26"/>
        </w:rPr>
      </w:pPr>
    </w:p>
    <w:p w14:paraId="5995BF43" w14:textId="77777777" w:rsidR="00EF5B27" w:rsidRDefault="00000000">
      <w:pPr>
        <w:pStyle w:val="BodyText"/>
        <w:spacing w:before="100" w:line="254" w:lineRule="auto"/>
        <w:ind w:left="2608" w:right="151"/>
      </w:pPr>
      <w:r>
        <w:rPr>
          <w:color w:val="4D4D4F"/>
        </w:rPr>
        <w:t xml:space="preserve">Comments: This KPI is a measure of habitat structural heterogeneity. It requires that Natural </w:t>
      </w:r>
      <w:r>
        <w:rPr>
          <w:color w:val="4D4D4F"/>
          <w:spacing w:val="-3"/>
        </w:rPr>
        <w:t xml:space="preserve">Temperate </w:t>
      </w:r>
      <w:r>
        <w:rPr>
          <w:color w:val="4D4D4F"/>
        </w:rPr>
        <w:t xml:space="preserve">Grassland exists in a range of structural types each year </w:t>
      </w:r>
      <w:r>
        <w:rPr>
          <w:color w:val="4D4D4F"/>
          <w:spacing w:val="-3"/>
        </w:rPr>
        <w:t xml:space="preserve">(no single </w:t>
      </w:r>
      <w:r>
        <w:rPr>
          <w:color w:val="4D4D4F"/>
        </w:rPr>
        <w:t xml:space="preserve">type </w:t>
      </w:r>
      <w:r>
        <w:rPr>
          <w:color w:val="4D4D4F"/>
          <w:spacing w:val="-3"/>
        </w:rPr>
        <w:t xml:space="preserve">is </w:t>
      </w:r>
      <w:r>
        <w:rPr>
          <w:color w:val="4D4D4F"/>
          <w:spacing w:val="-4"/>
        </w:rPr>
        <w:t xml:space="preserve">always </w:t>
      </w:r>
      <w:r>
        <w:rPr>
          <w:color w:val="4D4D4F"/>
          <w:spacing w:val="-3"/>
        </w:rPr>
        <w:t xml:space="preserve">preferred), to </w:t>
      </w:r>
      <w:r>
        <w:rPr>
          <w:color w:val="4D4D4F"/>
          <w:spacing w:val="-4"/>
        </w:rPr>
        <w:t xml:space="preserve">allow </w:t>
      </w:r>
      <w:r>
        <w:rPr>
          <w:color w:val="4D4D4F"/>
        </w:rPr>
        <w:t xml:space="preserve">a range of </w:t>
      </w:r>
      <w:r>
        <w:rPr>
          <w:color w:val="4D4D4F"/>
          <w:spacing w:val="-4"/>
        </w:rPr>
        <w:t xml:space="preserve">animals </w:t>
      </w:r>
      <w:r>
        <w:rPr>
          <w:color w:val="4D4D4F"/>
          <w:spacing w:val="-3"/>
        </w:rPr>
        <w:t xml:space="preserve">to meet </w:t>
      </w:r>
      <w:r>
        <w:rPr>
          <w:color w:val="4D4D4F"/>
          <w:spacing w:val="-4"/>
        </w:rPr>
        <w:t xml:space="preserve">their habitat </w:t>
      </w:r>
      <w:r>
        <w:rPr>
          <w:color w:val="4D4D4F"/>
          <w:spacing w:val="-3"/>
        </w:rPr>
        <w:t xml:space="preserve">requirements. This </w:t>
      </w:r>
      <w:r>
        <w:rPr>
          <w:color w:val="4D4D4F"/>
        </w:rPr>
        <w:t xml:space="preserve">KPI does </w:t>
      </w:r>
      <w:r>
        <w:rPr>
          <w:color w:val="4D4D4F"/>
          <w:spacing w:val="-3"/>
        </w:rPr>
        <w:t xml:space="preserve">not refer to </w:t>
      </w:r>
      <w:r>
        <w:rPr>
          <w:color w:val="4D4D4F"/>
        </w:rPr>
        <w:t xml:space="preserve">a </w:t>
      </w:r>
      <w:r>
        <w:rPr>
          <w:color w:val="4D4D4F"/>
          <w:spacing w:val="-4"/>
        </w:rPr>
        <w:t xml:space="preserve">baseline. </w:t>
      </w:r>
      <w:r>
        <w:rPr>
          <w:color w:val="4D4D4F"/>
          <w:spacing w:val="-6"/>
        </w:rPr>
        <w:t xml:space="preserve">Rather, </w:t>
      </w:r>
      <w:r>
        <w:rPr>
          <w:color w:val="4D4D4F"/>
          <w:spacing w:val="-3"/>
        </w:rPr>
        <w:t xml:space="preserve">the </w:t>
      </w:r>
      <w:r>
        <w:rPr>
          <w:color w:val="4D4D4F"/>
        </w:rPr>
        <w:t xml:space="preserve">KPI </w:t>
      </w:r>
      <w:r>
        <w:rPr>
          <w:color w:val="4D4D4F"/>
          <w:spacing w:val="-3"/>
        </w:rPr>
        <w:t xml:space="preserve">is met, </w:t>
      </w:r>
      <w:r>
        <w:rPr>
          <w:color w:val="4D4D4F"/>
        </w:rPr>
        <w:t xml:space="preserve">or </w:t>
      </w:r>
      <w:r>
        <w:rPr>
          <w:color w:val="4D4D4F"/>
          <w:spacing w:val="-3"/>
        </w:rPr>
        <w:t xml:space="preserve">not, in each </w:t>
      </w:r>
      <w:r>
        <w:rPr>
          <w:color w:val="4D4D4F"/>
          <w:spacing w:val="-7"/>
        </w:rPr>
        <w:t xml:space="preserve">year. </w:t>
      </w:r>
      <w:r>
        <w:rPr>
          <w:color w:val="4D4D4F"/>
          <w:spacing w:val="-3"/>
        </w:rPr>
        <w:t xml:space="preserve">This </w:t>
      </w:r>
      <w:r>
        <w:rPr>
          <w:color w:val="4D4D4F"/>
        </w:rPr>
        <w:t xml:space="preserve">KPI was met in </w:t>
      </w:r>
      <w:r>
        <w:rPr>
          <w:color w:val="4D4D4F"/>
          <w:spacing w:val="-7"/>
        </w:rPr>
        <w:t xml:space="preserve">2017, </w:t>
      </w:r>
      <w:r>
        <w:rPr>
          <w:color w:val="4D4D4F"/>
          <w:spacing w:val="-3"/>
        </w:rPr>
        <w:t xml:space="preserve">2018, </w:t>
      </w:r>
      <w:r>
        <w:rPr>
          <w:color w:val="4D4D4F"/>
          <w:spacing w:val="-4"/>
        </w:rPr>
        <w:t xml:space="preserve">2019 </w:t>
      </w:r>
      <w:r>
        <w:rPr>
          <w:color w:val="4D4D4F"/>
        </w:rPr>
        <w:t xml:space="preserve">and 2021 after having not been met in </w:t>
      </w:r>
      <w:r>
        <w:rPr>
          <w:color w:val="4D4D4F"/>
          <w:spacing w:val="-3"/>
        </w:rPr>
        <w:t xml:space="preserve">2014, </w:t>
      </w:r>
      <w:r>
        <w:rPr>
          <w:color w:val="4D4D4F"/>
          <w:spacing w:val="-4"/>
        </w:rPr>
        <w:t xml:space="preserve">2015 </w:t>
      </w:r>
      <w:r>
        <w:rPr>
          <w:color w:val="4D4D4F"/>
        </w:rPr>
        <w:t xml:space="preserve">or </w:t>
      </w:r>
      <w:r>
        <w:rPr>
          <w:color w:val="4D4D4F"/>
          <w:spacing w:val="-3"/>
        </w:rPr>
        <w:t xml:space="preserve">2016. </w:t>
      </w:r>
      <w:r>
        <w:rPr>
          <w:color w:val="4D4D4F"/>
          <w:spacing w:val="-4"/>
        </w:rPr>
        <w:t xml:space="preserve">Although </w:t>
      </w:r>
      <w:r>
        <w:rPr>
          <w:color w:val="4D4D4F"/>
          <w:spacing w:val="-3"/>
        </w:rPr>
        <w:t xml:space="preserve">the </w:t>
      </w:r>
      <w:r>
        <w:rPr>
          <w:color w:val="4D4D4F"/>
        </w:rPr>
        <w:t xml:space="preserve">KPI </w:t>
      </w:r>
      <w:r>
        <w:rPr>
          <w:color w:val="4D4D4F"/>
          <w:spacing w:val="-2"/>
        </w:rPr>
        <w:t xml:space="preserve">was </w:t>
      </w:r>
      <w:r>
        <w:rPr>
          <w:color w:val="4D4D4F"/>
          <w:spacing w:val="-3"/>
        </w:rPr>
        <w:t xml:space="preserve">met in </w:t>
      </w:r>
      <w:r>
        <w:rPr>
          <w:color w:val="4D4D4F"/>
          <w:spacing w:val="-5"/>
        </w:rPr>
        <w:t xml:space="preserve">2021, </w:t>
      </w:r>
      <w:r>
        <w:rPr>
          <w:color w:val="4D4D4F"/>
        </w:rPr>
        <w:t xml:space="preserve">it came very </w:t>
      </w:r>
      <w:r>
        <w:rPr>
          <w:color w:val="4D4D4F"/>
          <w:spacing w:val="-3"/>
        </w:rPr>
        <w:t xml:space="preserve">close to </w:t>
      </w:r>
      <w:r>
        <w:rPr>
          <w:color w:val="4D4D4F"/>
          <w:spacing w:val="-4"/>
        </w:rPr>
        <w:t xml:space="preserve">being </w:t>
      </w:r>
      <w:r>
        <w:rPr>
          <w:color w:val="4D4D4F"/>
          <w:spacing w:val="-3"/>
        </w:rPr>
        <w:t xml:space="preserve">breached because </w:t>
      </w:r>
      <w:r>
        <w:rPr>
          <w:color w:val="4D4D4F"/>
          <w:spacing w:val="-4"/>
        </w:rPr>
        <w:t xml:space="preserve">biomass </w:t>
      </w:r>
      <w:r>
        <w:rPr>
          <w:color w:val="4D4D4F"/>
          <w:spacing w:val="-2"/>
        </w:rPr>
        <w:t xml:space="preserve">was </w:t>
      </w:r>
      <w:r>
        <w:rPr>
          <w:color w:val="4D4D4F"/>
          <w:spacing w:val="-4"/>
        </w:rPr>
        <w:t xml:space="preserve">high </w:t>
      </w:r>
      <w:r>
        <w:rPr>
          <w:color w:val="4D4D4F"/>
          <w:spacing w:val="-3"/>
        </w:rPr>
        <w:t xml:space="preserve">in </w:t>
      </w:r>
      <w:r>
        <w:rPr>
          <w:color w:val="4D4D4F"/>
          <w:spacing w:val="-4"/>
        </w:rPr>
        <w:t xml:space="preserve">many </w:t>
      </w:r>
      <w:r>
        <w:rPr>
          <w:color w:val="4D4D4F"/>
          <w:spacing w:val="-3"/>
        </w:rPr>
        <w:t xml:space="preserve">places. </w:t>
      </w:r>
      <w:r>
        <w:rPr>
          <w:color w:val="4D4D4F"/>
        </w:rPr>
        <w:t xml:space="preserve">Where an </w:t>
      </w:r>
      <w:r>
        <w:rPr>
          <w:color w:val="4D4D4F"/>
          <w:spacing w:val="-4"/>
        </w:rPr>
        <w:t xml:space="preserve">assessment </w:t>
      </w:r>
      <w:r>
        <w:rPr>
          <w:color w:val="4D4D4F"/>
        </w:rPr>
        <w:t xml:space="preserve">can be </w:t>
      </w:r>
      <w:r>
        <w:rPr>
          <w:color w:val="4D4D4F"/>
          <w:spacing w:val="-3"/>
        </w:rPr>
        <w:t xml:space="preserve">made for </w:t>
      </w:r>
      <w:r>
        <w:rPr>
          <w:color w:val="4D4D4F"/>
        </w:rPr>
        <w:t xml:space="preserve">KPI 6, </w:t>
      </w:r>
      <w:r>
        <w:rPr>
          <w:color w:val="4D4D4F"/>
          <w:spacing w:val="-3"/>
        </w:rPr>
        <w:t xml:space="preserve">confidence in the </w:t>
      </w:r>
      <w:r>
        <w:rPr>
          <w:color w:val="4D4D4F"/>
        </w:rPr>
        <w:t>data is high, with sufficient data collected for multiple plots and over multiple years.</w:t>
      </w:r>
    </w:p>
    <w:p w14:paraId="60D75497" w14:textId="77777777" w:rsidR="00EF5B27" w:rsidRDefault="00EF5B27">
      <w:pPr>
        <w:pStyle w:val="BodyText"/>
      </w:pPr>
    </w:p>
    <w:p w14:paraId="3FD50A3C" w14:textId="77777777" w:rsidR="00EF5B27" w:rsidRDefault="00EF5B27">
      <w:pPr>
        <w:pStyle w:val="BodyText"/>
        <w:spacing w:before="2" w:after="1"/>
        <w:rPr>
          <w:sz w:val="13"/>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76CC22F4" w14:textId="77777777">
        <w:trPr>
          <w:trHeight w:val="561"/>
        </w:trPr>
        <w:tc>
          <w:tcPr>
            <w:tcW w:w="2980" w:type="dxa"/>
            <w:shd w:val="clear" w:color="auto" w:fill="FECC91"/>
          </w:tcPr>
          <w:p w14:paraId="6AF6706B" w14:textId="77777777" w:rsidR="00EF5B27" w:rsidRDefault="00000000">
            <w:pPr>
              <w:pStyle w:val="TableParagraph"/>
              <w:spacing w:before="91" w:line="244" w:lineRule="auto"/>
              <w:ind w:left="80" w:right="244"/>
              <w:rPr>
                <w:b/>
                <w:sz w:val="16"/>
              </w:rPr>
            </w:pPr>
            <w:r>
              <w:rPr>
                <w:b/>
                <w:sz w:val="16"/>
              </w:rPr>
              <w:t>KPI 7: Percentage cover of all perennial vegetation comprised of weeds</w:t>
            </w:r>
          </w:p>
        </w:tc>
        <w:tc>
          <w:tcPr>
            <w:tcW w:w="1078" w:type="dxa"/>
            <w:shd w:val="clear" w:color="auto" w:fill="FECC91"/>
          </w:tcPr>
          <w:p w14:paraId="0B43A3CC"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3CEF8461" w14:textId="77777777" w:rsidR="00EF5B27" w:rsidRDefault="00EF5B27">
            <w:pPr>
              <w:pStyle w:val="TableParagraph"/>
              <w:spacing w:before="7"/>
              <w:rPr>
                <w:sz w:val="15"/>
              </w:rPr>
            </w:pPr>
          </w:p>
          <w:p w14:paraId="4BB64AB7"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2B5D2147" w14:textId="77777777" w:rsidR="00EF5B27" w:rsidRDefault="00EF5B27">
            <w:pPr>
              <w:pStyle w:val="TableParagraph"/>
              <w:spacing w:before="7"/>
              <w:rPr>
                <w:sz w:val="15"/>
              </w:rPr>
            </w:pPr>
          </w:p>
          <w:p w14:paraId="2ED26F9E"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5A10DD88"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540FA224"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01B48266" w14:textId="77777777">
        <w:trPr>
          <w:trHeight w:val="448"/>
        </w:trPr>
        <w:tc>
          <w:tcPr>
            <w:tcW w:w="2980" w:type="dxa"/>
          </w:tcPr>
          <w:p w14:paraId="1065EFB7" w14:textId="77777777" w:rsidR="00EF5B27" w:rsidRDefault="00EF5B27">
            <w:pPr>
              <w:pStyle w:val="TableParagraph"/>
              <w:spacing w:before="11"/>
              <w:rPr>
                <w:sz w:val="11"/>
              </w:rPr>
            </w:pPr>
          </w:p>
          <w:p w14:paraId="31AA09BC" w14:textId="77777777" w:rsidR="00EF5B27" w:rsidRDefault="00000000">
            <w:pPr>
              <w:pStyle w:val="TableParagraph"/>
              <w:ind w:left="80"/>
              <w:rPr>
                <w:sz w:val="14"/>
              </w:rPr>
            </w:pPr>
            <w:r>
              <w:rPr>
                <w:color w:val="4D4D4F"/>
                <w:w w:val="105"/>
                <w:sz w:val="14"/>
              </w:rPr>
              <w:t>Herb-rich grassland</w:t>
            </w:r>
          </w:p>
        </w:tc>
        <w:tc>
          <w:tcPr>
            <w:tcW w:w="1078" w:type="dxa"/>
          </w:tcPr>
          <w:p w14:paraId="63444B5C" w14:textId="77777777" w:rsidR="00EF5B27" w:rsidRDefault="00EF5B27">
            <w:pPr>
              <w:pStyle w:val="TableParagraph"/>
              <w:spacing w:before="11"/>
              <w:rPr>
                <w:sz w:val="11"/>
              </w:rPr>
            </w:pPr>
          </w:p>
          <w:p w14:paraId="4E0BEF00" w14:textId="77777777" w:rsidR="00EF5B27" w:rsidRDefault="00000000">
            <w:pPr>
              <w:pStyle w:val="TableParagraph"/>
              <w:ind w:left="128" w:right="124"/>
              <w:jc w:val="center"/>
              <w:rPr>
                <w:sz w:val="14"/>
              </w:rPr>
            </w:pPr>
            <w:r>
              <w:rPr>
                <w:color w:val="4D4D4F"/>
                <w:sz w:val="14"/>
              </w:rPr>
              <w:t>Met</w:t>
            </w:r>
          </w:p>
        </w:tc>
        <w:tc>
          <w:tcPr>
            <w:tcW w:w="2155" w:type="dxa"/>
          </w:tcPr>
          <w:p w14:paraId="3ADCA007" w14:textId="77777777" w:rsidR="00EF5B27" w:rsidRDefault="00EF5B27">
            <w:pPr>
              <w:pStyle w:val="TableParagraph"/>
              <w:spacing w:before="11"/>
              <w:rPr>
                <w:sz w:val="11"/>
              </w:rPr>
            </w:pPr>
          </w:p>
          <w:p w14:paraId="3CF3FBE4" w14:textId="77777777" w:rsidR="00EF5B27" w:rsidRDefault="00000000">
            <w:pPr>
              <w:pStyle w:val="TableParagraph"/>
              <w:ind w:left="139" w:right="142"/>
              <w:jc w:val="center"/>
              <w:rPr>
                <w:sz w:val="14"/>
              </w:rPr>
            </w:pPr>
            <w:r>
              <w:rPr>
                <w:color w:val="4D4D4F"/>
                <w:w w:val="105"/>
                <w:sz w:val="14"/>
              </w:rPr>
              <w:t>N/A</w:t>
            </w:r>
          </w:p>
        </w:tc>
        <w:tc>
          <w:tcPr>
            <w:tcW w:w="964" w:type="dxa"/>
          </w:tcPr>
          <w:p w14:paraId="77134160" w14:textId="77777777" w:rsidR="00EF5B27" w:rsidRDefault="00EF5B27">
            <w:pPr>
              <w:pStyle w:val="TableParagraph"/>
              <w:spacing w:before="8"/>
              <w:rPr>
                <w:sz w:val="8"/>
              </w:rPr>
            </w:pPr>
          </w:p>
          <w:p w14:paraId="38C00121" w14:textId="77777777" w:rsidR="00EF5B27" w:rsidRDefault="00000000">
            <w:pPr>
              <w:pStyle w:val="TableParagraph"/>
              <w:spacing w:line="232" w:lineRule="exact"/>
              <w:ind w:left="427"/>
              <w:rPr>
                <w:sz w:val="20"/>
              </w:rPr>
            </w:pPr>
            <w:r>
              <w:rPr>
                <w:noProof/>
                <w:position w:val="-4"/>
                <w:sz w:val="20"/>
              </w:rPr>
              <w:drawing>
                <wp:inline distT="0" distB="0" distL="0" distR="0" wp14:anchorId="13C2A82A" wp14:editId="2DBA0310">
                  <wp:extent cx="64988" cy="147637"/>
                  <wp:effectExtent l="0" t="0" r="0" b="0"/>
                  <wp:docPr id="12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46.png"/>
                          <pic:cNvPicPr/>
                        </pic:nvPicPr>
                        <pic:blipFill>
                          <a:blip r:embed="rId77" cstate="print"/>
                          <a:stretch>
                            <a:fillRect/>
                          </a:stretch>
                        </pic:blipFill>
                        <pic:spPr>
                          <a:xfrm>
                            <a:off x="0" y="0"/>
                            <a:ext cx="64988" cy="147637"/>
                          </a:xfrm>
                          <a:prstGeom prst="rect">
                            <a:avLst/>
                          </a:prstGeom>
                        </pic:spPr>
                      </pic:pic>
                    </a:graphicData>
                  </a:graphic>
                </wp:inline>
              </w:drawing>
            </w:r>
          </w:p>
        </w:tc>
        <w:tc>
          <w:tcPr>
            <w:tcW w:w="964" w:type="dxa"/>
          </w:tcPr>
          <w:p w14:paraId="38F80F34" w14:textId="77777777" w:rsidR="00EF5B27" w:rsidRDefault="00EF5B27">
            <w:pPr>
              <w:pStyle w:val="TableParagraph"/>
              <w:spacing w:before="11"/>
              <w:rPr>
                <w:sz w:val="11"/>
              </w:rPr>
            </w:pPr>
          </w:p>
          <w:p w14:paraId="1F6C0AEB" w14:textId="77777777" w:rsidR="00EF5B27" w:rsidRDefault="00000000">
            <w:pPr>
              <w:pStyle w:val="TableParagraph"/>
              <w:ind w:left="344"/>
              <w:rPr>
                <w:sz w:val="14"/>
              </w:rPr>
            </w:pPr>
            <w:r>
              <w:rPr>
                <w:color w:val="4D4D4F"/>
                <w:w w:val="105"/>
                <w:sz w:val="14"/>
              </w:rPr>
              <w:t>High</w:t>
            </w:r>
          </w:p>
        </w:tc>
        <w:tc>
          <w:tcPr>
            <w:tcW w:w="1489" w:type="dxa"/>
          </w:tcPr>
          <w:p w14:paraId="0EEBA8B9" w14:textId="77777777" w:rsidR="00EF5B27" w:rsidRDefault="00000000">
            <w:pPr>
              <w:pStyle w:val="TableParagraph"/>
              <w:spacing w:before="134"/>
              <w:ind w:left="451" w:right="457"/>
              <w:jc w:val="center"/>
              <w:rPr>
                <w:sz w:val="16"/>
              </w:rPr>
            </w:pPr>
            <w:r>
              <w:rPr>
                <w:color w:val="4D4D4F"/>
                <w:sz w:val="16"/>
              </w:rPr>
              <w:t>2017</w:t>
            </w:r>
          </w:p>
        </w:tc>
      </w:tr>
      <w:tr w:rsidR="00EF5B27" w14:paraId="44CBF8A4" w14:textId="77777777">
        <w:trPr>
          <w:trHeight w:val="448"/>
        </w:trPr>
        <w:tc>
          <w:tcPr>
            <w:tcW w:w="2980" w:type="dxa"/>
          </w:tcPr>
          <w:p w14:paraId="04FB3795" w14:textId="77777777" w:rsidR="00EF5B27" w:rsidRDefault="00EF5B27">
            <w:pPr>
              <w:pStyle w:val="TableParagraph"/>
              <w:spacing w:before="11"/>
              <w:rPr>
                <w:sz w:val="11"/>
              </w:rPr>
            </w:pPr>
          </w:p>
          <w:p w14:paraId="34900F45" w14:textId="77777777" w:rsidR="00EF5B27" w:rsidRDefault="00000000">
            <w:pPr>
              <w:pStyle w:val="TableParagraph"/>
              <w:ind w:left="80"/>
              <w:rPr>
                <w:sz w:val="14"/>
              </w:rPr>
            </w:pPr>
            <w:r>
              <w:rPr>
                <w:rFonts w:ascii="Arial Narrow"/>
                <w:i/>
                <w:color w:val="4D4D4F"/>
                <w:w w:val="110"/>
                <w:sz w:val="14"/>
              </w:rPr>
              <w:t xml:space="preserve">Themeda </w:t>
            </w:r>
            <w:r>
              <w:rPr>
                <w:color w:val="4D4D4F"/>
                <w:w w:val="110"/>
                <w:sz w:val="14"/>
              </w:rPr>
              <w:t>grassland</w:t>
            </w:r>
          </w:p>
        </w:tc>
        <w:tc>
          <w:tcPr>
            <w:tcW w:w="1078" w:type="dxa"/>
          </w:tcPr>
          <w:p w14:paraId="15A6A71F" w14:textId="77777777" w:rsidR="00EF5B27" w:rsidRDefault="00EF5B27">
            <w:pPr>
              <w:pStyle w:val="TableParagraph"/>
              <w:spacing w:before="11"/>
              <w:rPr>
                <w:sz w:val="11"/>
              </w:rPr>
            </w:pPr>
          </w:p>
          <w:p w14:paraId="35660B6B" w14:textId="77777777" w:rsidR="00EF5B27" w:rsidRDefault="00000000">
            <w:pPr>
              <w:pStyle w:val="TableParagraph"/>
              <w:ind w:left="128" w:right="124"/>
              <w:jc w:val="center"/>
              <w:rPr>
                <w:sz w:val="14"/>
              </w:rPr>
            </w:pPr>
            <w:r>
              <w:rPr>
                <w:color w:val="4D4D4F"/>
                <w:sz w:val="14"/>
              </w:rPr>
              <w:t>Met</w:t>
            </w:r>
          </w:p>
        </w:tc>
        <w:tc>
          <w:tcPr>
            <w:tcW w:w="2155" w:type="dxa"/>
          </w:tcPr>
          <w:p w14:paraId="26D0DE14" w14:textId="77777777" w:rsidR="00EF5B27" w:rsidRDefault="00EF5B27">
            <w:pPr>
              <w:pStyle w:val="TableParagraph"/>
              <w:spacing w:before="11"/>
              <w:rPr>
                <w:sz w:val="11"/>
              </w:rPr>
            </w:pPr>
          </w:p>
          <w:p w14:paraId="35E46B1A" w14:textId="77777777" w:rsidR="00EF5B27" w:rsidRDefault="00000000">
            <w:pPr>
              <w:pStyle w:val="TableParagraph"/>
              <w:ind w:left="138" w:right="142"/>
              <w:jc w:val="center"/>
              <w:rPr>
                <w:sz w:val="14"/>
              </w:rPr>
            </w:pPr>
            <w:r>
              <w:rPr>
                <w:color w:val="4D4D4F"/>
                <w:w w:val="105"/>
                <w:sz w:val="14"/>
              </w:rPr>
              <w:t>N/A</w:t>
            </w:r>
          </w:p>
        </w:tc>
        <w:tc>
          <w:tcPr>
            <w:tcW w:w="964" w:type="dxa"/>
          </w:tcPr>
          <w:p w14:paraId="16ED8303" w14:textId="77777777" w:rsidR="00EF5B27" w:rsidRDefault="00EF5B27">
            <w:pPr>
              <w:pStyle w:val="TableParagraph"/>
              <w:spacing w:before="8"/>
              <w:rPr>
                <w:sz w:val="8"/>
              </w:rPr>
            </w:pPr>
          </w:p>
          <w:p w14:paraId="30C7D744" w14:textId="77777777" w:rsidR="00EF5B27" w:rsidRDefault="00000000">
            <w:pPr>
              <w:pStyle w:val="TableParagraph"/>
              <w:spacing w:line="235" w:lineRule="exact"/>
              <w:ind w:left="427"/>
              <w:rPr>
                <w:sz w:val="20"/>
              </w:rPr>
            </w:pPr>
            <w:r>
              <w:rPr>
                <w:noProof/>
                <w:position w:val="-4"/>
                <w:sz w:val="20"/>
              </w:rPr>
              <w:drawing>
                <wp:inline distT="0" distB="0" distL="0" distR="0" wp14:anchorId="5414524E" wp14:editId="2AA65DD8">
                  <wp:extent cx="65743" cy="149351"/>
                  <wp:effectExtent l="0" t="0" r="0" b="0"/>
                  <wp:docPr id="129"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1.png"/>
                          <pic:cNvPicPr/>
                        </pic:nvPicPr>
                        <pic:blipFill>
                          <a:blip r:embed="rId88" cstate="print"/>
                          <a:stretch>
                            <a:fillRect/>
                          </a:stretch>
                        </pic:blipFill>
                        <pic:spPr>
                          <a:xfrm>
                            <a:off x="0" y="0"/>
                            <a:ext cx="65743" cy="149351"/>
                          </a:xfrm>
                          <a:prstGeom prst="rect">
                            <a:avLst/>
                          </a:prstGeom>
                        </pic:spPr>
                      </pic:pic>
                    </a:graphicData>
                  </a:graphic>
                </wp:inline>
              </w:drawing>
            </w:r>
          </w:p>
        </w:tc>
        <w:tc>
          <w:tcPr>
            <w:tcW w:w="964" w:type="dxa"/>
          </w:tcPr>
          <w:p w14:paraId="7D9A28FC" w14:textId="77777777" w:rsidR="00EF5B27" w:rsidRDefault="00EF5B27">
            <w:pPr>
              <w:pStyle w:val="TableParagraph"/>
              <w:spacing w:before="11"/>
              <w:rPr>
                <w:sz w:val="11"/>
              </w:rPr>
            </w:pPr>
          </w:p>
          <w:p w14:paraId="1E235139" w14:textId="77777777" w:rsidR="00EF5B27" w:rsidRDefault="00000000">
            <w:pPr>
              <w:pStyle w:val="TableParagraph"/>
              <w:ind w:left="344"/>
              <w:rPr>
                <w:sz w:val="14"/>
              </w:rPr>
            </w:pPr>
            <w:r>
              <w:rPr>
                <w:color w:val="4D4D4F"/>
                <w:w w:val="105"/>
                <w:sz w:val="14"/>
              </w:rPr>
              <w:t>High</w:t>
            </w:r>
          </w:p>
        </w:tc>
        <w:tc>
          <w:tcPr>
            <w:tcW w:w="1489" w:type="dxa"/>
          </w:tcPr>
          <w:p w14:paraId="4BEFACFB" w14:textId="77777777" w:rsidR="00EF5B27" w:rsidRDefault="00000000">
            <w:pPr>
              <w:pStyle w:val="TableParagraph"/>
              <w:spacing w:before="134"/>
              <w:ind w:left="451" w:right="457"/>
              <w:jc w:val="center"/>
              <w:rPr>
                <w:sz w:val="16"/>
              </w:rPr>
            </w:pPr>
            <w:r>
              <w:rPr>
                <w:color w:val="4D4D4F"/>
                <w:sz w:val="16"/>
              </w:rPr>
              <w:t>2017</w:t>
            </w:r>
          </w:p>
        </w:tc>
      </w:tr>
      <w:tr w:rsidR="00EF5B27" w14:paraId="7EC4B57A" w14:textId="77777777">
        <w:trPr>
          <w:trHeight w:val="448"/>
        </w:trPr>
        <w:tc>
          <w:tcPr>
            <w:tcW w:w="2980" w:type="dxa"/>
          </w:tcPr>
          <w:p w14:paraId="600E9527" w14:textId="77777777" w:rsidR="00EF5B27" w:rsidRDefault="00EF5B27">
            <w:pPr>
              <w:pStyle w:val="TableParagraph"/>
              <w:spacing w:before="11"/>
              <w:rPr>
                <w:sz w:val="11"/>
              </w:rPr>
            </w:pPr>
          </w:p>
          <w:p w14:paraId="2A7CD063" w14:textId="77777777" w:rsidR="00EF5B27" w:rsidRDefault="00000000">
            <w:pPr>
              <w:pStyle w:val="TableParagraph"/>
              <w:ind w:left="80"/>
              <w:rPr>
                <w:sz w:val="14"/>
              </w:rPr>
            </w:pPr>
            <w:r>
              <w:rPr>
                <w:color w:val="4D4D4F"/>
                <w:w w:val="105"/>
                <w:sz w:val="14"/>
              </w:rPr>
              <w:t>C3 grassland</w:t>
            </w:r>
          </w:p>
        </w:tc>
        <w:tc>
          <w:tcPr>
            <w:tcW w:w="1078" w:type="dxa"/>
          </w:tcPr>
          <w:p w14:paraId="115329EE" w14:textId="77777777" w:rsidR="00EF5B27" w:rsidRDefault="00EF5B27">
            <w:pPr>
              <w:pStyle w:val="TableParagraph"/>
              <w:spacing w:before="11"/>
              <w:rPr>
                <w:sz w:val="11"/>
              </w:rPr>
            </w:pPr>
          </w:p>
          <w:p w14:paraId="3E7C3945"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3EADF38B" w14:textId="77777777" w:rsidR="00EF5B27" w:rsidRDefault="00EF5B27">
            <w:pPr>
              <w:pStyle w:val="TableParagraph"/>
              <w:spacing w:before="11"/>
              <w:rPr>
                <w:sz w:val="11"/>
              </w:rPr>
            </w:pPr>
          </w:p>
          <w:p w14:paraId="3264EF6B" w14:textId="77777777" w:rsidR="00EF5B27" w:rsidRDefault="00000000">
            <w:pPr>
              <w:pStyle w:val="TableParagraph"/>
              <w:ind w:left="143" w:right="142"/>
              <w:jc w:val="center"/>
              <w:rPr>
                <w:sz w:val="14"/>
              </w:rPr>
            </w:pPr>
            <w:r>
              <w:rPr>
                <w:color w:val="4D4D4F"/>
                <w:sz w:val="14"/>
              </w:rPr>
              <w:t>Baseline not yet set</w:t>
            </w:r>
          </w:p>
        </w:tc>
        <w:tc>
          <w:tcPr>
            <w:tcW w:w="964" w:type="dxa"/>
          </w:tcPr>
          <w:p w14:paraId="6541A021" w14:textId="77777777" w:rsidR="00EF5B27" w:rsidRDefault="00EF5B27">
            <w:pPr>
              <w:pStyle w:val="TableParagraph"/>
              <w:spacing w:before="4"/>
              <w:rPr>
                <w:sz w:val="7"/>
              </w:rPr>
            </w:pPr>
          </w:p>
          <w:p w14:paraId="21A8FE09" w14:textId="77777777" w:rsidR="00EF5B27" w:rsidRDefault="00000000">
            <w:pPr>
              <w:pStyle w:val="TableParagraph"/>
              <w:spacing w:line="187" w:lineRule="exact"/>
              <w:ind w:left="400"/>
              <w:rPr>
                <w:sz w:val="18"/>
              </w:rPr>
            </w:pPr>
            <w:r>
              <w:rPr>
                <w:noProof/>
                <w:position w:val="-3"/>
                <w:sz w:val="18"/>
              </w:rPr>
              <w:drawing>
                <wp:inline distT="0" distB="0" distL="0" distR="0" wp14:anchorId="4B6AE356" wp14:editId="5EA0391A">
                  <wp:extent cx="100572" cy="119062"/>
                  <wp:effectExtent l="0" t="0" r="0" b="0"/>
                  <wp:docPr id="131"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2.png"/>
                          <pic:cNvPicPr/>
                        </pic:nvPicPr>
                        <pic:blipFill>
                          <a:blip r:embed="rId84" cstate="print"/>
                          <a:stretch>
                            <a:fillRect/>
                          </a:stretch>
                        </pic:blipFill>
                        <pic:spPr>
                          <a:xfrm>
                            <a:off x="0" y="0"/>
                            <a:ext cx="100572" cy="119062"/>
                          </a:xfrm>
                          <a:prstGeom prst="rect">
                            <a:avLst/>
                          </a:prstGeom>
                        </pic:spPr>
                      </pic:pic>
                    </a:graphicData>
                  </a:graphic>
                </wp:inline>
              </w:drawing>
            </w:r>
          </w:p>
          <w:p w14:paraId="6B267642" w14:textId="77777777" w:rsidR="00EF5B27" w:rsidRDefault="00EF5B27">
            <w:pPr>
              <w:pStyle w:val="TableParagraph"/>
              <w:spacing w:before="8"/>
              <w:rPr>
                <w:sz w:val="2"/>
              </w:rPr>
            </w:pPr>
          </w:p>
          <w:p w14:paraId="3D93BDC2" w14:textId="77777777" w:rsidR="00EF5B27" w:rsidRDefault="00000000">
            <w:pPr>
              <w:pStyle w:val="TableParagraph"/>
              <w:spacing w:line="48" w:lineRule="exact"/>
              <w:ind w:left="448"/>
              <w:rPr>
                <w:sz w:val="4"/>
              </w:rPr>
            </w:pPr>
            <w:r>
              <w:rPr>
                <w:sz w:val="4"/>
              </w:rPr>
            </w:r>
            <w:r>
              <w:rPr>
                <w:sz w:val="4"/>
              </w:rPr>
              <w:pict w14:anchorId="0929A90A">
                <v:group id="_x0000_s4090" style="width:2.45pt;height:2.45pt;mso-position-horizontal-relative:char;mso-position-vertical-relative:line" coordsize="49,49">
                  <v:shape id="_x0000_s4091" style="position:absolute;width:49;height:49" coordsize="49,49" path="m31,l18,,12,2,2,12,,17,,31r2,6l12,46r6,3l31,49r6,-3l46,37r3,-6l49,17,46,12,37,2,31,xe" fillcolor="#808285" stroked="f">
                    <v:path arrowok="t"/>
                  </v:shape>
                  <w10:wrap type="none"/>
                  <w10:anchorlock/>
                </v:group>
              </w:pict>
            </w:r>
          </w:p>
        </w:tc>
        <w:tc>
          <w:tcPr>
            <w:tcW w:w="964" w:type="dxa"/>
          </w:tcPr>
          <w:p w14:paraId="67E39803" w14:textId="77777777" w:rsidR="00EF5B27" w:rsidRDefault="00EF5B27">
            <w:pPr>
              <w:pStyle w:val="TableParagraph"/>
              <w:spacing w:before="11"/>
              <w:rPr>
                <w:sz w:val="11"/>
              </w:rPr>
            </w:pPr>
          </w:p>
          <w:p w14:paraId="214B9172" w14:textId="77777777" w:rsidR="00EF5B27" w:rsidRDefault="00000000">
            <w:pPr>
              <w:pStyle w:val="TableParagraph"/>
              <w:ind w:left="368"/>
              <w:rPr>
                <w:sz w:val="14"/>
              </w:rPr>
            </w:pPr>
            <w:r>
              <w:rPr>
                <w:color w:val="4D4D4F"/>
                <w:w w:val="105"/>
                <w:sz w:val="14"/>
              </w:rPr>
              <w:t>N/A</w:t>
            </w:r>
          </w:p>
        </w:tc>
        <w:tc>
          <w:tcPr>
            <w:tcW w:w="1489" w:type="dxa"/>
          </w:tcPr>
          <w:p w14:paraId="6B177A88" w14:textId="77777777" w:rsidR="00EF5B27" w:rsidRDefault="00000000">
            <w:pPr>
              <w:pStyle w:val="TableParagraph"/>
              <w:spacing w:before="134"/>
              <w:ind w:left="457" w:right="457"/>
              <w:jc w:val="center"/>
              <w:rPr>
                <w:sz w:val="16"/>
              </w:rPr>
            </w:pPr>
            <w:r>
              <w:rPr>
                <w:color w:val="4D4D4F"/>
                <w:w w:val="105"/>
                <w:sz w:val="16"/>
              </w:rPr>
              <w:t>Unclear</w:t>
            </w:r>
          </w:p>
        </w:tc>
      </w:tr>
      <w:tr w:rsidR="00EF5B27" w14:paraId="7464BEEE" w14:textId="77777777">
        <w:trPr>
          <w:trHeight w:val="448"/>
        </w:trPr>
        <w:tc>
          <w:tcPr>
            <w:tcW w:w="2980" w:type="dxa"/>
          </w:tcPr>
          <w:p w14:paraId="5B73161C" w14:textId="77777777" w:rsidR="00EF5B27" w:rsidRDefault="00EF5B27">
            <w:pPr>
              <w:pStyle w:val="TableParagraph"/>
              <w:spacing w:before="11"/>
              <w:rPr>
                <w:sz w:val="11"/>
              </w:rPr>
            </w:pPr>
          </w:p>
          <w:p w14:paraId="692415B3" w14:textId="77777777" w:rsidR="00EF5B27" w:rsidRDefault="00000000">
            <w:pPr>
              <w:pStyle w:val="TableParagraph"/>
              <w:ind w:left="80"/>
              <w:rPr>
                <w:sz w:val="14"/>
              </w:rPr>
            </w:pPr>
            <w:r>
              <w:rPr>
                <w:color w:val="4D4D4F"/>
                <w:w w:val="105"/>
                <w:sz w:val="14"/>
              </w:rPr>
              <w:t>Nutrient-enriched grassland</w:t>
            </w:r>
          </w:p>
        </w:tc>
        <w:tc>
          <w:tcPr>
            <w:tcW w:w="1078" w:type="dxa"/>
          </w:tcPr>
          <w:p w14:paraId="28615297" w14:textId="77777777" w:rsidR="00EF5B27" w:rsidRDefault="00EF5B27">
            <w:pPr>
              <w:pStyle w:val="TableParagraph"/>
              <w:spacing w:before="11"/>
              <w:rPr>
                <w:sz w:val="11"/>
              </w:rPr>
            </w:pPr>
          </w:p>
          <w:p w14:paraId="38AA272C" w14:textId="77777777" w:rsidR="00EF5B27" w:rsidRDefault="00000000">
            <w:pPr>
              <w:pStyle w:val="TableParagraph"/>
              <w:ind w:left="128" w:right="124"/>
              <w:jc w:val="center"/>
              <w:rPr>
                <w:sz w:val="14"/>
              </w:rPr>
            </w:pPr>
            <w:r>
              <w:rPr>
                <w:color w:val="4D4D4F"/>
                <w:sz w:val="14"/>
              </w:rPr>
              <w:t>Met</w:t>
            </w:r>
          </w:p>
        </w:tc>
        <w:tc>
          <w:tcPr>
            <w:tcW w:w="2155" w:type="dxa"/>
          </w:tcPr>
          <w:p w14:paraId="72ADA54A" w14:textId="77777777" w:rsidR="00EF5B27" w:rsidRDefault="00EF5B27">
            <w:pPr>
              <w:pStyle w:val="TableParagraph"/>
              <w:spacing w:before="11"/>
              <w:rPr>
                <w:sz w:val="11"/>
              </w:rPr>
            </w:pPr>
          </w:p>
          <w:p w14:paraId="0AAAEDB7" w14:textId="77777777" w:rsidR="00EF5B27" w:rsidRDefault="00000000">
            <w:pPr>
              <w:pStyle w:val="TableParagraph"/>
              <w:ind w:left="139" w:right="142"/>
              <w:jc w:val="center"/>
              <w:rPr>
                <w:sz w:val="14"/>
              </w:rPr>
            </w:pPr>
            <w:r>
              <w:rPr>
                <w:color w:val="4D4D4F"/>
                <w:w w:val="105"/>
                <w:sz w:val="14"/>
              </w:rPr>
              <w:t>N/A</w:t>
            </w:r>
          </w:p>
        </w:tc>
        <w:tc>
          <w:tcPr>
            <w:tcW w:w="964" w:type="dxa"/>
          </w:tcPr>
          <w:p w14:paraId="5A6E3343" w14:textId="77777777" w:rsidR="00EF5B27" w:rsidRDefault="00EF5B27">
            <w:pPr>
              <w:pStyle w:val="TableParagraph"/>
              <w:spacing w:before="1"/>
              <w:rPr>
                <w:sz w:val="15"/>
              </w:rPr>
            </w:pPr>
          </w:p>
          <w:p w14:paraId="50B16A81" w14:textId="77777777" w:rsidR="00EF5B27" w:rsidRDefault="00000000">
            <w:pPr>
              <w:pStyle w:val="TableParagraph"/>
              <w:spacing w:line="102" w:lineRule="exact"/>
              <w:ind w:left="361"/>
              <w:rPr>
                <w:sz w:val="10"/>
              </w:rPr>
            </w:pPr>
            <w:r>
              <w:rPr>
                <w:noProof/>
                <w:position w:val="-1"/>
                <w:sz w:val="10"/>
              </w:rPr>
              <w:drawing>
                <wp:inline distT="0" distB="0" distL="0" distR="0" wp14:anchorId="1E46A599" wp14:editId="174BA491">
                  <wp:extent cx="151464" cy="65341"/>
                  <wp:effectExtent l="0" t="0" r="0" b="0"/>
                  <wp:docPr id="133"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3.png"/>
                          <pic:cNvPicPr/>
                        </pic:nvPicPr>
                        <pic:blipFill>
                          <a:blip r:embed="rId89" cstate="print"/>
                          <a:stretch>
                            <a:fillRect/>
                          </a:stretch>
                        </pic:blipFill>
                        <pic:spPr>
                          <a:xfrm>
                            <a:off x="0" y="0"/>
                            <a:ext cx="151464" cy="65341"/>
                          </a:xfrm>
                          <a:prstGeom prst="rect">
                            <a:avLst/>
                          </a:prstGeom>
                        </pic:spPr>
                      </pic:pic>
                    </a:graphicData>
                  </a:graphic>
                </wp:inline>
              </w:drawing>
            </w:r>
          </w:p>
        </w:tc>
        <w:tc>
          <w:tcPr>
            <w:tcW w:w="964" w:type="dxa"/>
          </w:tcPr>
          <w:p w14:paraId="414FB68C" w14:textId="77777777" w:rsidR="00EF5B27" w:rsidRDefault="00EF5B27">
            <w:pPr>
              <w:pStyle w:val="TableParagraph"/>
              <w:spacing w:before="11"/>
              <w:rPr>
                <w:sz w:val="11"/>
              </w:rPr>
            </w:pPr>
          </w:p>
          <w:p w14:paraId="2A1AF0FA" w14:textId="77777777" w:rsidR="00EF5B27" w:rsidRDefault="00000000">
            <w:pPr>
              <w:pStyle w:val="TableParagraph"/>
              <w:ind w:left="344"/>
              <w:rPr>
                <w:sz w:val="14"/>
              </w:rPr>
            </w:pPr>
            <w:r>
              <w:rPr>
                <w:color w:val="4D4D4F"/>
                <w:w w:val="105"/>
                <w:sz w:val="14"/>
              </w:rPr>
              <w:t>High</w:t>
            </w:r>
          </w:p>
        </w:tc>
        <w:tc>
          <w:tcPr>
            <w:tcW w:w="1489" w:type="dxa"/>
          </w:tcPr>
          <w:p w14:paraId="669B71AC" w14:textId="77777777" w:rsidR="00EF5B27" w:rsidRDefault="00000000">
            <w:pPr>
              <w:pStyle w:val="TableParagraph"/>
              <w:spacing w:before="134"/>
              <w:ind w:left="451" w:right="457"/>
              <w:jc w:val="center"/>
              <w:rPr>
                <w:sz w:val="16"/>
              </w:rPr>
            </w:pPr>
            <w:r>
              <w:rPr>
                <w:color w:val="4D4D4F"/>
                <w:sz w:val="16"/>
              </w:rPr>
              <w:t>2017</w:t>
            </w:r>
          </w:p>
        </w:tc>
      </w:tr>
      <w:tr w:rsidR="00EF5B27" w14:paraId="0F1BB960" w14:textId="77777777">
        <w:trPr>
          <w:trHeight w:val="448"/>
        </w:trPr>
        <w:tc>
          <w:tcPr>
            <w:tcW w:w="2980" w:type="dxa"/>
          </w:tcPr>
          <w:p w14:paraId="57FD9C6E" w14:textId="77777777" w:rsidR="00EF5B27" w:rsidRDefault="00EF5B27">
            <w:pPr>
              <w:pStyle w:val="TableParagraph"/>
              <w:spacing w:before="11"/>
              <w:rPr>
                <w:sz w:val="11"/>
              </w:rPr>
            </w:pPr>
          </w:p>
          <w:p w14:paraId="37671E6C" w14:textId="77777777" w:rsidR="00EF5B27" w:rsidRDefault="00000000">
            <w:pPr>
              <w:pStyle w:val="TableParagraph"/>
              <w:ind w:left="80"/>
              <w:rPr>
                <w:sz w:val="14"/>
              </w:rPr>
            </w:pPr>
            <w:r>
              <w:rPr>
                <w:color w:val="4D4D4F"/>
                <w:w w:val="105"/>
                <w:sz w:val="14"/>
              </w:rPr>
              <w:t>De-rocked grassland</w:t>
            </w:r>
          </w:p>
        </w:tc>
        <w:tc>
          <w:tcPr>
            <w:tcW w:w="1078" w:type="dxa"/>
          </w:tcPr>
          <w:p w14:paraId="0A06F5BF" w14:textId="77777777" w:rsidR="00EF5B27" w:rsidRDefault="00EF5B27">
            <w:pPr>
              <w:pStyle w:val="TableParagraph"/>
              <w:spacing w:before="11"/>
              <w:rPr>
                <w:sz w:val="11"/>
              </w:rPr>
            </w:pPr>
          </w:p>
          <w:p w14:paraId="480E5210"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686F1A0F" w14:textId="77777777" w:rsidR="00EF5B27" w:rsidRDefault="00EF5B27">
            <w:pPr>
              <w:pStyle w:val="TableParagraph"/>
              <w:spacing w:before="11"/>
              <w:rPr>
                <w:sz w:val="11"/>
              </w:rPr>
            </w:pPr>
          </w:p>
          <w:p w14:paraId="0947A105" w14:textId="77777777" w:rsidR="00EF5B27" w:rsidRDefault="00000000">
            <w:pPr>
              <w:pStyle w:val="TableParagraph"/>
              <w:ind w:left="143" w:right="142"/>
              <w:jc w:val="center"/>
              <w:rPr>
                <w:sz w:val="14"/>
              </w:rPr>
            </w:pPr>
            <w:r>
              <w:rPr>
                <w:color w:val="4D4D4F"/>
                <w:sz w:val="14"/>
              </w:rPr>
              <w:t>Baseline not yet set</w:t>
            </w:r>
          </w:p>
        </w:tc>
        <w:tc>
          <w:tcPr>
            <w:tcW w:w="964" w:type="dxa"/>
          </w:tcPr>
          <w:p w14:paraId="1BF9020D" w14:textId="77777777" w:rsidR="00EF5B27" w:rsidRDefault="00EF5B27">
            <w:pPr>
              <w:pStyle w:val="TableParagraph"/>
              <w:spacing w:before="4"/>
              <w:rPr>
                <w:sz w:val="7"/>
              </w:rPr>
            </w:pPr>
          </w:p>
          <w:p w14:paraId="3AD08045" w14:textId="77777777" w:rsidR="00EF5B27" w:rsidRDefault="00000000">
            <w:pPr>
              <w:pStyle w:val="TableParagraph"/>
              <w:spacing w:line="187" w:lineRule="exact"/>
              <w:ind w:left="400"/>
              <w:rPr>
                <w:sz w:val="18"/>
              </w:rPr>
            </w:pPr>
            <w:r>
              <w:rPr>
                <w:noProof/>
                <w:position w:val="-3"/>
                <w:sz w:val="18"/>
              </w:rPr>
              <w:drawing>
                <wp:inline distT="0" distB="0" distL="0" distR="0" wp14:anchorId="4BF51B2D" wp14:editId="152078A6">
                  <wp:extent cx="100572" cy="119062"/>
                  <wp:effectExtent l="0" t="0" r="0" b="0"/>
                  <wp:docPr id="135"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2.png"/>
                          <pic:cNvPicPr/>
                        </pic:nvPicPr>
                        <pic:blipFill>
                          <a:blip r:embed="rId84" cstate="print"/>
                          <a:stretch>
                            <a:fillRect/>
                          </a:stretch>
                        </pic:blipFill>
                        <pic:spPr>
                          <a:xfrm>
                            <a:off x="0" y="0"/>
                            <a:ext cx="100572" cy="119062"/>
                          </a:xfrm>
                          <a:prstGeom prst="rect">
                            <a:avLst/>
                          </a:prstGeom>
                        </pic:spPr>
                      </pic:pic>
                    </a:graphicData>
                  </a:graphic>
                </wp:inline>
              </w:drawing>
            </w:r>
          </w:p>
          <w:p w14:paraId="6BD59ED8" w14:textId="77777777" w:rsidR="00EF5B27" w:rsidRDefault="00EF5B27">
            <w:pPr>
              <w:pStyle w:val="TableParagraph"/>
              <w:spacing w:before="8"/>
              <w:rPr>
                <w:sz w:val="2"/>
              </w:rPr>
            </w:pPr>
          </w:p>
          <w:p w14:paraId="7D3BC51E" w14:textId="77777777" w:rsidR="00EF5B27" w:rsidRDefault="00000000">
            <w:pPr>
              <w:pStyle w:val="TableParagraph"/>
              <w:spacing w:line="48" w:lineRule="exact"/>
              <w:ind w:left="448"/>
              <w:rPr>
                <w:sz w:val="4"/>
              </w:rPr>
            </w:pPr>
            <w:r>
              <w:rPr>
                <w:sz w:val="4"/>
              </w:rPr>
            </w:r>
            <w:r>
              <w:rPr>
                <w:sz w:val="4"/>
              </w:rPr>
              <w:pict w14:anchorId="235A6217">
                <v:group id="_x0000_s4088" style="width:2.45pt;height:2.45pt;mso-position-horizontal-relative:char;mso-position-vertical-relative:line" coordsize="49,49">
                  <v:shape id="_x0000_s4089" style="position:absolute;width:49;height:49" coordsize="49,49" path="m31,l18,,12,2,2,12,,17,,31r2,6l12,46r6,3l31,49r6,-3l46,37r3,-6l49,17,46,12,37,2,31,xe" fillcolor="#808285" stroked="f">
                    <v:path arrowok="t"/>
                  </v:shape>
                  <w10:wrap type="none"/>
                  <w10:anchorlock/>
                </v:group>
              </w:pict>
            </w:r>
          </w:p>
        </w:tc>
        <w:tc>
          <w:tcPr>
            <w:tcW w:w="964" w:type="dxa"/>
          </w:tcPr>
          <w:p w14:paraId="79060B74" w14:textId="77777777" w:rsidR="00EF5B27" w:rsidRDefault="00EF5B27">
            <w:pPr>
              <w:pStyle w:val="TableParagraph"/>
              <w:spacing w:before="11"/>
              <w:rPr>
                <w:sz w:val="11"/>
              </w:rPr>
            </w:pPr>
          </w:p>
          <w:p w14:paraId="77F24F35" w14:textId="77777777" w:rsidR="00EF5B27" w:rsidRDefault="00000000">
            <w:pPr>
              <w:pStyle w:val="TableParagraph"/>
              <w:ind w:left="368"/>
              <w:rPr>
                <w:sz w:val="14"/>
              </w:rPr>
            </w:pPr>
            <w:r>
              <w:rPr>
                <w:color w:val="4D4D4F"/>
                <w:w w:val="105"/>
                <w:sz w:val="14"/>
              </w:rPr>
              <w:t>N/A</w:t>
            </w:r>
          </w:p>
        </w:tc>
        <w:tc>
          <w:tcPr>
            <w:tcW w:w="1489" w:type="dxa"/>
          </w:tcPr>
          <w:p w14:paraId="25D59E04" w14:textId="77777777" w:rsidR="00EF5B27" w:rsidRDefault="00000000">
            <w:pPr>
              <w:pStyle w:val="TableParagraph"/>
              <w:spacing w:before="134"/>
              <w:ind w:left="457" w:right="457"/>
              <w:jc w:val="center"/>
              <w:rPr>
                <w:sz w:val="16"/>
              </w:rPr>
            </w:pPr>
            <w:r>
              <w:rPr>
                <w:color w:val="4D4D4F"/>
                <w:w w:val="105"/>
                <w:sz w:val="16"/>
              </w:rPr>
              <w:t>Unclear</w:t>
            </w:r>
          </w:p>
        </w:tc>
      </w:tr>
    </w:tbl>
    <w:p w14:paraId="35A35B03" w14:textId="77777777" w:rsidR="00EF5B27" w:rsidRDefault="00EF5B27">
      <w:pPr>
        <w:pStyle w:val="BodyText"/>
        <w:spacing w:before="3"/>
        <w:rPr>
          <w:sz w:val="34"/>
        </w:rPr>
      </w:pPr>
    </w:p>
    <w:p w14:paraId="56E75256" w14:textId="77777777" w:rsidR="00EF5B27" w:rsidRDefault="00000000">
      <w:pPr>
        <w:pStyle w:val="BodyText"/>
        <w:spacing w:line="254" w:lineRule="auto"/>
        <w:ind w:left="2608" w:right="159"/>
      </w:pPr>
      <w:r>
        <w:rPr>
          <w:color w:val="4D4D4F"/>
          <w:spacing w:val="-4"/>
        </w:rPr>
        <w:t xml:space="preserve">Comments: </w:t>
      </w:r>
      <w:r>
        <w:rPr>
          <w:color w:val="4D4D4F"/>
        </w:rPr>
        <w:t xml:space="preserve">KPI 7 </w:t>
      </w:r>
      <w:r>
        <w:rPr>
          <w:color w:val="4D4D4F"/>
          <w:spacing w:val="-4"/>
        </w:rPr>
        <w:t xml:space="preserve">measures </w:t>
      </w:r>
      <w:r>
        <w:rPr>
          <w:color w:val="4D4D4F"/>
          <w:spacing w:val="-3"/>
        </w:rPr>
        <w:t xml:space="preserve">the </w:t>
      </w:r>
      <w:r>
        <w:rPr>
          <w:color w:val="4D4D4F"/>
          <w:spacing w:val="-4"/>
        </w:rPr>
        <w:t xml:space="preserve">percent </w:t>
      </w:r>
      <w:r>
        <w:rPr>
          <w:color w:val="4D4D4F"/>
          <w:spacing w:val="-3"/>
        </w:rPr>
        <w:t xml:space="preserve">of </w:t>
      </w:r>
      <w:r>
        <w:rPr>
          <w:color w:val="4D4D4F"/>
          <w:spacing w:val="-4"/>
        </w:rPr>
        <w:t xml:space="preserve">all </w:t>
      </w:r>
      <w:r>
        <w:rPr>
          <w:color w:val="4D4D4F"/>
          <w:spacing w:val="-5"/>
        </w:rPr>
        <w:t xml:space="preserve">perennial vegetation </w:t>
      </w:r>
      <w:r>
        <w:rPr>
          <w:color w:val="4D4D4F"/>
          <w:spacing w:val="-4"/>
        </w:rPr>
        <w:t xml:space="preserve">cover that is comprised </w:t>
      </w:r>
      <w:r>
        <w:rPr>
          <w:color w:val="4D4D4F"/>
        </w:rPr>
        <w:t>of weeds (introduced species). This KPI is assessed using a continuous improvement approach, where any increase over the baseline in a five-year reporting period will lead to the calculation of a new baseline for subsequent reporting periods. This KPI was   met in Herb-rich grassland</w:t>
      </w:r>
      <w:r>
        <w:rPr>
          <w:rFonts w:ascii="Century Gothic" w:hAnsi="Century Gothic"/>
          <w:i/>
          <w:color w:val="4D4D4F"/>
        </w:rPr>
        <w:t xml:space="preserve">, </w:t>
      </w:r>
      <w:r>
        <w:rPr>
          <w:rFonts w:ascii="Arial Narrow" w:hAnsi="Arial Narrow"/>
          <w:i/>
          <w:color w:val="4D4D4F"/>
        </w:rPr>
        <w:t xml:space="preserve">Themeda  </w:t>
      </w:r>
      <w:r>
        <w:rPr>
          <w:color w:val="4D4D4F"/>
        </w:rPr>
        <w:t xml:space="preserve">grassland,  and  Nutrient-enriched  grassland  – the three states for which assessment is possible as the baseline is set. The baseline  has not yet been set for the other states because these states are not yet sufficiently protected. Where an assessment can be made for KPI 7 confidence in the data is high, with sufficient data collected for </w:t>
      </w:r>
      <w:r>
        <w:rPr>
          <w:color w:val="4D4D4F"/>
          <w:spacing w:val="-3"/>
        </w:rPr>
        <w:t xml:space="preserve">multiple </w:t>
      </w:r>
      <w:r>
        <w:rPr>
          <w:color w:val="4D4D4F"/>
        </w:rPr>
        <w:t xml:space="preserve">plots and over </w:t>
      </w:r>
      <w:r>
        <w:rPr>
          <w:color w:val="4D4D4F"/>
          <w:spacing w:val="-3"/>
        </w:rPr>
        <w:t xml:space="preserve">multiple </w:t>
      </w:r>
      <w:r>
        <w:rPr>
          <w:color w:val="4D4D4F"/>
        </w:rPr>
        <w:t>years at several</w:t>
      </w:r>
      <w:r>
        <w:rPr>
          <w:color w:val="4D4D4F"/>
          <w:spacing w:val="27"/>
        </w:rPr>
        <w:t xml:space="preserve"> </w:t>
      </w:r>
      <w:r>
        <w:rPr>
          <w:color w:val="4D4D4F"/>
        </w:rPr>
        <w:t>sites.</w:t>
      </w:r>
    </w:p>
    <w:p w14:paraId="034E9BB1" w14:textId="77777777" w:rsidR="00EF5B27" w:rsidRDefault="00EF5B27">
      <w:pPr>
        <w:spacing w:line="254" w:lineRule="auto"/>
        <w:sectPr w:rsidR="00EF5B27">
          <w:pgSz w:w="11910" w:h="16840"/>
          <w:pgMar w:top="1080" w:right="1020" w:bottom="860" w:left="1020" w:header="537" w:footer="678" w:gutter="0"/>
          <w:cols w:space="720"/>
        </w:sectPr>
      </w:pPr>
    </w:p>
    <w:p w14:paraId="79B77EBC" w14:textId="77777777" w:rsidR="00EF5B27" w:rsidRDefault="00EF5B27">
      <w:pPr>
        <w:pStyle w:val="BodyText"/>
      </w:pPr>
    </w:p>
    <w:p w14:paraId="0F85DD4D" w14:textId="77777777" w:rsidR="00EF5B27" w:rsidRDefault="00EF5B27">
      <w:pPr>
        <w:pStyle w:val="BodyText"/>
      </w:pPr>
    </w:p>
    <w:p w14:paraId="1D8785DA" w14:textId="77777777" w:rsidR="00EF5B27" w:rsidRDefault="00EF5B27">
      <w:pPr>
        <w:pStyle w:val="BodyText"/>
      </w:pPr>
    </w:p>
    <w:p w14:paraId="7326BC7B" w14:textId="77777777" w:rsidR="00EF5B27" w:rsidRDefault="00EF5B27">
      <w:pPr>
        <w:pStyle w:val="BodyText"/>
      </w:pPr>
    </w:p>
    <w:p w14:paraId="3019B50B" w14:textId="77777777" w:rsidR="00EF5B27" w:rsidRDefault="00EF5B27">
      <w:pPr>
        <w:pStyle w:val="BodyText"/>
      </w:pPr>
    </w:p>
    <w:p w14:paraId="6543324C" w14:textId="77777777" w:rsidR="00EF5B27" w:rsidRDefault="00EF5B27">
      <w:pPr>
        <w:pStyle w:val="BodyText"/>
      </w:pPr>
    </w:p>
    <w:p w14:paraId="5DED7C80" w14:textId="77777777" w:rsidR="00EF5B27" w:rsidRDefault="00EF5B27">
      <w:pPr>
        <w:pStyle w:val="BodyText"/>
      </w:pPr>
    </w:p>
    <w:p w14:paraId="7ACE341B" w14:textId="77777777" w:rsidR="00EF5B27" w:rsidRDefault="00EF5B27">
      <w:pPr>
        <w:pStyle w:val="BodyText"/>
      </w:pPr>
    </w:p>
    <w:p w14:paraId="53B1E871" w14:textId="77777777" w:rsidR="00EF5B27" w:rsidRDefault="00EF5B27">
      <w:pPr>
        <w:pStyle w:val="BodyText"/>
      </w:pPr>
    </w:p>
    <w:p w14:paraId="6B2F21F9" w14:textId="77777777" w:rsidR="00EF5B27" w:rsidRDefault="00EF5B27">
      <w:pPr>
        <w:pStyle w:val="BodyText"/>
        <w:spacing w:before="1"/>
      </w:pPr>
    </w:p>
    <w:p w14:paraId="0A372F04" w14:textId="77777777" w:rsidR="00EF5B27" w:rsidRDefault="00000000">
      <w:pPr>
        <w:pStyle w:val="BodyText"/>
        <w:spacing w:before="100" w:line="254" w:lineRule="auto"/>
        <w:ind w:left="2608" w:right="228"/>
      </w:pPr>
      <w:r>
        <w:rPr>
          <w:color w:val="4D4D4F"/>
        </w:rPr>
        <w:t xml:space="preserve">Weed cover appears to be increasing steadily in protected areas of Natural Temperate Grassland, and it appears very </w:t>
      </w:r>
      <w:r>
        <w:rPr>
          <w:color w:val="4D4D4F"/>
          <w:spacing w:val="-3"/>
        </w:rPr>
        <w:t xml:space="preserve">likely </w:t>
      </w:r>
      <w:r>
        <w:rPr>
          <w:color w:val="4D4D4F"/>
        </w:rPr>
        <w:t>that this KPI will be breached within the next two to three years without substantially increased weed control.</w:t>
      </w:r>
      <w:r>
        <w:rPr>
          <w:color w:val="4D4D4F"/>
          <w:position w:val="7"/>
          <w:sz w:val="11"/>
        </w:rPr>
        <w:t xml:space="preserve">58 </w:t>
      </w:r>
      <w:r>
        <w:rPr>
          <w:color w:val="4D4D4F"/>
        </w:rPr>
        <w:t>Currently, it is only the use of the five-year rolling average that has prevented the increase from registering    as a breach of the baseline. The increase in weed levels measured in Nutrient-  enriched grassland is attributable to two</w:t>
      </w:r>
      <w:r>
        <w:rPr>
          <w:color w:val="4D4D4F"/>
          <w:spacing w:val="28"/>
        </w:rPr>
        <w:t xml:space="preserve"> </w:t>
      </w:r>
      <w:r>
        <w:rPr>
          <w:color w:val="4D4D4F"/>
        </w:rPr>
        <w:t>sources:</w:t>
      </w:r>
    </w:p>
    <w:p w14:paraId="0213731D" w14:textId="77777777" w:rsidR="00EF5B27" w:rsidRDefault="00000000">
      <w:pPr>
        <w:pStyle w:val="ListParagraph"/>
        <w:numPr>
          <w:ilvl w:val="1"/>
          <w:numId w:val="54"/>
        </w:numPr>
        <w:tabs>
          <w:tab w:val="left" w:pos="2779"/>
        </w:tabs>
        <w:spacing w:before="121" w:line="254" w:lineRule="auto"/>
        <w:ind w:right="112"/>
        <w:rPr>
          <w:sz w:val="20"/>
        </w:rPr>
      </w:pPr>
      <w:r>
        <w:rPr>
          <w:color w:val="4D4D4F"/>
          <w:sz w:val="20"/>
        </w:rPr>
        <w:t xml:space="preserve">most of the change is the result of new properties being acquired which have very high weed levels (e.g. Argoona </w:t>
      </w:r>
      <w:r>
        <w:rPr>
          <w:color w:val="4D4D4F"/>
          <w:spacing w:val="-3"/>
          <w:sz w:val="20"/>
        </w:rPr>
        <w:t xml:space="preserve">Rd), </w:t>
      </w:r>
      <w:r>
        <w:rPr>
          <w:color w:val="4D4D4F"/>
          <w:sz w:val="20"/>
        </w:rPr>
        <w:t>when added to the dataset, they cause an overall increase in the</w:t>
      </w:r>
      <w:r>
        <w:rPr>
          <w:color w:val="4D4D4F"/>
          <w:spacing w:val="12"/>
          <w:sz w:val="20"/>
        </w:rPr>
        <w:t xml:space="preserve"> </w:t>
      </w:r>
      <w:r>
        <w:rPr>
          <w:color w:val="4D4D4F"/>
          <w:sz w:val="20"/>
        </w:rPr>
        <w:t>mean</w:t>
      </w:r>
    </w:p>
    <w:p w14:paraId="3F33DE07" w14:textId="77777777" w:rsidR="00EF5B27" w:rsidRDefault="00000000">
      <w:pPr>
        <w:pStyle w:val="ListParagraph"/>
        <w:numPr>
          <w:ilvl w:val="1"/>
          <w:numId w:val="54"/>
        </w:numPr>
        <w:tabs>
          <w:tab w:val="left" w:pos="2779"/>
        </w:tabs>
        <w:spacing w:before="117"/>
        <w:rPr>
          <w:sz w:val="11"/>
        </w:rPr>
      </w:pPr>
      <w:r>
        <w:pict w14:anchorId="5D71BEC8">
          <v:group id="_x0000_s4085" style="position:absolute;left:0;text-align:left;margin-left:57.45pt;margin-top:38.05pt;width:481.15pt;height:.25pt;z-index:251442688;mso-position-horizontal-relative:page" coordorigin="1149,761" coordsize="9623,5">
            <v:line id="_x0000_s4087" style="position:absolute" from="1149,763" to="3644,763" strokeweight=".25pt"/>
            <v:line id="_x0000_s4086" style="position:absolute" from="3644,763" to="10772,763" strokeweight=".25pt"/>
            <w10:wrap anchorx="page"/>
          </v:group>
        </w:pict>
      </w:r>
      <w:r>
        <w:rPr>
          <w:color w:val="4D4D4F"/>
          <w:sz w:val="20"/>
        </w:rPr>
        <w:t>an actual increase in weed cover at managed</w:t>
      </w:r>
      <w:r>
        <w:rPr>
          <w:color w:val="4D4D4F"/>
          <w:spacing w:val="36"/>
          <w:sz w:val="20"/>
        </w:rPr>
        <w:t xml:space="preserve"> </w:t>
      </w:r>
      <w:r>
        <w:rPr>
          <w:color w:val="4D4D4F"/>
          <w:sz w:val="20"/>
        </w:rPr>
        <w:t>sites.</w:t>
      </w:r>
      <w:r>
        <w:rPr>
          <w:color w:val="4D4D4F"/>
          <w:position w:val="7"/>
          <w:sz w:val="11"/>
        </w:rPr>
        <w:t>59</w:t>
      </w:r>
    </w:p>
    <w:p w14:paraId="43D978C1" w14:textId="77777777" w:rsidR="00EF5B27" w:rsidRDefault="00EF5B27">
      <w:pPr>
        <w:pStyle w:val="BodyText"/>
      </w:pPr>
    </w:p>
    <w:p w14:paraId="08FA562A" w14:textId="77777777" w:rsidR="00EF5B27" w:rsidRDefault="00000000">
      <w:pPr>
        <w:pStyle w:val="BodyText"/>
        <w:spacing w:before="12"/>
        <w:rPr>
          <w:sz w:val="10"/>
        </w:rPr>
      </w:pPr>
      <w:r>
        <w:pict w14:anchorId="6FB0E1DC">
          <v:shape id="_x0000_s4084" type="#_x0000_t202" style="position:absolute;margin-left:57.45pt;margin-top:7.9pt;width:481.15pt;height:25.4pt;z-index:251387392;mso-wrap-distance-left:0;mso-wrap-distance-right:0;mso-position-horizontal-relative:page" fillcolor="#fecc91" stroked="f">
            <v:textbox inset="0,0,0,0">
              <w:txbxContent>
                <w:p w14:paraId="05B80A00" w14:textId="77777777" w:rsidR="00EF5B27" w:rsidRDefault="00000000">
                  <w:pPr>
                    <w:tabs>
                      <w:tab w:val="left" w:pos="2607"/>
                    </w:tabs>
                    <w:spacing w:before="142"/>
                    <w:ind w:left="113"/>
                    <w:rPr>
                      <w:b/>
                      <w:sz w:val="20"/>
                    </w:rPr>
                  </w:pPr>
                  <w:r>
                    <w:rPr>
                      <w:b/>
                      <w:color w:val="4D4D4F"/>
                      <w:sz w:val="20"/>
                    </w:rPr>
                    <w:t>Theme</w:t>
                  </w:r>
                  <w:r>
                    <w:rPr>
                      <w:b/>
                      <w:color w:val="4D4D4F"/>
                      <w:sz w:val="20"/>
                    </w:rPr>
                    <w:tab/>
                    <w:t>Natural Temperate</w:t>
                  </w:r>
                  <w:r>
                    <w:rPr>
                      <w:b/>
                      <w:color w:val="4D4D4F"/>
                      <w:spacing w:val="8"/>
                      <w:sz w:val="20"/>
                    </w:rPr>
                    <w:t xml:space="preserve"> </w:t>
                  </w:r>
                  <w:r>
                    <w:rPr>
                      <w:b/>
                      <w:color w:val="4D4D4F"/>
                      <w:sz w:val="20"/>
                    </w:rPr>
                    <w:t>Grassland</w:t>
                  </w:r>
                </w:p>
              </w:txbxContent>
            </v:textbox>
            <w10:wrap type="topAndBottom" anchorx="page"/>
          </v:shape>
        </w:pict>
      </w:r>
    </w:p>
    <w:p w14:paraId="06C838C4" w14:textId="77777777" w:rsidR="00EF5B27" w:rsidRDefault="00EF5B27">
      <w:pPr>
        <w:pStyle w:val="BodyText"/>
        <w:spacing w:before="8"/>
        <w:rPr>
          <w:sz w:val="5"/>
        </w:rPr>
      </w:pPr>
    </w:p>
    <w:p w14:paraId="4A3670D3" w14:textId="77777777" w:rsidR="00EF5B27" w:rsidRDefault="00EF5B27">
      <w:pPr>
        <w:rPr>
          <w:sz w:val="5"/>
        </w:rPr>
        <w:sectPr w:rsidR="00EF5B27">
          <w:pgSz w:w="11910" w:h="16840"/>
          <w:pgMar w:top="1080" w:right="1020" w:bottom="860" w:left="1020" w:header="537" w:footer="678" w:gutter="0"/>
          <w:cols w:space="720"/>
        </w:sectPr>
      </w:pPr>
    </w:p>
    <w:p w14:paraId="25931C48" w14:textId="77777777" w:rsidR="00EF5B27" w:rsidRDefault="00000000">
      <w:pPr>
        <w:pStyle w:val="BodyText"/>
        <w:spacing w:before="54"/>
        <w:ind w:left="242"/>
      </w:pPr>
      <w:r>
        <w:pict w14:anchorId="6FD5A1A4">
          <v:group id="_x0000_s4081" style="position:absolute;left:0;text-align:left;margin-left:57.45pt;margin-top:-4.2pt;width:481.15pt;height:.25pt;z-index:251443712;mso-position-horizontal-relative:page" coordorigin="1149,-84" coordsize="9623,5">
            <v:line id="_x0000_s4083" style="position:absolute" from="1149,-81" to="3644,-81" strokeweight=".25pt"/>
            <v:line id="_x0000_s4082" style="position:absolute" from="3644,-81" to="10772,-81" strokeweight=".25pt"/>
            <w10:wrap anchorx="page"/>
          </v:group>
        </w:pict>
      </w:r>
      <w:r>
        <w:rPr>
          <w:color w:val="4D4D4F"/>
        </w:rPr>
        <w:t>Recommendation</w:t>
      </w:r>
    </w:p>
    <w:p w14:paraId="17B0B087" w14:textId="77777777" w:rsidR="00EF5B27" w:rsidRDefault="00000000">
      <w:pPr>
        <w:pStyle w:val="Heading1"/>
        <w:spacing w:before="3"/>
        <w:ind w:left="242"/>
      </w:pPr>
      <w:r>
        <w:rPr>
          <w:color w:val="4D4D4F"/>
          <w:w w:val="105"/>
        </w:rPr>
        <w:t>05</w:t>
      </w:r>
    </w:p>
    <w:p w14:paraId="7070F19F" w14:textId="77777777" w:rsidR="00EF5B27" w:rsidRDefault="00000000">
      <w:pPr>
        <w:pStyle w:val="BodyText"/>
        <w:spacing w:before="54"/>
        <w:ind w:left="242"/>
      </w:pPr>
      <w:r>
        <w:br w:type="column"/>
      </w:r>
      <w:r>
        <w:rPr>
          <w:color w:val="4D4D4F"/>
        </w:rPr>
        <w:t>That DELWP:</w:t>
      </w:r>
    </w:p>
    <w:p w14:paraId="37F26503" w14:textId="77777777" w:rsidR="00EF5B27" w:rsidRDefault="00000000">
      <w:pPr>
        <w:pStyle w:val="ListParagraph"/>
        <w:numPr>
          <w:ilvl w:val="0"/>
          <w:numId w:val="53"/>
        </w:numPr>
        <w:tabs>
          <w:tab w:val="left" w:pos="441"/>
        </w:tabs>
        <w:spacing w:before="129" w:line="254" w:lineRule="auto"/>
        <w:ind w:right="229" w:firstLine="0"/>
        <w:rPr>
          <w:sz w:val="20"/>
        </w:rPr>
      </w:pPr>
      <w:r>
        <w:rPr>
          <w:color w:val="4D4D4F"/>
          <w:sz w:val="20"/>
        </w:rPr>
        <w:t xml:space="preserve">modifies the monitoring methods for Natural </w:t>
      </w:r>
      <w:r>
        <w:rPr>
          <w:color w:val="4D4D4F"/>
          <w:spacing w:val="-3"/>
          <w:sz w:val="20"/>
        </w:rPr>
        <w:t xml:space="preserve">Temperate </w:t>
      </w:r>
      <w:r>
        <w:rPr>
          <w:color w:val="4D4D4F"/>
          <w:sz w:val="20"/>
        </w:rPr>
        <w:t xml:space="preserve">Grassland to organise by </w:t>
      </w:r>
      <w:r>
        <w:rPr>
          <w:color w:val="4D4D4F"/>
          <w:spacing w:val="-5"/>
          <w:sz w:val="20"/>
        </w:rPr>
        <w:t>management</w:t>
      </w:r>
      <w:r>
        <w:rPr>
          <w:color w:val="4D4D4F"/>
          <w:sz w:val="20"/>
        </w:rPr>
        <w:t xml:space="preserve"> </w:t>
      </w:r>
      <w:r>
        <w:rPr>
          <w:color w:val="4D4D4F"/>
          <w:spacing w:val="-5"/>
          <w:sz w:val="20"/>
        </w:rPr>
        <w:t>unit</w:t>
      </w:r>
      <w:r>
        <w:rPr>
          <w:color w:val="4D4D4F"/>
          <w:spacing w:val="1"/>
          <w:sz w:val="20"/>
        </w:rPr>
        <w:t xml:space="preserve"> </w:t>
      </w:r>
      <w:r>
        <w:rPr>
          <w:color w:val="4D4D4F"/>
          <w:spacing w:val="-3"/>
          <w:sz w:val="20"/>
        </w:rPr>
        <w:t>as</w:t>
      </w:r>
      <w:r>
        <w:rPr>
          <w:color w:val="4D4D4F"/>
          <w:spacing w:val="1"/>
          <w:sz w:val="20"/>
        </w:rPr>
        <w:t xml:space="preserve"> </w:t>
      </w:r>
      <w:r>
        <w:rPr>
          <w:color w:val="4D4D4F"/>
          <w:spacing w:val="-4"/>
          <w:sz w:val="20"/>
        </w:rPr>
        <w:t>well</w:t>
      </w:r>
      <w:r>
        <w:rPr>
          <w:color w:val="4D4D4F"/>
          <w:spacing w:val="1"/>
          <w:sz w:val="20"/>
        </w:rPr>
        <w:t xml:space="preserve"> </w:t>
      </w:r>
      <w:r>
        <w:rPr>
          <w:color w:val="4D4D4F"/>
          <w:spacing w:val="-3"/>
          <w:sz w:val="20"/>
        </w:rPr>
        <w:t>as</w:t>
      </w:r>
      <w:r>
        <w:rPr>
          <w:color w:val="4D4D4F"/>
          <w:spacing w:val="1"/>
          <w:sz w:val="20"/>
        </w:rPr>
        <w:t xml:space="preserve"> </w:t>
      </w:r>
      <w:r>
        <w:rPr>
          <w:color w:val="4D4D4F"/>
          <w:sz w:val="20"/>
        </w:rPr>
        <w:t>by</w:t>
      </w:r>
      <w:r>
        <w:rPr>
          <w:color w:val="4D4D4F"/>
          <w:spacing w:val="1"/>
          <w:sz w:val="20"/>
        </w:rPr>
        <w:t xml:space="preserve"> </w:t>
      </w:r>
      <w:r>
        <w:rPr>
          <w:color w:val="4D4D4F"/>
          <w:spacing w:val="-4"/>
          <w:sz w:val="20"/>
        </w:rPr>
        <w:t>state,</w:t>
      </w:r>
      <w:r>
        <w:rPr>
          <w:color w:val="4D4D4F"/>
          <w:spacing w:val="1"/>
          <w:sz w:val="20"/>
        </w:rPr>
        <w:t xml:space="preserve"> </w:t>
      </w:r>
      <w:r>
        <w:rPr>
          <w:color w:val="4D4D4F"/>
          <w:spacing w:val="-3"/>
          <w:sz w:val="20"/>
        </w:rPr>
        <w:t>and</w:t>
      </w:r>
      <w:r>
        <w:rPr>
          <w:color w:val="4D4D4F"/>
          <w:spacing w:val="1"/>
          <w:sz w:val="20"/>
        </w:rPr>
        <w:t xml:space="preserve"> </w:t>
      </w:r>
      <w:r>
        <w:rPr>
          <w:color w:val="4D4D4F"/>
          <w:spacing w:val="-5"/>
          <w:sz w:val="20"/>
        </w:rPr>
        <w:t>include</w:t>
      </w:r>
      <w:r>
        <w:rPr>
          <w:color w:val="4D4D4F"/>
          <w:spacing w:val="1"/>
          <w:sz w:val="20"/>
        </w:rPr>
        <w:t xml:space="preserve"> </w:t>
      </w:r>
      <w:r>
        <w:rPr>
          <w:color w:val="4D4D4F"/>
          <w:spacing w:val="-4"/>
          <w:sz w:val="20"/>
        </w:rPr>
        <w:t>‘time</w:t>
      </w:r>
      <w:r>
        <w:rPr>
          <w:color w:val="4D4D4F"/>
          <w:spacing w:val="1"/>
          <w:sz w:val="20"/>
        </w:rPr>
        <w:t xml:space="preserve"> </w:t>
      </w:r>
      <w:r>
        <w:rPr>
          <w:color w:val="4D4D4F"/>
          <w:spacing w:val="-5"/>
          <w:sz w:val="20"/>
        </w:rPr>
        <w:t>since</w:t>
      </w:r>
      <w:r>
        <w:rPr>
          <w:color w:val="4D4D4F"/>
          <w:spacing w:val="1"/>
          <w:sz w:val="20"/>
        </w:rPr>
        <w:t xml:space="preserve"> </w:t>
      </w:r>
      <w:r>
        <w:rPr>
          <w:color w:val="4D4D4F"/>
          <w:spacing w:val="-6"/>
          <w:sz w:val="20"/>
        </w:rPr>
        <w:t>acquisition’</w:t>
      </w:r>
      <w:r>
        <w:rPr>
          <w:color w:val="4D4D4F"/>
          <w:spacing w:val="1"/>
          <w:sz w:val="20"/>
        </w:rPr>
        <w:t xml:space="preserve"> </w:t>
      </w:r>
      <w:r>
        <w:rPr>
          <w:color w:val="4D4D4F"/>
          <w:spacing w:val="-3"/>
          <w:sz w:val="20"/>
        </w:rPr>
        <w:t>as</w:t>
      </w:r>
      <w:r>
        <w:rPr>
          <w:color w:val="4D4D4F"/>
          <w:spacing w:val="1"/>
          <w:sz w:val="20"/>
        </w:rPr>
        <w:t xml:space="preserve"> </w:t>
      </w:r>
      <w:r>
        <w:rPr>
          <w:color w:val="4D4D4F"/>
          <w:sz w:val="20"/>
        </w:rPr>
        <w:t xml:space="preserve">a </w:t>
      </w:r>
      <w:r>
        <w:rPr>
          <w:color w:val="4D4D4F"/>
          <w:spacing w:val="-5"/>
          <w:sz w:val="20"/>
        </w:rPr>
        <w:t>parameter</w:t>
      </w:r>
    </w:p>
    <w:p w14:paraId="6919EE7E" w14:textId="77777777" w:rsidR="00EF5B27" w:rsidRDefault="00000000">
      <w:pPr>
        <w:pStyle w:val="ListParagraph"/>
        <w:numPr>
          <w:ilvl w:val="0"/>
          <w:numId w:val="53"/>
        </w:numPr>
        <w:tabs>
          <w:tab w:val="left" w:pos="486"/>
        </w:tabs>
        <w:spacing w:before="116" w:line="254" w:lineRule="auto"/>
        <w:ind w:right="795" w:firstLine="0"/>
        <w:rPr>
          <w:sz w:val="20"/>
        </w:rPr>
      </w:pPr>
      <w:r>
        <w:rPr>
          <w:color w:val="4D4D4F"/>
          <w:sz w:val="20"/>
        </w:rPr>
        <w:t>enhances interpretation of results by adding an overall ’grassland quality’ metric to the KPI reporting suite,</w:t>
      </w:r>
      <w:r>
        <w:rPr>
          <w:color w:val="4D4D4F"/>
          <w:spacing w:val="25"/>
          <w:sz w:val="20"/>
        </w:rPr>
        <w:t xml:space="preserve"> </w:t>
      </w:r>
      <w:r>
        <w:rPr>
          <w:color w:val="4D4D4F"/>
          <w:sz w:val="20"/>
        </w:rPr>
        <w:t>and</w:t>
      </w:r>
    </w:p>
    <w:p w14:paraId="22DF3FC7" w14:textId="77777777" w:rsidR="00EF5B27" w:rsidRDefault="00000000">
      <w:pPr>
        <w:pStyle w:val="ListParagraph"/>
        <w:numPr>
          <w:ilvl w:val="0"/>
          <w:numId w:val="53"/>
        </w:numPr>
        <w:tabs>
          <w:tab w:val="left" w:pos="528"/>
        </w:tabs>
        <w:spacing w:before="116"/>
        <w:ind w:left="527" w:hanging="285"/>
        <w:rPr>
          <w:sz w:val="20"/>
        </w:rPr>
      </w:pPr>
      <w:r>
        <w:rPr>
          <w:color w:val="4D4D4F"/>
          <w:sz w:val="20"/>
        </w:rPr>
        <w:t>addresses</w:t>
      </w:r>
      <w:r>
        <w:rPr>
          <w:color w:val="4D4D4F"/>
          <w:spacing w:val="11"/>
          <w:sz w:val="20"/>
        </w:rPr>
        <w:t xml:space="preserve"> </w:t>
      </w:r>
      <w:r>
        <w:rPr>
          <w:color w:val="4D4D4F"/>
          <w:sz w:val="20"/>
        </w:rPr>
        <w:t>areas</w:t>
      </w:r>
      <w:r>
        <w:rPr>
          <w:color w:val="4D4D4F"/>
          <w:spacing w:val="11"/>
          <w:sz w:val="20"/>
        </w:rPr>
        <w:t xml:space="preserve"> </w:t>
      </w:r>
      <w:r>
        <w:rPr>
          <w:color w:val="4D4D4F"/>
          <w:sz w:val="20"/>
        </w:rPr>
        <w:t>where</w:t>
      </w:r>
      <w:r>
        <w:rPr>
          <w:color w:val="4D4D4F"/>
          <w:spacing w:val="11"/>
          <w:sz w:val="20"/>
        </w:rPr>
        <w:t xml:space="preserve"> </w:t>
      </w:r>
      <w:r>
        <w:rPr>
          <w:color w:val="4D4D4F"/>
          <w:sz w:val="20"/>
        </w:rPr>
        <w:t>measures</w:t>
      </w:r>
      <w:r>
        <w:rPr>
          <w:color w:val="4D4D4F"/>
          <w:spacing w:val="11"/>
          <w:sz w:val="20"/>
        </w:rPr>
        <w:t xml:space="preserve"> </w:t>
      </w:r>
      <w:r>
        <w:rPr>
          <w:color w:val="4D4D4F"/>
          <w:sz w:val="20"/>
        </w:rPr>
        <w:t>indicate</w:t>
      </w:r>
      <w:r>
        <w:rPr>
          <w:color w:val="4D4D4F"/>
          <w:spacing w:val="12"/>
          <w:sz w:val="20"/>
        </w:rPr>
        <w:t xml:space="preserve"> </w:t>
      </w:r>
      <w:r>
        <w:rPr>
          <w:color w:val="4D4D4F"/>
          <w:sz w:val="20"/>
        </w:rPr>
        <w:t>grassland</w:t>
      </w:r>
      <w:r>
        <w:rPr>
          <w:color w:val="4D4D4F"/>
          <w:spacing w:val="11"/>
          <w:sz w:val="20"/>
        </w:rPr>
        <w:t xml:space="preserve"> </w:t>
      </w:r>
      <w:r>
        <w:rPr>
          <w:color w:val="4D4D4F"/>
          <w:sz w:val="20"/>
        </w:rPr>
        <w:t>condition</w:t>
      </w:r>
      <w:r>
        <w:rPr>
          <w:color w:val="4D4D4F"/>
          <w:spacing w:val="11"/>
          <w:sz w:val="20"/>
        </w:rPr>
        <w:t xml:space="preserve"> </w:t>
      </w:r>
      <w:r>
        <w:rPr>
          <w:color w:val="4D4D4F"/>
          <w:sz w:val="20"/>
        </w:rPr>
        <w:t>is</w:t>
      </w:r>
      <w:r>
        <w:rPr>
          <w:color w:val="4D4D4F"/>
          <w:spacing w:val="11"/>
          <w:sz w:val="20"/>
        </w:rPr>
        <w:t xml:space="preserve"> </w:t>
      </w:r>
      <w:r>
        <w:rPr>
          <w:color w:val="4D4D4F"/>
          <w:sz w:val="20"/>
        </w:rPr>
        <w:t>deteriorating.</w:t>
      </w:r>
    </w:p>
    <w:p w14:paraId="699E6D43" w14:textId="77777777" w:rsidR="00EF5B27" w:rsidRDefault="00EF5B27">
      <w:pPr>
        <w:rPr>
          <w:sz w:val="20"/>
        </w:rPr>
        <w:sectPr w:rsidR="00EF5B27">
          <w:type w:val="continuous"/>
          <w:pgSz w:w="11910" w:h="16840"/>
          <w:pgMar w:top="1140" w:right="1020" w:bottom="280" w:left="1020" w:header="720" w:footer="720" w:gutter="0"/>
          <w:cols w:num="2" w:space="720" w:equalWidth="0">
            <w:col w:w="1720" w:space="775"/>
            <w:col w:w="7375"/>
          </w:cols>
        </w:sectPr>
      </w:pPr>
    </w:p>
    <w:p w14:paraId="7DD2977A" w14:textId="77777777" w:rsidR="00EF5B27" w:rsidRDefault="00000000">
      <w:pPr>
        <w:pStyle w:val="BodyText"/>
      </w:pPr>
      <w:r>
        <w:pict w14:anchorId="71A6FFFE">
          <v:group id="_x0000_s4073" style="position:absolute;margin-left:587.05pt;margin-top:183.4pt;width:8.25pt;height:153.1pt;z-index:251441664;mso-position-horizontal-relative:page;mso-position-vertical-relative:page" coordorigin="11741,3668" coordsize="165,3062">
            <v:shape id="_x0000_s4080" style="position:absolute;left:11741;top:3668;width:165;height:561" coordorigin="11741,3668" coordsize="165,561" path="m11906,3668r-165,l11741,4228r165,-18l11906,3668xe" fillcolor="#00aed9" stroked="f">
              <v:path arrowok="t"/>
            </v:shape>
            <v:shape id="_x0000_s4079" style="position:absolute;left:11741;top:4118;width:165;height:425" coordorigin="11741,4118" coordsize="165,425" path="m11906,4118r-165,14l11741,4531r165,12l11906,4118xe" fillcolor="#047ebc" stroked="f">
              <v:path arrowok="t"/>
            </v:shape>
            <v:shape id="_x0000_s4078" type="#_x0000_t75" style="position:absolute;left:11741;top:4355;width:165;height:587">
              <v:imagedata r:id="rId42" o:title=""/>
            </v:shape>
            <v:shape id="_x0000_s4077" style="position:absolute;left:11741;top:5343;width:165;height:536" coordorigin="11741,5343" coordsize="165,536" path="m11741,5343r,535l11906,5872r,-525l11741,5343xe" fillcolor="#f36a2e" stroked="f">
              <v:path arrowok="t"/>
            </v:shape>
            <v:shape id="_x0000_s4076" style="position:absolute;left:11741;top:4925;width:165;height:501" coordorigin="11741,4926" coordsize="165,501" path="m11741,4926r,500l11906,5426r,-485l11741,4926xe" fillcolor="#49783f" stroked="f">
              <v:path arrowok="t"/>
            </v:shape>
            <v:shape id="_x0000_s4075" style="position:absolute;left:11741;top:5781;width:165;height:268" coordorigin="11741,5782" coordsize="165,268" path="m11906,5782r-165,8l11741,6039r165,10l11906,5782xe" fillcolor="#f99f2a" stroked="f">
              <v:path arrowok="t"/>
            </v:shape>
            <v:shape id="_x0000_s4074" style="position:absolute;left:11741;top:6023;width:165;height:707" coordorigin="11741,6023" coordsize="165,707" path="m11741,6023r,706l11906,6729r,-690l11741,6023xe" fillcolor="#ef412c" stroked="f">
              <v:path arrowok="t"/>
            </v:shape>
            <w10:wrap anchorx="page" anchory="page"/>
          </v:group>
        </w:pict>
      </w:r>
    </w:p>
    <w:p w14:paraId="130A11FE" w14:textId="77777777" w:rsidR="00EF5B27" w:rsidRDefault="00EF5B27">
      <w:pPr>
        <w:pStyle w:val="BodyText"/>
        <w:spacing w:before="3"/>
        <w:rPr>
          <w:sz w:val="17"/>
        </w:rPr>
      </w:pPr>
    </w:p>
    <w:p w14:paraId="0460FBB1" w14:textId="77777777" w:rsidR="00EF5B27" w:rsidRDefault="00000000">
      <w:pPr>
        <w:pStyle w:val="BodyText"/>
        <w:spacing w:line="20" w:lineRule="exact"/>
        <w:ind w:left="126"/>
        <w:rPr>
          <w:sz w:val="2"/>
        </w:rPr>
      </w:pPr>
      <w:r>
        <w:rPr>
          <w:sz w:val="2"/>
        </w:rPr>
      </w:r>
      <w:r>
        <w:rPr>
          <w:sz w:val="2"/>
        </w:rPr>
        <w:pict w14:anchorId="59029A57">
          <v:group id="_x0000_s4070" style="width:481.15pt;height:.25pt;mso-position-horizontal-relative:char;mso-position-vertical-relative:line" coordsize="9623,5">
            <v:line id="_x0000_s4072" style="position:absolute" from="0,3" to="2494,3" strokeweight=".25pt"/>
            <v:line id="_x0000_s4071" style="position:absolute" from="2494,3" to="9622,3" strokeweight=".25pt"/>
            <w10:anchorlock/>
          </v:group>
        </w:pict>
      </w:r>
    </w:p>
    <w:p w14:paraId="17A4748B" w14:textId="77777777" w:rsidR="00EF5B27" w:rsidRDefault="00EF5B27">
      <w:pPr>
        <w:pStyle w:val="BodyText"/>
      </w:pPr>
    </w:p>
    <w:p w14:paraId="1B17B7AA" w14:textId="77777777" w:rsidR="00EF5B27" w:rsidRDefault="00EF5B27">
      <w:pPr>
        <w:pStyle w:val="BodyText"/>
      </w:pPr>
    </w:p>
    <w:p w14:paraId="77EDACF3" w14:textId="77777777" w:rsidR="00EF5B27" w:rsidRDefault="00EF5B27">
      <w:pPr>
        <w:pStyle w:val="BodyText"/>
      </w:pPr>
    </w:p>
    <w:p w14:paraId="7410EF51" w14:textId="77777777" w:rsidR="00EF5B27" w:rsidRDefault="00EF5B27">
      <w:pPr>
        <w:pStyle w:val="BodyText"/>
      </w:pPr>
    </w:p>
    <w:p w14:paraId="48B9FF2B" w14:textId="77777777" w:rsidR="00EF5B27" w:rsidRDefault="00EF5B27">
      <w:pPr>
        <w:pStyle w:val="BodyText"/>
      </w:pPr>
    </w:p>
    <w:p w14:paraId="227F017E" w14:textId="77777777" w:rsidR="00EF5B27" w:rsidRDefault="00EF5B27">
      <w:pPr>
        <w:pStyle w:val="BodyText"/>
      </w:pPr>
    </w:p>
    <w:p w14:paraId="7D6915B0" w14:textId="77777777" w:rsidR="00EF5B27" w:rsidRDefault="00EF5B27">
      <w:pPr>
        <w:pStyle w:val="BodyText"/>
      </w:pPr>
    </w:p>
    <w:p w14:paraId="4371F5C0" w14:textId="77777777" w:rsidR="00EF5B27" w:rsidRDefault="00EF5B27">
      <w:pPr>
        <w:pStyle w:val="BodyText"/>
      </w:pPr>
    </w:p>
    <w:p w14:paraId="05EDA77C" w14:textId="77777777" w:rsidR="00EF5B27" w:rsidRDefault="00EF5B27">
      <w:pPr>
        <w:pStyle w:val="BodyText"/>
      </w:pPr>
    </w:p>
    <w:p w14:paraId="093F06A2" w14:textId="77777777" w:rsidR="00EF5B27" w:rsidRDefault="00EF5B27">
      <w:pPr>
        <w:pStyle w:val="BodyText"/>
      </w:pPr>
    </w:p>
    <w:p w14:paraId="51EE2C5F" w14:textId="77777777" w:rsidR="00EF5B27" w:rsidRDefault="00EF5B27">
      <w:pPr>
        <w:pStyle w:val="BodyText"/>
      </w:pPr>
    </w:p>
    <w:p w14:paraId="39292934" w14:textId="77777777" w:rsidR="00EF5B27" w:rsidRDefault="00EF5B27">
      <w:pPr>
        <w:pStyle w:val="BodyText"/>
      </w:pPr>
    </w:p>
    <w:p w14:paraId="7B1E90EB" w14:textId="77777777" w:rsidR="00EF5B27" w:rsidRDefault="00EF5B27">
      <w:pPr>
        <w:pStyle w:val="BodyText"/>
      </w:pPr>
    </w:p>
    <w:p w14:paraId="5EAA9030" w14:textId="77777777" w:rsidR="00EF5B27" w:rsidRDefault="00EF5B27">
      <w:pPr>
        <w:pStyle w:val="BodyText"/>
      </w:pPr>
    </w:p>
    <w:p w14:paraId="506A755A" w14:textId="77777777" w:rsidR="00EF5B27" w:rsidRDefault="00EF5B27">
      <w:pPr>
        <w:pStyle w:val="BodyText"/>
      </w:pPr>
    </w:p>
    <w:p w14:paraId="1F24D776" w14:textId="77777777" w:rsidR="00EF5B27" w:rsidRDefault="00EF5B27">
      <w:pPr>
        <w:pStyle w:val="BodyText"/>
      </w:pPr>
    </w:p>
    <w:p w14:paraId="636A9492" w14:textId="77777777" w:rsidR="00EF5B27" w:rsidRDefault="00EF5B27">
      <w:pPr>
        <w:pStyle w:val="BodyText"/>
      </w:pPr>
    </w:p>
    <w:p w14:paraId="0AD2828E" w14:textId="77777777" w:rsidR="00EF5B27" w:rsidRDefault="00EF5B27">
      <w:pPr>
        <w:pStyle w:val="BodyText"/>
      </w:pPr>
    </w:p>
    <w:p w14:paraId="48E72913" w14:textId="77777777" w:rsidR="00EF5B27" w:rsidRDefault="00EF5B27">
      <w:pPr>
        <w:pStyle w:val="BodyText"/>
      </w:pPr>
    </w:p>
    <w:p w14:paraId="671F8D2D" w14:textId="77777777" w:rsidR="00EF5B27" w:rsidRDefault="00000000">
      <w:pPr>
        <w:pStyle w:val="BodyText"/>
        <w:spacing w:before="9"/>
        <w:rPr>
          <w:sz w:val="17"/>
        </w:rPr>
      </w:pPr>
      <w:r>
        <w:pict w14:anchorId="53E7EBD9">
          <v:line id="_x0000_s4069" style="position:absolute;z-index:251388416;mso-wrap-distance-left:0;mso-wrap-distance-right:0;mso-position-horizontal-relative:page" from="181.4pt,13.05pt" to="538.6pt,13.05pt" strokecolor="#4d4d4f" strokeweight=".5pt">
            <w10:wrap type="topAndBottom" anchorx="page"/>
          </v:line>
        </w:pict>
      </w:r>
    </w:p>
    <w:p w14:paraId="4077D7EE" w14:textId="77777777" w:rsidR="00EF5B27" w:rsidRDefault="00000000">
      <w:pPr>
        <w:pStyle w:val="ListParagraph"/>
        <w:numPr>
          <w:ilvl w:val="0"/>
          <w:numId w:val="65"/>
        </w:numPr>
        <w:tabs>
          <w:tab w:val="left" w:pos="2836"/>
        </w:tabs>
        <w:spacing w:before="83" w:line="143" w:lineRule="exact"/>
        <w:jc w:val="left"/>
        <w:rPr>
          <w:sz w:val="12"/>
        </w:rPr>
      </w:pPr>
      <w:r>
        <w:rPr>
          <w:color w:val="4D4D4F"/>
          <w:sz w:val="12"/>
        </w:rPr>
        <w:t xml:space="preserve">DELWP, internal document, provided </w:t>
      </w:r>
      <w:r>
        <w:rPr>
          <w:color w:val="4D4D4F"/>
          <w:spacing w:val="-3"/>
          <w:sz w:val="12"/>
        </w:rPr>
        <w:t xml:space="preserve">16  </w:t>
      </w:r>
      <w:r>
        <w:rPr>
          <w:color w:val="4D4D4F"/>
          <w:spacing w:val="2"/>
          <w:sz w:val="12"/>
        </w:rPr>
        <w:t xml:space="preserve">February </w:t>
      </w:r>
      <w:r>
        <w:rPr>
          <w:color w:val="4D4D4F"/>
          <w:spacing w:val="5"/>
          <w:sz w:val="12"/>
        </w:rPr>
        <w:t xml:space="preserve"> </w:t>
      </w:r>
      <w:r>
        <w:rPr>
          <w:color w:val="4D4D4F"/>
          <w:spacing w:val="2"/>
          <w:sz w:val="12"/>
        </w:rPr>
        <w:t>2022.</w:t>
      </w:r>
    </w:p>
    <w:p w14:paraId="50A3A478" w14:textId="77777777" w:rsidR="00EF5B27" w:rsidRDefault="00000000">
      <w:pPr>
        <w:pStyle w:val="ListParagraph"/>
        <w:numPr>
          <w:ilvl w:val="0"/>
          <w:numId w:val="65"/>
        </w:numPr>
        <w:tabs>
          <w:tab w:val="left" w:pos="2836"/>
        </w:tabs>
        <w:spacing w:line="143" w:lineRule="exact"/>
        <w:jc w:val="left"/>
        <w:rPr>
          <w:sz w:val="12"/>
        </w:rPr>
      </w:pPr>
      <w:r>
        <w:rPr>
          <w:color w:val="4D4D4F"/>
          <w:sz w:val="12"/>
        </w:rPr>
        <w:t xml:space="preserve">DELWP, internal document, provided </w:t>
      </w:r>
      <w:r>
        <w:rPr>
          <w:color w:val="4D4D4F"/>
          <w:spacing w:val="-3"/>
          <w:sz w:val="12"/>
        </w:rPr>
        <w:t xml:space="preserve">16  </w:t>
      </w:r>
      <w:r>
        <w:rPr>
          <w:color w:val="4D4D4F"/>
          <w:spacing w:val="2"/>
          <w:sz w:val="12"/>
        </w:rPr>
        <w:t xml:space="preserve">February </w:t>
      </w:r>
      <w:r>
        <w:rPr>
          <w:color w:val="4D4D4F"/>
          <w:spacing w:val="5"/>
          <w:sz w:val="12"/>
        </w:rPr>
        <w:t xml:space="preserve"> </w:t>
      </w:r>
      <w:r>
        <w:rPr>
          <w:color w:val="4D4D4F"/>
          <w:spacing w:val="2"/>
          <w:sz w:val="12"/>
        </w:rPr>
        <w:t>2022.</w:t>
      </w:r>
    </w:p>
    <w:p w14:paraId="30E975B9" w14:textId="77777777" w:rsidR="00EF5B27" w:rsidRDefault="00EF5B27">
      <w:pPr>
        <w:spacing w:line="143" w:lineRule="exact"/>
        <w:rPr>
          <w:sz w:val="12"/>
        </w:rPr>
        <w:sectPr w:rsidR="00EF5B27">
          <w:type w:val="continuous"/>
          <w:pgSz w:w="11910" w:h="16840"/>
          <w:pgMar w:top="1140" w:right="1020" w:bottom="280" w:left="1020" w:header="720" w:footer="720" w:gutter="0"/>
          <w:cols w:space="720"/>
        </w:sectPr>
      </w:pPr>
    </w:p>
    <w:p w14:paraId="075603CA" w14:textId="77777777" w:rsidR="00EF5B27" w:rsidRDefault="00EF5B27">
      <w:pPr>
        <w:pStyle w:val="BodyText"/>
      </w:pPr>
    </w:p>
    <w:p w14:paraId="09DC1E19" w14:textId="77777777" w:rsidR="00EF5B27" w:rsidRDefault="00EF5B27">
      <w:pPr>
        <w:pStyle w:val="BodyText"/>
      </w:pPr>
    </w:p>
    <w:p w14:paraId="5C7B6405" w14:textId="77777777" w:rsidR="00EF5B27" w:rsidRDefault="00EF5B27">
      <w:pPr>
        <w:pStyle w:val="BodyText"/>
      </w:pPr>
    </w:p>
    <w:p w14:paraId="04B903D7" w14:textId="77777777" w:rsidR="00EF5B27" w:rsidRDefault="00EF5B27">
      <w:pPr>
        <w:pStyle w:val="BodyText"/>
      </w:pPr>
    </w:p>
    <w:p w14:paraId="48D4F16C" w14:textId="77777777" w:rsidR="00EF5B27" w:rsidRDefault="00EF5B27">
      <w:pPr>
        <w:pStyle w:val="BodyText"/>
        <w:spacing w:before="5"/>
        <w:rPr>
          <w:sz w:val="16"/>
        </w:rPr>
      </w:pPr>
    </w:p>
    <w:p w14:paraId="2C3E9D6B" w14:textId="77777777" w:rsidR="00EF5B27" w:rsidRDefault="00000000">
      <w:pPr>
        <w:pStyle w:val="BodyText"/>
        <w:ind w:left="119" w:right="-15"/>
      </w:pPr>
      <w:bookmarkStart w:id="13" w:name="_bookmark12"/>
      <w:bookmarkEnd w:id="13"/>
      <w:r>
        <w:rPr>
          <w:noProof/>
        </w:rPr>
        <w:drawing>
          <wp:inline distT="0" distB="0" distL="0" distR="0" wp14:anchorId="034FC16C" wp14:editId="25BBFAB1">
            <wp:extent cx="1371600" cy="1371600"/>
            <wp:effectExtent l="0" t="0" r="0" b="0"/>
            <wp:docPr id="137"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4.jpeg"/>
                    <pic:cNvPicPr/>
                  </pic:nvPicPr>
                  <pic:blipFill>
                    <a:blip r:embed="rId90" cstate="print"/>
                    <a:stretch>
                      <a:fillRect/>
                    </a:stretch>
                  </pic:blipFill>
                  <pic:spPr>
                    <a:xfrm>
                      <a:off x="0" y="0"/>
                      <a:ext cx="1371600" cy="1371600"/>
                    </a:xfrm>
                    <a:prstGeom prst="rect">
                      <a:avLst/>
                    </a:prstGeom>
                  </pic:spPr>
                </pic:pic>
              </a:graphicData>
            </a:graphic>
          </wp:inline>
        </w:drawing>
      </w:r>
    </w:p>
    <w:p w14:paraId="7929DBE6" w14:textId="77777777" w:rsidR="00EF5B27" w:rsidRDefault="00000000">
      <w:pPr>
        <w:spacing w:before="75"/>
        <w:ind w:left="119"/>
        <w:rPr>
          <w:rFonts w:ascii="Century Gothic"/>
          <w:i/>
          <w:sz w:val="12"/>
        </w:rPr>
      </w:pPr>
      <w:r>
        <w:rPr>
          <w:rFonts w:ascii="Century Gothic"/>
          <w:i/>
          <w:color w:val="4D4D4F"/>
          <w:sz w:val="12"/>
        </w:rPr>
        <w:t>Grassy Eucalypt Woodland</w:t>
      </w:r>
    </w:p>
    <w:p w14:paraId="55E5F213" w14:textId="77777777" w:rsidR="00EF5B27" w:rsidRDefault="00000000">
      <w:pPr>
        <w:pStyle w:val="BodyText"/>
        <w:rPr>
          <w:rFonts w:ascii="Century Gothic"/>
          <w:i/>
          <w:sz w:val="36"/>
        </w:rPr>
      </w:pPr>
      <w:r>
        <w:br w:type="column"/>
      </w:r>
    </w:p>
    <w:p w14:paraId="7184B5EA" w14:textId="77777777" w:rsidR="00EF5B27" w:rsidRDefault="00EF5B27">
      <w:pPr>
        <w:pStyle w:val="BodyText"/>
        <w:rPr>
          <w:rFonts w:ascii="Century Gothic"/>
          <w:i/>
          <w:sz w:val="36"/>
        </w:rPr>
      </w:pPr>
    </w:p>
    <w:p w14:paraId="0B43CB3F" w14:textId="77777777" w:rsidR="00EF5B27" w:rsidRDefault="00000000">
      <w:pPr>
        <w:pStyle w:val="Heading3"/>
        <w:spacing w:before="245"/>
        <w:ind w:left="119"/>
      </w:pPr>
      <w:r>
        <w:rPr>
          <w:color w:val="F99F2A"/>
        </w:rPr>
        <w:t>MNES 2: Grassy Eucalypt Woodland</w:t>
      </w:r>
    </w:p>
    <w:p w14:paraId="42D8DF77" w14:textId="77777777" w:rsidR="00EF5B27" w:rsidRDefault="00EF5B27">
      <w:pPr>
        <w:pStyle w:val="BodyText"/>
        <w:spacing w:before="5"/>
        <w:rPr>
          <w:b/>
          <w:sz w:val="27"/>
        </w:rPr>
      </w:pPr>
    </w:p>
    <w:p w14:paraId="1501BF2F" w14:textId="77777777" w:rsidR="00EF5B27" w:rsidRDefault="00000000">
      <w:pPr>
        <w:pStyle w:val="Heading6"/>
        <w:ind w:left="119"/>
      </w:pPr>
      <w:r>
        <w:rPr>
          <w:color w:val="4D4D4F"/>
        </w:rPr>
        <w:t>Key insights and management implications for Grassy Eucalypt Woodland</w:t>
      </w:r>
    </w:p>
    <w:p w14:paraId="7F103793" w14:textId="77777777" w:rsidR="00EF5B27" w:rsidRDefault="00EF5B27">
      <w:pPr>
        <w:pStyle w:val="BodyText"/>
        <w:spacing w:before="11"/>
        <w:rPr>
          <w:b/>
          <w:sz w:val="19"/>
        </w:rPr>
      </w:pPr>
    </w:p>
    <w:p w14:paraId="2C3109E0" w14:textId="77777777" w:rsidR="00EF5B27" w:rsidRDefault="00000000">
      <w:pPr>
        <w:pStyle w:val="BodyText"/>
        <w:spacing w:line="254" w:lineRule="auto"/>
        <w:ind w:left="119" w:right="127"/>
      </w:pPr>
      <w:r>
        <w:rPr>
          <w:color w:val="4D4D4F"/>
        </w:rPr>
        <w:t xml:space="preserve">As </w:t>
      </w:r>
      <w:r>
        <w:rPr>
          <w:color w:val="4D4D4F"/>
          <w:spacing w:val="-4"/>
        </w:rPr>
        <w:t xml:space="preserve">2021 </w:t>
      </w:r>
      <w:r>
        <w:rPr>
          <w:color w:val="4D4D4F"/>
          <w:spacing w:val="-3"/>
        </w:rPr>
        <w:t xml:space="preserve">was the </w:t>
      </w:r>
      <w:r>
        <w:rPr>
          <w:color w:val="4D4D4F"/>
        </w:rPr>
        <w:t xml:space="preserve">first </w:t>
      </w:r>
      <w:r>
        <w:rPr>
          <w:color w:val="4D4D4F"/>
          <w:spacing w:val="-4"/>
        </w:rPr>
        <w:t xml:space="preserve">year under </w:t>
      </w:r>
      <w:r>
        <w:rPr>
          <w:color w:val="4D4D4F"/>
          <w:spacing w:val="-3"/>
        </w:rPr>
        <w:t xml:space="preserve">the MSA program </w:t>
      </w:r>
      <w:r>
        <w:rPr>
          <w:color w:val="4D4D4F"/>
          <w:spacing w:val="-4"/>
        </w:rPr>
        <w:t xml:space="preserve">that </w:t>
      </w:r>
      <w:r>
        <w:rPr>
          <w:color w:val="4D4D4F"/>
          <w:spacing w:val="-3"/>
        </w:rPr>
        <w:t xml:space="preserve">Grassy </w:t>
      </w:r>
      <w:r>
        <w:rPr>
          <w:color w:val="4D4D4F"/>
          <w:spacing w:val="-5"/>
        </w:rPr>
        <w:t xml:space="preserve">Eucalypt </w:t>
      </w:r>
      <w:r>
        <w:rPr>
          <w:color w:val="4D4D4F"/>
          <w:spacing w:val="-4"/>
        </w:rPr>
        <w:t xml:space="preserve">Woodland has </w:t>
      </w:r>
      <w:r>
        <w:rPr>
          <w:color w:val="4D4D4F"/>
          <w:spacing w:val="-3"/>
        </w:rPr>
        <w:t xml:space="preserve">been </w:t>
      </w:r>
      <w:r>
        <w:rPr>
          <w:color w:val="4D4D4F"/>
          <w:spacing w:val="-4"/>
        </w:rPr>
        <w:t xml:space="preserve">protected </w:t>
      </w:r>
      <w:r>
        <w:rPr>
          <w:color w:val="4D4D4F"/>
          <w:spacing w:val="-3"/>
        </w:rPr>
        <w:t xml:space="preserve">and was the </w:t>
      </w:r>
      <w:r>
        <w:rPr>
          <w:color w:val="4D4D4F"/>
        </w:rPr>
        <w:t xml:space="preserve">first </w:t>
      </w:r>
      <w:r>
        <w:rPr>
          <w:color w:val="4D4D4F"/>
          <w:spacing w:val="-4"/>
        </w:rPr>
        <w:t xml:space="preserve">year that </w:t>
      </w:r>
      <w:r>
        <w:rPr>
          <w:color w:val="4D4D4F"/>
          <w:spacing w:val="-5"/>
        </w:rPr>
        <w:t xml:space="preserve">this </w:t>
      </w:r>
      <w:r>
        <w:rPr>
          <w:color w:val="4D4D4F"/>
          <w:spacing w:val="-4"/>
        </w:rPr>
        <w:t xml:space="preserve">community </w:t>
      </w:r>
      <w:r>
        <w:rPr>
          <w:color w:val="4D4D4F"/>
          <w:spacing w:val="-3"/>
        </w:rPr>
        <w:t xml:space="preserve">was </w:t>
      </w:r>
      <w:r>
        <w:rPr>
          <w:color w:val="4D4D4F"/>
          <w:spacing w:val="-4"/>
        </w:rPr>
        <w:t xml:space="preserve">able </w:t>
      </w:r>
      <w:r>
        <w:rPr>
          <w:color w:val="4D4D4F"/>
          <w:spacing w:val="-3"/>
        </w:rPr>
        <w:t xml:space="preserve">to </w:t>
      </w:r>
      <w:r>
        <w:rPr>
          <w:color w:val="4D4D4F"/>
        </w:rPr>
        <w:t xml:space="preserve">be </w:t>
      </w:r>
      <w:r>
        <w:rPr>
          <w:color w:val="4D4D4F"/>
          <w:spacing w:val="-4"/>
        </w:rPr>
        <w:t xml:space="preserve">monitored, </w:t>
      </w:r>
      <w:r>
        <w:rPr>
          <w:color w:val="4D4D4F"/>
          <w:spacing w:val="-3"/>
        </w:rPr>
        <w:t xml:space="preserve">there </w:t>
      </w:r>
      <w:r>
        <w:rPr>
          <w:color w:val="4D4D4F"/>
          <w:spacing w:val="-5"/>
        </w:rPr>
        <w:t xml:space="preserve">is not </w:t>
      </w:r>
      <w:r>
        <w:rPr>
          <w:color w:val="4D4D4F"/>
        </w:rPr>
        <w:t xml:space="preserve">enough data to </w:t>
      </w:r>
      <w:r>
        <w:rPr>
          <w:color w:val="4D4D4F"/>
          <w:spacing w:val="-3"/>
        </w:rPr>
        <w:t xml:space="preserve">establish baseline </w:t>
      </w:r>
      <w:r>
        <w:rPr>
          <w:color w:val="4D4D4F"/>
        </w:rPr>
        <w:t xml:space="preserve">measures to report </w:t>
      </w:r>
      <w:r>
        <w:rPr>
          <w:color w:val="4D4D4F"/>
          <w:spacing w:val="-3"/>
        </w:rPr>
        <w:t xml:space="preserve">against </w:t>
      </w:r>
      <w:r>
        <w:rPr>
          <w:color w:val="4D4D4F"/>
        </w:rPr>
        <w:t xml:space="preserve">the </w:t>
      </w:r>
      <w:r>
        <w:rPr>
          <w:color w:val="4D4D4F"/>
          <w:spacing w:val="-3"/>
        </w:rPr>
        <w:t xml:space="preserve">associated </w:t>
      </w:r>
      <w:r>
        <w:rPr>
          <w:color w:val="4D4D4F"/>
        </w:rPr>
        <w:t>KPIs.</w:t>
      </w:r>
    </w:p>
    <w:p w14:paraId="7054996F" w14:textId="77777777" w:rsidR="00EF5B27" w:rsidRDefault="00EF5B27">
      <w:pPr>
        <w:spacing w:line="254" w:lineRule="auto"/>
        <w:sectPr w:rsidR="00EF5B27">
          <w:pgSz w:w="11910" w:h="16840"/>
          <w:pgMar w:top="1080" w:right="1020" w:bottom="860" w:left="1020" w:header="537" w:footer="678" w:gutter="0"/>
          <w:cols w:num="2" w:space="720" w:equalWidth="0">
            <w:col w:w="2309" w:space="180"/>
            <w:col w:w="7381"/>
          </w:cols>
        </w:sectPr>
      </w:pPr>
    </w:p>
    <w:p w14:paraId="788F26F7" w14:textId="77777777" w:rsidR="00EF5B27" w:rsidRDefault="00000000">
      <w:pPr>
        <w:pStyle w:val="BodyText"/>
      </w:pPr>
      <w:r>
        <w:pict w14:anchorId="378D2375">
          <v:group id="_x0000_s4061" style="position:absolute;margin-left:587.05pt;margin-top:183.4pt;width:8.25pt;height:153.1pt;z-index:251447808;mso-position-horizontal-relative:page;mso-position-vertical-relative:page" coordorigin="11741,3668" coordsize="165,3062">
            <v:shape id="_x0000_s4068" style="position:absolute;left:11741;top:3668;width:165;height:561" coordorigin="11741,3668" coordsize="165,561" path="m11906,3668r-165,l11741,4228r165,-18l11906,3668xe" fillcolor="#00aed9" stroked="f">
              <v:path arrowok="t"/>
            </v:shape>
            <v:shape id="_x0000_s4067" style="position:absolute;left:11741;top:4118;width:165;height:425" coordorigin="11741,4118" coordsize="165,425" path="m11906,4118r-165,14l11741,4531r165,12l11906,4118xe" fillcolor="#047ebc" stroked="f">
              <v:path arrowok="t"/>
            </v:shape>
            <v:shape id="_x0000_s4066" type="#_x0000_t75" style="position:absolute;left:11741;top:4355;width:165;height:587">
              <v:imagedata r:id="rId42" o:title=""/>
            </v:shape>
            <v:shape id="_x0000_s4065" style="position:absolute;left:11741;top:5343;width:165;height:536" coordorigin="11741,5343" coordsize="165,536" path="m11741,5343r,535l11906,5872r,-525l11741,5343xe" fillcolor="#f36a2e" stroked="f">
              <v:path arrowok="t"/>
            </v:shape>
            <v:shape id="_x0000_s4064" style="position:absolute;left:11741;top:4925;width:165;height:501" coordorigin="11741,4926" coordsize="165,501" path="m11741,4926r,500l11906,5426r,-485l11741,4926xe" fillcolor="#49783f" stroked="f">
              <v:path arrowok="t"/>
            </v:shape>
            <v:shape id="_x0000_s4063" style="position:absolute;left:11741;top:5781;width:165;height:268" coordorigin="11741,5782" coordsize="165,268" path="m11906,5782r-165,8l11741,6039r165,10l11906,5782xe" fillcolor="#f99f2a" stroked="f">
              <v:path arrowok="t"/>
            </v:shape>
            <v:shape id="_x0000_s4062" style="position:absolute;left:11741;top:6023;width:165;height:707" coordorigin="11741,6023" coordsize="165,707" path="m11741,6023r,706l11906,6729r,-690l11741,6023xe" fillcolor="#ef412c" stroked="f">
              <v:path arrowok="t"/>
            </v:shape>
            <w10:wrap anchorx="page" anchory="page"/>
          </v:group>
        </w:pict>
      </w:r>
    </w:p>
    <w:p w14:paraId="26D6C473" w14:textId="77777777" w:rsidR="00EF5B27" w:rsidRDefault="00EF5B27">
      <w:pPr>
        <w:pStyle w:val="BodyText"/>
        <w:spacing w:before="10" w:after="1"/>
        <w:rPr>
          <w:sz w:val="17"/>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42FEDE99" w14:textId="77777777">
        <w:trPr>
          <w:trHeight w:val="561"/>
        </w:trPr>
        <w:tc>
          <w:tcPr>
            <w:tcW w:w="2980" w:type="dxa"/>
            <w:shd w:val="clear" w:color="auto" w:fill="FECC91"/>
          </w:tcPr>
          <w:p w14:paraId="183B26DA" w14:textId="77777777" w:rsidR="00EF5B27" w:rsidRDefault="00000000">
            <w:pPr>
              <w:pStyle w:val="TableParagraph"/>
              <w:spacing w:before="91" w:line="244" w:lineRule="auto"/>
              <w:ind w:left="80" w:right="244"/>
              <w:rPr>
                <w:b/>
                <w:sz w:val="16"/>
              </w:rPr>
            </w:pPr>
            <w:r>
              <w:rPr>
                <w:b/>
                <w:sz w:val="16"/>
              </w:rPr>
              <w:t>KPI 1: Hectares making transition between states</w:t>
            </w:r>
          </w:p>
        </w:tc>
        <w:tc>
          <w:tcPr>
            <w:tcW w:w="1078" w:type="dxa"/>
            <w:shd w:val="clear" w:color="auto" w:fill="FECC91"/>
          </w:tcPr>
          <w:p w14:paraId="304E4014"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44FD12A9" w14:textId="77777777" w:rsidR="00EF5B27" w:rsidRDefault="00EF5B27">
            <w:pPr>
              <w:pStyle w:val="TableParagraph"/>
              <w:spacing w:before="7"/>
              <w:rPr>
                <w:sz w:val="15"/>
              </w:rPr>
            </w:pPr>
          </w:p>
          <w:p w14:paraId="3BC1BD9A"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12939F7B" w14:textId="77777777" w:rsidR="00EF5B27" w:rsidRDefault="00EF5B27">
            <w:pPr>
              <w:pStyle w:val="TableParagraph"/>
              <w:spacing w:before="7"/>
              <w:rPr>
                <w:sz w:val="15"/>
              </w:rPr>
            </w:pPr>
          </w:p>
          <w:p w14:paraId="4459DFB1"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46E75102"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331B8D0C"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68AC6AF2" w14:textId="77777777">
        <w:trPr>
          <w:trHeight w:val="448"/>
        </w:trPr>
        <w:tc>
          <w:tcPr>
            <w:tcW w:w="2980" w:type="dxa"/>
          </w:tcPr>
          <w:p w14:paraId="46AE7A3C" w14:textId="77777777" w:rsidR="00EF5B27" w:rsidRDefault="00EF5B27">
            <w:pPr>
              <w:pStyle w:val="TableParagraph"/>
              <w:spacing w:before="11"/>
              <w:rPr>
                <w:sz w:val="11"/>
              </w:rPr>
            </w:pPr>
          </w:p>
          <w:p w14:paraId="2E9423CB" w14:textId="77777777" w:rsidR="00EF5B27" w:rsidRDefault="00000000">
            <w:pPr>
              <w:pStyle w:val="TableParagraph"/>
              <w:ind w:left="80"/>
              <w:rPr>
                <w:sz w:val="14"/>
              </w:rPr>
            </w:pPr>
            <w:r>
              <w:rPr>
                <w:color w:val="4D4D4F"/>
                <w:w w:val="105"/>
                <w:sz w:val="14"/>
              </w:rPr>
              <w:t>Herb-rich grassland</w:t>
            </w:r>
          </w:p>
        </w:tc>
        <w:tc>
          <w:tcPr>
            <w:tcW w:w="1078" w:type="dxa"/>
          </w:tcPr>
          <w:p w14:paraId="042DEDFA" w14:textId="77777777" w:rsidR="00EF5B27" w:rsidRDefault="00EF5B27">
            <w:pPr>
              <w:pStyle w:val="TableParagraph"/>
              <w:spacing w:before="11"/>
              <w:rPr>
                <w:sz w:val="11"/>
              </w:rPr>
            </w:pPr>
          </w:p>
          <w:p w14:paraId="710F5161" w14:textId="77777777" w:rsidR="00EF5B27" w:rsidRDefault="00000000">
            <w:pPr>
              <w:pStyle w:val="TableParagraph"/>
              <w:ind w:left="142"/>
              <w:rPr>
                <w:sz w:val="14"/>
              </w:rPr>
            </w:pPr>
            <w:r>
              <w:rPr>
                <w:color w:val="4D4D4F"/>
                <w:w w:val="105"/>
                <w:sz w:val="14"/>
              </w:rPr>
              <w:t>Not assessed</w:t>
            </w:r>
          </w:p>
        </w:tc>
        <w:tc>
          <w:tcPr>
            <w:tcW w:w="2155" w:type="dxa"/>
          </w:tcPr>
          <w:p w14:paraId="73B1F3F7" w14:textId="77777777" w:rsidR="00EF5B27" w:rsidRDefault="00EF5B27">
            <w:pPr>
              <w:pStyle w:val="TableParagraph"/>
              <w:spacing w:before="11"/>
              <w:rPr>
                <w:sz w:val="11"/>
              </w:rPr>
            </w:pPr>
          </w:p>
          <w:p w14:paraId="0CE94325" w14:textId="77777777" w:rsidR="00EF5B27" w:rsidRDefault="00000000">
            <w:pPr>
              <w:pStyle w:val="TableParagraph"/>
              <w:ind w:left="143" w:right="142"/>
              <w:jc w:val="center"/>
              <w:rPr>
                <w:sz w:val="14"/>
              </w:rPr>
            </w:pPr>
            <w:r>
              <w:rPr>
                <w:color w:val="4D4D4F"/>
                <w:w w:val="105"/>
                <w:sz w:val="14"/>
              </w:rPr>
              <w:t>Assessed every 5 years</w:t>
            </w:r>
          </w:p>
        </w:tc>
        <w:tc>
          <w:tcPr>
            <w:tcW w:w="964" w:type="dxa"/>
          </w:tcPr>
          <w:p w14:paraId="6BC19205" w14:textId="77777777" w:rsidR="00EF5B27" w:rsidRDefault="00EF5B27">
            <w:pPr>
              <w:pStyle w:val="TableParagraph"/>
              <w:spacing w:before="4"/>
              <w:rPr>
                <w:sz w:val="7"/>
              </w:rPr>
            </w:pPr>
          </w:p>
          <w:p w14:paraId="7C0BB0C4" w14:textId="77777777" w:rsidR="00EF5B27" w:rsidRDefault="00000000">
            <w:pPr>
              <w:pStyle w:val="TableParagraph"/>
              <w:spacing w:line="187" w:lineRule="exact"/>
              <w:ind w:left="400"/>
              <w:rPr>
                <w:sz w:val="18"/>
              </w:rPr>
            </w:pPr>
            <w:r>
              <w:rPr>
                <w:noProof/>
                <w:position w:val="-3"/>
                <w:sz w:val="18"/>
              </w:rPr>
              <w:drawing>
                <wp:inline distT="0" distB="0" distL="0" distR="0" wp14:anchorId="3C96111A" wp14:editId="641AE4DD">
                  <wp:extent cx="100572" cy="119062"/>
                  <wp:effectExtent l="0" t="0" r="0" b="0"/>
                  <wp:docPr id="139"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65.png"/>
                          <pic:cNvPicPr/>
                        </pic:nvPicPr>
                        <pic:blipFill>
                          <a:blip r:embed="rId91" cstate="print"/>
                          <a:stretch>
                            <a:fillRect/>
                          </a:stretch>
                        </pic:blipFill>
                        <pic:spPr>
                          <a:xfrm>
                            <a:off x="0" y="0"/>
                            <a:ext cx="100572" cy="119062"/>
                          </a:xfrm>
                          <a:prstGeom prst="rect">
                            <a:avLst/>
                          </a:prstGeom>
                        </pic:spPr>
                      </pic:pic>
                    </a:graphicData>
                  </a:graphic>
                </wp:inline>
              </w:drawing>
            </w:r>
          </w:p>
          <w:p w14:paraId="67893F38" w14:textId="77777777" w:rsidR="00EF5B27" w:rsidRDefault="00EF5B27">
            <w:pPr>
              <w:pStyle w:val="TableParagraph"/>
              <w:spacing w:before="8"/>
              <w:rPr>
                <w:sz w:val="2"/>
              </w:rPr>
            </w:pPr>
          </w:p>
          <w:p w14:paraId="174B3677" w14:textId="77777777" w:rsidR="00EF5B27" w:rsidRDefault="00000000">
            <w:pPr>
              <w:pStyle w:val="TableParagraph"/>
              <w:spacing w:line="48" w:lineRule="exact"/>
              <w:ind w:left="448"/>
              <w:rPr>
                <w:sz w:val="4"/>
              </w:rPr>
            </w:pPr>
            <w:r>
              <w:rPr>
                <w:sz w:val="4"/>
              </w:rPr>
            </w:r>
            <w:r>
              <w:rPr>
                <w:sz w:val="4"/>
              </w:rPr>
              <w:pict w14:anchorId="61A60403">
                <v:group id="_x0000_s4059" style="width:2.45pt;height:2.45pt;mso-position-horizontal-relative:char;mso-position-vertical-relative:line" coordsize="49,49">
                  <v:shape id="_x0000_s4060" style="position:absolute;width:49;height:49" coordsize="49,49" path="m31,l18,,12,2,2,12,,17,,31r2,6l12,46r6,3l31,49r6,-3l46,37r3,-6l49,17,46,12,37,2,31,xe" fillcolor="#808285" stroked="f">
                    <v:path arrowok="t"/>
                  </v:shape>
                  <w10:wrap type="none"/>
                  <w10:anchorlock/>
                </v:group>
              </w:pict>
            </w:r>
          </w:p>
        </w:tc>
        <w:tc>
          <w:tcPr>
            <w:tcW w:w="964" w:type="dxa"/>
          </w:tcPr>
          <w:p w14:paraId="3B753505" w14:textId="77777777" w:rsidR="00EF5B27" w:rsidRDefault="00EF5B27">
            <w:pPr>
              <w:pStyle w:val="TableParagraph"/>
              <w:spacing w:before="11"/>
              <w:rPr>
                <w:sz w:val="11"/>
              </w:rPr>
            </w:pPr>
          </w:p>
          <w:p w14:paraId="1A7FC6BA" w14:textId="77777777" w:rsidR="00EF5B27" w:rsidRDefault="00000000">
            <w:pPr>
              <w:pStyle w:val="TableParagraph"/>
              <w:ind w:left="318" w:right="323"/>
              <w:jc w:val="center"/>
              <w:rPr>
                <w:sz w:val="14"/>
              </w:rPr>
            </w:pPr>
            <w:r>
              <w:rPr>
                <w:color w:val="4D4D4F"/>
                <w:w w:val="105"/>
                <w:sz w:val="14"/>
              </w:rPr>
              <w:t>N/A</w:t>
            </w:r>
          </w:p>
        </w:tc>
        <w:tc>
          <w:tcPr>
            <w:tcW w:w="1489" w:type="dxa"/>
          </w:tcPr>
          <w:p w14:paraId="32F7931B" w14:textId="77777777" w:rsidR="00EF5B27" w:rsidRDefault="00EF5B27">
            <w:pPr>
              <w:pStyle w:val="TableParagraph"/>
              <w:spacing w:before="11"/>
              <w:rPr>
                <w:sz w:val="11"/>
              </w:rPr>
            </w:pPr>
          </w:p>
          <w:p w14:paraId="5ED33BDD" w14:textId="77777777" w:rsidR="00EF5B27" w:rsidRDefault="00000000">
            <w:pPr>
              <w:pStyle w:val="TableParagraph"/>
              <w:ind w:left="451" w:right="457"/>
              <w:jc w:val="center"/>
              <w:rPr>
                <w:sz w:val="14"/>
              </w:rPr>
            </w:pPr>
            <w:r>
              <w:rPr>
                <w:color w:val="4D4D4F"/>
                <w:w w:val="105"/>
                <w:sz w:val="14"/>
              </w:rPr>
              <w:t>N/A</w:t>
            </w:r>
          </w:p>
        </w:tc>
      </w:tr>
      <w:tr w:rsidR="00EF5B27" w14:paraId="2A37CE80" w14:textId="77777777">
        <w:trPr>
          <w:trHeight w:val="448"/>
        </w:trPr>
        <w:tc>
          <w:tcPr>
            <w:tcW w:w="2980" w:type="dxa"/>
          </w:tcPr>
          <w:p w14:paraId="398FA1B4" w14:textId="77777777" w:rsidR="00EF5B27" w:rsidRDefault="00EF5B27">
            <w:pPr>
              <w:pStyle w:val="TableParagraph"/>
              <w:spacing w:before="11"/>
              <w:rPr>
                <w:sz w:val="11"/>
              </w:rPr>
            </w:pPr>
          </w:p>
          <w:p w14:paraId="563B3D6C" w14:textId="77777777" w:rsidR="00EF5B27" w:rsidRDefault="00000000">
            <w:pPr>
              <w:pStyle w:val="TableParagraph"/>
              <w:ind w:left="79"/>
              <w:rPr>
                <w:sz w:val="14"/>
              </w:rPr>
            </w:pPr>
            <w:r>
              <w:rPr>
                <w:rFonts w:ascii="Arial Narrow"/>
                <w:i/>
                <w:color w:val="4D4D4F"/>
                <w:w w:val="110"/>
                <w:sz w:val="14"/>
              </w:rPr>
              <w:t xml:space="preserve">Themeda </w:t>
            </w:r>
            <w:r>
              <w:rPr>
                <w:color w:val="4D4D4F"/>
                <w:w w:val="110"/>
                <w:sz w:val="14"/>
              </w:rPr>
              <w:t>grassland</w:t>
            </w:r>
          </w:p>
        </w:tc>
        <w:tc>
          <w:tcPr>
            <w:tcW w:w="1078" w:type="dxa"/>
          </w:tcPr>
          <w:p w14:paraId="39B03991" w14:textId="77777777" w:rsidR="00EF5B27" w:rsidRDefault="00EF5B27">
            <w:pPr>
              <w:pStyle w:val="TableParagraph"/>
              <w:spacing w:before="11"/>
              <w:rPr>
                <w:sz w:val="11"/>
              </w:rPr>
            </w:pPr>
          </w:p>
          <w:p w14:paraId="389D47A4" w14:textId="77777777" w:rsidR="00EF5B27" w:rsidRDefault="00000000">
            <w:pPr>
              <w:pStyle w:val="TableParagraph"/>
              <w:ind w:left="142"/>
              <w:rPr>
                <w:sz w:val="14"/>
              </w:rPr>
            </w:pPr>
            <w:r>
              <w:rPr>
                <w:color w:val="4D4D4F"/>
                <w:w w:val="105"/>
                <w:sz w:val="14"/>
              </w:rPr>
              <w:t>Not assessed</w:t>
            </w:r>
          </w:p>
        </w:tc>
        <w:tc>
          <w:tcPr>
            <w:tcW w:w="2155" w:type="dxa"/>
          </w:tcPr>
          <w:p w14:paraId="04D241DD" w14:textId="77777777" w:rsidR="00EF5B27" w:rsidRDefault="00EF5B27">
            <w:pPr>
              <w:pStyle w:val="TableParagraph"/>
              <w:spacing w:before="11"/>
              <w:rPr>
                <w:sz w:val="11"/>
              </w:rPr>
            </w:pPr>
          </w:p>
          <w:p w14:paraId="11356240" w14:textId="77777777" w:rsidR="00EF5B27" w:rsidRDefault="00000000">
            <w:pPr>
              <w:pStyle w:val="TableParagraph"/>
              <w:ind w:left="143" w:right="142"/>
              <w:jc w:val="center"/>
              <w:rPr>
                <w:sz w:val="14"/>
              </w:rPr>
            </w:pPr>
            <w:r>
              <w:rPr>
                <w:color w:val="4D4D4F"/>
                <w:w w:val="105"/>
                <w:sz w:val="14"/>
              </w:rPr>
              <w:t>Assessed every 5 years</w:t>
            </w:r>
          </w:p>
        </w:tc>
        <w:tc>
          <w:tcPr>
            <w:tcW w:w="964" w:type="dxa"/>
          </w:tcPr>
          <w:p w14:paraId="4806F61C" w14:textId="77777777" w:rsidR="00EF5B27" w:rsidRDefault="00EF5B27">
            <w:pPr>
              <w:pStyle w:val="TableParagraph"/>
              <w:spacing w:before="4"/>
              <w:rPr>
                <w:sz w:val="7"/>
              </w:rPr>
            </w:pPr>
          </w:p>
          <w:p w14:paraId="4E1C673D" w14:textId="77777777" w:rsidR="00EF5B27" w:rsidRDefault="00000000">
            <w:pPr>
              <w:pStyle w:val="TableParagraph"/>
              <w:spacing w:line="187" w:lineRule="exact"/>
              <w:ind w:left="400"/>
              <w:rPr>
                <w:sz w:val="18"/>
              </w:rPr>
            </w:pPr>
            <w:r>
              <w:rPr>
                <w:noProof/>
                <w:position w:val="-3"/>
                <w:sz w:val="18"/>
              </w:rPr>
              <w:drawing>
                <wp:inline distT="0" distB="0" distL="0" distR="0" wp14:anchorId="38F4DD1A" wp14:editId="24D30B82">
                  <wp:extent cx="100572" cy="119062"/>
                  <wp:effectExtent l="0" t="0" r="0" b="0"/>
                  <wp:docPr id="141"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66.png"/>
                          <pic:cNvPicPr/>
                        </pic:nvPicPr>
                        <pic:blipFill>
                          <a:blip r:embed="rId83" cstate="print"/>
                          <a:stretch>
                            <a:fillRect/>
                          </a:stretch>
                        </pic:blipFill>
                        <pic:spPr>
                          <a:xfrm>
                            <a:off x="0" y="0"/>
                            <a:ext cx="100572" cy="119062"/>
                          </a:xfrm>
                          <a:prstGeom prst="rect">
                            <a:avLst/>
                          </a:prstGeom>
                        </pic:spPr>
                      </pic:pic>
                    </a:graphicData>
                  </a:graphic>
                </wp:inline>
              </w:drawing>
            </w:r>
          </w:p>
          <w:p w14:paraId="32B16B8C" w14:textId="77777777" w:rsidR="00EF5B27" w:rsidRDefault="00EF5B27">
            <w:pPr>
              <w:pStyle w:val="TableParagraph"/>
              <w:spacing w:before="8"/>
              <w:rPr>
                <w:sz w:val="2"/>
              </w:rPr>
            </w:pPr>
          </w:p>
          <w:p w14:paraId="5B77B246" w14:textId="77777777" w:rsidR="00EF5B27" w:rsidRDefault="00000000">
            <w:pPr>
              <w:pStyle w:val="TableParagraph"/>
              <w:spacing w:line="48" w:lineRule="exact"/>
              <w:ind w:left="448"/>
              <w:rPr>
                <w:sz w:val="4"/>
              </w:rPr>
            </w:pPr>
            <w:r>
              <w:rPr>
                <w:sz w:val="4"/>
              </w:rPr>
            </w:r>
            <w:r>
              <w:rPr>
                <w:sz w:val="4"/>
              </w:rPr>
              <w:pict w14:anchorId="2DEEBC7D">
                <v:group id="_x0000_s4057" style="width:2.45pt;height:2.45pt;mso-position-horizontal-relative:char;mso-position-vertical-relative:line" coordsize="49,49">
                  <v:shape id="_x0000_s4058" style="position:absolute;width:49;height:49" coordsize="49,49" path="m31,l18,,12,2,2,12,,17,,31r2,6l12,46r6,3l31,49r6,-3l46,37r3,-6l49,17,46,12,37,2,31,xe" fillcolor="#808285" stroked="f">
                    <v:path arrowok="t"/>
                  </v:shape>
                  <w10:wrap type="none"/>
                  <w10:anchorlock/>
                </v:group>
              </w:pict>
            </w:r>
          </w:p>
        </w:tc>
        <w:tc>
          <w:tcPr>
            <w:tcW w:w="964" w:type="dxa"/>
          </w:tcPr>
          <w:p w14:paraId="19FF0E29" w14:textId="77777777" w:rsidR="00EF5B27" w:rsidRDefault="00EF5B27">
            <w:pPr>
              <w:pStyle w:val="TableParagraph"/>
              <w:spacing w:before="11"/>
              <w:rPr>
                <w:sz w:val="11"/>
              </w:rPr>
            </w:pPr>
          </w:p>
          <w:p w14:paraId="68CEEF7E" w14:textId="77777777" w:rsidR="00EF5B27" w:rsidRDefault="00000000">
            <w:pPr>
              <w:pStyle w:val="TableParagraph"/>
              <w:ind w:left="318" w:right="323"/>
              <w:jc w:val="center"/>
              <w:rPr>
                <w:sz w:val="14"/>
              </w:rPr>
            </w:pPr>
            <w:r>
              <w:rPr>
                <w:color w:val="4D4D4F"/>
                <w:w w:val="105"/>
                <w:sz w:val="14"/>
              </w:rPr>
              <w:t>N/A</w:t>
            </w:r>
          </w:p>
        </w:tc>
        <w:tc>
          <w:tcPr>
            <w:tcW w:w="1489" w:type="dxa"/>
          </w:tcPr>
          <w:p w14:paraId="65C6A23E" w14:textId="77777777" w:rsidR="00EF5B27" w:rsidRDefault="00EF5B27">
            <w:pPr>
              <w:pStyle w:val="TableParagraph"/>
              <w:spacing w:before="11"/>
              <w:rPr>
                <w:sz w:val="11"/>
              </w:rPr>
            </w:pPr>
          </w:p>
          <w:p w14:paraId="104B0CD4" w14:textId="77777777" w:rsidR="00EF5B27" w:rsidRDefault="00000000">
            <w:pPr>
              <w:pStyle w:val="TableParagraph"/>
              <w:ind w:left="451" w:right="457"/>
              <w:jc w:val="center"/>
              <w:rPr>
                <w:sz w:val="14"/>
              </w:rPr>
            </w:pPr>
            <w:r>
              <w:rPr>
                <w:color w:val="4D4D4F"/>
                <w:w w:val="105"/>
                <w:sz w:val="14"/>
              </w:rPr>
              <w:t>N/A</w:t>
            </w:r>
          </w:p>
        </w:tc>
      </w:tr>
      <w:tr w:rsidR="00EF5B27" w14:paraId="1785DECD" w14:textId="77777777">
        <w:trPr>
          <w:trHeight w:val="448"/>
        </w:trPr>
        <w:tc>
          <w:tcPr>
            <w:tcW w:w="2980" w:type="dxa"/>
          </w:tcPr>
          <w:p w14:paraId="39F9C1CB" w14:textId="77777777" w:rsidR="00EF5B27" w:rsidRDefault="00EF5B27">
            <w:pPr>
              <w:pStyle w:val="TableParagraph"/>
              <w:spacing w:before="11"/>
              <w:rPr>
                <w:sz w:val="11"/>
              </w:rPr>
            </w:pPr>
          </w:p>
          <w:p w14:paraId="3D8C528D" w14:textId="77777777" w:rsidR="00EF5B27" w:rsidRDefault="00000000">
            <w:pPr>
              <w:pStyle w:val="TableParagraph"/>
              <w:ind w:left="79"/>
              <w:rPr>
                <w:sz w:val="14"/>
              </w:rPr>
            </w:pPr>
            <w:r>
              <w:rPr>
                <w:color w:val="4D4D4F"/>
                <w:w w:val="105"/>
                <w:sz w:val="14"/>
              </w:rPr>
              <w:t>C3 grassland</w:t>
            </w:r>
          </w:p>
        </w:tc>
        <w:tc>
          <w:tcPr>
            <w:tcW w:w="1078" w:type="dxa"/>
          </w:tcPr>
          <w:p w14:paraId="4B47C1D7" w14:textId="77777777" w:rsidR="00EF5B27" w:rsidRDefault="00EF5B27">
            <w:pPr>
              <w:pStyle w:val="TableParagraph"/>
              <w:spacing w:before="11"/>
              <w:rPr>
                <w:sz w:val="11"/>
              </w:rPr>
            </w:pPr>
          </w:p>
          <w:p w14:paraId="1AE42E0C" w14:textId="77777777" w:rsidR="00EF5B27" w:rsidRDefault="00000000">
            <w:pPr>
              <w:pStyle w:val="TableParagraph"/>
              <w:ind w:left="142"/>
              <w:rPr>
                <w:sz w:val="14"/>
              </w:rPr>
            </w:pPr>
            <w:r>
              <w:rPr>
                <w:color w:val="4D4D4F"/>
                <w:w w:val="105"/>
                <w:sz w:val="14"/>
              </w:rPr>
              <w:t>Not assessed</w:t>
            </w:r>
          </w:p>
        </w:tc>
        <w:tc>
          <w:tcPr>
            <w:tcW w:w="2155" w:type="dxa"/>
          </w:tcPr>
          <w:p w14:paraId="3EC74D23" w14:textId="77777777" w:rsidR="00EF5B27" w:rsidRDefault="00EF5B27">
            <w:pPr>
              <w:pStyle w:val="TableParagraph"/>
              <w:spacing w:before="11"/>
              <w:rPr>
                <w:sz w:val="11"/>
              </w:rPr>
            </w:pPr>
          </w:p>
          <w:p w14:paraId="7EE71C31" w14:textId="77777777" w:rsidR="00EF5B27" w:rsidRDefault="00000000">
            <w:pPr>
              <w:pStyle w:val="TableParagraph"/>
              <w:ind w:left="143" w:right="142"/>
              <w:jc w:val="center"/>
              <w:rPr>
                <w:sz w:val="14"/>
              </w:rPr>
            </w:pPr>
            <w:r>
              <w:rPr>
                <w:color w:val="4D4D4F"/>
                <w:w w:val="105"/>
                <w:sz w:val="14"/>
              </w:rPr>
              <w:t>Assessed every 5 years</w:t>
            </w:r>
          </w:p>
        </w:tc>
        <w:tc>
          <w:tcPr>
            <w:tcW w:w="964" w:type="dxa"/>
          </w:tcPr>
          <w:p w14:paraId="033173E6" w14:textId="77777777" w:rsidR="00EF5B27" w:rsidRDefault="00EF5B27">
            <w:pPr>
              <w:pStyle w:val="TableParagraph"/>
              <w:spacing w:before="4"/>
              <w:rPr>
                <w:sz w:val="7"/>
              </w:rPr>
            </w:pPr>
          </w:p>
          <w:p w14:paraId="1B37E7D8" w14:textId="77777777" w:rsidR="00EF5B27" w:rsidRDefault="00000000">
            <w:pPr>
              <w:pStyle w:val="TableParagraph"/>
              <w:spacing w:line="187" w:lineRule="exact"/>
              <w:ind w:left="400"/>
              <w:rPr>
                <w:sz w:val="18"/>
              </w:rPr>
            </w:pPr>
            <w:r>
              <w:rPr>
                <w:noProof/>
                <w:position w:val="-3"/>
                <w:sz w:val="18"/>
              </w:rPr>
              <w:drawing>
                <wp:inline distT="0" distB="0" distL="0" distR="0" wp14:anchorId="3AC1E5BF" wp14:editId="3B979E2A">
                  <wp:extent cx="100572" cy="119062"/>
                  <wp:effectExtent l="0" t="0" r="0" b="0"/>
                  <wp:docPr id="143"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67.png"/>
                          <pic:cNvPicPr/>
                        </pic:nvPicPr>
                        <pic:blipFill>
                          <a:blip r:embed="rId92" cstate="print"/>
                          <a:stretch>
                            <a:fillRect/>
                          </a:stretch>
                        </pic:blipFill>
                        <pic:spPr>
                          <a:xfrm>
                            <a:off x="0" y="0"/>
                            <a:ext cx="100572" cy="119062"/>
                          </a:xfrm>
                          <a:prstGeom prst="rect">
                            <a:avLst/>
                          </a:prstGeom>
                        </pic:spPr>
                      </pic:pic>
                    </a:graphicData>
                  </a:graphic>
                </wp:inline>
              </w:drawing>
            </w:r>
          </w:p>
          <w:p w14:paraId="4AC6002B" w14:textId="77777777" w:rsidR="00EF5B27" w:rsidRDefault="00EF5B27">
            <w:pPr>
              <w:pStyle w:val="TableParagraph"/>
              <w:spacing w:before="8"/>
              <w:rPr>
                <w:sz w:val="2"/>
              </w:rPr>
            </w:pPr>
          </w:p>
          <w:p w14:paraId="29015308" w14:textId="77777777" w:rsidR="00EF5B27" w:rsidRDefault="00000000">
            <w:pPr>
              <w:pStyle w:val="TableParagraph"/>
              <w:spacing w:line="48" w:lineRule="exact"/>
              <w:ind w:left="448"/>
              <w:rPr>
                <w:sz w:val="4"/>
              </w:rPr>
            </w:pPr>
            <w:r>
              <w:rPr>
                <w:sz w:val="4"/>
              </w:rPr>
            </w:r>
            <w:r>
              <w:rPr>
                <w:sz w:val="4"/>
              </w:rPr>
              <w:pict w14:anchorId="61936E04">
                <v:group id="_x0000_s4055" style="width:2.45pt;height:2.45pt;mso-position-horizontal-relative:char;mso-position-vertical-relative:line" coordsize="49,49">
                  <v:shape id="_x0000_s4056" style="position:absolute;width:49;height:49" coordsize="49,49" path="m31,l18,,12,2,2,12,,17,,31r2,6l12,46r6,3l31,49r6,-3l46,37r3,-6l49,17,46,12,37,2,31,xe" fillcolor="#808285" stroked="f">
                    <v:path arrowok="t"/>
                  </v:shape>
                  <w10:wrap type="none"/>
                  <w10:anchorlock/>
                </v:group>
              </w:pict>
            </w:r>
          </w:p>
        </w:tc>
        <w:tc>
          <w:tcPr>
            <w:tcW w:w="964" w:type="dxa"/>
          </w:tcPr>
          <w:p w14:paraId="32DB127A" w14:textId="77777777" w:rsidR="00EF5B27" w:rsidRDefault="00EF5B27">
            <w:pPr>
              <w:pStyle w:val="TableParagraph"/>
              <w:spacing w:before="11"/>
              <w:rPr>
                <w:sz w:val="11"/>
              </w:rPr>
            </w:pPr>
          </w:p>
          <w:p w14:paraId="1960B17B" w14:textId="77777777" w:rsidR="00EF5B27" w:rsidRDefault="00000000">
            <w:pPr>
              <w:pStyle w:val="TableParagraph"/>
              <w:ind w:left="318" w:right="323"/>
              <w:jc w:val="center"/>
              <w:rPr>
                <w:sz w:val="14"/>
              </w:rPr>
            </w:pPr>
            <w:r>
              <w:rPr>
                <w:color w:val="4D4D4F"/>
                <w:w w:val="105"/>
                <w:sz w:val="14"/>
              </w:rPr>
              <w:t>N/A</w:t>
            </w:r>
          </w:p>
        </w:tc>
        <w:tc>
          <w:tcPr>
            <w:tcW w:w="1489" w:type="dxa"/>
          </w:tcPr>
          <w:p w14:paraId="2D858963" w14:textId="77777777" w:rsidR="00EF5B27" w:rsidRDefault="00EF5B27">
            <w:pPr>
              <w:pStyle w:val="TableParagraph"/>
              <w:spacing w:before="11"/>
              <w:rPr>
                <w:sz w:val="11"/>
              </w:rPr>
            </w:pPr>
          </w:p>
          <w:p w14:paraId="76F45C4D" w14:textId="77777777" w:rsidR="00EF5B27" w:rsidRDefault="00000000">
            <w:pPr>
              <w:pStyle w:val="TableParagraph"/>
              <w:ind w:left="451" w:right="457"/>
              <w:jc w:val="center"/>
              <w:rPr>
                <w:sz w:val="14"/>
              </w:rPr>
            </w:pPr>
            <w:r>
              <w:rPr>
                <w:color w:val="4D4D4F"/>
                <w:w w:val="105"/>
                <w:sz w:val="14"/>
              </w:rPr>
              <w:t>N/A</w:t>
            </w:r>
          </w:p>
        </w:tc>
      </w:tr>
      <w:tr w:rsidR="00EF5B27" w14:paraId="142CD25A" w14:textId="77777777">
        <w:trPr>
          <w:trHeight w:val="448"/>
        </w:trPr>
        <w:tc>
          <w:tcPr>
            <w:tcW w:w="2980" w:type="dxa"/>
          </w:tcPr>
          <w:p w14:paraId="05C11673" w14:textId="77777777" w:rsidR="00EF5B27" w:rsidRDefault="00EF5B27">
            <w:pPr>
              <w:pStyle w:val="TableParagraph"/>
              <w:spacing w:before="11"/>
              <w:rPr>
                <w:sz w:val="11"/>
              </w:rPr>
            </w:pPr>
          </w:p>
          <w:p w14:paraId="5B86E130" w14:textId="77777777" w:rsidR="00EF5B27" w:rsidRDefault="00000000">
            <w:pPr>
              <w:pStyle w:val="TableParagraph"/>
              <w:ind w:left="79"/>
              <w:rPr>
                <w:sz w:val="14"/>
              </w:rPr>
            </w:pPr>
            <w:r>
              <w:rPr>
                <w:color w:val="4D4D4F"/>
                <w:w w:val="105"/>
                <w:sz w:val="14"/>
              </w:rPr>
              <w:t>Nutrient-enriched grassland</w:t>
            </w:r>
          </w:p>
        </w:tc>
        <w:tc>
          <w:tcPr>
            <w:tcW w:w="1078" w:type="dxa"/>
          </w:tcPr>
          <w:p w14:paraId="6079DD1B" w14:textId="77777777" w:rsidR="00EF5B27" w:rsidRDefault="00EF5B27">
            <w:pPr>
              <w:pStyle w:val="TableParagraph"/>
              <w:spacing w:before="11"/>
              <w:rPr>
                <w:sz w:val="11"/>
              </w:rPr>
            </w:pPr>
          </w:p>
          <w:p w14:paraId="3E243983" w14:textId="77777777" w:rsidR="00EF5B27" w:rsidRDefault="00000000">
            <w:pPr>
              <w:pStyle w:val="TableParagraph"/>
              <w:ind w:left="142"/>
              <w:rPr>
                <w:sz w:val="14"/>
              </w:rPr>
            </w:pPr>
            <w:r>
              <w:rPr>
                <w:color w:val="4D4D4F"/>
                <w:w w:val="105"/>
                <w:sz w:val="14"/>
              </w:rPr>
              <w:t>Not assessed</w:t>
            </w:r>
          </w:p>
        </w:tc>
        <w:tc>
          <w:tcPr>
            <w:tcW w:w="2155" w:type="dxa"/>
          </w:tcPr>
          <w:p w14:paraId="0EBF353A" w14:textId="77777777" w:rsidR="00EF5B27" w:rsidRDefault="00EF5B27">
            <w:pPr>
              <w:pStyle w:val="TableParagraph"/>
              <w:spacing w:before="11"/>
              <w:rPr>
                <w:sz w:val="11"/>
              </w:rPr>
            </w:pPr>
          </w:p>
          <w:p w14:paraId="5869B55B" w14:textId="77777777" w:rsidR="00EF5B27" w:rsidRDefault="00000000">
            <w:pPr>
              <w:pStyle w:val="TableParagraph"/>
              <w:ind w:left="143" w:right="142"/>
              <w:jc w:val="center"/>
              <w:rPr>
                <w:sz w:val="14"/>
              </w:rPr>
            </w:pPr>
            <w:r>
              <w:rPr>
                <w:color w:val="4D4D4F"/>
                <w:w w:val="105"/>
                <w:sz w:val="14"/>
              </w:rPr>
              <w:t>Assessed every 5 years</w:t>
            </w:r>
          </w:p>
        </w:tc>
        <w:tc>
          <w:tcPr>
            <w:tcW w:w="964" w:type="dxa"/>
          </w:tcPr>
          <w:p w14:paraId="6A5F423E" w14:textId="77777777" w:rsidR="00EF5B27" w:rsidRDefault="00EF5B27">
            <w:pPr>
              <w:pStyle w:val="TableParagraph"/>
              <w:spacing w:before="5"/>
              <w:rPr>
                <w:sz w:val="7"/>
              </w:rPr>
            </w:pPr>
          </w:p>
          <w:p w14:paraId="637D2AB9" w14:textId="77777777" w:rsidR="00EF5B27" w:rsidRDefault="00000000">
            <w:pPr>
              <w:pStyle w:val="TableParagraph"/>
              <w:spacing w:line="187" w:lineRule="exact"/>
              <w:ind w:left="400"/>
              <w:rPr>
                <w:sz w:val="18"/>
              </w:rPr>
            </w:pPr>
            <w:r>
              <w:rPr>
                <w:noProof/>
                <w:position w:val="-3"/>
                <w:sz w:val="18"/>
              </w:rPr>
              <w:drawing>
                <wp:inline distT="0" distB="0" distL="0" distR="0" wp14:anchorId="6FF06E16" wp14:editId="75BC2BA3">
                  <wp:extent cx="100572" cy="119062"/>
                  <wp:effectExtent l="0" t="0" r="0" b="0"/>
                  <wp:docPr id="145"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68.png"/>
                          <pic:cNvPicPr/>
                        </pic:nvPicPr>
                        <pic:blipFill>
                          <a:blip r:embed="rId84" cstate="print"/>
                          <a:stretch>
                            <a:fillRect/>
                          </a:stretch>
                        </pic:blipFill>
                        <pic:spPr>
                          <a:xfrm>
                            <a:off x="0" y="0"/>
                            <a:ext cx="100572" cy="119062"/>
                          </a:xfrm>
                          <a:prstGeom prst="rect">
                            <a:avLst/>
                          </a:prstGeom>
                        </pic:spPr>
                      </pic:pic>
                    </a:graphicData>
                  </a:graphic>
                </wp:inline>
              </w:drawing>
            </w:r>
          </w:p>
          <w:p w14:paraId="53DCF21E" w14:textId="77777777" w:rsidR="00EF5B27" w:rsidRDefault="00EF5B27">
            <w:pPr>
              <w:pStyle w:val="TableParagraph"/>
              <w:spacing w:before="7"/>
              <w:rPr>
                <w:sz w:val="2"/>
              </w:rPr>
            </w:pPr>
          </w:p>
          <w:p w14:paraId="5E414CDA" w14:textId="77777777" w:rsidR="00EF5B27" w:rsidRDefault="00000000">
            <w:pPr>
              <w:pStyle w:val="TableParagraph"/>
              <w:spacing w:line="48" w:lineRule="exact"/>
              <w:ind w:left="448"/>
              <w:rPr>
                <w:sz w:val="4"/>
              </w:rPr>
            </w:pPr>
            <w:r>
              <w:rPr>
                <w:sz w:val="4"/>
              </w:rPr>
            </w:r>
            <w:r>
              <w:rPr>
                <w:sz w:val="4"/>
              </w:rPr>
              <w:pict w14:anchorId="780CAEDB">
                <v:group id="_x0000_s4053" style="width:2.45pt;height:2.45pt;mso-position-horizontal-relative:char;mso-position-vertical-relative:line" coordsize="49,49">
                  <v:shape id="_x0000_s4054" style="position:absolute;width:49;height:49" coordsize="49,49" path="m31,l18,,12,2,2,12,,17,,31r2,6l12,46r6,3l31,49r6,-3l46,37r3,-6l49,17,46,12,37,2,31,xe" fillcolor="#808285" stroked="f">
                    <v:path arrowok="t"/>
                  </v:shape>
                  <w10:wrap type="none"/>
                  <w10:anchorlock/>
                </v:group>
              </w:pict>
            </w:r>
          </w:p>
        </w:tc>
        <w:tc>
          <w:tcPr>
            <w:tcW w:w="964" w:type="dxa"/>
          </w:tcPr>
          <w:p w14:paraId="0A2E2CE0" w14:textId="77777777" w:rsidR="00EF5B27" w:rsidRDefault="00EF5B27">
            <w:pPr>
              <w:pStyle w:val="TableParagraph"/>
              <w:spacing w:before="11"/>
              <w:rPr>
                <w:sz w:val="11"/>
              </w:rPr>
            </w:pPr>
          </w:p>
          <w:p w14:paraId="287C5382" w14:textId="77777777" w:rsidR="00EF5B27" w:rsidRDefault="00000000">
            <w:pPr>
              <w:pStyle w:val="TableParagraph"/>
              <w:ind w:left="318" w:right="323"/>
              <w:jc w:val="center"/>
              <w:rPr>
                <w:sz w:val="14"/>
              </w:rPr>
            </w:pPr>
            <w:r>
              <w:rPr>
                <w:color w:val="4D4D4F"/>
                <w:w w:val="105"/>
                <w:sz w:val="14"/>
              </w:rPr>
              <w:t>N/A</w:t>
            </w:r>
          </w:p>
        </w:tc>
        <w:tc>
          <w:tcPr>
            <w:tcW w:w="1489" w:type="dxa"/>
          </w:tcPr>
          <w:p w14:paraId="449C7CAA" w14:textId="77777777" w:rsidR="00EF5B27" w:rsidRDefault="00EF5B27">
            <w:pPr>
              <w:pStyle w:val="TableParagraph"/>
              <w:spacing w:before="11"/>
              <w:rPr>
                <w:sz w:val="11"/>
              </w:rPr>
            </w:pPr>
          </w:p>
          <w:p w14:paraId="426768D0" w14:textId="77777777" w:rsidR="00EF5B27" w:rsidRDefault="00000000">
            <w:pPr>
              <w:pStyle w:val="TableParagraph"/>
              <w:ind w:left="451" w:right="457"/>
              <w:jc w:val="center"/>
              <w:rPr>
                <w:sz w:val="14"/>
              </w:rPr>
            </w:pPr>
            <w:r>
              <w:rPr>
                <w:color w:val="4D4D4F"/>
                <w:w w:val="105"/>
                <w:sz w:val="14"/>
              </w:rPr>
              <w:t>N/A</w:t>
            </w:r>
          </w:p>
        </w:tc>
      </w:tr>
      <w:tr w:rsidR="00EF5B27" w14:paraId="1EE7B975" w14:textId="77777777">
        <w:trPr>
          <w:trHeight w:val="448"/>
        </w:trPr>
        <w:tc>
          <w:tcPr>
            <w:tcW w:w="2980" w:type="dxa"/>
          </w:tcPr>
          <w:p w14:paraId="168E718F" w14:textId="77777777" w:rsidR="00EF5B27" w:rsidRDefault="00EF5B27">
            <w:pPr>
              <w:pStyle w:val="TableParagraph"/>
              <w:spacing w:before="11"/>
              <w:rPr>
                <w:sz w:val="11"/>
              </w:rPr>
            </w:pPr>
          </w:p>
          <w:p w14:paraId="71A72A87" w14:textId="77777777" w:rsidR="00EF5B27" w:rsidRDefault="00000000">
            <w:pPr>
              <w:pStyle w:val="TableParagraph"/>
              <w:ind w:left="79"/>
              <w:rPr>
                <w:sz w:val="14"/>
              </w:rPr>
            </w:pPr>
            <w:r>
              <w:rPr>
                <w:color w:val="4D4D4F"/>
                <w:w w:val="105"/>
                <w:sz w:val="14"/>
              </w:rPr>
              <w:t>De-rocked grassland</w:t>
            </w:r>
          </w:p>
        </w:tc>
        <w:tc>
          <w:tcPr>
            <w:tcW w:w="1078" w:type="dxa"/>
          </w:tcPr>
          <w:p w14:paraId="351763FF" w14:textId="77777777" w:rsidR="00EF5B27" w:rsidRDefault="00EF5B27">
            <w:pPr>
              <w:pStyle w:val="TableParagraph"/>
              <w:spacing w:before="11"/>
              <w:rPr>
                <w:sz w:val="11"/>
              </w:rPr>
            </w:pPr>
          </w:p>
          <w:p w14:paraId="5D63F74A" w14:textId="77777777" w:rsidR="00EF5B27" w:rsidRDefault="00000000">
            <w:pPr>
              <w:pStyle w:val="TableParagraph"/>
              <w:ind w:left="142"/>
              <w:rPr>
                <w:sz w:val="14"/>
              </w:rPr>
            </w:pPr>
            <w:r>
              <w:rPr>
                <w:color w:val="4D4D4F"/>
                <w:w w:val="105"/>
                <w:sz w:val="14"/>
              </w:rPr>
              <w:t>Not assessed</w:t>
            </w:r>
          </w:p>
        </w:tc>
        <w:tc>
          <w:tcPr>
            <w:tcW w:w="2155" w:type="dxa"/>
          </w:tcPr>
          <w:p w14:paraId="5F12C0ED" w14:textId="77777777" w:rsidR="00EF5B27" w:rsidRDefault="00EF5B27">
            <w:pPr>
              <w:pStyle w:val="TableParagraph"/>
              <w:spacing w:before="11"/>
              <w:rPr>
                <w:sz w:val="11"/>
              </w:rPr>
            </w:pPr>
          </w:p>
          <w:p w14:paraId="6D802547" w14:textId="77777777" w:rsidR="00EF5B27" w:rsidRDefault="00000000">
            <w:pPr>
              <w:pStyle w:val="TableParagraph"/>
              <w:ind w:left="143" w:right="142"/>
              <w:jc w:val="center"/>
              <w:rPr>
                <w:sz w:val="14"/>
              </w:rPr>
            </w:pPr>
            <w:r>
              <w:rPr>
                <w:color w:val="4D4D4F"/>
                <w:w w:val="105"/>
                <w:sz w:val="14"/>
              </w:rPr>
              <w:t>Assessed every 5 years</w:t>
            </w:r>
          </w:p>
        </w:tc>
        <w:tc>
          <w:tcPr>
            <w:tcW w:w="964" w:type="dxa"/>
          </w:tcPr>
          <w:p w14:paraId="6823052F" w14:textId="77777777" w:rsidR="00EF5B27" w:rsidRDefault="00EF5B27">
            <w:pPr>
              <w:pStyle w:val="TableParagraph"/>
              <w:spacing w:before="4"/>
              <w:rPr>
                <w:sz w:val="7"/>
              </w:rPr>
            </w:pPr>
          </w:p>
          <w:p w14:paraId="228AC799" w14:textId="77777777" w:rsidR="00EF5B27" w:rsidRDefault="00000000">
            <w:pPr>
              <w:pStyle w:val="TableParagraph"/>
              <w:spacing w:line="187" w:lineRule="exact"/>
              <w:ind w:left="400"/>
              <w:rPr>
                <w:sz w:val="18"/>
              </w:rPr>
            </w:pPr>
            <w:r>
              <w:rPr>
                <w:noProof/>
                <w:position w:val="-3"/>
                <w:sz w:val="18"/>
              </w:rPr>
              <w:drawing>
                <wp:inline distT="0" distB="0" distL="0" distR="0" wp14:anchorId="199CFD33" wp14:editId="36AA47E6">
                  <wp:extent cx="100572" cy="119062"/>
                  <wp:effectExtent l="0" t="0" r="0" b="0"/>
                  <wp:docPr id="147"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69.png"/>
                          <pic:cNvPicPr/>
                        </pic:nvPicPr>
                        <pic:blipFill>
                          <a:blip r:embed="rId92" cstate="print"/>
                          <a:stretch>
                            <a:fillRect/>
                          </a:stretch>
                        </pic:blipFill>
                        <pic:spPr>
                          <a:xfrm>
                            <a:off x="0" y="0"/>
                            <a:ext cx="100572" cy="119062"/>
                          </a:xfrm>
                          <a:prstGeom prst="rect">
                            <a:avLst/>
                          </a:prstGeom>
                        </pic:spPr>
                      </pic:pic>
                    </a:graphicData>
                  </a:graphic>
                </wp:inline>
              </w:drawing>
            </w:r>
          </w:p>
          <w:p w14:paraId="41180529" w14:textId="77777777" w:rsidR="00EF5B27" w:rsidRDefault="00EF5B27">
            <w:pPr>
              <w:pStyle w:val="TableParagraph"/>
              <w:spacing w:before="8"/>
              <w:rPr>
                <w:sz w:val="2"/>
              </w:rPr>
            </w:pPr>
          </w:p>
          <w:p w14:paraId="518AC1CC" w14:textId="77777777" w:rsidR="00EF5B27" w:rsidRDefault="00000000">
            <w:pPr>
              <w:pStyle w:val="TableParagraph"/>
              <w:spacing w:line="48" w:lineRule="exact"/>
              <w:ind w:left="448"/>
              <w:rPr>
                <w:sz w:val="4"/>
              </w:rPr>
            </w:pPr>
            <w:r>
              <w:rPr>
                <w:sz w:val="4"/>
              </w:rPr>
            </w:r>
            <w:r>
              <w:rPr>
                <w:sz w:val="4"/>
              </w:rPr>
              <w:pict w14:anchorId="198C619A">
                <v:group id="_x0000_s4051" style="width:2.45pt;height:2.45pt;mso-position-horizontal-relative:char;mso-position-vertical-relative:line" coordsize="49,49">
                  <v:shape id="_x0000_s4052" style="position:absolute;width:49;height:49" coordsize="49,49" path="m31,l18,,12,2,2,12,,17,,31r2,6l12,46r6,3l31,49r6,-3l46,37r3,-6l49,17,46,12,37,2,31,xe" fillcolor="#808285" stroked="f">
                    <v:path arrowok="t"/>
                  </v:shape>
                  <w10:wrap type="none"/>
                  <w10:anchorlock/>
                </v:group>
              </w:pict>
            </w:r>
          </w:p>
        </w:tc>
        <w:tc>
          <w:tcPr>
            <w:tcW w:w="964" w:type="dxa"/>
          </w:tcPr>
          <w:p w14:paraId="53398906" w14:textId="77777777" w:rsidR="00EF5B27" w:rsidRDefault="00EF5B27">
            <w:pPr>
              <w:pStyle w:val="TableParagraph"/>
              <w:spacing w:before="11"/>
              <w:rPr>
                <w:sz w:val="11"/>
              </w:rPr>
            </w:pPr>
          </w:p>
          <w:p w14:paraId="614A83D1" w14:textId="77777777" w:rsidR="00EF5B27" w:rsidRDefault="00000000">
            <w:pPr>
              <w:pStyle w:val="TableParagraph"/>
              <w:ind w:left="318" w:right="323"/>
              <w:jc w:val="center"/>
              <w:rPr>
                <w:sz w:val="14"/>
              </w:rPr>
            </w:pPr>
            <w:r>
              <w:rPr>
                <w:color w:val="4D4D4F"/>
                <w:w w:val="105"/>
                <w:sz w:val="14"/>
              </w:rPr>
              <w:t>N/A</w:t>
            </w:r>
          </w:p>
        </w:tc>
        <w:tc>
          <w:tcPr>
            <w:tcW w:w="1489" w:type="dxa"/>
          </w:tcPr>
          <w:p w14:paraId="02AFE490" w14:textId="77777777" w:rsidR="00EF5B27" w:rsidRDefault="00EF5B27">
            <w:pPr>
              <w:pStyle w:val="TableParagraph"/>
              <w:spacing w:before="11"/>
              <w:rPr>
                <w:sz w:val="11"/>
              </w:rPr>
            </w:pPr>
          </w:p>
          <w:p w14:paraId="30E0108D" w14:textId="77777777" w:rsidR="00EF5B27" w:rsidRDefault="00000000">
            <w:pPr>
              <w:pStyle w:val="TableParagraph"/>
              <w:ind w:left="451" w:right="457"/>
              <w:jc w:val="center"/>
              <w:rPr>
                <w:sz w:val="14"/>
              </w:rPr>
            </w:pPr>
            <w:r>
              <w:rPr>
                <w:color w:val="4D4D4F"/>
                <w:w w:val="105"/>
                <w:sz w:val="14"/>
              </w:rPr>
              <w:t>N/A</w:t>
            </w:r>
          </w:p>
        </w:tc>
      </w:tr>
    </w:tbl>
    <w:p w14:paraId="3AC28BE1" w14:textId="77777777" w:rsidR="00EF5B27" w:rsidRDefault="00EF5B27">
      <w:pPr>
        <w:pStyle w:val="BodyText"/>
        <w:spacing w:before="1"/>
        <w:rPr>
          <w:sz w:val="26"/>
        </w:rPr>
      </w:pPr>
    </w:p>
    <w:p w14:paraId="547D106D" w14:textId="77777777" w:rsidR="00EF5B27" w:rsidRDefault="00000000">
      <w:pPr>
        <w:pStyle w:val="BodyText"/>
        <w:spacing w:before="100" w:line="254" w:lineRule="auto"/>
        <w:ind w:left="2608" w:right="126"/>
        <w:jc w:val="both"/>
      </w:pPr>
      <w:r>
        <w:rPr>
          <w:color w:val="4D4D4F"/>
        </w:rPr>
        <w:t>Comments: 2021 was the first year of data collection, at a single site. KPI 1 is assessed at five-yearly intervals, with the next assessment due in 2026. Status assessments are therefore not provided here, any trends are unclear and data confidence assessments are not</w:t>
      </w:r>
      <w:r>
        <w:rPr>
          <w:color w:val="4D4D4F"/>
          <w:spacing w:val="7"/>
        </w:rPr>
        <w:t xml:space="preserve"> </w:t>
      </w:r>
      <w:r>
        <w:rPr>
          <w:color w:val="4D4D4F"/>
        </w:rPr>
        <w:t>applicable.</w:t>
      </w:r>
    </w:p>
    <w:p w14:paraId="5CEC0FB2" w14:textId="77777777" w:rsidR="00EF5B27" w:rsidRDefault="00EF5B27">
      <w:pPr>
        <w:pStyle w:val="BodyText"/>
      </w:pPr>
    </w:p>
    <w:p w14:paraId="6723014B" w14:textId="77777777" w:rsidR="00EF5B27" w:rsidRDefault="00EF5B27">
      <w:pPr>
        <w:pStyle w:val="BodyText"/>
        <w:spacing w:before="10" w:after="1"/>
        <w:rPr>
          <w:sz w:val="11"/>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25455364" w14:textId="77777777">
        <w:trPr>
          <w:trHeight w:val="561"/>
        </w:trPr>
        <w:tc>
          <w:tcPr>
            <w:tcW w:w="2980" w:type="dxa"/>
            <w:shd w:val="clear" w:color="auto" w:fill="FECC91"/>
          </w:tcPr>
          <w:p w14:paraId="44F58E16" w14:textId="77777777" w:rsidR="00EF5B27" w:rsidRDefault="00EF5B27">
            <w:pPr>
              <w:pStyle w:val="TableParagraph"/>
              <w:spacing w:before="7"/>
              <w:rPr>
                <w:sz w:val="15"/>
              </w:rPr>
            </w:pPr>
          </w:p>
          <w:p w14:paraId="1B58B4CA" w14:textId="77777777" w:rsidR="00EF5B27" w:rsidRDefault="00000000">
            <w:pPr>
              <w:pStyle w:val="TableParagraph"/>
              <w:spacing w:before="1"/>
              <w:ind w:left="80"/>
              <w:rPr>
                <w:b/>
                <w:sz w:val="16"/>
              </w:rPr>
            </w:pPr>
            <w:r>
              <w:rPr>
                <w:b/>
                <w:sz w:val="16"/>
              </w:rPr>
              <w:t>KPI 2: Cover of native perennial forbs</w:t>
            </w:r>
          </w:p>
        </w:tc>
        <w:tc>
          <w:tcPr>
            <w:tcW w:w="1078" w:type="dxa"/>
            <w:shd w:val="clear" w:color="auto" w:fill="FECC91"/>
          </w:tcPr>
          <w:p w14:paraId="351C7835"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203C6664" w14:textId="77777777" w:rsidR="00EF5B27" w:rsidRDefault="00EF5B27">
            <w:pPr>
              <w:pStyle w:val="TableParagraph"/>
              <w:spacing w:before="7"/>
              <w:rPr>
                <w:sz w:val="15"/>
              </w:rPr>
            </w:pPr>
          </w:p>
          <w:p w14:paraId="4830DBB3"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156945E9" w14:textId="77777777" w:rsidR="00EF5B27" w:rsidRDefault="00EF5B27">
            <w:pPr>
              <w:pStyle w:val="TableParagraph"/>
              <w:spacing w:before="7"/>
              <w:rPr>
                <w:sz w:val="15"/>
              </w:rPr>
            </w:pPr>
          </w:p>
          <w:p w14:paraId="02ABB3FF"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1024E188"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71ECD21B"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74DBF7E9" w14:textId="77777777">
        <w:trPr>
          <w:trHeight w:val="448"/>
        </w:trPr>
        <w:tc>
          <w:tcPr>
            <w:tcW w:w="2980" w:type="dxa"/>
          </w:tcPr>
          <w:p w14:paraId="6F9CE749" w14:textId="77777777" w:rsidR="00EF5B27" w:rsidRDefault="00EF5B27">
            <w:pPr>
              <w:pStyle w:val="TableParagraph"/>
              <w:spacing w:before="11"/>
              <w:rPr>
                <w:sz w:val="11"/>
              </w:rPr>
            </w:pPr>
          </w:p>
          <w:p w14:paraId="7161D20E" w14:textId="77777777" w:rsidR="00EF5B27" w:rsidRDefault="00000000">
            <w:pPr>
              <w:pStyle w:val="TableParagraph"/>
              <w:ind w:left="80"/>
              <w:rPr>
                <w:sz w:val="14"/>
              </w:rPr>
            </w:pPr>
            <w:r>
              <w:rPr>
                <w:color w:val="4D4D4F"/>
                <w:w w:val="105"/>
                <w:sz w:val="14"/>
              </w:rPr>
              <w:t>Herb-rich grassland</w:t>
            </w:r>
          </w:p>
        </w:tc>
        <w:tc>
          <w:tcPr>
            <w:tcW w:w="1078" w:type="dxa"/>
          </w:tcPr>
          <w:p w14:paraId="50C44AB6" w14:textId="77777777" w:rsidR="00EF5B27" w:rsidRDefault="00EF5B27">
            <w:pPr>
              <w:pStyle w:val="TableParagraph"/>
              <w:spacing w:before="11"/>
              <w:rPr>
                <w:sz w:val="11"/>
              </w:rPr>
            </w:pPr>
          </w:p>
          <w:p w14:paraId="15730A0D" w14:textId="77777777" w:rsidR="00EF5B27" w:rsidRDefault="00000000">
            <w:pPr>
              <w:pStyle w:val="TableParagraph"/>
              <w:ind w:left="142"/>
              <w:rPr>
                <w:sz w:val="14"/>
              </w:rPr>
            </w:pPr>
            <w:r>
              <w:rPr>
                <w:color w:val="4D4D4F"/>
                <w:w w:val="105"/>
                <w:sz w:val="14"/>
              </w:rPr>
              <w:t>Not assessed</w:t>
            </w:r>
          </w:p>
        </w:tc>
        <w:tc>
          <w:tcPr>
            <w:tcW w:w="2155" w:type="dxa"/>
          </w:tcPr>
          <w:p w14:paraId="795557B5" w14:textId="77777777" w:rsidR="00EF5B27" w:rsidRDefault="00EF5B27">
            <w:pPr>
              <w:pStyle w:val="TableParagraph"/>
              <w:spacing w:before="11"/>
              <w:rPr>
                <w:sz w:val="11"/>
              </w:rPr>
            </w:pPr>
          </w:p>
          <w:p w14:paraId="5A12A36D" w14:textId="77777777" w:rsidR="00EF5B27" w:rsidRDefault="00000000">
            <w:pPr>
              <w:pStyle w:val="TableParagraph"/>
              <w:ind w:left="143" w:right="142"/>
              <w:jc w:val="center"/>
              <w:rPr>
                <w:sz w:val="14"/>
              </w:rPr>
            </w:pPr>
            <w:r>
              <w:rPr>
                <w:color w:val="4D4D4F"/>
                <w:sz w:val="14"/>
              </w:rPr>
              <w:t>Baseline not yet set</w:t>
            </w:r>
          </w:p>
        </w:tc>
        <w:tc>
          <w:tcPr>
            <w:tcW w:w="964" w:type="dxa"/>
          </w:tcPr>
          <w:p w14:paraId="1814835D" w14:textId="77777777" w:rsidR="00EF5B27" w:rsidRDefault="00EF5B27">
            <w:pPr>
              <w:pStyle w:val="TableParagraph"/>
              <w:spacing w:before="4"/>
              <w:rPr>
                <w:sz w:val="7"/>
              </w:rPr>
            </w:pPr>
          </w:p>
          <w:p w14:paraId="66003670" w14:textId="77777777" w:rsidR="00EF5B27" w:rsidRDefault="00000000">
            <w:pPr>
              <w:pStyle w:val="TableParagraph"/>
              <w:spacing w:line="187" w:lineRule="exact"/>
              <w:ind w:left="400"/>
              <w:rPr>
                <w:sz w:val="18"/>
              </w:rPr>
            </w:pPr>
            <w:r>
              <w:rPr>
                <w:noProof/>
                <w:position w:val="-3"/>
                <w:sz w:val="18"/>
              </w:rPr>
              <w:drawing>
                <wp:inline distT="0" distB="0" distL="0" distR="0" wp14:anchorId="39891B46" wp14:editId="5BE82D76">
                  <wp:extent cx="100572" cy="119062"/>
                  <wp:effectExtent l="0" t="0" r="0" b="0"/>
                  <wp:docPr id="149"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0.png"/>
                          <pic:cNvPicPr/>
                        </pic:nvPicPr>
                        <pic:blipFill>
                          <a:blip r:embed="rId84" cstate="print"/>
                          <a:stretch>
                            <a:fillRect/>
                          </a:stretch>
                        </pic:blipFill>
                        <pic:spPr>
                          <a:xfrm>
                            <a:off x="0" y="0"/>
                            <a:ext cx="100572" cy="119062"/>
                          </a:xfrm>
                          <a:prstGeom prst="rect">
                            <a:avLst/>
                          </a:prstGeom>
                        </pic:spPr>
                      </pic:pic>
                    </a:graphicData>
                  </a:graphic>
                </wp:inline>
              </w:drawing>
            </w:r>
          </w:p>
          <w:p w14:paraId="3135549C" w14:textId="77777777" w:rsidR="00EF5B27" w:rsidRDefault="00EF5B27">
            <w:pPr>
              <w:pStyle w:val="TableParagraph"/>
              <w:spacing w:before="8"/>
              <w:rPr>
                <w:sz w:val="2"/>
              </w:rPr>
            </w:pPr>
          </w:p>
          <w:p w14:paraId="65FBAA0E" w14:textId="77777777" w:rsidR="00EF5B27" w:rsidRDefault="00000000">
            <w:pPr>
              <w:pStyle w:val="TableParagraph"/>
              <w:spacing w:line="48" w:lineRule="exact"/>
              <w:ind w:left="448"/>
              <w:rPr>
                <w:sz w:val="4"/>
              </w:rPr>
            </w:pPr>
            <w:r>
              <w:rPr>
                <w:sz w:val="4"/>
              </w:rPr>
            </w:r>
            <w:r>
              <w:rPr>
                <w:sz w:val="4"/>
              </w:rPr>
              <w:pict w14:anchorId="243E3F8E">
                <v:group id="_x0000_s4049" style="width:2.45pt;height:2.45pt;mso-position-horizontal-relative:char;mso-position-vertical-relative:line" coordsize="49,49">
                  <v:shape id="_x0000_s4050" style="position:absolute;width:49;height:49" coordsize="49,49" path="m31,l18,,12,2,2,12,,17,,31r2,6l12,46r6,3l31,49r6,-3l46,37r3,-6l49,17,46,12,37,2,31,xe" fillcolor="#808285" stroked="f">
                    <v:path arrowok="t"/>
                  </v:shape>
                  <w10:wrap type="none"/>
                  <w10:anchorlock/>
                </v:group>
              </w:pict>
            </w:r>
          </w:p>
        </w:tc>
        <w:tc>
          <w:tcPr>
            <w:tcW w:w="964" w:type="dxa"/>
          </w:tcPr>
          <w:p w14:paraId="02B7BC92" w14:textId="77777777" w:rsidR="00EF5B27" w:rsidRDefault="00EF5B27">
            <w:pPr>
              <w:pStyle w:val="TableParagraph"/>
              <w:spacing w:before="11"/>
              <w:rPr>
                <w:sz w:val="11"/>
              </w:rPr>
            </w:pPr>
          </w:p>
          <w:p w14:paraId="5DC9EC94" w14:textId="77777777" w:rsidR="00EF5B27" w:rsidRDefault="00000000">
            <w:pPr>
              <w:pStyle w:val="TableParagraph"/>
              <w:ind w:left="318" w:right="323"/>
              <w:jc w:val="center"/>
              <w:rPr>
                <w:sz w:val="14"/>
              </w:rPr>
            </w:pPr>
            <w:r>
              <w:rPr>
                <w:color w:val="4D4D4F"/>
                <w:w w:val="105"/>
                <w:sz w:val="14"/>
              </w:rPr>
              <w:t>N/A</w:t>
            </w:r>
          </w:p>
        </w:tc>
        <w:tc>
          <w:tcPr>
            <w:tcW w:w="1489" w:type="dxa"/>
          </w:tcPr>
          <w:p w14:paraId="2685C4CF" w14:textId="77777777" w:rsidR="00EF5B27" w:rsidRDefault="00000000">
            <w:pPr>
              <w:pStyle w:val="TableParagraph"/>
              <w:spacing w:before="134"/>
              <w:ind w:left="581"/>
              <w:rPr>
                <w:sz w:val="16"/>
              </w:rPr>
            </w:pPr>
            <w:r>
              <w:rPr>
                <w:color w:val="4D4D4F"/>
                <w:sz w:val="16"/>
              </w:rPr>
              <w:t>2026</w:t>
            </w:r>
          </w:p>
        </w:tc>
      </w:tr>
      <w:tr w:rsidR="00EF5B27" w14:paraId="0DB1C531" w14:textId="77777777">
        <w:trPr>
          <w:trHeight w:val="448"/>
        </w:trPr>
        <w:tc>
          <w:tcPr>
            <w:tcW w:w="2980" w:type="dxa"/>
          </w:tcPr>
          <w:p w14:paraId="35C2A71F" w14:textId="77777777" w:rsidR="00EF5B27" w:rsidRDefault="00EF5B27">
            <w:pPr>
              <w:pStyle w:val="TableParagraph"/>
              <w:spacing w:before="11"/>
              <w:rPr>
                <w:sz w:val="11"/>
              </w:rPr>
            </w:pPr>
          </w:p>
          <w:p w14:paraId="0792254F" w14:textId="77777777" w:rsidR="00EF5B27" w:rsidRDefault="00000000">
            <w:pPr>
              <w:pStyle w:val="TableParagraph"/>
              <w:ind w:left="80"/>
              <w:rPr>
                <w:sz w:val="14"/>
              </w:rPr>
            </w:pPr>
            <w:r>
              <w:rPr>
                <w:rFonts w:ascii="Arial Narrow"/>
                <w:i/>
                <w:color w:val="4D4D4F"/>
                <w:w w:val="110"/>
                <w:sz w:val="14"/>
              </w:rPr>
              <w:t xml:space="preserve">Themeda </w:t>
            </w:r>
            <w:r>
              <w:rPr>
                <w:color w:val="4D4D4F"/>
                <w:w w:val="110"/>
                <w:sz w:val="14"/>
              </w:rPr>
              <w:t>grassland</w:t>
            </w:r>
          </w:p>
        </w:tc>
        <w:tc>
          <w:tcPr>
            <w:tcW w:w="1078" w:type="dxa"/>
          </w:tcPr>
          <w:p w14:paraId="0CAE0166" w14:textId="77777777" w:rsidR="00EF5B27" w:rsidRDefault="00EF5B27">
            <w:pPr>
              <w:pStyle w:val="TableParagraph"/>
              <w:spacing w:before="11"/>
              <w:rPr>
                <w:sz w:val="11"/>
              </w:rPr>
            </w:pPr>
          </w:p>
          <w:p w14:paraId="0A78544A" w14:textId="77777777" w:rsidR="00EF5B27" w:rsidRDefault="00000000">
            <w:pPr>
              <w:pStyle w:val="TableParagraph"/>
              <w:ind w:left="142"/>
              <w:rPr>
                <w:sz w:val="14"/>
              </w:rPr>
            </w:pPr>
            <w:r>
              <w:rPr>
                <w:color w:val="4D4D4F"/>
                <w:w w:val="105"/>
                <w:sz w:val="14"/>
              </w:rPr>
              <w:t>Not assessed</w:t>
            </w:r>
          </w:p>
        </w:tc>
        <w:tc>
          <w:tcPr>
            <w:tcW w:w="2155" w:type="dxa"/>
          </w:tcPr>
          <w:p w14:paraId="45465122" w14:textId="77777777" w:rsidR="00EF5B27" w:rsidRDefault="00EF5B27">
            <w:pPr>
              <w:pStyle w:val="TableParagraph"/>
              <w:spacing w:before="11"/>
              <w:rPr>
                <w:sz w:val="11"/>
              </w:rPr>
            </w:pPr>
          </w:p>
          <w:p w14:paraId="35A34C4F" w14:textId="77777777" w:rsidR="00EF5B27" w:rsidRDefault="00000000">
            <w:pPr>
              <w:pStyle w:val="TableParagraph"/>
              <w:ind w:left="143" w:right="142"/>
              <w:jc w:val="center"/>
              <w:rPr>
                <w:sz w:val="14"/>
              </w:rPr>
            </w:pPr>
            <w:r>
              <w:rPr>
                <w:color w:val="4D4D4F"/>
                <w:sz w:val="14"/>
              </w:rPr>
              <w:t>Baseline not yet set</w:t>
            </w:r>
          </w:p>
        </w:tc>
        <w:tc>
          <w:tcPr>
            <w:tcW w:w="964" w:type="dxa"/>
          </w:tcPr>
          <w:p w14:paraId="54B34D10" w14:textId="77777777" w:rsidR="00EF5B27" w:rsidRDefault="00EF5B27">
            <w:pPr>
              <w:pStyle w:val="TableParagraph"/>
              <w:spacing w:before="4"/>
              <w:rPr>
                <w:sz w:val="7"/>
              </w:rPr>
            </w:pPr>
          </w:p>
          <w:p w14:paraId="7DA03AE5" w14:textId="77777777" w:rsidR="00EF5B27" w:rsidRDefault="00000000">
            <w:pPr>
              <w:pStyle w:val="TableParagraph"/>
              <w:spacing w:line="187" w:lineRule="exact"/>
              <w:ind w:left="400"/>
              <w:rPr>
                <w:sz w:val="18"/>
              </w:rPr>
            </w:pPr>
            <w:r>
              <w:rPr>
                <w:noProof/>
                <w:position w:val="-3"/>
                <w:sz w:val="18"/>
              </w:rPr>
              <w:drawing>
                <wp:inline distT="0" distB="0" distL="0" distR="0" wp14:anchorId="0318F67E" wp14:editId="6FB4F352">
                  <wp:extent cx="100572" cy="119062"/>
                  <wp:effectExtent l="0" t="0" r="0" b="0"/>
                  <wp:docPr id="15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0.png"/>
                          <pic:cNvPicPr/>
                        </pic:nvPicPr>
                        <pic:blipFill>
                          <a:blip r:embed="rId84" cstate="print"/>
                          <a:stretch>
                            <a:fillRect/>
                          </a:stretch>
                        </pic:blipFill>
                        <pic:spPr>
                          <a:xfrm>
                            <a:off x="0" y="0"/>
                            <a:ext cx="100572" cy="119062"/>
                          </a:xfrm>
                          <a:prstGeom prst="rect">
                            <a:avLst/>
                          </a:prstGeom>
                        </pic:spPr>
                      </pic:pic>
                    </a:graphicData>
                  </a:graphic>
                </wp:inline>
              </w:drawing>
            </w:r>
          </w:p>
          <w:p w14:paraId="07006C77" w14:textId="77777777" w:rsidR="00EF5B27" w:rsidRDefault="00EF5B27">
            <w:pPr>
              <w:pStyle w:val="TableParagraph"/>
              <w:spacing w:before="8"/>
              <w:rPr>
                <w:sz w:val="2"/>
              </w:rPr>
            </w:pPr>
          </w:p>
          <w:p w14:paraId="364DBBB7" w14:textId="77777777" w:rsidR="00EF5B27" w:rsidRDefault="00000000">
            <w:pPr>
              <w:pStyle w:val="TableParagraph"/>
              <w:spacing w:line="48" w:lineRule="exact"/>
              <w:ind w:left="448"/>
              <w:rPr>
                <w:sz w:val="4"/>
              </w:rPr>
            </w:pPr>
            <w:r>
              <w:rPr>
                <w:sz w:val="4"/>
              </w:rPr>
            </w:r>
            <w:r>
              <w:rPr>
                <w:sz w:val="4"/>
              </w:rPr>
              <w:pict w14:anchorId="4D844B04">
                <v:group id="_x0000_s4047" style="width:2.45pt;height:2.45pt;mso-position-horizontal-relative:char;mso-position-vertical-relative:line" coordsize="49,49">
                  <v:shape id="_x0000_s4048" style="position:absolute;width:49;height:49" coordsize="49,49" path="m31,l18,,12,2,2,12,,17,,31r2,6l12,46r6,3l31,49r6,-3l46,37r3,-6l49,17,46,12,37,2,31,xe" fillcolor="#808285" stroked="f">
                    <v:path arrowok="t"/>
                  </v:shape>
                  <w10:wrap type="none"/>
                  <w10:anchorlock/>
                </v:group>
              </w:pict>
            </w:r>
          </w:p>
        </w:tc>
        <w:tc>
          <w:tcPr>
            <w:tcW w:w="964" w:type="dxa"/>
          </w:tcPr>
          <w:p w14:paraId="5F2734F1" w14:textId="77777777" w:rsidR="00EF5B27" w:rsidRDefault="00EF5B27">
            <w:pPr>
              <w:pStyle w:val="TableParagraph"/>
              <w:spacing w:before="11"/>
              <w:rPr>
                <w:sz w:val="11"/>
              </w:rPr>
            </w:pPr>
          </w:p>
          <w:p w14:paraId="7E26FD1B" w14:textId="77777777" w:rsidR="00EF5B27" w:rsidRDefault="00000000">
            <w:pPr>
              <w:pStyle w:val="TableParagraph"/>
              <w:ind w:left="318" w:right="323"/>
              <w:jc w:val="center"/>
              <w:rPr>
                <w:sz w:val="14"/>
              </w:rPr>
            </w:pPr>
            <w:r>
              <w:rPr>
                <w:color w:val="4D4D4F"/>
                <w:w w:val="105"/>
                <w:sz w:val="14"/>
              </w:rPr>
              <w:t>N/A</w:t>
            </w:r>
          </w:p>
        </w:tc>
        <w:tc>
          <w:tcPr>
            <w:tcW w:w="1489" w:type="dxa"/>
          </w:tcPr>
          <w:p w14:paraId="38C8E2CE" w14:textId="77777777" w:rsidR="00EF5B27" w:rsidRDefault="00000000">
            <w:pPr>
              <w:pStyle w:val="TableParagraph"/>
              <w:spacing w:before="134"/>
              <w:ind w:left="581"/>
              <w:rPr>
                <w:sz w:val="16"/>
              </w:rPr>
            </w:pPr>
            <w:r>
              <w:rPr>
                <w:color w:val="4D4D4F"/>
                <w:sz w:val="16"/>
              </w:rPr>
              <w:t>2026</w:t>
            </w:r>
          </w:p>
        </w:tc>
      </w:tr>
      <w:tr w:rsidR="00EF5B27" w14:paraId="3C1D80FA" w14:textId="77777777">
        <w:trPr>
          <w:trHeight w:val="448"/>
        </w:trPr>
        <w:tc>
          <w:tcPr>
            <w:tcW w:w="2980" w:type="dxa"/>
          </w:tcPr>
          <w:p w14:paraId="77E69FCC" w14:textId="77777777" w:rsidR="00EF5B27" w:rsidRDefault="00EF5B27">
            <w:pPr>
              <w:pStyle w:val="TableParagraph"/>
              <w:spacing w:before="11"/>
              <w:rPr>
                <w:sz w:val="11"/>
              </w:rPr>
            </w:pPr>
          </w:p>
          <w:p w14:paraId="658D3B62" w14:textId="77777777" w:rsidR="00EF5B27" w:rsidRDefault="00000000">
            <w:pPr>
              <w:pStyle w:val="TableParagraph"/>
              <w:ind w:left="80"/>
              <w:rPr>
                <w:sz w:val="14"/>
              </w:rPr>
            </w:pPr>
            <w:r>
              <w:rPr>
                <w:color w:val="4D4D4F"/>
                <w:w w:val="105"/>
                <w:sz w:val="14"/>
              </w:rPr>
              <w:t>C3 grassland</w:t>
            </w:r>
          </w:p>
        </w:tc>
        <w:tc>
          <w:tcPr>
            <w:tcW w:w="1078" w:type="dxa"/>
          </w:tcPr>
          <w:p w14:paraId="762C1C8E" w14:textId="77777777" w:rsidR="00EF5B27" w:rsidRDefault="00EF5B27">
            <w:pPr>
              <w:pStyle w:val="TableParagraph"/>
              <w:spacing w:before="11"/>
              <w:rPr>
                <w:sz w:val="11"/>
              </w:rPr>
            </w:pPr>
          </w:p>
          <w:p w14:paraId="15505A64" w14:textId="77777777" w:rsidR="00EF5B27" w:rsidRDefault="00000000">
            <w:pPr>
              <w:pStyle w:val="TableParagraph"/>
              <w:ind w:left="142"/>
              <w:rPr>
                <w:sz w:val="14"/>
              </w:rPr>
            </w:pPr>
            <w:r>
              <w:rPr>
                <w:color w:val="4D4D4F"/>
                <w:w w:val="105"/>
                <w:sz w:val="14"/>
              </w:rPr>
              <w:t>Not assessed</w:t>
            </w:r>
          </w:p>
        </w:tc>
        <w:tc>
          <w:tcPr>
            <w:tcW w:w="2155" w:type="dxa"/>
          </w:tcPr>
          <w:p w14:paraId="46A869E5" w14:textId="77777777" w:rsidR="00EF5B27" w:rsidRDefault="00EF5B27">
            <w:pPr>
              <w:pStyle w:val="TableParagraph"/>
              <w:spacing w:before="11"/>
              <w:rPr>
                <w:sz w:val="11"/>
              </w:rPr>
            </w:pPr>
          </w:p>
          <w:p w14:paraId="45F35F8A" w14:textId="77777777" w:rsidR="00EF5B27" w:rsidRDefault="00000000">
            <w:pPr>
              <w:pStyle w:val="TableParagraph"/>
              <w:ind w:left="143" w:right="142"/>
              <w:jc w:val="center"/>
              <w:rPr>
                <w:sz w:val="14"/>
              </w:rPr>
            </w:pPr>
            <w:r>
              <w:rPr>
                <w:color w:val="4D4D4F"/>
                <w:sz w:val="14"/>
              </w:rPr>
              <w:t>Baseline not yet set</w:t>
            </w:r>
          </w:p>
        </w:tc>
        <w:tc>
          <w:tcPr>
            <w:tcW w:w="964" w:type="dxa"/>
          </w:tcPr>
          <w:p w14:paraId="24A519CF" w14:textId="77777777" w:rsidR="00EF5B27" w:rsidRDefault="00EF5B27">
            <w:pPr>
              <w:pStyle w:val="TableParagraph"/>
              <w:spacing w:before="4"/>
              <w:rPr>
                <w:sz w:val="7"/>
              </w:rPr>
            </w:pPr>
          </w:p>
          <w:p w14:paraId="6CDBEA85" w14:textId="77777777" w:rsidR="00EF5B27" w:rsidRDefault="00000000">
            <w:pPr>
              <w:pStyle w:val="TableParagraph"/>
              <w:spacing w:line="187" w:lineRule="exact"/>
              <w:ind w:left="400"/>
              <w:rPr>
                <w:sz w:val="18"/>
              </w:rPr>
            </w:pPr>
            <w:r>
              <w:rPr>
                <w:noProof/>
                <w:position w:val="-3"/>
                <w:sz w:val="18"/>
              </w:rPr>
              <w:drawing>
                <wp:inline distT="0" distB="0" distL="0" distR="0" wp14:anchorId="673EC459" wp14:editId="6DFF79BF">
                  <wp:extent cx="100572" cy="119062"/>
                  <wp:effectExtent l="0" t="0" r="0" b="0"/>
                  <wp:docPr id="15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0.png"/>
                          <pic:cNvPicPr/>
                        </pic:nvPicPr>
                        <pic:blipFill>
                          <a:blip r:embed="rId84" cstate="print"/>
                          <a:stretch>
                            <a:fillRect/>
                          </a:stretch>
                        </pic:blipFill>
                        <pic:spPr>
                          <a:xfrm>
                            <a:off x="0" y="0"/>
                            <a:ext cx="100572" cy="119062"/>
                          </a:xfrm>
                          <a:prstGeom prst="rect">
                            <a:avLst/>
                          </a:prstGeom>
                        </pic:spPr>
                      </pic:pic>
                    </a:graphicData>
                  </a:graphic>
                </wp:inline>
              </w:drawing>
            </w:r>
          </w:p>
          <w:p w14:paraId="4BC0E5BB" w14:textId="77777777" w:rsidR="00EF5B27" w:rsidRDefault="00EF5B27">
            <w:pPr>
              <w:pStyle w:val="TableParagraph"/>
              <w:spacing w:before="8"/>
              <w:rPr>
                <w:sz w:val="2"/>
              </w:rPr>
            </w:pPr>
          </w:p>
          <w:p w14:paraId="423A02B0" w14:textId="77777777" w:rsidR="00EF5B27" w:rsidRDefault="00000000">
            <w:pPr>
              <w:pStyle w:val="TableParagraph"/>
              <w:spacing w:line="48" w:lineRule="exact"/>
              <w:ind w:left="448"/>
              <w:rPr>
                <w:sz w:val="4"/>
              </w:rPr>
            </w:pPr>
            <w:r>
              <w:rPr>
                <w:sz w:val="4"/>
              </w:rPr>
            </w:r>
            <w:r>
              <w:rPr>
                <w:sz w:val="4"/>
              </w:rPr>
              <w:pict w14:anchorId="6859D014">
                <v:group id="_x0000_s4045" style="width:2.45pt;height:2.45pt;mso-position-horizontal-relative:char;mso-position-vertical-relative:line" coordsize="49,49">
                  <v:shape id="_x0000_s4046" style="position:absolute;width:49;height:49" coordsize="49,49" path="m31,l18,,12,2,2,12,,17,,31r2,6l12,46r6,3l31,49r6,-3l46,37r3,-6l49,17,46,12,37,2,31,xe" fillcolor="#808285" stroked="f">
                    <v:path arrowok="t"/>
                  </v:shape>
                  <w10:wrap type="none"/>
                  <w10:anchorlock/>
                </v:group>
              </w:pict>
            </w:r>
          </w:p>
        </w:tc>
        <w:tc>
          <w:tcPr>
            <w:tcW w:w="964" w:type="dxa"/>
          </w:tcPr>
          <w:p w14:paraId="4685E5EA" w14:textId="77777777" w:rsidR="00EF5B27" w:rsidRDefault="00EF5B27">
            <w:pPr>
              <w:pStyle w:val="TableParagraph"/>
              <w:spacing w:before="11"/>
              <w:rPr>
                <w:sz w:val="11"/>
              </w:rPr>
            </w:pPr>
          </w:p>
          <w:p w14:paraId="19D222E5" w14:textId="77777777" w:rsidR="00EF5B27" w:rsidRDefault="00000000">
            <w:pPr>
              <w:pStyle w:val="TableParagraph"/>
              <w:ind w:left="318" w:right="323"/>
              <w:jc w:val="center"/>
              <w:rPr>
                <w:sz w:val="14"/>
              </w:rPr>
            </w:pPr>
            <w:r>
              <w:rPr>
                <w:color w:val="4D4D4F"/>
                <w:w w:val="105"/>
                <w:sz w:val="14"/>
              </w:rPr>
              <w:t>N/A</w:t>
            </w:r>
          </w:p>
        </w:tc>
        <w:tc>
          <w:tcPr>
            <w:tcW w:w="1489" w:type="dxa"/>
          </w:tcPr>
          <w:p w14:paraId="2D915959" w14:textId="77777777" w:rsidR="00EF5B27" w:rsidRDefault="00000000">
            <w:pPr>
              <w:pStyle w:val="TableParagraph"/>
              <w:spacing w:before="134"/>
              <w:ind w:left="581"/>
              <w:rPr>
                <w:sz w:val="16"/>
              </w:rPr>
            </w:pPr>
            <w:r>
              <w:rPr>
                <w:color w:val="4D4D4F"/>
                <w:sz w:val="16"/>
              </w:rPr>
              <w:t>2026</w:t>
            </w:r>
          </w:p>
        </w:tc>
      </w:tr>
      <w:tr w:rsidR="00EF5B27" w14:paraId="4E1B16CE" w14:textId="77777777">
        <w:trPr>
          <w:trHeight w:val="448"/>
        </w:trPr>
        <w:tc>
          <w:tcPr>
            <w:tcW w:w="2980" w:type="dxa"/>
          </w:tcPr>
          <w:p w14:paraId="52E9C1E6" w14:textId="77777777" w:rsidR="00EF5B27" w:rsidRDefault="00EF5B27">
            <w:pPr>
              <w:pStyle w:val="TableParagraph"/>
              <w:spacing w:before="11"/>
              <w:rPr>
                <w:sz w:val="11"/>
              </w:rPr>
            </w:pPr>
          </w:p>
          <w:p w14:paraId="6CC06E8B" w14:textId="77777777" w:rsidR="00EF5B27" w:rsidRDefault="00000000">
            <w:pPr>
              <w:pStyle w:val="TableParagraph"/>
              <w:ind w:left="80"/>
              <w:rPr>
                <w:sz w:val="14"/>
              </w:rPr>
            </w:pPr>
            <w:r>
              <w:rPr>
                <w:color w:val="4D4D4F"/>
                <w:w w:val="105"/>
                <w:sz w:val="14"/>
              </w:rPr>
              <w:t>Nutrient-enriched grassland</w:t>
            </w:r>
          </w:p>
        </w:tc>
        <w:tc>
          <w:tcPr>
            <w:tcW w:w="1078" w:type="dxa"/>
          </w:tcPr>
          <w:p w14:paraId="2D5DAA1B" w14:textId="77777777" w:rsidR="00EF5B27" w:rsidRDefault="00EF5B27">
            <w:pPr>
              <w:pStyle w:val="TableParagraph"/>
              <w:spacing w:before="11"/>
              <w:rPr>
                <w:sz w:val="11"/>
              </w:rPr>
            </w:pPr>
          </w:p>
          <w:p w14:paraId="7D539EF4" w14:textId="77777777" w:rsidR="00EF5B27" w:rsidRDefault="00000000">
            <w:pPr>
              <w:pStyle w:val="TableParagraph"/>
              <w:ind w:left="142"/>
              <w:rPr>
                <w:sz w:val="14"/>
              </w:rPr>
            </w:pPr>
            <w:r>
              <w:rPr>
                <w:color w:val="4D4D4F"/>
                <w:w w:val="105"/>
                <w:sz w:val="14"/>
              </w:rPr>
              <w:t>Not assessed</w:t>
            </w:r>
          </w:p>
        </w:tc>
        <w:tc>
          <w:tcPr>
            <w:tcW w:w="2155" w:type="dxa"/>
          </w:tcPr>
          <w:p w14:paraId="0C05EBFB" w14:textId="77777777" w:rsidR="00EF5B27" w:rsidRDefault="00EF5B27">
            <w:pPr>
              <w:pStyle w:val="TableParagraph"/>
              <w:spacing w:before="11"/>
              <w:rPr>
                <w:sz w:val="11"/>
              </w:rPr>
            </w:pPr>
          </w:p>
          <w:p w14:paraId="5A3AC10B" w14:textId="77777777" w:rsidR="00EF5B27" w:rsidRDefault="00000000">
            <w:pPr>
              <w:pStyle w:val="TableParagraph"/>
              <w:ind w:left="143" w:right="142"/>
              <w:jc w:val="center"/>
              <w:rPr>
                <w:sz w:val="14"/>
              </w:rPr>
            </w:pPr>
            <w:r>
              <w:rPr>
                <w:color w:val="4D4D4F"/>
                <w:sz w:val="14"/>
              </w:rPr>
              <w:t>Baseline not yet set</w:t>
            </w:r>
          </w:p>
        </w:tc>
        <w:tc>
          <w:tcPr>
            <w:tcW w:w="964" w:type="dxa"/>
          </w:tcPr>
          <w:p w14:paraId="1B0C9A11" w14:textId="77777777" w:rsidR="00EF5B27" w:rsidRDefault="00EF5B27">
            <w:pPr>
              <w:pStyle w:val="TableParagraph"/>
              <w:spacing w:before="5"/>
              <w:rPr>
                <w:sz w:val="7"/>
              </w:rPr>
            </w:pPr>
          </w:p>
          <w:p w14:paraId="4D7F3433" w14:textId="77777777" w:rsidR="00EF5B27" w:rsidRDefault="00000000">
            <w:pPr>
              <w:pStyle w:val="TableParagraph"/>
              <w:spacing w:line="187" w:lineRule="exact"/>
              <w:ind w:left="400"/>
              <w:rPr>
                <w:sz w:val="18"/>
              </w:rPr>
            </w:pPr>
            <w:r>
              <w:rPr>
                <w:noProof/>
                <w:position w:val="-3"/>
                <w:sz w:val="18"/>
              </w:rPr>
              <w:drawing>
                <wp:inline distT="0" distB="0" distL="0" distR="0" wp14:anchorId="58908AAC" wp14:editId="3C24C88B">
                  <wp:extent cx="100572" cy="119062"/>
                  <wp:effectExtent l="0" t="0" r="0" b="0"/>
                  <wp:docPr id="15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0.png"/>
                          <pic:cNvPicPr/>
                        </pic:nvPicPr>
                        <pic:blipFill>
                          <a:blip r:embed="rId84" cstate="print"/>
                          <a:stretch>
                            <a:fillRect/>
                          </a:stretch>
                        </pic:blipFill>
                        <pic:spPr>
                          <a:xfrm>
                            <a:off x="0" y="0"/>
                            <a:ext cx="100572" cy="119062"/>
                          </a:xfrm>
                          <a:prstGeom prst="rect">
                            <a:avLst/>
                          </a:prstGeom>
                        </pic:spPr>
                      </pic:pic>
                    </a:graphicData>
                  </a:graphic>
                </wp:inline>
              </w:drawing>
            </w:r>
          </w:p>
          <w:p w14:paraId="240260F2" w14:textId="77777777" w:rsidR="00EF5B27" w:rsidRDefault="00EF5B27">
            <w:pPr>
              <w:pStyle w:val="TableParagraph"/>
              <w:spacing w:before="7"/>
              <w:rPr>
                <w:sz w:val="2"/>
              </w:rPr>
            </w:pPr>
          </w:p>
          <w:p w14:paraId="0A4DE448" w14:textId="77777777" w:rsidR="00EF5B27" w:rsidRDefault="00000000">
            <w:pPr>
              <w:pStyle w:val="TableParagraph"/>
              <w:spacing w:line="48" w:lineRule="exact"/>
              <w:ind w:left="448"/>
              <w:rPr>
                <w:sz w:val="4"/>
              </w:rPr>
            </w:pPr>
            <w:r>
              <w:rPr>
                <w:sz w:val="4"/>
              </w:rPr>
            </w:r>
            <w:r>
              <w:rPr>
                <w:sz w:val="4"/>
              </w:rPr>
              <w:pict w14:anchorId="0DE9BBF8">
                <v:group id="_x0000_s4043" style="width:2.45pt;height:2.45pt;mso-position-horizontal-relative:char;mso-position-vertical-relative:line" coordsize="49,49">
                  <v:shape id="_x0000_s4044" style="position:absolute;width:49;height:49" coordsize="49,49" path="m31,l18,,12,2,2,12,,17,,31r2,6l12,46r6,3l31,49r6,-3l46,37r3,-6l49,17,46,12,37,2,31,xe" fillcolor="#808285" stroked="f">
                    <v:path arrowok="t"/>
                  </v:shape>
                  <w10:wrap type="none"/>
                  <w10:anchorlock/>
                </v:group>
              </w:pict>
            </w:r>
          </w:p>
        </w:tc>
        <w:tc>
          <w:tcPr>
            <w:tcW w:w="964" w:type="dxa"/>
          </w:tcPr>
          <w:p w14:paraId="693B52C1" w14:textId="77777777" w:rsidR="00EF5B27" w:rsidRDefault="00EF5B27">
            <w:pPr>
              <w:pStyle w:val="TableParagraph"/>
              <w:spacing w:before="11"/>
              <w:rPr>
                <w:sz w:val="11"/>
              </w:rPr>
            </w:pPr>
          </w:p>
          <w:p w14:paraId="23E2A396" w14:textId="77777777" w:rsidR="00EF5B27" w:rsidRDefault="00000000">
            <w:pPr>
              <w:pStyle w:val="TableParagraph"/>
              <w:ind w:left="318" w:right="323"/>
              <w:jc w:val="center"/>
              <w:rPr>
                <w:sz w:val="14"/>
              </w:rPr>
            </w:pPr>
            <w:r>
              <w:rPr>
                <w:color w:val="4D4D4F"/>
                <w:w w:val="105"/>
                <w:sz w:val="14"/>
              </w:rPr>
              <w:t>N/A</w:t>
            </w:r>
          </w:p>
        </w:tc>
        <w:tc>
          <w:tcPr>
            <w:tcW w:w="1489" w:type="dxa"/>
          </w:tcPr>
          <w:p w14:paraId="48AA736E" w14:textId="77777777" w:rsidR="00EF5B27" w:rsidRDefault="00000000">
            <w:pPr>
              <w:pStyle w:val="TableParagraph"/>
              <w:spacing w:before="134"/>
              <w:ind w:left="581"/>
              <w:rPr>
                <w:sz w:val="16"/>
              </w:rPr>
            </w:pPr>
            <w:r>
              <w:rPr>
                <w:color w:val="4D4D4F"/>
                <w:sz w:val="16"/>
              </w:rPr>
              <w:t>2026</w:t>
            </w:r>
          </w:p>
        </w:tc>
      </w:tr>
      <w:tr w:rsidR="00EF5B27" w14:paraId="67F51CE2" w14:textId="77777777">
        <w:trPr>
          <w:trHeight w:val="448"/>
        </w:trPr>
        <w:tc>
          <w:tcPr>
            <w:tcW w:w="2980" w:type="dxa"/>
          </w:tcPr>
          <w:p w14:paraId="0046C07F" w14:textId="77777777" w:rsidR="00EF5B27" w:rsidRDefault="00EF5B27">
            <w:pPr>
              <w:pStyle w:val="TableParagraph"/>
              <w:spacing w:before="11"/>
              <w:rPr>
                <w:sz w:val="11"/>
              </w:rPr>
            </w:pPr>
          </w:p>
          <w:p w14:paraId="35536B94" w14:textId="77777777" w:rsidR="00EF5B27" w:rsidRDefault="00000000">
            <w:pPr>
              <w:pStyle w:val="TableParagraph"/>
              <w:ind w:left="80"/>
              <w:rPr>
                <w:sz w:val="14"/>
              </w:rPr>
            </w:pPr>
            <w:r>
              <w:rPr>
                <w:color w:val="4D4D4F"/>
                <w:w w:val="105"/>
                <w:sz w:val="14"/>
              </w:rPr>
              <w:t>De-rocked grassland</w:t>
            </w:r>
          </w:p>
        </w:tc>
        <w:tc>
          <w:tcPr>
            <w:tcW w:w="1078" w:type="dxa"/>
          </w:tcPr>
          <w:p w14:paraId="5C52E362" w14:textId="77777777" w:rsidR="00EF5B27" w:rsidRDefault="00EF5B27">
            <w:pPr>
              <w:pStyle w:val="TableParagraph"/>
              <w:spacing w:before="11"/>
              <w:rPr>
                <w:sz w:val="11"/>
              </w:rPr>
            </w:pPr>
          </w:p>
          <w:p w14:paraId="72EA0DED" w14:textId="77777777" w:rsidR="00EF5B27" w:rsidRDefault="00000000">
            <w:pPr>
              <w:pStyle w:val="TableParagraph"/>
              <w:ind w:left="142"/>
              <w:rPr>
                <w:sz w:val="14"/>
              </w:rPr>
            </w:pPr>
            <w:r>
              <w:rPr>
                <w:color w:val="4D4D4F"/>
                <w:w w:val="105"/>
                <w:sz w:val="14"/>
              </w:rPr>
              <w:t>Not assessed</w:t>
            </w:r>
          </w:p>
        </w:tc>
        <w:tc>
          <w:tcPr>
            <w:tcW w:w="2155" w:type="dxa"/>
          </w:tcPr>
          <w:p w14:paraId="18252972" w14:textId="77777777" w:rsidR="00EF5B27" w:rsidRDefault="00EF5B27">
            <w:pPr>
              <w:pStyle w:val="TableParagraph"/>
              <w:spacing w:before="11"/>
              <w:rPr>
                <w:sz w:val="11"/>
              </w:rPr>
            </w:pPr>
          </w:p>
          <w:p w14:paraId="64B3C710" w14:textId="77777777" w:rsidR="00EF5B27" w:rsidRDefault="00000000">
            <w:pPr>
              <w:pStyle w:val="TableParagraph"/>
              <w:ind w:left="143" w:right="142"/>
              <w:jc w:val="center"/>
              <w:rPr>
                <w:sz w:val="14"/>
              </w:rPr>
            </w:pPr>
            <w:r>
              <w:rPr>
                <w:color w:val="4D4D4F"/>
                <w:sz w:val="14"/>
              </w:rPr>
              <w:t>Baseline not yet set</w:t>
            </w:r>
          </w:p>
        </w:tc>
        <w:tc>
          <w:tcPr>
            <w:tcW w:w="964" w:type="dxa"/>
          </w:tcPr>
          <w:p w14:paraId="5FE8AA0B" w14:textId="77777777" w:rsidR="00EF5B27" w:rsidRDefault="00EF5B27">
            <w:pPr>
              <w:pStyle w:val="TableParagraph"/>
              <w:spacing w:before="4"/>
              <w:rPr>
                <w:sz w:val="7"/>
              </w:rPr>
            </w:pPr>
          </w:p>
          <w:p w14:paraId="7BD06426" w14:textId="77777777" w:rsidR="00EF5B27" w:rsidRDefault="00000000">
            <w:pPr>
              <w:pStyle w:val="TableParagraph"/>
              <w:spacing w:line="187" w:lineRule="exact"/>
              <w:ind w:left="400"/>
              <w:rPr>
                <w:sz w:val="18"/>
              </w:rPr>
            </w:pPr>
            <w:r>
              <w:rPr>
                <w:noProof/>
                <w:position w:val="-3"/>
                <w:sz w:val="18"/>
              </w:rPr>
              <w:drawing>
                <wp:inline distT="0" distB="0" distL="0" distR="0" wp14:anchorId="5ADCE00D" wp14:editId="668C2D16">
                  <wp:extent cx="100572" cy="119062"/>
                  <wp:effectExtent l="0" t="0" r="0" b="0"/>
                  <wp:docPr id="157"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0.png"/>
                          <pic:cNvPicPr/>
                        </pic:nvPicPr>
                        <pic:blipFill>
                          <a:blip r:embed="rId84" cstate="print"/>
                          <a:stretch>
                            <a:fillRect/>
                          </a:stretch>
                        </pic:blipFill>
                        <pic:spPr>
                          <a:xfrm>
                            <a:off x="0" y="0"/>
                            <a:ext cx="100572" cy="119062"/>
                          </a:xfrm>
                          <a:prstGeom prst="rect">
                            <a:avLst/>
                          </a:prstGeom>
                        </pic:spPr>
                      </pic:pic>
                    </a:graphicData>
                  </a:graphic>
                </wp:inline>
              </w:drawing>
            </w:r>
          </w:p>
          <w:p w14:paraId="049F0530" w14:textId="77777777" w:rsidR="00EF5B27" w:rsidRDefault="00EF5B27">
            <w:pPr>
              <w:pStyle w:val="TableParagraph"/>
              <w:spacing w:before="8"/>
              <w:rPr>
                <w:sz w:val="2"/>
              </w:rPr>
            </w:pPr>
          </w:p>
          <w:p w14:paraId="6396ADD2" w14:textId="77777777" w:rsidR="00EF5B27" w:rsidRDefault="00000000">
            <w:pPr>
              <w:pStyle w:val="TableParagraph"/>
              <w:spacing w:line="48" w:lineRule="exact"/>
              <w:ind w:left="448"/>
              <w:rPr>
                <w:sz w:val="4"/>
              </w:rPr>
            </w:pPr>
            <w:r>
              <w:rPr>
                <w:sz w:val="4"/>
              </w:rPr>
            </w:r>
            <w:r>
              <w:rPr>
                <w:sz w:val="4"/>
              </w:rPr>
              <w:pict w14:anchorId="6A26BF2B">
                <v:group id="_x0000_s4041" style="width:2.45pt;height:2.45pt;mso-position-horizontal-relative:char;mso-position-vertical-relative:line" coordsize="49,49">
                  <v:shape id="_x0000_s4042" style="position:absolute;width:49;height:49" coordsize="49,49" path="m31,l18,,12,2,2,12,,17,,31r2,6l12,46r6,3l31,49r6,-3l46,37r3,-6l49,17,46,12,37,2,31,xe" fillcolor="#808285" stroked="f">
                    <v:path arrowok="t"/>
                  </v:shape>
                  <w10:wrap type="none"/>
                  <w10:anchorlock/>
                </v:group>
              </w:pict>
            </w:r>
          </w:p>
        </w:tc>
        <w:tc>
          <w:tcPr>
            <w:tcW w:w="964" w:type="dxa"/>
          </w:tcPr>
          <w:p w14:paraId="269731A6" w14:textId="77777777" w:rsidR="00EF5B27" w:rsidRDefault="00EF5B27">
            <w:pPr>
              <w:pStyle w:val="TableParagraph"/>
              <w:spacing w:before="11"/>
              <w:rPr>
                <w:sz w:val="11"/>
              </w:rPr>
            </w:pPr>
          </w:p>
          <w:p w14:paraId="11587769" w14:textId="77777777" w:rsidR="00EF5B27" w:rsidRDefault="00000000">
            <w:pPr>
              <w:pStyle w:val="TableParagraph"/>
              <w:ind w:left="318" w:right="323"/>
              <w:jc w:val="center"/>
              <w:rPr>
                <w:sz w:val="14"/>
              </w:rPr>
            </w:pPr>
            <w:r>
              <w:rPr>
                <w:color w:val="4D4D4F"/>
                <w:w w:val="105"/>
                <w:sz w:val="14"/>
              </w:rPr>
              <w:t>N/A</w:t>
            </w:r>
          </w:p>
        </w:tc>
        <w:tc>
          <w:tcPr>
            <w:tcW w:w="1489" w:type="dxa"/>
          </w:tcPr>
          <w:p w14:paraId="09E9C346" w14:textId="77777777" w:rsidR="00EF5B27" w:rsidRDefault="00000000">
            <w:pPr>
              <w:pStyle w:val="TableParagraph"/>
              <w:spacing w:before="134"/>
              <w:ind w:left="581"/>
              <w:rPr>
                <w:sz w:val="16"/>
              </w:rPr>
            </w:pPr>
            <w:r>
              <w:rPr>
                <w:color w:val="4D4D4F"/>
                <w:sz w:val="16"/>
              </w:rPr>
              <w:t>2026</w:t>
            </w:r>
          </w:p>
        </w:tc>
      </w:tr>
    </w:tbl>
    <w:p w14:paraId="4161FCBE" w14:textId="77777777" w:rsidR="00EF5B27" w:rsidRDefault="00EF5B27">
      <w:pPr>
        <w:pStyle w:val="BodyText"/>
        <w:spacing w:before="3"/>
        <w:rPr>
          <w:sz w:val="34"/>
        </w:rPr>
      </w:pPr>
    </w:p>
    <w:p w14:paraId="6729DB6A" w14:textId="77777777" w:rsidR="00EF5B27" w:rsidRDefault="00000000">
      <w:pPr>
        <w:pStyle w:val="BodyText"/>
        <w:spacing w:before="1" w:line="254" w:lineRule="auto"/>
        <w:ind w:left="2608" w:right="151"/>
      </w:pPr>
      <w:r>
        <w:rPr>
          <w:color w:val="4D4D4F"/>
        </w:rPr>
        <w:t>Comments: 2021 was the first year of data collection, at a single site. Baselines are not yet set for KPI 2. Status assessments are therefore not provided here, any trends are unclear and data confidence assessments are not applicable.</w:t>
      </w:r>
    </w:p>
    <w:p w14:paraId="4BD35BE8" w14:textId="77777777" w:rsidR="00EF5B27" w:rsidRDefault="00EF5B27">
      <w:pPr>
        <w:spacing w:line="254" w:lineRule="auto"/>
        <w:sectPr w:rsidR="00EF5B27">
          <w:type w:val="continuous"/>
          <w:pgSz w:w="11910" w:h="16840"/>
          <w:pgMar w:top="1140" w:right="1020" w:bottom="280" w:left="1020" w:header="720" w:footer="720" w:gutter="0"/>
          <w:cols w:space="720"/>
        </w:sectPr>
      </w:pPr>
    </w:p>
    <w:p w14:paraId="0679AA6D" w14:textId="77777777" w:rsidR="00EF5B27" w:rsidRDefault="00000000">
      <w:pPr>
        <w:pStyle w:val="BodyText"/>
      </w:pPr>
      <w:r>
        <w:lastRenderedPageBreak/>
        <w:pict w14:anchorId="6B80CBD4">
          <v:group id="_x0000_s4033" style="position:absolute;margin-left:587.05pt;margin-top:183.4pt;width:8.25pt;height:153.1pt;z-index:251451904;mso-position-horizontal-relative:page;mso-position-vertical-relative:page" coordorigin="11741,3668" coordsize="165,3062">
            <v:shape id="_x0000_s4040" style="position:absolute;left:11741;top:3668;width:165;height:561" coordorigin="11741,3668" coordsize="165,561" path="m11906,3668r-165,l11741,4228r165,-18l11906,3668xe" fillcolor="#00aed9" stroked="f">
              <v:path arrowok="t"/>
            </v:shape>
            <v:shape id="_x0000_s4039" style="position:absolute;left:11741;top:4118;width:165;height:425" coordorigin="11741,4118" coordsize="165,425" path="m11906,4118r-165,14l11741,4531r165,12l11906,4118xe" fillcolor="#047ebc" stroked="f">
              <v:path arrowok="t"/>
            </v:shape>
            <v:shape id="_x0000_s4038" type="#_x0000_t75" style="position:absolute;left:11741;top:4355;width:165;height:587">
              <v:imagedata r:id="rId42" o:title=""/>
            </v:shape>
            <v:shape id="_x0000_s4037" style="position:absolute;left:11741;top:5343;width:165;height:536" coordorigin="11741,5343" coordsize="165,536" path="m11741,5343r,535l11906,5872r,-525l11741,5343xe" fillcolor="#f36a2e" stroked="f">
              <v:path arrowok="t"/>
            </v:shape>
            <v:shape id="_x0000_s4036" style="position:absolute;left:11741;top:4925;width:165;height:501" coordorigin="11741,4926" coordsize="165,501" path="m11741,4926r,500l11906,5426r,-485l11741,4926xe" fillcolor="#49783f" stroked="f">
              <v:path arrowok="t"/>
            </v:shape>
            <v:shape id="_x0000_s4035" style="position:absolute;left:11741;top:5781;width:165;height:268" coordorigin="11741,5782" coordsize="165,268" path="m11906,5782r-165,8l11741,6039r165,10l11906,5782xe" fillcolor="#f99f2a" stroked="f">
              <v:path arrowok="t"/>
            </v:shape>
            <v:shape id="_x0000_s4034" style="position:absolute;left:11741;top:6023;width:165;height:707" coordorigin="11741,6023" coordsize="165,707" path="m11741,6023r,706l11906,6729r,-690l11741,6023xe" fillcolor="#ef412c" stroked="f">
              <v:path arrowok="t"/>
            </v:shape>
            <w10:wrap anchorx="page" anchory="page"/>
          </v:group>
        </w:pict>
      </w:r>
    </w:p>
    <w:p w14:paraId="048BD498" w14:textId="77777777" w:rsidR="00EF5B27" w:rsidRDefault="00EF5B27">
      <w:pPr>
        <w:pStyle w:val="BodyText"/>
      </w:pPr>
    </w:p>
    <w:p w14:paraId="03677927" w14:textId="77777777" w:rsidR="00EF5B27" w:rsidRDefault="00EF5B27">
      <w:pPr>
        <w:pStyle w:val="BodyText"/>
      </w:pPr>
    </w:p>
    <w:p w14:paraId="339F8DE8" w14:textId="77777777" w:rsidR="00EF5B27" w:rsidRDefault="00EF5B27">
      <w:pPr>
        <w:pStyle w:val="BodyText"/>
      </w:pPr>
    </w:p>
    <w:p w14:paraId="0B13D4BA" w14:textId="77777777" w:rsidR="00EF5B27" w:rsidRDefault="00EF5B27">
      <w:pPr>
        <w:pStyle w:val="BodyText"/>
        <w:spacing w:before="5"/>
        <w:rPr>
          <w:sz w:val="16"/>
        </w:rPr>
      </w:pPr>
    </w:p>
    <w:tbl>
      <w:tblPr>
        <w:tblW w:w="0" w:type="auto"/>
        <w:tblInd w:w="12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6D5D19CD" w14:textId="77777777">
        <w:trPr>
          <w:trHeight w:val="561"/>
        </w:trPr>
        <w:tc>
          <w:tcPr>
            <w:tcW w:w="2980" w:type="dxa"/>
            <w:shd w:val="clear" w:color="auto" w:fill="FECC91"/>
          </w:tcPr>
          <w:p w14:paraId="12D49613" w14:textId="77777777" w:rsidR="00EF5B27" w:rsidRDefault="00EF5B27">
            <w:pPr>
              <w:pStyle w:val="TableParagraph"/>
              <w:spacing w:before="7"/>
              <w:rPr>
                <w:sz w:val="15"/>
              </w:rPr>
            </w:pPr>
          </w:p>
          <w:p w14:paraId="008E1AB7" w14:textId="77777777" w:rsidR="00EF5B27" w:rsidRDefault="00000000">
            <w:pPr>
              <w:pStyle w:val="TableParagraph"/>
              <w:spacing w:before="1"/>
              <w:ind w:left="80"/>
              <w:rPr>
                <w:b/>
                <w:sz w:val="16"/>
              </w:rPr>
            </w:pPr>
            <w:r>
              <w:rPr>
                <w:b/>
                <w:sz w:val="16"/>
              </w:rPr>
              <w:t>KPI 3: Richness of native perennial forbs</w:t>
            </w:r>
          </w:p>
        </w:tc>
        <w:tc>
          <w:tcPr>
            <w:tcW w:w="1078" w:type="dxa"/>
            <w:shd w:val="clear" w:color="auto" w:fill="FECC91"/>
          </w:tcPr>
          <w:p w14:paraId="66A3A0B7"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2E597C33" w14:textId="77777777" w:rsidR="00EF5B27" w:rsidRDefault="00EF5B27">
            <w:pPr>
              <w:pStyle w:val="TableParagraph"/>
              <w:spacing w:before="7"/>
              <w:rPr>
                <w:sz w:val="15"/>
              </w:rPr>
            </w:pPr>
          </w:p>
          <w:p w14:paraId="39FE8F2A"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75C7018A" w14:textId="77777777" w:rsidR="00EF5B27" w:rsidRDefault="00EF5B27">
            <w:pPr>
              <w:pStyle w:val="TableParagraph"/>
              <w:spacing w:before="7"/>
              <w:rPr>
                <w:sz w:val="15"/>
              </w:rPr>
            </w:pPr>
          </w:p>
          <w:p w14:paraId="6E930FAE"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1ACD6C7E"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55C7CF00"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759AFF6E" w14:textId="77777777">
        <w:trPr>
          <w:trHeight w:val="448"/>
        </w:trPr>
        <w:tc>
          <w:tcPr>
            <w:tcW w:w="2980" w:type="dxa"/>
          </w:tcPr>
          <w:p w14:paraId="27B3AF68" w14:textId="77777777" w:rsidR="00EF5B27" w:rsidRDefault="00EF5B27">
            <w:pPr>
              <w:pStyle w:val="TableParagraph"/>
              <w:spacing w:before="11"/>
              <w:rPr>
                <w:sz w:val="11"/>
              </w:rPr>
            </w:pPr>
          </w:p>
          <w:p w14:paraId="335CEBD8" w14:textId="77777777" w:rsidR="00EF5B27" w:rsidRDefault="00000000">
            <w:pPr>
              <w:pStyle w:val="TableParagraph"/>
              <w:ind w:left="80"/>
              <w:rPr>
                <w:sz w:val="14"/>
              </w:rPr>
            </w:pPr>
            <w:r>
              <w:rPr>
                <w:color w:val="4D4D4F"/>
                <w:w w:val="105"/>
                <w:sz w:val="14"/>
              </w:rPr>
              <w:t>Herb-rich grassland</w:t>
            </w:r>
          </w:p>
        </w:tc>
        <w:tc>
          <w:tcPr>
            <w:tcW w:w="1078" w:type="dxa"/>
          </w:tcPr>
          <w:p w14:paraId="0ED086C0" w14:textId="77777777" w:rsidR="00EF5B27" w:rsidRDefault="00EF5B27">
            <w:pPr>
              <w:pStyle w:val="TableParagraph"/>
              <w:spacing w:before="11"/>
              <w:rPr>
                <w:sz w:val="11"/>
              </w:rPr>
            </w:pPr>
          </w:p>
          <w:p w14:paraId="70CE3FF3"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33784311" w14:textId="77777777" w:rsidR="00EF5B27" w:rsidRDefault="00EF5B27">
            <w:pPr>
              <w:pStyle w:val="TableParagraph"/>
              <w:spacing w:before="11"/>
              <w:rPr>
                <w:sz w:val="11"/>
              </w:rPr>
            </w:pPr>
          </w:p>
          <w:p w14:paraId="27B1AB55" w14:textId="77777777" w:rsidR="00EF5B27" w:rsidRDefault="00000000">
            <w:pPr>
              <w:pStyle w:val="TableParagraph"/>
              <w:ind w:left="143" w:right="142"/>
              <w:jc w:val="center"/>
              <w:rPr>
                <w:sz w:val="14"/>
              </w:rPr>
            </w:pPr>
            <w:r>
              <w:rPr>
                <w:color w:val="4D4D4F"/>
                <w:sz w:val="14"/>
              </w:rPr>
              <w:t>Baseline not yet set</w:t>
            </w:r>
          </w:p>
        </w:tc>
        <w:tc>
          <w:tcPr>
            <w:tcW w:w="964" w:type="dxa"/>
          </w:tcPr>
          <w:p w14:paraId="6606B2A5" w14:textId="77777777" w:rsidR="00EF5B27" w:rsidRDefault="00EF5B27">
            <w:pPr>
              <w:pStyle w:val="TableParagraph"/>
              <w:spacing w:before="4"/>
              <w:rPr>
                <w:sz w:val="7"/>
              </w:rPr>
            </w:pPr>
          </w:p>
          <w:p w14:paraId="2A004AD2" w14:textId="77777777" w:rsidR="00EF5B27" w:rsidRDefault="00000000">
            <w:pPr>
              <w:pStyle w:val="TableParagraph"/>
              <w:spacing w:line="187" w:lineRule="exact"/>
              <w:ind w:left="400"/>
              <w:rPr>
                <w:sz w:val="18"/>
              </w:rPr>
            </w:pPr>
            <w:r>
              <w:rPr>
                <w:noProof/>
                <w:position w:val="-3"/>
                <w:sz w:val="18"/>
              </w:rPr>
              <w:drawing>
                <wp:inline distT="0" distB="0" distL="0" distR="0" wp14:anchorId="471883D8" wp14:editId="1286CAD1">
                  <wp:extent cx="100572" cy="119062"/>
                  <wp:effectExtent l="0" t="0" r="0" b="0"/>
                  <wp:docPr id="159"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71.png"/>
                          <pic:cNvPicPr/>
                        </pic:nvPicPr>
                        <pic:blipFill>
                          <a:blip r:embed="rId93" cstate="print"/>
                          <a:stretch>
                            <a:fillRect/>
                          </a:stretch>
                        </pic:blipFill>
                        <pic:spPr>
                          <a:xfrm>
                            <a:off x="0" y="0"/>
                            <a:ext cx="100572" cy="119062"/>
                          </a:xfrm>
                          <a:prstGeom prst="rect">
                            <a:avLst/>
                          </a:prstGeom>
                        </pic:spPr>
                      </pic:pic>
                    </a:graphicData>
                  </a:graphic>
                </wp:inline>
              </w:drawing>
            </w:r>
          </w:p>
          <w:p w14:paraId="68431CD3" w14:textId="77777777" w:rsidR="00EF5B27" w:rsidRDefault="00EF5B27">
            <w:pPr>
              <w:pStyle w:val="TableParagraph"/>
              <w:spacing w:before="8"/>
              <w:rPr>
                <w:sz w:val="2"/>
              </w:rPr>
            </w:pPr>
          </w:p>
          <w:p w14:paraId="71B5AFE1" w14:textId="77777777" w:rsidR="00EF5B27" w:rsidRDefault="00000000">
            <w:pPr>
              <w:pStyle w:val="TableParagraph"/>
              <w:spacing w:line="48" w:lineRule="exact"/>
              <w:ind w:left="448"/>
              <w:rPr>
                <w:sz w:val="4"/>
              </w:rPr>
            </w:pPr>
            <w:r>
              <w:rPr>
                <w:sz w:val="4"/>
              </w:rPr>
            </w:r>
            <w:r>
              <w:rPr>
                <w:sz w:val="4"/>
              </w:rPr>
              <w:pict w14:anchorId="472AD376">
                <v:group id="_x0000_s4031" style="width:2.45pt;height:2.45pt;mso-position-horizontal-relative:char;mso-position-vertical-relative:line" coordsize="49,49">
                  <v:shape id="_x0000_s4032" style="position:absolute;width:49;height:49" coordsize="49,49" path="m31,l18,,12,2,2,12,,17,,31r2,6l12,46r6,3l31,49r6,-3l46,37r3,-6l49,17,46,12,37,2,31,xe" fillcolor="#808285" stroked="f">
                    <v:path arrowok="t"/>
                  </v:shape>
                  <w10:wrap type="none"/>
                  <w10:anchorlock/>
                </v:group>
              </w:pict>
            </w:r>
          </w:p>
        </w:tc>
        <w:tc>
          <w:tcPr>
            <w:tcW w:w="964" w:type="dxa"/>
          </w:tcPr>
          <w:p w14:paraId="622933C9" w14:textId="77777777" w:rsidR="00EF5B27" w:rsidRDefault="00EF5B27">
            <w:pPr>
              <w:pStyle w:val="TableParagraph"/>
              <w:spacing w:before="11"/>
              <w:rPr>
                <w:sz w:val="11"/>
              </w:rPr>
            </w:pPr>
          </w:p>
          <w:p w14:paraId="61B49955" w14:textId="77777777" w:rsidR="00EF5B27" w:rsidRDefault="00000000">
            <w:pPr>
              <w:pStyle w:val="TableParagraph"/>
              <w:ind w:left="318" w:right="323"/>
              <w:jc w:val="center"/>
              <w:rPr>
                <w:sz w:val="14"/>
              </w:rPr>
            </w:pPr>
            <w:r>
              <w:rPr>
                <w:color w:val="4D4D4F"/>
                <w:w w:val="105"/>
                <w:sz w:val="14"/>
              </w:rPr>
              <w:t>N/A</w:t>
            </w:r>
          </w:p>
        </w:tc>
        <w:tc>
          <w:tcPr>
            <w:tcW w:w="1489" w:type="dxa"/>
          </w:tcPr>
          <w:p w14:paraId="686B409F" w14:textId="77777777" w:rsidR="00EF5B27" w:rsidRDefault="00000000">
            <w:pPr>
              <w:pStyle w:val="TableParagraph"/>
              <w:spacing w:before="134"/>
              <w:ind w:left="581"/>
              <w:rPr>
                <w:sz w:val="16"/>
              </w:rPr>
            </w:pPr>
            <w:r>
              <w:rPr>
                <w:color w:val="4D4D4F"/>
                <w:sz w:val="16"/>
              </w:rPr>
              <w:t>2026</w:t>
            </w:r>
          </w:p>
        </w:tc>
      </w:tr>
      <w:tr w:rsidR="00EF5B27" w14:paraId="6A127C5A" w14:textId="77777777">
        <w:trPr>
          <w:trHeight w:val="448"/>
        </w:trPr>
        <w:tc>
          <w:tcPr>
            <w:tcW w:w="2980" w:type="dxa"/>
          </w:tcPr>
          <w:p w14:paraId="56461FD6" w14:textId="77777777" w:rsidR="00EF5B27" w:rsidRDefault="00EF5B27">
            <w:pPr>
              <w:pStyle w:val="TableParagraph"/>
              <w:spacing w:before="11"/>
              <w:rPr>
                <w:sz w:val="11"/>
              </w:rPr>
            </w:pPr>
          </w:p>
          <w:p w14:paraId="5B403EC4" w14:textId="77777777" w:rsidR="00EF5B27" w:rsidRDefault="00000000">
            <w:pPr>
              <w:pStyle w:val="TableParagraph"/>
              <w:ind w:left="80"/>
              <w:rPr>
                <w:sz w:val="14"/>
              </w:rPr>
            </w:pPr>
            <w:r>
              <w:rPr>
                <w:rFonts w:ascii="Arial Narrow"/>
                <w:i/>
                <w:color w:val="4D4D4F"/>
                <w:w w:val="110"/>
                <w:sz w:val="14"/>
              </w:rPr>
              <w:t xml:space="preserve">Themeda </w:t>
            </w:r>
            <w:r>
              <w:rPr>
                <w:color w:val="4D4D4F"/>
                <w:w w:val="110"/>
                <w:sz w:val="14"/>
              </w:rPr>
              <w:t>grassland</w:t>
            </w:r>
          </w:p>
        </w:tc>
        <w:tc>
          <w:tcPr>
            <w:tcW w:w="1078" w:type="dxa"/>
          </w:tcPr>
          <w:p w14:paraId="4AB4BFDE" w14:textId="77777777" w:rsidR="00EF5B27" w:rsidRDefault="00EF5B27">
            <w:pPr>
              <w:pStyle w:val="TableParagraph"/>
              <w:spacing w:before="11"/>
              <w:rPr>
                <w:sz w:val="11"/>
              </w:rPr>
            </w:pPr>
          </w:p>
          <w:p w14:paraId="13317940"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6C05384E" w14:textId="77777777" w:rsidR="00EF5B27" w:rsidRDefault="00EF5B27">
            <w:pPr>
              <w:pStyle w:val="TableParagraph"/>
              <w:spacing w:before="11"/>
              <w:rPr>
                <w:sz w:val="11"/>
              </w:rPr>
            </w:pPr>
          </w:p>
          <w:p w14:paraId="1F4E010C" w14:textId="77777777" w:rsidR="00EF5B27" w:rsidRDefault="00000000">
            <w:pPr>
              <w:pStyle w:val="TableParagraph"/>
              <w:ind w:left="143" w:right="142"/>
              <w:jc w:val="center"/>
              <w:rPr>
                <w:sz w:val="14"/>
              </w:rPr>
            </w:pPr>
            <w:r>
              <w:rPr>
                <w:color w:val="4D4D4F"/>
                <w:sz w:val="14"/>
              </w:rPr>
              <w:t>Baseline not yet set</w:t>
            </w:r>
          </w:p>
        </w:tc>
        <w:tc>
          <w:tcPr>
            <w:tcW w:w="964" w:type="dxa"/>
          </w:tcPr>
          <w:p w14:paraId="0E8AF4D1" w14:textId="77777777" w:rsidR="00EF5B27" w:rsidRDefault="00EF5B27">
            <w:pPr>
              <w:pStyle w:val="TableParagraph"/>
              <w:spacing w:before="4"/>
              <w:rPr>
                <w:sz w:val="7"/>
              </w:rPr>
            </w:pPr>
          </w:p>
          <w:p w14:paraId="03DEA609" w14:textId="77777777" w:rsidR="00EF5B27" w:rsidRDefault="00000000">
            <w:pPr>
              <w:pStyle w:val="TableParagraph"/>
              <w:spacing w:line="187" w:lineRule="exact"/>
              <w:ind w:left="400"/>
              <w:rPr>
                <w:sz w:val="18"/>
              </w:rPr>
            </w:pPr>
            <w:r>
              <w:rPr>
                <w:noProof/>
                <w:position w:val="-3"/>
                <w:sz w:val="18"/>
              </w:rPr>
              <w:drawing>
                <wp:inline distT="0" distB="0" distL="0" distR="0" wp14:anchorId="50FF33FA" wp14:editId="6979DD0D">
                  <wp:extent cx="100572" cy="119062"/>
                  <wp:effectExtent l="0" t="0" r="0" b="0"/>
                  <wp:docPr id="161"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72.png"/>
                          <pic:cNvPicPr/>
                        </pic:nvPicPr>
                        <pic:blipFill>
                          <a:blip r:embed="rId76" cstate="print"/>
                          <a:stretch>
                            <a:fillRect/>
                          </a:stretch>
                        </pic:blipFill>
                        <pic:spPr>
                          <a:xfrm>
                            <a:off x="0" y="0"/>
                            <a:ext cx="100572" cy="119062"/>
                          </a:xfrm>
                          <a:prstGeom prst="rect">
                            <a:avLst/>
                          </a:prstGeom>
                        </pic:spPr>
                      </pic:pic>
                    </a:graphicData>
                  </a:graphic>
                </wp:inline>
              </w:drawing>
            </w:r>
          </w:p>
          <w:p w14:paraId="0F944BEA" w14:textId="77777777" w:rsidR="00EF5B27" w:rsidRDefault="00EF5B27">
            <w:pPr>
              <w:pStyle w:val="TableParagraph"/>
              <w:spacing w:before="8"/>
              <w:rPr>
                <w:sz w:val="2"/>
              </w:rPr>
            </w:pPr>
          </w:p>
          <w:p w14:paraId="4730FCAA" w14:textId="77777777" w:rsidR="00EF5B27" w:rsidRDefault="00000000">
            <w:pPr>
              <w:pStyle w:val="TableParagraph"/>
              <w:spacing w:line="48" w:lineRule="exact"/>
              <w:ind w:left="448"/>
              <w:rPr>
                <w:sz w:val="4"/>
              </w:rPr>
            </w:pPr>
            <w:r>
              <w:rPr>
                <w:sz w:val="4"/>
              </w:rPr>
            </w:r>
            <w:r>
              <w:rPr>
                <w:sz w:val="4"/>
              </w:rPr>
              <w:pict w14:anchorId="529B6DB1">
                <v:group id="_x0000_s4029" style="width:2.45pt;height:2.45pt;mso-position-horizontal-relative:char;mso-position-vertical-relative:line" coordsize="49,49">
                  <v:shape id="_x0000_s4030" style="position:absolute;width:49;height:49" coordsize="49,49" path="m31,l18,,12,2,2,12,,17,,31r2,6l12,46r6,3l31,49r6,-3l46,37r3,-6l49,17,46,12,37,2,31,xe" fillcolor="#808285" stroked="f">
                    <v:path arrowok="t"/>
                  </v:shape>
                  <w10:wrap type="none"/>
                  <w10:anchorlock/>
                </v:group>
              </w:pict>
            </w:r>
          </w:p>
        </w:tc>
        <w:tc>
          <w:tcPr>
            <w:tcW w:w="964" w:type="dxa"/>
          </w:tcPr>
          <w:p w14:paraId="3D59E97D" w14:textId="77777777" w:rsidR="00EF5B27" w:rsidRDefault="00EF5B27">
            <w:pPr>
              <w:pStyle w:val="TableParagraph"/>
              <w:spacing w:before="11"/>
              <w:rPr>
                <w:sz w:val="11"/>
              </w:rPr>
            </w:pPr>
          </w:p>
          <w:p w14:paraId="3D5F312F" w14:textId="77777777" w:rsidR="00EF5B27" w:rsidRDefault="00000000">
            <w:pPr>
              <w:pStyle w:val="TableParagraph"/>
              <w:ind w:left="318" w:right="323"/>
              <w:jc w:val="center"/>
              <w:rPr>
                <w:sz w:val="14"/>
              </w:rPr>
            </w:pPr>
            <w:r>
              <w:rPr>
                <w:color w:val="4D4D4F"/>
                <w:w w:val="105"/>
                <w:sz w:val="14"/>
              </w:rPr>
              <w:t>N/A</w:t>
            </w:r>
          </w:p>
        </w:tc>
        <w:tc>
          <w:tcPr>
            <w:tcW w:w="1489" w:type="dxa"/>
          </w:tcPr>
          <w:p w14:paraId="07EEAA93" w14:textId="77777777" w:rsidR="00EF5B27" w:rsidRDefault="00000000">
            <w:pPr>
              <w:pStyle w:val="TableParagraph"/>
              <w:spacing w:before="134"/>
              <w:ind w:left="581"/>
              <w:rPr>
                <w:sz w:val="16"/>
              </w:rPr>
            </w:pPr>
            <w:r>
              <w:rPr>
                <w:color w:val="4D4D4F"/>
                <w:sz w:val="16"/>
              </w:rPr>
              <w:t>2026</w:t>
            </w:r>
          </w:p>
        </w:tc>
      </w:tr>
      <w:tr w:rsidR="00EF5B27" w14:paraId="43B51722" w14:textId="77777777">
        <w:trPr>
          <w:trHeight w:val="448"/>
        </w:trPr>
        <w:tc>
          <w:tcPr>
            <w:tcW w:w="2980" w:type="dxa"/>
          </w:tcPr>
          <w:p w14:paraId="62397650" w14:textId="77777777" w:rsidR="00EF5B27" w:rsidRDefault="00EF5B27">
            <w:pPr>
              <w:pStyle w:val="TableParagraph"/>
              <w:spacing w:before="11"/>
              <w:rPr>
                <w:sz w:val="11"/>
              </w:rPr>
            </w:pPr>
          </w:p>
          <w:p w14:paraId="517CD14C" w14:textId="77777777" w:rsidR="00EF5B27" w:rsidRDefault="00000000">
            <w:pPr>
              <w:pStyle w:val="TableParagraph"/>
              <w:ind w:left="80"/>
              <w:rPr>
                <w:sz w:val="14"/>
              </w:rPr>
            </w:pPr>
            <w:r>
              <w:rPr>
                <w:color w:val="4D4D4F"/>
                <w:w w:val="105"/>
                <w:sz w:val="14"/>
              </w:rPr>
              <w:t>C3 grassland</w:t>
            </w:r>
          </w:p>
        </w:tc>
        <w:tc>
          <w:tcPr>
            <w:tcW w:w="1078" w:type="dxa"/>
          </w:tcPr>
          <w:p w14:paraId="3C764293" w14:textId="77777777" w:rsidR="00EF5B27" w:rsidRDefault="00EF5B27">
            <w:pPr>
              <w:pStyle w:val="TableParagraph"/>
              <w:spacing w:before="11"/>
              <w:rPr>
                <w:sz w:val="11"/>
              </w:rPr>
            </w:pPr>
          </w:p>
          <w:p w14:paraId="1FE4E5CF"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2B50F8F6" w14:textId="77777777" w:rsidR="00EF5B27" w:rsidRDefault="00EF5B27">
            <w:pPr>
              <w:pStyle w:val="TableParagraph"/>
              <w:spacing w:before="11"/>
              <w:rPr>
                <w:sz w:val="11"/>
              </w:rPr>
            </w:pPr>
          </w:p>
          <w:p w14:paraId="5C6BC923" w14:textId="77777777" w:rsidR="00EF5B27" w:rsidRDefault="00000000">
            <w:pPr>
              <w:pStyle w:val="TableParagraph"/>
              <w:ind w:left="143" w:right="142"/>
              <w:jc w:val="center"/>
              <w:rPr>
                <w:sz w:val="14"/>
              </w:rPr>
            </w:pPr>
            <w:r>
              <w:rPr>
                <w:color w:val="4D4D4F"/>
                <w:sz w:val="14"/>
              </w:rPr>
              <w:t>Baseline not yet set</w:t>
            </w:r>
          </w:p>
        </w:tc>
        <w:tc>
          <w:tcPr>
            <w:tcW w:w="964" w:type="dxa"/>
          </w:tcPr>
          <w:p w14:paraId="2E102067" w14:textId="77777777" w:rsidR="00EF5B27" w:rsidRDefault="00EF5B27">
            <w:pPr>
              <w:pStyle w:val="TableParagraph"/>
              <w:spacing w:before="4"/>
              <w:rPr>
                <w:sz w:val="7"/>
              </w:rPr>
            </w:pPr>
          </w:p>
          <w:p w14:paraId="3BB7DD58" w14:textId="77777777" w:rsidR="00EF5B27" w:rsidRDefault="00000000">
            <w:pPr>
              <w:pStyle w:val="TableParagraph"/>
              <w:spacing w:line="187" w:lineRule="exact"/>
              <w:ind w:left="400"/>
              <w:rPr>
                <w:sz w:val="18"/>
              </w:rPr>
            </w:pPr>
            <w:r>
              <w:rPr>
                <w:noProof/>
                <w:position w:val="-3"/>
                <w:sz w:val="18"/>
              </w:rPr>
              <w:drawing>
                <wp:inline distT="0" distB="0" distL="0" distR="0" wp14:anchorId="2FCC0881" wp14:editId="416F083E">
                  <wp:extent cx="100572" cy="119062"/>
                  <wp:effectExtent l="0" t="0" r="0" b="0"/>
                  <wp:docPr id="163"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73.png"/>
                          <pic:cNvPicPr/>
                        </pic:nvPicPr>
                        <pic:blipFill>
                          <a:blip r:embed="rId93" cstate="print"/>
                          <a:stretch>
                            <a:fillRect/>
                          </a:stretch>
                        </pic:blipFill>
                        <pic:spPr>
                          <a:xfrm>
                            <a:off x="0" y="0"/>
                            <a:ext cx="100572" cy="119062"/>
                          </a:xfrm>
                          <a:prstGeom prst="rect">
                            <a:avLst/>
                          </a:prstGeom>
                        </pic:spPr>
                      </pic:pic>
                    </a:graphicData>
                  </a:graphic>
                </wp:inline>
              </w:drawing>
            </w:r>
          </w:p>
          <w:p w14:paraId="17B34F37" w14:textId="77777777" w:rsidR="00EF5B27" w:rsidRDefault="00EF5B27">
            <w:pPr>
              <w:pStyle w:val="TableParagraph"/>
              <w:spacing w:before="8"/>
              <w:rPr>
                <w:sz w:val="2"/>
              </w:rPr>
            </w:pPr>
          </w:p>
          <w:p w14:paraId="54F2A714" w14:textId="77777777" w:rsidR="00EF5B27" w:rsidRDefault="00000000">
            <w:pPr>
              <w:pStyle w:val="TableParagraph"/>
              <w:spacing w:line="48" w:lineRule="exact"/>
              <w:ind w:left="448"/>
              <w:rPr>
                <w:sz w:val="4"/>
              </w:rPr>
            </w:pPr>
            <w:r>
              <w:rPr>
                <w:sz w:val="4"/>
              </w:rPr>
            </w:r>
            <w:r>
              <w:rPr>
                <w:sz w:val="4"/>
              </w:rPr>
              <w:pict w14:anchorId="0B066F4F">
                <v:group id="_x0000_s4027" style="width:2.45pt;height:2.45pt;mso-position-horizontal-relative:char;mso-position-vertical-relative:line" coordsize="49,49">
                  <v:shape id="_x0000_s4028" style="position:absolute;width:49;height:49" coordsize="49,49" path="m31,l18,,12,2,2,12,,17,,31r2,6l12,46r6,3l31,49r6,-3l46,37r3,-6l49,17,46,12,37,2,31,xe" fillcolor="#808285" stroked="f">
                    <v:path arrowok="t"/>
                  </v:shape>
                  <w10:wrap type="none"/>
                  <w10:anchorlock/>
                </v:group>
              </w:pict>
            </w:r>
          </w:p>
        </w:tc>
        <w:tc>
          <w:tcPr>
            <w:tcW w:w="964" w:type="dxa"/>
          </w:tcPr>
          <w:p w14:paraId="7C0089A5" w14:textId="77777777" w:rsidR="00EF5B27" w:rsidRDefault="00EF5B27">
            <w:pPr>
              <w:pStyle w:val="TableParagraph"/>
              <w:spacing w:before="11"/>
              <w:rPr>
                <w:sz w:val="11"/>
              </w:rPr>
            </w:pPr>
          </w:p>
          <w:p w14:paraId="3BAD87E9" w14:textId="77777777" w:rsidR="00EF5B27" w:rsidRDefault="00000000">
            <w:pPr>
              <w:pStyle w:val="TableParagraph"/>
              <w:ind w:left="318" w:right="323"/>
              <w:jc w:val="center"/>
              <w:rPr>
                <w:sz w:val="14"/>
              </w:rPr>
            </w:pPr>
            <w:r>
              <w:rPr>
                <w:color w:val="4D4D4F"/>
                <w:w w:val="105"/>
                <w:sz w:val="14"/>
              </w:rPr>
              <w:t>N/A</w:t>
            </w:r>
          </w:p>
        </w:tc>
        <w:tc>
          <w:tcPr>
            <w:tcW w:w="1489" w:type="dxa"/>
          </w:tcPr>
          <w:p w14:paraId="0B43D0FC" w14:textId="77777777" w:rsidR="00EF5B27" w:rsidRDefault="00000000">
            <w:pPr>
              <w:pStyle w:val="TableParagraph"/>
              <w:spacing w:before="134"/>
              <w:ind w:left="581"/>
              <w:rPr>
                <w:sz w:val="16"/>
              </w:rPr>
            </w:pPr>
            <w:r>
              <w:rPr>
                <w:color w:val="4D4D4F"/>
                <w:sz w:val="16"/>
              </w:rPr>
              <w:t>2026</w:t>
            </w:r>
          </w:p>
        </w:tc>
      </w:tr>
      <w:tr w:rsidR="00EF5B27" w14:paraId="25083249" w14:textId="77777777">
        <w:trPr>
          <w:trHeight w:val="448"/>
        </w:trPr>
        <w:tc>
          <w:tcPr>
            <w:tcW w:w="2980" w:type="dxa"/>
          </w:tcPr>
          <w:p w14:paraId="1545470D" w14:textId="77777777" w:rsidR="00EF5B27" w:rsidRDefault="00EF5B27">
            <w:pPr>
              <w:pStyle w:val="TableParagraph"/>
              <w:spacing w:before="11"/>
              <w:rPr>
                <w:sz w:val="11"/>
              </w:rPr>
            </w:pPr>
          </w:p>
          <w:p w14:paraId="1DC36D14" w14:textId="77777777" w:rsidR="00EF5B27" w:rsidRDefault="00000000">
            <w:pPr>
              <w:pStyle w:val="TableParagraph"/>
              <w:ind w:left="80"/>
              <w:rPr>
                <w:sz w:val="14"/>
              </w:rPr>
            </w:pPr>
            <w:r>
              <w:rPr>
                <w:color w:val="4D4D4F"/>
                <w:w w:val="105"/>
                <w:sz w:val="14"/>
              </w:rPr>
              <w:t>Nutrient-enriched grassland</w:t>
            </w:r>
          </w:p>
        </w:tc>
        <w:tc>
          <w:tcPr>
            <w:tcW w:w="1078" w:type="dxa"/>
          </w:tcPr>
          <w:p w14:paraId="6D3C6A4F" w14:textId="77777777" w:rsidR="00EF5B27" w:rsidRDefault="00EF5B27">
            <w:pPr>
              <w:pStyle w:val="TableParagraph"/>
              <w:spacing w:before="11"/>
              <w:rPr>
                <w:sz w:val="11"/>
              </w:rPr>
            </w:pPr>
          </w:p>
          <w:p w14:paraId="41C754EE"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17120E99" w14:textId="77777777" w:rsidR="00EF5B27" w:rsidRDefault="00EF5B27">
            <w:pPr>
              <w:pStyle w:val="TableParagraph"/>
              <w:spacing w:before="11"/>
              <w:rPr>
                <w:sz w:val="11"/>
              </w:rPr>
            </w:pPr>
          </w:p>
          <w:p w14:paraId="2AC6B8C8" w14:textId="77777777" w:rsidR="00EF5B27" w:rsidRDefault="00000000">
            <w:pPr>
              <w:pStyle w:val="TableParagraph"/>
              <w:ind w:left="143" w:right="142"/>
              <w:jc w:val="center"/>
              <w:rPr>
                <w:sz w:val="14"/>
              </w:rPr>
            </w:pPr>
            <w:r>
              <w:rPr>
                <w:color w:val="4D4D4F"/>
                <w:sz w:val="14"/>
              </w:rPr>
              <w:t>Baseline not yet set</w:t>
            </w:r>
          </w:p>
        </w:tc>
        <w:tc>
          <w:tcPr>
            <w:tcW w:w="964" w:type="dxa"/>
          </w:tcPr>
          <w:p w14:paraId="24ABA926" w14:textId="77777777" w:rsidR="00EF5B27" w:rsidRDefault="00EF5B27">
            <w:pPr>
              <w:pStyle w:val="TableParagraph"/>
              <w:spacing w:before="5"/>
              <w:rPr>
                <w:sz w:val="7"/>
              </w:rPr>
            </w:pPr>
          </w:p>
          <w:p w14:paraId="6884DE22" w14:textId="77777777" w:rsidR="00EF5B27" w:rsidRDefault="00000000">
            <w:pPr>
              <w:pStyle w:val="TableParagraph"/>
              <w:spacing w:line="187" w:lineRule="exact"/>
              <w:ind w:left="400"/>
              <w:rPr>
                <w:sz w:val="18"/>
              </w:rPr>
            </w:pPr>
            <w:r>
              <w:rPr>
                <w:noProof/>
                <w:position w:val="-3"/>
                <w:sz w:val="18"/>
              </w:rPr>
              <w:drawing>
                <wp:inline distT="0" distB="0" distL="0" distR="0" wp14:anchorId="10E8D5FC" wp14:editId="4F65E56F">
                  <wp:extent cx="100572" cy="119062"/>
                  <wp:effectExtent l="0" t="0" r="0" b="0"/>
                  <wp:docPr id="165"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74.png"/>
                          <pic:cNvPicPr/>
                        </pic:nvPicPr>
                        <pic:blipFill>
                          <a:blip r:embed="rId94" cstate="print"/>
                          <a:stretch>
                            <a:fillRect/>
                          </a:stretch>
                        </pic:blipFill>
                        <pic:spPr>
                          <a:xfrm>
                            <a:off x="0" y="0"/>
                            <a:ext cx="100572" cy="119062"/>
                          </a:xfrm>
                          <a:prstGeom prst="rect">
                            <a:avLst/>
                          </a:prstGeom>
                        </pic:spPr>
                      </pic:pic>
                    </a:graphicData>
                  </a:graphic>
                </wp:inline>
              </w:drawing>
            </w:r>
          </w:p>
          <w:p w14:paraId="4C4ABB8E" w14:textId="77777777" w:rsidR="00EF5B27" w:rsidRDefault="00EF5B27">
            <w:pPr>
              <w:pStyle w:val="TableParagraph"/>
              <w:spacing w:before="7"/>
              <w:rPr>
                <w:sz w:val="2"/>
              </w:rPr>
            </w:pPr>
          </w:p>
          <w:p w14:paraId="6A0A246E" w14:textId="77777777" w:rsidR="00EF5B27" w:rsidRDefault="00000000">
            <w:pPr>
              <w:pStyle w:val="TableParagraph"/>
              <w:spacing w:line="48" w:lineRule="exact"/>
              <w:ind w:left="448"/>
              <w:rPr>
                <w:sz w:val="4"/>
              </w:rPr>
            </w:pPr>
            <w:r>
              <w:rPr>
                <w:sz w:val="4"/>
              </w:rPr>
            </w:r>
            <w:r>
              <w:rPr>
                <w:sz w:val="4"/>
              </w:rPr>
              <w:pict w14:anchorId="42FDA203">
                <v:group id="_x0000_s4025" style="width:2.45pt;height:2.45pt;mso-position-horizontal-relative:char;mso-position-vertical-relative:line" coordsize="49,49">
                  <v:shape id="_x0000_s4026" style="position:absolute;width:49;height:49" coordsize="49,49" path="m31,l18,,12,2,2,12,,17,,31r2,6l12,46r6,3l31,49r6,-3l46,37r3,-6l49,17,46,12,37,2,31,xe" fillcolor="#808285" stroked="f">
                    <v:path arrowok="t"/>
                  </v:shape>
                  <w10:wrap type="none"/>
                  <w10:anchorlock/>
                </v:group>
              </w:pict>
            </w:r>
          </w:p>
        </w:tc>
        <w:tc>
          <w:tcPr>
            <w:tcW w:w="964" w:type="dxa"/>
          </w:tcPr>
          <w:p w14:paraId="222474BE" w14:textId="77777777" w:rsidR="00EF5B27" w:rsidRDefault="00EF5B27">
            <w:pPr>
              <w:pStyle w:val="TableParagraph"/>
              <w:spacing w:before="11"/>
              <w:rPr>
                <w:sz w:val="11"/>
              </w:rPr>
            </w:pPr>
          </w:p>
          <w:p w14:paraId="6B9F5C43" w14:textId="77777777" w:rsidR="00EF5B27" w:rsidRDefault="00000000">
            <w:pPr>
              <w:pStyle w:val="TableParagraph"/>
              <w:ind w:left="318" w:right="323"/>
              <w:jc w:val="center"/>
              <w:rPr>
                <w:sz w:val="14"/>
              </w:rPr>
            </w:pPr>
            <w:r>
              <w:rPr>
                <w:color w:val="4D4D4F"/>
                <w:w w:val="105"/>
                <w:sz w:val="14"/>
              </w:rPr>
              <w:t>N/A</w:t>
            </w:r>
          </w:p>
        </w:tc>
        <w:tc>
          <w:tcPr>
            <w:tcW w:w="1489" w:type="dxa"/>
          </w:tcPr>
          <w:p w14:paraId="5BA35BDE" w14:textId="77777777" w:rsidR="00EF5B27" w:rsidRDefault="00000000">
            <w:pPr>
              <w:pStyle w:val="TableParagraph"/>
              <w:spacing w:before="134"/>
              <w:ind w:left="581"/>
              <w:rPr>
                <w:sz w:val="16"/>
              </w:rPr>
            </w:pPr>
            <w:r>
              <w:rPr>
                <w:color w:val="4D4D4F"/>
                <w:sz w:val="16"/>
              </w:rPr>
              <w:t>2026</w:t>
            </w:r>
          </w:p>
        </w:tc>
      </w:tr>
      <w:tr w:rsidR="00EF5B27" w14:paraId="5A69DB39" w14:textId="77777777">
        <w:trPr>
          <w:trHeight w:val="448"/>
        </w:trPr>
        <w:tc>
          <w:tcPr>
            <w:tcW w:w="2980" w:type="dxa"/>
          </w:tcPr>
          <w:p w14:paraId="467DDDCE" w14:textId="77777777" w:rsidR="00EF5B27" w:rsidRDefault="00EF5B27">
            <w:pPr>
              <w:pStyle w:val="TableParagraph"/>
              <w:spacing w:before="11"/>
              <w:rPr>
                <w:sz w:val="11"/>
              </w:rPr>
            </w:pPr>
          </w:p>
          <w:p w14:paraId="65B30605" w14:textId="77777777" w:rsidR="00EF5B27" w:rsidRDefault="00000000">
            <w:pPr>
              <w:pStyle w:val="TableParagraph"/>
              <w:ind w:left="80"/>
              <w:rPr>
                <w:sz w:val="14"/>
              </w:rPr>
            </w:pPr>
            <w:r>
              <w:rPr>
                <w:color w:val="4D4D4F"/>
                <w:w w:val="105"/>
                <w:sz w:val="14"/>
              </w:rPr>
              <w:t>De-rocked grassland</w:t>
            </w:r>
          </w:p>
        </w:tc>
        <w:tc>
          <w:tcPr>
            <w:tcW w:w="1078" w:type="dxa"/>
          </w:tcPr>
          <w:p w14:paraId="1FFAD405" w14:textId="77777777" w:rsidR="00EF5B27" w:rsidRDefault="00EF5B27">
            <w:pPr>
              <w:pStyle w:val="TableParagraph"/>
              <w:spacing w:before="11"/>
              <w:rPr>
                <w:sz w:val="11"/>
              </w:rPr>
            </w:pPr>
          </w:p>
          <w:p w14:paraId="74A4945D"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68DC97BD" w14:textId="77777777" w:rsidR="00EF5B27" w:rsidRDefault="00EF5B27">
            <w:pPr>
              <w:pStyle w:val="TableParagraph"/>
              <w:spacing w:before="11"/>
              <w:rPr>
                <w:sz w:val="11"/>
              </w:rPr>
            </w:pPr>
          </w:p>
          <w:p w14:paraId="71B6137C" w14:textId="77777777" w:rsidR="00EF5B27" w:rsidRDefault="00000000">
            <w:pPr>
              <w:pStyle w:val="TableParagraph"/>
              <w:ind w:left="143" w:right="142"/>
              <w:jc w:val="center"/>
              <w:rPr>
                <w:sz w:val="14"/>
              </w:rPr>
            </w:pPr>
            <w:r>
              <w:rPr>
                <w:color w:val="4D4D4F"/>
                <w:sz w:val="14"/>
              </w:rPr>
              <w:t>Baseline not yet set</w:t>
            </w:r>
          </w:p>
        </w:tc>
        <w:tc>
          <w:tcPr>
            <w:tcW w:w="964" w:type="dxa"/>
          </w:tcPr>
          <w:p w14:paraId="7116767A" w14:textId="77777777" w:rsidR="00EF5B27" w:rsidRDefault="00EF5B27">
            <w:pPr>
              <w:pStyle w:val="TableParagraph"/>
              <w:spacing w:before="4"/>
              <w:rPr>
                <w:sz w:val="7"/>
              </w:rPr>
            </w:pPr>
          </w:p>
          <w:p w14:paraId="05CC1F09" w14:textId="77777777" w:rsidR="00EF5B27" w:rsidRDefault="00000000">
            <w:pPr>
              <w:pStyle w:val="TableParagraph"/>
              <w:spacing w:line="187" w:lineRule="exact"/>
              <w:ind w:left="400"/>
              <w:rPr>
                <w:sz w:val="18"/>
              </w:rPr>
            </w:pPr>
            <w:r>
              <w:rPr>
                <w:noProof/>
                <w:position w:val="-3"/>
                <w:sz w:val="18"/>
              </w:rPr>
              <w:drawing>
                <wp:inline distT="0" distB="0" distL="0" distR="0" wp14:anchorId="173D3804" wp14:editId="229AACA6">
                  <wp:extent cx="100411" cy="118872"/>
                  <wp:effectExtent l="0" t="0" r="0" b="0"/>
                  <wp:docPr id="16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47.png"/>
                          <pic:cNvPicPr/>
                        </pic:nvPicPr>
                        <pic:blipFill>
                          <a:blip r:embed="rId78" cstate="print"/>
                          <a:stretch>
                            <a:fillRect/>
                          </a:stretch>
                        </pic:blipFill>
                        <pic:spPr>
                          <a:xfrm>
                            <a:off x="0" y="0"/>
                            <a:ext cx="100411" cy="118872"/>
                          </a:xfrm>
                          <a:prstGeom prst="rect">
                            <a:avLst/>
                          </a:prstGeom>
                        </pic:spPr>
                      </pic:pic>
                    </a:graphicData>
                  </a:graphic>
                </wp:inline>
              </w:drawing>
            </w:r>
          </w:p>
          <w:p w14:paraId="02CF415D" w14:textId="77777777" w:rsidR="00EF5B27" w:rsidRDefault="00EF5B27">
            <w:pPr>
              <w:pStyle w:val="TableParagraph"/>
              <w:spacing w:before="8"/>
              <w:rPr>
                <w:sz w:val="2"/>
              </w:rPr>
            </w:pPr>
          </w:p>
          <w:p w14:paraId="640B3CE3" w14:textId="77777777" w:rsidR="00EF5B27" w:rsidRDefault="00000000">
            <w:pPr>
              <w:pStyle w:val="TableParagraph"/>
              <w:spacing w:line="48" w:lineRule="exact"/>
              <w:ind w:left="448"/>
              <w:rPr>
                <w:sz w:val="4"/>
              </w:rPr>
            </w:pPr>
            <w:r>
              <w:rPr>
                <w:sz w:val="4"/>
              </w:rPr>
            </w:r>
            <w:r>
              <w:rPr>
                <w:sz w:val="4"/>
              </w:rPr>
              <w:pict w14:anchorId="3EEA5C7B">
                <v:group id="_x0000_s4023" style="width:2.45pt;height:2.45pt;mso-position-horizontal-relative:char;mso-position-vertical-relative:line" coordsize="49,49">
                  <v:shape id="_x0000_s4024" style="position:absolute;width:49;height:49" coordsize="49,49" path="m31,l18,,12,2,2,12,,17,,31r2,6l12,46r6,3l31,49r6,-3l46,37r3,-6l49,17,46,12,37,2,31,xe" fillcolor="#808285" stroked="f">
                    <v:path arrowok="t"/>
                  </v:shape>
                  <w10:wrap type="none"/>
                  <w10:anchorlock/>
                </v:group>
              </w:pict>
            </w:r>
          </w:p>
        </w:tc>
        <w:tc>
          <w:tcPr>
            <w:tcW w:w="964" w:type="dxa"/>
          </w:tcPr>
          <w:p w14:paraId="1E2BC1D6" w14:textId="77777777" w:rsidR="00EF5B27" w:rsidRDefault="00EF5B27">
            <w:pPr>
              <w:pStyle w:val="TableParagraph"/>
              <w:spacing w:before="11"/>
              <w:rPr>
                <w:sz w:val="11"/>
              </w:rPr>
            </w:pPr>
          </w:p>
          <w:p w14:paraId="0FB7F268" w14:textId="77777777" w:rsidR="00EF5B27" w:rsidRDefault="00000000">
            <w:pPr>
              <w:pStyle w:val="TableParagraph"/>
              <w:ind w:left="318" w:right="323"/>
              <w:jc w:val="center"/>
              <w:rPr>
                <w:sz w:val="14"/>
              </w:rPr>
            </w:pPr>
            <w:r>
              <w:rPr>
                <w:color w:val="4D4D4F"/>
                <w:w w:val="105"/>
                <w:sz w:val="14"/>
              </w:rPr>
              <w:t>N/A</w:t>
            </w:r>
          </w:p>
        </w:tc>
        <w:tc>
          <w:tcPr>
            <w:tcW w:w="1489" w:type="dxa"/>
          </w:tcPr>
          <w:p w14:paraId="1EDB3415" w14:textId="77777777" w:rsidR="00EF5B27" w:rsidRDefault="00000000">
            <w:pPr>
              <w:pStyle w:val="TableParagraph"/>
              <w:spacing w:before="134"/>
              <w:ind w:left="581"/>
              <w:rPr>
                <w:sz w:val="16"/>
              </w:rPr>
            </w:pPr>
            <w:r>
              <w:rPr>
                <w:color w:val="4D4D4F"/>
                <w:sz w:val="16"/>
              </w:rPr>
              <w:t>2026</w:t>
            </w:r>
          </w:p>
        </w:tc>
      </w:tr>
    </w:tbl>
    <w:p w14:paraId="2A0C127E" w14:textId="77777777" w:rsidR="00EF5B27" w:rsidRDefault="00EF5B27">
      <w:pPr>
        <w:pStyle w:val="BodyText"/>
        <w:spacing w:before="1"/>
        <w:rPr>
          <w:sz w:val="26"/>
        </w:rPr>
      </w:pPr>
    </w:p>
    <w:p w14:paraId="2C2E3E1F" w14:textId="77777777" w:rsidR="00EF5B27" w:rsidRDefault="00000000">
      <w:pPr>
        <w:pStyle w:val="BodyText"/>
        <w:spacing w:before="100" w:line="254" w:lineRule="auto"/>
        <w:ind w:left="2608" w:right="176"/>
        <w:jc w:val="both"/>
      </w:pPr>
      <w:r>
        <w:rPr>
          <w:color w:val="4D4D4F"/>
        </w:rPr>
        <w:t>Comments: 2021 was the first year of data collection at a single site. Baselines are not yet set for KPI 3. Status assessments are therefore not provided here, any trends are unclear and data confidence assessments are not</w:t>
      </w:r>
      <w:r>
        <w:rPr>
          <w:color w:val="4D4D4F"/>
          <w:spacing w:val="32"/>
        </w:rPr>
        <w:t xml:space="preserve"> </w:t>
      </w:r>
      <w:r>
        <w:rPr>
          <w:color w:val="4D4D4F"/>
        </w:rPr>
        <w:t>applicable.</w:t>
      </w:r>
    </w:p>
    <w:p w14:paraId="0511F6A5" w14:textId="77777777" w:rsidR="00EF5B27" w:rsidRDefault="00EF5B27">
      <w:pPr>
        <w:pStyle w:val="BodyText"/>
      </w:pPr>
    </w:p>
    <w:p w14:paraId="1D2FC114" w14:textId="77777777" w:rsidR="00EF5B27" w:rsidRDefault="00EF5B27">
      <w:pPr>
        <w:pStyle w:val="BodyText"/>
        <w:spacing w:before="9"/>
        <w:rPr>
          <w:sz w:val="11"/>
        </w:rPr>
      </w:pPr>
    </w:p>
    <w:tbl>
      <w:tblPr>
        <w:tblW w:w="0" w:type="auto"/>
        <w:tblInd w:w="12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2C657C21" w14:textId="77777777">
        <w:trPr>
          <w:trHeight w:val="561"/>
        </w:trPr>
        <w:tc>
          <w:tcPr>
            <w:tcW w:w="2980" w:type="dxa"/>
            <w:shd w:val="clear" w:color="auto" w:fill="FECC91"/>
          </w:tcPr>
          <w:p w14:paraId="4C0EEB64" w14:textId="77777777" w:rsidR="00EF5B27" w:rsidRDefault="00000000">
            <w:pPr>
              <w:pStyle w:val="TableParagraph"/>
              <w:spacing w:before="91" w:line="244" w:lineRule="auto"/>
              <w:ind w:left="80" w:right="540"/>
              <w:rPr>
                <w:b/>
                <w:sz w:val="16"/>
              </w:rPr>
            </w:pPr>
            <w:r>
              <w:rPr>
                <w:b/>
                <w:sz w:val="16"/>
              </w:rPr>
              <w:t>KPI 4: Cover of native grass (</w:t>
            </w:r>
            <w:r>
              <w:rPr>
                <w:b/>
                <w:i/>
                <w:sz w:val="16"/>
              </w:rPr>
              <w:t xml:space="preserve">Themeda triandra </w:t>
            </w:r>
            <w:r>
              <w:rPr>
                <w:b/>
                <w:sz w:val="16"/>
              </w:rPr>
              <w:t>and Poa)</w:t>
            </w:r>
          </w:p>
        </w:tc>
        <w:tc>
          <w:tcPr>
            <w:tcW w:w="1078" w:type="dxa"/>
            <w:shd w:val="clear" w:color="auto" w:fill="FECC91"/>
          </w:tcPr>
          <w:p w14:paraId="73692DF9"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251590B6" w14:textId="77777777" w:rsidR="00EF5B27" w:rsidRDefault="00EF5B27">
            <w:pPr>
              <w:pStyle w:val="TableParagraph"/>
              <w:spacing w:before="7"/>
              <w:rPr>
                <w:sz w:val="15"/>
              </w:rPr>
            </w:pPr>
          </w:p>
          <w:p w14:paraId="475D5548"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629D89B7" w14:textId="77777777" w:rsidR="00EF5B27" w:rsidRDefault="00EF5B27">
            <w:pPr>
              <w:pStyle w:val="TableParagraph"/>
              <w:spacing w:before="7"/>
              <w:rPr>
                <w:sz w:val="15"/>
              </w:rPr>
            </w:pPr>
          </w:p>
          <w:p w14:paraId="50B91429"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67474B33"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351CC95B" w14:textId="77777777" w:rsidR="00EF5B27" w:rsidRDefault="00000000">
            <w:pPr>
              <w:pStyle w:val="TableParagraph"/>
              <w:spacing w:before="91" w:line="244" w:lineRule="auto"/>
              <w:ind w:left="219" w:hanging="92"/>
              <w:rPr>
                <w:b/>
                <w:sz w:val="16"/>
              </w:rPr>
            </w:pPr>
            <w:r>
              <w:rPr>
                <w:b/>
                <w:sz w:val="16"/>
              </w:rPr>
              <w:t>Year that baseline was/will be set</w:t>
            </w:r>
          </w:p>
        </w:tc>
      </w:tr>
      <w:tr w:rsidR="00EF5B27" w14:paraId="1C490EB9" w14:textId="77777777">
        <w:trPr>
          <w:trHeight w:val="448"/>
        </w:trPr>
        <w:tc>
          <w:tcPr>
            <w:tcW w:w="2980" w:type="dxa"/>
          </w:tcPr>
          <w:p w14:paraId="4C57D02F" w14:textId="77777777" w:rsidR="00EF5B27" w:rsidRDefault="00EF5B27">
            <w:pPr>
              <w:pStyle w:val="TableParagraph"/>
              <w:spacing w:before="11"/>
              <w:rPr>
                <w:sz w:val="11"/>
              </w:rPr>
            </w:pPr>
          </w:p>
          <w:p w14:paraId="5FDA7EE1" w14:textId="77777777" w:rsidR="00EF5B27" w:rsidRDefault="00000000">
            <w:pPr>
              <w:pStyle w:val="TableParagraph"/>
              <w:ind w:left="80"/>
              <w:rPr>
                <w:sz w:val="14"/>
              </w:rPr>
            </w:pPr>
            <w:r>
              <w:rPr>
                <w:color w:val="4D4D4F"/>
                <w:w w:val="105"/>
                <w:sz w:val="14"/>
              </w:rPr>
              <w:t>Herb-rich grassland</w:t>
            </w:r>
          </w:p>
        </w:tc>
        <w:tc>
          <w:tcPr>
            <w:tcW w:w="1078" w:type="dxa"/>
          </w:tcPr>
          <w:p w14:paraId="5C42557A" w14:textId="77777777" w:rsidR="00EF5B27" w:rsidRDefault="00EF5B27">
            <w:pPr>
              <w:pStyle w:val="TableParagraph"/>
              <w:spacing w:before="11"/>
              <w:rPr>
                <w:sz w:val="11"/>
              </w:rPr>
            </w:pPr>
          </w:p>
          <w:p w14:paraId="77D61E0E"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6C4BFF23" w14:textId="77777777" w:rsidR="00EF5B27" w:rsidRDefault="00EF5B27">
            <w:pPr>
              <w:pStyle w:val="TableParagraph"/>
              <w:spacing w:before="11"/>
              <w:rPr>
                <w:sz w:val="11"/>
              </w:rPr>
            </w:pPr>
          </w:p>
          <w:p w14:paraId="3A87CBE4" w14:textId="77777777" w:rsidR="00EF5B27" w:rsidRDefault="00000000">
            <w:pPr>
              <w:pStyle w:val="TableParagraph"/>
              <w:ind w:left="143" w:right="142"/>
              <w:jc w:val="center"/>
              <w:rPr>
                <w:sz w:val="14"/>
              </w:rPr>
            </w:pPr>
            <w:r>
              <w:rPr>
                <w:color w:val="4D4D4F"/>
                <w:sz w:val="14"/>
              </w:rPr>
              <w:t>Baseline not yet set</w:t>
            </w:r>
          </w:p>
        </w:tc>
        <w:tc>
          <w:tcPr>
            <w:tcW w:w="964" w:type="dxa"/>
          </w:tcPr>
          <w:p w14:paraId="06A5AC25" w14:textId="77777777" w:rsidR="00EF5B27" w:rsidRDefault="00EF5B27">
            <w:pPr>
              <w:pStyle w:val="TableParagraph"/>
              <w:spacing w:before="4"/>
              <w:rPr>
                <w:sz w:val="7"/>
              </w:rPr>
            </w:pPr>
          </w:p>
          <w:p w14:paraId="1CC9B167" w14:textId="77777777" w:rsidR="00EF5B27" w:rsidRDefault="00000000">
            <w:pPr>
              <w:pStyle w:val="TableParagraph"/>
              <w:spacing w:line="187" w:lineRule="exact"/>
              <w:ind w:left="400"/>
              <w:rPr>
                <w:sz w:val="18"/>
              </w:rPr>
            </w:pPr>
            <w:r>
              <w:rPr>
                <w:noProof/>
                <w:position w:val="-3"/>
                <w:sz w:val="18"/>
              </w:rPr>
              <w:drawing>
                <wp:inline distT="0" distB="0" distL="0" distR="0" wp14:anchorId="3FEAA922" wp14:editId="28675E03">
                  <wp:extent cx="100572" cy="119062"/>
                  <wp:effectExtent l="0" t="0" r="0" b="0"/>
                  <wp:docPr id="169"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75.png"/>
                          <pic:cNvPicPr/>
                        </pic:nvPicPr>
                        <pic:blipFill>
                          <a:blip r:embed="rId76" cstate="print"/>
                          <a:stretch>
                            <a:fillRect/>
                          </a:stretch>
                        </pic:blipFill>
                        <pic:spPr>
                          <a:xfrm>
                            <a:off x="0" y="0"/>
                            <a:ext cx="100572" cy="119062"/>
                          </a:xfrm>
                          <a:prstGeom prst="rect">
                            <a:avLst/>
                          </a:prstGeom>
                        </pic:spPr>
                      </pic:pic>
                    </a:graphicData>
                  </a:graphic>
                </wp:inline>
              </w:drawing>
            </w:r>
          </w:p>
          <w:p w14:paraId="00A78B79" w14:textId="77777777" w:rsidR="00EF5B27" w:rsidRDefault="00EF5B27">
            <w:pPr>
              <w:pStyle w:val="TableParagraph"/>
              <w:spacing w:before="8"/>
              <w:rPr>
                <w:sz w:val="2"/>
              </w:rPr>
            </w:pPr>
          </w:p>
          <w:p w14:paraId="369E4646" w14:textId="77777777" w:rsidR="00EF5B27" w:rsidRDefault="00000000">
            <w:pPr>
              <w:pStyle w:val="TableParagraph"/>
              <w:spacing w:line="48" w:lineRule="exact"/>
              <w:ind w:left="448"/>
              <w:rPr>
                <w:sz w:val="4"/>
              </w:rPr>
            </w:pPr>
            <w:r>
              <w:rPr>
                <w:sz w:val="4"/>
              </w:rPr>
            </w:r>
            <w:r>
              <w:rPr>
                <w:sz w:val="4"/>
              </w:rPr>
              <w:pict w14:anchorId="0FEDD366">
                <v:group id="_x0000_s4021" style="width:2.45pt;height:2.45pt;mso-position-horizontal-relative:char;mso-position-vertical-relative:line" coordsize="49,49">
                  <v:shape id="_x0000_s4022" style="position:absolute;width:49;height:49" coordsize="49,49" path="m31,l18,,12,2,2,12,,17,,31r2,6l12,46r6,3l31,49r6,-3l46,37r3,-6l49,17,46,12,37,2,31,xe" fillcolor="#808285" stroked="f">
                    <v:path arrowok="t"/>
                  </v:shape>
                  <w10:wrap type="none"/>
                  <w10:anchorlock/>
                </v:group>
              </w:pict>
            </w:r>
          </w:p>
        </w:tc>
        <w:tc>
          <w:tcPr>
            <w:tcW w:w="964" w:type="dxa"/>
          </w:tcPr>
          <w:p w14:paraId="70FAB070" w14:textId="77777777" w:rsidR="00EF5B27" w:rsidRDefault="00EF5B27">
            <w:pPr>
              <w:pStyle w:val="TableParagraph"/>
              <w:spacing w:before="11"/>
              <w:rPr>
                <w:sz w:val="11"/>
              </w:rPr>
            </w:pPr>
          </w:p>
          <w:p w14:paraId="5C4FA927" w14:textId="77777777" w:rsidR="00EF5B27" w:rsidRDefault="00000000">
            <w:pPr>
              <w:pStyle w:val="TableParagraph"/>
              <w:ind w:left="318" w:right="323"/>
              <w:jc w:val="center"/>
              <w:rPr>
                <w:sz w:val="14"/>
              </w:rPr>
            </w:pPr>
            <w:r>
              <w:rPr>
                <w:color w:val="4D4D4F"/>
                <w:w w:val="105"/>
                <w:sz w:val="14"/>
              </w:rPr>
              <w:t>N/A</w:t>
            </w:r>
          </w:p>
        </w:tc>
        <w:tc>
          <w:tcPr>
            <w:tcW w:w="1489" w:type="dxa"/>
          </w:tcPr>
          <w:p w14:paraId="77192FBB" w14:textId="77777777" w:rsidR="00EF5B27" w:rsidRDefault="00000000">
            <w:pPr>
              <w:pStyle w:val="TableParagraph"/>
              <w:spacing w:before="134"/>
              <w:ind w:left="581"/>
              <w:rPr>
                <w:sz w:val="16"/>
              </w:rPr>
            </w:pPr>
            <w:r>
              <w:rPr>
                <w:color w:val="4D4D4F"/>
                <w:sz w:val="16"/>
              </w:rPr>
              <w:t>2026</w:t>
            </w:r>
          </w:p>
        </w:tc>
      </w:tr>
      <w:tr w:rsidR="00EF5B27" w14:paraId="2F7496AD" w14:textId="77777777">
        <w:trPr>
          <w:trHeight w:val="448"/>
        </w:trPr>
        <w:tc>
          <w:tcPr>
            <w:tcW w:w="2980" w:type="dxa"/>
          </w:tcPr>
          <w:p w14:paraId="39C6975D" w14:textId="77777777" w:rsidR="00EF5B27" w:rsidRDefault="00EF5B27">
            <w:pPr>
              <w:pStyle w:val="TableParagraph"/>
              <w:spacing w:before="11"/>
              <w:rPr>
                <w:sz w:val="11"/>
              </w:rPr>
            </w:pPr>
          </w:p>
          <w:p w14:paraId="12A9A18E" w14:textId="77777777" w:rsidR="00EF5B27" w:rsidRDefault="00000000">
            <w:pPr>
              <w:pStyle w:val="TableParagraph"/>
              <w:ind w:left="80"/>
              <w:rPr>
                <w:sz w:val="14"/>
              </w:rPr>
            </w:pPr>
            <w:r>
              <w:rPr>
                <w:rFonts w:ascii="Arial Narrow"/>
                <w:i/>
                <w:color w:val="4D4D4F"/>
                <w:w w:val="110"/>
                <w:sz w:val="14"/>
              </w:rPr>
              <w:t xml:space="preserve">Themeda </w:t>
            </w:r>
            <w:r>
              <w:rPr>
                <w:color w:val="4D4D4F"/>
                <w:w w:val="110"/>
                <w:sz w:val="14"/>
              </w:rPr>
              <w:t>grassland</w:t>
            </w:r>
          </w:p>
        </w:tc>
        <w:tc>
          <w:tcPr>
            <w:tcW w:w="1078" w:type="dxa"/>
          </w:tcPr>
          <w:p w14:paraId="10A7851A" w14:textId="77777777" w:rsidR="00EF5B27" w:rsidRDefault="00EF5B27">
            <w:pPr>
              <w:pStyle w:val="TableParagraph"/>
              <w:spacing w:before="11"/>
              <w:rPr>
                <w:sz w:val="11"/>
              </w:rPr>
            </w:pPr>
          </w:p>
          <w:p w14:paraId="05A9F8FC"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64C19A69" w14:textId="77777777" w:rsidR="00EF5B27" w:rsidRDefault="00EF5B27">
            <w:pPr>
              <w:pStyle w:val="TableParagraph"/>
              <w:spacing w:before="11"/>
              <w:rPr>
                <w:sz w:val="11"/>
              </w:rPr>
            </w:pPr>
          </w:p>
          <w:p w14:paraId="724D9731" w14:textId="77777777" w:rsidR="00EF5B27" w:rsidRDefault="00000000">
            <w:pPr>
              <w:pStyle w:val="TableParagraph"/>
              <w:ind w:left="143" w:right="142"/>
              <w:jc w:val="center"/>
              <w:rPr>
                <w:sz w:val="14"/>
              </w:rPr>
            </w:pPr>
            <w:r>
              <w:rPr>
                <w:color w:val="4D4D4F"/>
                <w:sz w:val="14"/>
              </w:rPr>
              <w:t>Baseline not yet set</w:t>
            </w:r>
          </w:p>
        </w:tc>
        <w:tc>
          <w:tcPr>
            <w:tcW w:w="964" w:type="dxa"/>
          </w:tcPr>
          <w:p w14:paraId="25AE25F8" w14:textId="77777777" w:rsidR="00EF5B27" w:rsidRDefault="00EF5B27">
            <w:pPr>
              <w:pStyle w:val="TableParagraph"/>
              <w:spacing w:before="4"/>
              <w:rPr>
                <w:sz w:val="7"/>
              </w:rPr>
            </w:pPr>
          </w:p>
          <w:p w14:paraId="24F3559D" w14:textId="77777777" w:rsidR="00EF5B27" w:rsidRDefault="00000000">
            <w:pPr>
              <w:pStyle w:val="TableParagraph"/>
              <w:spacing w:line="187" w:lineRule="exact"/>
              <w:ind w:left="400"/>
              <w:rPr>
                <w:sz w:val="18"/>
              </w:rPr>
            </w:pPr>
            <w:r>
              <w:rPr>
                <w:noProof/>
                <w:position w:val="-3"/>
                <w:sz w:val="18"/>
              </w:rPr>
              <w:drawing>
                <wp:inline distT="0" distB="0" distL="0" distR="0" wp14:anchorId="31D3BA03" wp14:editId="2293C348">
                  <wp:extent cx="100572" cy="119062"/>
                  <wp:effectExtent l="0" t="0" r="0" b="0"/>
                  <wp:docPr id="171"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76.png"/>
                          <pic:cNvPicPr/>
                        </pic:nvPicPr>
                        <pic:blipFill>
                          <a:blip r:embed="rId75" cstate="print"/>
                          <a:stretch>
                            <a:fillRect/>
                          </a:stretch>
                        </pic:blipFill>
                        <pic:spPr>
                          <a:xfrm>
                            <a:off x="0" y="0"/>
                            <a:ext cx="100572" cy="119062"/>
                          </a:xfrm>
                          <a:prstGeom prst="rect">
                            <a:avLst/>
                          </a:prstGeom>
                        </pic:spPr>
                      </pic:pic>
                    </a:graphicData>
                  </a:graphic>
                </wp:inline>
              </w:drawing>
            </w:r>
          </w:p>
          <w:p w14:paraId="26283C8E" w14:textId="77777777" w:rsidR="00EF5B27" w:rsidRDefault="00EF5B27">
            <w:pPr>
              <w:pStyle w:val="TableParagraph"/>
              <w:spacing w:before="8"/>
              <w:rPr>
                <w:sz w:val="2"/>
              </w:rPr>
            </w:pPr>
          </w:p>
          <w:p w14:paraId="70A7E93A" w14:textId="77777777" w:rsidR="00EF5B27" w:rsidRDefault="00000000">
            <w:pPr>
              <w:pStyle w:val="TableParagraph"/>
              <w:spacing w:line="48" w:lineRule="exact"/>
              <w:ind w:left="448"/>
              <w:rPr>
                <w:sz w:val="4"/>
              </w:rPr>
            </w:pPr>
            <w:r>
              <w:rPr>
                <w:sz w:val="4"/>
              </w:rPr>
            </w:r>
            <w:r>
              <w:rPr>
                <w:sz w:val="4"/>
              </w:rPr>
              <w:pict w14:anchorId="2D97AA16">
                <v:group id="_x0000_s4019" style="width:2.45pt;height:2.45pt;mso-position-horizontal-relative:char;mso-position-vertical-relative:line" coordsize="49,49">
                  <v:shape id="_x0000_s4020" style="position:absolute;width:49;height:49" coordsize="49,49" path="m31,l18,,12,2,2,12,,17,,31r2,6l12,46r6,3l31,49r6,-3l46,37r3,-6l49,17,46,12,37,2,31,xe" fillcolor="#808285" stroked="f">
                    <v:path arrowok="t"/>
                  </v:shape>
                  <w10:wrap type="none"/>
                  <w10:anchorlock/>
                </v:group>
              </w:pict>
            </w:r>
          </w:p>
        </w:tc>
        <w:tc>
          <w:tcPr>
            <w:tcW w:w="964" w:type="dxa"/>
          </w:tcPr>
          <w:p w14:paraId="74AB4782" w14:textId="77777777" w:rsidR="00EF5B27" w:rsidRDefault="00EF5B27">
            <w:pPr>
              <w:pStyle w:val="TableParagraph"/>
              <w:spacing w:before="11"/>
              <w:rPr>
                <w:sz w:val="11"/>
              </w:rPr>
            </w:pPr>
          </w:p>
          <w:p w14:paraId="69E346BA" w14:textId="77777777" w:rsidR="00EF5B27" w:rsidRDefault="00000000">
            <w:pPr>
              <w:pStyle w:val="TableParagraph"/>
              <w:ind w:left="318" w:right="323"/>
              <w:jc w:val="center"/>
              <w:rPr>
                <w:sz w:val="14"/>
              </w:rPr>
            </w:pPr>
            <w:r>
              <w:rPr>
                <w:color w:val="4D4D4F"/>
                <w:w w:val="105"/>
                <w:sz w:val="14"/>
              </w:rPr>
              <w:t>N/A</w:t>
            </w:r>
          </w:p>
        </w:tc>
        <w:tc>
          <w:tcPr>
            <w:tcW w:w="1489" w:type="dxa"/>
          </w:tcPr>
          <w:p w14:paraId="4F1D3B31" w14:textId="77777777" w:rsidR="00EF5B27" w:rsidRDefault="00000000">
            <w:pPr>
              <w:pStyle w:val="TableParagraph"/>
              <w:spacing w:before="134"/>
              <w:ind w:left="581"/>
              <w:rPr>
                <w:sz w:val="16"/>
              </w:rPr>
            </w:pPr>
            <w:r>
              <w:rPr>
                <w:color w:val="4D4D4F"/>
                <w:sz w:val="16"/>
              </w:rPr>
              <w:t>2026</w:t>
            </w:r>
          </w:p>
        </w:tc>
      </w:tr>
      <w:tr w:rsidR="00EF5B27" w14:paraId="6654089B" w14:textId="77777777">
        <w:trPr>
          <w:trHeight w:val="448"/>
        </w:trPr>
        <w:tc>
          <w:tcPr>
            <w:tcW w:w="2980" w:type="dxa"/>
          </w:tcPr>
          <w:p w14:paraId="26C53674" w14:textId="77777777" w:rsidR="00EF5B27" w:rsidRDefault="00EF5B27">
            <w:pPr>
              <w:pStyle w:val="TableParagraph"/>
              <w:spacing w:before="11"/>
              <w:rPr>
                <w:sz w:val="11"/>
              </w:rPr>
            </w:pPr>
          </w:p>
          <w:p w14:paraId="76C6BE2E" w14:textId="77777777" w:rsidR="00EF5B27" w:rsidRDefault="00000000">
            <w:pPr>
              <w:pStyle w:val="TableParagraph"/>
              <w:ind w:left="80"/>
              <w:rPr>
                <w:sz w:val="14"/>
              </w:rPr>
            </w:pPr>
            <w:r>
              <w:rPr>
                <w:color w:val="4D4D4F"/>
                <w:w w:val="105"/>
                <w:sz w:val="14"/>
              </w:rPr>
              <w:t>C3 grassland</w:t>
            </w:r>
          </w:p>
        </w:tc>
        <w:tc>
          <w:tcPr>
            <w:tcW w:w="1078" w:type="dxa"/>
          </w:tcPr>
          <w:p w14:paraId="417AD3D6" w14:textId="77777777" w:rsidR="00EF5B27" w:rsidRDefault="00EF5B27">
            <w:pPr>
              <w:pStyle w:val="TableParagraph"/>
              <w:spacing w:before="11"/>
              <w:rPr>
                <w:sz w:val="11"/>
              </w:rPr>
            </w:pPr>
          </w:p>
          <w:p w14:paraId="201D8C97"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28A73A26" w14:textId="77777777" w:rsidR="00EF5B27" w:rsidRDefault="00EF5B27">
            <w:pPr>
              <w:pStyle w:val="TableParagraph"/>
              <w:spacing w:before="11"/>
              <w:rPr>
                <w:sz w:val="11"/>
              </w:rPr>
            </w:pPr>
          </w:p>
          <w:p w14:paraId="326E8D9C" w14:textId="77777777" w:rsidR="00EF5B27" w:rsidRDefault="00000000">
            <w:pPr>
              <w:pStyle w:val="TableParagraph"/>
              <w:ind w:left="143" w:right="142"/>
              <w:jc w:val="center"/>
              <w:rPr>
                <w:sz w:val="14"/>
              </w:rPr>
            </w:pPr>
            <w:r>
              <w:rPr>
                <w:color w:val="4D4D4F"/>
                <w:sz w:val="14"/>
              </w:rPr>
              <w:t>Baseline not yet set</w:t>
            </w:r>
          </w:p>
        </w:tc>
        <w:tc>
          <w:tcPr>
            <w:tcW w:w="964" w:type="dxa"/>
          </w:tcPr>
          <w:p w14:paraId="563B704A" w14:textId="77777777" w:rsidR="00EF5B27" w:rsidRDefault="00EF5B27">
            <w:pPr>
              <w:pStyle w:val="TableParagraph"/>
              <w:spacing w:before="4"/>
              <w:rPr>
                <w:sz w:val="7"/>
              </w:rPr>
            </w:pPr>
          </w:p>
          <w:p w14:paraId="414F9FD3" w14:textId="77777777" w:rsidR="00EF5B27" w:rsidRDefault="00000000">
            <w:pPr>
              <w:pStyle w:val="TableParagraph"/>
              <w:spacing w:line="187" w:lineRule="exact"/>
              <w:ind w:left="400"/>
              <w:rPr>
                <w:sz w:val="18"/>
              </w:rPr>
            </w:pPr>
            <w:r>
              <w:rPr>
                <w:noProof/>
                <w:position w:val="-3"/>
                <w:sz w:val="18"/>
              </w:rPr>
              <w:drawing>
                <wp:inline distT="0" distB="0" distL="0" distR="0" wp14:anchorId="2E64EB6E" wp14:editId="70A8A1D7">
                  <wp:extent cx="100572" cy="119062"/>
                  <wp:effectExtent l="0" t="0" r="0" b="0"/>
                  <wp:docPr id="173"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77.png"/>
                          <pic:cNvPicPr/>
                        </pic:nvPicPr>
                        <pic:blipFill>
                          <a:blip r:embed="rId76" cstate="print"/>
                          <a:stretch>
                            <a:fillRect/>
                          </a:stretch>
                        </pic:blipFill>
                        <pic:spPr>
                          <a:xfrm>
                            <a:off x="0" y="0"/>
                            <a:ext cx="100572" cy="119062"/>
                          </a:xfrm>
                          <a:prstGeom prst="rect">
                            <a:avLst/>
                          </a:prstGeom>
                        </pic:spPr>
                      </pic:pic>
                    </a:graphicData>
                  </a:graphic>
                </wp:inline>
              </w:drawing>
            </w:r>
          </w:p>
          <w:p w14:paraId="26B32C6F" w14:textId="77777777" w:rsidR="00EF5B27" w:rsidRDefault="00EF5B27">
            <w:pPr>
              <w:pStyle w:val="TableParagraph"/>
              <w:spacing w:before="8"/>
              <w:rPr>
                <w:sz w:val="2"/>
              </w:rPr>
            </w:pPr>
          </w:p>
          <w:p w14:paraId="42BC5C71" w14:textId="77777777" w:rsidR="00EF5B27" w:rsidRDefault="00000000">
            <w:pPr>
              <w:pStyle w:val="TableParagraph"/>
              <w:spacing w:line="48" w:lineRule="exact"/>
              <w:ind w:left="448"/>
              <w:rPr>
                <w:sz w:val="4"/>
              </w:rPr>
            </w:pPr>
            <w:r>
              <w:rPr>
                <w:sz w:val="4"/>
              </w:rPr>
            </w:r>
            <w:r>
              <w:rPr>
                <w:sz w:val="4"/>
              </w:rPr>
              <w:pict w14:anchorId="42223491">
                <v:group id="_x0000_s4017" style="width:2.45pt;height:2.45pt;mso-position-horizontal-relative:char;mso-position-vertical-relative:line" coordsize="49,49">
                  <v:shape id="_x0000_s4018" style="position:absolute;width:49;height:49" coordsize="49,49" path="m31,l18,,12,2,2,12,,17,,31r2,6l12,46r6,3l31,49r6,-3l46,37r3,-6l49,17,46,12,37,2,31,xe" fillcolor="#808285" stroked="f">
                    <v:path arrowok="t"/>
                  </v:shape>
                  <w10:wrap type="none"/>
                  <w10:anchorlock/>
                </v:group>
              </w:pict>
            </w:r>
          </w:p>
        </w:tc>
        <w:tc>
          <w:tcPr>
            <w:tcW w:w="964" w:type="dxa"/>
          </w:tcPr>
          <w:p w14:paraId="4F3324C8" w14:textId="77777777" w:rsidR="00EF5B27" w:rsidRDefault="00EF5B27">
            <w:pPr>
              <w:pStyle w:val="TableParagraph"/>
              <w:spacing w:before="11"/>
              <w:rPr>
                <w:sz w:val="11"/>
              </w:rPr>
            </w:pPr>
          </w:p>
          <w:p w14:paraId="7816DC4D" w14:textId="77777777" w:rsidR="00EF5B27" w:rsidRDefault="00000000">
            <w:pPr>
              <w:pStyle w:val="TableParagraph"/>
              <w:ind w:left="318" w:right="323"/>
              <w:jc w:val="center"/>
              <w:rPr>
                <w:sz w:val="14"/>
              </w:rPr>
            </w:pPr>
            <w:r>
              <w:rPr>
                <w:color w:val="4D4D4F"/>
                <w:w w:val="105"/>
                <w:sz w:val="14"/>
              </w:rPr>
              <w:t>N/A</w:t>
            </w:r>
          </w:p>
        </w:tc>
        <w:tc>
          <w:tcPr>
            <w:tcW w:w="1489" w:type="dxa"/>
          </w:tcPr>
          <w:p w14:paraId="200E7966" w14:textId="77777777" w:rsidR="00EF5B27" w:rsidRDefault="00000000">
            <w:pPr>
              <w:pStyle w:val="TableParagraph"/>
              <w:spacing w:before="134"/>
              <w:ind w:left="581"/>
              <w:rPr>
                <w:sz w:val="16"/>
              </w:rPr>
            </w:pPr>
            <w:r>
              <w:rPr>
                <w:color w:val="4D4D4F"/>
                <w:sz w:val="16"/>
              </w:rPr>
              <w:t>2026</w:t>
            </w:r>
          </w:p>
        </w:tc>
      </w:tr>
      <w:tr w:rsidR="00EF5B27" w14:paraId="2378D82D" w14:textId="77777777">
        <w:trPr>
          <w:trHeight w:val="448"/>
        </w:trPr>
        <w:tc>
          <w:tcPr>
            <w:tcW w:w="2980" w:type="dxa"/>
          </w:tcPr>
          <w:p w14:paraId="40DB183F" w14:textId="77777777" w:rsidR="00EF5B27" w:rsidRDefault="00EF5B27">
            <w:pPr>
              <w:pStyle w:val="TableParagraph"/>
              <w:spacing w:before="11"/>
              <w:rPr>
                <w:sz w:val="11"/>
              </w:rPr>
            </w:pPr>
          </w:p>
          <w:p w14:paraId="303DFEFB" w14:textId="77777777" w:rsidR="00EF5B27" w:rsidRDefault="00000000">
            <w:pPr>
              <w:pStyle w:val="TableParagraph"/>
              <w:ind w:left="80"/>
              <w:rPr>
                <w:sz w:val="14"/>
              </w:rPr>
            </w:pPr>
            <w:r>
              <w:rPr>
                <w:color w:val="4D4D4F"/>
                <w:w w:val="105"/>
                <w:sz w:val="14"/>
              </w:rPr>
              <w:t>Nutrient-enriched grassland</w:t>
            </w:r>
          </w:p>
        </w:tc>
        <w:tc>
          <w:tcPr>
            <w:tcW w:w="1078" w:type="dxa"/>
          </w:tcPr>
          <w:p w14:paraId="556BB1B5" w14:textId="77777777" w:rsidR="00EF5B27" w:rsidRDefault="00EF5B27">
            <w:pPr>
              <w:pStyle w:val="TableParagraph"/>
              <w:spacing w:before="11"/>
              <w:rPr>
                <w:sz w:val="11"/>
              </w:rPr>
            </w:pPr>
          </w:p>
          <w:p w14:paraId="1F8D5462"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0BEAEF19" w14:textId="77777777" w:rsidR="00EF5B27" w:rsidRDefault="00EF5B27">
            <w:pPr>
              <w:pStyle w:val="TableParagraph"/>
              <w:spacing w:before="11"/>
              <w:rPr>
                <w:sz w:val="11"/>
              </w:rPr>
            </w:pPr>
          </w:p>
          <w:p w14:paraId="4EE34E19" w14:textId="77777777" w:rsidR="00EF5B27" w:rsidRDefault="00000000">
            <w:pPr>
              <w:pStyle w:val="TableParagraph"/>
              <w:ind w:left="143" w:right="142"/>
              <w:jc w:val="center"/>
              <w:rPr>
                <w:sz w:val="14"/>
              </w:rPr>
            </w:pPr>
            <w:r>
              <w:rPr>
                <w:color w:val="4D4D4F"/>
                <w:sz w:val="14"/>
              </w:rPr>
              <w:t>Baseline not yet set</w:t>
            </w:r>
          </w:p>
        </w:tc>
        <w:tc>
          <w:tcPr>
            <w:tcW w:w="964" w:type="dxa"/>
          </w:tcPr>
          <w:p w14:paraId="013801E2" w14:textId="77777777" w:rsidR="00EF5B27" w:rsidRDefault="00EF5B27">
            <w:pPr>
              <w:pStyle w:val="TableParagraph"/>
              <w:spacing w:before="5"/>
              <w:rPr>
                <w:sz w:val="7"/>
              </w:rPr>
            </w:pPr>
          </w:p>
          <w:p w14:paraId="5CACE4AF" w14:textId="77777777" w:rsidR="00EF5B27" w:rsidRDefault="00000000">
            <w:pPr>
              <w:pStyle w:val="TableParagraph"/>
              <w:spacing w:line="187" w:lineRule="exact"/>
              <w:ind w:left="400"/>
              <w:rPr>
                <w:sz w:val="18"/>
              </w:rPr>
            </w:pPr>
            <w:r>
              <w:rPr>
                <w:noProof/>
                <w:position w:val="-3"/>
                <w:sz w:val="18"/>
              </w:rPr>
              <w:drawing>
                <wp:inline distT="0" distB="0" distL="0" distR="0" wp14:anchorId="3547882D" wp14:editId="143FF699">
                  <wp:extent cx="100572" cy="119062"/>
                  <wp:effectExtent l="0" t="0" r="0" b="0"/>
                  <wp:docPr id="17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78.png"/>
                          <pic:cNvPicPr/>
                        </pic:nvPicPr>
                        <pic:blipFill>
                          <a:blip r:embed="rId75" cstate="print"/>
                          <a:stretch>
                            <a:fillRect/>
                          </a:stretch>
                        </pic:blipFill>
                        <pic:spPr>
                          <a:xfrm>
                            <a:off x="0" y="0"/>
                            <a:ext cx="100572" cy="119062"/>
                          </a:xfrm>
                          <a:prstGeom prst="rect">
                            <a:avLst/>
                          </a:prstGeom>
                        </pic:spPr>
                      </pic:pic>
                    </a:graphicData>
                  </a:graphic>
                </wp:inline>
              </w:drawing>
            </w:r>
          </w:p>
          <w:p w14:paraId="6FCE0682" w14:textId="77777777" w:rsidR="00EF5B27" w:rsidRDefault="00EF5B27">
            <w:pPr>
              <w:pStyle w:val="TableParagraph"/>
              <w:spacing w:before="7"/>
              <w:rPr>
                <w:sz w:val="2"/>
              </w:rPr>
            </w:pPr>
          </w:p>
          <w:p w14:paraId="4DDC94F9" w14:textId="77777777" w:rsidR="00EF5B27" w:rsidRDefault="00000000">
            <w:pPr>
              <w:pStyle w:val="TableParagraph"/>
              <w:spacing w:line="48" w:lineRule="exact"/>
              <w:ind w:left="448"/>
              <w:rPr>
                <w:sz w:val="4"/>
              </w:rPr>
            </w:pPr>
            <w:r>
              <w:rPr>
                <w:sz w:val="4"/>
              </w:rPr>
            </w:r>
            <w:r>
              <w:rPr>
                <w:sz w:val="4"/>
              </w:rPr>
              <w:pict w14:anchorId="6CD3308E">
                <v:group id="_x0000_s4015" style="width:2.45pt;height:2.45pt;mso-position-horizontal-relative:char;mso-position-vertical-relative:line" coordsize="49,49">
                  <v:shape id="_x0000_s4016" style="position:absolute;width:49;height:49" coordsize="49,49" path="m31,l18,,12,2,2,12,,17,,31r2,6l12,46r6,3l31,49r6,-3l46,37r3,-6l49,17,46,12,37,2,31,xe" fillcolor="#808285" stroked="f">
                    <v:path arrowok="t"/>
                  </v:shape>
                  <w10:wrap type="none"/>
                  <w10:anchorlock/>
                </v:group>
              </w:pict>
            </w:r>
          </w:p>
        </w:tc>
        <w:tc>
          <w:tcPr>
            <w:tcW w:w="964" w:type="dxa"/>
          </w:tcPr>
          <w:p w14:paraId="224BF617" w14:textId="77777777" w:rsidR="00EF5B27" w:rsidRDefault="00EF5B27">
            <w:pPr>
              <w:pStyle w:val="TableParagraph"/>
              <w:spacing w:before="11"/>
              <w:rPr>
                <w:sz w:val="11"/>
              </w:rPr>
            </w:pPr>
          </w:p>
          <w:p w14:paraId="572C9DD5" w14:textId="77777777" w:rsidR="00EF5B27" w:rsidRDefault="00000000">
            <w:pPr>
              <w:pStyle w:val="TableParagraph"/>
              <w:ind w:left="318" w:right="323"/>
              <w:jc w:val="center"/>
              <w:rPr>
                <w:sz w:val="14"/>
              </w:rPr>
            </w:pPr>
            <w:r>
              <w:rPr>
                <w:color w:val="4D4D4F"/>
                <w:w w:val="105"/>
                <w:sz w:val="14"/>
              </w:rPr>
              <w:t>N/A</w:t>
            </w:r>
          </w:p>
        </w:tc>
        <w:tc>
          <w:tcPr>
            <w:tcW w:w="1489" w:type="dxa"/>
          </w:tcPr>
          <w:p w14:paraId="65AFC72C" w14:textId="77777777" w:rsidR="00EF5B27" w:rsidRDefault="00000000">
            <w:pPr>
              <w:pStyle w:val="TableParagraph"/>
              <w:spacing w:before="134"/>
              <w:ind w:left="581"/>
              <w:rPr>
                <w:sz w:val="16"/>
              </w:rPr>
            </w:pPr>
            <w:r>
              <w:rPr>
                <w:color w:val="4D4D4F"/>
                <w:sz w:val="16"/>
              </w:rPr>
              <w:t>2026</w:t>
            </w:r>
          </w:p>
        </w:tc>
      </w:tr>
      <w:tr w:rsidR="00EF5B27" w14:paraId="5A5A1971" w14:textId="77777777">
        <w:trPr>
          <w:trHeight w:val="448"/>
        </w:trPr>
        <w:tc>
          <w:tcPr>
            <w:tcW w:w="2980" w:type="dxa"/>
          </w:tcPr>
          <w:p w14:paraId="6E09ED1E" w14:textId="77777777" w:rsidR="00EF5B27" w:rsidRDefault="00EF5B27">
            <w:pPr>
              <w:pStyle w:val="TableParagraph"/>
              <w:spacing w:before="11"/>
              <w:rPr>
                <w:sz w:val="11"/>
              </w:rPr>
            </w:pPr>
          </w:p>
          <w:p w14:paraId="0DDA8FA3" w14:textId="77777777" w:rsidR="00EF5B27" w:rsidRDefault="00000000">
            <w:pPr>
              <w:pStyle w:val="TableParagraph"/>
              <w:ind w:left="80"/>
              <w:rPr>
                <w:sz w:val="14"/>
              </w:rPr>
            </w:pPr>
            <w:r>
              <w:rPr>
                <w:color w:val="4D4D4F"/>
                <w:w w:val="105"/>
                <w:sz w:val="14"/>
              </w:rPr>
              <w:t>De-rocked grassland</w:t>
            </w:r>
          </w:p>
        </w:tc>
        <w:tc>
          <w:tcPr>
            <w:tcW w:w="1078" w:type="dxa"/>
          </w:tcPr>
          <w:p w14:paraId="14C51DE2" w14:textId="77777777" w:rsidR="00EF5B27" w:rsidRDefault="00EF5B27">
            <w:pPr>
              <w:pStyle w:val="TableParagraph"/>
              <w:spacing w:before="11"/>
              <w:rPr>
                <w:sz w:val="11"/>
              </w:rPr>
            </w:pPr>
          </w:p>
          <w:p w14:paraId="69182D62"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5F91F0FA" w14:textId="77777777" w:rsidR="00EF5B27" w:rsidRDefault="00EF5B27">
            <w:pPr>
              <w:pStyle w:val="TableParagraph"/>
              <w:spacing w:before="11"/>
              <w:rPr>
                <w:sz w:val="11"/>
              </w:rPr>
            </w:pPr>
          </w:p>
          <w:p w14:paraId="7CD681A1" w14:textId="77777777" w:rsidR="00EF5B27" w:rsidRDefault="00000000">
            <w:pPr>
              <w:pStyle w:val="TableParagraph"/>
              <w:ind w:left="143" w:right="142"/>
              <w:jc w:val="center"/>
              <w:rPr>
                <w:sz w:val="14"/>
              </w:rPr>
            </w:pPr>
            <w:r>
              <w:rPr>
                <w:color w:val="4D4D4F"/>
                <w:sz w:val="14"/>
              </w:rPr>
              <w:t>Baseline not yet set</w:t>
            </w:r>
          </w:p>
        </w:tc>
        <w:tc>
          <w:tcPr>
            <w:tcW w:w="964" w:type="dxa"/>
          </w:tcPr>
          <w:p w14:paraId="4C380362" w14:textId="77777777" w:rsidR="00EF5B27" w:rsidRDefault="00EF5B27">
            <w:pPr>
              <w:pStyle w:val="TableParagraph"/>
              <w:spacing w:before="4"/>
              <w:rPr>
                <w:sz w:val="7"/>
              </w:rPr>
            </w:pPr>
          </w:p>
          <w:p w14:paraId="1BE6B739" w14:textId="77777777" w:rsidR="00EF5B27" w:rsidRDefault="00000000">
            <w:pPr>
              <w:pStyle w:val="TableParagraph"/>
              <w:spacing w:line="187" w:lineRule="exact"/>
              <w:ind w:left="400"/>
              <w:rPr>
                <w:sz w:val="18"/>
              </w:rPr>
            </w:pPr>
            <w:r>
              <w:rPr>
                <w:noProof/>
                <w:position w:val="-3"/>
                <w:sz w:val="18"/>
              </w:rPr>
              <w:drawing>
                <wp:inline distT="0" distB="0" distL="0" distR="0" wp14:anchorId="7CFAA2A8" wp14:editId="363EF69A">
                  <wp:extent cx="100572" cy="119062"/>
                  <wp:effectExtent l="0" t="0" r="0" b="0"/>
                  <wp:docPr id="177"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79.png"/>
                          <pic:cNvPicPr/>
                        </pic:nvPicPr>
                        <pic:blipFill>
                          <a:blip r:embed="rId76" cstate="print"/>
                          <a:stretch>
                            <a:fillRect/>
                          </a:stretch>
                        </pic:blipFill>
                        <pic:spPr>
                          <a:xfrm>
                            <a:off x="0" y="0"/>
                            <a:ext cx="100572" cy="119062"/>
                          </a:xfrm>
                          <a:prstGeom prst="rect">
                            <a:avLst/>
                          </a:prstGeom>
                        </pic:spPr>
                      </pic:pic>
                    </a:graphicData>
                  </a:graphic>
                </wp:inline>
              </w:drawing>
            </w:r>
          </w:p>
          <w:p w14:paraId="7D0FB967" w14:textId="77777777" w:rsidR="00EF5B27" w:rsidRDefault="00EF5B27">
            <w:pPr>
              <w:pStyle w:val="TableParagraph"/>
              <w:spacing w:before="8"/>
              <w:rPr>
                <w:sz w:val="2"/>
              </w:rPr>
            </w:pPr>
          </w:p>
          <w:p w14:paraId="5F48B15B" w14:textId="77777777" w:rsidR="00EF5B27" w:rsidRDefault="00000000">
            <w:pPr>
              <w:pStyle w:val="TableParagraph"/>
              <w:spacing w:line="48" w:lineRule="exact"/>
              <w:ind w:left="448"/>
              <w:rPr>
                <w:sz w:val="4"/>
              </w:rPr>
            </w:pPr>
            <w:r>
              <w:rPr>
                <w:sz w:val="4"/>
              </w:rPr>
            </w:r>
            <w:r>
              <w:rPr>
                <w:sz w:val="4"/>
              </w:rPr>
              <w:pict w14:anchorId="665F9320">
                <v:group id="_x0000_s4013" style="width:2.45pt;height:2.45pt;mso-position-horizontal-relative:char;mso-position-vertical-relative:line" coordsize="49,49">
                  <v:shape id="_x0000_s4014" style="position:absolute;width:49;height:49" coordsize="49,49" path="m31,l18,,12,2,2,12,,17,,31r2,6l12,46r6,3l31,49r6,-3l46,37r3,-6l49,17,46,12,37,2,31,xe" fillcolor="#808285" stroked="f">
                    <v:path arrowok="t"/>
                  </v:shape>
                  <w10:wrap type="none"/>
                  <w10:anchorlock/>
                </v:group>
              </w:pict>
            </w:r>
          </w:p>
        </w:tc>
        <w:tc>
          <w:tcPr>
            <w:tcW w:w="964" w:type="dxa"/>
          </w:tcPr>
          <w:p w14:paraId="02C8E387" w14:textId="77777777" w:rsidR="00EF5B27" w:rsidRDefault="00EF5B27">
            <w:pPr>
              <w:pStyle w:val="TableParagraph"/>
              <w:spacing w:before="11"/>
              <w:rPr>
                <w:sz w:val="11"/>
              </w:rPr>
            </w:pPr>
          </w:p>
          <w:p w14:paraId="6FCD61FF" w14:textId="77777777" w:rsidR="00EF5B27" w:rsidRDefault="00000000">
            <w:pPr>
              <w:pStyle w:val="TableParagraph"/>
              <w:ind w:left="318" w:right="323"/>
              <w:jc w:val="center"/>
              <w:rPr>
                <w:sz w:val="14"/>
              </w:rPr>
            </w:pPr>
            <w:r>
              <w:rPr>
                <w:color w:val="4D4D4F"/>
                <w:w w:val="105"/>
                <w:sz w:val="14"/>
              </w:rPr>
              <w:t>N/A</w:t>
            </w:r>
          </w:p>
        </w:tc>
        <w:tc>
          <w:tcPr>
            <w:tcW w:w="1489" w:type="dxa"/>
          </w:tcPr>
          <w:p w14:paraId="35355712" w14:textId="77777777" w:rsidR="00EF5B27" w:rsidRDefault="00000000">
            <w:pPr>
              <w:pStyle w:val="TableParagraph"/>
              <w:spacing w:before="134"/>
              <w:ind w:left="581"/>
              <w:rPr>
                <w:sz w:val="16"/>
              </w:rPr>
            </w:pPr>
            <w:r>
              <w:rPr>
                <w:color w:val="4D4D4F"/>
                <w:sz w:val="16"/>
              </w:rPr>
              <w:t>2026</w:t>
            </w:r>
          </w:p>
        </w:tc>
      </w:tr>
    </w:tbl>
    <w:p w14:paraId="4D8EDDF7" w14:textId="77777777" w:rsidR="00EF5B27" w:rsidRDefault="00EF5B27">
      <w:pPr>
        <w:pStyle w:val="BodyText"/>
        <w:spacing w:before="3"/>
        <w:rPr>
          <w:sz w:val="34"/>
        </w:rPr>
      </w:pPr>
    </w:p>
    <w:p w14:paraId="7CE6255E" w14:textId="77777777" w:rsidR="00EF5B27" w:rsidRDefault="00000000">
      <w:pPr>
        <w:pStyle w:val="BodyText"/>
        <w:spacing w:before="1" w:line="254" w:lineRule="auto"/>
        <w:ind w:left="2608" w:right="176"/>
        <w:jc w:val="both"/>
      </w:pPr>
      <w:r>
        <w:rPr>
          <w:color w:val="4D4D4F"/>
        </w:rPr>
        <w:t>Comments: 2021 was the first year of data collection at a single site. Baselines are not yet set for KPI 4. Status assessments are therefore not provided here, any trends are unclear and data confidence assessments are not</w:t>
      </w:r>
      <w:r>
        <w:rPr>
          <w:color w:val="4D4D4F"/>
          <w:spacing w:val="32"/>
        </w:rPr>
        <w:t xml:space="preserve"> </w:t>
      </w:r>
      <w:r>
        <w:rPr>
          <w:color w:val="4D4D4F"/>
        </w:rPr>
        <w:t>applicable.</w:t>
      </w:r>
    </w:p>
    <w:p w14:paraId="243482C8" w14:textId="77777777" w:rsidR="00EF5B27" w:rsidRDefault="00EF5B27">
      <w:pPr>
        <w:pStyle w:val="BodyText"/>
      </w:pPr>
    </w:p>
    <w:p w14:paraId="0D8A0169" w14:textId="77777777" w:rsidR="00EF5B27" w:rsidRDefault="00EF5B27">
      <w:pPr>
        <w:pStyle w:val="BodyText"/>
        <w:spacing w:before="9"/>
        <w:rPr>
          <w:sz w:val="11"/>
        </w:rPr>
      </w:pPr>
    </w:p>
    <w:tbl>
      <w:tblPr>
        <w:tblW w:w="0" w:type="auto"/>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13CEB298" w14:textId="77777777">
        <w:trPr>
          <w:trHeight w:val="561"/>
        </w:trPr>
        <w:tc>
          <w:tcPr>
            <w:tcW w:w="2980" w:type="dxa"/>
            <w:shd w:val="clear" w:color="auto" w:fill="FECC91"/>
          </w:tcPr>
          <w:p w14:paraId="0264C8F4" w14:textId="77777777" w:rsidR="00EF5B27" w:rsidRDefault="00EF5B27">
            <w:pPr>
              <w:pStyle w:val="TableParagraph"/>
              <w:spacing w:before="7"/>
              <w:rPr>
                <w:sz w:val="15"/>
              </w:rPr>
            </w:pPr>
          </w:p>
          <w:p w14:paraId="6F7DE7C5" w14:textId="77777777" w:rsidR="00EF5B27" w:rsidRDefault="00000000">
            <w:pPr>
              <w:pStyle w:val="TableParagraph"/>
              <w:spacing w:before="1"/>
              <w:ind w:left="80"/>
              <w:rPr>
                <w:b/>
                <w:sz w:val="16"/>
              </w:rPr>
            </w:pPr>
            <w:r>
              <w:rPr>
                <w:b/>
                <w:w w:val="105"/>
                <w:sz w:val="16"/>
              </w:rPr>
              <w:t>KPI 5: Structural heterogeneity</w:t>
            </w:r>
          </w:p>
        </w:tc>
        <w:tc>
          <w:tcPr>
            <w:tcW w:w="1078" w:type="dxa"/>
            <w:shd w:val="clear" w:color="auto" w:fill="FECC91"/>
          </w:tcPr>
          <w:p w14:paraId="4C315413"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1B732FDA" w14:textId="77777777" w:rsidR="00EF5B27" w:rsidRDefault="00EF5B27">
            <w:pPr>
              <w:pStyle w:val="TableParagraph"/>
              <w:spacing w:before="7"/>
              <w:rPr>
                <w:sz w:val="15"/>
              </w:rPr>
            </w:pPr>
          </w:p>
          <w:p w14:paraId="2CFF7498"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5F28C01C" w14:textId="77777777" w:rsidR="00EF5B27" w:rsidRDefault="00EF5B27">
            <w:pPr>
              <w:pStyle w:val="TableParagraph"/>
              <w:spacing w:before="7"/>
              <w:rPr>
                <w:sz w:val="15"/>
              </w:rPr>
            </w:pPr>
          </w:p>
          <w:p w14:paraId="395EEAA8"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095D0BDF"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519D1F83"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0F662C13" w14:textId="77777777">
        <w:trPr>
          <w:trHeight w:val="448"/>
        </w:trPr>
        <w:tc>
          <w:tcPr>
            <w:tcW w:w="2980" w:type="dxa"/>
          </w:tcPr>
          <w:p w14:paraId="7BA62810" w14:textId="77777777" w:rsidR="00EF5B27" w:rsidRDefault="00EF5B27">
            <w:pPr>
              <w:pStyle w:val="TableParagraph"/>
              <w:spacing w:before="11"/>
              <w:rPr>
                <w:sz w:val="11"/>
              </w:rPr>
            </w:pPr>
          </w:p>
          <w:p w14:paraId="305BEC84" w14:textId="77777777" w:rsidR="00EF5B27" w:rsidRDefault="00000000">
            <w:pPr>
              <w:pStyle w:val="TableParagraph"/>
              <w:ind w:left="80"/>
              <w:rPr>
                <w:sz w:val="14"/>
              </w:rPr>
            </w:pPr>
            <w:r>
              <w:rPr>
                <w:color w:val="4D4D4F"/>
                <w:w w:val="105"/>
                <w:sz w:val="14"/>
              </w:rPr>
              <w:t>Herb-rich grassland</w:t>
            </w:r>
          </w:p>
        </w:tc>
        <w:tc>
          <w:tcPr>
            <w:tcW w:w="1078" w:type="dxa"/>
          </w:tcPr>
          <w:p w14:paraId="518D63C9" w14:textId="77777777" w:rsidR="00EF5B27" w:rsidRDefault="00EF5B27">
            <w:pPr>
              <w:pStyle w:val="TableParagraph"/>
              <w:spacing w:before="11"/>
              <w:rPr>
                <w:sz w:val="11"/>
              </w:rPr>
            </w:pPr>
          </w:p>
          <w:p w14:paraId="3839FC13"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23882784" w14:textId="77777777" w:rsidR="00EF5B27" w:rsidRDefault="00EF5B27">
            <w:pPr>
              <w:pStyle w:val="TableParagraph"/>
              <w:spacing w:before="11"/>
              <w:rPr>
                <w:sz w:val="11"/>
              </w:rPr>
            </w:pPr>
          </w:p>
          <w:p w14:paraId="3960B8C9" w14:textId="77777777" w:rsidR="00EF5B27" w:rsidRDefault="00000000">
            <w:pPr>
              <w:pStyle w:val="TableParagraph"/>
              <w:ind w:left="143" w:right="139"/>
              <w:jc w:val="center"/>
              <w:rPr>
                <w:sz w:val="14"/>
              </w:rPr>
            </w:pPr>
            <w:r>
              <w:rPr>
                <w:color w:val="4D4D4F"/>
                <w:sz w:val="14"/>
              </w:rPr>
              <w:t>Data not provided</w:t>
            </w:r>
          </w:p>
        </w:tc>
        <w:tc>
          <w:tcPr>
            <w:tcW w:w="964" w:type="dxa"/>
          </w:tcPr>
          <w:p w14:paraId="4E9DDBF3" w14:textId="77777777" w:rsidR="00EF5B27" w:rsidRDefault="00EF5B27">
            <w:pPr>
              <w:pStyle w:val="TableParagraph"/>
              <w:spacing w:before="4"/>
              <w:rPr>
                <w:sz w:val="7"/>
              </w:rPr>
            </w:pPr>
          </w:p>
          <w:p w14:paraId="190BC675" w14:textId="77777777" w:rsidR="00EF5B27" w:rsidRDefault="00000000">
            <w:pPr>
              <w:pStyle w:val="TableParagraph"/>
              <w:spacing w:line="187" w:lineRule="exact"/>
              <w:ind w:left="400"/>
              <w:rPr>
                <w:sz w:val="18"/>
              </w:rPr>
            </w:pPr>
            <w:r>
              <w:rPr>
                <w:noProof/>
                <w:position w:val="-3"/>
                <w:sz w:val="18"/>
              </w:rPr>
              <w:drawing>
                <wp:inline distT="0" distB="0" distL="0" distR="0" wp14:anchorId="7B9C1CA5" wp14:editId="2F03E6F8">
                  <wp:extent cx="100572" cy="119062"/>
                  <wp:effectExtent l="0" t="0" r="0" b="0"/>
                  <wp:docPr id="179"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79.png"/>
                          <pic:cNvPicPr/>
                        </pic:nvPicPr>
                        <pic:blipFill>
                          <a:blip r:embed="rId76" cstate="print"/>
                          <a:stretch>
                            <a:fillRect/>
                          </a:stretch>
                        </pic:blipFill>
                        <pic:spPr>
                          <a:xfrm>
                            <a:off x="0" y="0"/>
                            <a:ext cx="100572" cy="119062"/>
                          </a:xfrm>
                          <a:prstGeom prst="rect">
                            <a:avLst/>
                          </a:prstGeom>
                        </pic:spPr>
                      </pic:pic>
                    </a:graphicData>
                  </a:graphic>
                </wp:inline>
              </w:drawing>
            </w:r>
          </w:p>
          <w:p w14:paraId="73C92D6C" w14:textId="77777777" w:rsidR="00EF5B27" w:rsidRDefault="00EF5B27">
            <w:pPr>
              <w:pStyle w:val="TableParagraph"/>
              <w:spacing w:before="8"/>
              <w:rPr>
                <w:sz w:val="2"/>
              </w:rPr>
            </w:pPr>
          </w:p>
          <w:p w14:paraId="07E08DE9" w14:textId="77777777" w:rsidR="00EF5B27" w:rsidRDefault="00000000">
            <w:pPr>
              <w:pStyle w:val="TableParagraph"/>
              <w:spacing w:line="48" w:lineRule="exact"/>
              <w:ind w:left="448"/>
              <w:rPr>
                <w:sz w:val="4"/>
              </w:rPr>
            </w:pPr>
            <w:r>
              <w:rPr>
                <w:sz w:val="4"/>
              </w:rPr>
            </w:r>
            <w:r>
              <w:rPr>
                <w:sz w:val="4"/>
              </w:rPr>
              <w:pict w14:anchorId="4C74DD76">
                <v:group id="_x0000_s4011" style="width:2.45pt;height:2.45pt;mso-position-horizontal-relative:char;mso-position-vertical-relative:line" coordsize="49,49">
                  <v:shape id="_x0000_s4012" style="position:absolute;width:49;height:49" coordsize="49,49" path="m31,l18,,12,2,2,12,,17,,31r2,6l12,46r6,3l31,49r6,-3l46,37r3,-6l49,17,46,12,37,2,31,xe" fillcolor="#808285" stroked="f">
                    <v:path arrowok="t"/>
                  </v:shape>
                  <w10:wrap type="none"/>
                  <w10:anchorlock/>
                </v:group>
              </w:pict>
            </w:r>
          </w:p>
        </w:tc>
        <w:tc>
          <w:tcPr>
            <w:tcW w:w="964" w:type="dxa"/>
          </w:tcPr>
          <w:p w14:paraId="4CB0D8EB" w14:textId="77777777" w:rsidR="00EF5B27" w:rsidRDefault="00EF5B27">
            <w:pPr>
              <w:pStyle w:val="TableParagraph"/>
              <w:spacing w:before="11"/>
              <w:rPr>
                <w:sz w:val="11"/>
              </w:rPr>
            </w:pPr>
          </w:p>
          <w:p w14:paraId="377E8ED5" w14:textId="77777777" w:rsidR="00EF5B27" w:rsidRDefault="00000000">
            <w:pPr>
              <w:pStyle w:val="TableParagraph"/>
              <w:ind w:left="318" w:right="323"/>
              <w:jc w:val="center"/>
              <w:rPr>
                <w:sz w:val="14"/>
              </w:rPr>
            </w:pPr>
            <w:r>
              <w:rPr>
                <w:color w:val="4D4D4F"/>
                <w:w w:val="105"/>
                <w:sz w:val="14"/>
              </w:rPr>
              <w:t>N/A</w:t>
            </w:r>
          </w:p>
        </w:tc>
        <w:tc>
          <w:tcPr>
            <w:tcW w:w="1489" w:type="dxa"/>
          </w:tcPr>
          <w:p w14:paraId="0D3A4498" w14:textId="77777777" w:rsidR="00EF5B27" w:rsidRDefault="00000000">
            <w:pPr>
              <w:pStyle w:val="TableParagraph"/>
              <w:spacing w:before="134"/>
              <w:ind w:left="449" w:right="457"/>
              <w:jc w:val="center"/>
              <w:rPr>
                <w:sz w:val="16"/>
              </w:rPr>
            </w:pPr>
            <w:r>
              <w:rPr>
                <w:color w:val="4D4D4F"/>
                <w:w w:val="105"/>
                <w:sz w:val="16"/>
              </w:rPr>
              <w:t>N/A</w:t>
            </w:r>
          </w:p>
        </w:tc>
      </w:tr>
      <w:tr w:rsidR="00EF5B27" w14:paraId="5242E7F7" w14:textId="77777777">
        <w:trPr>
          <w:trHeight w:val="448"/>
        </w:trPr>
        <w:tc>
          <w:tcPr>
            <w:tcW w:w="2980" w:type="dxa"/>
          </w:tcPr>
          <w:p w14:paraId="5DB598DC" w14:textId="77777777" w:rsidR="00EF5B27" w:rsidRDefault="00EF5B27">
            <w:pPr>
              <w:pStyle w:val="TableParagraph"/>
              <w:spacing w:before="11"/>
              <w:rPr>
                <w:sz w:val="11"/>
              </w:rPr>
            </w:pPr>
          </w:p>
          <w:p w14:paraId="1AB62676" w14:textId="77777777" w:rsidR="00EF5B27" w:rsidRDefault="00000000">
            <w:pPr>
              <w:pStyle w:val="TableParagraph"/>
              <w:ind w:left="80"/>
              <w:rPr>
                <w:sz w:val="14"/>
              </w:rPr>
            </w:pPr>
            <w:r>
              <w:rPr>
                <w:rFonts w:ascii="Arial Narrow"/>
                <w:i/>
                <w:color w:val="4D4D4F"/>
                <w:w w:val="110"/>
                <w:sz w:val="14"/>
              </w:rPr>
              <w:t xml:space="preserve">Themeda </w:t>
            </w:r>
            <w:r>
              <w:rPr>
                <w:color w:val="4D4D4F"/>
                <w:w w:val="110"/>
                <w:sz w:val="14"/>
              </w:rPr>
              <w:t>grassland</w:t>
            </w:r>
          </w:p>
        </w:tc>
        <w:tc>
          <w:tcPr>
            <w:tcW w:w="1078" w:type="dxa"/>
          </w:tcPr>
          <w:p w14:paraId="58EE3DFB" w14:textId="77777777" w:rsidR="00EF5B27" w:rsidRDefault="00EF5B27">
            <w:pPr>
              <w:pStyle w:val="TableParagraph"/>
              <w:spacing w:before="11"/>
              <w:rPr>
                <w:sz w:val="11"/>
              </w:rPr>
            </w:pPr>
          </w:p>
          <w:p w14:paraId="46CC9A1A"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3240C212" w14:textId="77777777" w:rsidR="00EF5B27" w:rsidRDefault="00EF5B27">
            <w:pPr>
              <w:pStyle w:val="TableParagraph"/>
              <w:spacing w:before="11"/>
              <w:rPr>
                <w:sz w:val="11"/>
              </w:rPr>
            </w:pPr>
          </w:p>
          <w:p w14:paraId="7961F238" w14:textId="77777777" w:rsidR="00EF5B27" w:rsidRDefault="00000000">
            <w:pPr>
              <w:pStyle w:val="TableParagraph"/>
              <w:ind w:left="143" w:right="139"/>
              <w:jc w:val="center"/>
              <w:rPr>
                <w:sz w:val="14"/>
              </w:rPr>
            </w:pPr>
            <w:r>
              <w:rPr>
                <w:color w:val="4D4D4F"/>
                <w:sz w:val="14"/>
              </w:rPr>
              <w:t>Data not provided</w:t>
            </w:r>
          </w:p>
        </w:tc>
        <w:tc>
          <w:tcPr>
            <w:tcW w:w="964" w:type="dxa"/>
          </w:tcPr>
          <w:p w14:paraId="3D964BB3" w14:textId="77777777" w:rsidR="00EF5B27" w:rsidRDefault="00EF5B27">
            <w:pPr>
              <w:pStyle w:val="TableParagraph"/>
              <w:spacing w:before="4"/>
              <w:rPr>
                <w:sz w:val="7"/>
              </w:rPr>
            </w:pPr>
          </w:p>
          <w:p w14:paraId="49E2E785" w14:textId="77777777" w:rsidR="00EF5B27" w:rsidRDefault="00000000">
            <w:pPr>
              <w:pStyle w:val="TableParagraph"/>
              <w:spacing w:line="187" w:lineRule="exact"/>
              <w:ind w:left="400"/>
              <w:rPr>
                <w:sz w:val="18"/>
              </w:rPr>
            </w:pPr>
            <w:r>
              <w:rPr>
                <w:noProof/>
                <w:position w:val="-3"/>
                <w:sz w:val="18"/>
              </w:rPr>
              <w:drawing>
                <wp:inline distT="0" distB="0" distL="0" distR="0" wp14:anchorId="3A60E856" wp14:editId="32BDF75F">
                  <wp:extent cx="100411" cy="118871"/>
                  <wp:effectExtent l="0" t="0" r="0" b="0"/>
                  <wp:docPr id="18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47.png"/>
                          <pic:cNvPicPr/>
                        </pic:nvPicPr>
                        <pic:blipFill>
                          <a:blip r:embed="rId78" cstate="print"/>
                          <a:stretch>
                            <a:fillRect/>
                          </a:stretch>
                        </pic:blipFill>
                        <pic:spPr>
                          <a:xfrm>
                            <a:off x="0" y="0"/>
                            <a:ext cx="100411" cy="118871"/>
                          </a:xfrm>
                          <a:prstGeom prst="rect">
                            <a:avLst/>
                          </a:prstGeom>
                        </pic:spPr>
                      </pic:pic>
                    </a:graphicData>
                  </a:graphic>
                </wp:inline>
              </w:drawing>
            </w:r>
          </w:p>
          <w:p w14:paraId="20D8BCD3" w14:textId="77777777" w:rsidR="00EF5B27" w:rsidRDefault="00EF5B27">
            <w:pPr>
              <w:pStyle w:val="TableParagraph"/>
              <w:spacing w:before="8"/>
              <w:rPr>
                <w:sz w:val="2"/>
              </w:rPr>
            </w:pPr>
          </w:p>
          <w:p w14:paraId="35D0A685" w14:textId="77777777" w:rsidR="00EF5B27" w:rsidRDefault="00000000">
            <w:pPr>
              <w:pStyle w:val="TableParagraph"/>
              <w:spacing w:line="48" w:lineRule="exact"/>
              <w:ind w:left="448"/>
              <w:rPr>
                <w:sz w:val="4"/>
              </w:rPr>
            </w:pPr>
            <w:r>
              <w:rPr>
                <w:sz w:val="4"/>
              </w:rPr>
            </w:r>
            <w:r>
              <w:rPr>
                <w:sz w:val="4"/>
              </w:rPr>
              <w:pict w14:anchorId="561C595F">
                <v:group id="_x0000_s4009" style="width:2.45pt;height:2.45pt;mso-position-horizontal-relative:char;mso-position-vertical-relative:line" coordsize="49,49">
                  <v:shape id="_x0000_s4010" style="position:absolute;width:49;height:49" coordsize="49,49" path="m31,l18,,12,2,2,12,,17,,31r2,6l12,46r6,3l31,49r6,-3l46,37r3,-6l49,17,46,12,37,2,31,xe" fillcolor="#808285" stroked="f">
                    <v:path arrowok="t"/>
                  </v:shape>
                  <w10:wrap type="none"/>
                  <w10:anchorlock/>
                </v:group>
              </w:pict>
            </w:r>
          </w:p>
        </w:tc>
        <w:tc>
          <w:tcPr>
            <w:tcW w:w="964" w:type="dxa"/>
          </w:tcPr>
          <w:p w14:paraId="20911B2E" w14:textId="77777777" w:rsidR="00EF5B27" w:rsidRDefault="00EF5B27">
            <w:pPr>
              <w:pStyle w:val="TableParagraph"/>
              <w:spacing w:before="11"/>
              <w:rPr>
                <w:sz w:val="11"/>
              </w:rPr>
            </w:pPr>
          </w:p>
          <w:p w14:paraId="79CC6589" w14:textId="77777777" w:rsidR="00EF5B27" w:rsidRDefault="00000000">
            <w:pPr>
              <w:pStyle w:val="TableParagraph"/>
              <w:ind w:left="318" w:right="323"/>
              <w:jc w:val="center"/>
              <w:rPr>
                <w:sz w:val="14"/>
              </w:rPr>
            </w:pPr>
            <w:r>
              <w:rPr>
                <w:color w:val="4D4D4F"/>
                <w:w w:val="105"/>
                <w:sz w:val="14"/>
              </w:rPr>
              <w:t>N/A</w:t>
            </w:r>
          </w:p>
        </w:tc>
        <w:tc>
          <w:tcPr>
            <w:tcW w:w="1489" w:type="dxa"/>
          </w:tcPr>
          <w:p w14:paraId="316030F5" w14:textId="77777777" w:rsidR="00EF5B27" w:rsidRDefault="00000000">
            <w:pPr>
              <w:pStyle w:val="TableParagraph"/>
              <w:spacing w:before="134"/>
              <w:ind w:left="449" w:right="457"/>
              <w:jc w:val="center"/>
              <w:rPr>
                <w:sz w:val="16"/>
              </w:rPr>
            </w:pPr>
            <w:r>
              <w:rPr>
                <w:color w:val="4D4D4F"/>
                <w:w w:val="105"/>
                <w:sz w:val="16"/>
              </w:rPr>
              <w:t>N/A</w:t>
            </w:r>
          </w:p>
        </w:tc>
      </w:tr>
      <w:tr w:rsidR="00EF5B27" w14:paraId="01D1E9E4" w14:textId="77777777">
        <w:trPr>
          <w:trHeight w:val="448"/>
        </w:trPr>
        <w:tc>
          <w:tcPr>
            <w:tcW w:w="2980" w:type="dxa"/>
          </w:tcPr>
          <w:p w14:paraId="6BC9DB13" w14:textId="77777777" w:rsidR="00EF5B27" w:rsidRDefault="00EF5B27">
            <w:pPr>
              <w:pStyle w:val="TableParagraph"/>
              <w:spacing w:before="11"/>
              <w:rPr>
                <w:sz w:val="11"/>
              </w:rPr>
            </w:pPr>
          </w:p>
          <w:p w14:paraId="39E65AC5" w14:textId="77777777" w:rsidR="00EF5B27" w:rsidRDefault="00000000">
            <w:pPr>
              <w:pStyle w:val="TableParagraph"/>
              <w:ind w:left="80"/>
              <w:rPr>
                <w:sz w:val="14"/>
              </w:rPr>
            </w:pPr>
            <w:r>
              <w:rPr>
                <w:color w:val="4D4D4F"/>
                <w:w w:val="105"/>
                <w:sz w:val="14"/>
              </w:rPr>
              <w:t>C3 grassland</w:t>
            </w:r>
          </w:p>
        </w:tc>
        <w:tc>
          <w:tcPr>
            <w:tcW w:w="1078" w:type="dxa"/>
          </w:tcPr>
          <w:p w14:paraId="5534FC93" w14:textId="77777777" w:rsidR="00EF5B27" w:rsidRDefault="00EF5B27">
            <w:pPr>
              <w:pStyle w:val="TableParagraph"/>
              <w:spacing w:before="11"/>
              <w:rPr>
                <w:sz w:val="11"/>
              </w:rPr>
            </w:pPr>
          </w:p>
          <w:p w14:paraId="6CCA7867"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2E7A01ED" w14:textId="77777777" w:rsidR="00EF5B27" w:rsidRDefault="00EF5B27">
            <w:pPr>
              <w:pStyle w:val="TableParagraph"/>
              <w:spacing w:before="11"/>
              <w:rPr>
                <w:sz w:val="11"/>
              </w:rPr>
            </w:pPr>
          </w:p>
          <w:p w14:paraId="19A8BA57" w14:textId="77777777" w:rsidR="00EF5B27" w:rsidRDefault="00000000">
            <w:pPr>
              <w:pStyle w:val="TableParagraph"/>
              <w:ind w:left="143" w:right="139"/>
              <w:jc w:val="center"/>
              <w:rPr>
                <w:sz w:val="14"/>
              </w:rPr>
            </w:pPr>
            <w:r>
              <w:rPr>
                <w:color w:val="4D4D4F"/>
                <w:sz w:val="14"/>
              </w:rPr>
              <w:t>Data not provided</w:t>
            </w:r>
          </w:p>
        </w:tc>
        <w:tc>
          <w:tcPr>
            <w:tcW w:w="964" w:type="dxa"/>
          </w:tcPr>
          <w:p w14:paraId="79015BE4" w14:textId="77777777" w:rsidR="00EF5B27" w:rsidRDefault="00EF5B27">
            <w:pPr>
              <w:pStyle w:val="TableParagraph"/>
              <w:spacing w:before="4"/>
              <w:rPr>
                <w:sz w:val="7"/>
              </w:rPr>
            </w:pPr>
          </w:p>
          <w:p w14:paraId="442F3430" w14:textId="77777777" w:rsidR="00EF5B27" w:rsidRDefault="00000000">
            <w:pPr>
              <w:pStyle w:val="TableParagraph"/>
              <w:spacing w:line="187" w:lineRule="exact"/>
              <w:ind w:left="400"/>
              <w:rPr>
                <w:sz w:val="18"/>
              </w:rPr>
            </w:pPr>
            <w:r>
              <w:rPr>
                <w:noProof/>
                <w:position w:val="-3"/>
                <w:sz w:val="18"/>
              </w:rPr>
              <w:drawing>
                <wp:inline distT="0" distB="0" distL="0" distR="0" wp14:anchorId="189D67E8" wp14:editId="69A7F350">
                  <wp:extent cx="100572" cy="119062"/>
                  <wp:effectExtent l="0" t="0" r="0" b="0"/>
                  <wp:docPr id="183"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79.png"/>
                          <pic:cNvPicPr/>
                        </pic:nvPicPr>
                        <pic:blipFill>
                          <a:blip r:embed="rId76" cstate="print"/>
                          <a:stretch>
                            <a:fillRect/>
                          </a:stretch>
                        </pic:blipFill>
                        <pic:spPr>
                          <a:xfrm>
                            <a:off x="0" y="0"/>
                            <a:ext cx="100572" cy="119062"/>
                          </a:xfrm>
                          <a:prstGeom prst="rect">
                            <a:avLst/>
                          </a:prstGeom>
                        </pic:spPr>
                      </pic:pic>
                    </a:graphicData>
                  </a:graphic>
                </wp:inline>
              </w:drawing>
            </w:r>
          </w:p>
          <w:p w14:paraId="61F1E0BD" w14:textId="77777777" w:rsidR="00EF5B27" w:rsidRDefault="00EF5B27">
            <w:pPr>
              <w:pStyle w:val="TableParagraph"/>
              <w:spacing w:before="8"/>
              <w:rPr>
                <w:sz w:val="2"/>
              </w:rPr>
            </w:pPr>
          </w:p>
          <w:p w14:paraId="1747A18F" w14:textId="77777777" w:rsidR="00EF5B27" w:rsidRDefault="00000000">
            <w:pPr>
              <w:pStyle w:val="TableParagraph"/>
              <w:spacing w:line="48" w:lineRule="exact"/>
              <w:ind w:left="448"/>
              <w:rPr>
                <w:sz w:val="4"/>
              </w:rPr>
            </w:pPr>
            <w:r>
              <w:rPr>
                <w:sz w:val="4"/>
              </w:rPr>
            </w:r>
            <w:r>
              <w:rPr>
                <w:sz w:val="4"/>
              </w:rPr>
              <w:pict w14:anchorId="68963B07">
                <v:group id="_x0000_s4007" style="width:2.45pt;height:2.45pt;mso-position-horizontal-relative:char;mso-position-vertical-relative:line" coordsize="49,49">
                  <v:shape id="_x0000_s4008" style="position:absolute;width:49;height:49" coordsize="49,49" path="m31,l18,,12,2,2,12,,17,,31r2,6l12,46r6,3l31,49r6,-3l46,37r3,-6l49,17,46,12,37,2,31,xe" fillcolor="#808285" stroked="f">
                    <v:path arrowok="t"/>
                  </v:shape>
                  <w10:wrap type="none"/>
                  <w10:anchorlock/>
                </v:group>
              </w:pict>
            </w:r>
          </w:p>
        </w:tc>
        <w:tc>
          <w:tcPr>
            <w:tcW w:w="964" w:type="dxa"/>
          </w:tcPr>
          <w:p w14:paraId="320D97D5" w14:textId="77777777" w:rsidR="00EF5B27" w:rsidRDefault="00EF5B27">
            <w:pPr>
              <w:pStyle w:val="TableParagraph"/>
              <w:spacing w:before="11"/>
              <w:rPr>
                <w:sz w:val="11"/>
              </w:rPr>
            </w:pPr>
          </w:p>
          <w:p w14:paraId="4E8698A6" w14:textId="77777777" w:rsidR="00EF5B27" w:rsidRDefault="00000000">
            <w:pPr>
              <w:pStyle w:val="TableParagraph"/>
              <w:ind w:left="318" w:right="323"/>
              <w:jc w:val="center"/>
              <w:rPr>
                <w:sz w:val="14"/>
              </w:rPr>
            </w:pPr>
            <w:r>
              <w:rPr>
                <w:color w:val="4D4D4F"/>
                <w:w w:val="105"/>
                <w:sz w:val="14"/>
              </w:rPr>
              <w:t>N/A</w:t>
            </w:r>
          </w:p>
        </w:tc>
        <w:tc>
          <w:tcPr>
            <w:tcW w:w="1489" w:type="dxa"/>
          </w:tcPr>
          <w:p w14:paraId="1C9B0314" w14:textId="77777777" w:rsidR="00EF5B27" w:rsidRDefault="00000000">
            <w:pPr>
              <w:pStyle w:val="TableParagraph"/>
              <w:spacing w:before="134"/>
              <w:ind w:left="449" w:right="457"/>
              <w:jc w:val="center"/>
              <w:rPr>
                <w:sz w:val="16"/>
              </w:rPr>
            </w:pPr>
            <w:r>
              <w:rPr>
                <w:color w:val="4D4D4F"/>
                <w:w w:val="105"/>
                <w:sz w:val="16"/>
              </w:rPr>
              <w:t>N/A</w:t>
            </w:r>
          </w:p>
        </w:tc>
      </w:tr>
      <w:tr w:rsidR="00EF5B27" w14:paraId="4687205D" w14:textId="77777777">
        <w:trPr>
          <w:trHeight w:val="448"/>
        </w:trPr>
        <w:tc>
          <w:tcPr>
            <w:tcW w:w="2980" w:type="dxa"/>
          </w:tcPr>
          <w:p w14:paraId="6D067836" w14:textId="77777777" w:rsidR="00EF5B27" w:rsidRDefault="00EF5B27">
            <w:pPr>
              <w:pStyle w:val="TableParagraph"/>
              <w:spacing w:before="11"/>
              <w:rPr>
                <w:sz w:val="11"/>
              </w:rPr>
            </w:pPr>
          </w:p>
          <w:p w14:paraId="2C3EAC27" w14:textId="77777777" w:rsidR="00EF5B27" w:rsidRDefault="00000000">
            <w:pPr>
              <w:pStyle w:val="TableParagraph"/>
              <w:ind w:left="80"/>
              <w:rPr>
                <w:sz w:val="14"/>
              </w:rPr>
            </w:pPr>
            <w:r>
              <w:rPr>
                <w:color w:val="4D4D4F"/>
                <w:w w:val="105"/>
                <w:sz w:val="14"/>
              </w:rPr>
              <w:t>Nutrient-enriched grassland</w:t>
            </w:r>
          </w:p>
        </w:tc>
        <w:tc>
          <w:tcPr>
            <w:tcW w:w="1078" w:type="dxa"/>
          </w:tcPr>
          <w:p w14:paraId="7B5F1A5F" w14:textId="77777777" w:rsidR="00EF5B27" w:rsidRDefault="00EF5B27">
            <w:pPr>
              <w:pStyle w:val="TableParagraph"/>
              <w:spacing w:before="11"/>
              <w:rPr>
                <w:sz w:val="11"/>
              </w:rPr>
            </w:pPr>
          </w:p>
          <w:p w14:paraId="0A83B649"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79F4C716" w14:textId="77777777" w:rsidR="00EF5B27" w:rsidRDefault="00EF5B27">
            <w:pPr>
              <w:pStyle w:val="TableParagraph"/>
              <w:spacing w:before="11"/>
              <w:rPr>
                <w:sz w:val="11"/>
              </w:rPr>
            </w:pPr>
          </w:p>
          <w:p w14:paraId="3E869C84" w14:textId="77777777" w:rsidR="00EF5B27" w:rsidRDefault="00000000">
            <w:pPr>
              <w:pStyle w:val="TableParagraph"/>
              <w:ind w:left="143" w:right="139"/>
              <w:jc w:val="center"/>
              <w:rPr>
                <w:sz w:val="14"/>
              </w:rPr>
            </w:pPr>
            <w:r>
              <w:rPr>
                <w:color w:val="4D4D4F"/>
                <w:sz w:val="14"/>
              </w:rPr>
              <w:t>Data not provided</w:t>
            </w:r>
          </w:p>
        </w:tc>
        <w:tc>
          <w:tcPr>
            <w:tcW w:w="964" w:type="dxa"/>
          </w:tcPr>
          <w:p w14:paraId="4D2F41CE" w14:textId="77777777" w:rsidR="00EF5B27" w:rsidRDefault="00EF5B27">
            <w:pPr>
              <w:pStyle w:val="TableParagraph"/>
              <w:spacing w:before="5"/>
              <w:rPr>
                <w:sz w:val="7"/>
              </w:rPr>
            </w:pPr>
          </w:p>
          <w:p w14:paraId="28FC4B1D" w14:textId="77777777" w:rsidR="00EF5B27" w:rsidRDefault="00000000">
            <w:pPr>
              <w:pStyle w:val="TableParagraph"/>
              <w:spacing w:line="187" w:lineRule="exact"/>
              <w:ind w:left="400"/>
              <w:rPr>
                <w:sz w:val="18"/>
              </w:rPr>
            </w:pPr>
            <w:r>
              <w:rPr>
                <w:noProof/>
                <w:position w:val="-3"/>
                <w:sz w:val="18"/>
              </w:rPr>
              <w:drawing>
                <wp:inline distT="0" distB="0" distL="0" distR="0" wp14:anchorId="66637659" wp14:editId="10C02960">
                  <wp:extent cx="100572" cy="119062"/>
                  <wp:effectExtent l="0" t="0" r="0" b="0"/>
                  <wp:docPr id="185"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79.png"/>
                          <pic:cNvPicPr/>
                        </pic:nvPicPr>
                        <pic:blipFill>
                          <a:blip r:embed="rId76" cstate="print"/>
                          <a:stretch>
                            <a:fillRect/>
                          </a:stretch>
                        </pic:blipFill>
                        <pic:spPr>
                          <a:xfrm>
                            <a:off x="0" y="0"/>
                            <a:ext cx="100572" cy="119062"/>
                          </a:xfrm>
                          <a:prstGeom prst="rect">
                            <a:avLst/>
                          </a:prstGeom>
                        </pic:spPr>
                      </pic:pic>
                    </a:graphicData>
                  </a:graphic>
                </wp:inline>
              </w:drawing>
            </w:r>
          </w:p>
          <w:p w14:paraId="71DA51C0" w14:textId="77777777" w:rsidR="00EF5B27" w:rsidRDefault="00EF5B27">
            <w:pPr>
              <w:pStyle w:val="TableParagraph"/>
              <w:spacing w:before="7"/>
              <w:rPr>
                <w:sz w:val="2"/>
              </w:rPr>
            </w:pPr>
          </w:p>
          <w:p w14:paraId="5F7F381F" w14:textId="77777777" w:rsidR="00EF5B27" w:rsidRDefault="00000000">
            <w:pPr>
              <w:pStyle w:val="TableParagraph"/>
              <w:spacing w:line="48" w:lineRule="exact"/>
              <w:ind w:left="448"/>
              <w:rPr>
                <w:sz w:val="4"/>
              </w:rPr>
            </w:pPr>
            <w:r>
              <w:rPr>
                <w:sz w:val="4"/>
              </w:rPr>
            </w:r>
            <w:r>
              <w:rPr>
                <w:sz w:val="4"/>
              </w:rPr>
              <w:pict w14:anchorId="13C24FBC">
                <v:group id="_x0000_s4005" style="width:2.45pt;height:2.45pt;mso-position-horizontal-relative:char;mso-position-vertical-relative:line" coordsize="49,49">
                  <v:shape id="_x0000_s4006" style="position:absolute;width:49;height:49" coordsize="49,49" path="m31,l18,,12,2,2,12,,17,,31r2,6l12,46r6,3l31,49r6,-3l46,37r3,-6l49,17,46,12,37,2,31,xe" fillcolor="#808285" stroked="f">
                    <v:path arrowok="t"/>
                  </v:shape>
                  <w10:wrap type="none"/>
                  <w10:anchorlock/>
                </v:group>
              </w:pict>
            </w:r>
          </w:p>
        </w:tc>
        <w:tc>
          <w:tcPr>
            <w:tcW w:w="964" w:type="dxa"/>
          </w:tcPr>
          <w:p w14:paraId="2E98E364" w14:textId="77777777" w:rsidR="00EF5B27" w:rsidRDefault="00EF5B27">
            <w:pPr>
              <w:pStyle w:val="TableParagraph"/>
              <w:spacing w:before="11"/>
              <w:rPr>
                <w:sz w:val="11"/>
              </w:rPr>
            </w:pPr>
          </w:p>
          <w:p w14:paraId="3A583CE9" w14:textId="77777777" w:rsidR="00EF5B27" w:rsidRDefault="00000000">
            <w:pPr>
              <w:pStyle w:val="TableParagraph"/>
              <w:ind w:left="318" w:right="323"/>
              <w:jc w:val="center"/>
              <w:rPr>
                <w:sz w:val="14"/>
              </w:rPr>
            </w:pPr>
            <w:r>
              <w:rPr>
                <w:color w:val="4D4D4F"/>
                <w:w w:val="105"/>
                <w:sz w:val="14"/>
              </w:rPr>
              <w:t>N/A</w:t>
            </w:r>
          </w:p>
        </w:tc>
        <w:tc>
          <w:tcPr>
            <w:tcW w:w="1489" w:type="dxa"/>
          </w:tcPr>
          <w:p w14:paraId="6625785B" w14:textId="77777777" w:rsidR="00EF5B27" w:rsidRDefault="00000000">
            <w:pPr>
              <w:pStyle w:val="TableParagraph"/>
              <w:spacing w:before="134"/>
              <w:ind w:left="449" w:right="457"/>
              <w:jc w:val="center"/>
              <w:rPr>
                <w:sz w:val="16"/>
              </w:rPr>
            </w:pPr>
            <w:r>
              <w:rPr>
                <w:color w:val="4D4D4F"/>
                <w:w w:val="105"/>
                <w:sz w:val="16"/>
              </w:rPr>
              <w:t>N/A</w:t>
            </w:r>
          </w:p>
        </w:tc>
      </w:tr>
      <w:tr w:rsidR="00EF5B27" w14:paraId="2BF25DA7" w14:textId="77777777">
        <w:trPr>
          <w:trHeight w:val="448"/>
        </w:trPr>
        <w:tc>
          <w:tcPr>
            <w:tcW w:w="2980" w:type="dxa"/>
          </w:tcPr>
          <w:p w14:paraId="48F15970" w14:textId="77777777" w:rsidR="00EF5B27" w:rsidRDefault="00EF5B27">
            <w:pPr>
              <w:pStyle w:val="TableParagraph"/>
              <w:spacing w:before="11"/>
              <w:rPr>
                <w:sz w:val="11"/>
              </w:rPr>
            </w:pPr>
          </w:p>
          <w:p w14:paraId="6E010CBB" w14:textId="77777777" w:rsidR="00EF5B27" w:rsidRDefault="00000000">
            <w:pPr>
              <w:pStyle w:val="TableParagraph"/>
              <w:ind w:left="80"/>
              <w:rPr>
                <w:sz w:val="14"/>
              </w:rPr>
            </w:pPr>
            <w:r>
              <w:rPr>
                <w:color w:val="4D4D4F"/>
                <w:w w:val="105"/>
                <w:sz w:val="14"/>
              </w:rPr>
              <w:t>De-rocked grassland</w:t>
            </w:r>
          </w:p>
        </w:tc>
        <w:tc>
          <w:tcPr>
            <w:tcW w:w="1078" w:type="dxa"/>
          </w:tcPr>
          <w:p w14:paraId="3952431E" w14:textId="77777777" w:rsidR="00EF5B27" w:rsidRDefault="00EF5B27">
            <w:pPr>
              <w:pStyle w:val="TableParagraph"/>
              <w:spacing w:before="11"/>
              <w:rPr>
                <w:sz w:val="11"/>
              </w:rPr>
            </w:pPr>
          </w:p>
          <w:p w14:paraId="23E5A001"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3B38127E" w14:textId="77777777" w:rsidR="00EF5B27" w:rsidRDefault="00EF5B27">
            <w:pPr>
              <w:pStyle w:val="TableParagraph"/>
              <w:spacing w:before="11"/>
              <w:rPr>
                <w:sz w:val="11"/>
              </w:rPr>
            </w:pPr>
          </w:p>
          <w:p w14:paraId="712A343A" w14:textId="77777777" w:rsidR="00EF5B27" w:rsidRDefault="00000000">
            <w:pPr>
              <w:pStyle w:val="TableParagraph"/>
              <w:ind w:left="143" w:right="139"/>
              <w:jc w:val="center"/>
              <w:rPr>
                <w:sz w:val="14"/>
              </w:rPr>
            </w:pPr>
            <w:r>
              <w:rPr>
                <w:color w:val="4D4D4F"/>
                <w:sz w:val="14"/>
              </w:rPr>
              <w:t>Data not provided</w:t>
            </w:r>
          </w:p>
        </w:tc>
        <w:tc>
          <w:tcPr>
            <w:tcW w:w="964" w:type="dxa"/>
          </w:tcPr>
          <w:p w14:paraId="7B2287B5" w14:textId="77777777" w:rsidR="00EF5B27" w:rsidRDefault="00EF5B27">
            <w:pPr>
              <w:pStyle w:val="TableParagraph"/>
              <w:spacing w:before="4"/>
              <w:rPr>
                <w:sz w:val="7"/>
              </w:rPr>
            </w:pPr>
          </w:p>
          <w:p w14:paraId="76BD27A8" w14:textId="77777777" w:rsidR="00EF5B27" w:rsidRDefault="00000000">
            <w:pPr>
              <w:pStyle w:val="TableParagraph"/>
              <w:spacing w:line="187" w:lineRule="exact"/>
              <w:ind w:left="400"/>
              <w:rPr>
                <w:sz w:val="18"/>
              </w:rPr>
            </w:pPr>
            <w:r>
              <w:rPr>
                <w:noProof/>
                <w:position w:val="-3"/>
                <w:sz w:val="18"/>
              </w:rPr>
              <w:drawing>
                <wp:inline distT="0" distB="0" distL="0" distR="0" wp14:anchorId="20799C11" wp14:editId="7464F790">
                  <wp:extent cx="100572" cy="119062"/>
                  <wp:effectExtent l="0" t="0" r="0" b="0"/>
                  <wp:docPr id="187"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79.png"/>
                          <pic:cNvPicPr/>
                        </pic:nvPicPr>
                        <pic:blipFill>
                          <a:blip r:embed="rId76" cstate="print"/>
                          <a:stretch>
                            <a:fillRect/>
                          </a:stretch>
                        </pic:blipFill>
                        <pic:spPr>
                          <a:xfrm>
                            <a:off x="0" y="0"/>
                            <a:ext cx="100572" cy="119062"/>
                          </a:xfrm>
                          <a:prstGeom prst="rect">
                            <a:avLst/>
                          </a:prstGeom>
                        </pic:spPr>
                      </pic:pic>
                    </a:graphicData>
                  </a:graphic>
                </wp:inline>
              </w:drawing>
            </w:r>
          </w:p>
          <w:p w14:paraId="51A75071" w14:textId="77777777" w:rsidR="00EF5B27" w:rsidRDefault="00EF5B27">
            <w:pPr>
              <w:pStyle w:val="TableParagraph"/>
              <w:spacing w:before="8"/>
              <w:rPr>
                <w:sz w:val="2"/>
              </w:rPr>
            </w:pPr>
          </w:p>
          <w:p w14:paraId="1AC5D4FF" w14:textId="77777777" w:rsidR="00EF5B27" w:rsidRDefault="00000000">
            <w:pPr>
              <w:pStyle w:val="TableParagraph"/>
              <w:spacing w:line="48" w:lineRule="exact"/>
              <w:ind w:left="448"/>
              <w:rPr>
                <w:sz w:val="4"/>
              </w:rPr>
            </w:pPr>
            <w:r>
              <w:rPr>
                <w:sz w:val="4"/>
              </w:rPr>
            </w:r>
            <w:r>
              <w:rPr>
                <w:sz w:val="4"/>
              </w:rPr>
              <w:pict w14:anchorId="4D60A2AF">
                <v:group id="_x0000_s4003" style="width:2.45pt;height:2.45pt;mso-position-horizontal-relative:char;mso-position-vertical-relative:line" coordsize="49,49">
                  <v:shape id="_x0000_s4004" style="position:absolute;width:49;height:49" coordsize="49,49" path="m31,l18,,12,2,2,12,,17,,31r2,6l12,46r6,3l31,49r6,-3l46,37r3,-6l49,17,46,12,37,2,31,xe" fillcolor="#808285" stroked="f">
                    <v:path arrowok="t"/>
                  </v:shape>
                  <w10:wrap type="none"/>
                  <w10:anchorlock/>
                </v:group>
              </w:pict>
            </w:r>
          </w:p>
        </w:tc>
        <w:tc>
          <w:tcPr>
            <w:tcW w:w="964" w:type="dxa"/>
          </w:tcPr>
          <w:p w14:paraId="3288FB3A" w14:textId="77777777" w:rsidR="00EF5B27" w:rsidRDefault="00EF5B27">
            <w:pPr>
              <w:pStyle w:val="TableParagraph"/>
              <w:spacing w:before="11"/>
              <w:rPr>
                <w:sz w:val="11"/>
              </w:rPr>
            </w:pPr>
          </w:p>
          <w:p w14:paraId="4C1AA993" w14:textId="77777777" w:rsidR="00EF5B27" w:rsidRDefault="00000000">
            <w:pPr>
              <w:pStyle w:val="TableParagraph"/>
              <w:ind w:left="318" w:right="323"/>
              <w:jc w:val="center"/>
              <w:rPr>
                <w:sz w:val="14"/>
              </w:rPr>
            </w:pPr>
            <w:r>
              <w:rPr>
                <w:color w:val="4D4D4F"/>
                <w:w w:val="105"/>
                <w:sz w:val="14"/>
              </w:rPr>
              <w:t>N/A</w:t>
            </w:r>
          </w:p>
        </w:tc>
        <w:tc>
          <w:tcPr>
            <w:tcW w:w="1489" w:type="dxa"/>
          </w:tcPr>
          <w:p w14:paraId="35E84D83" w14:textId="77777777" w:rsidR="00EF5B27" w:rsidRDefault="00000000">
            <w:pPr>
              <w:pStyle w:val="TableParagraph"/>
              <w:spacing w:before="134"/>
              <w:ind w:left="449" w:right="457"/>
              <w:jc w:val="center"/>
              <w:rPr>
                <w:sz w:val="16"/>
              </w:rPr>
            </w:pPr>
            <w:r>
              <w:rPr>
                <w:color w:val="4D4D4F"/>
                <w:w w:val="105"/>
                <w:sz w:val="16"/>
              </w:rPr>
              <w:t>N/A</w:t>
            </w:r>
          </w:p>
        </w:tc>
      </w:tr>
    </w:tbl>
    <w:p w14:paraId="0BFF98F4" w14:textId="77777777" w:rsidR="00EF5B27" w:rsidRDefault="00EF5B27">
      <w:pPr>
        <w:pStyle w:val="BodyText"/>
        <w:spacing w:before="3"/>
        <w:rPr>
          <w:sz w:val="34"/>
        </w:rPr>
      </w:pPr>
    </w:p>
    <w:p w14:paraId="679B6E7A" w14:textId="77777777" w:rsidR="00EF5B27" w:rsidRDefault="00000000">
      <w:pPr>
        <w:pStyle w:val="BodyText"/>
        <w:spacing w:before="1" w:line="254" w:lineRule="auto"/>
        <w:ind w:left="2602"/>
      </w:pPr>
      <w:r>
        <w:rPr>
          <w:color w:val="4D4D4F"/>
        </w:rPr>
        <w:t>Comments: 2021 was the first year of data collection at a single site. Results data were not provided for KPI 5. Status assessments are therefore not provided here, any trends are unclear and data confidence assessments are not applicable.</w:t>
      </w:r>
    </w:p>
    <w:p w14:paraId="50EA341B" w14:textId="77777777" w:rsidR="00EF5B27" w:rsidRDefault="00EF5B27">
      <w:pPr>
        <w:spacing w:line="254" w:lineRule="auto"/>
        <w:sectPr w:rsidR="00EF5B27">
          <w:pgSz w:w="11910" w:h="16840"/>
          <w:pgMar w:top="1080" w:right="1020" w:bottom="860" w:left="1020" w:header="537" w:footer="678" w:gutter="0"/>
          <w:cols w:space="720"/>
        </w:sectPr>
      </w:pPr>
    </w:p>
    <w:p w14:paraId="43DDDE54" w14:textId="77777777" w:rsidR="00EF5B27" w:rsidRDefault="00EF5B27">
      <w:pPr>
        <w:pStyle w:val="BodyText"/>
      </w:pPr>
    </w:p>
    <w:p w14:paraId="31A71349" w14:textId="77777777" w:rsidR="00EF5B27" w:rsidRDefault="00EF5B27">
      <w:pPr>
        <w:pStyle w:val="BodyText"/>
      </w:pPr>
    </w:p>
    <w:p w14:paraId="719B9808" w14:textId="77777777" w:rsidR="00EF5B27" w:rsidRDefault="00EF5B27">
      <w:pPr>
        <w:pStyle w:val="BodyText"/>
      </w:pPr>
    </w:p>
    <w:p w14:paraId="792453CD" w14:textId="77777777" w:rsidR="00EF5B27" w:rsidRDefault="00EF5B27">
      <w:pPr>
        <w:pStyle w:val="BodyText"/>
      </w:pPr>
    </w:p>
    <w:p w14:paraId="01AFEB11" w14:textId="77777777" w:rsidR="00EF5B27" w:rsidRDefault="00EF5B27">
      <w:pPr>
        <w:pStyle w:val="BodyText"/>
        <w:spacing w:before="5"/>
        <w:rPr>
          <w:sz w:val="16"/>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4DBD01A0" w14:textId="77777777">
        <w:trPr>
          <w:trHeight w:val="561"/>
        </w:trPr>
        <w:tc>
          <w:tcPr>
            <w:tcW w:w="2980" w:type="dxa"/>
            <w:shd w:val="clear" w:color="auto" w:fill="FECC91"/>
          </w:tcPr>
          <w:p w14:paraId="54D9ADF0" w14:textId="77777777" w:rsidR="00EF5B27" w:rsidRDefault="00000000">
            <w:pPr>
              <w:pStyle w:val="TableParagraph"/>
              <w:spacing w:before="91" w:line="244" w:lineRule="auto"/>
              <w:ind w:left="80" w:right="540"/>
              <w:rPr>
                <w:b/>
                <w:sz w:val="16"/>
              </w:rPr>
            </w:pPr>
            <w:r>
              <w:rPr>
                <w:b/>
                <w:w w:val="105"/>
                <w:sz w:val="16"/>
              </w:rPr>
              <w:t>KPI 6: Percent of plots between 25 – 75% with Eucalyptus recruits</w:t>
            </w:r>
          </w:p>
        </w:tc>
        <w:tc>
          <w:tcPr>
            <w:tcW w:w="1078" w:type="dxa"/>
            <w:shd w:val="clear" w:color="auto" w:fill="FECC91"/>
          </w:tcPr>
          <w:p w14:paraId="3DF2A3F6"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2088E1B2" w14:textId="77777777" w:rsidR="00EF5B27" w:rsidRDefault="00EF5B27">
            <w:pPr>
              <w:pStyle w:val="TableParagraph"/>
              <w:spacing w:before="7"/>
              <w:rPr>
                <w:sz w:val="15"/>
              </w:rPr>
            </w:pPr>
          </w:p>
          <w:p w14:paraId="3E472E86"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4BD0A1BF" w14:textId="77777777" w:rsidR="00EF5B27" w:rsidRDefault="00EF5B27">
            <w:pPr>
              <w:pStyle w:val="TableParagraph"/>
              <w:spacing w:before="7"/>
              <w:rPr>
                <w:sz w:val="15"/>
              </w:rPr>
            </w:pPr>
          </w:p>
          <w:p w14:paraId="1DD9F8C7"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4E299C58"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2D5FC2B2"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25A4B3F5" w14:textId="77777777">
        <w:trPr>
          <w:trHeight w:val="448"/>
        </w:trPr>
        <w:tc>
          <w:tcPr>
            <w:tcW w:w="2980" w:type="dxa"/>
          </w:tcPr>
          <w:p w14:paraId="66F44498" w14:textId="77777777" w:rsidR="00EF5B27" w:rsidRDefault="00EF5B27">
            <w:pPr>
              <w:pStyle w:val="TableParagraph"/>
              <w:spacing w:before="11"/>
              <w:rPr>
                <w:sz w:val="11"/>
              </w:rPr>
            </w:pPr>
          </w:p>
          <w:p w14:paraId="43F86385" w14:textId="77777777" w:rsidR="00EF5B27" w:rsidRDefault="00000000">
            <w:pPr>
              <w:pStyle w:val="TableParagraph"/>
              <w:ind w:left="80"/>
              <w:rPr>
                <w:sz w:val="14"/>
              </w:rPr>
            </w:pPr>
            <w:r>
              <w:rPr>
                <w:color w:val="4D4D4F"/>
                <w:w w:val="105"/>
                <w:sz w:val="14"/>
              </w:rPr>
              <w:t>Herb-rich grassland</w:t>
            </w:r>
          </w:p>
        </w:tc>
        <w:tc>
          <w:tcPr>
            <w:tcW w:w="1078" w:type="dxa"/>
          </w:tcPr>
          <w:p w14:paraId="2B0EB92A" w14:textId="77777777" w:rsidR="00EF5B27" w:rsidRDefault="00EF5B27">
            <w:pPr>
              <w:pStyle w:val="TableParagraph"/>
              <w:spacing w:before="11"/>
              <w:rPr>
                <w:sz w:val="11"/>
              </w:rPr>
            </w:pPr>
          </w:p>
          <w:p w14:paraId="6EE23D8C" w14:textId="77777777" w:rsidR="00EF5B27" w:rsidRDefault="00000000">
            <w:pPr>
              <w:pStyle w:val="TableParagraph"/>
              <w:ind w:left="142"/>
              <w:rPr>
                <w:sz w:val="14"/>
              </w:rPr>
            </w:pPr>
            <w:r>
              <w:rPr>
                <w:color w:val="4D4D4F"/>
                <w:w w:val="105"/>
                <w:sz w:val="14"/>
              </w:rPr>
              <w:t>Not assessed</w:t>
            </w:r>
          </w:p>
        </w:tc>
        <w:tc>
          <w:tcPr>
            <w:tcW w:w="2155" w:type="dxa"/>
          </w:tcPr>
          <w:p w14:paraId="78601406" w14:textId="77777777" w:rsidR="00EF5B27" w:rsidRDefault="00EF5B27">
            <w:pPr>
              <w:pStyle w:val="TableParagraph"/>
              <w:spacing w:before="11"/>
              <w:rPr>
                <w:sz w:val="11"/>
              </w:rPr>
            </w:pPr>
          </w:p>
          <w:p w14:paraId="18ED273D" w14:textId="77777777" w:rsidR="00EF5B27" w:rsidRDefault="00000000">
            <w:pPr>
              <w:pStyle w:val="TableParagraph"/>
              <w:ind w:left="143" w:right="139"/>
              <w:jc w:val="center"/>
              <w:rPr>
                <w:sz w:val="14"/>
              </w:rPr>
            </w:pPr>
            <w:r>
              <w:rPr>
                <w:color w:val="4D4D4F"/>
                <w:sz w:val="14"/>
              </w:rPr>
              <w:t>Data not provided</w:t>
            </w:r>
          </w:p>
        </w:tc>
        <w:tc>
          <w:tcPr>
            <w:tcW w:w="964" w:type="dxa"/>
          </w:tcPr>
          <w:p w14:paraId="5D0708C7" w14:textId="77777777" w:rsidR="00EF5B27" w:rsidRDefault="00EF5B27">
            <w:pPr>
              <w:pStyle w:val="TableParagraph"/>
              <w:spacing w:before="4"/>
              <w:rPr>
                <w:sz w:val="7"/>
              </w:rPr>
            </w:pPr>
          </w:p>
          <w:p w14:paraId="71E8AE47" w14:textId="77777777" w:rsidR="00EF5B27" w:rsidRDefault="00000000">
            <w:pPr>
              <w:pStyle w:val="TableParagraph"/>
              <w:spacing w:line="187" w:lineRule="exact"/>
              <w:ind w:left="400"/>
              <w:rPr>
                <w:sz w:val="18"/>
              </w:rPr>
            </w:pPr>
            <w:r>
              <w:rPr>
                <w:noProof/>
                <w:position w:val="-3"/>
                <w:sz w:val="18"/>
              </w:rPr>
              <w:drawing>
                <wp:inline distT="0" distB="0" distL="0" distR="0" wp14:anchorId="0F4DFDFA" wp14:editId="3E151099">
                  <wp:extent cx="100572" cy="119062"/>
                  <wp:effectExtent l="0" t="0" r="0" b="0"/>
                  <wp:docPr id="189"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80.png"/>
                          <pic:cNvPicPr/>
                        </pic:nvPicPr>
                        <pic:blipFill>
                          <a:blip r:embed="rId95" cstate="print"/>
                          <a:stretch>
                            <a:fillRect/>
                          </a:stretch>
                        </pic:blipFill>
                        <pic:spPr>
                          <a:xfrm>
                            <a:off x="0" y="0"/>
                            <a:ext cx="100572" cy="119062"/>
                          </a:xfrm>
                          <a:prstGeom prst="rect">
                            <a:avLst/>
                          </a:prstGeom>
                        </pic:spPr>
                      </pic:pic>
                    </a:graphicData>
                  </a:graphic>
                </wp:inline>
              </w:drawing>
            </w:r>
          </w:p>
          <w:p w14:paraId="0672E0E4" w14:textId="77777777" w:rsidR="00EF5B27" w:rsidRDefault="00EF5B27">
            <w:pPr>
              <w:pStyle w:val="TableParagraph"/>
              <w:spacing w:before="8"/>
              <w:rPr>
                <w:sz w:val="2"/>
              </w:rPr>
            </w:pPr>
          </w:p>
          <w:p w14:paraId="002A517D" w14:textId="77777777" w:rsidR="00EF5B27" w:rsidRDefault="00000000">
            <w:pPr>
              <w:pStyle w:val="TableParagraph"/>
              <w:spacing w:line="48" w:lineRule="exact"/>
              <w:ind w:left="448"/>
              <w:rPr>
                <w:sz w:val="4"/>
              </w:rPr>
            </w:pPr>
            <w:r>
              <w:rPr>
                <w:sz w:val="4"/>
              </w:rPr>
            </w:r>
            <w:r>
              <w:rPr>
                <w:sz w:val="4"/>
              </w:rPr>
              <w:pict w14:anchorId="036CEB7C">
                <v:group id="_x0000_s4001" style="width:2.45pt;height:2.45pt;mso-position-horizontal-relative:char;mso-position-vertical-relative:line" coordsize="49,49">
                  <v:shape id="_x0000_s4002" style="position:absolute;width:49;height:49" coordsize="49,49" path="m31,l18,,12,2,2,12,,17,,31r2,6l12,46r6,3l31,49r6,-3l46,37r3,-6l49,17,46,12,37,2,31,xe" fillcolor="#808285" stroked="f">
                    <v:path arrowok="t"/>
                  </v:shape>
                  <w10:wrap type="none"/>
                  <w10:anchorlock/>
                </v:group>
              </w:pict>
            </w:r>
          </w:p>
        </w:tc>
        <w:tc>
          <w:tcPr>
            <w:tcW w:w="964" w:type="dxa"/>
          </w:tcPr>
          <w:p w14:paraId="7284E6E6" w14:textId="77777777" w:rsidR="00EF5B27" w:rsidRDefault="00EF5B27">
            <w:pPr>
              <w:pStyle w:val="TableParagraph"/>
              <w:spacing w:before="11"/>
              <w:rPr>
                <w:sz w:val="11"/>
              </w:rPr>
            </w:pPr>
          </w:p>
          <w:p w14:paraId="6F9AF220" w14:textId="77777777" w:rsidR="00EF5B27" w:rsidRDefault="00000000">
            <w:pPr>
              <w:pStyle w:val="TableParagraph"/>
              <w:ind w:left="318" w:right="323"/>
              <w:jc w:val="center"/>
              <w:rPr>
                <w:sz w:val="14"/>
              </w:rPr>
            </w:pPr>
            <w:r>
              <w:rPr>
                <w:color w:val="4D4D4F"/>
                <w:w w:val="105"/>
                <w:sz w:val="14"/>
              </w:rPr>
              <w:t>N/A</w:t>
            </w:r>
          </w:p>
        </w:tc>
        <w:tc>
          <w:tcPr>
            <w:tcW w:w="1489" w:type="dxa"/>
          </w:tcPr>
          <w:p w14:paraId="2647A57F" w14:textId="77777777" w:rsidR="00EF5B27" w:rsidRDefault="00000000">
            <w:pPr>
              <w:pStyle w:val="TableParagraph"/>
              <w:spacing w:before="134"/>
              <w:ind w:left="449" w:right="457"/>
              <w:jc w:val="center"/>
              <w:rPr>
                <w:sz w:val="16"/>
              </w:rPr>
            </w:pPr>
            <w:r>
              <w:rPr>
                <w:color w:val="4D4D4F"/>
                <w:w w:val="105"/>
                <w:sz w:val="16"/>
              </w:rPr>
              <w:t>N/A</w:t>
            </w:r>
          </w:p>
        </w:tc>
      </w:tr>
      <w:tr w:rsidR="00EF5B27" w14:paraId="4D3C5078" w14:textId="77777777">
        <w:trPr>
          <w:trHeight w:val="448"/>
        </w:trPr>
        <w:tc>
          <w:tcPr>
            <w:tcW w:w="2980" w:type="dxa"/>
          </w:tcPr>
          <w:p w14:paraId="3A988809" w14:textId="77777777" w:rsidR="00EF5B27" w:rsidRDefault="00EF5B27">
            <w:pPr>
              <w:pStyle w:val="TableParagraph"/>
              <w:spacing w:before="11"/>
              <w:rPr>
                <w:sz w:val="11"/>
              </w:rPr>
            </w:pPr>
          </w:p>
          <w:p w14:paraId="08A7866F" w14:textId="77777777" w:rsidR="00EF5B27" w:rsidRDefault="00000000">
            <w:pPr>
              <w:pStyle w:val="TableParagraph"/>
              <w:ind w:left="80"/>
              <w:rPr>
                <w:sz w:val="14"/>
              </w:rPr>
            </w:pPr>
            <w:r>
              <w:rPr>
                <w:rFonts w:ascii="Arial Narrow"/>
                <w:i/>
                <w:color w:val="4D4D4F"/>
                <w:w w:val="110"/>
                <w:sz w:val="14"/>
              </w:rPr>
              <w:t xml:space="preserve">Themeda </w:t>
            </w:r>
            <w:r>
              <w:rPr>
                <w:color w:val="4D4D4F"/>
                <w:w w:val="110"/>
                <w:sz w:val="14"/>
              </w:rPr>
              <w:t>grassland</w:t>
            </w:r>
          </w:p>
        </w:tc>
        <w:tc>
          <w:tcPr>
            <w:tcW w:w="1078" w:type="dxa"/>
          </w:tcPr>
          <w:p w14:paraId="1DDCF68A" w14:textId="77777777" w:rsidR="00EF5B27" w:rsidRDefault="00EF5B27">
            <w:pPr>
              <w:pStyle w:val="TableParagraph"/>
              <w:spacing w:before="11"/>
              <w:rPr>
                <w:sz w:val="11"/>
              </w:rPr>
            </w:pPr>
          </w:p>
          <w:p w14:paraId="40EAD809" w14:textId="77777777" w:rsidR="00EF5B27" w:rsidRDefault="00000000">
            <w:pPr>
              <w:pStyle w:val="TableParagraph"/>
              <w:ind w:left="142"/>
              <w:rPr>
                <w:sz w:val="14"/>
              </w:rPr>
            </w:pPr>
            <w:r>
              <w:rPr>
                <w:color w:val="4D4D4F"/>
                <w:w w:val="105"/>
                <w:sz w:val="14"/>
              </w:rPr>
              <w:t>Not assessed</w:t>
            </w:r>
          </w:p>
        </w:tc>
        <w:tc>
          <w:tcPr>
            <w:tcW w:w="2155" w:type="dxa"/>
          </w:tcPr>
          <w:p w14:paraId="0C6EAB30" w14:textId="77777777" w:rsidR="00EF5B27" w:rsidRDefault="00EF5B27">
            <w:pPr>
              <w:pStyle w:val="TableParagraph"/>
              <w:spacing w:before="11"/>
              <w:rPr>
                <w:sz w:val="11"/>
              </w:rPr>
            </w:pPr>
          </w:p>
          <w:p w14:paraId="0CAA02B8" w14:textId="77777777" w:rsidR="00EF5B27" w:rsidRDefault="00000000">
            <w:pPr>
              <w:pStyle w:val="TableParagraph"/>
              <w:ind w:left="143" w:right="139"/>
              <w:jc w:val="center"/>
              <w:rPr>
                <w:sz w:val="14"/>
              </w:rPr>
            </w:pPr>
            <w:r>
              <w:rPr>
                <w:color w:val="4D4D4F"/>
                <w:sz w:val="14"/>
              </w:rPr>
              <w:t>Data not provided</w:t>
            </w:r>
          </w:p>
        </w:tc>
        <w:tc>
          <w:tcPr>
            <w:tcW w:w="964" w:type="dxa"/>
          </w:tcPr>
          <w:p w14:paraId="7136FBBF" w14:textId="77777777" w:rsidR="00EF5B27" w:rsidRDefault="00EF5B27">
            <w:pPr>
              <w:pStyle w:val="TableParagraph"/>
              <w:spacing w:before="4"/>
              <w:rPr>
                <w:sz w:val="7"/>
              </w:rPr>
            </w:pPr>
          </w:p>
          <w:p w14:paraId="6564C359" w14:textId="77777777" w:rsidR="00EF5B27" w:rsidRDefault="00000000">
            <w:pPr>
              <w:pStyle w:val="TableParagraph"/>
              <w:spacing w:line="187" w:lineRule="exact"/>
              <w:ind w:left="400"/>
              <w:rPr>
                <w:sz w:val="18"/>
              </w:rPr>
            </w:pPr>
            <w:r>
              <w:rPr>
                <w:noProof/>
                <w:position w:val="-3"/>
                <w:sz w:val="18"/>
              </w:rPr>
              <w:drawing>
                <wp:inline distT="0" distB="0" distL="0" distR="0" wp14:anchorId="0492B4CA" wp14:editId="0B2E5A77">
                  <wp:extent cx="100572" cy="119062"/>
                  <wp:effectExtent l="0" t="0" r="0" b="0"/>
                  <wp:docPr id="191"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81.png"/>
                          <pic:cNvPicPr/>
                        </pic:nvPicPr>
                        <pic:blipFill>
                          <a:blip r:embed="rId84" cstate="print"/>
                          <a:stretch>
                            <a:fillRect/>
                          </a:stretch>
                        </pic:blipFill>
                        <pic:spPr>
                          <a:xfrm>
                            <a:off x="0" y="0"/>
                            <a:ext cx="100572" cy="119062"/>
                          </a:xfrm>
                          <a:prstGeom prst="rect">
                            <a:avLst/>
                          </a:prstGeom>
                        </pic:spPr>
                      </pic:pic>
                    </a:graphicData>
                  </a:graphic>
                </wp:inline>
              </w:drawing>
            </w:r>
          </w:p>
          <w:p w14:paraId="65A71C00" w14:textId="77777777" w:rsidR="00EF5B27" w:rsidRDefault="00EF5B27">
            <w:pPr>
              <w:pStyle w:val="TableParagraph"/>
              <w:spacing w:before="8"/>
              <w:rPr>
                <w:sz w:val="2"/>
              </w:rPr>
            </w:pPr>
          </w:p>
          <w:p w14:paraId="56EA10B4" w14:textId="77777777" w:rsidR="00EF5B27" w:rsidRDefault="00000000">
            <w:pPr>
              <w:pStyle w:val="TableParagraph"/>
              <w:spacing w:line="48" w:lineRule="exact"/>
              <w:ind w:left="448"/>
              <w:rPr>
                <w:sz w:val="4"/>
              </w:rPr>
            </w:pPr>
            <w:r>
              <w:rPr>
                <w:sz w:val="4"/>
              </w:rPr>
            </w:r>
            <w:r>
              <w:rPr>
                <w:sz w:val="4"/>
              </w:rPr>
              <w:pict w14:anchorId="2320A51C">
                <v:group id="_x0000_s3999" style="width:2.45pt;height:2.45pt;mso-position-horizontal-relative:char;mso-position-vertical-relative:line" coordsize="49,49">
                  <v:shape id="_x0000_s4000" style="position:absolute;width:49;height:49" coordsize="49,49" path="m31,l18,,12,2,2,12,,17,,31r2,6l12,46r6,3l31,49r6,-3l46,37r3,-6l49,17,46,12,37,2,31,xe" fillcolor="#808285" stroked="f">
                    <v:path arrowok="t"/>
                  </v:shape>
                  <w10:wrap type="none"/>
                  <w10:anchorlock/>
                </v:group>
              </w:pict>
            </w:r>
          </w:p>
        </w:tc>
        <w:tc>
          <w:tcPr>
            <w:tcW w:w="964" w:type="dxa"/>
          </w:tcPr>
          <w:p w14:paraId="6C8FA806" w14:textId="77777777" w:rsidR="00EF5B27" w:rsidRDefault="00EF5B27">
            <w:pPr>
              <w:pStyle w:val="TableParagraph"/>
              <w:spacing w:before="11"/>
              <w:rPr>
                <w:sz w:val="11"/>
              </w:rPr>
            </w:pPr>
          </w:p>
          <w:p w14:paraId="5E2DD7D4" w14:textId="77777777" w:rsidR="00EF5B27" w:rsidRDefault="00000000">
            <w:pPr>
              <w:pStyle w:val="TableParagraph"/>
              <w:ind w:left="318" w:right="323"/>
              <w:jc w:val="center"/>
              <w:rPr>
                <w:sz w:val="14"/>
              </w:rPr>
            </w:pPr>
            <w:r>
              <w:rPr>
                <w:color w:val="4D4D4F"/>
                <w:w w:val="105"/>
                <w:sz w:val="14"/>
              </w:rPr>
              <w:t>N/A</w:t>
            </w:r>
          </w:p>
        </w:tc>
        <w:tc>
          <w:tcPr>
            <w:tcW w:w="1489" w:type="dxa"/>
          </w:tcPr>
          <w:p w14:paraId="1FBDBE5A" w14:textId="77777777" w:rsidR="00EF5B27" w:rsidRDefault="00000000">
            <w:pPr>
              <w:pStyle w:val="TableParagraph"/>
              <w:spacing w:before="134"/>
              <w:ind w:left="449" w:right="457"/>
              <w:jc w:val="center"/>
              <w:rPr>
                <w:sz w:val="16"/>
              </w:rPr>
            </w:pPr>
            <w:r>
              <w:rPr>
                <w:color w:val="4D4D4F"/>
                <w:w w:val="105"/>
                <w:sz w:val="16"/>
              </w:rPr>
              <w:t>N/A</w:t>
            </w:r>
          </w:p>
        </w:tc>
      </w:tr>
      <w:tr w:rsidR="00EF5B27" w14:paraId="430F3A62" w14:textId="77777777">
        <w:trPr>
          <w:trHeight w:val="448"/>
        </w:trPr>
        <w:tc>
          <w:tcPr>
            <w:tcW w:w="2980" w:type="dxa"/>
          </w:tcPr>
          <w:p w14:paraId="1DE7FA44" w14:textId="77777777" w:rsidR="00EF5B27" w:rsidRDefault="00EF5B27">
            <w:pPr>
              <w:pStyle w:val="TableParagraph"/>
              <w:spacing w:before="11"/>
              <w:rPr>
                <w:sz w:val="11"/>
              </w:rPr>
            </w:pPr>
          </w:p>
          <w:p w14:paraId="6778C10B" w14:textId="77777777" w:rsidR="00EF5B27" w:rsidRDefault="00000000">
            <w:pPr>
              <w:pStyle w:val="TableParagraph"/>
              <w:ind w:left="80"/>
              <w:rPr>
                <w:sz w:val="14"/>
              </w:rPr>
            </w:pPr>
            <w:r>
              <w:rPr>
                <w:color w:val="4D4D4F"/>
                <w:w w:val="105"/>
                <w:sz w:val="14"/>
              </w:rPr>
              <w:t>C3 grassland</w:t>
            </w:r>
          </w:p>
        </w:tc>
        <w:tc>
          <w:tcPr>
            <w:tcW w:w="1078" w:type="dxa"/>
          </w:tcPr>
          <w:p w14:paraId="1E92A1A2" w14:textId="77777777" w:rsidR="00EF5B27" w:rsidRDefault="00EF5B27">
            <w:pPr>
              <w:pStyle w:val="TableParagraph"/>
              <w:spacing w:before="11"/>
              <w:rPr>
                <w:sz w:val="11"/>
              </w:rPr>
            </w:pPr>
          </w:p>
          <w:p w14:paraId="7A4F8722" w14:textId="77777777" w:rsidR="00EF5B27" w:rsidRDefault="00000000">
            <w:pPr>
              <w:pStyle w:val="TableParagraph"/>
              <w:ind w:left="142"/>
              <w:rPr>
                <w:sz w:val="14"/>
              </w:rPr>
            </w:pPr>
            <w:r>
              <w:rPr>
                <w:color w:val="4D4D4F"/>
                <w:w w:val="105"/>
                <w:sz w:val="14"/>
              </w:rPr>
              <w:t>Not assessed</w:t>
            </w:r>
          </w:p>
        </w:tc>
        <w:tc>
          <w:tcPr>
            <w:tcW w:w="2155" w:type="dxa"/>
          </w:tcPr>
          <w:p w14:paraId="580027E6" w14:textId="77777777" w:rsidR="00EF5B27" w:rsidRDefault="00EF5B27">
            <w:pPr>
              <w:pStyle w:val="TableParagraph"/>
              <w:spacing w:before="11"/>
              <w:rPr>
                <w:sz w:val="11"/>
              </w:rPr>
            </w:pPr>
          </w:p>
          <w:p w14:paraId="190788D6" w14:textId="77777777" w:rsidR="00EF5B27" w:rsidRDefault="00000000">
            <w:pPr>
              <w:pStyle w:val="TableParagraph"/>
              <w:ind w:left="143" w:right="139"/>
              <w:jc w:val="center"/>
              <w:rPr>
                <w:sz w:val="14"/>
              </w:rPr>
            </w:pPr>
            <w:r>
              <w:rPr>
                <w:color w:val="4D4D4F"/>
                <w:sz w:val="14"/>
              </w:rPr>
              <w:t>Data not provided</w:t>
            </w:r>
          </w:p>
        </w:tc>
        <w:tc>
          <w:tcPr>
            <w:tcW w:w="964" w:type="dxa"/>
          </w:tcPr>
          <w:p w14:paraId="51192AE5" w14:textId="77777777" w:rsidR="00EF5B27" w:rsidRDefault="00EF5B27">
            <w:pPr>
              <w:pStyle w:val="TableParagraph"/>
              <w:spacing w:before="4"/>
              <w:rPr>
                <w:sz w:val="7"/>
              </w:rPr>
            </w:pPr>
          </w:p>
          <w:p w14:paraId="4D8F7306" w14:textId="77777777" w:rsidR="00EF5B27" w:rsidRDefault="00000000">
            <w:pPr>
              <w:pStyle w:val="TableParagraph"/>
              <w:spacing w:line="187" w:lineRule="exact"/>
              <w:ind w:left="400"/>
              <w:rPr>
                <w:sz w:val="18"/>
              </w:rPr>
            </w:pPr>
            <w:r>
              <w:rPr>
                <w:noProof/>
                <w:position w:val="-3"/>
                <w:sz w:val="18"/>
              </w:rPr>
              <w:drawing>
                <wp:inline distT="0" distB="0" distL="0" distR="0" wp14:anchorId="366AE569" wp14:editId="3DEFB680">
                  <wp:extent cx="100572" cy="119062"/>
                  <wp:effectExtent l="0" t="0" r="0" b="0"/>
                  <wp:docPr id="193"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82.png"/>
                          <pic:cNvPicPr/>
                        </pic:nvPicPr>
                        <pic:blipFill>
                          <a:blip r:embed="rId95" cstate="print"/>
                          <a:stretch>
                            <a:fillRect/>
                          </a:stretch>
                        </pic:blipFill>
                        <pic:spPr>
                          <a:xfrm>
                            <a:off x="0" y="0"/>
                            <a:ext cx="100572" cy="119062"/>
                          </a:xfrm>
                          <a:prstGeom prst="rect">
                            <a:avLst/>
                          </a:prstGeom>
                        </pic:spPr>
                      </pic:pic>
                    </a:graphicData>
                  </a:graphic>
                </wp:inline>
              </w:drawing>
            </w:r>
          </w:p>
          <w:p w14:paraId="133C933C" w14:textId="77777777" w:rsidR="00EF5B27" w:rsidRDefault="00EF5B27">
            <w:pPr>
              <w:pStyle w:val="TableParagraph"/>
              <w:spacing w:before="8"/>
              <w:rPr>
                <w:sz w:val="2"/>
              </w:rPr>
            </w:pPr>
          </w:p>
          <w:p w14:paraId="15E92769" w14:textId="77777777" w:rsidR="00EF5B27" w:rsidRDefault="00000000">
            <w:pPr>
              <w:pStyle w:val="TableParagraph"/>
              <w:spacing w:line="48" w:lineRule="exact"/>
              <w:ind w:left="448"/>
              <w:rPr>
                <w:sz w:val="4"/>
              </w:rPr>
            </w:pPr>
            <w:r>
              <w:rPr>
                <w:sz w:val="4"/>
              </w:rPr>
            </w:r>
            <w:r>
              <w:rPr>
                <w:sz w:val="4"/>
              </w:rPr>
              <w:pict w14:anchorId="1A80D4CA">
                <v:group id="_x0000_s3997" style="width:2.45pt;height:2.45pt;mso-position-horizontal-relative:char;mso-position-vertical-relative:line" coordsize="49,49">
                  <v:shape id="_x0000_s3998" style="position:absolute;width:49;height:49" coordsize="49,49" path="m31,l18,,12,2,2,12,,17,,31r2,6l12,46r6,3l31,49r6,-3l46,37r3,-6l49,17,46,12,37,2,31,xe" fillcolor="#808285" stroked="f">
                    <v:path arrowok="t"/>
                  </v:shape>
                  <w10:wrap type="none"/>
                  <w10:anchorlock/>
                </v:group>
              </w:pict>
            </w:r>
          </w:p>
        </w:tc>
        <w:tc>
          <w:tcPr>
            <w:tcW w:w="964" w:type="dxa"/>
          </w:tcPr>
          <w:p w14:paraId="2C99ACFB" w14:textId="77777777" w:rsidR="00EF5B27" w:rsidRDefault="00EF5B27">
            <w:pPr>
              <w:pStyle w:val="TableParagraph"/>
              <w:spacing w:before="11"/>
              <w:rPr>
                <w:sz w:val="11"/>
              </w:rPr>
            </w:pPr>
          </w:p>
          <w:p w14:paraId="1E8DD7C0" w14:textId="77777777" w:rsidR="00EF5B27" w:rsidRDefault="00000000">
            <w:pPr>
              <w:pStyle w:val="TableParagraph"/>
              <w:ind w:left="318" w:right="323"/>
              <w:jc w:val="center"/>
              <w:rPr>
                <w:sz w:val="14"/>
              </w:rPr>
            </w:pPr>
            <w:r>
              <w:rPr>
                <w:color w:val="4D4D4F"/>
                <w:w w:val="105"/>
                <w:sz w:val="14"/>
              </w:rPr>
              <w:t>N/A</w:t>
            </w:r>
          </w:p>
        </w:tc>
        <w:tc>
          <w:tcPr>
            <w:tcW w:w="1489" w:type="dxa"/>
          </w:tcPr>
          <w:p w14:paraId="429AADED" w14:textId="77777777" w:rsidR="00EF5B27" w:rsidRDefault="00000000">
            <w:pPr>
              <w:pStyle w:val="TableParagraph"/>
              <w:spacing w:before="134"/>
              <w:ind w:left="449" w:right="457"/>
              <w:jc w:val="center"/>
              <w:rPr>
                <w:sz w:val="16"/>
              </w:rPr>
            </w:pPr>
            <w:r>
              <w:rPr>
                <w:color w:val="4D4D4F"/>
                <w:w w:val="105"/>
                <w:sz w:val="16"/>
              </w:rPr>
              <w:t>N/A</w:t>
            </w:r>
          </w:p>
        </w:tc>
      </w:tr>
      <w:tr w:rsidR="00EF5B27" w14:paraId="5D773796" w14:textId="77777777">
        <w:trPr>
          <w:trHeight w:val="448"/>
        </w:trPr>
        <w:tc>
          <w:tcPr>
            <w:tcW w:w="2980" w:type="dxa"/>
          </w:tcPr>
          <w:p w14:paraId="3A3FA0E9" w14:textId="77777777" w:rsidR="00EF5B27" w:rsidRDefault="00EF5B27">
            <w:pPr>
              <w:pStyle w:val="TableParagraph"/>
              <w:spacing w:before="11"/>
              <w:rPr>
                <w:sz w:val="11"/>
              </w:rPr>
            </w:pPr>
          </w:p>
          <w:p w14:paraId="360CE648" w14:textId="77777777" w:rsidR="00EF5B27" w:rsidRDefault="00000000">
            <w:pPr>
              <w:pStyle w:val="TableParagraph"/>
              <w:ind w:left="80"/>
              <w:rPr>
                <w:sz w:val="14"/>
              </w:rPr>
            </w:pPr>
            <w:r>
              <w:rPr>
                <w:color w:val="4D4D4F"/>
                <w:w w:val="105"/>
                <w:sz w:val="14"/>
              </w:rPr>
              <w:t>Nutrient-enriched grassland</w:t>
            </w:r>
          </w:p>
        </w:tc>
        <w:tc>
          <w:tcPr>
            <w:tcW w:w="1078" w:type="dxa"/>
          </w:tcPr>
          <w:p w14:paraId="27EB379E" w14:textId="77777777" w:rsidR="00EF5B27" w:rsidRDefault="00EF5B27">
            <w:pPr>
              <w:pStyle w:val="TableParagraph"/>
              <w:spacing w:before="11"/>
              <w:rPr>
                <w:sz w:val="11"/>
              </w:rPr>
            </w:pPr>
          </w:p>
          <w:p w14:paraId="05C16B9D" w14:textId="77777777" w:rsidR="00EF5B27" w:rsidRDefault="00000000">
            <w:pPr>
              <w:pStyle w:val="TableParagraph"/>
              <w:ind w:left="142"/>
              <w:rPr>
                <w:sz w:val="14"/>
              </w:rPr>
            </w:pPr>
            <w:r>
              <w:rPr>
                <w:color w:val="4D4D4F"/>
                <w:w w:val="105"/>
                <w:sz w:val="14"/>
              </w:rPr>
              <w:t>Not assessed</w:t>
            </w:r>
          </w:p>
        </w:tc>
        <w:tc>
          <w:tcPr>
            <w:tcW w:w="2155" w:type="dxa"/>
          </w:tcPr>
          <w:p w14:paraId="684A16E3" w14:textId="77777777" w:rsidR="00EF5B27" w:rsidRDefault="00EF5B27">
            <w:pPr>
              <w:pStyle w:val="TableParagraph"/>
              <w:spacing w:before="11"/>
              <w:rPr>
                <w:sz w:val="11"/>
              </w:rPr>
            </w:pPr>
          </w:p>
          <w:p w14:paraId="7D5CECC9" w14:textId="77777777" w:rsidR="00EF5B27" w:rsidRDefault="00000000">
            <w:pPr>
              <w:pStyle w:val="TableParagraph"/>
              <w:ind w:left="143" w:right="139"/>
              <w:jc w:val="center"/>
              <w:rPr>
                <w:sz w:val="14"/>
              </w:rPr>
            </w:pPr>
            <w:r>
              <w:rPr>
                <w:color w:val="4D4D4F"/>
                <w:sz w:val="14"/>
              </w:rPr>
              <w:t>Data not provided</w:t>
            </w:r>
          </w:p>
        </w:tc>
        <w:tc>
          <w:tcPr>
            <w:tcW w:w="964" w:type="dxa"/>
          </w:tcPr>
          <w:p w14:paraId="70F4D18E" w14:textId="77777777" w:rsidR="00EF5B27" w:rsidRDefault="00EF5B27">
            <w:pPr>
              <w:pStyle w:val="TableParagraph"/>
              <w:spacing w:before="5"/>
              <w:rPr>
                <w:sz w:val="7"/>
              </w:rPr>
            </w:pPr>
          </w:p>
          <w:p w14:paraId="7B181C35" w14:textId="77777777" w:rsidR="00EF5B27" w:rsidRDefault="00000000">
            <w:pPr>
              <w:pStyle w:val="TableParagraph"/>
              <w:spacing w:line="187" w:lineRule="exact"/>
              <w:ind w:left="400"/>
              <w:rPr>
                <w:sz w:val="18"/>
              </w:rPr>
            </w:pPr>
            <w:r>
              <w:rPr>
                <w:noProof/>
                <w:position w:val="-3"/>
                <w:sz w:val="18"/>
              </w:rPr>
              <w:drawing>
                <wp:inline distT="0" distB="0" distL="0" distR="0" wp14:anchorId="5B7011E9" wp14:editId="756C1140">
                  <wp:extent cx="100572" cy="119062"/>
                  <wp:effectExtent l="0" t="0" r="0" b="0"/>
                  <wp:docPr id="195"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83.png"/>
                          <pic:cNvPicPr/>
                        </pic:nvPicPr>
                        <pic:blipFill>
                          <a:blip r:embed="rId91" cstate="print"/>
                          <a:stretch>
                            <a:fillRect/>
                          </a:stretch>
                        </pic:blipFill>
                        <pic:spPr>
                          <a:xfrm>
                            <a:off x="0" y="0"/>
                            <a:ext cx="100572" cy="119062"/>
                          </a:xfrm>
                          <a:prstGeom prst="rect">
                            <a:avLst/>
                          </a:prstGeom>
                        </pic:spPr>
                      </pic:pic>
                    </a:graphicData>
                  </a:graphic>
                </wp:inline>
              </w:drawing>
            </w:r>
          </w:p>
          <w:p w14:paraId="66FF258C" w14:textId="77777777" w:rsidR="00EF5B27" w:rsidRDefault="00EF5B27">
            <w:pPr>
              <w:pStyle w:val="TableParagraph"/>
              <w:spacing w:before="7"/>
              <w:rPr>
                <w:sz w:val="2"/>
              </w:rPr>
            </w:pPr>
          </w:p>
          <w:p w14:paraId="65505548" w14:textId="77777777" w:rsidR="00EF5B27" w:rsidRDefault="00000000">
            <w:pPr>
              <w:pStyle w:val="TableParagraph"/>
              <w:spacing w:line="48" w:lineRule="exact"/>
              <w:ind w:left="448"/>
              <w:rPr>
                <w:sz w:val="4"/>
              </w:rPr>
            </w:pPr>
            <w:r>
              <w:rPr>
                <w:sz w:val="4"/>
              </w:rPr>
            </w:r>
            <w:r>
              <w:rPr>
                <w:sz w:val="4"/>
              </w:rPr>
              <w:pict w14:anchorId="75011505">
                <v:group id="_x0000_s3995" style="width:2.45pt;height:2.45pt;mso-position-horizontal-relative:char;mso-position-vertical-relative:line" coordsize="49,49">
                  <v:shape id="_x0000_s3996" style="position:absolute;width:49;height:49" coordsize="49,49" path="m31,l18,,12,2,2,12,,17,,31r2,6l12,46r6,3l31,49r6,-3l46,37r3,-6l49,17,46,12,37,2,31,xe" fillcolor="#808285" stroked="f">
                    <v:path arrowok="t"/>
                  </v:shape>
                  <w10:wrap type="none"/>
                  <w10:anchorlock/>
                </v:group>
              </w:pict>
            </w:r>
          </w:p>
        </w:tc>
        <w:tc>
          <w:tcPr>
            <w:tcW w:w="964" w:type="dxa"/>
          </w:tcPr>
          <w:p w14:paraId="55E49ACC" w14:textId="77777777" w:rsidR="00EF5B27" w:rsidRDefault="00EF5B27">
            <w:pPr>
              <w:pStyle w:val="TableParagraph"/>
              <w:spacing w:before="11"/>
              <w:rPr>
                <w:sz w:val="11"/>
              </w:rPr>
            </w:pPr>
          </w:p>
          <w:p w14:paraId="3E1376AD" w14:textId="77777777" w:rsidR="00EF5B27" w:rsidRDefault="00000000">
            <w:pPr>
              <w:pStyle w:val="TableParagraph"/>
              <w:ind w:left="318" w:right="323"/>
              <w:jc w:val="center"/>
              <w:rPr>
                <w:sz w:val="14"/>
              </w:rPr>
            </w:pPr>
            <w:r>
              <w:rPr>
                <w:color w:val="4D4D4F"/>
                <w:w w:val="105"/>
                <w:sz w:val="14"/>
              </w:rPr>
              <w:t>N/A</w:t>
            </w:r>
          </w:p>
        </w:tc>
        <w:tc>
          <w:tcPr>
            <w:tcW w:w="1489" w:type="dxa"/>
          </w:tcPr>
          <w:p w14:paraId="0BBC9A46" w14:textId="77777777" w:rsidR="00EF5B27" w:rsidRDefault="00000000">
            <w:pPr>
              <w:pStyle w:val="TableParagraph"/>
              <w:spacing w:before="134"/>
              <w:ind w:left="449" w:right="457"/>
              <w:jc w:val="center"/>
              <w:rPr>
                <w:sz w:val="16"/>
              </w:rPr>
            </w:pPr>
            <w:r>
              <w:rPr>
                <w:color w:val="4D4D4F"/>
                <w:w w:val="105"/>
                <w:sz w:val="16"/>
              </w:rPr>
              <w:t>N/A</w:t>
            </w:r>
          </w:p>
        </w:tc>
      </w:tr>
      <w:tr w:rsidR="00EF5B27" w14:paraId="673213E5" w14:textId="77777777">
        <w:trPr>
          <w:trHeight w:val="448"/>
        </w:trPr>
        <w:tc>
          <w:tcPr>
            <w:tcW w:w="2980" w:type="dxa"/>
          </w:tcPr>
          <w:p w14:paraId="419C4C42" w14:textId="77777777" w:rsidR="00EF5B27" w:rsidRDefault="00EF5B27">
            <w:pPr>
              <w:pStyle w:val="TableParagraph"/>
              <w:spacing w:before="11"/>
              <w:rPr>
                <w:sz w:val="11"/>
              </w:rPr>
            </w:pPr>
          </w:p>
          <w:p w14:paraId="242666DB" w14:textId="77777777" w:rsidR="00EF5B27" w:rsidRDefault="00000000">
            <w:pPr>
              <w:pStyle w:val="TableParagraph"/>
              <w:ind w:left="80"/>
              <w:rPr>
                <w:sz w:val="14"/>
              </w:rPr>
            </w:pPr>
            <w:r>
              <w:rPr>
                <w:color w:val="4D4D4F"/>
                <w:w w:val="105"/>
                <w:sz w:val="14"/>
              </w:rPr>
              <w:t>De-rocked grassland</w:t>
            </w:r>
          </w:p>
        </w:tc>
        <w:tc>
          <w:tcPr>
            <w:tcW w:w="1078" w:type="dxa"/>
          </w:tcPr>
          <w:p w14:paraId="7044A218" w14:textId="77777777" w:rsidR="00EF5B27" w:rsidRDefault="00EF5B27">
            <w:pPr>
              <w:pStyle w:val="TableParagraph"/>
              <w:spacing w:before="11"/>
              <w:rPr>
                <w:sz w:val="11"/>
              </w:rPr>
            </w:pPr>
          </w:p>
          <w:p w14:paraId="140B57F3" w14:textId="77777777" w:rsidR="00EF5B27" w:rsidRDefault="00000000">
            <w:pPr>
              <w:pStyle w:val="TableParagraph"/>
              <w:ind w:left="142"/>
              <w:rPr>
                <w:sz w:val="14"/>
              </w:rPr>
            </w:pPr>
            <w:r>
              <w:rPr>
                <w:color w:val="4D4D4F"/>
                <w:w w:val="105"/>
                <w:sz w:val="14"/>
              </w:rPr>
              <w:t>Not assessed</w:t>
            </w:r>
          </w:p>
        </w:tc>
        <w:tc>
          <w:tcPr>
            <w:tcW w:w="2155" w:type="dxa"/>
          </w:tcPr>
          <w:p w14:paraId="1239C80B" w14:textId="77777777" w:rsidR="00EF5B27" w:rsidRDefault="00EF5B27">
            <w:pPr>
              <w:pStyle w:val="TableParagraph"/>
              <w:spacing w:before="11"/>
              <w:rPr>
                <w:sz w:val="11"/>
              </w:rPr>
            </w:pPr>
          </w:p>
          <w:p w14:paraId="4DBBFB67" w14:textId="77777777" w:rsidR="00EF5B27" w:rsidRDefault="00000000">
            <w:pPr>
              <w:pStyle w:val="TableParagraph"/>
              <w:ind w:left="143" w:right="139"/>
              <w:jc w:val="center"/>
              <w:rPr>
                <w:sz w:val="14"/>
              </w:rPr>
            </w:pPr>
            <w:r>
              <w:rPr>
                <w:color w:val="4D4D4F"/>
                <w:sz w:val="14"/>
              </w:rPr>
              <w:t>Data not provided</w:t>
            </w:r>
          </w:p>
        </w:tc>
        <w:tc>
          <w:tcPr>
            <w:tcW w:w="964" w:type="dxa"/>
          </w:tcPr>
          <w:p w14:paraId="3FA87B1B" w14:textId="77777777" w:rsidR="00EF5B27" w:rsidRDefault="00EF5B27">
            <w:pPr>
              <w:pStyle w:val="TableParagraph"/>
              <w:spacing w:before="4"/>
              <w:rPr>
                <w:sz w:val="7"/>
              </w:rPr>
            </w:pPr>
          </w:p>
          <w:p w14:paraId="3D8788BC" w14:textId="77777777" w:rsidR="00EF5B27" w:rsidRDefault="00000000">
            <w:pPr>
              <w:pStyle w:val="TableParagraph"/>
              <w:spacing w:line="187" w:lineRule="exact"/>
              <w:ind w:left="400"/>
              <w:rPr>
                <w:sz w:val="18"/>
              </w:rPr>
            </w:pPr>
            <w:r>
              <w:rPr>
                <w:noProof/>
                <w:position w:val="-3"/>
                <w:sz w:val="18"/>
              </w:rPr>
              <w:drawing>
                <wp:inline distT="0" distB="0" distL="0" distR="0" wp14:anchorId="459068BC" wp14:editId="500EE151">
                  <wp:extent cx="100411" cy="118872"/>
                  <wp:effectExtent l="0" t="0" r="0" b="0"/>
                  <wp:docPr id="19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47.png"/>
                          <pic:cNvPicPr/>
                        </pic:nvPicPr>
                        <pic:blipFill>
                          <a:blip r:embed="rId78" cstate="print"/>
                          <a:stretch>
                            <a:fillRect/>
                          </a:stretch>
                        </pic:blipFill>
                        <pic:spPr>
                          <a:xfrm>
                            <a:off x="0" y="0"/>
                            <a:ext cx="100411" cy="118872"/>
                          </a:xfrm>
                          <a:prstGeom prst="rect">
                            <a:avLst/>
                          </a:prstGeom>
                        </pic:spPr>
                      </pic:pic>
                    </a:graphicData>
                  </a:graphic>
                </wp:inline>
              </w:drawing>
            </w:r>
          </w:p>
          <w:p w14:paraId="13956A8B" w14:textId="77777777" w:rsidR="00EF5B27" w:rsidRDefault="00EF5B27">
            <w:pPr>
              <w:pStyle w:val="TableParagraph"/>
              <w:spacing w:before="8"/>
              <w:rPr>
                <w:sz w:val="2"/>
              </w:rPr>
            </w:pPr>
          </w:p>
          <w:p w14:paraId="66250C98" w14:textId="77777777" w:rsidR="00EF5B27" w:rsidRDefault="00000000">
            <w:pPr>
              <w:pStyle w:val="TableParagraph"/>
              <w:spacing w:line="48" w:lineRule="exact"/>
              <w:ind w:left="448"/>
              <w:rPr>
                <w:sz w:val="4"/>
              </w:rPr>
            </w:pPr>
            <w:r>
              <w:rPr>
                <w:sz w:val="4"/>
              </w:rPr>
            </w:r>
            <w:r>
              <w:rPr>
                <w:sz w:val="4"/>
              </w:rPr>
              <w:pict w14:anchorId="612B215D">
                <v:group id="_x0000_s3993" style="width:2.45pt;height:2.45pt;mso-position-horizontal-relative:char;mso-position-vertical-relative:line" coordsize="49,49">
                  <v:shape id="_x0000_s3994" style="position:absolute;width:49;height:49" coordsize="49,49" path="m31,l18,,12,2,2,12,,17,,31r2,6l12,46r6,3l31,49r6,-3l46,37r3,-6l49,17,46,12,37,2,31,xe" fillcolor="#808285" stroked="f">
                    <v:path arrowok="t"/>
                  </v:shape>
                  <w10:wrap type="none"/>
                  <w10:anchorlock/>
                </v:group>
              </w:pict>
            </w:r>
          </w:p>
        </w:tc>
        <w:tc>
          <w:tcPr>
            <w:tcW w:w="964" w:type="dxa"/>
          </w:tcPr>
          <w:p w14:paraId="3661029A" w14:textId="77777777" w:rsidR="00EF5B27" w:rsidRDefault="00EF5B27">
            <w:pPr>
              <w:pStyle w:val="TableParagraph"/>
              <w:spacing w:before="11"/>
              <w:rPr>
                <w:sz w:val="11"/>
              </w:rPr>
            </w:pPr>
          </w:p>
          <w:p w14:paraId="42ADB08D" w14:textId="77777777" w:rsidR="00EF5B27" w:rsidRDefault="00000000">
            <w:pPr>
              <w:pStyle w:val="TableParagraph"/>
              <w:ind w:left="318" w:right="323"/>
              <w:jc w:val="center"/>
              <w:rPr>
                <w:sz w:val="14"/>
              </w:rPr>
            </w:pPr>
            <w:r>
              <w:rPr>
                <w:color w:val="4D4D4F"/>
                <w:w w:val="105"/>
                <w:sz w:val="14"/>
              </w:rPr>
              <w:t>N/A</w:t>
            </w:r>
          </w:p>
        </w:tc>
        <w:tc>
          <w:tcPr>
            <w:tcW w:w="1489" w:type="dxa"/>
          </w:tcPr>
          <w:p w14:paraId="1C5AEC90" w14:textId="77777777" w:rsidR="00EF5B27" w:rsidRDefault="00000000">
            <w:pPr>
              <w:pStyle w:val="TableParagraph"/>
              <w:spacing w:before="134"/>
              <w:ind w:left="449" w:right="457"/>
              <w:jc w:val="center"/>
              <w:rPr>
                <w:sz w:val="16"/>
              </w:rPr>
            </w:pPr>
            <w:r>
              <w:rPr>
                <w:color w:val="4D4D4F"/>
                <w:w w:val="105"/>
                <w:sz w:val="16"/>
              </w:rPr>
              <w:t>N/A</w:t>
            </w:r>
          </w:p>
        </w:tc>
      </w:tr>
    </w:tbl>
    <w:p w14:paraId="07323241" w14:textId="77777777" w:rsidR="00EF5B27" w:rsidRDefault="00EF5B27">
      <w:pPr>
        <w:pStyle w:val="BodyText"/>
        <w:spacing w:before="1"/>
        <w:rPr>
          <w:sz w:val="26"/>
        </w:rPr>
      </w:pPr>
    </w:p>
    <w:p w14:paraId="2BBE96F8" w14:textId="77777777" w:rsidR="00EF5B27" w:rsidRDefault="00000000">
      <w:pPr>
        <w:pStyle w:val="BodyText"/>
        <w:spacing w:before="100" w:line="254" w:lineRule="auto"/>
        <w:ind w:left="2608"/>
      </w:pPr>
      <w:r>
        <w:rPr>
          <w:color w:val="4D4D4F"/>
        </w:rPr>
        <w:t>Comments: 2021 was the first year of data collection at a single site. Results data were not provided for KPI 6. Status assessments are therefore not provided here, any trends are unclear and data confidence assessments are not applicable.</w:t>
      </w:r>
    </w:p>
    <w:p w14:paraId="49B27A24" w14:textId="77777777" w:rsidR="00EF5B27" w:rsidRDefault="00EF5B27">
      <w:pPr>
        <w:pStyle w:val="BodyText"/>
      </w:pPr>
    </w:p>
    <w:p w14:paraId="5F048CF2" w14:textId="77777777" w:rsidR="00EF5B27" w:rsidRDefault="00EF5B27">
      <w:pPr>
        <w:pStyle w:val="BodyText"/>
        <w:spacing w:before="9"/>
        <w:rPr>
          <w:sz w:val="11"/>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1A3C4A3A" w14:textId="77777777">
        <w:trPr>
          <w:trHeight w:val="561"/>
        </w:trPr>
        <w:tc>
          <w:tcPr>
            <w:tcW w:w="2980" w:type="dxa"/>
            <w:shd w:val="clear" w:color="auto" w:fill="FECC91"/>
          </w:tcPr>
          <w:p w14:paraId="4C9FFFE6" w14:textId="77777777" w:rsidR="00EF5B27" w:rsidRDefault="00000000">
            <w:pPr>
              <w:pStyle w:val="TableParagraph"/>
              <w:spacing w:before="91" w:line="244" w:lineRule="auto"/>
              <w:ind w:left="80" w:right="244"/>
              <w:rPr>
                <w:b/>
                <w:sz w:val="16"/>
              </w:rPr>
            </w:pPr>
            <w:r>
              <w:rPr>
                <w:b/>
                <w:sz w:val="16"/>
              </w:rPr>
              <w:t>KPI 7: Percentage cover of all perennial vegetation comprised of weeds</w:t>
            </w:r>
          </w:p>
        </w:tc>
        <w:tc>
          <w:tcPr>
            <w:tcW w:w="1078" w:type="dxa"/>
            <w:shd w:val="clear" w:color="auto" w:fill="FECC91"/>
          </w:tcPr>
          <w:p w14:paraId="3128E82E"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09600D72" w14:textId="77777777" w:rsidR="00EF5B27" w:rsidRDefault="00EF5B27">
            <w:pPr>
              <w:pStyle w:val="TableParagraph"/>
              <w:spacing w:before="7"/>
              <w:rPr>
                <w:sz w:val="15"/>
              </w:rPr>
            </w:pPr>
          </w:p>
          <w:p w14:paraId="44F094FF"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5C90D885" w14:textId="77777777" w:rsidR="00EF5B27" w:rsidRDefault="00EF5B27">
            <w:pPr>
              <w:pStyle w:val="TableParagraph"/>
              <w:spacing w:before="7"/>
              <w:rPr>
                <w:sz w:val="15"/>
              </w:rPr>
            </w:pPr>
          </w:p>
          <w:p w14:paraId="3BCF5702"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1C49C8C3"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55A79CEE"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13F95251" w14:textId="77777777">
        <w:trPr>
          <w:trHeight w:val="448"/>
        </w:trPr>
        <w:tc>
          <w:tcPr>
            <w:tcW w:w="2980" w:type="dxa"/>
          </w:tcPr>
          <w:p w14:paraId="15F85EE7" w14:textId="77777777" w:rsidR="00EF5B27" w:rsidRDefault="00EF5B27">
            <w:pPr>
              <w:pStyle w:val="TableParagraph"/>
              <w:spacing w:before="11"/>
              <w:rPr>
                <w:sz w:val="11"/>
              </w:rPr>
            </w:pPr>
          </w:p>
          <w:p w14:paraId="745D707F" w14:textId="77777777" w:rsidR="00EF5B27" w:rsidRDefault="00000000">
            <w:pPr>
              <w:pStyle w:val="TableParagraph"/>
              <w:ind w:left="80"/>
              <w:rPr>
                <w:sz w:val="14"/>
              </w:rPr>
            </w:pPr>
            <w:r>
              <w:rPr>
                <w:color w:val="4D4D4F"/>
                <w:w w:val="105"/>
                <w:sz w:val="14"/>
              </w:rPr>
              <w:t>Herb-rich grassland</w:t>
            </w:r>
          </w:p>
        </w:tc>
        <w:tc>
          <w:tcPr>
            <w:tcW w:w="1078" w:type="dxa"/>
          </w:tcPr>
          <w:p w14:paraId="3FB1BB43" w14:textId="77777777" w:rsidR="00EF5B27" w:rsidRDefault="00EF5B27">
            <w:pPr>
              <w:pStyle w:val="TableParagraph"/>
              <w:spacing w:before="11"/>
              <w:rPr>
                <w:sz w:val="11"/>
              </w:rPr>
            </w:pPr>
          </w:p>
          <w:p w14:paraId="2069CE63" w14:textId="77777777" w:rsidR="00EF5B27" w:rsidRDefault="00000000">
            <w:pPr>
              <w:pStyle w:val="TableParagraph"/>
              <w:ind w:left="142"/>
              <w:rPr>
                <w:sz w:val="14"/>
              </w:rPr>
            </w:pPr>
            <w:r>
              <w:rPr>
                <w:color w:val="4D4D4F"/>
                <w:w w:val="105"/>
                <w:sz w:val="14"/>
              </w:rPr>
              <w:t>Not assessed</w:t>
            </w:r>
          </w:p>
        </w:tc>
        <w:tc>
          <w:tcPr>
            <w:tcW w:w="2155" w:type="dxa"/>
          </w:tcPr>
          <w:p w14:paraId="161F65AA" w14:textId="77777777" w:rsidR="00EF5B27" w:rsidRDefault="00EF5B27">
            <w:pPr>
              <w:pStyle w:val="TableParagraph"/>
              <w:spacing w:before="11"/>
              <w:rPr>
                <w:sz w:val="11"/>
              </w:rPr>
            </w:pPr>
          </w:p>
          <w:p w14:paraId="4D8BD8FD" w14:textId="77777777" w:rsidR="00EF5B27" w:rsidRDefault="00000000">
            <w:pPr>
              <w:pStyle w:val="TableParagraph"/>
              <w:ind w:left="143" w:right="142"/>
              <w:jc w:val="center"/>
              <w:rPr>
                <w:sz w:val="14"/>
              </w:rPr>
            </w:pPr>
            <w:r>
              <w:rPr>
                <w:color w:val="4D4D4F"/>
                <w:sz w:val="14"/>
              </w:rPr>
              <w:t>Baseline not yet set</w:t>
            </w:r>
          </w:p>
        </w:tc>
        <w:tc>
          <w:tcPr>
            <w:tcW w:w="964" w:type="dxa"/>
          </w:tcPr>
          <w:p w14:paraId="09103E86" w14:textId="77777777" w:rsidR="00EF5B27" w:rsidRDefault="00EF5B27">
            <w:pPr>
              <w:pStyle w:val="TableParagraph"/>
              <w:spacing w:before="4"/>
              <w:rPr>
                <w:sz w:val="7"/>
              </w:rPr>
            </w:pPr>
          </w:p>
          <w:p w14:paraId="4F3B61A3" w14:textId="77777777" w:rsidR="00EF5B27" w:rsidRDefault="00000000">
            <w:pPr>
              <w:pStyle w:val="TableParagraph"/>
              <w:spacing w:line="187" w:lineRule="exact"/>
              <w:ind w:left="400"/>
              <w:rPr>
                <w:sz w:val="18"/>
              </w:rPr>
            </w:pPr>
            <w:r>
              <w:rPr>
                <w:noProof/>
                <w:position w:val="-3"/>
                <w:sz w:val="18"/>
              </w:rPr>
              <w:drawing>
                <wp:inline distT="0" distB="0" distL="0" distR="0" wp14:anchorId="4EABCE31" wp14:editId="30120CBC">
                  <wp:extent cx="100572" cy="119062"/>
                  <wp:effectExtent l="0" t="0" r="0" b="0"/>
                  <wp:docPr id="199"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84.png"/>
                          <pic:cNvPicPr/>
                        </pic:nvPicPr>
                        <pic:blipFill>
                          <a:blip r:embed="rId84" cstate="print"/>
                          <a:stretch>
                            <a:fillRect/>
                          </a:stretch>
                        </pic:blipFill>
                        <pic:spPr>
                          <a:xfrm>
                            <a:off x="0" y="0"/>
                            <a:ext cx="100572" cy="119062"/>
                          </a:xfrm>
                          <a:prstGeom prst="rect">
                            <a:avLst/>
                          </a:prstGeom>
                        </pic:spPr>
                      </pic:pic>
                    </a:graphicData>
                  </a:graphic>
                </wp:inline>
              </w:drawing>
            </w:r>
          </w:p>
          <w:p w14:paraId="341D8494" w14:textId="77777777" w:rsidR="00EF5B27" w:rsidRDefault="00EF5B27">
            <w:pPr>
              <w:pStyle w:val="TableParagraph"/>
              <w:spacing w:before="8"/>
              <w:rPr>
                <w:sz w:val="2"/>
              </w:rPr>
            </w:pPr>
          </w:p>
          <w:p w14:paraId="6B73FDDA" w14:textId="77777777" w:rsidR="00EF5B27" w:rsidRDefault="00000000">
            <w:pPr>
              <w:pStyle w:val="TableParagraph"/>
              <w:spacing w:line="48" w:lineRule="exact"/>
              <w:ind w:left="448"/>
              <w:rPr>
                <w:sz w:val="4"/>
              </w:rPr>
            </w:pPr>
            <w:r>
              <w:rPr>
                <w:sz w:val="4"/>
              </w:rPr>
            </w:r>
            <w:r>
              <w:rPr>
                <w:sz w:val="4"/>
              </w:rPr>
              <w:pict w14:anchorId="15B0C135">
                <v:group id="_x0000_s3991" style="width:2.45pt;height:2.45pt;mso-position-horizontal-relative:char;mso-position-vertical-relative:line" coordsize="49,49">
                  <v:shape id="_x0000_s3992" style="position:absolute;width:49;height:49" coordsize="49,49" path="m31,l18,,12,2,2,12,,17,,31r2,6l12,46r6,3l31,49r6,-3l46,37r3,-6l49,17,46,12,37,2,31,xe" fillcolor="#808285" stroked="f">
                    <v:path arrowok="t"/>
                  </v:shape>
                  <w10:wrap type="none"/>
                  <w10:anchorlock/>
                </v:group>
              </w:pict>
            </w:r>
          </w:p>
        </w:tc>
        <w:tc>
          <w:tcPr>
            <w:tcW w:w="964" w:type="dxa"/>
          </w:tcPr>
          <w:p w14:paraId="5BDE7719" w14:textId="77777777" w:rsidR="00EF5B27" w:rsidRDefault="00EF5B27">
            <w:pPr>
              <w:pStyle w:val="TableParagraph"/>
              <w:spacing w:before="11"/>
              <w:rPr>
                <w:sz w:val="11"/>
              </w:rPr>
            </w:pPr>
          </w:p>
          <w:p w14:paraId="008BF14C" w14:textId="77777777" w:rsidR="00EF5B27" w:rsidRDefault="00000000">
            <w:pPr>
              <w:pStyle w:val="TableParagraph"/>
              <w:ind w:left="318" w:right="323"/>
              <w:jc w:val="center"/>
              <w:rPr>
                <w:sz w:val="14"/>
              </w:rPr>
            </w:pPr>
            <w:r>
              <w:rPr>
                <w:color w:val="4D4D4F"/>
                <w:w w:val="105"/>
                <w:sz w:val="14"/>
              </w:rPr>
              <w:t>N/A</w:t>
            </w:r>
          </w:p>
        </w:tc>
        <w:tc>
          <w:tcPr>
            <w:tcW w:w="1489" w:type="dxa"/>
          </w:tcPr>
          <w:p w14:paraId="13B4A3B7" w14:textId="77777777" w:rsidR="00EF5B27" w:rsidRDefault="00000000">
            <w:pPr>
              <w:pStyle w:val="TableParagraph"/>
              <w:spacing w:before="134"/>
              <w:ind w:left="581"/>
              <w:rPr>
                <w:sz w:val="16"/>
              </w:rPr>
            </w:pPr>
            <w:r>
              <w:rPr>
                <w:color w:val="4D4D4F"/>
                <w:sz w:val="16"/>
              </w:rPr>
              <w:t>2026</w:t>
            </w:r>
          </w:p>
        </w:tc>
      </w:tr>
      <w:tr w:rsidR="00EF5B27" w14:paraId="1E79B94A" w14:textId="77777777">
        <w:trPr>
          <w:trHeight w:val="448"/>
        </w:trPr>
        <w:tc>
          <w:tcPr>
            <w:tcW w:w="2980" w:type="dxa"/>
          </w:tcPr>
          <w:p w14:paraId="5ED79A32" w14:textId="77777777" w:rsidR="00EF5B27" w:rsidRDefault="00EF5B27">
            <w:pPr>
              <w:pStyle w:val="TableParagraph"/>
              <w:spacing w:before="11"/>
              <w:rPr>
                <w:sz w:val="11"/>
              </w:rPr>
            </w:pPr>
          </w:p>
          <w:p w14:paraId="10434B2B" w14:textId="77777777" w:rsidR="00EF5B27" w:rsidRDefault="00000000">
            <w:pPr>
              <w:pStyle w:val="TableParagraph"/>
              <w:ind w:left="80"/>
              <w:rPr>
                <w:sz w:val="14"/>
              </w:rPr>
            </w:pPr>
            <w:r>
              <w:rPr>
                <w:rFonts w:ascii="Arial Narrow"/>
                <w:i/>
                <w:color w:val="4D4D4F"/>
                <w:w w:val="110"/>
                <w:sz w:val="14"/>
              </w:rPr>
              <w:t xml:space="preserve">Themeda </w:t>
            </w:r>
            <w:r>
              <w:rPr>
                <w:color w:val="4D4D4F"/>
                <w:w w:val="110"/>
                <w:sz w:val="14"/>
              </w:rPr>
              <w:t>grassland</w:t>
            </w:r>
          </w:p>
        </w:tc>
        <w:tc>
          <w:tcPr>
            <w:tcW w:w="1078" w:type="dxa"/>
          </w:tcPr>
          <w:p w14:paraId="00A76812" w14:textId="77777777" w:rsidR="00EF5B27" w:rsidRDefault="00EF5B27">
            <w:pPr>
              <w:pStyle w:val="TableParagraph"/>
              <w:spacing w:before="11"/>
              <w:rPr>
                <w:sz w:val="11"/>
              </w:rPr>
            </w:pPr>
          </w:p>
          <w:p w14:paraId="31503DE7" w14:textId="77777777" w:rsidR="00EF5B27" w:rsidRDefault="00000000">
            <w:pPr>
              <w:pStyle w:val="TableParagraph"/>
              <w:ind w:left="142"/>
              <w:rPr>
                <w:sz w:val="14"/>
              </w:rPr>
            </w:pPr>
            <w:r>
              <w:rPr>
                <w:color w:val="4D4D4F"/>
                <w:w w:val="105"/>
                <w:sz w:val="14"/>
              </w:rPr>
              <w:t>Not assessed</w:t>
            </w:r>
          </w:p>
        </w:tc>
        <w:tc>
          <w:tcPr>
            <w:tcW w:w="2155" w:type="dxa"/>
          </w:tcPr>
          <w:p w14:paraId="6E6385B5" w14:textId="77777777" w:rsidR="00EF5B27" w:rsidRDefault="00EF5B27">
            <w:pPr>
              <w:pStyle w:val="TableParagraph"/>
              <w:spacing w:before="11"/>
              <w:rPr>
                <w:sz w:val="11"/>
              </w:rPr>
            </w:pPr>
          </w:p>
          <w:p w14:paraId="7B0D5E55" w14:textId="77777777" w:rsidR="00EF5B27" w:rsidRDefault="00000000">
            <w:pPr>
              <w:pStyle w:val="TableParagraph"/>
              <w:ind w:left="143" w:right="142"/>
              <w:jc w:val="center"/>
              <w:rPr>
                <w:sz w:val="14"/>
              </w:rPr>
            </w:pPr>
            <w:r>
              <w:rPr>
                <w:color w:val="4D4D4F"/>
                <w:sz w:val="14"/>
              </w:rPr>
              <w:t>Baseline not yet set</w:t>
            </w:r>
          </w:p>
        </w:tc>
        <w:tc>
          <w:tcPr>
            <w:tcW w:w="964" w:type="dxa"/>
          </w:tcPr>
          <w:p w14:paraId="4AE8E8ED" w14:textId="77777777" w:rsidR="00EF5B27" w:rsidRDefault="00EF5B27">
            <w:pPr>
              <w:pStyle w:val="TableParagraph"/>
              <w:spacing w:before="4"/>
              <w:rPr>
                <w:sz w:val="7"/>
              </w:rPr>
            </w:pPr>
          </w:p>
          <w:p w14:paraId="643CA449" w14:textId="77777777" w:rsidR="00EF5B27" w:rsidRDefault="00000000">
            <w:pPr>
              <w:pStyle w:val="TableParagraph"/>
              <w:spacing w:line="187" w:lineRule="exact"/>
              <w:ind w:left="400"/>
              <w:rPr>
                <w:sz w:val="18"/>
              </w:rPr>
            </w:pPr>
            <w:r>
              <w:rPr>
                <w:noProof/>
                <w:position w:val="-3"/>
                <w:sz w:val="18"/>
              </w:rPr>
              <w:drawing>
                <wp:inline distT="0" distB="0" distL="0" distR="0" wp14:anchorId="38F0CF98" wp14:editId="0958BCAF">
                  <wp:extent cx="100572" cy="119062"/>
                  <wp:effectExtent l="0" t="0" r="0" b="0"/>
                  <wp:docPr id="201"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85.png"/>
                          <pic:cNvPicPr/>
                        </pic:nvPicPr>
                        <pic:blipFill>
                          <a:blip r:embed="rId92" cstate="print"/>
                          <a:stretch>
                            <a:fillRect/>
                          </a:stretch>
                        </pic:blipFill>
                        <pic:spPr>
                          <a:xfrm>
                            <a:off x="0" y="0"/>
                            <a:ext cx="100572" cy="119062"/>
                          </a:xfrm>
                          <a:prstGeom prst="rect">
                            <a:avLst/>
                          </a:prstGeom>
                        </pic:spPr>
                      </pic:pic>
                    </a:graphicData>
                  </a:graphic>
                </wp:inline>
              </w:drawing>
            </w:r>
          </w:p>
          <w:p w14:paraId="05777CB5" w14:textId="77777777" w:rsidR="00EF5B27" w:rsidRDefault="00EF5B27">
            <w:pPr>
              <w:pStyle w:val="TableParagraph"/>
              <w:spacing w:before="8"/>
              <w:rPr>
                <w:sz w:val="2"/>
              </w:rPr>
            </w:pPr>
          </w:p>
          <w:p w14:paraId="53F7ECB7" w14:textId="77777777" w:rsidR="00EF5B27" w:rsidRDefault="00000000">
            <w:pPr>
              <w:pStyle w:val="TableParagraph"/>
              <w:spacing w:line="48" w:lineRule="exact"/>
              <w:ind w:left="448"/>
              <w:rPr>
                <w:sz w:val="4"/>
              </w:rPr>
            </w:pPr>
            <w:r>
              <w:rPr>
                <w:sz w:val="4"/>
              </w:rPr>
            </w:r>
            <w:r>
              <w:rPr>
                <w:sz w:val="4"/>
              </w:rPr>
              <w:pict w14:anchorId="5D8211C3">
                <v:group id="_x0000_s3989" style="width:2.45pt;height:2.45pt;mso-position-horizontal-relative:char;mso-position-vertical-relative:line" coordsize="49,49">
                  <v:shape id="_x0000_s3990" style="position:absolute;width:49;height:49" coordsize="49,49" path="m31,l18,,12,2,2,12,,17,,31r2,6l12,46r6,3l31,49r6,-3l46,37r3,-6l49,17,46,12,37,2,31,xe" fillcolor="#808285" stroked="f">
                    <v:path arrowok="t"/>
                  </v:shape>
                  <w10:wrap type="none"/>
                  <w10:anchorlock/>
                </v:group>
              </w:pict>
            </w:r>
          </w:p>
        </w:tc>
        <w:tc>
          <w:tcPr>
            <w:tcW w:w="964" w:type="dxa"/>
          </w:tcPr>
          <w:p w14:paraId="694114D3" w14:textId="77777777" w:rsidR="00EF5B27" w:rsidRDefault="00EF5B27">
            <w:pPr>
              <w:pStyle w:val="TableParagraph"/>
              <w:spacing w:before="11"/>
              <w:rPr>
                <w:sz w:val="11"/>
              </w:rPr>
            </w:pPr>
          </w:p>
          <w:p w14:paraId="00C8D586" w14:textId="77777777" w:rsidR="00EF5B27" w:rsidRDefault="00000000">
            <w:pPr>
              <w:pStyle w:val="TableParagraph"/>
              <w:ind w:left="318" w:right="323"/>
              <w:jc w:val="center"/>
              <w:rPr>
                <w:sz w:val="14"/>
              </w:rPr>
            </w:pPr>
            <w:r>
              <w:rPr>
                <w:color w:val="4D4D4F"/>
                <w:w w:val="105"/>
                <w:sz w:val="14"/>
              </w:rPr>
              <w:t>N/A</w:t>
            </w:r>
          </w:p>
        </w:tc>
        <w:tc>
          <w:tcPr>
            <w:tcW w:w="1489" w:type="dxa"/>
          </w:tcPr>
          <w:p w14:paraId="33B41440" w14:textId="77777777" w:rsidR="00EF5B27" w:rsidRDefault="00000000">
            <w:pPr>
              <w:pStyle w:val="TableParagraph"/>
              <w:spacing w:before="134"/>
              <w:ind w:left="581"/>
              <w:rPr>
                <w:sz w:val="16"/>
              </w:rPr>
            </w:pPr>
            <w:r>
              <w:rPr>
                <w:color w:val="4D4D4F"/>
                <w:sz w:val="16"/>
              </w:rPr>
              <w:t>2026</w:t>
            </w:r>
          </w:p>
        </w:tc>
      </w:tr>
      <w:tr w:rsidR="00EF5B27" w14:paraId="4D9C0322" w14:textId="77777777">
        <w:trPr>
          <w:trHeight w:val="448"/>
        </w:trPr>
        <w:tc>
          <w:tcPr>
            <w:tcW w:w="2980" w:type="dxa"/>
          </w:tcPr>
          <w:p w14:paraId="3EC60949" w14:textId="77777777" w:rsidR="00EF5B27" w:rsidRDefault="00EF5B27">
            <w:pPr>
              <w:pStyle w:val="TableParagraph"/>
              <w:spacing w:before="11"/>
              <w:rPr>
                <w:sz w:val="11"/>
              </w:rPr>
            </w:pPr>
          </w:p>
          <w:p w14:paraId="4E5F1CF5" w14:textId="77777777" w:rsidR="00EF5B27" w:rsidRDefault="00000000">
            <w:pPr>
              <w:pStyle w:val="TableParagraph"/>
              <w:ind w:left="80"/>
              <w:rPr>
                <w:sz w:val="14"/>
              </w:rPr>
            </w:pPr>
            <w:r>
              <w:rPr>
                <w:color w:val="4D4D4F"/>
                <w:w w:val="105"/>
                <w:sz w:val="14"/>
              </w:rPr>
              <w:t>C3 grassland</w:t>
            </w:r>
          </w:p>
        </w:tc>
        <w:tc>
          <w:tcPr>
            <w:tcW w:w="1078" w:type="dxa"/>
          </w:tcPr>
          <w:p w14:paraId="31E6C6A9" w14:textId="77777777" w:rsidR="00EF5B27" w:rsidRDefault="00EF5B27">
            <w:pPr>
              <w:pStyle w:val="TableParagraph"/>
              <w:spacing w:before="11"/>
              <w:rPr>
                <w:sz w:val="11"/>
              </w:rPr>
            </w:pPr>
          </w:p>
          <w:p w14:paraId="7D600B32" w14:textId="77777777" w:rsidR="00EF5B27" w:rsidRDefault="00000000">
            <w:pPr>
              <w:pStyle w:val="TableParagraph"/>
              <w:ind w:left="142"/>
              <w:rPr>
                <w:sz w:val="14"/>
              </w:rPr>
            </w:pPr>
            <w:r>
              <w:rPr>
                <w:color w:val="4D4D4F"/>
                <w:w w:val="105"/>
                <w:sz w:val="14"/>
              </w:rPr>
              <w:t>Not assessed</w:t>
            </w:r>
          </w:p>
        </w:tc>
        <w:tc>
          <w:tcPr>
            <w:tcW w:w="2155" w:type="dxa"/>
          </w:tcPr>
          <w:p w14:paraId="689A7A24" w14:textId="77777777" w:rsidR="00EF5B27" w:rsidRDefault="00EF5B27">
            <w:pPr>
              <w:pStyle w:val="TableParagraph"/>
              <w:spacing w:before="11"/>
              <w:rPr>
                <w:sz w:val="11"/>
              </w:rPr>
            </w:pPr>
          </w:p>
          <w:p w14:paraId="094CB663" w14:textId="77777777" w:rsidR="00EF5B27" w:rsidRDefault="00000000">
            <w:pPr>
              <w:pStyle w:val="TableParagraph"/>
              <w:ind w:left="143" w:right="142"/>
              <w:jc w:val="center"/>
              <w:rPr>
                <w:sz w:val="14"/>
              </w:rPr>
            </w:pPr>
            <w:r>
              <w:rPr>
                <w:color w:val="4D4D4F"/>
                <w:sz w:val="14"/>
              </w:rPr>
              <w:t>Baseline not yet set</w:t>
            </w:r>
          </w:p>
        </w:tc>
        <w:tc>
          <w:tcPr>
            <w:tcW w:w="964" w:type="dxa"/>
          </w:tcPr>
          <w:p w14:paraId="5EFD9861" w14:textId="77777777" w:rsidR="00EF5B27" w:rsidRDefault="00EF5B27">
            <w:pPr>
              <w:pStyle w:val="TableParagraph"/>
              <w:spacing w:before="4"/>
              <w:rPr>
                <w:sz w:val="7"/>
              </w:rPr>
            </w:pPr>
          </w:p>
          <w:p w14:paraId="41CBA5B8" w14:textId="77777777" w:rsidR="00EF5B27" w:rsidRDefault="00000000">
            <w:pPr>
              <w:pStyle w:val="TableParagraph"/>
              <w:spacing w:line="187" w:lineRule="exact"/>
              <w:ind w:left="400"/>
              <w:rPr>
                <w:sz w:val="18"/>
              </w:rPr>
            </w:pPr>
            <w:r>
              <w:rPr>
                <w:noProof/>
                <w:position w:val="-3"/>
                <w:sz w:val="18"/>
              </w:rPr>
              <w:drawing>
                <wp:inline distT="0" distB="0" distL="0" distR="0" wp14:anchorId="61F058A1" wp14:editId="5C84FCD1">
                  <wp:extent cx="100572" cy="119062"/>
                  <wp:effectExtent l="0" t="0" r="0" b="0"/>
                  <wp:docPr id="203"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86.png"/>
                          <pic:cNvPicPr/>
                        </pic:nvPicPr>
                        <pic:blipFill>
                          <a:blip r:embed="rId84" cstate="print"/>
                          <a:stretch>
                            <a:fillRect/>
                          </a:stretch>
                        </pic:blipFill>
                        <pic:spPr>
                          <a:xfrm>
                            <a:off x="0" y="0"/>
                            <a:ext cx="100572" cy="119062"/>
                          </a:xfrm>
                          <a:prstGeom prst="rect">
                            <a:avLst/>
                          </a:prstGeom>
                        </pic:spPr>
                      </pic:pic>
                    </a:graphicData>
                  </a:graphic>
                </wp:inline>
              </w:drawing>
            </w:r>
          </w:p>
          <w:p w14:paraId="3CA14D93" w14:textId="77777777" w:rsidR="00EF5B27" w:rsidRDefault="00EF5B27">
            <w:pPr>
              <w:pStyle w:val="TableParagraph"/>
              <w:spacing w:before="8"/>
              <w:rPr>
                <w:sz w:val="2"/>
              </w:rPr>
            </w:pPr>
          </w:p>
          <w:p w14:paraId="1329D00E" w14:textId="77777777" w:rsidR="00EF5B27" w:rsidRDefault="00000000">
            <w:pPr>
              <w:pStyle w:val="TableParagraph"/>
              <w:spacing w:line="48" w:lineRule="exact"/>
              <w:ind w:left="448"/>
              <w:rPr>
                <w:sz w:val="4"/>
              </w:rPr>
            </w:pPr>
            <w:r>
              <w:rPr>
                <w:sz w:val="4"/>
              </w:rPr>
            </w:r>
            <w:r>
              <w:rPr>
                <w:sz w:val="4"/>
              </w:rPr>
              <w:pict w14:anchorId="604CBD85">
                <v:group id="_x0000_s3987" style="width:2.45pt;height:2.45pt;mso-position-horizontal-relative:char;mso-position-vertical-relative:line" coordsize="49,49">
                  <v:shape id="_x0000_s3988" style="position:absolute;width:49;height:49" coordsize="49,49" path="m31,l18,,12,2,2,12,,17,,31r2,6l12,46r6,3l31,49r6,-3l46,37r3,-6l49,17,46,12,37,2,31,xe" fillcolor="#808285" stroked="f">
                    <v:path arrowok="t"/>
                  </v:shape>
                  <w10:wrap type="none"/>
                  <w10:anchorlock/>
                </v:group>
              </w:pict>
            </w:r>
          </w:p>
        </w:tc>
        <w:tc>
          <w:tcPr>
            <w:tcW w:w="964" w:type="dxa"/>
          </w:tcPr>
          <w:p w14:paraId="461F5FC9" w14:textId="77777777" w:rsidR="00EF5B27" w:rsidRDefault="00EF5B27">
            <w:pPr>
              <w:pStyle w:val="TableParagraph"/>
              <w:spacing w:before="11"/>
              <w:rPr>
                <w:sz w:val="11"/>
              </w:rPr>
            </w:pPr>
          </w:p>
          <w:p w14:paraId="3CAA6C6D" w14:textId="77777777" w:rsidR="00EF5B27" w:rsidRDefault="00000000">
            <w:pPr>
              <w:pStyle w:val="TableParagraph"/>
              <w:ind w:left="318" w:right="323"/>
              <w:jc w:val="center"/>
              <w:rPr>
                <w:sz w:val="14"/>
              </w:rPr>
            </w:pPr>
            <w:r>
              <w:rPr>
                <w:color w:val="4D4D4F"/>
                <w:w w:val="105"/>
                <w:sz w:val="14"/>
              </w:rPr>
              <w:t>N/A</w:t>
            </w:r>
          </w:p>
        </w:tc>
        <w:tc>
          <w:tcPr>
            <w:tcW w:w="1489" w:type="dxa"/>
          </w:tcPr>
          <w:p w14:paraId="710E533B" w14:textId="77777777" w:rsidR="00EF5B27" w:rsidRDefault="00000000">
            <w:pPr>
              <w:pStyle w:val="TableParagraph"/>
              <w:spacing w:before="134"/>
              <w:ind w:left="581"/>
              <w:rPr>
                <w:sz w:val="16"/>
              </w:rPr>
            </w:pPr>
            <w:r>
              <w:rPr>
                <w:color w:val="4D4D4F"/>
                <w:sz w:val="16"/>
              </w:rPr>
              <w:t>2026</w:t>
            </w:r>
          </w:p>
        </w:tc>
      </w:tr>
      <w:tr w:rsidR="00EF5B27" w14:paraId="576DACA2" w14:textId="77777777">
        <w:trPr>
          <w:trHeight w:val="448"/>
        </w:trPr>
        <w:tc>
          <w:tcPr>
            <w:tcW w:w="2980" w:type="dxa"/>
          </w:tcPr>
          <w:p w14:paraId="7530FD33" w14:textId="77777777" w:rsidR="00EF5B27" w:rsidRDefault="00EF5B27">
            <w:pPr>
              <w:pStyle w:val="TableParagraph"/>
              <w:spacing w:before="11"/>
              <w:rPr>
                <w:sz w:val="11"/>
              </w:rPr>
            </w:pPr>
          </w:p>
          <w:p w14:paraId="736E8329" w14:textId="77777777" w:rsidR="00EF5B27" w:rsidRDefault="00000000">
            <w:pPr>
              <w:pStyle w:val="TableParagraph"/>
              <w:ind w:left="80"/>
              <w:rPr>
                <w:sz w:val="14"/>
              </w:rPr>
            </w:pPr>
            <w:r>
              <w:rPr>
                <w:color w:val="4D4D4F"/>
                <w:w w:val="105"/>
                <w:sz w:val="14"/>
              </w:rPr>
              <w:t>Nutrient-enriched grassland</w:t>
            </w:r>
          </w:p>
        </w:tc>
        <w:tc>
          <w:tcPr>
            <w:tcW w:w="1078" w:type="dxa"/>
          </w:tcPr>
          <w:p w14:paraId="71AAC2FD" w14:textId="77777777" w:rsidR="00EF5B27" w:rsidRDefault="00EF5B27">
            <w:pPr>
              <w:pStyle w:val="TableParagraph"/>
              <w:spacing w:before="11"/>
              <w:rPr>
                <w:sz w:val="11"/>
              </w:rPr>
            </w:pPr>
          </w:p>
          <w:p w14:paraId="3F0750EE" w14:textId="77777777" w:rsidR="00EF5B27" w:rsidRDefault="00000000">
            <w:pPr>
              <w:pStyle w:val="TableParagraph"/>
              <w:ind w:left="142"/>
              <w:rPr>
                <w:sz w:val="14"/>
              </w:rPr>
            </w:pPr>
            <w:r>
              <w:rPr>
                <w:color w:val="4D4D4F"/>
                <w:w w:val="105"/>
                <w:sz w:val="14"/>
              </w:rPr>
              <w:t>Not assessed</w:t>
            </w:r>
          </w:p>
        </w:tc>
        <w:tc>
          <w:tcPr>
            <w:tcW w:w="2155" w:type="dxa"/>
          </w:tcPr>
          <w:p w14:paraId="16B89F64" w14:textId="77777777" w:rsidR="00EF5B27" w:rsidRDefault="00EF5B27">
            <w:pPr>
              <w:pStyle w:val="TableParagraph"/>
              <w:spacing w:before="11"/>
              <w:rPr>
                <w:sz w:val="11"/>
              </w:rPr>
            </w:pPr>
          </w:p>
          <w:p w14:paraId="43C78C81" w14:textId="77777777" w:rsidR="00EF5B27" w:rsidRDefault="00000000">
            <w:pPr>
              <w:pStyle w:val="TableParagraph"/>
              <w:ind w:left="143" w:right="142"/>
              <w:jc w:val="center"/>
              <w:rPr>
                <w:sz w:val="14"/>
              </w:rPr>
            </w:pPr>
            <w:r>
              <w:rPr>
                <w:color w:val="4D4D4F"/>
                <w:sz w:val="14"/>
              </w:rPr>
              <w:t>Baseline not yet set</w:t>
            </w:r>
          </w:p>
        </w:tc>
        <w:tc>
          <w:tcPr>
            <w:tcW w:w="964" w:type="dxa"/>
          </w:tcPr>
          <w:p w14:paraId="59660E26" w14:textId="77777777" w:rsidR="00EF5B27" w:rsidRDefault="00EF5B27">
            <w:pPr>
              <w:pStyle w:val="TableParagraph"/>
              <w:spacing w:before="5"/>
              <w:rPr>
                <w:sz w:val="7"/>
              </w:rPr>
            </w:pPr>
          </w:p>
          <w:p w14:paraId="3B39A71D" w14:textId="77777777" w:rsidR="00EF5B27" w:rsidRDefault="00000000">
            <w:pPr>
              <w:pStyle w:val="TableParagraph"/>
              <w:spacing w:line="187" w:lineRule="exact"/>
              <w:ind w:left="400"/>
              <w:rPr>
                <w:sz w:val="18"/>
              </w:rPr>
            </w:pPr>
            <w:r>
              <w:rPr>
                <w:noProof/>
                <w:position w:val="-3"/>
                <w:sz w:val="18"/>
              </w:rPr>
              <w:drawing>
                <wp:inline distT="0" distB="0" distL="0" distR="0" wp14:anchorId="7B0F73B3" wp14:editId="1AD698CF">
                  <wp:extent cx="100572" cy="119062"/>
                  <wp:effectExtent l="0" t="0" r="0" b="0"/>
                  <wp:docPr id="205"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87.png"/>
                          <pic:cNvPicPr/>
                        </pic:nvPicPr>
                        <pic:blipFill>
                          <a:blip r:embed="rId92" cstate="print"/>
                          <a:stretch>
                            <a:fillRect/>
                          </a:stretch>
                        </pic:blipFill>
                        <pic:spPr>
                          <a:xfrm>
                            <a:off x="0" y="0"/>
                            <a:ext cx="100572" cy="119062"/>
                          </a:xfrm>
                          <a:prstGeom prst="rect">
                            <a:avLst/>
                          </a:prstGeom>
                        </pic:spPr>
                      </pic:pic>
                    </a:graphicData>
                  </a:graphic>
                </wp:inline>
              </w:drawing>
            </w:r>
          </w:p>
          <w:p w14:paraId="2DCCDF2D" w14:textId="77777777" w:rsidR="00EF5B27" w:rsidRDefault="00EF5B27">
            <w:pPr>
              <w:pStyle w:val="TableParagraph"/>
              <w:spacing w:before="7"/>
              <w:rPr>
                <w:sz w:val="2"/>
              </w:rPr>
            </w:pPr>
          </w:p>
          <w:p w14:paraId="279A7A72" w14:textId="77777777" w:rsidR="00EF5B27" w:rsidRDefault="00000000">
            <w:pPr>
              <w:pStyle w:val="TableParagraph"/>
              <w:spacing w:line="48" w:lineRule="exact"/>
              <w:ind w:left="448"/>
              <w:rPr>
                <w:sz w:val="4"/>
              </w:rPr>
            </w:pPr>
            <w:r>
              <w:rPr>
                <w:sz w:val="4"/>
              </w:rPr>
            </w:r>
            <w:r>
              <w:rPr>
                <w:sz w:val="4"/>
              </w:rPr>
              <w:pict w14:anchorId="61FC5846">
                <v:group id="_x0000_s3985" style="width:2.45pt;height:2.45pt;mso-position-horizontal-relative:char;mso-position-vertical-relative:line" coordsize="49,49">
                  <v:shape id="_x0000_s3986" style="position:absolute;width:49;height:49" coordsize="49,49" path="m31,l18,,12,2,2,12,,17,,31r2,6l12,46r6,3l31,49r6,-3l46,37r3,-6l49,17,46,12,37,2,31,xe" fillcolor="#808285" stroked="f">
                    <v:path arrowok="t"/>
                  </v:shape>
                  <w10:wrap type="none"/>
                  <w10:anchorlock/>
                </v:group>
              </w:pict>
            </w:r>
          </w:p>
        </w:tc>
        <w:tc>
          <w:tcPr>
            <w:tcW w:w="964" w:type="dxa"/>
          </w:tcPr>
          <w:p w14:paraId="6C582A9F" w14:textId="77777777" w:rsidR="00EF5B27" w:rsidRDefault="00EF5B27">
            <w:pPr>
              <w:pStyle w:val="TableParagraph"/>
              <w:spacing w:before="11"/>
              <w:rPr>
                <w:sz w:val="11"/>
              </w:rPr>
            </w:pPr>
          </w:p>
          <w:p w14:paraId="0D681358" w14:textId="77777777" w:rsidR="00EF5B27" w:rsidRDefault="00000000">
            <w:pPr>
              <w:pStyle w:val="TableParagraph"/>
              <w:ind w:left="318" w:right="323"/>
              <w:jc w:val="center"/>
              <w:rPr>
                <w:sz w:val="14"/>
              </w:rPr>
            </w:pPr>
            <w:r>
              <w:rPr>
                <w:color w:val="4D4D4F"/>
                <w:w w:val="105"/>
                <w:sz w:val="14"/>
              </w:rPr>
              <w:t>N/A</w:t>
            </w:r>
          </w:p>
        </w:tc>
        <w:tc>
          <w:tcPr>
            <w:tcW w:w="1489" w:type="dxa"/>
          </w:tcPr>
          <w:p w14:paraId="6CBADAED" w14:textId="77777777" w:rsidR="00EF5B27" w:rsidRDefault="00000000">
            <w:pPr>
              <w:pStyle w:val="TableParagraph"/>
              <w:spacing w:before="134"/>
              <w:ind w:left="581"/>
              <w:rPr>
                <w:sz w:val="16"/>
              </w:rPr>
            </w:pPr>
            <w:r>
              <w:rPr>
                <w:color w:val="4D4D4F"/>
                <w:sz w:val="16"/>
              </w:rPr>
              <w:t>2026</w:t>
            </w:r>
          </w:p>
        </w:tc>
      </w:tr>
      <w:tr w:rsidR="00EF5B27" w14:paraId="5A5A52E3" w14:textId="77777777">
        <w:trPr>
          <w:trHeight w:val="448"/>
        </w:trPr>
        <w:tc>
          <w:tcPr>
            <w:tcW w:w="2980" w:type="dxa"/>
          </w:tcPr>
          <w:p w14:paraId="2584AA7B" w14:textId="77777777" w:rsidR="00EF5B27" w:rsidRDefault="00EF5B27">
            <w:pPr>
              <w:pStyle w:val="TableParagraph"/>
              <w:spacing w:before="11"/>
              <w:rPr>
                <w:sz w:val="11"/>
              </w:rPr>
            </w:pPr>
          </w:p>
          <w:p w14:paraId="6D8CEC2D" w14:textId="77777777" w:rsidR="00EF5B27" w:rsidRDefault="00000000">
            <w:pPr>
              <w:pStyle w:val="TableParagraph"/>
              <w:ind w:left="80"/>
              <w:rPr>
                <w:sz w:val="14"/>
              </w:rPr>
            </w:pPr>
            <w:r>
              <w:rPr>
                <w:color w:val="4D4D4F"/>
                <w:w w:val="105"/>
                <w:sz w:val="14"/>
              </w:rPr>
              <w:t>De-rocked grassland</w:t>
            </w:r>
          </w:p>
        </w:tc>
        <w:tc>
          <w:tcPr>
            <w:tcW w:w="1078" w:type="dxa"/>
          </w:tcPr>
          <w:p w14:paraId="524D5CBA" w14:textId="77777777" w:rsidR="00EF5B27" w:rsidRDefault="00EF5B27">
            <w:pPr>
              <w:pStyle w:val="TableParagraph"/>
              <w:spacing w:before="11"/>
              <w:rPr>
                <w:sz w:val="11"/>
              </w:rPr>
            </w:pPr>
          </w:p>
          <w:p w14:paraId="7CEB3870" w14:textId="77777777" w:rsidR="00EF5B27" w:rsidRDefault="00000000">
            <w:pPr>
              <w:pStyle w:val="TableParagraph"/>
              <w:ind w:left="142"/>
              <w:rPr>
                <w:sz w:val="14"/>
              </w:rPr>
            </w:pPr>
            <w:r>
              <w:rPr>
                <w:color w:val="4D4D4F"/>
                <w:w w:val="105"/>
                <w:sz w:val="14"/>
              </w:rPr>
              <w:t>Not assessed</w:t>
            </w:r>
          </w:p>
        </w:tc>
        <w:tc>
          <w:tcPr>
            <w:tcW w:w="2155" w:type="dxa"/>
          </w:tcPr>
          <w:p w14:paraId="66E11DF7" w14:textId="77777777" w:rsidR="00EF5B27" w:rsidRDefault="00EF5B27">
            <w:pPr>
              <w:pStyle w:val="TableParagraph"/>
              <w:spacing w:before="11"/>
              <w:rPr>
                <w:sz w:val="11"/>
              </w:rPr>
            </w:pPr>
          </w:p>
          <w:p w14:paraId="6547818B" w14:textId="77777777" w:rsidR="00EF5B27" w:rsidRDefault="00000000">
            <w:pPr>
              <w:pStyle w:val="TableParagraph"/>
              <w:ind w:left="143" w:right="142"/>
              <w:jc w:val="center"/>
              <w:rPr>
                <w:sz w:val="14"/>
              </w:rPr>
            </w:pPr>
            <w:r>
              <w:rPr>
                <w:color w:val="4D4D4F"/>
                <w:sz w:val="14"/>
              </w:rPr>
              <w:t>Baseline not yet set</w:t>
            </w:r>
          </w:p>
        </w:tc>
        <w:tc>
          <w:tcPr>
            <w:tcW w:w="964" w:type="dxa"/>
          </w:tcPr>
          <w:p w14:paraId="03419228" w14:textId="77777777" w:rsidR="00EF5B27" w:rsidRDefault="00EF5B27">
            <w:pPr>
              <w:pStyle w:val="TableParagraph"/>
              <w:spacing w:before="4"/>
              <w:rPr>
                <w:sz w:val="7"/>
              </w:rPr>
            </w:pPr>
          </w:p>
          <w:p w14:paraId="0590C826" w14:textId="77777777" w:rsidR="00EF5B27" w:rsidRDefault="00000000">
            <w:pPr>
              <w:pStyle w:val="TableParagraph"/>
              <w:spacing w:line="187" w:lineRule="exact"/>
              <w:ind w:left="400"/>
              <w:rPr>
                <w:sz w:val="18"/>
              </w:rPr>
            </w:pPr>
            <w:r>
              <w:rPr>
                <w:noProof/>
                <w:position w:val="-3"/>
                <w:sz w:val="18"/>
              </w:rPr>
              <w:drawing>
                <wp:inline distT="0" distB="0" distL="0" distR="0" wp14:anchorId="28D362E7" wp14:editId="5085F9DB">
                  <wp:extent cx="100572" cy="119062"/>
                  <wp:effectExtent l="0" t="0" r="0" b="0"/>
                  <wp:docPr id="207"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88.png"/>
                          <pic:cNvPicPr/>
                        </pic:nvPicPr>
                        <pic:blipFill>
                          <a:blip r:embed="rId84" cstate="print"/>
                          <a:stretch>
                            <a:fillRect/>
                          </a:stretch>
                        </pic:blipFill>
                        <pic:spPr>
                          <a:xfrm>
                            <a:off x="0" y="0"/>
                            <a:ext cx="100572" cy="119062"/>
                          </a:xfrm>
                          <a:prstGeom prst="rect">
                            <a:avLst/>
                          </a:prstGeom>
                        </pic:spPr>
                      </pic:pic>
                    </a:graphicData>
                  </a:graphic>
                </wp:inline>
              </w:drawing>
            </w:r>
          </w:p>
          <w:p w14:paraId="1E5B1574" w14:textId="77777777" w:rsidR="00EF5B27" w:rsidRDefault="00EF5B27">
            <w:pPr>
              <w:pStyle w:val="TableParagraph"/>
              <w:spacing w:before="8"/>
              <w:rPr>
                <w:sz w:val="2"/>
              </w:rPr>
            </w:pPr>
          </w:p>
          <w:p w14:paraId="2752BDBA" w14:textId="77777777" w:rsidR="00EF5B27" w:rsidRDefault="00000000">
            <w:pPr>
              <w:pStyle w:val="TableParagraph"/>
              <w:spacing w:line="48" w:lineRule="exact"/>
              <w:ind w:left="448"/>
              <w:rPr>
                <w:sz w:val="4"/>
              </w:rPr>
            </w:pPr>
            <w:r>
              <w:rPr>
                <w:sz w:val="4"/>
              </w:rPr>
            </w:r>
            <w:r>
              <w:rPr>
                <w:sz w:val="4"/>
              </w:rPr>
              <w:pict w14:anchorId="2A34C513">
                <v:group id="_x0000_s3983" style="width:2.45pt;height:2.45pt;mso-position-horizontal-relative:char;mso-position-vertical-relative:line" coordsize="49,49">
                  <v:shape id="_x0000_s3984" style="position:absolute;width:49;height:49" coordsize="49,49" path="m31,l18,,12,2,2,12,,17,,31r2,6l12,46r6,3l31,49r6,-3l46,37r3,-6l49,17,46,12,37,2,31,xe" fillcolor="#808285" stroked="f">
                    <v:path arrowok="t"/>
                  </v:shape>
                  <w10:wrap type="none"/>
                  <w10:anchorlock/>
                </v:group>
              </w:pict>
            </w:r>
          </w:p>
        </w:tc>
        <w:tc>
          <w:tcPr>
            <w:tcW w:w="964" w:type="dxa"/>
          </w:tcPr>
          <w:p w14:paraId="2C4554D0" w14:textId="77777777" w:rsidR="00EF5B27" w:rsidRDefault="00EF5B27">
            <w:pPr>
              <w:pStyle w:val="TableParagraph"/>
              <w:spacing w:before="11"/>
              <w:rPr>
                <w:sz w:val="11"/>
              </w:rPr>
            </w:pPr>
          </w:p>
          <w:p w14:paraId="7AD36F49" w14:textId="77777777" w:rsidR="00EF5B27" w:rsidRDefault="00000000">
            <w:pPr>
              <w:pStyle w:val="TableParagraph"/>
              <w:ind w:left="318" w:right="323"/>
              <w:jc w:val="center"/>
              <w:rPr>
                <w:sz w:val="14"/>
              </w:rPr>
            </w:pPr>
            <w:r>
              <w:rPr>
                <w:color w:val="4D4D4F"/>
                <w:w w:val="105"/>
                <w:sz w:val="14"/>
              </w:rPr>
              <w:t>N/A</w:t>
            </w:r>
          </w:p>
        </w:tc>
        <w:tc>
          <w:tcPr>
            <w:tcW w:w="1489" w:type="dxa"/>
          </w:tcPr>
          <w:p w14:paraId="1C61432A" w14:textId="77777777" w:rsidR="00EF5B27" w:rsidRDefault="00000000">
            <w:pPr>
              <w:pStyle w:val="TableParagraph"/>
              <w:spacing w:before="134"/>
              <w:ind w:left="581"/>
              <w:rPr>
                <w:sz w:val="16"/>
              </w:rPr>
            </w:pPr>
            <w:r>
              <w:rPr>
                <w:color w:val="4D4D4F"/>
                <w:sz w:val="16"/>
              </w:rPr>
              <w:t>2026</w:t>
            </w:r>
          </w:p>
        </w:tc>
      </w:tr>
    </w:tbl>
    <w:p w14:paraId="562AA3E2" w14:textId="77777777" w:rsidR="00EF5B27" w:rsidRDefault="00EF5B27">
      <w:pPr>
        <w:pStyle w:val="BodyText"/>
        <w:spacing w:before="3"/>
        <w:rPr>
          <w:sz w:val="34"/>
        </w:rPr>
      </w:pPr>
    </w:p>
    <w:p w14:paraId="3CDDF1A3" w14:textId="77777777" w:rsidR="00EF5B27" w:rsidRDefault="00000000">
      <w:pPr>
        <w:pStyle w:val="BodyText"/>
        <w:spacing w:before="1" w:line="254" w:lineRule="auto"/>
        <w:ind w:left="2614"/>
      </w:pPr>
      <w:r>
        <w:pict w14:anchorId="457933B5">
          <v:group id="_x0000_s3980" style="position:absolute;left:0;text-align:left;margin-left:57pt;margin-top:58.25pt;width:481.15pt;height:.25pt;z-index:251457024;mso-position-horizontal-relative:page" coordorigin="1140,1165" coordsize="9623,5">
            <v:line id="_x0000_s3982" style="position:absolute" from="1140,1168" to="3634,1168" strokeweight=".25pt"/>
            <v:line id="_x0000_s3981" style="position:absolute" from="3634,1168" to="10762,1168" strokeweight=".25pt"/>
            <w10:wrap anchorx="page"/>
          </v:group>
        </w:pict>
      </w:r>
      <w:r>
        <w:rPr>
          <w:color w:val="4D4D4F"/>
        </w:rPr>
        <w:t>Comments: 2021 was the first year of data collection, at a single site. Baselines are not yet set for KPI 7. Status assessments are therefore not provided here, any trends are unclear and data confidence assessments are not applicable.</w:t>
      </w:r>
    </w:p>
    <w:p w14:paraId="298BE092" w14:textId="77777777" w:rsidR="00EF5B27" w:rsidRDefault="00EF5B27">
      <w:pPr>
        <w:pStyle w:val="BodyText"/>
      </w:pPr>
    </w:p>
    <w:p w14:paraId="7632F928" w14:textId="77777777" w:rsidR="00EF5B27" w:rsidRDefault="00000000">
      <w:pPr>
        <w:pStyle w:val="BodyText"/>
        <w:spacing w:before="2"/>
        <w:rPr>
          <w:sz w:val="10"/>
        </w:rPr>
      </w:pPr>
      <w:r>
        <w:pict w14:anchorId="55C17D5F">
          <v:shape id="_x0000_s3979" type="#_x0000_t202" style="position:absolute;margin-left:57pt;margin-top:7.4pt;width:481.15pt;height:25.4pt;z-index:251417088;mso-wrap-distance-left:0;mso-wrap-distance-right:0;mso-position-horizontal-relative:page" fillcolor="#fecc91" stroked="f">
            <v:textbox inset="0,0,0,0">
              <w:txbxContent>
                <w:p w14:paraId="252CEF9D" w14:textId="77777777" w:rsidR="00EF5B27" w:rsidRDefault="00000000">
                  <w:pPr>
                    <w:tabs>
                      <w:tab w:val="left" w:pos="2607"/>
                    </w:tabs>
                    <w:spacing w:before="140"/>
                    <w:ind w:left="113"/>
                    <w:rPr>
                      <w:b/>
                      <w:sz w:val="20"/>
                    </w:rPr>
                  </w:pPr>
                  <w:r>
                    <w:rPr>
                      <w:b/>
                      <w:color w:val="4D4D4F"/>
                      <w:sz w:val="20"/>
                    </w:rPr>
                    <w:t>Theme</w:t>
                  </w:r>
                  <w:r>
                    <w:rPr>
                      <w:b/>
                      <w:color w:val="4D4D4F"/>
                      <w:sz w:val="20"/>
                    </w:rPr>
                    <w:tab/>
                    <w:t>Grassy Eucalypt</w:t>
                  </w:r>
                  <w:r>
                    <w:rPr>
                      <w:b/>
                      <w:color w:val="4D4D4F"/>
                      <w:spacing w:val="8"/>
                      <w:sz w:val="20"/>
                    </w:rPr>
                    <w:t xml:space="preserve"> </w:t>
                  </w:r>
                  <w:r>
                    <w:rPr>
                      <w:b/>
                      <w:color w:val="4D4D4F"/>
                      <w:sz w:val="20"/>
                    </w:rPr>
                    <w:t>Woodland</w:t>
                  </w:r>
                </w:p>
              </w:txbxContent>
            </v:textbox>
            <w10:wrap type="topAndBottom" anchorx="page"/>
          </v:shape>
        </w:pict>
      </w:r>
    </w:p>
    <w:p w14:paraId="1C8D759C" w14:textId="77777777" w:rsidR="00EF5B27" w:rsidRDefault="00EF5B27">
      <w:pPr>
        <w:pStyle w:val="BodyText"/>
        <w:spacing w:before="8"/>
        <w:rPr>
          <w:sz w:val="5"/>
        </w:rPr>
      </w:pPr>
    </w:p>
    <w:p w14:paraId="79E5A1BB" w14:textId="77777777" w:rsidR="00EF5B27" w:rsidRDefault="00EF5B27">
      <w:pPr>
        <w:rPr>
          <w:sz w:val="5"/>
        </w:rPr>
        <w:sectPr w:rsidR="00EF5B27">
          <w:pgSz w:w="11910" w:h="16840"/>
          <w:pgMar w:top="1080" w:right="1020" w:bottom="860" w:left="1020" w:header="537" w:footer="678" w:gutter="0"/>
          <w:cols w:space="720"/>
        </w:sectPr>
      </w:pPr>
    </w:p>
    <w:p w14:paraId="797A8EBF" w14:textId="77777777" w:rsidR="00EF5B27" w:rsidRDefault="00000000">
      <w:pPr>
        <w:pStyle w:val="BodyText"/>
        <w:spacing w:before="51"/>
        <w:ind w:left="232"/>
      </w:pPr>
      <w:r>
        <w:pict w14:anchorId="7AF37E73">
          <v:group id="_x0000_s3976" style="position:absolute;left:0;text-align:left;margin-left:57pt;margin-top:-4.35pt;width:481.15pt;height:.25pt;z-index:251458048;mso-position-horizontal-relative:page" coordorigin="1140,-87" coordsize="9623,5">
            <v:line id="_x0000_s3978" style="position:absolute" from="1140,-84" to="3634,-84" strokeweight=".25pt"/>
            <v:line id="_x0000_s3977" style="position:absolute" from="3634,-84" to="10762,-84" strokeweight=".25pt"/>
            <w10:wrap anchorx="page"/>
          </v:group>
        </w:pict>
      </w:r>
      <w:r>
        <w:rPr>
          <w:color w:val="4D4D4F"/>
        </w:rPr>
        <w:t>Recommendation</w:t>
      </w:r>
    </w:p>
    <w:p w14:paraId="6DC3337D" w14:textId="77777777" w:rsidR="00EF5B27" w:rsidRDefault="00000000">
      <w:pPr>
        <w:pStyle w:val="Heading1"/>
        <w:ind w:left="232"/>
      </w:pPr>
      <w:r>
        <w:rPr>
          <w:color w:val="4D4D4F"/>
          <w:w w:val="105"/>
        </w:rPr>
        <w:t>06</w:t>
      </w:r>
    </w:p>
    <w:p w14:paraId="749B3738" w14:textId="77777777" w:rsidR="00EF5B27" w:rsidRDefault="00000000">
      <w:pPr>
        <w:pStyle w:val="BodyText"/>
        <w:spacing w:before="51"/>
        <w:ind w:left="232"/>
      </w:pPr>
      <w:r>
        <w:br w:type="column"/>
      </w:r>
      <w:r>
        <w:rPr>
          <w:color w:val="4D4D4F"/>
        </w:rPr>
        <w:t>That DELWP:</w:t>
      </w:r>
    </w:p>
    <w:p w14:paraId="01A26672" w14:textId="77777777" w:rsidR="00EF5B27" w:rsidRDefault="00000000">
      <w:pPr>
        <w:pStyle w:val="ListParagraph"/>
        <w:numPr>
          <w:ilvl w:val="0"/>
          <w:numId w:val="52"/>
        </w:numPr>
        <w:tabs>
          <w:tab w:val="left" w:pos="435"/>
        </w:tabs>
        <w:spacing w:before="129" w:line="254" w:lineRule="auto"/>
        <w:ind w:right="328" w:firstLine="0"/>
        <w:rPr>
          <w:sz w:val="20"/>
        </w:rPr>
      </w:pPr>
      <w:r>
        <w:rPr>
          <w:color w:val="4D4D4F"/>
          <w:sz w:val="20"/>
        </w:rPr>
        <w:t>delivers the Grassy Eucalypt Woodland baseline by 2026 as planned and immediately adopts interim management arrangements to prevent deterioration in the condition of those areas most at</w:t>
      </w:r>
      <w:r>
        <w:rPr>
          <w:color w:val="4D4D4F"/>
          <w:spacing w:val="28"/>
          <w:sz w:val="20"/>
        </w:rPr>
        <w:t xml:space="preserve"> </w:t>
      </w:r>
      <w:r>
        <w:rPr>
          <w:color w:val="4D4D4F"/>
          <w:sz w:val="20"/>
        </w:rPr>
        <w:t>risk</w:t>
      </w:r>
    </w:p>
    <w:p w14:paraId="4E40C3B5" w14:textId="77777777" w:rsidR="00EF5B27" w:rsidRDefault="00000000">
      <w:pPr>
        <w:pStyle w:val="ListParagraph"/>
        <w:numPr>
          <w:ilvl w:val="0"/>
          <w:numId w:val="52"/>
        </w:numPr>
        <w:tabs>
          <w:tab w:val="left" w:pos="461"/>
        </w:tabs>
        <w:spacing w:before="117" w:line="254" w:lineRule="auto"/>
        <w:ind w:right="234" w:firstLine="0"/>
        <w:rPr>
          <w:sz w:val="20"/>
        </w:rPr>
      </w:pPr>
      <w:r>
        <w:rPr>
          <w:color w:val="4D4D4F"/>
          <w:spacing w:val="-3"/>
          <w:sz w:val="20"/>
        </w:rPr>
        <w:t xml:space="preserve">changes the </w:t>
      </w:r>
      <w:r>
        <w:rPr>
          <w:color w:val="4D4D4F"/>
          <w:spacing w:val="-4"/>
          <w:sz w:val="20"/>
        </w:rPr>
        <w:t xml:space="preserve">monitoring </w:t>
      </w:r>
      <w:r>
        <w:rPr>
          <w:color w:val="4D4D4F"/>
          <w:spacing w:val="-3"/>
          <w:sz w:val="20"/>
        </w:rPr>
        <w:t xml:space="preserve">methods for the </w:t>
      </w:r>
      <w:r>
        <w:rPr>
          <w:color w:val="4D4D4F"/>
          <w:sz w:val="20"/>
        </w:rPr>
        <w:t xml:space="preserve">Grassy </w:t>
      </w:r>
      <w:r>
        <w:rPr>
          <w:color w:val="4D4D4F"/>
          <w:spacing w:val="-4"/>
          <w:sz w:val="20"/>
        </w:rPr>
        <w:t xml:space="preserve">Eucalypt </w:t>
      </w:r>
      <w:r>
        <w:rPr>
          <w:color w:val="4D4D4F"/>
          <w:spacing w:val="-3"/>
          <w:sz w:val="20"/>
        </w:rPr>
        <w:t xml:space="preserve">Woodland to </w:t>
      </w:r>
      <w:r>
        <w:rPr>
          <w:color w:val="4D4D4F"/>
          <w:sz w:val="20"/>
        </w:rPr>
        <w:t xml:space="preserve">be </w:t>
      </w:r>
      <w:r>
        <w:rPr>
          <w:color w:val="4D4D4F"/>
          <w:spacing w:val="-4"/>
          <w:sz w:val="20"/>
        </w:rPr>
        <w:t xml:space="preserve">organised </w:t>
      </w:r>
      <w:r>
        <w:rPr>
          <w:color w:val="4D4D4F"/>
          <w:sz w:val="20"/>
        </w:rPr>
        <w:t xml:space="preserve">by </w:t>
      </w:r>
      <w:r>
        <w:rPr>
          <w:color w:val="4D4D4F"/>
          <w:spacing w:val="-4"/>
          <w:sz w:val="20"/>
        </w:rPr>
        <w:t xml:space="preserve">management unit </w:t>
      </w:r>
      <w:r>
        <w:rPr>
          <w:color w:val="4D4D4F"/>
          <w:sz w:val="20"/>
        </w:rPr>
        <w:t xml:space="preserve">as </w:t>
      </w:r>
      <w:r>
        <w:rPr>
          <w:color w:val="4D4D4F"/>
          <w:spacing w:val="-3"/>
          <w:sz w:val="20"/>
        </w:rPr>
        <w:t xml:space="preserve">well </w:t>
      </w:r>
      <w:r>
        <w:rPr>
          <w:color w:val="4D4D4F"/>
          <w:sz w:val="20"/>
        </w:rPr>
        <w:t xml:space="preserve">as by </w:t>
      </w:r>
      <w:r>
        <w:rPr>
          <w:color w:val="4D4D4F"/>
          <w:spacing w:val="-4"/>
          <w:sz w:val="20"/>
        </w:rPr>
        <w:t xml:space="preserve">state, </w:t>
      </w:r>
      <w:r>
        <w:rPr>
          <w:color w:val="4D4D4F"/>
          <w:spacing w:val="-3"/>
          <w:sz w:val="20"/>
        </w:rPr>
        <w:t xml:space="preserve">measure </w:t>
      </w:r>
      <w:r>
        <w:rPr>
          <w:color w:val="4D4D4F"/>
          <w:spacing w:val="-4"/>
          <w:sz w:val="20"/>
        </w:rPr>
        <w:t xml:space="preserve">‘time since </w:t>
      </w:r>
      <w:r>
        <w:rPr>
          <w:color w:val="4D4D4F"/>
          <w:spacing w:val="-5"/>
          <w:sz w:val="20"/>
        </w:rPr>
        <w:t>acquisition’,</w:t>
      </w:r>
      <w:r>
        <w:rPr>
          <w:color w:val="4D4D4F"/>
          <w:spacing w:val="13"/>
          <w:sz w:val="20"/>
        </w:rPr>
        <w:t xml:space="preserve"> </w:t>
      </w:r>
      <w:r>
        <w:rPr>
          <w:color w:val="4D4D4F"/>
          <w:spacing w:val="-3"/>
          <w:sz w:val="20"/>
        </w:rPr>
        <w:t>and</w:t>
      </w:r>
    </w:p>
    <w:p w14:paraId="25A0DB9C" w14:textId="77777777" w:rsidR="00EF5B27" w:rsidRDefault="00000000">
      <w:pPr>
        <w:pStyle w:val="ListParagraph"/>
        <w:numPr>
          <w:ilvl w:val="0"/>
          <w:numId w:val="52"/>
        </w:numPr>
        <w:tabs>
          <w:tab w:val="left" w:pos="518"/>
        </w:tabs>
        <w:spacing w:before="116"/>
        <w:ind w:left="517" w:hanging="285"/>
        <w:rPr>
          <w:sz w:val="20"/>
        </w:rPr>
      </w:pPr>
      <w:r>
        <w:rPr>
          <w:color w:val="4D4D4F"/>
          <w:sz w:val="20"/>
        </w:rPr>
        <w:t>add</w:t>
      </w:r>
      <w:r>
        <w:rPr>
          <w:color w:val="4D4D4F"/>
          <w:spacing w:val="6"/>
          <w:sz w:val="20"/>
        </w:rPr>
        <w:t xml:space="preserve"> </w:t>
      </w:r>
      <w:r>
        <w:rPr>
          <w:color w:val="4D4D4F"/>
          <w:sz w:val="20"/>
        </w:rPr>
        <w:t>an</w:t>
      </w:r>
      <w:r>
        <w:rPr>
          <w:color w:val="4D4D4F"/>
          <w:spacing w:val="6"/>
          <w:sz w:val="20"/>
        </w:rPr>
        <w:t xml:space="preserve"> </w:t>
      </w:r>
      <w:r>
        <w:rPr>
          <w:color w:val="4D4D4F"/>
          <w:sz w:val="20"/>
        </w:rPr>
        <w:t>overarching</w:t>
      </w:r>
      <w:r>
        <w:rPr>
          <w:color w:val="4D4D4F"/>
          <w:spacing w:val="6"/>
          <w:sz w:val="20"/>
        </w:rPr>
        <w:t xml:space="preserve"> </w:t>
      </w:r>
      <w:r>
        <w:rPr>
          <w:color w:val="4D4D4F"/>
          <w:sz w:val="20"/>
        </w:rPr>
        <w:t>’grassland</w:t>
      </w:r>
      <w:r>
        <w:rPr>
          <w:color w:val="4D4D4F"/>
          <w:spacing w:val="7"/>
          <w:sz w:val="20"/>
        </w:rPr>
        <w:t xml:space="preserve"> </w:t>
      </w:r>
      <w:r>
        <w:rPr>
          <w:color w:val="4D4D4F"/>
          <w:sz w:val="20"/>
        </w:rPr>
        <w:t>quality’</w:t>
      </w:r>
      <w:r>
        <w:rPr>
          <w:color w:val="4D4D4F"/>
          <w:spacing w:val="6"/>
          <w:sz w:val="20"/>
        </w:rPr>
        <w:t xml:space="preserve"> </w:t>
      </w:r>
      <w:r>
        <w:rPr>
          <w:color w:val="4D4D4F"/>
          <w:sz w:val="20"/>
        </w:rPr>
        <w:t>metric</w:t>
      </w:r>
      <w:r>
        <w:rPr>
          <w:color w:val="4D4D4F"/>
          <w:spacing w:val="6"/>
          <w:sz w:val="20"/>
        </w:rPr>
        <w:t xml:space="preserve"> </w:t>
      </w:r>
      <w:r>
        <w:rPr>
          <w:color w:val="4D4D4F"/>
          <w:sz w:val="20"/>
        </w:rPr>
        <w:t>to</w:t>
      </w:r>
      <w:r>
        <w:rPr>
          <w:color w:val="4D4D4F"/>
          <w:spacing w:val="6"/>
          <w:sz w:val="20"/>
        </w:rPr>
        <w:t xml:space="preserve"> </w:t>
      </w:r>
      <w:r>
        <w:rPr>
          <w:color w:val="4D4D4F"/>
          <w:sz w:val="20"/>
        </w:rPr>
        <w:t>the</w:t>
      </w:r>
      <w:r>
        <w:rPr>
          <w:color w:val="4D4D4F"/>
          <w:spacing w:val="7"/>
          <w:sz w:val="20"/>
        </w:rPr>
        <w:t xml:space="preserve"> </w:t>
      </w:r>
      <w:r>
        <w:rPr>
          <w:color w:val="4D4D4F"/>
          <w:sz w:val="20"/>
        </w:rPr>
        <w:t>KPI</w:t>
      </w:r>
      <w:r>
        <w:rPr>
          <w:color w:val="4D4D4F"/>
          <w:spacing w:val="6"/>
          <w:sz w:val="20"/>
        </w:rPr>
        <w:t xml:space="preserve"> </w:t>
      </w:r>
      <w:r>
        <w:rPr>
          <w:color w:val="4D4D4F"/>
          <w:sz w:val="20"/>
        </w:rPr>
        <w:t>reporting</w:t>
      </w:r>
      <w:r>
        <w:rPr>
          <w:color w:val="4D4D4F"/>
          <w:spacing w:val="6"/>
          <w:sz w:val="20"/>
        </w:rPr>
        <w:t xml:space="preserve"> </w:t>
      </w:r>
      <w:r>
        <w:rPr>
          <w:color w:val="4D4D4F"/>
          <w:sz w:val="20"/>
        </w:rPr>
        <w:t>suite.</w:t>
      </w:r>
    </w:p>
    <w:p w14:paraId="2715C158" w14:textId="77777777" w:rsidR="00EF5B27" w:rsidRDefault="00EF5B27">
      <w:pPr>
        <w:rPr>
          <w:sz w:val="20"/>
        </w:rPr>
        <w:sectPr w:rsidR="00EF5B27">
          <w:type w:val="continuous"/>
          <w:pgSz w:w="11910" w:h="16840"/>
          <w:pgMar w:top="1140" w:right="1020" w:bottom="280" w:left="1020" w:header="720" w:footer="720" w:gutter="0"/>
          <w:cols w:num="2" w:space="720" w:equalWidth="0">
            <w:col w:w="1710" w:space="785"/>
            <w:col w:w="7375"/>
          </w:cols>
        </w:sectPr>
      </w:pPr>
    </w:p>
    <w:p w14:paraId="08A7265D" w14:textId="77777777" w:rsidR="00EF5B27" w:rsidRDefault="00000000">
      <w:pPr>
        <w:pStyle w:val="BodyText"/>
        <w:spacing w:before="2"/>
        <w:rPr>
          <w:sz w:val="17"/>
        </w:rPr>
      </w:pPr>
      <w:r>
        <w:pict w14:anchorId="6A46F2EB">
          <v:group id="_x0000_s3968" style="position:absolute;margin-left:587.05pt;margin-top:183.4pt;width:8.25pt;height:153.1pt;z-index:251456000;mso-position-horizontal-relative:page;mso-position-vertical-relative:page" coordorigin="11741,3668" coordsize="165,3062">
            <v:shape id="_x0000_s3975" style="position:absolute;left:11741;top:3668;width:165;height:561" coordorigin="11741,3668" coordsize="165,561" path="m11906,3668r-165,l11741,4228r165,-18l11906,3668xe" fillcolor="#00aed9" stroked="f">
              <v:path arrowok="t"/>
            </v:shape>
            <v:shape id="_x0000_s3974" style="position:absolute;left:11741;top:4118;width:165;height:425" coordorigin="11741,4118" coordsize="165,425" path="m11906,4118r-165,14l11741,4531r165,12l11906,4118xe" fillcolor="#047ebc" stroked="f">
              <v:path arrowok="t"/>
            </v:shape>
            <v:shape id="_x0000_s3973" type="#_x0000_t75" style="position:absolute;left:11741;top:4355;width:165;height:587">
              <v:imagedata r:id="rId42" o:title=""/>
            </v:shape>
            <v:shape id="_x0000_s3972" style="position:absolute;left:11741;top:5343;width:165;height:536" coordorigin="11741,5343" coordsize="165,536" path="m11741,5343r,535l11906,5872r,-525l11741,5343xe" fillcolor="#f36a2e" stroked="f">
              <v:path arrowok="t"/>
            </v:shape>
            <v:shape id="_x0000_s3971" style="position:absolute;left:11741;top:4925;width:165;height:501" coordorigin="11741,4926" coordsize="165,501" path="m11741,4926r,500l11906,5426r,-485l11741,4926xe" fillcolor="#49783f" stroked="f">
              <v:path arrowok="t"/>
            </v:shape>
            <v:shape id="_x0000_s3970" style="position:absolute;left:11741;top:5781;width:165;height:268" coordorigin="11741,5782" coordsize="165,268" path="m11906,5782r-165,8l11741,6039r165,10l11906,5782xe" fillcolor="#f99f2a" stroked="f">
              <v:path arrowok="t"/>
            </v:shape>
            <v:shape id="_x0000_s3969" style="position:absolute;left:11741;top:6023;width:165;height:707" coordorigin="11741,6023" coordsize="165,707" path="m11741,6023r,706l11906,6729r,-690l11741,6023xe" fillcolor="#ef412c" stroked="f">
              <v:path arrowok="t"/>
            </v:shape>
            <w10:wrap anchorx="page" anchory="page"/>
          </v:group>
        </w:pict>
      </w:r>
    </w:p>
    <w:p w14:paraId="0F7765A6" w14:textId="77777777" w:rsidR="00EF5B27" w:rsidRDefault="00000000">
      <w:pPr>
        <w:pStyle w:val="BodyText"/>
        <w:spacing w:line="20" w:lineRule="exact"/>
        <w:ind w:left="116"/>
        <w:rPr>
          <w:sz w:val="2"/>
        </w:rPr>
      </w:pPr>
      <w:r>
        <w:rPr>
          <w:sz w:val="2"/>
        </w:rPr>
      </w:r>
      <w:r>
        <w:rPr>
          <w:sz w:val="2"/>
        </w:rPr>
        <w:pict w14:anchorId="000D05AC">
          <v:group id="_x0000_s3965" style="width:481.15pt;height:.25pt;mso-position-horizontal-relative:char;mso-position-vertical-relative:line" coordsize="9623,5">
            <v:line id="_x0000_s3967" style="position:absolute" from="0,3" to="2494,3" strokeweight=".25pt"/>
            <v:line id="_x0000_s3966" style="position:absolute" from="2494,3" to="9622,3" strokeweight=".25pt"/>
            <w10:anchorlock/>
          </v:group>
        </w:pict>
      </w:r>
    </w:p>
    <w:p w14:paraId="72835D0E" w14:textId="77777777" w:rsidR="00EF5B27" w:rsidRDefault="00EF5B27">
      <w:pPr>
        <w:spacing w:line="20" w:lineRule="exact"/>
        <w:rPr>
          <w:sz w:val="2"/>
        </w:rPr>
        <w:sectPr w:rsidR="00EF5B27">
          <w:type w:val="continuous"/>
          <w:pgSz w:w="11910" w:h="16840"/>
          <w:pgMar w:top="1140" w:right="1020" w:bottom="280" w:left="1020" w:header="720" w:footer="720" w:gutter="0"/>
          <w:cols w:space="720"/>
        </w:sectPr>
      </w:pPr>
    </w:p>
    <w:p w14:paraId="3495D46D" w14:textId="77777777" w:rsidR="00EF5B27" w:rsidRDefault="00EF5B27">
      <w:pPr>
        <w:pStyle w:val="BodyText"/>
      </w:pPr>
    </w:p>
    <w:p w14:paraId="73033AA1" w14:textId="77777777" w:rsidR="00EF5B27" w:rsidRDefault="00EF5B27">
      <w:pPr>
        <w:pStyle w:val="BodyText"/>
      </w:pPr>
    </w:p>
    <w:p w14:paraId="5DED14F1" w14:textId="77777777" w:rsidR="00EF5B27" w:rsidRDefault="00EF5B27">
      <w:pPr>
        <w:pStyle w:val="BodyText"/>
      </w:pPr>
    </w:p>
    <w:p w14:paraId="6B495576" w14:textId="77777777" w:rsidR="00EF5B27" w:rsidRDefault="00EF5B27">
      <w:pPr>
        <w:pStyle w:val="BodyText"/>
        <w:spacing w:before="12"/>
        <w:rPr>
          <w:sz w:val="22"/>
        </w:rPr>
      </w:pPr>
    </w:p>
    <w:p w14:paraId="77608FFE" w14:textId="77777777" w:rsidR="00EF5B27" w:rsidRDefault="00EF5B27">
      <w:pPr>
        <w:sectPr w:rsidR="00EF5B27">
          <w:pgSz w:w="11910" w:h="16840"/>
          <w:pgMar w:top="1080" w:right="1020" w:bottom="860" w:left="1020" w:header="537" w:footer="678" w:gutter="0"/>
          <w:cols w:space="720"/>
        </w:sectPr>
      </w:pPr>
    </w:p>
    <w:p w14:paraId="4E80F47D" w14:textId="77777777" w:rsidR="00EF5B27" w:rsidRDefault="00EF5B27">
      <w:pPr>
        <w:pStyle w:val="BodyText"/>
        <w:spacing w:before="5"/>
        <w:rPr>
          <w:sz w:val="13"/>
        </w:rPr>
      </w:pPr>
    </w:p>
    <w:p w14:paraId="44304AEF" w14:textId="77777777" w:rsidR="00EF5B27" w:rsidRDefault="00000000">
      <w:pPr>
        <w:pStyle w:val="BodyText"/>
        <w:ind w:left="113" w:right="-15"/>
      </w:pPr>
      <w:bookmarkStart w:id="14" w:name="_bookmark13"/>
      <w:bookmarkEnd w:id="14"/>
      <w:r>
        <w:rPr>
          <w:noProof/>
        </w:rPr>
        <w:drawing>
          <wp:inline distT="0" distB="0" distL="0" distR="0" wp14:anchorId="0E9F3888" wp14:editId="0D4870DC">
            <wp:extent cx="1371606" cy="1371600"/>
            <wp:effectExtent l="0" t="0" r="0" b="0"/>
            <wp:docPr id="209"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89.jpeg"/>
                    <pic:cNvPicPr/>
                  </pic:nvPicPr>
                  <pic:blipFill>
                    <a:blip r:embed="rId96" cstate="print"/>
                    <a:stretch>
                      <a:fillRect/>
                    </a:stretch>
                  </pic:blipFill>
                  <pic:spPr>
                    <a:xfrm>
                      <a:off x="0" y="0"/>
                      <a:ext cx="1371606" cy="1371600"/>
                    </a:xfrm>
                    <a:prstGeom prst="rect">
                      <a:avLst/>
                    </a:prstGeom>
                  </pic:spPr>
                </pic:pic>
              </a:graphicData>
            </a:graphic>
          </wp:inline>
        </w:drawing>
      </w:r>
    </w:p>
    <w:p w14:paraId="0BB77F68" w14:textId="77777777" w:rsidR="00EF5B27" w:rsidRDefault="00000000">
      <w:pPr>
        <w:spacing w:before="80"/>
        <w:ind w:left="113"/>
        <w:rPr>
          <w:rFonts w:ascii="Century Gothic"/>
          <w:i/>
          <w:sz w:val="12"/>
        </w:rPr>
      </w:pPr>
      <w:r>
        <w:rPr>
          <w:rFonts w:ascii="Century Gothic"/>
          <w:i/>
          <w:color w:val="4D4D4F"/>
          <w:sz w:val="12"/>
        </w:rPr>
        <w:t>Seasonal Herbaceous Wetland</w:t>
      </w:r>
    </w:p>
    <w:p w14:paraId="199F5E53" w14:textId="77777777" w:rsidR="00EF5B27" w:rsidRDefault="00000000">
      <w:pPr>
        <w:pStyle w:val="Heading3"/>
        <w:spacing w:before="115"/>
        <w:ind w:left="113"/>
      </w:pPr>
      <w:r>
        <w:rPr>
          <w:b w:val="0"/>
        </w:rPr>
        <w:br w:type="column"/>
      </w:r>
      <w:r>
        <w:rPr>
          <w:color w:val="F99F2A"/>
        </w:rPr>
        <w:t>MNES 3: Seasonal Herbaceous Wetland</w:t>
      </w:r>
    </w:p>
    <w:p w14:paraId="11F249B5" w14:textId="77777777" w:rsidR="00EF5B27" w:rsidRDefault="00000000">
      <w:pPr>
        <w:pStyle w:val="Heading6"/>
        <w:spacing w:before="221"/>
        <w:ind w:left="113"/>
      </w:pPr>
      <w:r>
        <w:rPr>
          <w:color w:val="4D4D4F"/>
        </w:rPr>
        <w:t>Key insights and management implications for Seasonal Herbaceous Wetland</w:t>
      </w:r>
    </w:p>
    <w:p w14:paraId="17025709" w14:textId="77777777" w:rsidR="00EF5B27" w:rsidRDefault="00000000">
      <w:pPr>
        <w:pStyle w:val="BodyText"/>
        <w:spacing w:before="130" w:line="254" w:lineRule="auto"/>
        <w:ind w:left="113" w:right="521"/>
        <w:rPr>
          <w:sz w:val="11"/>
        </w:rPr>
      </w:pPr>
      <w:r>
        <w:rPr>
          <w:color w:val="4D4D4F"/>
        </w:rPr>
        <w:t xml:space="preserve">Results indicate that native forb richness remains stable across all wetland sites. </w:t>
      </w:r>
      <w:r>
        <w:rPr>
          <w:color w:val="4D4D4F"/>
          <w:spacing w:val="-3"/>
        </w:rPr>
        <w:t xml:space="preserve">However, </w:t>
      </w:r>
      <w:r>
        <w:rPr>
          <w:color w:val="4D4D4F"/>
        </w:rPr>
        <w:t xml:space="preserve">weeds would appear to be increasing across the same monitored sites, despite levels remaining within the 95% CI tolerance of the defined baseline in  each case. Native perennial species remain stable, suggesting that weed growth is outstripping native growth. It is </w:t>
      </w:r>
      <w:r>
        <w:rPr>
          <w:color w:val="4D4D4F"/>
          <w:spacing w:val="-3"/>
        </w:rPr>
        <w:t xml:space="preserve">likely </w:t>
      </w:r>
      <w:r>
        <w:rPr>
          <w:color w:val="4D4D4F"/>
        </w:rPr>
        <w:t>that more intensive weed control may have prevented this</w:t>
      </w:r>
      <w:r>
        <w:rPr>
          <w:color w:val="4D4D4F"/>
          <w:spacing w:val="7"/>
        </w:rPr>
        <w:t xml:space="preserve"> </w:t>
      </w:r>
      <w:r>
        <w:rPr>
          <w:color w:val="4D4D4F"/>
        </w:rPr>
        <w:t>situation.</w:t>
      </w:r>
      <w:r>
        <w:rPr>
          <w:color w:val="4D4D4F"/>
          <w:position w:val="7"/>
          <w:sz w:val="11"/>
        </w:rPr>
        <w:t>60</w:t>
      </w:r>
    </w:p>
    <w:p w14:paraId="4FD1A32D" w14:textId="77777777" w:rsidR="00EF5B27" w:rsidRDefault="00000000">
      <w:pPr>
        <w:pStyle w:val="BodyText"/>
        <w:spacing w:before="120" w:line="254" w:lineRule="auto"/>
        <w:ind w:left="113"/>
      </w:pPr>
      <w:r>
        <w:rPr>
          <w:color w:val="4D4D4F"/>
        </w:rPr>
        <w:t xml:space="preserve">DELWP has observed many species disappearing and reappearing. Data suggests that these fluctuations correlate mainly with wet hydrological phases and (to some extent) weed management </w:t>
      </w:r>
      <w:r>
        <w:rPr>
          <w:color w:val="4D4D4F"/>
          <w:position w:val="7"/>
          <w:sz w:val="11"/>
        </w:rPr>
        <w:t xml:space="preserve">61 </w:t>
      </w:r>
      <w:r>
        <w:rPr>
          <w:color w:val="4D4D4F"/>
        </w:rPr>
        <w:t>– therefore there may be potential management explanations</w:t>
      </w:r>
    </w:p>
    <w:p w14:paraId="386DC3F3" w14:textId="77777777" w:rsidR="00EF5B27" w:rsidRDefault="00000000">
      <w:pPr>
        <w:pStyle w:val="BodyText"/>
        <w:spacing w:before="4" w:line="254" w:lineRule="auto"/>
        <w:ind w:left="113" w:right="313"/>
      </w:pPr>
      <w:r>
        <w:rPr>
          <w:color w:val="4D4D4F"/>
        </w:rPr>
        <w:t xml:space="preserve">for the variability. Weed management has not been prioritised at these sites over the last few years, which could explain the increase in weed </w:t>
      </w:r>
      <w:r>
        <w:rPr>
          <w:color w:val="4D4D4F"/>
          <w:spacing w:val="-4"/>
        </w:rPr>
        <w:t xml:space="preserve">cover. </w:t>
      </w:r>
      <w:r>
        <w:rPr>
          <w:color w:val="4D4D4F"/>
        </w:rPr>
        <w:t xml:space="preserve">Lack of weed control and recent restrictions to grazing in the surrounding Wetland Grassland Reserve is also a </w:t>
      </w:r>
      <w:r>
        <w:rPr>
          <w:color w:val="4D4D4F"/>
          <w:spacing w:val="-3"/>
        </w:rPr>
        <w:t xml:space="preserve">likely </w:t>
      </w:r>
      <w:r>
        <w:rPr>
          <w:color w:val="4D4D4F"/>
        </w:rPr>
        <w:t xml:space="preserve">factor in the increase in weed </w:t>
      </w:r>
      <w:r>
        <w:rPr>
          <w:color w:val="4D4D4F"/>
          <w:spacing w:val="-4"/>
        </w:rPr>
        <w:t xml:space="preserve">cover. </w:t>
      </w:r>
      <w:r>
        <w:rPr>
          <w:color w:val="4D4D4F"/>
        </w:rPr>
        <w:t>DELWP has indicated that previous weed control programs at the same wetland sites have been highly successful and relatively easy to implement given the small scale of the issue – therefore it would   be advisable to prioritise the reinstatement of these measures, along with the appropriate funding for land</w:t>
      </w:r>
      <w:r>
        <w:rPr>
          <w:color w:val="4D4D4F"/>
          <w:spacing w:val="16"/>
        </w:rPr>
        <w:t xml:space="preserve"> </w:t>
      </w:r>
      <w:r>
        <w:rPr>
          <w:color w:val="4D4D4F"/>
        </w:rPr>
        <w:t>managers.</w:t>
      </w:r>
    </w:p>
    <w:p w14:paraId="66030982" w14:textId="77777777" w:rsidR="00EF5B27" w:rsidRDefault="00000000">
      <w:pPr>
        <w:pStyle w:val="BodyText"/>
        <w:spacing w:before="123"/>
        <w:ind w:left="113"/>
      </w:pPr>
      <w:r>
        <w:rPr>
          <w:color w:val="4D4D4F"/>
        </w:rPr>
        <w:t>Other management interventions to explore include:</w:t>
      </w:r>
    </w:p>
    <w:p w14:paraId="1D909DF7" w14:textId="77777777" w:rsidR="00EF5B27" w:rsidRDefault="00000000">
      <w:pPr>
        <w:pStyle w:val="ListParagraph"/>
        <w:numPr>
          <w:ilvl w:val="0"/>
          <w:numId w:val="66"/>
        </w:numPr>
        <w:tabs>
          <w:tab w:val="left" w:pos="284"/>
        </w:tabs>
        <w:spacing w:before="129"/>
        <w:rPr>
          <w:sz w:val="20"/>
        </w:rPr>
      </w:pPr>
      <w:r>
        <w:rPr>
          <w:b/>
          <w:color w:val="4D4D4F"/>
          <w:sz w:val="20"/>
        </w:rPr>
        <w:t>cease</w:t>
      </w:r>
      <w:r>
        <w:rPr>
          <w:b/>
          <w:color w:val="4D4D4F"/>
          <w:spacing w:val="7"/>
          <w:sz w:val="20"/>
        </w:rPr>
        <w:t xml:space="preserve"> </w:t>
      </w:r>
      <w:r>
        <w:rPr>
          <w:b/>
          <w:color w:val="4D4D4F"/>
          <w:sz w:val="20"/>
        </w:rPr>
        <w:t>grazing</w:t>
      </w:r>
      <w:r>
        <w:rPr>
          <w:b/>
          <w:color w:val="4D4D4F"/>
          <w:spacing w:val="7"/>
          <w:sz w:val="20"/>
        </w:rPr>
        <w:t xml:space="preserve"> </w:t>
      </w:r>
      <w:r>
        <w:rPr>
          <w:color w:val="4D4D4F"/>
          <w:sz w:val="20"/>
        </w:rPr>
        <w:t>–</w:t>
      </w:r>
      <w:r>
        <w:rPr>
          <w:color w:val="4D4D4F"/>
          <w:spacing w:val="7"/>
          <w:sz w:val="20"/>
        </w:rPr>
        <w:t xml:space="preserve"> </w:t>
      </w:r>
      <w:r>
        <w:rPr>
          <w:color w:val="4D4D4F"/>
          <w:sz w:val="20"/>
        </w:rPr>
        <w:t>long-term</w:t>
      </w:r>
      <w:r>
        <w:rPr>
          <w:color w:val="4D4D4F"/>
          <w:spacing w:val="7"/>
          <w:sz w:val="20"/>
        </w:rPr>
        <w:t xml:space="preserve"> </w:t>
      </w:r>
      <w:r>
        <w:rPr>
          <w:color w:val="4D4D4F"/>
          <w:sz w:val="20"/>
        </w:rPr>
        <w:t>grazing</w:t>
      </w:r>
      <w:r>
        <w:rPr>
          <w:color w:val="4D4D4F"/>
          <w:spacing w:val="7"/>
          <w:sz w:val="20"/>
        </w:rPr>
        <w:t xml:space="preserve"> </w:t>
      </w:r>
      <w:r>
        <w:rPr>
          <w:color w:val="4D4D4F"/>
          <w:sz w:val="20"/>
        </w:rPr>
        <w:t>eventually</w:t>
      </w:r>
      <w:r>
        <w:rPr>
          <w:color w:val="4D4D4F"/>
          <w:spacing w:val="7"/>
          <w:sz w:val="20"/>
        </w:rPr>
        <w:t xml:space="preserve"> </w:t>
      </w:r>
      <w:r>
        <w:rPr>
          <w:color w:val="4D4D4F"/>
          <w:sz w:val="20"/>
        </w:rPr>
        <w:t>strips</w:t>
      </w:r>
      <w:r>
        <w:rPr>
          <w:color w:val="4D4D4F"/>
          <w:spacing w:val="7"/>
          <w:sz w:val="20"/>
        </w:rPr>
        <w:t xml:space="preserve"> </w:t>
      </w:r>
      <w:r>
        <w:rPr>
          <w:color w:val="4D4D4F"/>
          <w:sz w:val="20"/>
        </w:rPr>
        <w:t>many</w:t>
      </w:r>
      <w:r>
        <w:rPr>
          <w:color w:val="4D4D4F"/>
          <w:spacing w:val="7"/>
          <w:sz w:val="20"/>
        </w:rPr>
        <w:t xml:space="preserve"> </w:t>
      </w:r>
      <w:r>
        <w:rPr>
          <w:color w:val="4D4D4F"/>
          <w:sz w:val="20"/>
        </w:rPr>
        <w:t>of</w:t>
      </w:r>
      <w:r>
        <w:rPr>
          <w:color w:val="4D4D4F"/>
          <w:spacing w:val="7"/>
          <w:sz w:val="20"/>
        </w:rPr>
        <w:t xml:space="preserve"> </w:t>
      </w:r>
      <w:r>
        <w:rPr>
          <w:color w:val="4D4D4F"/>
          <w:sz w:val="20"/>
        </w:rPr>
        <w:t>the</w:t>
      </w:r>
      <w:r>
        <w:rPr>
          <w:color w:val="4D4D4F"/>
          <w:spacing w:val="7"/>
          <w:sz w:val="20"/>
        </w:rPr>
        <w:t xml:space="preserve"> </w:t>
      </w:r>
      <w:r>
        <w:rPr>
          <w:color w:val="4D4D4F"/>
          <w:sz w:val="20"/>
        </w:rPr>
        <w:t>forbs</w:t>
      </w:r>
      <w:r>
        <w:rPr>
          <w:color w:val="4D4D4F"/>
          <w:spacing w:val="7"/>
          <w:sz w:val="20"/>
        </w:rPr>
        <w:t xml:space="preserve"> </w:t>
      </w:r>
      <w:r>
        <w:rPr>
          <w:color w:val="4D4D4F"/>
          <w:sz w:val="20"/>
        </w:rPr>
        <w:t>out</w:t>
      </w:r>
    </w:p>
    <w:p w14:paraId="5008C91F" w14:textId="77777777" w:rsidR="00EF5B27" w:rsidRDefault="00000000">
      <w:pPr>
        <w:pStyle w:val="ListParagraph"/>
        <w:numPr>
          <w:ilvl w:val="0"/>
          <w:numId w:val="66"/>
        </w:numPr>
        <w:tabs>
          <w:tab w:val="left" w:pos="284"/>
        </w:tabs>
        <w:spacing w:before="130" w:line="254" w:lineRule="auto"/>
        <w:ind w:right="166"/>
        <w:rPr>
          <w:sz w:val="20"/>
        </w:rPr>
      </w:pPr>
      <w:r>
        <w:rPr>
          <w:b/>
          <w:color w:val="4D4D4F"/>
          <w:sz w:val="20"/>
        </w:rPr>
        <w:t xml:space="preserve">cease hydrological modification (including dams) in the catchment </w:t>
      </w:r>
      <w:r>
        <w:rPr>
          <w:color w:val="4D4D4F"/>
          <w:sz w:val="20"/>
        </w:rPr>
        <w:t>– dams within wetlands, or in wetland catchments, can delay filling, starving the wetlands of</w:t>
      </w:r>
      <w:r>
        <w:rPr>
          <w:color w:val="4D4D4F"/>
          <w:spacing w:val="3"/>
          <w:sz w:val="20"/>
        </w:rPr>
        <w:t xml:space="preserve"> </w:t>
      </w:r>
      <w:r>
        <w:rPr>
          <w:color w:val="4D4D4F"/>
          <w:sz w:val="20"/>
        </w:rPr>
        <w:t>water</w:t>
      </w:r>
    </w:p>
    <w:p w14:paraId="7C189388" w14:textId="77777777" w:rsidR="00EF5B27" w:rsidRDefault="00000000">
      <w:pPr>
        <w:pStyle w:val="ListParagraph"/>
        <w:numPr>
          <w:ilvl w:val="0"/>
          <w:numId w:val="66"/>
        </w:numPr>
        <w:tabs>
          <w:tab w:val="left" w:pos="284"/>
        </w:tabs>
        <w:spacing w:before="115" w:line="254" w:lineRule="auto"/>
        <w:ind w:right="1189"/>
        <w:rPr>
          <w:sz w:val="20"/>
        </w:rPr>
      </w:pPr>
      <w:r>
        <w:rPr>
          <w:b/>
          <w:color w:val="4D4D4F"/>
          <w:sz w:val="20"/>
        </w:rPr>
        <w:t xml:space="preserve">supplementary planting of forbs, shrubs and sedges </w:t>
      </w:r>
      <w:r>
        <w:rPr>
          <w:color w:val="4D4D4F"/>
          <w:sz w:val="20"/>
        </w:rPr>
        <w:t>– to competitively disadvantage</w:t>
      </w:r>
      <w:r>
        <w:rPr>
          <w:color w:val="4D4D4F"/>
          <w:spacing w:val="18"/>
          <w:sz w:val="20"/>
        </w:rPr>
        <w:t xml:space="preserve"> </w:t>
      </w:r>
      <w:r>
        <w:rPr>
          <w:color w:val="4D4D4F"/>
          <w:sz w:val="20"/>
        </w:rPr>
        <w:t>non-native</w:t>
      </w:r>
      <w:r>
        <w:rPr>
          <w:color w:val="4D4D4F"/>
          <w:spacing w:val="19"/>
          <w:sz w:val="20"/>
        </w:rPr>
        <w:t xml:space="preserve"> </w:t>
      </w:r>
      <w:r>
        <w:rPr>
          <w:color w:val="4D4D4F"/>
          <w:sz w:val="20"/>
        </w:rPr>
        <w:t>species</w:t>
      </w:r>
      <w:r>
        <w:rPr>
          <w:color w:val="4D4D4F"/>
          <w:spacing w:val="19"/>
          <w:sz w:val="20"/>
        </w:rPr>
        <w:t xml:space="preserve"> </w:t>
      </w:r>
      <w:r>
        <w:rPr>
          <w:color w:val="4D4D4F"/>
          <w:sz w:val="20"/>
        </w:rPr>
        <w:t>and</w:t>
      </w:r>
      <w:r>
        <w:rPr>
          <w:color w:val="4D4D4F"/>
          <w:spacing w:val="19"/>
          <w:sz w:val="20"/>
        </w:rPr>
        <w:t xml:space="preserve"> </w:t>
      </w:r>
      <w:r>
        <w:rPr>
          <w:color w:val="4D4D4F"/>
          <w:sz w:val="20"/>
        </w:rPr>
        <w:t>directly</w:t>
      </w:r>
      <w:r>
        <w:rPr>
          <w:color w:val="4D4D4F"/>
          <w:spacing w:val="19"/>
          <w:sz w:val="20"/>
        </w:rPr>
        <w:t xml:space="preserve"> </w:t>
      </w:r>
      <w:r>
        <w:rPr>
          <w:color w:val="4D4D4F"/>
          <w:sz w:val="20"/>
        </w:rPr>
        <w:t>increase</w:t>
      </w:r>
      <w:r>
        <w:rPr>
          <w:color w:val="4D4D4F"/>
          <w:spacing w:val="19"/>
          <w:sz w:val="20"/>
        </w:rPr>
        <w:t xml:space="preserve"> </w:t>
      </w:r>
      <w:r>
        <w:rPr>
          <w:color w:val="4D4D4F"/>
          <w:sz w:val="20"/>
        </w:rPr>
        <w:t>species</w:t>
      </w:r>
      <w:r>
        <w:rPr>
          <w:color w:val="4D4D4F"/>
          <w:spacing w:val="19"/>
          <w:sz w:val="20"/>
        </w:rPr>
        <w:t xml:space="preserve"> </w:t>
      </w:r>
      <w:r>
        <w:rPr>
          <w:color w:val="4D4D4F"/>
          <w:sz w:val="20"/>
        </w:rPr>
        <w:t>richness</w:t>
      </w:r>
    </w:p>
    <w:p w14:paraId="55E0D07A" w14:textId="77777777" w:rsidR="00EF5B27" w:rsidRDefault="00000000">
      <w:pPr>
        <w:pStyle w:val="Heading6"/>
        <w:numPr>
          <w:ilvl w:val="0"/>
          <w:numId w:val="66"/>
        </w:numPr>
        <w:tabs>
          <w:tab w:val="left" w:pos="284"/>
        </w:tabs>
        <w:spacing w:before="116"/>
      </w:pPr>
      <w:r>
        <w:rPr>
          <w:color w:val="4D4D4F"/>
        </w:rPr>
        <w:t>the impact of different burning</w:t>
      </w:r>
      <w:r>
        <w:rPr>
          <w:color w:val="4D4D4F"/>
          <w:spacing w:val="19"/>
        </w:rPr>
        <w:t xml:space="preserve"> </w:t>
      </w:r>
      <w:r>
        <w:rPr>
          <w:color w:val="4D4D4F"/>
        </w:rPr>
        <w:t>regimes</w:t>
      </w:r>
    </w:p>
    <w:p w14:paraId="2CAAACC4" w14:textId="77777777" w:rsidR="00EF5B27" w:rsidRDefault="00000000">
      <w:pPr>
        <w:pStyle w:val="ListParagraph"/>
        <w:numPr>
          <w:ilvl w:val="0"/>
          <w:numId w:val="66"/>
        </w:numPr>
        <w:tabs>
          <w:tab w:val="left" w:pos="284"/>
        </w:tabs>
        <w:spacing w:before="129" w:line="254" w:lineRule="auto"/>
        <w:ind w:right="143"/>
        <w:rPr>
          <w:sz w:val="11"/>
        </w:rPr>
      </w:pPr>
      <w:r>
        <w:rPr>
          <w:b/>
          <w:color w:val="4D4D4F"/>
          <w:sz w:val="20"/>
        </w:rPr>
        <w:t xml:space="preserve">targeted spot spraying </w:t>
      </w:r>
      <w:r>
        <w:rPr>
          <w:color w:val="4D4D4F"/>
          <w:sz w:val="20"/>
        </w:rPr>
        <w:t>– which is known to be an effective control of specific weeds and may be effectively implemented to support the persistence of the</w:t>
      </w:r>
      <w:r>
        <w:rPr>
          <w:color w:val="4D4D4F"/>
          <w:spacing w:val="18"/>
          <w:sz w:val="20"/>
        </w:rPr>
        <w:t xml:space="preserve"> </w:t>
      </w:r>
      <w:r>
        <w:rPr>
          <w:color w:val="4D4D4F"/>
          <w:sz w:val="20"/>
        </w:rPr>
        <w:t>wetlands.</w:t>
      </w:r>
      <w:r>
        <w:rPr>
          <w:color w:val="4D4D4F"/>
          <w:position w:val="7"/>
          <w:sz w:val="11"/>
        </w:rPr>
        <w:t>62</w:t>
      </w:r>
    </w:p>
    <w:p w14:paraId="2AB2A9E1" w14:textId="77777777" w:rsidR="00EF5B27" w:rsidRDefault="00000000">
      <w:pPr>
        <w:pStyle w:val="BodyText"/>
        <w:spacing w:before="116" w:line="254" w:lineRule="auto"/>
        <w:ind w:left="113" w:right="292"/>
      </w:pPr>
      <w:r>
        <w:rPr>
          <w:color w:val="4D4D4F"/>
        </w:rPr>
        <w:t>Further, DELWP has focused on the monitoring of floristics in the design of KPIs for the wetlands because the community description’s condition thresholds under the national listing focus largely on vegetation. There is potential for monitoring of other correlates of wetland condition, including the presence of certain fauna including invertebrates, macroinvertebrates, birds and frogs.</w:t>
      </w:r>
    </w:p>
    <w:p w14:paraId="232BEBF1"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2309" w:space="186"/>
            <w:col w:w="7375"/>
          </w:cols>
        </w:sectPr>
      </w:pPr>
    </w:p>
    <w:p w14:paraId="67072FCD" w14:textId="77777777" w:rsidR="00EF5B27" w:rsidRDefault="00000000">
      <w:pPr>
        <w:pStyle w:val="BodyText"/>
      </w:pPr>
      <w:r>
        <w:pict w14:anchorId="2F1E5293">
          <v:group id="_x0000_s3957" style="position:absolute;margin-left:587.05pt;margin-top:183.4pt;width:8.25pt;height:153.1pt;z-index:251460096;mso-position-horizontal-relative:page;mso-position-vertical-relative:page" coordorigin="11741,3668" coordsize="165,3062">
            <v:shape id="_x0000_s3964" style="position:absolute;left:11741;top:3668;width:165;height:561" coordorigin="11741,3668" coordsize="165,561" path="m11906,3668r-165,l11741,4228r165,-18l11906,3668xe" fillcolor="#00aed9" stroked="f">
              <v:path arrowok="t"/>
            </v:shape>
            <v:shape id="_x0000_s3963" style="position:absolute;left:11741;top:4118;width:165;height:425" coordorigin="11741,4118" coordsize="165,425" path="m11906,4118r-165,14l11741,4531r165,12l11906,4118xe" fillcolor="#047ebc" stroked="f">
              <v:path arrowok="t"/>
            </v:shape>
            <v:shape id="_x0000_s3962" type="#_x0000_t75" style="position:absolute;left:11741;top:4355;width:165;height:587">
              <v:imagedata r:id="rId42" o:title=""/>
            </v:shape>
            <v:shape id="_x0000_s3961" style="position:absolute;left:11741;top:5343;width:165;height:536" coordorigin="11741,5343" coordsize="165,536" path="m11741,5343r,535l11906,5872r,-525l11741,5343xe" fillcolor="#f36a2e" stroked="f">
              <v:path arrowok="t"/>
            </v:shape>
            <v:shape id="_x0000_s3960" style="position:absolute;left:11741;top:4925;width:165;height:501" coordorigin="11741,4926" coordsize="165,501" path="m11741,4926r,500l11906,5426r,-485l11741,4926xe" fillcolor="#49783f" stroked="f">
              <v:path arrowok="t"/>
            </v:shape>
            <v:shape id="_x0000_s3959" style="position:absolute;left:11741;top:5781;width:165;height:268" coordorigin="11741,5782" coordsize="165,268" path="m11906,5782r-165,8l11741,6039r165,10l11906,5782xe" fillcolor="#f99f2a" stroked="f">
              <v:path arrowok="t"/>
            </v:shape>
            <v:shape id="_x0000_s3958" style="position:absolute;left:11741;top:6023;width:165;height:707" coordorigin="11741,6023" coordsize="165,707" path="m11741,6023r,706l11906,6729r,-690l11741,6023xe" fillcolor="#ef412c" stroked="f">
              <v:path arrowok="t"/>
            </v:shape>
            <w10:wrap anchorx="page" anchory="page"/>
          </v:group>
        </w:pict>
      </w:r>
    </w:p>
    <w:p w14:paraId="19C1AE9B" w14:textId="77777777" w:rsidR="00EF5B27" w:rsidRDefault="00EF5B27">
      <w:pPr>
        <w:pStyle w:val="BodyText"/>
      </w:pPr>
    </w:p>
    <w:p w14:paraId="36542FB3" w14:textId="77777777" w:rsidR="00EF5B27" w:rsidRDefault="00EF5B27">
      <w:pPr>
        <w:pStyle w:val="BodyText"/>
      </w:pPr>
    </w:p>
    <w:p w14:paraId="56B6B321" w14:textId="77777777" w:rsidR="00EF5B27" w:rsidRDefault="00EF5B27">
      <w:pPr>
        <w:pStyle w:val="BodyText"/>
      </w:pPr>
    </w:p>
    <w:p w14:paraId="3A02CF4E" w14:textId="77777777" w:rsidR="00EF5B27" w:rsidRDefault="00EF5B27">
      <w:pPr>
        <w:pStyle w:val="BodyText"/>
      </w:pPr>
    </w:p>
    <w:p w14:paraId="18D7C6C5" w14:textId="77777777" w:rsidR="00EF5B27" w:rsidRDefault="00EF5B27">
      <w:pPr>
        <w:pStyle w:val="BodyText"/>
      </w:pPr>
    </w:p>
    <w:p w14:paraId="28F12878" w14:textId="77777777" w:rsidR="00EF5B27" w:rsidRDefault="00EF5B27">
      <w:pPr>
        <w:pStyle w:val="BodyText"/>
      </w:pPr>
    </w:p>
    <w:p w14:paraId="46AA4036" w14:textId="77777777" w:rsidR="00EF5B27" w:rsidRDefault="00EF5B27">
      <w:pPr>
        <w:pStyle w:val="BodyText"/>
      </w:pPr>
    </w:p>
    <w:p w14:paraId="0C6E2F70" w14:textId="77777777" w:rsidR="00EF5B27" w:rsidRDefault="00EF5B27">
      <w:pPr>
        <w:pStyle w:val="BodyText"/>
      </w:pPr>
    </w:p>
    <w:p w14:paraId="7A1E8AAA" w14:textId="77777777" w:rsidR="00EF5B27" w:rsidRDefault="00EF5B27">
      <w:pPr>
        <w:pStyle w:val="BodyText"/>
        <w:spacing w:before="4"/>
        <w:rPr>
          <w:sz w:val="24"/>
        </w:rPr>
      </w:pPr>
    </w:p>
    <w:p w14:paraId="00BA97B2" w14:textId="77777777" w:rsidR="00EF5B27" w:rsidRDefault="00000000">
      <w:pPr>
        <w:pStyle w:val="BodyText"/>
        <w:spacing w:line="20" w:lineRule="exact"/>
        <w:ind w:left="2603"/>
        <w:rPr>
          <w:sz w:val="2"/>
        </w:rPr>
      </w:pPr>
      <w:r>
        <w:rPr>
          <w:sz w:val="2"/>
        </w:rPr>
      </w:r>
      <w:r>
        <w:rPr>
          <w:sz w:val="2"/>
        </w:rPr>
        <w:pict w14:anchorId="345B6951">
          <v:group id="_x0000_s3955" style="width:357.2pt;height:.5pt;mso-position-horizontal-relative:char;mso-position-vertical-relative:line" coordsize="7144,10">
            <v:line id="_x0000_s3956" style="position:absolute" from="0,5" to="7143,5" strokecolor="#4d4d4f" strokeweight=".5pt"/>
            <w10:anchorlock/>
          </v:group>
        </w:pict>
      </w:r>
    </w:p>
    <w:p w14:paraId="115A2590" w14:textId="77777777" w:rsidR="00EF5B27" w:rsidRDefault="00000000">
      <w:pPr>
        <w:pStyle w:val="ListParagraph"/>
        <w:numPr>
          <w:ilvl w:val="0"/>
          <w:numId w:val="65"/>
        </w:numPr>
        <w:tabs>
          <w:tab w:val="left" w:pos="2836"/>
        </w:tabs>
        <w:spacing w:before="102" w:line="143" w:lineRule="exact"/>
        <w:jc w:val="lef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4A5FCAFF" w14:textId="77777777" w:rsidR="00EF5B27" w:rsidRDefault="00000000">
      <w:pPr>
        <w:pStyle w:val="ListParagraph"/>
        <w:numPr>
          <w:ilvl w:val="0"/>
          <w:numId w:val="65"/>
        </w:numPr>
        <w:tabs>
          <w:tab w:val="left" w:pos="2836"/>
        </w:tabs>
        <w:spacing w:line="140" w:lineRule="exact"/>
        <w:jc w:val="lef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57FB7B21" w14:textId="77777777" w:rsidR="00EF5B27" w:rsidRDefault="00000000">
      <w:pPr>
        <w:pStyle w:val="ListParagraph"/>
        <w:numPr>
          <w:ilvl w:val="0"/>
          <w:numId w:val="65"/>
        </w:numPr>
        <w:tabs>
          <w:tab w:val="left" w:pos="2836"/>
        </w:tabs>
        <w:spacing w:line="143" w:lineRule="exact"/>
        <w:jc w:val="left"/>
        <w:rPr>
          <w:sz w:val="12"/>
        </w:rPr>
      </w:pPr>
      <w:r>
        <w:rPr>
          <w:color w:val="4D4D4F"/>
          <w:sz w:val="12"/>
        </w:rPr>
        <w:t>DELWP Officer, personal communication, 21 July</w:t>
      </w:r>
      <w:r>
        <w:rPr>
          <w:color w:val="4D4D4F"/>
          <w:spacing w:val="14"/>
          <w:sz w:val="12"/>
        </w:rPr>
        <w:t xml:space="preserve"> </w:t>
      </w:r>
      <w:r>
        <w:rPr>
          <w:color w:val="4D4D4F"/>
          <w:sz w:val="12"/>
        </w:rPr>
        <w:t>2021.</w:t>
      </w:r>
    </w:p>
    <w:p w14:paraId="65AF8517" w14:textId="77777777" w:rsidR="00EF5B27" w:rsidRDefault="00EF5B27">
      <w:pPr>
        <w:spacing w:line="143" w:lineRule="exact"/>
        <w:rPr>
          <w:sz w:val="12"/>
        </w:rPr>
        <w:sectPr w:rsidR="00EF5B27">
          <w:type w:val="continuous"/>
          <w:pgSz w:w="11910" w:h="16840"/>
          <w:pgMar w:top="1140" w:right="1020" w:bottom="280" w:left="1020" w:header="720" w:footer="720" w:gutter="0"/>
          <w:cols w:space="720"/>
        </w:sectPr>
      </w:pPr>
    </w:p>
    <w:p w14:paraId="1991B6F9" w14:textId="77777777" w:rsidR="00EF5B27" w:rsidRDefault="00000000">
      <w:pPr>
        <w:pStyle w:val="BodyText"/>
      </w:pPr>
      <w:r>
        <w:lastRenderedPageBreak/>
        <w:pict w14:anchorId="31E418C0">
          <v:group id="_x0000_s3947" style="position:absolute;margin-left:587.05pt;margin-top:183.4pt;width:8.25pt;height:153.1pt;z-index:251462144;mso-position-horizontal-relative:page;mso-position-vertical-relative:page" coordorigin="11741,3668" coordsize="165,3062">
            <v:shape id="_x0000_s3954" style="position:absolute;left:11741;top:3668;width:165;height:561" coordorigin="11741,3668" coordsize="165,561" path="m11906,3668r-165,l11741,4228r165,-18l11906,3668xe" fillcolor="#00aed9" stroked="f">
              <v:path arrowok="t"/>
            </v:shape>
            <v:shape id="_x0000_s3953" style="position:absolute;left:11741;top:4118;width:165;height:425" coordorigin="11741,4118" coordsize="165,425" path="m11906,4118r-165,14l11741,4531r165,12l11906,4118xe" fillcolor="#047ebc" stroked="f">
              <v:path arrowok="t"/>
            </v:shape>
            <v:shape id="_x0000_s3952" type="#_x0000_t75" style="position:absolute;left:11741;top:4355;width:165;height:587">
              <v:imagedata r:id="rId42" o:title=""/>
            </v:shape>
            <v:shape id="_x0000_s3951" style="position:absolute;left:11741;top:5343;width:165;height:536" coordorigin="11741,5343" coordsize="165,536" path="m11741,5343r,535l11906,5872r,-525l11741,5343xe" fillcolor="#f36a2e" stroked="f">
              <v:path arrowok="t"/>
            </v:shape>
            <v:shape id="_x0000_s3950" style="position:absolute;left:11741;top:4925;width:165;height:501" coordorigin="11741,4926" coordsize="165,501" path="m11741,4926r,500l11906,5426r,-485l11741,4926xe" fillcolor="#49783f" stroked="f">
              <v:path arrowok="t"/>
            </v:shape>
            <v:shape id="_x0000_s3949" style="position:absolute;left:11741;top:5781;width:165;height:268" coordorigin="11741,5782" coordsize="165,268" path="m11906,5782r-165,8l11741,6039r165,10l11906,5782xe" fillcolor="#f99f2a" stroked="f">
              <v:path arrowok="t"/>
            </v:shape>
            <v:shape id="_x0000_s3948" style="position:absolute;left:11741;top:6023;width:165;height:707" coordorigin="11741,6023" coordsize="165,707" path="m11741,6023r,706l11906,6729r,-690l11741,6023xe" fillcolor="#ef412c" stroked="f">
              <v:path arrowok="t"/>
            </v:shape>
            <w10:wrap anchorx="page" anchory="page"/>
          </v:group>
        </w:pict>
      </w:r>
    </w:p>
    <w:p w14:paraId="06252C5A" w14:textId="77777777" w:rsidR="00EF5B27" w:rsidRDefault="00EF5B27">
      <w:pPr>
        <w:pStyle w:val="BodyText"/>
      </w:pPr>
    </w:p>
    <w:p w14:paraId="5B232D85" w14:textId="77777777" w:rsidR="00EF5B27" w:rsidRDefault="00EF5B27">
      <w:pPr>
        <w:pStyle w:val="BodyText"/>
      </w:pPr>
    </w:p>
    <w:p w14:paraId="6F962353" w14:textId="77777777" w:rsidR="00EF5B27" w:rsidRDefault="00EF5B27">
      <w:pPr>
        <w:pStyle w:val="BodyText"/>
      </w:pPr>
    </w:p>
    <w:p w14:paraId="6DD62973" w14:textId="77777777" w:rsidR="00EF5B27" w:rsidRDefault="00EF5B27">
      <w:pPr>
        <w:pStyle w:val="BodyText"/>
        <w:spacing w:before="5"/>
        <w:rPr>
          <w:sz w:val="16"/>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3EAD8424" w14:textId="77777777">
        <w:trPr>
          <w:trHeight w:val="559"/>
        </w:trPr>
        <w:tc>
          <w:tcPr>
            <w:tcW w:w="2980" w:type="dxa"/>
            <w:shd w:val="clear" w:color="auto" w:fill="FECC91"/>
          </w:tcPr>
          <w:p w14:paraId="4C011C2F" w14:textId="77777777" w:rsidR="00EF5B27" w:rsidRDefault="00000000">
            <w:pPr>
              <w:pStyle w:val="TableParagraph"/>
              <w:spacing w:before="89" w:line="244" w:lineRule="auto"/>
              <w:ind w:left="80" w:right="244"/>
              <w:rPr>
                <w:b/>
                <w:sz w:val="16"/>
              </w:rPr>
            </w:pPr>
            <w:r>
              <w:rPr>
                <w:b/>
                <w:w w:val="105"/>
                <w:sz w:val="16"/>
              </w:rPr>
              <w:t>KPI 1: Richness of native perennial forbs during spring-summer</w:t>
            </w:r>
          </w:p>
        </w:tc>
        <w:tc>
          <w:tcPr>
            <w:tcW w:w="1078" w:type="dxa"/>
            <w:shd w:val="clear" w:color="auto" w:fill="FECC91"/>
          </w:tcPr>
          <w:p w14:paraId="61A31735" w14:textId="77777777" w:rsidR="00EF5B27" w:rsidRDefault="00000000">
            <w:pPr>
              <w:pStyle w:val="TableParagraph"/>
              <w:spacing w:before="89" w:line="244" w:lineRule="auto"/>
              <w:ind w:left="169" w:right="164" w:firstLine="148"/>
              <w:rPr>
                <w:b/>
                <w:sz w:val="16"/>
              </w:rPr>
            </w:pPr>
            <w:r>
              <w:rPr>
                <w:b/>
                <w:w w:val="105"/>
                <w:sz w:val="16"/>
              </w:rPr>
              <w:t>Status 2020-2022</w:t>
            </w:r>
          </w:p>
        </w:tc>
        <w:tc>
          <w:tcPr>
            <w:tcW w:w="2155" w:type="dxa"/>
            <w:shd w:val="clear" w:color="auto" w:fill="FECC91"/>
          </w:tcPr>
          <w:p w14:paraId="48BE27D1" w14:textId="77777777" w:rsidR="00EF5B27" w:rsidRDefault="00EF5B27">
            <w:pPr>
              <w:pStyle w:val="TableParagraph"/>
              <w:spacing w:before="6"/>
              <w:rPr>
                <w:sz w:val="15"/>
              </w:rPr>
            </w:pPr>
          </w:p>
          <w:p w14:paraId="420A556B" w14:textId="77777777" w:rsidR="00EF5B27" w:rsidRDefault="00000000">
            <w:pPr>
              <w:pStyle w:val="TableParagraph"/>
              <w:ind w:left="143" w:right="142"/>
              <w:jc w:val="center"/>
              <w:rPr>
                <w:b/>
                <w:sz w:val="16"/>
              </w:rPr>
            </w:pPr>
            <w:r>
              <w:rPr>
                <w:b/>
                <w:sz w:val="16"/>
              </w:rPr>
              <w:t>Reason for non-assessment</w:t>
            </w:r>
          </w:p>
        </w:tc>
        <w:tc>
          <w:tcPr>
            <w:tcW w:w="964" w:type="dxa"/>
            <w:shd w:val="clear" w:color="auto" w:fill="FECC91"/>
          </w:tcPr>
          <w:p w14:paraId="217BB134" w14:textId="77777777" w:rsidR="00EF5B27" w:rsidRDefault="00EF5B27">
            <w:pPr>
              <w:pStyle w:val="TableParagraph"/>
              <w:spacing w:before="6"/>
              <w:rPr>
                <w:sz w:val="15"/>
              </w:rPr>
            </w:pPr>
          </w:p>
          <w:p w14:paraId="2149EEBC" w14:textId="77777777" w:rsidR="00EF5B27" w:rsidRDefault="00000000">
            <w:pPr>
              <w:pStyle w:val="TableParagraph"/>
              <w:ind w:left="283"/>
              <w:rPr>
                <w:b/>
                <w:sz w:val="16"/>
              </w:rPr>
            </w:pPr>
            <w:r>
              <w:rPr>
                <w:b/>
                <w:sz w:val="16"/>
              </w:rPr>
              <w:t>Trend</w:t>
            </w:r>
          </w:p>
        </w:tc>
        <w:tc>
          <w:tcPr>
            <w:tcW w:w="964" w:type="dxa"/>
            <w:shd w:val="clear" w:color="auto" w:fill="FECC91"/>
          </w:tcPr>
          <w:p w14:paraId="2C5869C8" w14:textId="77777777" w:rsidR="00EF5B27" w:rsidRDefault="00000000">
            <w:pPr>
              <w:pStyle w:val="TableParagraph"/>
              <w:spacing w:before="89" w:line="244" w:lineRule="auto"/>
              <w:ind w:left="105" w:right="87" w:firstLine="217"/>
              <w:rPr>
                <w:b/>
                <w:sz w:val="16"/>
              </w:rPr>
            </w:pPr>
            <w:r>
              <w:rPr>
                <w:b/>
                <w:sz w:val="16"/>
              </w:rPr>
              <w:t>Data Confidence</w:t>
            </w:r>
          </w:p>
        </w:tc>
        <w:tc>
          <w:tcPr>
            <w:tcW w:w="1489" w:type="dxa"/>
            <w:shd w:val="clear" w:color="auto" w:fill="FECC91"/>
          </w:tcPr>
          <w:p w14:paraId="56DEDC12" w14:textId="77777777" w:rsidR="00EF5B27" w:rsidRDefault="00000000">
            <w:pPr>
              <w:pStyle w:val="TableParagraph"/>
              <w:spacing w:before="89" w:line="244" w:lineRule="auto"/>
              <w:ind w:left="220" w:hanging="92"/>
              <w:rPr>
                <w:b/>
                <w:sz w:val="16"/>
              </w:rPr>
            </w:pPr>
            <w:r>
              <w:rPr>
                <w:b/>
                <w:sz w:val="16"/>
              </w:rPr>
              <w:t>Year that baseline was/will be set</w:t>
            </w:r>
          </w:p>
        </w:tc>
      </w:tr>
      <w:tr w:rsidR="00EF5B27" w14:paraId="3E031258" w14:textId="77777777">
        <w:trPr>
          <w:trHeight w:val="448"/>
        </w:trPr>
        <w:tc>
          <w:tcPr>
            <w:tcW w:w="2980" w:type="dxa"/>
          </w:tcPr>
          <w:p w14:paraId="21B33E9C" w14:textId="77777777" w:rsidR="00EF5B27" w:rsidRDefault="00EF5B27">
            <w:pPr>
              <w:pStyle w:val="TableParagraph"/>
              <w:spacing w:before="11"/>
              <w:rPr>
                <w:sz w:val="11"/>
              </w:rPr>
            </w:pPr>
          </w:p>
          <w:p w14:paraId="74759EDD" w14:textId="77777777" w:rsidR="00EF5B27" w:rsidRDefault="00000000">
            <w:pPr>
              <w:pStyle w:val="TableParagraph"/>
              <w:ind w:left="80"/>
              <w:rPr>
                <w:sz w:val="14"/>
              </w:rPr>
            </w:pPr>
            <w:r>
              <w:rPr>
                <w:color w:val="4D4D4F"/>
                <w:w w:val="105"/>
                <w:sz w:val="14"/>
              </w:rPr>
              <w:t>Cobbledicks Rise</w:t>
            </w:r>
          </w:p>
        </w:tc>
        <w:tc>
          <w:tcPr>
            <w:tcW w:w="1078" w:type="dxa"/>
          </w:tcPr>
          <w:p w14:paraId="5F5C8D54" w14:textId="77777777" w:rsidR="00EF5B27" w:rsidRDefault="00EF5B27">
            <w:pPr>
              <w:pStyle w:val="TableParagraph"/>
              <w:spacing w:before="11"/>
              <w:rPr>
                <w:sz w:val="11"/>
              </w:rPr>
            </w:pPr>
          </w:p>
          <w:p w14:paraId="7CA6B1E5" w14:textId="77777777" w:rsidR="00EF5B27" w:rsidRDefault="00000000">
            <w:pPr>
              <w:pStyle w:val="TableParagraph"/>
              <w:ind w:left="128" w:right="124"/>
              <w:jc w:val="center"/>
              <w:rPr>
                <w:sz w:val="14"/>
              </w:rPr>
            </w:pPr>
            <w:r>
              <w:rPr>
                <w:color w:val="4D4D4F"/>
                <w:sz w:val="14"/>
              </w:rPr>
              <w:t>Met</w:t>
            </w:r>
          </w:p>
        </w:tc>
        <w:tc>
          <w:tcPr>
            <w:tcW w:w="2155" w:type="dxa"/>
          </w:tcPr>
          <w:p w14:paraId="22038AFD" w14:textId="77777777" w:rsidR="00EF5B27" w:rsidRDefault="00EF5B27">
            <w:pPr>
              <w:pStyle w:val="TableParagraph"/>
              <w:spacing w:before="11"/>
              <w:rPr>
                <w:sz w:val="11"/>
              </w:rPr>
            </w:pPr>
          </w:p>
          <w:p w14:paraId="7CF7DBDB" w14:textId="77777777" w:rsidR="00EF5B27" w:rsidRDefault="00000000">
            <w:pPr>
              <w:pStyle w:val="TableParagraph"/>
              <w:ind w:left="139" w:right="142"/>
              <w:jc w:val="center"/>
              <w:rPr>
                <w:sz w:val="14"/>
              </w:rPr>
            </w:pPr>
            <w:r>
              <w:rPr>
                <w:color w:val="4D4D4F"/>
                <w:w w:val="105"/>
                <w:sz w:val="14"/>
              </w:rPr>
              <w:t>N/A</w:t>
            </w:r>
          </w:p>
        </w:tc>
        <w:tc>
          <w:tcPr>
            <w:tcW w:w="964" w:type="dxa"/>
          </w:tcPr>
          <w:p w14:paraId="4BBA597E" w14:textId="77777777" w:rsidR="00EF5B27" w:rsidRDefault="00EF5B27">
            <w:pPr>
              <w:pStyle w:val="TableParagraph"/>
              <w:spacing w:before="8"/>
              <w:rPr>
                <w:sz w:val="8"/>
              </w:rPr>
            </w:pPr>
          </w:p>
          <w:p w14:paraId="47081735" w14:textId="77777777" w:rsidR="00EF5B27" w:rsidRDefault="00000000">
            <w:pPr>
              <w:pStyle w:val="TableParagraph"/>
              <w:spacing w:line="235" w:lineRule="exact"/>
              <w:ind w:left="427"/>
              <w:rPr>
                <w:sz w:val="20"/>
              </w:rPr>
            </w:pPr>
            <w:r>
              <w:rPr>
                <w:noProof/>
                <w:position w:val="-4"/>
                <w:sz w:val="20"/>
              </w:rPr>
              <w:drawing>
                <wp:inline distT="0" distB="0" distL="0" distR="0" wp14:anchorId="16964CCD" wp14:editId="1F0D2027">
                  <wp:extent cx="65743" cy="149351"/>
                  <wp:effectExtent l="0" t="0" r="0" b="0"/>
                  <wp:docPr id="211"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90.png"/>
                          <pic:cNvPicPr/>
                        </pic:nvPicPr>
                        <pic:blipFill>
                          <a:blip r:embed="rId82" cstate="print"/>
                          <a:stretch>
                            <a:fillRect/>
                          </a:stretch>
                        </pic:blipFill>
                        <pic:spPr>
                          <a:xfrm>
                            <a:off x="0" y="0"/>
                            <a:ext cx="65743" cy="149351"/>
                          </a:xfrm>
                          <a:prstGeom prst="rect">
                            <a:avLst/>
                          </a:prstGeom>
                        </pic:spPr>
                      </pic:pic>
                    </a:graphicData>
                  </a:graphic>
                </wp:inline>
              </w:drawing>
            </w:r>
          </w:p>
        </w:tc>
        <w:tc>
          <w:tcPr>
            <w:tcW w:w="964" w:type="dxa"/>
          </w:tcPr>
          <w:p w14:paraId="1C6F1D54" w14:textId="77777777" w:rsidR="00EF5B27" w:rsidRDefault="00EF5B27">
            <w:pPr>
              <w:pStyle w:val="TableParagraph"/>
              <w:spacing w:before="11"/>
              <w:rPr>
                <w:sz w:val="11"/>
              </w:rPr>
            </w:pPr>
          </w:p>
          <w:p w14:paraId="6DC4E785" w14:textId="77777777" w:rsidR="00EF5B27" w:rsidRDefault="00000000">
            <w:pPr>
              <w:pStyle w:val="TableParagraph"/>
              <w:ind w:left="323" w:right="323"/>
              <w:jc w:val="center"/>
              <w:rPr>
                <w:sz w:val="14"/>
              </w:rPr>
            </w:pPr>
            <w:r>
              <w:rPr>
                <w:color w:val="4D4D4F"/>
                <w:w w:val="105"/>
                <w:sz w:val="14"/>
              </w:rPr>
              <w:t>High</w:t>
            </w:r>
          </w:p>
        </w:tc>
        <w:tc>
          <w:tcPr>
            <w:tcW w:w="1489" w:type="dxa"/>
          </w:tcPr>
          <w:p w14:paraId="35F2C883" w14:textId="77777777" w:rsidR="00EF5B27" w:rsidRDefault="00000000">
            <w:pPr>
              <w:pStyle w:val="TableParagraph"/>
              <w:spacing w:before="134"/>
              <w:ind w:left="587"/>
              <w:rPr>
                <w:sz w:val="16"/>
              </w:rPr>
            </w:pPr>
            <w:r>
              <w:rPr>
                <w:color w:val="4D4D4F"/>
                <w:sz w:val="16"/>
              </w:rPr>
              <w:t>2018</w:t>
            </w:r>
          </w:p>
        </w:tc>
      </w:tr>
      <w:tr w:rsidR="00EF5B27" w14:paraId="4D6D7588" w14:textId="77777777">
        <w:trPr>
          <w:trHeight w:val="448"/>
        </w:trPr>
        <w:tc>
          <w:tcPr>
            <w:tcW w:w="2980" w:type="dxa"/>
          </w:tcPr>
          <w:p w14:paraId="16E3A21F" w14:textId="77777777" w:rsidR="00EF5B27" w:rsidRDefault="00EF5B27">
            <w:pPr>
              <w:pStyle w:val="TableParagraph"/>
              <w:spacing w:before="11"/>
              <w:rPr>
                <w:sz w:val="11"/>
              </w:rPr>
            </w:pPr>
          </w:p>
          <w:p w14:paraId="35CF452C" w14:textId="77777777" w:rsidR="00EF5B27" w:rsidRDefault="00000000">
            <w:pPr>
              <w:pStyle w:val="TableParagraph"/>
              <w:ind w:left="80"/>
              <w:rPr>
                <w:sz w:val="14"/>
              </w:rPr>
            </w:pPr>
            <w:r>
              <w:rPr>
                <w:color w:val="4D4D4F"/>
                <w:w w:val="105"/>
                <w:sz w:val="14"/>
              </w:rPr>
              <w:t>One Tree Rise</w:t>
            </w:r>
          </w:p>
        </w:tc>
        <w:tc>
          <w:tcPr>
            <w:tcW w:w="1078" w:type="dxa"/>
          </w:tcPr>
          <w:p w14:paraId="6B9D6E84" w14:textId="77777777" w:rsidR="00EF5B27" w:rsidRDefault="00EF5B27">
            <w:pPr>
              <w:pStyle w:val="TableParagraph"/>
              <w:spacing w:before="11"/>
              <w:rPr>
                <w:sz w:val="11"/>
              </w:rPr>
            </w:pPr>
          </w:p>
          <w:p w14:paraId="11A5AD60" w14:textId="77777777" w:rsidR="00EF5B27" w:rsidRDefault="00000000">
            <w:pPr>
              <w:pStyle w:val="TableParagraph"/>
              <w:ind w:left="128" w:right="124"/>
              <w:jc w:val="center"/>
              <w:rPr>
                <w:sz w:val="14"/>
              </w:rPr>
            </w:pPr>
            <w:r>
              <w:rPr>
                <w:color w:val="4D4D4F"/>
                <w:sz w:val="14"/>
              </w:rPr>
              <w:t>Met</w:t>
            </w:r>
          </w:p>
        </w:tc>
        <w:tc>
          <w:tcPr>
            <w:tcW w:w="2155" w:type="dxa"/>
          </w:tcPr>
          <w:p w14:paraId="1BF8F340" w14:textId="77777777" w:rsidR="00EF5B27" w:rsidRDefault="00EF5B27">
            <w:pPr>
              <w:pStyle w:val="TableParagraph"/>
              <w:spacing w:before="11"/>
              <w:rPr>
                <w:sz w:val="11"/>
              </w:rPr>
            </w:pPr>
          </w:p>
          <w:p w14:paraId="38989AA5" w14:textId="77777777" w:rsidR="00EF5B27" w:rsidRDefault="00000000">
            <w:pPr>
              <w:pStyle w:val="TableParagraph"/>
              <w:ind w:left="139" w:right="142"/>
              <w:jc w:val="center"/>
              <w:rPr>
                <w:sz w:val="14"/>
              </w:rPr>
            </w:pPr>
            <w:r>
              <w:rPr>
                <w:color w:val="4D4D4F"/>
                <w:w w:val="105"/>
                <w:sz w:val="14"/>
              </w:rPr>
              <w:t>N/A</w:t>
            </w:r>
          </w:p>
        </w:tc>
        <w:tc>
          <w:tcPr>
            <w:tcW w:w="964" w:type="dxa"/>
          </w:tcPr>
          <w:p w14:paraId="51716EDA" w14:textId="77777777" w:rsidR="00EF5B27" w:rsidRDefault="00EF5B27">
            <w:pPr>
              <w:pStyle w:val="TableParagraph"/>
              <w:spacing w:before="8"/>
              <w:rPr>
                <w:sz w:val="8"/>
              </w:rPr>
            </w:pPr>
          </w:p>
          <w:p w14:paraId="07B682E8" w14:textId="77777777" w:rsidR="00EF5B27" w:rsidRDefault="00000000">
            <w:pPr>
              <w:pStyle w:val="TableParagraph"/>
              <w:spacing w:line="232" w:lineRule="exact"/>
              <w:ind w:left="427"/>
              <w:rPr>
                <w:sz w:val="20"/>
              </w:rPr>
            </w:pPr>
            <w:r>
              <w:rPr>
                <w:noProof/>
                <w:position w:val="-4"/>
                <w:sz w:val="20"/>
              </w:rPr>
              <w:drawing>
                <wp:inline distT="0" distB="0" distL="0" distR="0" wp14:anchorId="55973D2D" wp14:editId="2612CC5A">
                  <wp:extent cx="64988" cy="147637"/>
                  <wp:effectExtent l="0" t="0" r="0" b="0"/>
                  <wp:docPr id="21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46.png"/>
                          <pic:cNvPicPr/>
                        </pic:nvPicPr>
                        <pic:blipFill>
                          <a:blip r:embed="rId77" cstate="print"/>
                          <a:stretch>
                            <a:fillRect/>
                          </a:stretch>
                        </pic:blipFill>
                        <pic:spPr>
                          <a:xfrm>
                            <a:off x="0" y="0"/>
                            <a:ext cx="64988" cy="147637"/>
                          </a:xfrm>
                          <a:prstGeom prst="rect">
                            <a:avLst/>
                          </a:prstGeom>
                        </pic:spPr>
                      </pic:pic>
                    </a:graphicData>
                  </a:graphic>
                </wp:inline>
              </w:drawing>
            </w:r>
          </w:p>
        </w:tc>
        <w:tc>
          <w:tcPr>
            <w:tcW w:w="964" w:type="dxa"/>
          </w:tcPr>
          <w:p w14:paraId="7FC8AC5C" w14:textId="77777777" w:rsidR="00EF5B27" w:rsidRDefault="00EF5B27">
            <w:pPr>
              <w:pStyle w:val="TableParagraph"/>
              <w:spacing w:before="11"/>
              <w:rPr>
                <w:sz w:val="11"/>
              </w:rPr>
            </w:pPr>
          </w:p>
          <w:p w14:paraId="50893A76" w14:textId="77777777" w:rsidR="00EF5B27" w:rsidRDefault="00000000">
            <w:pPr>
              <w:pStyle w:val="TableParagraph"/>
              <w:ind w:left="323" w:right="323"/>
              <w:jc w:val="center"/>
              <w:rPr>
                <w:sz w:val="14"/>
              </w:rPr>
            </w:pPr>
            <w:r>
              <w:rPr>
                <w:color w:val="4D4D4F"/>
                <w:w w:val="105"/>
                <w:sz w:val="14"/>
              </w:rPr>
              <w:t>High</w:t>
            </w:r>
          </w:p>
        </w:tc>
        <w:tc>
          <w:tcPr>
            <w:tcW w:w="1489" w:type="dxa"/>
          </w:tcPr>
          <w:p w14:paraId="3B949038" w14:textId="77777777" w:rsidR="00EF5B27" w:rsidRDefault="00000000">
            <w:pPr>
              <w:pStyle w:val="TableParagraph"/>
              <w:spacing w:before="134"/>
              <w:ind w:left="587"/>
              <w:rPr>
                <w:sz w:val="16"/>
              </w:rPr>
            </w:pPr>
            <w:r>
              <w:rPr>
                <w:color w:val="4D4D4F"/>
                <w:sz w:val="16"/>
              </w:rPr>
              <w:t>2018</w:t>
            </w:r>
          </w:p>
        </w:tc>
      </w:tr>
      <w:tr w:rsidR="00EF5B27" w14:paraId="2A40B7E6" w14:textId="77777777">
        <w:trPr>
          <w:trHeight w:val="448"/>
        </w:trPr>
        <w:tc>
          <w:tcPr>
            <w:tcW w:w="2980" w:type="dxa"/>
          </w:tcPr>
          <w:p w14:paraId="7B42BD4A" w14:textId="77777777" w:rsidR="00EF5B27" w:rsidRDefault="00EF5B27">
            <w:pPr>
              <w:pStyle w:val="TableParagraph"/>
              <w:spacing w:before="11"/>
              <w:rPr>
                <w:sz w:val="11"/>
              </w:rPr>
            </w:pPr>
          </w:p>
          <w:p w14:paraId="4A64CCBF" w14:textId="77777777" w:rsidR="00EF5B27" w:rsidRDefault="00000000">
            <w:pPr>
              <w:pStyle w:val="TableParagraph"/>
              <w:ind w:left="80"/>
              <w:rPr>
                <w:sz w:val="14"/>
              </w:rPr>
            </w:pPr>
            <w:r>
              <w:rPr>
                <w:color w:val="4D4D4F"/>
                <w:sz w:val="14"/>
              </w:rPr>
              <w:t>Windmill</w:t>
            </w:r>
          </w:p>
        </w:tc>
        <w:tc>
          <w:tcPr>
            <w:tcW w:w="1078" w:type="dxa"/>
          </w:tcPr>
          <w:p w14:paraId="180FA7D0" w14:textId="77777777" w:rsidR="00EF5B27" w:rsidRDefault="00EF5B27">
            <w:pPr>
              <w:pStyle w:val="TableParagraph"/>
              <w:spacing w:before="11"/>
              <w:rPr>
                <w:sz w:val="11"/>
              </w:rPr>
            </w:pPr>
          </w:p>
          <w:p w14:paraId="2BA583AC" w14:textId="77777777" w:rsidR="00EF5B27" w:rsidRDefault="00000000">
            <w:pPr>
              <w:pStyle w:val="TableParagraph"/>
              <w:ind w:left="128" w:right="124"/>
              <w:jc w:val="center"/>
              <w:rPr>
                <w:sz w:val="14"/>
              </w:rPr>
            </w:pPr>
            <w:r>
              <w:rPr>
                <w:color w:val="4D4D4F"/>
                <w:sz w:val="14"/>
              </w:rPr>
              <w:t>Met</w:t>
            </w:r>
          </w:p>
        </w:tc>
        <w:tc>
          <w:tcPr>
            <w:tcW w:w="2155" w:type="dxa"/>
          </w:tcPr>
          <w:p w14:paraId="07B91E4D" w14:textId="77777777" w:rsidR="00EF5B27" w:rsidRDefault="00EF5B27">
            <w:pPr>
              <w:pStyle w:val="TableParagraph"/>
              <w:spacing w:before="11"/>
              <w:rPr>
                <w:sz w:val="11"/>
              </w:rPr>
            </w:pPr>
          </w:p>
          <w:p w14:paraId="63CC2804" w14:textId="77777777" w:rsidR="00EF5B27" w:rsidRDefault="00000000">
            <w:pPr>
              <w:pStyle w:val="TableParagraph"/>
              <w:ind w:left="139" w:right="142"/>
              <w:jc w:val="center"/>
              <w:rPr>
                <w:sz w:val="14"/>
              </w:rPr>
            </w:pPr>
            <w:r>
              <w:rPr>
                <w:color w:val="4D4D4F"/>
                <w:w w:val="105"/>
                <w:sz w:val="14"/>
              </w:rPr>
              <w:t>N/A</w:t>
            </w:r>
          </w:p>
        </w:tc>
        <w:tc>
          <w:tcPr>
            <w:tcW w:w="964" w:type="dxa"/>
          </w:tcPr>
          <w:p w14:paraId="2A281C90" w14:textId="77777777" w:rsidR="00EF5B27" w:rsidRDefault="00EF5B27">
            <w:pPr>
              <w:pStyle w:val="TableParagraph"/>
              <w:spacing w:before="8"/>
              <w:rPr>
                <w:sz w:val="8"/>
              </w:rPr>
            </w:pPr>
          </w:p>
          <w:p w14:paraId="5FDC847F" w14:textId="77777777" w:rsidR="00EF5B27" w:rsidRDefault="00000000">
            <w:pPr>
              <w:pStyle w:val="TableParagraph"/>
              <w:spacing w:line="235" w:lineRule="exact"/>
              <w:ind w:left="427"/>
              <w:rPr>
                <w:sz w:val="20"/>
              </w:rPr>
            </w:pPr>
            <w:r>
              <w:rPr>
                <w:noProof/>
                <w:position w:val="-4"/>
                <w:sz w:val="20"/>
              </w:rPr>
              <w:drawing>
                <wp:inline distT="0" distB="0" distL="0" distR="0" wp14:anchorId="3A366CD7" wp14:editId="54FA4D45">
                  <wp:extent cx="65743" cy="149351"/>
                  <wp:effectExtent l="0" t="0" r="0" b="0"/>
                  <wp:docPr id="215"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90.png"/>
                          <pic:cNvPicPr/>
                        </pic:nvPicPr>
                        <pic:blipFill>
                          <a:blip r:embed="rId82" cstate="print"/>
                          <a:stretch>
                            <a:fillRect/>
                          </a:stretch>
                        </pic:blipFill>
                        <pic:spPr>
                          <a:xfrm>
                            <a:off x="0" y="0"/>
                            <a:ext cx="65743" cy="149351"/>
                          </a:xfrm>
                          <a:prstGeom prst="rect">
                            <a:avLst/>
                          </a:prstGeom>
                        </pic:spPr>
                      </pic:pic>
                    </a:graphicData>
                  </a:graphic>
                </wp:inline>
              </w:drawing>
            </w:r>
          </w:p>
        </w:tc>
        <w:tc>
          <w:tcPr>
            <w:tcW w:w="964" w:type="dxa"/>
          </w:tcPr>
          <w:p w14:paraId="29D3E137" w14:textId="77777777" w:rsidR="00EF5B27" w:rsidRDefault="00EF5B27">
            <w:pPr>
              <w:pStyle w:val="TableParagraph"/>
              <w:spacing w:before="11"/>
              <w:rPr>
                <w:sz w:val="11"/>
              </w:rPr>
            </w:pPr>
          </w:p>
          <w:p w14:paraId="4073D618" w14:textId="77777777" w:rsidR="00EF5B27" w:rsidRDefault="00000000">
            <w:pPr>
              <w:pStyle w:val="TableParagraph"/>
              <w:ind w:left="323" w:right="323"/>
              <w:jc w:val="center"/>
              <w:rPr>
                <w:sz w:val="14"/>
              </w:rPr>
            </w:pPr>
            <w:r>
              <w:rPr>
                <w:color w:val="4D4D4F"/>
                <w:w w:val="105"/>
                <w:sz w:val="14"/>
              </w:rPr>
              <w:t>High</w:t>
            </w:r>
          </w:p>
        </w:tc>
        <w:tc>
          <w:tcPr>
            <w:tcW w:w="1489" w:type="dxa"/>
          </w:tcPr>
          <w:p w14:paraId="36E92BC3" w14:textId="77777777" w:rsidR="00EF5B27" w:rsidRDefault="00000000">
            <w:pPr>
              <w:pStyle w:val="TableParagraph"/>
              <w:spacing w:before="134"/>
              <w:ind w:left="587"/>
              <w:rPr>
                <w:sz w:val="16"/>
              </w:rPr>
            </w:pPr>
            <w:r>
              <w:rPr>
                <w:color w:val="4D4D4F"/>
                <w:sz w:val="16"/>
              </w:rPr>
              <w:t>2018</w:t>
            </w:r>
          </w:p>
        </w:tc>
      </w:tr>
    </w:tbl>
    <w:p w14:paraId="0FDBC727" w14:textId="77777777" w:rsidR="00EF5B27" w:rsidRDefault="00EF5B27">
      <w:pPr>
        <w:pStyle w:val="BodyText"/>
        <w:spacing w:before="1"/>
        <w:rPr>
          <w:sz w:val="26"/>
        </w:rPr>
      </w:pPr>
    </w:p>
    <w:p w14:paraId="7D73D96A" w14:textId="77777777" w:rsidR="00EF5B27" w:rsidRDefault="00000000">
      <w:pPr>
        <w:pStyle w:val="BodyText"/>
        <w:spacing w:before="100" w:line="254" w:lineRule="auto"/>
        <w:ind w:left="2608"/>
      </w:pPr>
      <w:r>
        <w:rPr>
          <w:color w:val="4D4D4F"/>
          <w:w w:val="105"/>
        </w:rPr>
        <w:t>Comments:</w:t>
      </w:r>
      <w:r>
        <w:rPr>
          <w:color w:val="4D4D4F"/>
          <w:spacing w:val="-18"/>
          <w:w w:val="105"/>
        </w:rPr>
        <w:t xml:space="preserve"> </w:t>
      </w:r>
      <w:r>
        <w:rPr>
          <w:color w:val="4D4D4F"/>
          <w:w w:val="105"/>
        </w:rPr>
        <w:t>This</w:t>
      </w:r>
      <w:r>
        <w:rPr>
          <w:color w:val="4D4D4F"/>
          <w:spacing w:val="-17"/>
          <w:w w:val="105"/>
        </w:rPr>
        <w:t xml:space="preserve"> </w:t>
      </w:r>
      <w:r>
        <w:rPr>
          <w:color w:val="4D4D4F"/>
          <w:w w:val="105"/>
        </w:rPr>
        <w:t>KPI</w:t>
      </w:r>
      <w:r>
        <w:rPr>
          <w:color w:val="4D4D4F"/>
          <w:spacing w:val="-17"/>
          <w:w w:val="105"/>
        </w:rPr>
        <w:t xml:space="preserve"> </w:t>
      </w:r>
      <w:r>
        <w:rPr>
          <w:color w:val="4D4D4F"/>
          <w:w w:val="105"/>
        </w:rPr>
        <w:t>measures</w:t>
      </w:r>
      <w:r>
        <w:rPr>
          <w:color w:val="4D4D4F"/>
          <w:spacing w:val="-17"/>
          <w:w w:val="105"/>
        </w:rPr>
        <w:t xml:space="preserve"> </w:t>
      </w:r>
      <w:r>
        <w:rPr>
          <w:color w:val="4D4D4F"/>
          <w:w w:val="105"/>
        </w:rPr>
        <w:t>the</w:t>
      </w:r>
      <w:r>
        <w:rPr>
          <w:color w:val="4D4D4F"/>
          <w:spacing w:val="-18"/>
          <w:w w:val="105"/>
        </w:rPr>
        <w:t xml:space="preserve"> </w:t>
      </w:r>
      <w:r>
        <w:rPr>
          <w:color w:val="4D4D4F"/>
          <w:w w:val="105"/>
        </w:rPr>
        <w:t>richness</w:t>
      </w:r>
      <w:r>
        <w:rPr>
          <w:color w:val="4D4D4F"/>
          <w:spacing w:val="-17"/>
          <w:w w:val="105"/>
        </w:rPr>
        <w:t xml:space="preserve"> </w:t>
      </w:r>
      <w:r>
        <w:rPr>
          <w:color w:val="4D4D4F"/>
          <w:w w:val="105"/>
        </w:rPr>
        <w:t>of</w:t>
      </w:r>
      <w:r>
        <w:rPr>
          <w:color w:val="4D4D4F"/>
          <w:spacing w:val="-17"/>
          <w:w w:val="105"/>
        </w:rPr>
        <w:t xml:space="preserve"> </w:t>
      </w:r>
      <w:r>
        <w:rPr>
          <w:color w:val="4D4D4F"/>
          <w:w w:val="105"/>
        </w:rPr>
        <w:t>the</w:t>
      </w:r>
      <w:r>
        <w:rPr>
          <w:color w:val="4D4D4F"/>
          <w:spacing w:val="-17"/>
          <w:w w:val="105"/>
        </w:rPr>
        <w:t xml:space="preserve"> </w:t>
      </w:r>
      <w:r>
        <w:rPr>
          <w:color w:val="4D4D4F"/>
          <w:w w:val="105"/>
        </w:rPr>
        <w:t>native</w:t>
      </w:r>
      <w:r>
        <w:rPr>
          <w:color w:val="4D4D4F"/>
          <w:spacing w:val="-17"/>
          <w:w w:val="105"/>
        </w:rPr>
        <w:t xml:space="preserve"> </w:t>
      </w:r>
      <w:r>
        <w:rPr>
          <w:color w:val="4D4D4F"/>
          <w:w w:val="105"/>
        </w:rPr>
        <w:t>perennial</w:t>
      </w:r>
      <w:r>
        <w:rPr>
          <w:color w:val="4D4D4F"/>
          <w:spacing w:val="-18"/>
          <w:w w:val="105"/>
        </w:rPr>
        <w:t xml:space="preserve"> </w:t>
      </w:r>
      <w:r>
        <w:rPr>
          <w:color w:val="4D4D4F"/>
          <w:w w:val="105"/>
        </w:rPr>
        <w:t>forb</w:t>
      </w:r>
      <w:r>
        <w:rPr>
          <w:color w:val="4D4D4F"/>
          <w:spacing w:val="-17"/>
          <w:w w:val="105"/>
        </w:rPr>
        <w:t xml:space="preserve"> </w:t>
      </w:r>
      <w:r>
        <w:rPr>
          <w:color w:val="4D4D4F"/>
          <w:w w:val="105"/>
        </w:rPr>
        <w:t>component</w:t>
      </w:r>
      <w:r>
        <w:rPr>
          <w:color w:val="4D4D4F"/>
          <w:spacing w:val="-17"/>
          <w:w w:val="105"/>
        </w:rPr>
        <w:t xml:space="preserve"> </w:t>
      </w:r>
      <w:r>
        <w:rPr>
          <w:color w:val="4D4D4F"/>
          <w:w w:val="105"/>
        </w:rPr>
        <w:t xml:space="preserve">at </w:t>
      </w:r>
      <w:r>
        <w:rPr>
          <w:color w:val="4D4D4F"/>
          <w:spacing w:val="-3"/>
          <w:w w:val="105"/>
        </w:rPr>
        <w:t>the</w:t>
      </w:r>
      <w:r>
        <w:rPr>
          <w:color w:val="4D4D4F"/>
          <w:spacing w:val="-15"/>
          <w:w w:val="105"/>
        </w:rPr>
        <w:t xml:space="preserve"> </w:t>
      </w:r>
      <w:r>
        <w:rPr>
          <w:color w:val="4D4D4F"/>
          <w:spacing w:val="-5"/>
          <w:w w:val="105"/>
        </w:rPr>
        <w:t>individual</w:t>
      </w:r>
      <w:r>
        <w:rPr>
          <w:color w:val="4D4D4F"/>
          <w:spacing w:val="-14"/>
          <w:w w:val="105"/>
        </w:rPr>
        <w:t xml:space="preserve"> </w:t>
      </w:r>
      <w:r>
        <w:rPr>
          <w:color w:val="4D4D4F"/>
          <w:spacing w:val="-4"/>
          <w:w w:val="105"/>
        </w:rPr>
        <w:t>wetland</w:t>
      </w:r>
      <w:r>
        <w:rPr>
          <w:color w:val="4D4D4F"/>
          <w:spacing w:val="-15"/>
          <w:w w:val="105"/>
        </w:rPr>
        <w:t xml:space="preserve"> </w:t>
      </w:r>
      <w:r>
        <w:rPr>
          <w:color w:val="4D4D4F"/>
          <w:spacing w:val="-4"/>
          <w:w w:val="105"/>
        </w:rPr>
        <w:t>scale.</w:t>
      </w:r>
      <w:r>
        <w:rPr>
          <w:color w:val="4D4D4F"/>
          <w:spacing w:val="-14"/>
          <w:w w:val="105"/>
        </w:rPr>
        <w:t xml:space="preserve"> </w:t>
      </w:r>
      <w:r>
        <w:rPr>
          <w:color w:val="4D4D4F"/>
          <w:spacing w:val="-4"/>
          <w:w w:val="105"/>
        </w:rPr>
        <w:t>This</w:t>
      </w:r>
      <w:r>
        <w:rPr>
          <w:color w:val="4D4D4F"/>
          <w:spacing w:val="-15"/>
          <w:w w:val="105"/>
        </w:rPr>
        <w:t xml:space="preserve"> </w:t>
      </w:r>
      <w:r>
        <w:rPr>
          <w:color w:val="4D4D4F"/>
          <w:w w:val="105"/>
        </w:rPr>
        <w:t>KPI</w:t>
      </w:r>
      <w:r>
        <w:rPr>
          <w:color w:val="4D4D4F"/>
          <w:spacing w:val="-14"/>
          <w:w w:val="105"/>
        </w:rPr>
        <w:t xml:space="preserve"> </w:t>
      </w:r>
      <w:r>
        <w:rPr>
          <w:color w:val="4D4D4F"/>
          <w:spacing w:val="-4"/>
          <w:w w:val="105"/>
        </w:rPr>
        <w:t>measures</w:t>
      </w:r>
      <w:r>
        <w:rPr>
          <w:color w:val="4D4D4F"/>
          <w:spacing w:val="-14"/>
          <w:w w:val="105"/>
        </w:rPr>
        <w:t xml:space="preserve"> </w:t>
      </w:r>
      <w:r>
        <w:rPr>
          <w:color w:val="4D4D4F"/>
          <w:spacing w:val="-3"/>
          <w:w w:val="105"/>
        </w:rPr>
        <w:t>forb</w:t>
      </w:r>
      <w:r>
        <w:rPr>
          <w:color w:val="4D4D4F"/>
          <w:spacing w:val="-15"/>
          <w:w w:val="105"/>
        </w:rPr>
        <w:t xml:space="preserve"> </w:t>
      </w:r>
      <w:r>
        <w:rPr>
          <w:color w:val="4D4D4F"/>
          <w:spacing w:val="-4"/>
          <w:w w:val="105"/>
        </w:rPr>
        <w:t>richness</w:t>
      </w:r>
      <w:r>
        <w:rPr>
          <w:color w:val="4D4D4F"/>
          <w:spacing w:val="-14"/>
          <w:w w:val="105"/>
        </w:rPr>
        <w:t xml:space="preserve"> </w:t>
      </w:r>
      <w:r>
        <w:rPr>
          <w:color w:val="4D4D4F"/>
          <w:spacing w:val="-4"/>
          <w:w w:val="105"/>
        </w:rPr>
        <w:t>in</w:t>
      </w:r>
      <w:r>
        <w:rPr>
          <w:color w:val="4D4D4F"/>
          <w:spacing w:val="-15"/>
          <w:w w:val="105"/>
        </w:rPr>
        <w:t xml:space="preserve"> </w:t>
      </w:r>
      <w:r>
        <w:rPr>
          <w:color w:val="4D4D4F"/>
          <w:w w:val="105"/>
        </w:rPr>
        <w:t>every</w:t>
      </w:r>
      <w:r>
        <w:rPr>
          <w:color w:val="4D4D4F"/>
          <w:spacing w:val="-14"/>
          <w:w w:val="105"/>
        </w:rPr>
        <w:t xml:space="preserve"> </w:t>
      </w:r>
      <w:r>
        <w:rPr>
          <w:color w:val="4D4D4F"/>
          <w:spacing w:val="-8"/>
          <w:w w:val="105"/>
        </w:rPr>
        <w:t>year,</w:t>
      </w:r>
      <w:r>
        <w:rPr>
          <w:color w:val="4D4D4F"/>
          <w:spacing w:val="-14"/>
          <w:w w:val="105"/>
        </w:rPr>
        <w:t xml:space="preserve"> </w:t>
      </w:r>
      <w:r>
        <w:rPr>
          <w:color w:val="4D4D4F"/>
          <w:spacing w:val="-4"/>
          <w:w w:val="105"/>
        </w:rPr>
        <w:t>regardless</w:t>
      </w:r>
      <w:r>
        <w:rPr>
          <w:color w:val="4D4D4F"/>
          <w:spacing w:val="-15"/>
          <w:w w:val="105"/>
        </w:rPr>
        <w:t xml:space="preserve"> </w:t>
      </w:r>
      <w:r>
        <w:rPr>
          <w:color w:val="4D4D4F"/>
          <w:spacing w:val="-3"/>
          <w:w w:val="105"/>
        </w:rPr>
        <w:t xml:space="preserve">of </w:t>
      </w:r>
      <w:r>
        <w:rPr>
          <w:color w:val="4D4D4F"/>
          <w:spacing w:val="-4"/>
          <w:w w:val="105"/>
        </w:rPr>
        <w:t>hydrological</w:t>
      </w:r>
      <w:r>
        <w:rPr>
          <w:color w:val="4D4D4F"/>
          <w:spacing w:val="-19"/>
          <w:w w:val="105"/>
        </w:rPr>
        <w:t xml:space="preserve"> </w:t>
      </w:r>
      <w:r>
        <w:rPr>
          <w:color w:val="4D4D4F"/>
          <w:spacing w:val="-4"/>
          <w:w w:val="105"/>
        </w:rPr>
        <w:t>phase.</w:t>
      </w:r>
      <w:r>
        <w:rPr>
          <w:color w:val="4D4D4F"/>
          <w:spacing w:val="-19"/>
          <w:w w:val="105"/>
        </w:rPr>
        <w:t xml:space="preserve"> </w:t>
      </w:r>
      <w:r>
        <w:rPr>
          <w:color w:val="4D4D4F"/>
          <w:spacing w:val="-4"/>
          <w:w w:val="105"/>
        </w:rPr>
        <w:t>Given</w:t>
      </w:r>
      <w:r>
        <w:rPr>
          <w:color w:val="4D4D4F"/>
          <w:spacing w:val="-19"/>
          <w:w w:val="105"/>
        </w:rPr>
        <w:t xml:space="preserve"> </w:t>
      </w:r>
      <w:r>
        <w:rPr>
          <w:color w:val="4D4D4F"/>
          <w:spacing w:val="-5"/>
          <w:w w:val="105"/>
        </w:rPr>
        <w:t>this</w:t>
      </w:r>
      <w:r>
        <w:rPr>
          <w:color w:val="4D4D4F"/>
          <w:spacing w:val="-19"/>
          <w:w w:val="105"/>
        </w:rPr>
        <w:t xml:space="preserve"> </w:t>
      </w:r>
      <w:r>
        <w:rPr>
          <w:color w:val="4D4D4F"/>
          <w:spacing w:val="-5"/>
          <w:w w:val="105"/>
        </w:rPr>
        <w:t>will</w:t>
      </w:r>
      <w:r>
        <w:rPr>
          <w:color w:val="4D4D4F"/>
          <w:spacing w:val="-19"/>
          <w:w w:val="105"/>
        </w:rPr>
        <w:t xml:space="preserve"> </w:t>
      </w:r>
      <w:r>
        <w:rPr>
          <w:color w:val="4D4D4F"/>
          <w:spacing w:val="-5"/>
          <w:w w:val="105"/>
        </w:rPr>
        <w:t>include</w:t>
      </w:r>
      <w:r>
        <w:rPr>
          <w:color w:val="4D4D4F"/>
          <w:spacing w:val="-19"/>
          <w:w w:val="105"/>
        </w:rPr>
        <w:t xml:space="preserve"> </w:t>
      </w:r>
      <w:r>
        <w:rPr>
          <w:color w:val="4D4D4F"/>
          <w:spacing w:val="-3"/>
          <w:w w:val="105"/>
        </w:rPr>
        <w:t>wet</w:t>
      </w:r>
      <w:r>
        <w:rPr>
          <w:color w:val="4D4D4F"/>
          <w:spacing w:val="-19"/>
          <w:w w:val="105"/>
        </w:rPr>
        <w:t xml:space="preserve"> </w:t>
      </w:r>
      <w:r>
        <w:rPr>
          <w:color w:val="4D4D4F"/>
          <w:spacing w:val="-3"/>
          <w:w w:val="105"/>
        </w:rPr>
        <w:t>and</w:t>
      </w:r>
      <w:r>
        <w:rPr>
          <w:color w:val="4D4D4F"/>
          <w:spacing w:val="-19"/>
          <w:w w:val="105"/>
        </w:rPr>
        <w:t xml:space="preserve"> </w:t>
      </w:r>
      <w:r>
        <w:rPr>
          <w:color w:val="4D4D4F"/>
          <w:w w:val="105"/>
        </w:rPr>
        <w:t>dry</w:t>
      </w:r>
      <w:r>
        <w:rPr>
          <w:color w:val="4D4D4F"/>
          <w:spacing w:val="-19"/>
          <w:w w:val="105"/>
        </w:rPr>
        <w:t xml:space="preserve"> </w:t>
      </w:r>
      <w:r>
        <w:rPr>
          <w:color w:val="4D4D4F"/>
          <w:spacing w:val="-3"/>
          <w:w w:val="105"/>
        </w:rPr>
        <w:t>years,</w:t>
      </w:r>
      <w:r>
        <w:rPr>
          <w:color w:val="4D4D4F"/>
          <w:spacing w:val="-19"/>
          <w:w w:val="105"/>
        </w:rPr>
        <w:t xml:space="preserve"> </w:t>
      </w:r>
      <w:r>
        <w:rPr>
          <w:color w:val="4D4D4F"/>
          <w:spacing w:val="-5"/>
          <w:w w:val="105"/>
        </w:rPr>
        <w:t>this</w:t>
      </w:r>
      <w:r>
        <w:rPr>
          <w:color w:val="4D4D4F"/>
          <w:spacing w:val="-19"/>
          <w:w w:val="105"/>
        </w:rPr>
        <w:t xml:space="preserve"> </w:t>
      </w:r>
      <w:r>
        <w:rPr>
          <w:color w:val="4D4D4F"/>
          <w:spacing w:val="-4"/>
          <w:w w:val="105"/>
        </w:rPr>
        <w:t>measure</w:t>
      </w:r>
      <w:r>
        <w:rPr>
          <w:color w:val="4D4D4F"/>
          <w:spacing w:val="-19"/>
          <w:w w:val="105"/>
        </w:rPr>
        <w:t xml:space="preserve"> </w:t>
      </w:r>
      <w:r>
        <w:rPr>
          <w:color w:val="4D4D4F"/>
          <w:spacing w:val="-4"/>
          <w:w w:val="105"/>
        </w:rPr>
        <w:t>is</w:t>
      </w:r>
      <w:r>
        <w:rPr>
          <w:color w:val="4D4D4F"/>
          <w:spacing w:val="-19"/>
          <w:w w:val="105"/>
        </w:rPr>
        <w:t xml:space="preserve"> </w:t>
      </w:r>
      <w:r>
        <w:rPr>
          <w:color w:val="4D4D4F"/>
          <w:spacing w:val="-3"/>
          <w:w w:val="105"/>
        </w:rPr>
        <w:t>expected</w:t>
      </w:r>
      <w:r>
        <w:rPr>
          <w:color w:val="4D4D4F"/>
          <w:spacing w:val="-19"/>
          <w:w w:val="105"/>
        </w:rPr>
        <w:t xml:space="preserve"> </w:t>
      </w:r>
      <w:r>
        <w:rPr>
          <w:color w:val="4D4D4F"/>
          <w:spacing w:val="-3"/>
          <w:w w:val="105"/>
        </w:rPr>
        <w:t>to fluctuate</w:t>
      </w:r>
      <w:r>
        <w:rPr>
          <w:color w:val="4D4D4F"/>
          <w:spacing w:val="-19"/>
          <w:w w:val="105"/>
        </w:rPr>
        <w:t xml:space="preserve"> </w:t>
      </w:r>
      <w:r>
        <w:rPr>
          <w:color w:val="4D4D4F"/>
          <w:spacing w:val="-3"/>
          <w:w w:val="105"/>
        </w:rPr>
        <w:t>over</w:t>
      </w:r>
      <w:r>
        <w:rPr>
          <w:color w:val="4D4D4F"/>
          <w:spacing w:val="-19"/>
          <w:w w:val="105"/>
        </w:rPr>
        <w:t xml:space="preserve"> </w:t>
      </w:r>
      <w:r>
        <w:rPr>
          <w:color w:val="4D4D4F"/>
          <w:spacing w:val="-4"/>
          <w:w w:val="105"/>
        </w:rPr>
        <w:t>time.</w:t>
      </w:r>
      <w:r>
        <w:rPr>
          <w:color w:val="4D4D4F"/>
          <w:spacing w:val="-18"/>
          <w:w w:val="105"/>
        </w:rPr>
        <w:t xml:space="preserve"> </w:t>
      </w:r>
      <w:r>
        <w:rPr>
          <w:color w:val="4D4D4F"/>
          <w:spacing w:val="-3"/>
          <w:w w:val="105"/>
        </w:rPr>
        <w:t>This</w:t>
      </w:r>
      <w:r>
        <w:rPr>
          <w:color w:val="4D4D4F"/>
          <w:spacing w:val="-19"/>
          <w:w w:val="105"/>
        </w:rPr>
        <w:t xml:space="preserve"> </w:t>
      </w:r>
      <w:r>
        <w:rPr>
          <w:color w:val="4D4D4F"/>
          <w:w w:val="105"/>
        </w:rPr>
        <w:t>KPI</w:t>
      </w:r>
      <w:r>
        <w:rPr>
          <w:color w:val="4D4D4F"/>
          <w:spacing w:val="-19"/>
          <w:w w:val="105"/>
        </w:rPr>
        <w:t xml:space="preserve"> </w:t>
      </w:r>
      <w:r>
        <w:rPr>
          <w:color w:val="4D4D4F"/>
          <w:spacing w:val="-2"/>
          <w:w w:val="105"/>
        </w:rPr>
        <w:t>was</w:t>
      </w:r>
      <w:r>
        <w:rPr>
          <w:color w:val="4D4D4F"/>
          <w:spacing w:val="-18"/>
          <w:w w:val="105"/>
        </w:rPr>
        <w:t xml:space="preserve"> </w:t>
      </w:r>
      <w:r>
        <w:rPr>
          <w:color w:val="4D4D4F"/>
          <w:spacing w:val="-3"/>
          <w:w w:val="105"/>
        </w:rPr>
        <w:t>met</w:t>
      </w:r>
      <w:r>
        <w:rPr>
          <w:color w:val="4D4D4F"/>
          <w:spacing w:val="-19"/>
          <w:w w:val="105"/>
        </w:rPr>
        <w:t xml:space="preserve"> </w:t>
      </w:r>
      <w:r>
        <w:rPr>
          <w:color w:val="4D4D4F"/>
          <w:spacing w:val="-3"/>
          <w:w w:val="105"/>
        </w:rPr>
        <w:t>for</w:t>
      </w:r>
      <w:r>
        <w:rPr>
          <w:color w:val="4D4D4F"/>
          <w:spacing w:val="-19"/>
          <w:w w:val="105"/>
        </w:rPr>
        <w:t xml:space="preserve"> </w:t>
      </w:r>
      <w:r>
        <w:rPr>
          <w:color w:val="4D4D4F"/>
          <w:spacing w:val="-4"/>
          <w:w w:val="105"/>
        </w:rPr>
        <w:t>all</w:t>
      </w:r>
      <w:r>
        <w:rPr>
          <w:color w:val="4D4D4F"/>
          <w:spacing w:val="-18"/>
          <w:w w:val="105"/>
        </w:rPr>
        <w:t xml:space="preserve"> </w:t>
      </w:r>
      <w:r>
        <w:rPr>
          <w:color w:val="4D4D4F"/>
          <w:spacing w:val="-4"/>
          <w:w w:val="105"/>
        </w:rPr>
        <w:t>wetlands</w:t>
      </w:r>
      <w:r>
        <w:rPr>
          <w:color w:val="4D4D4F"/>
          <w:spacing w:val="-19"/>
          <w:w w:val="105"/>
        </w:rPr>
        <w:t xml:space="preserve"> </w:t>
      </w:r>
      <w:r>
        <w:rPr>
          <w:color w:val="4D4D4F"/>
          <w:spacing w:val="-3"/>
          <w:w w:val="105"/>
        </w:rPr>
        <w:t>in</w:t>
      </w:r>
      <w:r>
        <w:rPr>
          <w:color w:val="4D4D4F"/>
          <w:spacing w:val="-19"/>
          <w:w w:val="105"/>
        </w:rPr>
        <w:t xml:space="preserve"> </w:t>
      </w:r>
      <w:r>
        <w:rPr>
          <w:color w:val="4D4D4F"/>
          <w:spacing w:val="-3"/>
          <w:w w:val="105"/>
        </w:rPr>
        <w:t>2020–2022,</w:t>
      </w:r>
      <w:r>
        <w:rPr>
          <w:color w:val="4D4D4F"/>
          <w:spacing w:val="-18"/>
          <w:w w:val="105"/>
        </w:rPr>
        <w:t xml:space="preserve"> </w:t>
      </w:r>
      <w:r>
        <w:rPr>
          <w:color w:val="4D4D4F"/>
          <w:spacing w:val="-3"/>
          <w:w w:val="105"/>
        </w:rPr>
        <w:t>with</w:t>
      </w:r>
      <w:r>
        <w:rPr>
          <w:color w:val="4D4D4F"/>
          <w:spacing w:val="-19"/>
          <w:w w:val="105"/>
        </w:rPr>
        <w:t xml:space="preserve"> </w:t>
      </w:r>
      <w:r>
        <w:rPr>
          <w:color w:val="4D4D4F"/>
          <w:spacing w:val="-4"/>
          <w:w w:val="105"/>
        </w:rPr>
        <w:t>levels</w:t>
      </w:r>
      <w:r>
        <w:rPr>
          <w:color w:val="4D4D4F"/>
          <w:spacing w:val="-19"/>
          <w:w w:val="105"/>
        </w:rPr>
        <w:t xml:space="preserve"> </w:t>
      </w:r>
      <w:r>
        <w:rPr>
          <w:color w:val="4D4D4F"/>
          <w:w w:val="105"/>
        </w:rPr>
        <w:t>of</w:t>
      </w:r>
      <w:r>
        <w:rPr>
          <w:color w:val="4D4D4F"/>
          <w:spacing w:val="-18"/>
          <w:w w:val="105"/>
        </w:rPr>
        <w:t xml:space="preserve"> </w:t>
      </w:r>
      <w:r>
        <w:rPr>
          <w:color w:val="4D4D4F"/>
          <w:spacing w:val="-4"/>
          <w:w w:val="105"/>
        </w:rPr>
        <w:t xml:space="preserve">native </w:t>
      </w:r>
      <w:r>
        <w:rPr>
          <w:color w:val="4D4D4F"/>
          <w:spacing w:val="-5"/>
          <w:w w:val="105"/>
        </w:rPr>
        <w:t>perennial</w:t>
      </w:r>
      <w:r>
        <w:rPr>
          <w:color w:val="4D4D4F"/>
          <w:spacing w:val="-21"/>
          <w:w w:val="105"/>
        </w:rPr>
        <w:t xml:space="preserve"> </w:t>
      </w:r>
      <w:r>
        <w:rPr>
          <w:color w:val="4D4D4F"/>
          <w:spacing w:val="-4"/>
          <w:w w:val="105"/>
        </w:rPr>
        <w:t>species</w:t>
      </w:r>
      <w:r>
        <w:rPr>
          <w:color w:val="4D4D4F"/>
          <w:spacing w:val="-20"/>
          <w:w w:val="105"/>
        </w:rPr>
        <w:t xml:space="preserve"> </w:t>
      </w:r>
      <w:r>
        <w:rPr>
          <w:color w:val="4D4D4F"/>
          <w:spacing w:val="-5"/>
          <w:w w:val="105"/>
        </w:rPr>
        <w:t>remaining</w:t>
      </w:r>
      <w:r>
        <w:rPr>
          <w:color w:val="4D4D4F"/>
          <w:spacing w:val="-20"/>
          <w:w w:val="105"/>
        </w:rPr>
        <w:t xml:space="preserve"> </w:t>
      </w:r>
      <w:r>
        <w:rPr>
          <w:color w:val="4D4D4F"/>
          <w:spacing w:val="-5"/>
          <w:w w:val="105"/>
        </w:rPr>
        <w:t>stable.</w:t>
      </w:r>
      <w:r>
        <w:rPr>
          <w:color w:val="4D4D4F"/>
          <w:spacing w:val="-20"/>
          <w:w w:val="105"/>
        </w:rPr>
        <w:t xml:space="preserve"> </w:t>
      </w:r>
      <w:r>
        <w:rPr>
          <w:color w:val="4D4D4F"/>
          <w:spacing w:val="-4"/>
          <w:w w:val="105"/>
        </w:rPr>
        <w:t>Data</w:t>
      </w:r>
      <w:r>
        <w:rPr>
          <w:color w:val="4D4D4F"/>
          <w:spacing w:val="-20"/>
          <w:w w:val="105"/>
        </w:rPr>
        <w:t xml:space="preserve"> </w:t>
      </w:r>
      <w:r>
        <w:rPr>
          <w:color w:val="4D4D4F"/>
          <w:spacing w:val="-4"/>
          <w:w w:val="105"/>
        </w:rPr>
        <w:t>confidence</w:t>
      </w:r>
      <w:r>
        <w:rPr>
          <w:color w:val="4D4D4F"/>
          <w:spacing w:val="-20"/>
          <w:w w:val="105"/>
        </w:rPr>
        <w:t xml:space="preserve"> </w:t>
      </w:r>
      <w:r>
        <w:rPr>
          <w:color w:val="4D4D4F"/>
          <w:spacing w:val="-4"/>
          <w:w w:val="105"/>
        </w:rPr>
        <w:t>is</w:t>
      </w:r>
      <w:r>
        <w:rPr>
          <w:color w:val="4D4D4F"/>
          <w:spacing w:val="-20"/>
          <w:w w:val="105"/>
        </w:rPr>
        <w:t xml:space="preserve"> </w:t>
      </w:r>
      <w:r>
        <w:rPr>
          <w:color w:val="4D4D4F"/>
          <w:spacing w:val="-5"/>
          <w:w w:val="105"/>
        </w:rPr>
        <w:t>high</w:t>
      </w:r>
      <w:r>
        <w:rPr>
          <w:color w:val="4D4D4F"/>
          <w:spacing w:val="-21"/>
          <w:w w:val="105"/>
        </w:rPr>
        <w:t xml:space="preserve"> </w:t>
      </w:r>
      <w:r>
        <w:rPr>
          <w:color w:val="4D4D4F"/>
          <w:spacing w:val="-3"/>
          <w:w w:val="105"/>
        </w:rPr>
        <w:t>where</w:t>
      </w:r>
      <w:r>
        <w:rPr>
          <w:color w:val="4D4D4F"/>
          <w:spacing w:val="-20"/>
          <w:w w:val="105"/>
        </w:rPr>
        <w:t xml:space="preserve"> </w:t>
      </w:r>
      <w:r>
        <w:rPr>
          <w:color w:val="4D4D4F"/>
          <w:spacing w:val="-3"/>
          <w:w w:val="105"/>
        </w:rPr>
        <w:t>it</w:t>
      </w:r>
      <w:r>
        <w:rPr>
          <w:color w:val="4D4D4F"/>
          <w:spacing w:val="-20"/>
          <w:w w:val="105"/>
        </w:rPr>
        <w:t xml:space="preserve"> </w:t>
      </w:r>
      <w:r>
        <w:rPr>
          <w:color w:val="4D4D4F"/>
          <w:spacing w:val="-4"/>
          <w:w w:val="105"/>
        </w:rPr>
        <w:t>is</w:t>
      </w:r>
      <w:r>
        <w:rPr>
          <w:color w:val="4D4D4F"/>
          <w:spacing w:val="-20"/>
          <w:w w:val="105"/>
        </w:rPr>
        <w:t xml:space="preserve"> </w:t>
      </w:r>
      <w:r>
        <w:rPr>
          <w:color w:val="4D4D4F"/>
          <w:spacing w:val="-4"/>
          <w:w w:val="105"/>
        </w:rPr>
        <w:t>able</w:t>
      </w:r>
      <w:r>
        <w:rPr>
          <w:color w:val="4D4D4F"/>
          <w:spacing w:val="-20"/>
          <w:w w:val="105"/>
        </w:rPr>
        <w:t xml:space="preserve"> </w:t>
      </w:r>
      <w:r>
        <w:rPr>
          <w:color w:val="4D4D4F"/>
          <w:spacing w:val="-3"/>
          <w:w w:val="105"/>
        </w:rPr>
        <w:t>to</w:t>
      </w:r>
      <w:r>
        <w:rPr>
          <w:color w:val="4D4D4F"/>
          <w:spacing w:val="-20"/>
          <w:w w:val="105"/>
        </w:rPr>
        <w:t xml:space="preserve"> </w:t>
      </w:r>
      <w:r>
        <w:rPr>
          <w:color w:val="4D4D4F"/>
          <w:w w:val="105"/>
        </w:rPr>
        <w:t>be</w:t>
      </w:r>
      <w:r>
        <w:rPr>
          <w:color w:val="4D4D4F"/>
          <w:spacing w:val="-20"/>
          <w:w w:val="105"/>
        </w:rPr>
        <w:t xml:space="preserve"> </w:t>
      </w:r>
      <w:r>
        <w:rPr>
          <w:color w:val="4D4D4F"/>
          <w:spacing w:val="-4"/>
          <w:w w:val="105"/>
        </w:rPr>
        <w:t>assessed.</w:t>
      </w:r>
    </w:p>
    <w:p w14:paraId="6068A4D4" w14:textId="77777777" w:rsidR="00EF5B27" w:rsidRDefault="00EF5B27">
      <w:pPr>
        <w:pStyle w:val="BodyText"/>
      </w:pPr>
    </w:p>
    <w:p w14:paraId="29883375" w14:textId="77777777" w:rsidR="00EF5B27" w:rsidRDefault="00EF5B27">
      <w:pPr>
        <w:pStyle w:val="BodyText"/>
        <w:spacing w:before="12"/>
        <w:rPr>
          <w:sz w:val="11"/>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0958956B" w14:textId="77777777">
        <w:trPr>
          <w:trHeight w:val="559"/>
        </w:trPr>
        <w:tc>
          <w:tcPr>
            <w:tcW w:w="2980" w:type="dxa"/>
            <w:shd w:val="clear" w:color="auto" w:fill="FECC91"/>
          </w:tcPr>
          <w:p w14:paraId="692ACC32" w14:textId="77777777" w:rsidR="00EF5B27" w:rsidRDefault="00000000">
            <w:pPr>
              <w:pStyle w:val="TableParagraph"/>
              <w:spacing w:before="89" w:line="244" w:lineRule="auto"/>
              <w:ind w:left="80" w:right="764"/>
              <w:rPr>
                <w:b/>
                <w:sz w:val="16"/>
              </w:rPr>
            </w:pPr>
            <w:r>
              <w:rPr>
                <w:b/>
                <w:sz w:val="16"/>
              </w:rPr>
              <w:t>KPI 2: Richness of all native forbs during drawdown</w:t>
            </w:r>
          </w:p>
        </w:tc>
        <w:tc>
          <w:tcPr>
            <w:tcW w:w="1078" w:type="dxa"/>
            <w:shd w:val="clear" w:color="auto" w:fill="FECC91"/>
          </w:tcPr>
          <w:p w14:paraId="29E878F3" w14:textId="77777777" w:rsidR="00EF5B27" w:rsidRDefault="00000000">
            <w:pPr>
              <w:pStyle w:val="TableParagraph"/>
              <w:spacing w:before="89" w:line="244" w:lineRule="auto"/>
              <w:ind w:left="169" w:right="164" w:firstLine="148"/>
              <w:rPr>
                <w:b/>
                <w:sz w:val="16"/>
              </w:rPr>
            </w:pPr>
            <w:r>
              <w:rPr>
                <w:b/>
                <w:w w:val="105"/>
                <w:sz w:val="16"/>
              </w:rPr>
              <w:t>Status 2020-2022</w:t>
            </w:r>
          </w:p>
        </w:tc>
        <w:tc>
          <w:tcPr>
            <w:tcW w:w="2155" w:type="dxa"/>
            <w:shd w:val="clear" w:color="auto" w:fill="FECC91"/>
          </w:tcPr>
          <w:p w14:paraId="5674D380" w14:textId="77777777" w:rsidR="00EF5B27" w:rsidRDefault="00EF5B27">
            <w:pPr>
              <w:pStyle w:val="TableParagraph"/>
              <w:spacing w:before="6"/>
              <w:rPr>
                <w:sz w:val="15"/>
              </w:rPr>
            </w:pPr>
          </w:p>
          <w:p w14:paraId="5AE2AB71" w14:textId="77777777" w:rsidR="00EF5B27" w:rsidRDefault="00000000">
            <w:pPr>
              <w:pStyle w:val="TableParagraph"/>
              <w:ind w:left="143" w:right="142"/>
              <w:jc w:val="center"/>
              <w:rPr>
                <w:b/>
                <w:sz w:val="16"/>
              </w:rPr>
            </w:pPr>
            <w:r>
              <w:rPr>
                <w:b/>
                <w:sz w:val="16"/>
              </w:rPr>
              <w:t>Reason for non-assessment</w:t>
            </w:r>
          </w:p>
        </w:tc>
        <w:tc>
          <w:tcPr>
            <w:tcW w:w="964" w:type="dxa"/>
            <w:shd w:val="clear" w:color="auto" w:fill="FECC91"/>
          </w:tcPr>
          <w:p w14:paraId="44D7F501" w14:textId="77777777" w:rsidR="00EF5B27" w:rsidRDefault="00EF5B27">
            <w:pPr>
              <w:pStyle w:val="TableParagraph"/>
              <w:spacing w:before="6"/>
              <w:rPr>
                <w:sz w:val="15"/>
              </w:rPr>
            </w:pPr>
          </w:p>
          <w:p w14:paraId="2BDEF0DF" w14:textId="77777777" w:rsidR="00EF5B27" w:rsidRDefault="00000000">
            <w:pPr>
              <w:pStyle w:val="TableParagraph"/>
              <w:ind w:left="283"/>
              <w:rPr>
                <w:b/>
                <w:sz w:val="16"/>
              </w:rPr>
            </w:pPr>
            <w:r>
              <w:rPr>
                <w:b/>
                <w:sz w:val="16"/>
              </w:rPr>
              <w:t>Trend</w:t>
            </w:r>
          </w:p>
        </w:tc>
        <w:tc>
          <w:tcPr>
            <w:tcW w:w="964" w:type="dxa"/>
            <w:shd w:val="clear" w:color="auto" w:fill="FECC91"/>
          </w:tcPr>
          <w:p w14:paraId="22CB55C2" w14:textId="77777777" w:rsidR="00EF5B27" w:rsidRDefault="00000000">
            <w:pPr>
              <w:pStyle w:val="TableParagraph"/>
              <w:spacing w:before="89" w:line="244" w:lineRule="auto"/>
              <w:ind w:left="105" w:right="87" w:firstLine="217"/>
              <w:rPr>
                <w:b/>
                <w:sz w:val="16"/>
              </w:rPr>
            </w:pPr>
            <w:r>
              <w:rPr>
                <w:b/>
                <w:sz w:val="16"/>
              </w:rPr>
              <w:t>Data Confidence</w:t>
            </w:r>
          </w:p>
        </w:tc>
        <w:tc>
          <w:tcPr>
            <w:tcW w:w="1489" w:type="dxa"/>
            <w:shd w:val="clear" w:color="auto" w:fill="FECC91"/>
          </w:tcPr>
          <w:p w14:paraId="6DA5B689" w14:textId="77777777" w:rsidR="00EF5B27" w:rsidRDefault="00000000">
            <w:pPr>
              <w:pStyle w:val="TableParagraph"/>
              <w:spacing w:before="89" w:line="244" w:lineRule="auto"/>
              <w:ind w:left="220" w:hanging="92"/>
              <w:rPr>
                <w:b/>
                <w:sz w:val="16"/>
              </w:rPr>
            </w:pPr>
            <w:r>
              <w:rPr>
                <w:b/>
                <w:sz w:val="16"/>
              </w:rPr>
              <w:t>Year that baseline was/will be set</w:t>
            </w:r>
          </w:p>
        </w:tc>
      </w:tr>
      <w:tr w:rsidR="00EF5B27" w14:paraId="7E7406E4" w14:textId="77777777">
        <w:trPr>
          <w:trHeight w:val="448"/>
        </w:trPr>
        <w:tc>
          <w:tcPr>
            <w:tcW w:w="2980" w:type="dxa"/>
          </w:tcPr>
          <w:p w14:paraId="2668CFDD" w14:textId="77777777" w:rsidR="00EF5B27" w:rsidRDefault="00EF5B27">
            <w:pPr>
              <w:pStyle w:val="TableParagraph"/>
              <w:spacing w:before="11"/>
              <w:rPr>
                <w:sz w:val="11"/>
              </w:rPr>
            </w:pPr>
          </w:p>
          <w:p w14:paraId="1DFB0849" w14:textId="77777777" w:rsidR="00EF5B27" w:rsidRDefault="00000000">
            <w:pPr>
              <w:pStyle w:val="TableParagraph"/>
              <w:ind w:left="80"/>
              <w:rPr>
                <w:sz w:val="14"/>
              </w:rPr>
            </w:pPr>
            <w:r>
              <w:rPr>
                <w:color w:val="4D4D4F"/>
                <w:w w:val="105"/>
                <w:sz w:val="14"/>
              </w:rPr>
              <w:t>Cobbledicks Rise</w:t>
            </w:r>
          </w:p>
        </w:tc>
        <w:tc>
          <w:tcPr>
            <w:tcW w:w="1078" w:type="dxa"/>
          </w:tcPr>
          <w:p w14:paraId="4279986F" w14:textId="77777777" w:rsidR="00EF5B27" w:rsidRDefault="00EF5B27">
            <w:pPr>
              <w:pStyle w:val="TableParagraph"/>
              <w:spacing w:before="11"/>
              <w:rPr>
                <w:sz w:val="11"/>
              </w:rPr>
            </w:pPr>
          </w:p>
          <w:p w14:paraId="4DD9B1D7" w14:textId="77777777" w:rsidR="00EF5B27" w:rsidRDefault="00000000">
            <w:pPr>
              <w:pStyle w:val="TableParagraph"/>
              <w:ind w:left="142"/>
              <w:rPr>
                <w:sz w:val="14"/>
              </w:rPr>
            </w:pPr>
            <w:r>
              <w:rPr>
                <w:color w:val="4D4D4F"/>
                <w:w w:val="105"/>
                <w:sz w:val="14"/>
              </w:rPr>
              <w:t>Not assessed</w:t>
            </w:r>
          </w:p>
        </w:tc>
        <w:tc>
          <w:tcPr>
            <w:tcW w:w="2155" w:type="dxa"/>
          </w:tcPr>
          <w:p w14:paraId="338864F1" w14:textId="77777777" w:rsidR="00EF5B27" w:rsidRDefault="00EF5B27">
            <w:pPr>
              <w:pStyle w:val="TableParagraph"/>
              <w:spacing w:before="11"/>
              <w:rPr>
                <w:sz w:val="11"/>
              </w:rPr>
            </w:pPr>
          </w:p>
          <w:p w14:paraId="1295313E" w14:textId="77777777" w:rsidR="00EF5B27" w:rsidRDefault="00000000">
            <w:pPr>
              <w:pStyle w:val="TableParagraph"/>
              <w:ind w:left="143" w:right="142"/>
              <w:jc w:val="center"/>
              <w:rPr>
                <w:sz w:val="14"/>
              </w:rPr>
            </w:pPr>
            <w:r>
              <w:rPr>
                <w:color w:val="4D4D4F"/>
                <w:sz w:val="14"/>
              </w:rPr>
              <w:t>Lack of drawdown event</w:t>
            </w:r>
          </w:p>
        </w:tc>
        <w:tc>
          <w:tcPr>
            <w:tcW w:w="964" w:type="dxa"/>
          </w:tcPr>
          <w:p w14:paraId="008EDA24" w14:textId="77777777" w:rsidR="00EF5B27" w:rsidRDefault="00EF5B27">
            <w:pPr>
              <w:pStyle w:val="TableParagraph"/>
              <w:spacing w:before="4"/>
              <w:rPr>
                <w:sz w:val="7"/>
              </w:rPr>
            </w:pPr>
          </w:p>
          <w:p w14:paraId="0353368D" w14:textId="77777777" w:rsidR="00EF5B27" w:rsidRDefault="00000000">
            <w:pPr>
              <w:pStyle w:val="TableParagraph"/>
              <w:spacing w:line="187" w:lineRule="exact"/>
              <w:ind w:left="400"/>
              <w:rPr>
                <w:sz w:val="18"/>
              </w:rPr>
            </w:pPr>
            <w:r>
              <w:rPr>
                <w:noProof/>
                <w:position w:val="-3"/>
                <w:sz w:val="18"/>
              </w:rPr>
              <w:drawing>
                <wp:inline distT="0" distB="0" distL="0" distR="0" wp14:anchorId="21732FC1" wp14:editId="5AFBB0DD">
                  <wp:extent cx="100572" cy="119062"/>
                  <wp:effectExtent l="0" t="0" r="0" b="0"/>
                  <wp:docPr id="217"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88.png"/>
                          <pic:cNvPicPr/>
                        </pic:nvPicPr>
                        <pic:blipFill>
                          <a:blip r:embed="rId84" cstate="print"/>
                          <a:stretch>
                            <a:fillRect/>
                          </a:stretch>
                        </pic:blipFill>
                        <pic:spPr>
                          <a:xfrm>
                            <a:off x="0" y="0"/>
                            <a:ext cx="100572" cy="119062"/>
                          </a:xfrm>
                          <a:prstGeom prst="rect">
                            <a:avLst/>
                          </a:prstGeom>
                        </pic:spPr>
                      </pic:pic>
                    </a:graphicData>
                  </a:graphic>
                </wp:inline>
              </w:drawing>
            </w:r>
          </w:p>
          <w:p w14:paraId="2A607DCA" w14:textId="77777777" w:rsidR="00EF5B27" w:rsidRDefault="00EF5B27">
            <w:pPr>
              <w:pStyle w:val="TableParagraph"/>
              <w:spacing w:before="8"/>
              <w:rPr>
                <w:sz w:val="2"/>
              </w:rPr>
            </w:pPr>
          </w:p>
          <w:p w14:paraId="52C6870F" w14:textId="77777777" w:rsidR="00EF5B27" w:rsidRDefault="00000000">
            <w:pPr>
              <w:pStyle w:val="TableParagraph"/>
              <w:spacing w:line="48" w:lineRule="exact"/>
              <w:ind w:left="448"/>
              <w:rPr>
                <w:sz w:val="4"/>
              </w:rPr>
            </w:pPr>
            <w:r>
              <w:rPr>
                <w:sz w:val="4"/>
              </w:rPr>
            </w:r>
            <w:r>
              <w:rPr>
                <w:sz w:val="4"/>
              </w:rPr>
              <w:pict w14:anchorId="61A2BCF2">
                <v:group id="_x0000_s3945" style="width:2.45pt;height:2.45pt;mso-position-horizontal-relative:char;mso-position-vertical-relative:line" coordsize="49,49">
                  <v:shape id="_x0000_s3946" style="position:absolute;width:49;height:49" coordsize="49,49" path="m31,l18,,12,2,2,12,,17,,31r2,6l12,46r6,3l31,49r6,-3l46,37r3,-6l49,17,46,12,37,2,31,xe" fillcolor="#808285" stroked="f">
                    <v:path arrowok="t"/>
                  </v:shape>
                  <w10:wrap type="none"/>
                  <w10:anchorlock/>
                </v:group>
              </w:pict>
            </w:r>
          </w:p>
        </w:tc>
        <w:tc>
          <w:tcPr>
            <w:tcW w:w="964" w:type="dxa"/>
          </w:tcPr>
          <w:p w14:paraId="25381F62" w14:textId="77777777" w:rsidR="00EF5B27" w:rsidRDefault="00EF5B27">
            <w:pPr>
              <w:pStyle w:val="TableParagraph"/>
              <w:spacing w:before="11"/>
              <w:rPr>
                <w:sz w:val="11"/>
              </w:rPr>
            </w:pPr>
          </w:p>
          <w:p w14:paraId="7518B4FC" w14:textId="77777777" w:rsidR="00EF5B27" w:rsidRDefault="00000000">
            <w:pPr>
              <w:pStyle w:val="TableParagraph"/>
              <w:ind w:left="318" w:right="323"/>
              <w:jc w:val="center"/>
              <w:rPr>
                <w:sz w:val="14"/>
              </w:rPr>
            </w:pPr>
            <w:r>
              <w:rPr>
                <w:color w:val="4D4D4F"/>
                <w:w w:val="105"/>
                <w:sz w:val="14"/>
              </w:rPr>
              <w:t>N/A</w:t>
            </w:r>
          </w:p>
        </w:tc>
        <w:tc>
          <w:tcPr>
            <w:tcW w:w="1489" w:type="dxa"/>
          </w:tcPr>
          <w:p w14:paraId="4FE42533" w14:textId="77777777" w:rsidR="00EF5B27" w:rsidRDefault="00000000">
            <w:pPr>
              <w:pStyle w:val="TableParagraph"/>
              <w:spacing w:before="134"/>
              <w:ind w:left="451" w:right="457"/>
              <w:jc w:val="center"/>
              <w:rPr>
                <w:sz w:val="16"/>
              </w:rPr>
            </w:pPr>
            <w:r>
              <w:rPr>
                <w:color w:val="4D4D4F"/>
                <w:sz w:val="16"/>
              </w:rPr>
              <w:t>2017</w:t>
            </w:r>
          </w:p>
        </w:tc>
      </w:tr>
      <w:tr w:rsidR="00EF5B27" w14:paraId="5C3DE058" w14:textId="77777777">
        <w:trPr>
          <w:trHeight w:val="448"/>
        </w:trPr>
        <w:tc>
          <w:tcPr>
            <w:tcW w:w="2980" w:type="dxa"/>
          </w:tcPr>
          <w:p w14:paraId="44395236" w14:textId="77777777" w:rsidR="00EF5B27" w:rsidRDefault="00EF5B27">
            <w:pPr>
              <w:pStyle w:val="TableParagraph"/>
              <w:spacing w:before="11"/>
              <w:rPr>
                <w:sz w:val="11"/>
              </w:rPr>
            </w:pPr>
          </w:p>
          <w:p w14:paraId="6613C558" w14:textId="77777777" w:rsidR="00EF5B27" w:rsidRDefault="00000000">
            <w:pPr>
              <w:pStyle w:val="TableParagraph"/>
              <w:ind w:left="80"/>
              <w:rPr>
                <w:sz w:val="14"/>
              </w:rPr>
            </w:pPr>
            <w:r>
              <w:rPr>
                <w:color w:val="4D4D4F"/>
                <w:w w:val="105"/>
                <w:sz w:val="14"/>
              </w:rPr>
              <w:t>One Tree Rise</w:t>
            </w:r>
          </w:p>
        </w:tc>
        <w:tc>
          <w:tcPr>
            <w:tcW w:w="1078" w:type="dxa"/>
          </w:tcPr>
          <w:p w14:paraId="1F86B81B" w14:textId="77777777" w:rsidR="00EF5B27" w:rsidRDefault="00EF5B27">
            <w:pPr>
              <w:pStyle w:val="TableParagraph"/>
              <w:spacing w:before="11"/>
              <w:rPr>
                <w:sz w:val="11"/>
              </w:rPr>
            </w:pPr>
          </w:p>
          <w:p w14:paraId="0E51B64F" w14:textId="77777777" w:rsidR="00EF5B27" w:rsidRDefault="00000000">
            <w:pPr>
              <w:pStyle w:val="TableParagraph"/>
              <w:ind w:left="142"/>
              <w:rPr>
                <w:sz w:val="14"/>
              </w:rPr>
            </w:pPr>
            <w:r>
              <w:rPr>
                <w:color w:val="4D4D4F"/>
                <w:w w:val="105"/>
                <w:sz w:val="14"/>
              </w:rPr>
              <w:t>Not assessed</w:t>
            </w:r>
          </w:p>
        </w:tc>
        <w:tc>
          <w:tcPr>
            <w:tcW w:w="2155" w:type="dxa"/>
          </w:tcPr>
          <w:p w14:paraId="6FCBA7A6" w14:textId="77777777" w:rsidR="00EF5B27" w:rsidRDefault="00EF5B27">
            <w:pPr>
              <w:pStyle w:val="TableParagraph"/>
              <w:spacing w:before="11"/>
              <w:rPr>
                <w:sz w:val="11"/>
              </w:rPr>
            </w:pPr>
          </w:p>
          <w:p w14:paraId="72EB78EC" w14:textId="77777777" w:rsidR="00EF5B27" w:rsidRDefault="00000000">
            <w:pPr>
              <w:pStyle w:val="TableParagraph"/>
              <w:ind w:left="143" w:right="142"/>
              <w:jc w:val="center"/>
              <w:rPr>
                <w:sz w:val="14"/>
              </w:rPr>
            </w:pPr>
            <w:r>
              <w:rPr>
                <w:color w:val="4D4D4F"/>
                <w:sz w:val="14"/>
              </w:rPr>
              <w:t>Lack of drawdown event</w:t>
            </w:r>
          </w:p>
        </w:tc>
        <w:tc>
          <w:tcPr>
            <w:tcW w:w="964" w:type="dxa"/>
          </w:tcPr>
          <w:p w14:paraId="4E8AEC0C" w14:textId="77777777" w:rsidR="00EF5B27" w:rsidRDefault="00EF5B27">
            <w:pPr>
              <w:pStyle w:val="TableParagraph"/>
              <w:spacing w:before="4"/>
              <w:rPr>
                <w:sz w:val="7"/>
              </w:rPr>
            </w:pPr>
          </w:p>
          <w:p w14:paraId="428E5B01" w14:textId="77777777" w:rsidR="00EF5B27" w:rsidRDefault="00000000">
            <w:pPr>
              <w:pStyle w:val="TableParagraph"/>
              <w:spacing w:line="187" w:lineRule="exact"/>
              <w:ind w:left="400"/>
              <w:rPr>
                <w:sz w:val="18"/>
              </w:rPr>
            </w:pPr>
            <w:r>
              <w:rPr>
                <w:noProof/>
                <w:position w:val="-3"/>
                <w:sz w:val="18"/>
              </w:rPr>
              <w:drawing>
                <wp:inline distT="0" distB="0" distL="0" distR="0" wp14:anchorId="3B377BE3" wp14:editId="5A98837D">
                  <wp:extent cx="100572" cy="119062"/>
                  <wp:effectExtent l="0" t="0" r="0" b="0"/>
                  <wp:docPr id="219"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88.png"/>
                          <pic:cNvPicPr/>
                        </pic:nvPicPr>
                        <pic:blipFill>
                          <a:blip r:embed="rId84" cstate="print"/>
                          <a:stretch>
                            <a:fillRect/>
                          </a:stretch>
                        </pic:blipFill>
                        <pic:spPr>
                          <a:xfrm>
                            <a:off x="0" y="0"/>
                            <a:ext cx="100572" cy="119062"/>
                          </a:xfrm>
                          <a:prstGeom prst="rect">
                            <a:avLst/>
                          </a:prstGeom>
                        </pic:spPr>
                      </pic:pic>
                    </a:graphicData>
                  </a:graphic>
                </wp:inline>
              </w:drawing>
            </w:r>
          </w:p>
          <w:p w14:paraId="6A461C9D" w14:textId="77777777" w:rsidR="00EF5B27" w:rsidRDefault="00EF5B27">
            <w:pPr>
              <w:pStyle w:val="TableParagraph"/>
              <w:spacing w:before="8"/>
              <w:rPr>
                <w:sz w:val="2"/>
              </w:rPr>
            </w:pPr>
          </w:p>
          <w:p w14:paraId="1EC4986A" w14:textId="77777777" w:rsidR="00EF5B27" w:rsidRDefault="00000000">
            <w:pPr>
              <w:pStyle w:val="TableParagraph"/>
              <w:spacing w:line="48" w:lineRule="exact"/>
              <w:ind w:left="448"/>
              <w:rPr>
                <w:sz w:val="4"/>
              </w:rPr>
            </w:pPr>
            <w:r>
              <w:rPr>
                <w:sz w:val="4"/>
              </w:rPr>
            </w:r>
            <w:r>
              <w:rPr>
                <w:sz w:val="4"/>
              </w:rPr>
              <w:pict w14:anchorId="1D17E571">
                <v:group id="_x0000_s3943" style="width:2.45pt;height:2.45pt;mso-position-horizontal-relative:char;mso-position-vertical-relative:line" coordsize="49,49">
                  <v:shape id="_x0000_s3944" style="position:absolute;width:49;height:49" coordsize="49,49" path="m31,l18,,12,2,2,12,,17,,31r2,6l12,46r6,3l31,49r6,-3l46,37r3,-6l49,17,46,12,37,2,31,xe" fillcolor="#808285" stroked="f">
                    <v:path arrowok="t"/>
                  </v:shape>
                  <w10:wrap type="none"/>
                  <w10:anchorlock/>
                </v:group>
              </w:pict>
            </w:r>
          </w:p>
        </w:tc>
        <w:tc>
          <w:tcPr>
            <w:tcW w:w="964" w:type="dxa"/>
          </w:tcPr>
          <w:p w14:paraId="7717EB21" w14:textId="77777777" w:rsidR="00EF5B27" w:rsidRDefault="00EF5B27">
            <w:pPr>
              <w:pStyle w:val="TableParagraph"/>
              <w:spacing w:before="11"/>
              <w:rPr>
                <w:sz w:val="11"/>
              </w:rPr>
            </w:pPr>
          </w:p>
          <w:p w14:paraId="6BA43BE9" w14:textId="77777777" w:rsidR="00EF5B27" w:rsidRDefault="00000000">
            <w:pPr>
              <w:pStyle w:val="TableParagraph"/>
              <w:ind w:left="318" w:right="323"/>
              <w:jc w:val="center"/>
              <w:rPr>
                <w:sz w:val="14"/>
              </w:rPr>
            </w:pPr>
            <w:r>
              <w:rPr>
                <w:color w:val="4D4D4F"/>
                <w:w w:val="105"/>
                <w:sz w:val="14"/>
              </w:rPr>
              <w:t>N/A</w:t>
            </w:r>
          </w:p>
        </w:tc>
        <w:tc>
          <w:tcPr>
            <w:tcW w:w="1489" w:type="dxa"/>
          </w:tcPr>
          <w:p w14:paraId="169B3B47" w14:textId="77777777" w:rsidR="00EF5B27" w:rsidRDefault="00000000">
            <w:pPr>
              <w:pStyle w:val="TableParagraph"/>
              <w:spacing w:before="134"/>
              <w:ind w:left="457" w:right="457"/>
              <w:jc w:val="center"/>
              <w:rPr>
                <w:sz w:val="16"/>
              </w:rPr>
            </w:pPr>
            <w:r>
              <w:rPr>
                <w:color w:val="4D4D4F"/>
                <w:w w:val="105"/>
                <w:sz w:val="16"/>
              </w:rPr>
              <w:t>Unclear</w:t>
            </w:r>
          </w:p>
        </w:tc>
      </w:tr>
      <w:tr w:rsidR="00EF5B27" w14:paraId="01A9AFB7" w14:textId="77777777">
        <w:trPr>
          <w:trHeight w:val="448"/>
        </w:trPr>
        <w:tc>
          <w:tcPr>
            <w:tcW w:w="2980" w:type="dxa"/>
          </w:tcPr>
          <w:p w14:paraId="4CD469BB" w14:textId="77777777" w:rsidR="00EF5B27" w:rsidRDefault="00EF5B27">
            <w:pPr>
              <w:pStyle w:val="TableParagraph"/>
              <w:spacing w:before="11"/>
              <w:rPr>
                <w:sz w:val="11"/>
              </w:rPr>
            </w:pPr>
          </w:p>
          <w:p w14:paraId="0BE91C01" w14:textId="77777777" w:rsidR="00EF5B27" w:rsidRDefault="00000000">
            <w:pPr>
              <w:pStyle w:val="TableParagraph"/>
              <w:ind w:left="80"/>
              <w:rPr>
                <w:sz w:val="14"/>
              </w:rPr>
            </w:pPr>
            <w:r>
              <w:rPr>
                <w:color w:val="4D4D4F"/>
                <w:sz w:val="14"/>
              </w:rPr>
              <w:t>Windmill</w:t>
            </w:r>
          </w:p>
        </w:tc>
        <w:tc>
          <w:tcPr>
            <w:tcW w:w="1078" w:type="dxa"/>
          </w:tcPr>
          <w:p w14:paraId="08E40984" w14:textId="77777777" w:rsidR="00EF5B27" w:rsidRDefault="00EF5B27">
            <w:pPr>
              <w:pStyle w:val="TableParagraph"/>
              <w:spacing w:before="11"/>
              <w:rPr>
                <w:sz w:val="11"/>
              </w:rPr>
            </w:pPr>
          </w:p>
          <w:p w14:paraId="2F4DB471" w14:textId="77777777" w:rsidR="00EF5B27" w:rsidRDefault="00000000">
            <w:pPr>
              <w:pStyle w:val="TableParagraph"/>
              <w:ind w:left="142"/>
              <w:rPr>
                <w:sz w:val="14"/>
              </w:rPr>
            </w:pPr>
            <w:r>
              <w:rPr>
                <w:color w:val="4D4D4F"/>
                <w:w w:val="105"/>
                <w:sz w:val="14"/>
              </w:rPr>
              <w:t>Not assessed</w:t>
            </w:r>
          </w:p>
        </w:tc>
        <w:tc>
          <w:tcPr>
            <w:tcW w:w="2155" w:type="dxa"/>
          </w:tcPr>
          <w:p w14:paraId="53102253" w14:textId="77777777" w:rsidR="00EF5B27" w:rsidRDefault="00EF5B27">
            <w:pPr>
              <w:pStyle w:val="TableParagraph"/>
              <w:spacing w:before="11"/>
              <w:rPr>
                <w:sz w:val="11"/>
              </w:rPr>
            </w:pPr>
          </w:p>
          <w:p w14:paraId="2D01AABD" w14:textId="77777777" w:rsidR="00EF5B27" w:rsidRDefault="00000000">
            <w:pPr>
              <w:pStyle w:val="TableParagraph"/>
              <w:ind w:left="143" w:right="142"/>
              <w:jc w:val="center"/>
              <w:rPr>
                <w:sz w:val="14"/>
              </w:rPr>
            </w:pPr>
            <w:r>
              <w:rPr>
                <w:color w:val="4D4D4F"/>
                <w:sz w:val="14"/>
              </w:rPr>
              <w:t>Lack of drawdown event</w:t>
            </w:r>
          </w:p>
        </w:tc>
        <w:tc>
          <w:tcPr>
            <w:tcW w:w="964" w:type="dxa"/>
          </w:tcPr>
          <w:p w14:paraId="33FFCD4F" w14:textId="77777777" w:rsidR="00EF5B27" w:rsidRDefault="00EF5B27">
            <w:pPr>
              <w:pStyle w:val="TableParagraph"/>
              <w:spacing w:before="4"/>
              <w:rPr>
                <w:sz w:val="7"/>
              </w:rPr>
            </w:pPr>
          </w:p>
          <w:p w14:paraId="77740F76" w14:textId="77777777" w:rsidR="00EF5B27" w:rsidRDefault="00000000">
            <w:pPr>
              <w:pStyle w:val="TableParagraph"/>
              <w:spacing w:line="187" w:lineRule="exact"/>
              <w:ind w:left="400"/>
              <w:rPr>
                <w:sz w:val="18"/>
              </w:rPr>
            </w:pPr>
            <w:r>
              <w:rPr>
                <w:noProof/>
                <w:position w:val="-3"/>
                <w:sz w:val="18"/>
              </w:rPr>
              <w:drawing>
                <wp:inline distT="0" distB="0" distL="0" distR="0" wp14:anchorId="38C9E390" wp14:editId="342BD80A">
                  <wp:extent cx="100572" cy="119062"/>
                  <wp:effectExtent l="0" t="0" r="0" b="0"/>
                  <wp:docPr id="221"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88.png"/>
                          <pic:cNvPicPr/>
                        </pic:nvPicPr>
                        <pic:blipFill>
                          <a:blip r:embed="rId84" cstate="print"/>
                          <a:stretch>
                            <a:fillRect/>
                          </a:stretch>
                        </pic:blipFill>
                        <pic:spPr>
                          <a:xfrm>
                            <a:off x="0" y="0"/>
                            <a:ext cx="100572" cy="119062"/>
                          </a:xfrm>
                          <a:prstGeom prst="rect">
                            <a:avLst/>
                          </a:prstGeom>
                        </pic:spPr>
                      </pic:pic>
                    </a:graphicData>
                  </a:graphic>
                </wp:inline>
              </w:drawing>
            </w:r>
          </w:p>
          <w:p w14:paraId="3A8211D0" w14:textId="77777777" w:rsidR="00EF5B27" w:rsidRDefault="00EF5B27">
            <w:pPr>
              <w:pStyle w:val="TableParagraph"/>
              <w:spacing w:before="8"/>
              <w:rPr>
                <w:sz w:val="2"/>
              </w:rPr>
            </w:pPr>
          </w:p>
          <w:p w14:paraId="2AF21A6D" w14:textId="77777777" w:rsidR="00EF5B27" w:rsidRDefault="00000000">
            <w:pPr>
              <w:pStyle w:val="TableParagraph"/>
              <w:spacing w:line="48" w:lineRule="exact"/>
              <w:ind w:left="448"/>
              <w:rPr>
                <w:sz w:val="4"/>
              </w:rPr>
            </w:pPr>
            <w:r>
              <w:rPr>
                <w:sz w:val="4"/>
              </w:rPr>
            </w:r>
            <w:r>
              <w:rPr>
                <w:sz w:val="4"/>
              </w:rPr>
              <w:pict w14:anchorId="0D6FE0A2">
                <v:group id="_x0000_s3941" style="width:2.45pt;height:2.45pt;mso-position-horizontal-relative:char;mso-position-vertical-relative:line" coordsize="49,49">
                  <v:shape id="_x0000_s3942" style="position:absolute;width:49;height:49" coordsize="49,49" path="m31,l18,,12,2,2,12,,17,,31r2,6l12,46r6,3l31,49r6,-3l46,37r3,-6l49,17,46,12,37,2,31,xe" fillcolor="#808285" stroked="f">
                    <v:path arrowok="t"/>
                  </v:shape>
                  <w10:wrap type="none"/>
                  <w10:anchorlock/>
                </v:group>
              </w:pict>
            </w:r>
          </w:p>
        </w:tc>
        <w:tc>
          <w:tcPr>
            <w:tcW w:w="964" w:type="dxa"/>
          </w:tcPr>
          <w:p w14:paraId="24EC947A" w14:textId="77777777" w:rsidR="00EF5B27" w:rsidRDefault="00EF5B27">
            <w:pPr>
              <w:pStyle w:val="TableParagraph"/>
              <w:spacing w:before="11"/>
              <w:rPr>
                <w:sz w:val="11"/>
              </w:rPr>
            </w:pPr>
          </w:p>
          <w:p w14:paraId="2308CDBC" w14:textId="77777777" w:rsidR="00EF5B27" w:rsidRDefault="00000000">
            <w:pPr>
              <w:pStyle w:val="TableParagraph"/>
              <w:ind w:left="318" w:right="323"/>
              <w:jc w:val="center"/>
              <w:rPr>
                <w:sz w:val="14"/>
              </w:rPr>
            </w:pPr>
            <w:r>
              <w:rPr>
                <w:color w:val="4D4D4F"/>
                <w:w w:val="105"/>
                <w:sz w:val="14"/>
              </w:rPr>
              <w:t>N/A</w:t>
            </w:r>
          </w:p>
        </w:tc>
        <w:tc>
          <w:tcPr>
            <w:tcW w:w="1489" w:type="dxa"/>
          </w:tcPr>
          <w:p w14:paraId="23C96EBB" w14:textId="77777777" w:rsidR="00EF5B27" w:rsidRDefault="00000000">
            <w:pPr>
              <w:pStyle w:val="TableParagraph"/>
              <w:spacing w:before="134"/>
              <w:ind w:left="451" w:right="457"/>
              <w:jc w:val="center"/>
              <w:rPr>
                <w:sz w:val="16"/>
              </w:rPr>
            </w:pPr>
            <w:r>
              <w:rPr>
                <w:color w:val="4D4D4F"/>
                <w:sz w:val="16"/>
              </w:rPr>
              <w:t>2017</w:t>
            </w:r>
          </w:p>
        </w:tc>
      </w:tr>
    </w:tbl>
    <w:p w14:paraId="65C6A04C" w14:textId="77777777" w:rsidR="00EF5B27" w:rsidRDefault="00EF5B27">
      <w:pPr>
        <w:pStyle w:val="BodyText"/>
        <w:spacing w:before="3"/>
        <w:rPr>
          <w:sz w:val="34"/>
        </w:rPr>
      </w:pPr>
    </w:p>
    <w:p w14:paraId="100072E2" w14:textId="77777777" w:rsidR="00EF5B27" w:rsidRDefault="00000000">
      <w:pPr>
        <w:pStyle w:val="BodyText"/>
        <w:spacing w:before="1" w:line="254" w:lineRule="auto"/>
        <w:ind w:left="2608" w:right="274"/>
      </w:pPr>
      <w:r>
        <w:rPr>
          <w:color w:val="4D4D4F"/>
        </w:rPr>
        <w:t xml:space="preserve">Comments: </w:t>
      </w:r>
      <w:r>
        <w:rPr>
          <w:color w:val="4D4D4F"/>
          <w:spacing w:val="-3"/>
        </w:rPr>
        <w:t xml:space="preserve">This </w:t>
      </w:r>
      <w:r>
        <w:rPr>
          <w:color w:val="4D4D4F"/>
        </w:rPr>
        <w:t xml:space="preserve">KPI measures the richness of </w:t>
      </w:r>
      <w:r>
        <w:rPr>
          <w:color w:val="4D4D4F"/>
          <w:spacing w:val="-3"/>
        </w:rPr>
        <w:t xml:space="preserve">all native </w:t>
      </w:r>
      <w:r>
        <w:rPr>
          <w:color w:val="4D4D4F"/>
        </w:rPr>
        <w:t xml:space="preserve">forbs, </w:t>
      </w:r>
      <w:r>
        <w:rPr>
          <w:color w:val="4D4D4F"/>
          <w:spacing w:val="-4"/>
        </w:rPr>
        <w:t xml:space="preserve">including </w:t>
      </w:r>
      <w:r>
        <w:rPr>
          <w:color w:val="4D4D4F"/>
        </w:rPr>
        <w:t xml:space="preserve">both </w:t>
      </w:r>
      <w:r>
        <w:rPr>
          <w:color w:val="4D4D4F"/>
          <w:spacing w:val="-3"/>
        </w:rPr>
        <w:t xml:space="preserve">perennial </w:t>
      </w:r>
      <w:r>
        <w:rPr>
          <w:color w:val="4D4D4F"/>
        </w:rPr>
        <w:t>and annual species, at the individual wetland scale. It is measured only at times when a given wetland is drawing down after filling, and the maximum expression of species richness is expected. This may only happen every few years, such that this KPI will remain</w:t>
      </w:r>
      <w:r>
        <w:rPr>
          <w:color w:val="4D4D4F"/>
          <w:spacing w:val="13"/>
        </w:rPr>
        <w:t xml:space="preserve"> </w:t>
      </w:r>
      <w:r>
        <w:rPr>
          <w:color w:val="4D4D4F"/>
        </w:rPr>
        <w:t>unassessed</w:t>
      </w:r>
      <w:r>
        <w:rPr>
          <w:color w:val="4D4D4F"/>
          <w:spacing w:val="13"/>
        </w:rPr>
        <w:t xml:space="preserve"> </w:t>
      </w:r>
      <w:r>
        <w:rPr>
          <w:color w:val="4D4D4F"/>
        </w:rPr>
        <w:t>in</w:t>
      </w:r>
      <w:r>
        <w:rPr>
          <w:color w:val="4D4D4F"/>
          <w:spacing w:val="13"/>
        </w:rPr>
        <w:t xml:space="preserve"> </w:t>
      </w:r>
      <w:r>
        <w:rPr>
          <w:color w:val="4D4D4F"/>
        </w:rPr>
        <w:t>many</w:t>
      </w:r>
      <w:r>
        <w:rPr>
          <w:color w:val="4D4D4F"/>
          <w:spacing w:val="13"/>
        </w:rPr>
        <w:t xml:space="preserve"> </w:t>
      </w:r>
      <w:r>
        <w:rPr>
          <w:color w:val="4D4D4F"/>
        </w:rPr>
        <w:t>years.</w:t>
      </w:r>
      <w:r>
        <w:rPr>
          <w:color w:val="4D4D4F"/>
          <w:spacing w:val="13"/>
        </w:rPr>
        <w:t xml:space="preserve"> </w:t>
      </w:r>
      <w:r>
        <w:rPr>
          <w:color w:val="4D4D4F"/>
        </w:rPr>
        <w:t>This</w:t>
      </w:r>
      <w:r>
        <w:rPr>
          <w:color w:val="4D4D4F"/>
          <w:spacing w:val="13"/>
        </w:rPr>
        <w:t xml:space="preserve"> </w:t>
      </w:r>
      <w:r>
        <w:rPr>
          <w:color w:val="4D4D4F"/>
        </w:rPr>
        <w:t>KPI</w:t>
      </w:r>
      <w:r>
        <w:rPr>
          <w:color w:val="4D4D4F"/>
          <w:spacing w:val="13"/>
        </w:rPr>
        <w:t xml:space="preserve"> </w:t>
      </w:r>
      <w:r>
        <w:rPr>
          <w:color w:val="4D4D4F"/>
        </w:rPr>
        <w:t>is</w:t>
      </w:r>
      <w:r>
        <w:rPr>
          <w:color w:val="4D4D4F"/>
          <w:spacing w:val="13"/>
        </w:rPr>
        <w:t xml:space="preserve"> </w:t>
      </w:r>
      <w:r>
        <w:rPr>
          <w:color w:val="4D4D4F"/>
        </w:rPr>
        <w:t>assessed</w:t>
      </w:r>
      <w:r>
        <w:rPr>
          <w:color w:val="4D4D4F"/>
          <w:spacing w:val="14"/>
        </w:rPr>
        <w:t xml:space="preserve"> </w:t>
      </w:r>
      <w:r>
        <w:rPr>
          <w:color w:val="4D4D4F"/>
        </w:rPr>
        <w:t>against</w:t>
      </w:r>
      <w:r>
        <w:rPr>
          <w:color w:val="4D4D4F"/>
          <w:spacing w:val="13"/>
        </w:rPr>
        <w:t xml:space="preserve"> </w:t>
      </w:r>
      <w:r>
        <w:rPr>
          <w:color w:val="4D4D4F"/>
        </w:rPr>
        <w:t>a</w:t>
      </w:r>
      <w:r>
        <w:rPr>
          <w:color w:val="4D4D4F"/>
          <w:spacing w:val="13"/>
        </w:rPr>
        <w:t xml:space="preserve"> </w:t>
      </w:r>
      <w:r>
        <w:rPr>
          <w:color w:val="4D4D4F"/>
        </w:rPr>
        <w:t>baseline,</w:t>
      </w:r>
      <w:r>
        <w:rPr>
          <w:color w:val="4D4D4F"/>
          <w:spacing w:val="13"/>
        </w:rPr>
        <w:t xml:space="preserve"> </w:t>
      </w:r>
      <w:r>
        <w:rPr>
          <w:color w:val="4D4D4F"/>
        </w:rPr>
        <w:t>set</w:t>
      </w:r>
      <w:r>
        <w:rPr>
          <w:color w:val="4D4D4F"/>
          <w:spacing w:val="13"/>
        </w:rPr>
        <w:t xml:space="preserve"> </w:t>
      </w:r>
      <w:r>
        <w:rPr>
          <w:color w:val="4D4D4F"/>
        </w:rPr>
        <w:t>by</w:t>
      </w:r>
    </w:p>
    <w:p w14:paraId="7C43FCEC" w14:textId="77777777" w:rsidR="00EF5B27" w:rsidRDefault="00000000">
      <w:pPr>
        <w:pStyle w:val="BodyText"/>
        <w:spacing w:before="6" w:line="254" w:lineRule="auto"/>
        <w:ind w:left="2608" w:right="151"/>
      </w:pPr>
      <w:r>
        <w:rPr>
          <w:color w:val="4D4D4F"/>
        </w:rPr>
        <w:t xml:space="preserve">the first year of monitoring at drawdown, with a unique benchmark for each wetland. Since monitoring began, drawdown has only occurred in </w:t>
      </w:r>
      <w:r>
        <w:rPr>
          <w:color w:val="4D4D4F"/>
          <w:spacing w:val="-7"/>
        </w:rPr>
        <w:t xml:space="preserve">2017, </w:t>
      </w:r>
      <w:r>
        <w:rPr>
          <w:color w:val="4D4D4F"/>
        </w:rPr>
        <w:t xml:space="preserve">for Windmill Wetland and </w:t>
      </w:r>
      <w:r>
        <w:rPr>
          <w:color w:val="4D4D4F"/>
          <w:spacing w:val="-3"/>
        </w:rPr>
        <w:t xml:space="preserve">Cobbledicks Rise Wetland </w:t>
      </w:r>
      <w:r>
        <w:rPr>
          <w:color w:val="4D4D4F"/>
          <w:spacing w:val="-4"/>
        </w:rPr>
        <w:t xml:space="preserve">(One </w:t>
      </w:r>
      <w:r>
        <w:rPr>
          <w:color w:val="4D4D4F"/>
          <w:spacing w:val="-5"/>
        </w:rPr>
        <w:t xml:space="preserve">Tree </w:t>
      </w:r>
      <w:r>
        <w:rPr>
          <w:color w:val="4D4D4F"/>
          <w:spacing w:val="-3"/>
        </w:rPr>
        <w:t xml:space="preserve">Rise </w:t>
      </w:r>
      <w:r>
        <w:rPr>
          <w:color w:val="4D4D4F"/>
        </w:rPr>
        <w:t xml:space="preserve">has a </w:t>
      </w:r>
      <w:r>
        <w:rPr>
          <w:color w:val="4D4D4F"/>
          <w:spacing w:val="-4"/>
        </w:rPr>
        <w:t xml:space="preserve">smaller </w:t>
      </w:r>
      <w:r>
        <w:rPr>
          <w:color w:val="4D4D4F"/>
          <w:spacing w:val="-3"/>
        </w:rPr>
        <w:t xml:space="preserve">catchment </w:t>
      </w:r>
      <w:r>
        <w:rPr>
          <w:color w:val="4D4D4F"/>
        </w:rPr>
        <w:t xml:space="preserve">and </w:t>
      </w:r>
      <w:r>
        <w:rPr>
          <w:color w:val="4D4D4F"/>
          <w:spacing w:val="-3"/>
        </w:rPr>
        <w:t xml:space="preserve">did </w:t>
      </w:r>
      <w:r>
        <w:rPr>
          <w:color w:val="4D4D4F"/>
        </w:rPr>
        <w:t xml:space="preserve">not </w:t>
      </w:r>
      <w:r>
        <w:rPr>
          <w:color w:val="4D4D4F"/>
          <w:spacing w:val="-3"/>
        </w:rPr>
        <w:t xml:space="preserve">fill in </w:t>
      </w:r>
      <w:r>
        <w:rPr>
          <w:color w:val="4D4D4F"/>
          <w:spacing w:val="-7"/>
        </w:rPr>
        <w:t xml:space="preserve">2017). </w:t>
      </w:r>
      <w:r>
        <w:rPr>
          <w:color w:val="4D4D4F"/>
        </w:rPr>
        <w:t xml:space="preserve">Drawdown </w:t>
      </w:r>
      <w:r>
        <w:rPr>
          <w:color w:val="4D4D4F"/>
          <w:spacing w:val="-4"/>
        </w:rPr>
        <w:t xml:space="preserve">did </w:t>
      </w:r>
      <w:r>
        <w:rPr>
          <w:color w:val="4D4D4F"/>
          <w:spacing w:val="-3"/>
        </w:rPr>
        <w:t xml:space="preserve">not </w:t>
      </w:r>
      <w:r>
        <w:rPr>
          <w:color w:val="4D4D4F"/>
        </w:rPr>
        <w:t xml:space="preserve">occur </w:t>
      </w:r>
      <w:r>
        <w:rPr>
          <w:color w:val="4D4D4F"/>
          <w:spacing w:val="-3"/>
        </w:rPr>
        <w:t xml:space="preserve">during 2020–2022 </w:t>
      </w:r>
      <w:r>
        <w:rPr>
          <w:color w:val="4D4D4F"/>
        </w:rPr>
        <w:t xml:space="preserve">so </w:t>
      </w:r>
      <w:r>
        <w:rPr>
          <w:color w:val="4D4D4F"/>
          <w:spacing w:val="-4"/>
        </w:rPr>
        <w:t xml:space="preserve">this </w:t>
      </w:r>
      <w:r>
        <w:rPr>
          <w:color w:val="4D4D4F"/>
        </w:rPr>
        <w:t xml:space="preserve">KPI </w:t>
      </w:r>
      <w:r>
        <w:rPr>
          <w:color w:val="4D4D4F"/>
          <w:spacing w:val="-2"/>
        </w:rPr>
        <w:t xml:space="preserve">was </w:t>
      </w:r>
      <w:r>
        <w:rPr>
          <w:color w:val="4D4D4F"/>
          <w:spacing w:val="-3"/>
        </w:rPr>
        <w:t xml:space="preserve">not assessed </w:t>
      </w:r>
      <w:r>
        <w:rPr>
          <w:color w:val="4D4D4F"/>
          <w:spacing w:val="-4"/>
        </w:rPr>
        <w:t xml:space="preserve">this </w:t>
      </w:r>
      <w:r>
        <w:rPr>
          <w:color w:val="4D4D4F"/>
          <w:spacing w:val="-7"/>
        </w:rPr>
        <w:t>year.</w:t>
      </w:r>
    </w:p>
    <w:p w14:paraId="574AEC1C" w14:textId="77777777" w:rsidR="00EF5B27" w:rsidRDefault="00EF5B27">
      <w:pPr>
        <w:pStyle w:val="BodyText"/>
      </w:pPr>
    </w:p>
    <w:p w14:paraId="7050CA1B" w14:textId="77777777" w:rsidR="00EF5B27" w:rsidRDefault="00EF5B27">
      <w:pPr>
        <w:pStyle w:val="BodyText"/>
        <w:spacing w:before="10"/>
        <w:rPr>
          <w:sz w:val="11"/>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6D99EE90" w14:textId="77777777">
        <w:trPr>
          <w:trHeight w:val="788"/>
        </w:trPr>
        <w:tc>
          <w:tcPr>
            <w:tcW w:w="2980" w:type="dxa"/>
            <w:shd w:val="clear" w:color="auto" w:fill="FECC91"/>
          </w:tcPr>
          <w:p w14:paraId="66666923" w14:textId="77777777" w:rsidR="00EF5B27" w:rsidRDefault="00000000">
            <w:pPr>
              <w:pStyle w:val="TableParagraph"/>
              <w:spacing w:before="104" w:line="244" w:lineRule="auto"/>
              <w:ind w:left="80" w:right="132"/>
              <w:rPr>
                <w:b/>
                <w:sz w:val="16"/>
              </w:rPr>
            </w:pPr>
            <w:r>
              <w:rPr>
                <w:b/>
                <w:w w:val="105"/>
                <w:sz w:val="16"/>
              </w:rPr>
              <w:t>KPI 3: Percentage cover of all perennial vegetation comprised of weeds during spring-summer</w:t>
            </w:r>
          </w:p>
        </w:tc>
        <w:tc>
          <w:tcPr>
            <w:tcW w:w="1078" w:type="dxa"/>
            <w:shd w:val="clear" w:color="auto" w:fill="FECC91"/>
          </w:tcPr>
          <w:p w14:paraId="01DC6352" w14:textId="77777777" w:rsidR="00EF5B27" w:rsidRDefault="00EF5B27">
            <w:pPr>
              <w:pStyle w:val="TableParagraph"/>
              <w:spacing w:before="9"/>
              <w:rPr>
                <w:sz w:val="16"/>
              </w:rPr>
            </w:pPr>
          </w:p>
          <w:p w14:paraId="7EDB0113" w14:textId="77777777" w:rsidR="00EF5B27" w:rsidRDefault="00000000">
            <w:pPr>
              <w:pStyle w:val="TableParagraph"/>
              <w:spacing w:line="244" w:lineRule="auto"/>
              <w:ind w:left="169" w:right="164" w:firstLine="148"/>
              <w:rPr>
                <w:b/>
                <w:sz w:val="16"/>
              </w:rPr>
            </w:pPr>
            <w:r>
              <w:rPr>
                <w:b/>
                <w:w w:val="105"/>
                <w:sz w:val="16"/>
              </w:rPr>
              <w:t>Status 2020-2022</w:t>
            </w:r>
          </w:p>
        </w:tc>
        <w:tc>
          <w:tcPr>
            <w:tcW w:w="2155" w:type="dxa"/>
            <w:shd w:val="clear" w:color="auto" w:fill="FECC91"/>
          </w:tcPr>
          <w:p w14:paraId="32C53044" w14:textId="77777777" w:rsidR="00EF5B27" w:rsidRDefault="00EF5B27">
            <w:pPr>
              <w:pStyle w:val="TableParagraph"/>
              <w:spacing w:before="11"/>
              <w:rPr>
                <w:sz w:val="24"/>
              </w:rPr>
            </w:pPr>
          </w:p>
          <w:p w14:paraId="51D95C92" w14:textId="77777777" w:rsidR="00EF5B27" w:rsidRDefault="00000000">
            <w:pPr>
              <w:pStyle w:val="TableParagraph"/>
              <w:ind w:left="143" w:right="142"/>
              <w:jc w:val="center"/>
              <w:rPr>
                <w:b/>
                <w:sz w:val="16"/>
              </w:rPr>
            </w:pPr>
            <w:r>
              <w:rPr>
                <w:b/>
                <w:sz w:val="16"/>
              </w:rPr>
              <w:t>Reason for non-assessment</w:t>
            </w:r>
          </w:p>
        </w:tc>
        <w:tc>
          <w:tcPr>
            <w:tcW w:w="964" w:type="dxa"/>
            <w:shd w:val="clear" w:color="auto" w:fill="FECC91"/>
          </w:tcPr>
          <w:p w14:paraId="1AC12BE7" w14:textId="77777777" w:rsidR="00EF5B27" w:rsidRDefault="00EF5B27">
            <w:pPr>
              <w:pStyle w:val="TableParagraph"/>
              <w:spacing w:before="11"/>
              <w:rPr>
                <w:sz w:val="24"/>
              </w:rPr>
            </w:pPr>
          </w:p>
          <w:p w14:paraId="7FBDEEBE" w14:textId="77777777" w:rsidR="00EF5B27" w:rsidRDefault="00000000">
            <w:pPr>
              <w:pStyle w:val="TableParagraph"/>
              <w:ind w:left="283"/>
              <w:rPr>
                <w:b/>
                <w:sz w:val="16"/>
              </w:rPr>
            </w:pPr>
            <w:r>
              <w:rPr>
                <w:b/>
                <w:sz w:val="16"/>
              </w:rPr>
              <w:t>Trend</w:t>
            </w:r>
          </w:p>
        </w:tc>
        <w:tc>
          <w:tcPr>
            <w:tcW w:w="964" w:type="dxa"/>
            <w:shd w:val="clear" w:color="auto" w:fill="FECC91"/>
          </w:tcPr>
          <w:p w14:paraId="347CE736" w14:textId="77777777" w:rsidR="00EF5B27" w:rsidRDefault="00EF5B27">
            <w:pPr>
              <w:pStyle w:val="TableParagraph"/>
              <w:spacing w:before="9"/>
              <w:rPr>
                <w:sz w:val="16"/>
              </w:rPr>
            </w:pPr>
          </w:p>
          <w:p w14:paraId="36BEC395" w14:textId="77777777" w:rsidR="00EF5B27" w:rsidRDefault="00000000">
            <w:pPr>
              <w:pStyle w:val="TableParagraph"/>
              <w:spacing w:line="244" w:lineRule="auto"/>
              <w:ind w:left="105" w:right="87" w:firstLine="217"/>
              <w:rPr>
                <w:b/>
                <w:sz w:val="16"/>
              </w:rPr>
            </w:pPr>
            <w:r>
              <w:rPr>
                <w:b/>
                <w:sz w:val="16"/>
              </w:rPr>
              <w:t>Data Confidence</w:t>
            </w:r>
          </w:p>
        </w:tc>
        <w:tc>
          <w:tcPr>
            <w:tcW w:w="1489" w:type="dxa"/>
            <w:shd w:val="clear" w:color="auto" w:fill="FECC91"/>
          </w:tcPr>
          <w:p w14:paraId="4F61F11C" w14:textId="77777777" w:rsidR="00EF5B27" w:rsidRDefault="00EF5B27">
            <w:pPr>
              <w:pStyle w:val="TableParagraph"/>
              <w:spacing w:before="9"/>
              <w:rPr>
                <w:sz w:val="16"/>
              </w:rPr>
            </w:pPr>
          </w:p>
          <w:p w14:paraId="7B6BB209" w14:textId="77777777" w:rsidR="00EF5B27" w:rsidRDefault="00000000">
            <w:pPr>
              <w:pStyle w:val="TableParagraph"/>
              <w:spacing w:line="244" w:lineRule="auto"/>
              <w:ind w:left="220" w:hanging="92"/>
              <w:rPr>
                <w:b/>
                <w:sz w:val="16"/>
              </w:rPr>
            </w:pPr>
            <w:r>
              <w:rPr>
                <w:b/>
                <w:sz w:val="16"/>
              </w:rPr>
              <w:t>Year that baseline was/will be set</w:t>
            </w:r>
          </w:p>
        </w:tc>
      </w:tr>
      <w:tr w:rsidR="00EF5B27" w14:paraId="0F85577C" w14:textId="77777777">
        <w:trPr>
          <w:trHeight w:val="448"/>
        </w:trPr>
        <w:tc>
          <w:tcPr>
            <w:tcW w:w="2980" w:type="dxa"/>
          </w:tcPr>
          <w:p w14:paraId="45620EB6" w14:textId="77777777" w:rsidR="00EF5B27" w:rsidRDefault="00EF5B27">
            <w:pPr>
              <w:pStyle w:val="TableParagraph"/>
              <w:spacing w:before="11"/>
              <w:rPr>
                <w:sz w:val="11"/>
              </w:rPr>
            </w:pPr>
          </w:p>
          <w:p w14:paraId="5DDB3475" w14:textId="77777777" w:rsidR="00EF5B27" w:rsidRDefault="00000000">
            <w:pPr>
              <w:pStyle w:val="TableParagraph"/>
              <w:ind w:left="80"/>
              <w:rPr>
                <w:sz w:val="14"/>
              </w:rPr>
            </w:pPr>
            <w:r>
              <w:rPr>
                <w:color w:val="4D4D4F"/>
                <w:w w:val="105"/>
                <w:sz w:val="14"/>
              </w:rPr>
              <w:t>Cobbledicks Rise</w:t>
            </w:r>
          </w:p>
        </w:tc>
        <w:tc>
          <w:tcPr>
            <w:tcW w:w="1078" w:type="dxa"/>
          </w:tcPr>
          <w:p w14:paraId="3D784C43" w14:textId="77777777" w:rsidR="00EF5B27" w:rsidRDefault="00EF5B27">
            <w:pPr>
              <w:pStyle w:val="TableParagraph"/>
              <w:spacing w:before="11"/>
              <w:rPr>
                <w:sz w:val="11"/>
              </w:rPr>
            </w:pPr>
          </w:p>
          <w:p w14:paraId="4B12856C" w14:textId="77777777" w:rsidR="00EF5B27" w:rsidRDefault="00000000">
            <w:pPr>
              <w:pStyle w:val="TableParagraph"/>
              <w:ind w:left="128" w:right="124"/>
              <w:jc w:val="center"/>
              <w:rPr>
                <w:sz w:val="14"/>
              </w:rPr>
            </w:pPr>
            <w:r>
              <w:rPr>
                <w:color w:val="4D4D4F"/>
                <w:sz w:val="14"/>
              </w:rPr>
              <w:t>Met</w:t>
            </w:r>
          </w:p>
        </w:tc>
        <w:tc>
          <w:tcPr>
            <w:tcW w:w="2155" w:type="dxa"/>
          </w:tcPr>
          <w:p w14:paraId="20956D55" w14:textId="77777777" w:rsidR="00EF5B27" w:rsidRDefault="00EF5B27">
            <w:pPr>
              <w:pStyle w:val="TableParagraph"/>
              <w:spacing w:before="11"/>
              <w:rPr>
                <w:sz w:val="11"/>
              </w:rPr>
            </w:pPr>
          </w:p>
          <w:p w14:paraId="1F901B57" w14:textId="77777777" w:rsidR="00EF5B27" w:rsidRDefault="00000000">
            <w:pPr>
              <w:pStyle w:val="TableParagraph"/>
              <w:ind w:left="139" w:right="142"/>
              <w:jc w:val="center"/>
              <w:rPr>
                <w:sz w:val="14"/>
              </w:rPr>
            </w:pPr>
            <w:r>
              <w:rPr>
                <w:color w:val="4D4D4F"/>
                <w:w w:val="105"/>
                <w:sz w:val="14"/>
              </w:rPr>
              <w:t>N/A</w:t>
            </w:r>
          </w:p>
        </w:tc>
        <w:tc>
          <w:tcPr>
            <w:tcW w:w="964" w:type="dxa"/>
          </w:tcPr>
          <w:p w14:paraId="76759AB0" w14:textId="77777777" w:rsidR="00EF5B27" w:rsidRDefault="00EF5B27">
            <w:pPr>
              <w:pStyle w:val="TableParagraph"/>
              <w:spacing w:before="1"/>
              <w:rPr>
                <w:sz w:val="15"/>
              </w:rPr>
            </w:pPr>
          </w:p>
          <w:p w14:paraId="18BC5A16" w14:textId="77777777" w:rsidR="00EF5B27" w:rsidRDefault="00000000">
            <w:pPr>
              <w:pStyle w:val="TableParagraph"/>
              <w:spacing w:line="101" w:lineRule="exact"/>
              <w:ind w:left="361"/>
              <w:rPr>
                <w:sz w:val="10"/>
              </w:rPr>
            </w:pPr>
            <w:r>
              <w:rPr>
                <w:noProof/>
                <w:position w:val="-1"/>
                <w:sz w:val="10"/>
              </w:rPr>
              <w:drawing>
                <wp:inline distT="0" distB="0" distL="0" distR="0" wp14:anchorId="180959E1" wp14:editId="39C9DAF7">
                  <wp:extent cx="149256" cy="64388"/>
                  <wp:effectExtent l="0" t="0" r="0" b="0"/>
                  <wp:docPr id="22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48.png"/>
                          <pic:cNvPicPr/>
                        </pic:nvPicPr>
                        <pic:blipFill>
                          <a:blip r:embed="rId79" cstate="print"/>
                          <a:stretch>
                            <a:fillRect/>
                          </a:stretch>
                        </pic:blipFill>
                        <pic:spPr>
                          <a:xfrm>
                            <a:off x="0" y="0"/>
                            <a:ext cx="149256" cy="64388"/>
                          </a:xfrm>
                          <a:prstGeom prst="rect">
                            <a:avLst/>
                          </a:prstGeom>
                        </pic:spPr>
                      </pic:pic>
                    </a:graphicData>
                  </a:graphic>
                </wp:inline>
              </w:drawing>
            </w:r>
          </w:p>
        </w:tc>
        <w:tc>
          <w:tcPr>
            <w:tcW w:w="964" w:type="dxa"/>
          </w:tcPr>
          <w:p w14:paraId="0CD8B31F" w14:textId="77777777" w:rsidR="00EF5B27" w:rsidRDefault="00EF5B27">
            <w:pPr>
              <w:pStyle w:val="TableParagraph"/>
              <w:spacing w:before="11"/>
              <w:rPr>
                <w:sz w:val="11"/>
              </w:rPr>
            </w:pPr>
          </w:p>
          <w:p w14:paraId="705C576B" w14:textId="77777777" w:rsidR="00EF5B27" w:rsidRDefault="00000000">
            <w:pPr>
              <w:pStyle w:val="TableParagraph"/>
              <w:ind w:left="323" w:right="323"/>
              <w:jc w:val="center"/>
              <w:rPr>
                <w:sz w:val="14"/>
              </w:rPr>
            </w:pPr>
            <w:r>
              <w:rPr>
                <w:color w:val="4D4D4F"/>
                <w:w w:val="105"/>
                <w:sz w:val="14"/>
              </w:rPr>
              <w:t>High</w:t>
            </w:r>
          </w:p>
        </w:tc>
        <w:tc>
          <w:tcPr>
            <w:tcW w:w="1489" w:type="dxa"/>
          </w:tcPr>
          <w:p w14:paraId="219295B0" w14:textId="77777777" w:rsidR="00EF5B27" w:rsidRDefault="00000000">
            <w:pPr>
              <w:pStyle w:val="TableParagraph"/>
              <w:spacing w:before="134"/>
              <w:ind w:left="587"/>
              <w:rPr>
                <w:sz w:val="16"/>
              </w:rPr>
            </w:pPr>
            <w:r>
              <w:rPr>
                <w:color w:val="4D4D4F"/>
                <w:sz w:val="16"/>
              </w:rPr>
              <w:t>2018</w:t>
            </w:r>
          </w:p>
        </w:tc>
      </w:tr>
      <w:tr w:rsidR="00EF5B27" w14:paraId="147AB00E" w14:textId="77777777">
        <w:trPr>
          <w:trHeight w:val="448"/>
        </w:trPr>
        <w:tc>
          <w:tcPr>
            <w:tcW w:w="2980" w:type="dxa"/>
          </w:tcPr>
          <w:p w14:paraId="0979DBA9" w14:textId="77777777" w:rsidR="00EF5B27" w:rsidRDefault="00EF5B27">
            <w:pPr>
              <w:pStyle w:val="TableParagraph"/>
              <w:spacing w:before="11"/>
              <w:rPr>
                <w:sz w:val="11"/>
              </w:rPr>
            </w:pPr>
          </w:p>
          <w:p w14:paraId="22EC8AEF" w14:textId="77777777" w:rsidR="00EF5B27" w:rsidRDefault="00000000">
            <w:pPr>
              <w:pStyle w:val="TableParagraph"/>
              <w:ind w:left="80"/>
              <w:rPr>
                <w:sz w:val="14"/>
              </w:rPr>
            </w:pPr>
            <w:r>
              <w:rPr>
                <w:color w:val="4D4D4F"/>
                <w:w w:val="105"/>
                <w:sz w:val="14"/>
              </w:rPr>
              <w:t>One Tree Rise</w:t>
            </w:r>
          </w:p>
        </w:tc>
        <w:tc>
          <w:tcPr>
            <w:tcW w:w="1078" w:type="dxa"/>
          </w:tcPr>
          <w:p w14:paraId="679AB090" w14:textId="77777777" w:rsidR="00EF5B27" w:rsidRDefault="00EF5B27">
            <w:pPr>
              <w:pStyle w:val="TableParagraph"/>
              <w:spacing w:before="11"/>
              <w:rPr>
                <w:sz w:val="11"/>
              </w:rPr>
            </w:pPr>
          </w:p>
          <w:p w14:paraId="347477EE" w14:textId="77777777" w:rsidR="00EF5B27" w:rsidRDefault="00000000">
            <w:pPr>
              <w:pStyle w:val="TableParagraph"/>
              <w:ind w:left="128" w:right="124"/>
              <w:jc w:val="center"/>
              <w:rPr>
                <w:sz w:val="14"/>
              </w:rPr>
            </w:pPr>
            <w:r>
              <w:rPr>
                <w:color w:val="4D4D4F"/>
                <w:sz w:val="14"/>
              </w:rPr>
              <w:t>Met</w:t>
            </w:r>
          </w:p>
        </w:tc>
        <w:tc>
          <w:tcPr>
            <w:tcW w:w="2155" w:type="dxa"/>
          </w:tcPr>
          <w:p w14:paraId="7329A359" w14:textId="77777777" w:rsidR="00EF5B27" w:rsidRDefault="00EF5B27">
            <w:pPr>
              <w:pStyle w:val="TableParagraph"/>
              <w:spacing w:before="11"/>
              <w:rPr>
                <w:sz w:val="11"/>
              </w:rPr>
            </w:pPr>
          </w:p>
          <w:p w14:paraId="1F6C8EE3" w14:textId="77777777" w:rsidR="00EF5B27" w:rsidRDefault="00000000">
            <w:pPr>
              <w:pStyle w:val="TableParagraph"/>
              <w:ind w:left="139" w:right="142"/>
              <w:jc w:val="center"/>
              <w:rPr>
                <w:sz w:val="14"/>
              </w:rPr>
            </w:pPr>
            <w:r>
              <w:rPr>
                <w:color w:val="4D4D4F"/>
                <w:w w:val="105"/>
                <w:sz w:val="14"/>
              </w:rPr>
              <w:t>N/A</w:t>
            </w:r>
          </w:p>
        </w:tc>
        <w:tc>
          <w:tcPr>
            <w:tcW w:w="964" w:type="dxa"/>
          </w:tcPr>
          <w:p w14:paraId="22B25031" w14:textId="77777777" w:rsidR="00EF5B27" w:rsidRDefault="00EF5B27">
            <w:pPr>
              <w:pStyle w:val="TableParagraph"/>
              <w:spacing w:before="1"/>
              <w:rPr>
                <w:sz w:val="15"/>
              </w:rPr>
            </w:pPr>
          </w:p>
          <w:p w14:paraId="2DBB2458" w14:textId="77777777" w:rsidR="00EF5B27" w:rsidRDefault="00000000">
            <w:pPr>
              <w:pStyle w:val="TableParagraph"/>
              <w:spacing w:line="102" w:lineRule="exact"/>
              <w:ind w:left="361"/>
              <w:rPr>
                <w:sz w:val="10"/>
              </w:rPr>
            </w:pPr>
            <w:r>
              <w:rPr>
                <w:noProof/>
                <w:position w:val="-1"/>
                <w:sz w:val="10"/>
              </w:rPr>
              <w:drawing>
                <wp:inline distT="0" distB="0" distL="0" distR="0" wp14:anchorId="0FE2017C" wp14:editId="6C5FBE06">
                  <wp:extent cx="151464" cy="65341"/>
                  <wp:effectExtent l="0" t="0" r="0" b="0"/>
                  <wp:docPr id="22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63.png"/>
                          <pic:cNvPicPr/>
                        </pic:nvPicPr>
                        <pic:blipFill>
                          <a:blip r:embed="rId89" cstate="print"/>
                          <a:stretch>
                            <a:fillRect/>
                          </a:stretch>
                        </pic:blipFill>
                        <pic:spPr>
                          <a:xfrm>
                            <a:off x="0" y="0"/>
                            <a:ext cx="151464" cy="65341"/>
                          </a:xfrm>
                          <a:prstGeom prst="rect">
                            <a:avLst/>
                          </a:prstGeom>
                        </pic:spPr>
                      </pic:pic>
                    </a:graphicData>
                  </a:graphic>
                </wp:inline>
              </w:drawing>
            </w:r>
          </w:p>
        </w:tc>
        <w:tc>
          <w:tcPr>
            <w:tcW w:w="964" w:type="dxa"/>
          </w:tcPr>
          <w:p w14:paraId="7F6E14D0" w14:textId="77777777" w:rsidR="00EF5B27" w:rsidRDefault="00EF5B27">
            <w:pPr>
              <w:pStyle w:val="TableParagraph"/>
              <w:spacing w:before="11"/>
              <w:rPr>
                <w:sz w:val="11"/>
              </w:rPr>
            </w:pPr>
          </w:p>
          <w:p w14:paraId="3D216F64" w14:textId="77777777" w:rsidR="00EF5B27" w:rsidRDefault="00000000">
            <w:pPr>
              <w:pStyle w:val="TableParagraph"/>
              <w:ind w:left="323" w:right="323"/>
              <w:jc w:val="center"/>
              <w:rPr>
                <w:sz w:val="14"/>
              </w:rPr>
            </w:pPr>
            <w:r>
              <w:rPr>
                <w:color w:val="4D4D4F"/>
                <w:w w:val="105"/>
                <w:sz w:val="14"/>
              </w:rPr>
              <w:t>High</w:t>
            </w:r>
          </w:p>
        </w:tc>
        <w:tc>
          <w:tcPr>
            <w:tcW w:w="1489" w:type="dxa"/>
          </w:tcPr>
          <w:p w14:paraId="46BB24AC" w14:textId="77777777" w:rsidR="00EF5B27" w:rsidRDefault="00000000">
            <w:pPr>
              <w:pStyle w:val="TableParagraph"/>
              <w:spacing w:before="134"/>
              <w:ind w:left="587"/>
              <w:rPr>
                <w:sz w:val="16"/>
              </w:rPr>
            </w:pPr>
            <w:r>
              <w:rPr>
                <w:color w:val="4D4D4F"/>
                <w:sz w:val="16"/>
              </w:rPr>
              <w:t>2018</w:t>
            </w:r>
          </w:p>
        </w:tc>
      </w:tr>
      <w:tr w:rsidR="00EF5B27" w14:paraId="46CFC899" w14:textId="77777777">
        <w:trPr>
          <w:trHeight w:val="448"/>
        </w:trPr>
        <w:tc>
          <w:tcPr>
            <w:tcW w:w="2980" w:type="dxa"/>
          </w:tcPr>
          <w:p w14:paraId="41C0CD32" w14:textId="77777777" w:rsidR="00EF5B27" w:rsidRDefault="00EF5B27">
            <w:pPr>
              <w:pStyle w:val="TableParagraph"/>
              <w:spacing w:before="11"/>
              <w:rPr>
                <w:sz w:val="11"/>
              </w:rPr>
            </w:pPr>
          </w:p>
          <w:p w14:paraId="1C8CD547" w14:textId="77777777" w:rsidR="00EF5B27" w:rsidRDefault="00000000">
            <w:pPr>
              <w:pStyle w:val="TableParagraph"/>
              <w:ind w:left="80"/>
              <w:rPr>
                <w:sz w:val="14"/>
              </w:rPr>
            </w:pPr>
            <w:r>
              <w:rPr>
                <w:color w:val="4D4D4F"/>
                <w:sz w:val="14"/>
              </w:rPr>
              <w:t>Windmill</w:t>
            </w:r>
          </w:p>
        </w:tc>
        <w:tc>
          <w:tcPr>
            <w:tcW w:w="1078" w:type="dxa"/>
          </w:tcPr>
          <w:p w14:paraId="61DEBDA9" w14:textId="77777777" w:rsidR="00EF5B27" w:rsidRDefault="00EF5B27">
            <w:pPr>
              <w:pStyle w:val="TableParagraph"/>
              <w:spacing w:before="11"/>
              <w:rPr>
                <w:sz w:val="11"/>
              </w:rPr>
            </w:pPr>
          </w:p>
          <w:p w14:paraId="391EF76D" w14:textId="77777777" w:rsidR="00EF5B27" w:rsidRDefault="00000000">
            <w:pPr>
              <w:pStyle w:val="TableParagraph"/>
              <w:ind w:left="128" w:right="124"/>
              <w:jc w:val="center"/>
              <w:rPr>
                <w:sz w:val="14"/>
              </w:rPr>
            </w:pPr>
            <w:r>
              <w:rPr>
                <w:color w:val="4D4D4F"/>
                <w:sz w:val="14"/>
              </w:rPr>
              <w:t>Met</w:t>
            </w:r>
          </w:p>
        </w:tc>
        <w:tc>
          <w:tcPr>
            <w:tcW w:w="2155" w:type="dxa"/>
          </w:tcPr>
          <w:p w14:paraId="7406F42D" w14:textId="77777777" w:rsidR="00EF5B27" w:rsidRDefault="00EF5B27">
            <w:pPr>
              <w:pStyle w:val="TableParagraph"/>
              <w:spacing w:before="11"/>
              <w:rPr>
                <w:sz w:val="11"/>
              </w:rPr>
            </w:pPr>
          </w:p>
          <w:p w14:paraId="49D24B8C" w14:textId="77777777" w:rsidR="00EF5B27" w:rsidRDefault="00000000">
            <w:pPr>
              <w:pStyle w:val="TableParagraph"/>
              <w:ind w:left="139" w:right="142"/>
              <w:jc w:val="center"/>
              <w:rPr>
                <w:sz w:val="14"/>
              </w:rPr>
            </w:pPr>
            <w:r>
              <w:rPr>
                <w:color w:val="4D4D4F"/>
                <w:w w:val="105"/>
                <w:sz w:val="14"/>
              </w:rPr>
              <w:t>N/A</w:t>
            </w:r>
          </w:p>
        </w:tc>
        <w:tc>
          <w:tcPr>
            <w:tcW w:w="964" w:type="dxa"/>
          </w:tcPr>
          <w:p w14:paraId="23A91499" w14:textId="77777777" w:rsidR="00EF5B27" w:rsidRDefault="00EF5B27">
            <w:pPr>
              <w:pStyle w:val="TableParagraph"/>
              <w:spacing w:before="1"/>
              <w:rPr>
                <w:sz w:val="15"/>
              </w:rPr>
            </w:pPr>
          </w:p>
          <w:p w14:paraId="28880A26" w14:textId="77777777" w:rsidR="00EF5B27" w:rsidRDefault="00000000">
            <w:pPr>
              <w:pStyle w:val="TableParagraph"/>
              <w:spacing w:line="102" w:lineRule="exact"/>
              <w:ind w:left="361"/>
              <w:rPr>
                <w:sz w:val="10"/>
              </w:rPr>
            </w:pPr>
            <w:r>
              <w:rPr>
                <w:noProof/>
                <w:position w:val="-1"/>
                <w:sz w:val="10"/>
              </w:rPr>
              <w:drawing>
                <wp:inline distT="0" distB="0" distL="0" distR="0" wp14:anchorId="3009CD10" wp14:editId="030CB369">
                  <wp:extent cx="151464" cy="65341"/>
                  <wp:effectExtent l="0" t="0" r="0" b="0"/>
                  <wp:docPr id="227"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63.png"/>
                          <pic:cNvPicPr/>
                        </pic:nvPicPr>
                        <pic:blipFill>
                          <a:blip r:embed="rId89" cstate="print"/>
                          <a:stretch>
                            <a:fillRect/>
                          </a:stretch>
                        </pic:blipFill>
                        <pic:spPr>
                          <a:xfrm>
                            <a:off x="0" y="0"/>
                            <a:ext cx="151464" cy="65341"/>
                          </a:xfrm>
                          <a:prstGeom prst="rect">
                            <a:avLst/>
                          </a:prstGeom>
                        </pic:spPr>
                      </pic:pic>
                    </a:graphicData>
                  </a:graphic>
                </wp:inline>
              </w:drawing>
            </w:r>
          </w:p>
        </w:tc>
        <w:tc>
          <w:tcPr>
            <w:tcW w:w="964" w:type="dxa"/>
          </w:tcPr>
          <w:p w14:paraId="05FA221C" w14:textId="77777777" w:rsidR="00EF5B27" w:rsidRDefault="00EF5B27">
            <w:pPr>
              <w:pStyle w:val="TableParagraph"/>
              <w:spacing w:before="11"/>
              <w:rPr>
                <w:sz w:val="11"/>
              </w:rPr>
            </w:pPr>
          </w:p>
          <w:p w14:paraId="67FB3887" w14:textId="77777777" w:rsidR="00EF5B27" w:rsidRDefault="00000000">
            <w:pPr>
              <w:pStyle w:val="TableParagraph"/>
              <w:ind w:left="323" w:right="323"/>
              <w:jc w:val="center"/>
              <w:rPr>
                <w:sz w:val="14"/>
              </w:rPr>
            </w:pPr>
            <w:r>
              <w:rPr>
                <w:color w:val="4D4D4F"/>
                <w:w w:val="105"/>
                <w:sz w:val="14"/>
              </w:rPr>
              <w:t>High</w:t>
            </w:r>
          </w:p>
        </w:tc>
        <w:tc>
          <w:tcPr>
            <w:tcW w:w="1489" w:type="dxa"/>
          </w:tcPr>
          <w:p w14:paraId="2BB48144" w14:textId="77777777" w:rsidR="00EF5B27" w:rsidRDefault="00000000">
            <w:pPr>
              <w:pStyle w:val="TableParagraph"/>
              <w:spacing w:before="134"/>
              <w:ind w:left="587"/>
              <w:rPr>
                <w:sz w:val="16"/>
              </w:rPr>
            </w:pPr>
            <w:r>
              <w:rPr>
                <w:color w:val="4D4D4F"/>
                <w:sz w:val="16"/>
              </w:rPr>
              <w:t>2018</w:t>
            </w:r>
          </w:p>
        </w:tc>
      </w:tr>
    </w:tbl>
    <w:p w14:paraId="2C4F6695" w14:textId="77777777" w:rsidR="00EF5B27" w:rsidRDefault="00EF5B27">
      <w:pPr>
        <w:pStyle w:val="BodyText"/>
        <w:spacing w:before="3"/>
        <w:rPr>
          <w:sz w:val="34"/>
        </w:rPr>
      </w:pPr>
    </w:p>
    <w:p w14:paraId="7D1F232A" w14:textId="77777777" w:rsidR="00EF5B27" w:rsidRDefault="00000000">
      <w:pPr>
        <w:pStyle w:val="BodyText"/>
        <w:spacing w:before="1" w:line="254" w:lineRule="auto"/>
        <w:ind w:left="2608" w:right="278"/>
      </w:pPr>
      <w:r>
        <w:rPr>
          <w:color w:val="4D4D4F"/>
        </w:rPr>
        <w:t>Comments: This KPI measures the percentage of all perennial vegetation cover that is comprised of weeds. This KPI is assessed against a baseline set by the first five years    of monitoring. This KPI was met for all wetlands in 2020-2022, although the trend is deteriorating with exotic perennial species appearing to have increased steadily over the</w:t>
      </w:r>
      <w:r>
        <w:rPr>
          <w:color w:val="4D4D4F"/>
          <w:spacing w:val="5"/>
        </w:rPr>
        <w:t xml:space="preserve"> </w:t>
      </w:r>
      <w:r>
        <w:rPr>
          <w:color w:val="4D4D4F"/>
        </w:rPr>
        <w:t>last</w:t>
      </w:r>
      <w:r>
        <w:rPr>
          <w:color w:val="4D4D4F"/>
          <w:spacing w:val="5"/>
        </w:rPr>
        <w:t xml:space="preserve"> </w:t>
      </w:r>
      <w:r>
        <w:rPr>
          <w:color w:val="4D4D4F"/>
        </w:rPr>
        <w:t>few</w:t>
      </w:r>
      <w:r>
        <w:rPr>
          <w:color w:val="4D4D4F"/>
          <w:spacing w:val="5"/>
        </w:rPr>
        <w:t xml:space="preserve"> </w:t>
      </w:r>
      <w:r>
        <w:rPr>
          <w:color w:val="4D4D4F"/>
        </w:rPr>
        <w:t>years.</w:t>
      </w:r>
      <w:r>
        <w:rPr>
          <w:color w:val="4D4D4F"/>
          <w:spacing w:val="5"/>
        </w:rPr>
        <w:t xml:space="preserve"> </w:t>
      </w:r>
      <w:r>
        <w:rPr>
          <w:color w:val="4D4D4F"/>
        </w:rPr>
        <w:t>Confidence</w:t>
      </w:r>
      <w:r>
        <w:rPr>
          <w:color w:val="4D4D4F"/>
          <w:spacing w:val="5"/>
        </w:rPr>
        <w:t xml:space="preserve"> </w:t>
      </w:r>
      <w:r>
        <w:rPr>
          <w:color w:val="4D4D4F"/>
        </w:rPr>
        <w:t>in</w:t>
      </w:r>
      <w:r>
        <w:rPr>
          <w:color w:val="4D4D4F"/>
          <w:spacing w:val="5"/>
        </w:rPr>
        <w:t xml:space="preserve"> </w:t>
      </w:r>
      <w:r>
        <w:rPr>
          <w:color w:val="4D4D4F"/>
        </w:rPr>
        <w:t>the</w:t>
      </w:r>
      <w:r>
        <w:rPr>
          <w:color w:val="4D4D4F"/>
          <w:spacing w:val="5"/>
        </w:rPr>
        <w:t xml:space="preserve"> </w:t>
      </w:r>
      <w:r>
        <w:rPr>
          <w:color w:val="4D4D4F"/>
        </w:rPr>
        <w:t>data</w:t>
      </w:r>
      <w:r>
        <w:rPr>
          <w:color w:val="4D4D4F"/>
          <w:spacing w:val="5"/>
        </w:rPr>
        <w:t xml:space="preserve"> </w:t>
      </w:r>
      <w:r>
        <w:rPr>
          <w:color w:val="4D4D4F"/>
        </w:rPr>
        <w:t>is</w:t>
      </w:r>
      <w:r>
        <w:rPr>
          <w:color w:val="4D4D4F"/>
          <w:spacing w:val="5"/>
        </w:rPr>
        <w:t xml:space="preserve"> </w:t>
      </w:r>
      <w:r>
        <w:rPr>
          <w:color w:val="4D4D4F"/>
        </w:rPr>
        <w:t>high</w:t>
      </w:r>
      <w:r>
        <w:rPr>
          <w:color w:val="4D4D4F"/>
          <w:spacing w:val="5"/>
        </w:rPr>
        <w:t xml:space="preserve"> </w:t>
      </w:r>
      <w:r>
        <w:rPr>
          <w:color w:val="4D4D4F"/>
        </w:rPr>
        <w:t>where</w:t>
      </w:r>
      <w:r>
        <w:rPr>
          <w:color w:val="4D4D4F"/>
          <w:spacing w:val="5"/>
        </w:rPr>
        <w:t xml:space="preserve"> </w:t>
      </w:r>
      <w:r>
        <w:rPr>
          <w:color w:val="4D4D4F"/>
        </w:rPr>
        <w:t>it</w:t>
      </w:r>
      <w:r>
        <w:rPr>
          <w:color w:val="4D4D4F"/>
          <w:spacing w:val="5"/>
        </w:rPr>
        <w:t xml:space="preserve"> </w:t>
      </w:r>
      <w:r>
        <w:rPr>
          <w:color w:val="4D4D4F"/>
        </w:rPr>
        <w:t>is</w:t>
      </w:r>
      <w:r>
        <w:rPr>
          <w:color w:val="4D4D4F"/>
          <w:spacing w:val="5"/>
        </w:rPr>
        <w:t xml:space="preserve"> </w:t>
      </w:r>
      <w:r>
        <w:rPr>
          <w:color w:val="4D4D4F"/>
        </w:rPr>
        <w:t>able</w:t>
      </w:r>
      <w:r>
        <w:rPr>
          <w:color w:val="4D4D4F"/>
          <w:spacing w:val="5"/>
        </w:rPr>
        <w:t xml:space="preserve"> </w:t>
      </w:r>
      <w:r>
        <w:rPr>
          <w:color w:val="4D4D4F"/>
        </w:rPr>
        <w:t>to</w:t>
      </w:r>
      <w:r>
        <w:rPr>
          <w:color w:val="4D4D4F"/>
          <w:spacing w:val="5"/>
        </w:rPr>
        <w:t xml:space="preserve"> </w:t>
      </w:r>
      <w:r>
        <w:rPr>
          <w:color w:val="4D4D4F"/>
        </w:rPr>
        <w:t>be</w:t>
      </w:r>
      <w:r>
        <w:rPr>
          <w:color w:val="4D4D4F"/>
          <w:spacing w:val="5"/>
        </w:rPr>
        <w:t xml:space="preserve"> </w:t>
      </w:r>
      <w:r>
        <w:rPr>
          <w:color w:val="4D4D4F"/>
        </w:rPr>
        <w:t>assessed.</w:t>
      </w:r>
    </w:p>
    <w:p w14:paraId="2E94F593" w14:textId="77777777" w:rsidR="00EF5B27" w:rsidRDefault="00EF5B27">
      <w:pPr>
        <w:spacing w:line="254" w:lineRule="auto"/>
        <w:sectPr w:rsidR="00EF5B27">
          <w:pgSz w:w="11910" w:h="16840"/>
          <w:pgMar w:top="1080" w:right="1020" w:bottom="860" w:left="1020" w:header="537" w:footer="678" w:gutter="0"/>
          <w:cols w:space="720"/>
        </w:sectPr>
      </w:pPr>
    </w:p>
    <w:p w14:paraId="239DD0DC" w14:textId="77777777" w:rsidR="00EF5B27" w:rsidRDefault="00EF5B27">
      <w:pPr>
        <w:pStyle w:val="BodyText"/>
      </w:pPr>
    </w:p>
    <w:p w14:paraId="78625432" w14:textId="77777777" w:rsidR="00EF5B27" w:rsidRDefault="00EF5B27">
      <w:pPr>
        <w:pStyle w:val="BodyText"/>
      </w:pPr>
    </w:p>
    <w:p w14:paraId="6F44FEEB" w14:textId="77777777" w:rsidR="00EF5B27" w:rsidRDefault="00EF5B27">
      <w:pPr>
        <w:pStyle w:val="BodyText"/>
      </w:pPr>
    </w:p>
    <w:p w14:paraId="44F467D8" w14:textId="77777777" w:rsidR="00EF5B27" w:rsidRDefault="00EF5B27">
      <w:pPr>
        <w:pStyle w:val="BodyText"/>
      </w:pPr>
    </w:p>
    <w:p w14:paraId="6F40A7A7" w14:textId="77777777" w:rsidR="00EF5B27" w:rsidRDefault="00EF5B27">
      <w:pPr>
        <w:pStyle w:val="BodyText"/>
        <w:spacing w:before="5"/>
        <w:rPr>
          <w:sz w:val="16"/>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52002C7D" w14:textId="77777777">
        <w:trPr>
          <w:trHeight w:val="788"/>
        </w:trPr>
        <w:tc>
          <w:tcPr>
            <w:tcW w:w="2980" w:type="dxa"/>
            <w:shd w:val="clear" w:color="auto" w:fill="FECC91"/>
          </w:tcPr>
          <w:p w14:paraId="1E6C97DF" w14:textId="77777777" w:rsidR="00EF5B27" w:rsidRDefault="00000000">
            <w:pPr>
              <w:pStyle w:val="TableParagraph"/>
              <w:spacing w:before="104" w:line="244" w:lineRule="auto"/>
              <w:ind w:left="80" w:right="244"/>
              <w:rPr>
                <w:b/>
                <w:sz w:val="16"/>
              </w:rPr>
            </w:pPr>
            <w:r>
              <w:rPr>
                <w:b/>
                <w:sz w:val="16"/>
              </w:rPr>
              <w:t>KPI 4: Percentage cover of all perennial vegetation comprised of weeds during drawdown</w:t>
            </w:r>
          </w:p>
        </w:tc>
        <w:tc>
          <w:tcPr>
            <w:tcW w:w="1078" w:type="dxa"/>
            <w:shd w:val="clear" w:color="auto" w:fill="FECC91"/>
          </w:tcPr>
          <w:p w14:paraId="470B168F" w14:textId="77777777" w:rsidR="00EF5B27" w:rsidRDefault="00EF5B27">
            <w:pPr>
              <w:pStyle w:val="TableParagraph"/>
              <w:spacing w:before="9"/>
              <w:rPr>
                <w:sz w:val="16"/>
              </w:rPr>
            </w:pPr>
          </w:p>
          <w:p w14:paraId="0F6D4FE8" w14:textId="77777777" w:rsidR="00EF5B27" w:rsidRDefault="00000000">
            <w:pPr>
              <w:pStyle w:val="TableParagraph"/>
              <w:spacing w:line="244" w:lineRule="auto"/>
              <w:ind w:left="169" w:right="164" w:firstLine="148"/>
              <w:rPr>
                <w:b/>
                <w:sz w:val="16"/>
              </w:rPr>
            </w:pPr>
            <w:r>
              <w:rPr>
                <w:b/>
                <w:w w:val="105"/>
                <w:sz w:val="16"/>
              </w:rPr>
              <w:t>Status 2020-2022</w:t>
            </w:r>
          </w:p>
        </w:tc>
        <w:tc>
          <w:tcPr>
            <w:tcW w:w="2155" w:type="dxa"/>
            <w:shd w:val="clear" w:color="auto" w:fill="FECC91"/>
          </w:tcPr>
          <w:p w14:paraId="6F9F3698" w14:textId="77777777" w:rsidR="00EF5B27" w:rsidRDefault="00EF5B27">
            <w:pPr>
              <w:pStyle w:val="TableParagraph"/>
              <w:spacing w:before="11"/>
              <w:rPr>
                <w:sz w:val="24"/>
              </w:rPr>
            </w:pPr>
          </w:p>
          <w:p w14:paraId="49FE51B7" w14:textId="77777777" w:rsidR="00EF5B27" w:rsidRDefault="00000000">
            <w:pPr>
              <w:pStyle w:val="TableParagraph"/>
              <w:ind w:left="143" w:right="142"/>
              <w:jc w:val="center"/>
              <w:rPr>
                <w:b/>
                <w:sz w:val="16"/>
              </w:rPr>
            </w:pPr>
            <w:r>
              <w:rPr>
                <w:b/>
                <w:sz w:val="16"/>
              </w:rPr>
              <w:t>Reason for non-assessment</w:t>
            </w:r>
          </w:p>
        </w:tc>
        <w:tc>
          <w:tcPr>
            <w:tcW w:w="964" w:type="dxa"/>
            <w:shd w:val="clear" w:color="auto" w:fill="FECC91"/>
          </w:tcPr>
          <w:p w14:paraId="3C91B3EB" w14:textId="77777777" w:rsidR="00EF5B27" w:rsidRDefault="00EF5B27">
            <w:pPr>
              <w:pStyle w:val="TableParagraph"/>
              <w:spacing w:before="11"/>
              <w:rPr>
                <w:sz w:val="24"/>
              </w:rPr>
            </w:pPr>
          </w:p>
          <w:p w14:paraId="3CB0216D" w14:textId="77777777" w:rsidR="00EF5B27" w:rsidRDefault="00000000">
            <w:pPr>
              <w:pStyle w:val="TableParagraph"/>
              <w:ind w:left="283"/>
              <w:rPr>
                <w:b/>
                <w:sz w:val="16"/>
              </w:rPr>
            </w:pPr>
            <w:r>
              <w:rPr>
                <w:b/>
                <w:sz w:val="16"/>
              </w:rPr>
              <w:t>Trend</w:t>
            </w:r>
          </w:p>
        </w:tc>
        <w:tc>
          <w:tcPr>
            <w:tcW w:w="964" w:type="dxa"/>
            <w:shd w:val="clear" w:color="auto" w:fill="FECC91"/>
          </w:tcPr>
          <w:p w14:paraId="4BFF3162" w14:textId="77777777" w:rsidR="00EF5B27" w:rsidRDefault="00EF5B27">
            <w:pPr>
              <w:pStyle w:val="TableParagraph"/>
              <w:spacing w:before="9"/>
              <w:rPr>
                <w:sz w:val="16"/>
              </w:rPr>
            </w:pPr>
          </w:p>
          <w:p w14:paraId="18164DD4" w14:textId="77777777" w:rsidR="00EF5B27" w:rsidRDefault="00000000">
            <w:pPr>
              <w:pStyle w:val="TableParagraph"/>
              <w:spacing w:line="244" w:lineRule="auto"/>
              <w:ind w:left="105" w:right="87" w:firstLine="217"/>
              <w:rPr>
                <w:b/>
                <w:sz w:val="16"/>
              </w:rPr>
            </w:pPr>
            <w:r>
              <w:rPr>
                <w:b/>
                <w:sz w:val="16"/>
              </w:rPr>
              <w:t>Data Confidence</w:t>
            </w:r>
          </w:p>
        </w:tc>
        <w:tc>
          <w:tcPr>
            <w:tcW w:w="1489" w:type="dxa"/>
            <w:shd w:val="clear" w:color="auto" w:fill="FECC91"/>
          </w:tcPr>
          <w:p w14:paraId="2AB46D99" w14:textId="77777777" w:rsidR="00EF5B27" w:rsidRDefault="00EF5B27">
            <w:pPr>
              <w:pStyle w:val="TableParagraph"/>
              <w:spacing w:before="9"/>
              <w:rPr>
                <w:sz w:val="16"/>
              </w:rPr>
            </w:pPr>
          </w:p>
          <w:p w14:paraId="66DD472B" w14:textId="77777777" w:rsidR="00EF5B27" w:rsidRDefault="00000000">
            <w:pPr>
              <w:pStyle w:val="TableParagraph"/>
              <w:spacing w:line="244" w:lineRule="auto"/>
              <w:ind w:left="220" w:hanging="92"/>
              <w:rPr>
                <w:b/>
                <w:sz w:val="16"/>
              </w:rPr>
            </w:pPr>
            <w:r>
              <w:rPr>
                <w:b/>
                <w:sz w:val="16"/>
              </w:rPr>
              <w:t>Year that baseline was/will be set</w:t>
            </w:r>
          </w:p>
        </w:tc>
      </w:tr>
      <w:tr w:rsidR="00EF5B27" w14:paraId="2270AB99" w14:textId="77777777">
        <w:trPr>
          <w:trHeight w:val="448"/>
        </w:trPr>
        <w:tc>
          <w:tcPr>
            <w:tcW w:w="2980" w:type="dxa"/>
          </w:tcPr>
          <w:p w14:paraId="6BB79884" w14:textId="77777777" w:rsidR="00EF5B27" w:rsidRDefault="00EF5B27">
            <w:pPr>
              <w:pStyle w:val="TableParagraph"/>
              <w:spacing w:before="11"/>
              <w:rPr>
                <w:sz w:val="11"/>
              </w:rPr>
            </w:pPr>
          </w:p>
          <w:p w14:paraId="7D62E960" w14:textId="77777777" w:rsidR="00EF5B27" w:rsidRDefault="00000000">
            <w:pPr>
              <w:pStyle w:val="TableParagraph"/>
              <w:ind w:left="80"/>
              <w:rPr>
                <w:sz w:val="14"/>
              </w:rPr>
            </w:pPr>
            <w:r>
              <w:rPr>
                <w:color w:val="4D4D4F"/>
                <w:w w:val="105"/>
                <w:sz w:val="14"/>
              </w:rPr>
              <w:t>Cobbledicks Rise</w:t>
            </w:r>
          </w:p>
        </w:tc>
        <w:tc>
          <w:tcPr>
            <w:tcW w:w="1078" w:type="dxa"/>
          </w:tcPr>
          <w:p w14:paraId="569FF798" w14:textId="77777777" w:rsidR="00EF5B27" w:rsidRDefault="00EF5B27">
            <w:pPr>
              <w:pStyle w:val="TableParagraph"/>
              <w:spacing w:before="11"/>
              <w:rPr>
                <w:sz w:val="11"/>
              </w:rPr>
            </w:pPr>
          </w:p>
          <w:p w14:paraId="51EA5577" w14:textId="77777777" w:rsidR="00EF5B27" w:rsidRDefault="00000000">
            <w:pPr>
              <w:pStyle w:val="TableParagraph"/>
              <w:ind w:left="142"/>
              <w:rPr>
                <w:sz w:val="14"/>
              </w:rPr>
            </w:pPr>
            <w:r>
              <w:rPr>
                <w:color w:val="4D4D4F"/>
                <w:w w:val="105"/>
                <w:sz w:val="14"/>
              </w:rPr>
              <w:t>Not assessed</w:t>
            </w:r>
          </w:p>
        </w:tc>
        <w:tc>
          <w:tcPr>
            <w:tcW w:w="2155" w:type="dxa"/>
          </w:tcPr>
          <w:p w14:paraId="25DD8881" w14:textId="77777777" w:rsidR="00EF5B27" w:rsidRDefault="00EF5B27">
            <w:pPr>
              <w:pStyle w:val="TableParagraph"/>
              <w:spacing w:before="11"/>
              <w:rPr>
                <w:sz w:val="11"/>
              </w:rPr>
            </w:pPr>
          </w:p>
          <w:p w14:paraId="3ECA8146" w14:textId="77777777" w:rsidR="00EF5B27" w:rsidRDefault="00000000">
            <w:pPr>
              <w:pStyle w:val="TableParagraph"/>
              <w:ind w:left="143" w:right="142"/>
              <w:jc w:val="center"/>
              <w:rPr>
                <w:sz w:val="14"/>
              </w:rPr>
            </w:pPr>
            <w:r>
              <w:rPr>
                <w:color w:val="4D4D4F"/>
                <w:sz w:val="14"/>
              </w:rPr>
              <w:t>Lack of drawdown event</w:t>
            </w:r>
          </w:p>
        </w:tc>
        <w:tc>
          <w:tcPr>
            <w:tcW w:w="964" w:type="dxa"/>
          </w:tcPr>
          <w:p w14:paraId="79CE2E0C" w14:textId="77777777" w:rsidR="00EF5B27" w:rsidRDefault="00EF5B27">
            <w:pPr>
              <w:pStyle w:val="TableParagraph"/>
              <w:spacing w:before="4"/>
              <w:rPr>
                <w:sz w:val="7"/>
              </w:rPr>
            </w:pPr>
          </w:p>
          <w:p w14:paraId="75C97778" w14:textId="77777777" w:rsidR="00EF5B27" w:rsidRDefault="00000000">
            <w:pPr>
              <w:pStyle w:val="TableParagraph"/>
              <w:spacing w:line="187" w:lineRule="exact"/>
              <w:ind w:left="400"/>
              <w:rPr>
                <w:sz w:val="18"/>
              </w:rPr>
            </w:pPr>
            <w:r>
              <w:rPr>
                <w:noProof/>
                <w:position w:val="-3"/>
                <w:sz w:val="18"/>
              </w:rPr>
              <w:drawing>
                <wp:inline distT="0" distB="0" distL="0" distR="0" wp14:anchorId="194B7965" wp14:editId="7F7CDEA6">
                  <wp:extent cx="100572" cy="119062"/>
                  <wp:effectExtent l="0" t="0" r="0" b="0"/>
                  <wp:docPr id="229"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91.png"/>
                          <pic:cNvPicPr/>
                        </pic:nvPicPr>
                        <pic:blipFill>
                          <a:blip r:embed="rId83" cstate="print"/>
                          <a:stretch>
                            <a:fillRect/>
                          </a:stretch>
                        </pic:blipFill>
                        <pic:spPr>
                          <a:xfrm>
                            <a:off x="0" y="0"/>
                            <a:ext cx="100572" cy="119062"/>
                          </a:xfrm>
                          <a:prstGeom prst="rect">
                            <a:avLst/>
                          </a:prstGeom>
                        </pic:spPr>
                      </pic:pic>
                    </a:graphicData>
                  </a:graphic>
                </wp:inline>
              </w:drawing>
            </w:r>
          </w:p>
          <w:p w14:paraId="4CF93333" w14:textId="77777777" w:rsidR="00EF5B27" w:rsidRDefault="00EF5B27">
            <w:pPr>
              <w:pStyle w:val="TableParagraph"/>
              <w:spacing w:before="8"/>
              <w:rPr>
                <w:sz w:val="2"/>
              </w:rPr>
            </w:pPr>
          </w:p>
          <w:p w14:paraId="0F2E0811" w14:textId="77777777" w:rsidR="00EF5B27" w:rsidRDefault="00000000">
            <w:pPr>
              <w:pStyle w:val="TableParagraph"/>
              <w:spacing w:line="48" w:lineRule="exact"/>
              <w:ind w:left="448"/>
              <w:rPr>
                <w:sz w:val="4"/>
              </w:rPr>
            </w:pPr>
            <w:r>
              <w:rPr>
                <w:sz w:val="4"/>
              </w:rPr>
            </w:r>
            <w:r>
              <w:rPr>
                <w:sz w:val="4"/>
              </w:rPr>
              <w:pict w14:anchorId="7FD9D494">
                <v:group id="_x0000_s3939" style="width:2.45pt;height:2.45pt;mso-position-horizontal-relative:char;mso-position-vertical-relative:line" coordsize="49,49">
                  <v:shape id="_x0000_s3940" style="position:absolute;width:49;height:49" coordsize="49,49" path="m31,l18,,12,2,2,12,,17,,31r2,6l12,46r6,3l31,49r6,-3l46,37r3,-6l49,17,46,12,37,2,31,xe" fillcolor="#808285" stroked="f">
                    <v:path arrowok="t"/>
                  </v:shape>
                  <w10:wrap type="none"/>
                  <w10:anchorlock/>
                </v:group>
              </w:pict>
            </w:r>
          </w:p>
        </w:tc>
        <w:tc>
          <w:tcPr>
            <w:tcW w:w="964" w:type="dxa"/>
          </w:tcPr>
          <w:p w14:paraId="73F83429" w14:textId="77777777" w:rsidR="00EF5B27" w:rsidRDefault="00EF5B27">
            <w:pPr>
              <w:pStyle w:val="TableParagraph"/>
              <w:spacing w:before="11"/>
              <w:rPr>
                <w:sz w:val="11"/>
              </w:rPr>
            </w:pPr>
          </w:p>
          <w:p w14:paraId="13F60DBF" w14:textId="77777777" w:rsidR="00EF5B27" w:rsidRDefault="00000000">
            <w:pPr>
              <w:pStyle w:val="TableParagraph"/>
              <w:ind w:left="318" w:right="323"/>
              <w:jc w:val="center"/>
              <w:rPr>
                <w:sz w:val="14"/>
              </w:rPr>
            </w:pPr>
            <w:r>
              <w:rPr>
                <w:color w:val="4D4D4F"/>
                <w:w w:val="105"/>
                <w:sz w:val="14"/>
              </w:rPr>
              <w:t>N/A</w:t>
            </w:r>
          </w:p>
        </w:tc>
        <w:tc>
          <w:tcPr>
            <w:tcW w:w="1489" w:type="dxa"/>
          </w:tcPr>
          <w:p w14:paraId="617A0DCF" w14:textId="77777777" w:rsidR="00EF5B27" w:rsidRDefault="00000000">
            <w:pPr>
              <w:pStyle w:val="TableParagraph"/>
              <w:spacing w:before="134"/>
              <w:ind w:left="451" w:right="457"/>
              <w:jc w:val="center"/>
              <w:rPr>
                <w:sz w:val="16"/>
              </w:rPr>
            </w:pPr>
            <w:r>
              <w:rPr>
                <w:color w:val="4D4D4F"/>
                <w:sz w:val="16"/>
              </w:rPr>
              <w:t>2017</w:t>
            </w:r>
          </w:p>
        </w:tc>
      </w:tr>
      <w:tr w:rsidR="00EF5B27" w14:paraId="71B393BD" w14:textId="77777777">
        <w:trPr>
          <w:trHeight w:val="448"/>
        </w:trPr>
        <w:tc>
          <w:tcPr>
            <w:tcW w:w="2980" w:type="dxa"/>
          </w:tcPr>
          <w:p w14:paraId="5773C78D" w14:textId="77777777" w:rsidR="00EF5B27" w:rsidRDefault="00EF5B27">
            <w:pPr>
              <w:pStyle w:val="TableParagraph"/>
              <w:spacing w:before="11"/>
              <w:rPr>
                <w:sz w:val="11"/>
              </w:rPr>
            </w:pPr>
          </w:p>
          <w:p w14:paraId="0FBB4431" w14:textId="77777777" w:rsidR="00EF5B27" w:rsidRDefault="00000000">
            <w:pPr>
              <w:pStyle w:val="TableParagraph"/>
              <w:ind w:left="80"/>
              <w:rPr>
                <w:sz w:val="14"/>
              </w:rPr>
            </w:pPr>
            <w:r>
              <w:rPr>
                <w:color w:val="4D4D4F"/>
                <w:w w:val="105"/>
                <w:sz w:val="14"/>
              </w:rPr>
              <w:t>One Tree Rise</w:t>
            </w:r>
          </w:p>
        </w:tc>
        <w:tc>
          <w:tcPr>
            <w:tcW w:w="1078" w:type="dxa"/>
          </w:tcPr>
          <w:p w14:paraId="1E33C8B8" w14:textId="77777777" w:rsidR="00EF5B27" w:rsidRDefault="00EF5B27">
            <w:pPr>
              <w:pStyle w:val="TableParagraph"/>
              <w:spacing w:before="11"/>
              <w:rPr>
                <w:sz w:val="11"/>
              </w:rPr>
            </w:pPr>
          </w:p>
          <w:p w14:paraId="43A8082B" w14:textId="77777777" w:rsidR="00EF5B27" w:rsidRDefault="00000000">
            <w:pPr>
              <w:pStyle w:val="TableParagraph"/>
              <w:ind w:left="142"/>
              <w:rPr>
                <w:sz w:val="14"/>
              </w:rPr>
            </w:pPr>
            <w:r>
              <w:rPr>
                <w:color w:val="4D4D4F"/>
                <w:w w:val="105"/>
                <w:sz w:val="14"/>
              </w:rPr>
              <w:t>Not assessed</w:t>
            </w:r>
          </w:p>
        </w:tc>
        <w:tc>
          <w:tcPr>
            <w:tcW w:w="2155" w:type="dxa"/>
          </w:tcPr>
          <w:p w14:paraId="204E44D9" w14:textId="77777777" w:rsidR="00EF5B27" w:rsidRDefault="00EF5B27">
            <w:pPr>
              <w:pStyle w:val="TableParagraph"/>
              <w:spacing w:before="11"/>
              <w:rPr>
                <w:sz w:val="11"/>
              </w:rPr>
            </w:pPr>
          </w:p>
          <w:p w14:paraId="75B3E988" w14:textId="77777777" w:rsidR="00EF5B27" w:rsidRDefault="00000000">
            <w:pPr>
              <w:pStyle w:val="TableParagraph"/>
              <w:ind w:left="143" w:right="142"/>
              <w:jc w:val="center"/>
              <w:rPr>
                <w:sz w:val="14"/>
              </w:rPr>
            </w:pPr>
            <w:r>
              <w:rPr>
                <w:color w:val="4D4D4F"/>
                <w:sz w:val="14"/>
              </w:rPr>
              <w:t>Lack of drawdown event</w:t>
            </w:r>
          </w:p>
        </w:tc>
        <w:tc>
          <w:tcPr>
            <w:tcW w:w="964" w:type="dxa"/>
          </w:tcPr>
          <w:p w14:paraId="12130929" w14:textId="77777777" w:rsidR="00EF5B27" w:rsidRDefault="00EF5B27">
            <w:pPr>
              <w:pStyle w:val="TableParagraph"/>
              <w:spacing w:before="4"/>
              <w:rPr>
                <w:sz w:val="7"/>
              </w:rPr>
            </w:pPr>
          </w:p>
          <w:p w14:paraId="7F531C05" w14:textId="77777777" w:rsidR="00EF5B27" w:rsidRDefault="00000000">
            <w:pPr>
              <w:pStyle w:val="TableParagraph"/>
              <w:spacing w:line="187" w:lineRule="exact"/>
              <w:ind w:left="400"/>
              <w:rPr>
                <w:sz w:val="18"/>
              </w:rPr>
            </w:pPr>
            <w:r>
              <w:rPr>
                <w:noProof/>
                <w:position w:val="-3"/>
                <w:sz w:val="18"/>
              </w:rPr>
              <w:drawing>
                <wp:inline distT="0" distB="0" distL="0" distR="0" wp14:anchorId="62BD1C89" wp14:editId="0BFCADD5">
                  <wp:extent cx="100572" cy="119062"/>
                  <wp:effectExtent l="0" t="0" r="0" b="0"/>
                  <wp:docPr id="231"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92.png"/>
                          <pic:cNvPicPr/>
                        </pic:nvPicPr>
                        <pic:blipFill>
                          <a:blip r:embed="rId95" cstate="print"/>
                          <a:stretch>
                            <a:fillRect/>
                          </a:stretch>
                        </pic:blipFill>
                        <pic:spPr>
                          <a:xfrm>
                            <a:off x="0" y="0"/>
                            <a:ext cx="100572" cy="119062"/>
                          </a:xfrm>
                          <a:prstGeom prst="rect">
                            <a:avLst/>
                          </a:prstGeom>
                        </pic:spPr>
                      </pic:pic>
                    </a:graphicData>
                  </a:graphic>
                </wp:inline>
              </w:drawing>
            </w:r>
          </w:p>
          <w:p w14:paraId="3266D983" w14:textId="77777777" w:rsidR="00EF5B27" w:rsidRDefault="00EF5B27">
            <w:pPr>
              <w:pStyle w:val="TableParagraph"/>
              <w:spacing w:before="8"/>
              <w:rPr>
                <w:sz w:val="2"/>
              </w:rPr>
            </w:pPr>
          </w:p>
          <w:p w14:paraId="2EB34D6F" w14:textId="77777777" w:rsidR="00EF5B27" w:rsidRDefault="00000000">
            <w:pPr>
              <w:pStyle w:val="TableParagraph"/>
              <w:spacing w:line="48" w:lineRule="exact"/>
              <w:ind w:left="448"/>
              <w:rPr>
                <w:sz w:val="4"/>
              </w:rPr>
            </w:pPr>
            <w:r>
              <w:rPr>
                <w:sz w:val="4"/>
              </w:rPr>
            </w:r>
            <w:r>
              <w:rPr>
                <w:sz w:val="4"/>
              </w:rPr>
              <w:pict w14:anchorId="2155C558">
                <v:group id="_x0000_s3937" style="width:2.45pt;height:2.45pt;mso-position-horizontal-relative:char;mso-position-vertical-relative:line" coordsize="49,49">
                  <v:shape id="_x0000_s3938" style="position:absolute;width:49;height:49" coordsize="49,49" path="m31,l18,,12,2,2,12,,17,,31r2,6l12,46r6,3l31,49r6,-3l46,37r3,-6l49,17,46,12,37,2,31,xe" fillcolor="#808285" stroked="f">
                    <v:path arrowok="t"/>
                  </v:shape>
                  <w10:wrap type="none"/>
                  <w10:anchorlock/>
                </v:group>
              </w:pict>
            </w:r>
          </w:p>
        </w:tc>
        <w:tc>
          <w:tcPr>
            <w:tcW w:w="964" w:type="dxa"/>
          </w:tcPr>
          <w:p w14:paraId="2FAE62CF" w14:textId="77777777" w:rsidR="00EF5B27" w:rsidRDefault="00EF5B27">
            <w:pPr>
              <w:pStyle w:val="TableParagraph"/>
              <w:spacing w:before="11"/>
              <w:rPr>
                <w:sz w:val="11"/>
              </w:rPr>
            </w:pPr>
          </w:p>
          <w:p w14:paraId="50115D9D" w14:textId="77777777" w:rsidR="00EF5B27" w:rsidRDefault="00000000">
            <w:pPr>
              <w:pStyle w:val="TableParagraph"/>
              <w:ind w:left="318" w:right="323"/>
              <w:jc w:val="center"/>
              <w:rPr>
                <w:sz w:val="14"/>
              </w:rPr>
            </w:pPr>
            <w:r>
              <w:rPr>
                <w:color w:val="4D4D4F"/>
                <w:w w:val="105"/>
                <w:sz w:val="14"/>
              </w:rPr>
              <w:t>N/A</w:t>
            </w:r>
          </w:p>
        </w:tc>
        <w:tc>
          <w:tcPr>
            <w:tcW w:w="1489" w:type="dxa"/>
          </w:tcPr>
          <w:p w14:paraId="454135A3" w14:textId="77777777" w:rsidR="00EF5B27" w:rsidRDefault="00000000">
            <w:pPr>
              <w:pStyle w:val="TableParagraph"/>
              <w:spacing w:before="134"/>
              <w:ind w:left="457" w:right="457"/>
              <w:jc w:val="center"/>
              <w:rPr>
                <w:sz w:val="16"/>
              </w:rPr>
            </w:pPr>
            <w:r>
              <w:rPr>
                <w:color w:val="4D4D4F"/>
                <w:w w:val="105"/>
                <w:sz w:val="16"/>
              </w:rPr>
              <w:t>Unclear</w:t>
            </w:r>
          </w:p>
        </w:tc>
      </w:tr>
      <w:tr w:rsidR="00EF5B27" w14:paraId="3009806F" w14:textId="77777777">
        <w:trPr>
          <w:trHeight w:val="448"/>
        </w:trPr>
        <w:tc>
          <w:tcPr>
            <w:tcW w:w="2980" w:type="dxa"/>
          </w:tcPr>
          <w:p w14:paraId="1137BE96" w14:textId="77777777" w:rsidR="00EF5B27" w:rsidRDefault="00EF5B27">
            <w:pPr>
              <w:pStyle w:val="TableParagraph"/>
              <w:spacing w:before="11"/>
              <w:rPr>
                <w:sz w:val="11"/>
              </w:rPr>
            </w:pPr>
          </w:p>
          <w:p w14:paraId="22973CF6" w14:textId="77777777" w:rsidR="00EF5B27" w:rsidRDefault="00000000">
            <w:pPr>
              <w:pStyle w:val="TableParagraph"/>
              <w:ind w:left="80"/>
              <w:rPr>
                <w:sz w:val="14"/>
              </w:rPr>
            </w:pPr>
            <w:r>
              <w:rPr>
                <w:color w:val="4D4D4F"/>
                <w:sz w:val="14"/>
              </w:rPr>
              <w:t>Windmill</w:t>
            </w:r>
          </w:p>
        </w:tc>
        <w:tc>
          <w:tcPr>
            <w:tcW w:w="1078" w:type="dxa"/>
          </w:tcPr>
          <w:p w14:paraId="1F0A7340" w14:textId="77777777" w:rsidR="00EF5B27" w:rsidRDefault="00EF5B27">
            <w:pPr>
              <w:pStyle w:val="TableParagraph"/>
              <w:spacing w:before="11"/>
              <w:rPr>
                <w:sz w:val="11"/>
              </w:rPr>
            </w:pPr>
          </w:p>
          <w:p w14:paraId="6EF41578" w14:textId="77777777" w:rsidR="00EF5B27" w:rsidRDefault="00000000">
            <w:pPr>
              <w:pStyle w:val="TableParagraph"/>
              <w:ind w:left="142"/>
              <w:rPr>
                <w:sz w:val="14"/>
              </w:rPr>
            </w:pPr>
            <w:r>
              <w:rPr>
                <w:color w:val="4D4D4F"/>
                <w:w w:val="105"/>
                <w:sz w:val="14"/>
              </w:rPr>
              <w:t>Not assessed</w:t>
            </w:r>
          </w:p>
        </w:tc>
        <w:tc>
          <w:tcPr>
            <w:tcW w:w="2155" w:type="dxa"/>
          </w:tcPr>
          <w:p w14:paraId="24E897C7" w14:textId="77777777" w:rsidR="00EF5B27" w:rsidRDefault="00EF5B27">
            <w:pPr>
              <w:pStyle w:val="TableParagraph"/>
              <w:spacing w:before="11"/>
              <w:rPr>
                <w:sz w:val="11"/>
              </w:rPr>
            </w:pPr>
          </w:p>
          <w:p w14:paraId="0A137873" w14:textId="77777777" w:rsidR="00EF5B27" w:rsidRDefault="00000000">
            <w:pPr>
              <w:pStyle w:val="TableParagraph"/>
              <w:ind w:left="143" w:right="142"/>
              <w:jc w:val="center"/>
              <w:rPr>
                <w:sz w:val="14"/>
              </w:rPr>
            </w:pPr>
            <w:r>
              <w:rPr>
                <w:color w:val="4D4D4F"/>
                <w:sz w:val="14"/>
              </w:rPr>
              <w:t>Lack of drawdown event</w:t>
            </w:r>
          </w:p>
        </w:tc>
        <w:tc>
          <w:tcPr>
            <w:tcW w:w="964" w:type="dxa"/>
          </w:tcPr>
          <w:p w14:paraId="28008E60" w14:textId="77777777" w:rsidR="00EF5B27" w:rsidRDefault="00EF5B27">
            <w:pPr>
              <w:pStyle w:val="TableParagraph"/>
              <w:spacing w:before="4"/>
              <w:rPr>
                <w:sz w:val="7"/>
              </w:rPr>
            </w:pPr>
          </w:p>
          <w:p w14:paraId="3862AE00" w14:textId="77777777" w:rsidR="00EF5B27" w:rsidRDefault="00000000">
            <w:pPr>
              <w:pStyle w:val="TableParagraph"/>
              <w:spacing w:line="187" w:lineRule="exact"/>
              <w:ind w:left="400"/>
              <w:rPr>
                <w:sz w:val="18"/>
              </w:rPr>
            </w:pPr>
            <w:r>
              <w:rPr>
                <w:noProof/>
                <w:position w:val="-3"/>
                <w:sz w:val="18"/>
              </w:rPr>
              <w:drawing>
                <wp:inline distT="0" distB="0" distL="0" distR="0" wp14:anchorId="728096E9" wp14:editId="4A2A4F99">
                  <wp:extent cx="100572" cy="119062"/>
                  <wp:effectExtent l="0" t="0" r="0" b="0"/>
                  <wp:docPr id="23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83.png"/>
                          <pic:cNvPicPr/>
                        </pic:nvPicPr>
                        <pic:blipFill>
                          <a:blip r:embed="rId91" cstate="print"/>
                          <a:stretch>
                            <a:fillRect/>
                          </a:stretch>
                        </pic:blipFill>
                        <pic:spPr>
                          <a:xfrm>
                            <a:off x="0" y="0"/>
                            <a:ext cx="100572" cy="119062"/>
                          </a:xfrm>
                          <a:prstGeom prst="rect">
                            <a:avLst/>
                          </a:prstGeom>
                        </pic:spPr>
                      </pic:pic>
                    </a:graphicData>
                  </a:graphic>
                </wp:inline>
              </w:drawing>
            </w:r>
          </w:p>
          <w:p w14:paraId="3CBA0786" w14:textId="77777777" w:rsidR="00EF5B27" w:rsidRDefault="00EF5B27">
            <w:pPr>
              <w:pStyle w:val="TableParagraph"/>
              <w:spacing w:before="8"/>
              <w:rPr>
                <w:sz w:val="2"/>
              </w:rPr>
            </w:pPr>
          </w:p>
          <w:p w14:paraId="47BF6B22" w14:textId="77777777" w:rsidR="00EF5B27" w:rsidRDefault="00000000">
            <w:pPr>
              <w:pStyle w:val="TableParagraph"/>
              <w:spacing w:line="48" w:lineRule="exact"/>
              <w:ind w:left="448"/>
              <w:rPr>
                <w:sz w:val="4"/>
              </w:rPr>
            </w:pPr>
            <w:r>
              <w:rPr>
                <w:sz w:val="4"/>
              </w:rPr>
            </w:r>
            <w:r>
              <w:rPr>
                <w:sz w:val="4"/>
              </w:rPr>
              <w:pict w14:anchorId="2CC46ED8">
                <v:group id="_x0000_s3935" style="width:2.45pt;height:2.45pt;mso-position-horizontal-relative:char;mso-position-vertical-relative:line" coordsize="49,49">
                  <v:shape id="_x0000_s3936" style="position:absolute;width:49;height:49" coordsize="49,49" path="m31,l18,,12,2,2,12,,17,,31r2,6l12,46r6,3l31,49r6,-3l46,37r3,-6l49,17,46,12,37,2,31,xe" fillcolor="#808285" stroked="f">
                    <v:path arrowok="t"/>
                  </v:shape>
                  <w10:wrap type="none"/>
                  <w10:anchorlock/>
                </v:group>
              </w:pict>
            </w:r>
          </w:p>
        </w:tc>
        <w:tc>
          <w:tcPr>
            <w:tcW w:w="964" w:type="dxa"/>
          </w:tcPr>
          <w:p w14:paraId="157DCDD2" w14:textId="77777777" w:rsidR="00EF5B27" w:rsidRDefault="00EF5B27">
            <w:pPr>
              <w:pStyle w:val="TableParagraph"/>
              <w:spacing w:before="11"/>
              <w:rPr>
                <w:sz w:val="11"/>
              </w:rPr>
            </w:pPr>
          </w:p>
          <w:p w14:paraId="164DBC4C" w14:textId="77777777" w:rsidR="00EF5B27" w:rsidRDefault="00000000">
            <w:pPr>
              <w:pStyle w:val="TableParagraph"/>
              <w:ind w:left="318" w:right="323"/>
              <w:jc w:val="center"/>
              <w:rPr>
                <w:sz w:val="14"/>
              </w:rPr>
            </w:pPr>
            <w:r>
              <w:rPr>
                <w:color w:val="4D4D4F"/>
                <w:w w:val="105"/>
                <w:sz w:val="14"/>
              </w:rPr>
              <w:t>N/A</w:t>
            </w:r>
          </w:p>
        </w:tc>
        <w:tc>
          <w:tcPr>
            <w:tcW w:w="1489" w:type="dxa"/>
          </w:tcPr>
          <w:p w14:paraId="3F3D5C44" w14:textId="77777777" w:rsidR="00EF5B27" w:rsidRDefault="00000000">
            <w:pPr>
              <w:pStyle w:val="TableParagraph"/>
              <w:spacing w:before="134"/>
              <w:ind w:left="451" w:right="457"/>
              <w:jc w:val="center"/>
              <w:rPr>
                <w:sz w:val="16"/>
              </w:rPr>
            </w:pPr>
            <w:r>
              <w:rPr>
                <w:color w:val="4D4D4F"/>
                <w:sz w:val="16"/>
              </w:rPr>
              <w:t>2017</w:t>
            </w:r>
          </w:p>
        </w:tc>
      </w:tr>
    </w:tbl>
    <w:p w14:paraId="7790F318" w14:textId="77777777" w:rsidR="00EF5B27" w:rsidRDefault="00EF5B27">
      <w:pPr>
        <w:pStyle w:val="BodyText"/>
        <w:spacing w:before="1"/>
        <w:rPr>
          <w:sz w:val="26"/>
        </w:rPr>
      </w:pPr>
    </w:p>
    <w:p w14:paraId="0ECAD895" w14:textId="77777777" w:rsidR="00EF5B27" w:rsidRDefault="00000000">
      <w:pPr>
        <w:pStyle w:val="BodyText"/>
        <w:spacing w:before="100" w:line="254" w:lineRule="auto"/>
        <w:ind w:left="2608" w:right="206"/>
      </w:pPr>
      <w:r>
        <w:pict w14:anchorId="06DD0F4B">
          <v:group id="_x0000_s3932" style="position:absolute;left:0;text-align:left;margin-left:57.1pt;margin-top:115.2pt;width:481.15pt;height:.25pt;z-index:251466240;mso-position-horizontal-relative:page" coordorigin="1142,2304" coordsize="9623,5">
            <v:line id="_x0000_s3934" style="position:absolute" from="1142,2306" to="3636,2306" strokeweight=".25pt"/>
            <v:line id="_x0000_s3933" style="position:absolute" from="3636,2306" to="10764,2306" strokeweight=".25pt"/>
            <w10:wrap anchorx="page"/>
          </v:group>
        </w:pict>
      </w:r>
      <w:r>
        <w:rPr>
          <w:color w:val="4D4D4F"/>
        </w:rPr>
        <w:t xml:space="preserve">Comments: Like KPI 3, this KPI measures the percentage of all perennial vegetation cover that is comprised of weeds. In this case, the KPI only applies when a wetland is drawing down, having been filled. This KPI is assessed against a baseline, set by the  first year of </w:t>
      </w:r>
      <w:r>
        <w:rPr>
          <w:color w:val="4D4D4F"/>
          <w:spacing w:val="-3"/>
        </w:rPr>
        <w:t xml:space="preserve">monitoring </w:t>
      </w:r>
      <w:r>
        <w:rPr>
          <w:color w:val="4D4D4F"/>
        </w:rPr>
        <w:t xml:space="preserve">at drawdown, with a </w:t>
      </w:r>
      <w:r>
        <w:rPr>
          <w:color w:val="4D4D4F"/>
          <w:spacing w:val="-3"/>
        </w:rPr>
        <w:t xml:space="preserve">unique </w:t>
      </w:r>
      <w:r>
        <w:rPr>
          <w:color w:val="4D4D4F"/>
        </w:rPr>
        <w:t xml:space="preserve">benchmark </w:t>
      </w:r>
      <w:r>
        <w:rPr>
          <w:color w:val="4D4D4F"/>
          <w:spacing w:val="-2"/>
        </w:rPr>
        <w:t xml:space="preserve">for </w:t>
      </w:r>
      <w:r>
        <w:rPr>
          <w:color w:val="4D4D4F"/>
        </w:rPr>
        <w:t xml:space="preserve">each </w:t>
      </w:r>
      <w:r>
        <w:rPr>
          <w:color w:val="4D4D4F"/>
          <w:spacing w:val="-3"/>
        </w:rPr>
        <w:t xml:space="preserve">wetland. Since </w:t>
      </w:r>
      <w:r>
        <w:rPr>
          <w:color w:val="4D4D4F"/>
        </w:rPr>
        <w:t xml:space="preserve">monitoring began, drawdown has only occurred in </w:t>
      </w:r>
      <w:r>
        <w:rPr>
          <w:color w:val="4D4D4F"/>
          <w:spacing w:val="-7"/>
        </w:rPr>
        <w:t xml:space="preserve">2017, </w:t>
      </w:r>
      <w:r>
        <w:rPr>
          <w:color w:val="4D4D4F"/>
        </w:rPr>
        <w:t xml:space="preserve">for Windmill Wetland and </w:t>
      </w:r>
      <w:r>
        <w:rPr>
          <w:color w:val="4D4D4F"/>
          <w:spacing w:val="-3"/>
        </w:rPr>
        <w:t xml:space="preserve">Cobbledicks </w:t>
      </w:r>
      <w:r>
        <w:rPr>
          <w:color w:val="4D4D4F"/>
          <w:spacing w:val="-4"/>
        </w:rPr>
        <w:t xml:space="preserve">Rise Wetland (One </w:t>
      </w:r>
      <w:r>
        <w:rPr>
          <w:color w:val="4D4D4F"/>
          <w:spacing w:val="-6"/>
        </w:rPr>
        <w:t xml:space="preserve">Tree </w:t>
      </w:r>
      <w:r>
        <w:rPr>
          <w:color w:val="4D4D4F"/>
          <w:spacing w:val="-4"/>
        </w:rPr>
        <w:t xml:space="preserve">Rise </w:t>
      </w:r>
      <w:r>
        <w:rPr>
          <w:color w:val="4D4D4F"/>
          <w:spacing w:val="-3"/>
        </w:rPr>
        <w:t xml:space="preserve">has </w:t>
      </w:r>
      <w:r>
        <w:rPr>
          <w:color w:val="4D4D4F"/>
        </w:rPr>
        <w:t xml:space="preserve">a </w:t>
      </w:r>
      <w:r>
        <w:rPr>
          <w:color w:val="4D4D4F"/>
          <w:spacing w:val="-5"/>
        </w:rPr>
        <w:t xml:space="preserve">smaller </w:t>
      </w:r>
      <w:r>
        <w:rPr>
          <w:color w:val="4D4D4F"/>
          <w:spacing w:val="-4"/>
        </w:rPr>
        <w:t xml:space="preserve">catchment </w:t>
      </w:r>
      <w:r>
        <w:rPr>
          <w:color w:val="4D4D4F"/>
          <w:spacing w:val="-3"/>
        </w:rPr>
        <w:t xml:space="preserve">and </w:t>
      </w:r>
      <w:r>
        <w:rPr>
          <w:color w:val="4D4D4F"/>
          <w:spacing w:val="-4"/>
        </w:rPr>
        <w:t xml:space="preserve">did </w:t>
      </w:r>
      <w:r>
        <w:rPr>
          <w:color w:val="4D4D4F"/>
          <w:spacing w:val="-3"/>
        </w:rPr>
        <w:t xml:space="preserve">not fill in </w:t>
      </w:r>
      <w:r>
        <w:rPr>
          <w:color w:val="4D4D4F"/>
          <w:spacing w:val="-7"/>
        </w:rPr>
        <w:t xml:space="preserve">2017). </w:t>
      </w:r>
      <w:r>
        <w:rPr>
          <w:color w:val="4D4D4F"/>
        </w:rPr>
        <w:t xml:space="preserve">Drawdown </w:t>
      </w:r>
      <w:r>
        <w:rPr>
          <w:color w:val="4D4D4F"/>
          <w:spacing w:val="-4"/>
        </w:rPr>
        <w:t xml:space="preserve">did </w:t>
      </w:r>
      <w:r>
        <w:rPr>
          <w:color w:val="4D4D4F"/>
          <w:spacing w:val="-3"/>
        </w:rPr>
        <w:t xml:space="preserve">not </w:t>
      </w:r>
      <w:r>
        <w:rPr>
          <w:color w:val="4D4D4F"/>
        </w:rPr>
        <w:t xml:space="preserve">occur </w:t>
      </w:r>
      <w:r>
        <w:rPr>
          <w:color w:val="4D4D4F"/>
          <w:spacing w:val="-3"/>
        </w:rPr>
        <w:t xml:space="preserve">during 2020–2022 </w:t>
      </w:r>
      <w:r>
        <w:rPr>
          <w:color w:val="4D4D4F"/>
        </w:rPr>
        <w:t xml:space="preserve">so </w:t>
      </w:r>
      <w:r>
        <w:rPr>
          <w:color w:val="4D4D4F"/>
          <w:spacing w:val="-4"/>
        </w:rPr>
        <w:t xml:space="preserve">this </w:t>
      </w:r>
      <w:r>
        <w:rPr>
          <w:color w:val="4D4D4F"/>
        </w:rPr>
        <w:t xml:space="preserve">KPI </w:t>
      </w:r>
      <w:r>
        <w:rPr>
          <w:color w:val="4D4D4F"/>
          <w:spacing w:val="-2"/>
        </w:rPr>
        <w:t xml:space="preserve">was </w:t>
      </w:r>
      <w:r>
        <w:rPr>
          <w:color w:val="4D4D4F"/>
          <w:spacing w:val="-3"/>
        </w:rPr>
        <w:t>not assessed in</w:t>
      </w:r>
      <w:r>
        <w:rPr>
          <w:color w:val="4D4D4F"/>
          <w:spacing w:val="27"/>
        </w:rPr>
        <w:t xml:space="preserve"> </w:t>
      </w:r>
      <w:r>
        <w:rPr>
          <w:color w:val="4D4D4F"/>
          <w:spacing w:val="-3"/>
        </w:rPr>
        <w:t>2020–2022.</w:t>
      </w:r>
    </w:p>
    <w:p w14:paraId="16E37F28" w14:textId="77777777" w:rsidR="00EF5B27" w:rsidRDefault="00EF5B27">
      <w:pPr>
        <w:pStyle w:val="BodyText"/>
      </w:pPr>
    </w:p>
    <w:p w14:paraId="3091EFC2" w14:textId="77777777" w:rsidR="00EF5B27" w:rsidRDefault="00000000">
      <w:pPr>
        <w:pStyle w:val="BodyText"/>
        <w:spacing w:before="7"/>
        <w:rPr>
          <w:sz w:val="10"/>
        </w:rPr>
      </w:pPr>
      <w:r>
        <w:pict w14:anchorId="69A053E9">
          <v:shape id="_x0000_s3931" type="#_x0000_t202" style="position:absolute;margin-left:57.1pt;margin-top:7.7pt;width:481.15pt;height:25.3pt;z-index:251426304;mso-wrap-distance-left:0;mso-wrap-distance-right:0;mso-position-horizontal-relative:page" fillcolor="#fecc91" stroked="f">
            <v:textbox inset="0,0,0,0">
              <w:txbxContent>
                <w:p w14:paraId="08B3D737" w14:textId="77777777" w:rsidR="00EF5B27" w:rsidRDefault="00000000">
                  <w:pPr>
                    <w:tabs>
                      <w:tab w:val="left" w:pos="2607"/>
                    </w:tabs>
                    <w:spacing w:before="140"/>
                    <w:ind w:left="113"/>
                    <w:rPr>
                      <w:b/>
                      <w:sz w:val="20"/>
                    </w:rPr>
                  </w:pPr>
                  <w:r>
                    <w:rPr>
                      <w:b/>
                      <w:color w:val="4D4D4F"/>
                      <w:sz w:val="20"/>
                    </w:rPr>
                    <w:t>Theme</w:t>
                  </w:r>
                  <w:r>
                    <w:rPr>
                      <w:b/>
                      <w:color w:val="4D4D4F"/>
                      <w:sz w:val="20"/>
                    </w:rPr>
                    <w:tab/>
                    <w:t>Seasonal Herbaceous</w:t>
                  </w:r>
                  <w:r>
                    <w:rPr>
                      <w:b/>
                      <w:color w:val="4D4D4F"/>
                      <w:spacing w:val="8"/>
                      <w:sz w:val="20"/>
                    </w:rPr>
                    <w:t xml:space="preserve"> </w:t>
                  </w:r>
                  <w:r>
                    <w:rPr>
                      <w:b/>
                      <w:color w:val="4D4D4F"/>
                      <w:sz w:val="20"/>
                    </w:rPr>
                    <w:t>Wetland</w:t>
                  </w:r>
                </w:p>
              </w:txbxContent>
            </v:textbox>
            <w10:wrap type="topAndBottom" anchorx="page"/>
          </v:shape>
        </w:pict>
      </w:r>
    </w:p>
    <w:p w14:paraId="69A7B13A" w14:textId="77777777" w:rsidR="00EF5B27" w:rsidRDefault="00EF5B27">
      <w:pPr>
        <w:pStyle w:val="BodyText"/>
        <w:spacing w:before="8"/>
        <w:rPr>
          <w:sz w:val="5"/>
        </w:rPr>
      </w:pPr>
    </w:p>
    <w:p w14:paraId="6146F069" w14:textId="77777777" w:rsidR="00EF5B27" w:rsidRDefault="00EF5B27">
      <w:pPr>
        <w:rPr>
          <w:sz w:val="5"/>
        </w:rPr>
        <w:sectPr w:rsidR="00EF5B27">
          <w:pgSz w:w="11910" w:h="16840"/>
          <w:pgMar w:top="1080" w:right="1020" w:bottom="860" w:left="1020" w:header="537" w:footer="678" w:gutter="0"/>
          <w:cols w:space="720"/>
        </w:sectPr>
      </w:pPr>
    </w:p>
    <w:p w14:paraId="7981CD06" w14:textId="77777777" w:rsidR="00EF5B27" w:rsidRDefault="00000000">
      <w:pPr>
        <w:pStyle w:val="BodyText"/>
        <w:spacing w:before="54"/>
        <w:ind w:left="235"/>
      </w:pPr>
      <w:r>
        <w:pict w14:anchorId="46BFFD2B">
          <v:group id="_x0000_s3928" style="position:absolute;left:0;text-align:left;margin-left:57.1pt;margin-top:-4.2pt;width:481.15pt;height:.25pt;z-index:251467264;mso-position-horizontal-relative:page" coordorigin="1142,-84" coordsize="9623,5">
            <v:line id="_x0000_s3930" style="position:absolute" from="1142,-81" to="3636,-81" strokeweight=".25pt"/>
            <v:line id="_x0000_s3929" style="position:absolute" from="3636,-81" to="10764,-81" strokeweight=".25pt"/>
            <w10:wrap anchorx="page"/>
          </v:group>
        </w:pict>
      </w:r>
      <w:r>
        <w:rPr>
          <w:color w:val="4D4D4F"/>
        </w:rPr>
        <w:t>Recommendation</w:t>
      </w:r>
    </w:p>
    <w:p w14:paraId="03A35A11" w14:textId="77777777" w:rsidR="00EF5B27" w:rsidRDefault="00000000">
      <w:pPr>
        <w:pStyle w:val="Heading1"/>
        <w:spacing w:before="3"/>
        <w:ind w:left="235"/>
      </w:pPr>
      <w:r>
        <w:rPr>
          <w:color w:val="4D4D4F"/>
          <w:w w:val="105"/>
        </w:rPr>
        <w:t>07</w:t>
      </w:r>
    </w:p>
    <w:p w14:paraId="2CC2ED75" w14:textId="77777777" w:rsidR="00EF5B27" w:rsidRDefault="00000000">
      <w:pPr>
        <w:pStyle w:val="BodyText"/>
        <w:spacing w:before="54"/>
        <w:ind w:left="235"/>
      </w:pPr>
      <w:r>
        <w:br w:type="column"/>
      </w:r>
      <w:r>
        <w:rPr>
          <w:color w:val="4D4D4F"/>
        </w:rPr>
        <w:t>That DELWP:</w:t>
      </w:r>
    </w:p>
    <w:p w14:paraId="4D1C6C95" w14:textId="77777777" w:rsidR="00EF5B27" w:rsidRDefault="00000000">
      <w:pPr>
        <w:pStyle w:val="ListParagraph"/>
        <w:numPr>
          <w:ilvl w:val="0"/>
          <w:numId w:val="51"/>
        </w:numPr>
        <w:tabs>
          <w:tab w:val="left" w:pos="437"/>
        </w:tabs>
        <w:spacing w:before="129" w:line="254" w:lineRule="auto"/>
        <w:ind w:right="947" w:firstLine="0"/>
        <w:rPr>
          <w:sz w:val="20"/>
        </w:rPr>
      </w:pPr>
      <w:r>
        <w:rPr>
          <w:color w:val="4D4D4F"/>
          <w:sz w:val="20"/>
        </w:rPr>
        <w:t>increases weed control efforts and funding for land managers to protect Seasonal Herbaceous</w:t>
      </w:r>
      <w:r>
        <w:rPr>
          <w:color w:val="4D4D4F"/>
          <w:spacing w:val="8"/>
          <w:sz w:val="20"/>
        </w:rPr>
        <w:t xml:space="preserve"> </w:t>
      </w:r>
      <w:r>
        <w:rPr>
          <w:color w:val="4D4D4F"/>
          <w:sz w:val="20"/>
        </w:rPr>
        <w:t>Wetland</w:t>
      </w:r>
    </w:p>
    <w:p w14:paraId="567E6A1E" w14:textId="77777777" w:rsidR="00EF5B27" w:rsidRDefault="00000000">
      <w:pPr>
        <w:pStyle w:val="ListParagraph"/>
        <w:numPr>
          <w:ilvl w:val="0"/>
          <w:numId w:val="51"/>
        </w:numPr>
        <w:tabs>
          <w:tab w:val="left" w:pos="478"/>
        </w:tabs>
        <w:spacing w:before="116" w:line="254" w:lineRule="auto"/>
        <w:ind w:right="1265" w:firstLine="0"/>
        <w:rPr>
          <w:sz w:val="20"/>
        </w:rPr>
      </w:pPr>
      <w:r>
        <w:rPr>
          <w:color w:val="4D4D4F"/>
          <w:sz w:val="20"/>
        </w:rPr>
        <w:t>undertakes further research on the impacts of grazing, hydrological modification, and supplementary plantings of other native species,</w:t>
      </w:r>
      <w:r>
        <w:rPr>
          <w:color w:val="4D4D4F"/>
          <w:spacing w:val="5"/>
          <w:sz w:val="20"/>
        </w:rPr>
        <w:t xml:space="preserve"> </w:t>
      </w:r>
      <w:r>
        <w:rPr>
          <w:color w:val="4D4D4F"/>
          <w:sz w:val="20"/>
        </w:rPr>
        <w:t>and</w:t>
      </w:r>
    </w:p>
    <w:p w14:paraId="4AB9E082" w14:textId="77777777" w:rsidR="00EF5B27" w:rsidRDefault="00000000">
      <w:pPr>
        <w:pStyle w:val="ListParagraph"/>
        <w:numPr>
          <w:ilvl w:val="0"/>
          <w:numId w:val="51"/>
        </w:numPr>
        <w:tabs>
          <w:tab w:val="left" w:pos="514"/>
        </w:tabs>
        <w:spacing w:before="116"/>
        <w:ind w:left="513" w:hanging="278"/>
        <w:rPr>
          <w:sz w:val="20"/>
        </w:rPr>
      </w:pPr>
      <w:r>
        <w:rPr>
          <w:color w:val="4D4D4F"/>
          <w:sz w:val="20"/>
        </w:rPr>
        <w:t xml:space="preserve">broadens the KPI </w:t>
      </w:r>
      <w:r>
        <w:rPr>
          <w:color w:val="4D4D4F"/>
          <w:spacing w:val="-3"/>
          <w:sz w:val="20"/>
        </w:rPr>
        <w:t xml:space="preserve">suite </w:t>
      </w:r>
      <w:r>
        <w:rPr>
          <w:color w:val="4D4D4F"/>
          <w:sz w:val="20"/>
        </w:rPr>
        <w:t>for future monitoring and reporting on wetland</w:t>
      </w:r>
      <w:r>
        <w:rPr>
          <w:color w:val="4D4D4F"/>
          <w:spacing w:val="-8"/>
          <w:sz w:val="20"/>
        </w:rPr>
        <w:t xml:space="preserve"> </w:t>
      </w:r>
      <w:r>
        <w:rPr>
          <w:color w:val="4D4D4F"/>
          <w:sz w:val="20"/>
        </w:rPr>
        <w:t>condition.</w:t>
      </w:r>
    </w:p>
    <w:p w14:paraId="57E6AC5F" w14:textId="77777777" w:rsidR="00EF5B27" w:rsidRDefault="00EF5B27">
      <w:pPr>
        <w:rPr>
          <w:sz w:val="20"/>
        </w:rPr>
        <w:sectPr w:rsidR="00EF5B27">
          <w:type w:val="continuous"/>
          <w:pgSz w:w="11910" w:h="16840"/>
          <w:pgMar w:top="1140" w:right="1020" w:bottom="280" w:left="1020" w:header="720" w:footer="720" w:gutter="0"/>
          <w:cols w:num="2" w:space="720" w:equalWidth="0">
            <w:col w:w="1712" w:space="783"/>
            <w:col w:w="7375"/>
          </w:cols>
        </w:sectPr>
      </w:pPr>
    </w:p>
    <w:p w14:paraId="476FADD9" w14:textId="77777777" w:rsidR="00EF5B27" w:rsidRDefault="00000000">
      <w:pPr>
        <w:pStyle w:val="BodyText"/>
        <w:spacing w:after="1"/>
        <w:rPr>
          <w:sz w:val="14"/>
        </w:rPr>
      </w:pPr>
      <w:r>
        <w:pict w14:anchorId="4E602732">
          <v:group id="_x0000_s3920" style="position:absolute;margin-left:587.05pt;margin-top:183.4pt;width:8.25pt;height:153.1pt;z-index:251465216;mso-position-horizontal-relative:page;mso-position-vertical-relative:page" coordorigin="11741,3668" coordsize="165,3062">
            <v:shape id="_x0000_s3927" style="position:absolute;left:11741;top:3668;width:165;height:561" coordorigin="11741,3668" coordsize="165,561" path="m11906,3668r-165,l11741,4228r165,-18l11906,3668xe" fillcolor="#00aed9" stroked="f">
              <v:path arrowok="t"/>
            </v:shape>
            <v:shape id="_x0000_s3926" style="position:absolute;left:11741;top:4118;width:165;height:425" coordorigin="11741,4118" coordsize="165,425" path="m11906,4118r-165,14l11741,4531r165,12l11906,4118xe" fillcolor="#047ebc" stroked="f">
              <v:path arrowok="t"/>
            </v:shape>
            <v:shape id="_x0000_s3925" type="#_x0000_t75" style="position:absolute;left:11741;top:4355;width:165;height:587">
              <v:imagedata r:id="rId42" o:title=""/>
            </v:shape>
            <v:shape id="_x0000_s3924" style="position:absolute;left:11741;top:5343;width:165;height:536" coordorigin="11741,5343" coordsize="165,536" path="m11741,5343r,535l11906,5872r,-525l11741,5343xe" fillcolor="#f36a2e" stroked="f">
              <v:path arrowok="t"/>
            </v:shape>
            <v:shape id="_x0000_s3923" style="position:absolute;left:11741;top:4925;width:165;height:501" coordorigin="11741,4926" coordsize="165,501" path="m11741,4926r,500l11906,5426r,-485l11741,4926xe" fillcolor="#49783f" stroked="f">
              <v:path arrowok="t"/>
            </v:shape>
            <v:shape id="_x0000_s3922" style="position:absolute;left:11741;top:5781;width:165;height:268" coordorigin="11741,5782" coordsize="165,268" path="m11906,5782r-165,8l11741,6039r165,10l11906,5782xe" fillcolor="#f99f2a" stroked="f">
              <v:path arrowok="t"/>
            </v:shape>
            <v:shape id="_x0000_s3921" style="position:absolute;left:11741;top:6023;width:165;height:707" coordorigin="11741,6023" coordsize="165,707" path="m11741,6023r,706l11906,6729r,-690l11741,6023xe" fillcolor="#ef412c" stroked="f">
              <v:path arrowok="t"/>
            </v:shape>
            <w10:wrap anchorx="page" anchory="page"/>
          </v:group>
        </w:pict>
      </w:r>
    </w:p>
    <w:p w14:paraId="226D48E8" w14:textId="77777777" w:rsidR="00EF5B27" w:rsidRDefault="00000000">
      <w:pPr>
        <w:pStyle w:val="BodyText"/>
        <w:spacing w:line="20" w:lineRule="exact"/>
        <w:ind w:left="118"/>
        <w:rPr>
          <w:sz w:val="2"/>
        </w:rPr>
      </w:pPr>
      <w:r>
        <w:rPr>
          <w:sz w:val="2"/>
        </w:rPr>
      </w:r>
      <w:r>
        <w:rPr>
          <w:sz w:val="2"/>
        </w:rPr>
        <w:pict w14:anchorId="1973A4E1">
          <v:group id="_x0000_s3917" style="width:481.15pt;height:.25pt;mso-position-horizontal-relative:char;mso-position-vertical-relative:line" coordsize="9623,5">
            <v:line id="_x0000_s3919" style="position:absolute" from="0,3" to="2494,3" strokeweight=".25pt"/>
            <v:line id="_x0000_s3918" style="position:absolute" from="2494,3" to="9622,3" strokeweight=".25pt"/>
            <w10:anchorlock/>
          </v:group>
        </w:pict>
      </w:r>
    </w:p>
    <w:p w14:paraId="5592B569" w14:textId="77777777" w:rsidR="00EF5B27" w:rsidRDefault="00EF5B27">
      <w:pPr>
        <w:spacing w:line="20" w:lineRule="exact"/>
        <w:rPr>
          <w:sz w:val="2"/>
        </w:rPr>
        <w:sectPr w:rsidR="00EF5B27">
          <w:type w:val="continuous"/>
          <w:pgSz w:w="11910" w:h="16840"/>
          <w:pgMar w:top="1140" w:right="1020" w:bottom="280" w:left="1020" w:header="720" w:footer="720" w:gutter="0"/>
          <w:cols w:space="720"/>
        </w:sectPr>
      </w:pPr>
    </w:p>
    <w:p w14:paraId="784661C5" w14:textId="77777777" w:rsidR="00EF5B27" w:rsidRDefault="00EF5B27">
      <w:pPr>
        <w:pStyle w:val="BodyText"/>
      </w:pPr>
    </w:p>
    <w:p w14:paraId="3F21C099" w14:textId="77777777" w:rsidR="00EF5B27" w:rsidRDefault="00EF5B27">
      <w:pPr>
        <w:pStyle w:val="BodyText"/>
      </w:pPr>
    </w:p>
    <w:p w14:paraId="0CE67524" w14:textId="77777777" w:rsidR="00EF5B27" w:rsidRDefault="00EF5B27">
      <w:pPr>
        <w:pStyle w:val="BodyText"/>
      </w:pPr>
    </w:p>
    <w:p w14:paraId="0028AB77" w14:textId="77777777" w:rsidR="00EF5B27" w:rsidRDefault="00EF5B27">
      <w:pPr>
        <w:pStyle w:val="BodyText"/>
      </w:pPr>
    </w:p>
    <w:p w14:paraId="3346AF5A" w14:textId="77777777" w:rsidR="00EF5B27" w:rsidRDefault="00EF5B27">
      <w:pPr>
        <w:pStyle w:val="BodyText"/>
        <w:spacing w:before="5"/>
        <w:rPr>
          <w:sz w:val="16"/>
        </w:rPr>
      </w:pPr>
    </w:p>
    <w:p w14:paraId="39C1CF3D" w14:textId="77777777" w:rsidR="00EF5B27" w:rsidRDefault="00000000">
      <w:pPr>
        <w:pStyle w:val="BodyText"/>
        <w:ind w:left="113" w:right="-15"/>
      </w:pPr>
      <w:bookmarkStart w:id="15" w:name="_bookmark14"/>
      <w:bookmarkEnd w:id="15"/>
      <w:r>
        <w:rPr>
          <w:noProof/>
        </w:rPr>
        <w:drawing>
          <wp:inline distT="0" distB="0" distL="0" distR="0" wp14:anchorId="0488FE05" wp14:editId="1685B4B9">
            <wp:extent cx="1371606" cy="1371600"/>
            <wp:effectExtent l="0" t="0" r="0" b="0"/>
            <wp:docPr id="235"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93.jpeg"/>
                    <pic:cNvPicPr/>
                  </pic:nvPicPr>
                  <pic:blipFill>
                    <a:blip r:embed="rId97" cstate="print"/>
                    <a:stretch>
                      <a:fillRect/>
                    </a:stretch>
                  </pic:blipFill>
                  <pic:spPr>
                    <a:xfrm>
                      <a:off x="0" y="0"/>
                      <a:ext cx="1371606" cy="1371600"/>
                    </a:xfrm>
                    <a:prstGeom prst="rect">
                      <a:avLst/>
                    </a:prstGeom>
                  </pic:spPr>
                </pic:pic>
              </a:graphicData>
            </a:graphic>
          </wp:inline>
        </w:drawing>
      </w:r>
    </w:p>
    <w:p w14:paraId="5B381A38" w14:textId="77777777" w:rsidR="00EF5B27" w:rsidRDefault="00000000">
      <w:pPr>
        <w:spacing w:before="80"/>
        <w:ind w:left="113"/>
        <w:rPr>
          <w:rFonts w:ascii="Century Gothic"/>
          <w:i/>
          <w:sz w:val="12"/>
        </w:rPr>
      </w:pPr>
      <w:r>
        <w:rPr>
          <w:rFonts w:ascii="Century Gothic"/>
          <w:i/>
          <w:color w:val="4D4D4F"/>
          <w:w w:val="95"/>
          <w:sz w:val="12"/>
        </w:rPr>
        <w:t>Golden Sun Moth</w:t>
      </w:r>
    </w:p>
    <w:p w14:paraId="1252C5FD" w14:textId="77777777" w:rsidR="00EF5B27" w:rsidRDefault="00000000">
      <w:pPr>
        <w:pStyle w:val="BodyText"/>
        <w:rPr>
          <w:rFonts w:ascii="Century Gothic"/>
          <w:i/>
          <w:sz w:val="36"/>
        </w:rPr>
      </w:pPr>
      <w:r>
        <w:br w:type="column"/>
      </w:r>
    </w:p>
    <w:p w14:paraId="0C82471E" w14:textId="77777777" w:rsidR="00EF5B27" w:rsidRDefault="00EF5B27">
      <w:pPr>
        <w:pStyle w:val="BodyText"/>
        <w:rPr>
          <w:rFonts w:ascii="Century Gothic"/>
          <w:i/>
          <w:sz w:val="36"/>
        </w:rPr>
      </w:pPr>
    </w:p>
    <w:p w14:paraId="7CEEF2F5" w14:textId="77777777" w:rsidR="00EF5B27" w:rsidRDefault="00000000">
      <w:pPr>
        <w:pStyle w:val="Heading3"/>
        <w:spacing w:before="245"/>
        <w:ind w:left="113"/>
      </w:pPr>
      <w:r>
        <w:rPr>
          <w:color w:val="F99F2A"/>
        </w:rPr>
        <w:t>MNES 4: Golden Sun Moth</w:t>
      </w:r>
    </w:p>
    <w:p w14:paraId="75EB8F85" w14:textId="77777777" w:rsidR="00EF5B27" w:rsidRDefault="00EF5B27">
      <w:pPr>
        <w:pStyle w:val="BodyText"/>
        <w:spacing w:before="5"/>
        <w:rPr>
          <w:b/>
          <w:sz w:val="27"/>
        </w:rPr>
      </w:pPr>
    </w:p>
    <w:p w14:paraId="68EDDE85" w14:textId="77777777" w:rsidR="00EF5B27" w:rsidRDefault="00000000">
      <w:pPr>
        <w:pStyle w:val="Heading6"/>
        <w:ind w:left="113"/>
      </w:pPr>
      <w:r>
        <w:rPr>
          <w:color w:val="4D4D4F"/>
        </w:rPr>
        <w:t>Key insights and management implications for the Golden Sun Moth</w:t>
      </w:r>
    </w:p>
    <w:p w14:paraId="087E823D" w14:textId="77777777" w:rsidR="00EF5B27" w:rsidRDefault="00EF5B27">
      <w:pPr>
        <w:pStyle w:val="BodyText"/>
        <w:spacing w:before="11"/>
        <w:rPr>
          <w:b/>
          <w:sz w:val="19"/>
        </w:rPr>
      </w:pPr>
    </w:p>
    <w:p w14:paraId="7857238A" w14:textId="77777777" w:rsidR="00EF5B27" w:rsidRDefault="00000000">
      <w:pPr>
        <w:pStyle w:val="BodyText"/>
        <w:spacing w:line="254" w:lineRule="auto"/>
        <w:ind w:left="113" w:right="167"/>
      </w:pPr>
      <w:r>
        <w:rPr>
          <w:color w:val="4D4D4F"/>
        </w:rPr>
        <w:t xml:space="preserve">It is unclear if the apparent trend of a decline in Golden Sun Moth numbers represents a genuine population decline, is an issue of detectability or rather represents natural annual variability. Cover of vegetation inhibiting the </w:t>
      </w:r>
      <w:r>
        <w:rPr>
          <w:color w:val="4D4D4F"/>
          <w:spacing w:val="-3"/>
        </w:rPr>
        <w:t xml:space="preserve">moth’s </w:t>
      </w:r>
      <w:r>
        <w:rPr>
          <w:color w:val="4D4D4F"/>
        </w:rPr>
        <w:t xml:space="preserve">reproductive behaviour is known to be an issue for both moth emergence and detection. DELWP has indicated that a recent lack of grazing in the </w:t>
      </w:r>
      <w:r>
        <w:rPr>
          <w:color w:val="4D4D4F"/>
          <w:spacing w:val="-3"/>
        </w:rPr>
        <w:t xml:space="preserve">moth’s </w:t>
      </w:r>
      <w:r>
        <w:rPr>
          <w:color w:val="4D4D4F"/>
        </w:rPr>
        <w:t>known MSA extent, coupled with a relatively wet season, has led to a build-up of biomass.</w:t>
      </w:r>
      <w:r>
        <w:rPr>
          <w:color w:val="4D4D4F"/>
          <w:position w:val="7"/>
          <w:sz w:val="11"/>
        </w:rPr>
        <w:t xml:space="preserve">63 </w:t>
      </w:r>
      <w:r>
        <w:rPr>
          <w:color w:val="4D4D4F"/>
        </w:rPr>
        <w:t>DELWP has indicated that many large areas of Golden Sun Moth habitat have also not had the optimal grazing and burning regimes applied to them in recent</w:t>
      </w:r>
      <w:r>
        <w:rPr>
          <w:color w:val="4D4D4F"/>
          <w:spacing w:val="24"/>
        </w:rPr>
        <w:t xml:space="preserve"> </w:t>
      </w:r>
      <w:r>
        <w:rPr>
          <w:color w:val="4D4D4F"/>
        </w:rPr>
        <w:t>years.</w:t>
      </w:r>
    </w:p>
    <w:p w14:paraId="41FB6CFA" w14:textId="77777777" w:rsidR="00EF5B27" w:rsidRDefault="00000000">
      <w:pPr>
        <w:pStyle w:val="BodyText"/>
        <w:spacing w:before="123" w:line="254" w:lineRule="auto"/>
        <w:ind w:left="113" w:right="361"/>
      </w:pPr>
      <w:r>
        <w:rPr>
          <w:color w:val="4D4D4F"/>
        </w:rPr>
        <w:t xml:space="preserve">An important covariate is the </w:t>
      </w:r>
      <w:r>
        <w:rPr>
          <w:color w:val="4D4D4F"/>
          <w:spacing w:val="2"/>
        </w:rPr>
        <w:t xml:space="preserve">type </w:t>
      </w:r>
      <w:r>
        <w:rPr>
          <w:color w:val="4D4D4F"/>
        </w:rPr>
        <w:t>of vegetation cover – the moths are presumed to eat C3 grasses, not Kangaroo Grass. It is for this reason that DELWP has previously reported the cover of different grass types.</w:t>
      </w:r>
      <w:r>
        <w:rPr>
          <w:color w:val="4D4D4F"/>
          <w:position w:val="7"/>
          <w:sz w:val="11"/>
        </w:rPr>
        <w:t xml:space="preserve">64 </w:t>
      </w:r>
      <w:r>
        <w:rPr>
          <w:color w:val="4D4D4F"/>
        </w:rPr>
        <w:t>This has interesting implications for management – the moths tolerate grazed areas, but heavily grazed areas are not ideal. Kangaroo Grass-dominated ecosystems are viewed to  be  more  desirable from</w:t>
      </w:r>
      <w:r>
        <w:rPr>
          <w:color w:val="4D4D4F"/>
          <w:spacing w:val="9"/>
        </w:rPr>
        <w:t xml:space="preserve"> </w:t>
      </w:r>
      <w:r>
        <w:rPr>
          <w:color w:val="4D4D4F"/>
        </w:rPr>
        <w:t>a</w:t>
      </w:r>
      <w:r>
        <w:rPr>
          <w:color w:val="4D4D4F"/>
          <w:spacing w:val="9"/>
        </w:rPr>
        <w:t xml:space="preserve"> </w:t>
      </w:r>
      <w:r>
        <w:rPr>
          <w:color w:val="4D4D4F"/>
        </w:rPr>
        <w:t>vegetation</w:t>
      </w:r>
      <w:r>
        <w:rPr>
          <w:color w:val="4D4D4F"/>
          <w:spacing w:val="9"/>
        </w:rPr>
        <w:t xml:space="preserve"> </w:t>
      </w:r>
      <w:r>
        <w:rPr>
          <w:color w:val="4D4D4F"/>
        </w:rPr>
        <w:t>management</w:t>
      </w:r>
      <w:r>
        <w:rPr>
          <w:color w:val="4D4D4F"/>
          <w:spacing w:val="9"/>
        </w:rPr>
        <w:t xml:space="preserve"> </w:t>
      </w:r>
      <w:r>
        <w:rPr>
          <w:color w:val="4D4D4F"/>
        </w:rPr>
        <w:t>perspective,</w:t>
      </w:r>
      <w:r>
        <w:rPr>
          <w:color w:val="4D4D4F"/>
          <w:position w:val="7"/>
          <w:sz w:val="11"/>
        </w:rPr>
        <w:t>65</w:t>
      </w:r>
      <w:r>
        <w:rPr>
          <w:color w:val="4D4D4F"/>
          <w:spacing w:val="5"/>
          <w:position w:val="7"/>
          <w:sz w:val="11"/>
        </w:rPr>
        <w:t xml:space="preserve"> </w:t>
      </w:r>
      <w:r>
        <w:rPr>
          <w:color w:val="4D4D4F"/>
        </w:rPr>
        <w:t>but</w:t>
      </w:r>
      <w:r>
        <w:rPr>
          <w:color w:val="4D4D4F"/>
          <w:spacing w:val="9"/>
        </w:rPr>
        <w:t xml:space="preserve"> </w:t>
      </w:r>
      <w:r>
        <w:rPr>
          <w:color w:val="4D4D4F"/>
        </w:rPr>
        <w:t>the</w:t>
      </w:r>
      <w:r>
        <w:rPr>
          <w:color w:val="4D4D4F"/>
          <w:spacing w:val="9"/>
        </w:rPr>
        <w:t xml:space="preserve"> </w:t>
      </w:r>
      <w:r>
        <w:rPr>
          <w:color w:val="4D4D4F"/>
        </w:rPr>
        <w:t>moth</w:t>
      </w:r>
      <w:r>
        <w:rPr>
          <w:color w:val="4D4D4F"/>
          <w:spacing w:val="9"/>
        </w:rPr>
        <w:t xml:space="preserve"> </w:t>
      </w:r>
      <w:r>
        <w:rPr>
          <w:color w:val="4D4D4F"/>
        </w:rPr>
        <w:t>preferences</w:t>
      </w:r>
      <w:r>
        <w:rPr>
          <w:color w:val="4D4D4F"/>
          <w:spacing w:val="9"/>
        </w:rPr>
        <w:t xml:space="preserve"> </w:t>
      </w:r>
      <w:r>
        <w:rPr>
          <w:color w:val="4D4D4F"/>
        </w:rPr>
        <w:t>C3</w:t>
      </w:r>
      <w:r>
        <w:rPr>
          <w:color w:val="4D4D4F"/>
          <w:spacing w:val="9"/>
        </w:rPr>
        <w:t xml:space="preserve"> </w:t>
      </w:r>
      <w:r>
        <w:rPr>
          <w:color w:val="4D4D4F"/>
        </w:rPr>
        <w:t>grasses</w:t>
      </w:r>
    </w:p>
    <w:p w14:paraId="659098CC" w14:textId="77777777" w:rsidR="00EF5B27" w:rsidRDefault="00000000">
      <w:pPr>
        <w:pStyle w:val="BodyText"/>
        <w:spacing w:before="7" w:line="254" w:lineRule="auto"/>
        <w:ind w:left="114"/>
      </w:pPr>
      <w:r>
        <w:rPr>
          <w:color w:val="4D4D4F"/>
        </w:rPr>
        <w:t>– and this poses a potentially difficult management trade-off. DELWP’s Population Viability Analysis (PVA) modelling highlighted the importance of bare ground and C3 dominance grasses – and these outputs were incorporated into a structured decision- making exercise to assess the trade-off.</w:t>
      </w:r>
    </w:p>
    <w:p w14:paraId="7742AC1D" w14:textId="77777777" w:rsidR="00EF5B27" w:rsidRDefault="00000000">
      <w:pPr>
        <w:pStyle w:val="BodyText"/>
        <w:spacing w:before="119" w:line="254" w:lineRule="auto"/>
        <w:ind w:left="113" w:right="440"/>
      </w:pPr>
      <w:r>
        <w:rPr>
          <w:color w:val="4D4D4F"/>
        </w:rPr>
        <w:t xml:space="preserve">Weed control may be important to the Golden Sun </w:t>
      </w:r>
      <w:r>
        <w:rPr>
          <w:color w:val="4D4D4F"/>
          <w:spacing w:val="-3"/>
        </w:rPr>
        <w:t xml:space="preserve">Moth’s </w:t>
      </w:r>
      <w:r>
        <w:rPr>
          <w:color w:val="4D4D4F"/>
        </w:rPr>
        <w:t xml:space="preserve">persistence; there is evidence of association with Chilean Needle Grass </w:t>
      </w:r>
      <w:r>
        <w:rPr>
          <w:color w:val="4D4D4F"/>
          <w:spacing w:val="-4"/>
        </w:rPr>
        <w:t>(</w:t>
      </w:r>
      <w:r>
        <w:rPr>
          <w:rFonts w:ascii="Arial Narrow" w:hAnsi="Arial Narrow"/>
          <w:i/>
          <w:color w:val="4D4D4F"/>
          <w:spacing w:val="-4"/>
        </w:rPr>
        <w:t xml:space="preserve">Nassella  </w:t>
      </w:r>
      <w:r>
        <w:rPr>
          <w:rFonts w:ascii="Arial Narrow" w:hAnsi="Arial Narrow"/>
          <w:i/>
          <w:color w:val="4D4D4F"/>
        </w:rPr>
        <w:t>neesiana</w:t>
      </w:r>
      <w:r>
        <w:rPr>
          <w:color w:val="4D4D4F"/>
        </w:rPr>
        <w:t xml:space="preserve">) (Richter et   al.) and with native C3 grasses i.e. Wallaby and Spear grasses </w:t>
      </w:r>
      <w:r>
        <w:rPr>
          <w:color w:val="4D4D4F"/>
          <w:spacing w:val="-3"/>
        </w:rPr>
        <w:t>(</w:t>
      </w:r>
      <w:r>
        <w:rPr>
          <w:rFonts w:ascii="Arial Narrow" w:hAnsi="Arial Narrow"/>
          <w:i/>
          <w:color w:val="4D4D4F"/>
          <w:spacing w:val="-3"/>
        </w:rPr>
        <w:t xml:space="preserve">Rytidosperma  </w:t>
      </w:r>
      <w:r>
        <w:rPr>
          <w:color w:val="4D4D4F"/>
        </w:rPr>
        <w:t>spp.  and</w:t>
      </w:r>
      <w:r>
        <w:rPr>
          <w:color w:val="4D4D4F"/>
          <w:spacing w:val="10"/>
        </w:rPr>
        <w:t xml:space="preserve"> </w:t>
      </w:r>
      <w:r>
        <w:rPr>
          <w:rFonts w:ascii="Arial Narrow" w:hAnsi="Arial Narrow"/>
          <w:i/>
          <w:color w:val="4D4D4F"/>
          <w:spacing w:val="-3"/>
        </w:rPr>
        <w:t>Austrostipa</w:t>
      </w:r>
      <w:r>
        <w:rPr>
          <w:rFonts w:ascii="Arial Narrow" w:hAnsi="Arial Narrow"/>
          <w:i/>
          <w:color w:val="4D4D4F"/>
          <w:spacing w:val="10"/>
        </w:rPr>
        <w:t xml:space="preserve"> </w:t>
      </w:r>
      <w:r>
        <w:rPr>
          <w:color w:val="4D4D4F"/>
        </w:rPr>
        <w:t>spp.).</w:t>
      </w:r>
      <w:r>
        <w:rPr>
          <w:color w:val="4D4D4F"/>
          <w:spacing w:val="11"/>
        </w:rPr>
        <w:t xml:space="preserve"> </w:t>
      </w:r>
      <w:r>
        <w:rPr>
          <w:color w:val="4D4D4F"/>
        </w:rPr>
        <w:t>A</w:t>
      </w:r>
      <w:r>
        <w:rPr>
          <w:color w:val="4D4D4F"/>
          <w:spacing w:val="10"/>
        </w:rPr>
        <w:t xml:space="preserve"> </w:t>
      </w:r>
      <w:r>
        <w:rPr>
          <w:color w:val="4D4D4F"/>
        </w:rPr>
        <w:t>major</w:t>
      </w:r>
      <w:r>
        <w:rPr>
          <w:color w:val="4D4D4F"/>
          <w:spacing w:val="10"/>
        </w:rPr>
        <w:t xml:space="preserve"> </w:t>
      </w:r>
      <w:r>
        <w:rPr>
          <w:color w:val="4D4D4F"/>
        </w:rPr>
        <w:t>assumption</w:t>
      </w:r>
      <w:r>
        <w:rPr>
          <w:color w:val="4D4D4F"/>
          <w:spacing w:val="11"/>
        </w:rPr>
        <w:t xml:space="preserve"> </w:t>
      </w:r>
      <w:r>
        <w:rPr>
          <w:color w:val="4D4D4F"/>
        </w:rPr>
        <w:t>is</w:t>
      </w:r>
      <w:r>
        <w:rPr>
          <w:color w:val="4D4D4F"/>
          <w:spacing w:val="10"/>
        </w:rPr>
        <w:t xml:space="preserve"> </w:t>
      </w:r>
      <w:r>
        <w:rPr>
          <w:color w:val="4D4D4F"/>
        </w:rPr>
        <w:t>that</w:t>
      </w:r>
      <w:r>
        <w:rPr>
          <w:color w:val="4D4D4F"/>
          <w:spacing w:val="11"/>
        </w:rPr>
        <w:t xml:space="preserve"> </w:t>
      </w:r>
      <w:r>
        <w:rPr>
          <w:color w:val="4D4D4F"/>
        </w:rPr>
        <w:t>the</w:t>
      </w:r>
      <w:r>
        <w:rPr>
          <w:color w:val="4D4D4F"/>
          <w:spacing w:val="10"/>
        </w:rPr>
        <w:t xml:space="preserve"> </w:t>
      </w:r>
      <w:r>
        <w:rPr>
          <w:color w:val="4D4D4F"/>
        </w:rPr>
        <w:t>main</w:t>
      </w:r>
      <w:r>
        <w:rPr>
          <w:color w:val="4D4D4F"/>
          <w:spacing w:val="10"/>
        </w:rPr>
        <w:t xml:space="preserve"> </w:t>
      </w:r>
      <w:r>
        <w:rPr>
          <w:color w:val="4D4D4F"/>
        </w:rPr>
        <w:t>food</w:t>
      </w:r>
      <w:r>
        <w:rPr>
          <w:color w:val="4D4D4F"/>
          <w:spacing w:val="11"/>
        </w:rPr>
        <w:t xml:space="preserve"> </w:t>
      </w:r>
      <w:r>
        <w:rPr>
          <w:color w:val="4D4D4F"/>
        </w:rPr>
        <w:t>plants</w:t>
      </w:r>
      <w:r>
        <w:rPr>
          <w:color w:val="4D4D4F"/>
          <w:spacing w:val="10"/>
        </w:rPr>
        <w:t xml:space="preserve"> </w:t>
      </w:r>
      <w:r>
        <w:rPr>
          <w:color w:val="4D4D4F"/>
        </w:rPr>
        <w:t>for</w:t>
      </w:r>
      <w:r>
        <w:rPr>
          <w:color w:val="4D4D4F"/>
          <w:spacing w:val="10"/>
        </w:rPr>
        <w:t xml:space="preserve"> </w:t>
      </w:r>
      <w:r>
        <w:rPr>
          <w:color w:val="4D4D4F"/>
        </w:rPr>
        <w:t>larvae</w:t>
      </w:r>
      <w:r>
        <w:rPr>
          <w:color w:val="4D4D4F"/>
          <w:spacing w:val="11"/>
        </w:rPr>
        <w:t xml:space="preserve"> </w:t>
      </w:r>
      <w:r>
        <w:rPr>
          <w:color w:val="4D4D4F"/>
        </w:rPr>
        <w:t>of</w:t>
      </w:r>
    </w:p>
    <w:p w14:paraId="53D1C4DA" w14:textId="77777777" w:rsidR="00EF5B27" w:rsidRDefault="00000000">
      <w:pPr>
        <w:pStyle w:val="BodyText"/>
        <w:spacing w:before="4" w:line="254" w:lineRule="auto"/>
        <w:ind w:left="113" w:right="292"/>
      </w:pPr>
      <w:r>
        <w:rPr>
          <w:color w:val="4D4D4F"/>
        </w:rPr>
        <w:t>the Golden Sun Moth are perennial C3 grasses, both native and exotic.</w:t>
      </w:r>
      <w:r>
        <w:rPr>
          <w:color w:val="4D4D4F"/>
          <w:position w:val="7"/>
          <w:sz w:val="11"/>
        </w:rPr>
        <w:t xml:space="preserve">66 </w:t>
      </w:r>
      <w:r>
        <w:rPr>
          <w:color w:val="4D4D4F"/>
        </w:rPr>
        <w:t xml:space="preserve">While this is based on observations of moths in exotic grasslands (Brown et al. </w:t>
      </w:r>
      <w:r>
        <w:rPr>
          <w:color w:val="4D4D4F"/>
          <w:spacing w:val="-4"/>
        </w:rPr>
        <w:t>2012),</w:t>
      </w:r>
      <w:r>
        <w:rPr>
          <w:color w:val="4D4D4F"/>
          <w:spacing w:val="-4"/>
          <w:position w:val="7"/>
          <w:sz w:val="11"/>
        </w:rPr>
        <w:t xml:space="preserve">67  </w:t>
      </w:r>
      <w:r>
        <w:rPr>
          <w:color w:val="4D4D4F"/>
        </w:rPr>
        <w:t xml:space="preserve">the extent   to which they eat exotic grasses is </w:t>
      </w:r>
      <w:r>
        <w:rPr>
          <w:color w:val="4D4D4F"/>
          <w:spacing w:val="-3"/>
        </w:rPr>
        <w:t xml:space="preserve">unclear. </w:t>
      </w:r>
      <w:r>
        <w:rPr>
          <w:color w:val="4D4D4F"/>
        </w:rPr>
        <w:t xml:space="preserve">Therefore, there are potentially negative impacts of weed control in areas with high levels  of  exotic  C3  grasses  such  as </w:t>
      </w:r>
      <w:r>
        <w:rPr>
          <w:rFonts w:ascii="Arial Narrow" w:hAnsi="Arial Narrow"/>
          <w:i/>
          <w:color w:val="4D4D4F"/>
          <w:spacing w:val="-3"/>
        </w:rPr>
        <w:t>Nassella trichotoma</w:t>
      </w:r>
      <w:r>
        <w:rPr>
          <w:color w:val="4D4D4F"/>
          <w:spacing w:val="-3"/>
        </w:rPr>
        <w:t xml:space="preserve">. </w:t>
      </w:r>
      <w:r>
        <w:rPr>
          <w:color w:val="4D4D4F"/>
        </w:rPr>
        <w:t>DELWP has not yet undertaken studies assessing the relationship between biomass control regimes and persistence of the Golden Sun Moth – and   there is potential to further explore</w:t>
      </w:r>
      <w:r>
        <w:rPr>
          <w:color w:val="4D4D4F"/>
          <w:spacing w:val="22"/>
        </w:rPr>
        <w:t xml:space="preserve"> </w:t>
      </w:r>
      <w:r>
        <w:rPr>
          <w:color w:val="4D4D4F"/>
        </w:rPr>
        <w:t>this.</w:t>
      </w:r>
    </w:p>
    <w:p w14:paraId="3179C3D3" w14:textId="77777777" w:rsidR="00EF5B27" w:rsidRDefault="00000000">
      <w:pPr>
        <w:pStyle w:val="BodyText"/>
        <w:spacing w:before="122" w:line="254" w:lineRule="auto"/>
        <w:ind w:left="113" w:right="101"/>
        <w:rPr>
          <w:sz w:val="11"/>
        </w:rPr>
      </w:pPr>
      <w:r>
        <w:rPr>
          <w:color w:val="4D4D4F"/>
        </w:rPr>
        <w:t>With additional Golden Sun Moth sites expected to come under MSA management over the next 18 months, DELWP indicates that some changes to the design may occur, and that comparison against a counterfactual control would assist to assess changes linked to MSA management.</w:t>
      </w:r>
      <w:r>
        <w:rPr>
          <w:color w:val="4D4D4F"/>
          <w:position w:val="7"/>
          <w:sz w:val="11"/>
        </w:rPr>
        <w:t>68</w:t>
      </w:r>
    </w:p>
    <w:p w14:paraId="275A4D52" w14:textId="77777777" w:rsidR="00EF5B27" w:rsidRDefault="00EF5B27">
      <w:pPr>
        <w:spacing w:line="254" w:lineRule="auto"/>
        <w:rPr>
          <w:sz w:val="11"/>
        </w:rPr>
        <w:sectPr w:rsidR="00EF5B27">
          <w:pgSz w:w="11910" w:h="16840"/>
          <w:pgMar w:top="1080" w:right="1020" w:bottom="860" w:left="1020" w:header="537" w:footer="678" w:gutter="0"/>
          <w:cols w:num="2" w:space="720" w:equalWidth="0">
            <w:col w:w="2309" w:space="186"/>
            <w:col w:w="7375"/>
          </w:cols>
        </w:sectPr>
      </w:pPr>
    </w:p>
    <w:p w14:paraId="4E550A32" w14:textId="77777777" w:rsidR="00EF5B27" w:rsidRDefault="00000000">
      <w:pPr>
        <w:pStyle w:val="BodyText"/>
      </w:pPr>
      <w:r>
        <w:pict w14:anchorId="2272EBCF">
          <v:group id="_x0000_s3909" style="position:absolute;margin-left:587.05pt;margin-top:183.4pt;width:8.25pt;height:153.1pt;z-index:251469312;mso-position-horizontal-relative:page;mso-position-vertical-relative:page" coordorigin="11741,3668" coordsize="165,3062">
            <v:shape id="_x0000_s3916" style="position:absolute;left:11741;top:3668;width:165;height:561" coordorigin="11741,3668" coordsize="165,561" path="m11906,3668r-165,l11741,4228r165,-18l11906,3668xe" fillcolor="#00aed9" stroked="f">
              <v:path arrowok="t"/>
            </v:shape>
            <v:shape id="_x0000_s3915" style="position:absolute;left:11741;top:4118;width:165;height:425" coordorigin="11741,4118" coordsize="165,425" path="m11906,4118r-165,14l11741,4531r165,12l11906,4118xe" fillcolor="#047ebc" stroked="f">
              <v:path arrowok="t"/>
            </v:shape>
            <v:shape id="_x0000_s3914" type="#_x0000_t75" style="position:absolute;left:11741;top:4355;width:165;height:587">
              <v:imagedata r:id="rId42" o:title=""/>
            </v:shape>
            <v:shape id="_x0000_s3913" style="position:absolute;left:11741;top:5343;width:165;height:536" coordorigin="11741,5343" coordsize="165,536" path="m11741,5343r,535l11906,5872r,-525l11741,5343xe" fillcolor="#f36a2e" stroked="f">
              <v:path arrowok="t"/>
            </v:shape>
            <v:shape id="_x0000_s3912" style="position:absolute;left:11741;top:4925;width:165;height:501" coordorigin="11741,4926" coordsize="165,501" path="m11741,4926r,500l11906,5426r,-485l11741,4926xe" fillcolor="#49783f" stroked="f">
              <v:path arrowok="t"/>
            </v:shape>
            <v:shape id="_x0000_s3911" style="position:absolute;left:11741;top:5781;width:165;height:268" coordorigin="11741,5782" coordsize="165,268" path="m11906,5782r-165,8l11741,6039r165,10l11906,5782xe" fillcolor="#f99f2a" stroked="f">
              <v:path arrowok="t"/>
            </v:shape>
            <v:shape id="_x0000_s3910" style="position:absolute;left:11741;top:6023;width:165;height:707" coordorigin="11741,6023" coordsize="165,707" path="m11741,6023r,706l11906,6729r,-690l11741,6023xe" fillcolor="#ef412c" stroked="f">
              <v:path arrowok="t"/>
            </v:shape>
            <w10:wrap anchorx="page" anchory="page"/>
          </v:group>
        </w:pict>
      </w:r>
    </w:p>
    <w:p w14:paraId="2F74FDFA" w14:textId="77777777" w:rsidR="00EF5B27" w:rsidRDefault="00EF5B27">
      <w:pPr>
        <w:pStyle w:val="BodyText"/>
      </w:pPr>
    </w:p>
    <w:p w14:paraId="3640232F" w14:textId="77777777" w:rsidR="00EF5B27" w:rsidRDefault="00EF5B27">
      <w:pPr>
        <w:pStyle w:val="BodyText"/>
      </w:pPr>
    </w:p>
    <w:p w14:paraId="559280DD" w14:textId="77777777" w:rsidR="00EF5B27" w:rsidRDefault="00EF5B27">
      <w:pPr>
        <w:pStyle w:val="BodyText"/>
      </w:pPr>
    </w:p>
    <w:p w14:paraId="7066805D" w14:textId="77777777" w:rsidR="00EF5B27" w:rsidRDefault="00EF5B27">
      <w:pPr>
        <w:pStyle w:val="BodyText"/>
      </w:pPr>
    </w:p>
    <w:p w14:paraId="27576713" w14:textId="77777777" w:rsidR="00EF5B27" w:rsidRDefault="00EF5B27">
      <w:pPr>
        <w:pStyle w:val="BodyText"/>
        <w:spacing w:before="10"/>
      </w:pPr>
    </w:p>
    <w:p w14:paraId="5F19FDF8" w14:textId="77777777" w:rsidR="00EF5B27" w:rsidRDefault="00000000">
      <w:pPr>
        <w:pStyle w:val="BodyText"/>
        <w:spacing w:line="20" w:lineRule="exact"/>
        <w:ind w:left="2603"/>
        <w:rPr>
          <w:sz w:val="2"/>
        </w:rPr>
      </w:pPr>
      <w:r>
        <w:rPr>
          <w:sz w:val="2"/>
        </w:rPr>
      </w:r>
      <w:r>
        <w:rPr>
          <w:sz w:val="2"/>
        </w:rPr>
        <w:pict w14:anchorId="332E55B3">
          <v:group id="_x0000_s3907" style="width:357.2pt;height:.5pt;mso-position-horizontal-relative:char;mso-position-vertical-relative:line" coordsize="7144,10">
            <v:line id="_x0000_s3908" style="position:absolute" from="0,5" to="7143,5" strokecolor="#4d4d4f" strokeweight=".5pt"/>
            <w10:anchorlock/>
          </v:group>
        </w:pict>
      </w:r>
    </w:p>
    <w:p w14:paraId="03310A89" w14:textId="77777777" w:rsidR="00EF5B27" w:rsidRDefault="00000000">
      <w:pPr>
        <w:pStyle w:val="ListParagraph"/>
        <w:numPr>
          <w:ilvl w:val="0"/>
          <w:numId w:val="65"/>
        </w:numPr>
        <w:tabs>
          <w:tab w:val="left" w:pos="2836"/>
        </w:tabs>
        <w:spacing w:before="102" w:line="143" w:lineRule="exact"/>
        <w:jc w:val="left"/>
        <w:rPr>
          <w:sz w:val="12"/>
        </w:rPr>
      </w:pPr>
      <w:r>
        <w:rPr>
          <w:color w:val="4D4D4F"/>
          <w:sz w:val="12"/>
        </w:rPr>
        <w:t xml:space="preserve">DELWP Officer, personal communication, 15 </w:t>
      </w:r>
      <w:r>
        <w:rPr>
          <w:color w:val="4D4D4F"/>
          <w:spacing w:val="2"/>
          <w:sz w:val="12"/>
        </w:rPr>
        <w:t>February</w:t>
      </w:r>
      <w:r>
        <w:rPr>
          <w:color w:val="4D4D4F"/>
          <w:spacing w:val="14"/>
          <w:sz w:val="12"/>
        </w:rPr>
        <w:t xml:space="preserve"> </w:t>
      </w:r>
      <w:r>
        <w:rPr>
          <w:color w:val="4D4D4F"/>
          <w:spacing w:val="2"/>
          <w:sz w:val="12"/>
        </w:rPr>
        <w:t>2022.</w:t>
      </w:r>
    </w:p>
    <w:p w14:paraId="0B6DCB6A" w14:textId="77777777" w:rsidR="00EF5B27" w:rsidRDefault="00000000">
      <w:pPr>
        <w:pStyle w:val="ListParagraph"/>
        <w:numPr>
          <w:ilvl w:val="0"/>
          <w:numId w:val="65"/>
        </w:numPr>
        <w:tabs>
          <w:tab w:val="left" w:pos="2836"/>
        </w:tabs>
        <w:spacing w:before="2" w:line="230" w:lineRule="auto"/>
        <w:ind w:right="111"/>
        <w:jc w:val="left"/>
        <w:rPr>
          <w:sz w:val="12"/>
        </w:rPr>
      </w:pPr>
      <w:r>
        <w:rPr>
          <w:color w:val="4D4D4F"/>
          <w:sz w:val="12"/>
        </w:rPr>
        <w:t xml:space="preserve">M </w:t>
      </w:r>
      <w:r>
        <w:rPr>
          <w:color w:val="4D4D4F"/>
          <w:spacing w:val="2"/>
          <w:sz w:val="12"/>
        </w:rPr>
        <w:t xml:space="preserve">Bruce, </w:t>
      </w:r>
      <w:r>
        <w:rPr>
          <w:color w:val="4D4D4F"/>
          <w:sz w:val="12"/>
        </w:rPr>
        <w:t xml:space="preserve">K Batpurev, D Bryant. S Sinclair and M Kohout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DELWP Heidelberg,</w:t>
      </w:r>
      <w:r>
        <w:rPr>
          <w:color w:val="4D4D4F"/>
          <w:spacing w:val="8"/>
          <w:sz w:val="12"/>
        </w:rPr>
        <w:t xml:space="preserve"> </w:t>
      </w:r>
      <w:r>
        <w:rPr>
          <w:color w:val="4D4D4F"/>
          <w:sz w:val="12"/>
        </w:rPr>
        <w:t>Victoria.</w:t>
      </w:r>
    </w:p>
    <w:p w14:paraId="0E216A58" w14:textId="77777777" w:rsidR="00EF5B27" w:rsidRDefault="00000000">
      <w:pPr>
        <w:pStyle w:val="ListParagraph"/>
        <w:numPr>
          <w:ilvl w:val="0"/>
          <w:numId w:val="65"/>
        </w:numPr>
        <w:tabs>
          <w:tab w:val="left" w:pos="2836"/>
        </w:tabs>
        <w:spacing w:line="230" w:lineRule="auto"/>
        <w:ind w:right="111"/>
        <w:jc w:val="left"/>
        <w:rPr>
          <w:sz w:val="12"/>
        </w:rPr>
      </w:pPr>
      <w:r>
        <w:rPr>
          <w:color w:val="4D4D4F"/>
          <w:sz w:val="12"/>
        </w:rPr>
        <w:t xml:space="preserve">Sinclair </w:t>
      </w:r>
      <w:r>
        <w:rPr>
          <w:color w:val="4D4D4F"/>
          <w:w w:val="110"/>
          <w:sz w:val="12"/>
        </w:rPr>
        <w:t xml:space="preserve">SJ, </w:t>
      </w:r>
      <w:r>
        <w:rPr>
          <w:color w:val="4D4D4F"/>
          <w:sz w:val="12"/>
        </w:rPr>
        <w:t xml:space="preserve">Zamin </w:t>
      </w:r>
      <w:r>
        <w:rPr>
          <w:color w:val="4D4D4F"/>
          <w:spacing w:val="-3"/>
          <w:sz w:val="12"/>
        </w:rPr>
        <w:t xml:space="preserve">T, </w:t>
      </w:r>
      <w:r>
        <w:rPr>
          <w:color w:val="4D4D4F"/>
          <w:sz w:val="12"/>
        </w:rPr>
        <w:t xml:space="preserve">Gibson-Roy </w:t>
      </w:r>
      <w:r>
        <w:rPr>
          <w:color w:val="4D4D4F"/>
          <w:spacing w:val="-5"/>
          <w:sz w:val="12"/>
        </w:rPr>
        <w:t xml:space="preserve">P, </w:t>
      </w:r>
      <w:r>
        <w:rPr>
          <w:color w:val="4D4D4F"/>
          <w:spacing w:val="2"/>
          <w:sz w:val="12"/>
        </w:rPr>
        <w:t xml:space="preserve">Dorrough </w:t>
      </w:r>
      <w:r>
        <w:rPr>
          <w:color w:val="4D4D4F"/>
          <w:w w:val="110"/>
          <w:sz w:val="12"/>
        </w:rPr>
        <w:t xml:space="preserve">J, </w:t>
      </w:r>
      <w:r>
        <w:rPr>
          <w:color w:val="4D4D4F"/>
          <w:sz w:val="12"/>
        </w:rPr>
        <w:t xml:space="preserve">Wong N, Craigie </w:t>
      </w:r>
      <w:r>
        <w:rPr>
          <w:color w:val="4D4D4F"/>
          <w:spacing w:val="-3"/>
          <w:sz w:val="12"/>
        </w:rPr>
        <w:t xml:space="preserve">V, </w:t>
      </w:r>
      <w:r>
        <w:rPr>
          <w:color w:val="4D4D4F"/>
          <w:spacing w:val="2"/>
          <w:sz w:val="12"/>
        </w:rPr>
        <w:t xml:space="preserve">Garrard </w:t>
      </w:r>
      <w:r>
        <w:rPr>
          <w:color w:val="4D4D4F"/>
          <w:sz w:val="12"/>
        </w:rPr>
        <w:t xml:space="preserve">GE and </w:t>
      </w:r>
      <w:r>
        <w:rPr>
          <w:color w:val="4D4D4F"/>
          <w:spacing w:val="2"/>
          <w:sz w:val="12"/>
        </w:rPr>
        <w:t xml:space="preserve">Moore </w:t>
      </w:r>
      <w:r>
        <w:rPr>
          <w:color w:val="4D4D4F"/>
          <w:w w:val="110"/>
          <w:sz w:val="12"/>
        </w:rPr>
        <w:t xml:space="preserve">JL </w:t>
      </w:r>
      <w:r>
        <w:rPr>
          <w:color w:val="4D4D4F"/>
          <w:sz w:val="12"/>
        </w:rPr>
        <w:t xml:space="preserve">2019b, ‘A state-and-transition model to guide grassland management.’ Australian Journal of Botany </w:t>
      </w:r>
      <w:r>
        <w:rPr>
          <w:color w:val="4D4D4F"/>
          <w:spacing w:val="-4"/>
          <w:sz w:val="12"/>
        </w:rPr>
        <w:t xml:space="preserve">67, </w:t>
      </w:r>
      <w:r>
        <w:rPr>
          <w:color w:val="4D4D4F"/>
          <w:spacing w:val="2"/>
          <w:sz w:val="12"/>
        </w:rPr>
        <w:t>437-453.</w:t>
      </w:r>
    </w:p>
    <w:p w14:paraId="32F96B5B" w14:textId="77777777" w:rsidR="00EF5B27" w:rsidRDefault="00000000">
      <w:pPr>
        <w:pStyle w:val="ListParagraph"/>
        <w:numPr>
          <w:ilvl w:val="0"/>
          <w:numId w:val="65"/>
        </w:numPr>
        <w:tabs>
          <w:tab w:val="left" w:pos="2836"/>
        </w:tabs>
        <w:spacing w:line="138" w:lineRule="exact"/>
        <w:jc w:val="left"/>
        <w:rPr>
          <w:sz w:val="12"/>
        </w:rPr>
      </w:pPr>
      <w:r>
        <w:rPr>
          <w:color w:val="4D4D4F"/>
          <w:sz w:val="12"/>
        </w:rPr>
        <w:t>Regan</w:t>
      </w:r>
      <w:r>
        <w:rPr>
          <w:color w:val="4D4D4F"/>
          <w:spacing w:val="4"/>
          <w:sz w:val="12"/>
        </w:rPr>
        <w:t xml:space="preserve"> </w:t>
      </w:r>
      <w:r>
        <w:rPr>
          <w:color w:val="4D4D4F"/>
          <w:spacing w:val="-3"/>
          <w:sz w:val="12"/>
        </w:rPr>
        <w:t>T.</w:t>
      </w:r>
      <w:r>
        <w:rPr>
          <w:color w:val="4D4D4F"/>
          <w:spacing w:val="4"/>
          <w:sz w:val="12"/>
        </w:rPr>
        <w:t xml:space="preserve"> </w:t>
      </w:r>
      <w:r>
        <w:rPr>
          <w:color w:val="4D4D4F"/>
          <w:sz w:val="12"/>
        </w:rPr>
        <w:t>et</w:t>
      </w:r>
      <w:r>
        <w:rPr>
          <w:color w:val="4D4D4F"/>
          <w:spacing w:val="4"/>
          <w:sz w:val="12"/>
        </w:rPr>
        <w:t xml:space="preserve"> </w:t>
      </w:r>
      <w:r>
        <w:rPr>
          <w:color w:val="4D4D4F"/>
          <w:sz w:val="12"/>
        </w:rPr>
        <w:t>al.,</w:t>
      </w:r>
      <w:r>
        <w:rPr>
          <w:color w:val="4D4D4F"/>
          <w:spacing w:val="4"/>
          <w:sz w:val="12"/>
        </w:rPr>
        <w:t xml:space="preserve"> </w:t>
      </w:r>
      <w:r>
        <w:rPr>
          <w:color w:val="4D4D4F"/>
          <w:spacing w:val="2"/>
          <w:sz w:val="12"/>
        </w:rPr>
        <w:t>Arthur</w:t>
      </w:r>
      <w:r>
        <w:rPr>
          <w:color w:val="4D4D4F"/>
          <w:spacing w:val="5"/>
          <w:sz w:val="12"/>
        </w:rPr>
        <w:t xml:space="preserve"> </w:t>
      </w:r>
      <w:r>
        <w:rPr>
          <w:color w:val="4D4D4F"/>
          <w:spacing w:val="2"/>
          <w:sz w:val="12"/>
        </w:rPr>
        <w:t>Rylah</w:t>
      </w:r>
      <w:r>
        <w:rPr>
          <w:color w:val="4D4D4F"/>
          <w:spacing w:val="4"/>
          <w:sz w:val="12"/>
        </w:rPr>
        <w:t xml:space="preserve"> </w:t>
      </w:r>
      <w:r>
        <w:rPr>
          <w:color w:val="4D4D4F"/>
          <w:sz w:val="12"/>
        </w:rPr>
        <w:t>Institute</w:t>
      </w:r>
      <w:r>
        <w:rPr>
          <w:color w:val="4D4D4F"/>
          <w:spacing w:val="4"/>
          <w:sz w:val="12"/>
        </w:rPr>
        <w:t xml:space="preserve"> </w:t>
      </w:r>
      <w:r>
        <w:rPr>
          <w:color w:val="4D4D4F"/>
          <w:sz w:val="12"/>
        </w:rPr>
        <w:t>2012,</w:t>
      </w:r>
      <w:r>
        <w:rPr>
          <w:color w:val="4D4D4F"/>
          <w:spacing w:val="4"/>
          <w:sz w:val="12"/>
        </w:rPr>
        <w:t xml:space="preserve"> </w:t>
      </w:r>
      <w:r>
        <w:rPr>
          <w:color w:val="4D4D4F"/>
          <w:sz w:val="12"/>
        </w:rPr>
        <w:t>‘Melbourne</w:t>
      </w:r>
      <w:r>
        <w:rPr>
          <w:color w:val="4D4D4F"/>
          <w:spacing w:val="4"/>
          <w:sz w:val="12"/>
        </w:rPr>
        <w:t xml:space="preserve"> </w:t>
      </w:r>
      <w:r>
        <w:rPr>
          <w:color w:val="4D4D4F"/>
          <w:sz w:val="12"/>
        </w:rPr>
        <w:t>Strategic</w:t>
      </w:r>
      <w:r>
        <w:rPr>
          <w:color w:val="4D4D4F"/>
          <w:spacing w:val="5"/>
          <w:sz w:val="12"/>
        </w:rPr>
        <w:t xml:space="preserve"> </w:t>
      </w:r>
      <w:r>
        <w:rPr>
          <w:color w:val="4D4D4F"/>
          <w:sz w:val="12"/>
        </w:rPr>
        <w:t>Assessment:</w:t>
      </w:r>
      <w:r>
        <w:rPr>
          <w:color w:val="4D4D4F"/>
          <w:spacing w:val="4"/>
          <w:sz w:val="12"/>
        </w:rPr>
        <w:t xml:space="preserve"> </w:t>
      </w:r>
      <w:r>
        <w:rPr>
          <w:color w:val="4D4D4F"/>
          <w:sz w:val="12"/>
        </w:rPr>
        <w:t>Population</w:t>
      </w:r>
      <w:r>
        <w:rPr>
          <w:color w:val="4D4D4F"/>
          <w:spacing w:val="4"/>
          <w:sz w:val="12"/>
        </w:rPr>
        <w:t xml:space="preserve"> </w:t>
      </w:r>
      <w:r>
        <w:rPr>
          <w:color w:val="4D4D4F"/>
          <w:sz w:val="12"/>
        </w:rPr>
        <w:t>Viability</w:t>
      </w:r>
      <w:r>
        <w:rPr>
          <w:color w:val="4D4D4F"/>
          <w:spacing w:val="4"/>
          <w:sz w:val="12"/>
        </w:rPr>
        <w:t xml:space="preserve"> </w:t>
      </w:r>
      <w:r>
        <w:rPr>
          <w:color w:val="4D4D4F"/>
          <w:sz w:val="12"/>
        </w:rPr>
        <w:t>Analysis</w:t>
      </w:r>
      <w:r>
        <w:rPr>
          <w:color w:val="4D4D4F"/>
          <w:spacing w:val="4"/>
          <w:sz w:val="12"/>
        </w:rPr>
        <w:t xml:space="preserve"> </w:t>
      </w:r>
      <w:r>
        <w:rPr>
          <w:color w:val="4D4D4F"/>
          <w:sz w:val="12"/>
        </w:rPr>
        <w:t>model</w:t>
      </w:r>
      <w:r>
        <w:rPr>
          <w:color w:val="4D4D4F"/>
          <w:spacing w:val="5"/>
          <w:sz w:val="12"/>
        </w:rPr>
        <w:t xml:space="preserve"> </w:t>
      </w:r>
      <w:r>
        <w:rPr>
          <w:color w:val="4D4D4F"/>
          <w:sz w:val="12"/>
        </w:rPr>
        <w:t>for</w:t>
      </w:r>
      <w:r>
        <w:rPr>
          <w:color w:val="4D4D4F"/>
          <w:spacing w:val="4"/>
          <w:sz w:val="12"/>
        </w:rPr>
        <w:t xml:space="preserve"> </w:t>
      </w:r>
      <w:r>
        <w:rPr>
          <w:color w:val="4D4D4F"/>
          <w:sz w:val="12"/>
        </w:rPr>
        <w:t>threatened</w:t>
      </w:r>
      <w:r>
        <w:rPr>
          <w:color w:val="4D4D4F"/>
          <w:spacing w:val="4"/>
          <w:sz w:val="12"/>
        </w:rPr>
        <w:t xml:space="preserve"> </w:t>
      </w:r>
      <w:r>
        <w:rPr>
          <w:color w:val="4D4D4F"/>
          <w:sz w:val="12"/>
        </w:rPr>
        <w:t>species’.</w:t>
      </w:r>
    </w:p>
    <w:p w14:paraId="259851E6" w14:textId="77777777" w:rsidR="00EF5B27" w:rsidRDefault="00000000">
      <w:pPr>
        <w:pStyle w:val="ListParagraph"/>
        <w:numPr>
          <w:ilvl w:val="0"/>
          <w:numId w:val="65"/>
        </w:numPr>
        <w:tabs>
          <w:tab w:val="left" w:pos="2836"/>
        </w:tabs>
        <w:spacing w:line="230" w:lineRule="auto"/>
        <w:ind w:right="111"/>
        <w:jc w:val="left"/>
        <w:rPr>
          <w:sz w:val="12"/>
        </w:rPr>
      </w:pPr>
      <w:r>
        <w:rPr>
          <w:color w:val="4D4D4F"/>
          <w:spacing w:val="2"/>
          <w:sz w:val="12"/>
        </w:rPr>
        <w:t xml:space="preserve">Brown, </w:t>
      </w:r>
      <w:r>
        <w:rPr>
          <w:color w:val="4D4D4F"/>
          <w:sz w:val="12"/>
        </w:rPr>
        <w:t xml:space="preserve">G., Tolsma, </w:t>
      </w:r>
      <w:r>
        <w:rPr>
          <w:color w:val="4D4D4F"/>
          <w:spacing w:val="2"/>
          <w:sz w:val="12"/>
        </w:rPr>
        <w:t xml:space="preserve">A. </w:t>
      </w:r>
      <w:r>
        <w:rPr>
          <w:color w:val="4D4D4F"/>
          <w:sz w:val="12"/>
        </w:rPr>
        <w:t xml:space="preserve">and McNabb, E., 2012. Ecological </w:t>
      </w:r>
      <w:r>
        <w:rPr>
          <w:color w:val="4D4D4F"/>
          <w:spacing w:val="2"/>
          <w:sz w:val="12"/>
        </w:rPr>
        <w:t xml:space="preserve">aspects </w:t>
      </w:r>
      <w:r>
        <w:rPr>
          <w:color w:val="4D4D4F"/>
          <w:sz w:val="12"/>
        </w:rPr>
        <w:t>of new populations of the threatened Golden sun moth ‘Synemon plana'     on the Victorian Volcanic plains. Victorian Naturalist, The, 129(3),</w:t>
      </w:r>
      <w:r>
        <w:rPr>
          <w:color w:val="4D4D4F"/>
          <w:spacing w:val="22"/>
          <w:sz w:val="12"/>
        </w:rPr>
        <w:t xml:space="preserve"> </w:t>
      </w:r>
      <w:r>
        <w:rPr>
          <w:color w:val="4D4D4F"/>
          <w:sz w:val="12"/>
        </w:rPr>
        <w:t>pp.77-85.</w:t>
      </w:r>
    </w:p>
    <w:p w14:paraId="5F8A997D" w14:textId="77777777" w:rsidR="00EF5B27" w:rsidRDefault="00000000">
      <w:pPr>
        <w:pStyle w:val="ListParagraph"/>
        <w:numPr>
          <w:ilvl w:val="0"/>
          <w:numId w:val="65"/>
        </w:numPr>
        <w:tabs>
          <w:tab w:val="left" w:pos="2836"/>
        </w:tabs>
        <w:spacing w:line="141" w:lineRule="exact"/>
        <w:jc w:val="left"/>
        <w:rPr>
          <w:sz w:val="12"/>
        </w:rPr>
      </w:pPr>
      <w:r>
        <w:rPr>
          <w:color w:val="4D4D4F"/>
          <w:sz w:val="12"/>
        </w:rPr>
        <w:t xml:space="preserve">DELWP Officer, personal communication, 15 </w:t>
      </w:r>
      <w:r>
        <w:rPr>
          <w:color w:val="4D4D4F"/>
          <w:spacing w:val="2"/>
          <w:sz w:val="12"/>
        </w:rPr>
        <w:t>February</w:t>
      </w:r>
      <w:r>
        <w:rPr>
          <w:color w:val="4D4D4F"/>
          <w:spacing w:val="14"/>
          <w:sz w:val="12"/>
        </w:rPr>
        <w:t xml:space="preserve"> </w:t>
      </w:r>
      <w:r>
        <w:rPr>
          <w:color w:val="4D4D4F"/>
          <w:spacing w:val="2"/>
          <w:sz w:val="12"/>
        </w:rPr>
        <w:t>2022.</w:t>
      </w:r>
    </w:p>
    <w:p w14:paraId="632F4A0E" w14:textId="77777777" w:rsidR="00EF5B27" w:rsidRDefault="00EF5B27">
      <w:pPr>
        <w:spacing w:line="141" w:lineRule="exact"/>
        <w:rPr>
          <w:sz w:val="12"/>
        </w:rPr>
        <w:sectPr w:rsidR="00EF5B27">
          <w:type w:val="continuous"/>
          <w:pgSz w:w="11910" w:h="16840"/>
          <w:pgMar w:top="1140" w:right="1020" w:bottom="280" w:left="1020" w:header="720" w:footer="720" w:gutter="0"/>
          <w:cols w:space="720"/>
        </w:sectPr>
      </w:pPr>
    </w:p>
    <w:p w14:paraId="2838E3FD" w14:textId="77777777" w:rsidR="00EF5B27" w:rsidRDefault="00EF5B27">
      <w:pPr>
        <w:pStyle w:val="BodyText"/>
      </w:pPr>
    </w:p>
    <w:p w14:paraId="298F1FC7" w14:textId="77777777" w:rsidR="00EF5B27" w:rsidRDefault="00EF5B27">
      <w:pPr>
        <w:pStyle w:val="BodyText"/>
      </w:pPr>
    </w:p>
    <w:p w14:paraId="72C2D7FA" w14:textId="77777777" w:rsidR="00EF5B27" w:rsidRDefault="00EF5B27">
      <w:pPr>
        <w:pStyle w:val="BodyText"/>
      </w:pPr>
    </w:p>
    <w:p w14:paraId="37E484FC" w14:textId="77777777" w:rsidR="00EF5B27" w:rsidRDefault="00EF5B27">
      <w:pPr>
        <w:pStyle w:val="BodyText"/>
      </w:pPr>
    </w:p>
    <w:p w14:paraId="54CE986E" w14:textId="77777777" w:rsidR="00EF5B27" w:rsidRDefault="00EF5B27">
      <w:pPr>
        <w:pStyle w:val="BodyText"/>
        <w:spacing w:before="5"/>
        <w:rPr>
          <w:sz w:val="16"/>
        </w:rPr>
      </w:pPr>
    </w:p>
    <w:tbl>
      <w:tblPr>
        <w:tblW w:w="0" w:type="auto"/>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3C842EB4" w14:textId="77777777">
        <w:trPr>
          <w:trHeight w:val="561"/>
        </w:trPr>
        <w:tc>
          <w:tcPr>
            <w:tcW w:w="2980" w:type="dxa"/>
            <w:shd w:val="clear" w:color="auto" w:fill="FECC91"/>
          </w:tcPr>
          <w:p w14:paraId="14BA887C" w14:textId="77777777" w:rsidR="00EF5B27" w:rsidRDefault="00000000">
            <w:pPr>
              <w:pStyle w:val="TableParagraph"/>
              <w:spacing w:before="91" w:line="244" w:lineRule="auto"/>
              <w:ind w:left="80"/>
              <w:rPr>
                <w:b/>
                <w:sz w:val="16"/>
              </w:rPr>
            </w:pPr>
            <w:r>
              <w:rPr>
                <w:b/>
                <w:sz w:val="16"/>
              </w:rPr>
              <w:t>KPI 1: Proportion of monitoring sites that are occupied</w:t>
            </w:r>
          </w:p>
        </w:tc>
        <w:tc>
          <w:tcPr>
            <w:tcW w:w="1078" w:type="dxa"/>
            <w:shd w:val="clear" w:color="auto" w:fill="FECC91"/>
          </w:tcPr>
          <w:p w14:paraId="5312AC53"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0E69DD99" w14:textId="77777777" w:rsidR="00EF5B27" w:rsidRDefault="00EF5B27">
            <w:pPr>
              <w:pStyle w:val="TableParagraph"/>
              <w:spacing w:before="7"/>
              <w:rPr>
                <w:sz w:val="15"/>
              </w:rPr>
            </w:pPr>
          </w:p>
          <w:p w14:paraId="0E66EA36"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1D33D2DD" w14:textId="77777777" w:rsidR="00EF5B27" w:rsidRDefault="00EF5B27">
            <w:pPr>
              <w:pStyle w:val="TableParagraph"/>
              <w:spacing w:before="7"/>
              <w:rPr>
                <w:sz w:val="15"/>
              </w:rPr>
            </w:pPr>
          </w:p>
          <w:p w14:paraId="682D396E"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2A01264D"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09271CB0"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10373DC9" w14:textId="77777777">
        <w:trPr>
          <w:trHeight w:val="448"/>
        </w:trPr>
        <w:tc>
          <w:tcPr>
            <w:tcW w:w="2980" w:type="dxa"/>
          </w:tcPr>
          <w:p w14:paraId="36009405" w14:textId="77777777" w:rsidR="00EF5B27" w:rsidRDefault="00EF5B27">
            <w:pPr>
              <w:pStyle w:val="TableParagraph"/>
              <w:spacing w:before="11"/>
              <w:rPr>
                <w:sz w:val="11"/>
              </w:rPr>
            </w:pPr>
          </w:p>
          <w:p w14:paraId="4F3B5B7B" w14:textId="77777777" w:rsidR="00EF5B27" w:rsidRDefault="00000000">
            <w:pPr>
              <w:pStyle w:val="TableParagraph"/>
              <w:ind w:left="80"/>
              <w:rPr>
                <w:sz w:val="14"/>
              </w:rPr>
            </w:pPr>
            <w:r>
              <w:rPr>
                <w:color w:val="4D4D4F"/>
                <w:w w:val="105"/>
                <w:sz w:val="14"/>
              </w:rPr>
              <w:t>All locations</w:t>
            </w:r>
          </w:p>
        </w:tc>
        <w:tc>
          <w:tcPr>
            <w:tcW w:w="1078" w:type="dxa"/>
          </w:tcPr>
          <w:p w14:paraId="33316B74" w14:textId="77777777" w:rsidR="00EF5B27" w:rsidRDefault="00EF5B27">
            <w:pPr>
              <w:pStyle w:val="TableParagraph"/>
              <w:spacing w:before="11"/>
              <w:rPr>
                <w:sz w:val="11"/>
              </w:rPr>
            </w:pPr>
          </w:p>
          <w:p w14:paraId="09F41EF4" w14:textId="77777777" w:rsidR="00EF5B27" w:rsidRDefault="00000000">
            <w:pPr>
              <w:pStyle w:val="TableParagraph"/>
              <w:ind w:left="304"/>
              <w:rPr>
                <w:sz w:val="14"/>
              </w:rPr>
            </w:pPr>
            <w:r>
              <w:rPr>
                <w:color w:val="4D4D4F"/>
                <w:sz w:val="14"/>
              </w:rPr>
              <w:t>Not met</w:t>
            </w:r>
          </w:p>
        </w:tc>
        <w:tc>
          <w:tcPr>
            <w:tcW w:w="2155" w:type="dxa"/>
          </w:tcPr>
          <w:p w14:paraId="75543A00" w14:textId="77777777" w:rsidR="00EF5B27" w:rsidRDefault="00EF5B27">
            <w:pPr>
              <w:pStyle w:val="TableParagraph"/>
              <w:spacing w:before="11"/>
              <w:rPr>
                <w:sz w:val="11"/>
              </w:rPr>
            </w:pPr>
          </w:p>
          <w:p w14:paraId="3B41F727" w14:textId="77777777" w:rsidR="00EF5B27" w:rsidRDefault="00000000">
            <w:pPr>
              <w:pStyle w:val="TableParagraph"/>
              <w:ind w:left="138" w:right="142"/>
              <w:jc w:val="center"/>
              <w:rPr>
                <w:sz w:val="14"/>
              </w:rPr>
            </w:pPr>
            <w:r>
              <w:rPr>
                <w:color w:val="4D4D4F"/>
                <w:w w:val="105"/>
                <w:sz w:val="14"/>
              </w:rPr>
              <w:t>N/A</w:t>
            </w:r>
          </w:p>
        </w:tc>
        <w:tc>
          <w:tcPr>
            <w:tcW w:w="964" w:type="dxa"/>
          </w:tcPr>
          <w:p w14:paraId="6CB37566" w14:textId="77777777" w:rsidR="00EF5B27" w:rsidRDefault="00EF5B27">
            <w:pPr>
              <w:pStyle w:val="TableParagraph"/>
              <w:spacing w:before="1"/>
              <w:rPr>
                <w:sz w:val="15"/>
              </w:rPr>
            </w:pPr>
          </w:p>
          <w:p w14:paraId="3BABA8EA" w14:textId="77777777" w:rsidR="00EF5B27" w:rsidRDefault="00000000">
            <w:pPr>
              <w:pStyle w:val="TableParagraph"/>
              <w:spacing w:line="102" w:lineRule="exact"/>
              <w:ind w:left="361"/>
              <w:rPr>
                <w:sz w:val="10"/>
              </w:rPr>
            </w:pPr>
            <w:r>
              <w:rPr>
                <w:noProof/>
                <w:position w:val="-1"/>
                <w:sz w:val="10"/>
              </w:rPr>
              <w:drawing>
                <wp:inline distT="0" distB="0" distL="0" distR="0" wp14:anchorId="139A706C" wp14:editId="26D7A226">
                  <wp:extent cx="151464" cy="65341"/>
                  <wp:effectExtent l="0" t="0" r="0" b="0"/>
                  <wp:docPr id="237"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57.png"/>
                          <pic:cNvPicPr/>
                        </pic:nvPicPr>
                        <pic:blipFill>
                          <a:blip r:embed="rId87" cstate="print"/>
                          <a:stretch>
                            <a:fillRect/>
                          </a:stretch>
                        </pic:blipFill>
                        <pic:spPr>
                          <a:xfrm>
                            <a:off x="0" y="0"/>
                            <a:ext cx="151464" cy="65341"/>
                          </a:xfrm>
                          <a:prstGeom prst="rect">
                            <a:avLst/>
                          </a:prstGeom>
                        </pic:spPr>
                      </pic:pic>
                    </a:graphicData>
                  </a:graphic>
                </wp:inline>
              </w:drawing>
            </w:r>
          </w:p>
        </w:tc>
        <w:tc>
          <w:tcPr>
            <w:tcW w:w="964" w:type="dxa"/>
          </w:tcPr>
          <w:p w14:paraId="437BF159" w14:textId="77777777" w:rsidR="00EF5B27" w:rsidRDefault="00EF5B27">
            <w:pPr>
              <w:pStyle w:val="TableParagraph"/>
              <w:spacing w:before="11"/>
              <w:rPr>
                <w:sz w:val="11"/>
              </w:rPr>
            </w:pPr>
          </w:p>
          <w:p w14:paraId="04E6C318" w14:textId="77777777" w:rsidR="00EF5B27" w:rsidRDefault="00000000">
            <w:pPr>
              <w:pStyle w:val="TableParagraph"/>
              <w:ind w:left="197"/>
              <w:rPr>
                <w:sz w:val="14"/>
              </w:rPr>
            </w:pPr>
            <w:r>
              <w:rPr>
                <w:color w:val="4D4D4F"/>
                <w:sz w:val="14"/>
              </w:rPr>
              <w:t>Moderate</w:t>
            </w:r>
          </w:p>
        </w:tc>
        <w:tc>
          <w:tcPr>
            <w:tcW w:w="1489" w:type="dxa"/>
          </w:tcPr>
          <w:p w14:paraId="23D72871" w14:textId="77777777" w:rsidR="00EF5B27" w:rsidRDefault="00000000">
            <w:pPr>
              <w:pStyle w:val="TableParagraph"/>
              <w:spacing w:before="134"/>
              <w:ind w:left="453" w:right="457"/>
              <w:jc w:val="center"/>
              <w:rPr>
                <w:sz w:val="16"/>
              </w:rPr>
            </w:pPr>
            <w:r>
              <w:rPr>
                <w:color w:val="4D4D4F"/>
                <w:sz w:val="16"/>
              </w:rPr>
              <w:t>2018</w:t>
            </w:r>
          </w:p>
        </w:tc>
      </w:tr>
    </w:tbl>
    <w:p w14:paraId="324A0D7B" w14:textId="77777777" w:rsidR="00EF5B27" w:rsidRDefault="00EF5B27">
      <w:pPr>
        <w:pStyle w:val="BodyText"/>
        <w:spacing w:before="1"/>
        <w:rPr>
          <w:sz w:val="26"/>
        </w:rPr>
      </w:pPr>
    </w:p>
    <w:p w14:paraId="5DF3E9C5" w14:textId="77777777" w:rsidR="00EF5B27" w:rsidRDefault="00000000">
      <w:pPr>
        <w:pStyle w:val="BodyText"/>
        <w:spacing w:before="100" w:line="254" w:lineRule="auto"/>
        <w:ind w:left="2608" w:right="119"/>
      </w:pPr>
      <w:r>
        <w:rPr>
          <w:color w:val="4D4D4F"/>
        </w:rPr>
        <w:t xml:space="preserve">Comments: The Golden Sun Moth was detected at four of </w:t>
      </w:r>
      <w:r>
        <w:rPr>
          <w:color w:val="4D4D4F"/>
          <w:spacing w:val="-10"/>
        </w:rPr>
        <w:t xml:space="preserve">11 </w:t>
      </w:r>
      <w:r>
        <w:rPr>
          <w:color w:val="4D4D4F"/>
        </w:rPr>
        <w:t xml:space="preserve">plots (0.36) in the </w:t>
      </w:r>
      <w:r>
        <w:rPr>
          <w:color w:val="4D4D4F"/>
          <w:spacing w:val="-3"/>
        </w:rPr>
        <w:t xml:space="preserve">2021–22 </w:t>
      </w:r>
      <w:r>
        <w:rPr>
          <w:color w:val="4D4D4F"/>
        </w:rPr>
        <w:t xml:space="preserve">season. With the inclusion of this data, the upper 95% confidence interval (0.84) of the five-year mean has fallen below the baseline of 0.89, which may suggest an overall decline in population numbers. This is the first year that the KPI has been in breach of the baseline for Golden Sun Moth and occupancy is the lowest recorded in eight years of monitoring. This </w:t>
      </w:r>
      <w:r>
        <w:rPr>
          <w:color w:val="4D4D4F"/>
          <w:spacing w:val="-3"/>
        </w:rPr>
        <w:t xml:space="preserve">likely </w:t>
      </w:r>
      <w:r>
        <w:rPr>
          <w:color w:val="4D4D4F"/>
        </w:rPr>
        <w:t>reflects a general decline in detections since the first three years of monitoring – and annual variation in detections appears to be increasing.</w:t>
      </w:r>
    </w:p>
    <w:p w14:paraId="715C0C58" w14:textId="77777777" w:rsidR="00EF5B27" w:rsidRDefault="00000000">
      <w:pPr>
        <w:pStyle w:val="BodyText"/>
        <w:spacing w:before="9" w:line="254" w:lineRule="auto"/>
        <w:ind w:left="2608" w:right="148"/>
        <w:rPr>
          <w:sz w:val="11"/>
        </w:rPr>
      </w:pPr>
      <w:r>
        <w:pict w14:anchorId="39744726">
          <v:group id="_x0000_s3904" style="position:absolute;left:0;text-align:left;margin-left:56.7pt;margin-top:97.65pt;width:481.15pt;height:.25pt;z-index:251472384;mso-position-horizontal-relative:page" coordorigin="1134,1953" coordsize="9623,5">
            <v:line id="_x0000_s3906" style="position:absolute" from="1134,1955" to="3628,1955" strokeweight=".25pt"/>
            <v:line id="_x0000_s3905" style="position:absolute" from="3628,1955" to="10756,1955" strokeweight=".25pt"/>
            <w10:wrap anchorx="page"/>
          </v:group>
        </w:pict>
      </w:r>
      <w:r>
        <w:rPr>
          <w:color w:val="4D4D4F"/>
        </w:rPr>
        <w:t>DELWP has noted</w:t>
      </w:r>
      <w:r>
        <w:rPr>
          <w:color w:val="4D4D4F"/>
          <w:position w:val="7"/>
          <w:sz w:val="11"/>
        </w:rPr>
        <w:t xml:space="preserve">69 </w:t>
      </w:r>
      <w:r>
        <w:rPr>
          <w:color w:val="4D4D4F"/>
        </w:rPr>
        <w:t xml:space="preserve">that monitoring for the Golden Sun Moth started later this year and this may account for the lower apparent occupancy than in previous years. Monitoring data shows generally high grassland biomass levels </w:t>
      </w:r>
      <w:r>
        <w:rPr>
          <w:color w:val="4D4D4F"/>
          <w:spacing w:val="-3"/>
        </w:rPr>
        <w:t xml:space="preserve">(and </w:t>
      </w:r>
      <w:r>
        <w:rPr>
          <w:color w:val="4D4D4F"/>
        </w:rPr>
        <w:t xml:space="preserve">correspondingly less bare ground) in </w:t>
      </w:r>
      <w:r>
        <w:rPr>
          <w:color w:val="4D4D4F"/>
          <w:spacing w:val="-3"/>
        </w:rPr>
        <w:t xml:space="preserve">2021, </w:t>
      </w:r>
      <w:r>
        <w:rPr>
          <w:color w:val="4D4D4F"/>
        </w:rPr>
        <w:t>compared with previous years.</w:t>
      </w:r>
      <w:r>
        <w:rPr>
          <w:color w:val="4D4D4F"/>
          <w:position w:val="7"/>
          <w:sz w:val="11"/>
        </w:rPr>
        <w:t xml:space="preserve">70 </w:t>
      </w:r>
      <w:r>
        <w:rPr>
          <w:color w:val="4D4D4F"/>
        </w:rPr>
        <w:t>DELWP speculates that this factor  may have had a detrimental effect on moth emergence/detectability, though this remains</w:t>
      </w:r>
      <w:r>
        <w:rPr>
          <w:color w:val="4D4D4F"/>
          <w:spacing w:val="4"/>
        </w:rPr>
        <w:t xml:space="preserve"> </w:t>
      </w:r>
      <w:r>
        <w:rPr>
          <w:color w:val="4D4D4F"/>
          <w:spacing w:val="-4"/>
        </w:rPr>
        <w:t>unclear.</w:t>
      </w:r>
      <w:r>
        <w:rPr>
          <w:color w:val="4D4D4F"/>
          <w:spacing w:val="-4"/>
          <w:position w:val="7"/>
          <w:sz w:val="11"/>
        </w:rPr>
        <w:t>71</w:t>
      </w:r>
    </w:p>
    <w:p w14:paraId="73528DBE" w14:textId="77777777" w:rsidR="00EF5B27" w:rsidRDefault="00EF5B27">
      <w:pPr>
        <w:pStyle w:val="BodyText"/>
      </w:pPr>
    </w:p>
    <w:p w14:paraId="4114A2F1" w14:textId="77777777" w:rsidR="00EF5B27" w:rsidRDefault="00000000">
      <w:pPr>
        <w:pStyle w:val="BodyText"/>
        <w:spacing w:before="6"/>
        <w:rPr>
          <w:sz w:val="10"/>
        </w:rPr>
      </w:pPr>
      <w:r>
        <w:pict w14:anchorId="3CDA5140">
          <v:shape id="_x0000_s3903" type="#_x0000_t202" style="position:absolute;margin-left:56.7pt;margin-top:7.6pt;width:481.15pt;height:25.3pt;z-index:251428352;mso-wrap-distance-left:0;mso-wrap-distance-right:0;mso-position-horizontal-relative:page" fillcolor="#fecc91" stroked="f">
            <v:textbox inset="0,0,0,0">
              <w:txbxContent>
                <w:p w14:paraId="13E719BA" w14:textId="77777777" w:rsidR="00EF5B27" w:rsidRDefault="00000000">
                  <w:pPr>
                    <w:tabs>
                      <w:tab w:val="left" w:pos="2607"/>
                    </w:tabs>
                    <w:spacing w:before="140"/>
                    <w:ind w:left="113"/>
                    <w:rPr>
                      <w:b/>
                      <w:sz w:val="20"/>
                    </w:rPr>
                  </w:pPr>
                  <w:r>
                    <w:rPr>
                      <w:b/>
                      <w:color w:val="4D4D4F"/>
                      <w:sz w:val="20"/>
                    </w:rPr>
                    <w:t>Theme</w:t>
                  </w:r>
                  <w:r>
                    <w:rPr>
                      <w:b/>
                      <w:color w:val="4D4D4F"/>
                      <w:sz w:val="20"/>
                    </w:rPr>
                    <w:tab/>
                    <w:t>Golden Sun</w:t>
                  </w:r>
                  <w:r>
                    <w:rPr>
                      <w:b/>
                      <w:color w:val="4D4D4F"/>
                      <w:spacing w:val="7"/>
                      <w:sz w:val="20"/>
                    </w:rPr>
                    <w:t xml:space="preserve"> </w:t>
                  </w:r>
                  <w:r>
                    <w:rPr>
                      <w:b/>
                      <w:color w:val="4D4D4F"/>
                      <w:sz w:val="20"/>
                    </w:rPr>
                    <w:t>Moth</w:t>
                  </w:r>
                </w:p>
              </w:txbxContent>
            </v:textbox>
            <w10:wrap type="topAndBottom" anchorx="page"/>
          </v:shape>
        </w:pict>
      </w:r>
    </w:p>
    <w:p w14:paraId="4FBBC733" w14:textId="77777777" w:rsidR="00EF5B27" w:rsidRDefault="00EF5B27">
      <w:pPr>
        <w:pStyle w:val="BodyText"/>
        <w:spacing w:before="8"/>
        <w:rPr>
          <w:sz w:val="5"/>
        </w:rPr>
      </w:pPr>
    </w:p>
    <w:p w14:paraId="71D5CC96" w14:textId="77777777" w:rsidR="00EF5B27" w:rsidRDefault="00EF5B27">
      <w:pPr>
        <w:rPr>
          <w:sz w:val="5"/>
        </w:rPr>
        <w:sectPr w:rsidR="00EF5B27">
          <w:pgSz w:w="11910" w:h="16840"/>
          <w:pgMar w:top="1080" w:right="1020" w:bottom="860" w:left="1020" w:header="537" w:footer="678" w:gutter="0"/>
          <w:cols w:space="720"/>
        </w:sectPr>
      </w:pPr>
    </w:p>
    <w:p w14:paraId="32168743" w14:textId="77777777" w:rsidR="00EF5B27" w:rsidRDefault="00000000">
      <w:pPr>
        <w:pStyle w:val="BodyText"/>
        <w:spacing w:before="54"/>
        <w:ind w:left="227"/>
      </w:pPr>
      <w:r>
        <w:pict w14:anchorId="1E6BD2ED">
          <v:group id="_x0000_s3900" style="position:absolute;left:0;text-align:left;margin-left:56.7pt;margin-top:-4.2pt;width:481.15pt;height:.25pt;z-index:251473408;mso-position-horizontal-relative:page" coordorigin="1134,-84" coordsize="9623,5">
            <v:line id="_x0000_s3902" style="position:absolute" from="1134,-81" to="3628,-81" strokeweight=".25pt"/>
            <v:line id="_x0000_s3901" style="position:absolute" from="3628,-81" to="10756,-81" strokeweight=".25pt"/>
            <w10:wrap anchorx="page"/>
          </v:group>
        </w:pict>
      </w:r>
      <w:r>
        <w:rPr>
          <w:color w:val="4D4D4F"/>
        </w:rPr>
        <w:t>Recommendation</w:t>
      </w:r>
    </w:p>
    <w:p w14:paraId="254FD70E" w14:textId="77777777" w:rsidR="00EF5B27" w:rsidRDefault="00000000">
      <w:pPr>
        <w:pStyle w:val="Heading1"/>
        <w:spacing w:before="3"/>
      </w:pPr>
      <w:r>
        <w:rPr>
          <w:color w:val="4D4D4F"/>
          <w:w w:val="105"/>
        </w:rPr>
        <w:t>08</w:t>
      </w:r>
    </w:p>
    <w:p w14:paraId="02F9F308" w14:textId="77777777" w:rsidR="00EF5B27" w:rsidRDefault="00000000">
      <w:pPr>
        <w:pStyle w:val="BodyText"/>
        <w:spacing w:before="54"/>
        <w:ind w:left="227"/>
      </w:pPr>
      <w:r>
        <w:br w:type="column"/>
      </w:r>
      <w:r>
        <w:rPr>
          <w:color w:val="4D4D4F"/>
        </w:rPr>
        <w:t>That DELWP:</w:t>
      </w:r>
    </w:p>
    <w:p w14:paraId="49ED1D32" w14:textId="77777777" w:rsidR="00EF5B27" w:rsidRDefault="00000000">
      <w:pPr>
        <w:pStyle w:val="ListParagraph"/>
        <w:numPr>
          <w:ilvl w:val="0"/>
          <w:numId w:val="50"/>
        </w:numPr>
        <w:tabs>
          <w:tab w:val="left" w:pos="429"/>
        </w:tabs>
        <w:spacing w:before="129"/>
        <w:ind w:hanging="201"/>
        <w:rPr>
          <w:sz w:val="20"/>
        </w:rPr>
      </w:pPr>
      <w:r>
        <w:rPr>
          <w:color w:val="4D4D4F"/>
          <w:sz w:val="20"/>
        </w:rPr>
        <w:t>considers changes to the monitoring regime of the Golden Sun Moth,</w:t>
      </w:r>
      <w:r>
        <w:rPr>
          <w:color w:val="4D4D4F"/>
          <w:spacing w:val="33"/>
          <w:sz w:val="20"/>
        </w:rPr>
        <w:t xml:space="preserve"> </w:t>
      </w:r>
      <w:r>
        <w:rPr>
          <w:color w:val="4D4D4F"/>
          <w:sz w:val="20"/>
        </w:rPr>
        <w:t>and</w:t>
      </w:r>
    </w:p>
    <w:p w14:paraId="2885F636" w14:textId="77777777" w:rsidR="00EF5B27" w:rsidRDefault="00000000">
      <w:pPr>
        <w:pStyle w:val="ListParagraph"/>
        <w:numPr>
          <w:ilvl w:val="0"/>
          <w:numId w:val="50"/>
        </w:numPr>
        <w:tabs>
          <w:tab w:val="left" w:pos="471"/>
        </w:tabs>
        <w:spacing w:before="129"/>
        <w:ind w:left="470" w:hanging="243"/>
        <w:rPr>
          <w:sz w:val="20"/>
        </w:rPr>
      </w:pPr>
      <w:r>
        <w:rPr>
          <w:color w:val="4D4D4F"/>
          <w:sz w:val="20"/>
        </w:rPr>
        <w:t>undertakes research into biomass control</w:t>
      </w:r>
      <w:r>
        <w:rPr>
          <w:color w:val="4D4D4F"/>
          <w:spacing w:val="24"/>
          <w:sz w:val="20"/>
        </w:rPr>
        <w:t xml:space="preserve"> </w:t>
      </w:r>
      <w:r>
        <w:rPr>
          <w:color w:val="4D4D4F"/>
          <w:sz w:val="20"/>
        </w:rPr>
        <w:t>impacts.</w:t>
      </w:r>
    </w:p>
    <w:p w14:paraId="36434771" w14:textId="77777777" w:rsidR="00EF5B27" w:rsidRDefault="00EF5B27">
      <w:pPr>
        <w:rPr>
          <w:sz w:val="20"/>
        </w:rPr>
        <w:sectPr w:rsidR="00EF5B27">
          <w:type w:val="continuous"/>
          <w:pgSz w:w="11910" w:h="16840"/>
          <w:pgMar w:top="1140" w:right="1020" w:bottom="280" w:left="1020" w:header="720" w:footer="720" w:gutter="0"/>
          <w:cols w:num="2" w:space="720" w:equalWidth="0">
            <w:col w:w="1704" w:space="790"/>
            <w:col w:w="7376"/>
          </w:cols>
        </w:sectPr>
      </w:pPr>
    </w:p>
    <w:p w14:paraId="4E187B03" w14:textId="77777777" w:rsidR="00EF5B27" w:rsidRDefault="00000000">
      <w:pPr>
        <w:pStyle w:val="BodyText"/>
        <w:spacing w:before="3"/>
        <w:rPr>
          <w:sz w:val="22"/>
        </w:rPr>
      </w:pPr>
      <w:r>
        <w:pict w14:anchorId="29879D4C">
          <v:group id="_x0000_s3892" style="position:absolute;margin-left:587.05pt;margin-top:183.4pt;width:8.25pt;height:153.1pt;z-index:251471360;mso-position-horizontal-relative:page;mso-position-vertical-relative:page" coordorigin="11741,3668" coordsize="165,3062">
            <v:shape id="_x0000_s3899" style="position:absolute;left:11741;top:3668;width:165;height:561" coordorigin="11741,3668" coordsize="165,561" path="m11906,3668r-165,l11741,4228r165,-18l11906,3668xe" fillcolor="#00aed9" stroked="f">
              <v:path arrowok="t"/>
            </v:shape>
            <v:shape id="_x0000_s3898" style="position:absolute;left:11741;top:4118;width:165;height:425" coordorigin="11741,4118" coordsize="165,425" path="m11906,4118r-165,14l11741,4531r165,12l11906,4118xe" fillcolor="#047ebc" stroked="f">
              <v:path arrowok="t"/>
            </v:shape>
            <v:shape id="_x0000_s3897" type="#_x0000_t75" style="position:absolute;left:11741;top:4355;width:165;height:587">
              <v:imagedata r:id="rId42" o:title=""/>
            </v:shape>
            <v:shape id="_x0000_s3896" style="position:absolute;left:11741;top:5343;width:165;height:536" coordorigin="11741,5343" coordsize="165,536" path="m11741,5343r,535l11906,5872r,-525l11741,5343xe" fillcolor="#f36a2e" stroked="f">
              <v:path arrowok="t"/>
            </v:shape>
            <v:shape id="_x0000_s3895" style="position:absolute;left:11741;top:4925;width:165;height:501" coordorigin="11741,4926" coordsize="165,501" path="m11741,4926r,500l11906,5426r,-485l11741,4926xe" fillcolor="#49783f" stroked="f">
              <v:path arrowok="t"/>
            </v:shape>
            <v:shape id="_x0000_s3894" style="position:absolute;left:11741;top:5781;width:165;height:268" coordorigin="11741,5782" coordsize="165,268" path="m11906,5782r-165,8l11741,6039r165,10l11906,5782xe" fillcolor="#f99f2a" stroked="f">
              <v:path arrowok="t"/>
            </v:shape>
            <v:shape id="_x0000_s3893" style="position:absolute;left:11741;top:6023;width:165;height:707" coordorigin="11741,6023" coordsize="165,707" path="m11741,6023r,706l11906,6729r,-690l11741,6023xe" fillcolor="#ef412c" stroked="f">
              <v:path arrowok="t"/>
            </v:shape>
            <w10:wrap anchorx="page" anchory="page"/>
          </v:group>
        </w:pict>
      </w:r>
    </w:p>
    <w:p w14:paraId="1C340E70" w14:textId="77777777" w:rsidR="00EF5B27" w:rsidRDefault="00000000">
      <w:pPr>
        <w:pStyle w:val="BodyText"/>
        <w:spacing w:line="20" w:lineRule="exact"/>
        <w:ind w:left="110"/>
        <w:rPr>
          <w:sz w:val="2"/>
        </w:rPr>
      </w:pPr>
      <w:r>
        <w:rPr>
          <w:sz w:val="2"/>
        </w:rPr>
      </w:r>
      <w:r>
        <w:rPr>
          <w:sz w:val="2"/>
        </w:rPr>
        <w:pict w14:anchorId="6954DBD6">
          <v:group id="_x0000_s3889" style="width:481.15pt;height:.25pt;mso-position-horizontal-relative:char;mso-position-vertical-relative:line" coordsize="9623,5">
            <v:line id="_x0000_s3891" style="position:absolute" from="0,3" to="2494,3" strokeweight=".25pt"/>
            <v:line id="_x0000_s3890" style="position:absolute" from="2494,3" to="9622,3" strokeweight=".25pt"/>
            <w10:anchorlock/>
          </v:group>
        </w:pict>
      </w:r>
    </w:p>
    <w:p w14:paraId="141AAB31" w14:textId="77777777" w:rsidR="00EF5B27" w:rsidRDefault="00EF5B27">
      <w:pPr>
        <w:pStyle w:val="BodyText"/>
      </w:pPr>
    </w:p>
    <w:p w14:paraId="5E263BBC" w14:textId="77777777" w:rsidR="00EF5B27" w:rsidRDefault="00EF5B27">
      <w:pPr>
        <w:pStyle w:val="BodyText"/>
      </w:pPr>
    </w:p>
    <w:p w14:paraId="7BCE7954" w14:textId="77777777" w:rsidR="00EF5B27" w:rsidRDefault="00EF5B27">
      <w:pPr>
        <w:pStyle w:val="BodyText"/>
      </w:pPr>
    </w:p>
    <w:p w14:paraId="3B118A25" w14:textId="77777777" w:rsidR="00EF5B27" w:rsidRDefault="00EF5B27">
      <w:pPr>
        <w:pStyle w:val="BodyText"/>
      </w:pPr>
    </w:p>
    <w:p w14:paraId="2AED8662" w14:textId="77777777" w:rsidR="00EF5B27" w:rsidRDefault="00EF5B27">
      <w:pPr>
        <w:pStyle w:val="BodyText"/>
      </w:pPr>
    </w:p>
    <w:p w14:paraId="75492861" w14:textId="77777777" w:rsidR="00EF5B27" w:rsidRDefault="00EF5B27">
      <w:pPr>
        <w:pStyle w:val="BodyText"/>
      </w:pPr>
    </w:p>
    <w:p w14:paraId="129EF5B8" w14:textId="77777777" w:rsidR="00EF5B27" w:rsidRDefault="00EF5B27">
      <w:pPr>
        <w:pStyle w:val="BodyText"/>
      </w:pPr>
    </w:p>
    <w:p w14:paraId="77455DA5" w14:textId="77777777" w:rsidR="00EF5B27" w:rsidRDefault="00EF5B27">
      <w:pPr>
        <w:pStyle w:val="BodyText"/>
      </w:pPr>
    </w:p>
    <w:p w14:paraId="3B267FEC" w14:textId="77777777" w:rsidR="00EF5B27" w:rsidRDefault="00EF5B27">
      <w:pPr>
        <w:pStyle w:val="BodyText"/>
      </w:pPr>
    </w:p>
    <w:p w14:paraId="4F0659AC" w14:textId="77777777" w:rsidR="00EF5B27" w:rsidRDefault="00EF5B27">
      <w:pPr>
        <w:pStyle w:val="BodyText"/>
      </w:pPr>
    </w:p>
    <w:p w14:paraId="41AB0CA0" w14:textId="77777777" w:rsidR="00EF5B27" w:rsidRDefault="00EF5B27">
      <w:pPr>
        <w:pStyle w:val="BodyText"/>
      </w:pPr>
    </w:p>
    <w:p w14:paraId="5A103A9A" w14:textId="77777777" w:rsidR="00EF5B27" w:rsidRDefault="00EF5B27">
      <w:pPr>
        <w:pStyle w:val="BodyText"/>
      </w:pPr>
    </w:p>
    <w:p w14:paraId="3BA5160A" w14:textId="77777777" w:rsidR="00EF5B27" w:rsidRDefault="00EF5B27">
      <w:pPr>
        <w:pStyle w:val="BodyText"/>
      </w:pPr>
    </w:p>
    <w:p w14:paraId="474B4D48" w14:textId="77777777" w:rsidR="00EF5B27" w:rsidRDefault="00EF5B27">
      <w:pPr>
        <w:pStyle w:val="BodyText"/>
      </w:pPr>
    </w:p>
    <w:p w14:paraId="2EE0A038" w14:textId="77777777" w:rsidR="00EF5B27" w:rsidRDefault="00EF5B27">
      <w:pPr>
        <w:pStyle w:val="BodyText"/>
      </w:pPr>
    </w:p>
    <w:p w14:paraId="7A6F4EBF" w14:textId="77777777" w:rsidR="00EF5B27" w:rsidRDefault="00EF5B27">
      <w:pPr>
        <w:pStyle w:val="BodyText"/>
      </w:pPr>
    </w:p>
    <w:p w14:paraId="1B2CDD64" w14:textId="77777777" w:rsidR="00EF5B27" w:rsidRDefault="00EF5B27">
      <w:pPr>
        <w:pStyle w:val="BodyText"/>
      </w:pPr>
    </w:p>
    <w:p w14:paraId="2335FD4D" w14:textId="77777777" w:rsidR="00EF5B27" w:rsidRDefault="00EF5B27">
      <w:pPr>
        <w:pStyle w:val="BodyText"/>
      </w:pPr>
    </w:p>
    <w:p w14:paraId="694340BF" w14:textId="77777777" w:rsidR="00EF5B27" w:rsidRDefault="00EF5B27">
      <w:pPr>
        <w:pStyle w:val="BodyText"/>
      </w:pPr>
    </w:p>
    <w:p w14:paraId="5417CE0E" w14:textId="77777777" w:rsidR="00EF5B27" w:rsidRDefault="00EF5B27">
      <w:pPr>
        <w:pStyle w:val="BodyText"/>
      </w:pPr>
    </w:p>
    <w:p w14:paraId="3048D3CA" w14:textId="77777777" w:rsidR="00EF5B27" w:rsidRDefault="00000000">
      <w:pPr>
        <w:pStyle w:val="BodyText"/>
        <w:spacing w:before="1"/>
        <w:rPr>
          <w:sz w:val="23"/>
        </w:rPr>
      </w:pPr>
      <w:r>
        <w:pict w14:anchorId="7782867E">
          <v:line id="_x0000_s3888" style="position:absolute;z-index:251430400;mso-wrap-distance-left:0;mso-wrap-distance-right:0;mso-position-horizontal-relative:page" from="181.4pt,16.3pt" to="538.6pt,16.3pt" strokecolor="#4d4d4f" strokeweight=".5pt">
            <w10:wrap type="topAndBottom" anchorx="page"/>
          </v:line>
        </w:pict>
      </w:r>
    </w:p>
    <w:p w14:paraId="74F1CB04" w14:textId="77777777" w:rsidR="00EF5B27" w:rsidRDefault="00000000">
      <w:pPr>
        <w:pStyle w:val="ListParagraph"/>
        <w:numPr>
          <w:ilvl w:val="0"/>
          <w:numId w:val="65"/>
        </w:numPr>
        <w:tabs>
          <w:tab w:val="left" w:pos="2836"/>
        </w:tabs>
        <w:spacing w:before="83" w:line="143" w:lineRule="exact"/>
        <w:jc w:val="left"/>
        <w:rPr>
          <w:sz w:val="12"/>
        </w:rPr>
      </w:pPr>
      <w:r>
        <w:rPr>
          <w:color w:val="4D4D4F"/>
          <w:sz w:val="12"/>
        </w:rPr>
        <w:t xml:space="preserve">DELWP, internal document, provided </w:t>
      </w:r>
      <w:r>
        <w:rPr>
          <w:color w:val="4D4D4F"/>
          <w:spacing w:val="-3"/>
          <w:sz w:val="12"/>
        </w:rPr>
        <w:t xml:space="preserve">16 </w:t>
      </w:r>
      <w:r>
        <w:rPr>
          <w:color w:val="4D4D4F"/>
          <w:spacing w:val="2"/>
          <w:sz w:val="12"/>
        </w:rPr>
        <w:t>February</w:t>
      </w:r>
      <w:r>
        <w:rPr>
          <w:color w:val="4D4D4F"/>
          <w:spacing w:val="16"/>
          <w:sz w:val="12"/>
        </w:rPr>
        <w:t xml:space="preserve"> </w:t>
      </w:r>
      <w:r>
        <w:rPr>
          <w:color w:val="4D4D4F"/>
          <w:spacing w:val="2"/>
          <w:sz w:val="12"/>
        </w:rPr>
        <w:t>2022.</w:t>
      </w:r>
    </w:p>
    <w:p w14:paraId="7B064219" w14:textId="77777777" w:rsidR="00EF5B27" w:rsidRDefault="00000000">
      <w:pPr>
        <w:pStyle w:val="ListParagraph"/>
        <w:numPr>
          <w:ilvl w:val="0"/>
          <w:numId w:val="65"/>
        </w:numPr>
        <w:tabs>
          <w:tab w:val="left" w:pos="2836"/>
        </w:tabs>
        <w:spacing w:line="140" w:lineRule="exact"/>
        <w:jc w:val="lef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3A22BDC8" w14:textId="77777777" w:rsidR="00EF5B27" w:rsidRDefault="00000000">
      <w:pPr>
        <w:pStyle w:val="ListParagraph"/>
        <w:numPr>
          <w:ilvl w:val="0"/>
          <w:numId w:val="65"/>
        </w:numPr>
        <w:tabs>
          <w:tab w:val="left" w:pos="2836"/>
        </w:tabs>
        <w:spacing w:line="143" w:lineRule="exact"/>
        <w:jc w:val="lef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61D76F81" w14:textId="77777777" w:rsidR="00EF5B27" w:rsidRDefault="00EF5B27">
      <w:pPr>
        <w:spacing w:line="143" w:lineRule="exact"/>
        <w:rPr>
          <w:sz w:val="12"/>
        </w:rPr>
        <w:sectPr w:rsidR="00EF5B27">
          <w:type w:val="continuous"/>
          <w:pgSz w:w="11910" w:h="16840"/>
          <w:pgMar w:top="1140" w:right="1020" w:bottom="280" w:left="1020" w:header="720" w:footer="720" w:gutter="0"/>
          <w:cols w:space="720"/>
        </w:sectPr>
      </w:pPr>
    </w:p>
    <w:p w14:paraId="20DD9D81" w14:textId="77777777" w:rsidR="00EF5B27" w:rsidRDefault="00EF5B27">
      <w:pPr>
        <w:pStyle w:val="BodyText"/>
      </w:pPr>
    </w:p>
    <w:p w14:paraId="70F01814" w14:textId="77777777" w:rsidR="00EF5B27" w:rsidRDefault="00EF5B27">
      <w:pPr>
        <w:pStyle w:val="BodyText"/>
      </w:pPr>
    </w:p>
    <w:p w14:paraId="45D8BCA3" w14:textId="77777777" w:rsidR="00EF5B27" w:rsidRDefault="00EF5B27">
      <w:pPr>
        <w:pStyle w:val="BodyText"/>
      </w:pPr>
    </w:p>
    <w:p w14:paraId="26C99F58" w14:textId="77777777" w:rsidR="00EF5B27" w:rsidRDefault="00EF5B27">
      <w:pPr>
        <w:pStyle w:val="BodyText"/>
      </w:pPr>
    </w:p>
    <w:p w14:paraId="1FF2BC8D" w14:textId="77777777" w:rsidR="00EF5B27" w:rsidRDefault="00EF5B27">
      <w:pPr>
        <w:pStyle w:val="BodyText"/>
        <w:spacing w:before="5"/>
        <w:rPr>
          <w:sz w:val="16"/>
        </w:rPr>
      </w:pPr>
    </w:p>
    <w:p w14:paraId="3E382EEF" w14:textId="77777777" w:rsidR="00EF5B27" w:rsidRDefault="00000000">
      <w:pPr>
        <w:pStyle w:val="BodyText"/>
        <w:ind w:left="113" w:right="-15"/>
      </w:pPr>
      <w:bookmarkStart w:id="16" w:name="_bookmark15"/>
      <w:bookmarkEnd w:id="16"/>
      <w:r>
        <w:rPr>
          <w:noProof/>
        </w:rPr>
        <w:drawing>
          <wp:inline distT="0" distB="0" distL="0" distR="0" wp14:anchorId="656E833C" wp14:editId="5BAD918D">
            <wp:extent cx="1371606" cy="1371600"/>
            <wp:effectExtent l="0" t="0" r="0" b="0"/>
            <wp:docPr id="23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94.jpeg"/>
                    <pic:cNvPicPr/>
                  </pic:nvPicPr>
                  <pic:blipFill>
                    <a:blip r:embed="rId98" cstate="print"/>
                    <a:stretch>
                      <a:fillRect/>
                    </a:stretch>
                  </pic:blipFill>
                  <pic:spPr>
                    <a:xfrm>
                      <a:off x="0" y="0"/>
                      <a:ext cx="1371606" cy="1371600"/>
                    </a:xfrm>
                    <a:prstGeom prst="rect">
                      <a:avLst/>
                    </a:prstGeom>
                  </pic:spPr>
                </pic:pic>
              </a:graphicData>
            </a:graphic>
          </wp:inline>
        </w:drawing>
      </w:r>
    </w:p>
    <w:p w14:paraId="0C6D6C21" w14:textId="77777777" w:rsidR="00EF5B27" w:rsidRDefault="00000000">
      <w:pPr>
        <w:spacing w:before="80"/>
        <w:ind w:left="113"/>
        <w:rPr>
          <w:rFonts w:ascii="Century Gothic"/>
          <w:i/>
          <w:sz w:val="12"/>
        </w:rPr>
      </w:pPr>
      <w:r>
        <w:rPr>
          <w:rFonts w:ascii="Century Gothic"/>
          <w:i/>
          <w:color w:val="4D4D4F"/>
          <w:sz w:val="12"/>
        </w:rPr>
        <w:t>Matted Flax-lily</w:t>
      </w:r>
    </w:p>
    <w:p w14:paraId="5CD9F7A4" w14:textId="77777777" w:rsidR="00EF5B27" w:rsidRDefault="00000000">
      <w:pPr>
        <w:pStyle w:val="BodyText"/>
        <w:rPr>
          <w:rFonts w:ascii="Century Gothic"/>
          <w:i/>
          <w:sz w:val="36"/>
        </w:rPr>
      </w:pPr>
      <w:r>
        <w:br w:type="column"/>
      </w:r>
    </w:p>
    <w:p w14:paraId="30FE3DA0" w14:textId="77777777" w:rsidR="00EF5B27" w:rsidRDefault="00EF5B27">
      <w:pPr>
        <w:pStyle w:val="BodyText"/>
        <w:rPr>
          <w:rFonts w:ascii="Century Gothic"/>
          <w:i/>
          <w:sz w:val="36"/>
        </w:rPr>
      </w:pPr>
    </w:p>
    <w:p w14:paraId="248EDDF2" w14:textId="77777777" w:rsidR="00EF5B27" w:rsidRDefault="00000000">
      <w:pPr>
        <w:pStyle w:val="Heading3"/>
        <w:spacing w:before="245"/>
        <w:ind w:left="113"/>
      </w:pPr>
      <w:r>
        <w:rPr>
          <w:color w:val="F99F2A"/>
          <w:w w:val="105"/>
        </w:rPr>
        <w:t>MNES 5: Matted Flax-lily</w:t>
      </w:r>
    </w:p>
    <w:p w14:paraId="17E556F2" w14:textId="77777777" w:rsidR="00EF5B27" w:rsidRDefault="00EF5B27">
      <w:pPr>
        <w:pStyle w:val="BodyText"/>
        <w:spacing w:before="5"/>
        <w:rPr>
          <w:b/>
          <w:sz w:val="27"/>
        </w:rPr>
      </w:pPr>
    </w:p>
    <w:p w14:paraId="54454712" w14:textId="77777777" w:rsidR="00EF5B27" w:rsidRDefault="00000000">
      <w:pPr>
        <w:pStyle w:val="Heading6"/>
        <w:ind w:left="113"/>
      </w:pPr>
      <w:r>
        <w:rPr>
          <w:color w:val="4D4D4F"/>
        </w:rPr>
        <w:t>Key insights and management implications for the Matted Flax-lily</w:t>
      </w:r>
    </w:p>
    <w:p w14:paraId="00C4707C" w14:textId="77777777" w:rsidR="00EF5B27" w:rsidRDefault="00EF5B27">
      <w:pPr>
        <w:pStyle w:val="BodyText"/>
        <w:spacing w:before="11"/>
        <w:rPr>
          <w:b/>
          <w:sz w:val="19"/>
        </w:rPr>
      </w:pPr>
    </w:p>
    <w:p w14:paraId="0B1BEA97" w14:textId="77777777" w:rsidR="00EF5B27" w:rsidRDefault="00000000">
      <w:pPr>
        <w:pStyle w:val="BodyText"/>
        <w:spacing w:line="254" w:lineRule="auto"/>
        <w:ind w:left="113" w:right="444"/>
      </w:pPr>
      <w:r>
        <w:rPr>
          <w:color w:val="4D4D4F"/>
        </w:rPr>
        <w:t xml:space="preserve">DELWP has funded genetic research for the species led by </w:t>
      </w:r>
      <w:r>
        <w:rPr>
          <w:color w:val="4D4D4F"/>
          <w:spacing w:val="2"/>
        </w:rPr>
        <w:t xml:space="preserve">La </w:t>
      </w:r>
      <w:r>
        <w:rPr>
          <w:color w:val="4D4D4F"/>
        </w:rPr>
        <w:t xml:space="preserve">Trobe University in </w:t>
      </w:r>
      <w:r>
        <w:rPr>
          <w:color w:val="4D4D4F"/>
          <w:spacing w:val="-3"/>
        </w:rPr>
        <w:t xml:space="preserve">2021, </w:t>
      </w:r>
      <w:r>
        <w:rPr>
          <w:color w:val="4D4D4F"/>
        </w:rPr>
        <w:t>which revealed the MSA population is genetically normal, with similar levels  of genetic diversity compared to other populations. The research also explored the nature of clonality within the population’s genetics. DELWP accepts that there is some level of error in the counting of plants at low levels due to clonality.</w:t>
      </w:r>
      <w:r>
        <w:rPr>
          <w:color w:val="4D4D4F"/>
          <w:position w:val="7"/>
          <w:sz w:val="11"/>
        </w:rPr>
        <w:t xml:space="preserve">72 </w:t>
      </w:r>
      <w:r>
        <w:rPr>
          <w:color w:val="4D4D4F"/>
        </w:rPr>
        <w:t>Periodic genetic sampling of future populations will be important to account for</w:t>
      </w:r>
      <w:r>
        <w:rPr>
          <w:color w:val="4D4D4F"/>
          <w:spacing w:val="19"/>
        </w:rPr>
        <w:t xml:space="preserve"> </w:t>
      </w:r>
      <w:r>
        <w:rPr>
          <w:color w:val="4D4D4F"/>
        </w:rPr>
        <w:t>clonality.</w:t>
      </w:r>
    </w:p>
    <w:p w14:paraId="49035668" w14:textId="77777777" w:rsidR="00EF5B27" w:rsidRDefault="00000000">
      <w:pPr>
        <w:pStyle w:val="BodyText"/>
        <w:spacing w:before="121" w:line="254" w:lineRule="auto"/>
        <w:ind w:left="113" w:right="481"/>
        <w:rPr>
          <w:sz w:val="11"/>
        </w:rPr>
      </w:pPr>
      <w:r>
        <w:rPr>
          <w:color w:val="4D4D4F"/>
        </w:rPr>
        <w:t>Biomass control will be a necessary management intervention going forward for  the species,</w:t>
      </w:r>
      <w:r>
        <w:rPr>
          <w:color w:val="4D4D4F"/>
          <w:position w:val="7"/>
          <w:sz w:val="11"/>
        </w:rPr>
        <w:t xml:space="preserve">73 </w:t>
      </w:r>
      <w:r>
        <w:rPr>
          <w:color w:val="4D4D4F"/>
        </w:rPr>
        <w:t xml:space="preserve">as the species risks decline if it is shaded out. The preferred biomass reduction regime is the application of planned burning every seven to </w:t>
      </w:r>
      <w:r>
        <w:rPr>
          <w:color w:val="4D4D4F"/>
          <w:spacing w:val="-5"/>
        </w:rPr>
        <w:t xml:space="preserve">10 </w:t>
      </w:r>
      <w:r>
        <w:rPr>
          <w:color w:val="4D4D4F"/>
        </w:rPr>
        <w:t>years; the species responds negatively to</w:t>
      </w:r>
      <w:r>
        <w:rPr>
          <w:color w:val="4D4D4F"/>
          <w:spacing w:val="18"/>
        </w:rPr>
        <w:t xml:space="preserve"> </w:t>
      </w:r>
      <w:r>
        <w:rPr>
          <w:color w:val="4D4D4F"/>
        </w:rPr>
        <w:t>grazing.</w:t>
      </w:r>
      <w:r>
        <w:rPr>
          <w:color w:val="4D4D4F"/>
          <w:position w:val="7"/>
          <w:sz w:val="11"/>
        </w:rPr>
        <w:t>74</w:t>
      </w:r>
    </w:p>
    <w:p w14:paraId="2016B7ED" w14:textId="77777777" w:rsidR="00EF5B27" w:rsidRDefault="00000000">
      <w:pPr>
        <w:pStyle w:val="BodyText"/>
        <w:spacing w:before="118" w:line="254" w:lineRule="auto"/>
        <w:ind w:left="113" w:right="187"/>
      </w:pPr>
      <w:r>
        <w:rPr>
          <w:color w:val="4D4D4F"/>
          <w:spacing w:val="-3"/>
        </w:rPr>
        <w:t xml:space="preserve">DELWP is confident </w:t>
      </w:r>
      <w:r>
        <w:rPr>
          <w:color w:val="4D4D4F"/>
        </w:rPr>
        <w:t xml:space="preserve">the species </w:t>
      </w:r>
      <w:r>
        <w:rPr>
          <w:color w:val="4D4D4F"/>
          <w:spacing w:val="-3"/>
        </w:rPr>
        <w:t xml:space="preserve">will </w:t>
      </w:r>
      <w:r>
        <w:rPr>
          <w:color w:val="4D4D4F"/>
        </w:rPr>
        <w:t xml:space="preserve">persist </w:t>
      </w:r>
      <w:r>
        <w:rPr>
          <w:color w:val="4D4D4F"/>
          <w:spacing w:val="-3"/>
        </w:rPr>
        <w:t xml:space="preserve">in </w:t>
      </w:r>
      <w:r>
        <w:rPr>
          <w:color w:val="4D4D4F"/>
        </w:rPr>
        <w:t xml:space="preserve">the </w:t>
      </w:r>
      <w:r>
        <w:rPr>
          <w:color w:val="4D4D4F"/>
          <w:spacing w:val="-3"/>
        </w:rPr>
        <w:t>medium-long term</w:t>
      </w:r>
      <w:r>
        <w:rPr>
          <w:color w:val="4D4D4F"/>
          <w:spacing w:val="-3"/>
          <w:position w:val="7"/>
          <w:sz w:val="11"/>
        </w:rPr>
        <w:t xml:space="preserve">75 </w:t>
      </w:r>
      <w:r>
        <w:rPr>
          <w:color w:val="4D4D4F"/>
        </w:rPr>
        <w:t xml:space="preserve">and </w:t>
      </w:r>
      <w:r>
        <w:rPr>
          <w:color w:val="4D4D4F"/>
          <w:spacing w:val="-3"/>
        </w:rPr>
        <w:t xml:space="preserve">indicates that </w:t>
      </w:r>
      <w:r>
        <w:rPr>
          <w:color w:val="4D4D4F"/>
        </w:rPr>
        <w:t xml:space="preserve">if decline in the dataset is detected over time, they can readily rectify this, as there is ample tube stock for </w:t>
      </w:r>
      <w:r>
        <w:rPr>
          <w:color w:val="4D4D4F"/>
          <w:spacing w:val="-3"/>
        </w:rPr>
        <w:t xml:space="preserve">planting </w:t>
      </w:r>
      <w:r>
        <w:rPr>
          <w:color w:val="4D4D4F"/>
        </w:rPr>
        <w:t xml:space="preserve">and the plants can be grown from a cutting of a rhizome. Response planning to manage </w:t>
      </w:r>
      <w:r>
        <w:rPr>
          <w:color w:val="4D4D4F"/>
          <w:spacing w:val="-3"/>
        </w:rPr>
        <w:t xml:space="preserve">potential </w:t>
      </w:r>
      <w:r>
        <w:rPr>
          <w:color w:val="4D4D4F"/>
        </w:rPr>
        <w:t xml:space="preserve">species decline may be required given the current risk. Given the relative ease of intervention, supplementary </w:t>
      </w:r>
      <w:r>
        <w:rPr>
          <w:color w:val="4D4D4F"/>
          <w:spacing w:val="-3"/>
        </w:rPr>
        <w:t xml:space="preserve">planting </w:t>
      </w:r>
      <w:r>
        <w:rPr>
          <w:color w:val="4D4D4F"/>
        </w:rPr>
        <w:t>may be undertaken</w:t>
      </w:r>
      <w:r>
        <w:rPr>
          <w:color w:val="4D4D4F"/>
          <w:spacing w:val="-5"/>
        </w:rPr>
        <w:t xml:space="preserve"> </w:t>
      </w:r>
      <w:r>
        <w:rPr>
          <w:color w:val="4D4D4F"/>
        </w:rPr>
        <w:t>to</w:t>
      </w:r>
      <w:r>
        <w:rPr>
          <w:color w:val="4D4D4F"/>
          <w:spacing w:val="-5"/>
        </w:rPr>
        <w:t xml:space="preserve"> </w:t>
      </w:r>
      <w:r>
        <w:rPr>
          <w:color w:val="4D4D4F"/>
        </w:rPr>
        <w:t>address</w:t>
      </w:r>
      <w:r>
        <w:rPr>
          <w:color w:val="4D4D4F"/>
          <w:spacing w:val="-5"/>
        </w:rPr>
        <w:t xml:space="preserve"> </w:t>
      </w:r>
      <w:r>
        <w:rPr>
          <w:color w:val="4D4D4F"/>
        </w:rPr>
        <w:t>any</w:t>
      </w:r>
      <w:r>
        <w:rPr>
          <w:color w:val="4D4D4F"/>
          <w:spacing w:val="-5"/>
        </w:rPr>
        <w:t xml:space="preserve"> </w:t>
      </w:r>
      <w:r>
        <w:rPr>
          <w:color w:val="4D4D4F"/>
          <w:spacing w:val="-3"/>
        </w:rPr>
        <w:t>immediate</w:t>
      </w:r>
      <w:r>
        <w:rPr>
          <w:color w:val="4D4D4F"/>
          <w:spacing w:val="-5"/>
        </w:rPr>
        <w:t xml:space="preserve"> </w:t>
      </w:r>
      <w:r>
        <w:rPr>
          <w:color w:val="4D4D4F"/>
        </w:rPr>
        <w:t>declines,</w:t>
      </w:r>
      <w:r>
        <w:rPr>
          <w:color w:val="4D4D4F"/>
          <w:spacing w:val="-5"/>
        </w:rPr>
        <w:t xml:space="preserve"> </w:t>
      </w:r>
      <w:r>
        <w:rPr>
          <w:color w:val="4D4D4F"/>
        </w:rPr>
        <w:t>with</w:t>
      </w:r>
      <w:r>
        <w:rPr>
          <w:color w:val="4D4D4F"/>
          <w:spacing w:val="-5"/>
        </w:rPr>
        <w:t xml:space="preserve"> </w:t>
      </w:r>
      <w:r>
        <w:rPr>
          <w:color w:val="4D4D4F"/>
        </w:rPr>
        <w:t>opportunity</w:t>
      </w:r>
      <w:r>
        <w:rPr>
          <w:color w:val="4D4D4F"/>
          <w:spacing w:val="-5"/>
        </w:rPr>
        <w:t xml:space="preserve"> </w:t>
      </w:r>
      <w:r>
        <w:rPr>
          <w:color w:val="4D4D4F"/>
        </w:rPr>
        <w:t>to</w:t>
      </w:r>
      <w:r>
        <w:rPr>
          <w:color w:val="4D4D4F"/>
          <w:spacing w:val="-5"/>
        </w:rPr>
        <w:t xml:space="preserve"> </w:t>
      </w:r>
      <w:r>
        <w:rPr>
          <w:color w:val="4D4D4F"/>
          <w:spacing w:val="-3"/>
        </w:rPr>
        <w:t>involve</w:t>
      </w:r>
      <w:r>
        <w:rPr>
          <w:color w:val="4D4D4F"/>
          <w:spacing w:val="-5"/>
        </w:rPr>
        <w:t xml:space="preserve"> </w:t>
      </w:r>
      <w:r>
        <w:rPr>
          <w:color w:val="4D4D4F"/>
        </w:rPr>
        <w:t>community.</w:t>
      </w:r>
    </w:p>
    <w:p w14:paraId="229ABCB1" w14:textId="77777777" w:rsidR="00EF5B27" w:rsidRDefault="00EF5B27">
      <w:pPr>
        <w:spacing w:line="254" w:lineRule="auto"/>
        <w:sectPr w:rsidR="00EF5B27">
          <w:pgSz w:w="11910" w:h="16840"/>
          <w:pgMar w:top="1080" w:right="1020" w:bottom="860" w:left="1020" w:header="537" w:footer="678" w:gutter="0"/>
          <w:cols w:num="2" w:space="720" w:equalWidth="0">
            <w:col w:w="2309" w:space="186"/>
            <w:col w:w="7375"/>
          </w:cols>
        </w:sectPr>
      </w:pPr>
    </w:p>
    <w:p w14:paraId="2545919E" w14:textId="77777777" w:rsidR="00EF5B27" w:rsidRDefault="00EF5B27">
      <w:pPr>
        <w:pStyle w:val="BodyText"/>
      </w:pPr>
    </w:p>
    <w:p w14:paraId="78F02087" w14:textId="77777777" w:rsidR="00EF5B27" w:rsidRDefault="00EF5B27">
      <w:pPr>
        <w:pStyle w:val="BodyText"/>
        <w:spacing w:before="1"/>
        <w:rPr>
          <w:sz w:val="14"/>
        </w:rPr>
      </w:pPr>
    </w:p>
    <w:tbl>
      <w:tblPr>
        <w:tblW w:w="0" w:type="auto"/>
        <w:tblInd w:w="12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4978B203" w14:textId="77777777">
        <w:trPr>
          <w:trHeight w:val="559"/>
        </w:trPr>
        <w:tc>
          <w:tcPr>
            <w:tcW w:w="2980" w:type="dxa"/>
            <w:shd w:val="clear" w:color="auto" w:fill="FECC91"/>
          </w:tcPr>
          <w:p w14:paraId="2F1CDBD9" w14:textId="77777777" w:rsidR="00EF5B27" w:rsidRDefault="00000000">
            <w:pPr>
              <w:pStyle w:val="TableParagraph"/>
              <w:spacing w:before="89" w:line="244" w:lineRule="auto"/>
              <w:ind w:left="80" w:right="764"/>
              <w:rPr>
                <w:b/>
                <w:sz w:val="16"/>
              </w:rPr>
            </w:pPr>
            <w:r>
              <w:rPr>
                <w:b/>
                <w:sz w:val="16"/>
              </w:rPr>
              <w:t>KPI 1: Percentage of plants detected each year</w:t>
            </w:r>
          </w:p>
        </w:tc>
        <w:tc>
          <w:tcPr>
            <w:tcW w:w="1078" w:type="dxa"/>
            <w:shd w:val="clear" w:color="auto" w:fill="FECC91"/>
          </w:tcPr>
          <w:p w14:paraId="012AD09A" w14:textId="77777777" w:rsidR="00EF5B27" w:rsidRDefault="00000000">
            <w:pPr>
              <w:pStyle w:val="TableParagraph"/>
              <w:spacing w:before="89" w:line="244" w:lineRule="auto"/>
              <w:ind w:left="169" w:right="164" w:firstLine="148"/>
              <w:rPr>
                <w:b/>
                <w:sz w:val="16"/>
              </w:rPr>
            </w:pPr>
            <w:r>
              <w:rPr>
                <w:b/>
                <w:w w:val="105"/>
                <w:sz w:val="16"/>
              </w:rPr>
              <w:t>Status 2020-2022</w:t>
            </w:r>
          </w:p>
        </w:tc>
        <w:tc>
          <w:tcPr>
            <w:tcW w:w="2155" w:type="dxa"/>
            <w:shd w:val="clear" w:color="auto" w:fill="FECC91"/>
          </w:tcPr>
          <w:p w14:paraId="62916355" w14:textId="77777777" w:rsidR="00EF5B27" w:rsidRDefault="00EF5B27">
            <w:pPr>
              <w:pStyle w:val="TableParagraph"/>
              <w:spacing w:before="6"/>
              <w:rPr>
                <w:sz w:val="15"/>
              </w:rPr>
            </w:pPr>
          </w:p>
          <w:p w14:paraId="7E9CA757" w14:textId="77777777" w:rsidR="00EF5B27" w:rsidRDefault="00000000">
            <w:pPr>
              <w:pStyle w:val="TableParagraph"/>
              <w:ind w:left="143" w:right="142"/>
              <w:jc w:val="center"/>
              <w:rPr>
                <w:b/>
                <w:sz w:val="16"/>
              </w:rPr>
            </w:pPr>
            <w:r>
              <w:rPr>
                <w:b/>
                <w:sz w:val="16"/>
              </w:rPr>
              <w:t>Reason for non-assessment</w:t>
            </w:r>
          </w:p>
        </w:tc>
        <w:tc>
          <w:tcPr>
            <w:tcW w:w="964" w:type="dxa"/>
            <w:shd w:val="clear" w:color="auto" w:fill="FECC91"/>
          </w:tcPr>
          <w:p w14:paraId="5ACCBCC0" w14:textId="77777777" w:rsidR="00EF5B27" w:rsidRDefault="00EF5B27">
            <w:pPr>
              <w:pStyle w:val="TableParagraph"/>
              <w:spacing w:before="6"/>
              <w:rPr>
                <w:sz w:val="15"/>
              </w:rPr>
            </w:pPr>
          </w:p>
          <w:p w14:paraId="7B71ED3C" w14:textId="77777777" w:rsidR="00EF5B27" w:rsidRDefault="00000000">
            <w:pPr>
              <w:pStyle w:val="TableParagraph"/>
              <w:ind w:left="283"/>
              <w:rPr>
                <w:b/>
                <w:sz w:val="16"/>
              </w:rPr>
            </w:pPr>
            <w:r>
              <w:rPr>
                <w:b/>
                <w:sz w:val="16"/>
              </w:rPr>
              <w:t>Trend</w:t>
            </w:r>
          </w:p>
        </w:tc>
        <w:tc>
          <w:tcPr>
            <w:tcW w:w="964" w:type="dxa"/>
            <w:shd w:val="clear" w:color="auto" w:fill="FECC91"/>
          </w:tcPr>
          <w:p w14:paraId="5CA70EAE" w14:textId="77777777" w:rsidR="00EF5B27" w:rsidRDefault="00000000">
            <w:pPr>
              <w:pStyle w:val="TableParagraph"/>
              <w:spacing w:before="89" w:line="244" w:lineRule="auto"/>
              <w:ind w:left="105" w:right="87" w:firstLine="217"/>
              <w:rPr>
                <w:b/>
                <w:sz w:val="16"/>
              </w:rPr>
            </w:pPr>
            <w:r>
              <w:rPr>
                <w:b/>
                <w:sz w:val="16"/>
              </w:rPr>
              <w:t>Data Confidence</w:t>
            </w:r>
          </w:p>
        </w:tc>
        <w:tc>
          <w:tcPr>
            <w:tcW w:w="1489" w:type="dxa"/>
            <w:shd w:val="clear" w:color="auto" w:fill="FECC91"/>
          </w:tcPr>
          <w:p w14:paraId="0FEB1B08" w14:textId="77777777" w:rsidR="00EF5B27" w:rsidRDefault="00000000">
            <w:pPr>
              <w:pStyle w:val="TableParagraph"/>
              <w:spacing w:before="89" w:line="244" w:lineRule="auto"/>
              <w:ind w:left="220" w:hanging="92"/>
              <w:rPr>
                <w:b/>
                <w:sz w:val="16"/>
              </w:rPr>
            </w:pPr>
            <w:r>
              <w:rPr>
                <w:b/>
                <w:sz w:val="16"/>
              </w:rPr>
              <w:t>Year that baseline was/will be set</w:t>
            </w:r>
          </w:p>
        </w:tc>
      </w:tr>
      <w:tr w:rsidR="00EF5B27" w14:paraId="2102228D" w14:textId="77777777">
        <w:trPr>
          <w:trHeight w:val="448"/>
        </w:trPr>
        <w:tc>
          <w:tcPr>
            <w:tcW w:w="2980" w:type="dxa"/>
          </w:tcPr>
          <w:p w14:paraId="3651E818" w14:textId="77777777" w:rsidR="00EF5B27" w:rsidRDefault="00EF5B27">
            <w:pPr>
              <w:pStyle w:val="TableParagraph"/>
              <w:spacing w:before="11"/>
              <w:rPr>
                <w:sz w:val="11"/>
              </w:rPr>
            </w:pPr>
          </w:p>
          <w:p w14:paraId="7F41B3BC" w14:textId="77777777" w:rsidR="00EF5B27" w:rsidRDefault="00000000">
            <w:pPr>
              <w:pStyle w:val="TableParagraph"/>
              <w:ind w:left="80"/>
              <w:rPr>
                <w:sz w:val="14"/>
              </w:rPr>
            </w:pPr>
            <w:r>
              <w:rPr>
                <w:color w:val="4D4D4F"/>
                <w:w w:val="105"/>
                <w:sz w:val="14"/>
              </w:rPr>
              <w:t>Kalkallo Common</w:t>
            </w:r>
          </w:p>
        </w:tc>
        <w:tc>
          <w:tcPr>
            <w:tcW w:w="1078" w:type="dxa"/>
          </w:tcPr>
          <w:p w14:paraId="16993D64" w14:textId="77777777" w:rsidR="00EF5B27" w:rsidRDefault="00EF5B27">
            <w:pPr>
              <w:pStyle w:val="TableParagraph"/>
              <w:spacing w:before="11"/>
              <w:rPr>
                <w:sz w:val="11"/>
              </w:rPr>
            </w:pPr>
          </w:p>
          <w:p w14:paraId="0FD4F62E"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77F4F5CF" w14:textId="77777777" w:rsidR="00EF5B27" w:rsidRDefault="00EF5B27">
            <w:pPr>
              <w:pStyle w:val="TableParagraph"/>
              <w:spacing w:before="11"/>
              <w:rPr>
                <w:sz w:val="11"/>
              </w:rPr>
            </w:pPr>
          </w:p>
          <w:p w14:paraId="0B8701C2" w14:textId="77777777" w:rsidR="00EF5B27" w:rsidRDefault="00000000">
            <w:pPr>
              <w:pStyle w:val="TableParagraph"/>
              <w:ind w:left="143" w:right="142"/>
              <w:jc w:val="center"/>
              <w:rPr>
                <w:sz w:val="14"/>
              </w:rPr>
            </w:pPr>
            <w:r>
              <w:rPr>
                <w:color w:val="4D4D4F"/>
                <w:sz w:val="14"/>
              </w:rPr>
              <w:t>Baseline not yet set</w:t>
            </w:r>
          </w:p>
        </w:tc>
        <w:tc>
          <w:tcPr>
            <w:tcW w:w="964" w:type="dxa"/>
          </w:tcPr>
          <w:p w14:paraId="555B372F" w14:textId="77777777" w:rsidR="00EF5B27" w:rsidRDefault="00EF5B27">
            <w:pPr>
              <w:pStyle w:val="TableParagraph"/>
              <w:spacing w:before="4"/>
              <w:rPr>
                <w:sz w:val="7"/>
              </w:rPr>
            </w:pPr>
          </w:p>
          <w:p w14:paraId="2760D965" w14:textId="77777777" w:rsidR="00EF5B27" w:rsidRDefault="00000000">
            <w:pPr>
              <w:pStyle w:val="TableParagraph"/>
              <w:spacing w:line="187" w:lineRule="exact"/>
              <w:ind w:left="400"/>
              <w:rPr>
                <w:sz w:val="18"/>
              </w:rPr>
            </w:pPr>
            <w:r>
              <w:rPr>
                <w:noProof/>
                <w:position w:val="-3"/>
                <w:sz w:val="18"/>
              </w:rPr>
              <w:drawing>
                <wp:inline distT="0" distB="0" distL="0" distR="0" wp14:anchorId="2CB5B89F" wp14:editId="527882E7">
                  <wp:extent cx="100572" cy="119062"/>
                  <wp:effectExtent l="0" t="0" r="0" b="0"/>
                  <wp:docPr id="241"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95.png"/>
                          <pic:cNvPicPr/>
                        </pic:nvPicPr>
                        <pic:blipFill>
                          <a:blip r:embed="rId76" cstate="print"/>
                          <a:stretch>
                            <a:fillRect/>
                          </a:stretch>
                        </pic:blipFill>
                        <pic:spPr>
                          <a:xfrm>
                            <a:off x="0" y="0"/>
                            <a:ext cx="100572" cy="119062"/>
                          </a:xfrm>
                          <a:prstGeom prst="rect">
                            <a:avLst/>
                          </a:prstGeom>
                        </pic:spPr>
                      </pic:pic>
                    </a:graphicData>
                  </a:graphic>
                </wp:inline>
              </w:drawing>
            </w:r>
          </w:p>
          <w:p w14:paraId="4980D0EE" w14:textId="77777777" w:rsidR="00EF5B27" w:rsidRDefault="00EF5B27">
            <w:pPr>
              <w:pStyle w:val="TableParagraph"/>
              <w:spacing w:before="8"/>
              <w:rPr>
                <w:sz w:val="2"/>
              </w:rPr>
            </w:pPr>
          </w:p>
          <w:p w14:paraId="6DDC211C" w14:textId="77777777" w:rsidR="00EF5B27" w:rsidRDefault="00000000">
            <w:pPr>
              <w:pStyle w:val="TableParagraph"/>
              <w:spacing w:line="48" w:lineRule="exact"/>
              <w:ind w:left="448"/>
              <w:rPr>
                <w:sz w:val="4"/>
              </w:rPr>
            </w:pPr>
            <w:r>
              <w:rPr>
                <w:sz w:val="4"/>
              </w:rPr>
            </w:r>
            <w:r>
              <w:rPr>
                <w:sz w:val="4"/>
              </w:rPr>
              <w:pict w14:anchorId="3F1740B9">
                <v:group id="_x0000_s3886" style="width:2.45pt;height:2.45pt;mso-position-horizontal-relative:char;mso-position-vertical-relative:line" coordsize="49,49">
                  <v:shape id="_x0000_s3887" style="position:absolute;width:49;height:49" coordsize="49,49" path="m31,l18,,12,2,2,12,,17,,31r2,6l12,46r6,3l31,49r6,-3l46,37r3,-6l49,17,46,12,37,2,31,xe" fillcolor="#808285" stroked="f">
                    <v:path arrowok="t"/>
                  </v:shape>
                  <w10:wrap type="none"/>
                  <w10:anchorlock/>
                </v:group>
              </w:pict>
            </w:r>
          </w:p>
        </w:tc>
        <w:tc>
          <w:tcPr>
            <w:tcW w:w="964" w:type="dxa"/>
          </w:tcPr>
          <w:p w14:paraId="30EF2988" w14:textId="77777777" w:rsidR="00EF5B27" w:rsidRDefault="00EF5B27">
            <w:pPr>
              <w:pStyle w:val="TableParagraph"/>
              <w:spacing w:before="11"/>
              <w:rPr>
                <w:sz w:val="11"/>
              </w:rPr>
            </w:pPr>
          </w:p>
          <w:p w14:paraId="621911B5" w14:textId="77777777" w:rsidR="00EF5B27" w:rsidRDefault="00000000">
            <w:pPr>
              <w:pStyle w:val="TableParagraph"/>
              <w:ind w:left="318" w:right="323"/>
              <w:jc w:val="center"/>
              <w:rPr>
                <w:sz w:val="14"/>
              </w:rPr>
            </w:pPr>
            <w:r>
              <w:rPr>
                <w:color w:val="4D4D4F"/>
                <w:w w:val="105"/>
                <w:sz w:val="14"/>
              </w:rPr>
              <w:t>N/A</w:t>
            </w:r>
          </w:p>
        </w:tc>
        <w:tc>
          <w:tcPr>
            <w:tcW w:w="1489" w:type="dxa"/>
          </w:tcPr>
          <w:p w14:paraId="76C93BA5" w14:textId="77777777" w:rsidR="00EF5B27" w:rsidRDefault="00000000">
            <w:pPr>
              <w:pStyle w:val="TableParagraph"/>
              <w:spacing w:before="134"/>
              <w:ind w:left="580"/>
              <w:rPr>
                <w:sz w:val="16"/>
              </w:rPr>
            </w:pPr>
            <w:r>
              <w:rPr>
                <w:color w:val="4D4D4F"/>
                <w:sz w:val="16"/>
              </w:rPr>
              <w:t>2025</w:t>
            </w:r>
          </w:p>
        </w:tc>
      </w:tr>
      <w:tr w:rsidR="00EF5B27" w14:paraId="2450A84B" w14:textId="77777777">
        <w:trPr>
          <w:trHeight w:val="448"/>
        </w:trPr>
        <w:tc>
          <w:tcPr>
            <w:tcW w:w="2980" w:type="dxa"/>
          </w:tcPr>
          <w:p w14:paraId="69F44D91" w14:textId="77777777" w:rsidR="00EF5B27" w:rsidRDefault="00EF5B27">
            <w:pPr>
              <w:pStyle w:val="TableParagraph"/>
              <w:spacing w:before="11"/>
              <w:rPr>
                <w:sz w:val="11"/>
              </w:rPr>
            </w:pPr>
          </w:p>
          <w:p w14:paraId="5C50A56A" w14:textId="77777777" w:rsidR="00EF5B27" w:rsidRDefault="00000000">
            <w:pPr>
              <w:pStyle w:val="TableParagraph"/>
              <w:ind w:left="80"/>
              <w:rPr>
                <w:sz w:val="14"/>
              </w:rPr>
            </w:pPr>
            <w:r>
              <w:rPr>
                <w:color w:val="4D4D4F"/>
                <w:sz w:val="14"/>
              </w:rPr>
              <w:t>Mt Ridley</w:t>
            </w:r>
          </w:p>
        </w:tc>
        <w:tc>
          <w:tcPr>
            <w:tcW w:w="1078" w:type="dxa"/>
          </w:tcPr>
          <w:p w14:paraId="1CE6C95F" w14:textId="77777777" w:rsidR="00EF5B27" w:rsidRDefault="00EF5B27">
            <w:pPr>
              <w:pStyle w:val="TableParagraph"/>
              <w:spacing w:before="11"/>
              <w:rPr>
                <w:sz w:val="11"/>
              </w:rPr>
            </w:pPr>
          </w:p>
          <w:p w14:paraId="5CC810A2"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02330FDD" w14:textId="77777777" w:rsidR="00EF5B27" w:rsidRDefault="00EF5B27">
            <w:pPr>
              <w:pStyle w:val="TableParagraph"/>
              <w:spacing w:before="11"/>
              <w:rPr>
                <w:sz w:val="11"/>
              </w:rPr>
            </w:pPr>
          </w:p>
          <w:p w14:paraId="7BF4522B" w14:textId="77777777" w:rsidR="00EF5B27" w:rsidRDefault="00000000">
            <w:pPr>
              <w:pStyle w:val="TableParagraph"/>
              <w:ind w:left="143" w:right="142"/>
              <w:jc w:val="center"/>
              <w:rPr>
                <w:sz w:val="14"/>
              </w:rPr>
            </w:pPr>
            <w:r>
              <w:rPr>
                <w:color w:val="4D4D4F"/>
                <w:sz w:val="14"/>
              </w:rPr>
              <w:t>Baseline not yet set</w:t>
            </w:r>
          </w:p>
        </w:tc>
        <w:tc>
          <w:tcPr>
            <w:tcW w:w="964" w:type="dxa"/>
          </w:tcPr>
          <w:p w14:paraId="6701475D" w14:textId="77777777" w:rsidR="00EF5B27" w:rsidRDefault="00EF5B27">
            <w:pPr>
              <w:pStyle w:val="TableParagraph"/>
              <w:spacing w:before="4"/>
              <w:rPr>
                <w:sz w:val="7"/>
              </w:rPr>
            </w:pPr>
          </w:p>
          <w:p w14:paraId="371BA269" w14:textId="77777777" w:rsidR="00EF5B27" w:rsidRDefault="00000000">
            <w:pPr>
              <w:pStyle w:val="TableParagraph"/>
              <w:spacing w:line="187" w:lineRule="exact"/>
              <w:ind w:left="400"/>
              <w:rPr>
                <w:sz w:val="18"/>
              </w:rPr>
            </w:pPr>
            <w:r>
              <w:rPr>
                <w:noProof/>
                <w:position w:val="-3"/>
                <w:sz w:val="18"/>
              </w:rPr>
              <w:drawing>
                <wp:inline distT="0" distB="0" distL="0" distR="0" wp14:anchorId="7A1AE061" wp14:editId="741EEE02">
                  <wp:extent cx="100572" cy="119062"/>
                  <wp:effectExtent l="0" t="0" r="0" b="0"/>
                  <wp:docPr id="243"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95.png"/>
                          <pic:cNvPicPr/>
                        </pic:nvPicPr>
                        <pic:blipFill>
                          <a:blip r:embed="rId76" cstate="print"/>
                          <a:stretch>
                            <a:fillRect/>
                          </a:stretch>
                        </pic:blipFill>
                        <pic:spPr>
                          <a:xfrm>
                            <a:off x="0" y="0"/>
                            <a:ext cx="100572" cy="119062"/>
                          </a:xfrm>
                          <a:prstGeom prst="rect">
                            <a:avLst/>
                          </a:prstGeom>
                        </pic:spPr>
                      </pic:pic>
                    </a:graphicData>
                  </a:graphic>
                </wp:inline>
              </w:drawing>
            </w:r>
          </w:p>
          <w:p w14:paraId="3A327800" w14:textId="77777777" w:rsidR="00EF5B27" w:rsidRDefault="00EF5B27">
            <w:pPr>
              <w:pStyle w:val="TableParagraph"/>
              <w:spacing w:before="8"/>
              <w:rPr>
                <w:sz w:val="2"/>
              </w:rPr>
            </w:pPr>
          </w:p>
          <w:p w14:paraId="3D327A62" w14:textId="77777777" w:rsidR="00EF5B27" w:rsidRDefault="00000000">
            <w:pPr>
              <w:pStyle w:val="TableParagraph"/>
              <w:spacing w:line="48" w:lineRule="exact"/>
              <w:ind w:left="448"/>
              <w:rPr>
                <w:sz w:val="4"/>
              </w:rPr>
            </w:pPr>
            <w:r>
              <w:rPr>
                <w:sz w:val="4"/>
              </w:rPr>
            </w:r>
            <w:r>
              <w:rPr>
                <w:sz w:val="4"/>
              </w:rPr>
              <w:pict w14:anchorId="7B887F00">
                <v:group id="_x0000_s3884" style="width:2.45pt;height:2.45pt;mso-position-horizontal-relative:char;mso-position-vertical-relative:line" coordsize="49,49">
                  <v:shape id="_x0000_s3885" style="position:absolute;width:49;height:49" coordsize="49,49" path="m31,l18,,12,2,2,12,,17,,31r2,6l12,46r6,3l31,49r6,-3l46,37r3,-6l49,17,46,12,37,2,31,xe" fillcolor="#808285" stroked="f">
                    <v:path arrowok="t"/>
                  </v:shape>
                  <w10:wrap type="none"/>
                  <w10:anchorlock/>
                </v:group>
              </w:pict>
            </w:r>
          </w:p>
        </w:tc>
        <w:tc>
          <w:tcPr>
            <w:tcW w:w="964" w:type="dxa"/>
          </w:tcPr>
          <w:p w14:paraId="548DC809" w14:textId="77777777" w:rsidR="00EF5B27" w:rsidRDefault="00EF5B27">
            <w:pPr>
              <w:pStyle w:val="TableParagraph"/>
              <w:spacing w:before="11"/>
              <w:rPr>
                <w:sz w:val="11"/>
              </w:rPr>
            </w:pPr>
          </w:p>
          <w:p w14:paraId="5E3FD137" w14:textId="77777777" w:rsidR="00EF5B27" w:rsidRDefault="00000000">
            <w:pPr>
              <w:pStyle w:val="TableParagraph"/>
              <w:ind w:left="318" w:right="323"/>
              <w:jc w:val="center"/>
              <w:rPr>
                <w:sz w:val="14"/>
              </w:rPr>
            </w:pPr>
            <w:r>
              <w:rPr>
                <w:color w:val="4D4D4F"/>
                <w:w w:val="105"/>
                <w:sz w:val="14"/>
              </w:rPr>
              <w:t>N/A</w:t>
            </w:r>
          </w:p>
        </w:tc>
        <w:tc>
          <w:tcPr>
            <w:tcW w:w="1489" w:type="dxa"/>
          </w:tcPr>
          <w:p w14:paraId="514A23EA" w14:textId="77777777" w:rsidR="00EF5B27" w:rsidRDefault="00000000">
            <w:pPr>
              <w:pStyle w:val="TableParagraph"/>
              <w:spacing w:before="134"/>
              <w:ind w:left="579"/>
              <w:rPr>
                <w:sz w:val="16"/>
              </w:rPr>
            </w:pPr>
            <w:r>
              <w:rPr>
                <w:color w:val="4D4D4F"/>
                <w:sz w:val="16"/>
              </w:rPr>
              <w:t>2022</w:t>
            </w:r>
          </w:p>
        </w:tc>
      </w:tr>
    </w:tbl>
    <w:p w14:paraId="45550862" w14:textId="77777777" w:rsidR="00EF5B27" w:rsidRDefault="00EF5B27">
      <w:pPr>
        <w:pStyle w:val="BodyText"/>
        <w:spacing w:before="10"/>
        <w:rPr>
          <w:sz w:val="25"/>
        </w:rPr>
      </w:pPr>
    </w:p>
    <w:p w14:paraId="6A2F67D9" w14:textId="77777777" w:rsidR="00EF5B27" w:rsidRDefault="00000000">
      <w:pPr>
        <w:pStyle w:val="BodyText"/>
        <w:spacing w:before="93" w:line="254" w:lineRule="auto"/>
        <w:ind w:left="2608" w:right="249"/>
      </w:pPr>
      <w:r>
        <w:rPr>
          <w:color w:val="4D4D4F"/>
        </w:rPr>
        <w:t xml:space="preserve">Comments: In </w:t>
      </w:r>
      <w:r>
        <w:rPr>
          <w:color w:val="4D4D4F"/>
          <w:spacing w:val="-3"/>
        </w:rPr>
        <w:t xml:space="preserve">2015, </w:t>
      </w:r>
      <w:r>
        <w:rPr>
          <w:color w:val="4D4D4F"/>
        </w:rPr>
        <w:t>an initial database of known Matted Flax-lily locations (</w:t>
      </w:r>
      <w:r>
        <w:rPr>
          <w:rFonts w:ascii="Century Gothic"/>
          <w:i/>
          <w:color w:val="4D4D4F"/>
        </w:rPr>
        <w:t>n</w:t>
      </w:r>
      <w:r>
        <w:rPr>
          <w:color w:val="4D4D4F"/>
        </w:rPr>
        <w:t xml:space="preserve">=52) was compiled from field searches and the compilation of existing data from Hume City Council, Merri Creek Management Committee and Abzeco. Monitoring in these areas commenced in </w:t>
      </w:r>
      <w:r>
        <w:rPr>
          <w:color w:val="4D4D4F"/>
          <w:spacing w:val="-3"/>
        </w:rPr>
        <w:t xml:space="preserve">2016. </w:t>
      </w:r>
      <w:r>
        <w:rPr>
          <w:color w:val="4D4D4F"/>
        </w:rPr>
        <w:t xml:space="preserve">Each year during monitoring, new plants have been discovered. By </w:t>
      </w:r>
      <w:r>
        <w:rPr>
          <w:color w:val="4D4D4F"/>
          <w:spacing w:val="-4"/>
        </w:rPr>
        <w:t xml:space="preserve">2019 </w:t>
      </w:r>
      <w:r>
        <w:rPr>
          <w:color w:val="4D4D4F"/>
        </w:rPr>
        <w:t>there were 64 locations included in the database. It is not yet possible to  state whether the KPI has been met, as the baseline has not yet been set. This KPI is assessed</w:t>
      </w:r>
      <w:r>
        <w:rPr>
          <w:color w:val="4D4D4F"/>
          <w:spacing w:val="6"/>
        </w:rPr>
        <w:t xml:space="preserve"> </w:t>
      </w:r>
      <w:r>
        <w:rPr>
          <w:color w:val="4D4D4F"/>
        </w:rPr>
        <w:t>against</w:t>
      </w:r>
      <w:r>
        <w:rPr>
          <w:color w:val="4D4D4F"/>
          <w:spacing w:val="7"/>
        </w:rPr>
        <w:t xml:space="preserve"> </w:t>
      </w:r>
      <w:r>
        <w:rPr>
          <w:color w:val="4D4D4F"/>
        </w:rPr>
        <w:t>a</w:t>
      </w:r>
      <w:r>
        <w:rPr>
          <w:color w:val="4D4D4F"/>
          <w:spacing w:val="7"/>
        </w:rPr>
        <w:t xml:space="preserve"> </w:t>
      </w:r>
      <w:r>
        <w:rPr>
          <w:color w:val="4D4D4F"/>
        </w:rPr>
        <w:t>static</w:t>
      </w:r>
      <w:r>
        <w:rPr>
          <w:color w:val="4D4D4F"/>
          <w:spacing w:val="7"/>
        </w:rPr>
        <w:t xml:space="preserve"> </w:t>
      </w:r>
      <w:r>
        <w:rPr>
          <w:color w:val="4D4D4F"/>
        </w:rPr>
        <w:t>benchmark</w:t>
      </w:r>
      <w:r>
        <w:rPr>
          <w:color w:val="4D4D4F"/>
          <w:spacing w:val="7"/>
        </w:rPr>
        <w:t xml:space="preserve"> </w:t>
      </w:r>
      <w:r>
        <w:rPr>
          <w:color w:val="4D4D4F"/>
        </w:rPr>
        <w:t>which</w:t>
      </w:r>
      <w:r>
        <w:rPr>
          <w:color w:val="4D4D4F"/>
          <w:spacing w:val="7"/>
        </w:rPr>
        <w:t xml:space="preserve"> </w:t>
      </w:r>
      <w:r>
        <w:rPr>
          <w:color w:val="4D4D4F"/>
        </w:rPr>
        <w:t>will</w:t>
      </w:r>
      <w:r>
        <w:rPr>
          <w:color w:val="4D4D4F"/>
          <w:spacing w:val="7"/>
        </w:rPr>
        <w:t xml:space="preserve"> </w:t>
      </w:r>
      <w:r>
        <w:rPr>
          <w:color w:val="4D4D4F"/>
        </w:rPr>
        <w:t>be</w:t>
      </w:r>
      <w:r>
        <w:rPr>
          <w:color w:val="4D4D4F"/>
          <w:spacing w:val="7"/>
        </w:rPr>
        <w:t xml:space="preserve"> </w:t>
      </w:r>
      <w:r>
        <w:rPr>
          <w:color w:val="4D4D4F"/>
        </w:rPr>
        <w:t>set</w:t>
      </w:r>
      <w:r>
        <w:rPr>
          <w:color w:val="4D4D4F"/>
          <w:spacing w:val="7"/>
        </w:rPr>
        <w:t xml:space="preserve"> </w:t>
      </w:r>
      <w:r>
        <w:rPr>
          <w:color w:val="4D4D4F"/>
        </w:rPr>
        <w:t>in</w:t>
      </w:r>
      <w:r>
        <w:rPr>
          <w:color w:val="4D4D4F"/>
          <w:spacing w:val="7"/>
        </w:rPr>
        <w:t xml:space="preserve"> </w:t>
      </w:r>
      <w:r>
        <w:rPr>
          <w:color w:val="4D4D4F"/>
        </w:rPr>
        <w:t>2022</w:t>
      </w:r>
      <w:r>
        <w:rPr>
          <w:color w:val="4D4D4F"/>
          <w:spacing w:val="7"/>
        </w:rPr>
        <w:t xml:space="preserve"> </w:t>
      </w:r>
      <w:r>
        <w:rPr>
          <w:color w:val="4D4D4F"/>
        </w:rPr>
        <w:t>for</w:t>
      </w:r>
      <w:r>
        <w:rPr>
          <w:color w:val="4D4D4F"/>
          <w:spacing w:val="7"/>
        </w:rPr>
        <w:t xml:space="preserve"> </w:t>
      </w:r>
      <w:r>
        <w:rPr>
          <w:color w:val="4D4D4F"/>
        </w:rPr>
        <w:t>Mt</w:t>
      </w:r>
      <w:r>
        <w:rPr>
          <w:color w:val="4D4D4F"/>
          <w:spacing w:val="6"/>
        </w:rPr>
        <w:t xml:space="preserve"> </w:t>
      </w:r>
      <w:r>
        <w:rPr>
          <w:color w:val="4D4D4F"/>
        </w:rPr>
        <w:t>Ridley</w:t>
      </w:r>
      <w:r>
        <w:rPr>
          <w:color w:val="4D4D4F"/>
          <w:spacing w:val="7"/>
        </w:rPr>
        <w:t xml:space="preserve"> </w:t>
      </w:r>
      <w:r>
        <w:rPr>
          <w:color w:val="4D4D4F"/>
        </w:rPr>
        <w:t>and</w:t>
      </w:r>
      <w:r>
        <w:rPr>
          <w:color w:val="4D4D4F"/>
          <w:spacing w:val="7"/>
        </w:rPr>
        <w:t xml:space="preserve"> </w:t>
      </w:r>
      <w:r>
        <w:rPr>
          <w:color w:val="4D4D4F"/>
        </w:rPr>
        <w:t>2025</w:t>
      </w:r>
    </w:p>
    <w:p w14:paraId="37AFDE47" w14:textId="77777777" w:rsidR="00EF5B27" w:rsidRDefault="00000000">
      <w:pPr>
        <w:pStyle w:val="BodyText"/>
        <w:spacing w:before="8" w:line="254" w:lineRule="auto"/>
        <w:ind w:left="2608" w:right="151"/>
      </w:pPr>
      <w:r>
        <w:pict w14:anchorId="3E7D0F0C">
          <v:group id="_x0000_s3881" style="position:absolute;left:0;text-align:left;margin-left:57.45pt;margin-top:45.6pt;width:481.15pt;height:.25pt;z-index:251476480;mso-position-horizontal-relative:page" coordorigin="1149,912" coordsize="9623,5">
            <v:line id="_x0000_s3883" style="position:absolute" from="1149,914" to="3644,914" strokeweight=".25pt"/>
            <v:line id="_x0000_s3882" style="position:absolute" from="3644,914" to="10772,914" strokeweight=".25pt"/>
            <w10:wrap anchorx="page"/>
          </v:group>
        </w:pict>
      </w:r>
      <w:r>
        <w:rPr>
          <w:color w:val="4D4D4F"/>
        </w:rPr>
        <w:t>for Kalkallo Common. Status assessments are therefore not provided here, any trends are unclear and data confidence assessments are not applicable.</w:t>
      </w:r>
    </w:p>
    <w:p w14:paraId="70EF1997" w14:textId="77777777" w:rsidR="00EF5B27" w:rsidRDefault="00EF5B27">
      <w:pPr>
        <w:pStyle w:val="BodyText"/>
      </w:pPr>
    </w:p>
    <w:p w14:paraId="1FB5A0DB" w14:textId="77777777" w:rsidR="00EF5B27" w:rsidRDefault="00000000">
      <w:pPr>
        <w:pStyle w:val="BodyText"/>
        <w:spacing w:before="1"/>
        <w:rPr>
          <w:sz w:val="10"/>
        </w:rPr>
      </w:pPr>
      <w:r>
        <w:pict w14:anchorId="5EB71680">
          <v:shape id="_x0000_s3880" type="#_x0000_t202" style="position:absolute;margin-left:57.45pt;margin-top:7.4pt;width:481.15pt;height:25.3pt;z-index:251432448;mso-wrap-distance-left:0;mso-wrap-distance-right:0;mso-position-horizontal-relative:page" fillcolor="#fecc91" stroked="f">
            <v:textbox inset="0,0,0,0">
              <w:txbxContent>
                <w:p w14:paraId="65968E3C" w14:textId="77777777" w:rsidR="00EF5B27" w:rsidRDefault="00000000">
                  <w:pPr>
                    <w:tabs>
                      <w:tab w:val="left" w:pos="2607"/>
                    </w:tabs>
                    <w:spacing w:before="140"/>
                    <w:ind w:left="113"/>
                    <w:rPr>
                      <w:b/>
                      <w:sz w:val="20"/>
                    </w:rPr>
                  </w:pPr>
                  <w:r>
                    <w:rPr>
                      <w:b/>
                      <w:color w:val="4D4D4F"/>
                      <w:sz w:val="20"/>
                    </w:rPr>
                    <w:t>Theme</w:t>
                  </w:r>
                  <w:r>
                    <w:rPr>
                      <w:b/>
                      <w:color w:val="4D4D4F"/>
                      <w:sz w:val="20"/>
                    </w:rPr>
                    <w:tab/>
                    <w:t>Matted</w:t>
                  </w:r>
                  <w:r>
                    <w:rPr>
                      <w:b/>
                      <w:color w:val="4D4D4F"/>
                      <w:spacing w:val="3"/>
                      <w:sz w:val="20"/>
                    </w:rPr>
                    <w:t xml:space="preserve"> </w:t>
                  </w:r>
                  <w:r>
                    <w:rPr>
                      <w:b/>
                      <w:color w:val="4D4D4F"/>
                      <w:sz w:val="20"/>
                    </w:rPr>
                    <w:t>Flax-lily</w:t>
                  </w:r>
                </w:p>
              </w:txbxContent>
            </v:textbox>
            <w10:wrap type="topAndBottom" anchorx="page"/>
          </v:shape>
        </w:pict>
      </w:r>
    </w:p>
    <w:p w14:paraId="15E8B3B9" w14:textId="77777777" w:rsidR="00EF5B27" w:rsidRDefault="00EF5B27">
      <w:pPr>
        <w:pStyle w:val="BodyText"/>
        <w:spacing w:before="8"/>
        <w:rPr>
          <w:sz w:val="5"/>
        </w:rPr>
      </w:pPr>
    </w:p>
    <w:p w14:paraId="1B438299" w14:textId="77777777" w:rsidR="00EF5B27" w:rsidRDefault="00EF5B27">
      <w:pPr>
        <w:rPr>
          <w:sz w:val="5"/>
        </w:rPr>
        <w:sectPr w:rsidR="00EF5B27">
          <w:type w:val="continuous"/>
          <w:pgSz w:w="11910" w:h="16840"/>
          <w:pgMar w:top="1140" w:right="1020" w:bottom="280" w:left="1020" w:header="720" w:footer="720" w:gutter="0"/>
          <w:cols w:space="720"/>
        </w:sectPr>
      </w:pPr>
    </w:p>
    <w:p w14:paraId="07F5D884" w14:textId="77777777" w:rsidR="00EF5B27" w:rsidRDefault="00000000">
      <w:pPr>
        <w:pStyle w:val="BodyText"/>
        <w:spacing w:before="54"/>
        <w:ind w:left="242"/>
      </w:pPr>
      <w:r>
        <w:pict w14:anchorId="30E70FDB">
          <v:group id="_x0000_s3877" style="position:absolute;left:0;text-align:left;margin-left:57.45pt;margin-top:-4.2pt;width:481.15pt;height:.25pt;z-index:251477504;mso-position-horizontal-relative:page" coordorigin="1149,-84" coordsize="9623,5">
            <v:line id="_x0000_s3879" style="position:absolute" from="1149,-81" to="3644,-81" strokeweight=".25pt"/>
            <v:line id="_x0000_s3878" style="position:absolute" from="3644,-81" to="10772,-81" strokeweight=".25pt"/>
            <w10:wrap anchorx="page"/>
          </v:group>
        </w:pict>
      </w:r>
      <w:r>
        <w:rPr>
          <w:color w:val="4D4D4F"/>
        </w:rPr>
        <w:t>Recommendation</w:t>
      </w:r>
    </w:p>
    <w:p w14:paraId="7D7FE484" w14:textId="77777777" w:rsidR="00EF5B27" w:rsidRDefault="00000000">
      <w:pPr>
        <w:pStyle w:val="Heading1"/>
        <w:spacing w:before="3"/>
        <w:ind w:left="242"/>
      </w:pPr>
      <w:r>
        <w:rPr>
          <w:color w:val="4D4D4F"/>
          <w:w w:val="105"/>
        </w:rPr>
        <w:t>09</w:t>
      </w:r>
    </w:p>
    <w:p w14:paraId="2E6E8E5F" w14:textId="77777777" w:rsidR="00EF5B27" w:rsidRDefault="00000000">
      <w:pPr>
        <w:pStyle w:val="BodyText"/>
        <w:spacing w:before="54" w:line="254" w:lineRule="auto"/>
        <w:ind w:left="242" w:right="179"/>
      </w:pPr>
      <w:r>
        <w:br w:type="column"/>
      </w:r>
      <w:r>
        <w:rPr>
          <w:color w:val="4D4D4F"/>
        </w:rPr>
        <w:t>That DELWP schedules periodic genetic sampling of future populations of the Matted Flax-lily to ensure viability and develop a biomass control plan for the species.</w:t>
      </w:r>
    </w:p>
    <w:p w14:paraId="62589412"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720" w:space="775"/>
            <w:col w:w="7375"/>
          </w:cols>
        </w:sectPr>
      </w:pPr>
    </w:p>
    <w:p w14:paraId="7B357444" w14:textId="77777777" w:rsidR="00EF5B27" w:rsidRDefault="00000000">
      <w:pPr>
        <w:pStyle w:val="BodyText"/>
        <w:spacing w:before="12"/>
        <w:rPr>
          <w:sz w:val="4"/>
        </w:rPr>
      </w:pPr>
      <w:r>
        <w:pict w14:anchorId="2B5818DB">
          <v:group id="_x0000_s3869" style="position:absolute;margin-left:587.05pt;margin-top:183.4pt;width:8.25pt;height:153.1pt;z-index:251475456;mso-position-horizontal-relative:page;mso-position-vertical-relative:page" coordorigin="11741,3668" coordsize="165,3062">
            <v:shape id="_x0000_s3876" style="position:absolute;left:11741;top:3668;width:165;height:561" coordorigin="11741,3668" coordsize="165,561" path="m11906,3668r-165,l11741,4228r165,-18l11906,3668xe" fillcolor="#00aed9" stroked="f">
              <v:path arrowok="t"/>
            </v:shape>
            <v:shape id="_x0000_s3875" style="position:absolute;left:11741;top:4118;width:165;height:425" coordorigin="11741,4118" coordsize="165,425" path="m11906,4118r-165,14l11741,4531r165,12l11906,4118xe" fillcolor="#047ebc" stroked="f">
              <v:path arrowok="t"/>
            </v:shape>
            <v:shape id="_x0000_s3874" type="#_x0000_t75" style="position:absolute;left:11741;top:4355;width:165;height:587">
              <v:imagedata r:id="rId42" o:title=""/>
            </v:shape>
            <v:shape id="_x0000_s3873" style="position:absolute;left:11741;top:5343;width:165;height:536" coordorigin="11741,5343" coordsize="165,536" path="m11741,5343r,535l11906,5872r,-525l11741,5343xe" fillcolor="#f36a2e" stroked="f">
              <v:path arrowok="t"/>
            </v:shape>
            <v:shape id="_x0000_s3872" style="position:absolute;left:11741;top:4925;width:165;height:501" coordorigin="11741,4926" coordsize="165,501" path="m11741,4926r,500l11906,5426r,-485l11741,4926xe" fillcolor="#49783f" stroked="f">
              <v:path arrowok="t"/>
            </v:shape>
            <v:shape id="_x0000_s3871" style="position:absolute;left:11741;top:5781;width:165;height:268" coordorigin="11741,5782" coordsize="165,268" path="m11906,5782r-165,8l11741,6039r165,10l11906,5782xe" fillcolor="#f99f2a" stroked="f">
              <v:path arrowok="t"/>
            </v:shape>
            <v:shape id="_x0000_s3870" style="position:absolute;left:11741;top:6023;width:165;height:707" coordorigin="11741,6023" coordsize="165,707" path="m11741,6023r,706l11906,6729r,-690l11741,6023xe" fillcolor="#ef412c" stroked="f">
              <v:path arrowok="t"/>
            </v:shape>
            <w10:wrap anchorx="page" anchory="page"/>
          </v:group>
        </w:pict>
      </w:r>
    </w:p>
    <w:p w14:paraId="4CBA4CF6" w14:textId="77777777" w:rsidR="00EF5B27" w:rsidRDefault="00000000">
      <w:pPr>
        <w:pStyle w:val="BodyText"/>
        <w:spacing w:line="20" w:lineRule="exact"/>
        <w:ind w:left="126"/>
        <w:rPr>
          <w:sz w:val="2"/>
        </w:rPr>
      </w:pPr>
      <w:r>
        <w:rPr>
          <w:sz w:val="2"/>
        </w:rPr>
      </w:r>
      <w:r>
        <w:rPr>
          <w:sz w:val="2"/>
        </w:rPr>
        <w:pict w14:anchorId="38351D0D">
          <v:group id="_x0000_s3866" style="width:481.15pt;height:.25pt;mso-position-horizontal-relative:char;mso-position-vertical-relative:line" coordsize="9623,5">
            <v:line id="_x0000_s3868" style="position:absolute" from="0,3" to="2494,3" strokeweight=".25pt"/>
            <v:line id="_x0000_s3867" style="position:absolute" from="2494,3" to="9622,3" strokeweight=".25pt"/>
            <w10:anchorlock/>
          </v:group>
        </w:pict>
      </w:r>
    </w:p>
    <w:p w14:paraId="222767BD" w14:textId="77777777" w:rsidR="00EF5B27" w:rsidRDefault="00000000">
      <w:pPr>
        <w:pStyle w:val="BodyText"/>
        <w:spacing w:before="1"/>
        <w:rPr>
          <w:sz w:val="25"/>
        </w:rPr>
      </w:pPr>
      <w:r>
        <w:pict w14:anchorId="68A854A9">
          <v:line id="_x0000_s3865" style="position:absolute;z-index:251434496;mso-wrap-distance-left:0;mso-wrap-distance-right:0;mso-position-horizontal-relative:page" from="181.4pt,17.55pt" to="538.6pt,17.55pt" strokecolor="#4d4d4f" strokeweight=".5pt">
            <w10:wrap type="topAndBottom" anchorx="page"/>
          </v:line>
        </w:pict>
      </w:r>
    </w:p>
    <w:p w14:paraId="5CC3867D" w14:textId="77777777" w:rsidR="00EF5B27" w:rsidRDefault="00000000">
      <w:pPr>
        <w:pStyle w:val="ListParagraph"/>
        <w:numPr>
          <w:ilvl w:val="0"/>
          <w:numId w:val="65"/>
        </w:numPr>
        <w:tabs>
          <w:tab w:val="left" w:pos="2836"/>
        </w:tabs>
        <w:spacing w:before="83" w:line="143" w:lineRule="exact"/>
        <w:jc w:val="left"/>
        <w:rPr>
          <w:sz w:val="12"/>
        </w:rPr>
      </w:pPr>
      <w:r>
        <w:rPr>
          <w:color w:val="4D4D4F"/>
          <w:sz w:val="12"/>
        </w:rPr>
        <w:t xml:space="preserve">DELWP Officer, personal communication, 15 </w:t>
      </w:r>
      <w:r>
        <w:rPr>
          <w:color w:val="4D4D4F"/>
          <w:spacing w:val="2"/>
          <w:sz w:val="12"/>
        </w:rPr>
        <w:t>February</w:t>
      </w:r>
      <w:r>
        <w:rPr>
          <w:color w:val="4D4D4F"/>
          <w:spacing w:val="14"/>
          <w:sz w:val="12"/>
        </w:rPr>
        <w:t xml:space="preserve"> </w:t>
      </w:r>
      <w:r>
        <w:rPr>
          <w:color w:val="4D4D4F"/>
          <w:spacing w:val="2"/>
          <w:sz w:val="12"/>
        </w:rPr>
        <w:t>2022.</w:t>
      </w:r>
    </w:p>
    <w:p w14:paraId="540B5887" w14:textId="77777777" w:rsidR="00EF5B27" w:rsidRDefault="00000000">
      <w:pPr>
        <w:pStyle w:val="ListParagraph"/>
        <w:numPr>
          <w:ilvl w:val="0"/>
          <w:numId w:val="65"/>
        </w:numPr>
        <w:tabs>
          <w:tab w:val="left" w:pos="2836"/>
        </w:tabs>
        <w:spacing w:before="2" w:line="230" w:lineRule="auto"/>
        <w:ind w:left="2608" w:right="3991" w:firstLine="0"/>
        <w:jc w:val="left"/>
        <w:rPr>
          <w:sz w:val="12"/>
        </w:rPr>
      </w:pPr>
      <w:r>
        <w:rPr>
          <w:color w:val="4D4D4F"/>
          <w:sz w:val="12"/>
        </w:rPr>
        <w:t xml:space="preserve">DELWP Officer, personal communication, 15 </w:t>
      </w:r>
      <w:r>
        <w:rPr>
          <w:color w:val="4D4D4F"/>
          <w:spacing w:val="2"/>
          <w:sz w:val="12"/>
        </w:rPr>
        <w:t xml:space="preserve">February 2022. </w:t>
      </w:r>
      <w:r>
        <w:rPr>
          <w:color w:val="4D4D4F"/>
          <w:sz w:val="12"/>
        </w:rPr>
        <w:t xml:space="preserve">74. DELWP Officer, personal communication, 15 </w:t>
      </w:r>
      <w:r>
        <w:rPr>
          <w:color w:val="4D4D4F"/>
          <w:spacing w:val="2"/>
          <w:sz w:val="12"/>
        </w:rPr>
        <w:t>February</w:t>
      </w:r>
      <w:r>
        <w:rPr>
          <w:color w:val="4D4D4F"/>
          <w:spacing w:val="21"/>
          <w:sz w:val="12"/>
        </w:rPr>
        <w:t xml:space="preserve"> </w:t>
      </w:r>
      <w:r>
        <w:rPr>
          <w:color w:val="4D4D4F"/>
          <w:spacing w:val="2"/>
          <w:sz w:val="12"/>
        </w:rPr>
        <w:t>2022.</w:t>
      </w:r>
    </w:p>
    <w:p w14:paraId="52501B31" w14:textId="77777777" w:rsidR="00EF5B27" w:rsidRDefault="00000000">
      <w:pPr>
        <w:pStyle w:val="ListParagraph"/>
        <w:numPr>
          <w:ilvl w:val="0"/>
          <w:numId w:val="49"/>
        </w:numPr>
        <w:tabs>
          <w:tab w:val="left" w:pos="2836"/>
        </w:tabs>
        <w:spacing w:line="141" w:lineRule="exact"/>
        <w:rPr>
          <w:sz w:val="12"/>
        </w:rPr>
      </w:pPr>
      <w:r>
        <w:rPr>
          <w:color w:val="4D4D4F"/>
          <w:sz w:val="12"/>
        </w:rPr>
        <w:t xml:space="preserve">DELWP Officer, personal communication, 15 </w:t>
      </w:r>
      <w:r>
        <w:rPr>
          <w:color w:val="4D4D4F"/>
          <w:spacing w:val="2"/>
          <w:sz w:val="12"/>
        </w:rPr>
        <w:t>February</w:t>
      </w:r>
      <w:r>
        <w:rPr>
          <w:color w:val="4D4D4F"/>
          <w:spacing w:val="14"/>
          <w:sz w:val="12"/>
        </w:rPr>
        <w:t xml:space="preserve"> </w:t>
      </w:r>
      <w:r>
        <w:rPr>
          <w:color w:val="4D4D4F"/>
          <w:spacing w:val="2"/>
          <w:sz w:val="12"/>
        </w:rPr>
        <w:t>2022.</w:t>
      </w:r>
    </w:p>
    <w:p w14:paraId="66301312" w14:textId="77777777" w:rsidR="00EF5B27" w:rsidRDefault="00EF5B27">
      <w:pPr>
        <w:spacing w:line="141" w:lineRule="exact"/>
        <w:rPr>
          <w:sz w:val="12"/>
        </w:rPr>
        <w:sectPr w:rsidR="00EF5B27">
          <w:type w:val="continuous"/>
          <w:pgSz w:w="11910" w:h="16840"/>
          <w:pgMar w:top="1140" w:right="1020" w:bottom="280" w:left="1020" w:header="720" w:footer="720" w:gutter="0"/>
          <w:cols w:space="720"/>
        </w:sectPr>
      </w:pPr>
    </w:p>
    <w:p w14:paraId="5D58856F" w14:textId="77777777" w:rsidR="00EF5B27" w:rsidRDefault="00EF5B27">
      <w:pPr>
        <w:pStyle w:val="BodyText"/>
      </w:pPr>
    </w:p>
    <w:p w14:paraId="2803E2BF" w14:textId="77777777" w:rsidR="00EF5B27" w:rsidRDefault="00EF5B27">
      <w:pPr>
        <w:pStyle w:val="BodyText"/>
      </w:pPr>
    </w:p>
    <w:p w14:paraId="381E70AF" w14:textId="77777777" w:rsidR="00EF5B27" w:rsidRDefault="00EF5B27">
      <w:pPr>
        <w:pStyle w:val="BodyText"/>
      </w:pPr>
    </w:p>
    <w:p w14:paraId="02D5C55E" w14:textId="77777777" w:rsidR="00EF5B27" w:rsidRDefault="00EF5B27">
      <w:pPr>
        <w:pStyle w:val="BodyText"/>
      </w:pPr>
    </w:p>
    <w:p w14:paraId="5E0147D1" w14:textId="77777777" w:rsidR="00EF5B27" w:rsidRDefault="00EF5B27">
      <w:pPr>
        <w:pStyle w:val="BodyText"/>
        <w:spacing w:before="5"/>
        <w:rPr>
          <w:sz w:val="16"/>
        </w:rPr>
      </w:pPr>
    </w:p>
    <w:p w14:paraId="722CFE42" w14:textId="77777777" w:rsidR="00EF5B27" w:rsidRDefault="00000000">
      <w:pPr>
        <w:pStyle w:val="BodyText"/>
        <w:ind w:left="113" w:right="-15"/>
      </w:pPr>
      <w:bookmarkStart w:id="17" w:name="_bookmark16"/>
      <w:bookmarkEnd w:id="17"/>
      <w:r>
        <w:rPr>
          <w:noProof/>
        </w:rPr>
        <w:drawing>
          <wp:inline distT="0" distB="0" distL="0" distR="0" wp14:anchorId="1CC4C88A" wp14:editId="444E1440">
            <wp:extent cx="1371606" cy="1371600"/>
            <wp:effectExtent l="0" t="0" r="0" b="0"/>
            <wp:docPr id="245"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96.jpeg"/>
                    <pic:cNvPicPr/>
                  </pic:nvPicPr>
                  <pic:blipFill>
                    <a:blip r:embed="rId99" cstate="print"/>
                    <a:stretch>
                      <a:fillRect/>
                    </a:stretch>
                  </pic:blipFill>
                  <pic:spPr>
                    <a:xfrm>
                      <a:off x="0" y="0"/>
                      <a:ext cx="1371606" cy="1371600"/>
                    </a:xfrm>
                    <a:prstGeom prst="rect">
                      <a:avLst/>
                    </a:prstGeom>
                  </pic:spPr>
                </pic:pic>
              </a:graphicData>
            </a:graphic>
          </wp:inline>
        </w:drawing>
      </w:r>
    </w:p>
    <w:p w14:paraId="432318F2" w14:textId="77777777" w:rsidR="00EF5B27" w:rsidRDefault="00000000">
      <w:pPr>
        <w:spacing w:before="80"/>
        <w:ind w:left="113"/>
        <w:rPr>
          <w:rFonts w:ascii="Century Gothic"/>
          <w:i/>
          <w:sz w:val="12"/>
        </w:rPr>
      </w:pPr>
      <w:r>
        <w:rPr>
          <w:rFonts w:ascii="Century Gothic"/>
          <w:i/>
          <w:color w:val="4D4D4F"/>
          <w:sz w:val="12"/>
        </w:rPr>
        <w:t>Spiny Rice-flower</w:t>
      </w:r>
    </w:p>
    <w:p w14:paraId="3480D634" w14:textId="77777777" w:rsidR="00EF5B27" w:rsidRDefault="00000000">
      <w:pPr>
        <w:pStyle w:val="BodyText"/>
        <w:rPr>
          <w:rFonts w:ascii="Century Gothic"/>
          <w:i/>
          <w:sz w:val="36"/>
        </w:rPr>
      </w:pPr>
      <w:r>
        <w:br w:type="column"/>
      </w:r>
    </w:p>
    <w:p w14:paraId="4DA65E02" w14:textId="77777777" w:rsidR="00EF5B27" w:rsidRDefault="00EF5B27">
      <w:pPr>
        <w:pStyle w:val="BodyText"/>
        <w:rPr>
          <w:rFonts w:ascii="Century Gothic"/>
          <w:i/>
          <w:sz w:val="36"/>
        </w:rPr>
      </w:pPr>
    </w:p>
    <w:p w14:paraId="027159C2" w14:textId="77777777" w:rsidR="00EF5B27" w:rsidRDefault="00000000">
      <w:pPr>
        <w:pStyle w:val="Heading3"/>
        <w:spacing w:before="245"/>
        <w:ind w:left="113"/>
      </w:pPr>
      <w:r>
        <w:rPr>
          <w:color w:val="F99F2A"/>
        </w:rPr>
        <w:t>MNES 6: Spiny Rice-flower</w:t>
      </w:r>
    </w:p>
    <w:p w14:paraId="518D1196" w14:textId="77777777" w:rsidR="00EF5B27" w:rsidRDefault="00EF5B27">
      <w:pPr>
        <w:pStyle w:val="BodyText"/>
        <w:rPr>
          <w:b/>
          <w:sz w:val="34"/>
        </w:rPr>
      </w:pPr>
    </w:p>
    <w:p w14:paraId="2BE8847B" w14:textId="77777777" w:rsidR="00EF5B27" w:rsidRDefault="00000000">
      <w:pPr>
        <w:pStyle w:val="Heading6"/>
        <w:ind w:left="113"/>
      </w:pPr>
      <w:r>
        <w:rPr>
          <w:color w:val="4D4D4F"/>
        </w:rPr>
        <w:t>Key insights and management implications for the Spiny Rice-flower</w:t>
      </w:r>
    </w:p>
    <w:p w14:paraId="122F3D20" w14:textId="77777777" w:rsidR="00EF5B27" w:rsidRDefault="00EF5B27">
      <w:pPr>
        <w:pStyle w:val="BodyText"/>
        <w:spacing w:before="10"/>
        <w:rPr>
          <w:b/>
          <w:sz w:val="19"/>
        </w:rPr>
      </w:pPr>
    </w:p>
    <w:p w14:paraId="3948B151" w14:textId="77777777" w:rsidR="00EF5B27" w:rsidRDefault="00000000">
      <w:pPr>
        <w:pStyle w:val="BodyText"/>
        <w:spacing w:before="1" w:line="254" w:lineRule="auto"/>
        <w:ind w:left="113" w:right="440"/>
        <w:rPr>
          <w:sz w:val="11"/>
        </w:rPr>
      </w:pPr>
      <w:r>
        <w:rPr>
          <w:color w:val="4D4D4F"/>
        </w:rPr>
        <w:t xml:space="preserve">DELWP consulted the official Pimelea Recovery </w:t>
      </w:r>
      <w:r>
        <w:rPr>
          <w:color w:val="4D4D4F"/>
          <w:spacing w:val="-4"/>
        </w:rPr>
        <w:t xml:space="preserve">Team </w:t>
      </w:r>
      <w:r>
        <w:rPr>
          <w:color w:val="4D4D4F"/>
        </w:rPr>
        <w:t>in the design of the KPIs for this species. Of all the plant species under MSA management, it is the one that has had the most formal consultation.</w:t>
      </w:r>
      <w:r>
        <w:rPr>
          <w:color w:val="4D4D4F"/>
          <w:position w:val="7"/>
          <w:sz w:val="11"/>
        </w:rPr>
        <w:t xml:space="preserve">76 </w:t>
      </w:r>
      <w:r>
        <w:rPr>
          <w:color w:val="4D4D4F"/>
        </w:rPr>
        <w:t xml:space="preserve">This species requires a lot of effort to </w:t>
      </w:r>
      <w:r>
        <w:rPr>
          <w:color w:val="4D4D4F"/>
          <w:spacing w:val="-3"/>
        </w:rPr>
        <w:t xml:space="preserve">monitor, </w:t>
      </w:r>
      <w:r>
        <w:rPr>
          <w:color w:val="4D4D4F"/>
        </w:rPr>
        <w:t>with it taking longer to count compared with other species, according to</w:t>
      </w:r>
      <w:r>
        <w:rPr>
          <w:color w:val="4D4D4F"/>
          <w:spacing w:val="6"/>
        </w:rPr>
        <w:t xml:space="preserve"> </w:t>
      </w:r>
      <w:r>
        <w:rPr>
          <w:color w:val="4D4D4F"/>
          <w:spacing w:val="-4"/>
        </w:rPr>
        <w:t>DELWP.</w:t>
      </w:r>
      <w:r>
        <w:rPr>
          <w:color w:val="4D4D4F"/>
          <w:spacing w:val="-4"/>
          <w:position w:val="7"/>
          <w:sz w:val="11"/>
        </w:rPr>
        <w:t>77</w:t>
      </w:r>
    </w:p>
    <w:p w14:paraId="34C74F36" w14:textId="77777777" w:rsidR="00EF5B27" w:rsidRDefault="00000000">
      <w:pPr>
        <w:pStyle w:val="BodyText"/>
        <w:spacing w:before="118" w:line="254" w:lineRule="auto"/>
        <w:ind w:left="113" w:right="236"/>
      </w:pPr>
      <w:r>
        <w:rPr>
          <w:color w:val="4D4D4F"/>
        </w:rPr>
        <w:t xml:space="preserve">The Pimelea Recovery </w:t>
      </w:r>
      <w:r>
        <w:rPr>
          <w:color w:val="4D4D4F"/>
          <w:spacing w:val="-4"/>
        </w:rPr>
        <w:t xml:space="preserve">Team </w:t>
      </w:r>
      <w:r>
        <w:rPr>
          <w:color w:val="4D4D4F"/>
        </w:rPr>
        <w:t xml:space="preserve">advised DELWP that Spiny Rice-flower recruits periodically, roughly every </w:t>
      </w:r>
      <w:r>
        <w:rPr>
          <w:color w:val="4D4D4F"/>
          <w:spacing w:val="-5"/>
        </w:rPr>
        <w:t xml:space="preserve">10 </w:t>
      </w:r>
      <w:r>
        <w:rPr>
          <w:color w:val="4D4D4F"/>
        </w:rPr>
        <w:t xml:space="preserve">years, and according to rainfall. DELWP used this information to determine the threshold for KPI 2: that once every </w:t>
      </w:r>
      <w:r>
        <w:rPr>
          <w:color w:val="4D4D4F"/>
          <w:spacing w:val="-5"/>
        </w:rPr>
        <w:t xml:space="preserve">10 </w:t>
      </w:r>
      <w:r>
        <w:rPr>
          <w:color w:val="4D4D4F"/>
        </w:rPr>
        <w:t>years there must be</w:t>
      </w:r>
      <w:r>
        <w:rPr>
          <w:color w:val="4D4D4F"/>
          <w:spacing w:val="5"/>
        </w:rPr>
        <w:t xml:space="preserve"> </w:t>
      </w:r>
      <w:r>
        <w:rPr>
          <w:color w:val="4D4D4F"/>
        </w:rPr>
        <w:t>a</w:t>
      </w:r>
      <w:r>
        <w:rPr>
          <w:color w:val="4D4D4F"/>
          <w:spacing w:val="5"/>
        </w:rPr>
        <w:t xml:space="preserve"> </w:t>
      </w:r>
      <w:r>
        <w:rPr>
          <w:color w:val="4D4D4F"/>
        </w:rPr>
        <w:t>high</w:t>
      </w:r>
      <w:r>
        <w:rPr>
          <w:color w:val="4D4D4F"/>
          <w:spacing w:val="6"/>
        </w:rPr>
        <w:t xml:space="preserve"> </w:t>
      </w:r>
      <w:r>
        <w:rPr>
          <w:color w:val="4D4D4F"/>
        </w:rPr>
        <w:t>population</w:t>
      </w:r>
      <w:r>
        <w:rPr>
          <w:color w:val="4D4D4F"/>
          <w:spacing w:val="5"/>
        </w:rPr>
        <w:t xml:space="preserve"> </w:t>
      </w:r>
      <w:r>
        <w:rPr>
          <w:color w:val="4D4D4F"/>
        </w:rPr>
        <w:t>of</w:t>
      </w:r>
      <w:r>
        <w:rPr>
          <w:color w:val="4D4D4F"/>
          <w:spacing w:val="5"/>
        </w:rPr>
        <w:t xml:space="preserve"> </w:t>
      </w:r>
      <w:r>
        <w:rPr>
          <w:color w:val="4D4D4F"/>
        </w:rPr>
        <w:t>recruits.</w:t>
      </w:r>
      <w:r>
        <w:rPr>
          <w:color w:val="4D4D4F"/>
          <w:spacing w:val="6"/>
        </w:rPr>
        <w:t xml:space="preserve"> </w:t>
      </w:r>
      <w:r>
        <w:rPr>
          <w:color w:val="4D4D4F"/>
        </w:rPr>
        <w:t>This</w:t>
      </w:r>
      <w:r>
        <w:rPr>
          <w:color w:val="4D4D4F"/>
          <w:spacing w:val="5"/>
        </w:rPr>
        <w:t xml:space="preserve"> </w:t>
      </w:r>
      <w:r>
        <w:rPr>
          <w:color w:val="4D4D4F"/>
        </w:rPr>
        <w:t>KPI</w:t>
      </w:r>
      <w:r>
        <w:rPr>
          <w:color w:val="4D4D4F"/>
          <w:spacing w:val="5"/>
        </w:rPr>
        <w:t xml:space="preserve"> </w:t>
      </w:r>
      <w:r>
        <w:rPr>
          <w:color w:val="4D4D4F"/>
        </w:rPr>
        <w:t>is</w:t>
      </w:r>
      <w:r>
        <w:rPr>
          <w:color w:val="4D4D4F"/>
          <w:spacing w:val="6"/>
        </w:rPr>
        <w:t xml:space="preserve"> </w:t>
      </w:r>
      <w:r>
        <w:rPr>
          <w:color w:val="4D4D4F"/>
        </w:rPr>
        <w:t>unique</w:t>
      </w:r>
      <w:r>
        <w:rPr>
          <w:color w:val="4D4D4F"/>
          <w:spacing w:val="5"/>
        </w:rPr>
        <w:t xml:space="preserve"> </w:t>
      </w:r>
      <w:r>
        <w:rPr>
          <w:color w:val="4D4D4F"/>
        </w:rPr>
        <w:t>in</w:t>
      </w:r>
      <w:r>
        <w:rPr>
          <w:color w:val="4D4D4F"/>
          <w:spacing w:val="5"/>
        </w:rPr>
        <w:t xml:space="preserve"> </w:t>
      </w:r>
      <w:r>
        <w:rPr>
          <w:color w:val="4D4D4F"/>
        </w:rPr>
        <w:t>that</w:t>
      </w:r>
      <w:r>
        <w:rPr>
          <w:color w:val="4D4D4F"/>
          <w:spacing w:val="6"/>
        </w:rPr>
        <w:t xml:space="preserve"> </w:t>
      </w:r>
      <w:r>
        <w:rPr>
          <w:color w:val="4D4D4F"/>
        </w:rPr>
        <w:t>it's</w:t>
      </w:r>
      <w:r>
        <w:rPr>
          <w:color w:val="4D4D4F"/>
          <w:spacing w:val="5"/>
        </w:rPr>
        <w:t xml:space="preserve"> </w:t>
      </w:r>
      <w:r>
        <w:rPr>
          <w:color w:val="4D4D4F"/>
        </w:rPr>
        <w:t>not</w:t>
      </w:r>
      <w:r>
        <w:rPr>
          <w:color w:val="4D4D4F"/>
          <w:spacing w:val="5"/>
        </w:rPr>
        <w:t xml:space="preserve"> </w:t>
      </w:r>
      <w:r>
        <w:rPr>
          <w:color w:val="4D4D4F"/>
        </w:rPr>
        <w:t>an</w:t>
      </w:r>
      <w:r>
        <w:rPr>
          <w:color w:val="4D4D4F"/>
          <w:spacing w:val="6"/>
        </w:rPr>
        <w:t xml:space="preserve"> </w:t>
      </w:r>
      <w:r>
        <w:rPr>
          <w:color w:val="4D4D4F"/>
        </w:rPr>
        <w:t>aggregate</w:t>
      </w:r>
      <w:r>
        <w:rPr>
          <w:color w:val="4D4D4F"/>
          <w:spacing w:val="5"/>
        </w:rPr>
        <w:t xml:space="preserve"> </w:t>
      </w:r>
      <w:r>
        <w:rPr>
          <w:color w:val="4D4D4F"/>
        </w:rPr>
        <w:t>–</w:t>
      </w:r>
      <w:r>
        <w:rPr>
          <w:color w:val="4D4D4F"/>
          <w:spacing w:val="5"/>
        </w:rPr>
        <w:t xml:space="preserve"> </w:t>
      </w:r>
      <w:r>
        <w:rPr>
          <w:color w:val="4D4D4F"/>
        </w:rPr>
        <w:t>if</w:t>
      </w:r>
    </w:p>
    <w:p w14:paraId="5D369BD7" w14:textId="77777777" w:rsidR="00EF5B27" w:rsidRDefault="00000000">
      <w:pPr>
        <w:pStyle w:val="BodyText"/>
        <w:spacing w:before="5" w:line="254" w:lineRule="auto"/>
        <w:ind w:left="113" w:right="167"/>
      </w:pPr>
      <w:r>
        <w:rPr>
          <w:color w:val="4D4D4F"/>
        </w:rPr>
        <w:t>it’s achieved once within the 10-year period, it's achieved. Based on the design, it is unclear whether this KPI resets after it has been met or whether it is measured in blocks of 10 years. It is recommended that this is clarified. Further testing may be required to assess the adequacy of the 10-year window in capturing the variable recruitment dynamics.</w:t>
      </w:r>
    </w:p>
    <w:p w14:paraId="13055D0D" w14:textId="77777777" w:rsidR="00EF5B27" w:rsidRDefault="00000000">
      <w:pPr>
        <w:pStyle w:val="BodyText"/>
        <w:spacing w:before="119" w:line="254" w:lineRule="auto"/>
        <w:ind w:left="113" w:right="101"/>
      </w:pPr>
      <w:r>
        <w:rPr>
          <w:color w:val="4D4D4F"/>
        </w:rPr>
        <w:t xml:space="preserve">Results in rates of recruitment for the Spiny Rice-flower are currently lower than expected over recent years. DELWP proposes to address this issue by observing if recruitment rates are enough to replace mortality rates </w:t>
      </w:r>
      <w:r>
        <w:rPr>
          <w:color w:val="4D4D4F"/>
          <w:spacing w:val="-3"/>
        </w:rPr>
        <w:t xml:space="preserve">within </w:t>
      </w:r>
      <w:r>
        <w:rPr>
          <w:color w:val="4D4D4F"/>
        </w:rPr>
        <w:t xml:space="preserve">the </w:t>
      </w:r>
      <w:r>
        <w:rPr>
          <w:color w:val="4D4D4F"/>
          <w:spacing w:val="-3"/>
        </w:rPr>
        <w:t xml:space="preserve">population </w:t>
      </w:r>
      <w:r>
        <w:rPr>
          <w:color w:val="4D4D4F"/>
        </w:rPr>
        <w:t xml:space="preserve">over </w:t>
      </w:r>
      <w:r>
        <w:rPr>
          <w:color w:val="4D4D4F"/>
          <w:spacing w:val="-3"/>
        </w:rPr>
        <w:t>time.</w:t>
      </w:r>
    </w:p>
    <w:p w14:paraId="4FCF7C4F" w14:textId="77777777" w:rsidR="00EF5B27" w:rsidRDefault="00000000">
      <w:pPr>
        <w:pStyle w:val="BodyText"/>
        <w:spacing w:before="117" w:line="254" w:lineRule="auto"/>
        <w:ind w:left="113" w:right="167"/>
      </w:pPr>
      <w:r>
        <w:pict w14:anchorId="026BA4FC">
          <v:shape id="_x0000_s3864" type="#_x0000_t202" style="position:absolute;left:0;text-align:left;margin-left:57pt;margin-top:90.05pt;width:481.75pt;height:73.85pt;z-index:251481600;mso-position-horizontal-relative:page" filled="f" stroked="f">
            <v:textbox inset="0,0,0,0">
              <w:txbxContent>
                <w:tbl>
                  <w:tblPr>
                    <w:tblW w:w="0" w:type="auto"/>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655D7E43" w14:textId="77777777">
                    <w:trPr>
                      <w:trHeight w:val="559"/>
                    </w:trPr>
                    <w:tc>
                      <w:tcPr>
                        <w:tcW w:w="2980" w:type="dxa"/>
                        <w:shd w:val="clear" w:color="auto" w:fill="FECC91"/>
                      </w:tcPr>
                      <w:p w14:paraId="0D518926" w14:textId="77777777" w:rsidR="00EF5B27" w:rsidRDefault="00EF5B27">
                        <w:pPr>
                          <w:pStyle w:val="TableParagraph"/>
                          <w:spacing w:before="6"/>
                          <w:rPr>
                            <w:sz w:val="15"/>
                          </w:rPr>
                        </w:pPr>
                      </w:p>
                      <w:p w14:paraId="0C072065" w14:textId="77777777" w:rsidR="00EF5B27" w:rsidRDefault="00000000">
                        <w:pPr>
                          <w:pStyle w:val="TableParagraph"/>
                          <w:ind w:left="80"/>
                          <w:rPr>
                            <w:b/>
                            <w:sz w:val="16"/>
                          </w:rPr>
                        </w:pPr>
                        <w:r>
                          <w:rPr>
                            <w:b/>
                            <w:sz w:val="16"/>
                          </w:rPr>
                          <w:t>KPI 1: Population count</w:t>
                        </w:r>
                      </w:p>
                    </w:tc>
                    <w:tc>
                      <w:tcPr>
                        <w:tcW w:w="1078" w:type="dxa"/>
                        <w:shd w:val="clear" w:color="auto" w:fill="FECC91"/>
                      </w:tcPr>
                      <w:p w14:paraId="08726EE7" w14:textId="77777777" w:rsidR="00EF5B27" w:rsidRDefault="00000000">
                        <w:pPr>
                          <w:pStyle w:val="TableParagraph"/>
                          <w:spacing w:before="89" w:line="244" w:lineRule="auto"/>
                          <w:ind w:left="169" w:right="164" w:firstLine="148"/>
                          <w:rPr>
                            <w:b/>
                            <w:sz w:val="16"/>
                          </w:rPr>
                        </w:pPr>
                        <w:r>
                          <w:rPr>
                            <w:b/>
                            <w:w w:val="105"/>
                            <w:sz w:val="16"/>
                          </w:rPr>
                          <w:t>Status 2020-2022</w:t>
                        </w:r>
                      </w:p>
                    </w:tc>
                    <w:tc>
                      <w:tcPr>
                        <w:tcW w:w="2155" w:type="dxa"/>
                        <w:shd w:val="clear" w:color="auto" w:fill="FECC91"/>
                      </w:tcPr>
                      <w:p w14:paraId="29154DD7" w14:textId="77777777" w:rsidR="00EF5B27" w:rsidRDefault="00EF5B27">
                        <w:pPr>
                          <w:pStyle w:val="TableParagraph"/>
                          <w:spacing w:before="6"/>
                          <w:rPr>
                            <w:sz w:val="15"/>
                          </w:rPr>
                        </w:pPr>
                      </w:p>
                      <w:p w14:paraId="3157F43E" w14:textId="77777777" w:rsidR="00EF5B27" w:rsidRDefault="00000000">
                        <w:pPr>
                          <w:pStyle w:val="TableParagraph"/>
                          <w:ind w:left="143" w:right="142"/>
                          <w:jc w:val="center"/>
                          <w:rPr>
                            <w:b/>
                            <w:sz w:val="16"/>
                          </w:rPr>
                        </w:pPr>
                        <w:r>
                          <w:rPr>
                            <w:b/>
                            <w:sz w:val="16"/>
                          </w:rPr>
                          <w:t>Reason for non-assessment</w:t>
                        </w:r>
                      </w:p>
                    </w:tc>
                    <w:tc>
                      <w:tcPr>
                        <w:tcW w:w="964" w:type="dxa"/>
                        <w:shd w:val="clear" w:color="auto" w:fill="FECC91"/>
                      </w:tcPr>
                      <w:p w14:paraId="1641BEC6" w14:textId="77777777" w:rsidR="00EF5B27" w:rsidRDefault="00EF5B27">
                        <w:pPr>
                          <w:pStyle w:val="TableParagraph"/>
                          <w:spacing w:before="6"/>
                          <w:rPr>
                            <w:sz w:val="15"/>
                          </w:rPr>
                        </w:pPr>
                      </w:p>
                      <w:p w14:paraId="73407A02" w14:textId="77777777" w:rsidR="00EF5B27" w:rsidRDefault="00000000">
                        <w:pPr>
                          <w:pStyle w:val="TableParagraph"/>
                          <w:ind w:left="283"/>
                          <w:rPr>
                            <w:b/>
                            <w:sz w:val="16"/>
                          </w:rPr>
                        </w:pPr>
                        <w:r>
                          <w:rPr>
                            <w:b/>
                            <w:sz w:val="16"/>
                          </w:rPr>
                          <w:t>Trend</w:t>
                        </w:r>
                      </w:p>
                    </w:tc>
                    <w:tc>
                      <w:tcPr>
                        <w:tcW w:w="964" w:type="dxa"/>
                        <w:shd w:val="clear" w:color="auto" w:fill="FECC91"/>
                      </w:tcPr>
                      <w:p w14:paraId="0B9594E4" w14:textId="77777777" w:rsidR="00EF5B27" w:rsidRDefault="00000000">
                        <w:pPr>
                          <w:pStyle w:val="TableParagraph"/>
                          <w:spacing w:before="89" w:line="244" w:lineRule="auto"/>
                          <w:ind w:left="105" w:right="87" w:firstLine="217"/>
                          <w:rPr>
                            <w:b/>
                            <w:sz w:val="16"/>
                          </w:rPr>
                        </w:pPr>
                        <w:r>
                          <w:rPr>
                            <w:b/>
                            <w:sz w:val="16"/>
                          </w:rPr>
                          <w:t>Data Confidence</w:t>
                        </w:r>
                      </w:p>
                    </w:tc>
                    <w:tc>
                      <w:tcPr>
                        <w:tcW w:w="1489" w:type="dxa"/>
                        <w:shd w:val="clear" w:color="auto" w:fill="FECC91"/>
                      </w:tcPr>
                      <w:p w14:paraId="047DB38B" w14:textId="77777777" w:rsidR="00EF5B27" w:rsidRDefault="00000000">
                        <w:pPr>
                          <w:pStyle w:val="TableParagraph"/>
                          <w:spacing w:before="89" w:line="244" w:lineRule="auto"/>
                          <w:ind w:left="220" w:hanging="92"/>
                          <w:rPr>
                            <w:b/>
                            <w:sz w:val="16"/>
                          </w:rPr>
                        </w:pPr>
                        <w:r>
                          <w:rPr>
                            <w:b/>
                            <w:sz w:val="16"/>
                          </w:rPr>
                          <w:t>Year that baseline was/will be set</w:t>
                        </w:r>
                      </w:p>
                    </w:tc>
                  </w:tr>
                  <w:tr w:rsidR="00EF5B27" w14:paraId="26907BBD" w14:textId="77777777">
                    <w:trPr>
                      <w:trHeight w:val="448"/>
                    </w:trPr>
                    <w:tc>
                      <w:tcPr>
                        <w:tcW w:w="2980" w:type="dxa"/>
                      </w:tcPr>
                      <w:p w14:paraId="4EC1B4F8" w14:textId="77777777" w:rsidR="00EF5B27" w:rsidRDefault="00EF5B27">
                        <w:pPr>
                          <w:pStyle w:val="TableParagraph"/>
                          <w:spacing w:before="11"/>
                          <w:rPr>
                            <w:sz w:val="11"/>
                          </w:rPr>
                        </w:pPr>
                      </w:p>
                      <w:p w14:paraId="784865C2" w14:textId="77777777" w:rsidR="00EF5B27" w:rsidRDefault="00000000">
                        <w:pPr>
                          <w:pStyle w:val="TableParagraph"/>
                          <w:ind w:left="80"/>
                          <w:rPr>
                            <w:sz w:val="14"/>
                          </w:rPr>
                        </w:pPr>
                        <w:r>
                          <w:rPr>
                            <w:color w:val="4D4D4F"/>
                            <w:sz w:val="14"/>
                          </w:rPr>
                          <w:t>Radio</w:t>
                        </w:r>
                      </w:p>
                    </w:tc>
                    <w:tc>
                      <w:tcPr>
                        <w:tcW w:w="1078" w:type="dxa"/>
                      </w:tcPr>
                      <w:p w14:paraId="0C74B140" w14:textId="77777777" w:rsidR="00EF5B27" w:rsidRDefault="00EF5B27">
                        <w:pPr>
                          <w:pStyle w:val="TableParagraph"/>
                          <w:spacing w:before="11"/>
                          <w:rPr>
                            <w:sz w:val="11"/>
                          </w:rPr>
                        </w:pPr>
                      </w:p>
                      <w:p w14:paraId="73C09BC5" w14:textId="77777777" w:rsidR="00EF5B27" w:rsidRDefault="00000000">
                        <w:pPr>
                          <w:pStyle w:val="TableParagraph"/>
                          <w:ind w:left="142"/>
                          <w:rPr>
                            <w:sz w:val="14"/>
                          </w:rPr>
                        </w:pPr>
                        <w:r>
                          <w:rPr>
                            <w:color w:val="4D4D4F"/>
                            <w:w w:val="105"/>
                            <w:sz w:val="14"/>
                          </w:rPr>
                          <w:t>Not assessed</w:t>
                        </w:r>
                      </w:p>
                    </w:tc>
                    <w:tc>
                      <w:tcPr>
                        <w:tcW w:w="2155" w:type="dxa"/>
                      </w:tcPr>
                      <w:p w14:paraId="3F24C542" w14:textId="77777777" w:rsidR="00EF5B27" w:rsidRDefault="00EF5B27">
                        <w:pPr>
                          <w:pStyle w:val="TableParagraph"/>
                          <w:spacing w:before="11"/>
                          <w:rPr>
                            <w:sz w:val="11"/>
                          </w:rPr>
                        </w:pPr>
                      </w:p>
                      <w:p w14:paraId="00B05603" w14:textId="77777777" w:rsidR="00EF5B27" w:rsidRDefault="00000000">
                        <w:pPr>
                          <w:pStyle w:val="TableParagraph"/>
                          <w:ind w:left="143" w:right="142"/>
                          <w:jc w:val="center"/>
                          <w:rPr>
                            <w:sz w:val="14"/>
                          </w:rPr>
                        </w:pPr>
                        <w:r>
                          <w:rPr>
                            <w:color w:val="4D4D4F"/>
                            <w:sz w:val="14"/>
                          </w:rPr>
                          <w:t>Baseline not yet set</w:t>
                        </w:r>
                      </w:p>
                    </w:tc>
                    <w:tc>
                      <w:tcPr>
                        <w:tcW w:w="964" w:type="dxa"/>
                      </w:tcPr>
                      <w:p w14:paraId="07E06D30" w14:textId="77777777" w:rsidR="00EF5B27" w:rsidRDefault="00EF5B27">
                        <w:pPr>
                          <w:pStyle w:val="TableParagraph"/>
                          <w:spacing w:before="4"/>
                          <w:rPr>
                            <w:sz w:val="7"/>
                          </w:rPr>
                        </w:pPr>
                      </w:p>
                      <w:p w14:paraId="47C9717A" w14:textId="77777777" w:rsidR="00EF5B27" w:rsidRDefault="00000000">
                        <w:pPr>
                          <w:pStyle w:val="TableParagraph"/>
                          <w:spacing w:line="187" w:lineRule="exact"/>
                          <w:ind w:left="400"/>
                          <w:rPr>
                            <w:sz w:val="18"/>
                          </w:rPr>
                        </w:pPr>
                        <w:r>
                          <w:rPr>
                            <w:noProof/>
                            <w:position w:val="-3"/>
                            <w:sz w:val="18"/>
                          </w:rPr>
                          <w:drawing>
                            <wp:inline distT="0" distB="0" distL="0" distR="0" wp14:anchorId="749F175B" wp14:editId="164FFCEA">
                              <wp:extent cx="100572" cy="119062"/>
                              <wp:effectExtent l="0" t="0" r="0" b="0"/>
                              <wp:docPr id="247"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97.png"/>
                                      <pic:cNvPicPr/>
                                    </pic:nvPicPr>
                                    <pic:blipFill>
                                      <a:blip r:embed="rId92" cstate="print"/>
                                      <a:stretch>
                                        <a:fillRect/>
                                      </a:stretch>
                                    </pic:blipFill>
                                    <pic:spPr>
                                      <a:xfrm>
                                        <a:off x="0" y="0"/>
                                        <a:ext cx="100572" cy="119062"/>
                                      </a:xfrm>
                                      <a:prstGeom prst="rect">
                                        <a:avLst/>
                                      </a:prstGeom>
                                    </pic:spPr>
                                  </pic:pic>
                                </a:graphicData>
                              </a:graphic>
                            </wp:inline>
                          </w:drawing>
                        </w:r>
                      </w:p>
                    </w:tc>
                    <w:tc>
                      <w:tcPr>
                        <w:tcW w:w="964" w:type="dxa"/>
                      </w:tcPr>
                      <w:p w14:paraId="16132CA7" w14:textId="77777777" w:rsidR="00EF5B27" w:rsidRDefault="00EF5B27">
                        <w:pPr>
                          <w:pStyle w:val="TableParagraph"/>
                          <w:spacing w:before="11"/>
                          <w:rPr>
                            <w:sz w:val="11"/>
                          </w:rPr>
                        </w:pPr>
                      </w:p>
                      <w:p w14:paraId="78A4BDDC" w14:textId="77777777" w:rsidR="00EF5B27" w:rsidRDefault="00000000">
                        <w:pPr>
                          <w:pStyle w:val="TableParagraph"/>
                          <w:ind w:left="318" w:right="323"/>
                          <w:jc w:val="center"/>
                          <w:rPr>
                            <w:sz w:val="14"/>
                          </w:rPr>
                        </w:pPr>
                        <w:r>
                          <w:rPr>
                            <w:color w:val="4D4D4F"/>
                            <w:w w:val="105"/>
                            <w:sz w:val="14"/>
                          </w:rPr>
                          <w:t>N/A</w:t>
                        </w:r>
                      </w:p>
                    </w:tc>
                    <w:tc>
                      <w:tcPr>
                        <w:tcW w:w="1489" w:type="dxa"/>
                      </w:tcPr>
                      <w:p w14:paraId="63148DCA" w14:textId="77777777" w:rsidR="00EF5B27" w:rsidRDefault="00000000">
                        <w:pPr>
                          <w:pStyle w:val="TableParagraph"/>
                          <w:spacing w:before="134"/>
                          <w:ind w:left="580"/>
                          <w:rPr>
                            <w:sz w:val="16"/>
                          </w:rPr>
                        </w:pPr>
                        <w:r>
                          <w:rPr>
                            <w:color w:val="4D4D4F"/>
                            <w:sz w:val="16"/>
                          </w:rPr>
                          <w:t>2024</w:t>
                        </w:r>
                      </w:p>
                    </w:tc>
                  </w:tr>
                  <w:tr w:rsidR="00EF5B27" w14:paraId="3B7F8F22" w14:textId="77777777">
                    <w:trPr>
                      <w:trHeight w:val="448"/>
                    </w:trPr>
                    <w:tc>
                      <w:tcPr>
                        <w:tcW w:w="2980" w:type="dxa"/>
                      </w:tcPr>
                      <w:p w14:paraId="0FE7D715" w14:textId="77777777" w:rsidR="00EF5B27" w:rsidRDefault="00EF5B27">
                        <w:pPr>
                          <w:pStyle w:val="TableParagraph"/>
                          <w:spacing w:before="11"/>
                          <w:rPr>
                            <w:sz w:val="11"/>
                          </w:rPr>
                        </w:pPr>
                      </w:p>
                      <w:p w14:paraId="4C32F6CD" w14:textId="77777777" w:rsidR="00EF5B27" w:rsidRDefault="00000000">
                        <w:pPr>
                          <w:pStyle w:val="TableParagraph"/>
                          <w:ind w:left="80"/>
                          <w:rPr>
                            <w:sz w:val="14"/>
                          </w:rPr>
                        </w:pPr>
                        <w:r>
                          <w:rPr>
                            <w:color w:val="4D4D4F"/>
                            <w:sz w:val="14"/>
                          </w:rPr>
                          <w:t>Truganina Cemetery</w:t>
                        </w:r>
                      </w:p>
                    </w:tc>
                    <w:tc>
                      <w:tcPr>
                        <w:tcW w:w="1078" w:type="dxa"/>
                      </w:tcPr>
                      <w:p w14:paraId="5A32FCD3" w14:textId="77777777" w:rsidR="00EF5B27" w:rsidRDefault="00EF5B27">
                        <w:pPr>
                          <w:pStyle w:val="TableParagraph"/>
                          <w:spacing w:before="11"/>
                          <w:rPr>
                            <w:sz w:val="11"/>
                          </w:rPr>
                        </w:pPr>
                      </w:p>
                      <w:p w14:paraId="711A0922" w14:textId="77777777" w:rsidR="00EF5B27" w:rsidRDefault="00000000">
                        <w:pPr>
                          <w:pStyle w:val="TableParagraph"/>
                          <w:ind w:left="142"/>
                          <w:rPr>
                            <w:sz w:val="14"/>
                          </w:rPr>
                        </w:pPr>
                        <w:r>
                          <w:rPr>
                            <w:color w:val="4D4D4F"/>
                            <w:w w:val="105"/>
                            <w:sz w:val="14"/>
                          </w:rPr>
                          <w:t>Not assessed</w:t>
                        </w:r>
                      </w:p>
                    </w:tc>
                    <w:tc>
                      <w:tcPr>
                        <w:tcW w:w="2155" w:type="dxa"/>
                      </w:tcPr>
                      <w:p w14:paraId="0EDD5F6E" w14:textId="77777777" w:rsidR="00EF5B27" w:rsidRDefault="00EF5B27">
                        <w:pPr>
                          <w:pStyle w:val="TableParagraph"/>
                          <w:spacing w:before="11"/>
                          <w:rPr>
                            <w:sz w:val="11"/>
                          </w:rPr>
                        </w:pPr>
                      </w:p>
                      <w:p w14:paraId="5DA2BF06" w14:textId="77777777" w:rsidR="00EF5B27" w:rsidRDefault="00000000">
                        <w:pPr>
                          <w:pStyle w:val="TableParagraph"/>
                          <w:ind w:left="143" w:right="142"/>
                          <w:jc w:val="center"/>
                          <w:rPr>
                            <w:sz w:val="14"/>
                          </w:rPr>
                        </w:pPr>
                        <w:r>
                          <w:rPr>
                            <w:color w:val="4D4D4F"/>
                            <w:sz w:val="14"/>
                          </w:rPr>
                          <w:t>Baseline not yet set</w:t>
                        </w:r>
                      </w:p>
                    </w:tc>
                    <w:tc>
                      <w:tcPr>
                        <w:tcW w:w="964" w:type="dxa"/>
                      </w:tcPr>
                      <w:p w14:paraId="47872EA2" w14:textId="77777777" w:rsidR="00EF5B27" w:rsidRDefault="00EF5B27">
                        <w:pPr>
                          <w:pStyle w:val="TableParagraph"/>
                          <w:spacing w:before="4"/>
                          <w:rPr>
                            <w:sz w:val="7"/>
                          </w:rPr>
                        </w:pPr>
                      </w:p>
                      <w:p w14:paraId="2814D472" w14:textId="77777777" w:rsidR="00EF5B27" w:rsidRDefault="00000000">
                        <w:pPr>
                          <w:pStyle w:val="TableParagraph"/>
                          <w:spacing w:line="187" w:lineRule="exact"/>
                          <w:ind w:left="400"/>
                          <w:rPr>
                            <w:sz w:val="18"/>
                          </w:rPr>
                        </w:pPr>
                        <w:r>
                          <w:rPr>
                            <w:noProof/>
                            <w:position w:val="-3"/>
                            <w:sz w:val="18"/>
                          </w:rPr>
                          <w:drawing>
                            <wp:inline distT="0" distB="0" distL="0" distR="0" wp14:anchorId="15A6646B" wp14:editId="2B671452">
                              <wp:extent cx="100572" cy="119062"/>
                              <wp:effectExtent l="0" t="0" r="0" b="0"/>
                              <wp:docPr id="249"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97.png"/>
                                      <pic:cNvPicPr/>
                                    </pic:nvPicPr>
                                    <pic:blipFill>
                                      <a:blip r:embed="rId92" cstate="print"/>
                                      <a:stretch>
                                        <a:fillRect/>
                                      </a:stretch>
                                    </pic:blipFill>
                                    <pic:spPr>
                                      <a:xfrm>
                                        <a:off x="0" y="0"/>
                                        <a:ext cx="100572" cy="119062"/>
                                      </a:xfrm>
                                      <a:prstGeom prst="rect">
                                        <a:avLst/>
                                      </a:prstGeom>
                                    </pic:spPr>
                                  </pic:pic>
                                </a:graphicData>
                              </a:graphic>
                            </wp:inline>
                          </w:drawing>
                        </w:r>
                      </w:p>
                    </w:tc>
                    <w:tc>
                      <w:tcPr>
                        <w:tcW w:w="964" w:type="dxa"/>
                      </w:tcPr>
                      <w:p w14:paraId="4226D9DA" w14:textId="77777777" w:rsidR="00EF5B27" w:rsidRDefault="00EF5B27">
                        <w:pPr>
                          <w:pStyle w:val="TableParagraph"/>
                          <w:spacing w:before="11"/>
                          <w:rPr>
                            <w:sz w:val="11"/>
                          </w:rPr>
                        </w:pPr>
                      </w:p>
                      <w:p w14:paraId="67806220" w14:textId="77777777" w:rsidR="00EF5B27" w:rsidRDefault="00000000">
                        <w:pPr>
                          <w:pStyle w:val="TableParagraph"/>
                          <w:ind w:left="318" w:right="323"/>
                          <w:jc w:val="center"/>
                          <w:rPr>
                            <w:sz w:val="14"/>
                          </w:rPr>
                        </w:pPr>
                        <w:r>
                          <w:rPr>
                            <w:color w:val="4D4D4F"/>
                            <w:w w:val="105"/>
                            <w:sz w:val="14"/>
                          </w:rPr>
                          <w:t>N/A</w:t>
                        </w:r>
                      </w:p>
                    </w:tc>
                    <w:tc>
                      <w:tcPr>
                        <w:tcW w:w="1489" w:type="dxa"/>
                      </w:tcPr>
                      <w:p w14:paraId="43414EF9" w14:textId="77777777" w:rsidR="00EF5B27" w:rsidRDefault="00000000">
                        <w:pPr>
                          <w:pStyle w:val="TableParagraph"/>
                          <w:spacing w:before="134"/>
                          <w:ind w:left="580"/>
                          <w:rPr>
                            <w:sz w:val="16"/>
                          </w:rPr>
                        </w:pPr>
                        <w:r>
                          <w:rPr>
                            <w:color w:val="4D4D4F"/>
                            <w:sz w:val="16"/>
                          </w:rPr>
                          <w:t>2024</w:t>
                        </w:r>
                      </w:p>
                    </w:tc>
                  </w:tr>
                </w:tbl>
                <w:p w14:paraId="27A2DBAD" w14:textId="77777777" w:rsidR="00EF5B27" w:rsidRDefault="00EF5B27">
                  <w:pPr>
                    <w:pStyle w:val="BodyText"/>
                  </w:pPr>
                </w:p>
              </w:txbxContent>
            </v:textbox>
            <w10:wrap anchorx="page"/>
          </v:shape>
        </w:pict>
      </w:r>
      <w:r>
        <w:rPr>
          <w:color w:val="4D4D4F"/>
        </w:rPr>
        <w:t>DELWP indicates that areas in which this species are found are in current need of a biomass control regime in the form of planned burning.</w:t>
      </w:r>
      <w:r>
        <w:rPr>
          <w:color w:val="4D4D4F"/>
          <w:position w:val="7"/>
          <w:sz w:val="11"/>
        </w:rPr>
        <w:t xml:space="preserve">78 </w:t>
      </w:r>
      <w:r>
        <w:rPr>
          <w:color w:val="4D4D4F"/>
        </w:rPr>
        <w:t>DELWP report that to date, burns have been implemented well with positive outcomes.</w:t>
      </w:r>
      <w:r>
        <w:rPr>
          <w:color w:val="4D4D4F"/>
          <w:position w:val="7"/>
          <w:sz w:val="11"/>
        </w:rPr>
        <w:t xml:space="preserve">79 </w:t>
      </w:r>
      <w:r>
        <w:rPr>
          <w:color w:val="4D4D4F"/>
        </w:rPr>
        <w:t>As the MSA program scales up, it will be important to maintain efforts to control biomass and manage the risk of degradation to current and new populations.</w:t>
      </w:r>
    </w:p>
    <w:p w14:paraId="65E0D291" w14:textId="77777777" w:rsidR="00EF5B27" w:rsidRDefault="00EF5B27">
      <w:pPr>
        <w:pStyle w:val="BodyText"/>
      </w:pPr>
    </w:p>
    <w:p w14:paraId="7CFAE5C8" w14:textId="77777777" w:rsidR="00EF5B27" w:rsidRDefault="00EF5B27">
      <w:pPr>
        <w:pStyle w:val="BodyText"/>
      </w:pPr>
    </w:p>
    <w:p w14:paraId="404E1315" w14:textId="77777777" w:rsidR="00EF5B27" w:rsidRDefault="00EF5B27">
      <w:pPr>
        <w:pStyle w:val="BodyText"/>
      </w:pPr>
    </w:p>
    <w:p w14:paraId="0E3ED5FD" w14:textId="77777777" w:rsidR="00EF5B27" w:rsidRDefault="00EF5B27">
      <w:pPr>
        <w:pStyle w:val="BodyText"/>
      </w:pPr>
    </w:p>
    <w:p w14:paraId="1BA3F7B8" w14:textId="77777777" w:rsidR="00EF5B27" w:rsidRDefault="00000000">
      <w:pPr>
        <w:pStyle w:val="BodyText"/>
        <w:spacing w:before="9"/>
      </w:pPr>
      <w:r>
        <w:pict w14:anchorId="76A500D4">
          <v:shape id="_x0000_s3863" style="position:absolute;margin-left:390.2pt;margin-top:14.65pt;width:2.45pt;height:2.45pt;z-index:251436544;mso-wrap-distance-left:0;mso-wrap-distance-right:0;mso-position-horizontal-relative:page" coordorigin="7804,293" coordsize="49,49" path="m7835,293r-14,l7815,295r-9,9l7804,310r,14l7806,330r9,9l7821,342r14,l7841,339r9,-9l7852,324r,-14l7850,304r-9,-9l7835,293xe" fillcolor="#808285" stroked="f">
            <v:path arrowok="t"/>
            <w10:wrap type="topAndBottom" anchorx="page"/>
          </v:shape>
        </w:pict>
      </w:r>
      <w:r>
        <w:pict w14:anchorId="331DC871">
          <v:shape id="_x0000_s3862" style="position:absolute;margin-left:390.2pt;margin-top:37.3pt;width:2.45pt;height:2.45pt;z-index:251437568;mso-wrap-distance-left:0;mso-wrap-distance-right:0;mso-position-horizontal-relative:page" coordorigin="7804,746" coordsize="49,49" path="m7835,746r-14,l7815,749r-9,9l7804,764r,14l7806,783r9,10l7821,795r14,l7841,793r9,-10l7852,778r,-14l7850,758r-9,-9l7835,746xe" fillcolor="#808285" stroked="f">
            <v:path arrowok="t"/>
            <w10:wrap type="topAndBottom" anchorx="page"/>
          </v:shape>
        </w:pict>
      </w:r>
    </w:p>
    <w:p w14:paraId="7C631925" w14:textId="77777777" w:rsidR="00EF5B27" w:rsidRDefault="00EF5B27">
      <w:pPr>
        <w:pStyle w:val="BodyText"/>
        <w:spacing w:before="7"/>
        <w:rPr>
          <w:sz w:val="27"/>
        </w:rPr>
      </w:pPr>
    </w:p>
    <w:p w14:paraId="00C88F57" w14:textId="77777777" w:rsidR="00EF5B27" w:rsidRDefault="00EF5B27">
      <w:pPr>
        <w:pStyle w:val="BodyText"/>
        <w:rPr>
          <w:sz w:val="24"/>
        </w:rPr>
      </w:pPr>
    </w:p>
    <w:p w14:paraId="292FA97D" w14:textId="77777777" w:rsidR="00EF5B27" w:rsidRDefault="00000000">
      <w:pPr>
        <w:pStyle w:val="BodyText"/>
        <w:spacing w:before="192" w:line="254" w:lineRule="auto"/>
        <w:ind w:left="113" w:right="178"/>
        <w:jc w:val="both"/>
      </w:pPr>
      <w:r>
        <w:rPr>
          <w:color w:val="4D4D4F"/>
          <w:spacing w:val="-5"/>
        </w:rPr>
        <w:t xml:space="preserve">Comments: </w:t>
      </w:r>
      <w:r>
        <w:rPr>
          <w:color w:val="4D4D4F"/>
          <w:spacing w:val="-3"/>
        </w:rPr>
        <w:t xml:space="preserve">The </w:t>
      </w:r>
      <w:r>
        <w:rPr>
          <w:color w:val="4D4D4F"/>
          <w:spacing w:val="-5"/>
        </w:rPr>
        <w:t xml:space="preserve">population counts </w:t>
      </w:r>
      <w:r>
        <w:rPr>
          <w:color w:val="4D4D4F"/>
          <w:spacing w:val="-7"/>
        </w:rPr>
        <w:t xml:space="preserve">(within </w:t>
      </w:r>
      <w:r>
        <w:rPr>
          <w:color w:val="4D4D4F"/>
          <w:spacing w:val="-6"/>
        </w:rPr>
        <w:t xml:space="preserve">clusters) </w:t>
      </w:r>
      <w:r>
        <w:rPr>
          <w:color w:val="4D4D4F"/>
          <w:spacing w:val="-4"/>
        </w:rPr>
        <w:t xml:space="preserve">in </w:t>
      </w:r>
      <w:r>
        <w:rPr>
          <w:color w:val="4D4D4F"/>
          <w:spacing w:val="-8"/>
        </w:rPr>
        <w:t xml:space="preserve">2019 </w:t>
      </w:r>
      <w:r>
        <w:rPr>
          <w:color w:val="4D4D4F"/>
          <w:spacing w:val="-3"/>
        </w:rPr>
        <w:t xml:space="preserve">were </w:t>
      </w:r>
      <w:r>
        <w:rPr>
          <w:color w:val="4D4D4F"/>
          <w:spacing w:val="-5"/>
        </w:rPr>
        <w:t xml:space="preserve">201 </w:t>
      </w:r>
      <w:r>
        <w:rPr>
          <w:color w:val="4D4D4F"/>
          <w:spacing w:val="-3"/>
        </w:rPr>
        <w:t xml:space="preserve">at </w:t>
      </w:r>
      <w:r>
        <w:rPr>
          <w:color w:val="4D4D4F"/>
          <w:spacing w:val="-5"/>
        </w:rPr>
        <w:t xml:space="preserve">Radio </w:t>
      </w:r>
      <w:r>
        <w:rPr>
          <w:color w:val="4D4D4F"/>
          <w:spacing w:val="-7"/>
        </w:rPr>
        <w:t xml:space="preserve">(in </w:t>
      </w:r>
      <w:r>
        <w:rPr>
          <w:color w:val="4D4D4F"/>
        </w:rPr>
        <w:t xml:space="preserve">4 </w:t>
      </w:r>
      <w:r>
        <w:rPr>
          <w:color w:val="4D4D4F"/>
          <w:spacing w:val="-6"/>
        </w:rPr>
        <w:t xml:space="preserve">clusters) </w:t>
      </w:r>
      <w:r>
        <w:rPr>
          <w:color w:val="4D4D4F"/>
          <w:spacing w:val="-4"/>
        </w:rPr>
        <w:t xml:space="preserve">and </w:t>
      </w:r>
      <w:r>
        <w:rPr>
          <w:color w:val="4D4D4F"/>
          <w:spacing w:val="-5"/>
        </w:rPr>
        <w:t xml:space="preserve">965 </w:t>
      </w:r>
      <w:r>
        <w:rPr>
          <w:color w:val="4D4D4F"/>
          <w:spacing w:val="-3"/>
        </w:rPr>
        <w:t xml:space="preserve">at </w:t>
      </w:r>
      <w:r>
        <w:rPr>
          <w:color w:val="4D4D4F"/>
          <w:spacing w:val="-7"/>
        </w:rPr>
        <w:t xml:space="preserve">Truganina </w:t>
      </w:r>
      <w:r>
        <w:rPr>
          <w:color w:val="4D4D4F"/>
          <w:spacing w:val="-4"/>
        </w:rPr>
        <w:t xml:space="preserve">Cemetery </w:t>
      </w:r>
      <w:r>
        <w:rPr>
          <w:color w:val="4D4D4F"/>
          <w:spacing w:val="-7"/>
        </w:rPr>
        <w:t xml:space="preserve">(in </w:t>
      </w:r>
      <w:r>
        <w:rPr>
          <w:color w:val="4D4D4F"/>
        </w:rPr>
        <w:t xml:space="preserve">1 </w:t>
      </w:r>
      <w:r>
        <w:rPr>
          <w:color w:val="4D4D4F"/>
          <w:spacing w:val="-7"/>
        </w:rPr>
        <w:t xml:space="preserve">cluster). </w:t>
      </w:r>
      <w:r>
        <w:rPr>
          <w:color w:val="4D4D4F"/>
        </w:rPr>
        <w:t xml:space="preserve">As </w:t>
      </w:r>
      <w:r>
        <w:rPr>
          <w:color w:val="4D4D4F"/>
          <w:spacing w:val="-8"/>
        </w:rPr>
        <w:t xml:space="preserve">2019 </w:t>
      </w:r>
      <w:r>
        <w:rPr>
          <w:color w:val="4D4D4F"/>
          <w:spacing w:val="-4"/>
        </w:rPr>
        <w:t xml:space="preserve">was the </w:t>
      </w:r>
      <w:r>
        <w:rPr>
          <w:color w:val="4D4D4F"/>
          <w:spacing w:val="-3"/>
        </w:rPr>
        <w:t xml:space="preserve">first </w:t>
      </w:r>
      <w:r>
        <w:rPr>
          <w:color w:val="4D4D4F"/>
          <w:spacing w:val="-5"/>
        </w:rPr>
        <w:t xml:space="preserve">year </w:t>
      </w:r>
      <w:r>
        <w:rPr>
          <w:color w:val="4D4D4F"/>
          <w:spacing w:val="-3"/>
        </w:rPr>
        <w:t xml:space="preserve">of </w:t>
      </w:r>
      <w:r>
        <w:rPr>
          <w:color w:val="4D4D4F"/>
          <w:spacing w:val="-6"/>
        </w:rPr>
        <w:t xml:space="preserve">monitoring using this </w:t>
      </w:r>
      <w:r>
        <w:rPr>
          <w:color w:val="4D4D4F"/>
          <w:spacing w:val="-5"/>
        </w:rPr>
        <w:t xml:space="preserve">method, </w:t>
      </w:r>
      <w:r>
        <w:rPr>
          <w:color w:val="4D4D4F"/>
          <w:spacing w:val="-4"/>
        </w:rPr>
        <w:t xml:space="preserve">the </w:t>
      </w:r>
      <w:r>
        <w:rPr>
          <w:color w:val="4D4D4F"/>
          <w:spacing w:val="-6"/>
        </w:rPr>
        <w:t xml:space="preserve">baseline </w:t>
      </w:r>
      <w:r>
        <w:rPr>
          <w:color w:val="4D4D4F"/>
          <w:spacing w:val="-5"/>
        </w:rPr>
        <w:t xml:space="preserve">cannot </w:t>
      </w:r>
      <w:r>
        <w:rPr>
          <w:color w:val="4D4D4F"/>
          <w:spacing w:val="-4"/>
        </w:rPr>
        <w:t xml:space="preserve">yet </w:t>
      </w:r>
      <w:r>
        <w:rPr>
          <w:color w:val="4D4D4F"/>
        </w:rPr>
        <w:t xml:space="preserve">be </w:t>
      </w:r>
      <w:r>
        <w:rPr>
          <w:color w:val="4D4D4F"/>
          <w:spacing w:val="-4"/>
        </w:rPr>
        <w:t xml:space="preserve">set. </w:t>
      </w:r>
      <w:r>
        <w:rPr>
          <w:color w:val="4D4D4F"/>
          <w:spacing w:val="-6"/>
        </w:rPr>
        <w:t xml:space="preserve">Status </w:t>
      </w:r>
      <w:r>
        <w:rPr>
          <w:color w:val="4D4D4F"/>
          <w:spacing w:val="-5"/>
        </w:rPr>
        <w:t xml:space="preserve">assessments </w:t>
      </w:r>
      <w:r>
        <w:rPr>
          <w:color w:val="4D4D4F"/>
          <w:spacing w:val="-3"/>
        </w:rPr>
        <w:t xml:space="preserve">are </w:t>
      </w:r>
      <w:r>
        <w:rPr>
          <w:color w:val="4D4D4F"/>
          <w:spacing w:val="-5"/>
        </w:rPr>
        <w:t xml:space="preserve">therefore </w:t>
      </w:r>
      <w:r>
        <w:rPr>
          <w:color w:val="4D4D4F"/>
          <w:spacing w:val="-4"/>
        </w:rPr>
        <w:t xml:space="preserve">not </w:t>
      </w:r>
      <w:r>
        <w:rPr>
          <w:color w:val="4D4D4F"/>
          <w:spacing w:val="-5"/>
        </w:rPr>
        <w:t xml:space="preserve">provided </w:t>
      </w:r>
      <w:r>
        <w:rPr>
          <w:color w:val="4D4D4F"/>
        </w:rPr>
        <w:t>here, any trends are unclear and data confidence assessments are not applicable.</w:t>
      </w:r>
    </w:p>
    <w:p w14:paraId="2485F2AF" w14:textId="77777777" w:rsidR="00EF5B27" w:rsidRDefault="00EF5B27">
      <w:pPr>
        <w:spacing w:line="254" w:lineRule="auto"/>
        <w:jc w:val="both"/>
        <w:sectPr w:rsidR="00EF5B27">
          <w:pgSz w:w="11910" w:h="16840"/>
          <w:pgMar w:top="1080" w:right="1020" w:bottom="860" w:left="1020" w:header="537" w:footer="678" w:gutter="0"/>
          <w:cols w:num="2" w:space="720" w:equalWidth="0">
            <w:col w:w="2309" w:space="186"/>
            <w:col w:w="7375"/>
          </w:cols>
        </w:sectPr>
      </w:pPr>
    </w:p>
    <w:p w14:paraId="41BBF37C" w14:textId="77777777" w:rsidR="00EF5B27" w:rsidRDefault="00000000">
      <w:pPr>
        <w:pStyle w:val="BodyText"/>
      </w:pPr>
      <w:r>
        <w:pict w14:anchorId="189F7889">
          <v:group id="_x0000_s3854" style="position:absolute;margin-left:587.05pt;margin-top:183.4pt;width:8.25pt;height:153.1pt;z-index:251480576;mso-position-horizontal-relative:page;mso-position-vertical-relative:page" coordorigin="11741,3668" coordsize="165,3062">
            <v:shape id="_x0000_s3861" style="position:absolute;left:11741;top:3668;width:165;height:561" coordorigin="11741,3668" coordsize="165,561" path="m11906,3668r-165,l11741,4228r165,-18l11906,3668xe" fillcolor="#00aed9" stroked="f">
              <v:path arrowok="t"/>
            </v:shape>
            <v:shape id="_x0000_s3860" style="position:absolute;left:11741;top:4118;width:165;height:425" coordorigin="11741,4118" coordsize="165,425" path="m11906,4118r-165,14l11741,4531r165,12l11906,4118xe" fillcolor="#047ebc" stroked="f">
              <v:path arrowok="t"/>
            </v:shape>
            <v:shape id="_x0000_s3859" type="#_x0000_t75" style="position:absolute;left:11741;top:4355;width:165;height:587">
              <v:imagedata r:id="rId42" o:title=""/>
            </v:shape>
            <v:shape id="_x0000_s3858" style="position:absolute;left:11741;top:5343;width:165;height:536" coordorigin="11741,5343" coordsize="165,536" path="m11741,5343r,535l11906,5872r,-525l11741,5343xe" fillcolor="#f36a2e" stroked="f">
              <v:path arrowok="t"/>
            </v:shape>
            <v:shape id="_x0000_s3857" style="position:absolute;left:11741;top:4925;width:165;height:501" coordorigin="11741,4926" coordsize="165,501" path="m11741,4926r,500l11906,5426r,-485l11741,4926xe" fillcolor="#49783f" stroked="f">
              <v:path arrowok="t"/>
            </v:shape>
            <v:shape id="_x0000_s3856" style="position:absolute;left:11741;top:5781;width:165;height:268" coordorigin="11741,5782" coordsize="165,268" path="m11906,5782r-165,8l11741,6039r165,10l11906,5782xe" fillcolor="#f99f2a" stroked="f">
              <v:path arrowok="t"/>
            </v:shape>
            <v:shape id="_x0000_s3855" style="position:absolute;left:11741;top:6023;width:165;height:707" coordorigin="11741,6023" coordsize="165,707" path="m11741,6023r,706l11906,6729r,-690l11741,6023xe" fillcolor="#ef412c" stroked="f">
              <v:path arrowok="t"/>
            </v:shape>
            <w10:wrap anchorx="page" anchory="page"/>
          </v:group>
        </w:pict>
      </w:r>
    </w:p>
    <w:p w14:paraId="6278BE50" w14:textId="77777777" w:rsidR="00EF5B27" w:rsidRDefault="00EF5B27">
      <w:pPr>
        <w:pStyle w:val="BodyText"/>
      </w:pPr>
    </w:p>
    <w:p w14:paraId="4D29F88D" w14:textId="77777777" w:rsidR="00EF5B27" w:rsidRDefault="00EF5B27">
      <w:pPr>
        <w:pStyle w:val="BodyText"/>
      </w:pPr>
    </w:p>
    <w:p w14:paraId="5E310BDE" w14:textId="77777777" w:rsidR="00EF5B27" w:rsidRDefault="00EF5B27">
      <w:pPr>
        <w:pStyle w:val="BodyText"/>
      </w:pPr>
    </w:p>
    <w:p w14:paraId="1AA12AE7" w14:textId="77777777" w:rsidR="00EF5B27" w:rsidRDefault="00EF5B27">
      <w:pPr>
        <w:pStyle w:val="BodyText"/>
      </w:pPr>
    </w:p>
    <w:p w14:paraId="33F79EEF" w14:textId="77777777" w:rsidR="00EF5B27" w:rsidRDefault="00EF5B27">
      <w:pPr>
        <w:pStyle w:val="BodyText"/>
      </w:pPr>
    </w:p>
    <w:p w14:paraId="3D990773" w14:textId="77777777" w:rsidR="00EF5B27" w:rsidRDefault="00EF5B27">
      <w:pPr>
        <w:pStyle w:val="BodyText"/>
      </w:pPr>
    </w:p>
    <w:p w14:paraId="32BF8B56" w14:textId="77777777" w:rsidR="00EF5B27" w:rsidRDefault="00EF5B27">
      <w:pPr>
        <w:pStyle w:val="BodyText"/>
        <w:spacing w:before="9" w:after="1"/>
        <w:rPr>
          <w:sz w:val="14"/>
        </w:rPr>
      </w:pPr>
    </w:p>
    <w:p w14:paraId="795143CC" w14:textId="77777777" w:rsidR="00EF5B27" w:rsidRDefault="00000000">
      <w:pPr>
        <w:pStyle w:val="BodyText"/>
        <w:spacing w:line="20" w:lineRule="exact"/>
        <w:ind w:left="2603"/>
        <w:rPr>
          <w:sz w:val="2"/>
        </w:rPr>
      </w:pPr>
      <w:r>
        <w:rPr>
          <w:sz w:val="2"/>
        </w:rPr>
      </w:r>
      <w:r>
        <w:rPr>
          <w:sz w:val="2"/>
        </w:rPr>
        <w:pict w14:anchorId="7F86B4BC">
          <v:group id="_x0000_s3852" style="width:357.2pt;height:.5pt;mso-position-horizontal-relative:char;mso-position-vertical-relative:line" coordsize="7144,10">
            <v:line id="_x0000_s3853" style="position:absolute" from="0,5" to="7143,5" strokecolor="#4d4d4f" strokeweight=".5pt"/>
            <w10:anchorlock/>
          </v:group>
        </w:pict>
      </w:r>
    </w:p>
    <w:p w14:paraId="3DA2D5FB" w14:textId="77777777" w:rsidR="00EF5B27" w:rsidRDefault="00000000">
      <w:pPr>
        <w:pStyle w:val="ListParagraph"/>
        <w:numPr>
          <w:ilvl w:val="0"/>
          <w:numId w:val="49"/>
        </w:numPr>
        <w:tabs>
          <w:tab w:val="left" w:pos="2836"/>
        </w:tabs>
        <w:spacing w:before="102" w:line="143" w:lineRule="exact"/>
        <w:rPr>
          <w:sz w:val="12"/>
        </w:rPr>
      </w:pPr>
      <w:r>
        <w:rPr>
          <w:color w:val="4D4D4F"/>
          <w:sz w:val="12"/>
        </w:rPr>
        <w:t xml:space="preserve">DELWP Officer, personal communication, 15 </w:t>
      </w:r>
      <w:r>
        <w:rPr>
          <w:color w:val="4D4D4F"/>
          <w:spacing w:val="2"/>
          <w:sz w:val="12"/>
        </w:rPr>
        <w:t>February</w:t>
      </w:r>
      <w:r>
        <w:rPr>
          <w:color w:val="4D4D4F"/>
          <w:spacing w:val="14"/>
          <w:sz w:val="12"/>
        </w:rPr>
        <w:t xml:space="preserve"> </w:t>
      </w:r>
      <w:r>
        <w:rPr>
          <w:color w:val="4D4D4F"/>
          <w:spacing w:val="2"/>
          <w:sz w:val="12"/>
        </w:rPr>
        <w:t>2022.</w:t>
      </w:r>
    </w:p>
    <w:p w14:paraId="2AF7D52D" w14:textId="77777777" w:rsidR="00EF5B27" w:rsidRDefault="00000000">
      <w:pPr>
        <w:pStyle w:val="ListParagraph"/>
        <w:numPr>
          <w:ilvl w:val="0"/>
          <w:numId w:val="49"/>
        </w:numPr>
        <w:tabs>
          <w:tab w:val="left" w:pos="2836"/>
        </w:tabs>
        <w:spacing w:line="140" w:lineRule="exact"/>
        <w:rPr>
          <w:sz w:val="12"/>
        </w:rPr>
      </w:pPr>
      <w:r>
        <w:rPr>
          <w:color w:val="4D4D4F"/>
          <w:sz w:val="12"/>
        </w:rPr>
        <w:t>DELWP Officer, personal communication, 6 July</w:t>
      </w:r>
      <w:r>
        <w:rPr>
          <w:color w:val="4D4D4F"/>
          <w:spacing w:val="14"/>
          <w:sz w:val="12"/>
        </w:rPr>
        <w:t xml:space="preserve"> </w:t>
      </w:r>
      <w:r>
        <w:rPr>
          <w:color w:val="4D4D4F"/>
          <w:sz w:val="12"/>
        </w:rPr>
        <w:t>2021.</w:t>
      </w:r>
    </w:p>
    <w:p w14:paraId="00B9F4C5" w14:textId="77777777" w:rsidR="00EF5B27" w:rsidRDefault="00000000">
      <w:pPr>
        <w:pStyle w:val="ListParagraph"/>
        <w:numPr>
          <w:ilvl w:val="0"/>
          <w:numId w:val="49"/>
        </w:numPr>
        <w:tabs>
          <w:tab w:val="left" w:pos="2836"/>
        </w:tabs>
        <w:spacing w:line="140" w:lineRule="exac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78EFDFBD" w14:textId="77777777" w:rsidR="00EF5B27" w:rsidRDefault="00000000">
      <w:pPr>
        <w:pStyle w:val="ListParagraph"/>
        <w:numPr>
          <w:ilvl w:val="0"/>
          <w:numId w:val="49"/>
        </w:numPr>
        <w:tabs>
          <w:tab w:val="left" w:pos="2836"/>
        </w:tabs>
        <w:spacing w:line="143" w:lineRule="exac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25673C04" w14:textId="77777777" w:rsidR="00EF5B27" w:rsidRDefault="00EF5B27">
      <w:pPr>
        <w:spacing w:line="143" w:lineRule="exact"/>
        <w:rPr>
          <w:sz w:val="12"/>
        </w:rPr>
        <w:sectPr w:rsidR="00EF5B27">
          <w:type w:val="continuous"/>
          <w:pgSz w:w="11910" w:h="16840"/>
          <w:pgMar w:top="1140" w:right="1020" w:bottom="280" w:left="1020" w:header="720" w:footer="720" w:gutter="0"/>
          <w:cols w:space="720"/>
        </w:sectPr>
      </w:pPr>
    </w:p>
    <w:p w14:paraId="0476291E" w14:textId="77777777" w:rsidR="00EF5B27" w:rsidRDefault="00EF5B27">
      <w:pPr>
        <w:pStyle w:val="BodyText"/>
      </w:pPr>
    </w:p>
    <w:p w14:paraId="44141833" w14:textId="77777777" w:rsidR="00EF5B27" w:rsidRDefault="00EF5B27">
      <w:pPr>
        <w:pStyle w:val="BodyText"/>
      </w:pPr>
    </w:p>
    <w:p w14:paraId="51F12E20" w14:textId="77777777" w:rsidR="00EF5B27" w:rsidRDefault="00EF5B27">
      <w:pPr>
        <w:pStyle w:val="BodyText"/>
      </w:pPr>
    </w:p>
    <w:p w14:paraId="2C83540C" w14:textId="77777777" w:rsidR="00EF5B27" w:rsidRDefault="00EF5B27">
      <w:pPr>
        <w:pStyle w:val="BodyText"/>
      </w:pPr>
    </w:p>
    <w:p w14:paraId="453C22B5" w14:textId="77777777" w:rsidR="00EF5B27" w:rsidRDefault="00EF5B27">
      <w:pPr>
        <w:pStyle w:val="BodyText"/>
        <w:spacing w:before="5"/>
        <w:rPr>
          <w:sz w:val="16"/>
        </w:rPr>
      </w:pPr>
    </w:p>
    <w:tbl>
      <w:tblPr>
        <w:tblW w:w="0" w:type="auto"/>
        <w:tblInd w:w="12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7A016255" w14:textId="77777777">
        <w:trPr>
          <w:trHeight w:val="561"/>
        </w:trPr>
        <w:tc>
          <w:tcPr>
            <w:tcW w:w="2980" w:type="dxa"/>
            <w:shd w:val="clear" w:color="auto" w:fill="FECC91"/>
          </w:tcPr>
          <w:p w14:paraId="2F0C4522" w14:textId="77777777" w:rsidR="00EF5B27" w:rsidRDefault="00000000">
            <w:pPr>
              <w:pStyle w:val="TableParagraph"/>
              <w:spacing w:before="91" w:line="244" w:lineRule="auto"/>
              <w:ind w:left="80"/>
              <w:rPr>
                <w:b/>
                <w:sz w:val="16"/>
              </w:rPr>
            </w:pPr>
            <w:r>
              <w:rPr>
                <w:b/>
                <w:sz w:val="16"/>
              </w:rPr>
              <w:t xml:space="preserve">KPI 2: Number of recruits that form over </w:t>
            </w:r>
            <w:r>
              <w:rPr>
                <w:b/>
                <w:spacing w:val="-3"/>
                <w:sz w:val="16"/>
              </w:rPr>
              <w:t xml:space="preserve">10% </w:t>
            </w:r>
            <w:r>
              <w:rPr>
                <w:b/>
                <w:sz w:val="16"/>
              </w:rPr>
              <w:t xml:space="preserve">of the </w:t>
            </w:r>
            <w:r>
              <w:rPr>
                <w:b/>
                <w:spacing w:val="-3"/>
                <w:sz w:val="16"/>
              </w:rPr>
              <w:t xml:space="preserve">population over </w:t>
            </w:r>
            <w:r>
              <w:rPr>
                <w:b/>
                <w:sz w:val="16"/>
              </w:rPr>
              <w:t xml:space="preserve">a </w:t>
            </w:r>
            <w:r>
              <w:rPr>
                <w:b/>
                <w:spacing w:val="-3"/>
                <w:sz w:val="16"/>
              </w:rPr>
              <w:t>10-year period</w:t>
            </w:r>
          </w:p>
        </w:tc>
        <w:tc>
          <w:tcPr>
            <w:tcW w:w="1078" w:type="dxa"/>
            <w:shd w:val="clear" w:color="auto" w:fill="FECC91"/>
          </w:tcPr>
          <w:p w14:paraId="04C4F8DB"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138B9253" w14:textId="77777777" w:rsidR="00EF5B27" w:rsidRDefault="00EF5B27">
            <w:pPr>
              <w:pStyle w:val="TableParagraph"/>
              <w:spacing w:before="7"/>
              <w:rPr>
                <w:sz w:val="15"/>
              </w:rPr>
            </w:pPr>
          </w:p>
          <w:p w14:paraId="6C79266F"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7EC45792" w14:textId="77777777" w:rsidR="00EF5B27" w:rsidRDefault="00EF5B27">
            <w:pPr>
              <w:pStyle w:val="TableParagraph"/>
              <w:spacing w:before="7"/>
              <w:rPr>
                <w:sz w:val="15"/>
              </w:rPr>
            </w:pPr>
          </w:p>
          <w:p w14:paraId="4D6087EE"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0B4B9419"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6D7D465D"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53B5ABD4" w14:textId="77777777">
        <w:trPr>
          <w:trHeight w:val="448"/>
        </w:trPr>
        <w:tc>
          <w:tcPr>
            <w:tcW w:w="2980" w:type="dxa"/>
          </w:tcPr>
          <w:p w14:paraId="22263D28" w14:textId="77777777" w:rsidR="00EF5B27" w:rsidRDefault="00EF5B27">
            <w:pPr>
              <w:pStyle w:val="TableParagraph"/>
              <w:spacing w:before="11"/>
              <w:rPr>
                <w:sz w:val="11"/>
              </w:rPr>
            </w:pPr>
          </w:p>
          <w:p w14:paraId="3004FF20" w14:textId="77777777" w:rsidR="00EF5B27" w:rsidRDefault="00000000">
            <w:pPr>
              <w:pStyle w:val="TableParagraph"/>
              <w:ind w:left="80"/>
              <w:rPr>
                <w:sz w:val="14"/>
              </w:rPr>
            </w:pPr>
            <w:r>
              <w:rPr>
                <w:color w:val="4D4D4F"/>
                <w:sz w:val="14"/>
              </w:rPr>
              <w:t>Radio</w:t>
            </w:r>
          </w:p>
        </w:tc>
        <w:tc>
          <w:tcPr>
            <w:tcW w:w="1078" w:type="dxa"/>
          </w:tcPr>
          <w:p w14:paraId="4ABC2F10" w14:textId="77777777" w:rsidR="00EF5B27" w:rsidRDefault="00EF5B27">
            <w:pPr>
              <w:pStyle w:val="TableParagraph"/>
              <w:spacing w:before="11"/>
              <w:rPr>
                <w:sz w:val="11"/>
              </w:rPr>
            </w:pPr>
          </w:p>
          <w:p w14:paraId="30665ABF"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61B4145F" w14:textId="77777777" w:rsidR="00EF5B27" w:rsidRDefault="00EF5B27">
            <w:pPr>
              <w:pStyle w:val="TableParagraph"/>
              <w:spacing w:before="11"/>
              <w:rPr>
                <w:sz w:val="11"/>
              </w:rPr>
            </w:pPr>
          </w:p>
          <w:p w14:paraId="547E6930" w14:textId="77777777" w:rsidR="00EF5B27" w:rsidRDefault="00000000">
            <w:pPr>
              <w:pStyle w:val="TableParagraph"/>
              <w:ind w:left="143" w:right="142"/>
              <w:jc w:val="center"/>
              <w:rPr>
                <w:sz w:val="14"/>
              </w:rPr>
            </w:pPr>
            <w:r>
              <w:rPr>
                <w:color w:val="4D4D4F"/>
                <w:sz w:val="14"/>
              </w:rPr>
              <w:t>Baseline not yet set</w:t>
            </w:r>
          </w:p>
        </w:tc>
        <w:tc>
          <w:tcPr>
            <w:tcW w:w="964" w:type="dxa"/>
          </w:tcPr>
          <w:p w14:paraId="109626C4" w14:textId="77777777" w:rsidR="00EF5B27" w:rsidRDefault="00EF5B27">
            <w:pPr>
              <w:pStyle w:val="TableParagraph"/>
              <w:spacing w:before="4"/>
              <w:rPr>
                <w:sz w:val="7"/>
              </w:rPr>
            </w:pPr>
          </w:p>
          <w:p w14:paraId="6B59D5E3" w14:textId="77777777" w:rsidR="00EF5B27" w:rsidRDefault="00000000">
            <w:pPr>
              <w:pStyle w:val="TableParagraph"/>
              <w:spacing w:line="187" w:lineRule="exact"/>
              <w:ind w:left="400"/>
              <w:rPr>
                <w:sz w:val="18"/>
              </w:rPr>
            </w:pPr>
            <w:r>
              <w:rPr>
                <w:noProof/>
                <w:position w:val="-3"/>
                <w:sz w:val="18"/>
              </w:rPr>
              <w:drawing>
                <wp:inline distT="0" distB="0" distL="0" distR="0" wp14:anchorId="6DD084BC" wp14:editId="7381049F">
                  <wp:extent cx="100572" cy="119062"/>
                  <wp:effectExtent l="0" t="0" r="0" b="0"/>
                  <wp:docPr id="251"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98.png"/>
                          <pic:cNvPicPr/>
                        </pic:nvPicPr>
                        <pic:blipFill>
                          <a:blip r:embed="rId93" cstate="print"/>
                          <a:stretch>
                            <a:fillRect/>
                          </a:stretch>
                        </pic:blipFill>
                        <pic:spPr>
                          <a:xfrm>
                            <a:off x="0" y="0"/>
                            <a:ext cx="100572" cy="119062"/>
                          </a:xfrm>
                          <a:prstGeom prst="rect">
                            <a:avLst/>
                          </a:prstGeom>
                        </pic:spPr>
                      </pic:pic>
                    </a:graphicData>
                  </a:graphic>
                </wp:inline>
              </w:drawing>
            </w:r>
          </w:p>
          <w:p w14:paraId="706F5781" w14:textId="77777777" w:rsidR="00EF5B27" w:rsidRDefault="00EF5B27">
            <w:pPr>
              <w:pStyle w:val="TableParagraph"/>
              <w:spacing w:before="8"/>
              <w:rPr>
                <w:sz w:val="2"/>
              </w:rPr>
            </w:pPr>
          </w:p>
          <w:p w14:paraId="7A7CDB62" w14:textId="77777777" w:rsidR="00EF5B27" w:rsidRDefault="00000000">
            <w:pPr>
              <w:pStyle w:val="TableParagraph"/>
              <w:spacing w:line="48" w:lineRule="exact"/>
              <w:ind w:left="448"/>
              <w:rPr>
                <w:sz w:val="4"/>
              </w:rPr>
            </w:pPr>
            <w:r>
              <w:rPr>
                <w:sz w:val="4"/>
              </w:rPr>
            </w:r>
            <w:r>
              <w:rPr>
                <w:sz w:val="4"/>
              </w:rPr>
              <w:pict w14:anchorId="5C6691FE">
                <v:group id="_x0000_s3850" style="width:2.45pt;height:2.45pt;mso-position-horizontal-relative:char;mso-position-vertical-relative:line" coordsize="49,49">
                  <v:shape id="_x0000_s3851" style="position:absolute;width:49;height:49" coordsize="49,49" path="m31,l18,,12,2,2,12,,17,,31r2,6l12,46r6,3l31,49r6,-3l46,37r3,-6l49,17,46,12,37,2,31,xe" fillcolor="#808285" stroked="f">
                    <v:path arrowok="t"/>
                  </v:shape>
                  <w10:wrap type="none"/>
                  <w10:anchorlock/>
                </v:group>
              </w:pict>
            </w:r>
          </w:p>
        </w:tc>
        <w:tc>
          <w:tcPr>
            <w:tcW w:w="964" w:type="dxa"/>
          </w:tcPr>
          <w:p w14:paraId="22F9319E" w14:textId="77777777" w:rsidR="00EF5B27" w:rsidRDefault="00EF5B27">
            <w:pPr>
              <w:pStyle w:val="TableParagraph"/>
              <w:spacing w:before="11"/>
              <w:rPr>
                <w:sz w:val="11"/>
              </w:rPr>
            </w:pPr>
          </w:p>
          <w:p w14:paraId="4CF14D58" w14:textId="77777777" w:rsidR="00EF5B27" w:rsidRDefault="00000000">
            <w:pPr>
              <w:pStyle w:val="TableParagraph"/>
              <w:ind w:left="318" w:right="323"/>
              <w:jc w:val="center"/>
              <w:rPr>
                <w:sz w:val="14"/>
              </w:rPr>
            </w:pPr>
            <w:r>
              <w:rPr>
                <w:color w:val="4D4D4F"/>
                <w:w w:val="105"/>
                <w:sz w:val="14"/>
              </w:rPr>
              <w:t>N/A</w:t>
            </w:r>
          </w:p>
        </w:tc>
        <w:tc>
          <w:tcPr>
            <w:tcW w:w="1489" w:type="dxa"/>
          </w:tcPr>
          <w:p w14:paraId="603105BA" w14:textId="77777777" w:rsidR="00EF5B27" w:rsidRDefault="00000000">
            <w:pPr>
              <w:pStyle w:val="TableParagraph"/>
              <w:spacing w:before="134"/>
              <w:ind w:left="580"/>
              <w:rPr>
                <w:sz w:val="16"/>
              </w:rPr>
            </w:pPr>
            <w:r>
              <w:rPr>
                <w:color w:val="4D4D4F"/>
                <w:sz w:val="16"/>
              </w:rPr>
              <w:t>2024</w:t>
            </w:r>
          </w:p>
        </w:tc>
      </w:tr>
      <w:tr w:rsidR="00EF5B27" w14:paraId="48DD5A8C" w14:textId="77777777">
        <w:trPr>
          <w:trHeight w:val="448"/>
        </w:trPr>
        <w:tc>
          <w:tcPr>
            <w:tcW w:w="2980" w:type="dxa"/>
          </w:tcPr>
          <w:p w14:paraId="7B8DB622" w14:textId="77777777" w:rsidR="00EF5B27" w:rsidRDefault="00EF5B27">
            <w:pPr>
              <w:pStyle w:val="TableParagraph"/>
              <w:spacing w:before="11"/>
              <w:rPr>
                <w:sz w:val="11"/>
              </w:rPr>
            </w:pPr>
          </w:p>
          <w:p w14:paraId="0691398E" w14:textId="77777777" w:rsidR="00EF5B27" w:rsidRDefault="00000000">
            <w:pPr>
              <w:pStyle w:val="TableParagraph"/>
              <w:ind w:left="80"/>
              <w:rPr>
                <w:sz w:val="14"/>
              </w:rPr>
            </w:pPr>
            <w:r>
              <w:rPr>
                <w:color w:val="4D4D4F"/>
                <w:sz w:val="14"/>
              </w:rPr>
              <w:t>Truganina Cemetery</w:t>
            </w:r>
          </w:p>
        </w:tc>
        <w:tc>
          <w:tcPr>
            <w:tcW w:w="1078" w:type="dxa"/>
          </w:tcPr>
          <w:p w14:paraId="0C59B22A" w14:textId="77777777" w:rsidR="00EF5B27" w:rsidRDefault="00EF5B27">
            <w:pPr>
              <w:pStyle w:val="TableParagraph"/>
              <w:spacing w:before="11"/>
              <w:rPr>
                <w:sz w:val="11"/>
              </w:rPr>
            </w:pPr>
          </w:p>
          <w:p w14:paraId="6814A3DC"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7ADF2E5F" w14:textId="77777777" w:rsidR="00EF5B27" w:rsidRDefault="00EF5B27">
            <w:pPr>
              <w:pStyle w:val="TableParagraph"/>
              <w:spacing w:before="11"/>
              <w:rPr>
                <w:sz w:val="11"/>
              </w:rPr>
            </w:pPr>
          </w:p>
          <w:p w14:paraId="5F02F197" w14:textId="77777777" w:rsidR="00EF5B27" w:rsidRDefault="00000000">
            <w:pPr>
              <w:pStyle w:val="TableParagraph"/>
              <w:ind w:left="143" w:right="142"/>
              <w:jc w:val="center"/>
              <w:rPr>
                <w:sz w:val="14"/>
              </w:rPr>
            </w:pPr>
            <w:r>
              <w:rPr>
                <w:color w:val="4D4D4F"/>
                <w:sz w:val="14"/>
              </w:rPr>
              <w:t>Baseline not yet set</w:t>
            </w:r>
          </w:p>
        </w:tc>
        <w:tc>
          <w:tcPr>
            <w:tcW w:w="964" w:type="dxa"/>
          </w:tcPr>
          <w:p w14:paraId="0EFB0A18" w14:textId="77777777" w:rsidR="00EF5B27" w:rsidRDefault="00EF5B27">
            <w:pPr>
              <w:pStyle w:val="TableParagraph"/>
              <w:spacing w:before="4"/>
              <w:rPr>
                <w:sz w:val="7"/>
              </w:rPr>
            </w:pPr>
          </w:p>
          <w:p w14:paraId="4FBF0532" w14:textId="77777777" w:rsidR="00EF5B27" w:rsidRDefault="00000000">
            <w:pPr>
              <w:pStyle w:val="TableParagraph"/>
              <w:spacing w:line="187" w:lineRule="exact"/>
              <w:ind w:left="400"/>
              <w:rPr>
                <w:sz w:val="18"/>
              </w:rPr>
            </w:pPr>
            <w:r>
              <w:rPr>
                <w:noProof/>
                <w:position w:val="-3"/>
                <w:sz w:val="18"/>
              </w:rPr>
              <w:drawing>
                <wp:inline distT="0" distB="0" distL="0" distR="0" wp14:anchorId="65FB9C6E" wp14:editId="00AD1C07">
                  <wp:extent cx="100572" cy="119062"/>
                  <wp:effectExtent l="0" t="0" r="0" b="0"/>
                  <wp:docPr id="253"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99.png"/>
                          <pic:cNvPicPr/>
                        </pic:nvPicPr>
                        <pic:blipFill>
                          <a:blip r:embed="rId76" cstate="print"/>
                          <a:stretch>
                            <a:fillRect/>
                          </a:stretch>
                        </pic:blipFill>
                        <pic:spPr>
                          <a:xfrm>
                            <a:off x="0" y="0"/>
                            <a:ext cx="100572" cy="119062"/>
                          </a:xfrm>
                          <a:prstGeom prst="rect">
                            <a:avLst/>
                          </a:prstGeom>
                        </pic:spPr>
                      </pic:pic>
                    </a:graphicData>
                  </a:graphic>
                </wp:inline>
              </w:drawing>
            </w:r>
          </w:p>
          <w:p w14:paraId="6E373E21" w14:textId="77777777" w:rsidR="00EF5B27" w:rsidRDefault="00EF5B27">
            <w:pPr>
              <w:pStyle w:val="TableParagraph"/>
              <w:spacing w:before="8"/>
              <w:rPr>
                <w:sz w:val="2"/>
              </w:rPr>
            </w:pPr>
          </w:p>
          <w:p w14:paraId="58577890" w14:textId="77777777" w:rsidR="00EF5B27" w:rsidRDefault="00000000">
            <w:pPr>
              <w:pStyle w:val="TableParagraph"/>
              <w:spacing w:line="48" w:lineRule="exact"/>
              <w:ind w:left="448"/>
              <w:rPr>
                <w:sz w:val="4"/>
              </w:rPr>
            </w:pPr>
            <w:r>
              <w:rPr>
                <w:sz w:val="4"/>
              </w:rPr>
            </w:r>
            <w:r>
              <w:rPr>
                <w:sz w:val="4"/>
              </w:rPr>
              <w:pict w14:anchorId="35371591">
                <v:group id="_x0000_s3848" style="width:2.45pt;height:2.45pt;mso-position-horizontal-relative:char;mso-position-vertical-relative:line" coordsize="49,49">
                  <v:shape id="_x0000_s3849" style="position:absolute;width:49;height:49" coordsize="49,49" path="m31,l18,,12,2,2,12,,17,,31r2,6l12,46r6,3l31,49r6,-3l46,37r3,-6l49,17,46,12,37,2,31,xe" fillcolor="#808285" stroked="f">
                    <v:path arrowok="t"/>
                  </v:shape>
                  <w10:wrap type="none"/>
                  <w10:anchorlock/>
                </v:group>
              </w:pict>
            </w:r>
          </w:p>
        </w:tc>
        <w:tc>
          <w:tcPr>
            <w:tcW w:w="964" w:type="dxa"/>
          </w:tcPr>
          <w:p w14:paraId="2EB920D4" w14:textId="77777777" w:rsidR="00EF5B27" w:rsidRDefault="00EF5B27">
            <w:pPr>
              <w:pStyle w:val="TableParagraph"/>
              <w:spacing w:before="11"/>
              <w:rPr>
                <w:sz w:val="11"/>
              </w:rPr>
            </w:pPr>
          </w:p>
          <w:p w14:paraId="0F2D29CE" w14:textId="77777777" w:rsidR="00EF5B27" w:rsidRDefault="00000000">
            <w:pPr>
              <w:pStyle w:val="TableParagraph"/>
              <w:ind w:left="318" w:right="323"/>
              <w:jc w:val="center"/>
              <w:rPr>
                <w:sz w:val="14"/>
              </w:rPr>
            </w:pPr>
            <w:r>
              <w:rPr>
                <w:color w:val="4D4D4F"/>
                <w:w w:val="105"/>
                <w:sz w:val="14"/>
              </w:rPr>
              <w:t>N/A</w:t>
            </w:r>
          </w:p>
        </w:tc>
        <w:tc>
          <w:tcPr>
            <w:tcW w:w="1489" w:type="dxa"/>
          </w:tcPr>
          <w:p w14:paraId="52A96D92" w14:textId="77777777" w:rsidR="00EF5B27" w:rsidRDefault="00000000">
            <w:pPr>
              <w:pStyle w:val="TableParagraph"/>
              <w:spacing w:before="134"/>
              <w:ind w:left="580"/>
              <w:rPr>
                <w:sz w:val="16"/>
              </w:rPr>
            </w:pPr>
            <w:r>
              <w:rPr>
                <w:color w:val="4D4D4F"/>
                <w:sz w:val="16"/>
              </w:rPr>
              <w:t>2024</w:t>
            </w:r>
          </w:p>
        </w:tc>
      </w:tr>
    </w:tbl>
    <w:p w14:paraId="6EE784E6" w14:textId="77777777" w:rsidR="00EF5B27" w:rsidRDefault="00EF5B27">
      <w:pPr>
        <w:pStyle w:val="BodyText"/>
        <w:spacing w:before="1"/>
        <w:rPr>
          <w:sz w:val="26"/>
        </w:rPr>
      </w:pPr>
    </w:p>
    <w:p w14:paraId="42E255CE" w14:textId="77777777" w:rsidR="00EF5B27" w:rsidRDefault="00000000">
      <w:pPr>
        <w:pStyle w:val="BodyText"/>
        <w:spacing w:before="100" w:line="254" w:lineRule="auto"/>
        <w:ind w:left="2608" w:right="151"/>
      </w:pPr>
      <w:r>
        <w:pict w14:anchorId="1D431F14">
          <v:group id="_x0000_s3845" style="position:absolute;left:0;text-align:left;margin-left:56.75pt;margin-top:115.2pt;width:481.15pt;height:.25pt;z-index:251485696;mso-position-horizontal-relative:page" coordorigin="1135,2304" coordsize="9623,5">
            <v:line id="_x0000_s3847" style="position:absolute" from="1135,2306" to="3630,2306" strokeweight=".25pt"/>
            <v:line id="_x0000_s3846" style="position:absolute" from="3630,2306" to="10758,2306" strokeweight=".25pt"/>
            <w10:wrap anchorx="page"/>
          </v:group>
        </w:pict>
      </w:r>
      <w:r>
        <w:rPr>
          <w:color w:val="4D4D4F"/>
        </w:rPr>
        <w:t xml:space="preserve">Comments: This KPI measures the recruitment potential of the population, to ensure that the conditions for recruitment are sustained (periodic bare ground, seed </w:t>
      </w:r>
      <w:r>
        <w:rPr>
          <w:color w:val="4D4D4F"/>
          <w:spacing w:val="-3"/>
        </w:rPr>
        <w:t xml:space="preserve">supply), </w:t>
      </w:r>
      <w:r>
        <w:rPr>
          <w:color w:val="4D4D4F"/>
          <w:spacing w:val="-4"/>
        </w:rPr>
        <w:t xml:space="preserve">not the survival rate </w:t>
      </w:r>
      <w:r>
        <w:rPr>
          <w:color w:val="4D4D4F"/>
          <w:spacing w:val="-3"/>
        </w:rPr>
        <w:t xml:space="preserve">of </w:t>
      </w:r>
      <w:r>
        <w:rPr>
          <w:color w:val="4D4D4F"/>
          <w:spacing w:val="-4"/>
        </w:rPr>
        <w:t xml:space="preserve">recruits, </w:t>
      </w:r>
      <w:r>
        <w:rPr>
          <w:color w:val="4D4D4F"/>
          <w:spacing w:val="-5"/>
        </w:rPr>
        <w:t xml:space="preserve">which </w:t>
      </w:r>
      <w:r>
        <w:rPr>
          <w:color w:val="4D4D4F"/>
          <w:spacing w:val="-3"/>
        </w:rPr>
        <w:t xml:space="preserve">are </w:t>
      </w:r>
      <w:r>
        <w:rPr>
          <w:color w:val="4D4D4F"/>
          <w:spacing w:val="-4"/>
        </w:rPr>
        <w:t xml:space="preserve">not </w:t>
      </w:r>
      <w:r>
        <w:rPr>
          <w:color w:val="4D4D4F"/>
          <w:spacing w:val="-5"/>
        </w:rPr>
        <w:t xml:space="preserve">monitored. </w:t>
      </w:r>
      <w:r>
        <w:rPr>
          <w:color w:val="4D4D4F"/>
          <w:spacing w:val="-3"/>
        </w:rPr>
        <w:t xml:space="preserve">(The </w:t>
      </w:r>
      <w:r>
        <w:rPr>
          <w:color w:val="4D4D4F"/>
          <w:spacing w:val="-5"/>
        </w:rPr>
        <w:t xml:space="preserve">overall population </w:t>
      </w:r>
      <w:r>
        <w:rPr>
          <w:color w:val="4D4D4F"/>
          <w:spacing w:val="-4"/>
        </w:rPr>
        <w:t xml:space="preserve">trajectory </w:t>
      </w:r>
      <w:r>
        <w:rPr>
          <w:color w:val="4D4D4F"/>
        </w:rPr>
        <w:t xml:space="preserve">is covered by KPI </w:t>
      </w:r>
      <w:r>
        <w:rPr>
          <w:color w:val="4D4D4F"/>
          <w:spacing w:val="-5"/>
        </w:rPr>
        <w:t xml:space="preserve">1.) </w:t>
      </w:r>
      <w:r>
        <w:rPr>
          <w:color w:val="4D4D4F"/>
        </w:rPr>
        <w:t xml:space="preserve">The first year of monitoring using this method was </w:t>
      </w:r>
      <w:r>
        <w:rPr>
          <w:color w:val="4D4D4F"/>
          <w:spacing w:val="-6"/>
        </w:rPr>
        <w:t xml:space="preserve">2019. </w:t>
      </w:r>
      <w:r>
        <w:rPr>
          <w:color w:val="4D4D4F"/>
        </w:rPr>
        <w:t xml:space="preserve">The KPI will be first assessed after </w:t>
      </w:r>
      <w:r>
        <w:rPr>
          <w:color w:val="4D4D4F"/>
          <w:spacing w:val="-5"/>
        </w:rPr>
        <w:t xml:space="preserve">10 </w:t>
      </w:r>
      <w:r>
        <w:rPr>
          <w:color w:val="4D4D4F"/>
        </w:rPr>
        <w:t>years of monitoring, in 2029. Status assessments are therefore not provided here, any trends are unclear and data confidence assessments are not applicable.</w:t>
      </w:r>
    </w:p>
    <w:p w14:paraId="00028932" w14:textId="77777777" w:rsidR="00EF5B27" w:rsidRDefault="00EF5B27">
      <w:pPr>
        <w:pStyle w:val="BodyText"/>
      </w:pPr>
    </w:p>
    <w:p w14:paraId="7C55EFF8" w14:textId="77777777" w:rsidR="00EF5B27" w:rsidRDefault="00000000">
      <w:pPr>
        <w:pStyle w:val="BodyText"/>
        <w:spacing w:before="7"/>
        <w:rPr>
          <w:sz w:val="10"/>
        </w:rPr>
      </w:pPr>
      <w:r>
        <w:pict w14:anchorId="330BF15C">
          <v:shape id="_x0000_s3844" type="#_x0000_t202" style="position:absolute;margin-left:56.75pt;margin-top:7.7pt;width:481.15pt;height:25.3pt;z-index:251440640;mso-wrap-distance-left:0;mso-wrap-distance-right:0;mso-position-horizontal-relative:page" fillcolor="#fecc91" stroked="f">
            <v:textbox inset="0,0,0,0">
              <w:txbxContent>
                <w:p w14:paraId="7790253B" w14:textId="77777777" w:rsidR="00EF5B27" w:rsidRDefault="00000000">
                  <w:pPr>
                    <w:tabs>
                      <w:tab w:val="left" w:pos="2607"/>
                    </w:tabs>
                    <w:spacing w:before="140"/>
                    <w:ind w:left="113"/>
                    <w:rPr>
                      <w:b/>
                      <w:sz w:val="20"/>
                    </w:rPr>
                  </w:pPr>
                  <w:r>
                    <w:rPr>
                      <w:b/>
                      <w:color w:val="4D4D4F"/>
                      <w:sz w:val="20"/>
                    </w:rPr>
                    <w:t>Theme</w:t>
                  </w:r>
                  <w:r>
                    <w:rPr>
                      <w:b/>
                      <w:color w:val="4D4D4F"/>
                      <w:sz w:val="20"/>
                    </w:rPr>
                    <w:tab/>
                    <w:t>Spiny</w:t>
                  </w:r>
                  <w:r>
                    <w:rPr>
                      <w:b/>
                      <w:color w:val="4D4D4F"/>
                      <w:spacing w:val="4"/>
                      <w:sz w:val="20"/>
                    </w:rPr>
                    <w:t xml:space="preserve"> </w:t>
                  </w:r>
                  <w:r>
                    <w:rPr>
                      <w:b/>
                      <w:color w:val="4D4D4F"/>
                      <w:sz w:val="20"/>
                    </w:rPr>
                    <w:t>Rice-flower</w:t>
                  </w:r>
                </w:p>
              </w:txbxContent>
            </v:textbox>
            <w10:wrap type="topAndBottom" anchorx="page"/>
          </v:shape>
        </w:pict>
      </w:r>
    </w:p>
    <w:p w14:paraId="07E3EEC4" w14:textId="77777777" w:rsidR="00EF5B27" w:rsidRDefault="00EF5B27">
      <w:pPr>
        <w:pStyle w:val="BodyText"/>
        <w:spacing w:before="8"/>
        <w:rPr>
          <w:sz w:val="5"/>
        </w:rPr>
      </w:pPr>
    </w:p>
    <w:p w14:paraId="4E4B853B" w14:textId="77777777" w:rsidR="00EF5B27" w:rsidRDefault="00EF5B27">
      <w:pPr>
        <w:rPr>
          <w:sz w:val="5"/>
        </w:rPr>
        <w:sectPr w:rsidR="00EF5B27">
          <w:pgSz w:w="11910" w:h="16840"/>
          <w:pgMar w:top="1080" w:right="1020" w:bottom="860" w:left="1020" w:header="537" w:footer="678" w:gutter="0"/>
          <w:cols w:space="720"/>
        </w:sectPr>
      </w:pPr>
    </w:p>
    <w:p w14:paraId="424312D5" w14:textId="77777777" w:rsidR="00EF5B27" w:rsidRDefault="00000000">
      <w:pPr>
        <w:pStyle w:val="BodyText"/>
        <w:spacing w:before="54"/>
        <w:ind w:left="228"/>
      </w:pPr>
      <w:r>
        <w:pict w14:anchorId="6C372342">
          <v:group id="_x0000_s3841" style="position:absolute;left:0;text-align:left;margin-left:56.75pt;margin-top:-4.2pt;width:481.15pt;height:.25pt;z-index:251486720;mso-position-horizontal-relative:page" coordorigin="1135,-84" coordsize="9623,5">
            <v:line id="_x0000_s3843" style="position:absolute" from="1135,-81" to="3630,-81" strokeweight=".25pt"/>
            <v:line id="_x0000_s3842" style="position:absolute" from="3630,-81" to="10758,-81" strokeweight=".25pt"/>
            <w10:wrap anchorx="page"/>
          </v:group>
        </w:pict>
      </w:r>
      <w:r>
        <w:rPr>
          <w:color w:val="4D4D4F"/>
        </w:rPr>
        <w:t>Recommendation</w:t>
      </w:r>
    </w:p>
    <w:p w14:paraId="22364C86" w14:textId="77777777" w:rsidR="00EF5B27" w:rsidRDefault="00000000">
      <w:pPr>
        <w:pStyle w:val="Heading1"/>
        <w:spacing w:before="3"/>
        <w:ind w:left="228"/>
      </w:pPr>
      <w:r>
        <w:pict w14:anchorId="1A509274">
          <v:group id="_x0000_s3838" style="position:absolute;left:0;text-align:left;margin-left:56.75pt;margin-top:78.55pt;width:481.15pt;height:.25pt;z-index:251488768;mso-position-horizontal-relative:page" coordorigin="1135,1571" coordsize="9623,5">
            <v:line id="_x0000_s3840" style="position:absolute" from="1135,1574" to="3630,1574" strokeweight=".25pt"/>
            <v:line id="_x0000_s3839" style="position:absolute" from="3630,1574" to="10758,1574" strokeweight=".25pt"/>
            <w10:wrap anchorx="page"/>
          </v:group>
        </w:pict>
      </w:r>
      <w:r>
        <w:rPr>
          <w:color w:val="4D4D4F"/>
          <w:w w:val="105"/>
        </w:rPr>
        <w:t>10</w:t>
      </w:r>
    </w:p>
    <w:p w14:paraId="18226DAD" w14:textId="77777777" w:rsidR="00EF5B27" w:rsidRDefault="00EF5B27">
      <w:pPr>
        <w:pStyle w:val="BodyText"/>
        <w:rPr>
          <w:b/>
        </w:rPr>
      </w:pPr>
    </w:p>
    <w:p w14:paraId="7BD633C6" w14:textId="77777777" w:rsidR="00EF5B27" w:rsidRDefault="00EF5B27">
      <w:pPr>
        <w:pStyle w:val="BodyText"/>
        <w:rPr>
          <w:b/>
        </w:rPr>
      </w:pPr>
    </w:p>
    <w:p w14:paraId="638D4064" w14:textId="77777777" w:rsidR="00EF5B27" w:rsidRDefault="00EF5B27">
      <w:pPr>
        <w:pStyle w:val="BodyText"/>
        <w:rPr>
          <w:b/>
        </w:rPr>
      </w:pPr>
    </w:p>
    <w:p w14:paraId="3CEC3A22" w14:textId="77777777" w:rsidR="00EF5B27" w:rsidRDefault="00EF5B27">
      <w:pPr>
        <w:pStyle w:val="BodyText"/>
        <w:rPr>
          <w:b/>
        </w:rPr>
      </w:pPr>
    </w:p>
    <w:p w14:paraId="4D7F0337" w14:textId="77777777" w:rsidR="00EF5B27" w:rsidRDefault="00EF5B27">
      <w:pPr>
        <w:pStyle w:val="BodyText"/>
        <w:rPr>
          <w:b/>
        </w:rPr>
      </w:pPr>
    </w:p>
    <w:p w14:paraId="1CAB3F28" w14:textId="77777777" w:rsidR="00EF5B27" w:rsidRDefault="00EF5B27">
      <w:pPr>
        <w:pStyle w:val="BodyText"/>
        <w:rPr>
          <w:b/>
        </w:rPr>
      </w:pPr>
    </w:p>
    <w:p w14:paraId="70A2A3C4" w14:textId="77777777" w:rsidR="00EF5B27" w:rsidRDefault="00EF5B27">
      <w:pPr>
        <w:pStyle w:val="BodyText"/>
        <w:rPr>
          <w:b/>
        </w:rPr>
      </w:pPr>
    </w:p>
    <w:p w14:paraId="2A7185EC" w14:textId="77777777" w:rsidR="00EF5B27" w:rsidRDefault="00000000">
      <w:pPr>
        <w:pStyle w:val="BodyText"/>
        <w:spacing w:before="11"/>
        <w:rPr>
          <w:b/>
          <w:sz w:val="15"/>
        </w:rPr>
      </w:pPr>
      <w:r>
        <w:rPr>
          <w:noProof/>
        </w:rPr>
        <w:drawing>
          <wp:anchor distT="0" distB="0" distL="0" distR="0" simplePos="0" relativeHeight="251289088" behindDoc="0" locked="0" layoutInCell="1" allowOverlap="1" wp14:anchorId="200F2490" wp14:editId="7FFA7988">
            <wp:simplePos x="0" y="0"/>
            <wp:positionH relativeFrom="page">
              <wp:posOffset>721804</wp:posOffset>
            </wp:positionH>
            <wp:positionV relativeFrom="paragraph">
              <wp:posOffset>148596</wp:posOffset>
            </wp:positionV>
            <wp:extent cx="1367015" cy="1367027"/>
            <wp:effectExtent l="0" t="0" r="0" b="0"/>
            <wp:wrapTopAndBottom/>
            <wp:docPr id="255"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00.jpeg"/>
                    <pic:cNvPicPr/>
                  </pic:nvPicPr>
                  <pic:blipFill>
                    <a:blip r:embed="rId100" cstate="print"/>
                    <a:stretch>
                      <a:fillRect/>
                    </a:stretch>
                  </pic:blipFill>
                  <pic:spPr>
                    <a:xfrm>
                      <a:off x="0" y="0"/>
                      <a:ext cx="1367015" cy="1367027"/>
                    </a:xfrm>
                    <a:prstGeom prst="rect">
                      <a:avLst/>
                    </a:prstGeom>
                  </pic:spPr>
                </pic:pic>
              </a:graphicData>
            </a:graphic>
          </wp:anchor>
        </w:drawing>
      </w:r>
    </w:p>
    <w:p w14:paraId="602B81FA" w14:textId="77777777" w:rsidR="00EF5B27" w:rsidRDefault="00000000">
      <w:pPr>
        <w:spacing w:before="56"/>
        <w:ind w:left="116"/>
        <w:rPr>
          <w:rFonts w:ascii="Century Gothic"/>
          <w:i/>
          <w:sz w:val="12"/>
        </w:rPr>
      </w:pPr>
      <w:r>
        <w:rPr>
          <w:rFonts w:ascii="Century Gothic"/>
          <w:i/>
          <w:color w:val="4D4D4F"/>
          <w:sz w:val="12"/>
        </w:rPr>
        <w:t>Southern Brown Bandicoot</w:t>
      </w:r>
    </w:p>
    <w:p w14:paraId="00264C76" w14:textId="77777777" w:rsidR="00EF5B27" w:rsidRDefault="00000000">
      <w:pPr>
        <w:pStyle w:val="BodyText"/>
        <w:spacing w:before="54"/>
        <w:ind w:left="231"/>
      </w:pPr>
      <w:r>
        <w:br w:type="column"/>
      </w:r>
      <w:r>
        <w:rPr>
          <w:color w:val="4D4D4F"/>
        </w:rPr>
        <w:t>That DELWP:</w:t>
      </w:r>
    </w:p>
    <w:p w14:paraId="584FE8EA" w14:textId="77777777" w:rsidR="00EF5B27" w:rsidRDefault="00000000">
      <w:pPr>
        <w:pStyle w:val="ListParagraph"/>
        <w:numPr>
          <w:ilvl w:val="0"/>
          <w:numId w:val="48"/>
        </w:numPr>
        <w:tabs>
          <w:tab w:val="left" w:pos="433"/>
        </w:tabs>
        <w:spacing w:before="129"/>
        <w:ind w:hanging="201"/>
        <w:rPr>
          <w:sz w:val="20"/>
        </w:rPr>
      </w:pPr>
      <w:r>
        <w:rPr>
          <w:color w:val="4D4D4F"/>
          <w:sz w:val="20"/>
        </w:rPr>
        <w:t>clarifies the monitoring</w:t>
      </w:r>
      <w:r>
        <w:rPr>
          <w:color w:val="4D4D4F"/>
          <w:spacing w:val="12"/>
          <w:sz w:val="20"/>
        </w:rPr>
        <w:t xml:space="preserve"> </w:t>
      </w:r>
      <w:r>
        <w:rPr>
          <w:color w:val="4D4D4F"/>
          <w:sz w:val="20"/>
        </w:rPr>
        <w:t>design</w:t>
      </w:r>
    </w:p>
    <w:p w14:paraId="0CA72CA2" w14:textId="77777777" w:rsidR="00EF5B27" w:rsidRDefault="00000000">
      <w:pPr>
        <w:pStyle w:val="ListParagraph"/>
        <w:numPr>
          <w:ilvl w:val="0"/>
          <w:numId w:val="48"/>
        </w:numPr>
        <w:tabs>
          <w:tab w:val="left" w:pos="475"/>
        </w:tabs>
        <w:spacing w:before="129" w:line="254" w:lineRule="auto"/>
        <w:ind w:left="231" w:right="1017" w:firstLine="0"/>
        <w:rPr>
          <w:sz w:val="20"/>
        </w:rPr>
      </w:pPr>
      <w:r>
        <w:rPr>
          <w:color w:val="4D4D4F"/>
          <w:sz w:val="20"/>
        </w:rPr>
        <w:t xml:space="preserve">assesses the adequacy of the current </w:t>
      </w:r>
      <w:r>
        <w:rPr>
          <w:color w:val="4D4D4F"/>
          <w:spacing w:val="-5"/>
          <w:sz w:val="20"/>
        </w:rPr>
        <w:t xml:space="preserve">10 </w:t>
      </w:r>
      <w:r>
        <w:rPr>
          <w:color w:val="4D4D4F"/>
          <w:sz w:val="20"/>
        </w:rPr>
        <w:t>year monitoring and reporting threshold,</w:t>
      </w:r>
      <w:r>
        <w:rPr>
          <w:color w:val="4D4D4F"/>
          <w:spacing w:val="3"/>
          <w:sz w:val="20"/>
        </w:rPr>
        <w:t xml:space="preserve"> </w:t>
      </w:r>
      <w:r>
        <w:rPr>
          <w:color w:val="4D4D4F"/>
          <w:sz w:val="20"/>
        </w:rPr>
        <w:t>and</w:t>
      </w:r>
    </w:p>
    <w:p w14:paraId="0467F9A1" w14:textId="77777777" w:rsidR="00EF5B27" w:rsidRDefault="00000000">
      <w:pPr>
        <w:pStyle w:val="ListParagraph"/>
        <w:numPr>
          <w:ilvl w:val="0"/>
          <w:numId w:val="48"/>
        </w:numPr>
        <w:tabs>
          <w:tab w:val="left" w:pos="516"/>
        </w:tabs>
        <w:spacing w:before="116"/>
        <w:ind w:left="515" w:hanging="284"/>
        <w:rPr>
          <w:sz w:val="20"/>
        </w:rPr>
      </w:pPr>
      <w:r>
        <w:rPr>
          <w:color w:val="4D4D4F"/>
          <w:sz w:val="20"/>
        </w:rPr>
        <w:t>develop a biomass control plan for the Spiny</w:t>
      </w:r>
      <w:r>
        <w:rPr>
          <w:color w:val="4D4D4F"/>
          <w:spacing w:val="31"/>
          <w:sz w:val="20"/>
        </w:rPr>
        <w:t xml:space="preserve"> </w:t>
      </w:r>
      <w:r>
        <w:rPr>
          <w:color w:val="4D4D4F"/>
          <w:sz w:val="20"/>
        </w:rPr>
        <w:t>Rice-flower.</w:t>
      </w:r>
    </w:p>
    <w:p w14:paraId="23E04080" w14:textId="77777777" w:rsidR="00EF5B27" w:rsidRDefault="00EF5B27">
      <w:pPr>
        <w:pStyle w:val="BodyText"/>
        <w:rPr>
          <w:sz w:val="24"/>
        </w:rPr>
      </w:pPr>
    </w:p>
    <w:p w14:paraId="6D172C04" w14:textId="77777777" w:rsidR="00EF5B27" w:rsidRDefault="00EF5B27">
      <w:pPr>
        <w:pStyle w:val="BodyText"/>
        <w:rPr>
          <w:sz w:val="24"/>
        </w:rPr>
      </w:pPr>
    </w:p>
    <w:p w14:paraId="2D00742A" w14:textId="77777777" w:rsidR="00EF5B27" w:rsidRDefault="00EF5B27">
      <w:pPr>
        <w:pStyle w:val="BodyText"/>
        <w:rPr>
          <w:sz w:val="24"/>
        </w:rPr>
      </w:pPr>
    </w:p>
    <w:p w14:paraId="05753984" w14:textId="77777777" w:rsidR="00EF5B27" w:rsidRDefault="00EF5B27">
      <w:pPr>
        <w:pStyle w:val="BodyText"/>
        <w:spacing w:before="4"/>
      </w:pPr>
    </w:p>
    <w:p w14:paraId="7D2C30A6" w14:textId="77777777" w:rsidR="00EF5B27" w:rsidRDefault="00000000">
      <w:pPr>
        <w:pStyle w:val="Heading3"/>
        <w:spacing w:before="1"/>
        <w:ind w:left="116"/>
      </w:pPr>
      <w:r>
        <w:rPr>
          <w:color w:val="F99F2A"/>
        </w:rPr>
        <w:t>MNES 7: Southern Brown Bandicoot</w:t>
      </w:r>
    </w:p>
    <w:p w14:paraId="23535D3F" w14:textId="77777777" w:rsidR="00EF5B27" w:rsidRDefault="00EF5B27">
      <w:pPr>
        <w:pStyle w:val="BodyText"/>
        <w:spacing w:before="4"/>
        <w:rPr>
          <w:b/>
          <w:sz w:val="27"/>
        </w:rPr>
      </w:pPr>
    </w:p>
    <w:p w14:paraId="502D06FD" w14:textId="77777777" w:rsidR="00EF5B27" w:rsidRDefault="00000000">
      <w:pPr>
        <w:pStyle w:val="Heading6"/>
        <w:spacing w:before="1"/>
        <w:ind w:left="116"/>
      </w:pPr>
      <w:r>
        <w:rPr>
          <w:color w:val="4D4D4F"/>
        </w:rPr>
        <w:t>Key insights and management implications for the Southern Brown Bandicoot</w:t>
      </w:r>
    </w:p>
    <w:p w14:paraId="6A71EE3A" w14:textId="77777777" w:rsidR="00EF5B27" w:rsidRDefault="00EF5B27">
      <w:pPr>
        <w:pStyle w:val="BodyText"/>
        <w:spacing w:before="7"/>
        <w:rPr>
          <w:b/>
          <w:sz w:val="22"/>
        </w:rPr>
      </w:pPr>
    </w:p>
    <w:p w14:paraId="2FCD0A80" w14:textId="77777777" w:rsidR="00EF5B27" w:rsidRDefault="00000000">
      <w:pPr>
        <w:pStyle w:val="BodyText"/>
        <w:spacing w:line="254" w:lineRule="auto"/>
        <w:ind w:left="116" w:right="459"/>
      </w:pPr>
      <w:r>
        <w:rPr>
          <w:color w:val="4D4D4F"/>
        </w:rPr>
        <w:t xml:space="preserve">Southern Brown Bandicoot occupancy appears to vary by site, which suggests that they may have distinct habitat preferences relating to various pressures in the local environment. DELWP speculates that bandicoots prefer the artificial canal sites as the high vegetation cover in these areas offers protection from foxes, and the wet environment promotes insects and fungi, which they eat. Roadsides and bushland   in the reserves are speculated to have, by comparison, less </w:t>
      </w:r>
      <w:r>
        <w:rPr>
          <w:color w:val="4D4D4F"/>
          <w:spacing w:val="-4"/>
        </w:rPr>
        <w:t xml:space="preserve">cover,  </w:t>
      </w:r>
      <w:r>
        <w:rPr>
          <w:color w:val="4D4D4F"/>
        </w:rPr>
        <w:t>and therefore    the Southern Brown Bandicoot is potentially more vulnerable to predation</w:t>
      </w:r>
      <w:r>
        <w:rPr>
          <w:color w:val="4D4D4F"/>
          <w:spacing w:val="40"/>
        </w:rPr>
        <w:t xml:space="preserve"> </w:t>
      </w:r>
      <w:r>
        <w:rPr>
          <w:color w:val="4D4D4F"/>
        </w:rPr>
        <w:t>by</w:t>
      </w:r>
    </w:p>
    <w:p w14:paraId="6818ABC3" w14:textId="77777777" w:rsidR="00EF5B27" w:rsidRDefault="00000000">
      <w:pPr>
        <w:pStyle w:val="BodyText"/>
        <w:spacing w:before="8" w:line="254" w:lineRule="auto"/>
        <w:ind w:left="116" w:right="10"/>
      </w:pPr>
      <w:r>
        <w:rPr>
          <w:color w:val="4D4D4F"/>
        </w:rPr>
        <w:t>foxes in these areas.</w:t>
      </w:r>
      <w:r>
        <w:rPr>
          <w:color w:val="4D4D4F"/>
          <w:position w:val="7"/>
          <w:sz w:val="11"/>
        </w:rPr>
        <w:t xml:space="preserve">80 </w:t>
      </w:r>
      <w:r>
        <w:rPr>
          <w:color w:val="4D4D4F"/>
        </w:rPr>
        <w:t xml:space="preserve">Further insights into occupancy trends may inform sensitive management designs that address habitat preferences and species responses to </w:t>
      </w:r>
      <w:r>
        <w:rPr>
          <w:color w:val="4D4D4F"/>
          <w:spacing w:val="-4"/>
        </w:rPr>
        <w:t xml:space="preserve">management </w:t>
      </w:r>
      <w:r>
        <w:rPr>
          <w:color w:val="4D4D4F"/>
          <w:spacing w:val="-3"/>
        </w:rPr>
        <w:t xml:space="preserve">regimes </w:t>
      </w:r>
      <w:r>
        <w:rPr>
          <w:color w:val="4D4D4F"/>
          <w:spacing w:val="-5"/>
        </w:rPr>
        <w:t xml:space="preserve">(including </w:t>
      </w:r>
      <w:r>
        <w:rPr>
          <w:color w:val="4D4D4F"/>
          <w:spacing w:val="-3"/>
        </w:rPr>
        <w:t xml:space="preserve">planned burning, predator control and </w:t>
      </w:r>
      <w:r>
        <w:rPr>
          <w:color w:val="4D4D4F"/>
        </w:rPr>
        <w:t xml:space="preserve">weed </w:t>
      </w:r>
      <w:r>
        <w:rPr>
          <w:color w:val="4D4D4F"/>
          <w:spacing w:val="-4"/>
        </w:rPr>
        <w:t xml:space="preserve">control), </w:t>
      </w:r>
      <w:r>
        <w:rPr>
          <w:color w:val="4D4D4F"/>
        </w:rPr>
        <w:t>noting the importance of the artificial environment.</w:t>
      </w:r>
    </w:p>
    <w:p w14:paraId="15823AD3"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2309" w:space="183"/>
            <w:col w:w="7378"/>
          </w:cols>
        </w:sectPr>
      </w:pPr>
    </w:p>
    <w:p w14:paraId="4017621B" w14:textId="77777777" w:rsidR="00EF5B27" w:rsidRDefault="00000000">
      <w:pPr>
        <w:pStyle w:val="BodyText"/>
      </w:pPr>
      <w:r>
        <w:pict w14:anchorId="471552B6">
          <v:group id="_x0000_s3830" style="position:absolute;margin-left:587.05pt;margin-top:183.4pt;width:8.25pt;height:153.1pt;z-index:251483648;mso-position-horizontal-relative:page;mso-position-vertical-relative:page" coordorigin="11741,3668" coordsize="165,3062">
            <v:shape id="_x0000_s3837" style="position:absolute;left:11741;top:3668;width:165;height:561" coordorigin="11741,3668" coordsize="165,561" path="m11906,3668r-165,l11741,4228r165,-18l11906,3668xe" fillcolor="#00aed9" stroked="f">
              <v:path arrowok="t"/>
            </v:shape>
            <v:shape id="_x0000_s3836" style="position:absolute;left:11741;top:4118;width:165;height:425" coordorigin="11741,4118" coordsize="165,425" path="m11906,4118r-165,14l11741,4531r165,12l11906,4118xe" fillcolor="#047ebc" stroked="f">
              <v:path arrowok="t"/>
            </v:shape>
            <v:shape id="_x0000_s3835" type="#_x0000_t75" style="position:absolute;left:11741;top:4355;width:165;height:587">
              <v:imagedata r:id="rId42" o:title=""/>
            </v:shape>
            <v:shape id="_x0000_s3834" style="position:absolute;left:11741;top:5343;width:165;height:536" coordorigin="11741,5343" coordsize="165,536" path="m11741,5343r,535l11906,5872r,-525l11741,5343xe" fillcolor="#f36a2e" stroked="f">
              <v:path arrowok="t"/>
            </v:shape>
            <v:shape id="_x0000_s3833" style="position:absolute;left:11741;top:4925;width:165;height:501" coordorigin="11741,4926" coordsize="165,501" path="m11741,4926r,500l11906,5426r,-485l11741,4926xe" fillcolor="#49783f" stroked="f">
              <v:path arrowok="t"/>
            </v:shape>
            <v:shape id="_x0000_s3832" style="position:absolute;left:11741;top:5781;width:165;height:268" coordorigin="11741,5782" coordsize="165,268" path="m11906,5782r-165,8l11741,6039r165,10l11906,5782xe" fillcolor="#f99f2a" stroked="f">
              <v:path arrowok="t"/>
            </v:shape>
            <v:shape id="_x0000_s3831" style="position:absolute;left:11741;top:6023;width:165;height:707" coordorigin="11741,6023" coordsize="165,707" path="m11741,6023r,706l11906,6729r,-690l11741,6023xe" fillcolor="#ef412c" stroked="f">
              <v:path arrowok="t"/>
            </v:shape>
            <w10:wrap anchorx="page" anchory="page"/>
          </v:group>
        </w:pict>
      </w:r>
    </w:p>
    <w:p w14:paraId="5C1B7B27" w14:textId="77777777" w:rsidR="00EF5B27" w:rsidRDefault="00EF5B27">
      <w:pPr>
        <w:pStyle w:val="BodyText"/>
      </w:pPr>
    </w:p>
    <w:p w14:paraId="25505CBD" w14:textId="77777777" w:rsidR="00EF5B27" w:rsidRDefault="00EF5B27">
      <w:pPr>
        <w:pStyle w:val="BodyText"/>
      </w:pPr>
    </w:p>
    <w:p w14:paraId="170282C6" w14:textId="77777777" w:rsidR="00EF5B27" w:rsidRDefault="00EF5B27">
      <w:pPr>
        <w:pStyle w:val="BodyText"/>
        <w:spacing w:before="8"/>
        <w:rPr>
          <w:sz w:val="15"/>
        </w:rPr>
      </w:pPr>
    </w:p>
    <w:p w14:paraId="565F9DAD" w14:textId="77777777" w:rsidR="00EF5B27" w:rsidRDefault="00000000">
      <w:pPr>
        <w:pStyle w:val="BodyText"/>
        <w:spacing w:line="20" w:lineRule="exact"/>
        <w:ind w:left="2603"/>
        <w:rPr>
          <w:sz w:val="2"/>
        </w:rPr>
      </w:pPr>
      <w:r>
        <w:rPr>
          <w:sz w:val="2"/>
        </w:rPr>
      </w:r>
      <w:r>
        <w:rPr>
          <w:sz w:val="2"/>
        </w:rPr>
        <w:pict w14:anchorId="2AA016EB">
          <v:group id="_x0000_s3828" style="width:356.4pt;height:.5pt;mso-position-horizontal-relative:char;mso-position-vertical-relative:line" coordsize="7128,10">
            <v:line id="_x0000_s3829" style="position:absolute" from="0,5" to="7128,5" strokecolor="#4d4d4f" strokeweight=".5pt"/>
            <w10:anchorlock/>
          </v:group>
        </w:pict>
      </w:r>
    </w:p>
    <w:p w14:paraId="2D30D515" w14:textId="77777777" w:rsidR="00EF5B27" w:rsidRDefault="00000000">
      <w:pPr>
        <w:pStyle w:val="ListParagraph"/>
        <w:numPr>
          <w:ilvl w:val="0"/>
          <w:numId w:val="49"/>
        </w:numPr>
        <w:tabs>
          <w:tab w:val="left" w:pos="2836"/>
        </w:tabs>
        <w:spacing w:before="107" w:line="230" w:lineRule="auto"/>
        <w:ind w:right="125"/>
        <w:rPr>
          <w:sz w:val="12"/>
        </w:rPr>
      </w:pPr>
      <w:r>
        <w:rPr>
          <w:color w:val="4D4D4F"/>
          <w:sz w:val="12"/>
        </w:rPr>
        <w:t xml:space="preserve">Bryant, David, et al. 2018 </w:t>
      </w:r>
      <w:r>
        <w:rPr>
          <w:color w:val="4D4D4F"/>
          <w:spacing w:val="2"/>
          <w:sz w:val="12"/>
        </w:rPr>
        <w:t xml:space="preserve">"The occurrence </w:t>
      </w:r>
      <w:r>
        <w:rPr>
          <w:color w:val="4D4D4F"/>
          <w:sz w:val="12"/>
        </w:rPr>
        <w:t xml:space="preserve">of the Southern </w:t>
      </w:r>
      <w:r>
        <w:rPr>
          <w:color w:val="4D4D4F"/>
          <w:spacing w:val="2"/>
          <w:sz w:val="12"/>
        </w:rPr>
        <w:t xml:space="preserve">Brown </w:t>
      </w:r>
      <w:r>
        <w:rPr>
          <w:color w:val="4D4D4F"/>
          <w:sz w:val="12"/>
        </w:rPr>
        <w:t xml:space="preserve">Bandicoot </w:t>
      </w:r>
      <w:r>
        <w:rPr>
          <w:rFonts w:ascii="Arial Narrow"/>
          <w:i/>
          <w:color w:val="4D4D4F"/>
          <w:sz w:val="12"/>
        </w:rPr>
        <w:t xml:space="preserve">Isoodon  obesulus  obesulus  </w:t>
      </w:r>
      <w:r>
        <w:rPr>
          <w:color w:val="4D4D4F"/>
          <w:sz w:val="12"/>
        </w:rPr>
        <w:t xml:space="preserve">and  its  habitat  on  Chinaman Island, Western </w:t>
      </w:r>
      <w:r>
        <w:rPr>
          <w:color w:val="4D4D4F"/>
          <w:spacing w:val="2"/>
          <w:sz w:val="12"/>
        </w:rPr>
        <w:t xml:space="preserve">Port, </w:t>
      </w:r>
      <w:r>
        <w:rPr>
          <w:color w:val="4D4D4F"/>
          <w:sz w:val="12"/>
        </w:rPr>
        <w:t xml:space="preserve">Victoria." </w:t>
      </w:r>
      <w:r>
        <w:rPr>
          <w:color w:val="4D4D4F"/>
          <w:spacing w:val="2"/>
          <w:sz w:val="12"/>
        </w:rPr>
        <w:t xml:space="preserve">The </w:t>
      </w:r>
      <w:r>
        <w:rPr>
          <w:color w:val="4D4D4F"/>
          <w:sz w:val="12"/>
        </w:rPr>
        <w:t>Victorian Naturalist, vol. 135, no. 5, pp.</w:t>
      </w:r>
      <w:r>
        <w:rPr>
          <w:color w:val="4D4D4F"/>
          <w:spacing w:val="23"/>
          <w:sz w:val="12"/>
        </w:rPr>
        <w:t xml:space="preserve"> </w:t>
      </w:r>
      <w:r>
        <w:rPr>
          <w:color w:val="4D4D4F"/>
          <w:sz w:val="12"/>
        </w:rPr>
        <w:t>128.</w:t>
      </w:r>
    </w:p>
    <w:p w14:paraId="456B5B4C" w14:textId="77777777" w:rsidR="00EF5B27" w:rsidRDefault="00EF5B27">
      <w:pPr>
        <w:spacing w:line="230" w:lineRule="auto"/>
        <w:rPr>
          <w:sz w:val="12"/>
        </w:rPr>
        <w:sectPr w:rsidR="00EF5B27">
          <w:type w:val="continuous"/>
          <w:pgSz w:w="11910" w:h="16840"/>
          <w:pgMar w:top="1140" w:right="1020" w:bottom="280" w:left="1020" w:header="720" w:footer="720" w:gutter="0"/>
          <w:cols w:space="720"/>
        </w:sectPr>
      </w:pPr>
    </w:p>
    <w:p w14:paraId="429A5630" w14:textId="77777777" w:rsidR="00EF5B27" w:rsidRDefault="00EF5B27">
      <w:pPr>
        <w:pStyle w:val="BodyText"/>
      </w:pPr>
    </w:p>
    <w:p w14:paraId="35E958A3" w14:textId="77777777" w:rsidR="00EF5B27" w:rsidRDefault="00EF5B27">
      <w:pPr>
        <w:pStyle w:val="BodyText"/>
      </w:pPr>
    </w:p>
    <w:p w14:paraId="53FA3FF4" w14:textId="77777777" w:rsidR="00EF5B27" w:rsidRDefault="00EF5B27">
      <w:pPr>
        <w:pStyle w:val="BodyText"/>
      </w:pPr>
    </w:p>
    <w:p w14:paraId="42744C35" w14:textId="77777777" w:rsidR="00EF5B27" w:rsidRDefault="00EF5B27">
      <w:pPr>
        <w:pStyle w:val="BodyText"/>
        <w:spacing w:before="4"/>
        <w:rPr>
          <w:sz w:val="25"/>
        </w:rPr>
      </w:pPr>
    </w:p>
    <w:p w14:paraId="029C5B8F" w14:textId="77777777" w:rsidR="00EF5B27" w:rsidRDefault="00000000">
      <w:pPr>
        <w:pStyle w:val="BodyText"/>
        <w:spacing w:before="100" w:line="256" w:lineRule="auto"/>
        <w:ind w:left="2608" w:right="111"/>
        <w:rPr>
          <w:sz w:val="11"/>
        </w:rPr>
      </w:pPr>
      <w:bookmarkStart w:id="18" w:name="_bookmark17"/>
      <w:bookmarkEnd w:id="18"/>
      <w:r>
        <w:rPr>
          <w:color w:val="4D4D4F"/>
          <w:w w:val="105"/>
        </w:rPr>
        <w:t>Other data of relevance to Southern Brown Bandicoot occupancy relates to fox occupancy, with DELWP suggesting that foxes are everywhere within the Southern Brown</w:t>
      </w:r>
      <w:r>
        <w:rPr>
          <w:color w:val="4D4D4F"/>
          <w:spacing w:val="-26"/>
          <w:w w:val="105"/>
        </w:rPr>
        <w:t xml:space="preserve"> </w:t>
      </w:r>
      <w:r>
        <w:rPr>
          <w:color w:val="4D4D4F"/>
          <w:spacing w:val="-4"/>
          <w:w w:val="105"/>
        </w:rPr>
        <w:t>Bandicoot’s</w:t>
      </w:r>
      <w:r>
        <w:rPr>
          <w:color w:val="4D4D4F"/>
          <w:spacing w:val="-25"/>
          <w:w w:val="105"/>
        </w:rPr>
        <w:t xml:space="preserve"> </w:t>
      </w:r>
      <w:r>
        <w:rPr>
          <w:color w:val="4D4D4F"/>
          <w:spacing w:val="-3"/>
          <w:w w:val="105"/>
        </w:rPr>
        <w:t>range.</w:t>
      </w:r>
      <w:r>
        <w:rPr>
          <w:color w:val="4D4D4F"/>
          <w:spacing w:val="-3"/>
          <w:w w:val="105"/>
          <w:position w:val="7"/>
          <w:sz w:val="11"/>
        </w:rPr>
        <w:t xml:space="preserve">81 </w:t>
      </w:r>
      <w:r>
        <w:rPr>
          <w:color w:val="4D4D4F"/>
          <w:spacing w:val="-4"/>
          <w:w w:val="105"/>
        </w:rPr>
        <w:t>Foxes</w:t>
      </w:r>
      <w:r>
        <w:rPr>
          <w:color w:val="4D4D4F"/>
          <w:spacing w:val="-25"/>
          <w:w w:val="105"/>
        </w:rPr>
        <w:t xml:space="preserve"> </w:t>
      </w:r>
      <w:r>
        <w:rPr>
          <w:color w:val="4D4D4F"/>
          <w:w w:val="105"/>
        </w:rPr>
        <w:t>pose</w:t>
      </w:r>
      <w:r>
        <w:rPr>
          <w:color w:val="4D4D4F"/>
          <w:spacing w:val="-25"/>
          <w:w w:val="105"/>
        </w:rPr>
        <w:t xml:space="preserve"> </w:t>
      </w:r>
      <w:r>
        <w:rPr>
          <w:color w:val="4D4D4F"/>
          <w:spacing w:val="-3"/>
          <w:w w:val="105"/>
        </w:rPr>
        <w:t>the</w:t>
      </w:r>
      <w:r>
        <w:rPr>
          <w:color w:val="4D4D4F"/>
          <w:spacing w:val="-25"/>
          <w:w w:val="105"/>
        </w:rPr>
        <w:t xml:space="preserve"> </w:t>
      </w:r>
      <w:r>
        <w:rPr>
          <w:color w:val="4D4D4F"/>
          <w:spacing w:val="-3"/>
          <w:w w:val="105"/>
        </w:rPr>
        <w:t>biggest</w:t>
      </w:r>
      <w:r>
        <w:rPr>
          <w:color w:val="4D4D4F"/>
          <w:spacing w:val="-26"/>
          <w:w w:val="105"/>
        </w:rPr>
        <w:t xml:space="preserve"> </w:t>
      </w:r>
      <w:r>
        <w:rPr>
          <w:color w:val="4D4D4F"/>
          <w:spacing w:val="-3"/>
          <w:w w:val="105"/>
        </w:rPr>
        <w:t>threat</w:t>
      </w:r>
      <w:r>
        <w:rPr>
          <w:color w:val="4D4D4F"/>
          <w:spacing w:val="-25"/>
          <w:w w:val="105"/>
        </w:rPr>
        <w:t xml:space="preserve"> </w:t>
      </w:r>
      <w:r>
        <w:rPr>
          <w:color w:val="4D4D4F"/>
          <w:spacing w:val="-3"/>
          <w:w w:val="105"/>
        </w:rPr>
        <w:t>to</w:t>
      </w:r>
      <w:r>
        <w:rPr>
          <w:color w:val="4D4D4F"/>
          <w:spacing w:val="-25"/>
          <w:w w:val="105"/>
        </w:rPr>
        <w:t xml:space="preserve"> </w:t>
      </w:r>
      <w:r>
        <w:rPr>
          <w:color w:val="4D4D4F"/>
          <w:spacing w:val="-3"/>
          <w:w w:val="105"/>
        </w:rPr>
        <w:t>the</w:t>
      </w:r>
      <w:r>
        <w:rPr>
          <w:color w:val="4D4D4F"/>
          <w:spacing w:val="-25"/>
          <w:w w:val="105"/>
        </w:rPr>
        <w:t xml:space="preserve"> </w:t>
      </w:r>
      <w:r>
        <w:rPr>
          <w:color w:val="4D4D4F"/>
          <w:spacing w:val="-3"/>
          <w:w w:val="105"/>
        </w:rPr>
        <w:t>bandicoot</w:t>
      </w:r>
      <w:r>
        <w:rPr>
          <w:color w:val="4D4D4F"/>
          <w:spacing w:val="-25"/>
          <w:w w:val="105"/>
        </w:rPr>
        <w:t xml:space="preserve"> </w:t>
      </w:r>
      <w:r>
        <w:rPr>
          <w:color w:val="4D4D4F"/>
          <w:w w:val="105"/>
        </w:rPr>
        <w:t>where</w:t>
      </w:r>
      <w:r>
        <w:rPr>
          <w:color w:val="4D4D4F"/>
          <w:spacing w:val="-26"/>
          <w:w w:val="105"/>
        </w:rPr>
        <w:t xml:space="preserve"> </w:t>
      </w:r>
      <w:r>
        <w:rPr>
          <w:color w:val="4D4D4F"/>
          <w:spacing w:val="-4"/>
          <w:w w:val="105"/>
        </w:rPr>
        <w:t xml:space="preserve">habitat </w:t>
      </w:r>
      <w:r>
        <w:rPr>
          <w:color w:val="4D4D4F"/>
          <w:spacing w:val="-3"/>
          <w:w w:val="105"/>
        </w:rPr>
        <w:t>destruction</w:t>
      </w:r>
      <w:r>
        <w:rPr>
          <w:color w:val="4D4D4F"/>
          <w:spacing w:val="-18"/>
          <w:w w:val="105"/>
        </w:rPr>
        <w:t xml:space="preserve"> </w:t>
      </w:r>
      <w:r>
        <w:rPr>
          <w:color w:val="4D4D4F"/>
          <w:spacing w:val="-3"/>
          <w:w w:val="105"/>
        </w:rPr>
        <w:t>is</w:t>
      </w:r>
      <w:r>
        <w:rPr>
          <w:color w:val="4D4D4F"/>
          <w:spacing w:val="-18"/>
          <w:w w:val="105"/>
        </w:rPr>
        <w:t xml:space="preserve"> </w:t>
      </w:r>
      <w:r>
        <w:rPr>
          <w:color w:val="4D4D4F"/>
          <w:spacing w:val="-3"/>
          <w:w w:val="105"/>
        </w:rPr>
        <w:t>not</w:t>
      </w:r>
      <w:r>
        <w:rPr>
          <w:color w:val="4D4D4F"/>
          <w:spacing w:val="-18"/>
          <w:w w:val="105"/>
        </w:rPr>
        <w:t xml:space="preserve"> </w:t>
      </w:r>
      <w:r>
        <w:rPr>
          <w:color w:val="4D4D4F"/>
          <w:spacing w:val="-3"/>
          <w:w w:val="105"/>
        </w:rPr>
        <w:t>present.</w:t>
      </w:r>
      <w:r>
        <w:rPr>
          <w:color w:val="4D4D4F"/>
          <w:spacing w:val="-18"/>
          <w:w w:val="105"/>
        </w:rPr>
        <w:t xml:space="preserve"> </w:t>
      </w:r>
      <w:r>
        <w:rPr>
          <w:color w:val="4D4D4F"/>
          <w:spacing w:val="-3"/>
          <w:w w:val="105"/>
        </w:rPr>
        <w:t>Bandicoots</w:t>
      </w:r>
      <w:r>
        <w:rPr>
          <w:color w:val="4D4D4F"/>
          <w:spacing w:val="-17"/>
          <w:w w:val="105"/>
        </w:rPr>
        <w:t xml:space="preserve"> </w:t>
      </w:r>
      <w:r>
        <w:rPr>
          <w:color w:val="4D4D4F"/>
          <w:spacing w:val="-3"/>
          <w:w w:val="105"/>
        </w:rPr>
        <w:t>appear</w:t>
      </w:r>
      <w:r>
        <w:rPr>
          <w:color w:val="4D4D4F"/>
          <w:spacing w:val="-18"/>
          <w:w w:val="105"/>
        </w:rPr>
        <w:t xml:space="preserve"> </w:t>
      </w:r>
      <w:r>
        <w:rPr>
          <w:color w:val="4D4D4F"/>
          <w:spacing w:val="-3"/>
          <w:w w:val="105"/>
        </w:rPr>
        <w:t>to</w:t>
      </w:r>
      <w:r>
        <w:rPr>
          <w:color w:val="4D4D4F"/>
          <w:spacing w:val="-18"/>
          <w:w w:val="105"/>
        </w:rPr>
        <w:t xml:space="preserve"> </w:t>
      </w:r>
      <w:r>
        <w:rPr>
          <w:color w:val="4D4D4F"/>
          <w:spacing w:val="-3"/>
          <w:w w:val="105"/>
        </w:rPr>
        <w:t>persist</w:t>
      </w:r>
      <w:r>
        <w:rPr>
          <w:color w:val="4D4D4F"/>
          <w:spacing w:val="-18"/>
          <w:w w:val="105"/>
        </w:rPr>
        <w:t xml:space="preserve"> </w:t>
      </w:r>
      <w:r>
        <w:rPr>
          <w:color w:val="4D4D4F"/>
          <w:spacing w:val="-3"/>
          <w:w w:val="105"/>
        </w:rPr>
        <w:t>in</w:t>
      </w:r>
      <w:r>
        <w:rPr>
          <w:color w:val="4D4D4F"/>
          <w:spacing w:val="-17"/>
          <w:w w:val="105"/>
        </w:rPr>
        <w:t xml:space="preserve"> </w:t>
      </w:r>
      <w:r>
        <w:rPr>
          <w:color w:val="4D4D4F"/>
          <w:spacing w:val="-3"/>
          <w:w w:val="105"/>
        </w:rPr>
        <w:t>the</w:t>
      </w:r>
      <w:r>
        <w:rPr>
          <w:color w:val="4D4D4F"/>
          <w:spacing w:val="-18"/>
          <w:w w:val="105"/>
        </w:rPr>
        <w:t xml:space="preserve"> </w:t>
      </w:r>
      <w:r>
        <w:rPr>
          <w:color w:val="4D4D4F"/>
          <w:spacing w:val="-3"/>
          <w:w w:val="105"/>
        </w:rPr>
        <w:t>presence</w:t>
      </w:r>
      <w:r>
        <w:rPr>
          <w:color w:val="4D4D4F"/>
          <w:spacing w:val="-18"/>
          <w:w w:val="105"/>
        </w:rPr>
        <w:t xml:space="preserve"> </w:t>
      </w:r>
      <w:r>
        <w:rPr>
          <w:color w:val="4D4D4F"/>
          <w:w w:val="105"/>
        </w:rPr>
        <w:t>of</w:t>
      </w:r>
      <w:r>
        <w:rPr>
          <w:color w:val="4D4D4F"/>
          <w:spacing w:val="-18"/>
          <w:w w:val="105"/>
        </w:rPr>
        <w:t xml:space="preserve"> </w:t>
      </w:r>
      <w:r>
        <w:rPr>
          <w:color w:val="4D4D4F"/>
          <w:spacing w:val="-4"/>
          <w:w w:val="105"/>
        </w:rPr>
        <w:t>foxes</w:t>
      </w:r>
      <w:r>
        <w:rPr>
          <w:color w:val="4D4D4F"/>
          <w:spacing w:val="-17"/>
          <w:w w:val="105"/>
        </w:rPr>
        <w:t xml:space="preserve"> </w:t>
      </w:r>
      <w:r>
        <w:rPr>
          <w:color w:val="4D4D4F"/>
          <w:w w:val="105"/>
        </w:rPr>
        <w:t>if</w:t>
      </w:r>
      <w:r>
        <w:rPr>
          <w:color w:val="4D4D4F"/>
          <w:spacing w:val="-18"/>
          <w:w w:val="105"/>
        </w:rPr>
        <w:t xml:space="preserve"> </w:t>
      </w:r>
      <w:r>
        <w:rPr>
          <w:color w:val="4D4D4F"/>
          <w:spacing w:val="-3"/>
          <w:w w:val="105"/>
        </w:rPr>
        <w:t>there is</w:t>
      </w:r>
      <w:r>
        <w:rPr>
          <w:color w:val="4D4D4F"/>
          <w:spacing w:val="-23"/>
          <w:w w:val="105"/>
        </w:rPr>
        <w:t xml:space="preserve"> </w:t>
      </w:r>
      <w:r>
        <w:rPr>
          <w:color w:val="4D4D4F"/>
          <w:spacing w:val="-3"/>
          <w:w w:val="105"/>
        </w:rPr>
        <w:t>enough</w:t>
      </w:r>
      <w:r>
        <w:rPr>
          <w:color w:val="4D4D4F"/>
          <w:spacing w:val="-22"/>
          <w:w w:val="105"/>
        </w:rPr>
        <w:t xml:space="preserve"> </w:t>
      </w:r>
      <w:r>
        <w:rPr>
          <w:color w:val="4D4D4F"/>
          <w:spacing w:val="-5"/>
          <w:w w:val="105"/>
        </w:rPr>
        <w:t>cover.</w:t>
      </w:r>
      <w:r>
        <w:rPr>
          <w:color w:val="4D4D4F"/>
          <w:spacing w:val="-5"/>
          <w:w w:val="105"/>
          <w:position w:val="7"/>
          <w:sz w:val="11"/>
        </w:rPr>
        <w:t>82</w:t>
      </w:r>
      <w:r>
        <w:rPr>
          <w:color w:val="4D4D4F"/>
          <w:w w:val="105"/>
          <w:position w:val="7"/>
          <w:sz w:val="11"/>
        </w:rPr>
        <w:t xml:space="preserve"> </w:t>
      </w:r>
      <w:r>
        <w:rPr>
          <w:color w:val="4D4D4F"/>
          <w:spacing w:val="-3"/>
          <w:w w:val="105"/>
        </w:rPr>
        <w:t>In</w:t>
      </w:r>
      <w:r>
        <w:rPr>
          <w:color w:val="4D4D4F"/>
          <w:spacing w:val="-22"/>
          <w:w w:val="105"/>
        </w:rPr>
        <w:t xml:space="preserve"> </w:t>
      </w:r>
      <w:r>
        <w:rPr>
          <w:color w:val="4D4D4F"/>
          <w:spacing w:val="-3"/>
          <w:w w:val="105"/>
        </w:rPr>
        <w:t>previous</w:t>
      </w:r>
      <w:r>
        <w:rPr>
          <w:color w:val="4D4D4F"/>
          <w:spacing w:val="-23"/>
          <w:w w:val="105"/>
        </w:rPr>
        <w:t xml:space="preserve"> </w:t>
      </w:r>
      <w:r>
        <w:rPr>
          <w:color w:val="4D4D4F"/>
          <w:w w:val="105"/>
        </w:rPr>
        <w:t>years,</w:t>
      </w:r>
      <w:r>
        <w:rPr>
          <w:color w:val="4D4D4F"/>
          <w:spacing w:val="-22"/>
          <w:w w:val="105"/>
        </w:rPr>
        <w:t xml:space="preserve"> </w:t>
      </w:r>
      <w:r>
        <w:rPr>
          <w:color w:val="4D4D4F"/>
          <w:spacing w:val="-3"/>
          <w:w w:val="105"/>
        </w:rPr>
        <w:t>DELWP</w:t>
      </w:r>
      <w:r>
        <w:rPr>
          <w:color w:val="4D4D4F"/>
          <w:spacing w:val="-22"/>
          <w:w w:val="105"/>
        </w:rPr>
        <w:t xml:space="preserve"> </w:t>
      </w:r>
      <w:r>
        <w:rPr>
          <w:color w:val="4D4D4F"/>
          <w:spacing w:val="-3"/>
          <w:w w:val="105"/>
        </w:rPr>
        <w:t>has</w:t>
      </w:r>
      <w:r>
        <w:rPr>
          <w:color w:val="4D4D4F"/>
          <w:spacing w:val="-22"/>
          <w:w w:val="105"/>
        </w:rPr>
        <w:t xml:space="preserve"> </w:t>
      </w:r>
      <w:r>
        <w:rPr>
          <w:color w:val="4D4D4F"/>
          <w:spacing w:val="-3"/>
          <w:w w:val="105"/>
        </w:rPr>
        <w:t>found</w:t>
      </w:r>
      <w:r>
        <w:rPr>
          <w:color w:val="4D4D4F"/>
          <w:spacing w:val="-23"/>
          <w:w w:val="105"/>
        </w:rPr>
        <w:t xml:space="preserve"> </w:t>
      </w:r>
      <w:r>
        <w:rPr>
          <w:color w:val="4D4D4F"/>
          <w:w w:val="105"/>
        </w:rPr>
        <w:t>an</w:t>
      </w:r>
      <w:r>
        <w:rPr>
          <w:color w:val="4D4D4F"/>
          <w:spacing w:val="-22"/>
          <w:w w:val="105"/>
        </w:rPr>
        <w:t xml:space="preserve"> </w:t>
      </w:r>
      <w:r>
        <w:rPr>
          <w:color w:val="4D4D4F"/>
          <w:spacing w:val="-3"/>
          <w:w w:val="105"/>
        </w:rPr>
        <w:t>overlap</w:t>
      </w:r>
      <w:r>
        <w:rPr>
          <w:color w:val="4D4D4F"/>
          <w:spacing w:val="-22"/>
          <w:w w:val="105"/>
        </w:rPr>
        <w:t xml:space="preserve"> </w:t>
      </w:r>
      <w:r>
        <w:rPr>
          <w:color w:val="4D4D4F"/>
          <w:w w:val="105"/>
        </w:rPr>
        <w:t>of</w:t>
      </w:r>
      <w:r>
        <w:rPr>
          <w:color w:val="4D4D4F"/>
          <w:spacing w:val="-22"/>
          <w:w w:val="105"/>
        </w:rPr>
        <w:t xml:space="preserve"> </w:t>
      </w:r>
      <w:r>
        <w:rPr>
          <w:color w:val="4D4D4F"/>
          <w:spacing w:val="-4"/>
          <w:w w:val="105"/>
        </w:rPr>
        <w:t>foxes</w:t>
      </w:r>
      <w:r>
        <w:rPr>
          <w:color w:val="4D4D4F"/>
          <w:spacing w:val="-23"/>
          <w:w w:val="105"/>
        </w:rPr>
        <w:t xml:space="preserve"> </w:t>
      </w:r>
      <w:r>
        <w:rPr>
          <w:color w:val="4D4D4F"/>
          <w:spacing w:val="-3"/>
          <w:w w:val="105"/>
        </w:rPr>
        <w:t>and</w:t>
      </w:r>
      <w:r>
        <w:rPr>
          <w:color w:val="4D4D4F"/>
          <w:spacing w:val="-22"/>
          <w:w w:val="105"/>
        </w:rPr>
        <w:t xml:space="preserve"> </w:t>
      </w:r>
      <w:r>
        <w:rPr>
          <w:color w:val="4D4D4F"/>
          <w:spacing w:val="-3"/>
          <w:w w:val="105"/>
        </w:rPr>
        <w:t xml:space="preserve">bandicoots </w:t>
      </w:r>
      <w:r>
        <w:rPr>
          <w:color w:val="4D4D4F"/>
          <w:w w:val="105"/>
        </w:rPr>
        <w:t xml:space="preserve">at 30% of </w:t>
      </w:r>
      <w:r>
        <w:rPr>
          <w:color w:val="4D4D4F"/>
          <w:spacing w:val="-4"/>
          <w:w w:val="105"/>
        </w:rPr>
        <w:t xml:space="preserve">sites </w:t>
      </w:r>
      <w:r>
        <w:rPr>
          <w:color w:val="4D4D4F"/>
          <w:w w:val="105"/>
        </w:rPr>
        <w:t xml:space="preserve">– </w:t>
      </w:r>
      <w:r>
        <w:rPr>
          <w:color w:val="4D4D4F"/>
          <w:spacing w:val="-3"/>
          <w:w w:val="105"/>
        </w:rPr>
        <w:t xml:space="preserve">and </w:t>
      </w:r>
      <w:r>
        <w:rPr>
          <w:color w:val="4D4D4F"/>
          <w:w w:val="105"/>
        </w:rPr>
        <w:t xml:space="preserve">expert </w:t>
      </w:r>
      <w:r>
        <w:rPr>
          <w:color w:val="4D4D4F"/>
          <w:spacing w:val="-4"/>
          <w:w w:val="105"/>
        </w:rPr>
        <w:t xml:space="preserve">elicitation </w:t>
      </w:r>
      <w:r>
        <w:rPr>
          <w:color w:val="4D4D4F"/>
          <w:spacing w:val="-3"/>
          <w:w w:val="105"/>
        </w:rPr>
        <w:t xml:space="preserve">data fed </w:t>
      </w:r>
      <w:r>
        <w:rPr>
          <w:color w:val="4D4D4F"/>
          <w:spacing w:val="-5"/>
          <w:w w:val="105"/>
        </w:rPr>
        <w:t xml:space="preserve">into PVA </w:t>
      </w:r>
      <w:r>
        <w:rPr>
          <w:color w:val="4D4D4F"/>
          <w:spacing w:val="-4"/>
          <w:w w:val="105"/>
        </w:rPr>
        <w:t xml:space="preserve">modelling </w:t>
      </w:r>
      <w:r>
        <w:rPr>
          <w:color w:val="4D4D4F"/>
          <w:spacing w:val="-3"/>
          <w:w w:val="105"/>
        </w:rPr>
        <w:t xml:space="preserve">suggests the </w:t>
      </w:r>
      <w:r>
        <w:rPr>
          <w:color w:val="4D4D4F"/>
          <w:w w:val="105"/>
        </w:rPr>
        <w:t xml:space="preserve">best </w:t>
      </w:r>
      <w:r>
        <w:rPr>
          <w:color w:val="4D4D4F"/>
          <w:spacing w:val="-3"/>
          <w:w w:val="105"/>
        </w:rPr>
        <w:t xml:space="preserve">action to </w:t>
      </w:r>
      <w:r>
        <w:rPr>
          <w:color w:val="4D4D4F"/>
          <w:w w:val="105"/>
        </w:rPr>
        <w:t xml:space="preserve">support </w:t>
      </w:r>
      <w:r>
        <w:rPr>
          <w:color w:val="4D4D4F"/>
          <w:spacing w:val="-3"/>
          <w:w w:val="105"/>
        </w:rPr>
        <w:t xml:space="preserve">bandicoots is landscape-scale </w:t>
      </w:r>
      <w:r>
        <w:rPr>
          <w:color w:val="4D4D4F"/>
          <w:spacing w:val="-4"/>
          <w:w w:val="105"/>
        </w:rPr>
        <w:t xml:space="preserve">fox baiting. </w:t>
      </w:r>
      <w:r>
        <w:rPr>
          <w:color w:val="4D4D4F"/>
          <w:w w:val="105"/>
        </w:rPr>
        <w:t xml:space="preserve">No </w:t>
      </w:r>
      <w:r>
        <w:rPr>
          <w:color w:val="4D4D4F"/>
          <w:spacing w:val="-3"/>
          <w:w w:val="105"/>
        </w:rPr>
        <w:t xml:space="preserve">landscape </w:t>
      </w:r>
      <w:r>
        <w:rPr>
          <w:color w:val="4D4D4F"/>
          <w:spacing w:val="-4"/>
          <w:w w:val="105"/>
        </w:rPr>
        <w:t xml:space="preserve">fox baiting </w:t>
      </w:r>
      <w:r>
        <w:rPr>
          <w:color w:val="4D4D4F"/>
          <w:spacing w:val="-3"/>
          <w:w w:val="105"/>
        </w:rPr>
        <w:t>is currently</w:t>
      </w:r>
      <w:r>
        <w:rPr>
          <w:color w:val="4D4D4F"/>
          <w:spacing w:val="-33"/>
          <w:w w:val="105"/>
        </w:rPr>
        <w:t xml:space="preserve"> </w:t>
      </w:r>
      <w:r>
        <w:rPr>
          <w:color w:val="4D4D4F"/>
          <w:spacing w:val="-4"/>
          <w:w w:val="105"/>
        </w:rPr>
        <w:t>applied</w:t>
      </w:r>
      <w:r>
        <w:rPr>
          <w:color w:val="4D4D4F"/>
          <w:spacing w:val="-32"/>
          <w:w w:val="105"/>
        </w:rPr>
        <w:t xml:space="preserve"> </w:t>
      </w:r>
      <w:r>
        <w:rPr>
          <w:color w:val="4D4D4F"/>
          <w:spacing w:val="-3"/>
          <w:w w:val="105"/>
        </w:rPr>
        <w:t>to</w:t>
      </w:r>
      <w:r>
        <w:rPr>
          <w:color w:val="4D4D4F"/>
          <w:spacing w:val="-33"/>
          <w:w w:val="105"/>
        </w:rPr>
        <w:t xml:space="preserve"> </w:t>
      </w:r>
      <w:r>
        <w:rPr>
          <w:color w:val="4D4D4F"/>
          <w:spacing w:val="-3"/>
          <w:w w:val="105"/>
        </w:rPr>
        <w:t>control</w:t>
      </w:r>
      <w:r>
        <w:rPr>
          <w:color w:val="4D4D4F"/>
          <w:spacing w:val="-32"/>
          <w:w w:val="105"/>
        </w:rPr>
        <w:t xml:space="preserve"> </w:t>
      </w:r>
      <w:r>
        <w:rPr>
          <w:color w:val="4D4D4F"/>
          <w:spacing w:val="-3"/>
          <w:w w:val="105"/>
        </w:rPr>
        <w:t>predation</w:t>
      </w:r>
      <w:r>
        <w:rPr>
          <w:color w:val="4D4D4F"/>
          <w:spacing w:val="-32"/>
          <w:w w:val="105"/>
        </w:rPr>
        <w:t xml:space="preserve"> </w:t>
      </w:r>
      <w:r>
        <w:rPr>
          <w:color w:val="4D4D4F"/>
          <w:spacing w:val="-3"/>
          <w:w w:val="105"/>
        </w:rPr>
        <w:t>impacting</w:t>
      </w:r>
      <w:r>
        <w:rPr>
          <w:color w:val="4D4D4F"/>
          <w:spacing w:val="-33"/>
          <w:w w:val="105"/>
        </w:rPr>
        <w:t xml:space="preserve"> </w:t>
      </w:r>
      <w:r>
        <w:rPr>
          <w:color w:val="4D4D4F"/>
          <w:w w:val="105"/>
        </w:rPr>
        <w:t>on</w:t>
      </w:r>
      <w:r>
        <w:rPr>
          <w:color w:val="4D4D4F"/>
          <w:spacing w:val="-32"/>
          <w:w w:val="105"/>
        </w:rPr>
        <w:t xml:space="preserve"> </w:t>
      </w:r>
      <w:r>
        <w:rPr>
          <w:color w:val="4D4D4F"/>
          <w:spacing w:val="-3"/>
          <w:w w:val="105"/>
        </w:rPr>
        <w:t>the</w:t>
      </w:r>
      <w:r>
        <w:rPr>
          <w:color w:val="4D4D4F"/>
          <w:spacing w:val="-32"/>
          <w:w w:val="105"/>
        </w:rPr>
        <w:t xml:space="preserve"> </w:t>
      </w:r>
      <w:r>
        <w:rPr>
          <w:color w:val="4D4D4F"/>
          <w:w w:val="105"/>
        </w:rPr>
        <w:t>Southern</w:t>
      </w:r>
      <w:r>
        <w:rPr>
          <w:color w:val="4D4D4F"/>
          <w:spacing w:val="-33"/>
          <w:w w:val="105"/>
        </w:rPr>
        <w:t xml:space="preserve"> </w:t>
      </w:r>
      <w:r>
        <w:rPr>
          <w:color w:val="4D4D4F"/>
          <w:w w:val="105"/>
        </w:rPr>
        <w:t>Brown</w:t>
      </w:r>
      <w:r>
        <w:rPr>
          <w:color w:val="4D4D4F"/>
          <w:spacing w:val="-32"/>
          <w:w w:val="105"/>
        </w:rPr>
        <w:t xml:space="preserve"> </w:t>
      </w:r>
      <w:r>
        <w:rPr>
          <w:color w:val="4D4D4F"/>
          <w:spacing w:val="-3"/>
          <w:w w:val="105"/>
        </w:rPr>
        <w:t>Bandicoot.</w:t>
      </w:r>
      <w:r>
        <w:rPr>
          <w:color w:val="4D4D4F"/>
          <w:spacing w:val="-33"/>
          <w:w w:val="105"/>
        </w:rPr>
        <w:t xml:space="preserve"> </w:t>
      </w:r>
      <w:r>
        <w:rPr>
          <w:color w:val="4D4D4F"/>
          <w:spacing w:val="-3"/>
          <w:w w:val="105"/>
        </w:rPr>
        <w:t>Other measures</w:t>
      </w:r>
      <w:r>
        <w:rPr>
          <w:color w:val="4D4D4F"/>
          <w:spacing w:val="-22"/>
          <w:w w:val="105"/>
        </w:rPr>
        <w:t xml:space="preserve"> </w:t>
      </w:r>
      <w:r>
        <w:rPr>
          <w:color w:val="4D4D4F"/>
          <w:spacing w:val="-3"/>
          <w:w w:val="105"/>
        </w:rPr>
        <w:t>to</w:t>
      </w:r>
      <w:r>
        <w:rPr>
          <w:color w:val="4D4D4F"/>
          <w:spacing w:val="-22"/>
          <w:w w:val="105"/>
        </w:rPr>
        <w:t xml:space="preserve"> </w:t>
      </w:r>
      <w:r>
        <w:rPr>
          <w:color w:val="4D4D4F"/>
          <w:spacing w:val="-3"/>
          <w:w w:val="105"/>
        </w:rPr>
        <w:t>explore</w:t>
      </w:r>
      <w:r>
        <w:rPr>
          <w:color w:val="4D4D4F"/>
          <w:spacing w:val="-21"/>
          <w:w w:val="105"/>
        </w:rPr>
        <w:t xml:space="preserve"> </w:t>
      </w:r>
      <w:r>
        <w:rPr>
          <w:color w:val="4D4D4F"/>
          <w:spacing w:val="-4"/>
          <w:w w:val="105"/>
        </w:rPr>
        <w:t>include</w:t>
      </w:r>
      <w:r>
        <w:rPr>
          <w:color w:val="4D4D4F"/>
          <w:spacing w:val="-22"/>
          <w:w w:val="105"/>
        </w:rPr>
        <w:t xml:space="preserve"> </w:t>
      </w:r>
      <w:r>
        <w:rPr>
          <w:color w:val="4D4D4F"/>
          <w:spacing w:val="-3"/>
          <w:w w:val="105"/>
        </w:rPr>
        <w:t>the</w:t>
      </w:r>
      <w:r>
        <w:rPr>
          <w:color w:val="4D4D4F"/>
          <w:spacing w:val="-22"/>
          <w:w w:val="105"/>
        </w:rPr>
        <w:t xml:space="preserve"> </w:t>
      </w:r>
      <w:r>
        <w:rPr>
          <w:color w:val="4D4D4F"/>
          <w:spacing w:val="-3"/>
          <w:w w:val="105"/>
        </w:rPr>
        <w:t>extent</w:t>
      </w:r>
      <w:r>
        <w:rPr>
          <w:color w:val="4D4D4F"/>
          <w:spacing w:val="-21"/>
          <w:w w:val="105"/>
        </w:rPr>
        <w:t xml:space="preserve"> </w:t>
      </w:r>
      <w:r>
        <w:rPr>
          <w:color w:val="4D4D4F"/>
          <w:w w:val="105"/>
        </w:rPr>
        <w:t>of</w:t>
      </w:r>
      <w:r>
        <w:rPr>
          <w:color w:val="4D4D4F"/>
          <w:spacing w:val="-22"/>
          <w:w w:val="105"/>
        </w:rPr>
        <w:t xml:space="preserve"> </w:t>
      </w:r>
      <w:r>
        <w:rPr>
          <w:color w:val="4D4D4F"/>
          <w:spacing w:val="-4"/>
          <w:w w:val="105"/>
        </w:rPr>
        <w:t>native</w:t>
      </w:r>
      <w:r>
        <w:rPr>
          <w:color w:val="4D4D4F"/>
          <w:spacing w:val="-22"/>
          <w:w w:val="105"/>
        </w:rPr>
        <w:t xml:space="preserve"> </w:t>
      </w:r>
      <w:r>
        <w:rPr>
          <w:color w:val="4D4D4F"/>
          <w:spacing w:val="-4"/>
          <w:w w:val="105"/>
        </w:rPr>
        <w:t>vegetation,</w:t>
      </w:r>
      <w:r>
        <w:rPr>
          <w:color w:val="4D4D4F"/>
          <w:spacing w:val="-21"/>
          <w:w w:val="105"/>
        </w:rPr>
        <w:t xml:space="preserve"> </w:t>
      </w:r>
      <w:r>
        <w:rPr>
          <w:color w:val="4D4D4F"/>
          <w:w w:val="105"/>
        </w:rPr>
        <w:t>fire</w:t>
      </w:r>
      <w:r>
        <w:rPr>
          <w:color w:val="4D4D4F"/>
          <w:spacing w:val="-22"/>
          <w:w w:val="105"/>
        </w:rPr>
        <w:t xml:space="preserve"> </w:t>
      </w:r>
      <w:r>
        <w:rPr>
          <w:color w:val="4D4D4F"/>
          <w:spacing w:val="-3"/>
          <w:w w:val="105"/>
        </w:rPr>
        <w:t>and</w:t>
      </w:r>
      <w:r>
        <w:rPr>
          <w:color w:val="4D4D4F"/>
          <w:spacing w:val="-22"/>
          <w:w w:val="105"/>
        </w:rPr>
        <w:t xml:space="preserve"> </w:t>
      </w:r>
      <w:r>
        <w:rPr>
          <w:color w:val="4D4D4F"/>
          <w:spacing w:val="-3"/>
          <w:w w:val="105"/>
        </w:rPr>
        <w:t>planned</w:t>
      </w:r>
      <w:r>
        <w:rPr>
          <w:color w:val="4D4D4F"/>
          <w:spacing w:val="-21"/>
          <w:w w:val="105"/>
        </w:rPr>
        <w:t xml:space="preserve"> </w:t>
      </w:r>
      <w:r>
        <w:rPr>
          <w:color w:val="4D4D4F"/>
          <w:spacing w:val="-3"/>
          <w:w w:val="105"/>
        </w:rPr>
        <w:t>burning.</w:t>
      </w:r>
      <w:r>
        <w:rPr>
          <w:color w:val="4D4D4F"/>
          <w:spacing w:val="-3"/>
          <w:w w:val="105"/>
          <w:position w:val="7"/>
          <w:sz w:val="11"/>
        </w:rPr>
        <w:t>83</w:t>
      </w:r>
    </w:p>
    <w:p w14:paraId="4371294F" w14:textId="77777777" w:rsidR="00EF5B27" w:rsidRDefault="00000000">
      <w:pPr>
        <w:pStyle w:val="BodyText"/>
        <w:spacing w:before="103" w:line="254" w:lineRule="auto"/>
        <w:ind w:left="2608" w:right="348"/>
      </w:pPr>
      <w:r>
        <w:rPr>
          <w:color w:val="4D4D4F"/>
          <w:spacing w:val="-4"/>
        </w:rPr>
        <w:t xml:space="preserve">Western </w:t>
      </w:r>
      <w:r>
        <w:rPr>
          <w:color w:val="4D4D4F"/>
        </w:rPr>
        <w:t xml:space="preserve">Port </w:t>
      </w:r>
      <w:r>
        <w:rPr>
          <w:color w:val="4D4D4F"/>
          <w:spacing w:val="-4"/>
        </w:rPr>
        <w:t xml:space="preserve">Biosphere, many academic </w:t>
      </w:r>
      <w:r>
        <w:rPr>
          <w:color w:val="4D4D4F"/>
          <w:spacing w:val="-5"/>
        </w:rPr>
        <w:t xml:space="preserve">institutes </w:t>
      </w:r>
      <w:r>
        <w:rPr>
          <w:color w:val="4D4D4F"/>
          <w:spacing w:val="-3"/>
        </w:rPr>
        <w:t xml:space="preserve">and </w:t>
      </w:r>
      <w:r>
        <w:rPr>
          <w:color w:val="4D4D4F"/>
          <w:spacing w:val="-4"/>
        </w:rPr>
        <w:t xml:space="preserve">community </w:t>
      </w:r>
      <w:r>
        <w:rPr>
          <w:color w:val="4D4D4F"/>
          <w:spacing w:val="-3"/>
        </w:rPr>
        <w:t xml:space="preserve">groups </w:t>
      </w:r>
      <w:r>
        <w:rPr>
          <w:color w:val="4D4D4F"/>
        </w:rPr>
        <w:t xml:space="preserve">are </w:t>
      </w:r>
      <w:r>
        <w:rPr>
          <w:color w:val="4D4D4F"/>
          <w:spacing w:val="-4"/>
        </w:rPr>
        <w:t xml:space="preserve">currently </w:t>
      </w:r>
      <w:r>
        <w:rPr>
          <w:color w:val="4D4D4F"/>
          <w:spacing w:val="-5"/>
        </w:rPr>
        <w:t xml:space="preserve">collecting </w:t>
      </w:r>
      <w:r>
        <w:rPr>
          <w:color w:val="4D4D4F"/>
          <w:spacing w:val="-4"/>
        </w:rPr>
        <w:t xml:space="preserve">data for </w:t>
      </w:r>
      <w:r>
        <w:rPr>
          <w:color w:val="4D4D4F"/>
          <w:spacing w:val="-3"/>
        </w:rPr>
        <w:t xml:space="preserve">the Southern </w:t>
      </w:r>
      <w:r>
        <w:rPr>
          <w:color w:val="4D4D4F"/>
        </w:rPr>
        <w:t xml:space="preserve">Brown Bandicoot. These </w:t>
      </w:r>
      <w:r>
        <w:rPr>
          <w:color w:val="4D4D4F"/>
          <w:spacing w:val="-3"/>
        </w:rPr>
        <w:t xml:space="preserve">other </w:t>
      </w:r>
      <w:r>
        <w:rPr>
          <w:color w:val="4D4D4F"/>
        </w:rPr>
        <w:t xml:space="preserve">data sources external  to the MSA may be </w:t>
      </w:r>
      <w:r>
        <w:rPr>
          <w:color w:val="4D4D4F"/>
          <w:spacing w:val="-3"/>
        </w:rPr>
        <w:t xml:space="preserve">useful </w:t>
      </w:r>
      <w:r>
        <w:rPr>
          <w:color w:val="4D4D4F"/>
          <w:spacing w:val="-2"/>
        </w:rPr>
        <w:t xml:space="preserve">for </w:t>
      </w:r>
      <w:r>
        <w:rPr>
          <w:color w:val="4D4D4F"/>
          <w:spacing w:val="-3"/>
        </w:rPr>
        <w:t xml:space="preserve">understanding </w:t>
      </w:r>
      <w:r>
        <w:rPr>
          <w:color w:val="4D4D4F"/>
        </w:rPr>
        <w:t xml:space="preserve">explanatory trends </w:t>
      </w:r>
      <w:r>
        <w:rPr>
          <w:color w:val="4D4D4F"/>
          <w:spacing w:val="-4"/>
        </w:rPr>
        <w:t xml:space="preserve">around landscape- </w:t>
      </w:r>
      <w:r>
        <w:rPr>
          <w:color w:val="4D4D4F"/>
          <w:spacing w:val="-5"/>
        </w:rPr>
        <w:t xml:space="preserve">level </w:t>
      </w:r>
      <w:r>
        <w:rPr>
          <w:color w:val="4D4D4F"/>
          <w:spacing w:val="-4"/>
        </w:rPr>
        <w:t xml:space="preserve">occupancy. This may </w:t>
      </w:r>
      <w:r>
        <w:rPr>
          <w:color w:val="4D4D4F"/>
          <w:spacing w:val="-5"/>
        </w:rPr>
        <w:t xml:space="preserve">include leveraging citizen </w:t>
      </w:r>
      <w:r>
        <w:rPr>
          <w:color w:val="4D4D4F"/>
          <w:spacing w:val="-4"/>
        </w:rPr>
        <w:t xml:space="preserve">science </w:t>
      </w:r>
      <w:r>
        <w:rPr>
          <w:color w:val="4D4D4F"/>
          <w:spacing w:val="-5"/>
        </w:rPr>
        <w:t xml:space="preserve">capabilities </w:t>
      </w:r>
      <w:r>
        <w:rPr>
          <w:color w:val="4D4D4F"/>
          <w:spacing w:val="-3"/>
        </w:rPr>
        <w:t xml:space="preserve">to </w:t>
      </w:r>
      <w:r>
        <w:rPr>
          <w:color w:val="4D4D4F"/>
          <w:spacing w:val="-5"/>
        </w:rPr>
        <w:t xml:space="preserve">obtain </w:t>
      </w:r>
      <w:r>
        <w:rPr>
          <w:color w:val="4D4D4F"/>
          <w:spacing w:val="-3"/>
        </w:rPr>
        <w:t xml:space="preserve">more </w:t>
      </w:r>
      <w:r>
        <w:rPr>
          <w:color w:val="4D4D4F"/>
          <w:spacing w:val="-4"/>
        </w:rPr>
        <w:t xml:space="preserve">data </w:t>
      </w:r>
      <w:r>
        <w:rPr>
          <w:color w:val="4D4D4F"/>
          <w:spacing w:val="-5"/>
        </w:rPr>
        <w:t xml:space="preserve">informing </w:t>
      </w:r>
      <w:r>
        <w:rPr>
          <w:color w:val="4D4D4F"/>
        </w:rPr>
        <w:t xml:space="preserve">a </w:t>
      </w:r>
      <w:r>
        <w:rPr>
          <w:color w:val="4D4D4F"/>
          <w:spacing w:val="-3"/>
        </w:rPr>
        <w:t xml:space="preserve">more </w:t>
      </w:r>
      <w:r>
        <w:rPr>
          <w:color w:val="4D4D4F"/>
          <w:spacing w:val="-5"/>
        </w:rPr>
        <w:t xml:space="preserve">complete </w:t>
      </w:r>
      <w:r>
        <w:rPr>
          <w:color w:val="4D4D4F"/>
          <w:spacing w:val="-3"/>
        </w:rPr>
        <w:t xml:space="preserve">picture of the </w:t>
      </w:r>
      <w:r>
        <w:rPr>
          <w:color w:val="4D4D4F"/>
          <w:spacing w:val="-5"/>
        </w:rPr>
        <w:t xml:space="preserve">population </w:t>
      </w:r>
      <w:r>
        <w:rPr>
          <w:color w:val="4D4D4F"/>
          <w:spacing w:val="-4"/>
        </w:rPr>
        <w:t xml:space="preserve">dynamics </w:t>
      </w:r>
      <w:r>
        <w:rPr>
          <w:color w:val="4D4D4F"/>
          <w:spacing w:val="-3"/>
        </w:rPr>
        <w:t xml:space="preserve">of Southern </w:t>
      </w:r>
      <w:r>
        <w:rPr>
          <w:color w:val="4D4D4F"/>
        </w:rPr>
        <w:t xml:space="preserve">Brown </w:t>
      </w:r>
      <w:r>
        <w:rPr>
          <w:color w:val="4D4D4F"/>
          <w:spacing w:val="-4"/>
        </w:rPr>
        <w:t xml:space="preserve">Bandicoot with </w:t>
      </w:r>
      <w:r>
        <w:rPr>
          <w:color w:val="4D4D4F"/>
          <w:spacing w:val="-5"/>
        </w:rPr>
        <w:t xml:space="preserve">increasing urbanisation. </w:t>
      </w:r>
      <w:r>
        <w:rPr>
          <w:color w:val="4D4D4F"/>
          <w:spacing w:val="-4"/>
        </w:rPr>
        <w:t xml:space="preserve">DELWP </w:t>
      </w:r>
      <w:r>
        <w:rPr>
          <w:color w:val="4D4D4F"/>
        </w:rPr>
        <w:t xml:space="preserve">may </w:t>
      </w:r>
      <w:r>
        <w:rPr>
          <w:color w:val="4D4D4F"/>
          <w:spacing w:val="-3"/>
        </w:rPr>
        <w:t xml:space="preserve">assist in addressing </w:t>
      </w:r>
      <w:r>
        <w:rPr>
          <w:color w:val="4D4D4F"/>
        </w:rPr>
        <w:t xml:space="preserve">the gap </w:t>
      </w:r>
      <w:r>
        <w:rPr>
          <w:color w:val="4D4D4F"/>
          <w:spacing w:val="-3"/>
        </w:rPr>
        <w:t xml:space="preserve">in monitoring </w:t>
      </w:r>
      <w:r>
        <w:rPr>
          <w:color w:val="4D4D4F"/>
        </w:rPr>
        <w:t xml:space="preserve">standards, through </w:t>
      </w:r>
      <w:r>
        <w:rPr>
          <w:color w:val="4D4D4F"/>
          <w:spacing w:val="-3"/>
        </w:rPr>
        <w:t xml:space="preserve">providing information </w:t>
      </w:r>
      <w:r>
        <w:rPr>
          <w:color w:val="4D4D4F"/>
        </w:rPr>
        <w:t xml:space="preserve">on appropriate </w:t>
      </w:r>
      <w:r>
        <w:rPr>
          <w:color w:val="4D4D4F"/>
          <w:spacing w:val="-3"/>
        </w:rPr>
        <w:t xml:space="preserve">methods </w:t>
      </w:r>
      <w:r>
        <w:rPr>
          <w:color w:val="4D4D4F"/>
        </w:rPr>
        <w:t xml:space="preserve">or </w:t>
      </w:r>
      <w:r>
        <w:rPr>
          <w:color w:val="4D4D4F"/>
          <w:spacing w:val="-4"/>
        </w:rPr>
        <w:t xml:space="preserve">tools for </w:t>
      </w:r>
      <w:r>
        <w:rPr>
          <w:color w:val="4D4D4F"/>
          <w:spacing w:val="-5"/>
        </w:rPr>
        <w:t xml:space="preserve">citizen </w:t>
      </w:r>
      <w:r>
        <w:rPr>
          <w:color w:val="4D4D4F"/>
          <w:spacing w:val="-4"/>
        </w:rPr>
        <w:t xml:space="preserve">science data </w:t>
      </w:r>
      <w:r>
        <w:rPr>
          <w:color w:val="4D4D4F"/>
          <w:spacing w:val="-3"/>
        </w:rPr>
        <w:t xml:space="preserve">to </w:t>
      </w:r>
      <w:r>
        <w:rPr>
          <w:color w:val="4D4D4F"/>
        </w:rPr>
        <w:t xml:space="preserve">be </w:t>
      </w:r>
      <w:r>
        <w:rPr>
          <w:color w:val="4D4D4F"/>
          <w:spacing w:val="-5"/>
        </w:rPr>
        <w:t xml:space="preserve">included </w:t>
      </w:r>
      <w:r>
        <w:rPr>
          <w:color w:val="4D4D4F"/>
          <w:spacing w:val="-4"/>
        </w:rPr>
        <w:t xml:space="preserve">in </w:t>
      </w:r>
      <w:r>
        <w:rPr>
          <w:color w:val="4D4D4F"/>
          <w:spacing w:val="-3"/>
        </w:rPr>
        <w:t xml:space="preserve">the broader </w:t>
      </w:r>
      <w:r>
        <w:rPr>
          <w:color w:val="4D4D4F"/>
          <w:spacing w:val="-5"/>
        </w:rPr>
        <w:t xml:space="preserve">analyses </w:t>
      </w:r>
      <w:r>
        <w:rPr>
          <w:color w:val="4D4D4F"/>
          <w:spacing w:val="-3"/>
        </w:rPr>
        <w:t xml:space="preserve">and </w:t>
      </w:r>
      <w:r>
        <w:rPr>
          <w:color w:val="4D4D4F"/>
          <w:spacing w:val="-5"/>
        </w:rPr>
        <w:t xml:space="preserve">including </w:t>
      </w:r>
      <w:r>
        <w:rPr>
          <w:color w:val="4D4D4F"/>
        </w:rPr>
        <w:t xml:space="preserve">a </w:t>
      </w:r>
      <w:r>
        <w:rPr>
          <w:color w:val="4D4D4F"/>
          <w:spacing w:val="-4"/>
        </w:rPr>
        <w:t xml:space="preserve">protocol that </w:t>
      </w:r>
      <w:r>
        <w:rPr>
          <w:color w:val="4D4D4F"/>
          <w:spacing w:val="-5"/>
        </w:rPr>
        <w:t xml:space="preserve">outlines </w:t>
      </w:r>
      <w:r>
        <w:rPr>
          <w:color w:val="4D4D4F"/>
          <w:spacing w:val="-3"/>
        </w:rPr>
        <w:t xml:space="preserve">the </w:t>
      </w:r>
      <w:r>
        <w:rPr>
          <w:color w:val="4D4D4F"/>
          <w:spacing w:val="-6"/>
        </w:rPr>
        <w:t xml:space="preserve">minimum </w:t>
      </w:r>
      <w:r>
        <w:rPr>
          <w:color w:val="4D4D4F"/>
        </w:rPr>
        <w:t>requirement to meet the KPI objective for data to be</w:t>
      </w:r>
      <w:r>
        <w:rPr>
          <w:color w:val="4D4D4F"/>
          <w:spacing w:val="-1"/>
        </w:rPr>
        <w:t xml:space="preserve"> </w:t>
      </w:r>
      <w:r>
        <w:rPr>
          <w:color w:val="4D4D4F"/>
        </w:rPr>
        <w:t>used.</w:t>
      </w:r>
    </w:p>
    <w:p w14:paraId="674A838E" w14:textId="77777777" w:rsidR="00EF5B27" w:rsidRDefault="00EF5B27">
      <w:pPr>
        <w:pStyle w:val="BodyText"/>
      </w:pPr>
    </w:p>
    <w:p w14:paraId="30A5D6D9" w14:textId="77777777" w:rsidR="00EF5B27" w:rsidRDefault="00EF5B27">
      <w:pPr>
        <w:pStyle w:val="BodyText"/>
        <w:spacing w:before="4"/>
        <w:rPr>
          <w:sz w:val="12"/>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35A2529F" w14:textId="77777777">
        <w:trPr>
          <w:trHeight w:val="561"/>
        </w:trPr>
        <w:tc>
          <w:tcPr>
            <w:tcW w:w="2980" w:type="dxa"/>
            <w:shd w:val="clear" w:color="auto" w:fill="FECC91"/>
          </w:tcPr>
          <w:p w14:paraId="65300AC3" w14:textId="77777777" w:rsidR="00EF5B27" w:rsidRDefault="00000000">
            <w:pPr>
              <w:pStyle w:val="TableParagraph"/>
              <w:spacing w:before="91" w:line="244" w:lineRule="auto"/>
              <w:ind w:left="80" w:right="540"/>
              <w:rPr>
                <w:b/>
                <w:sz w:val="16"/>
              </w:rPr>
            </w:pPr>
            <w:r>
              <w:rPr>
                <w:b/>
                <w:sz w:val="16"/>
              </w:rPr>
              <w:t>KPI 1: Proportion of monitoring sites that are occupied</w:t>
            </w:r>
          </w:p>
        </w:tc>
        <w:tc>
          <w:tcPr>
            <w:tcW w:w="1078" w:type="dxa"/>
            <w:shd w:val="clear" w:color="auto" w:fill="FECC91"/>
          </w:tcPr>
          <w:p w14:paraId="7F19C310"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1A5D300E" w14:textId="77777777" w:rsidR="00EF5B27" w:rsidRDefault="00EF5B27">
            <w:pPr>
              <w:pStyle w:val="TableParagraph"/>
              <w:spacing w:before="7"/>
              <w:rPr>
                <w:sz w:val="15"/>
              </w:rPr>
            </w:pPr>
          </w:p>
          <w:p w14:paraId="04094AA7"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738199AB" w14:textId="77777777" w:rsidR="00EF5B27" w:rsidRDefault="00EF5B27">
            <w:pPr>
              <w:pStyle w:val="TableParagraph"/>
              <w:spacing w:before="7"/>
              <w:rPr>
                <w:sz w:val="15"/>
              </w:rPr>
            </w:pPr>
          </w:p>
          <w:p w14:paraId="4DF12D61"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3866D09C"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5B5DB980"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5FCAC8F4" w14:textId="77777777">
        <w:trPr>
          <w:trHeight w:val="448"/>
        </w:trPr>
        <w:tc>
          <w:tcPr>
            <w:tcW w:w="2980" w:type="dxa"/>
          </w:tcPr>
          <w:p w14:paraId="2F485F8D" w14:textId="77777777" w:rsidR="00EF5B27" w:rsidRDefault="00EF5B27">
            <w:pPr>
              <w:pStyle w:val="TableParagraph"/>
              <w:spacing w:before="11"/>
              <w:rPr>
                <w:sz w:val="11"/>
              </w:rPr>
            </w:pPr>
          </w:p>
          <w:p w14:paraId="06866A22" w14:textId="77777777" w:rsidR="00EF5B27" w:rsidRDefault="00000000">
            <w:pPr>
              <w:pStyle w:val="TableParagraph"/>
              <w:ind w:left="80"/>
              <w:rPr>
                <w:sz w:val="14"/>
              </w:rPr>
            </w:pPr>
            <w:r>
              <w:rPr>
                <w:color w:val="4D4D4F"/>
                <w:sz w:val="14"/>
              </w:rPr>
              <w:t>Southern Brown Bandicoot Management Area</w:t>
            </w:r>
          </w:p>
        </w:tc>
        <w:tc>
          <w:tcPr>
            <w:tcW w:w="1078" w:type="dxa"/>
          </w:tcPr>
          <w:p w14:paraId="6DA25FE2" w14:textId="77777777" w:rsidR="00EF5B27" w:rsidRDefault="00EF5B27">
            <w:pPr>
              <w:pStyle w:val="TableParagraph"/>
              <w:spacing w:before="11"/>
              <w:rPr>
                <w:sz w:val="11"/>
              </w:rPr>
            </w:pPr>
          </w:p>
          <w:p w14:paraId="09455086" w14:textId="77777777" w:rsidR="00EF5B27" w:rsidRDefault="00000000">
            <w:pPr>
              <w:pStyle w:val="TableParagraph"/>
              <w:ind w:left="142"/>
              <w:rPr>
                <w:sz w:val="14"/>
              </w:rPr>
            </w:pPr>
            <w:r>
              <w:rPr>
                <w:color w:val="4D4D4F"/>
                <w:w w:val="105"/>
                <w:sz w:val="14"/>
              </w:rPr>
              <w:t>Not assessed</w:t>
            </w:r>
          </w:p>
        </w:tc>
        <w:tc>
          <w:tcPr>
            <w:tcW w:w="2155" w:type="dxa"/>
          </w:tcPr>
          <w:p w14:paraId="432EDC0D" w14:textId="77777777" w:rsidR="00EF5B27" w:rsidRDefault="00EF5B27">
            <w:pPr>
              <w:pStyle w:val="TableParagraph"/>
              <w:spacing w:before="11"/>
              <w:rPr>
                <w:sz w:val="11"/>
              </w:rPr>
            </w:pPr>
          </w:p>
          <w:p w14:paraId="77BCC17A" w14:textId="77777777" w:rsidR="00EF5B27" w:rsidRDefault="00000000">
            <w:pPr>
              <w:pStyle w:val="TableParagraph"/>
              <w:ind w:left="143" w:right="142"/>
              <w:jc w:val="center"/>
              <w:rPr>
                <w:sz w:val="14"/>
              </w:rPr>
            </w:pPr>
            <w:r>
              <w:rPr>
                <w:color w:val="4D4D4F"/>
                <w:sz w:val="14"/>
              </w:rPr>
              <w:t>Not monitored in 2020–2022</w:t>
            </w:r>
          </w:p>
        </w:tc>
        <w:tc>
          <w:tcPr>
            <w:tcW w:w="964" w:type="dxa"/>
          </w:tcPr>
          <w:p w14:paraId="1F574E99" w14:textId="77777777" w:rsidR="00EF5B27" w:rsidRDefault="00EF5B27">
            <w:pPr>
              <w:pStyle w:val="TableParagraph"/>
              <w:spacing w:before="4"/>
              <w:rPr>
                <w:sz w:val="7"/>
              </w:rPr>
            </w:pPr>
          </w:p>
          <w:p w14:paraId="736EFEFF" w14:textId="77777777" w:rsidR="00EF5B27" w:rsidRDefault="00000000">
            <w:pPr>
              <w:pStyle w:val="TableParagraph"/>
              <w:spacing w:line="187" w:lineRule="exact"/>
              <w:ind w:left="400"/>
              <w:rPr>
                <w:sz w:val="18"/>
              </w:rPr>
            </w:pPr>
            <w:r>
              <w:rPr>
                <w:noProof/>
                <w:position w:val="-3"/>
                <w:sz w:val="18"/>
              </w:rPr>
              <w:drawing>
                <wp:inline distT="0" distB="0" distL="0" distR="0" wp14:anchorId="5A9BEBFE" wp14:editId="2AB95913">
                  <wp:extent cx="100572" cy="119062"/>
                  <wp:effectExtent l="0" t="0" r="0" b="0"/>
                  <wp:docPr id="257"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01.png"/>
                          <pic:cNvPicPr/>
                        </pic:nvPicPr>
                        <pic:blipFill>
                          <a:blip r:embed="rId84" cstate="print"/>
                          <a:stretch>
                            <a:fillRect/>
                          </a:stretch>
                        </pic:blipFill>
                        <pic:spPr>
                          <a:xfrm>
                            <a:off x="0" y="0"/>
                            <a:ext cx="100572" cy="119062"/>
                          </a:xfrm>
                          <a:prstGeom prst="rect">
                            <a:avLst/>
                          </a:prstGeom>
                        </pic:spPr>
                      </pic:pic>
                    </a:graphicData>
                  </a:graphic>
                </wp:inline>
              </w:drawing>
            </w:r>
          </w:p>
          <w:p w14:paraId="04397E6B" w14:textId="77777777" w:rsidR="00EF5B27" w:rsidRDefault="00EF5B27">
            <w:pPr>
              <w:pStyle w:val="TableParagraph"/>
              <w:spacing w:before="8"/>
              <w:rPr>
                <w:sz w:val="2"/>
              </w:rPr>
            </w:pPr>
          </w:p>
          <w:p w14:paraId="2CB37310" w14:textId="77777777" w:rsidR="00EF5B27" w:rsidRDefault="00000000">
            <w:pPr>
              <w:pStyle w:val="TableParagraph"/>
              <w:spacing w:line="48" w:lineRule="exact"/>
              <w:ind w:left="448"/>
              <w:rPr>
                <w:sz w:val="4"/>
              </w:rPr>
            </w:pPr>
            <w:r>
              <w:rPr>
                <w:sz w:val="4"/>
              </w:rPr>
            </w:r>
            <w:r>
              <w:rPr>
                <w:sz w:val="4"/>
              </w:rPr>
              <w:pict w14:anchorId="0A82785C">
                <v:group id="_x0000_s3826" style="width:2.45pt;height:2.45pt;mso-position-horizontal-relative:char;mso-position-vertical-relative:line" coordsize="49,49">
                  <v:shape id="_x0000_s3827" style="position:absolute;width:49;height:49" coordsize="49,49" path="m31,l18,,12,2,2,12,,17,,31r2,6l12,46r6,3l31,49r6,-3l46,37r3,-6l49,17,46,12,37,2,31,xe" fillcolor="#808285" stroked="f">
                    <v:path arrowok="t"/>
                  </v:shape>
                  <w10:wrap type="none"/>
                  <w10:anchorlock/>
                </v:group>
              </w:pict>
            </w:r>
          </w:p>
        </w:tc>
        <w:tc>
          <w:tcPr>
            <w:tcW w:w="964" w:type="dxa"/>
          </w:tcPr>
          <w:p w14:paraId="7B51FC62" w14:textId="77777777" w:rsidR="00EF5B27" w:rsidRDefault="00EF5B27">
            <w:pPr>
              <w:pStyle w:val="TableParagraph"/>
              <w:spacing w:before="11"/>
              <w:rPr>
                <w:sz w:val="11"/>
              </w:rPr>
            </w:pPr>
          </w:p>
          <w:p w14:paraId="134C380F" w14:textId="77777777" w:rsidR="00EF5B27" w:rsidRDefault="00000000">
            <w:pPr>
              <w:pStyle w:val="TableParagraph"/>
              <w:ind w:left="318" w:right="323"/>
              <w:jc w:val="center"/>
              <w:rPr>
                <w:sz w:val="14"/>
              </w:rPr>
            </w:pPr>
            <w:r>
              <w:rPr>
                <w:color w:val="4D4D4F"/>
                <w:w w:val="105"/>
                <w:sz w:val="14"/>
              </w:rPr>
              <w:t>N/A</w:t>
            </w:r>
          </w:p>
        </w:tc>
        <w:tc>
          <w:tcPr>
            <w:tcW w:w="1489" w:type="dxa"/>
          </w:tcPr>
          <w:p w14:paraId="6E0F660C" w14:textId="77777777" w:rsidR="00EF5B27" w:rsidRDefault="00000000">
            <w:pPr>
              <w:pStyle w:val="TableParagraph"/>
              <w:spacing w:before="134"/>
              <w:ind w:left="452" w:right="457"/>
              <w:jc w:val="center"/>
              <w:rPr>
                <w:sz w:val="16"/>
              </w:rPr>
            </w:pPr>
            <w:r>
              <w:rPr>
                <w:color w:val="4D4D4F"/>
                <w:sz w:val="16"/>
              </w:rPr>
              <w:t>2019</w:t>
            </w:r>
          </w:p>
        </w:tc>
      </w:tr>
    </w:tbl>
    <w:p w14:paraId="018C1661" w14:textId="77777777" w:rsidR="00EF5B27" w:rsidRDefault="00EF5B27">
      <w:pPr>
        <w:pStyle w:val="BodyText"/>
        <w:spacing w:before="3"/>
        <w:rPr>
          <w:sz w:val="34"/>
        </w:rPr>
      </w:pPr>
    </w:p>
    <w:p w14:paraId="764343A1" w14:textId="77777777" w:rsidR="00EF5B27" w:rsidRDefault="00000000">
      <w:pPr>
        <w:pStyle w:val="BodyText"/>
        <w:spacing w:before="1" w:line="254" w:lineRule="auto"/>
        <w:ind w:left="2608" w:right="297"/>
      </w:pPr>
      <w:r>
        <w:pict w14:anchorId="4A500C5B">
          <v:group id="_x0000_s3823" style="position:absolute;left:0;text-align:left;margin-left:56.7pt;margin-top:110.25pt;width:481.9pt;height:.25pt;z-index:251490816;mso-position-horizontal-relative:page" coordorigin="1134,2205" coordsize="9638,5">
            <v:line id="_x0000_s3825" style="position:absolute" from="1134,2207" to="3628,2207" strokeweight=".25pt"/>
            <v:line id="_x0000_s3824" style="position:absolute" from="3628,2207" to="10772,2207" strokeweight=".25pt"/>
            <w10:wrap anchorx="page"/>
          </v:group>
        </w:pict>
      </w:r>
      <w:r>
        <w:rPr>
          <w:color w:val="4D4D4F"/>
          <w:spacing w:val="-4"/>
        </w:rPr>
        <w:t xml:space="preserve">Comments: </w:t>
      </w:r>
      <w:r>
        <w:rPr>
          <w:color w:val="4D4D4F"/>
        </w:rPr>
        <w:t xml:space="preserve">The </w:t>
      </w:r>
      <w:r>
        <w:rPr>
          <w:color w:val="4D4D4F"/>
          <w:spacing w:val="-5"/>
        </w:rPr>
        <w:t xml:space="preserve">baseline </w:t>
      </w:r>
      <w:r>
        <w:rPr>
          <w:color w:val="4D4D4F"/>
          <w:spacing w:val="-4"/>
        </w:rPr>
        <w:t xml:space="preserve">for </w:t>
      </w:r>
      <w:r>
        <w:rPr>
          <w:color w:val="4D4D4F"/>
          <w:spacing w:val="-3"/>
        </w:rPr>
        <w:t xml:space="preserve">Southern </w:t>
      </w:r>
      <w:r>
        <w:rPr>
          <w:color w:val="4D4D4F"/>
        </w:rPr>
        <w:t xml:space="preserve">Brown </w:t>
      </w:r>
      <w:r>
        <w:rPr>
          <w:color w:val="4D4D4F"/>
          <w:spacing w:val="-4"/>
        </w:rPr>
        <w:t xml:space="preserve">Bandicoot varies </w:t>
      </w:r>
      <w:r>
        <w:rPr>
          <w:color w:val="4D4D4F"/>
        </w:rPr>
        <w:t xml:space="preserve">by </w:t>
      </w:r>
      <w:r>
        <w:rPr>
          <w:color w:val="4D4D4F"/>
          <w:spacing w:val="-5"/>
        </w:rPr>
        <w:t xml:space="preserve">habitat </w:t>
      </w:r>
      <w:r>
        <w:rPr>
          <w:color w:val="4D4D4F"/>
        </w:rPr>
        <w:t xml:space="preserve">type; </w:t>
      </w:r>
      <w:r>
        <w:rPr>
          <w:color w:val="4D4D4F"/>
          <w:spacing w:val="-4"/>
        </w:rPr>
        <w:t xml:space="preserve">canal </w:t>
      </w:r>
      <w:r>
        <w:rPr>
          <w:color w:val="4D4D4F"/>
          <w:spacing w:val="-6"/>
        </w:rPr>
        <w:t xml:space="preserve">76%, </w:t>
      </w:r>
      <w:r>
        <w:rPr>
          <w:color w:val="4D4D4F"/>
        </w:rPr>
        <w:t xml:space="preserve">reserve 39% </w:t>
      </w:r>
      <w:r>
        <w:rPr>
          <w:color w:val="4D4D4F"/>
          <w:spacing w:val="-3"/>
        </w:rPr>
        <w:t xml:space="preserve">and </w:t>
      </w:r>
      <w:r>
        <w:rPr>
          <w:color w:val="4D4D4F"/>
        </w:rPr>
        <w:t xml:space="preserve">road 35% </w:t>
      </w:r>
      <w:r>
        <w:rPr>
          <w:color w:val="4D4D4F"/>
          <w:spacing w:val="-3"/>
        </w:rPr>
        <w:t xml:space="preserve">of </w:t>
      </w:r>
      <w:r>
        <w:rPr>
          <w:color w:val="4D4D4F"/>
          <w:spacing w:val="-5"/>
        </w:rPr>
        <w:t xml:space="preserve">sites </w:t>
      </w:r>
      <w:r>
        <w:rPr>
          <w:color w:val="4D4D4F"/>
          <w:spacing w:val="-4"/>
        </w:rPr>
        <w:t xml:space="preserve">occupied. Bandicoot detections </w:t>
      </w:r>
      <w:r>
        <w:rPr>
          <w:color w:val="4D4D4F"/>
          <w:spacing w:val="-3"/>
        </w:rPr>
        <w:t xml:space="preserve">were </w:t>
      </w:r>
      <w:r>
        <w:rPr>
          <w:color w:val="4D4D4F"/>
          <w:spacing w:val="-4"/>
        </w:rPr>
        <w:t xml:space="preserve">spread </w:t>
      </w:r>
      <w:r>
        <w:rPr>
          <w:color w:val="4D4D4F"/>
          <w:spacing w:val="-3"/>
        </w:rPr>
        <w:t xml:space="preserve">out across the </w:t>
      </w:r>
      <w:r>
        <w:rPr>
          <w:color w:val="4D4D4F"/>
          <w:spacing w:val="-5"/>
        </w:rPr>
        <w:t xml:space="preserve">management </w:t>
      </w:r>
      <w:r>
        <w:rPr>
          <w:color w:val="4D4D4F"/>
          <w:spacing w:val="-3"/>
        </w:rPr>
        <w:t xml:space="preserve">area, </w:t>
      </w:r>
      <w:r>
        <w:rPr>
          <w:color w:val="4D4D4F"/>
          <w:spacing w:val="-4"/>
        </w:rPr>
        <w:t xml:space="preserve">with </w:t>
      </w:r>
      <w:r>
        <w:rPr>
          <w:color w:val="4D4D4F"/>
          <w:spacing w:val="-5"/>
        </w:rPr>
        <w:t xml:space="preserve">notable </w:t>
      </w:r>
      <w:r>
        <w:rPr>
          <w:color w:val="4D4D4F"/>
          <w:spacing w:val="-4"/>
        </w:rPr>
        <w:t xml:space="preserve">areas </w:t>
      </w:r>
      <w:r>
        <w:rPr>
          <w:color w:val="4D4D4F"/>
          <w:spacing w:val="-3"/>
        </w:rPr>
        <w:t xml:space="preserve">of </w:t>
      </w:r>
      <w:r>
        <w:rPr>
          <w:color w:val="4D4D4F"/>
          <w:spacing w:val="-4"/>
        </w:rPr>
        <w:t xml:space="preserve">non-detection </w:t>
      </w:r>
      <w:r>
        <w:rPr>
          <w:color w:val="4D4D4F"/>
          <w:spacing w:val="-3"/>
        </w:rPr>
        <w:t xml:space="preserve">in </w:t>
      </w:r>
      <w:r>
        <w:rPr>
          <w:color w:val="4D4D4F"/>
        </w:rPr>
        <w:t xml:space="preserve">the south-western and north-eastern (north of the Princess Hwy) corners of the </w:t>
      </w:r>
      <w:r>
        <w:rPr>
          <w:color w:val="4D4D4F"/>
          <w:spacing w:val="-3"/>
        </w:rPr>
        <w:t xml:space="preserve">management </w:t>
      </w:r>
      <w:r>
        <w:rPr>
          <w:color w:val="4D4D4F"/>
        </w:rPr>
        <w:t xml:space="preserve">area. The KPI </w:t>
      </w:r>
      <w:r>
        <w:rPr>
          <w:color w:val="4D4D4F"/>
          <w:spacing w:val="-3"/>
        </w:rPr>
        <w:t xml:space="preserve">will </w:t>
      </w:r>
      <w:r>
        <w:rPr>
          <w:color w:val="4D4D4F"/>
        </w:rPr>
        <w:t xml:space="preserve">be </w:t>
      </w:r>
      <w:r>
        <w:rPr>
          <w:color w:val="4D4D4F"/>
          <w:spacing w:val="-4"/>
        </w:rPr>
        <w:t xml:space="preserve">assessed </w:t>
      </w:r>
      <w:r>
        <w:rPr>
          <w:color w:val="4D4D4F"/>
          <w:spacing w:val="-5"/>
        </w:rPr>
        <w:t xml:space="preserve">against </w:t>
      </w:r>
      <w:r>
        <w:rPr>
          <w:color w:val="4D4D4F"/>
          <w:spacing w:val="-4"/>
        </w:rPr>
        <w:t xml:space="preserve">these </w:t>
      </w:r>
      <w:r>
        <w:rPr>
          <w:color w:val="4D4D4F"/>
          <w:spacing w:val="-5"/>
        </w:rPr>
        <w:t xml:space="preserve">baselines </w:t>
      </w:r>
      <w:r>
        <w:rPr>
          <w:color w:val="4D4D4F"/>
          <w:spacing w:val="-4"/>
        </w:rPr>
        <w:t xml:space="preserve">in </w:t>
      </w:r>
      <w:r>
        <w:rPr>
          <w:color w:val="4D4D4F"/>
          <w:spacing w:val="-5"/>
        </w:rPr>
        <w:t xml:space="preserve">subsequent </w:t>
      </w:r>
      <w:r>
        <w:rPr>
          <w:color w:val="4D4D4F"/>
          <w:spacing w:val="-3"/>
        </w:rPr>
        <w:t xml:space="preserve">five-yearly surveys, </w:t>
      </w:r>
      <w:r>
        <w:rPr>
          <w:color w:val="4D4D4F"/>
          <w:spacing w:val="-4"/>
        </w:rPr>
        <w:t xml:space="preserve">with </w:t>
      </w:r>
      <w:r>
        <w:rPr>
          <w:color w:val="4D4D4F"/>
          <w:spacing w:val="-3"/>
        </w:rPr>
        <w:t xml:space="preserve">the next due </w:t>
      </w:r>
      <w:r>
        <w:rPr>
          <w:color w:val="4D4D4F"/>
          <w:spacing w:val="-4"/>
        </w:rPr>
        <w:t xml:space="preserve">in </w:t>
      </w:r>
      <w:r>
        <w:rPr>
          <w:color w:val="4D4D4F"/>
          <w:spacing w:val="-3"/>
        </w:rPr>
        <w:t xml:space="preserve">2024. </w:t>
      </w:r>
      <w:r>
        <w:rPr>
          <w:color w:val="4D4D4F"/>
          <w:spacing w:val="-5"/>
        </w:rPr>
        <w:t xml:space="preserve">Status </w:t>
      </w:r>
      <w:r>
        <w:rPr>
          <w:color w:val="4D4D4F"/>
          <w:spacing w:val="-4"/>
        </w:rPr>
        <w:t xml:space="preserve">assessments </w:t>
      </w:r>
      <w:r>
        <w:rPr>
          <w:color w:val="4D4D4F"/>
        </w:rPr>
        <w:t>are therefore not provided here, any trends are unclear and data confidence assessments are not applicable.</w:t>
      </w:r>
    </w:p>
    <w:p w14:paraId="0D8660C4" w14:textId="77777777" w:rsidR="00EF5B27" w:rsidRDefault="00EF5B27">
      <w:pPr>
        <w:pStyle w:val="BodyText"/>
      </w:pPr>
    </w:p>
    <w:p w14:paraId="773B0628" w14:textId="77777777" w:rsidR="00EF5B27" w:rsidRDefault="00000000">
      <w:pPr>
        <w:pStyle w:val="BodyText"/>
        <w:spacing w:before="7"/>
        <w:rPr>
          <w:sz w:val="10"/>
        </w:rPr>
      </w:pPr>
      <w:r>
        <w:pict w14:anchorId="7BF6DBF7">
          <v:shape id="_x0000_s3822" type="#_x0000_t202" style="position:absolute;margin-left:56.7pt;margin-top:7.65pt;width:481.9pt;height:25.3pt;z-index:251444736;mso-wrap-distance-left:0;mso-wrap-distance-right:0;mso-position-horizontal-relative:page" fillcolor="#fecc91" stroked="f">
            <v:textbox inset="0,0,0,0">
              <w:txbxContent>
                <w:p w14:paraId="135D4AEB" w14:textId="77777777" w:rsidR="00EF5B27" w:rsidRDefault="00000000">
                  <w:pPr>
                    <w:tabs>
                      <w:tab w:val="left" w:pos="2607"/>
                    </w:tabs>
                    <w:spacing w:before="140"/>
                    <w:ind w:left="113"/>
                    <w:rPr>
                      <w:b/>
                      <w:sz w:val="20"/>
                    </w:rPr>
                  </w:pPr>
                  <w:r>
                    <w:rPr>
                      <w:b/>
                      <w:color w:val="4D4D4F"/>
                      <w:sz w:val="20"/>
                    </w:rPr>
                    <w:t>Theme</w:t>
                  </w:r>
                  <w:r>
                    <w:rPr>
                      <w:b/>
                      <w:color w:val="4D4D4F"/>
                      <w:sz w:val="20"/>
                    </w:rPr>
                    <w:tab/>
                    <w:t>Southern Brown</w:t>
                  </w:r>
                  <w:r>
                    <w:rPr>
                      <w:b/>
                      <w:color w:val="4D4D4F"/>
                      <w:spacing w:val="8"/>
                      <w:sz w:val="20"/>
                    </w:rPr>
                    <w:t xml:space="preserve"> </w:t>
                  </w:r>
                  <w:r>
                    <w:rPr>
                      <w:b/>
                      <w:color w:val="4D4D4F"/>
                      <w:sz w:val="20"/>
                    </w:rPr>
                    <w:t>Bandicoot</w:t>
                  </w:r>
                </w:p>
              </w:txbxContent>
            </v:textbox>
            <w10:wrap type="topAndBottom" anchorx="page"/>
          </v:shape>
        </w:pict>
      </w:r>
    </w:p>
    <w:p w14:paraId="2E682D42" w14:textId="77777777" w:rsidR="00EF5B27" w:rsidRDefault="00EF5B27">
      <w:pPr>
        <w:pStyle w:val="BodyText"/>
        <w:spacing w:before="8"/>
        <w:rPr>
          <w:sz w:val="5"/>
        </w:rPr>
      </w:pPr>
    </w:p>
    <w:p w14:paraId="6D9D1936" w14:textId="77777777" w:rsidR="00EF5B27" w:rsidRDefault="00EF5B27">
      <w:pPr>
        <w:rPr>
          <w:sz w:val="5"/>
        </w:rPr>
        <w:sectPr w:rsidR="00EF5B27">
          <w:pgSz w:w="11910" w:h="16840"/>
          <w:pgMar w:top="1080" w:right="1020" w:bottom="860" w:left="1020" w:header="537" w:footer="678" w:gutter="0"/>
          <w:cols w:space="720"/>
        </w:sectPr>
      </w:pPr>
    </w:p>
    <w:p w14:paraId="3EDD1D76" w14:textId="77777777" w:rsidR="00EF5B27" w:rsidRDefault="00000000">
      <w:pPr>
        <w:pStyle w:val="BodyText"/>
        <w:spacing w:before="54"/>
        <w:ind w:left="227"/>
      </w:pPr>
      <w:r>
        <w:pict w14:anchorId="48619BED">
          <v:group id="_x0000_s3819" style="position:absolute;left:0;text-align:left;margin-left:56.7pt;margin-top:-4.2pt;width:481.9pt;height:.25pt;z-index:251491840;mso-position-horizontal-relative:page" coordorigin="1134,-84" coordsize="9638,5">
            <v:line id="_x0000_s3821" style="position:absolute" from="1134,-81" to="3628,-81" strokeweight=".25pt"/>
            <v:line id="_x0000_s3820" style="position:absolute" from="3628,-81" to="10772,-81" strokeweight=".25pt"/>
            <w10:wrap anchorx="page"/>
          </v:group>
        </w:pict>
      </w:r>
      <w:r>
        <w:rPr>
          <w:color w:val="4D4D4F"/>
        </w:rPr>
        <w:t>Recommendation</w:t>
      </w:r>
    </w:p>
    <w:p w14:paraId="43C0009F" w14:textId="77777777" w:rsidR="00EF5B27" w:rsidRDefault="00000000">
      <w:pPr>
        <w:pStyle w:val="Heading1"/>
        <w:spacing w:before="3"/>
      </w:pPr>
      <w:r>
        <w:rPr>
          <w:color w:val="4D4D4F"/>
          <w:spacing w:val="-56"/>
          <w:w w:val="105"/>
        </w:rPr>
        <w:t>11</w:t>
      </w:r>
    </w:p>
    <w:p w14:paraId="37E4BBEA" w14:textId="77777777" w:rsidR="00EF5B27" w:rsidRDefault="00000000">
      <w:pPr>
        <w:pStyle w:val="BodyText"/>
        <w:spacing w:before="54" w:line="254" w:lineRule="auto"/>
        <w:ind w:left="227" w:right="407"/>
      </w:pPr>
      <w:r>
        <w:br w:type="column"/>
      </w:r>
      <w:r>
        <w:rPr>
          <w:color w:val="4D4D4F"/>
        </w:rPr>
        <w:t>That DELWP undertakes research into habitat preferences and species responses to pressures and management regimes for the Southern Brown Bandicoot. This would include designing a protocol for leveraging citizen science and empowering partner organisations to contribute to reporting on the</w:t>
      </w:r>
      <w:r>
        <w:rPr>
          <w:color w:val="4D4D4F"/>
          <w:spacing w:val="37"/>
        </w:rPr>
        <w:t xml:space="preserve"> </w:t>
      </w:r>
      <w:r>
        <w:rPr>
          <w:color w:val="4D4D4F"/>
        </w:rPr>
        <w:t>KPIs.</w:t>
      </w:r>
    </w:p>
    <w:p w14:paraId="5D09C5EA"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704" w:space="790"/>
            <w:col w:w="7376"/>
          </w:cols>
        </w:sectPr>
      </w:pPr>
    </w:p>
    <w:p w14:paraId="5AFA8DE7" w14:textId="77777777" w:rsidR="00EF5B27" w:rsidRDefault="00000000">
      <w:pPr>
        <w:pStyle w:val="BodyText"/>
        <w:spacing w:before="4"/>
        <w:rPr>
          <w:sz w:val="9"/>
        </w:rPr>
      </w:pPr>
      <w:r>
        <w:pict w14:anchorId="63A79D0D">
          <v:group id="_x0000_s3811" style="position:absolute;margin-left:587.05pt;margin-top:183.4pt;width:8.25pt;height:153.1pt;z-index:251489792;mso-position-horizontal-relative:page;mso-position-vertical-relative:page" coordorigin="11741,3668" coordsize="165,3062">
            <v:shape id="_x0000_s3818" style="position:absolute;left:11741;top:3668;width:165;height:561" coordorigin="11741,3668" coordsize="165,561" path="m11906,3668r-165,l11741,4228r165,-18l11906,3668xe" fillcolor="#00aed9" stroked="f">
              <v:path arrowok="t"/>
            </v:shape>
            <v:shape id="_x0000_s3817" style="position:absolute;left:11741;top:4118;width:165;height:425" coordorigin="11741,4118" coordsize="165,425" path="m11906,4118r-165,14l11741,4531r165,12l11906,4118xe" fillcolor="#047ebc" stroked="f">
              <v:path arrowok="t"/>
            </v:shape>
            <v:shape id="_x0000_s3816" type="#_x0000_t75" style="position:absolute;left:11741;top:4355;width:165;height:587">
              <v:imagedata r:id="rId42" o:title=""/>
            </v:shape>
            <v:shape id="_x0000_s3815" style="position:absolute;left:11741;top:5343;width:165;height:536" coordorigin="11741,5343" coordsize="165,536" path="m11741,5343r,535l11906,5872r,-525l11741,5343xe" fillcolor="#f36a2e" stroked="f">
              <v:path arrowok="t"/>
            </v:shape>
            <v:shape id="_x0000_s3814" style="position:absolute;left:11741;top:4925;width:165;height:501" coordorigin="11741,4926" coordsize="165,501" path="m11741,4926r,500l11906,5426r,-485l11741,4926xe" fillcolor="#49783f" stroked="f">
              <v:path arrowok="t"/>
            </v:shape>
            <v:shape id="_x0000_s3813" style="position:absolute;left:11741;top:5781;width:165;height:268" coordorigin="11741,5782" coordsize="165,268" path="m11906,5782r-165,8l11741,6039r165,10l11906,5782xe" fillcolor="#f99f2a" stroked="f">
              <v:path arrowok="t"/>
            </v:shape>
            <v:shape id="_x0000_s3812" style="position:absolute;left:11741;top:6023;width:165;height:707" coordorigin="11741,6023" coordsize="165,707" path="m11741,6023r,706l11906,6729r,-690l11741,6023xe" fillcolor="#ef412c" stroked="f">
              <v:path arrowok="t"/>
            </v:shape>
            <w10:wrap anchorx="page" anchory="page"/>
          </v:group>
        </w:pict>
      </w:r>
    </w:p>
    <w:p w14:paraId="5922C656" w14:textId="77777777" w:rsidR="00EF5B27" w:rsidRDefault="00000000">
      <w:pPr>
        <w:pStyle w:val="BodyText"/>
        <w:spacing w:line="20" w:lineRule="exact"/>
        <w:ind w:left="110"/>
        <w:rPr>
          <w:sz w:val="2"/>
        </w:rPr>
      </w:pPr>
      <w:r>
        <w:rPr>
          <w:sz w:val="2"/>
        </w:rPr>
      </w:r>
      <w:r>
        <w:rPr>
          <w:sz w:val="2"/>
        </w:rPr>
        <w:pict w14:anchorId="43E8D47E">
          <v:group id="_x0000_s3808" style="width:481.9pt;height:.25pt;mso-position-horizontal-relative:char;mso-position-vertical-relative:line" coordsize="9638,5">
            <v:line id="_x0000_s3810" style="position:absolute" from="0,3" to="2494,3" strokeweight=".25pt"/>
            <v:line id="_x0000_s3809" style="position:absolute" from="2494,3" to="9638,3" strokeweight=".25pt"/>
            <w10:anchorlock/>
          </v:group>
        </w:pict>
      </w:r>
    </w:p>
    <w:p w14:paraId="261FAEE8" w14:textId="77777777" w:rsidR="00EF5B27" w:rsidRDefault="00EF5B27">
      <w:pPr>
        <w:pStyle w:val="BodyText"/>
      </w:pPr>
    </w:p>
    <w:p w14:paraId="2885AFB5" w14:textId="77777777" w:rsidR="00EF5B27" w:rsidRDefault="00EF5B27">
      <w:pPr>
        <w:pStyle w:val="BodyText"/>
      </w:pPr>
    </w:p>
    <w:p w14:paraId="2BB279CA" w14:textId="77777777" w:rsidR="00EF5B27" w:rsidRDefault="00EF5B27">
      <w:pPr>
        <w:pStyle w:val="BodyText"/>
      </w:pPr>
    </w:p>
    <w:p w14:paraId="78F6F559" w14:textId="77777777" w:rsidR="00EF5B27" w:rsidRDefault="00EF5B27">
      <w:pPr>
        <w:pStyle w:val="BodyText"/>
      </w:pPr>
    </w:p>
    <w:p w14:paraId="352F55AA" w14:textId="77777777" w:rsidR="00EF5B27" w:rsidRDefault="00EF5B27">
      <w:pPr>
        <w:pStyle w:val="BodyText"/>
      </w:pPr>
    </w:p>
    <w:p w14:paraId="73F617D2" w14:textId="77777777" w:rsidR="00EF5B27" w:rsidRDefault="00EF5B27">
      <w:pPr>
        <w:pStyle w:val="BodyText"/>
      </w:pPr>
    </w:p>
    <w:p w14:paraId="42FCD4EA" w14:textId="77777777" w:rsidR="00EF5B27" w:rsidRDefault="00000000">
      <w:pPr>
        <w:pStyle w:val="BodyText"/>
        <w:spacing w:before="7"/>
        <w:rPr>
          <w:sz w:val="19"/>
        </w:rPr>
      </w:pPr>
      <w:r>
        <w:pict w14:anchorId="562CB14D">
          <v:line id="_x0000_s3807" style="position:absolute;z-index:251445760;mso-wrap-distance-left:0;mso-wrap-distance-right:0;mso-position-horizontal-relative:page" from="181.45pt,14.2pt" to="538.6pt,14.2pt" strokecolor="#4d4d4f" strokeweight=".5pt">
            <w10:wrap type="topAndBottom" anchorx="page"/>
          </v:line>
        </w:pict>
      </w:r>
    </w:p>
    <w:p w14:paraId="7880F823" w14:textId="77777777" w:rsidR="00EF5B27" w:rsidRDefault="00000000">
      <w:pPr>
        <w:pStyle w:val="ListParagraph"/>
        <w:numPr>
          <w:ilvl w:val="0"/>
          <w:numId w:val="49"/>
        </w:numPr>
        <w:tabs>
          <w:tab w:val="left" w:pos="2836"/>
        </w:tabs>
        <w:spacing w:before="83" w:line="143" w:lineRule="exact"/>
        <w:ind w:hanging="226"/>
        <w:rPr>
          <w:sz w:val="12"/>
        </w:rPr>
      </w:pPr>
      <w:r>
        <w:rPr>
          <w:color w:val="4D4D4F"/>
          <w:sz w:val="12"/>
        </w:rPr>
        <w:t>DELWP</w:t>
      </w:r>
      <w:r>
        <w:rPr>
          <w:color w:val="4D4D4F"/>
          <w:spacing w:val="11"/>
          <w:sz w:val="12"/>
        </w:rPr>
        <w:t xml:space="preserve"> </w:t>
      </w:r>
      <w:r>
        <w:rPr>
          <w:color w:val="4D4D4F"/>
          <w:sz w:val="12"/>
        </w:rPr>
        <w:t>Officer,</w:t>
      </w:r>
      <w:r>
        <w:rPr>
          <w:color w:val="4D4D4F"/>
          <w:spacing w:val="12"/>
          <w:sz w:val="12"/>
        </w:rPr>
        <w:t xml:space="preserve"> </w:t>
      </w:r>
      <w:r>
        <w:rPr>
          <w:color w:val="4D4D4F"/>
          <w:sz w:val="12"/>
        </w:rPr>
        <w:t>personal</w:t>
      </w:r>
      <w:r>
        <w:rPr>
          <w:color w:val="4D4D4F"/>
          <w:spacing w:val="11"/>
          <w:sz w:val="12"/>
        </w:rPr>
        <w:t xml:space="preserve"> </w:t>
      </w:r>
      <w:r>
        <w:rPr>
          <w:color w:val="4D4D4F"/>
          <w:sz w:val="12"/>
        </w:rPr>
        <w:t>communication,</w:t>
      </w:r>
      <w:r>
        <w:rPr>
          <w:color w:val="4D4D4F"/>
          <w:spacing w:val="12"/>
          <w:sz w:val="12"/>
        </w:rPr>
        <w:t xml:space="preserve"> </w:t>
      </w:r>
      <w:r>
        <w:rPr>
          <w:color w:val="4D4D4F"/>
          <w:sz w:val="12"/>
        </w:rPr>
        <w:t>29</w:t>
      </w:r>
      <w:r>
        <w:rPr>
          <w:color w:val="4D4D4F"/>
          <w:spacing w:val="12"/>
          <w:sz w:val="12"/>
        </w:rPr>
        <w:t xml:space="preserve"> </w:t>
      </w:r>
      <w:r>
        <w:rPr>
          <w:color w:val="4D4D4F"/>
          <w:spacing w:val="2"/>
          <w:sz w:val="12"/>
        </w:rPr>
        <w:t>February</w:t>
      </w:r>
      <w:r>
        <w:rPr>
          <w:color w:val="4D4D4F"/>
          <w:spacing w:val="11"/>
          <w:sz w:val="12"/>
        </w:rPr>
        <w:t xml:space="preserve"> </w:t>
      </w:r>
      <w:r>
        <w:rPr>
          <w:color w:val="4D4D4F"/>
          <w:spacing w:val="2"/>
          <w:sz w:val="12"/>
        </w:rPr>
        <w:t>2022.</w:t>
      </w:r>
    </w:p>
    <w:p w14:paraId="06BC3C79" w14:textId="77777777" w:rsidR="00EF5B27" w:rsidRDefault="00000000">
      <w:pPr>
        <w:pStyle w:val="ListParagraph"/>
        <w:numPr>
          <w:ilvl w:val="0"/>
          <w:numId w:val="49"/>
        </w:numPr>
        <w:tabs>
          <w:tab w:val="left" w:pos="2836"/>
        </w:tabs>
        <w:spacing w:line="140" w:lineRule="exact"/>
        <w:ind w:hanging="226"/>
        <w:rPr>
          <w:sz w:val="12"/>
        </w:rPr>
      </w:pPr>
      <w:r>
        <w:rPr>
          <w:color w:val="4D4D4F"/>
          <w:sz w:val="12"/>
        </w:rPr>
        <w:t>DELWP</w:t>
      </w:r>
      <w:r>
        <w:rPr>
          <w:color w:val="4D4D4F"/>
          <w:spacing w:val="11"/>
          <w:sz w:val="12"/>
        </w:rPr>
        <w:t xml:space="preserve"> </w:t>
      </w:r>
      <w:r>
        <w:rPr>
          <w:color w:val="4D4D4F"/>
          <w:sz w:val="12"/>
        </w:rPr>
        <w:t>Officer,</w:t>
      </w:r>
      <w:r>
        <w:rPr>
          <w:color w:val="4D4D4F"/>
          <w:spacing w:val="12"/>
          <w:sz w:val="12"/>
        </w:rPr>
        <w:t xml:space="preserve"> </w:t>
      </w:r>
      <w:r>
        <w:rPr>
          <w:color w:val="4D4D4F"/>
          <w:sz w:val="12"/>
        </w:rPr>
        <w:t>personal</w:t>
      </w:r>
      <w:r>
        <w:rPr>
          <w:color w:val="4D4D4F"/>
          <w:spacing w:val="11"/>
          <w:sz w:val="12"/>
        </w:rPr>
        <w:t xml:space="preserve"> </w:t>
      </w:r>
      <w:r>
        <w:rPr>
          <w:color w:val="4D4D4F"/>
          <w:sz w:val="12"/>
        </w:rPr>
        <w:t>communication,</w:t>
      </w:r>
      <w:r>
        <w:rPr>
          <w:color w:val="4D4D4F"/>
          <w:spacing w:val="12"/>
          <w:sz w:val="12"/>
        </w:rPr>
        <w:t xml:space="preserve"> </w:t>
      </w:r>
      <w:r>
        <w:rPr>
          <w:color w:val="4D4D4F"/>
          <w:sz w:val="12"/>
        </w:rPr>
        <w:t>29</w:t>
      </w:r>
      <w:r>
        <w:rPr>
          <w:color w:val="4D4D4F"/>
          <w:spacing w:val="12"/>
          <w:sz w:val="12"/>
        </w:rPr>
        <w:t xml:space="preserve"> </w:t>
      </w:r>
      <w:r>
        <w:rPr>
          <w:color w:val="4D4D4F"/>
          <w:spacing w:val="2"/>
          <w:sz w:val="12"/>
        </w:rPr>
        <w:t>February</w:t>
      </w:r>
      <w:r>
        <w:rPr>
          <w:color w:val="4D4D4F"/>
          <w:spacing w:val="11"/>
          <w:sz w:val="12"/>
        </w:rPr>
        <w:t xml:space="preserve"> </w:t>
      </w:r>
      <w:r>
        <w:rPr>
          <w:color w:val="4D4D4F"/>
          <w:spacing w:val="2"/>
          <w:sz w:val="12"/>
        </w:rPr>
        <w:t>2022.</w:t>
      </w:r>
    </w:p>
    <w:p w14:paraId="7E6894D7" w14:textId="77777777" w:rsidR="00EF5B27" w:rsidRDefault="00000000">
      <w:pPr>
        <w:pStyle w:val="ListParagraph"/>
        <w:numPr>
          <w:ilvl w:val="0"/>
          <w:numId w:val="49"/>
        </w:numPr>
        <w:tabs>
          <w:tab w:val="left" w:pos="2836"/>
        </w:tabs>
        <w:spacing w:line="143" w:lineRule="exact"/>
        <w:ind w:hanging="226"/>
        <w:rPr>
          <w:sz w:val="12"/>
        </w:rPr>
      </w:pPr>
      <w:r>
        <w:rPr>
          <w:color w:val="4D4D4F"/>
          <w:sz w:val="12"/>
        </w:rPr>
        <w:t>DELWP</w:t>
      </w:r>
      <w:r>
        <w:rPr>
          <w:color w:val="4D4D4F"/>
          <w:spacing w:val="11"/>
          <w:sz w:val="12"/>
        </w:rPr>
        <w:t xml:space="preserve"> </w:t>
      </w:r>
      <w:r>
        <w:rPr>
          <w:color w:val="4D4D4F"/>
          <w:sz w:val="12"/>
        </w:rPr>
        <w:t>Officer,</w:t>
      </w:r>
      <w:r>
        <w:rPr>
          <w:color w:val="4D4D4F"/>
          <w:spacing w:val="12"/>
          <w:sz w:val="12"/>
        </w:rPr>
        <w:t xml:space="preserve"> </w:t>
      </w:r>
      <w:r>
        <w:rPr>
          <w:color w:val="4D4D4F"/>
          <w:sz w:val="12"/>
        </w:rPr>
        <w:t>personal</w:t>
      </w:r>
      <w:r>
        <w:rPr>
          <w:color w:val="4D4D4F"/>
          <w:spacing w:val="11"/>
          <w:sz w:val="12"/>
        </w:rPr>
        <w:t xml:space="preserve"> </w:t>
      </w:r>
      <w:r>
        <w:rPr>
          <w:color w:val="4D4D4F"/>
          <w:sz w:val="12"/>
        </w:rPr>
        <w:t>communication,</w:t>
      </w:r>
      <w:r>
        <w:rPr>
          <w:color w:val="4D4D4F"/>
          <w:spacing w:val="12"/>
          <w:sz w:val="12"/>
        </w:rPr>
        <w:t xml:space="preserve"> </w:t>
      </w:r>
      <w:r>
        <w:rPr>
          <w:color w:val="4D4D4F"/>
          <w:sz w:val="12"/>
        </w:rPr>
        <w:t>29</w:t>
      </w:r>
      <w:r>
        <w:rPr>
          <w:color w:val="4D4D4F"/>
          <w:spacing w:val="12"/>
          <w:sz w:val="12"/>
        </w:rPr>
        <w:t xml:space="preserve"> </w:t>
      </w:r>
      <w:r>
        <w:rPr>
          <w:color w:val="4D4D4F"/>
          <w:spacing w:val="2"/>
          <w:sz w:val="12"/>
        </w:rPr>
        <w:t>February</w:t>
      </w:r>
      <w:r>
        <w:rPr>
          <w:color w:val="4D4D4F"/>
          <w:spacing w:val="11"/>
          <w:sz w:val="12"/>
        </w:rPr>
        <w:t xml:space="preserve"> </w:t>
      </w:r>
      <w:r>
        <w:rPr>
          <w:color w:val="4D4D4F"/>
          <w:spacing w:val="2"/>
          <w:sz w:val="12"/>
        </w:rPr>
        <w:t>2022.</w:t>
      </w:r>
    </w:p>
    <w:p w14:paraId="0D2306BA" w14:textId="77777777" w:rsidR="00EF5B27" w:rsidRDefault="00EF5B27">
      <w:pPr>
        <w:spacing w:line="143" w:lineRule="exact"/>
        <w:rPr>
          <w:sz w:val="12"/>
        </w:rPr>
        <w:sectPr w:rsidR="00EF5B27">
          <w:type w:val="continuous"/>
          <w:pgSz w:w="11910" w:h="16840"/>
          <w:pgMar w:top="1140" w:right="1020" w:bottom="280" w:left="1020" w:header="720" w:footer="720" w:gutter="0"/>
          <w:cols w:space="720"/>
        </w:sectPr>
      </w:pPr>
    </w:p>
    <w:p w14:paraId="13C5C28C" w14:textId="77777777" w:rsidR="00EF5B27" w:rsidRDefault="00EF5B27">
      <w:pPr>
        <w:pStyle w:val="BodyText"/>
      </w:pPr>
    </w:p>
    <w:p w14:paraId="24C53872" w14:textId="77777777" w:rsidR="00EF5B27" w:rsidRDefault="00EF5B27">
      <w:pPr>
        <w:pStyle w:val="BodyText"/>
      </w:pPr>
    </w:p>
    <w:p w14:paraId="3D13411C" w14:textId="77777777" w:rsidR="00EF5B27" w:rsidRDefault="00EF5B27">
      <w:pPr>
        <w:pStyle w:val="BodyText"/>
      </w:pPr>
    </w:p>
    <w:p w14:paraId="26B5A4E4" w14:textId="77777777" w:rsidR="00EF5B27" w:rsidRDefault="00EF5B27">
      <w:pPr>
        <w:pStyle w:val="BodyText"/>
      </w:pPr>
    </w:p>
    <w:p w14:paraId="218390E0" w14:textId="77777777" w:rsidR="00EF5B27" w:rsidRDefault="00EF5B27">
      <w:pPr>
        <w:pStyle w:val="BodyText"/>
        <w:spacing w:before="5"/>
        <w:rPr>
          <w:sz w:val="16"/>
        </w:rPr>
      </w:pPr>
    </w:p>
    <w:p w14:paraId="4F59B73E" w14:textId="77777777" w:rsidR="00EF5B27" w:rsidRDefault="00000000">
      <w:pPr>
        <w:pStyle w:val="BodyText"/>
        <w:ind w:left="113" w:right="-15"/>
      </w:pPr>
      <w:bookmarkStart w:id="19" w:name="_bookmark18"/>
      <w:bookmarkEnd w:id="19"/>
      <w:r>
        <w:rPr>
          <w:noProof/>
        </w:rPr>
        <w:drawing>
          <wp:inline distT="0" distB="0" distL="0" distR="0" wp14:anchorId="0B9AB469" wp14:editId="4907E707">
            <wp:extent cx="1371606" cy="1371600"/>
            <wp:effectExtent l="0" t="0" r="0" b="0"/>
            <wp:docPr id="259"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02.jpeg"/>
                    <pic:cNvPicPr/>
                  </pic:nvPicPr>
                  <pic:blipFill>
                    <a:blip r:embed="rId101" cstate="print"/>
                    <a:stretch>
                      <a:fillRect/>
                    </a:stretch>
                  </pic:blipFill>
                  <pic:spPr>
                    <a:xfrm>
                      <a:off x="0" y="0"/>
                      <a:ext cx="1371606" cy="1371600"/>
                    </a:xfrm>
                    <a:prstGeom prst="rect">
                      <a:avLst/>
                    </a:prstGeom>
                  </pic:spPr>
                </pic:pic>
              </a:graphicData>
            </a:graphic>
          </wp:inline>
        </w:drawing>
      </w:r>
    </w:p>
    <w:p w14:paraId="3FD7A582" w14:textId="77777777" w:rsidR="00EF5B27" w:rsidRDefault="00000000">
      <w:pPr>
        <w:spacing w:before="80"/>
        <w:ind w:left="113"/>
        <w:rPr>
          <w:rFonts w:ascii="Century Gothic"/>
          <w:i/>
          <w:sz w:val="12"/>
        </w:rPr>
      </w:pPr>
      <w:r>
        <w:rPr>
          <w:rFonts w:ascii="Century Gothic"/>
          <w:i/>
          <w:color w:val="4D4D4F"/>
          <w:sz w:val="12"/>
        </w:rPr>
        <w:t>Growling Grass Frog</w:t>
      </w:r>
    </w:p>
    <w:p w14:paraId="4EF539DA" w14:textId="77777777" w:rsidR="00EF5B27" w:rsidRDefault="00000000">
      <w:pPr>
        <w:pStyle w:val="BodyText"/>
        <w:rPr>
          <w:rFonts w:ascii="Century Gothic"/>
          <w:i/>
          <w:sz w:val="36"/>
        </w:rPr>
      </w:pPr>
      <w:r>
        <w:br w:type="column"/>
      </w:r>
    </w:p>
    <w:p w14:paraId="30B940EE" w14:textId="77777777" w:rsidR="00EF5B27" w:rsidRDefault="00EF5B27">
      <w:pPr>
        <w:pStyle w:val="BodyText"/>
        <w:rPr>
          <w:rFonts w:ascii="Century Gothic"/>
          <w:i/>
          <w:sz w:val="36"/>
        </w:rPr>
      </w:pPr>
    </w:p>
    <w:p w14:paraId="4DFCB10B" w14:textId="77777777" w:rsidR="00EF5B27" w:rsidRDefault="00000000">
      <w:pPr>
        <w:pStyle w:val="Heading3"/>
        <w:spacing w:before="245"/>
        <w:ind w:left="113"/>
      </w:pPr>
      <w:r>
        <w:rPr>
          <w:color w:val="F99F2A"/>
          <w:w w:val="105"/>
        </w:rPr>
        <w:t>MNES 8: Growling Grass Frog</w:t>
      </w:r>
    </w:p>
    <w:p w14:paraId="7220D0E1" w14:textId="77777777" w:rsidR="00EF5B27" w:rsidRDefault="00EF5B27">
      <w:pPr>
        <w:pStyle w:val="BodyText"/>
        <w:spacing w:before="5"/>
        <w:rPr>
          <w:b/>
          <w:sz w:val="27"/>
        </w:rPr>
      </w:pPr>
    </w:p>
    <w:p w14:paraId="6FFA386E" w14:textId="77777777" w:rsidR="00EF5B27" w:rsidRDefault="00000000">
      <w:pPr>
        <w:pStyle w:val="Heading6"/>
        <w:ind w:left="113"/>
      </w:pPr>
      <w:r>
        <w:rPr>
          <w:color w:val="4D4D4F"/>
        </w:rPr>
        <w:t>Key insights and management implications for the Growling Grass Frog</w:t>
      </w:r>
    </w:p>
    <w:p w14:paraId="6D53B4FE" w14:textId="77777777" w:rsidR="00EF5B27" w:rsidRDefault="00EF5B27">
      <w:pPr>
        <w:pStyle w:val="BodyText"/>
        <w:spacing w:before="11"/>
        <w:rPr>
          <w:b/>
          <w:sz w:val="19"/>
        </w:rPr>
      </w:pPr>
    </w:p>
    <w:p w14:paraId="3F5356CE" w14:textId="77777777" w:rsidR="00EF5B27" w:rsidRDefault="00000000">
      <w:pPr>
        <w:pStyle w:val="BodyText"/>
        <w:spacing w:line="254" w:lineRule="auto"/>
        <w:ind w:left="113" w:right="167"/>
      </w:pPr>
      <w:r>
        <w:rPr>
          <w:color w:val="4D4D4F"/>
        </w:rPr>
        <w:t>The current KPI doesn’t rely on the actual status of frog populations – it is instead  based on the modelled risk of extinction. There are some  shortcomings  to  this method, because if the model incorrectly determines that risk is low then the outcome is met even if the population is in reality declining/extinct.</w:t>
      </w:r>
      <w:r>
        <w:rPr>
          <w:color w:val="4D4D4F"/>
          <w:position w:val="7"/>
          <w:sz w:val="11"/>
        </w:rPr>
        <w:t xml:space="preserve">84 </w:t>
      </w:r>
      <w:r>
        <w:rPr>
          <w:color w:val="4D4D4F"/>
        </w:rPr>
        <w:t>There is an outstanding need to establish baseline monitoring for new corridors, with DELWP commencing this work in 2021 (outside this report’s data acquisition</w:t>
      </w:r>
      <w:r>
        <w:rPr>
          <w:color w:val="4D4D4F"/>
          <w:spacing w:val="24"/>
        </w:rPr>
        <w:t xml:space="preserve"> </w:t>
      </w:r>
      <w:r>
        <w:rPr>
          <w:color w:val="4D4D4F"/>
        </w:rPr>
        <w:t>period).</w:t>
      </w:r>
    </w:p>
    <w:p w14:paraId="7B35F147" w14:textId="77777777" w:rsidR="00EF5B27" w:rsidRDefault="00000000">
      <w:pPr>
        <w:pStyle w:val="BodyText"/>
        <w:spacing w:before="121" w:line="254" w:lineRule="auto"/>
        <w:ind w:left="113" w:right="236"/>
      </w:pPr>
      <w:r>
        <w:rPr>
          <w:color w:val="4D4D4F"/>
        </w:rPr>
        <w:t>Formal monitoring is being undertaken by professional ecologists and supplemented with data collected in citizen science programs and frog monitoring apps. This extra effort to monitor sites will not only help with data acquisition, but will assist in finding new sites, and may fill in some of the temporal gaps to improve the volume and quality of data. DELWP wishes to direct people's enthusiasm and effort to the MSA area.</w:t>
      </w:r>
      <w:r>
        <w:rPr>
          <w:color w:val="4D4D4F"/>
          <w:position w:val="7"/>
          <w:sz w:val="11"/>
        </w:rPr>
        <w:t xml:space="preserve">85 </w:t>
      </w:r>
      <w:r>
        <w:rPr>
          <w:color w:val="4D4D4F"/>
        </w:rPr>
        <w:t>Uncertainty is reduced through citizen science data collection supplementing conventional monitoring.</w:t>
      </w:r>
    </w:p>
    <w:p w14:paraId="5F7625D4" w14:textId="77777777" w:rsidR="00EF5B27" w:rsidRDefault="00000000">
      <w:pPr>
        <w:pStyle w:val="BodyText"/>
        <w:spacing w:before="122" w:line="254" w:lineRule="auto"/>
        <w:ind w:left="113" w:right="249"/>
      </w:pPr>
      <w:r>
        <w:pict w14:anchorId="4F36CAF0">
          <v:shape id="_x0000_s3806" type="#_x0000_t202" style="position:absolute;left:0;text-align:left;margin-left:57pt;margin-top:155.3pt;width:481.75pt;height:51.3pt;z-index:251497984;mso-position-horizontal-relative:page" filled="f" stroked="f">
            <v:textbox inset="0,0,0,0">
              <w:txbxContent>
                <w:tbl>
                  <w:tblPr>
                    <w:tblW w:w="0" w:type="auto"/>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66FD9343" w14:textId="77777777">
                    <w:trPr>
                      <w:trHeight w:val="561"/>
                    </w:trPr>
                    <w:tc>
                      <w:tcPr>
                        <w:tcW w:w="2980" w:type="dxa"/>
                        <w:shd w:val="clear" w:color="auto" w:fill="FECC91"/>
                      </w:tcPr>
                      <w:p w14:paraId="6266302D" w14:textId="77777777" w:rsidR="00EF5B27" w:rsidRDefault="00000000">
                        <w:pPr>
                          <w:pStyle w:val="TableParagraph"/>
                          <w:spacing w:before="91" w:line="244" w:lineRule="auto"/>
                          <w:ind w:left="80" w:right="244"/>
                          <w:rPr>
                            <w:b/>
                            <w:sz w:val="16"/>
                          </w:rPr>
                        </w:pPr>
                        <w:r>
                          <w:rPr>
                            <w:b/>
                            <w:sz w:val="16"/>
                          </w:rPr>
                          <w:t>KPI 1: Modelled stochastic patch- occupancy estimate of extinction risk</w:t>
                        </w:r>
                      </w:p>
                    </w:tc>
                    <w:tc>
                      <w:tcPr>
                        <w:tcW w:w="1078" w:type="dxa"/>
                        <w:shd w:val="clear" w:color="auto" w:fill="FECC91"/>
                      </w:tcPr>
                      <w:p w14:paraId="05530A4A"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5DBE677D" w14:textId="77777777" w:rsidR="00EF5B27" w:rsidRDefault="00EF5B27">
                        <w:pPr>
                          <w:pStyle w:val="TableParagraph"/>
                          <w:spacing w:before="7"/>
                          <w:rPr>
                            <w:sz w:val="15"/>
                          </w:rPr>
                        </w:pPr>
                      </w:p>
                      <w:p w14:paraId="6C94FF7F"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2B1AAA37" w14:textId="77777777" w:rsidR="00EF5B27" w:rsidRDefault="00EF5B27">
                        <w:pPr>
                          <w:pStyle w:val="TableParagraph"/>
                          <w:spacing w:before="7"/>
                          <w:rPr>
                            <w:sz w:val="15"/>
                          </w:rPr>
                        </w:pPr>
                      </w:p>
                      <w:p w14:paraId="3900DC38"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710D1AD2"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1ECAD943"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4D0934BA" w14:textId="77777777">
                    <w:trPr>
                      <w:trHeight w:val="448"/>
                    </w:trPr>
                    <w:tc>
                      <w:tcPr>
                        <w:tcW w:w="2980" w:type="dxa"/>
                      </w:tcPr>
                      <w:p w14:paraId="29076CD3" w14:textId="77777777" w:rsidR="00EF5B27" w:rsidRDefault="00EF5B27">
                        <w:pPr>
                          <w:pStyle w:val="TableParagraph"/>
                          <w:spacing w:before="11"/>
                          <w:rPr>
                            <w:sz w:val="11"/>
                          </w:rPr>
                        </w:pPr>
                      </w:p>
                      <w:p w14:paraId="1CE69B51" w14:textId="77777777" w:rsidR="00EF5B27" w:rsidRDefault="00000000">
                        <w:pPr>
                          <w:pStyle w:val="TableParagraph"/>
                          <w:ind w:left="80"/>
                          <w:rPr>
                            <w:sz w:val="14"/>
                          </w:rPr>
                        </w:pPr>
                        <w:r>
                          <w:rPr>
                            <w:color w:val="4D4D4F"/>
                            <w:w w:val="105"/>
                            <w:sz w:val="14"/>
                          </w:rPr>
                          <w:t>All locations</w:t>
                        </w:r>
                      </w:p>
                    </w:tc>
                    <w:tc>
                      <w:tcPr>
                        <w:tcW w:w="1078" w:type="dxa"/>
                      </w:tcPr>
                      <w:p w14:paraId="55E142E6" w14:textId="77777777" w:rsidR="00EF5B27" w:rsidRDefault="00EF5B27">
                        <w:pPr>
                          <w:pStyle w:val="TableParagraph"/>
                          <w:spacing w:before="11"/>
                          <w:rPr>
                            <w:sz w:val="11"/>
                          </w:rPr>
                        </w:pPr>
                      </w:p>
                      <w:p w14:paraId="3DD04E8B" w14:textId="77777777" w:rsidR="00EF5B27" w:rsidRDefault="00000000">
                        <w:pPr>
                          <w:pStyle w:val="TableParagraph"/>
                          <w:ind w:left="142"/>
                          <w:rPr>
                            <w:sz w:val="14"/>
                          </w:rPr>
                        </w:pPr>
                        <w:r>
                          <w:rPr>
                            <w:color w:val="4D4D4F"/>
                            <w:w w:val="105"/>
                            <w:sz w:val="14"/>
                          </w:rPr>
                          <w:t>Not assessed</w:t>
                        </w:r>
                      </w:p>
                    </w:tc>
                    <w:tc>
                      <w:tcPr>
                        <w:tcW w:w="2155" w:type="dxa"/>
                      </w:tcPr>
                      <w:p w14:paraId="7B61EDEE" w14:textId="77777777" w:rsidR="00EF5B27" w:rsidRDefault="00EF5B27">
                        <w:pPr>
                          <w:pStyle w:val="TableParagraph"/>
                          <w:spacing w:before="11"/>
                          <w:rPr>
                            <w:sz w:val="11"/>
                          </w:rPr>
                        </w:pPr>
                      </w:p>
                      <w:p w14:paraId="76F1AF94" w14:textId="77777777" w:rsidR="00EF5B27" w:rsidRDefault="00000000">
                        <w:pPr>
                          <w:pStyle w:val="TableParagraph"/>
                          <w:ind w:left="143" w:right="142"/>
                          <w:jc w:val="center"/>
                          <w:rPr>
                            <w:sz w:val="14"/>
                          </w:rPr>
                        </w:pPr>
                        <w:r>
                          <w:rPr>
                            <w:color w:val="4D4D4F"/>
                            <w:sz w:val="14"/>
                          </w:rPr>
                          <w:t>Not monitored in 2020–2022</w:t>
                        </w:r>
                      </w:p>
                    </w:tc>
                    <w:tc>
                      <w:tcPr>
                        <w:tcW w:w="964" w:type="dxa"/>
                      </w:tcPr>
                      <w:p w14:paraId="30E9C52A" w14:textId="77777777" w:rsidR="00EF5B27" w:rsidRDefault="00EF5B27">
                        <w:pPr>
                          <w:pStyle w:val="TableParagraph"/>
                          <w:spacing w:before="4"/>
                          <w:rPr>
                            <w:sz w:val="7"/>
                          </w:rPr>
                        </w:pPr>
                      </w:p>
                      <w:p w14:paraId="133DB49A" w14:textId="77777777" w:rsidR="00EF5B27" w:rsidRDefault="00000000">
                        <w:pPr>
                          <w:pStyle w:val="TableParagraph"/>
                          <w:spacing w:line="187" w:lineRule="exact"/>
                          <w:ind w:left="400"/>
                          <w:rPr>
                            <w:sz w:val="18"/>
                          </w:rPr>
                        </w:pPr>
                        <w:r>
                          <w:rPr>
                            <w:noProof/>
                            <w:position w:val="-3"/>
                            <w:sz w:val="18"/>
                          </w:rPr>
                          <w:drawing>
                            <wp:inline distT="0" distB="0" distL="0" distR="0" wp14:anchorId="2C835127" wp14:editId="44CD03F5">
                              <wp:extent cx="100572" cy="119062"/>
                              <wp:effectExtent l="0" t="0" r="0" b="0"/>
                              <wp:docPr id="261"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01.png"/>
                                      <pic:cNvPicPr/>
                                    </pic:nvPicPr>
                                    <pic:blipFill>
                                      <a:blip r:embed="rId84" cstate="print"/>
                                      <a:stretch>
                                        <a:fillRect/>
                                      </a:stretch>
                                    </pic:blipFill>
                                    <pic:spPr>
                                      <a:xfrm>
                                        <a:off x="0" y="0"/>
                                        <a:ext cx="100572" cy="119062"/>
                                      </a:xfrm>
                                      <a:prstGeom prst="rect">
                                        <a:avLst/>
                                      </a:prstGeom>
                                    </pic:spPr>
                                  </pic:pic>
                                </a:graphicData>
                              </a:graphic>
                            </wp:inline>
                          </w:drawing>
                        </w:r>
                      </w:p>
                    </w:tc>
                    <w:tc>
                      <w:tcPr>
                        <w:tcW w:w="964" w:type="dxa"/>
                      </w:tcPr>
                      <w:p w14:paraId="41463157" w14:textId="77777777" w:rsidR="00EF5B27" w:rsidRDefault="00EF5B27">
                        <w:pPr>
                          <w:pStyle w:val="TableParagraph"/>
                          <w:spacing w:before="11"/>
                          <w:rPr>
                            <w:sz w:val="11"/>
                          </w:rPr>
                        </w:pPr>
                      </w:p>
                      <w:p w14:paraId="3CDFB5B1" w14:textId="77777777" w:rsidR="00EF5B27" w:rsidRDefault="00000000">
                        <w:pPr>
                          <w:pStyle w:val="TableParagraph"/>
                          <w:ind w:left="318" w:right="323"/>
                          <w:jc w:val="center"/>
                          <w:rPr>
                            <w:sz w:val="14"/>
                          </w:rPr>
                        </w:pPr>
                        <w:r>
                          <w:rPr>
                            <w:color w:val="4D4D4F"/>
                            <w:w w:val="105"/>
                            <w:sz w:val="14"/>
                          </w:rPr>
                          <w:t>N/A</w:t>
                        </w:r>
                      </w:p>
                    </w:tc>
                    <w:tc>
                      <w:tcPr>
                        <w:tcW w:w="1489" w:type="dxa"/>
                      </w:tcPr>
                      <w:p w14:paraId="6D4A0E08" w14:textId="77777777" w:rsidR="00EF5B27" w:rsidRDefault="00000000">
                        <w:pPr>
                          <w:pStyle w:val="TableParagraph"/>
                          <w:spacing w:before="134"/>
                          <w:ind w:left="457" w:right="457"/>
                          <w:jc w:val="center"/>
                          <w:rPr>
                            <w:sz w:val="16"/>
                          </w:rPr>
                        </w:pPr>
                        <w:r>
                          <w:rPr>
                            <w:color w:val="4D4D4F"/>
                            <w:sz w:val="16"/>
                          </w:rPr>
                          <w:t>2022</w:t>
                        </w:r>
                      </w:p>
                    </w:tc>
                  </w:tr>
                </w:tbl>
                <w:p w14:paraId="7538AC18" w14:textId="77777777" w:rsidR="00EF5B27" w:rsidRDefault="00EF5B27">
                  <w:pPr>
                    <w:pStyle w:val="BodyText"/>
                  </w:pPr>
                </w:p>
              </w:txbxContent>
            </v:textbox>
            <w10:wrap anchorx="page"/>
          </v:shape>
        </w:pict>
      </w:r>
      <w:r>
        <w:rPr>
          <w:color w:val="4D4D4F"/>
        </w:rPr>
        <w:t>Groundwater feed may not be able to be relied on in future. Inputs of pollutants of various kinds will contribute to declines in habitat quality, as will the introduction of new exotic species, notably predatory fish.</w:t>
      </w:r>
      <w:r>
        <w:rPr>
          <w:color w:val="4D4D4F"/>
          <w:position w:val="7"/>
          <w:sz w:val="11"/>
        </w:rPr>
        <w:t xml:space="preserve">86 </w:t>
      </w:r>
      <w:r>
        <w:rPr>
          <w:color w:val="4D4D4F"/>
        </w:rPr>
        <w:t xml:space="preserve">Pressures of urbanisation are expected  to impact the Growling Grass Frog and it is anticipated that these will </w:t>
      </w:r>
      <w:r>
        <w:rPr>
          <w:color w:val="4D4D4F"/>
          <w:spacing w:val="-3"/>
        </w:rPr>
        <w:t xml:space="preserve">likely  </w:t>
      </w:r>
      <w:r>
        <w:rPr>
          <w:color w:val="4D4D4F"/>
        </w:rPr>
        <w:t xml:space="preserve">get   worse for the species, however experts are unclear to what extent. Some mitigations (applied at both the wetland design and management phases) are in place, but how successful these will be is also currently </w:t>
      </w:r>
      <w:r>
        <w:rPr>
          <w:color w:val="4D4D4F"/>
          <w:spacing w:val="-3"/>
        </w:rPr>
        <w:t xml:space="preserve">unclear. </w:t>
      </w:r>
      <w:r>
        <w:rPr>
          <w:color w:val="4D4D4F"/>
        </w:rPr>
        <w:t xml:space="preserve">As  such,  there  is  uncertainty around what the impacts will be. Efforts should be prioritised to address uncertainty around management and </w:t>
      </w:r>
      <w:r>
        <w:rPr>
          <w:color w:val="4D4D4F"/>
          <w:spacing w:val="-3"/>
        </w:rPr>
        <w:t xml:space="preserve">potential </w:t>
      </w:r>
      <w:r>
        <w:rPr>
          <w:color w:val="4D4D4F"/>
        </w:rPr>
        <w:t>threats to the Growling Grass Frog with increasing urbanisation to pre-emptively address the potential for population</w:t>
      </w:r>
      <w:r>
        <w:rPr>
          <w:color w:val="4D4D4F"/>
          <w:spacing w:val="20"/>
        </w:rPr>
        <w:t xml:space="preserve"> </w:t>
      </w:r>
      <w:r>
        <w:rPr>
          <w:color w:val="4D4D4F"/>
        </w:rPr>
        <w:t>decline.</w:t>
      </w:r>
    </w:p>
    <w:p w14:paraId="52962BBA" w14:textId="77777777" w:rsidR="00EF5B27" w:rsidRDefault="00EF5B27">
      <w:pPr>
        <w:pStyle w:val="BodyText"/>
      </w:pPr>
    </w:p>
    <w:p w14:paraId="6618661F" w14:textId="77777777" w:rsidR="00EF5B27" w:rsidRDefault="00EF5B27">
      <w:pPr>
        <w:pStyle w:val="BodyText"/>
      </w:pPr>
    </w:p>
    <w:p w14:paraId="51128E26" w14:textId="77777777" w:rsidR="00EF5B27" w:rsidRDefault="00EF5B27">
      <w:pPr>
        <w:pStyle w:val="BodyText"/>
      </w:pPr>
    </w:p>
    <w:p w14:paraId="4FE42E4E" w14:textId="77777777" w:rsidR="00EF5B27" w:rsidRDefault="00EF5B27">
      <w:pPr>
        <w:pStyle w:val="BodyText"/>
      </w:pPr>
    </w:p>
    <w:p w14:paraId="7FD152C1" w14:textId="77777777" w:rsidR="00EF5B27" w:rsidRDefault="00000000">
      <w:pPr>
        <w:pStyle w:val="BodyText"/>
        <w:spacing w:before="5"/>
        <w:rPr>
          <w:sz w:val="21"/>
        </w:rPr>
      </w:pPr>
      <w:r>
        <w:pict w14:anchorId="04143966">
          <v:shape id="_x0000_s3805" style="position:absolute;margin-left:390.2pt;margin-top:15.05pt;width:2.45pt;height:2.45pt;z-index:251446784;mso-wrap-distance-left:0;mso-wrap-distance-right:0;mso-position-horizontal-relative:page" coordorigin="7804,301" coordsize="49,49" path="m7835,301r-14,l7815,303r-9,9l7804,318r,14l7806,338r9,9l7821,350r14,l7841,347r9,-9l7852,332r,-14l7850,312r-9,-9l7835,301xe" fillcolor="#808285" stroked="f">
            <v:path arrowok="t"/>
            <w10:wrap type="topAndBottom" anchorx="page"/>
          </v:shape>
        </w:pict>
      </w:r>
    </w:p>
    <w:p w14:paraId="1C60AFF3" w14:textId="77777777" w:rsidR="00EF5B27" w:rsidRDefault="00EF5B27">
      <w:pPr>
        <w:pStyle w:val="BodyText"/>
        <w:rPr>
          <w:sz w:val="24"/>
        </w:rPr>
      </w:pPr>
    </w:p>
    <w:p w14:paraId="444ABE3E" w14:textId="77777777" w:rsidR="00EF5B27" w:rsidRDefault="00000000">
      <w:pPr>
        <w:pStyle w:val="BodyText"/>
        <w:spacing w:before="192" w:line="254" w:lineRule="auto"/>
        <w:ind w:left="113" w:right="202"/>
      </w:pPr>
      <w:r>
        <w:pict w14:anchorId="16EABA3A">
          <v:group id="_x0000_s3802" style="position:absolute;left:0;text-align:left;margin-left:57.45pt;margin-top:80.8pt;width:481.15pt;height:.25pt;z-index:251495936;mso-position-horizontal-relative:page" coordorigin="1149,1616" coordsize="9623,5">
            <v:line id="_x0000_s3804" style="position:absolute" from="1149,1618" to="3644,1618" strokeweight=".25pt"/>
            <v:line id="_x0000_s3803" style="position:absolute" from="3644,1618" to="10772,1618" strokeweight=".25pt"/>
            <w10:wrap anchorx="page"/>
          </v:group>
        </w:pict>
      </w:r>
      <w:r>
        <w:rPr>
          <w:color w:val="4D4D4F"/>
        </w:rPr>
        <w:t xml:space="preserve">Comments: Growling Grass Frog has yet to be monitored as part of the MSA program as at the closure of </w:t>
      </w:r>
      <w:r>
        <w:rPr>
          <w:color w:val="4D4D4F"/>
          <w:spacing w:val="-3"/>
        </w:rPr>
        <w:t xml:space="preserve">this </w:t>
      </w:r>
      <w:r>
        <w:rPr>
          <w:color w:val="4D4D4F"/>
        </w:rPr>
        <w:t xml:space="preserve">report’s data </w:t>
      </w:r>
      <w:r>
        <w:rPr>
          <w:color w:val="4D4D4F"/>
          <w:spacing w:val="-3"/>
        </w:rPr>
        <w:t xml:space="preserve">acquisition </w:t>
      </w:r>
      <w:r>
        <w:rPr>
          <w:color w:val="4D4D4F"/>
        </w:rPr>
        <w:t>period (2 February 2022) and so there are no results to report at present. Status assessments are therefore not provided here, any trends are unclear and data confidence assessments are not</w:t>
      </w:r>
      <w:r>
        <w:rPr>
          <w:color w:val="4D4D4F"/>
          <w:spacing w:val="16"/>
        </w:rPr>
        <w:t xml:space="preserve"> </w:t>
      </w:r>
      <w:r>
        <w:rPr>
          <w:color w:val="4D4D4F"/>
        </w:rPr>
        <w:t>applicable.</w:t>
      </w:r>
    </w:p>
    <w:p w14:paraId="02711683" w14:textId="77777777" w:rsidR="00EF5B27" w:rsidRDefault="00EF5B27">
      <w:pPr>
        <w:spacing w:line="254" w:lineRule="auto"/>
        <w:sectPr w:rsidR="00EF5B27">
          <w:pgSz w:w="11910" w:h="16840"/>
          <w:pgMar w:top="1080" w:right="1020" w:bottom="860" w:left="1020" w:header="537" w:footer="678" w:gutter="0"/>
          <w:cols w:num="2" w:space="720" w:equalWidth="0">
            <w:col w:w="2309" w:space="186"/>
            <w:col w:w="7375"/>
          </w:cols>
        </w:sectPr>
      </w:pPr>
    </w:p>
    <w:p w14:paraId="477945BA" w14:textId="77777777" w:rsidR="00EF5B27" w:rsidRDefault="00EF5B27">
      <w:pPr>
        <w:pStyle w:val="BodyText"/>
      </w:pPr>
    </w:p>
    <w:p w14:paraId="1274DBE0" w14:textId="77777777" w:rsidR="00EF5B27" w:rsidRDefault="00EF5B27">
      <w:pPr>
        <w:pStyle w:val="BodyText"/>
        <w:spacing w:before="3"/>
        <w:rPr>
          <w:sz w:val="12"/>
        </w:rPr>
      </w:pPr>
    </w:p>
    <w:p w14:paraId="2823C8B0" w14:textId="77777777" w:rsidR="00EF5B27" w:rsidRDefault="00000000">
      <w:pPr>
        <w:pStyle w:val="BodyText"/>
        <w:ind w:left="129"/>
      </w:pPr>
      <w:r>
        <w:pict w14:anchorId="2D8B53F9">
          <v:shape id="_x0000_s3801" type="#_x0000_t202" style="width:481.15pt;height:25.3pt;mso-left-percent:-10001;mso-top-percent:-10001;mso-position-horizontal:absolute;mso-position-horizontal-relative:char;mso-position-vertical:absolute;mso-position-vertical-relative:line;mso-left-percent:-10001;mso-top-percent:-10001" fillcolor="#fecc91" stroked="f">
            <v:textbox inset="0,0,0,0">
              <w:txbxContent>
                <w:p w14:paraId="17BEBC0A" w14:textId="77777777" w:rsidR="00EF5B27" w:rsidRDefault="00000000">
                  <w:pPr>
                    <w:tabs>
                      <w:tab w:val="left" w:pos="2607"/>
                    </w:tabs>
                    <w:spacing w:before="140"/>
                    <w:ind w:left="113"/>
                    <w:rPr>
                      <w:b/>
                      <w:sz w:val="20"/>
                    </w:rPr>
                  </w:pPr>
                  <w:r>
                    <w:rPr>
                      <w:b/>
                      <w:color w:val="4D4D4F"/>
                      <w:w w:val="105"/>
                      <w:sz w:val="20"/>
                    </w:rPr>
                    <w:t>Theme</w:t>
                  </w:r>
                  <w:r>
                    <w:rPr>
                      <w:b/>
                      <w:color w:val="4D4D4F"/>
                      <w:w w:val="105"/>
                      <w:sz w:val="20"/>
                    </w:rPr>
                    <w:tab/>
                    <w:t>Growling Grass</w:t>
                  </w:r>
                  <w:r>
                    <w:rPr>
                      <w:b/>
                      <w:color w:val="4D4D4F"/>
                      <w:spacing w:val="3"/>
                      <w:w w:val="105"/>
                      <w:sz w:val="20"/>
                    </w:rPr>
                    <w:t xml:space="preserve"> </w:t>
                  </w:r>
                  <w:r>
                    <w:rPr>
                      <w:b/>
                      <w:color w:val="4D4D4F"/>
                      <w:w w:val="105"/>
                      <w:sz w:val="20"/>
                    </w:rPr>
                    <w:t>Frog</w:t>
                  </w:r>
                </w:p>
              </w:txbxContent>
            </v:textbox>
            <w10:anchorlock/>
          </v:shape>
        </w:pict>
      </w:r>
    </w:p>
    <w:p w14:paraId="7FD6D722" w14:textId="77777777" w:rsidR="00EF5B27" w:rsidRDefault="00EF5B27">
      <w:pPr>
        <w:pStyle w:val="BodyText"/>
        <w:spacing w:before="8"/>
        <w:rPr>
          <w:sz w:val="5"/>
        </w:rPr>
      </w:pPr>
    </w:p>
    <w:p w14:paraId="70083354" w14:textId="77777777" w:rsidR="00EF5B27" w:rsidRDefault="00EF5B27">
      <w:pPr>
        <w:rPr>
          <w:sz w:val="5"/>
        </w:rPr>
        <w:sectPr w:rsidR="00EF5B27">
          <w:type w:val="continuous"/>
          <w:pgSz w:w="11910" w:h="16840"/>
          <w:pgMar w:top="1140" w:right="1020" w:bottom="280" w:left="1020" w:header="720" w:footer="720" w:gutter="0"/>
          <w:cols w:space="720"/>
        </w:sectPr>
      </w:pPr>
    </w:p>
    <w:p w14:paraId="05A600A6" w14:textId="77777777" w:rsidR="00EF5B27" w:rsidRDefault="00000000">
      <w:pPr>
        <w:pStyle w:val="BodyText"/>
        <w:spacing w:before="49"/>
        <w:ind w:left="242"/>
      </w:pPr>
      <w:r>
        <w:pict w14:anchorId="55214AC7">
          <v:group id="_x0000_s3798" style="position:absolute;left:0;text-align:left;margin-left:57.45pt;margin-top:-4.45pt;width:481.15pt;height:.25pt;z-index:251496960;mso-position-horizontal-relative:page" coordorigin="1149,-89" coordsize="9623,5">
            <v:line id="_x0000_s3800" style="position:absolute" from="1149,-86" to="3644,-86" strokeweight=".25pt"/>
            <v:line id="_x0000_s3799" style="position:absolute" from="3644,-86" to="10772,-86" strokeweight=".25pt"/>
            <w10:wrap anchorx="page"/>
          </v:group>
        </w:pict>
      </w:r>
      <w:r>
        <w:rPr>
          <w:color w:val="4D4D4F"/>
        </w:rPr>
        <w:t>Recommendation</w:t>
      </w:r>
    </w:p>
    <w:p w14:paraId="4C739FC5" w14:textId="77777777" w:rsidR="00EF5B27" w:rsidRDefault="00000000">
      <w:pPr>
        <w:pStyle w:val="Heading1"/>
        <w:spacing w:before="3"/>
        <w:ind w:left="242"/>
      </w:pPr>
      <w:r>
        <w:rPr>
          <w:color w:val="4D4D4F"/>
          <w:w w:val="105"/>
        </w:rPr>
        <w:t>12</w:t>
      </w:r>
    </w:p>
    <w:p w14:paraId="0AC51CA4" w14:textId="77777777" w:rsidR="00EF5B27" w:rsidRDefault="00000000">
      <w:pPr>
        <w:pStyle w:val="BodyText"/>
        <w:spacing w:before="49" w:line="254" w:lineRule="auto"/>
        <w:ind w:left="242" w:right="292"/>
      </w:pPr>
      <w:r>
        <w:br w:type="column"/>
      </w:r>
      <w:r>
        <w:rPr>
          <w:color w:val="4D4D4F"/>
        </w:rPr>
        <w:t>That DELWP establishes baseline monitoring for new corridors for the Growling Grass Frog, evaluates threats and management responses, and encourages citizen science to supplement conventional monitoring.</w:t>
      </w:r>
    </w:p>
    <w:p w14:paraId="46E86B69"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720" w:space="775"/>
            <w:col w:w="7375"/>
          </w:cols>
        </w:sectPr>
      </w:pPr>
    </w:p>
    <w:p w14:paraId="5D6D7EF3" w14:textId="77777777" w:rsidR="00EF5B27" w:rsidRDefault="00000000">
      <w:pPr>
        <w:pStyle w:val="BodyText"/>
        <w:spacing w:before="4"/>
        <w:rPr>
          <w:sz w:val="6"/>
        </w:rPr>
      </w:pPr>
      <w:r>
        <w:pict w14:anchorId="793E8D88">
          <v:group id="_x0000_s3790" style="position:absolute;margin-left:587.05pt;margin-top:183.4pt;width:8.25pt;height:153.1pt;z-index:251494912;mso-position-horizontal-relative:page;mso-position-vertical-relative:page" coordorigin="11741,3668" coordsize="165,3062">
            <v:shape id="_x0000_s3797" style="position:absolute;left:11741;top:3668;width:165;height:561" coordorigin="11741,3668" coordsize="165,561" path="m11906,3668r-165,l11741,4228r165,-18l11906,3668xe" fillcolor="#00aed9" stroked="f">
              <v:path arrowok="t"/>
            </v:shape>
            <v:shape id="_x0000_s3796" style="position:absolute;left:11741;top:4118;width:165;height:425" coordorigin="11741,4118" coordsize="165,425" path="m11906,4118r-165,14l11741,4531r165,12l11906,4118xe" fillcolor="#047ebc" stroked="f">
              <v:path arrowok="t"/>
            </v:shape>
            <v:shape id="_x0000_s3795" type="#_x0000_t75" style="position:absolute;left:11741;top:4355;width:165;height:587">
              <v:imagedata r:id="rId42" o:title=""/>
            </v:shape>
            <v:shape id="_x0000_s3794" style="position:absolute;left:11741;top:5343;width:165;height:536" coordorigin="11741,5343" coordsize="165,536" path="m11741,5343r,535l11906,5872r,-525l11741,5343xe" fillcolor="#f36a2e" stroked="f">
              <v:path arrowok="t"/>
            </v:shape>
            <v:shape id="_x0000_s3793" style="position:absolute;left:11741;top:4925;width:165;height:501" coordorigin="11741,4926" coordsize="165,501" path="m11741,4926r,500l11906,5426r,-485l11741,4926xe" fillcolor="#49783f" stroked="f">
              <v:path arrowok="t"/>
            </v:shape>
            <v:shape id="_x0000_s3792" style="position:absolute;left:11741;top:5781;width:165;height:268" coordorigin="11741,5782" coordsize="165,268" path="m11906,5782r-165,8l11741,6039r165,10l11906,5782xe" fillcolor="#f99f2a" stroked="f">
              <v:path arrowok="t"/>
            </v:shape>
            <v:shape id="_x0000_s3791" style="position:absolute;left:11741;top:6023;width:165;height:707" coordorigin="11741,6023" coordsize="165,707" path="m11741,6023r,706l11906,6729r,-690l11741,6023xe" fillcolor="#ef412c" stroked="f">
              <v:path arrowok="t"/>
            </v:shape>
            <w10:wrap anchorx="page" anchory="page"/>
          </v:group>
        </w:pict>
      </w:r>
    </w:p>
    <w:p w14:paraId="4CAC0805" w14:textId="77777777" w:rsidR="00EF5B27" w:rsidRDefault="00000000">
      <w:pPr>
        <w:pStyle w:val="BodyText"/>
        <w:spacing w:line="20" w:lineRule="exact"/>
        <w:ind w:left="126"/>
        <w:rPr>
          <w:sz w:val="2"/>
        </w:rPr>
      </w:pPr>
      <w:r>
        <w:rPr>
          <w:sz w:val="2"/>
        </w:rPr>
      </w:r>
      <w:r>
        <w:rPr>
          <w:sz w:val="2"/>
        </w:rPr>
        <w:pict w14:anchorId="7A0BF097">
          <v:group id="_x0000_s3787" style="width:481.15pt;height:.25pt;mso-position-horizontal-relative:char;mso-position-vertical-relative:line" coordsize="9623,5">
            <v:line id="_x0000_s3789" style="position:absolute" from="0,2" to="2494,2" strokeweight=".25pt"/>
            <v:line id="_x0000_s3788" style="position:absolute" from="2494,2" to="9622,2" strokeweight=".25pt"/>
            <w10:anchorlock/>
          </v:group>
        </w:pict>
      </w:r>
    </w:p>
    <w:p w14:paraId="7EBC7630" w14:textId="77777777" w:rsidR="00EF5B27" w:rsidRDefault="00000000">
      <w:pPr>
        <w:pStyle w:val="BodyText"/>
        <w:spacing w:before="3"/>
        <w:rPr>
          <w:sz w:val="29"/>
        </w:rPr>
      </w:pPr>
      <w:r>
        <w:pict w14:anchorId="3719D076">
          <v:line id="_x0000_s3786" style="position:absolute;z-index:251448832;mso-wrap-distance-left:0;mso-wrap-distance-right:0;mso-position-horizontal-relative:page" from="181.4pt,20.05pt" to="538.6pt,20.05pt" strokecolor="#4d4d4f" strokeweight=".5pt">
            <w10:wrap type="topAndBottom" anchorx="page"/>
          </v:line>
        </w:pict>
      </w:r>
    </w:p>
    <w:p w14:paraId="1F0F0F7E" w14:textId="77777777" w:rsidR="00EF5B27" w:rsidRDefault="00000000">
      <w:pPr>
        <w:pStyle w:val="ListParagraph"/>
        <w:numPr>
          <w:ilvl w:val="0"/>
          <w:numId w:val="49"/>
        </w:numPr>
        <w:tabs>
          <w:tab w:val="left" w:pos="2836"/>
        </w:tabs>
        <w:spacing w:before="83" w:line="143" w:lineRule="exact"/>
        <w:rPr>
          <w:sz w:val="12"/>
        </w:rPr>
      </w:pPr>
      <w:r>
        <w:rPr>
          <w:color w:val="4D4D4F"/>
          <w:sz w:val="12"/>
        </w:rPr>
        <w:t xml:space="preserve">DELWP Officer, internal document, supplied </w:t>
      </w:r>
      <w:r>
        <w:rPr>
          <w:color w:val="4D4D4F"/>
          <w:spacing w:val="-3"/>
          <w:sz w:val="12"/>
        </w:rPr>
        <w:t xml:space="preserve">16 </w:t>
      </w:r>
      <w:r>
        <w:rPr>
          <w:color w:val="4D4D4F"/>
          <w:sz w:val="12"/>
        </w:rPr>
        <w:t>June</w:t>
      </w:r>
      <w:r>
        <w:rPr>
          <w:color w:val="4D4D4F"/>
          <w:spacing w:val="19"/>
          <w:sz w:val="12"/>
        </w:rPr>
        <w:t xml:space="preserve"> </w:t>
      </w:r>
      <w:r>
        <w:rPr>
          <w:color w:val="4D4D4F"/>
          <w:spacing w:val="2"/>
          <w:sz w:val="12"/>
        </w:rPr>
        <w:t>2022.</w:t>
      </w:r>
    </w:p>
    <w:p w14:paraId="1FD21896" w14:textId="77777777" w:rsidR="00EF5B27" w:rsidRDefault="00000000">
      <w:pPr>
        <w:pStyle w:val="ListParagraph"/>
        <w:numPr>
          <w:ilvl w:val="0"/>
          <w:numId w:val="49"/>
        </w:numPr>
        <w:tabs>
          <w:tab w:val="left" w:pos="2836"/>
        </w:tabs>
        <w:spacing w:line="140" w:lineRule="exact"/>
        <w:rPr>
          <w:sz w:val="12"/>
        </w:rPr>
      </w:pPr>
      <w:r>
        <w:rPr>
          <w:color w:val="4D4D4F"/>
          <w:sz w:val="12"/>
        </w:rPr>
        <w:t>DELWP</w:t>
      </w:r>
      <w:r>
        <w:rPr>
          <w:color w:val="4D4D4F"/>
          <w:spacing w:val="13"/>
          <w:sz w:val="12"/>
        </w:rPr>
        <w:t xml:space="preserve"> </w:t>
      </w:r>
      <w:r>
        <w:rPr>
          <w:color w:val="4D4D4F"/>
          <w:sz w:val="12"/>
        </w:rPr>
        <w:t>Officer,</w:t>
      </w:r>
      <w:r>
        <w:rPr>
          <w:color w:val="4D4D4F"/>
          <w:spacing w:val="13"/>
          <w:sz w:val="12"/>
        </w:rPr>
        <w:t xml:space="preserve"> </w:t>
      </w:r>
      <w:r>
        <w:rPr>
          <w:color w:val="4D4D4F"/>
          <w:sz w:val="12"/>
        </w:rPr>
        <w:t>personal</w:t>
      </w:r>
      <w:r>
        <w:rPr>
          <w:color w:val="4D4D4F"/>
          <w:spacing w:val="13"/>
          <w:sz w:val="12"/>
        </w:rPr>
        <w:t xml:space="preserve"> </w:t>
      </w:r>
      <w:r>
        <w:rPr>
          <w:color w:val="4D4D4F"/>
          <w:sz w:val="12"/>
        </w:rPr>
        <w:t>communication,</w:t>
      </w:r>
      <w:r>
        <w:rPr>
          <w:color w:val="4D4D4F"/>
          <w:spacing w:val="13"/>
          <w:sz w:val="12"/>
        </w:rPr>
        <w:t xml:space="preserve"> </w:t>
      </w:r>
      <w:r>
        <w:rPr>
          <w:color w:val="4D4D4F"/>
          <w:sz w:val="12"/>
        </w:rPr>
        <w:t>29</w:t>
      </w:r>
      <w:r>
        <w:rPr>
          <w:color w:val="4D4D4F"/>
          <w:spacing w:val="13"/>
          <w:sz w:val="12"/>
        </w:rPr>
        <w:t xml:space="preserve"> </w:t>
      </w:r>
      <w:r>
        <w:rPr>
          <w:color w:val="4D4D4F"/>
          <w:sz w:val="12"/>
        </w:rPr>
        <w:t>July</w:t>
      </w:r>
      <w:r>
        <w:rPr>
          <w:color w:val="4D4D4F"/>
          <w:spacing w:val="13"/>
          <w:sz w:val="12"/>
        </w:rPr>
        <w:t xml:space="preserve"> </w:t>
      </w:r>
      <w:r>
        <w:rPr>
          <w:color w:val="4D4D4F"/>
          <w:sz w:val="12"/>
        </w:rPr>
        <w:t>2021.</w:t>
      </w:r>
    </w:p>
    <w:p w14:paraId="5A05F4BA" w14:textId="77777777" w:rsidR="00EF5B27" w:rsidRDefault="00000000">
      <w:pPr>
        <w:pStyle w:val="ListParagraph"/>
        <w:numPr>
          <w:ilvl w:val="0"/>
          <w:numId w:val="49"/>
        </w:numPr>
        <w:tabs>
          <w:tab w:val="left" w:pos="2836"/>
        </w:tabs>
        <w:spacing w:line="143" w:lineRule="exact"/>
        <w:rPr>
          <w:sz w:val="12"/>
        </w:rPr>
      </w:pPr>
      <w:r>
        <w:rPr>
          <w:color w:val="4D4D4F"/>
          <w:sz w:val="12"/>
        </w:rPr>
        <w:t>DELWP</w:t>
      </w:r>
      <w:r>
        <w:rPr>
          <w:color w:val="4D4D4F"/>
          <w:spacing w:val="13"/>
          <w:sz w:val="12"/>
        </w:rPr>
        <w:t xml:space="preserve"> </w:t>
      </w:r>
      <w:r>
        <w:rPr>
          <w:color w:val="4D4D4F"/>
          <w:sz w:val="12"/>
        </w:rPr>
        <w:t>Officer,</w:t>
      </w:r>
      <w:r>
        <w:rPr>
          <w:color w:val="4D4D4F"/>
          <w:spacing w:val="13"/>
          <w:sz w:val="12"/>
        </w:rPr>
        <w:t xml:space="preserve"> </w:t>
      </w:r>
      <w:r>
        <w:rPr>
          <w:color w:val="4D4D4F"/>
          <w:sz w:val="12"/>
        </w:rPr>
        <w:t>personal</w:t>
      </w:r>
      <w:r>
        <w:rPr>
          <w:color w:val="4D4D4F"/>
          <w:spacing w:val="13"/>
          <w:sz w:val="12"/>
        </w:rPr>
        <w:t xml:space="preserve"> </w:t>
      </w:r>
      <w:r>
        <w:rPr>
          <w:color w:val="4D4D4F"/>
          <w:sz w:val="12"/>
        </w:rPr>
        <w:t>communication,</w:t>
      </w:r>
      <w:r>
        <w:rPr>
          <w:color w:val="4D4D4F"/>
          <w:spacing w:val="13"/>
          <w:sz w:val="12"/>
        </w:rPr>
        <w:t xml:space="preserve"> </w:t>
      </w:r>
      <w:r>
        <w:rPr>
          <w:color w:val="4D4D4F"/>
          <w:sz w:val="12"/>
        </w:rPr>
        <w:t>29</w:t>
      </w:r>
      <w:r>
        <w:rPr>
          <w:color w:val="4D4D4F"/>
          <w:spacing w:val="13"/>
          <w:sz w:val="12"/>
        </w:rPr>
        <w:t xml:space="preserve"> </w:t>
      </w:r>
      <w:r>
        <w:rPr>
          <w:color w:val="4D4D4F"/>
          <w:sz w:val="12"/>
        </w:rPr>
        <w:t>July</w:t>
      </w:r>
      <w:r>
        <w:rPr>
          <w:color w:val="4D4D4F"/>
          <w:spacing w:val="13"/>
          <w:sz w:val="12"/>
        </w:rPr>
        <w:t xml:space="preserve"> </w:t>
      </w:r>
      <w:r>
        <w:rPr>
          <w:color w:val="4D4D4F"/>
          <w:sz w:val="12"/>
        </w:rPr>
        <w:t>2021.</w:t>
      </w:r>
    </w:p>
    <w:p w14:paraId="318A734A" w14:textId="77777777" w:rsidR="00EF5B27" w:rsidRDefault="00EF5B27">
      <w:pPr>
        <w:spacing w:line="143" w:lineRule="exact"/>
        <w:rPr>
          <w:sz w:val="12"/>
        </w:rPr>
        <w:sectPr w:rsidR="00EF5B27">
          <w:type w:val="continuous"/>
          <w:pgSz w:w="11910" w:h="16840"/>
          <w:pgMar w:top="1140" w:right="1020" w:bottom="280" w:left="1020" w:header="720" w:footer="720" w:gutter="0"/>
          <w:cols w:space="720"/>
        </w:sectPr>
      </w:pPr>
    </w:p>
    <w:p w14:paraId="2775B10E" w14:textId="77777777" w:rsidR="00EF5B27" w:rsidRDefault="00EF5B27">
      <w:pPr>
        <w:pStyle w:val="BodyText"/>
      </w:pPr>
    </w:p>
    <w:p w14:paraId="69163163" w14:textId="77777777" w:rsidR="00EF5B27" w:rsidRDefault="00EF5B27">
      <w:pPr>
        <w:pStyle w:val="BodyText"/>
      </w:pPr>
    </w:p>
    <w:p w14:paraId="137191DD" w14:textId="77777777" w:rsidR="00EF5B27" w:rsidRDefault="00EF5B27">
      <w:pPr>
        <w:pStyle w:val="BodyText"/>
      </w:pPr>
    </w:p>
    <w:p w14:paraId="06F5782C" w14:textId="77777777" w:rsidR="00EF5B27" w:rsidRDefault="00EF5B27">
      <w:pPr>
        <w:pStyle w:val="BodyText"/>
      </w:pPr>
    </w:p>
    <w:p w14:paraId="120FDBE5" w14:textId="77777777" w:rsidR="00EF5B27" w:rsidRDefault="00EF5B27">
      <w:pPr>
        <w:pStyle w:val="BodyText"/>
        <w:spacing w:before="5"/>
        <w:rPr>
          <w:sz w:val="16"/>
        </w:rPr>
      </w:pPr>
    </w:p>
    <w:p w14:paraId="0573A49B" w14:textId="77777777" w:rsidR="00EF5B27" w:rsidRDefault="00000000">
      <w:pPr>
        <w:pStyle w:val="BodyText"/>
        <w:ind w:left="113" w:right="-15"/>
      </w:pPr>
      <w:bookmarkStart w:id="20" w:name="_bookmark19"/>
      <w:bookmarkEnd w:id="20"/>
      <w:r>
        <w:rPr>
          <w:noProof/>
        </w:rPr>
        <w:drawing>
          <wp:inline distT="0" distB="0" distL="0" distR="0" wp14:anchorId="745EFF3A" wp14:editId="7B725565">
            <wp:extent cx="1371606" cy="1371600"/>
            <wp:effectExtent l="0" t="0" r="0" b="0"/>
            <wp:docPr id="263"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03.jpeg"/>
                    <pic:cNvPicPr/>
                  </pic:nvPicPr>
                  <pic:blipFill>
                    <a:blip r:embed="rId102" cstate="print"/>
                    <a:stretch>
                      <a:fillRect/>
                    </a:stretch>
                  </pic:blipFill>
                  <pic:spPr>
                    <a:xfrm>
                      <a:off x="0" y="0"/>
                      <a:ext cx="1371606" cy="1371600"/>
                    </a:xfrm>
                    <a:prstGeom prst="rect">
                      <a:avLst/>
                    </a:prstGeom>
                  </pic:spPr>
                </pic:pic>
              </a:graphicData>
            </a:graphic>
          </wp:inline>
        </w:drawing>
      </w:r>
    </w:p>
    <w:p w14:paraId="407E7B91" w14:textId="77777777" w:rsidR="00EF5B27" w:rsidRDefault="00000000">
      <w:pPr>
        <w:spacing w:before="80"/>
        <w:ind w:left="114"/>
        <w:rPr>
          <w:rFonts w:ascii="Century Gothic"/>
          <w:i/>
          <w:sz w:val="12"/>
        </w:rPr>
      </w:pPr>
      <w:r>
        <w:rPr>
          <w:rFonts w:ascii="Century Gothic"/>
          <w:i/>
          <w:color w:val="4D4D4F"/>
          <w:sz w:val="12"/>
        </w:rPr>
        <w:t>Small Golden Moths Orchid</w:t>
      </w:r>
    </w:p>
    <w:p w14:paraId="4F57386D" w14:textId="77777777" w:rsidR="00EF5B27" w:rsidRDefault="00000000">
      <w:pPr>
        <w:pStyle w:val="BodyText"/>
        <w:rPr>
          <w:rFonts w:ascii="Century Gothic"/>
          <w:i/>
          <w:sz w:val="36"/>
        </w:rPr>
      </w:pPr>
      <w:r>
        <w:br w:type="column"/>
      </w:r>
    </w:p>
    <w:p w14:paraId="601C83C3" w14:textId="77777777" w:rsidR="00EF5B27" w:rsidRDefault="00EF5B27">
      <w:pPr>
        <w:pStyle w:val="BodyText"/>
        <w:rPr>
          <w:rFonts w:ascii="Century Gothic"/>
          <w:i/>
          <w:sz w:val="36"/>
        </w:rPr>
      </w:pPr>
    </w:p>
    <w:p w14:paraId="40F7CBB2" w14:textId="77777777" w:rsidR="00EF5B27" w:rsidRDefault="00000000">
      <w:pPr>
        <w:pStyle w:val="Heading3"/>
        <w:spacing w:before="245"/>
        <w:ind w:left="113"/>
      </w:pPr>
      <w:r>
        <w:rPr>
          <w:color w:val="F99F2A"/>
        </w:rPr>
        <w:t>MNES 9: Small Golden Moths Orchid</w:t>
      </w:r>
    </w:p>
    <w:p w14:paraId="7D4E4F2A" w14:textId="77777777" w:rsidR="00EF5B27" w:rsidRDefault="00EF5B27">
      <w:pPr>
        <w:pStyle w:val="BodyText"/>
        <w:spacing w:before="5"/>
        <w:rPr>
          <w:b/>
          <w:sz w:val="27"/>
        </w:rPr>
      </w:pPr>
    </w:p>
    <w:p w14:paraId="404006DA" w14:textId="77777777" w:rsidR="00EF5B27" w:rsidRDefault="00000000">
      <w:pPr>
        <w:pStyle w:val="Heading6"/>
        <w:ind w:left="113"/>
      </w:pPr>
      <w:r>
        <w:rPr>
          <w:color w:val="4D4D4F"/>
        </w:rPr>
        <w:t>Key insights and management implications for the Small Golden Moths Orchid</w:t>
      </w:r>
    </w:p>
    <w:p w14:paraId="7353B820" w14:textId="77777777" w:rsidR="00EF5B27" w:rsidRDefault="00EF5B27">
      <w:pPr>
        <w:pStyle w:val="BodyText"/>
        <w:spacing w:before="11"/>
        <w:rPr>
          <w:b/>
          <w:sz w:val="19"/>
        </w:rPr>
      </w:pPr>
    </w:p>
    <w:p w14:paraId="6DCBA925" w14:textId="77777777" w:rsidR="00EF5B27" w:rsidRDefault="00000000">
      <w:pPr>
        <w:pStyle w:val="BodyText"/>
        <w:spacing w:line="254" w:lineRule="auto"/>
        <w:ind w:left="113" w:right="292"/>
      </w:pPr>
      <w:r>
        <w:rPr>
          <w:color w:val="4D4D4F"/>
        </w:rPr>
        <w:t>Urgent action is required to secure the population of the Small Golden Moths Orchid to halt potential species decline and extinction.</w:t>
      </w:r>
    </w:p>
    <w:p w14:paraId="3924E4A8" w14:textId="77777777" w:rsidR="00EF5B27" w:rsidRDefault="00000000">
      <w:pPr>
        <w:pStyle w:val="BodyText"/>
        <w:spacing w:before="116" w:line="254" w:lineRule="auto"/>
        <w:ind w:left="113" w:right="521"/>
      </w:pPr>
      <w:r>
        <w:rPr>
          <w:color w:val="4D4D4F"/>
        </w:rPr>
        <w:t>It is unclear if, and how well, the species is persisting. The area containing the remnant grassland habitat of Small Golden Moths Orchid is not yet protected.</w:t>
      </w:r>
      <w:r>
        <w:rPr>
          <w:color w:val="4D4D4F"/>
          <w:position w:val="7"/>
          <w:sz w:val="11"/>
        </w:rPr>
        <w:t xml:space="preserve">87 </w:t>
      </w:r>
      <w:r>
        <w:rPr>
          <w:color w:val="4D4D4F"/>
        </w:rPr>
        <w:t>Currently no direct interim management is being undertaken.</w:t>
      </w:r>
    </w:p>
    <w:p w14:paraId="5764D061" w14:textId="77777777" w:rsidR="00EF5B27" w:rsidRDefault="00000000">
      <w:pPr>
        <w:pStyle w:val="BodyText"/>
        <w:spacing w:before="117" w:line="254" w:lineRule="auto"/>
        <w:ind w:left="113" w:right="101" w:hanging="1"/>
      </w:pPr>
      <w:r>
        <w:pict w14:anchorId="6C42F14F">
          <v:shape id="_x0000_s3785" type="#_x0000_t202" style="position:absolute;left:0;text-align:left;margin-left:57pt;margin-top:77.05pt;width:481.75pt;height:51.3pt;z-index:251505152;mso-position-horizontal-relative:page" filled="f" stroked="f">
            <v:textbox inset="0,0,0,0">
              <w:txbxContent>
                <w:tbl>
                  <w:tblPr>
                    <w:tblW w:w="0" w:type="auto"/>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1EB25D43" w14:textId="77777777">
                    <w:trPr>
                      <w:trHeight w:val="561"/>
                    </w:trPr>
                    <w:tc>
                      <w:tcPr>
                        <w:tcW w:w="2980" w:type="dxa"/>
                        <w:shd w:val="clear" w:color="auto" w:fill="FECC91"/>
                      </w:tcPr>
                      <w:p w14:paraId="4433C886" w14:textId="77777777" w:rsidR="00EF5B27" w:rsidRDefault="00000000">
                        <w:pPr>
                          <w:pStyle w:val="TableParagraph"/>
                          <w:spacing w:before="91" w:line="244" w:lineRule="auto"/>
                          <w:ind w:left="80" w:right="244"/>
                          <w:rPr>
                            <w:b/>
                            <w:sz w:val="16"/>
                          </w:rPr>
                        </w:pPr>
                        <w:r>
                          <w:rPr>
                            <w:b/>
                            <w:sz w:val="16"/>
                          </w:rPr>
                          <w:t>KPI 1: Count of individuals emergent at least once over a five-year period</w:t>
                        </w:r>
                      </w:p>
                    </w:tc>
                    <w:tc>
                      <w:tcPr>
                        <w:tcW w:w="1078" w:type="dxa"/>
                        <w:shd w:val="clear" w:color="auto" w:fill="FECC91"/>
                      </w:tcPr>
                      <w:p w14:paraId="11A0A548" w14:textId="77777777" w:rsidR="00EF5B27" w:rsidRDefault="00000000">
                        <w:pPr>
                          <w:pStyle w:val="TableParagraph"/>
                          <w:spacing w:before="91" w:line="244" w:lineRule="auto"/>
                          <w:ind w:left="156" w:firstLine="161"/>
                          <w:rPr>
                            <w:b/>
                            <w:sz w:val="16"/>
                          </w:rPr>
                        </w:pPr>
                        <w:r>
                          <w:rPr>
                            <w:b/>
                            <w:w w:val="105"/>
                            <w:sz w:val="16"/>
                          </w:rPr>
                          <w:t xml:space="preserve">Status </w:t>
                        </w:r>
                        <w:r>
                          <w:rPr>
                            <w:b/>
                            <w:sz w:val="16"/>
                          </w:rPr>
                          <w:t>2020–2022</w:t>
                        </w:r>
                      </w:p>
                    </w:tc>
                    <w:tc>
                      <w:tcPr>
                        <w:tcW w:w="2155" w:type="dxa"/>
                        <w:shd w:val="clear" w:color="auto" w:fill="FECC91"/>
                      </w:tcPr>
                      <w:p w14:paraId="5AF18482" w14:textId="77777777" w:rsidR="00EF5B27" w:rsidRDefault="00EF5B27">
                        <w:pPr>
                          <w:pStyle w:val="TableParagraph"/>
                          <w:spacing w:before="7"/>
                          <w:rPr>
                            <w:sz w:val="15"/>
                          </w:rPr>
                        </w:pPr>
                      </w:p>
                      <w:p w14:paraId="7E7568C2" w14:textId="77777777" w:rsidR="00EF5B27" w:rsidRDefault="00000000">
                        <w:pPr>
                          <w:pStyle w:val="TableParagraph"/>
                          <w:spacing w:before="1"/>
                          <w:ind w:left="129"/>
                          <w:rPr>
                            <w:b/>
                            <w:sz w:val="16"/>
                          </w:rPr>
                        </w:pPr>
                        <w:r>
                          <w:rPr>
                            <w:b/>
                            <w:sz w:val="16"/>
                          </w:rPr>
                          <w:t>Reason for non-assessment</w:t>
                        </w:r>
                      </w:p>
                    </w:tc>
                    <w:tc>
                      <w:tcPr>
                        <w:tcW w:w="964" w:type="dxa"/>
                        <w:shd w:val="clear" w:color="auto" w:fill="FECC91"/>
                      </w:tcPr>
                      <w:p w14:paraId="7940CC24" w14:textId="77777777" w:rsidR="00EF5B27" w:rsidRDefault="00EF5B27">
                        <w:pPr>
                          <w:pStyle w:val="TableParagraph"/>
                          <w:spacing w:before="7"/>
                          <w:rPr>
                            <w:sz w:val="15"/>
                          </w:rPr>
                        </w:pPr>
                      </w:p>
                      <w:p w14:paraId="45E4700C"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67AB56A5"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3327F36D"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3AE9468F" w14:textId="77777777">
                    <w:trPr>
                      <w:trHeight w:val="448"/>
                    </w:trPr>
                    <w:tc>
                      <w:tcPr>
                        <w:tcW w:w="2980" w:type="dxa"/>
                      </w:tcPr>
                      <w:p w14:paraId="3BB0A3D0" w14:textId="77777777" w:rsidR="00EF5B27" w:rsidRDefault="00EF5B27">
                        <w:pPr>
                          <w:pStyle w:val="TableParagraph"/>
                          <w:spacing w:before="11"/>
                          <w:rPr>
                            <w:sz w:val="11"/>
                          </w:rPr>
                        </w:pPr>
                      </w:p>
                      <w:p w14:paraId="02893F8D" w14:textId="77777777" w:rsidR="00EF5B27" w:rsidRDefault="00000000">
                        <w:pPr>
                          <w:pStyle w:val="TableParagraph"/>
                          <w:ind w:left="80"/>
                          <w:rPr>
                            <w:sz w:val="14"/>
                          </w:rPr>
                        </w:pPr>
                        <w:r>
                          <w:rPr>
                            <w:color w:val="4D4D4F"/>
                            <w:sz w:val="14"/>
                          </w:rPr>
                          <w:t>Conservation Area 3</w:t>
                        </w:r>
                      </w:p>
                    </w:tc>
                    <w:tc>
                      <w:tcPr>
                        <w:tcW w:w="1078" w:type="dxa"/>
                      </w:tcPr>
                      <w:p w14:paraId="6657C7A8" w14:textId="77777777" w:rsidR="00EF5B27" w:rsidRDefault="00EF5B27">
                        <w:pPr>
                          <w:pStyle w:val="TableParagraph"/>
                          <w:spacing w:before="11"/>
                          <w:rPr>
                            <w:sz w:val="11"/>
                          </w:rPr>
                        </w:pPr>
                      </w:p>
                      <w:p w14:paraId="50936428" w14:textId="77777777" w:rsidR="00EF5B27" w:rsidRDefault="00000000">
                        <w:pPr>
                          <w:pStyle w:val="TableParagraph"/>
                          <w:ind w:left="142"/>
                          <w:rPr>
                            <w:sz w:val="14"/>
                          </w:rPr>
                        </w:pPr>
                        <w:r>
                          <w:rPr>
                            <w:color w:val="4D4D4F"/>
                            <w:w w:val="105"/>
                            <w:sz w:val="14"/>
                          </w:rPr>
                          <w:t>Not assessed</w:t>
                        </w:r>
                      </w:p>
                    </w:tc>
                    <w:tc>
                      <w:tcPr>
                        <w:tcW w:w="2155" w:type="dxa"/>
                      </w:tcPr>
                      <w:p w14:paraId="41762122" w14:textId="77777777" w:rsidR="00EF5B27" w:rsidRDefault="00000000">
                        <w:pPr>
                          <w:pStyle w:val="TableParagraph"/>
                          <w:spacing w:before="55" w:line="252" w:lineRule="auto"/>
                          <w:ind w:left="346" w:right="236" w:firstLine="192"/>
                          <w:rPr>
                            <w:sz w:val="14"/>
                          </w:rPr>
                        </w:pPr>
                        <w:r>
                          <w:rPr>
                            <w:color w:val="4D4D4F"/>
                            <w:sz w:val="14"/>
                          </w:rPr>
                          <w:t>Population not yet under MSA management</w:t>
                        </w:r>
                      </w:p>
                    </w:tc>
                    <w:tc>
                      <w:tcPr>
                        <w:tcW w:w="964" w:type="dxa"/>
                      </w:tcPr>
                      <w:p w14:paraId="6BE1DD95" w14:textId="77777777" w:rsidR="00EF5B27" w:rsidRDefault="00EF5B27">
                        <w:pPr>
                          <w:pStyle w:val="TableParagraph"/>
                          <w:spacing w:before="4"/>
                          <w:rPr>
                            <w:sz w:val="7"/>
                          </w:rPr>
                        </w:pPr>
                      </w:p>
                      <w:p w14:paraId="52FE7ADD" w14:textId="77777777" w:rsidR="00EF5B27" w:rsidRDefault="00000000">
                        <w:pPr>
                          <w:pStyle w:val="TableParagraph"/>
                          <w:spacing w:line="187" w:lineRule="exact"/>
                          <w:ind w:left="400"/>
                          <w:rPr>
                            <w:sz w:val="18"/>
                          </w:rPr>
                        </w:pPr>
                        <w:r>
                          <w:rPr>
                            <w:noProof/>
                            <w:position w:val="-3"/>
                            <w:sz w:val="18"/>
                          </w:rPr>
                          <w:drawing>
                            <wp:inline distT="0" distB="0" distL="0" distR="0" wp14:anchorId="081DB017" wp14:editId="75F90CE9">
                              <wp:extent cx="100572" cy="119062"/>
                              <wp:effectExtent l="0" t="0" r="0" b="0"/>
                              <wp:docPr id="265"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01.png"/>
                                      <pic:cNvPicPr/>
                                    </pic:nvPicPr>
                                    <pic:blipFill>
                                      <a:blip r:embed="rId84" cstate="print"/>
                                      <a:stretch>
                                        <a:fillRect/>
                                      </a:stretch>
                                    </pic:blipFill>
                                    <pic:spPr>
                                      <a:xfrm>
                                        <a:off x="0" y="0"/>
                                        <a:ext cx="100572" cy="119062"/>
                                      </a:xfrm>
                                      <a:prstGeom prst="rect">
                                        <a:avLst/>
                                      </a:prstGeom>
                                    </pic:spPr>
                                  </pic:pic>
                                </a:graphicData>
                              </a:graphic>
                            </wp:inline>
                          </w:drawing>
                        </w:r>
                      </w:p>
                    </w:tc>
                    <w:tc>
                      <w:tcPr>
                        <w:tcW w:w="964" w:type="dxa"/>
                      </w:tcPr>
                      <w:p w14:paraId="07BC531F" w14:textId="77777777" w:rsidR="00EF5B27" w:rsidRDefault="00EF5B27">
                        <w:pPr>
                          <w:pStyle w:val="TableParagraph"/>
                          <w:spacing w:before="11"/>
                          <w:rPr>
                            <w:sz w:val="11"/>
                          </w:rPr>
                        </w:pPr>
                      </w:p>
                      <w:p w14:paraId="5ECD6FC7" w14:textId="77777777" w:rsidR="00EF5B27" w:rsidRDefault="00000000">
                        <w:pPr>
                          <w:pStyle w:val="TableParagraph"/>
                          <w:ind w:left="318" w:right="323"/>
                          <w:jc w:val="center"/>
                          <w:rPr>
                            <w:sz w:val="14"/>
                          </w:rPr>
                        </w:pPr>
                        <w:r>
                          <w:rPr>
                            <w:color w:val="4D4D4F"/>
                            <w:w w:val="105"/>
                            <w:sz w:val="14"/>
                          </w:rPr>
                          <w:t>N/A</w:t>
                        </w:r>
                      </w:p>
                    </w:tc>
                    <w:tc>
                      <w:tcPr>
                        <w:tcW w:w="1489" w:type="dxa"/>
                      </w:tcPr>
                      <w:p w14:paraId="0A4602E2" w14:textId="77777777" w:rsidR="00EF5B27" w:rsidRDefault="00000000">
                        <w:pPr>
                          <w:pStyle w:val="TableParagraph"/>
                          <w:spacing w:before="134"/>
                          <w:ind w:left="477"/>
                          <w:rPr>
                            <w:sz w:val="16"/>
                          </w:rPr>
                        </w:pPr>
                        <w:r>
                          <w:rPr>
                            <w:color w:val="4D4D4F"/>
                            <w:w w:val="105"/>
                            <w:sz w:val="16"/>
                          </w:rPr>
                          <w:t>Unclear</w:t>
                        </w:r>
                      </w:p>
                    </w:tc>
                  </w:tr>
                </w:tbl>
                <w:p w14:paraId="2244A71B" w14:textId="77777777" w:rsidR="00EF5B27" w:rsidRDefault="00EF5B27">
                  <w:pPr>
                    <w:pStyle w:val="BodyText"/>
                  </w:pPr>
                </w:p>
              </w:txbxContent>
            </v:textbox>
            <w10:wrap anchorx="page"/>
          </v:shape>
        </w:pict>
      </w:r>
      <w:r>
        <w:rPr>
          <w:color w:val="4D4D4F"/>
        </w:rPr>
        <w:t xml:space="preserve">As </w:t>
      </w:r>
      <w:r>
        <w:rPr>
          <w:color w:val="4D4D4F"/>
          <w:spacing w:val="-4"/>
        </w:rPr>
        <w:t xml:space="preserve">this </w:t>
      </w:r>
      <w:r>
        <w:rPr>
          <w:color w:val="4D4D4F"/>
          <w:spacing w:val="-3"/>
        </w:rPr>
        <w:t xml:space="preserve">is </w:t>
      </w:r>
      <w:r>
        <w:rPr>
          <w:color w:val="4D4D4F"/>
        </w:rPr>
        <w:t xml:space="preserve">the last known </w:t>
      </w:r>
      <w:r>
        <w:rPr>
          <w:color w:val="4D4D4F"/>
          <w:spacing w:val="-3"/>
        </w:rPr>
        <w:t xml:space="preserve">population </w:t>
      </w:r>
      <w:r>
        <w:rPr>
          <w:color w:val="4D4D4F"/>
        </w:rPr>
        <w:t xml:space="preserve">of the </w:t>
      </w:r>
      <w:r>
        <w:rPr>
          <w:color w:val="4D4D4F"/>
          <w:spacing w:val="-3"/>
        </w:rPr>
        <w:t xml:space="preserve">Small Golden Moths </w:t>
      </w:r>
      <w:r>
        <w:rPr>
          <w:color w:val="4D4D4F"/>
        </w:rPr>
        <w:t>Orchid,</w:t>
      </w:r>
      <w:r>
        <w:rPr>
          <w:color w:val="4D4D4F"/>
          <w:position w:val="7"/>
          <w:sz w:val="11"/>
        </w:rPr>
        <w:t xml:space="preserve">88 </w:t>
      </w:r>
      <w:r>
        <w:rPr>
          <w:color w:val="4D4D4F"/>
        </w:rPr>
        <w:t xml:space="preserve">with the species </w:t>
      </w:r>
      <w:r>
        <w:rPr>
          <w:color w:val="4D4D4F"/>
          <w:spacing w:val="-3"/>
        </w:rPr>
        <w:t xml:space="preserve">having </w:t>
      </w:r>
      <w:r>
        <w:rPr>
          <w:color w:val="4D4D4F"/>
        </w:rPr>
        <w:t xml:space="preserve">undergone a </w:t>
      </w:r>
      <w:r>
        <w:rPr>
          <w:color w:val="4D4D4F"/>
          <w:spacing w:val="-3"/>
        </w:rPr>
        <w:t xml:space="preserve">‘catastrophic </w:t>
      </w:r>
      <w:r>
        <w:rPr>
          <w:color w:val="4D4D4F"/>
        </w:rPr>
        <w:t xml:space="preserve">reduction </w:t>
      </w:r>
      <w:r>
        <w:rPr>
          <w:color w:val="4D4D4F"/>
          <w:spacing w:val="-3"/>
        </w:rPr>
        <w:t xml:space="preserve">in </w:t>
      </w:r>
      <w:r>
        <w:rPr>
          <w:color w:val="4D4D4F"/>
        </w:rPr>
        <w:t xml:space="preserve">range and </w:t>
      </w:r>
      <w:r>
        <w:rPr>
          <w:color w:val="4D4D4F"/>
          <w:spacing w:val="-4"/>
        </w:rPr>
        <w:t xml:space="preserve">distribution’ </w:t>
      </w:r>
      <w:r>
        <w:rPr>
          <w:color w:val="4D4D4F"/>
          <w:spacing w:val="-3"/>
        </w:rPr>
        <w:t xml:space="preserve">in </w:t>
      </w:r>
      <w:r>
        <w:rPr>
          <w:color w:val="4D4D4F"/>
        </w:rPr>
        <w:t>recent years,</w:t>
      </w:r>
      <w:r>
        <w:rPr>
          <w:color w:val="4D4D4F"/>
          <w:position w:val="7"/>
          <w:sz w:val="11"/>
        </w:rPr>
        <w:t xml:space="preserve">89 </w:t>
      </w:r>
      <w:r>
        <w:rPr>
          <w:color w:val="4D4D4F"/>
        </w:rPr>
        <w:t>the species is considered extremely vulnerable to threats. Because of this, pressures such as subtle changes in biomass and rabbits may be problematic for the species.</w:t>
      </w:r>
    </w:p>
    <w:p w14:paraId="519B00CA" w14:textId="77777777" w:rsidR="00EF5B27" w:rsidRDefault="00EF5B27">
      <w:pPr>
        <w:pStyle w:val="BodyText"/>
      </w:pPr>
    </w:p>
    <w:p w14:paraId="427A2045" w14:textId="77777777" w:rsidR="00EF5B27" w:rsidRDefault="00EF5B27">
      <w:pPr>
        <w:pStyle w:val="BodyText"/>
      </w:pPr>
    </w:p>
    <w:p w14:paraId="6234DD91" w14:textId="77777777" w:rsidR="00EF5B27" w:rsidRDefault="00EF5B27">
      <w:pPr>
        <w:pStyle w:val="BodyText"/>
      </w:pPr>
    </w:p>
    <w:p w14:paraId="2124F019" w14:textId="77777777" w:rsidR="00EF5B27" w:rsidRDefault="00EF5B27">
      <w:pPr>
        <w:pStyle w:val="BodyText"/>
      </w:pPr>
    </w:p>
    <w:p w14:paraId="211BC28E" w14:textId="77777777" w:rsidR="00EF5B27" w:rsidRDefault="00000000">
      <w:pPr>
        <w:pStyle w:val="BodyText"/>
        <w:spacing w:before="10"/>
      </w:pPr>
      <w:r>
        <w:pict w14:anchorId="5F305A02">
          <v:shape id="_x0000_s3784" style="position:absolute;margin-left:390.2pt;margin-top:14.7pt;width:2.45pt;height:2.45pt;z-index:251449856;mso-wrap-distance-left:0;mso-wrap-distance-right:0;mso-position-horizontal-relative:page" coordorigin="7804,294" coordsize="49,49" path="m7835,294r-14,l7815,296r-9,9l7804,311r,14l7806,331r9,9l7821,343r14,l7841,340r9,-9l7852,325r,-14l7850,305r-9,-9l7835,294xe" fillcolor="#808285" stroked="f">
            <v:path arrowok="t"/>
            <w10:wrap type="topAndBottom" anchorx="page"/>
          </v:shape>
        </w:pict>
      </w:r>
    </w:p>
    <w:p w14:paraId="41038266" w14:textId="77777777" w:rsidR="00EF5B27" w:rsidRDefault="00EF5B27">
      <w:pPr>
        <w:pStyle w:val="BodyText"/>
        <w:rPr>
          <w:sz w:val="24"/>
        </w:rPr>
      </w:pPr>
    </w:p>
    <w:p w14:paraId="3EAE6177" w14:textId="77777777" w:rsidR="00EF5B27" w:rsidRDefault="00000000">
      <w:pPr>
        <w:pStyle w:val="BodyText"/>
        <w:spacing w:before="192" w:line="254" w:lineRule="auto"/>
        <w:ind w:left="113" w:right="199"/>
        <w:jc w:val="both"/>
      </w:pPr>
      <w:r>
        <w:pict w14:anchorId="5CF9F7BC">
          <v:group id="_x0000_s3781" style="position:absolute;left:0;text-align:left;margin-left:57.45pt;margin-top:67.8pt;width:481.15pt;height:.25pt;z-index:251503104;mso-position-horizontal-relative:page" coordorigin="1149,1356" coordsize="9623,5">
            <v:line id="_x0000_s3783" style="position:absolute" from="1149,1358" to="3644,1358" strokeweight=".25pt"/>
            <v:line id="_x0000_s3782" style="position:absolute" from="3644,1358" to="10772,1358" strokeweight=".25pt"/>
            <w10:wrap anchorx="page"/>
          </v:group>
        </w:pict>
      </w:r>
      <w:r>
        <w:rPr>
          <w:color w:val="4D4D4F"/>
        </w:rPr>
        <w:t xml:space="preserve">Comments: As areas have yet to be protected, monitoring has not commenced on this </w:t>
      </w:r>
      <w:r>
        <w:rPr>
          <w:color w:val="4D4D4F"/>
          <w:spacing w:val="-6"/>
        </w:rPr>
        <w:t xml:space="preserve">species, therefore results </w:t>
      </w:r>
      <w:r>
        <w:rPr>
          <w:color w:val="4D4D4F"/>
          <w:spacing w:val="-4"/>
        </w:rPr>
        <w:t xml:space="preserve">are </w:t>
      </w:r>
      <w:r>
        <w:rPr>
          <w:color w:val="4D4D4F"/>
          <w:spacing w:val="-6"/>
        </w:rPr>
        <w:t xml:space="preserve">unable </w:t>
      </w:r>
      <w:r>
        <w:rPr>
          <w:color w:val="4D4D4F"/>
          <w:spacing w:val="-4"/>
        </w:rPr>
        <w:t xml:space="preserve">to </w:t>
      </w:r>
      <w:r>
        <w:rPr>
          <w:color w:val="4D4D4F"/>
        </w:rPr>
        <w:t xml:space="preserve">be </w:t>
      </w:r>
      <w:r>
        <w:rPr>
          <w:color w:val="4D4D4F"/>
          <w:spacing w:val="-5"/>
        </w:rPr>
        <w:t xml:space="preserve">assessed. </w:t>
      </w:r>
      <w:r>
        <w:rPr>
          <w:color w:val="4D4D4F"/>
          <w:spacing w:val="-6"/>
        </w:rPr>
        <w:t xml:space="preserve">Status assessments </w:t>
      </w:r>
      <w:r>
        <w:rPr>
          <w:color w:val="4D4D4F"/>
          <w:spacing w:val="-4"/>
        </w:rPr>
        <w:t xml:space="preserve">are </w:t>
      </w:r>
      <w:r>
        <w:rPr>
          <w:color w:val="4D4D4F"/>
          <w:spacing w:val="-6"/>
        </w:rPr>
        <w:t xml:space="preserve">therefore </w:t>
      </w:r>
      <w:r>
        <w:rPr>
          <w:color w:val="4D4D4F"/>
          <w:spacing w:val="-5"/>
        </w:rPr>
        <w:t xml:space="preserve">not </w:t>
      </w:r>
      <w:r>
        <w:rPr>
          <w:color w:val="4D4D4F"/>
          <w:spacing w:val="-6"/>
        </w:rPr>
        <w:t xml:space="preserve">provided </w:t>
      </w:r>
      <w:r>
        <w:rPr>
          <w:color w:val="4D4D4F"/>
          <w:spacing w:val="-5"/>
        </w:rPr>
        <w:t xml:space="preserve">here, any trends </w:t>
      </w:r>
      <w:r>
        <w:rPr>
          <w:color w:val="4D4D4F"/>
          <w:spacing w:val="-4"/>
        </w:rPr>
        <w:t xml:space="preserve">are </w:t>
      </w:r>
      <w:r>
        <w:rPr>
          <w:color w:val="4D4D4F"/>
          <w:spacing w:val="-6"/>
        </w:rPr>
        <w:t xml:space="preserve">unclear </w:t>
      </w:r>
      <w:r>
        <w:rPr>
          <w:color w:val="4D4D4F"/>
          <w:spacing w:val="-5"/>
        </w:rPr>
        <w:t xml:space="preserve">and data confidence </w:t>
      </w:r>
      <w:r>
        <w:rPr>
          <w:color w:val="4D4D4F"/>
          <w:spacing w:val="-6"/>
        </w:rPr>
        <w:t xml:space="preserve">assessments </w:t>
      </w:r>
      <w:r>
        <w:rPr>
          <w:color w:val="4D4D4F"/>
          <w:spacing w:val="-4"/>
        </w:rPr>
        <w:t xml:space="preserve">are </w:t>
      </w:r>
      <w:r>
        <w:rPr>
          <w:color w:val="4D4D4F"/>
          <w:spacing w:val="-5"/>
        </w:rPr>
        <w:t xml:space="preserve">not </w:t>
      </w:r>
      <w:r>
        <w:rPr>
          <w:color w:val="4D4D4F"/>
          <w:spacing w:val="-7"/>
        </w:rPr>
        <w:t>applicable.</w:t>
      </w:r>
    </w:p>
    <w:p w14:paraId="42DDE6F9" w14:textId="77777777" w:rsidR="00EF5B27" w:rsidRDefault="00EF5B27">
      <w:pPr>
        <w:spacing w:line="254" w:lineRule="auto"/>
        <w:jc w:val="both"/>
        <w:sectPr w:rsidR="00EF5B27">
          <w:pgSz w:w="11910" w:h="16840"/>
          <w:pgMar w:top="1080" w:right="1020" w:bottom="860" w:left="1020" w:header="537" w:footer="678" w:gutter="0"/>
          <w:cols w:num="2" w:space="720" w:equalWidth="0">
            <w:col w:w="2309" w:space="186"/>
            <w:col w:w="7375"/>
          </w:cols>
        </w:sectPr>
      </w:pPr>
    </w:p>
    <w:p w14:paraId="55F2C901" w14:textId="77777777" w:rsidR="00EF5B27" w:rsidRDefault="00EF5B27">
      <w:pPr>
        <w:pStyle w:val="BodyText"/>
      </w:pPr>
    </w:p>
    <w:p w14:paraId="5E161071" w14:textId="77777777" w:rsidR="00EF5B27" w:rsidRDefault="00EF5B27">
      <w:pPr>
        <w:pStyle w:val="BodyText"/>
        <w:spacing w:before="2"/>
        <w:rPr>
          <w:sz w:val="12"/>
        </w:rPr>
      </w:pPr>
    </w:p>
    <w:p w14:paraId="0F819A2B" w14:textId="77777777" w:rsidR="00EF5B27" w:rsidRDefault="00000000">
      <w:pPr>
        <w:pStyle w:val="BodyText"/>
        <w:ind w:left="129"/>
      </w:pPr>
      <w:r>
        <w:pict w14:anchorId="667DB63C">
          <v:shape id="_x0000_s3780" type="#_x0000_t202" style="width:481.15pt;height:25.3pt;mso-left-percent:-10001;mso-top-percent:-10001;mso-position-horizontal:absolute;mso-position-horizontal-relative:char;mso-position-vertical:absolute;mso-position-vertical-relative:line;mso-left-percent:-10001;mso-top-percent:-10001" fillcolor="#fecc91" stroked="f">
            <v:textbox inset="0,0,0,0">
              <w:txbxContent>
                <w:p w14:paraId="1DCA57E8" w14:textId="77777777" w:rsidR="00EF5B27" w:rsidRDefault="00000000">
                  <w:pPr>
                    <w:tabs>
                      <w:tab w:val="left" w:pos="2607"/>
                    </w:tabs>
                    <w:spacing w:before="140"/>
                    <w:ind w:left="113"/>
                    <w:rPr>
                      <w:b/>
                      <w:sz w:val="20"/>
                    </w:rPr>
                  </w:pPr>
                  <w:r>
                    <w:rPr>
                      <w:b/>
                      <w:color w:val="4D4D4F"/>
                      <w:sz w:val="20"/>
                    </w:rPr>
                    <w:t>Theme</w:t>
                  </w:r>
                  <w:r>
                    <w:rPr>
                      <w:b/>
                      <w:color w:val="4D4D4F"/>
                      <w:sz w:val="20"/>
                    </w:rPr>
                    <w:tab/>
                    <w:t>Small Golden Moths</w:t>
                  </w:r>
                  <w:r>
                    <w:rPr>
                      <w:b/>
                      <w:color w:val="4D4D4F"/>
                      <w:spacing w:val="11"/>
                      <w:sz w:val="20"/>
                    </w:rPr>
                    <w:t xml:space="preserve"> </w:t>
                  </w:r>
                  <w:r>
                    <w:rPr>
                      <w:b/>
                      <w:color w:val="4D4D4F"/>
                      <w:sz w:val="20"/>
                    </w:rPr>
                    <w:t>Orchid</w:t>
                  </w:r>
                </w:p>
              </w:txbxContent>
            </v:textbox>
            <w10:anchorlock/>
          </v:shape>
        </w:pict>
      </w:r>
    </w:p>
    <w:p w14:paraId="7A04124C" w14:textId="77777777" w:rsidR="00EF5B27" w:rsidRDefault="00EF5B27">
      <w:pPr>
        <w:pStyle w:val="BodyText"/>
        <w:spacing w:before="8"/>
        <w:rPr>
          <w:sz w:val="5"/>
        </w:rPr>
      </w:pPr>
    </w:p>
    <w:p w14:paraId="093EF409" w14:textId="77777777" w:rsidR="00EF5B27" w:rsidRDefault="00EF5B27">
      <w:pPr>
        <w:rPr>
          <w:sz w:val="5"/>
        </w:rPr>
        <w:sectPr w:rsidR="00EF5B27">
          <w:type w:val="continuous"/>
          <w:pgSz w:w="11910" w:h="16840"/>
          <w:pgMar w:top="1140" w:right="1020" w:bottom="280" w:left="1020" w:header="720" w:footer="720" w:gutter="0"/>
          <w:cols w:space="720"/>
        </w:sectPr>
      </w:pPr>
    </w:p>
    <w:p w14:paraId="4F24ABA6" w14:textId="77777777" w:rsidR="00EF5B27" w:rsidRDefault="00000000">
      <w:pPr>
        <w:pStyle w:val="BodyText"/>
        <w:spacing w:before="49"/>
        <w:ind w:left="242"/>
      </w:pPr>
      <w:r>
        <w:pict w14:anchorId="7FC512DB">
          <v:group id="_x0000_s3777" style="position:absolute;left:0;text-align:left;margin-left:57.45pt;margin-top:-4.45pt;width:481.15pt;height:.25pt;z-index:251504128;mso-position-horizontal-relative:page" coordorigin="1149,-89" coordsize="9623,5">
            <v:line id="_x0000_s3779" style="position:absolute" from="1149,-86" to="3644,-86" strokeweight=".25pt"/>
            <v:line id="_x0000_s3778" style="position:absolute" from="3644,-86" to="10772,-86" strokeweight=".25pt"/>
            <w10:wrap anchorx="page"/>
          </v:group>
        </w:pict>
      </w:r>
      <w:r>
        <w:rPr>
          <w:color w:val="4D4D4F"/>
        </w:rPr>
        <w:t>Recommendation</w:t>
      </w:r>
    </w:p>
    <w:p w14:paraId="4CD9E9DA" w14:textId="77777777" w:rsidR="00EF5B27" w:rsidRDefault="00000000">
      <w:pPr>
        <w:pStyle w:val="Heading1"/>
        <w:spacing w:before="3"/>
        <w:ind w:left="242"/>
      </w:pPr>
      <w:r>
        <w:rPr>
          <w:color w:val="4D4D4F"/>
          <w:w w:val="105"/>
        </w:rPr>
        <w:t>13</w:t>
      </w:r>
    </w:p>
    <w:p w14:paraId="5EED3546" w14:textId="77777777" w:rsidR="00EF5B27" w:rsidRDefault="00000000">
      <w:pPr>
        <w:pStyle w:val="BodyText"/>
        <w:spacing w:before="49" w:line="254" w:lineRule="auto"/>
        <w:ind w:left="242" w:right="521"/>
      </w:pPr>
      <w:r>
        <w:br w:type="column"/>
      </w:r>
      <w:r>
        <w:rPr>
          <w:color w:val="4D4D4F"/>
          <w:w w:val="105"/>
        </w:rPr>
        <w:t>That</w:t>
      </w:r>
      <w:r>
        <w:rPr>
          <w:color w:val="4D4D4F"/>
          <w:spacing w:val="-10"/>
          <w:w w:val="105"/>
        </w:rPr>
        <w:t xml:space="preserve"> </w:t>
      </w:r>
      <w:r>
        <w:rPr>
          <w:color w:val="4D4D4F"/>
          <w:w w:val="105"/>
        </w:rPr>
        <w:t>DELWP</w:t>
      </w:r>
      <w:r>
        <w:rPr>
          <w:color w:val="4D4D4F"/>
          <w:spacing w:val="-9"/>
          <w:w w:val="105"/>
        </w:rPr>
        <w:t xml:space="preserve"> </w:t>
      </w:r>
      <w:r>
        <w:rPr>
          <w:color w:val="4D4D4F"/>
          <w:w w:val="105"/>
        </w:rPr>
        <w:t>urgently</w:t>
      </w:r>
      <w:r>
        <w:rPr>
          <w:color w:val="4D4D4F"/>
          <w:spacing w:val="-9"/>
          <w:w w:val="105"/>
        </w:rPr>
        <w:t xml:space="preserve"> </w:t>
      </w:r>
      <w:r>
        <w:rPr>
          <w:color w:val="4D4D4F"/>
          <w:w w:val="105"/>
        </w:rPr>
        <w:t>assess</w:t>
      </w:r>
      <w:r>
        <w:rPr>
          <w:color w:val="4D4D4F"/>
          <w:spacing w:val="-10"/>
          <w:w w:val="105"/>
        </w:rPr>
        <w:t xml:space="preserve"> </w:t>
      </w:r>
      <w:r>
        <w:rPr>
          <w:color w:val="4D4D4F"/>
          <w:w w:val="105"/>
        </w:rPr>
        <w:t>the</w:t>
      </w:r>
      <w:r>
        <w:rPr>
          <w:color w:val="4D4D4F"/>
          <w:spacing w:val="-9"/>
          <w:w w:val="105"/>
        </w:rPr>
        <w:t xml:space="preserve"> </w:t>
      </w:r>
      <w:r>
        <w:rPr>
          <w:color w:val="4D4D4F"/>
          <w:w w:val="105"/>
        </w:rPr>
        <w:t>impacts</w:t>
      </w:r>
      <w:r>
        <w:rPr>
          <w:color w:val="4D4D4F"/>
          <w:spacing w:val="-9"/>
          <w:w w:val="105"/>
        </w:rPr>
        <w:t xml:space="preserve"> </w:t>
      </w:r>
      <w:r>
        <w:rPr>
          <w:color w:val="4D4D4F"/>
          <w:w w:val="105"/>
        </w:rPr>
        <w:t>of</w:t>
      </w:r>
      <w:r>
        <w:rPr>
          <w:color w:val="4D4D4F"/>
          <w:spacing w:val="-9"/>
          <w:w w:val="105"/>
        </w:rPr>
        <w:t xml:space="preserve"> </w:t>
      </w:r>
      <w:r>
        <w:rPr>
          <w:color w:val="4D4D4F"/>
          <w:w w:val="105"/>
        </w:rPr>
        <w:t>biomass</w:t>
      </w:r>
      <w:r>
        <w:rPr>
          <w:color w:val="4D4D4F"/>
          <w:spacing w:val="-10"/>
          <w:w w:val="105"/>
        </w:rPr>
        <w:t xml:space="preserve"> </w:t>
      </w:r>
      <w:r>
        <w:rPr>
          <w:color w:val="4D4D4F"/>
          <w:w w:val="105"/>
        </w:rPr>
        <w:t>and</w:t>
      </w:r>
      <w:r>
        <w:rPr>
          <w:color w:val="4D4D4F"/>
          <w:spacing w:val="-9"/>
          <w:w w:val="105"/>
        </w:rPr>
        <w:t xml:space="preserve"> </w:t>
      </w:r>
      <w:r>
        <w:rPr>
          <w:color w:val="4D4D4F"/>
          <w:w w:val="105"/>
        </w:rPr>
        <w:t>pests</w:t>
      </w:r>
      <w:r>
        <w:rPr>
          <w:color w:val="4D4D4F"/>
          <w:spacing w:val="-9"/>
          <w:w w:val="105"/>
        </w:rPr>
        <w:t xml:space="preserve"> </w:t>
      </w:r>
      <w:r>
        <w:rPr>
          <w:color w:val="4D4D4F"/>
          <w:w w:val="105"/>
        </w:rPr>
        <w:t>on</w:t>
      </w:r>
      <w:r>
        <w:rPr>
          <w:color w:val="4D4D4F"/>
          <w:spacing w:val="-9"/>
          <w:w w:val="105"/>
        </w:rPr>
        <w:t xml:space="preserve"> </w:t>
      </w:r>
      <w:r>
        <w:rPr>
          <w:color w:val="4D4D4F"/>
          <w:w w:val="105"/>
        </w:rPr>
        <w:t>the</w:t>
      </w:r>
      <w:r>
        <w:rPr>
          <w:color w:val="4D4D4F"/>
          <w:spacing w:val="-10"/>
          <w:w w:val="105"/>
        </w:rPr>
        <w:t xml:space="preserve"> </w:t>
      </w:r>
      <w:r>
        <w:rPr>
          <w:color w:val="4D4D4F"/>
          <w:w w:val="105"/>
        </w:rPr>
        <w:t>Small Golden Moths Orchid.</w:t>
      </w:r>
    </w:p>
    <w:p w14:paraId="4D21998B"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720" w:space="775"/>
            <w:col w:w="7375"/>
          </w:cols>
        </w:sectPr>
      </w:pPr>
    </w:p>
    <w:p w14:paraId="1D0C3E8B" w14:textId="77777777" w:rsidR="00EF5B27" w:rsidRDefault="00000000">
      <w:pPr>
        <w:pStyle w:val="BodyText"/>
        <w:spacing w:before="7"/>
        <w:rPr>
          <w:sz w:val="7"/>
        </w:rPr>
      </w:pPr>
      <w:r>
        <w:pict w14:anchorId="46714D73">
          <v:group id="_x0000_s3769" style="position:absolute;margin-left:587.05pt;margin-top:183.4pt;width:8.25pt;height:153.1pt;z-index:251501056;mso-position-horizontal-relative:page;mso-position-vertical-relative:page" coordorigin="11741,3668" coordsize="165,3062">
            <v:shape id="_x0000_s3776" style="position:absolute;left:11741;top:3668;width:165;height:561" coordorigin="11741,3668" coordsize="165,561" path="m11906,3668r-165,l11741,4228r165,-18l11906,3668xe" fillcolor="#00aed9" stroked="f">
              <v:path arrowok="t"/>
            </v:shape>
            <v:shape id="_x0000_s3775" style="position:absolute;left:11741;top:4118;width:165;height:425" coordorigin="11741,4118" coordsize="165,425" path="m11906,4118r-165,14l11741,4531r165,12l11906,4118xe" fillcolor="#047ebc" stroked="f">
              <v:path arrowok="t"/>
            </v:shape>
            <v:shape id="_x0000_s3774" type="#_x0000_t75" style="position:absolute;left:11741;top:4355;width:165;height:587">
              <v:imagedata r:id="rId42" o:title=""/>
            </v:shape>
            <v:shape id="_x0000_s3773" style="position:absolute;left:11741;top:5343;width:165;height:536" coordorigin="11741,5343" coordsize="165,536" path="m11741,5343r,535l11906,5872r,-525l11741,5343xe" fillcolor="#f36a2e" stroked="f">
              <v:path arrowok="t"/>
            </v:shape>
            <v:shape id="_x0000_s3772" style="position:absolute;left:11741;top:4925;width:165;height:501" coordorigin="11741,4926" coordsize="165,501" path="m11741,4926r,500l11906,5426r,-485l11741,4926xe" fillcolor="#49783f" stroked="f">
              <v:path arrowok="t"/>
            </v:shape>
            <v:shape id="_x0000_s3771" style="position:absolute;left:11741;top:5781;width:165;height:268" coordorigin="11741,5782" coordsize="165,268" path="m11906,5782r-165,8l11741,6039r165,10l11906,5782xe" fillcolor="#f99f2a" stroked="f">
              <v:path arrowok="t"/>
            </v:shape>
            <v:shape id="_x0000_s3770" style="position:absolute;left:11741;top:6023;width:165;height:707" coordorigin="11741,6023" coordsize="165,707" path="m11741,6023r,706l11906,6729r,-690l11741,6023xe" fillcolor="#ef412c" stroked="f">
              <v:path arrowok="t"/>
            </v:shape>
            <w10:wrap anchorx="page" anchory="page"/>
          </v:group>
        </w:pict>
      </w:r>
    </w:p>
    <w:p w14:paraId="79C81430" w14:textId="77777777" w:rsidR="00EF5B27" w:rsidRDefault="00000000">
      <w:pPr>
        <w:pStyle w:val="BodyText"/>
        <w:spacing w:line="20" w:lineRule="exact"/>
        <w:ind w:left="126"/>
        <w:rPr>
          <w:sz w:val="2"/>
        </w:rPr>
      </w:pPr>
      <w:r>
        <w:rPr>
          <w:sz w:val="2"/>
        </w:rPr>
      </w:r>
      <w:r>
        <w:rPr>
          <w:sz w:val="2"/>
        </w:rPr>
        <w:pict w14:anchorId="54888EDD">
          <v:group id="_x0000_s3766" style="width:481.15pt;height:.25pt;mso-position-horizontal-relative:char;mso-position-vertical-relative:line" coordsize="9623,5">
            <v:line id="_x0000_s3768" style="position:absolute" from="0,3" to="2494,3" strokeweight=".25pt"/>
            <v:line id="_x0000_s3767" style="position:absolute" from="2494,3" to="9622,3" strokeweight=".25pt"/>
            <w10:anchorlock/>
          </v:group>
        </w:pict>
      </w:r>
    </w:p>
    <w:p w14:paraId="0BBB7066" w14:textId="77777777" w:rsidR="00EF5B27" w:rsidRDefault="00EF5B27">
      <w:pPr>
        <w:pStyle w:val="BodyText"/>
      </w:pPr>
    </w:p>
    <w:p w14:paraId="30D3AF61" w14:textId="77777777" w:rsidR="00EF5B27" w:rsidRDefault="00EF5B27">
      <w:pPr>
        <w:pStyle w:val="BodyText"/>
      </w:pPr>
    </w:p>
    <w:p w14:paraId="43FBEA2A" w14:textId="77777777" w:rsidR="00EF5B27" w:rsidRDefault="00EF5B27">
      <w:pPr>
        <w:pStyle w:val="BodyText"/>
      </w:pPr>
    </w:p>
    <w:p w14:paraId="32532380" w14:textId="77777777" w:rsidR="00EF5B27" w:rsidRDefault="00EF5B27">
      <w:pPr>
        <w:pStyle w:val="BodyText"/>
      </w:pPr>
    </w:p>
    <w:p w14:paraId="3A85C1F6" w14:textId="77777777" w:rsidR="00EF5B27" w:rsidRDefault="00EF5B27">
      <w:pPr>
        <w:pStyle w:val="BodyText"/>
      </w:pPr>
    </w:p>
    <w:p w14:paraId="386ED9C0" w14:textId="77777777" w:rsidR="00EF5B27" w:rsidRDefault="00EF5B27">
      <w:pPr>
        <w:pStyle w:val="BodyText"/>
      </w:pPr>
    </w:p>
    <w:p w14:paraId="0FA47D5C" w14:textId="77777777" w:rsidR="00EF5B27" w:rsidRDefault="00EF5B27">
      <w:pPr>
        <w:pStyle w:val="BodyText"/>
      </w:pPr>
    </w:p>
    <w:p w14:paraId="3469E766" w14:textId="77777777" w:rsidR="00EF5B27" w:rsidRDefault="00EF5B27">
      <w:pPr>
        <w:pStyle w:val="BodyText"/>
      </w:pPr>
    </w:p>
    <w:p w14:paraId="5DDEF7A3" w14:textId="77777777" w:rsidR="00EF5B27" w:rsidRDefault="00EF5B27">
      <w:pPr>
        <w:pStyle w:val="BodyText"/>
      </w:pPr>
    </w:p>
    <w:p w14:paraId="4DCF2246" w14:textId="77777777" w:rsidR="00EF5B27" w:rsidRDefault="00EF5B27">
      <w:pPr>
        <w:pStyle w:val="BodyText"/>
      </w:pPr>
    </w:p>
    <w:p w14:paraId="1E62AD26" w14:textId="77777777" w:rsidR="00EF5B27" w:rsidRDefault="00EF5B27">
      <w:pPr>
        <w:pStyle w:val="BodyText"/>
      </w:pPr>
    </w:p>
    <w:p w14:paraId="4A995CDA" w14:textId="77777777" w:rsidR="00EF5B27" w:rsidRDefault="00EF5B27">
      <w:pPr>
        <w:pStyle w:val="BodyText"/>
      </w:pPr>
    </w:p>
    <w:p w14:paraId="788BED0F" w14:textId="77777777" w:rsidR="00EF5B27" w:rsidRDefault="00EF5B27">
      <w:pPr>
        <w:pStyle w:val="BodyText"/>
      </w:pPr>
    </w:p>
    <w:p w14:paraId="2B125ECC" w14:textId="77777777" w:rsidR="00EF5B27" w:rsidRDefault="00EF5B27">
      <w:pPr>
        <w:pStyle w:val="BodyText"/>
      </w:pPr>
    </w:p>
    <w:p w14:paraId="7ACB85CF" w14:textId="77777777" w:rsidR="00EF5B27" w:rsidRDefault="00EF5B27">
      <w:pPr>
        <w:pStyle w:val="BodyText"/>
      </w:pPr>
    </w:p>
    <w:p w14:paraId="6CD93DE6" w14:textId="77777777" w:rsidR="00EF5B27" w:rsidRDefault="00000000">
      <w:pPr>
        <w:pStyle w:val="BodyText"/>
        <w:spacing w:before="3"/>
        <w:rPr>
          <w:sz w:val="17"/>
        </w:rPr>
      </w:pPr>
      <w:r>
        <w:pict w14:anchorId="15DD87AF">
          <v:line id="_x0000_s3765" style="position:absolute;z-index:251450880;mso-wrap-distance-left:0;mso-wrap-distance-right:0;mso-position-horizontal-relative:page" from="181.4pt,12.75pt" to="538.6pt,12.75pt" strokecolor="#4d4d4f" strokeweight=".5pt">
            <w10:wrap type="topAndBottom" anchorx="page"/>
          </v:line>
        </w:pict>
      </w:r>
    </w:p>
    <w:p w14:paraId="65288961" w14:textId="77777777" w:rsidR="00EF5B27" w:rsidRDefault="00000000">
      <w:pPr>
        <w:pStyle w:val="ListParagraph"/>
        <w:numPr>
          <w:ilvl w:val="0"/>
          <w:numId w:val="49"/>
        </w:numPr>
        <w:tabs>
          <w:tab w:val="left" w:pos="2836"/>
        </w:tabs>
        <w:spacing w:before="83" w:line="143" w:lineRule="exac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5F2B2C92" w14:textId="77777777" w:rsidR="00EF5B27" w:rsidRDefault="00000000">
      <w:pPr>
        <w:pStyle w:val="ListParagraph"/>
        <w:numPr>
          <w:ilvl w:val="0"/>
          <w:numId w:val="49"/>
        </w:numPr>
        <w:tabs>
          <w:tab w:val="left" w:pos="2836"/>
        </w:tabs>
        <w:spacing w:line="140" w:lineRule="exac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1659D12E" w14:textId="77777777" w:rsidR="00EF5B27" w:rsidRDefault="00000000">
      <w:pPr>
        <w:pStyle w:val="ListParagraph"/>
        <w:numPr>
          <w:ilvl w:val="0"/>
          <w:numId w:val="49"/>
        </w:numPr>
        <w:tabs>
          <w:tab w:val="left" w:pos="2836"/>
        </w:tabs>
        <w:spacing w:before="2" w:line="230" w:lineRule="auto"/>
        <w:ind w:right="111"/>
        <w:rPr>
          <w:sz w:val="12"/>
        </w:rPr>
      </w:pPr>
      <w:r>
        <w:rPr>
          <w:color w:val="4D4D4F"/>
          <w:spacing w:val="2"/>
          <w:w w:val="105"/>
          <w:sz w:val="12"/>
        </w:rPr>
        <w:t>Backhouse,</w:t>
      </w:r>
      <w:r>
        <w:rPr>
          <w:color w:val="4D4D4F"/>
          <w:spacing w:val="-5"/>
          <w:w w:val="105"/>
          <w:sz w:val="12"/>
        </w:rPr>
        <w:t xml:space="preserve"> </w:t>
      </w:r>
      <w:r>
        <w:rPr>
          <w:color w:val="4D4D4F"/>
          <w:w w:val="105"/>
          <w:sz w:val="12"/>
        </w:rPr>
        <w:t>G;</w:t>
      </w:r>
      <w:r>
        <w:rPr>
          <w:color w:val="4D4D4F"/>
          <w:spacing w:val="-5"/>
          <w:w w:val="105"/>
          <w:sz w:val="12"/>
        </w:rPr>
        <w:t xml:space="preserve"> </w:t>
      </w:r>
      <w:r>
        <w:rPr>
          <w:color w:val="4D4D4F"/>
          <w:w w:val="105"/>
          <w:sz w:val="12"/>
        </w:rPr>
        <w:t>Lester,</w:t>
      </w:r>
      <w:r>
        <w:rPr>
          <w:color w:val="4D4D4F"/>
          <w:spacing w:val="-5"/>
          <w:w w:val="105"/>
          <w:sz w:val="12"/>
        </w:rPr>
        <w:t xml:space="preserve"> </w:t>
      </w:r>
      <w:r>
        <w:rPr>
          <w:color w:val="4D4D4F"/>
          <w:w w:val="105"/>
          <w:sz w:val="12"/>
        </w:rPr>
        <w:t>K</w:t>
      </w:r>
      <w:r>
        <w:rPr>
          <w:color w:val="4D4D4F"/>
          <w:spacing w:val="-4"/>
          <w:w w:val="105"/>
          <w:sz w:val="12"/>
        </w:rPr>
        <w:t xml:space="preserve"> </w:t>
      </w:r>
      <w:r>
        <w:rPr>
          <w:color w:val="4D4D4F"/>
          <w:w w:val="105"/>
          <w:sz w:val="12"/>
        </w:rPr>
        <w:t>2010.</w:t>
      </w:r>
      <w:r>
        <w:rPr>
          <w:color w:val="4D4D4F"/>
          <w:spacing w:val="-5"/>
          <w:w w:val="105"/>
          <w:sz w:val="12"/>
        </w:rPr>
        <w:t xml:space="preserve"> </w:t>
      </w:r>
      <w:hyperlink r:id="rId103">
        <w:r>
          <w:rPr>
            <w:color w:val="4D4D4F"/>
            <w:w w:val="105"/>
            <w:sz w:val="12"/>
          </w:rPr>
          <w:t>"National</w:t>
        </w:r>
        <w:r>
          <w:rPr>
            <w:color w:val="4D4D4F"/>
            <w:spacing w:val="-5"/>
            <w:w w:val="105"/>
            <w:sz w:val="12"/>
          </w:rPr>
          <w:t xml:space="preserve"> </w:t>
        </w:r>
        <w:r>
          <w:rPr>
            <w:color w:val="4D4D4F"/>
            <w:spacing w:val="2"/>
            <w:w w:val="105"/>
            <w:sz w:val="12"/>
          </w:rPr>
          <w:t>Recovery</w:t>
        </w:r>
        <w:r>
          <w:rPr>
            <w:color w:val="4D4D4F"/>
            <w:spacing w:val="-4"/>
            <w:w w:val="105"/>
            <w:sz w:val="12"/>
          </w:rPr>
          <w:t xml:space="preserve"> </w:t>
        </w:r>
        <w:r>
          <w:rPr>
            <w:color w:val="4D4D4F"/>
            <w:w w:val="105"/>
            <w:sz w:val="12"/>
          </w:rPr>
          <w:t>Plan</w:t>
        </w:r>
        <w:r>
          <w:rPr>
            <w:color w:val="4D4D4F"/>
            <w:spacing w:val="-5"/>
            <w:w w:val="105"/>
            <w:sz w:val="12"/>
          </w:rPr>
          <w:t xml:space="preserve"> </w:t>
        </w:r>
        <w:r>
          <w:rPr>
            <w:color w:val="4D4D4F"/>
            <w:w w:val="105"/>
            <w:sz w:val="12"/>
          </w:rPr>
          <w:t>for</w:t>
        </w:r>
        <w:r>
          <w:rPr>
            <w:color w:val="4D4D4F"/>
            <w:spacing w:val="-5"/>
            <w:w w:val="105"/>
            <w:sz w:val="12"/>
          </w:rPr>
          <w:t xml:space="preserve"> </w:t>
        </w:r>
        <w:r>
          <w:rPr>
            <w:color w:val="4D4D4F"/>
            <w:w w:val="105"/>
            <w:sz w:val="12"/>
          </w:rPr>
          <w:t>the</w:t>
        </w:r>
        <w:r>
          <w:rPr>
            <w:color w:val="4D4D4F"/>
            <w:spacing w:val="-5"/>
            <w:w w:val="105"/>
            <w:sz w:val="12"/>
          </w:rPr>
          <w:t xml:space="preserve"> </w:t>
        </w:r>
        <w:r>
          <w:rPr>
            <w:color w:val="4D4D4F"/>
            <w:w w:val="105"/>
            <w:sz w:val="12"/>
          </w:rPr>
          <w:t>Small</w:t>
        </w:r>
        <w:r>
          <w:rPr>
            <w:color w:val="4D4D4F"/>
            <w:spacing w:val="-4"/>
            <w:w w:val="105"/>
            <w:sz w:val="12"/>
          </w:rPr>
          <w:t xml:space="preserve"> </w:t>
        </w:r>
        <w:r>
          <w:rPr>
            <w:color w:val="4D4D4F"/>
            <w:w w:val="105"/>
            <w:sz w:val="12"/>
          </w:rPr>
          <w:t>Golden</w:t>
        </w:r>
        <w:r>
          <w:rPr>
            <w:color w:val="4D4D4F"/>
            <w:spacing w:val="-5"/>
            <w:w w:val="105"/>
            <w:sz w:val="12"/>
          </w:rPr>
          <w:t xml:space="preserve"> </w:t>
        </w:r>
        <w:r>
          <w:rPr>
            <w:color w:val="4D4D4F"/>
            <w:w w:val="105"/>
            <w:sz w:val="12"/>
          </w:rPr>
          <w:t>Moths</w:t>
        </w:r>
        <w:r>
          <w:rPr>
            <w:color w:val="4D4D4F"/>
            <w:spacing w:val="-5"/>
            <w:w w:val="105"/>
            <w:sz w:val="12"/>
          </w:rPr>
          <w:t xml:space="preserve"> </w:t>
        </w:r>
        <w:r>
          <w:rPr>
            <w:color w:val="4D4D4F"/>
            <w:w w:val="105"/>
            <w:sz w:val="12"/>
          </w:rPr>
          <w:t>Orchid</w:t>
        </w:r>
        <w:r>
          <w:rPr>
            <w:color w:val="4D4D4F"/>
            <w:spacing w:val="-4"/>
            <w:w w:val="105"/>
            <w:sz w:val="12"/>
          </w:rPr>
          <w:t xml:space="preserve"> </w:t>
        </w:r>
        <w:r>
          <w:rPr>
            <w:rFonts w:ascii="Arial Narrow"/>
            <w:i/>
            <w:color w:val="4D4D4F"/>
            <w:w w:val="105"/>
            <w:sz w:val="12"/>
          </w:rPr>
          <w:t>Diuris</w:t>
        </w:r>
        <w:r>
          <w:rPr>
            <w:rFonts w:ascii="Arial Narrow"/>
            <w:i/>
            <w:color w:val="4D4D4F"/>
            <w:spacing w:val="-5"/>
            <w:w w:val="105"/>
            <w:sz w:val="12"/>
          </w:rPr>
          <w:t xml:space="preserve"> </w:t>
        </w:r>
        <w:r>
          <w:rPr>
            <w:rFonts w:ascii="Arial Narrow"/>
            <w:i/>
            <w:color w:val="4D4D4F"/>
            <w:w w:val="105"/>
            <w:sz w:val="12"/>
          </w:rPr>
          <w:t>basaltica</w:t>
        </w:r>
        <w:r>
          <w:rPr>
            <w:color w:val="4D4D4F"/>
            <w:w w:val="105"/>
            <w:sz w:val="12"/>
          </w:rPr>
          <w:t>"</w:t>
        </w:r>
        <w:r>
          <w:rPr>
            <w:color w:val="4D4D4F"/>
            <w:spacing w:val="-5"/>
            <w:w w:val="105"/>
            <w:sz w:val="12"/>
          </w:rPr>
          <w:t xml:space="preserve"> </w:t>
        </w:r>
      </w:hyperlink>
      <w:r>
        <w:rPr>
          <w:color w:val="4D4D4F"/>
          <w:w w:val="105"/>
          <w:sz w:val="12"/>
        </w:rPr>
        <w:t>(PDF).</w:t>
      </w:r>
      <w:r>
        <w:rPr>
          <w:color w:val="4D4D4F"/>
          <w:spacing w:val="-5"/>
          <w:w w:val="105"/>
          <w:sz w:val="12"/>
        </w:rPr>
        <w:t xml:space="preserve"> </w:t>
      </w:r>
      <w:r>
        <w:rPr>
          <w:color w:val="4D4D4F"/>
          <w:w w:val="105"/>
          <w:sz w:val="12"/>
        </w:rPr>
        <w:t>Australian</w:t>
      </w:r>
      <w:r>
        <w:rPr>
          <w:color w:val="4D4D4F"/>
          <w:spacing w:val="-4"/>
          <w:w w:val="105"/>
          <w:sz w:val="12"/>
        </w:rPr>
        <w:t xml:space="preserve"> </w:t>
      </w:r>
      <w:r>
        <w:rPr>
          <w:color w:val="4D4D4F"/>
          <w:w w:val="105"/>
          <w:sz w:val="12"/>
        </w:rPr>
        <w:t xml:space="preserve">Government Department of the Environment. </w:t>
      </w:r>
      <w:r>
        <w:rPr>
          <w:color w:val="4D4D4F"/>
          <w:spacing w:val="2"/>
          <w:w w:val="105"/>
          <w:sz w:val="12"/>
        </w:rPr>
        <w:t xml:space="preserve">Accessed </w:t>
      </w:r>
      <w:r>
        <w:rPr>
          <w:color w:val="4D4D4F"/>
          <w:w w:val="105"/>
          <w:sz w:val="12"/>
        </w:rPr>
        <w:t>5 March</w:t>
      </w:r>
      <w:r>
        <w:rPr>
          <w:color w:val="4D4D4F"/>
          <w:spacing w:val="-3"/>
          <w:w w:val="105"/>
          <w:sz w:val="12"/>
        </w:rPr>
        <w:t xml:space="preserve"> </w:t>
      </w:r>
      <w:r>
        <w:rPr>
          <w:color w:val="4D4D4F"/>
          <w:spacing w:val="2"/>
          <w:w w:val="105"/>
          <w:sz w:val="12"/>
        </w:rPr>
        <w:t>2022.</w:t>
      </w:r>
    </w:p>
    <w:p w14:paraId="0EBA9A05" w14:textId="77777777" w:rsidR="00EF5B27" w:rsidRDefault="00EF5B27">
      <w:pPr>
        <w:spacing w:line="230" w:lineRule="auto"/>
        <w:rPr>
          <w:sz w:val="12"/>
        </w:rPr>
        <w:sectPr w:rsidR="00EF5B27">
          <w:type w:val="continuous"/>
          <w:pgSz w:w="11910" w:h="16840"/>
          <w:pgMar w:top="1140" w:right="1020" w:bottom="280" w:left="1020" w:header="720" w:footer="720" w:gutter="0"/>
          <w:cols w:space="720"/>
        </w:sectPr>
      </w:pPr>
    </w:p>
    <w:p w14:paraId="27B37029" w14:textId="77777777" w:rsidR="00EF5B27" w:rsidRDefault="00EF5B27">
      <w:pPr>
        <w:pStyle w:val="BodyText"/>
      </w:pPr>
    </w:p>
    <w:p w14:paraId="29E28D2B" w14:textId="77777777" w:rsidR="00EF5B27" w:rsidRDefault="00EF5B27">
      <w:pPr>
        <w:pStyle w:val="BodyText"/>
      </w:pPr>
    </w:p>
    <w:p w14:paraId="734E6DE7" w14:textId="77777777" w:rsidR="00EF5B27" w:rsidRDefault="00EF5B27">
      <w:pPr>
        <w:pStyle w:val="BodyText"/>
      </w:pPr>
    </w:p>
    <w:p w14:paraId="22DB3B78" w14:textId="77777777" w:rsidR="00EF5B27" w:rsidRDefault="00EF5B27">
      <w:pPr>
        <w:pStyle w:val="BodyText"/>
      </w:pPr>
    </w:p>
    <w:p w14:paraId="4F852A82" w14:textId="77777777" w:rsidR="00EF5B27" w:rsidRDefault="00EF5B27">
      <w:pPr>
        <w:pStyle w:val="BodyText"/>
        <w:spacing w:before="5"/>
        <w:rPr>
          <w:sz w:val="16"/>
        </w:rPr>
      </w:pPr>
    </w:p>
    <w:p w14:paraId="42BC94BE" w14:textId="77777777" w:rsidR="00EF5B27" w:rsidRDefault="00000000">
      <w:pPr>
        <w:pStyle w:val="BodyText"/>
        <w:ind w:left="119" w:right="-15"/>
      </w:pPr>
      <w:bookmarkStart w:id="21" w:name="_bookmark20"/>
      <w:bookmarkEnd w:id="21"/>
      <w:r>
        <w:rPr>
          <w:noProof/>
        </w:rPr>
        <w:drawing>
          <wp:inline distT="0" distB="0" distL="0" distR="0" wp14:anchorId="6EAAFE6B" wp14:editId="30EF3167">
            <wp:extent cx="1367028" cy="1367027"/>
            <wp:effectExtent l="0" t="0" r="0" b="0"/>
            <wp:docPr id="267"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04.jpeg"/>
                    <pic:cNvPicPr/>
                  </pic:nvPicPr>
                  <pic:blipFill>
                    <a:blip r:embed="rId104" cstate="print"/>
                    <a:stretch>
                      <a:fillRect/>
                    </a:stretch>
                  </pic:blipFill>
                  <pic:spPr>
                    <a:xfrm>
                      <a:off x="0" y="0"/>
                      <a:ext cx="1367028" cy="1367027"/>
                    </a:xfrm>
                    <a:prstGeom prst="rect">
                      <a:avLst/>
                    </a:prstGeom>
                  </pic:spPr>
                </pic:pic>
              </a:graphicData>
            </a:graphic>
          </wp:inline>
        </w:drawing>
      </w:r>
    </w:p>
    <w:p w14:paraId="57A31CDB" w14:textId="77777777" w:rsidR="00EF5B27" w:rsidRDefault="00000000">
      <w:pPr>
        <w:spacing w:before="82"/>
        <w:ind w:left="119"/>
        <w:rPr>
          <w:rFonts w:ascii="Century Gothic"/>
          <w:i/>
          <w:sz w:val="12"/>
        </w:rPr>
      </w:pPr>
      <w:r>
        <w:rPr>
          <w:rFonts w:ascii="Century Gothic"/>
          <w:i/>
          <w:color w:val="4D4D4F"/>
          <w:sz w:val="12"/>
        </w:rPr>
        <w:t>Striped Legless Lizard</w:t>
      </w:r>
    </w:p>
    <w:p w14:paraId="2796E39D" w14:textId="77777777" w:rsidR="00EF5B27" w:rsidRDefault="00000000">
      <w:pPr>
        <w:pStyle w:val="BodyText"/>
        <w:rPr>
          <w:rFonts w:ascii="Century Gothic"/>
          <w:i/>
          <w:sz w:val="36"/>
        </w:rPr>
      </w:pPr>
      <w:r>
        <w:br w:type="column"/>
      </w:r>
    </w:p>
    <w:p w14:paraId="62A6C0A5" w14:textId="77777777" w:rsidR="00EF5B27" w:rsidRDefault="00EF5B27">
      <w:pPr>
        <w:pStyle w:val="BodyText"/>
        <w:rPr>
          <w:rFonts w:ascii="Century Gothic"/>
          <w:i/>
          <w:sz w:val="36"/>
        </w:rPr>
      </w:pPr>
    </w:p>
    <w:p w14:paraId="32396624" w14:textId="77777777" w:rsidR="00EF5B27" w:rsidRDefault="00000000">
      <w:pPr>
        <w:pStyle w:val="Heading3"/>
        <w:spacing w:before="245"/>
        <w:ind w:left="119"/>
      </w:pPr>
      <w:r>
        <w:rPr>
          <w:color w:val="F99F2A"/>
          <w:w w:val="105"/>
        </w:rPr>
        <w:t>MNES 10: Striped Legless Lizard</w:t>
      </w:r>
    </w:p>
    <w:p w14:paraId="5F1031A4" w14:textId="77777777" w:rsidR="00EF5B27" w:rsidRDefault="00EF5B27">
      <w:pPr>
        <w:pStyle w:val="BodyText"/>
        <w:spacing w:before="5"/>
        <w:rPr>
          <w:b/>
          <w:sz w:val="27"/>
        </w:rPr>
      </w:pPr>
    </w:p>
    <w:p w14:paraId="0B4D541F" w14:textId="77777777" w:rsidR="00EF5B27" w:rsidRDefault="00000000">
      <w:pPr>
        <w:pStyle w:val="Heading6"/>
        <w:ind w:left="119"/>
      </w:pPr>
      <w:r>
        <w:rPr>
          <w:color w:val="4D4D4F"/>
        </w:rPr>
        <w:t>Key insights and management implications for the Striped Legless Lizard</w:t>
      </w:r>
    </w:p>
    <w:p w14:paraId="30A0E02F" w14:textId="77777777" w:rsidR="00EF5B27" w:rsidRDefault="00EF5B27">
      <w:pPr>
        <w:pStyle w:val="BodyText"/>
        <w:spacing w:before="11"/>
        <w:rPr>
          <w:b/>
          <w:sz w:val="19"/>
        </w:rPr>
      </w:pPr>
    </w:p>
    <w:p w14:paraId="26C54A63" w14:textId="77777777" w:rsidR="00EF5B27" w:rsidRDefault="00000000">
      <w:pPr>
        <w:pStyle w:val="BodyText"/>
        <w:spacing w:line="254" w:lineRule="auto"/>
        <w:ind w:left="119" w:right="173"/>
      </w:pPr>
      <w:r>
        <w:rPr>
          <w:color w:val="4D4D4F"/>
        </w:rPr>
        <w:t xml:space="preserve">Monitoring is undertaken under conditions that are presumed to provide the highest probability of detection, </w:t>
      </w:r>
      <w:r>
        <w:rPr>
          <w:color w:val="4D4D4F"/>
          <w:spacing w:val="-3"/>
        </w:rPr>
        <w:t xml:space="preserve">however, </w:t>
      </w:r>
      <w:r>
        <w:rPr>
          <w:color w:val="4D4D4F"/>
        </w:rPr>
        <w:t>there remains the possibility that detections are affected by seasonal climatic conditions, e.g. rainfall or events such as fire. It may be possible to revisit the assumptions around detectability once more data is obtained.</w:t>
      </w:r>
      <w:r>
        <w:rPr>
          <w:color w:val="4D4D4F"/>
          <w:position w:val="7"/>
          <w:sz w:val="11"/>
        </w:rPr>
        <w:t xml:space="preserve">90 </w:t>
      </w:r>
      <w:r>
        <w:rPr>
          <w:color w:val="4D4D4F"/>
        </w:rPr>
        <w:t>Overall, the species is viewed to be increasingly more common and widespread than was thought at the beginning of the program.</w:t>
      </w:r>
      <w:r>
        <w:rPr>
          <w:color w:val="4D4D4F"/>
          <w:position w:val="7"/>
          <w:sz w:val="11"/>
        </w:rPr>
        <w:t xml:space="preserve">91 </w:t>
      </w:r>
      <w:r>
        <w:rPr>
          <w:color w:val="4D4D4F"/>
          <w:spacing w:val="-3"/>
        </w:rPr>
        <w:t xml:space="preserve">However, </w:t>
      </w:r>
      <w:r>
        <w:rPr>
          <w:color w:val="4D4D4F"/>
        </w:rPr>
        <w:t xml:space="preserve">habitat preferences for the species remain </w:t>
      </w:r>
      <w:r>
        <w:rPr>
          <w:color w:val="4D4D4F"/>
          <w:spacing w:val="-3"/>
        </w:rPr>
        <w:t xml:space="preserve">unclear. </w:t>
      </w:r>
      <w:r>
        <w:rPr>
          <w:color w:val="4D4D4F"/>
        </w:rPr>
        <w:t>Some monitored sites in poorer condition have higher rates of detection, with other larger sites (assumed more suitable habitat) having much lower rates of detection. Further research is required to better understand the Striped Legless</w:t>
      </w:r>
      <w:r>
        <w:rPr>
          <w:color w:val="4D4D4F"/>
          <w:spacing w:val="8"/>
        </w:rPr>
        <w:t xml:space="preserve"> </w:t>
      </w:r>
      <w:r>
        <w:rPr>
          <w:color w:val="4D4D4F"/>
        </w:rPr>
        <w:t>Lizard’s</w:t>
      </w:r>
      <w:r>
        <w:rPr>
          <w:color w:val="4D4D4F"/>
          <w:spacing w:val="8"/>
        </w:rPr>
        <w:t xml:space="preserve"> </w:t>
      </w:r>
      <w:r>
        <w:rPr>
          <w:color w:val="4D4D4F"/>
        </w:rPr>
        <w:t>habitat</w:t>
      </w:r>
      <w:r>
        <w:rPr>
          <w:color w:val="4D4D4F"/>
          <w:spacing w:val="8"/>
        </w:rPr>
        <w:t xml:space="preserve"> </w:t>
      </w:r>
      <w:r>
        <w:rPr>
          <w:color w:val="4D4D4F"/>
        </w:rPr>
        <w:t>preferences</w:t>
      </w:r>
      <w:r>
        <w:rPr>
          <w:color w:val="4D4D4F"/>
          <w:spacing w:val="8"/>
        </w:rPr>
        <w:t xml:space="preserve"> </w:t>
      </w:r>
      <w:r>
        <w:rPr>
          <w:color w:val="4D4D4F"/>
        </w:rPr>
        <w:t>to</w:t>
      </w:r>
      <w:r>
        <w:rPr>
          <w:color w:val="4D4D4F"/>
          <w:spacing w:val="8"/>
        </w:rPr>
        <w:t xml:space="preserve"> </w:t>
      </w:r>
      <w:r>
        <w:rPr>
          <w:color w:val="4D4D4F"/>
        </w:rPr>
        <w:t>inform</w:t>
      </w:r>
      <w:r>
        <w:rPr>
          <w:color w:val="4D4D4F"/>
          <w:spacing w:val="8"/>
        </w:rPr>
        <w:t xml:space="preserve"> </w:t>
      </w:r>
      <w:r>
        <w:rPr>
          <w:color w:val="4D4D4F"/>
        </w:rPr>
        <w:t>appropriate</w:t>
      </w:r>
      <w:r>
        <w:rPr>
          <w:color w:val="4D4D4F"/>
          <w:spacing w:val="8"/>
        </w:rPr>
        <w:t xml:space="preserve"> </w:t>
      </w:r>
      <w:r>
        <w:rPr>
          <w:color w:val="4D4D4F"/>
        </w:rPr>
        <w:t>and</w:t>
      </w:r>
      <w:r>
        <w:rPr>
          <w:color w:val="4D4D4F"/>
          <w:spacing w:val="8"/>
        </w:rPr>
        <w:t xml:space="preserve"> </w:t>
      </w:r>
      <w:r>
        <w:rPr>
          <w:color w:val="4D4D4F"/>
        </w:rPr>
        <w:t>targeted</w:t>
      </w:r>
      <w:r>
        <w:rPr>
          <w:color w:val="4D4D4F"/>
          <w:spacing w:val="8"/>
        </w:rPr>
        <w:t xml:space="preserve"> </w:t>
      </w:r>
      <w:r>
        <w:rPr>
          <w:color w:val="4D4D4F"/>
        </w:rPr>
        <w:t>management.</w:t>
      </w:r>
    </w:p>
    <w:p w14:paraId="79C36D3C" w14:textId="77777777" w:rsidR="00EF5B27" w:rsidRDefault="00000000">
      <w:pPr>
        <w:pStyle w:val="BodyText"/>
        <w:spacing w:before="126" w:line="254" w:lineRule="auto"/>
        <w:ind w:left="119" w:right="499"/>
      </w:pPr>
      <w:r>
        <w:rPr>
          <w:color w:val="4D4D4F"/>
        </w:rPr>
        <w:t>It is possible that the current KPI design for the Striped Legless Lizard is limited in  its ability to reveal important information on species occupancy capturing the full geographic extent of the population, in part due to the non-random</w:t>
      </w:r>
      <w:r>
        <w:rPr>
          <w:color w:val="4D4D4F"/>
          <w:spacing w:val="27"/>
        </w:rPr>
        <w:t xml:space="preserve"> </w:t>
      </w:r>
      <w:r>
        <w:rPr>
          <w:color w:val="4D4D4F"/>
        </w:rPr>
        <w:t>re-sampling</w:t>
      </w:r>
    </w:p>
    <w:p w14:paraId="59429C9E" w14:textId="77777777" w:rsidR="00EF5B27" w:rsidRDefault="00000000">
      <w:pPr>
        <w:pStyle w:val="BodyText"/>
        <w:spacing w:before="3" w:line="254" w:lineRule="auto"/>
        <w:ind w:left="119"/>
      </w:pPr>
      <w:r>
        <w:rPr>
          <w:color w:val="4D4D4F"/>
        </w:rPr>
        <w:t>design and fixed number of monitoring sites. Monitoring is also limited in the design of the KPI without comparison to a baseline such that trends may be clearly assessed.</w:t>
      </w:r>
    </w:p>
    <w:p w14:paraId="6B7F431F" w14:textId="77777777" w:rsidR="00EF5B27" w:rsidRDefault="00000000">
      <w:pPr>
        <w:pStyle w:val="BodyText"/>
        <w:spacing w:before="116" w:line="254" w:lineRule="auto"/>
        <w:ind w:left="119" w:right="135"/>
      </w:pPr>
      <w:r>
        <w:rPr>
          <w:color w:val="4D4D4F"/>
        </w:rPr>
        <w:t xml:space="preserve">A change </w:t>
      </w:r>
      <w:r>
        <w:rPr>
          <w:color w:val="4D4D4F"/>
          <w:spacing w:val="-3"/>
        </w:rPr>
        <w:t xml:space="preserve">in design </w:t>
      </w:r>
      <w:r>
        <w:rPr>
          <w:color w:val="4D4D4F"/>
        </w:rPr>
        <w:t xml:space="preserve">of the </w:t>
      </w:r>
      <w:r>
        <w:rPr>
          <w:color w:val="4D4D4F"/>
          <w:spacing w:val="-3"/>
        </w:rPr>
        <w:t xml:space="preserve">monitoring </w:t>
      </w:r>
      <w:r>
        <w:rPr>
          <w:color w:val="4D4D4F"/>
        </w:rPr>
        <w:t xml:space="preserve">protocol to increase the </w:t>
      </w:r>
      <w:r>
        <w:rPr>
          <w:color w:val="4D4D4F"/>
          <w:spacing w:val="-3"/>
        </w:rPr>
        <w:t xml:space="preserve">number </w:t>
      </w:r>
      <w:r>
        <w:rPr>
          <w:color w:val="4D4D4F"/>
        </w:rPr>
        <w:t xml:space="preserve">of </w:t>
      </w:r>
      <w:r>
        <w:rPr>
          <w:color w:val="4D4D4F"/>
          <w:spacing w:val="-3"/>
        </w:rPr>
        <w:t xml:space="preserve">sites monitored </w:t>
      </w:r>
      <w:r>
        <w:rPr>
          <w:color w:val="4D4D4F"/>
        </w:rPr>
        <w:t xml:space="preserve">with random </w:t>
      </w:r>
      <w:r>
        <w:rPr>
          <w:color w:val="4D4D4F"/>
          <w:spacing w:val="-3"/>
        </w:rPr>
        <w:t xml:space="preserve">sampling </w:t>
      </w:r>
      <w:r>
        <w:rPr>
          <w:color w:val="4D4D4F"/>
        </w:rPr>
        <w:t xml:space="preserve">may reveal trends </w:t>
      </w:r>
      <w:r>
        <w:rPr>
          <w:color w:val="4D4D4F"/>
          <w:spacing w:val="-3"/>
        </w:rPr>
        <w:t xml:space="preserve">in </w:t>
      </w:r>
      <w:r>
        <w:rPr>
          <w:color w:val="4D4D4F"/>
        </w:rPr>
        <w:t xml:space="preserve">occupancy over </w:t>
      </w:r>
      <w:r>
        <w:rPr>
          <w:color w:val="4D4D4F"/>
          <w:spacing w:val="-3"/>
        </w:rPr>
        <w:t xml:space="preserve">time. </w:t>
      </w:r>
      <w:r>
        <w:rPr>
          <w:color w:val="4D4D4F"/>
        </w:rPr>
        <w:t xml:space="preserve">Previous years’ data on </w:t>
      </w:r>
      <w:r>
        <w:rPr>
          <w:color w:val="4D4D4F"/>
          <w:spacing w:val="-3"/>
        </w:rPr>
        <w:t xml:space="preserve">detectability </w:t>
      </w:r>
      <w:r>
        <w:rPr>
          <w:color w:val="4D4D4F"/>
        </w:rPr>
        <w:t xml:space="preserve">may </w:t>
      </w:r>
      <w:r>
        <w:rPr>
          <w:color w:val="4D4D4F"/>
          <w:spacing w:val="-3"/>
        </w:rPr>
        <w:t xml:space="preserve">inform </w:t>
      </w:r>
      <w:r>
        <w:rPr>
          <w:color w:val="4D4D4F"/>
        </w:rPr>
        <w:t xml:space="preserve">the </w:t>
      </w:r>
      <w:r>
        <w:rPr>
          <w:color w:val="4D4D4F"/>
          <w:spacing w:val="-3"/>
        </w:rPr>
        <w:t xml:space="preserve">number </w:t>
      </w:r>
      <w:r>
        <w:rPr>
          <w:color w:val="4D4D4F"/>
        </w:rPr>
        <w:t xml:space="preserve">of </w:t>
      </w:r>
      <w:r>
        <w:rPr>
          <w:color w:val="4D4D4F"/>
          <w:spacing w:val="-3"/>
        </w:rPr>
        <w:t xml:space="preserve">sites </w:t>
      </w:r>
      <w:r>
        <w:rPr>
          <w:color w:val="4D4D4F"/>
        </w:rPr>
        <w:t xml:space="preserve">required to </w:t>
      </w:r>
      <w:r>
        <w:rPr>
          <w:color w:val="4D4D4F"/>
          <w:spacing w:val="-4"/>
        </w:rPr>
        <w:t xml:space="preserve">meaningfully </w:t>
      </w:r>
      <w:r>
        <w:rPr>
          <w:color w:val="4D4D4F"/>
        </w:rPr>
        <w:t>detect change.</w:t>
      </w:r>
    </w:p>
    <w:p w14:paraId="0C3EE16B" w14:textId="77777777" w:rsidR="00EF5B27" w:rsidRDefault="00EF5B27">
      <w:pPr>
        <w:spacing w:line="254" w:lineRule="auto"/>
        <w:sectPr w:rsidR="00EF5B27">
          <w:pgSz w:w="11910" w:h="16840"/>
          <w:pgMar w:top="1080" w:right="1020" w:bottom="860" w:left="1020" w:header="537" w:footer="678" w:gutter="0"/>
          <w:cols w:num="2" w:space="720" w:equalWidth="0">
            <w:col w:w="2309" w:space="180"/>
            <w:col w:w="7381"/>
          </w:cols>
        </w:sectPr>
      </w:pPr>
    </w:p>
    <w:p w14:paraId="635A81BD" w14:textId="77777777" w:rsidR="00EF5B27" w:rsidRDefault="00000000">
      <w:pPr>
        <w:pStyle w:val="BodyText"/>
      </w:pPr>
      <w:r>
        <w:pict w14:anchorId="634710DC">
          <v:group id="_x0000_s3757" style="position:absolute;margin-left:587.05pt;margin-top:183.4pt;width:8.25pt;height:153.1pt;z-index:251507200;mso-position-horizontal-relative:page;mso-position-vertical-relative:page" coordorigin="11741,3668" coordsize="165,3062">
            <v:shape id="_x0000_s3764" style="position:absolute;left:11741;top:3668;width:165;height:561" coordorigin="11741,3668" coordsize="165,561" path="m11906,3668r-165,l11741,4228r165,-18l11906,3668xe" fillcolor="#00aed9" stroked="f">
              <v:path arrowok="t"/>
            </v:shape>
            <v:shape id="_x0000_s3763" style="position:absolute;left:11741;top:4118;width:165;height:425" coordorigin="11741,4118" coordsize="165,425" path="m11906,4118r-165,14l11741,4531r165,12l11906,4118xe" fillcolor="#047ebc" stroked="f">
              <v:path arrowok="t"/>
            </v:shape>
            <v:shape id="_x0000_s3762" type="#_x0000_t75" style="position:absolute;left:11741;top:4355;width:165;height:587">
              <v:imagedata r:id="rId42" o:title=""/>
            </v:shape>
            <v:shape id="_x0000_s3761" style="position:absolute;left:11741;top:5343;width:165;height:536" coordorigin="11741,5343" coordsize="165,536" path="m11741,5343r,535l11906,5872r,-525l11741,5343xe" fillcolor="#f36a2e" stroked="f">
              <v:path arrowok="t"/>
            </v:shape>
            <v:shape id="_x0000_s3760" style="position:absolute;left:11741;top:4925;width:165;height:501" coordorigin="11741,4926" coordsize="165,501" path="m11741,4926r,500l11906,5426r,-485l11741,4926xe" fillcolor="#49783f" stroked="f">
              <v:path arrowok="t"/>
            </v:shape>
            <v:shape id="_x0000_s3759" style="position:absolute;left:11741;top:5781;width:165;height:268" coordorigin="11741,5782" coordsize="165,268" path="m11906,5782r-165,8l11741,6039r165,10l11906,5782xe" fillcolor="#f99f2a" stroked="f">
              <v:path arrowok="t"/>
            </v:shape>
            <v:shape id="_x0000_s3758" style="position:absolute;left:11741;top:6023;width:165;height:707" coordorigin="11741,6023" coordsize="165,707" path="m11741,6023r,706l11906,6729r,-690l11741,6023xe" fillcolor="#ef412c" stroked="f">
              <v:path arrowok="t"/>
            </v:shape>
            <w10:wrap anchorx="page" anchory="page"/>
          </v:group>
        </w:pict>
      </w:r>
    </w:p>
    <w:p w14:paraId="22300E86" w14:textId="77777777" w:rsidR="00EF5B27" w:rsidRDefault="00EF5B27">
      <w:pPr>
        <w:pStyle w:val="BodyText"/>
        <w:spacing w:before="9"/>
        <w:rPr>
          <w:sz w:val="11"/>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503D7C07" w14:textId="77777777">
        <w:trPr>
          <w:trHeight w:val="561"/>
        </w:trPr>
        <w:tc>
          <w:tcPr>
            <w:tcW w:w="2980" w:type="dxa"/>
            <w:shd w:val="clear" w:color="auto" w:fill="FECC91"/>
          </w:tcPr>
          <w:p w14:paraId="28A9DC82" w14:textId="77777777" w:rsidR="00EF5B27" w:rsidRDefault="00000000">
            <w:pPr>
              <w:pStyle w:val="TableParagraph"/>
              <w:spacing w:before="91" w:line="244" w:lineRule="auto"/>
              <w:ind w:left="80"/>
              <w:rPr>
                <w:b/>
                <w:sz w:val="16"/>
              </w:rPr>
            </w:pPr>
            <w:r>
              <w:rPr>
                <w:b/>
                <w:sz w:val="16"/>
              </w:rPr>
              <w:t>KPI 1: Proportion of monitoring sites that are occupied</w:t>
            </w:r>
          </w:p>
        </w:tc>
        <w:tc>
          <w:tcPr>
            <w:tcW w:w="1078" w:type="dxa"/>
            <w:shd w:val="clear" w:color="auto" w:fill="FECC91"/>
          </w:tcPr>
          <w:p w14:paraId="177D390D" w14:textId="77777777" w:rsidR="00EF5B27" w:rsidRDefault="00000000">
            <w:pPr>
              <w:pStyle w:val="TableParagraph"/>
              <w:spacing w:before="91" w:line="244" w:lineRule="auto"/>
              <w:ind w:left="156" w:firstLine="161"/>
              <w:rPr>
                <w:b/>
                <w:sz w:val="16"/>
              </w:rPr>
            </w:pPr>
            <w:r>
              <w:rPr>
                <w:b/>
                <w:w w:val="105"/>
                <w:sz w:val="16"/>
              </w:rPr>
              <w:t xml:space="preserve">Status </w:t>
            </w:r>
            <w:r>
              <w:rPr>
                <w:b/>
                <w:sz w:val="16"/>
              </w:rPr>
              <w:t>2020–2022</w:t>
            </w:r>
          </w:p>
        </w:tc>
        <w:tc>
          <w:tcPr>
            <w:tcW w:w="2155" w:type="dxa"/>
            <w:shd w:val="clear" w:color="auto" w:fill="FECC91"/>
          </w:tcPr>
          <w:p w14:paraId="3A0268B0" w14:textId="77777777" w:rsidR="00EF5B27" w:rsidRDefault="00EF5B27">
            <w:pPr>
              <w:pStyle w:val="TableParagraph"/>
              <w:spacing w:before="7"/>
              <w:rPr>
                <w:sz w:val="15"/>
              </w:rPr>
            </w:pPr>
          </w:p>
          <w:p w14:paraId="0976EDED"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3292433D" w14:textId="77777777" w:rsidR="00EF5B27" w:rsidRDefault="00EF5B27">
            <w:pPr>
              <w:pStyle w:val="TableParagraph"/>
              <w:spacing w:before="7"/>
              <w:rPr>
                <w:sz w:val="15"/>
              </w:rPr>
            </w:pPr>
          </w:p>
          <w:p w14:paraId="302A4018"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5FE9B6C1"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2414E261"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5EDC1852" w14:textId="77777777">
        <w:trPr>
          <w:trHeight w:val="448"/>
        </w:trPr>
        <w:tc>
          <w:tcPr>
            <w:tcW w:w="2980" w:type="dxa"/>
          </w:tcPr>
          <w:p w14:paraId="61CBFBBF" w14:textId="77777777" w:rsidR="00EF5B27" w:rsidRDefault="00EF5B27">
            <w:pPr>
              <w:pStyle w:val="TableParagraph"/>
              <w:spacing w:before="11"/>
              <w:rPr>
                <w:sz w:val="11"/>
              </w:rPr>
            </w:pPr>
          </w:p>
          <w:p w14:paraId="6985BB1B" w14:textId="77777777" w:rsidR="00EF5B27" w:rsidRDefault="00000000">
            <w:pPr>
              <w:pStyle w:val="TableParagraph"/>
              <w:ind w:left="80"/>
              <w:rPr>
                <w:sz w:val="14"/>
              </w:rPr>
            </w:pPr>
            <w:r>
              <w:rPr>
                <w:color w:val="4D4D4F"/>
                <w:w w:val="105"/>
                <w:sz w:val="14"/>
              </w:rPr>
              <w:t>Mount Cottrell NCR</w:t>
            </w:r>
          </w:p>
        </w:tc>
        <w:tc>
          <w:tcPr>
            <w:tcW w:w="1078" w:type="dxa"/>
          </w:tcPr>
          <w:p w14:paraId="4A67EA27" w14:textId="77777777" w:rsidR="00EF5B27" w:rsidRDefault="00EF5B27">
            <w:pPr>
              <w:pStyle w:val="TableParagraph"/>
              <w:spacing w:before="11"/>
              <w:rPr>
                <w:sz w:val="11"/>
              </w:rPr>
            </w:pPr>
          </w:p>
          <w:p w14:paraId="0F8EB0DD" w14:textId="77777777" w:rsidR="00EF5B27" w:rsidRDefault="00000000">
            <w:pPr>
              <w:pStyle w:val="TableParagraph"/>
              <w:ind w:left="128" w:right="124"/>
              <w:jc w:val="center"/>
              <w:rPr>
                <w:sz w:val="14"/>
              </w:rPr>
            </w:pPr>
            <w:r>
              <w:rPr>
                <w:color w:val="4D4D4F"/>
                <w:sz w:val="14"/>
              </w:rPr>
              <w:t>Met</w:t>
            </w:r>
          </w:p>
        </w:tc>
        <w:tc>
          <w:tcPr>
            <w:tcW w:w="2155" w:type="dxa"/>
          </w:tcPr>
          <w:p w14:paraId="7023C7D4" w14:textId="77777777" w:rsidR="00EF5B27" w:rsidRDefault="00EF5B27">
            <w:pPr>
              <w:pStyle w:val="TableParagraph"/>
              <w:spacing w:before="11"/>
              <w:rPr>
                <w:sz w:val="11"/>
              </w:rPr>
            </w:pPr>
          </w:p>
          <w:p w14:paraId="27B5FD0A" w14:textId="77777777" w:rsidR="00EF5B27" w:rsidRDefault="00000000">
            <w:pPr>
              <w:pStyle w:val="TableParagraph"/>
              <w:ind w:left="143" w:right="142"/>
              <w:jc w:val="center"/>
              <w:rPr>
                <w:sz w:val="14"/>
              </w:rPr>
            </w:pPr>
            <w:r>
              <w:rPr>
                <w:color w:val="4D4D4F"/>
                <w:sz w:val="14"/>
              </w:rPr>
              <w:t>Change in monitoring method</w:t>
            </w:r>
          </w:p>
        </w:tc>
        <w:tc>
          <w:tcPr>
            <w:tcW w:w="964" w:type="dxa"/>
          </w:tcPr>
          <w:p w14:paraId="0BB92734" w14:textId="77777777" w:rsidR="00EF5B27" w:rsidRDefault="00EF5B27">
            <w:pPr>
              <w:pStyle w:val="TableParagraph"/>
              <w:spacing w:before="4"/>
              <w:rPr>
                <w:sz w:val="7"/>
              </w:rPr>
            </w:pPr>
          </w:p>
          <w:p w14:paraId="59219CB4" w14:textId="77777777" w:rsidR="00EF5B27" w:rsidRDefault="00000000">
            <w:pPr>
              <w:pStyle w:val="TableParagraph"/>
              <w:spacing w:line="187" w:lineRule="exact"/>
              <w:ind w:left="400"/>
              <w:rPr>
                <w:sz w:val="18"/>
              </w:rPr>
            </w:pPr>
            <w:r>
              <w:rPr>
                <w:noProof/>
                <w:position w:val="-3"/>
                <w:sz w:val="18"/>
              </w:rPr>
              <w:drawing>
                <wp:inline distT="0" distB="0" distL="0" distR="0" wp14:anchorId="385EBCF6" wp14:editId="2583F891">
                  <wp:extent cx="100572" cy="119062"/>
                  <wp:effectExtent l="0" t="0" r="0" b="0"/>
                  <wp:docPr id="269"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01.png"/>
                          <pic:cNvPicPr/>
                        </pic:nvPicPr>
                        <pic:blipFill>
                          <a:blip r:embed="rId84" cstate="print"/>
                          <a:stretch>
                            <a:fillRect/>
                          </a:stretch>
                        </pic:blipFill>
                        <pic:spPr>
                          <a:xfrm>
                            <a:off x="0" y="0"/>
                            <a:ext cx="100572" cy="119062"/>
                          </a:xfrm>
                          <a:prstGeom prst="rect">
                            <a:avLst/>
                          </a:prstGeom>
                        </pic:spPr>
                      </pic:pic>
                    </a:graphicData>
                  </a:graphic>
                </wp:inline>
              </w:drawing>
            </w:r>
          </w:p>
          <w:p w14:paraId="798582AC" w14:textId="77777777" w:rsidR="00EF5B27" w:rsidRDefault="00EF5B27">
            <w:pPr>
              <w:pStyle w:val="TableParagraph"/>
              <w:spacing w:before="8"/>
              <w:rPr>
                <w:sz w:val="2"/>
              </w:rPr>
            </w:pPr>
          </w:p>
          <w:p w14:paraId="11F30629" w14:textId="77777777" w:rsidR="00EF5B27" w:rsidRDefault="00000000">
            <w:pPr>
              <w:pStyle w:val="TableParagraph"/>
              <w:spacing w:line="48" w:lineRule="exact"/>
              <w:ind w:left="448"/>
              <w:rPr>
                <w:sz w:val="4"/>
              </w:rPr>
            </w:pPr>
            <w:r>
              <w:rPr>
                <w:sz w:val="4"/>
              </w:rPr>
            </w:r>
            <w:r>
              <w:rPr>
                <w:sz w:val="4"/>
              </w:rPr>
              <w:pict w14:anchorId="03557604">
                <v:group id="_x0000_s3755" style="width:2.45pt;height:2.45pt;mso-position-horizontal-relative:char;mso-position-vertical-relative:line" coordsize="49,49">
                  <v:shape id="_x0000_s3756" style="position:absolute;width:49;height:49" coordsize="49,49" path="m31,l18,,12,2,2,12,,17,,31r2,6l12,46r6,3l31,49r6,-3l46,37r3,-6l49,17,46,12,37,2,31,xe" fillcolor="#808285" stroked="f">
                    <v:path arrowok="t"/>
                  </v:shape>
                  <w10:wrap type="none"/>
                  <w10:anchorlock/>
                </v:group>
              </w:pict>
            </w:r>
          </w:p>
        </w:tc>
        <w:tc>
          <w:tcPr>
            <w:tcW w:w="964" w:type="dxa"/>
          </w:tcPr>
          <w:p w14:paraId="3340082B" w14:textId="77777777" w:rsidR="00EF5B27" w:rsidRDefault="00EF5B27">
            <w:pPr>
              <w:pStyle w:val="TableParagraph"/>
              <w:spacing w:before="11"/>
              <w:rPr>
                <w:sz w:val="11"/>
              </w:rPr>
            </w:pPr>
          </w:p>
          <w:p w14:paraId="3A863915" w14:textId="77777777" w:rsidR="00EF5B27" w:rsidRDefault="00000000">
            <w:pPr>
              <w:pStyle w:val="TableParagraph"/>
              <w:ind w:left="323" w:right="320"/>
              <w:jc w:val="center"/>
              <w:rPr>
                <w:sz w:val="14"/>
              </w:rPr>
            </w:pPr>
            <w:r>
              <w:rPr>
                <w:color w:val="4D4D4F"/>
                <w:w w:val="105"/>
                <w:sz w:val="14"/>
              </w:rPr>
              <w:t>Low</w:t>
            </w:r>
          </w:p>
        </w:tc>
        <w:tc>
          <w:tcPr>
            <w:tcW w:w="1489" w:type="dxa"/>
          </w:tcPr>
          <w:p w14:paraId="4A489DD7" w14:textId="77777777" w:rsidR="00EF5B27" w:rsidRDefault="00000000">
            <w:pPr>
              <w:pStyle w:val="TableParagraph"/>
              <w:spacing w:before="134"/>
              <w:ind w:left="449" w:right="457"/>
              <w:jc w:val="center"/>
              <w:rPr>
                <w:sz w:val="16"/>
              </w:rPr>
            </w:pPr>
            <w:r>
              <w:rPr>
                <w:color w:val="4D4D4F"/>
                <w:w w:val="105"/>
                <w:sz w:val="16"/>
              </w:rPr>
              <w:t>N/A</w:t>
            </w:r>
          </w:p>
        </w:tc>
      </w:tr>
      <w:tr w:rsidR="00EF5B27" w14:paraId="6197A210" w14:textId="77777777">
        <w:trPr>
          <w:trHeight w:val="448"/>
        </w:trPr>
        <w:tc>
          <w:tcPr>
            <w:tcW w:w="2980" w:type="dxa"/>
          </w:tcPr>
          <w:p w14:paraId="3C9DEC1D" w14:textId="77777777" w:rsidR="00EF5B27" w:rsidRDefault="00EF5B27">
            <w:pPr>
              <w:pStyle w:val="TableParagraph"/>
              <w:spacing w:before="11"/>
              <w:rPr>
                <w:sz w:val="11"/>
              </w:rPr>
            </w:pPr>
          </w:p>
          <w:p w14:paraId="1177E4B6" w14:textId="77777777" w:rsidR="00EF5B27" w:rsidRDefault="00000000">
            <w:pPr>
              <w:pStyle w:val="TableParagraph"/>
              <w:ind w:left="80"/>
              <w:rPr>
                <w:sz w:val="14"/>
              </w:rPr>
            </w:pPr>
            <w:r>
              <w:rPr>
                <w:color w:val="4D4D4F"/>
                <w:w w:val="105"/>
                <w:sz w:val="14"/>
              </w:rPr>
              <w:t>Truganina South NCR</w:t>
            </w:r>
          </w:p>
        </w:tc>
        <w:tc>
          <w:tcPr>
            <w:tcW w:w="1078" w:type="dxa"/>
          </w:tcPr>
          <w:p w14:paraId="3F8DDB3B" w14:textId="77777777" w:rsidR="00EF5B27" w:rsidRDefault="00EF5B27">
            <w:pPr>
              <w:pStyle w:val="TableParagraph"/>
              <w:spacing w:before="11"/>
              <w:rPr>
                <w:sz w:val="11"/>
              </w:rPr>
            </w:pPr>
          </w:p>
          <w:p w14:paraId="40203A5B" w14:textId="77777777" w:rsidR="00EF5B27" w:rsidRDefault="00000000">
            <w:pPr>
              <w:pStyle w:val="TableParagraph"/>
              <w:ind w:left="128" w:right="124"/>
              <w:jc w:val="center"/>
              <w:rPr>
                <w:sz w:val="14"/>
              </w:rPr>
            </w:pPr>
            <w:r>
              <w:rPr>
                <w:color w:val="4D4D4F"/>
                <w:sz w:val="14"/>
              </w:rPr>
              <w:t>Met</w:t>
            </w:r>
          </w:p>
        </w:tc>
        <w:tc>
          <w:tcPr>
            <w:tcW w:w="2155" w:type="dxa"/>
          </w:tcPr>
          <w:p w14:paraId="2F6B7952" w14:textId="77777777" w:rsidR="00EF5B27" w:rsidRDefault="00EF5B27">
            <w:pPr>
              <w:pStyle w:val="TableParagraph"/>
              <w:spacing w:before="11"/>
              <w:rPr>
                <w:sz w:val="11"/>
              </w:rPr>
            </w:pPr>
          </w:p>
          <w:p w14:paraId="491A0479" w14:textId="77777777" w:rsidR="00EF5B27" w:rsidRDefault="00000000">
            <w:pPr>
              <w:pStyle w:val="TableParagraph"/>
              <w:ind w:left="143" w:right="142"/>
              <w:jc w:val="center"/>
              <w:rPr>
                <w:sz w:val="14"/>
              </w:rPr>
            </w:pPr>
            <w:r>
              <w:rPr>
                <w:color w:val="4D4D4F"/>
                <w:sz w:val="14"/>
              </w:rPr>
              <w:t>Change in monitoring method</w:t>
            </w:r>
          </w:p>
        </w:tc>
        <w:tc>
          <w:tcPr>
            <w:tcW w:w="964" w:type="dxa"/>
          </w:tcPr>
          <w:p w14:paraId="062A6CF4" w14:textId="77777777" w:rsidR="00EF5B27" w:rsidRDefault="00EF5B27">
            <w:pPr>
              <w:pStyle w:val="TableParagraph"/>
              <w:spacing w:before="4"/>
              <w:rPr>
                <w:sz w:val="7"/>
              </w:rPr>
            </w:pPr>
          </w:p>
          <w:p w14:paraId="24A27BB3" w14:textId="77777777" w:rsidR="00EF5B27" w:rsidRDefault="00000000">
            <w:pPr>
              <w:pStyle w:val="TableParagraph"/>
              <w:spacing w:line="187" w:lineRule="exact"/>
              <w:ind w:left="400"/>
              <w:rPr>
                <w:sz w:val="18"/>
              </w:rPr>
            </w:pPr>
            <w:r>
              <w:rPr>
                <w:noProof/>
                <w:position w:val="-3"/>
                <w:sz w:val="18"/>
              </w:rPr>
              <w:drawing>
                <wp:inline distT="0" distB="0" distL="0" distR="0" wp14:anchorId="009D36D9" wp14:editId="2A4DC992">
                  <wp:extent cx="100572" cy="119062"/>
                  <wp:effectExtent l="0" t="0" r="0" b="0"/>
                  <wp:docPr id="271"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01.png"/>
                          <pic:cNvPicPr/>
                        </pic:nvPicPr>
                        <pic:blipFill>
                          <a:blip r:embed="rId84" cstate="print"/>
                          <a:stretch>
                            <a:fillRect/>
                          </a:stretch>
                        </pic:blipFill>
                        <pic:spPr>
                          <a:xfrm>
                            <a:off x="0" y="0"/>
                            <a:ext cx="100572" cy="119062"/>
                          </a:xfrm>
                          <a:prstGeom prst="rect">
                            <a:avLst/>
                          </a:prstGeom>
                        </pic:spPr>
                      </pic:pic>
                    </a:graphicData>
                  </a:graphic>
                </wp:inline>
              </w:drawing>
            </w:r>
          </w:p>
          <w:p w14:paraId="08703834" w14:textId="77777777" w:rsidR="00EF5B27" w:rsidRDefault="00EF5B27">
            <w:pPr>
              <w:pStyle w:val="TableParagraph"/>
              <w:spacing w:before="8"/>
              <w:rPr>
                <w:sz w:val="2"/>
              </w:rPr>
            </w:pPr>
          </w:p>
          <w:p w14:paraId="5428E2E1" w14:textId="77777777" w:rsidR="00EF5B27" w:rsidRDefault="00000000">
            <w:pPr>
              <w:pStyle w:val="TableParagraph"/>
              <w:spacing w:line="48" w:lineRule="exact"/>
              <w:ind w:left="448"/>
              <w:rPr>
                <w:sz w:val="4"/>
              </w:rPr>
            </w:pPr>
            <w:r>
              <w:rPr>
                <w:sz w:val="4"/>
              </w:rPr>
            </w:r>
            <w:r>
              <w:rPr>
                <w:sz w:val="4"/>
              </w:rPr>
              <w:pict w14:anchorId="3958DDFE">
                <v:group id="_x0000_s3753" style="width:2.45pt;height:2.45pt;mso-position-horizontal-relative:char;mso-position-vertical-relative:line" coordsize="49,49">
                  <v:shape id="_x0000_s3754" style="position:absolute;width:49;height:49" coordsize="49,49" path="m31,l18,,12,2,2,12,,17,,31r2,6l12,46r6,3l31,49r6,-3l46,37r3,-6l49,17,46,12,37,2,31,xe" fillcolor="#808285" stroked="f">
                    <v:path arrowok="t"/>
                  </v:shape>
                  <w10:wrap type="none"/>
                  <w10:anchorlock/>
                </v:group>
              </w:pict>
            </w:r>
          </w:p>
        </w:tc>
        <w:tc>
          <w:tcPr>
            <w:tcW w:w="964" w:type="dxa"/>
          </w:tcPr>
          <w:p w14:paraId="3F94B039" w14:textId="77777777" w:rsidR="00EF5B27" w:rsidRDefault="00EF5B27">
            <w:pPr>
              <w:pStyle w:val="TableParagraph"/>
              <w:spacing w:before="11"/>
              <w:rPr>
                <w:sz w:val="11"/>
              </w:rPr>
            </w:pPr>
          </w:p>
          <w:p w14:paraId="4639566B" w14:textId="77777777" w:rsidR="00EF5B27" w:rsidRDefault="00000000">
            <w:pPr>
              <w:pStyle w:val="TableParagraph"/>
              <w:ind w:left="323" w:right="320"/>
              <w:jc w:val="center"/>
              <w:rPr>
                <w:sz w:val="14"/>
              </w:rPr>
            </w:pPr>
            <w:r>
              <w:rPr>
                <w:color w:val="4D4D4F"/>
                <w:w w:val="105"/>
                <w:sz w:val="14"/>
              </w:rPr>
              <w:t>Low</w:t>
            </w:r>
          </w:p>
        </w:tc>
        <w:tc>
          <w:tcPr>
            <w:tcW w:w="1489" w:type="dxa"/>
          </w:tcPr>
          <w:p w14:paraId="20B52D4D" w14:textId="77777777" w:rsidR="00EF5B27" w:rsidRDefault="00000000">
            <w:pPr>
              <w:pStyle w:val="TableParagraph"/>
              <w:spacing w:before="134"/>
              <w:ind w:left="449" w:right="457"/>
              <w:jc w:val="center"/>
              <w:rPr>
                <w:sz w:val="16"/>
              </w:rPr>
            </w:pPr>
            <w:r>
              <w:rPr>
                <w:color w:val="4D4D4F"/>
                <w:w w:val="105"/>
                <w:sz w:val="16"/>
              </w:rPr>
              <w:t>N/A</w:t>
            </w:r>
          </w:p>
        </w:tc>
      </w:tr>
      <w:tr w:rsidR="00EF5B27" w14:paraId="70E9CC68" w14:textId="77777777">
        <w:trPr>
          <w:trHeight w:val="448"/>
        </w:trPr>
        <w:tc>
          <w:tcPr>
            <w:tcW w:w="2980" w:type="dxa"/>
          </w:tcPr>
          <w:p w14:paraId="11311768" w14:textId="77777777" w:rsidR="00EF5B27" w:rsidRDefault="00EF5B27">
            <w:pPr>
              <w:pStyle w:val="TableParagraph"/>
              <w:spacing w:before="11"/>
              <w:rPr>
                <w:sz w:val="11"/>
              </w:rPr>
            </w:pPr>
          </w:p>
          <w:p w14:paraId="235BB139" w14:textId="77777777" w:rsidR="00EF5B27" w:rsidRDefault="00000000">
            <w:pPr>
              <w:pStyle w:val="TableParagraph"/>
              <w:ind w:left="80"/>
              <w:rPr>
                <w:sz w:val="14"/>
              </w:rPr>
            </w:pPr>
            <w:r>
              <w:rPr>
                <w:color w:val="4D4D4F"/>
                <w:sz w:val="14"/>
              </w:rPr>
              <w:t>Werribee River easement</w:t>
            </w:r>
          </w:p>
        </w:tc>
        <w:tc>
          <w:tcPr>
            <w:tcW w:w="1078" w:type="dxa"/>
          </w:tcPr>
          <w:p w14:paraId="0FAA9347" w14:textId="77777777" w:rsidR="00EF5B27" w:rsidRDefault="00EF5B27">
            <w:pPr>
              <w:pStyle w:val="TableParagraph"/>
              <w:spacing w:before="11"/>
              <w:rPr>
                <w:sz w:val="11"/>
              </w:rPr>
            </w:pPr>
          </w:p>
          <w:p w14:paraId="1DE0CDC8" w14:textId="77777777" w:rsidR="00EF5B27" w:rsidRDefault="00000000">
            <w:pPr>
              <w:pStyle w:val="TableParagraph"/>
              <w:ind w:left="128" w:right="124"/>
              <w:jc w:val="center"/>
              <w:rPr>
                <w:sz w:val="14"/>
              </w:rPr>
            </w:pPr>
            <w:r>
              <w:rPr>
                <w:color w:val="4D4D4F"/>
                <w:sz w:val="14"/>
              </w:rPr>
              <w:t>Met</w:t>
            </w:r>
          </w:p>
        </w:tc>
        <w:tc>
          <w:tcPr>
            <w:tcW w:w="2155" w:type="dxa"/>
          </w:tcPr>
          <w:p w14:paraId="544333F8" w14:textId="77777777" w:rsidR="00EF5B27" w:rsidRDefault="00EF5B27">
            <w:pPr>
              <w:pStyle w:val="TableParagraph"/>
              <w:spacing w:before="11"/>
              <w:rPr>
                <w:sz w:val="11"/>
              </w:rPr>
            </w:pPr>
          </w:p>
          <w:p w14:paraId="312D816B" w14:textId="77777777" w:rsidR="00EF5B27" w:rsidRDefault="00000000">
            <w:pPr>
              <w:pStyle w:val="TableParagraph"/>
              <w:ind w:left="143" w:right="142"/>
              <w:jc w:val="center"/>
              <w:rPr>
                <w:sz w:val="14"/>
              </w:rPr>
            </w:pPr>
            <w:r>
              <w:rPr>
                <w:color w:val="4D4D4F"/>
                <w:sz w:val="14"/>
              </w:rPr>
              <w:t>Change in monitoring method</w:t>
            </w:r>
          </w:p>
        </w:tc>
        <w:tc>
          <w:tcPr>
            <w:tcW w:w="964" w:type="dxa"/>
          </w:tcPr>
          <w:p w14:paraId="39CAB4EC" w14:textId="77777777" w:rsidR="00EF5B27" w:rsidRDefault="00EF5B27">
            <w:pPr>
              <w:pStyle w:val="TableParagraph"/>
              <w:spacing w:before="4"/>
              <w:rPr>
                <w:sz w:val="7"/>
              </w:rPr>
            </w:pPr>
          </w:p>
          <w:p w14:paraId="308B8D6A" w14:textId="77777777" w:rsidR="00EF5B27" w:rsidRDefault="00000000">
            <w:pPr>
              <w:pStyle w:val="TableParagraph"/>
              <w:spacing w:line="187" w:lineRule="exact"/>
              <w:ind w:left="400"/>
              <w:rPr>
                <w:sz w:val="18"/>
              </w:rPr>
            </w:pPr>
            <w:r>
              <w:rPr>
                <w:noProof/>
                <w:position w:val="-3"/>
                <w:sz w:val="18"/>
              </w:rPr>
              <w:drawing>
                <wp:inline distT="0" distB="0" distL="0" distR="0" wp14:anchorId="21491CD3" wp14:editId="0CE387A6">
                  <wp:extent cx="100572" cy="119062"/>
                  <wp:effectExtent l="0" t="0" r="0" b="0"/>
                  <wp:docPr id="273"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05.png"/>
                          <pic:cNvPicPr/>
                        </pic:nvPicPr>
                        <pic:blipFill>
                          <a:blip r:embed="rId92" cstate="print"/>
                          <a:stretch>
                            <a:fillRect/>
                          </a:stretch>
                        </pic:blipFill>
                        <pic:spPr>
                          <a:xfrm>
                            <a:off x="0" y="0"/>
                            <a:ext cx="100572" cy="119062"/>
                          </a:xfrm>
                          <a:prstGeom prst="rect">
                            <a:avLst/>
                          </a:prstGeom>
                        </pic:spPr>
                      </pic:pic>
                    </a:graphicData>
                  </a:graphic>
                </wp:inline>
              </w:drawing>
            </w:r>
          </w:p>
          <w:p w14:paraId="74BCE084" w14:textId="77777777" w:rsidR="00EF5B27" w:rsidRDefault="00EF5B27">
            <w:pPr>
              <w:pStyle w:val="TableParagraph"/>
              <w:spacing w:before="8"/>
              <w:rPr>
                <w:sz w:val="2"/>
              </w:rPr>
            </w:pPr>
          </w:p>
          <w:p w14:paraId="0CFE0CF6" w14:textId="77777777" w:rsidR="00EF5B27" w:rsidRDefault="00000000">
            <w:pPr>
              <w:pStyle w:val="TableParagraph"/>
              <w:spacing w:line="48" w:lineRule="exact"/>
              <w:ind w:left="448"/>
              <w:rPr>
                <w:sz w:val="4"/>
              </w:rPr>
            </w:pPr>
            <w:r>
              <w:rPr>
                <w:sz w:val="4"/>
              </w:rPr>
            </w:r>
            <w:r>
              <w:rPr>
                <w:sz w:val="4"/>
              </w:rPr>
              <w:pict w14:anchorId="5D1E79E6">
                <v:group id="_x0000_s3751" style="width:2.45pt;height:2.45pt;mso-position-horizontal-relative:char;mso-position-vertical-relative:line" coordsize="49,49">
                  <v:shape id="_x0000_s3752" style="position:absolute;width:49;height:49" coordsize="49,49" path="m31,l18,,12,2,2,12,,17,,31r2,6l12,46r6,3l31,49r6,-3l46,37r3,-6l49,17,46,12,37,2,31,xe" fillcolor="#808285" stroked="f">
                    <v:path arrowok="t"/>
                  </v:shape>
                  <w10:wrap type="none"/>
                  <w10:anchorlock/>
                </v:group>
              </w:pict>
            </w:r>
          </w:p>
        </w:tc>
        <w:tc>
          <w:tcPr>
            <w:tcW w:w="964" w:type="dxa"/>
          </w:tcPr>
          <w:p w14:paraId="0943E727" w14:textId="77777777" w:rsidR="00EF5B27" w:rsidRDefault="00EF5B27">
            <w:pPr>
              <w:pStyle w:val="TableParagraph"/>
              <w:spacing w:before="11"/>
              <w:rPr>
                <w:sz w:val="11"/>
              </w:rPr>
            </w:pPr>
          </w:p>
          <w:p w14:paraId="0D0775F9" w14:textId="77777777" w:rsidR="00EF5B27" w:rsidRDefault="00000000">
            <w:pPr>
              <w:pStyle w:val="TableParagraph"/>
              <w:ind w:left="323" w:right="320"/>
              <w:jc w:val="center"/>
              <w:rPr>
                <w:sz w:val="14"/>
              </w:rPr>
            </w:pPr>
            <w:r>
              <w:rPr>
                <w:color w:val="4D4D4F"/>
                <w:w w:val="105"/>
                <w:sz w:val="14"/>
              </w:rPr>
              <w:t>Low</w:t>
            </w:r>
          </w:p>
        </w:tc>
        <w:tc>
          <w:tcPr>
            <w:tcW w:w="1489" w:type="dxa"/>
          </w:tcPr>
          <w:p w14:paraId="72458AC6" w14:textId="77777777" w:rsidR="00EF5B27" w:rsidRDefault="00000000">
            <w:pPr>
              <w:pStyle w:val="TableParagraph"/>
              <w:spacing w:before="134"/>
              <w:ind w:left="449" w:right="457"/>
              <w:jc w:val="center"/>
              <w:rPr>
                <w:sz w:val="16"/>
              </w:rPr>
            </w:pPr>
            <w:r>
              <w:rPr>
                <w:color w:val="4D4D4F"/>
                <w:w w:val="105"/>
                <w:sz w:val="16"/>
              </w:rPr>
              <w:t>N/A</w:t>
            </w:r>
          </w:p>
        </w:tc>
      </w:tr>
      <w:tr w:rsidR="00EF5B27" w14:paraId="49439B5E" w14:textId="77777777">
        <w:trPr>
          <w:trHeight w:val="448"/>
        </w:trPr>
        <w:tc>
          <w:tcPr>
            <w:tcW w:w="2980" w:type="dxa"/>
          </w:tcPr>
          <w:p w14:paraId="5453A2FF" w14:textId="77777777" w:rsidR="00EF5B27" w:rsidRDefault="00EF5B27">
            <w:pPr>
              <w:pStyle w:val="TableParagraph"/>
              <w:spacing w:before="11"/>
              <w:rPr>
                <w:sz w:val="11"/>
              </w:rPr>
            </w:pPr>
          </w:p>
          <w:p w14:paraId="27A0FC29" w14:textId="77777777" w:rsidR="00EF5B27" w:rsidRDefault="00000000">
            <w:pPr>
              <w:pStyle w:val="TableParagraph"/>
              <w:ind w:left="80"/>
              <w:rPr>
                <w:sz w:val="14"/>
              </w:rPr>
            </w:pPr>
            <w:r>
              <w:rPr>
                <w:color w:val="4D4D4F"/>
                <w:w w:val="105"/>
                <w:sz w:val="14"/>
              </w:rPr>
              <w:t>All other locations</w:t>
            </w:r>
          </w:p>
        </w:tc>
        <w:tc>
          <w:tcPr>
            <w:tcW w:w="1078" w:type="dxa"/>
          </w:tcPr>
          <w:p w14:paraId="65F67D78" w14:textId="77777777" w:rsidR="00EF5B27" w:rsidRDefault="00EF5B27">
            <w:pPr>
              <w:pStyle w:val="TableParagraph"/>
              <w:spacing w:before="11"/>
              <w:rPr>
                <w:sz w:val="11"/>
              </w:rPr>
            </w:pPr>
          </w:p>
          <w:p w14:paraId="3C3856DC" w14:textId="77777777" w:rsidR="00EF5B27" w:rsidRDefault="00000000">
            <w:pPr>
              <w:pStyle w:val="TableParagraph"/>
              <w:ind w:left="128" w:right="124"/>
              <w:jc w:val="center"/>
              <w:rPr>
                <w:sz w:val="14"/>
              </w:rPr>
            </w:pPr>
            <w:r>
              <w:rPr>
                <w:color w:val="4D4D4F"/>
                <w:sz w:val="14"/>
              </w:rPr>
              <w:t>Met</w:t>
            </w:r>
          </w:p>
        </w:tc>
        <w:tc>
          <w:tcPr>
            <w:tcW w:w="2155" w:type="dxa"/>
          </w:tcPr>
          <w:p w14:paraId="58690FD6" w14:textId="77777777" w:rsidR="00EF5B27" w:rsidRDefault="00EF5B27">
            <w:pPr>
              <w:pStyle w:val="TableParagraph"/>
              <w:spacing w:before="11"/>
              <w:rPr>
                <w:sz w:val="11"/>
              </w:rPr>
            </w:pPr>
          </w:p>
          <w:p w14:paraId="51915D62" w14:textId="77777777" w:rsidR="00EF5B27" w:rsidRDefault="00000000">
            <w:pPr>
              <w:pStyle w:val="TableParagraph"/>
              <w:ind w:left="143" w:right="142"/>
              <w:jc w:val="center"/>
              <w:rPr>
                <w:sz w:val="14"/>
              </w:rPr>
            </w:pPr>
            <w:r>
              <w:rPr>
                <w:color w:val="4D4D4F"/>
                <w:sz w:val="14"/>
              </w:rPr>
              <w:t>Change in monitoring method</w:t>
            </w:r>
          </w:p>
        </w:tc>
        <w:tc>
          <w:tcPr>
            <w:tcW w:w="964" w:type="dxa"/>
          </w:tcPr>
          <w:p w14:paraId="50B84DDF" w14:textId="77777777" w:rsidR="00EF5B27" w:rsidRDefault="00EF5B27">
            <w:pPr>
              <w:pStyle w:val="TableParagraph"/>
              <w:spacing w:before="5"/>
              <w:rPr>
                <w:sz w:val="7"/>
              </w:rPr>
            </w:pPr>
          </w:p>
          <w:p w14:paraId="4990329C" w14:textId="77777777" w:rsidR="00EF5B27" w:rsidRDefault="00000000">
            <w:pPr>
              <w:pStyle w:val="TableParagraph"/>
              <w:spacing w:line="187" w:lineRule="exact"/>
              <w:ind w:left="400"/>
              <w:rPr>
                <w:sz w:val="18"/>
              </w:rPr>
            </w:pPr>
            <w:r>
              <w:rPr>
                <w:noProof/>
                <w:position w:val="-3"/>
                <w:sz w:val="18"/>
              </w:rPr>
              <w:drawing>
                <wp:inline distT="0" distB="0" distL="0" distR="0" wp14:anchorId="753743FE" wp14:editId="64386680">
                  <wp:extent cx="100572" cy="119062"/>
                  <wp:effectExtent l="0" t="0" r="0" b="0"/>
                  <wp:docPr id="275"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06.png"/>
                          <pic:cNvPicPr/>
                        </pic:nvPicPr>
                        <pic:blipFill>
                          <a:blip r:embed="rId84" cstate="print"/>
                          <a:stretch>
                            <a:fillRect/>
                          </a:stretch>
                        </pic:blipFill>
                        <pic:spPr>
                          <a:xfrm>
                            <a:off x="0" y="0"/>
                            <a:ext cx="100572" cy="119062"/>
                          </a:xfrm>
                          <a:prstGeom prst="rect">
                            <a:avLst/>
                          </a:prstGeom>
                        </pic:spPr>
                      </pic:pic>
                    </a:graphicData>
                  </a:graphic>
                </wp:inline>
              </w:drawing>
            </w:r>
          </w:p>
          <w:p w14:paraId="3BF27944" w14:textId="77777777" w:rsidR="00EF5B27" w:rsidRDefault="00EF5B27">
            <w:pPr>
              <w:pStyle w:val="TableParagraph"/>
              <w:spacing w:before="7"/>
              <w:rPr>
                <w:sz w:val="2"/>
              </w:rPr>
            </w:pPr>
          </w:p>
          <w:p w14:paraId="60230370" w14:textId="77777777" w:rsidR="00EF5B27" w:rsidRDefault="00000000">
            <w:pPr>
              <w:pStyle w:val="TableParagraph"/>
              <w:spacing w:line="48" w:lineRule="exact"/>
              <w:ind w:left="448"/>
              <w:rPr>
                <w:sz w:val="4"/>
              </w:rPr>
            </w:pPr>
            <w:r>
              <w:rPr>
                <w:sz w:val="4"/>
              </w:rPr>
            </w:r>
            <w:r>
              <w:rPr>
                <w:sz w:val="4"/>
              </w:rPr>
              <w:pict w14:anchorId="26FB3CD4">
                <v:group id="_x0000_s3749" style="width:2.45pt;height:2.45pt;mso-position-horizontal-relative:char;mso-position-vertical-relative:line" coordsize="49,49">
                  <v:shape id="_x0000_s3750" style="position:absolute;width:49;height:49" coordsize="49,49" path="m31,l18,,12,2,2,12,,17,,31r2,6l12,46r6,3l31,49r6,-3l46,37r3,-6l49,17,46,12,37,2,31,xe" fillcolor="#808285" stroked="f">
                    <v:path arrowok="t"/>
                  </v:shape>
                  <w10:wrap type="none"/>
                  <w10:anchorlock/>
                </v:group>
              </w:pict>
            </w:r>
          </w:p>
        </w:tc>
        <w:tc>
          <w:tcPr>
            <w:tcW w:w="964" w:type="dxa"/>
          </w:tcPr>
          <w:p w14:paraId="3A47C272" w14:textId="77777777" w:rsidR="00EF5B27" w:rsidRDefault="00EF5B27">
            <w:pPr>
              <w:pStyle w:val="TableParagraph"/>
              <w:spacing w:before="11"/>
              <w:rPr>
                <w:sz w:val="11"/>
              </w:rPr>
            </w:pPr>
          </w:p>
          <w:p w14:paraId="6DFB5253" w14:textId="77777777" w:rsidR="00EF5B27" w:rsidRDefault="00000000">
            <w:pPr>
              <w:pStyle w:val="TableParagraph"/>
              <w:ind w:left="323" w:right="320"/>
              <w:jc w:val="center"/>
              <w:rPr>
                <w:sz w:val="14"/>
              </w:rPr>
            </w:pPr>
            <w:r>
              <w:rPr>
                <w:color w:val="4D4D4F"/>
                <w:w w:val="105"/>
                <w:sz w:val="14"/>
              </w:rPr>
              <w:t>Low</w:t>
            </w:r>
          </w:p>
        </w:tc>
        <w:tc>
          <w:tcPr>
            <w:tcW w:w="1489" w:type="dxa"/>
          </w:tcPr>
          <w:p w14:paraId="5D921BDB" w14:textId="77777777" w:rsidR="00EF5B27" w:rsidRDefault="00000000">
            <w:pPr>
              <w:pStyle w:val="TableParagraph"/>
              <w:spacing w:before="134"/>
              <w:ind w:left="449" w:right="457"/>
              <w:jc w:val="center"/>
              <w:rPr>
                <w:sz w:val="16"/>
              </w:rPr>
            </w:pPr>
            <w:r>
              <w:rPr>
                <w:color w:val="4D4D4F"/>
                <w:w w:val="105"/>
                <w:sz w:val="16"/>
              </w:rPr>
              <w:t>N/A</w:t>
            </w:r>
          </w:p>
        </w:tc>
      </w:tr>
    </w:tbl>
    <w:p w14:paraId="41AC33D3" w14:textId="77777777" w:rsidR="00EF5B27" w:rsidRDefault="00EF5B27">
      <w:pPr>
        <w:pStyle w:val="BodyText"/>
        <w:spacing w:before="1"/>
        <w:rPr>
          <w:sz w:val="26"/>
        </w:rPr>
      </w:pPr>
    </w:p>
    <w:p w14:paraId="064CF4DB" w14:textId="77777777" w:rsidR="00EF5B27" w:rsidRDefault="00000000">
      <w:pPr>
        <w:pStyle w:val="BodyText"/>
        <w:spacing w:before="100" w:line="254" w:lineRule="auto"/>
        <w:ind w:left="2608" w:right="375"/>
      </w:pPr>
      <w:r>
        <w:rPr>
          <w:color w:val="4D4D4F"/>
        </w:rPr>
        <w:t xml:space="preserve">Comments: Striped Legless Lizard has been detected in all survey years after the establishment of the permanent plot in </w:t>
      </w:r>
      <w:r>
        <w:rPr>
          <w:color w:val="4D4D4F"/>
          <w:spacing w:val="-5"/>
        </w:rPr>
        <w:t xml:space="preserve">2017 </w:t>
      </w:r>
      <w:r>
        <w:rPr>
          <w:color w:val="4D4D4F"/>
        </w:rPr>
        <w:t xml:space="preserve">on Mount Cottrell NCR. At </w:t>
      </w:r>
      <w:r>
        <w:rPr>
          <w:color w:val="4D4D4F"/>
          <w:spacing w:val="-3"/>
        </w:rPr>
        <w:t xml:space="preserve">Truganina </w:t>
      </w:r>
      <w:r>
        <w:rPr>
          <w:color w:val="4D4D4F"/>
        </w:rPr>
        <w:t xml:space="preserve">South NCR, Striped Legless Lizard was detected in </w:t>
      </w:r>
      <w:r>
        <w:rPr>
          <w:color w:val="4D4D4F"/>
          <w:spacing w:val="-6"/>
        </w:rPr>
        <w:t xml:space="preserve">2019. </w:t>
      </w:r>
      <w:r>
        <w:rPr>
          <w:color w:val="4D4D4F"/>
        </w:rPr>
        <w:t>This KPI has been met for the first five years at both locations. At the other locations the assessment of the</w:t>
      </w:r>
      <w:r>
        <w:rPr>
          <w:color w:val="4D4D4F"/>
          <w:spacing w:val="-13"/>
        </w:rPr>
        <w:t xml:space="preserve"> </w:t>
      </w:r>
      <w:r>
        <w:rPr>
          <w:color w:val="4D4D4F"/>
        </w:rPr>
        <w:t>KPI</w:t>
      </w:r>
    </w:p>
    <w:p w14:paraId="515A28CF" w14:textId="77777777" w:rsidR="00EF5B27" w:rsidRDefault="00000000">
      <w:pPr>
        <w:pStyle w:val="BodyText"/>
        <w:spacing w:before="5" w:line="254" w:lineRule="auto"/>
        <w:ind w:left="2608"/>
      </w:pPr>
      <w:r>
        <w:rPr>
          <w:color w:val="4D4D4F"/>
        </w:rPr>
        <w:t>began in 2021. Striped Legless Lizard was detected in 2021 at all permanent monitoring plots except at the Werribee River easement (it was last detected here in 2019). In</w:t>
      </w:r>
    </w:p>
    <w:p w14:paraId="0ADC7055" w14:textId="77777777" w:rsidR="00EF5B27" w:rsidRDefault="00000000">
      <w:pPr>
        <w:pStyle w:val="BodyText"/>
        <w:spacing w:before="2" w:line="254" w:lineRule="auto"/>
        <w:ind w:left="2608" w:right="85"/>
      </w:pPr>
      <w:r>
        <w:rPr>
          <w:color w:val="4D4D4F"/>
        </w:rPr>
        <w:t>2021, 10 new locations were searched specifically for Striped Legless Lizard. No lizards were detected at these locations and, as such, they will not become permanent plots. Limitations with the current monitoring protocol and indicator design mean the dataset is currently biased to locations where the lizard has been previously detected – this makes the assessment of any trends unclear and confidence in the data is low.</w:t>
      </w:r>
    </w:p>
    <w:p w14:paraId="45CE2C45" w14:textId="77777777" w:rsidR="00EF5B27" w:rsidRDefault="00000000">
      <w:pPr>
        <w:pStyle w:val="BodyText"/>
        <w:spacing w:before="10"/>
        <w:rPr>
          <w:sz w:val="27"/>
        </w:rPr>
      </w:pPr>
      <w:r>
        <w:pict w14:anchorId="0F595222">
          <v:line id="_x0000_s3748" style="position:absolute;z-index:251452928;mso-wrap-distance-left:0;mso-wrap-distance-right:0;mso-position-horizontal-relative:page" from="181.4pt,19.2pt" to="538.85pt,19.2pt" strokecolor="#4d4d4f" strokeweight=".5pt">
            <w10:wrap type="topAndBottom" anchorx="page"/>
          </v:line>
        </w:pict>
      </w:r>
    </w:p>
    <w:p w14:paraId="1185202C" w14:textId="77777777" w:rsidR="00EF5B27" w:rsidRDefault="00000000">
      <w:pPr>
        <w:pStyle w:val="ListParagraph"/>
        <w:numPr>
          <w:ilvl w:val="0"/>
          <w:numId w:val="49"/>
        </w:numPr>
        <w:tabs>
          <w:tab w:val="left" w:pos="2836"/>
        </w:tabs>
        <w:spacing w:before="83" w:line="143" w:lineRule="exact"/>
        <w:rPr>
          <w:sz w:val="12"/>
        </w:rPr>
      </w:pPr>
      <w:r>
        <w:rPr>
          <w:color w:val="4D4D4F"/>
          <w:sz w:val="12"/>
        </w:rPr>
        <w:t>DELWP</w:t>
      </w:r>
      <w:r>
        <w:rPr>
          <w:color w:val="4D4D4F"/>
          <w:spacing w:val="11"/>
          <w:sz w:val="12"/>
        </w:rPr>
        <w:t xml:space="preserve"> </w:t>
      </w:r>
      <w:r>
        <w:rPr>
          <w:color w:val="4D4D4F"/>
          <w:sz w:val="12"/>
        </w:rPr>
        <w:t>Officer,</w:t>
      </w:r>
      <w:r>
        <w:rPr>
          <w:color w:val="4D4D4F"/>
          <w:spacing w:val="12"/>
          <w:sz w:val="12"/>
        </w:rPr>
        <w:t xml:space="preserve"> </w:t>
      </w:r>
      <w:r>
        <w:rPr>
          <w:color w:val="4D4D4F"/>
          <w:sz w:val="12"/>
        </w:rPr>
        <w:t>personal</w:t>
      </w:r>
      <w:r>
        <w:rPr>
          <w:color w:val="4D4D4F"/>
          <w:spacing w:val="12"/>
          <w:sz w:val="12"/>
        </w:rPr>
        <w:t xml:space="preserve"> </w:t>
      </w:r>
      <w:r>
        <w:rPr>
          <w:color w:val="4D4D4F"/>
          <w:sz w:val="12"/>
        </w:rPr>
        <w:t>communication,</w:t>
      </w:r>
      <w:r>
        <w:rPr>
          <w:color w:val="4D4D4F"/>
          <w:spacing w:val="12"/>
          <w:sz w:val="12"/>
        </w:rPr>
        <w:t xml:space="preserve"> </w:t>
      </w:r>
      <w:r>
        <w:rPr>
          <w:color w:val="4D4D4F"/>
          <w:sz w:val="12"/>
        </w:rPr>
        <w:t>14</w:t>
      </w:r>
      <w:r>
        <w:rPr>
          <w:color w:val="4D4D4F"/>
          <w:spacing w:val="12"/>
          <w:sz w:val="12"/>
        </w:rPr>
        <w:t xml:space="preserve"> </w:t>
      </w:r>
      <w:r>
        <w:rPr>
          <w:color w:val="4D4D4F"/>
          <w:sz w:val="12"/>
        </w:rPr>
        <w:t>July</w:t>
      </w:r>
      <w:r>
        <w:rPr>
          <w:color w:val="4D4D4F"/>
          <w:spacing w:val="12"/>
          <w:sz w:val="12"/>
        </w:rPr>
        <w:t xml:space="preserve"> </w:t>
      </w:r>
      <w:r>
        <w:rPr>
          <w:color w:val="4D4D4F"/>
          <w:sz w:val="12"/>
        </w:rPr>
        <w:t>2021.</w:t>
      </w:r>
    </w:p>
    <w:p w14:paraId="3B2FE7F0" w14:textId="77777777" w:rsidR="00EF5B27" w:rsidRDefault="00000000">
      <w:pPr>
        <w:pStyle w:val="ListParagraph"/>
        <w:numPr>
          <w:ilvl w:val="0"/>
          <w:numId w:val="49"/>
        </w:numPr>
        <w:tabs>
          <w:tab w:val="left" w:pos="2836"/>
        </w:tabs>
        <w:spacing w:line="143" w:lineRule="exact"/>
        <w:rPr>
          <w:sz w:val="12"/>
        </w:rPr>
      </w:pPr>
      <w:r>
        <w:rPr>
          <w:color w:val="4D4D4F"/>
          <w:sz w:val="12"/>
        </w:rPr>
        <w:t>DELWP</w:t>
      </w:r>
      <w:r>
        <w:rPr>
          <w:color w:val="4D4D4F"/>
          <w:spacing w:val="11"/>
          <w:sz w:val="12"/>
        </w:rPr>
        <w:t xml:space="preserve"> </w:t>
      </w:r>
      <w:r>
        <w:rPr>
          <w:color w:val="4D4D4F"/>
          <w:sz w:val="12"/>
        </w:rPr>
        <w:t>Officer,</w:t>
      </w:r>
      <w:r>
        <w:rPr>
          <w:color w:val="4D4D4F"/>
          <w:spacing w:val="12"/>
          <w:sz w:val="12"/>
        </w:rPr>
        <w:t xml:space="preserve"> </w:t>
      </w:r>
      <w:r>
        <w:rPr>
          <w:color w:val="4D4D4F"/>
          <w:sz w:val="12"/>
        </w:rPr>
        <w:t>personal</w:t>
      </w:r>
      <w:r>
        <w:rPr>
          <w:color w:val="4D4D4F"/>
          <w:spacing w:val="12"/>
          <w:sz w:val="12"/>
        </w:rPr>
        <w:t xml:space="preserve"> </w:t>
      </w:r>
      <w:r>
        <w:rPr>
          <w:color w:val="4D4D4F"/>
          <w:sz w:val="12"/>
        </w:rPr>
        <w:t>communication,</w:t>
      </w:r>
      <w:r>
        <w:rPr>
          <w:color w:val="4D4D4F"/>
          <w:spacing w:val="12"/>
          <w:sz w:val="12"/>
        </w:rPr>
        <w:t xml:space="preserve"> </w:t>
      </w:r>
      <w:r>
        <w:rPr>
          <w:color w:val="4D4D4F"/>
          <w:sz w:val="12"/>
        </w:rPr>
        <w:t>14</w:t>
      </w:r>
      <w:r>
        <w:rPr>
          <w:color w:val="4D4D4F"/>
          <w:spacing w:val="12"/>
          <w:sz w:val="12"/>
        </w:rPr>
        <w:t xml:space="preserve"> </w:t>
      </w:r>
      <w:r>
        <w:rPr>
          <w:color w:val="4D4D4F"/>
          <w:sz w:val="12"/>
        </w:rPr>
        <w:t>July</w:t>
      </w:r>
      <w:r>
        <w:rPr>
          <w:color w:val="4D4D4F"/>
          <w:spacing w:val="12"/>
          <w:sz w:val="12"/>
        </w:rPr>
        <w:t xml:space="preserve"> </w:t>
      </w:r>
      <w:r>
        <w:rPr>
          <w:color w:val="4D4D4F"/>
          <w:sz w:val="12"/>
        </w:rPr>
        <w:t>2021.</w:t>
      </w:r>
    </w:p>
    <w:p w14:paraId="37E1C59E" w14:textId="77777777" w:rsidR="00EF5B27" w:rsidRDefault="00EF5B27">
      <w:pPr>
        <w:spacing w:line="143" w:lineRule="exact"/>
        <w:rPr>
          <w:sz w:val="12"/>
        </w:rPr>
        <w:sectPr w:rsidR="00EF5B27">
          <w:type w:val="continuous"/>
          <w:pgSz w:w="11910" w:h="16840"/>
          <w:pgMar w:top="1140" w:right="1020" w:bottom="280" w:left="1020" w:header="720" w:footer="720" w:gutter="0"/>
          <w:cols w:space="720"/>
        </w:sectPr>
      </w:pPr>
    </w:p>
    <w:p w14:paraId="6B6719A9" w14:textId="77777777" w:rsidR="00EF5B27" w:rsidRDefault="00EF5B27">
      <w:pPr>
        <w:pStyle w:val="BodyText"/>
      </w:pPr>
    </w:p>
    <w:p w14:paraId="6D504B5F" w14:textId="77777777" w:rsidR="00EF5B27" w:rsidRDefault="00EF5B27">
      <w:pPr>
        <w:pStyle w:val="BodyText"/>
      </w:pPr>
    </w:p>
    <w:p w14:paraId="3C6879C4" w14:textId="77777777" w:rsidR="00EF5B27" w:rsidRDefault="00EF5B27">
      <w:pPr>
        <w:pStyle w:val="BodyText"/>
      </w:pPr>
    </w:p>
    <w:p w14:paraId="0F143098" w14:textId="77777777" w:rsidR="00EF5B27" w:rsidRDefault="00EF5B27">
      <w:pPr>
        <w:pStyle w:val="BodyText"/>
      </w:pPr>
    </w:p>
    <w:p w14:paraId="1498E946" w14:textId="77777777" w:rsidR="00EF5B27" w:rsidRDefault="00EF5B27">
      <w:pPr>
        <w:pStyle w:val="BodyText"/>
        <w:spacing w:before="7"/>
        <w:rPr>
          <w:sz w:val="16"/>
        </w:rPr>
      </w:pPr>
    </w:p>
    <w:p w14:paraId="4939E2CB" w14:textId="77777777" w:rsidR="00EF5B27" w:rsidRDefault="00000000">
      <w:pPr>
        <w:pStyle w:val="BodyText"/>
        <w:ind w:left="113"/>
      </w:pPr>
      <w:r>
        <w:pict w14:anchorId="408DA1E8">
          <v:shape id="_x0000_s3747" type="#_x0000_t202" style="width:481.15pt;height:25.4pt;mso-left-percent:-10001;mso-top-percent:-10001;mso-position-horizontal:absolute;mso-position-horizontal-relative:char;mso-position-vertical:absolute;mso-position-vertical-relative:line;mso-left-percent:-10001;mso-top-percent:-10001" fillcolor="#fecc91" stroked="f">
            <v:textbox inset="0,0,0,0">
              <w:txbxContent>
                <w:p w14:paraId="3AAC1A4A" w14:textId="77777777" w:rsidR="00EF5B27" w:rsidRDefault="00000000">
                  <w:pPr>
                    <w:tabs>
                      <w:tab w:val="left" w:pos="2607"/>
                    </w:tabs>
                    <w:spacing w:before="142"/>
                    <w:ind w:left="113"/>
                    <w:rPr>
                      <w:b/>
                      <w:sz w:val="20"/>
                    </w:rPr>
                  </w:pPr>
                  <w:r>
                    <w:rPr>
                      <w:b/>
                      <w:color w:val="4D4D4F"/>
                      <w:w w:val="105"/>
                      <w:sz w:val="20"/>
                    </w:rPr>
                    <w:t>Theme</w:t>
                  </w:r>
                  <w:r>
                    <w:rPr>
                      <w:b/>
                      <w:color w:val="4D4D4F"/>
                      <w:w w:val="105"/>
                      <w:sz w:val="20"/>
                    </w:rPr>
                    <w:tab/>
                    <w:t>Striped Legless</w:t>
                  </w:r>
                  <w:r>
                    <w:rPr>
                      <w:b/>
                      <w:color w:val="4D4D4F"/>
                      <w:spacing w:val="3"/>
                      <w:w w:val="105"/>
                      <w:sz w:val="20"/>
                    </w:rPr>
                    <w:t xml:space="preserve"> </w:t>
                  </w:r>
                  <w:r>
                    <w:rPr>
                      <w:b/>
                      <w:color w:val="4D4D4F"/>
                      <w:w w:val="105"/>
                      <w:sz w:val="20"/>
                    </w:rPr>
                    <w:t>Lizard</w:t>
                  </w:r>
                </w:p>
              </w:txbxContent>
            </v:textbox>
            <w10:anchorlock/>
          </v:shape>
        </w:pict>
      </w:r>
    </w:p>
    <w:p w14:paraId="4CBE60B5" w14:textId="77777777" w:rsidR="00EF5B27" w:rsidRDefault="00EF5B27">
      <w:pPr>
        <w:pStyle w:val="BodyText"/>
        <w:spacing w:before="8"/>
        <w:rPr>
          <w:sz w:val="5"/>
        </w:rPr>
      </w:pPr>
    </w:p>
    <w:p w14:paraId="3E90ED39" w14:textId="77777777" w:rsidR="00EF5B27" w:rsidRDefault="00EF5B27">
      <w:pPr>
        <w:rPr>
          <w:sz w:val="5"/>
        </w:rPr>
        <w:sectPr w:rsidR="00EF5B27">
          <w:pgSz w:w="11910" w:h="16840"/>
          <w:pgMar w:top="1080" w:right="1020" w:bottom="860" w:left="1020" w:header="537" w:footer="678" w:gutter="0"/>
          <w:cols w:space="720"/>
        </w:sectPr>
      </w:pPr>
    </w:p>
    <w:p w14:paraId="58E98C02" w14:textId="77777777" w:rsidR="00EF5B27" w:rsidRDefault="00000000">
      <w:pPr>
        <w:pStyle w:val="BodyText"/>
        <w:spacing w:before="51"/>
        <w:ind w:left="227"/>
      </w:pPr>
      <w:r>
        <w:pict w14:anchorId="1489070B">
          <v:group id="_x0000_s3744" style="position:absolute;left:0;text-align:left;margin-left:56.7pt;margin-top:-29.85pt;width:481.15pt;height:.25pt;z-index:251512320;mso-position-horizontal-relative:page" coordorigin="1134,-597" coordsize="9623,5">
            <v:line id="_x0000_s3746" style="position:absolute" from="1134,-595" to="3628,-595" strokeweight=".25pt"/>
            <v:line id="_x0000_s3745" style="position:absolute" from="3628,-595" to="10756,-595" strokeweight=".25pt"/>
            <w10:wrap anchorx="page"/>
          </v:group>
        </w:pict>
      </w:r>
      <w:r>
        <w:pict w14:anchorId="67DFE897">
          <v:group id="_x0000_s3741" style="position:absolute;left:0;text-align:left;margin-left:56.7pt;margin-top:-4.35pt;width:481.15pt;height:.25pt;z-index:251513344;mso-position-horizontal-relative:page" coordorigin="1134,-87" coordsize="9623,5">
            <v:line id="_x0000_s3743" style="position:absolute" from="1134,-84" to="3628,-84" strokeweight=".25pt"/>
            <v:line id="_x0000_s3742" style="position:absolute" from="3628,-84" to="10756,-84" strokeweight=".25pt"/>
            <w10:wrap anchorx="page"/>
          </v:group>
        </w:pict>
      </w:r>
      <w:r>
        <w:rPr>
          <w:color w:val="4D4D4F"/>
        </w:rPr>
        <w:t>Recommendation</w:t>
      </w:r>
    </w:p>
    <w:p w14:paraId="12ACFC93" w14:textId="77777777" w:rsidR="00EF5B27" w:rsidRDefault="00000000">
      <w:pPr>
        <w:pStyle w:val="Heading1"/>
      </w:pPr>
      <w:r>
        <w:rPr>
          <w:color w:val="4D4D4F"/>
          <w:w w:val="105"/>
        </w:rPr>
        <w:t>14</w:t>
      </w:r>
    </w:p>
    <w:p w14:paraId="116250B2" w14:textId="77777777" w:rsidR="00EF5B27" w:rsidRDefault="00000000">
      <w:pPr>
        <w:pStyle w:val="BodyText"/>
        <w:spacing w:before="51"/>
        <w:ind w:left="227"/>
      </w:pPr>
      <w:r>
        <w:br w:type="column"/>
      </w:r>
      <w:r>
        <w:rPr>
          <w:color w:val="4D4D4F"/>
        </w:rPr>
        <w:t>That DELWP:</w:t>
      </w:r>
    </w:p>
    <w:p w14:paraId="03BE8679" w14:textId="77777777" w:rsidR="00EF5B27" w:rsidRDefault="00000000">
      <w:pPr>
        <w:pStyle w:val="ListParagraph"/>
        <w:numPr>
          <w:ilvl w:val="0"/>
          <w:numId w:val="47"/>
        </w:numPr>
        <w:tabs>
          <w:tab w:val="left" w:pos="429"/>
        </w:tabs>
        <w:spacing w:before="130" w:line="254" w:lineRule="auto"/>
        <w:ind w:right="442" w:firstLine="0"/>
        <w:rPr>
          <w:sz w:val="20"/>
        </w:rPr>
      </w:pPr>
      <w:r>
        <w:rPr>
          <w:color w:val="4D4D4F"/>
          <w:w w:val="105"/>
          <w:sz w:val="20"/>
        </w:rPr>
        <w:t>redesigns</w:t>
      </w:r>
      <w:r>
        <w:rPr>
          <w:color w:val="4D4D4F"/>
          <w:spacing w:val="-11"/>
          <w:w w:val="105"/>
          <w:sz w:val="20"/>
        </w:rPr>
        <w:t xml:space="preserve"> </w:t>
      </w:r>
      <w:r>
        <w:rPr>
          <w:color w:val="4D4D4F"/>
          <w:w w:val="105"/>
          <w:sz w:val="20"/>
        </w:rPr>
        <w:t>the</w:t>
      </w:r>
      <w:r>
        <w:rPr>
          <w:color w:val="4D4D4F"/>
          <w:spacing w:val="-11"/>
          <w:w w:val="105"/>
          <w:sz w:val="20"/>
        </w:rPr>
        <w:t xml:space="preserve"> </w:t>
      </w:r>
      <w:r>
        <w:rPr>
          <w:color w:val="4D4D4F"/>
          <w:w w:val="105"/>
          <w:sz w:val="20"/>
        </w:rPr>
        <w:t>KPI</w:t>
      </w:r>
      <w:r>
        <w:rPr>
          <w:color w:val="4D4D4F"/>
          <w:spacing w:val="-10"/>
          <w:w w:val="105"/>
          <w:sz w:val="20"/>
        </w:rPr>
        <w:t xml:space="preserve"> </w:t>
      </w:r>
      <w:r>
        <w:rPr>
          <w:color w:val="4D4D4F"/>
          <w:w w:val="105"/>
          <w:sz w:val="20"/>
        </w:rPr>
        <w:t>and</w:t>
      </w:r>
      <w:r>
        <w:rPr>
          <w:color w:val="4D4D4F"/>
          <w:spacing w:val="-11"/>
          <w:w w:val="105"/>
          <w:sz w:val="20"/>
        </w:rPr>
        <w:t xml:space="preserve"> </w:t>
      </w:r>
      <w:r>
        <w:rPr>
          <w:color w:val="4D4D4F"/>
          <w:w w:val="105"/>
          <w:sz w:val="20"/>
        </w:rPr>
        <w:t>monitoring</w:t>
      </w:r>
      <w:r>
        <w:rPr>
          <w:color w:val="4D4D4F"/>
          <w:spacing w:val="-10"/>
          <w:w w:val="105"/>
          <w:sz w:val="20"/>
        </w:rPr>
        <w:t xml:space="preserve"> </w:t>
      </w:r>
      <w:r>
        <w:rPr>
          <w:color w:val="4D4D4F"/>
          <w:w w:val="105"/>
          <w:sz w:val="20"/>
        </w:rPr>
        <w:t>protocol</w:t>
      </w:r>
      <w:r>
        <w:rPr>
          <w:color w:val="4D4D4F"/>
          <w:spacing w:val="-11"/>
          <w:w w:val="105"/>
          <w:sz w:val="20"/>
        </w:rPr>
        <w:t xml:space="preserve"> </w:t>
      </w:r>
      <w:r>
        <w:rPr>
          <w:color w:val="4D4D4F"/>
          <w:w w:val="105"/>
          <w:sz w:val="20"/>
        </w:rPr>
        <w:t>for</w:t>
      </w:r>
      <w:r>
        <w:rPr>
          <w:color w:val="4D4D4F"/>
          <w:spacing w:val="-11"/>
          <w:w w:val="105"/>
          <w:sz w:val="20"/>
        </w:rPr>
        <w:t xml:space="preserve"> </w:t>
      </w:r>
      <w:r>
        <w:rPr>
          <w:color w:val="4D4D4F"/>
          <w:w w:val="105"/>
          <w:sz w:val="20"/>
        </w:rPr>
        <w:t>the</w:t>
      </w:r>
      <w:r>
        <w:rPr>
          <w:color w:val="4D4D4F"/>
          <w:spacing w:val="-10"/>
          <w:w w:val="105"/>
          <w:sz w:val="20"/>
        </w:rPr>
        <w:t xml:space="preserve"> </w:t>
      </w:r>
      <w:r>
        <w:rPr>
          <w:color w:val="4D4D4F"/>
          <w:w w:val="105"/>
          <w:sz w:val="20"/>
        </w:rPr>
        <w:t>Striped</w:t>
      </w:r>
      <w:r>
        <w:rPr>
          <w:color w:val="4D4D4F"/>
          <w:spacing w:val="-11"/>
          <w:w w:val="105"/>
          <w:sz w:val="20"/>
        </w:rPr>
        <w:t xml:space="preserve"> </w:t>
      </w:r>
      <w:r>
        <w:rPr>
          <w:color w:val="4D4D4F"/>
          <w:w w:val="105"/>
          <w:sz w:val="20"/>
        </w:rPr>
        <w:t>Legless</w:t>
      </w:r>
      <w:r>
        <w:rPr>
          <w:color w:val="4D4D4F"/>
          <w:spacing w:val="-11"/>
          <w:w w:val="105"/>
          <w:sz w:val="20"/>
        </w:rPr>
        <w:t xml:space="preserve"> </w:t>
      </w:r>
      <w:r>
        <w:rPr>
          <w:color w:val="4D4D4F"/>
          <w:w w:val="105"/>
          <w:sz w:val="20"/>
        </w:rPr>
        <w:t>Lizard,</w:t>
      </w:r>
      <w:r>
        <w:rPr>
          <w:color w:val="4D4D4F"/>
          <w:spacing w:val="-10"/>
          <w:w w:val="105"/>
          <w:sz w:val="20"/>
        </w:rPr>
        <w:t xml:space="preserve"> </w:t>
      </w:r>
      <w:r>
        <w:rPr>
          <w:color w:val="4D4D4F"/>
          <w:w w:val="105"/>
          <w:sz w:val="20"/>
        </w:rPr>
        <w:t>such that</w:t>
      </w:r>
      <w:r>
        <w:rPr>
          <w:color w:val="4D4D4F"/>
          <w:spacing w:val="-16"/>
          <w:w w:val="105"/>
          <w:sz w:val="20"/>
        </w:rPr>
        <w:t xml:space="preserve"> </w:t>
      </w:r>
      <w:r>
        <w:rPr>
          <w:color w:val="4D4D4F"/>
          <w:w w:val="105"/>
          <w:sz w:val="20"/>
        </w:rPr>
        <w:t>the</w:t>
      </w:r>
      <w:r>
        <w:rPr>
          <w:color w:val="4D4D4F"/>
          <w:spacing w:val="-15"/>
          <w:w w:val="105"/>
          <w:sz w:val="20"/>
        </w:rPr>
        <w:t xml:space="preserve"> </w:t>
      </w:r>
      <w:r>
        <w:rPr>
          <w:color w:val="4D4D4F"/>
          <w:w w:val="105"/>
          <w:sz w:val="20"/>
        </w:rPr>
        <w:t>measure</w:t>
      </w:r>
      <w:r>
        <w:rPr>
          <w:color w:val="4D4D4F"/>
          <w:spacing w:val="-16"/>
          <w:w w:val="105"/>
          <w:sz w:val="20"/>
        </w:rPr>
        <w:t xml:space="preserve"> </w:t>
      </w:r>
      <w:r>
        <w:rPr>
          <w:color w:val="4D4D4F"/>
          <w:w w:val="105"/>
          <w:sz w:val="20"/>
        </w:rPr>
        <w:t>for</w:t>
      </w:r>
      <w:r>
        <w:rPr>
          <w:color w:val="4D4D4F"/>
          <w:spacing w:val="-15"/>
          <w:w w:val="105"/>
          <w:sz w:val="20"/>
        </w:rPr>
        <w:t xml:space="preserve"> </w:t>
      </w:r>
      <w:r>
        <w:rPr>
          <w:color w:val="4D4D4F"/>
          <w:w w:val="105"/>
          <w:sz w:val="20"/>
        </w:rPr>
        <w:t>persistence</w:t>
      </w:r>
      <w:r>
        <w:rPr>
          <w:color w:val="4D4D4F"/>
          <w:spacing w:val="-16"/>
          <w:w w:val="105"/>
          <w:sz w:val="20"/>
        </w:rPr>
        <w:t xml:space="preserve"> </w:t>
      </w:r>
      <w:r>
        <w:rPr>
          <w:color w:val="4D4D4F"/>
          <w:w w:val="105"/>
          <w:sz w:val="20"/>
        </w:rPr>
        <w:t>is</w:t>
      </w:r>
      <w:r>
        <w:rPr>
          <w:color w:val="4D4D4F"/>
          <w:spacing w:val="-15"/>
          <w:w w:val="105"/>
          <w:sz w:val="20"/>
        </w:rPr>
        <w:t xml:space="preserve"> </w:t>
      </w:r>
      <w:r>
        <w:rPr>
          <w:color w:val="4D4D4F"/>
          <w:w w:val="105"/>
          <w:sz w:val="20"/>
        </w:rPr>
        <w:t>a</w:t>
      </w:r>
      <w:r>
        <w:rPr>
          <w:color w:val="4D4D4F"/>
          <w:spacing w:val="-15"/>
          <w:w w:val="105"/>
          <w:sz w:val="20"/>
        </w:rPr>
        <w:t xml:space="preserve"> </w:t>
      </w:r>
      <w:r>
        <w:rPr>
          <w:color w:val="4D4D4F"/>
          <w:w w:val="105"/>
          <w:sz w:val="20"/>
        </w:rPr>
        <w:t>randomly</w:t>
      </w:r>
      <w:r>
        <w:rPr>
          <w:color w:val="4D4D4F"/>
          <w:spacing w:val="-16"/>
          <w:w w:val="105"/>
          <w:sz w:val="20"/>
        </w:rPr>
        <w:t xml:space="preserve"> </w:t>
      </w:r>
      <w:r>
        <w:rPr>
          <w:color w:val="4D4D4F"/>
          <w:w w:val="105"/>
          <w:sz w:val="20"/>
        </w:rPr>
        <w:t>sampled</w:t>
      </w:r>
      <w:r>
        <w:rPr>
          <w:color w:val="4D4D4F"/>
          <w:spacing w:val="-15"/>
          <w:w w:val="105"/>
          <w:sz w:val="20"/>
        </w:rPr>
        <w:t xml:space="preserve"> </w:t>
      </w:r>
      <w:r>
        <w:rPr>
          <w:color w:val="4D4D4F"/>
          <w:w w:val="105"/>
          <w:sz w:val="20"/>
        </w:rPr>
        <w:t>measure</w:t>
      </w:r>
      <w:r>
        <w:rPr>
          <w:color w:val="4D4D4F"/>
          <w:spacing w:val="-16"/>
          <w:w w:val="105"/>
          <w:sz w:val="20"/>
        </w:rPr>
        <w:t xml:space="preserve"> </w:t>
      </w:r>
      <w:r>
        <w:rPr>
          <w:color w:val="4D4D4F"/>
          <w:w w:val="105"/>
          <w:sz w:val="20"/>
        </w:rPr>
        <w:t>for</w:t>
      </w:r>
      <w:r>
        <w:rPr>
          <w:color w:val="4D4D4F"/>
          <w:spacing w:val="-15"/>
          <w:w w:val="105"/>
          <w:sz w:val="20"/>
        </w:rPr>
        <w:t xml:space="preserve"> </w:t>
      </w:r>
      <w:r>
        <w:rPr>
          <w:color w:val="4D4D4F"/>
          <w:w w:val="105"/>
          <w:sz w:val="20"/>
        </w:rPr>
        <w:t>occupancy across all sites and accounts for new locations,</w:t>
      </w:r>
      <w:r>
        <w:rPr>
          <w:color w:val="4D4D4F"/>
          <w:spacing w:val="-4"/>
          <w:w w:val="105"/>
          <w:sz w:val="20"/>
        </w:rPr>
        <w:t xml:space="preserve"> </w:t>
      </w:r>
      <w:r>
        <w:rPr>
          <w:color w:val="4D4D4F"/>
          <w:w w:val="105"/>
          <w:sz w:val="20"/>
        </w:rPr>
        <w:t>and</w:t>
      </w:r>
    </w:p>
    <w:p w14:paraId="3F398036" w14:textId="77777777" w:rsidR="00EF5B27" w:rsidRDefault="00000000">
      <w:pPr>
        <w:pStyle w:val="ListParagraph"/>
        <w:numPr>
          <w:ilvl w:val="0"/>
          <w:numId w:val="47"/>
        </w:numPr>
        <w:tabs>
          <w:tab w:val="left" w:pos="471"/>
        </w:tabs>
        <w:spacing w:before="117" w:line="254" w:lineRule="auto"/>
        <w:ind w:right="282" w:firstLine="0"/>
        <w:rPr>
          <w:sz w:val="20"/>
        </w:rPr>
      </w:pPr>
      <w:r>
        <w:rPr>
          <w:color w:val="4D4D4F"/>
          <w:sz w:val="20"/>
        </w:rPr>
        <w:t>undertakes research to assess habitat preferences and population dynamics for the Striped Legless</w:t>
      </w:r>
      <w:r>
        <w:rPr>
          <w:color w:val="4D4D4F"/>
          <w:spacing w:val="14"/>
          <w:sz w:val="20"/>
        </w:rPr>
        <w:t xml:space="preserve"> </w:t>
      </w:r>
      <w:r>
        <w:rPr>
          <w:color w:val="4D4D4F"/>
          <w:sz w:val="20"/>
        </w:rPr>
        <w:t>Lizard.</w:t>
      </w:r>
    </w:p>
    <w:p w14:paraId="1BF8708F" w14:textId="77777777" w:rsidR="00EF5B27" w:rsidRDefault="00EF5B27">
      <w:pPr>
        <w:spacing w:line="254" w:lineRule="auto"/>
        <w:rPr>
          <w:sz w:val="20"/>
        </w:rPr>
        <w:sectPr w:rsidR="00EF5B27">
          <w:type w:val="continuous"/>
          <w:pgSz w:w="11910" w:h="16840"/>
          <w:pgMar w:top="1140" w:right="1020" w:bottom="280" w:left="1020" w:header="720" w:footer="720" w:gutter="0"/>
          <w:cols w:num="2" w:space="720" w:equalWidth="0">
            <w:col w:w="1704" w:space="790"/>
            <w:col w:w="7376"/>
          </w:cols>
        </w:sectPr>
      </w:pPr>
    </w:p>
    <w:p w14:paraId="2502E8BB" w14:textId="77777777" w:rsidR="00EF5B27" w:rsidRDefault="00000000">
      <w:pPr>
        <w:pStyle w:val="BodyText"/>
        <w:spacing w:before="8"/>
        <w:rPr>
          <w:sz w:val="8"/>
        </w:rPr>
      </w:pPr>
      <w:r>
        <w:pict w14:anchorId="13EAE085">
          <v:group id="_x0000_s3733" style="position:absolute;margin-left:587.05pt;margin-top:183.4pt;width:8.25pt;height:153.1pt;z-index:251510272;mso-position-horizontal-relative:page;mso-position-vertical-relative:page" coordorigin="11741,3668" coordsize="165,3062">
            <v:shape id="_x0000_s3740" style="position:absolute;left:11741;top:3668;width:165;height:561" coordorigin="11741,3668" coordsize="165,561" path="m11906,3668r-165,l11741,4228r165,-18l11906,3668xe" fillcolor="#00aed9" stroked="f">
              <v:path arrowok="t"/>
            </v:shape>
            <v:shape id="_x0000_s3739" style="position:absolute;left:11741;top:4118;width:165;height:425" coordorigin="11741,4118" coordsize="165,425" path="m11906,4118r-165,14l11741,4531r165,12l11906,4118xe" fillcolor="#047ebc" stroked="f">
              <v:path arrowok="t"/>
            </v:shape>
            <v:shape id="_x0000_s3738" type="#_x0000_t75" style="position:absolute;left:11741;top:4355;width:165;height:587">
              <v:imagedata r:id="rId42" o:title=""/>
            </v:shape>
            <v:shape id="_x0000_s3737" style="position:absolute;left:11741;top:5343;width:165;height:536" coordorigin="11741,5343" coordsize="165,536" path="m11741,5343r,535l11906,5872r,-525l11741,5343xe" fillcolor="#f36a2e" stroked="f">
              <v:path arrowok="t"/>
            </v:shape>
            <v:shape id="_x0000_s3736" style="position:absolute;left:11741;top:4925;width:165;height:501" coordorigin="11741,4926" coordsize="165,501" path="m11741,4926r,500l11906,5426r,-485l11741,4926xe" fillcolor="#49783f" stroked="f">
              <v:path arrowok="t"/>
            </v:shape>
            <v:shape id="_x0000_s3735" style="position:absolute;left:11741;top:5781;width:165;height:268" coordorigin="11741,5782" coordsize="165,268" path="m11906,5782r-165,8l11741,6039r165,10l11906,5782xe" fillcolor="#f99f2a" stroked="f">
              <v:path arrowok="t"/>
            </v:shape>
            <v:shape id="_x0000_s3734" style="position:absolute;left:11741;top:6023;width:165;height:707" coordorigin="11741,6023" coordsize="165,707" path="m11741,6023r,706l11906,6729r,-690l11741,6023xe" fillcolor="#ef412c" stroked="f">
              <v:path arrowok="t"/>
            </v:shape>
            <w10:wrap anchorx="page" anchory="page"/>
          </v:group>
        </w:pict>
      </w:r>
    </w:p>
    <w:p w14:paraId="7BA70C0C" w14:textId="77777777" w:rsidR="00EF5B27" w:rsidRDefault="00000000">
      <w:pPr>
        <w:pStyle w:val="BodyText"/>
        <w:spacing w:line="20" w:lineRule="exact"/>
        <w:ind w:left="110"/>
        <w:rPr>
          <w:sz w:val="2"/>
        </w:rPr>
      </w:pPr>
      <w:r>
        <w:rPr>
          <w:sz w:val="2"/>
        </w:rPr>
      </w:r>
      <w:r>
        <w:rPr>
          <w:sz w:val="2"/>
        </w:rPr>
        <w:pict w14:anchorId="792B751D">
          <v:group id="_x0000_s3730" style="width:481.15pt;height:.25pt;mso-position-horizontal-relative:char;mso-position-vertical-relative:line" coordsize="9623,5">
            <v:line id="_x0000_s3732" style="position:absolute" from="0,3" to="2494,3" strokeweight=".25pt"/>
            <v:line id="_x0000_s3731" style="position:absolute" from="2494,3" to="9622,3" strokeweight=".25pt"/>
            <w10:anchorlock/>
          </v:group>
        </w:pict>
      </w:r>
    </w:p>
    <w:p w14:paraId="52861874" w14:textId="77777777" w:rsidR="00EF5B27" w:rsidRDefault="00EF5B27">
      <w:pPr>
        <w:spacing w:line="20" w:lineRule="exact"/>
        <w:rPr>
          <w:sz w:val="2"/>
        </w:rPr>
        <w:sectPr w:rsidR="00EF5B27">
          <w:type w:val="continuous"/>
          <w:pgSz w:w="11910" w:h="16840"/>
          <w:pgMar w:top="1140" w:right="1020" w:bottom="280" w:left="1020" w:header="720" w:footer="720" w:gutter="0"/>
          <w:cols w:space="720"/>
        </w:sectPr>
      </w:pPr>
    </w:p>
    <w:p w14:paraId="7D64E9C9" w14:textId="77777777" w:rsidR="00EF5B27" w:rsidRDefault="00EF5B27">
      <w:pPr>
        <w:pStyle w:val="BodyText"/>
      </w:pPr>
    </w:p>
    <w:p w14:paraId="2369C772" w14:textId="77777777" w:rsidR="00EF5B27" w:rsidRDefault="00EF5B27">
      <w:pPr>
        <w:pStyle w:val="BodyText"/>
      </w:pPr>
    </w:p>
    <w:p w14:paraId="2C152AF8" w14:textId="77777777" w:rsidR="00EF5B27" w:rsidRDefault="00EF5B27">
      <w:pPr>
        <w:pStyle w:val="BodyText"/>
      </w:pPr>
    </w:p>
    <w:p w14:paraId="431E3BAB" w14:textId="77777777" w:rsidR="00EF5B27" w:rsidRDefault="00EF5B27">
      <w:pPr>
        <w:pStyle w:val="BodyText"/>
      </w:pPr>
    </w:p>
    <w:p w14:paraId="79E3E536" w14:textId="77777777" w:rsidR="00EF5B27" w:rsidRDefault="00EF5B27">
      <w:pPr>
        <w:pStyle w:val="BodyText"/>
        <w:spacing w:before="5"/>
        <w:rPr>
          <w:sz w:val="16"/>
        </w:rPr>
      </w:pPr>
    </w:p>
    <w:p w14:paraId="36DD3D82" w14:textId="77777777" w:rsidR="00EF5B27" w:rsidRDefault="00000000">
      <w:pPr>
        <w:pStyle w:val="BodyText"/>
        <w:ind w:left="113" w:right="-15"/>
      </w:pPr>
      <w:bookmarkStart w:id="22" w:name="_bookmark21"/>
      <w:bookmarkEnd w:id="22"/>
      <w:r>
        <w:rPr>
          <w:noProof/>
        </w:rPr>
        <w:drawing>
          <wp:inline distT="0" distB="0" distL="0" distR="0" wp14:anchorId="1338C9C8" wp14:editId="04A1B508">
            <wp:extent cx="1376184" cy="1376172"/>
            <wp:effectExtent l="0" t="0" r="0" b="0"/>
            <wp:docPr id="277"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07.jpeg"/>
                    <pic:cNvPicPr/>
                  </pic:nvPicPr>
                  <pic:blipFill>
                    <a:blip r:embed="rId105" cstate="print"/>
                    <a:stretch>
                      <a:fillRect/>
                    </a:stretch>
                  </pic:blipFill>
                  <pic:spPr>
                    <a:xfrm>
                      <a:off x="0" y="0"/>
                      <a:ext cx="1376184" cy="1376172"/>
                    </a:xfrm>
                    <a:prstGeom prst="rect">
                      <a:avLst/>
                    </a:prstGeom>
                  </pic:spPr>
                </pic:pic>
              </a:graphicData>
            </a:graphic>
          </wp:inline>
        </w:drawing>
      </w:r>
    </w:p>
    <w:p w14:paraId="608D657D" w14:textId="77777777" w:rsidR="00EF5B27" w:rsidRDefault="00000000">
      <w:pPr>
        <w:spacing w:before="73"/>
        <w:ind w:left="113"/>
        <w:rPr>
          <w:rFonts w:ascii="Century Gothic"/>
          <w:i/>
          <w:sz w:val="12"/>
        </w:rPr>
      </w:pPr>
      <w:r>
        <w:rPr>
          <w:rFonts w:ascii="Century Gothic"/>
          <w:i/>
          <w:color w:val="4D4D4F"/>
          <w:sz w:val="12"/>
        </w:rPr>
        <w:t>Button Wrinklewort</w:t>
      </w:r>
    </w:p>
    <w:p w14:paraId="2B7B4E45" w14:textId="77777777" w:rsidR="00EF5B27" w:rsidRDefault="00000000">
      <w:pPr>
        <w:pStyle w:val="BodyText"/>
        <w:rPr>
          <w:rFonts w:ascii="Century Gothic"/>
          <w:i/>
          <w:sz w:val="36"/>
        </w:rPr>
      </w:pPr>
      <w:r>
        <w:br w:type="column"/>
      </w:r>
    </w:p>
    <w:p w14:paraId="34766916" w14:textId="77777777" w:rsidR="00EF5B27" w:rsidRDefault="00EF5B27">
      <w:pPr>
        <w:pStyle w:val="BodyText"/>
        <w:rPr>
          <w:rFonts w:ascii="Century Gothic"/>
          <w:i/>
          <w:sz w:val="36"/>
        </w:rPr>
      </w:pPr>
    </w:p>
    <w:p w14:paraId="3DAA376D" w14:textId="77777777" w:rsidR="00EF5B27" w:rsidRDefault="00000000">
      <w:pPr>
        <w:pStyle w:val="Heading3"/>
        <w:spacing w:before="245"/>
        <w:ind w:left="113"/>
      </w:pPr>
      <w:r>
        <w:rPr>
          <w:color w:val="F99F2A"/>
        </w:rPr>
        <w:t>MNES 11: Button Wrinklewort</w:t>
      </w:r>
    </w:p>
    <w:p w14:paraId="461D208C" w14:textId="77777777" w:rsidR="00EF5B27" w:rsidRDefault="00EF5B27">
      <w:pPr>
        <w:pStyle w:val="BodyText"/>
        <w:spacing w:before="5"/>
        <w:rPr>
          <w:b/>
          <w:sz w:val="27"/>
        </w:rPr>
      </w:pPr>
    </w:p>
    <w:p w14:paraId="66766D6E" w14:textId="77777777" w:rsidR="00EF5B27" w:rsidRDefault="00000000">
      <w:pPr>
        <w:pStyle w:val="Heading6"/>
        <w:ind w:left="113"/>
      </w:pPr>
      <w:r>
        <w:rPr>
          <w:color w:val="4D4D4F"/>
        </w:rPr>
        <w:t>Key insights and management implications for the Button Wrinklewort</w:t>
      </w:r>
    </w:p>
    <w:p w14:paraId="6850F53E" w14:textId="77777777" w:rsidR="00EF5B27" w:rsidRDefault="00EF5B27">
      <w:pPr>
        <w:pStyle w:val="BodyText"/>
        <w:spacing w:before="11"/>
        <w:rPr>
          <w:b/>
          <w:sz w:val="19"/>
        </w:rPr>
      </w:pPr>
    </w:p>
    <w:p w14:paraId="04DD3507" w14:textId="77777777" w:rsidR="00EF5B27" w:rsidRDefault="00000000">
      <w:pPr>
        <w:pStyle w:val="BodyText"/>
        <w:spacing w:line="254" w:lineRule="auto"/>
        <w:ind w:left="113" w:right="254"/>
      </w:pPr>
      <w:r>
        <w:rPr>
          <w:color w:val="4D4D4F"/>
        </w:rPr>
        <w:t xml:space="preserve">At </w:t>
      </w:r>
      <w:r>
        <w:rPr>
          <w:color w:val="4D4D4F"/>
          <w:spacing w:val="-3"/>
        </w:rPr>
        <w:t xml:space="preserve">Truganina </w:t>
      </w:r>
      <w:r>
        <w:rPr>
          <w:color w:val="4D4D4F"/>
        </w:rPr>
        <w:t>Cemetery, adult plants are surviving at the anticipated rate.</w:t>
      </w:r>
      <w:r>
        <w:rPr>
          <w:color w:val="4D4D4F"/>
          <w:position w:val="7"/>
          <w:sz w:val="11"/>
        </w:rPr>
        <w:t xml:space="preserve">92 </w:t>
      </w:r>
      <w:r>
        <w:rPr>
          <w:color w:val="4D4D4F"/>
          <w:spacing w:val="-3"/>
        </w:rPr>
        <w:t xml:space="preserve">However, </w:t>
      </w:r>
      <w:r>
        <w:rPr>
          <w:color w:val="4D4D4F"/>
        </w:rPr>
        <w:t xml:space="preserve">recruitment is failing for the Button Wrinklewort at </w:t>
      </w:r>
      <w:r>
        <w:rPr>
          <w:color w:val="4D4D4F"/>
          <w:spacing w:val="-3"/>
        </w:rPr>
        <w:t xml:space="preserve">Truganina </w:t>
      </w:r>
      <w:r>
        <w:rPr>
          <w:color w:val="4D4D4F"/>
        </w:rPr>
        <w:t xml:space="preserve">Cemetery, and targeted research is required to determine </w:t>
      </w:r>
      <w:r>
        <w:rPr>
          <w:color w:val="4D4D4F"/>
          <w:spacing w:val="-3"/>
        </w:rPr>
        <w:t xml:space="preserve">why. </w:t>
      </w:r>
      <w:r>
        <w:rPr>
          <w:color w:val="4D4D4F"/>
        </w:rPr>
        <w:t xml:space="preserve">It is speculated that rabbits may be </w:t>
      </w:r>
      <w:r>
        <w:rPr>
          <w:color w:val="4D4D4F"/>
          <w:spacing w:val="-2"/>
        </w:rPr>
        <w:t xml:space="preserve">eating </w:t>
      </w:r>
      <w:r>
        <w:rPr>
          <w:color w:val="4D4D4F"/>
        </w:rPr>
        <w:t xml:space="preserve">the </w:t>
      </w:r>
      <w:r>
        <w:rPr>
          <w:color w:val="4D4D4F"/>
          <w:spacing w:val="-3"/>
        </w:rPr>
        <w:t xml:space="preserve">adult </w:t>
      </w:r>
      <w:r>
        <w:rPr>
          <w:color w:val="4D4D4F"/>
        </w:rPr>
        <w:t xml:space="preserve">plants and creating a browsing pressure on the species, as occurring </w:t>
      </w:r>
      <w:r>
        <w:rPr>
          <w:color w:val="4D4D4F"/>
          <w:spacing w:val="-3"/>
        </w:rPr>
        <w:t xml:space="preserve">signs </w:t>
      </w:r>
      <w:r>
        <w:rPr>
          <w:color w:val="4D4D4F"/>
        </w:rPr>
        <w:t xml:space="preserve">of </w:t>
      </w:r>
      <w:r>
        <w:rPr>
          <w:color w:val="4D4D4F"/>
          <w:spacing w:val="-3"/>
        </w:rPr>
        <w:t xml:space="preserve">rabbit occupation have </w:t>
      </w:r>
      <w:r>
        <w:rPr>
          <w:color w:val="4D4D4F"/>
          <w:spacing w:val="-4"/>
        </w:rPr>
        <w:t xml:space="preserve">greatly </w:t>
      </w:r>
      <w:r>
        <w:rPr>
          <w:color w:val="4D4D4F"/>
          <w:spacing w:val="-3"/>
        </w:rPr>
        <w:t xml:space="preserve">increased in recent </w:t>
      </w:r>
      <w:r>
        <w:rPr>
          <w:color w:val="4D4D4F"/>
          <w:spacing w:val="-4"/>
        </w:rPr>
        <w:t>years.</w:t>
      </w:r>
      <w:r>
        <w:rPr>
          <w:color w:val="4D4D4F"/>
          <w:spacing w:val="-4"/>
          <w:position w:val="7"/>
          <w:sz w:val="11"/>
        </w:rPr>
        <w:t xml:space="preserve">93 </w:t>
      </w:r>
      <w:r>
        <w:rPr>
          <w:color w:val="4D4D4F"/>
        </w:rPr>
        <w:t xml:space="preserve">It </w:t>
      </w:r>
      <w:r>
        <w:rPr>
          <w:color w:val="4D4D4F"/>
          <w:spacing w:val="-3"/>
        </w:rPr>
        <w:t xml:space="preserve">is </w:t>
      </w:r>
      <w:r>
        <w:rPr>
          <w:color w:val="4D4D4F"/>
          <w:spacing w:val="-4"/>
        </w:rPr>
        <w:t xml:space="preserve">thought </w:t>
      </w:r>
      <w:r>
        <w:rPr>
          <w:color w:val="4D4D4F"/>
          <w:spacing w:val="-3"/>
        </w:rPr>
        <w:t xml:space="preserve">that </w:t>
      </w:r>
      <w:r>
        <w:rPr>
          <w:color w:val="4D4D4F"/>
          <w:spacing w:val="-4"/>
        </w:rPr>
        <w:t xml:space="preserve">development </w:t>
      </w:r>
      <w:r>
        <w:rPr>
          <w:color w:val="4D4D4F"/>
        </w:rPr>
        <w:t xml:space="preserve">in surrounding areas may be encouraging rabbits into the site. It is possible too, that invertebrates may be eating new recruits. Ongoing drought stress is also thought to  be a factor in the failure of recruitment at the </w:t>
      </w:r>
      <w:r>
        <w:rPr>
          <w:color w:val="4D4D4F"/>
          <w:spacing w:val="-3"/>
        </w:rPr>
        <w:t>site.</w:t>
      </w:r>
      <w:r>
        <w:rPr>
          <w:color w:val="4D4D4F"/>
          <w:spacing w:val="-3"/>
          <w:position w:val="7"/>
          <w:sz w:val="11"/>
        </w:rPr>
        <w:t xml:space="preserve">94 </w:t>
      </w:r>
      <w:r>
        <w:rPr>
          <w:color w:val="4D4D4F"/>
        </w:rPr>
        <w:t>Further research is required to understand the causative factors underlying failure in population</w:t>
      </w:r>
      <w:r>
        <w:rPr>
          <w:color w:val="4D4D4F"/>
          <w:spacing w:val="42"/>
        </w:rPr>
        <w:t xml:space="preserve"> </w:t>
      </w:r>
      <w:r>
        <w:rPr>
          <w:color w:val="4D4D4F"/>
        </w:rPr>
        <w:t>recruitment.</w:t>
      </w:r>
    </w:p>
    <w:p w14:paraId="3547F76E" w14:textId="77777777" w:rsidR="00EF5B27" w:rsidRDefault="00000000">
      <w:pPr>
        <w:pStyle w:val="BodyText"/>
        <w:spacing w:before="124" w:line="254" w:lineRule="auto"/>
        <w:ind w:left="113" w:right="167"/>
      </w:pPr>
      <w:r>
        <w:rPr>
          <w:color w:val="4D4D4F"/>
        </w:rPr>
        <w:t xml:space="preserve">DELWP has evidence that the seed produced from the MSA Button Wrinklewort plants </w:t>
      </w:r>
      <w:r>
        <w:rPr>
          <w:color w:val="4D4D4F"/>
          <w:spacing w:val="-3"/>
        </w:rPr>
        <w:t xml:space="preserve">is </w:t>
      </w:r>
      <w:r>
        <w:rPr>
          <w:color w:val="4D4D4F"/>
          <w:spacing w:val="-4"/>
        </w:rPr>
        <w:t>highly germinable.</w:t>
      </w:r>
      <w:r>
        <w:rPr>
          <w:color w:val="4D4D4F"/>
          <w:spacing w:val="-4"/>
          <w:position w:val="7"/>
          <w:sz w:val="11"/>
        </w:rPr>
        <w:t xml:space="preserve">95 </w:t>
      </w:r>
      <w:r>
        <w:rPr>
          <w:color w:val="4D4D4F"/>
        </w:rPr>
        <w:t xml:space="preserve">The MSA program has contracted La </w:t>
      </w:r>
      <w:r>
        <w:rPr>
          <w:color w:val="4D4D4F"/>
          <w:spacing w:val="-4"/>
        </w:rPr>
        <w:t xml:space="preserve">Trobe </w:t>
      </w:r>
      <w:r>
        <w:rPr>
          <w:color w:val="4D4D4F"/>
        </w:rPr>
        <w:t xml:space="preserve">University to produce plants from seed collected at </w:t>
      </w:r>
      <w:r>
        <w:rPr>
          <w:color w:val="4D4D4F"/>
          <w:spacing w:val="-2"/>
        </w:rPr>
        <w:t xml:space="preserve">Truganina, </w:t>
      </w:r>
      <w:r>
        <w:rPr>
          <w:color w:val="4D4D4F"/>
        </w:rPr>
        <w:t>and this seed has germinated to produce healthy plants.</w:t>
      </w:r>
      <w:r>
        <w:rPr>
          <w:color w:val="4D4D4F"/>
          <w:position w:val="7"/>
          <w:sz w:val="11"/>
        </w:rPr>
        <w:t xml:space="preserve">96 </w:t>
      </w:r>
      <w:r>
        <w:rPr>
          <w:color w:val="4D4D4F"/>
        </w:rPr>
        <w:t xml:space="preserve">These results would indicate that there is potential for management intervention to support population numbers; it may be possible to undertake planting into the population too, to overcome the recruitment issue. DELWP is intending to reintroduce these plants at several key sites including </w:t>
      </w:r>
      <w:r>
        <w:rPr>
          <w:color w:val="4D4D4F"/>
          <w:spacing w:val="-3"/>
        </w:rPr>
        <w:t xml:space="preserve">Truganina </w:t>
      </w:r>
      <w:r>
        <w:rPr>
          <w:color w:val="4D4D4F"/>
        </w:rPr>
        <w:t>Cemetery and St Albans railway station.</w:t>
      </w:r>
      <w:r>
        <w:rPr>
          <w:color w:val="4D4D4F"/>
          <w:position w:val="7"/>
          <w:sz w:val="11"/>
        </w:rPr>
        <w:t xml:space="preserve">97 </w:t>
      </w:r>
      <w:r>
        <w:rPr>
          <w:color w:val="4D4D4F"/>
        </w:rPr>
        <w:t>It is unclear when this will commence. Further research and experimental observation would be required to understand the effect of this kind of intervention on the long-term persistence of the</w:t>
      </w:r>
      <w:r>
        <w:rPr>
          <w:color w:val="4D4D4F"/>
          <w:spacing w:val="21"/>
        </w:rPr>
        <w:t xml:space="preserve"> </w:t>
      </w:r>
      <w:r>
        <w:rPr>
          <w:color w:val="4D4D4F"/>
        </w:rPr>
        <w:t>population.</w:t>
      </w:r>
    </w:p>
    <w:p w14:paraId="24EBFF0B" w14:textId="77777777" w:rsidR="00EF5B27" w:rsidRDefault="00EF5B27">
      <w:pPr>
        <w:spacing w:line="254" w:lineRule="auto"/>
        <w:sectPr w:rsidR="00EF5B27">
          <w:pgSz w:w="11910" w:h="16840"/>
          <w:pgMar w:top="1080" w:right="1020" w:bottom="860" w:left="1020" w:header="537" w:footer="678" w:gutter="0"/>
          <w:cols w:num="2" w:space="720" w:equalWidth="0">
            <w:col w:w="2309" w:space="186"/>
            <w:col w:w="7375"/>
          </w:cols>
        </w:sectPr>
      </w:pPr>
    </w:p>
    <w:p w14:paraId="0CA418CC" w14:textId="77777777" w:rsidR="00EF5B27" w:rsidRDefault="00EF5B27">
      <w:pPr>
        <w:pStyle w:val="BodyText"/>
      </w:pPr>
    </w:p>
    <w:p w14:paraId="0E580EBF" w14:textId="77777777" w:rsidR="00EF5B27" w:rsidRDefault="00EF5B27">
      <w:pPr>
        <w:pStyle w:val="BodyText"/>
        <w:spacing w:before="6"/>
        <w:rPr>
          <w:sz w:val="12"/>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154D5811" w14:textId="77777777">
        <w:trPr>
          <w:trHeight w:val="561"/>
        </w:trPr>
        <w:tc>
          <w:tcPr>
            <w:tcW w:w="2980" w:type="dxa"/>
            <w:shd w:val="clear" w:color="auto" w:fill="FECC91"/>
          </w:tcPr>
          <w:p w14:paraId="633A778C" w14:textId="77777777" w:rsidR="00EF5B27" w:rsidRDefault="00EF5B27">
            <w:pPr>
              <w:pStyle w:val="TableParagraph"/>
              <w:spacing w:before="7"/>
              <w:rPr>
                <w:sz w:val="15"/>
              </w:rPr>
            </w:pPr>
          </w:p>
          <w:p w14:paraId="55091E9C" w14:textId="77777777" w:rsidR="00EF5B27" w:rsidRDefault="00000000">
            <w:pPr>
              <w:pStyle w:val="TableParagraph"/>
              <w:spacing w:before="1"/>
              <w:ind w:left="80"/>
              <w:rPr>
                <w:b/>
                <w:sz w:val="16"/>
              </w:rPr>
            </w:pPr>
            <w:r>
              <w:rPr>
                <w:b/>
                <w:sz w:val="16"/>
              </w:rPr>
              <w:t>KPI 1: Population count</w:t>
            </w:r>
          </w:p>
        </w:tc>
        <w:tc>
          <w:tcPr>
            <w:tcW w:w="1078" w:type="dxa"/>
            <w:shd w:val="clear" w:color="auto" w:fill="FECC91"/>
          </w:tcPr>
          <w:p w14:paraId="59E81DF6" w14:textId="77777777" w:rsidR="00EF5B27" w:rsidRDefault="00000000">
            <w:pPr>
              <w:pStyle w:val="TableParagraph"/>
              <w:spacing w:before="91" w:line="244" w:lineRule="auto"/>
              <w:ind w:left="156" w:firstLine="161"/>
              <w:rPr>
                <w:b/>
                <w:sz w:val="16"/>
              </w:rPr>
            </w:pPr>
            <w:r>
              <w:rPr>
                <w:b/>
                <w:w w:val="105"/>
                <w:sz w:val="16"/>
              </w:rPr>
              <w:t xml:space="preserve">Status </w:t>
            </w:r>
            <w:r>
              <w:rPr>
                <w:b/>
                <w:sz w:val="16"/>
              </w:rPr>
              <w:t>2020–2022</w:t>
            </w:r>
          </w:p>
        </w:tc>
        <w:tc>
          <w:tcPr>
            <w:tcW w:w="2155" w:type="dxa"/>
            <w:shd w:val="clear" w:color="auto" w:fill="FECC91"/>
          </w:tcPr>
          <w:p w14:paraId="38D257A9" w14:textId="77777777" w:rsidR="00EF5B27" w:rsidRDefault="00EF5B27">
            <w:pPr>
              <w:pStyle w:val="TableParagraph"/>
              <w:spacing w:before="7"/>
              <w:rPr>
                <w:sz w:val="15"/>
              </w:rPr>
            </w:pPr>
          </w:p>
          <w:p w14:paraId="7879BA72"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70F28F43" w14:textId="77777777" w:rsidR="00EF5B27" w:rsidRDefault="00EF5B27">
            <w:pPr>
              <w:pStyle w:val="TableParagraph"/>
              <w:spacing w:before="7"/>
              <w:rPr>
                <w:sz w:val="15"/>
              </w:rPr>
            </w:pPr>
          </w:p>
          <w:p w14:paraId="246EF441"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4F9D1F47"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59C5D370"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6B067784" w14:textId="77777777">
        <w:trPr>
          <w:trHeight w:val="448"/>
        </w:trPr>
        <w:tc>
          <w:tcPr>
            <w:tcW w:w="2980" w:type="dxa"/>
          </w:tcPr>
          <w:p w14:paraId="533838A0" w14:textId="77777777" w:rsidR="00EF5B27" w:rsidRDefault="00EF5B27">
            <w:pPr>
              <w:pStyle w:val="TableParagraph"/>
              <w:spacing w:before="11"/>
              <w:rPr>
                <w:sz w:val="11"/>
              </w:rPr>
            </w:pPr>
          </w:p>
          <w:p w14:paraId="2EE131A9" w14:textId="77777777" w:rsidR="00EF5B27" w:rsidRDefault="00000000">
            <w:pPr>
              <w:pStyle w:val="TableParagraph"/>
              <w:ind w:left="80"/>
              <w:rPr>
                <w:sz w:val="14"/>
              </w:rPr>
            </w:pPr>
            <w:r>
              <w:rPr>
                <w:color w:val="4D4D4F"/>
                <w:sz w:val="14"/>
              </w:rPr>
              <w:t>Truganina Cemetery</w:t>
            </w:r>
          </w:p>
        </w:tc>
        <w:tc>
          <w:tcPr>
            <w:tcW w:w="1078" w:type="dxa"/>
          </w:tcPr>
          <w:p w14:paraId="103AEA94" w14:textId="77777777" w:rsidR="00EF5B27" w:rsidRDefault="00EF5B27">
            <w:pPr>
              <w:pStyle w:val="TableParagraph"/>
              <w:spacing w:before="11"/>
              <w:rPr>
                <w:sz w:val="11"/>
              </w:rPr>
            </w:pPr>
          </w:p>
          <w:p w14:paraId="3F45DC80" w14:textId="77777777" w:rsidR="00EF5B27" w:rsidRDefault="00000000">
            <w:pPr>
              <w:pStyle w:val="TableParagraph"/>
              <w:ind w:left="304"/>
              <w:rPr>
                <w:sz w:val="14"/>
              </w:rPr>
            </w:pPr>
            <w:r>
              <w:rPr>
                <w:color w:val="4D4D4F"/>
                <w:sz w:val="14"/>
              </w:rPr>
              <w:t>Not met</w:t>
            </w:r>
          </w:p>
        </w:tc>
        <w:tc>
          <w:tcPr>
            <w:tcW w:w="2155" w:type="dxa"/>
          </w:tcPr>
          <w:p w14:paraId="7628DED5" w14:textId="77777777" w:rsidR="00EF5B27" w:rsidRDefault="00EF5B27">
            <w:pPr>
              <w:pStyle w:val="TableParagraph"/>
              <w:spacing w:before="11"/>
              <w:rPr>
                <w:sz w:val="11"/>
              </w:rPr>
            </w:pPr>
          </w:p>
          <w:p w14:paraId="18F98466" w14:textId="77777777" w:rsidR="00EF5B27" w:rsidRDefault="00000000">
            <w:pPr>
              <w:pStyle w:val="TableParagraph"/>
              <w:ind w:left="138" w:right="142"/>
              <w:jc w:val="center"/>
              <w:rPr>
                <w:sz w:val="14"/>
              </w:rPr>
            </w:pPr>
            <w:r>
              <w:rPr>
                <w:color w:val="4D4D4F"/>
                <w:w w:val="105"/>
                <w:sz w:val="14"/>
              </w:rPr>
              <w:t>N/A</w:t>
            </w:r>
          </w:p>
        </w:tc>
        <w:tc>
          <w:tcPr>
            <w:tcW w:w="964" w:type="dxa"/>
          </w:tcPr>
          <w:p w14:paraId="3758E9A3" w14:textId="77777777" w:rsidR="00EF5B27" w:rsidRDefault="00EF5B27">
            <w:pPr>
              <w:pStyle w:val="TableParagraph"/>
              <w:spacing w:before="1"/>
              <w:rPr>
                <w:sz w:val="15"/>
              </w:rPr>
            </w:pPr>
          </w:p>
          <w:p w14:paraId="6907EEF9" w14:textId="77777777" w:rsidR="00EF5B27" w:rsidRDefault="00000000">
            <w:pPr>
              <w:pStyle w:val="TableParagraph"/>
              <w:spacing w:line="101" w:lineRule="exact"/>
              <w:ind w:left="361"/>
              <w:rPr>
                <w:sz w:val="10"/>
              </w:rPr>
            </w:pPr>
            <w:r>
              <w:rPr>
                <w:noProof/>
                <w:position w:val="-1"/>
                <w:sz w:val="10"/>
              </w:rPr>
              <w:drawing>
                <wp:inline distT="0" distB="0" distL="0" distR="0" wp14:anchorId="4AAAB04C" wp14:editId="113A3CE3">
                  <wp:extent cx="149256" cy="64388"/>
                  <wp:effectExtent l="0" t="0" r="0" b="0"/>
                  <wp:docPr id="27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48.png"/>
                          <pic:cNvPicPr/>
                        </pic:nvPicPr>
                        <pic:blipFill>
                          <a:blip r:embed="rId79" cstate="print"/>
                          <a:stretch>
                            <a:fillRect/>
                          </a:stretch>
                        </pic:blipFill>
                        <pic:spPr>
                          <a:xfrm>
                            <a:off x="0" y="0"/>
                            <a:ext cx="149256" cy="64388"/>
                          </a:xfrm>
                          <a:prstGeom prst="rect">
                            <a:avLst/>
                          </a:prstGeom>
                        </pic:spPr>
                      </pic:pic>
                    </a:graphicData>
                  </a:graphic>
                </wp:inline>
              </w:drawing>
            </w:r>
          </w:p>
        </w:tc>
        <w:tc>
          <w:tcPr>
            <w:tcW w:w="964" w:type="dxa"/>
          </w:tcPr>
          <w:p w14:paraId="7067C1B6" w14:textId="77777777" w:rsidR="00EF5B27" w:rsidRDefault="00EF5B27">
            <w:pPr>
              <w:pStyle w:val="TableParagraph"/>
              <w:spacing w:before="11"/>
              <w:rPr>
                <w:sz w:val="11"/>
              </w:rPr>
            </w:pPr>
          </w:p>
          <w:p w14:paraId="577F5B9A" w14:textId="77777777" w:rsidR="00EF5B27" w:rsidRDefault="00000000">
            <w:pPr>
              <w:pStyle w:val="TableParagraph"/>
              <w:ind w:left="197"/>
              <w:rPr>
                <w:sz w:val="14"/>
              </w:rPr>
            </w:pPr>
            <w:r>
              <w:rPr>
                <w:color w:val="4D4D4F"/>
                <w:sz w:val="14"/>
              </w:rPr>
              <w:t>Moderate</w:t>
            </w:r>
          </w:p>
        </w:tc>
        <w:tc>
          <w:tcPr>
            <w:tcW w:w="1489" w:type="dxa"/>
          </w:tcPr>
          <w:p w14:paraId="4BE9FFC8" w14:textId="77777777" w:rsidR="00EF5B27" w:rsidRDefault="00000000">
            <w:pPr>
              <w:pStyle w:val="TableParagraph"/>
              <w:spacing w:before="134"/>
              <w:ind w:left="452" w:right="457"/>
              <w:jc w:val="center"/>
              <w:rPr>
                <w:sz w:val="16"/>
              </w:rPr>
            </w:pPr>
            <w:r>
              <w:rPr>
                <w:color w:val="4D4D4F"/>
                <w:sz w:val="16"/>
              </w:rPr>
              <w:t>2019</w:t>
            </w:r>
          </w:p>
        </w:tc>
      </w:tr>
    </w:tbl>
    <w:p w14:paraId="7223F750" w14:textId="77777777" w:rsidR="00EF5B27" w:rsidRDefault="00EF5B27">
      <w:pPr>
        <w:pStyle w:val="BodyText"/>
        <w:spacing w:before="1"/>
        <w:rPr>
          <w:sz w:val="26"/>
        </w:rPr>
      </w:pPr>
    </w:p>
    <w:p w14:paraId="68D3BBB6" w14:textId="77777777" w:rsidR="00EF5B27" w:rsidRDefault="00000000">
      <w:pPr>
        <w:pStyle w:val="BodyText"/>
        <w:spacing w:before="100" w:line="254" w:lineRule="auto"/>
        <w:ind w:left="2608" w:right="151"/>
      </w:pPr>
      <w:r>
        <w:pict w14:anchorId="023E8BD0">
          <v:group id="_x0000_s3727" style="position:absolute;left:0;text-align:left;margin-left:57.1pt;margin-top:102.2pt;width:481.15pt;height:.25pt;z-index:251518464;mso-position-horizontal-relative:page" coordorigin="1142,2044" coordsize="9623,5">
            <v:line id="_x0000_s3729" style="position:absolute" from="1142,2046" to="3636,2046" strokeweight=".25pt"/>
            <v:line id="_x0000_s3728" style="position:absolute" from="3636,2046" to="10764,2046" strokeweight=".25pt"/>
            <w10:wrap anchorx="page"/>
          </v:group>
        </w:pict>
      </w:r>
      <w:r>
        <w:rPr>
          <w:color w:val="4D4D4F"/>
        </w:rPr>
        <w:t xml:space="preserve">Comments: KPI 1 has been assessed as </w:t>
      </w:r>
      <w:r>
        <w:rPr>
          <w:color w:val="4D4D4F"/>
          <w:spacing w:val="-3"/>
        </w:rPr>
        <w:t xml:space="preserve">‘not </w:t>
      </w:r>
      <w:r>
        <w:rPr>
          <w:color w:val="4D4D4F"/>
        </w:rPr>
        <w:t xml:space="preserve">met’ </w:t>
      </w:r>
      <w:r>
        <w:rPr>
          <w:color w:val="4D4D4F"/>
          <w:spacing w:val="-3"/>
        </w:rPr>
        <w:t xml:space="preserve">in </w:t>
      </w:r>
      <w:r>
        <w:rPr>
          <w:color w:val="4D4D4F"/>
          <w:spacing w:val="-4"/>
        </w:rPr>
        <w:t xml:space="preserve">this </w:t>
      </w:r>
      <w:r>
        <w:rPr>
          <w:color w:val="4D4D4F"/>
        </w:rPr>
        <w:t xml:space="preserve">reporting cycle. </w:t>
      </w:r>
      <w:r>
        <w:rPr>
          <w:color w:val="4D4D4F"/>
          <w:spacing w:val="-3"/>
        </w:rPr>
        <w:t xml:space="preserve">Results indicate that </w:t>
      </w:r>
      <w:r>
        <w:rPr>
          <w:color w:val="4D4D4F"/>
        </w:rPr>
        <w:t xml:space="preserve">MSA </w:t>
      </w:r>
      <w:r>
        <w:rPr>
          <w:color w:val="4D4D4F"/>
          <w:spacing w:val="-3"/>
        </w:rPr>
        <w:t xml:space="preserve">population </w:t>
      </w:r>
      <w:r>
        <w:rPr>
          <w:color w:val="4D4D4F"/>
        </w:rPr>
        <w:t xml:space="preserve">of Button Wrinklewort </w:t>
      </w:r>
      <w:r>
        <w:rPr>
          <w:color w:val="4D4D4F"/>
          <w:spacing w:val="-3"/>
        </w:rPr>
        <w:t xml:space="preserve">is slowly declining, largely </w:t>
      </w:r>
      <w:r>
        <w:rPr>
          <w:color w:val="4D4D4F"/>
        </w:rPr>
        <w:t xml:space="preserve">due to the </w:t>
      </w:r>
      <w:r>
        <w:rPr>
          <w:color w:val="4D4D4F"/>
          <w:spacing w:val="-3"/>
        </w:rPr>
        <w:t xml:space="preserve">failure </w:t>
      </w:r>
      <w:r>
        <w:rPr>
          <w:color w:val="4D4D4F"/>
        </w:rPr>
        <w:t>of new recruits to survive their first year and replace plants that are dying.</w:t>
      </w:r>
      <w:r>
        <w:rPr>
          <w:color w:val="4D4D4F"/>
          <w:position w:val="7"/>
          <w:sz w:val="11"/>
        </w:rPr>
        <w:t xml:space="preserve">98 </w:t>
      </w:r>
      <w:r>
        <w:rPr>
          <w:color w:val="4D4D4F"/>
        </w:rPr>
        <w:t xml:space="preserve">DELWP does not know why recruitment is failing. An adequate number of plots have been sampled since </w:t>
      </w:r>
      <w:r>
        <w:rPr>
          <w:color w:val="4D4D4F"/>
          <w:spacing w:val="-4"/>
        </w:rPr>
        <w:t xml:space="preserve">2019 </w:t>
      </w:r>
      <w:r>
        <w:rPr>
          <w:color w:val="4D4D4F"/>
        </w:rPr>
        <w:t>to obtain a good level of data – however monitoring to date has only occurred at one site, meaning data confidence is moderate.</w:t>
      </w:r>
    </w:p>
    <w:p w14:paraId="1DD51481" w14:textId="77777777" w:rsidR="00EF5B27" w:rsidRDefault="00EF5B27">
      <w:pPr>
        <w:pStyle w:val="BodyText"/>
      </w:pPr>
    </w:p>
    <w:p w14:paraId="1280551C" w14:textId="77777777" w:rsidR="00EF5B27" w:rsidRDefault="00000000">
      <w:pPr>
        <w:pStyle w:val="BodyText"/>
        <w:spacing w:before="6"/>
        <w:rPr>
          <w:sz w:val="10"/>
        </w:rPr>
      </w:pPr>
      <w:r>
        <w:pict w14:anchorId="348658A5">
          <v:shape id="_x0000_s3726" type="#_x0000_t202" style="position:absolute;margin-left:57.1pt;margin-top:7.65pt;width:481.15pt;height:25.3pt;z-index:251453952;mso-wrap-distance-left:0;mso-wrap-distance-right:0;mso-position-horizontal-relative:page" fillcolor="#fecc91" stroked="f">
            <v:textbox inset="0,0,0,0">
              <w:txbxContent>
                <w:p w14:paraId="064EAA93" w14:textId="77777777" w:rsidR="00EF5B27" w:rsidRDefault="00000000">
                  <w:pPr>
                    <w:tabs>
                      <w:tab w:val="left" w:pos="2607"/>
                    </w:tabs>
                    <w:spacing w:before="140"/>
                    <w:ind w:left="113"/>
                    <w:rPr>
                      <w:b/>
                      <w:sz w:val="20"/>
                    </w:rPr>
                  </w:pPr>
                  <w:r>
                    <w:rPr>
                      <w:b/>
                      <w:color w:val="4D4D4F"/>
                      <w:sz w:val="20"/>
                    </w:rPr>
                    <w:t>Theme</w:t>
                  </w:r>
                  <w:r>
                    <w:rPr>
                      <w:b/>
                      <w:color w:val="4D4D4F"/>
                      <w:sz w:val="20"/>
                    </w:rPr>
                    <w:tab/>
                    <w:t>Button</w:t>
                  </w:r>
                  <w:r>
                    <w:rPr>
                      <w:b/>
                      <w:color w:val="4D4D4F"/>
                      <w:spacing w:val="3"/>
                      <w:sz w:val="20"/>
                    </w:rPr>
                    <w:t xml:space="preserve"> </w:t>
                  </w:r>
                  <w:r>
                    <w:rPr>
                      <w:b/>
                      <w:color w:val="4D4D4F"/>
                      <w:sz w:val="20"/>
                    </w:rPr>
                    <w:t>Wrinklewort</w:t>
                  </w:r>
                </w:p>
              </w:txbxContent>
            </v:textbox>
            <w10:wrap type="topAndBottom" anchorx="page"/>
          </v:shape>
        </w:pict>
      </w:r>
    </w:p>
    <w:p w14:paraId="604DC825" w14:textId="77777777" w:rsidR="00EF5B27" w:rsidRDefault="00EF5B27">
      <w:pPr>
        <w:pStyle w:val="BodyText"/>
        <w:spacing w:before="8"/>
        <w:rPr>
          <w:sz w:val="5"/>
        </w:rPr>
      </w:pPr>
    </w:p>
    <w:p w14:paraId="23041D64" w14:textId="77777777" w:rsidR="00EF5B27" w:rsidRDefault="00EF5B27">
      <w:pPr>
        <w:rPr>
          <w:sz w:val="5"/>
        </w:rPr>
        <w:sectPr w:rsidR="00EF5B27">
          <w:type w:val="continuous"/>
          <w:pgSz w:w="11910" w:h="16840"/>
          <w:pgMar w:top="1140" w:right="1020" w:bottom="280" w:left="1020" w:header="720" w:footer="720" w:gutter="0"/>
          <w:cols w:space="720"/>
        </w:sectPr>
      </w:pPr>
    </w:p>
    <w:p w14:paraId="6FE85905" w14:textId="77777777" w:rsidR="00EF5B27" w:rsidRDefault="00000000">
      <w:pPr>
        <w:pStyle w:val="BodyText"/>
        <w:spacing w:before="54"/>
        <w:ind w:left="235"/>
      </w:pPr>
      <w:r>
        <w:pict w14:anchorId="2103809F">
          <v:group id="_x0000_s3723" style="position:absolute;left:0;text-align:left;margin-left:57.1pt;margin-top:-4.2pt;width:481.15pt;height:.25pt;z-index:251519488;mso-position-horizontal-relative:page" coordorigin="1142,-84" coordsize="9623,5">
            <v:line id="_x0000_s3725" style="position:absolute" from="1142,-81" to="3636,-81" strokeweight=".25pt"/>
            <v:line id="_x0000_s3724" style="position:absolute" from="3636,-81" to="10764,-81" strokeweight=".25pt"/>
            <w10:wrap anchorx="page"/>
          </v:group>
        </w:pict>
      </w:r>
      <w:r>
        <w:rPr>
          <w:color w:val="4D4D4F"/>
        </w:rPr>
        <w:t>Recommendation</w:t>
      </w:r>
    </w:p>
    <w:p w14:paraId="3FAC10E6" w14:textId="77777777" w:rsidR="00EF5B27" w:rsidRDefault="00000000">
      <w:pPr>
        <w:pStyle w:val="Heading1"/>
        <w:spacing w:before="3"/>
        <w:ind w:left="235"/>
      </w:pPr>
      <w:r>
        <w:rPr>
          <w:color w:val="4D4D4F"/>
          <w:w w:val="105"/>
        </w:rPr>
        <w:t>15</w:t>
      </w:r>
    </w:p>
    <w:p w14:paraId="4711199A" w14:textId="77777777" w:rsidR="00EF5B27" w:rsidRDefault="00000000">
      <w:pPr>
        <w:pStyle w:val="BodyText"/>
        <w:spacing w:before="54" w:line="254" w:lineRule="auto"/>
        <w:ind w:left="235" w:right="238"/>
        <w:jc w:val="both"/>
      </w:pPr>
      <w:r>
        <w:br w:type="column"/>
      </w:r>
      <w:r>
        <w:rPr>
          <w:color w:val="4D4D4F"/>
        </w:rPr>
        <w:t>That DELWP assesses the causes of recruitment failure for the Button Wrinklewort population – including research into germination – and develop a management plan for the species based on the findings.</w:t>
      </w:r>
    </w:p>
    <w:p w14:paraId="760FFECF" w14:textId="77777777" w:rsidR="00EF5B27" w:rsidRDefault="00EF5B27">
      <w:pPr>
        <w:spacing w:line="254" w:lineRule="auto"/>
        <w:jc w:val="both"/>
        <w:sectPr w:rsidR="00EF5B27">
          <w:type w:val="continuous"/>
          <w:pgSz w:w="11910" w:h="16840"/>
          <w:pgMar w:top="1140" w:right="1020" w:bottom="280" w:left="1020" w:header="720" w:footer="720" w:gutter="0"/>
          <w:cols w:num="2" w:space="720" w:equalWidth="0">
            <w:col w:w="1712" w:space="783"/>
            <w:col w:w="7375"/>
          </w:cols>
        </w:sectPr>
      </w:pPr>
    </w:p>
    <w:p w14:paraId="5EAF518B" w14:textId="77777777" w:rsidR="00EF5B27" w:rsidRDefault="00000000">
      <w:pPr>
        <w:pStyle w:val="BodyText"/>
        <w:spacing w:before="7"/>
        <w:rPr>
          <w:sz w:val="7"/>
        </w:rPr>
      </w:pPr>
      <w:r>
        <w:pict w14:anchorId="1E6A139A">
          <v:group id="_x0000_s3715" style="position:absolute;margin-left:587.05pt;margin-top:183.4pt;width:8.25pt;height:153.1pt;z-index:251516416;mso-position-horizontal-relative:page;mso-position-vertical-relative:page" coordorigin="11741,3668" coordsize="165,3062">
            <v:shape id="_x0000_s3722" style="position:absolute;left:11741;top:3668;width:165;height:561" coordorigin="11741,3668" coordsize="165,561" path="m11906,3668r-165,l11741,4228r165,-18l11906,3668xe" fillcolor="#00aed9" stroked="f">
              <v:path arrowok="t"/>
            </v:shape>
            <v:shape id="_x0000_s3721" style="position:absolute;left:11741;top:4118;width:165;height:425" coordorigin="11741,4118" coordsize="165,425" path="m11906,4118r-165,14l11741,4531r165,12l11906,4118xe" fillcolor="#047ebc" stroked="f">
              <v:path arrowok="t"/>
            </v:shape>
            <v:shape id="_x0000_s3720" type="#_x0000_t75" style="position:absolute;left:11741;top:4355;width:165;height:587">
              <v:imagedata r:id="rId42" o:title=""/>
            </v:shape>
            <v:shape id="_x0000_s3719" style="position:absolute;left:11741;top:5343;width:165;height:536" coordorigin="11741,5343" coordsize="165,536" path="m11741,5343r,535l11906,5872r,-525l11741,5343xe" fillcolor="#f36a2e" stroked="f">
              <v:path arrowok="t"/>
            </v:shape>
            <v:shape id="_x0000_s3718" style="position:absolute;left:11741;top:4925;width:165;height:501" coordorigin="11741,4926" coordsize="165,501" path="m11741,4926r,500l11906,5426r,-485l11741,4926xe" fillcolor="#49783f" stroked="f">
              <v:path arrowok="t"/>
            </v:shape>
            <v:shape id="_x0000_s3717" style="position:absolute;left:11741;top:5781;width:165;height:268" coordorigin="11741,5782" coordsize="165,268" path="m11906,5782r-165,8l11741,6039r165,10l11906,5782xe" fillcolor="#f99f2a" stroked="f">
              <v:path arrowok="t"/>
            </v:shape>
            <v:shape id="_x0000_s3716" style="position:absolute;left:11741;top:6023;width:165;height:707" coordorigin="11741,6023" coordsize="165,707" path="m11741,6023r,706l11906,6729r,-690l11741,6023xe" fillcolor="#ef412c" stroked="f">
              <v:path arrowok="t"/>
            </v:shape>
            <w10:wrap anchorx="page" anchory="page"/>
          </v:group>
        </w:pict>
      </w:r>
    </w:p>
    <w:p w14:paraId="06D83590" w14:textId="77777777" w:rsidR="00EF5B27" w:rsidRDefault="00000000">
      <w:pPr>
        <w:pStyle w:val="BodyText"/>
        <w:spacing w:line="20" w:lineRule="exact"/>
        <w:ind w:left="118"/>
        <w:rPr>
          <w:sz w:val="2"/>
        </w:rPr>
      </w:pPr>
      <w:r>
        <w:rPr>
          <w:sz w:val="2"/>
        </w:rPr>
      </w:r>
      <w:r>
        <w:rPr>
          <w:sz w:val="2"/>
        </w:rPr>
        <w:pict w14:anchorId="295184BB">
          <v:group id="_x0000_s3712" style="width:481.15pt;height:.25pt;mso-position-horizontal-relative:char;mso-position-vertical-relative:line" coordsize="9623,5">
            <v:line id="_x0000_s3714" style="position:absolute" from="0,3" to="2494,3" strokeweight=".25pt"/>
            <v:line id="_x0000_s3713" style="position:absolute" from="2494,3" to="9622,3" strokeweight=".25pt"/>
            <w10:anchorlock/>
          </v:group>
        </w:pict>
      </w:r>
    </w:p>
    <w:p w14:paraId="2F8B96A7" w14:textId="77777777" w:rsidR="00EF5B27" w:rsidRDefault="00000000">
      <w:pPr>
        <w:pStyle w:val="BodyText"/>
        <w:spacing w:before="1"/>
        <w:rPr>
          <w:sz w:val="22"/>
        </w:rPr>
      </w:pPr>
      <w:r>
        <w:pict w14:anchorId="375DB940">
          <v:line id="_x0000_s3711" style="position:absolute;z-index:251454976;mso-wrap-distance-left:0;mso-wrap-distance-right:0;mso-position-horizontal-relative:page" from="181.4pt,15.7pt" to="538.6pt,15.7pt" strokecolor="#4d4d4f" strokeweight=".5pt">
            <w10:wrap type="topAndBottom" anchorx="page"/>
          </v:line>
        </w:pict>
      </w:r>
    </w:p>
    <w:p w14:paraId="191F4722" w14:textId="77777777" w:rsidR="00EF5B27" w:rsidRDefault="00000000">
      <w:pPr>
        <w:pStyle w:val="ListParagraph"/>
        <w:numPr>
          <w:ilvl w:val="0"/>
          <w:numId w:val="49"/>
        </w:numPr>
        <w:tabs>
          <w:tab w:val="left" w:pos="2836"/>
        </w:tabs>
        <w:spacing w:before="83" w:line="143" w:lineRule="exac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5FF89B3F" w14:textId="77777777" w:rsidR="00EF5B27" w:rsidRDefault="00000000">
      <w:pPr>
        <w:pStyle w:val="ListParagraph"/>
        <w:numPr>
          <w:ilvl w:val="0"/>
          <w:numId w:val="49"/>
        </w:numPr>
        <w:tabs>
          <w:tab w:val="left" w:pos="2836"/>
        </w:tabs>
        <w:spacing w:line="140" w:lineRule="exac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5F68AD0E" w14:textId="77777777" w:rsidR="00EF5B27" w:rsidRDefault="00000000">
      <w:pPr>
        <w:pStyle w:val="ListParagraph"/>
        <w:numPr>
          <w:ilvl w:val="0"/>
          <w:numId w:val="49"/>
        </w:numPr>
        <w:tabs>
          <w:tab w:val="left" w:pos="2836"/>
        </w:tabs>
        <w:spacing w:line="140" w:lineRule="exac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4DC3E4E0" w14:textId="77777777" w:rsidR="00EF5B27" w:rsidRDefault="00000000">
      <w:pPr>
        <w:pStyle w:val="ListParagraph"/>
        <w:numPr>
          <w:ilvl w:val="0"/>
          <w:numId w:val="49"/>
        </w:numPr>
        <w:tabs>
          <w:tab w:val="left" w:pos="2836"/>
        </w:tabs>
        <w:spacing w:line="140" w:lineRule="exac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6F3049B4" w14:textId="77777777" w:rsidR="00EF5B27" w:rsidRDefault="00000000">
      <w:pPr>
        <w:pStyle w:val="ListParagraph"/>
        <w:numPr>
          <w:ilvl w:val="0"/>
          <w:numId w:val="49"/>
        </w:numPr>
        <w:tabs>
          <w:tab w:val="left" w:pos="2836"/>
        </w:tabs>
        <w:spacing w:before="2" w:line="230" w:lineRule="auto"/>
        <w:ind w:right="111"/>
        <w:rPr>
          <w:sz w:val="12"/>
        </w:rPr>
      </w:pPr>
      <w:r>
        <w:rPr>
          <w:color w:val="4D4D4F"/>
          <w:sz w:val="12"/>
        </w:rPr>
        <w:t xml:space="preserve">Department of Land, Water and Planning (DELWP) webpage, ‘Our </w:t>
      </w:r>
      <w:r>
        <w:rPr>
          <w:color w:val="4D4D4F"/>
          <w:spacing w:val="2"/>
          <w:sz w:val="12"/>
        </w:rPr>
        <w:t xml:space="preserve">progress </w:t>
      </w:r>
      <w:r>
        <w:rPr>
          <w:color w:val="4D4D4F"/>
          <w:sz w:val="12"/>
        </w:rPr>
        <w:t xml:space="preserve">at a glance – Protecting biodiversity in Melbourne’s </w:t>
      </w:r>
      <w:r>
        <w:rPr>
          <w:color w:val="4D4D4F"/>
          <w:spacing w:val="2"/>
          <w:sz w:val="12"/>
        </w:rPr>
        <w:t xml:space="preserve">growth   </w:t>
      </w:r>
      <w:r>
        <w:rPr>
          <w:color w:val="4D4D4F"/>
          <w:sz w:val="12"/>
        </w:rPr>
        <w:t>areas</w:t>
      </w:r>
      <w:r>
        <w:rPr>
          <w:color w:val="4D4D4F"/>
          <w:spacing w:val="6"/>
          <w:sz w:val="12"/>
        </w:rPr>
        <w:t xml:space="preserve"> </w:t>
      </w:r>
      <w:r>
        <w:rPr>
          <w:color w:val="4D4D4F"/>
          <w:sz w:val="12"/>
        </w:rPr>
        <w:t>–</w:t>
      </w:r>
      <w:r>
        <w:rPr>
          <w:color w:val="4D4D4F"/>
          <w:spacing w:val="6"/>
          <w:sz w:val="12"/>
        </w:rPr>
        <w:t xml:space="preserve"> </w:t>
      </w:r>
      <w:r>
        <w:rPr>
          <w:color w:val="4D4D4F"/>
          <w:spacing w:val="2"/>
          <w:sz w:val="12"/>
        </w:rPr>
        <w:t>program</w:t>
      </w:r>
      <w:r>
        <w:rPr>
          <w:color w:val="4D4D4F"/>
          <w:spacing w:val="6"/>
          <w:sz w:val="12"/>
        </w:rPr>
        <w:t xml:space="preserve"> </w:t>
      </w:r>
      <w:r>
        <w:rPr>
          <w:color w:val="4D4D4F"/>
          <w:sz w:val="12"/>
        </w:rPr>
        <w:t>highlights’,</w:t>
      </w:r>
      <w:r>
        <w:rPr>
          <w:color w:val="F36A2E"/>
          <w:spacing w:val="6"/>
          <w:sz w:val="12"/>
        </w:rPr>
        <w:t xml:space="preserve"> </w:t>
      </w:r>
      <w:hyperlink r:id="rId106">
        <w:r>
          <w:rPr>
            <w:color w:val="F36A2E"/>
            <w:sz w:val="12"/>
            <w:u w:val="single" w:color="F36A2E"/>
          </w:rPr>
          <w:t>https://www.msa.vic.gov.au/our-progress-at-a-glance</w:t>
        </w:r>
        <w:r>
          <w:rPr>
            <w:color w:val="F36A2E"/>
            <w:spacing w:val="6"/>
            <w:sz w:val="12"/>
          </w:rPr>
          <w:t xml:space="preserve"> </w:t>
        </w:r>
      </w:hyperlink>
      <w:r>
        <w:rPr>
          <w:color w:val="4D4D4F"/>
          <w:spacing w:val="2"/>
          <w:sz w:val="12"/>
        </w:rPr>
        <w:t>Accessed</w:t>
      </w:r>
      <w:r>
        <w:rPr>
          <w:color w:val="4D4D4F"/>
          <w:spacing w:val="6"/>
          <w:sz w:val="12"/>
        </w:rPr>
        <w:t xml:space="preserve"> </w:t>
      </w:r>
      <w:r>
        <w:rPr>
          <w:color w:val="4D4D4F"/>
          <w:sz w:val="12"/>
        </w:rPr>
        <w:t>26</w:t>
      </w:r>
      <w:r>
        <w:rPr>
          <w:color w:val="4D4D4F"/>
          <w:spacing w:val="6"/>
          <w:sz w:val="12"/>
        </w:rPr>
        <w:t xml:space="preserve"> </w:t>
      </w:r>
      <w:r>
        <w:rPr>
          <w:color w:val="4D4D4F"/>
          <w:spacing w:val="2"/>
          <w:sz w:val="12"/>
        </w:rPr>
        <w:t>February</w:t>
      </w:r>
      <w:r>
        <w:rPr>
          <w:color w:val="4D4D4F"/>
          <w:spacing w:val="6"/>
          <w:sz w:val="12"/>
        </w:rPr>
        <w:t xml:space="preserve"> </w:t>
      </w:r>
      <w:r>
        <w:rPr>
          <w:color w:val="4D4D4F"/>
          <w:spacing w:val="2"/>
          <w:sz w:val="12"/>
        </w:rPr>
        <w:t>2022.</w:t>
      </w:r>
    </w:p>
    <w:p w14:paraId="2A88608C" w14:textId="77777777" w:rsidR="00EF5B27" w:rsidRDefault="00000000">
      <w:pPr>
        <w:pStyle w:val="ListParagraph"/>
        <w:numPr>
          <w:ilvl w:val="0"/>
          <w:numId w:val="49"/>
        </w:numPr>
        <w:tabs>
          <w:tab w:val="left" w:pos="2836"/>
        </w:tabs>
        <w:spacing w:line="230" w:lineRule="auto"/>
        <w:ind w:right="111"/>
        <w:rPr>
          <w:sz w:val="12"/>
        </w:rPr>
      </w:pPr>
      <w:r>
        <w:rPr>
          <w:color w:val="4D4D4F"/>
          <w:sz w:val="12"/>
        </w:rPr>
        <w:t xml:space="preserve">Department of Land, Water and Planning (DELWP) webpage, ‘Our </w:t>
      </w:r>
      <w:r>
        <w:rPr>
          <w:color w:val="4D4D4F"/>
          <w:spacing w:val="2"/>
          <w:sz w:val="12"/>
        </w:rPr>
        <w:t xml:space="preserve">progress </w:t>
      </w:r>
      <w:r>
        <w:rPr>
          <w:color w:val="4D4D4F"/>
          <w:sz w:val="12"/>
        </w:rPr>
        <w:t xml:space="preserve">at a glance – Protecting biodiversity in Melbourne’s </w:t>
      </w:r>
      <w:r>
        <w:rPr>
          <w:color w:val="4D4D4F"/>
          <w:spacing w:val="2"/>
          <w:sz w:val="12"/>
        </w:rPr>
        <w:t xml:space="preserve">growth   </w:t>
      </w:r>
      <w:r>
        <w:rPr>
          <w:color w:val="4D4D4F"/>
          <w:sz w:val="12"/>
        </w:rPr>
        <w:t>areas</w:t>
      </w:r>
      <w:r>
        <w:rPr>
          <w:color w:val="4D4D4F"/>
          <w:spacing w:val="6"/>
          <w:sz w:val="12"/>
        </w:rPr>
        <w:t xml:space="preserve"> </w:t>
      </w:r>
      <w:r>
        <w:rPr>
          <w:color w:val="4D4D4F"/>
          <w:sz w:val="12"/>
        </w:rPr>
        <w:t>–</w:t>
      </w:r>
      <w:r>
        <w:rPr>
          <w:color w:val="4D4D4F"/>
          <w:spacing w:val="6"/>
          <w:sz w:val="12"/>
        </w:rPr>
        <w:t xml:space="preserve"> </w:t>
      </w:r>
      <w:r>
        <w:rPr>
          <w:color w:val="4D4D4F"/>
          <w:spacing w:val="2"/>
          <w:sz w:val="12"/>
        </w:rPr>
        <w:t>program</w:t>
      </w:r>
      <w:r>
        <w:rPr>
          <w:color w:val="4D4D4F"/>
          <w:spacing w:val="6"/>
          <w:sz w:val="12"/>
        </w:rPr>
        <w:t xml:space="preserve"> </w:t>
      </w:r>
      <w:r>
        <w:rPr>
          <w:color w:val="4D4D4F"/>
          <w:sz w:val="12"/>
        </w:rPr>
        <w:t>highlights’,</w:t>
      </w:r>
      <w:r>
        <w:rPr>
          <w:color w:val="F36A2E"/>
          <w:spacing w:val="6"/>
          <w:sz w:val="12"/>
        </w:rPr>
        <w:t xml:space="preserve"> </w:t>
      </w:r>
      <w:hyperlink r:id="rId107">
        <w:r>
          <w:rPr>
            <w:color w:val="F36A2E"/>
            <w:sz w:val="12"/>
            <w:u w:val="single" w:color="F36A2E"/>
          </w:rPr>
          <w:t>https://www.msa.vic.gov.au/our-progress-at-a-glance</w:t>
        </w:r>
        <w:r>
          <w:rPr>
            <w:color w:val="F36A2E"/>
            <w:spacing w:val="6"/>
            <w:sz w:val="12"/>
          </w:rPr>
          <w:t xml:space="preserve"> </w:t>
        </w:r>
      </w:hyperlink>
      <w:r>
        <w:rPr>
          <w:color w:val="4D4D4F"/>
          <w:spacing w:val="2"/>
          <w:sz w:val="12"/>
        </w:rPr>
        <w:t>Accessed</w:t>
      </w:r>
      <w:r>
        <w:rPr>
          <w:color w:val="4D4D4F"/>
          <w:spacing w:val="6"/>
          <w:sz w:val="12"/>
        </w:rPr>
        <w:t xml:space="preserve"> </w:t>
      </w:r>
      <w:r>
        <w:rPr>
          <w:color w:val="4D4D4F"/>
          <w:sz w:val="12"/>
        </w:rPr>
        <w:t>26</w:t>
      </w:r>
      <w:r>
        <w:rPr>
          <w:color w:val="4D4D4F"/>
          <w:spacing w:val="6"/>
          <w:sz w:val="12"/>
        </w:rPr>
        <w:t xml:space="preserve"> </w:t>
      </w:r>
      <w:r>
        <w:rPr>
          <w:color w:val="4D4D4F"/>
          <w:spacing w:val="2"/>
          <w:sz w:val="12"/>
        </w:rPr>
        <w:t>February</w:t>
      </w:r>
      <w:r>
        <w:rPr>
          <w:color w:val="4D4D4F"/>
          <w:spacing w:val="6"/>
          <w:sz w:val="12"/>
        </w:rPr>
        <w:t xml:space="preserve"> </w:t>
      </w:r>
      <w:r>
        <w:rPr>
          <w:color w:val="4D4D4F"/>
          <w:spacing w:val="2"/>
          <w:sz w:val="12"/>
        </w:rPr>
        <w:t>2022.</w:t>
      </w:r>
    </w:p>
    <w:p w14:paraId="4CECB2E6" w14:textId="77777777" w:rsidR="00EF5B27" w:rsidRDefault="00000000">
      <w:pPr>
        <w:pStyle w:val="ListParagraph"/>
        <w:numPr>
          <w:ilvl w:val="0"/>
          <w:numId w:val="49"/>
        </w:numPr>
        <w:tabs>
          <w:tab w:val="left" w:pos="2836"/>
        </w:tabs>
        <w:spacing w:line="141" w:lineRule="exact"/>
        <w:rPr>
          <w:sz w:val="12"/>
        </w:rPr>
      </w:pPr>
      <w:r>
        <w:rPr>
          <w:color w:val="4D4D4F"/>
          <w:sz w:val="12"/>
        </w:rPr>
        <w:t xml:space="preserve">DELWP, internal document, provided </w:t>
      </w:r>
      <w:r>
        <w:rPr>
          <w:color w:val="4D4D4F"/>
          <w:spacing w:val="-3"/>
          <w:sz w:val="12"/>
        </w:rPr>
        <w:t xml:space="preserve">17 </w:t>
      </w:r>
      <w:r>
        <w:rPr>
          <w:color w:val="4D4D4F"/>
          <w:sz w:val="12"/>
        </w:rPr>
        <w:t>January</w:t>
      </w:r>
      <w:r>
        <w:rPr>
          <w:color w:val="4D4D4F"/>
          <w:spacing w:val="17"/>
          <w:sz w:val="12"/>
        </w:rPr>
        <w:t xml:space="preserve"> </w:t>
      </w:r>
      <w:r>
        <w:rPr>
          <w:color w:val="4D4D4F"/>
          <w:spacing w:val="2"/>
          <w:sz w:val="12"/>
        </w:rPr>
        <w:t>2022.</w:t>
      </w:r>
    </w:p>
    <w:p w14:paraId="2F980BCE" w14:textId="77777777" w:rsidR="00EF5B27" w:rsidRDefault="00EF5B27">
      <w:pPr>
        <w:spacing w:line="141" w:lineRule="exact"/>
        <w:rPr>
          <w:sz w:val="12"/>
        </w:rPr>
        <w:sectPr w:rsidR="00EF5B27">
          <w:type w:val="continuous"/>
          <w:pgSz w:w="11910" w:h="16840"/>
          <w:pgMar w:top="1140" w:right="1020" w:bottom="280" w:left="1020" w:header="720" w:footer="720" w:gutter="0"/>
          <w:cols w:space="720"/>
        </w:sectPr>
      </w:pPr>
    </w:p>
    <w:p w14:paraId="7709A70A" w14:textId="77777777" w:rsidR="00EF5B27" w:rsidRDefault="00EF5B27">
      <w:pPr>
        <w:pStyle w:val="BodyText"/>
      </w:pPr>
    </w:p>
    <w:p w14:paraId="485A163B" w14:textId="77777777" w:rsidR="00EF5B27" w:rsidRDefault="00EF5B27">
      <w:pPr>
        <w:pStyle w:val="BodyText"/>
      </w:pPr>
    </w:p>
    <w:p w14:paraId="4313A8FB" w14:textId="77777777" w:rsidR="00EF5B27" w:rsidRDefault="00EF5B27">
      <w:pPr>
        <w:pStyle w:val="BodyText"/>
      </w:pPr>
    </w:p>
    <w:p w14:paraId="64466CF7" w14:textId="77777777" w:rsidR="00EF5B27" w:rsidRDefault="00EF5B27">
      <w:pPr>
        <w:pStyle w:val="BodyText"/>
      </w:pPr>
    </w:p>
    <w:p w14:paraId="7CCF1A04" w14:textId="77777777" w:rsidR="00EF5B27" w:rsidRDefault="00EF5B27">
      <w:pPr>
        <w:pStyle w:val="BodyText"/>
        <w:spacing w:before="5"/>
        <w:rPr>
          <w:sz w:val="16"/>
        </w:rPr>
      </w:pPr>
    </w:p>
    <w:p w14:paraId="302606F0" w14:textId="77777777" w:rsidR="00EF5B27" w:rsidRDefault="00000000">
      <w:pPr>
        <w:pStyle w:val="BodyText"/>
        <w:ind w:left="113" w:right="-15"/>
      </w:pPr>
      <w:bookmarkStart w:id="23" w:name="_bookmark22"/>
      <w:bookmarkEnd w:id="23"/>
      <w:r>
        <w:rPr>
          <w:noProof/>
        </w:rPr>
        <w:drawing>
          <wp:inline distT="0" distB="0" distL="0" distR="0" wp14:anchorId="21989263" wp14:editId="75349409">
            <wp:extent cx="1371606" cy="1371600"/>
            <wp:effectExtent l="0" t="0" r="0" b="0"/>
            <wp:docPr id="281"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08.jpeg"/>
                    <pic:cNvPicPr/>
                  </pic:nvPicPr>
                  <pic:blipFill>
                    <a:blip r:embed="rId108" cstate="print"/>
                    <a:stretch>
                      <a:fillRect/>
                    </a:stretch>
                  </pic:blipFill>
                  <pic:spPr>
                    <a:xfrm>
                      <a:off x="0" y="0"/>
                      <a:ext cx="1371606" cy="1371600"/>
                    </a:xfrm>
                    <a:prstGeom prst="rect">
                      <a:avLst/>
                    </a:prstGeom>
                  </pic:spPr>
                </pic:pic>
              </a:graphicData>
            </a:graphic>
          </wp:inline>
        </w:drawing>
      </w:r>
    </w:p>
    <w:p w14:paraId="3DE4E5DA" w14:textId="77777777" w:rsidR="00EF5B27" w:rsidRDefault="00000000">
      <w:pPr>
        <w:spacing w:before="80"/>
        <w:ind w:left="113"/>
        <w:rPr>
          <w:rFonts w:ascii="Century Gothic"/>
          <w:i/>
          <w:sz w:val="12"/>
        </w:rPr>
      </w:pPr>
      <w:r>
        <w:rPr>
          <w:rFonts w:ascii="Century Gothic"/>
          <w:i/>
          <w:color w:val="4D4D4F"/>
          <w:sz w:val="12"/>
        </w:rPr>
        <w:t>Large-fruit Groundsel</w:t>
      </w:r>
    </w:p>
    <w:p w14:paraId="1152ACAC" w14:textId="77777777" w:rsidR="00EF5B27" w:rsidRDefault="00000000">
      <w:pPr>
        <w:pStyle w:val="BodyText"/>
        <w:rPr>
          <w:rFonts w:ascii="Century Gothic"/>
          <w:i/>
          <w:sz w:val="36"/>
        </w:rPr>
      </w:pPr>
      <w:r>
        <w:br w:type="column"/>
      </w:r>
    </w:p>
    <w:p w14:paraId="2BB6F91C" w14:textId="77777777" w:rsidR="00EF5B27" w:rsidRDefault="00EF5B27">
      <w:pPr>
        <w:pStyle w:val="BodyText"/>
        <w:rPr>
          <w:rFonts w:ascii="Century Gothic"/>
          <w:i/>
          <w:sz w:val="36"/>
        </w:rPr>
      </w:pPr>
    </w:p>
    <w:p w14:paraId="257F6A9C" w14:textId="77777777" w:rsidR="00EF5B27" w:rsidRDefault="00000000">
      <w:pPr>
        <w:pStyle w:val="Heading3"/>
        <w:spacing w:before="245"/>
        <w:ind w:left="113"/>
      </w:pPr>
      <w:r>
        <w:rPr>
          <w:color w:val="F99F2A"/>
        </w:rPr>
        <w:t>MNES 12: Large-fruit Groundsel</w:t>
      </w:r>
    </w:p>
    <w:p w14:paraId="2429A86F" w14:textId="77777777" w:rsidR="00EF5B27" w:rsidRDefault="00EF5B27">
      <w:pPr>
        <w:pStyle w:val="BodyText"/>
        <w:spacing w:before="5"/>
        <w:rPr>
          <w:b/>
          <w:sz w:val="27"/>
        </w:rPr>
      </w:pPr>
    </w:p>
    <w:p w14:paraId="6D2F61EB" w14:textId="77777777" w:rsidR="00EF5B27" w:rsidRDefault="00000000">
      <w:pPr>
        <w:pStyle w:val="Heading6"/>
        <w:ind w:left="113"/>
      </w:pPr>
      <w:r>
        <w:rPr>
          <w:color w:val="4D4D4F"/>
        </w:rPr>
        <w:t>Key insights and management implications for the Large-fruit Groundsel</w:t>
      </w:r>
    </w:p>
    <w:p w14:paraId="4DCC6C08" w14:textId="77777777" w:rsidR="00EF5B27" w:rsidRDefault="00EF5B27">
      <w:pPr>
        <w:pStyle w:val="BodyText"/>
        <w:spacing w:before="11"/>
        <w:rPr>
          <w:b/>
          <w:sz w:val="19"/>
        </w:rPr>
      </w:pPr>
    </w:p>
    <w:p w14:paraId="36594BE5" w14:textId="77777777" w:rsidR="00EF5B27" w:rsidRDefault="00000000">
      <w:pPr>
        <w:pStyle w:val="BodyText"/>
        <w:spacing w:line="254" w:lineRule="auto"/>
        <w:ind w:left="113" w:right="521"/>
        <w:rPr>
          <w:sz w:val="11"/>
        </w:rPr>
      </w:pPr>
      <w:r>
        <w:rPr>
          <w:color w:val="4D4D4F"/>
        </w:rPr>
        <w:t>DELWP indicates that there is not enough data (in part due to lack of protected populations on MSA land) to conclude definitive insights on the species or management implications.</w:t>
      </w:r>
      <w:r>
        <w:rPr>
          <w:color w:val="4D4D4F"/>
          <w:position w:val="7"/>
          <w:sz w:val="11"/>
        </w:rPr>
        <w:t xml:space="preserve">99 </w:t>
      </w:r>
      <w:r>
        <w:rPr>
          <w:color w:val="4D4D4F"/>
        </w:rPr>
        <w:t>Given the small numbers, the population remains vulnerable to external pressures. It is possible that the risk of decline could be mitigated through population augmentation via the planting of tube stock.</w:t>
      </w:r>
      <w:r>
        <w:rPr>
          <w:color w:val="4D4D4F"/>
          <w:position w:val="7"/>
          <w:sz w:val="11"/>
        </w:rPr>
        <w:t>100</w:t>
      </w:r>
    </w:p>
    <w:p w14:paraId="1AC153A1" w14:textId="77777777" w:rsidR="00EF5B27" w:rsidRDefault="00EF5B27">
      <w:pPr>
        <w:spacing w:line="254" w:lineRule="auto"/>
        <w:rPr>
          <w:sz w:val="11"/>
        </w:rPr>
        <w:sectPr w:rsidR="00EF5B27">
          <w:pgSz w:w="11910" w:h="16840"/>
          <w:pgMar w:top="1080" w:right="1020" w:bottom="860" w:left="1020" w:header="537" w:footer="678" w:gutter="0"/>
          <w:cols w:num="2" w:space="720" w:equalWidth="0">
            <w:col w:w="2309" w:space="186"/>
            <w:col w:w="7375"/>
          </w:cols>
        </w:sectPr>
      </w:pPr>
    </w:p>
    <w:p w14:paraId="05B20D40" w14:textId="77777777" w:rsidR="00EF5B27" w:rsidRDefault="00EF5B27">
      <w:pPr>
        <w:pStyle w:val="BodyText"/>
      </w:pPr>
    </w:p>
    <w:p w14:paraId="1AB307D9" w14:textId="77777777" w:rsidR="00EF5B27" w:rsidRDefault="00EF5B27">
      <w:pPr>
        <w:pStyle w:val="BodyText"/>
        <w:spacing w:before="11" w:after="1"/>
        <w:rPr>
          <w:sz w:val="11"/>
        </w:rPr>
      </w:pPr>
    </w:p>
    <w:tbl>
      <w:tblPr>
        <w:tblW w:w="0" w:type="auto"/>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147484A6" w14:textId="77777777">
        <w:trPr>
          <w:trHeight w:val="561"/>
        </w:trPr>
        <w:tc>
          <w:tcPr>
            <w:tcW w:w="2980" w:type="dxa"/>
            <w:shd w:val="clear" w:color="auto" w:fill="FECC91"/>
          </w:tcPr>
          <w:p w14:paraId="6140E121" w14:textId="77777777" w:rsidR="00EF5B27" w:rsidRDefault="00EF5B27">
            <w:pPr>
              <w:pStyle w:val="TableParagraph"/>
              <w:spacing w:before="7"/>
              <w:rPr>
                <w:sz w:val="15"/>
              </w:rPr>
            </w:pPr>
          </w:p>
          <w:p w14:paraId="11098BE7" w14:textId="77777777" w:rsidR="00EF5B27" w:rsidRDefault="00000000">
            <w:pPr>
              <w:pStyle w:val="TableParagraph"/>
              <w:spacing w:before="1"/>
              <w:ind w:left="80"/>
              <w:rPr>
                <w:b/>
                <w:sz w:val="16"/>
              </w:rPr>
            </w:pPr>
            <w:r>
              <w:rPr>
                <w:b/>
                <w:sz w:val="16"/>
              </w:rPr>
              <w:t>KPI 1: Population count</w:t>
            </w:r>
          </w:p>
        </w:tc>
        <w:tc>
          <w:tcPr>
            <w:tcW w:w="1078" w:type="dxa"/>
            <w:shd w:val="clear" w:color="auto" w:fill="FECC91"/>
          </w:tcPr>
          <w:p w14:paraId="3648D963" w14:textId="77777777" w:rsidR="00EF5B27" w:rsidRDefault="00000000">
            <w:pPr>
              <w:pStyle w:val="TableParagraph"/>
              <w:spacing w:before="91" w:line="244" w:lineRule="auto"/>
              <w:ind w:left="156" w:firstLine="161"/>
              <w:rPr>
                <w:b/>
                <w:sz w:val="16"/>
              </w:rPr>
            </w:pPr>
            <w:r>
              <w:rPr>
                <w:b/>
                <w:w w:val="105"/>
                <w:sz w:val="16"/>
              </w:rPr>
              <w:t xml:space="preserve">Status </w:t>
            </w:r>
            <w:r>
              <w:rPr>
                <w:b/>
                <w:sz w:val="16"/>
              </w:rPr>
              <w:t>2020–2022</w:t>
            </w:r>
          </w:p>
        </w:tc>
        <w:tc>
          <w:tcPr>
            <w:tcW w:w="2155" w:type="dxa"/>
            <w:shd w:val="clear" w:color="auto" w:fill="FECC91"/>
          </w:tcPr>
          <w:p w14:paraId="23C874D9" w14:textId="77777777" w:rsidR="00EF5B27" w:rsidRDefault="00000000">
            <w:pPr>
              <w:pStyle w:val="TableParagraph"/>
              <w:spacing w:before="91" w:line="244" w:lineRule="auto"/>
              <w:ind w:left="614" w:right="76" w:hanging="485"/>
              <w:rPr>
                <w:b/>
                <w:sz w:val="16"/>
              </w:rPr>
            </w:pPr>
            <w:r>
              <w:rPr>
                <w:b/>
                <w:sz w:val="16"/>
              </w:rPr>
              <w:t>Reason for non-assessment (if applicable)</w:t>
            </w:r>
          </w:p>
        </w:tc>
        <w:tc>
          <w:tcPr>
            <w:tcW w:w="964" w:type="dxa"/>
            <w:shd w:val="clear" w:color="auto" w:fill="FECC91"/>
          </w:tcPr>
          <w:p w14:paraId="5C37600E" w14:textId="77777777" w:rsidR="00EF5B27" w:rsidRDefault="00EF5B27">
            <w:pPr>
              <w:pStyle w:val="TableParagraph"/>
              <w:spacing w:before="7"/>
              <w:rPr>
                <w:sz w:val="15"/>
              </w:rPr>
            </w:pPr>
          </w:p>
          <w:p w14:paraId="536CCDE7"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10240870"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51646B48"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1CC24EFD" w14:textId="77777777">
        <w:trPr>
          <w:trHeight w:val="448"/>
        </w:trPr>
        <w:tc>
          <w:tcPr>
            <w:tcW w:w="2980" w:type="dxa"/>
          </w:tcPr>
          <w:p w14:paraId="55117F76" w14:textId="77777777" w:rsidR="00EF5B27" w:rsidRDefault="00EF5B27">
            <w:pPr>
              <w:pStyle w:val="TableParagraph"/>
              <w:spacing w:before="11"/>
              <w:rPr>
                <w:sz w:val="11"/>
              </w:rPr>
            </w:pPr>
          </w:p>
          <w:p w14:paraId="1B53C3B0" w14:textId="77777777" w:rsidR="00EF5B27" w:rsidRDefault="00000000">
            <w:pPr>
              <w:pStyle w:val="TableParagraph"/>
              <w:ind w:left="80"/>
              <w:rPr>
                <w:sz w:val="14"/>
              </w:rPr>
            </w:pPr>
            <w:r>
              <w:rPr>
                <w:color w:val="4D4D4F"/>
                <w:sz w:val="14"/>
              </w:rPr>
              <w:t>Conservation Area 5</w:t>
            </w:r>
          </w:p>
        </w:tc>
        <w:tc>
          <w:tcPr>
            <w:tcW w:w="1078" w:type="dxa"/>
          </w:tcPr>
          <w:p w14:paraId="7786E70A" w14:textId="77777777" w:rsidR="00EF5B27" w:rsidRDefault="00EF5B27">
            <w:pPr>
              <w:pStyle w:val="TableParagraph"/>
              <w:spacing w:before="11"/>
              <w:rPr>
                <w:sz w:val="11"/>
              </w:rPr>
            </w:pPr>
          </w:p>
          <w:p w14:paraId="0D5A5C01"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5E883F18" w14:textId="77777777" w:rsidR="00EF5B27" w:rsidRDefault="00000000">
            <w:pPr>
              <w:pStyle w:val="TableParagraph"/>
              <w:spacing w:before="55" w:line="252" w:lineRule="auto"/>
              <w:ind w:left="346" w:right="236" w:firstLine="192"/>
              <w:rPr>
                <w:sz w:val="14"/>
              </w:rPr>
            </w:pPr>
            <w:r>
              <w:rPr>
                <w:color w:val="4D4D4F"/>
                <w:sz w:val="14"/>
              </w:rPr>
              <w:t>Population not yet under MSA management</w:t>
            </w:r>
          </w:p>
        </w:tc>
        <w:tc>
          <w:tcPr>
            <w:tcW w:w="964" w:type="dxa"/>
          </w:tcPr>
          <w:p w14:paraId="2BE9666B" w14:textId="77777777" w:rsidR="00EF5B27" w:rsidRDefault="00EF5B27">
            <w:pPr>
              <w:pStyle w:val="TableParagraph"/>
              <w:spacing w:before="4"/>
              <w:rPr>
                <w:sz w:val="7"/>
              </w:rPr>
            </w:pPr>
          </w:p>
          <w:p w14:paraId="340AE386" w14:textId="77777777" w:rsidR="00EF5B27" w:rsidRDefault="00000000">
            <w:pPr>
              <w:pStyle w:val="TableParagraph"/>
              <w:spacing w:line="187" w:lineRule="exact"/>
              <w:ind w:left="400"/>
              <w:rPr>
                <w:sz w:val="18"/>
              </w:rPr>
            </w:pPr>
            <w:r>
              <w:rPr>
                <w:noProof/>
                <w:position w:val="-3"/>
                <w:sz w:val="18"/>
              </w:rPr>
              <w:drawing>
                <wp:inline distT="0" distB="0" distL="0" distR="0" wp14:anchorId="7D2026AF" wp14:editId="55790CDF">
                  <wp:extent cx="100572" cy="119062"/>
                  <wp:effectExtent l="0" t="0" r="0" b="0"/>
                  <wp:docPr id="283"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09.png"/>
                          <pic:cNvPicPr/>
                        </pic:nvPicPr>
                        <pic:blipFill>
                          <a:blip r:embed="rId93" cstate="print"/>
                          <a:stretch>
                            <a:fillRect/>
                          </a:stretch>
                        </pic:blipFill>
                        <pic:spPr>
                          <a:xfrm>
                            <a:off x="0" y="0"/>
                            <a:ext cx="100572" cy="119062"/>
                          </a:xfrm>
                          <a:prstGeom prst="rect">
                            <a:avLst/>
                          </a:prstGeom>
                        </pic:spPr>
                      </pic:pic>
                    </a:graphicData>
                  </a:graphic>
                </wp:inline>
              </w:drawing>
            </w:r>
          </w:p>
          <w:p w14:paraId="20C75E8D" w14:textId="77777777" w:rsidR="00EF5B27" w:rsidRDefault="00EF5B27">
            <w:pPr>
              <w:pStyle w:val="TableParagraph"/>
              <w:spacing w:before="8"/>
              <w:rPr>
                <w:sz w:val="2"/>
              </w:rPr>
            </w:pPr>
          </w:p>
          <w:p w14:paraId="1B831D05" w14:textId="77777777" w:rsidR="00EF5B27" w:rsidRDefault="00000000">
            <w:pPr>
              <w:pStyle w:val="TableParagraph"/>
              <w:spacing w:line="48" w:lineRule="exact"/>
              <w:ind w:left="448"/>
              <w:rPr>
                <w:sz w:val="4"/>
              </w:rPr>
            </w:pPr>
            <w:r>
              <w:rPr>
                <w:sz w:val="4"/>
              </w:rPr>
            </w:r>
            <w:r>
              <w:rPr>
                <w:sz w:val="4"/>
              </w:rPr>
              <w:pict w14:anchorId="47C9938E">
                <v:group id="_x0000_s3709" style="width:2.45pt;height:2.45pt;mso-position-horizontal-relative:char;mso-position-vertical-relative:line" coordsize="49,49">
                  <v:shape id="_x0000_s3710" style="position:absolute;width:49;height:49" coordsize="49,49" path="m31,l18,,12,2,2,12,,17,,31r2,6l12,46r6,3l31,49r6,-3l46,37r3,-6l49,17,46,12,37,2,31,xe" fillcolor="#808285" stroked="f">
                    <v:path arrowok="t"/>
                  </v:shape>
                  <w10:wrap type="none"/>
                  <w10:anchorlock/>
                </v:group>
              </w:pict>
            </w:r>
          </w:p>
        </w:tc>
        <w:tc>
          <w:tcPr>
            <w:tcW w:w="964" w:type="dxa"/>
          </w:tcPr>
          <w:p w14:paraId="0FFCFB79" w14:textId="77777777" w:rsidR="00EF5B27" w:rsidRDefault="00EF5B27">
            <w:pPr>
              <w:pStyle w:val="TableParagraph"/>
              <w:spacing w:before="11"/>
              <w:rPr>
                <w:sz w:val="11"/>
              </w:rPr>
            </w:pPr>
          </w:p>
          <w:p w14:paraId="7747FC56" w14:textId="77777777" w:rsidR="00EF5B27" w:rsidRDefault="00000000">
            <w:pPr>
              <w:pStyle w:val="TableParagraph"/>
              <w:ind w:left="318" w:right="323"/>
              <w:jc w:val="center"/>
              <w:rPr>
                <w:sz w:val="14"/>
              </w:rPr>
            </w:pPr>
            <w:r>
              <w:rPr>
                <w:color w:val="4D4D4F"/>
                <w:w w:val="105"/>
                <w:sz w:val="14"/>
              </w:rPr>
              <w:t>N/A</w:t>
            </w:r>
          </w:p>
        </w:tc>
        <w:tc>
          <w:tcPr>
            <w:tcW w:w="1489" w:type="dxa"/>
          </w:tcPr>
          <w:p w14:paraId="1FA875F7" w14:textId="77777777" w:rsidR="00EF5B27" w:rsidRDefault="00000000">
            <w:pPr>
              <w:pStyle w:val="TableParagraph"/>
              <w:spacing w:before="134"/>
              <w:ind w:left="457" w:right="457"/>
              <w:jc w:val="center"/>
              <w:rPr>
                <w:sz w:val="16"/>
              </w:rPr>
            </w:pPr>
            <w:r>
              <w:rPr>
                <w:color w:val="4D4D4F"/>
                <w:w w:val="105"/>
                <w:sz w:val="16"/>
              </w:rPr>
              <w:t>Unclear</w:t>
            </w:r>
          </w:p>
        </w:tc>
      </w:tr>
      <w:tr w:rsidR="00EF5B27" w14:paraId="75CB5DA0" w14:textId="77777777">
        <w:trPr>
          <w:trHeight w:val="448"/>
        </w:trPr>
        <w:tc>
          <w:tcPr>
            <w:tcW w:w="2980" w:type="dxa"/>
          </w:tcPr>
          <w:p w14:paraId="655CF39C" w14:textId="77777777" w:rsidR="00EF5B27" w:rsidRDefault="00EF5B27">
            <w:pPr>
              <w:pStyle w:val="TableParagraph"/>
              <w:spacing w:before="11"/>
              <w:rPr>
                <w:sz w:val="11"/>
              </w:rPr>
            </w:pPr>
          </w:p>
          <w:p w14:paraId="39FA8E40" w14:textId="77777777" w:rsidR="00EF5B27" w:rsidRDefault="00000000">
            <w:pPr>
              <w:pStyle w:val="TableParagraph"/>
              <w:ind w:left="80"/>
              <w:rPr>
                <w:sz w:val="14"/>
              </w:rPr>
            </w:pPr>
            <w:r>
              <w:rPr>
                <w:color w:val="4D4D4F"/>
                <w:w w:val="105"/>
                <w:sz w:val="14"/>
              </w:rPr>
              <w:t>Little Raven</w:t>
            </w:r>
          </w:p>
        </w:tc>
        <w:tc>
          <w:tcPr>
            <w:tcW w:w="1078" w:type="dxa"/>
          </w:tcPr>
          <w:p w14:paraId="5C2FFA46" w14:textId="77777777" w:rsidR="00EF5B27" w:rsidRDefault="00EF5B27">
            <w:pPr>
              <w:pStyle w:val="TableParagraph"/>
              <w:spacing w:before="11"/>
              <w:rPr>
                <w:sz w:val="11"/>
              </w:rPr>
            </w:pPr>
          </w:p>
          <w:p w14:paraId="37A14525"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40E65DA1" w14:textId="77777777" w:rsidR="00EF5B27" w:rsidRDefault="00EF5B27">
            <w:pPr>
              <w:pStyle w:val="TableParagraph"/>
              <w:spacing w:before="11"/>
              <w:rPr>
                <w:sz w:val="11"/>
              </w:rPr>
            </w:pPr>
          </w:p>
          <w:p w14:paraId="60A2C460" w14:textId="77777777" w:rsidR="00EF5B27" w:rsidRDefault="00000000">
            <w:pPr>
              <w:pStyle w:val="TableParagraph"/>
              <w:ind w:left="484"/>
              <w:rPr>
                <w:sz w:val="14"/>
              </w:rPr>
            </w:pPr>
            <w:r>
              <w:rPr>
                <w:color w:val="4D4D4F"/>
                <w:sz w:val="14"/>
              </w:rPr>
              <w:t>Baseline set in 2022</w:t>
            </w:r>
          </w:p>
        </w:tc>
        <w:tc>
          <w:tcPr>
            <w:tcW w:w="964" w:type="dxa"/>
          </w:tcPr>
          <w:p w14:paraId="5F547D60" w14:textId="77777777" w:rsidR="00EF5B27" w:rsidRDefault="00EF5B27">
            <w:pPr>
              <w:pStyle w:val="TableParagraph"/>
              <w:spacing w:before="4"/>
              <w:rPr>
                <w:sz w:val="7"/>
              </w:rPr>
            </w:pPr>
          </w:p>
          <w:p w14:paraId="475AB84C" w14:textId="77777777" w:rsidR="00EF5B27" w:rsidRDefault="00000000">
            <w:pPr>
              <w:pStyle w:val="TableParagraph"/>
              <w:spacing w:line="187" w:lineRule="exact"/>
              <w:ind w:left="400"/>
              <w:rPr>
                <w:sz w:val="18"/>
              </w:rPr>
            </w:pPr>
            <w:r>
              <w:rPr>
                <w:noProof/>
                <w:position w:val="-3"/>
                <w:sz w:val="18"/>
              </w:rPr>
              <w:drawing>
                <wp:inline distT="0" distB="0" distL="0" distR="0" wp14:anchorId="1B2E922B" wp14:editId="64AA3E75">
                  <wp:extent cx="100572" cy="119062"/>
                  <wp:effectExtent l="0" t="0" r="0" b="0"/>
                  <wp:docPr id="285"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10.png"/>
                          <pic:cNvPicPr/>
                        </pic:nvPicPr>
                        <pic:blipFill>
                          <a:blip r:embed="rId94" cstate="print"/>
                          <a:stretch>
                            <a:fillRect/>
                          </a:stretch>
                        </pic:blipFill>
                        <pic:spPr>
                          <a:xfrm>
                            <a:off x="0" y="0"/>
                            <a:ext cx="100572" cy="119062"/>
                          </a:xfrm>
                          <a:prstGeom prst="rect">
                            <a:avLst/>
                          </a:prstGeom>
                        </pic:spPr>
                      </pic:pic>
                    </a:graphicData>
                  </a:graphic>
                </wp:inline>
              </w:drawing>
            </w:r>
          </w:p>
          <w:p w14:paraId="7E5D0F13" w14:textId="77777777" w:rsidR="00EF5B27" w:rsidRDefault="00EF5B27">
            <w:pPr>
              <w:pStyle w:val="TableParagraph"/>
              <w:spacing w:before="8"/>
              <w:rPr>
                <w:sz w:val="2"/>
              </w:rPr>
            </w:pPr>
          </w:p>
          <w:p w14:paraId="53185971" w14:textId="77777777" w:rsidR="00EF5B27" w:rsidRDefault="00000000">
            <w:pPr>
              <w:pStyle w:val="TableParagraph"/>
              <w:spacing w:line="48" w:lineRule="exact"/>
              <w:ind w:left="448"/>
              <w:rPr>
                <w:sz w:val="4"/>
              </w:rPr>
            </w:pPr>
            <w:r>
              <w:rPr>
                <w:sz w:val="4"/>
              </w:rPr>
            </w:r>
            <w:r>
              <w:rPr>
                <w:sz w:val="4"/>
              </w:rPr>
              <w:pict w14:anchorId="7342C816">
                <v:group id="_x0000_s3707" style="width:2.45pt;height:2.45pt;mso-position-horizontal-relative:char;mso-position-vertical-relative:line" coordsize="49,49">
                  <v:shape id="_x0000_s3708" style="position:absolute;width:49;height:49" coordsize="49,49" path="m31,l18,,12,2,2,12,,17,,31r2,6l12,46r6,3l31,49r6,-3l46,37r3,-6l49,17,46,12,37,2,31,xe" fillcolor="#808285" stroked="f">
                    <v:path arrowok="t"/>
                  </v:shape>
                  <w10:wrap type="none"/>
                  <w10:anchorlock/>
                </v:group>
              </w:pict>
            </w:r>
          </w:p>
        </w:tc>
        <w:tc>
          <w:tcPr>
            <w:tcW w:w="964" w:type="dxa"/>
          </w:tcPr>
          <w:p w14:paraId="682C2289" w14:textId="77777777" w:rsidR="00EF5B27" w:rsidRDefault="00EF5B27">
            <w:pPr>
              <w:pStyle w:val="TableParagraph"/>
              <w:spacing w:before="11"/>
              <w:rPr>
                <w:sz w:val="11"/>
              </w:rPr>
            </w:pPr>
          </w:p>
          <w:p w14:paraId="0035BD7C" w14:textId="77777777" w:rsidR="00EF5B27" w:rsidRDefault="00000000">
            <w:pPr>
              <w:pStyle w:val="TableParagraph"/>
              <w:ind w:left="318" w:right="323"/>
              <w:jc w:val="center"/>
              <w:rPr>
                <w:sz w:val="14"/>
              </w:rPr>
            </w:pPr>
            <w:r>
              <w:rPr>
                <w:color w:val="4D4D4F"/>
                <w:w w:val="105"/>
                <w:sz w:val="14"/>
              </w:rPr>
              <w:t>N/A</w:t>
            </w:r>
          </w:p>
        </w:tc>
        <w:tc>
          <w:tcPr>
            <w:tcW w:w="1489" w:type="dxa"/>
          </w:tcPr>
          <w:p w14:paraId="28B2FE1D" w14:textId="77777777" w:rsidR="00EF5B27" w:rsidRDefault="00000000">
            <w:pPr>
              <w:pStyle w:val="TableParagraph"/>
              <w:spacing w:before="134"/>
              <w:ind w:left="457" w:right="457"/>
              <w:jc w:val="center"/>
              <w:rPr>
                <w:sz w:val="16"/>
              </w:rPr>
            </w:pPr>
            <w:r>
              <w:rPr>
                <w:color w:val="4D4D4F"/>
                <w:sz w:val="16"/>
              </w:rPr>
              <w:t>2022</w:t>
            </w:r>
          </w:p>
        </w:tc>
      </w:tr>
    </w:tbl>
    <w:p w14:paraId="15D3A91B" w14:textId="77777777" w:rsidR="00EF5B27" w:rsidRDefault="00EF5B27">
      <w:pPr>
        <w:pStyle w:val="BodyText"/>
        <w:spacing w:before="1"/>
        <w:rPr>
          <w:sz w:val="26"/>
        </w:rPr>
      </w:pPr>
    </w:p>
    <w:p w14:paraId="740B2C86" w14:textId="77777777" w:rsidR="00EF5B27" w:rsidRDefault="00000000">
      <w:pPr>
        <w:pStyle w:val="BodyText"/>
        <w:spacing w:before="100" w:line="254" w:lineRule="auto"/>
        <w:ind w:left="2608" w:right="308"/>
      </w:pPr>
      <w:r>
        <w:rPr>
          <w:color w:val="4D4D4F"/>
        </w:rPr>
        <w:t xml:space="preserve">Comments: The natural Large-fruit Groundsel population at  Little  Raven  is  small, and the number of plants recorded has declined </w:t>
      </w:r>
      <w:r>
        <w:rPr>
          <w:color w:val="4D4D4F"/>
          <w:spacing w:val="-3"/>
        </w:rPr>
        <w:t xml:space="preserve">slightly </w:t>
      </w:r>
      <w:r>
        <w:rPr>
          <w:color w:val="4D4D4F"/>
        </w:rPr>
        <w:t xml:space="preserve">since its discovery </w:t>
      </w:r>
      <w:r>
        <w:rPr>
          <w:color w:val="4D4D4F"/>
          <w:spacing w:val="-10"/>
        </w:rPr>
        <w:t xml:space="preserve">(16 </w:t>
      </w:r>
      <w:r>
        <w:rPr>
          <w:color w:val="4D4D4F"/>
        </w:rPr>
        <w:t xml:space="preserve">plants  in </w:t>
      </w:r>
      <w:r>
        <w:rPr>
          <w:color w:val="4D4D4F"/>
          <w:spacing w:val="-7"/>
        </w:rPr>
        <w:t xml:space="preserve">2017,  </w:t>
      </w:r>
      <w:r>
        <w:rPr>
          <w:color w:val="4D4D4F"/>
          <w:spacing w:val="-6"/>
        </w:rPr>
        <w:t xml:space="preserve">12 </w:t>
      </w:r>
      <w:r>
        <w:rPr>
          <w:color w:val="4D4D4F"/>
        </w:rPr>
        <w:t xml:space="preserve">plants in </w:t>
      </w:r>
      <w:r>
        <w:rPr>
          <w:color w:val="4D4D4F"/>
          <w:spacing w:val="-4"/>
        </w:rPr>
        <w:t xml:space="preserve">2021). </w:t>
      </w:r>
      <w:r>
        <w:rPr>
          <w:color w:val="4D4D4F"/>
        </w:rPr>
        <w:t>The baseline for the population at Little Raven has been  set</w:t>
      </w:r>
      <w:r>
        <w:rPr>
          <w:color w:val="4D4D4F"/>
          <w:spacing w:val="8"/>
        </w:rPr>
        <w:t xml:space="preserve"> </w:t>
      </w:r>
      <w:r>
        <w:rPr>
          <w:color w:val="4D4D4F"/>
        </w:rPr>
        <w:t>this</w:t>
      </w:r>
      <w:r>
        <w:rPr>
          <w:color w:val="4D4D4F"/>
          <w:spacing w:val="8"/>
        </w:rPr>
        <w:t xml:space="preserve"> </w:t>
      </w:r>
      <w:r>
        <w:rPr>
          <w:color w:val="4D4D4F"/>
          <w:spacing w:val="-4"/>
        </w:rPr>
        <w:t>year.</w:t>
      </w:r>
      <w:r>
        <w:rPr>
          <w:color w:val="4D4D4F"/>
          <w:spacing w:val="8"/>
        </w:rPr>
        <w:t xml:space="preserve"> </w:t>
      </w:r>
      <w:r>
        <w:rPr>
          <w:color w:val="4D4D4F"/>
        </w:rPr>
        <w:t>Status</w:t>
      </w:r>
      <w:r>
        <w:rPr>
          <w:color w:val="4D4D4F"/>
          <w:spacing w:val="8"/>
        </w:rPr>
        <w:t xml:space="preserve"> </w:t>
      </w:r>
      <w:r>
        <w:rPr>
          <w:color w:val="4D4D4F"/>
        </w:rPr>
        <w:t>assessments</w:t>
      </w:r>
      <w:r>
        <w:rPr>
          <w:color w:val="4D4D4F"/>
          <w:spacing w:val="8"/>
        </w:rPr>
        <w:t xml:space="preserve"> </w:t>
      </w:r>
      <w:r>
        <w:rPr>
          <w:color w:val="4D4D4F"/>
        </w:rPr>
        <w:t>are</w:t>
      </w:r>
      <w:r>
        <w:rPr>
          <w:color w:val="4D4D4F"/>
          <w:spacing w:val="8"/>
        </w:rPr>
        <w:t xml:space="preserve"> </w:t>
      </w:r>
      <w:r>
        <w:rPr>
          <w:color w:val="4D4D4F"/>
        </w:rPr>
        <w:t>therefore</w:t>
      </w:r>
      <w:r>
        <w:rPr>
          <w:color w:val="4D4D4F"/>
          <w:spacing w:val="8"/>
        </w:rPr>
        <w:t xml:space="preserve"> </w:t>
      </w:r>
      <w:r>
        <w:rPr>
          <w:color w:val="4D4D4F"/>
        </w:rPr>
        <w:t>not</w:t>
      </w:r>
      <w:r>
        <w:rPr>
          <w:color w:val="4D4D4F"/>
          <w:spacing w:val="8"/>
        </w:rPr>
        <w:t xml:space="preserve"> </w:t>
      </w:r>
      <w:r>
        <w:rPr>
          <w:color w:val="4D4D4F"/>
        </w:rPr>
        <w:t>provided</w:t>
      </w:r>
      <w:r>
        <w:rPr>
          <w:color w:val="4D4D4F"/>
          <w:spacing w:val="9"/>
        </w:rPr>
        <w:t xml:space="preserve"> </w:t>
      </w:r>
      <w:r>
        <w:rPr>
          <w:color w:val="4D4D4F"/>
        </w:rPr>
        <w:t>here,</w:t>
      </w:r>
      <w:r>
        <w:rPr>
          <w:color w:val="4D4D4F"/>
          <w:spacing w:val="8"/>
        </w:rPr>
        <w:t xml:space="preserve"> </w:t>
      </w:r>
      <w:r>
        <w:rPr>
          <w:color w:val="4D4D4F"/>
        </w:rPr>
        <w:t>any</w:t>
      </w:r>
      <w:r>
        <w:rPr>
          <w:color w:val="4D4D4F"/>
          <w:spacing w:val="8"/>
        </w:rPr>
        <w:t xml:space="preserve"> </w:t>
      </w:r>
      <w:r>
        <w:rPr>
          <w:color w:val="4D4D4F"/>
        </w:rPr>
        <w:t>trends</w:t>
      </w:r>
      <w:r>
        <w:rPr>
          <w:color w:val="4D4D4F"/>
          <w:spacing w:val="8"/>
        </w:rPr>
        <w:t xml:space="preserve"> </w:t>
      </w:r>
      <w:r>
        <w:rPr>
          <w:color w:val="4D4D4F"/>
        </w:rPr>
        <w:t>are</w:t>
      </w:r>
    </w:p>
    <w:p w14:paraId="6BB807F7" w14:textId="77777777" w:rsidR="00EF5B27" w:rsidRDefault="00000000">
      <w:pPr>
        <w:pStyle w:val="BodyText"/>
        <w:spacing w:before="5" w:line="254" w:lineRule="auto"/>
        <w:ind w:left="2608"/>
      </w:pPr>
      <w:r>
        <w:pict w14:anchorId="6402E8CE">
          <v:group id="_x0000_s3704" style="position:absolute;left:0;text-align:left;margin-left:56.7pt;margin-top:45.45pt;width:481.9pt;height:.25pt;z-index:251523584;mso-position-horizontal-relative:page" coordorigin="1134,909" coordsize="9638,5">
            <v:line id="_x0000_s3706" style="position:absolute" from="1134,911" to="3632,911" strokeweight=".25pt"/>
            <v:line id="_x0000_s3705" style="position:absolute" from="3632,911" to="10772,911" strokeweight=".25pt"/>
            <w10:wrap anchorx="page"/>
          </v:group>
        </w:pict>
      </w:r>
      <w:r>
        <w:rPr>
          <w:color w:val="4D4D4F"/>
        </w:rPr>
        <w:t>unclear and data confidence assessments are not applicable. The larger population in Conservation Area 5 is not yet protected and remains unmonitored.</w:t>
      </w:r>
    </w:p>
    <w:p w14:paraId="0E166F2B" w14:textId="77777777" w:rsidR="00EF5B27" w:rsidRDefault="00EF5B27">
      <w:pPr>
        <w:pStyle w:val="BodyText"/>
      </w:pPr>
    </w:p>
    <w:p w14:paraId="0DB36F69" w14:textId="77777777" w:rsidR="00EF5B27" w:rsidRDefault="00000000">
      <w:pPr>
        <w:pStyle w:val="BodyText"/>
        <w:spacing w:before="1"/>
        <w:rPr>
          <w:sz w:val="10"/>
        </w:rPr>
      </w:pPr>
      <w:r>
        <w:pict w14:anchorId="5EAA0791">
          <v:shape id="_x0000_s3703" type="#_x0000_t202" style="position:absolute;margin-left:56.7pt;margin-top:7.4pt;width:481.9pt;height:25.3pt;z-index:251459072;mso-wrap-distance-left:0;mso-wrap-distance-right:0;mso-position-horizontal-relative:page" fillcolor="#fecc91" stroked="f">
            <v:textbox inset="0,0,0,0">
              <w:txbxContent>
                <w:p w14:paraId="7A0FA808" w14:textId="77777777" w:rsidR="00EF5B27" w:rsidRDefault="00000000">
                  <w:pPr>
                    <w:tabs>
                      <w:tab w:val="left" w:pos="2611"/>
                    </w:tabs>
                    <w:spacing w:before="140"/>
                    <w:ind w:left="113"/>
                    <w:rPr>
                      <w:b/>
                      <w:sz w:val="20"/>
                    </w:rPr>
                  </w:pPr>
                  <w:r>
                    <w:rPr>
                      <w:b/>
                      <w:color w:val="4D4D4F"/>
                      <w:sz w:val="20"/>
                    </w:rPr>
                    <w:t>Theme</w:t>
                  </w:r>
                  <w:r>
                    <w:rPr>
                      <w:b/>
                      <w:color w:val="4D4D4F"/>
                      <w:sz w:val="20"/>
                    </w:rPr>
                    <w:tab/>
                    <w:t>Large-fruit</w:t>
                  </w:r>
                  <w:r>
                    <w:rPr>
                      <w:b/>
                      <w:color w:val="4D4D4F"/>
                      <w:spacing w:val="4"/>
                      <w:sz w:val="20"/>
                    </w:rPr>
                    <w:t xml:space="preserve"> </w:t>
                  </w:r>
                  <w:r>
                    <w:rPr>
                      <w:b/>
                      <w:color w:val="4D4D4F"/>
                      <w:sz w:val="20"/>
                    </w:rPr>
                    <w:t>Groundsel</w:t>
                  </w:r>
                </w:p>
              </w:txbxContent>
            </v:textbox>
            <w10:wrap type="topAndBottom" anchorx="page"/>
          </v:shape>
        </w:pict>
      </w:r>
    </w:p>
    <w:p w14:paraId="37C5B7C2" w14:textId="77777777" w:rsidR="00EF5B27" w:rsidRDefault="00EF5B27">
      <w:pPr>
        <w:pStyle w:val="BodyText"/>
        <w:spacing w:before="8"/>
        <w:rPr>
          <w:sz w:val="5"/>
        </w:rPr>
      </w:pPr>
    </w:p>
    <w:p w14:paraId="37275230" w14:textId="77777777" w:rsidR="00EF5B27" w:rsidRDefault="00EF5B27">
      <w:pPr>
        <w:rPr>
          <w:sz w:val="5"/>
        </w:rPr>
        <w:sectPr w:rsidR="00EF5B27">
          <w:type w:val="continuous"/>
          <w:pgSz w:w="11910" w:h="16840"/>
          <w:pgMar w:top="1140" w:right="1020" w:bottom="280" w:left="1020" w:header="720" w:footer="720" w:gutter="0"/>
          <w:cols w:space="720"/>
        </w:sectPr>
      </w:pPr>
    </w:p>
    <w:p w14:paraId="7A88C490" w14:textId="77777777" w:rsidR="00EF5B27" w:rsidRDefault="00000000">
      <w:pPr>
        <w:pStyle w:val="BodyText"/>
        <w:spacing w:before="54"/>
        <w:ind w:left="227"/>
      </w:pPr>
      <w:r>
        <w:pict w14:anchorId="3BF1329F">
          <v:group id="_x0000_s3700" style="position:absolute;left:0;text-align:left;margin-left:56.7pt;margin-top:-4.2pt;width:481.9pt;height:.25pt;z-index:251525632;mso-position-horizontal-relative:page" coordorigin="1134,-84" coordsize="9638,5">
            <v:line id="_x0000_s3702" style="position:absolute" from="1134,-81" to="3632,-81" strokeweight=".25pt"/>
            <v:line id="_x0000_s3701" style="position:absolute" from="3632,-81" to="10772,-81" strokeweight=".25pt"/>
            <w10:wrap anchorx="page"/>
          </v:group>
        </w:pict>
      </w:r>
      <w:r>
        <w:rPr>
          <w:color w:val="4D4D4F"/>
        </w:rPr>
        <w:t>Recommendation</w:t>
      </w:r>
    </w:p>
    <w:p w14:paraId="6BE9D34D" w14:textId="77777777" w:rsidR="00EF5B27" w:rsidRDefault="00000000">
      <w:pPr>
        <w:pStyle w:val="Heading1"/>
        <w:spacing w:before="3"/>
      </w:pPr>
      <w:r>
        <w:rPr>
          <w:color w:val="4D4D4F"/>
          <w:w w:val="105"/>
        </w:rPr>
        <w:t>16</w:t>
      </w:r>
    </w:p>
    <w:p w14:paraId="045C2F15" w14:textId="77777777" w:rsidR="00EF5B27" w:rsidRDefault="00000000">
      <w:pPr>
        <w:pStyle w:val="BodyText"/>
        <w:spacing w:before="54" w:line="254" w:lineRule="auto"/>
        <w:ind w:left="227" w:right="250"/>
      </w:pPr>
      <w:r>
        <w:br w:type="column"/>
      </w:r>
      <w:r>
        <w:rPr>
          <w:color w:val="4D4D4F"/>
        </w:rPr>
        <w:t>That DELWP undertakes research into the benefits of population augmentation of the Large-fruit Groundsel via the planting of tube stock.</w:t>
      </w:r>
    </w:p>
    <w:p w14:paraId="5F86E0B7" w14:textId="77777777" w:rsidR="00EF5B27" w:rsidRDefault="00EF5B27">
      <w:pPr>
        <w:spacing w:line="254" w:lineRule="auto"/>
        <w:sectPr w:rsidR="00EF5B27">
          <w:type w:val="continuous"/>
          <w:pgSz w:w="11910" w:h="16840"/>
          <w:pgMar w:top="1140" w:right="1020" w:bottom="280" w:left="1020" w:header="720" w:footer="720" w:gutter="0"/>
          <w:cols w:num="2" w:space="720" w:equalWidth="0">
            <w:col w:w="1707" w:space="792"/>
            <w:col w:w="7371"/>
          </w:cols>
        </w:sectPr>
      </w:pPr>
    </w:p>
    <w:p w14:paraId="5467AD23" w14:textId="77777777" w:rsidR="00EF5B27" w:rsidRDefault="00000000">
      <w:pPr>
        <w:pStyle w:val="BodyText"/>
        <w:spacing w:before="7"/>
        <w:rPr>
          <w:sz w:val="7"/>
        </w:rPr>
      </w:pPr>
      <w:r>
        <w:pict w14:anchorId="2F2FDBA6">
          <v:group id="_x0000_s3692" style="position:absolute;margin-left:587.05pt;margin-top:183.4pt;width:8.25pt;height:153.1pt;z-index:251522560;mso-position-horizontal-relative:page;mso-position-vertical-relative:page" coordorigin="11741,3668" coordsize="165,3062">
            <v:shape id="_x0000_s3699" style="position:absolute;left:11741;top:3668;width:165;height:561" coordorigin="11741,3668" coordsize="165,561" path="m11906,3668r-165,l11741,4228r165,-18l11906,3668xe" fillcolor="#00aed9" stroked="f">
              <v:path arrowok="t"/>
            </v:shape>
            <v:shape id="_x0000_s3698" style="position:absolute;left:11741;top:4118;width:165;height:425" coordorigin="11741,4118" coordsize="165,425" path="m11906,4118r-165,14l11741,4531r165,12l11906,4118xe" fillcolor="#047ebc" stroked="f">
              <v:path arrowok="t"/>
            </v:shape>
            <v:shape id="_x0000_s3697" type="#_x0000_t75" style="position:absolute;left:11741;top:4355;width:165;height:587">
              <v:imagedata r:id="rId42" o:title=""/>
            </v:shape>
            <v:shape id="_x0000_s3696" style="position:absolute;left:11741;top:5343;width:165;height:536" coordorigin="11741,5343" coordsize="165,536" path="m11741,5343r,535l11906,5872r,-525l11741,5343xe" fillcolor="#f36a2e" stroked="f">
              <v:path arrowok="t"/>
            </v:shape>
            <v:shape id="_x0000_s3695" style="position:absolute;left:11741;top:4925;width:165;height:501" coordorigin="11741,4926" coordsize="165,501" path="m11741,4926r,500l11906,5426r,-485l11741,4926xe" fillcolor="#49783f" stroked="f">
              <v:path arrowok="t"/>
            </v:shape>
            <v:shape id="_x0000_s3694" style="position:absolute;left:11741;top:5781;width:165;height:268" coordorigin="11741,5782" coordsize="165,268" path="m11906,5782r-165,8l11741,6039r165,10l11906,5782xe" fillcolor="#f99f2a" stroked="f">
              <v:path arrowok="t"/>
            </v:shape>
            <v:shape id="_x0000_s3693" style="position:absolute;left:11741;top:6023;width:165;height:707" coordorigin="11741,6023" coordsize="165,707" path="m11741,6023r,706l11906,6729r,-690l11741,6023xe" fillcolor="#ef412c" stroked="f">
              <v:path arrowok="t"/>
            </v:shape>
            <w10:wrap anchorx="page" anchory="page"/>
          </v:group>
        </w:pict>
      </w:r>
    </w:p>
    <w:p w14:paraId="2869FDB2" w14:textId="77777777" w:rsidR="00EF5B27" w:rsidRDefault="00000000">
      <w:pPr>
        <w:pStyle w:val="BodyText"/>
        <w:spacing w:line="20" w:lineRule="exact"/>
        <w:ind w:left="110"/>
        <w:rPr>
          <w:sz w:val="2"/>
        </w:rPr>
      </w:pPr>
      <w:r>
        <w:rPr>
          <w:sz w:val="2"/>
        </w:rPr>
      </w:r>
      <w:r>
        <w:rPr>
          <w:sz w:val="2"/>
        </w:rPr>
        <w:pict w14:anchorId="5551DCE2">
          <v:group id="_x0000_s3689" style="width:481.9pt;height:.25pt;mso-position-horizontal-relative:char;mso-position-vertical-relative:line" coordsize="9638,5">
            <v:line id="_x0000_s3691" style="position:absolute" from="0,3" to="2499,3" strokeweight=".25pt"/>
            <v:line id="_x0000_s3690" style="position:absolute" from="2499,3" to="9638,3" strokeweight=".25pt"/>
            <w10:anchorlock/>
          </v:group>
        </w:pict>
      </w:r>
    </w:p>
    <w:p w14:paraId="05365150" w14:textId="77777777" w:rsidR="00EF5B27" w:rsidRDefault="00EF5B27">
      <w:pPr>
        <w:pStyle w:val="BodyText"/>
      </w:pPr>
    </w:p>
    <w:p w14:paraId="0FDA0DA8" w14:textId="77777777" w:rsidR="00EF5B27" w:rsidRDefault="00EF5B27">
      <w:pPr>
        <w:pStyle w:val="BodyText"/>
      </w:pPr>
    </w:p>
    <w:p w14:paraId="3B4AA439" w14:textId="77777777" w:rsidR="00EF5B27" w:rsidRDefault="00EF5B27">
      <w:pPr>
        <w:pStyle w:val="BodyText"/>
      </w:pPr>
    </w:p>
    <w:p w14:paraId="398AEF68" w14:textId="77777777" w:rsidR="00EF5B27" w:rsidRDefault="00EF5B27">
      <w:pPr>
        <w:pStyle w:val="BodyText"/>
      </w:pPr>
    </w:p>
    <w:p w14:paraId="220F3450" w14:textId="77777777" w:rsidR="00EF5B27" w:rsidRDefault="00EF5B27">
      <w:pPr>
        <w:pStyle w:val="BodyText"/>
      </w:pPr>
    </w:p>
    <w:p w14:paraId="3C569823" w14:textId="77777777" w:rsidR="00EF5B27" w:rsidRDefault="00EF5B27">
      <w:pPr>
        <w:pStyle w:val="BodyText"/>
      </w:pPr>
    </w:p>
    <w:p w14:paraId="61173D98" w14:textId="77777777" w:rsidR="00EF5B27" w:rsidRDefault="00EF5B27">
      <w:pPr>
        <w:pStyle w:val="BodyText"/>
      </w:pPr>
    </w:p>
    <w:p w14:paraId="53A2E9FA" w14:textId="77777777" w:rsidR="00EF5B27" w:rsidRDefault="00EF5B27">
      <w:pPr>
        <w:pStyle w:val="BodyText"/>
      </w:pPr>
    </w:p>
    <w:p w14:paraId="2BF6FC08" w14:textId="77777777" w:rsidR="00EF5B27" w:rsidRDefault="00EF5B27">
      <w:pPr>
        <w:pStyle w:val="BodyText"/>
      </w:pPr>
    </w:p>
    <w:p w14:paraId="3D2F7B13" w14:textId="77777777" w:rsidR="00EF5B27" w:rsidRDefault="00EF5B27">
      <w:pPr>
        <w:pStyle w:val="BodyText"/>
      </w:pPr>
    </w:p>
    <w:p w14:paraId="61915C45" w14:textId="77777777" w:rsidR="00EF5B27" w:rsidRDefault="00EF5B27">
      <w:pPr>
        <w:pStyle w:val="BodyText"/>
      </w:pPr>
    </w:p>
    <w:p w14:paraId="208DB123" w14:textId="77777777" w:rsidR="00EF5B27" w:rsidRDefault="00EF5B27">
      <w:pPr>
        <w:pStyle w:val="BodyText"/>
      </w:pPr>
    </w:p>
    <w:p w14:paraId="76D15F08" w14:textId="77777777" w:rsidR="00EF5B27" w:rsidRDefault="00EF5B27">
      <w:pPr>
        <w:pStyle w:val="BodyText"/>
      </w:pPr>
    </w:p>
    <w:p w14:paraId="5937B582" w14:textId="77777777" w:rsidR="00EF5B27" w:rsidRDefault="00EF5B27">
      <w:pPr>
        <w:pStyle w:val="BodyText"/>
      </w:pPr>
    </w:p>
    <w:p w14:paraId="493B22F4" w14:textId="77777777" w:rsidR="00EF5B27" w:rsidRDefault="00EF5B27">
      <w:pPr>
        <w:pStyle w:val="BodyText"/>
      </w:pPr>
    </w:p>
    <w:p w14:paraId="7CB8C59A" w14:textId="77777777" w:rsidR="00EF5B27" w:rsidRDefault="00EF5B27">
      <w:pPr>
        <w:pStyle w:val="BodyText"/>
      </w:pPr>
    </w:p>
    <w:p w14:paraId="5781926A" w14:textId="77777777" w:rsidR="00EF5B27" w:rsidRDefault="00000000">
      <w:pPr>
        <w:pStyle w:val="BodyText"/>
        <w:spacing w:before="9"/>
        <w:rPr>
          <w:sz w:val="22"/>
        </w:rPr>
      </w:pPr>
      <w:r>
        <w:pict w14:anchorId="4093AC8F">
          <v:line id="_x0000_s3688" style="position:absolute;z-index:251461120;mso-wrap-distance-left:0;mso-wrap-distance-right:0;mso-position-horizontal-relative:page" from="181.4pt,16.1pt" to="538.6pt,16.1pt" strokecolor="#4d4d4f" strokeweight=".5pt">
            <w10:wrap type="topAndBottom" anchorx="page"/>
          </v:line>
        </w:pict>
      </w:r>
    </w:p>
    <w:p w14:paraId="20DAD4E3" w14:textId="77777777" w:rsidR="00EF5B27" w:rsidRDefault="00000000">
      <w:pPr>
        <w:pStyle w:val="ListParagraph"/>
        <w:numPr>
          <w:ilvl w:val="0"/>
          <w:numId w:val="49"/>
        </w:numPr>
        <w:tabs>
          <w:tab w:val="left" w:pos="2836"/>
        </w:tabs>
        <w:spacing w:before="88" w:line="230" w:lineRule="auto"/>
        <w:ind w:left="2608" w:right="3991" w:firstLine="0"/>
        <w:rPr>
          <w:sz w:val="12"/>
        </w:rPr>
      </w:pPr>
      <w:r>
        <w:rPr>
          <w:color w:val="4D4D4F"/>
          <w:sz w:val="12"/>
        </w:rPr>
        <w:t xml:space="preserve">DELWP Officer, personal communication, 15 </w:t>
      </w:r>
      <w:r>
        <w:rPr>
          <w:color w:val="4D4D4F"/>
          <w:spacing w:val="2"/>
          <w:sz w:val="12"/>
        </w:rPr>
        <w:t xml:space="preserve">February 2022. </w:t>
      </w:r>
      <w:r>
        <w:rPr>
          <w:color w:val="4D4D4F"/>
          <w:sz w:val="12"/>
        </w:rPr>
        <w:t xml:space="preserve">100. DELWP Officer, personal communication, 15 </w:t>
      </w:r>
      <w:r>
        <w:rPr>
          <w:color w:val="4D4D4F"/>
          <w:spacing w:val="2"/>
          <w:sz w:val="12"/>
        </w:rPr>
        <w:t>February</w:t>
      </w:r>
      <w:r>
        <w:rPr>
          <w:color w:val="4D4D4F"/>
          <w:spacing w:val="11"/>
          <w:sz w:val="12"/>
        </w:rPr>
        <w:t xml:space="preserve"> </w:t>
      </w:r>
      <w:r>
        <w:rPr>
          <w:color w:val="4D4D4F"/>
          <w:spacing w:val="2"/>
          <w:sz w:val="12"/>
        </w:rPr>
        <w:t>2022.</w:t>
      </w:r>
    </w:p>
    <w:p w14:paraId="0625BCEB" w14:textId="77777777" w:rsidR="00EF5B27" w:rsidRDefault="00EF5B27">
      <w:pPr>
        <w:spacing w:line="230" w:lineRule="auto"/>
        <w:rPr>
          <w:sz w:val="12"/>
        </w:rPr>
        <w:sectPr w:rsidR="00EF5B27">
          <w:type w:val="continuous"/>
          <w:pgSz w:w="11910" w:h="16840"/>
          <w:pgMar w:top="1140" w:right="1020" w:bottom="280" w:left="1020" w:header="720" w:footer="720" w:gutter="0"/>
          <w:cols w:space="720"/>
        </w:sectPr>
      </w:pPr>
    </w:p>
    <w:p w14:paraId="70CD3C8A" w14:textId="77777777" w:rsidR="00EF5B27" w:rsidRDefault="00000000">
      <w:pPr>
        <w:pStyle w:val="BodyText"/>
      </w:pPr>
      <w:r>
        <w:lastRenderedPageBreak/>
        <w:pict w14:anchorId="7C4FB759">
          <v:group id="_x0000_s3680" style="position:absolute;margin-left:587.05pt;margin-top:183.4pt;width:8.25pt;height:153.1pt;z-index:251526656;mso-position-horizontal-relative:page;mso-position-vertical-relative:page" coordorigin="11741,3668" coordsize="165,3062">
            <v:shape id="_x0000_s3687" style="position:absolute;left:11741;top:3668;width:165;height:561" coordorigin="11741,3668" coordsize="165,561" path="m11906,3668r-165,l11741,4228r165,-18l11906,3668xe" fillcolor="#00aed9" stroked="f">
              <v:path arrowok="t"/>
            </v:shape>
            <v:shape id="_x0000_s3686" style="position:absolute;left:11741;top:4118;width:165;height:425" coordorigin="11741,4118" coordsize="165,425" path="m11906,4118r-165,14l11741,4531r165,12l11906,4118xe" fillcolor="#047ebc" stroked="f">
              <v:path arrowok="t"/>
            </v:shape>
            <v:shape id="_x0000_s3685" type="#_x0000_t75" style="position:absolute;left:11741;top:4355;width:165;height:587">
              <v:imagedata r:id="rId42" o:title=""/>
            </v:shape>
            <v:shape id="_x0000_s3684" style="position:absolute;left:11741;top:5343;width:165;height:536" coordorigin="11741,5343" coordsize="165,536" path="m11741,5343r,535l11906,5872r,-525l11741,5343xe" fillcolor="#f36a2e" stroked="f">
              <v:path arrowok="t"/>
            </v:shape>
            <v:shape id="_x0000_s3683" style="position:absolute;left:11741;top:4925;width:165;height:501" coordorigin="11741,4926" coordsize="165,501" path="m11741,4926r,500l11906,5426r,-485l11741,4926xe" fillcolor="#49783f" stroked="f">
              <v:path arrowok="t"/>
            </v:shape>
            <v:shape id="_x0000_s3682" style="position:absolute;left:11741;top:5781;width:165;height:268" coordorigin="11741,5782" coordsize="165,268" path="m11906,5782r-165,8l11741,6039r165,10l11906,5782xe" fillcolor="#f99f2a" stroked="f">
              <v:path arrowok="t"/>
            </v:shape>
            <v:shape id="_x0000_s3681" style="position:absolute;left:11741;top:6023;width:165;height:707" coordorigin="11741,6023" coordsize="165,707" path="m11741,6023r,706l11906,6729r,-690l11741,6023xe" fillcolor="#ef412c" stroked="f">
              <v:path arrowok="t"/>
            </v:shape>
            <w10:wrap anchorx="page" anchory="page"/>
          </v:group>
        </w:pict>
      </w:r>
    </w:p>
    <w:p w14:paraId="0C986AAE" w14:textId="77777777" w:rsidR="00EF5B27" w:rsidRDefault="00EF5B27">
      <w:pPr>
        <w:pStyle w:val="BodyText"/>
      </w:pPr>
    </w:p>
    <w:p w14:paraId="4E414218" w14:textId="77777777" w:rsidR="00EF5B27" w:rsidRDefault="00EF5B27">
      <w:pPr>
        <w:pStyle w:val="BodyText"/>
      </w:pPr>
    </w:p>
    <w:p w14:paraId="389164FE" w14:textId="77777777" w:rsidR="00EF5B27" w:rsidRDefault="00EF5B27">
      <w:pPr>
        <w:pStyle w:val="BodyText"/>
        <w:spacing w:before="8"/>
      </w:pPr>
    </w:p>
    <w:p w14:paraId="3CDC28AF" w14:textId="77777777" w:rsidR="00EF5B27" w:rsidRDefault="00000000">
      <w:pPr>
        <w:pStyle w:val="Heading2"/>
      </w:pPr>
      <w:bookmarkStart w:id="24" w:name="_bookmark23"/>
      <w:bookmarkEnd w:id="24"/>
      <w:r>
        <w:rPr>
          <w:color w:val="F99F2A"/>
          <w:w w:val="105"/>
        </w:rPr>
        <w:t>Part 2: Scientific assessments</w:t>
      </w:r>
    </w:p>
    <w:p w14:paraId="65119531" w14:textId="77777777" w:rsidR="00EF5B27" w:rsidRDefault="00EF5B27">
      <w:pPr>
        <w:pStyle w:val="BodyText"/>
        <w:spacing w:before="6"/>
        <w:rPr>
          <w:b/>
          <w:sz w:val="77"/>
        </w:rPr>
      </w:pPr>
    </w:p>
    <w:p w14:paraId="6E956DE9" w14:textId="77777777" w:rsidR="00EF5B27" w:rsidRDefault="00000000">
      <w:pPr>
        <w:pStyle w:val="Heading6"/>
        <w:spacing w:before="1" w:line="254" w:lineRule="auto"/>
        <w:ind w:right="151"/>
      </w:pPr>
      <w:r>
        <w:rPr>
          <w:color w:val="4D4D4F"/>
        </w:rPr>
        <w:t>This section contains the KPI results in detail for all MNES. It presents data supplied by DELWP and Parks Victoria in relation to status and trend information against conservation outcomes for MNES defined in the 2015 MSA MRF and published in</w:t>
      </w:r>
    </w:p>
    <w:p w14:paraId="75A6802C" w14:textId="77777777" w:rsidR="00EF5B27" w:rsidRDefault="00000000">
      <w:pPr>
        <w:spacing w:before="3" w:line="254" w:lineRule="auto"/>
        <w:ind w:left="2608" w:right="270" w:hanging="1"/>
        <w:rPr>
          <w:b/>
          <w:sz w:val="20"/>
        </w:rPr>
      </w:pPr>
      <w:r>
        <w:rPr>
          <w:b/>
          <w:color w:val="4D4D4F"/>
          <w:sz w:val="20"/>
        </w:rPr>
        <w:t>the Victorian Government Gazette,</w:t>
      </w:r>
      <w:r>
        <w:rPr>
          <w:b/>
          <w:color w:val="4D4D4F"/>
          <w:position w:val="7"/>
          <w:sz w:val="11"/>
        </w:rPr>
        <w:t xml:space="preserve">101 </w:t>
      </w:r>
      <w:r>
        <w:rPr>
          <w:b/>
          <w:color w:val="4D4D4F"/>
          <w:sz w:val="20"/>
        </w:rPr>
        <w:t xml:space="preserve">with the data acquisition period for this report ending on 28 February 2022. The report also addresses issues and limitations to   the current MRF in its assessment of the conservation outcomes, guided by an evaluation framework based around two </w:t>
      </w:r>
      <w:r>
        <w:rPr>
          <w:b/>
          <w:color w:val="4D4D4F"/>
          <w:spacing w:val="-2"/>
          <w:sz w:val="20"/>
        </w:rPr>
        <w:t xml:space="preserve">key </w:t>
      </w:r>
      <w:r>
        <w:rPr>
          <w:b/>
          <w:color w:val="4D4D4F"/>
          <w:sz w:val="20"/>
        </w:rPr>
        <w:t>evaluation questions outlined</w:t>
      </w:r>
      <w:r>
        <w:rPr>
          <w:b/>
          <w:color w:val="4D4D4F"/>
          <w:spacing w:val="-28"/>
          <w:sz w:val="20"/>
        </w:rPr>
        <w:t xml:space="preserve"> </w:t>
      </w:r>
      <w:r>
        <w:rPr>
          <w:b/>
          <w:color w:val="4D4D4F"/>
          <w:sz w:val="20"/>
        </w:rPr>
        <w:t>below.</w:t>
      </w:r>
    </w:p>
    <w:p w14:paraId="0F9013FE" w14:textId="77777777" w:rsidR="00EF5B27" w:rsidRDefault="00000000">
      <w:pPr>
        <w:pStyle w:val="BodyText"/>
        <w:spacing w:before="118" w:line="254" w:lineRule="auto"/>
        <w:ind w:left="2608"/>
      </w:pPr>
      <w:r>
        <w:rPr>
          <w:color w:val="4D4D4F"/>
        </w:rPr>
        <w:t>KEQ 1: Are the conservation outcomes for each MNES being met under the current definitions and performance indicators?</w:t>
      </w:r>
    </w:p>
    <w:p w14:paraId="255BC26E" w14:textId="77777777" w:rsidR="00EF5B27" w:rsidRDefault="00000000">
      <w:pPr>
        <w:pStyle w:val="ListParagraph"/>
        <w:numPr>
          <w:ilvl w:val="1"/>
          <w:numId w:val="47"/>
        </w:numPr>
        <w:tabs>
          <w:tab w:val="left" w:pos="2779"/>
        </w:tabs>
        <w:spacing w:before="116" w:line="254" w:lineRule="auto"/>
        <w:ind w:right="206"/>
        <w:rPr>
          <w:sz w:val="20"/>
        </w:rPr>
      </w:pPr>
      <w:r>
        <w:rPr>
          <w:color w:val="4D4D4F"/>
          <w:sz w:val="20"/>
        </w:rPr>
        <w:t>This assesses the status and trend reporting against MNES conservation outcomes KPIs defined under the current MSA MRF</w:t>
      </w:r>
      <w:r>
        <w:rPr>
          <w:color w:val="4D4D4F"/>
          <w:spacing w:val="33"/>
          <w:sz w:val="20"/>
        </w:rPr>
        <w:t xml:space="preserve"> </w:t>
      </w:r>
      <w:r>
        <w:rPr>
          <w:color w:val="4D4D4F"/>
          <w:sz w:val="20"/>
        </w:rPr>
        <w:t>framework.</w:t>
      </w:r>
    </w:p>
    <w:p w14:paraId="4C3EB08E" w14:textId="77777777" w:rsidR="00EF5B27" w:rsidRDefault="00000000">
      <w:pPr>
        <w:pStyle w:val="BodyText"/>
        <w:spacing w:before="116" w:line="254" w:lineRule="auto"/>
        <w:ind w:left="2608" w:right="465"/>
      </w:pPr>
      <w:r>
        <w:rPr>
          <w:color w:val="4D4D4F"/>
        </w:rPr>
        <w:t>KEQ 2: Is the current framework for MSA monitoring and reporting on the conservation outcomes adequate?</w:t>
      </w:r>
    </w:p>
    <w:p w14:paraId="1C081313" w14:textId="77777777" w:rsidR="00EF5B27" w:rsidRDefault="00000000">
      <w:pPr>
        <w:pStyle w:val="ListParagraph"/>
        <w:numPr>
          <w:ilvl w:val="1"/>
          <w:numId w:val="47"/>
        </w:numPr>
        <w:tabs>
          <w:tab w:val="left" w:pos="2779"/>
        </w:tabs>
        <w:spacing w:before="116"/>
        <w:rPr>
          <w:sz w:val="20"/>
        </w:rPr>
      </w:pPr>
      <w:r>
        <w:rPr>
          <w:color w:val="4D4D4F"/>
          <w:sz w:val="20"/>
        </w:rPr>
        <w:t>This</w:t>
      </w:r>
      <w:r>
        <w:rPr>
          <w:color w:val="4D4D4F"/>
          <w:spacing w:val="5"/>
          <w:sz w:val="20"/>
        </w:rPr>
        <w:t xml:space="preserve"> </w:t>
      </w:r>
      <w:r>
        <w:rPr>
          <w:color w:val="4D4D4F"/>
          <w:sz w:val="20"/>
        </w:rPr>
        <w:t>comprises</w:t>
      </w:r>
      <w:r>
        <w:rPr>
          <w:color w:val="4D4D4F"/>
          <w:spacing w:val="5"/>
          <w:sz w:val="20"/>
        </w:rPr>
        <w:t xml:space="preserve"> </w:t>
      </w:r>
      <w:r>
        <w:rPr>
          <w:color w:val="4D4D4F"/>
          <w:sz w:val="20"/>
        </w:rPr>
        <w:t>an</w:t>
      </w:r>
      <w:r>
        <w:rPr>
          <w:color w:val="4D4D4F"/>
          <w:spacing w:val="6"/>
          <w:sz w:val="20"/>
        </w:rPr>
        <w:t xml:space="preserve"> </w:t>
      </w:r>
      <w:r>
        <w:rPr>
          <w:color w:val="4D4D4F"/>
          <w:sz w:val="20"/>
        </w:rPr>
        <w:t>evaluation</w:t>
      </w:r>
      <w:r>
        <w:rPr>
          <w:color w:val="4D4D4F"/>
          <w:spacing w:val="5"/>
          <w:sz w:val="20"/>
        </w:rPr>
        <w:t xml:space="preserve"> </w:t>
      </w:r>
      <w:r>
        <w:rPr>
          <w:color w:val="4D4D4F"/>
          <w:sz w:val="20"/>
        </w:rPr>
        <w:t>of</w:t>
      </w:r>
      <w:r>
        <w:rPr>
          <w:color w:val="4D4D4F"/>
          <w:spacing w:val="6"/>
          <w:sz w:val="20"/>
        </w:rPr>
        <w:t xml:space="preserve"> </w:t>
      </w:r>
      <w:r>
        <w:rPr>
          <w:color w:val="4D4D4F"/>
          <w:sz w:val="20"/>
        </w:rPr>
        <w:t>the</w:t>
      </w:r>
      <w:r>
        <w:rPr>
          <w:color w:val="4D4D4F"/>
          <w:spacing w:val="5"/>
          <w:sz w:val="20"/>
        </w:rPr>
        <w:t xml:space="preserve"> </w:t>
      </w:r>
      <w:r>
        <w:rPr>
          <w:color w:val="4D4D4F"/>
          <w:sz w:val="20"/>
        </w:rPr>
        <w:t>existing</w:t>
      </w:r>
      <w:r>
        <w:rPr>
          <w:color w:val="4D4D4F"/>
          <w:spacing w:val="6"/>
          <w:sz w:val="20"/>
        </w:rPr>
        <w:t xml:space="preserve"> </w:t>
      </w:r>
      <w:r>
        <w:rPr>
          <w:color w:val="4D4D4F"/>
          <w:sz w:val="20"/>
        </w:rPr>
        <w:t>MSA</w:t>
      </w:r>
      <w:r>
        <w:rPr>
          <w:color w:val="4D4D4F"/>
          <w:spacing w:val="5"/>
          <w:sz w:val="20"/>
        </w:rPr>
        <w:t xml:space="preserve"> </w:t>
      </w:r>
      <w:r>
        <w:rPr>
          <w:color w:val="4D4D4F"/>
          <w:sz w:val="20"/>
        </w:rPr>
        <w:t>MRF</w:t>
      </w:r>
      <w:r>
        <w:rPr>
          <w:color w:val="4D4D4F"/>
          <w:spacing w:val="6"/>
          <w:sz w:val="20"/>
        </w:rPr>
        <w:t xml:space="preserve"> </w:t>
      </w:r>
      <w:r>
        <w:rPr>
          <w:color w:val="4D4D4F"/>
          <w:sz w:val="20"/>
        </w:rPr>
        <w:t>and</w:t>
      </w:r>
      <w:r>
        <w:rPr>
          <w:color w:val="4D4D4F"/>
          <w:spacing w:val="5"/>
          <w:sz w:val="20"/>
        </w:rPr>
        <w:t xml:space="preserve"> </w:t>
      </w:r>
      <w:r>
        <w:rPr>
          <w:color w:val="4D4D4F"/>
          <w:sz w:val="20"/>
        </w:rPr>
        <w:t>program</w:t>
      </w:r>
      <w:r>
        <w:rPr>
          <w:color w:val="4D4D4F"/>
          <w:spacing w:val="5"/>
          <w:sz w:val="20"/>
        </w:rPr>
        <w:t xml:space="preserve"> </w:t>
      </w:r>
      <w:r>
        <w:rPr>
          <w:color w:val="4D4D4F"/>
          <w:sz w:val="20"/>
        </w:rPr>
        <w:t>logic.</w:t>
      </w:r>
    </w:p>
    <w:p w14:paraId="7CD0916C" w14:textId="77777777" w:rsidR="00EF5B27" w:rsidRDefault="00EF5B27">
      <w:pPr>
        <w:pStyle w:val="BodyText"/>
        <w:spacing w:before="2"/>
      </w:pPr>
    </w:p>
    <w:p w14:paraId="6867CE0C" w14:textId="77777777" w:rsidR="00EF5B27" w:rsidRDefault="00000000">
      <w:pPr>
        <w:ind w:left="2608"/>
        <w:rPr>
          <w:b/>
          <w:sz w:val="28"/>
        </w:rPr>
      </w:pPr>
      <w:r>
        <w:rPr>
          <w:b/>
          <w:color w:val="F99F2A"/>
          <w:spacing w:val="-7"/>
          <w:sz w:val="28"/>
        </w:rPr>
        <w:t xml:space="preserve">DELWP’s  </w:t>
      </w:r>
      <w:r>
        <w:rPr>
          <w:b/>
          <w:color w:val="F99F2A"/>
          <w:spacing w:val="-3"/>
          <w:sz w:val="28"/>
        </w:rPr>
        <w:t xml:space="preserve">MSA </w:t>
      </w:r>
      <w:r>
        <w:rPr>
          <w:b/>
          <w:color w:val="F99F2A"/>
          <w:spacing w:val="-5"/>
          <w:sz w:val="28"/>
        </w:rPr>
        <w:t xml:space="preserve">Monitoring </w:t>
      </w:r>
      <w:r>
        <w:rPr>
          <w:b/>
          <w:color w:val="F99F2A"/>
          <w:spacing w:val="-4"/>
          <w:sz w:val="28"/>
        </w:rPr>
        <w:t xml:space="preserve">and </w:t>
      </w:r>
      <w:r>
        <w:rPr>
          <w:b/>
          <w:color w:val="F99F2A"/>
          <w:spacing w:val="-5"/>
          <w:sz w:val="28"/>
        </w:rPr>
        <w:t xml:space="preserve">Reporting </w:t>
      </w:r>
      <w:r>
        <w:rPr>
          <w:b/>
          <w:color w:val="F99F2A"/>
          <w:spacing w:val="-4"/>
          <w:sz w:val="28"/>
        </w:rPr>
        <w:t>Framework</w:t>
      </w:r>
      <w:r>
        <w:rPr>
          <w:b/>
          <w:color w:val="F99F2A"/>
          <w:spacing w:val="35"/>
          <w:sz w:val="28"/>
        </w:rPr>
        <w:t xml:space="preserve"> </w:t>
      </w:r>
      <w:r>
        <w:rPr>
          <w:b/>
          <w:color w:val="F99F2A"/>
          <w:spacing w:val="-5"/>
          <w:sz w:val="28"/>
        </w:rPr>
        <w:t>(MRF)</w:t>
      </w:r>
    </w:p>
    <w:p w14:paraId="71589F43" w14:textId="77777777" w:rsidR="00EF5B27" w:rsidRDefault="00000000">
      <w:pPr>
        <w:pStyle w:val="BodyText"/>
        <w:spacing w:before="221" w:line="254" w:lineRule="auto"/>
        <w:ind w:left="2608" w:right="147"/>
      </w:pPr>
      <w:r>
        <w:rPr>
          <w:color w:val="4D4D4F"/>
        </w:rPr>
        <w:t xml:space="preserve">The </w:t>
      </w:r>
      <w:r>
        <w:rPr>
          <w:color w:val="4D4D4F"/>
          <w:spacing w:val="-6"/>
        </w:rPr>
        <w:t xml:space="preserve">2015 </w:t>
      </w:r>
      <w:r>
        <w:rPr>
          <w:color w:val="4D4D4F"/>
        </w:rPr>
        <w:t xml:space="preserve">MSA </w:t>
      </w:r>
      <w:r>
        <w:rPr>
          <w:color w:val="4D4D4F"/>
          <w:spacing w:val="-2"/>
        </w:rPr>
        <w:t xml:space="preserve">MRF </w:t>
      </w:r>
      <w:r>
        <w:rPr>
          <w:color w:val="4D4D4F"/>
          <w:spacing w:val="-3"/>
        </w:rPr>
        <w:t xml:space="preserve">contains </w:t>
      </w:r>
      <w:r>
        <w:rPr>
          <w:color w:val="4D4D4F"/>
        </w:rPr>
        <w:t xml:space="preserve">the most current approved program </w:t>
      </w:r>
      <w:r>
        <w:rPr>
          <w:color w:val="4D4D4F"/>
          <w:spacing w:val="-3"/>
        </w:rPr>
        <w:t xml:space="preserve">logic </w:t>
      </w:r>
      <w:r>
        <w:rPr>
          <w:color w:val="4D4D4F"/>
          <w:spacing w:val="-2"/>
        </w:rPr>
        <w:t xml:space="preserve">for </w:t>
      </w:r>
      <w:r>
        <w:rPr>
          <w:color w:val="4D4D4F"/>
        </w:rPr>
        <w:t xml:space="preserve">the </w:t>
      </w:r>
      <w:r>
        <w:rPr>
          <w:color w:val="4D4D4F"/>
          <w:spacing w:val="-3"/>
        </w:rPr>
        <w:t xml:space="preserve">program’s </w:t>
      </w:r>
      <w:r>
        <w:rPr>
          <w:color w:val="4D4D4F"/>
        </w:rPr>
        <w:t>output and outcomes reporting.</w:t>
      </w:r>
      <w:r>
        <w:rPr>
          <w:color w:val="4D4D4F"/>
          <w:position w:val="7"/>
          <w:sz w:val="11"/>
        </w:rPr>
        <w:t xml:space="preserve">102 </w:t>
      </w:r>
      <w:r>
        <w:rPr>
          <w:color w:val="4D4D4F"/>
        </w:rPr>
        <w:t xml:space="preserve">The outcomes refer to conservation outcomes for MNES under MSA management. The official MRF document has not been updated  since </w:t>
      </w:r>
      <w:r>
        <w:rPr>
          <w:color w:val="4D4D4F"/>
          <w:spacing w:val="-3"/>
        </w:rPr>
        <w:t xml:space="preserve">2015, </w:t>
      </w:r>
      <w:r>
        <w:rPr>
          <w:color w:val="4D4D4F"/>
        </w:rPr>
        <w:t xml:space="preserve">however it is still referenced by DELWP as a document that ‘mandates </w:t>
      </w:r>
      <w:r>
        <w:rPr>
          <w:color w:val="4D4D4F"/>
          <w:spacing w:val="-5"/>
        </w:rPr>
        <w:t xml:space="preserve">[…] </w:t>
      </w:r>
      <w:r>
        <w:rPr>
          <w:color w:val="4D4D4F"/>
        </w:rPr>
        <w:t>annual</w:t>
      </w:r>
      <w:r>
        <w:rPr>
          <w:color w:val="4D4D4F"/>
          <w:spacing w:val="5"/>
        </w:rPr>
        <w:t xml:space="preserve"> </w:t>
      </w:r>
      <w:r>
        <w:rPr>
          <w:color w:val="4D4D4F"/>
        </w:rPr>
        <w:t>data</w:t>
      </w:r>
      <w:r>
        <w:rPr>
          <w:color w:val="4D4D4F"/>
          <w:spacing w:val="5"/>
        </w:rPr>
        <w:t xml:space="preserve"> </w:t>
      </w:r>
      <w:r>
        <w:rPr>
          <w:color w:val="4D4D4F"/>
        </w:rPr>
        <w:t>collection</w:t>
      </w:r>
      <w:r>
        <w:rPr>
          <w:color w:val="4D4D4F"/>
          <w:spacing w:val="6"/>
        </w:rPr>
        <w:t xml:space="preserve"> </w:t>
      </w:r>
      <w:r>
        <w:rPr>
          <w:color w:val="4D4D4F"/>
          <w:spacing w:val="-4"/>
        </w:rPr>
        <w:t>[and]</w:t>
      </w:r>
      <w:r>
        <w:rPr>
          <w:color w:val="4D4D4F"/>
          <w:spacing w:val="5"/>
        </w:rPr>
        <w:t xml:space="preserve"> </w:t>
      </w:r>
      <w:r>
        <w:rPr>
          <w:color w:val="4D4D4F"/>
        </w:rPr>
        <w:t>that</w:t>
      </w:r>
      <w:r>
        <w:rPr>
          <w:color w:val="4D4D4F"/>
          <w:spacing w:val="6"/>
        </w:rPr>
        <w:t xml:space="preserve"> </w:t>
      </w:r>
      <w:r>
        <w:rPr>
          <w:color w:val="4D4D4F"/>
        </w:rPr>
        <w:t>ecological</w:t>
      </w:r>
      <w:r>
        <w:rPr>
          <w:color w:val="4D4D4F"/>
          <w:spacing w:val="5"/>
        </w:rPr>
        <w:t xml:space="preserve"> </w:t>
      </w:r>
      <w:r>
        <w:rPr>
          <w:color w:val="4D4D4F"/>
        </w:rPr>
        <w:t>outcomes</w:t>
      </w:r>
      <w:r>
        <w:rPr>
          <w:color w:val="4D4D4F"/>
          <w:spacing w:val="6"/>
        </w:rPr>
        <w:t xml:space="preserve"> </w:t>
      </w:r>
      <w:r>
        <w:rPr>
          <w:color w:val="4D4D4F"/>
        </w:rPr>
        <w:t>be</w:t>
      </w:r>
      <w:r>
        <w:rPr>
          <w:color w:val="4D4D4F"/>
          <w:spacing w:val="5"/>
        </w:rPr>
        <w:t xml:space="preserve"> </w:t>
      </w:r>
      <w:r>
        <w:rPr>
          <w:color w:val="4D4D4F"/>
        </w:rPr>
        <w:t>reported</w:t>
      </w:r>
      <w:r>
        <w:rPr>
          <w:color w:val="4D4D4F"/>
          <w:spacing w:val="5"/>
        </w:rPr>
        <w:t xml:space="preserve"> </w:t>
      </w:r>
      <w:r>
        <w:rPr>
          <w:color w:val="4D4D4F"/>
        </w:rPr>
        <w:t>every</w:t>
      </w:r>
      <w:r>
        <w:rPr>
          <w:color w:val="4D4D4F"/>
          <w:spacing w:val="6"/>
        </w:rPr>
        <w:t xml:space="preserve"> </w:t>
      </w:r>
      <w:r>
        <w:rPr>
          <w:color w:val="4D4D4F"/>
        </w:rPr>
        <w:t>five</w:t>
      </w:r>
      <w:r>
        <w:rPr>
          <w:color w:val="4D4D4F"/>
          <w:spacing w:val="5"/>
        </w:rPr>
        <w:t xml:space="preserve"> </w:t>
      </w:r>
      <w:r>
        <w:rPr>
          <w:color w:val="4D4D4F"/>
        </w:rPr>
        <w:t>years</w:t>
      </w:r>
    </w:p>
    <w:p w14:paraId="6FE2C5AC" w14:textId="77777777" w:rsidR="00EF5B27" w:rsidRDefault="00000000">
      <w:pPr>
        <w:pStyle w:val="BodyText"/>
        <w:spacing w:before="6" w:line="254" w:lineRule="auto"/>
        <w:ind w:left="2608"/>
        <w:rPr>
          <w:sz w:val="11"/>
        </w:rPr>
      </w:pPr>
      <w:r>
        <w:rPr>
          <w:color w:val="4D4D4F"/>
        </w:rPr>
        <w:t>to provide the Australian Government and the public with the data required to judge whether Victoria is achieving its obligations under the MSA.</w:t>
      </w:r>
      <w:r>
        <w:rPr>
          <w:color w:val="4D4D4F"/>
          <w:position w:val="7"/>
          <w:sz w:val="11"/>
        </w:rPr>
        <w:t>’103</w:t>
      </w:r>
    </w:p>
    <w:p w14:paraId="69C64CE5" w14:textId="77777777" w:rsidR="00EF5B27" w:rsidRDefault="00000000">
      <w:pPr>
        <w:pStyle w:val="BodyText"/>
        <w:spacing w:before="116" w:line="254" w:lineRule="auto"/>
        <w:ind w:left="2608" w:right="320"/>
      </w:pPr>
      <w:r>
        <w:rPr>
          <w:color w:val="4D4D4F"/>
        </w:rPr>
        <w:t xml:space="preserve">DELWP documents changes to the MRF – in relation to ecological monitoring of the conservation outcomes – in its September 2021 publication of the MSA Outcomes Report </w:t>
      </w:r>
      <w:r>
        <w:rPr>
          <w:color w:val="4D4D4F"/>
          <w:spacing w:val="-5"/>
        </w:rPr>
        <w:t>2014–2020,</w:t>
      </w:r>
      <w:r>
        <w:rPr>
          <w:color w:val="4D4D4F"/>
          <w:spacing w:val="-5"/>
          <w:position w:val="7"/>
          <w:sz w:val="11"/>
        </w:rPr>
        <w:t xml:space="preserve">104 </w:t>
      </w:r>
      <w:r>
        <w:rPr>
          <w:color w:val="4D4D4F"/>
        </w:rPr>
        <w:t xml:space="preserve">with a section </w:t>
      </w:r>
      <w:r>
        <w:rPr>
          <w:color w:val="4D4D4F"/>
          <w:spacing w:val="-3"/>
        </w:rPr>
        <w:t xml:space="preserve">in </w:t>
      </w:r>
      <w:r>
        <w:rPr>
          <w:color w:val="4D4D4F"/>
        </w:rPr>
        <w:t xml:space="preserve">each </w:t>
      </w:r>
      <w:r>
        <w:rPr>
          <w:color w:val="4D4D4F"/>
          <w:spacing w:val="-3"/>
        </w:rPr>
        <w:t xml:space="preserve">chapter </w:t>
      </w:r>
      <w:r>
        <w:rPr>
          <w:color w:val="4D4D4F"/>
          <w:spacing w:val="-4"/>
        </w:rPr>
        <w:t xml:space="preserve">detailing </w:t>
      </w:r>
      <w:r>
        <w:rPr>
          <w:color w:val="4D4D4F"/>
        </w:rPr>
        <w:t xml:space="preserve">changes made to </w:t>
      </w:r>
      <w:r>
        <w:rPr>
          <w:color w:val="4D4D4F"/>
          <w:spacing w:val="-3"/>
        </w:rPr>
        <w:t xml:space="preserve">improve </w:t>
      </w:r>
      <w:r>
        <w:rPr>
          <w:color w:val="4D4D4F"/>
        </w:rPr>
        <w:t xml:space="preserve">the </w:t>
      </w:r>
      <w:r>
        <w:rPr>
          <w:color w:val="4D4D4F"/>
          <w:spacing w:val="-5"/>
        </w:rPr>
        <w:t xml:space="preserve">MRF. </w:t>
      </w:r>
      <w:r>
        <w:rPr>
          <w:color w:val="4D4D4F"/>
        </w:rPr>
        <w:t xml:space="preserve">These changes have yet to be reflected in an updated version of DELWP’s official MSA MRF document. </w:t>
      </w:r>
      <w:r>
        <w:rPr>
          <w:color w:val="4D4D4F"/>
          <w:spacing w:val="-7"/>
        </w:rPr>
        <w:t xml:space="preserve">To </w:t>
      </w:r>
      <w:r>
        <w:rPr>
          <w:color w:val="4D4D4F"/>
        </w:rPr>
        <w:t>date, no formal external review or consultation process has occurred to inform changes to the monitoring framework, as DELWP   has relied largely on internal</w:t>
      </w:r>
      <w:r>
        <w:rPr>
          <w:color w:val="4D4D4F"/>
          <w:spacing w:val="22"/>
        </w:rPr>
        <w:t xml:space="preserve"> </w:t>
      </w:r>
      <w:r>
        <w:rPr>
          <w:color w:val="4D4D4F"/>
        </w:rPr>
        <w:t>expertise.</w:t>
      </w:r>
    </w:p>
    <w:p w14:paraId="7780DF4E" w14:textId="77777777" w:rsidR="00EF5B27" w:rsidRDefault="00000000">
      <w:pPr>
        <w:pStyle w:val="BodyText"/>
        <w:spacing w:before="122" w:line="254" w:lineRule="auto"/>
        <w:ind w:left="2608"/>
      </w:pPr>
      <w:r>
        <w:rPr>
          <w:color w:val="4D4D4F"/>
        </w:rPr>
        <w:t>DELWP is the custodian of the data collected through ARI’s annual MSA ecological monitoring program. ARI has been undertaking annual data collection for the MSA ecological monitoring program since 2013, involving field surveys tailored to the characteristics of each species and community. This monitoring work preceded the publication of the MRF in 2015, as there was a period of trialling and developing field sampling techniques and methodologies.</w:t>
      </w:r>
    </w:p>
    <w:p w14:paraId="2603A5AE" w14:textId="77777777" w:rsidR="00EF5B27" w:rsidRDefault="00000000">
      <w:pPr>
        <w:pStyle w:val="BodyText"/>
        <w:spacing w:before="1"/>
        <w:rPr>
          <w:sz w:val="18"/>
        </w:rPr>
      </w:pPr>
      <w:r>
        <w:pict w14:anchorId="1939C387">
          <v:line id="_x0000_s3679" style="position:absolute;z-index:251463168;mso-wrap-distance-left:0;mso-wrap-distance-right:0;mso-position-horizontal-relative:page" from="181.4pt,13.25pt" to="538.6pt,13.25pt" strokecolor="#4d4d4f" strokeweight=".5pt">
            <w10:wrap type="topAndBottom" anchorx="page"/>
          </v:line>
        </w:pict>
      </w:r>
    </w:p>
    <w:p w14:paraId="74F7BEE0" w14:textId="77777777" w:rsidR="00EF5B27" w:rsidRDefault="00000000">
      <w:pPr>
        <w:pStyle w:val="ListParagraph"/>
        <w:numPr>
          <w:ilvl w:val="0"/>
          <w:numId w:val="46"/>
        </w:numPr>
        <w:tabs>
          <w:tab w:val="left" w:pos="2836"/>
        </w:tabs>
        <w:spacing w:before="88" w:line="230" w:lineRule="auto"/>
        <w:ind w:right="111"/>
        <w:jc w:val="both"/>
        <w:rPr>
          <w:sz w:val="12"/>
        </w:rPr>
      </w:pPr>
      <w:r>
        <w:rPr>
          <w:color w:val="4D4D4F"/>
          <w:sz w:val="12"/>
        </w:rPr>
        <w:t xml:space="preserve">State Government of Victoria </w:t>
      </w:r>
      <w:r>
        <w:rPr>
          <w:color w:val="4D4D4F"/>
          <w:spacing w:val="2"/>
          <w:sz w:val="12"/>
        </w:rPr>
        <w:t xml:space="preserve">2022, </w:t>
      </w:r>
      <w:r>
        <w:rPr>
          <w:color w:val="4D4D4F"/>
          <w:sz w:val="12"/>
        </w:rPr>
        <w:t xml:space="preserve">Victorian Government Gazette, Issue </w:t>
      </w:r>
      <w:r>
        <w:rPr>
          <w:color w:val="4D4D4F"/>
          <w:spacing w:val="2"/>
          <w:sz w:val="12"/>
        </w:rPr>
        <w:t xml:space="preserve">G4, </w:t>
      </w:r>
      <w:r>
        <w:rPr>
          <w:color w:val="4D4D4F"/>
          <w:sz w:val="12"/>
        </w:rPr>
        <w:t xml:space="preserve">‘Melbourne Strategic Assessment (Environment Mitigation Levy) </w:t>
      </w:r>
      <w:r>
        <w:rPr>
          <w:color w:val="4D4D4F"/>
          <w:spacing w:val="2"/>
          <w:sz w:val="12"/>
        </w:rPr>
        <w:t xml:space="preserve">Act 2020 </w:t>
      </w:r>
      <w:r>
        <w:rPr>
          <w:color w:val="4D4D4F"/>
          <w:sz w:val="12"/>
        </w:rPr>
        <w:t xml:space="preserve">– Notice of the </w:t>
      </w:r>
      <w:r>
        <w:rPr>
          <w:color w:val="4D4D4F"/>
          <w:spacing w:val="2"/>
          <w:sz w:val="12"/>
        </w:rPr>
        <w:t xml:space="preserve">Conservation </w:t>
      </w:r>
      <w:r>
        <w:rPr>
          <w:color w:val="4D4D4F"/>
          <w:sz w:val="12"/>
        </w:rPr>
        <w:t>Outcomes’,</w:t>
      </w:r>
      <w:r>
        <w:rPr>
          <w:color w:val="F36A2E"/>
          <w:sz w:val="12"/>
        </w:rPr>
        <w:t xml:space="preserve"> </w:t>
      </w:r>
      <w:hyperlink r:id="rId109">
        <w:r>
          <w:rPr>
            <w:color w:val="F36A2E"/>
            <w:sz w:val="12"/>
            <w:u w:val="single" w:color="F36A2E"/>
          </w:rPr>
          <w:t>http://www.gazette.vic.gov.au/gazette/Gazettes2022/GG2022G004.pd</w:t>
        </w:r>
        <w:r>
          <w:rPr>
            <w:color w:val="F36A2E"/>
            <w:sz w:val="12"/>
          </w:rPr>
          <w:t xml:space="preserve">f </w:t>
        </w:r>
      </w:hyperlink>
      <w:r>
        <w:rPr>
          <w:color w:val="4D4D4F"/>
          <w:spacing w:val="2"/>
          <w:sz w:val="12"/>
        </w:rPr>
        <w:t xml:space="preserve">Accessed </w:t>
      </w:r>
      <w:r>
        <w:rPr>
          <w:color w:val="4D4D4F"/>
          <w:sz w:val="12"/>
        </w:rPr>
        <w:t>27 January</w:t>
      </w:r>
      <w:r>
        <w:rPr>
          <w:color w:val="4D4D4F"/>
          <w:spacing w:val="4"/>
          <w:sz w:val="12"/>
        </w:rPr>
        <w:t xml:space="preserve"> </w:t>
      </w:r>
      <w:r>
        <w:rPr>
          <w:color w:val="4D4D4F"/>
          <w:spacing w:val="2"/>
          <w:sz w:val="12"/>
        </w:rPr>
        <w:t>2022.</w:t>
      </w:r>
    </w:p>
    <w:p w14:paraId="5F62A031" w14:textId="77777777" w:rsidR="00EF5B27" w:rsidRDefault="00000000">
      <w:pPr>
        <w:pStyle w:val="ListParagraph"/>
        <w:numPr>
          <w:ilvl w:val="0"/>
          <w:numId w:val="46"/>
        </w:numPr>
        <w:tabs>
          <w:tab w:val="left" w:pos="2836"/>
        </w:tabs>
        <w:spacing w:line="137" w:lineRule="exact"/>
        <w:rPr>
          <w:sz w:val="12"/>
        </w:rPr>
      </w:pPr>
      <w:r>
        <w:rPr>
          <w:color w:val="4D4D4F"/>
          <w:sz w:val="12"/>
        </w:rPr>
        <w:t>DELWP</w:t>
      </w:r>
      <w:r>
        <w:rPr>
          <w:color w:val="4D4D4F"/>
          <w:spacing w:val="4"/>
          <w:sz w:val="12"/>
        </w:rPr>
        <w:t xml:space="preserve"> </w:t>
      </w:r>
      <w:r>
        <w:rPr>
          <w:color w:val="4D4D4F"/>
          <w:sz w:val="12"/>
        </w:rPr>
        <w:t>2015,</w:t>
      </w:r>
      <w:r>
        <w:rPr>
          <w:color w:val="4D4D4F"/>
          <w:spacing w:val="5"/>
          <w:sz w:val="12"/>
        </w:rPr>
        <w:t xml:space="preserve"> </w:t>
      </w:r>
      <w:r>
        <w:rPr>
          <w:color w:val="4D4D4F"/>
          <w:sz w:val="12"/>
        </w:rPr>
        <w:t>‘Monitoring</w:t>
      </w:r>
      <w:r>
        <w:rPr>
          <w:color w:val="4D4D4F"/>
          <w:spacing w:val="5"/>
          <w:sz w:val="12"/>
        </w:rPr>
        <w:t xml:space="preserve"> </w:t>
      </w:r>
      <w:r>
        <w:rPr>
          <w:color w:val="4D4D4F"/>
          <w:sz w:val="12"/>
        </w:rPr>
        <w:t>and</w:t>
      </w:r>
      <w:r>
        <w:rPr>
          <w:color w:val="4D4D4F"/>
          <w:spacing w:val="5"/>
          <w:sz w:val="12"/>
        </w:rPr>
        <w:t xml:space="preserve"> </w:t>
      </w:r>
      <w:r>
        <w:rPr>
          <w:color w:val="4D4D4F"/>
          <w:sz w:val="12"/>
        </w:rPr>
        <w:t>Reporting</w:t>
      </w:r>
      <w:r>
        <w:rPr>
          <w:color w:val="4D4D4F"/>
          <w:spacing w:val="5"/>
          <w:sz w:val="12"/>
        </w:rPr>
        <w:t xml:space="preserve"> </w:t>
      </w:r>
      <w:r>
        <w:rPr>
          <w:color w:val="4D4D4F"/>
          <w:sz w:val="12"/>
        </w:rPr>
        <w:t>Framework</w:t>
      </w:r>
      <w:r>
        <w:rPr>
          <w:color w:val="4D4D4F"/>
          <w:spacing w:val="5"/>
          <w:sz w:val="12"/>
        </w:rPr>
        <w:t xml:space="preserve"> </w:t>
      </w:r>
      <w:r>
        <w:rPr>
          <w:color w:val="4D4D4F"/>
          <w:sz w:val="12"/>
        </w:rPr>
        <w:t>–</w:t>
      </w:r>
      <w:r>
        <w:rPr>
          <w:color w:val="4D4D4F"/>
          <w:spacing w:val="5"/>
          <w:sz w:val="12"/>
        </w:rPr>
        <w:t xml:space="preserve"> </w:t>
      </w:r>
      <w:r>
        <w:rPr>
          <w:color w:val="4D4D4F"/>
          <w:sz w:val="12"/>
        </w:rPr>
        <w:t>Melbourne</w:t>
      </w:r>
      <w:r>
        <w:rPr>
          <w:color w:val="4D4D4F"/>
          <w:spacing w:val="5"/>
          <w:sz w:val="12"/>
        </w:rPr>
        <w:t xml:space="preserve"> </w:t>
      </w:r>
      <w:r>
        <w:rPr>
          <w:color w:val="4D4D4F"/>
          <w:sz w:val="12"/>
        </w:rPr>
        <w:t>Strategic</w:t>
      </w:r>
      <w:r>
        <w:rPr>
          <w:color w:val="4D4D4F"/>
          <w:spacing w:val="5"/>
          <w:sz w:val="12"/>
        </w:rPr>
        <w:t xml:space="preserve"> </w:t>
      </w:r>
      <w:r>
        <w:rPr>
          <w:color w:val="4D4D4F"/>
          <w:sz w:val="12"/>
        </w:rPr>
        <w:t>Assessment’,</w:t>
      </w:r>
      <w:r>
        <w:rPr>
          <w:color w:val="4D4D4F"/>
          <w:spacing w:val="5"/>
          <w:sz w:val="12"/>
        </w:rPr>
        <w:t xml:space="preserve"> </w:t>
      </w:r>
      <w:r>
        <w:rPr>
          <w:color w:val="4D4D4F"/>
          <w:sz w:val="12"/>
        </w:rPr>
        <w:t>East</w:t>
      </w:r>
      <w:r>
        <w:rPr>
          <w:color w:val="4D4D4F"/>
          <w:spacing w:val="5"/>
          <w:sz w:val="12"/>
        </w:rPr>
        <w:t xml:space="preserve"> </w:t>
      </w:r>
      <w:r>
        <w:rPr>
          <w:color w:val="4D4D4F"/>
          <w:sz w:val="12"/>
        </w:rPr>
        <w:t>Melbourne,</w:t>
      </w:r>
      <w:r>
        <w:rPr>
          <w:color w:val="4D4D4F"/>
          <w:spacing w:val="5"/>
          <w:sz w:val="12"/>
        </w:rPr>
        <w:t xml:space="preserve"> </w:t>
      </w:r>
      <w:r>
        <w:rPr>
          <w:color w:val="4D4D4F"/>
          <w:sz w:val="12"/>
        </w:rPr>
        <w:t>Victoria.</w:t>
      </w:r>
    </w:p>
    <w:p w14:paraId="65A86BB6" w14:textId="77777777" w:rsidR="00EF5B27" w:rsidRDefault="00000000">
      <w:pPr>
        <w:pStyle w:val="ListParagraph"/>
        <w:numPr>
          <w:ilvl w:val="0"/>
          <w:numId w:val="46"/>
        </w:numPr>
        <w:tabs>
          <w:tab w:val="left" w:pos="2836"/>
        </w:tabs>
        <w:spacing w:before="1" w:line="230" w:lineRule="auto"/>
        <w:ind w:right="112"/>
        <w:jc w:val="both"/>
        <w:rPr>
          <w:sz w:val="12"/>
        </w:rPr>
      </w:pPr>
      <w:r>
        <w:rPr>
          <w:color w:val="4D4D4F"/>
          <w:spacing w:val="2"/>
          <w:sz w:val="12"/>
        </w:rPr>
        <w:t xml:space="preserve">Bruce </w:t>
      </w:r>
      <w:r>
        <w:rPr>
          <w:color w:val="4D4D4F"/>
          <w:sz w:val="12"/>
        </w:rPr>
        <w:t xml:space="preserve">M, Batpurev </w:t>
      </w:r>
      <w:r>
        <w:rPr>
          <w:color w:val="4D4D4F"/>
          <w:spacing w:val="2"/>
          <w:sz w:val="12"/>
        </w:rPr>
        <w:t xml:space="preserve">K, </w:t>
      </w:r>
      <w:r>
        <w:rPr>
          <w:color w:val="4D4D4F"/>
          <w:sz w:val="12"/>
        </w:rPr>
        <w:t xml:space="preserve">Bryant D, Sinclair S and Kohout M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DELWP, Heidelberg,</w:t>
      </w:r>
      <w:r>
        <w:rPr>
          <w:color w:val="4D4D4F"/>
          <w:spacing w:val="8"/>
          <w:sz w:val="12"/>
        </w:rPr>
        <w:t xml:space="preserve"> </w:t>
      </w:r>
      <w:r>
        <w:rPr>
          <w:color w:val="4D4D4F"/>
          <w:sz w:val="12"/>
        </w:rPr>
        <w:t>Victoria.</w:t>
      </w:r>
    </w:p>
    <w:p w14:paraId="09392540" w14:textId="77777777" w:rsidR="00EF5B27" w:rsidRDefault="00000000">
      <w:pPr>
        <w:pStyle w:val="ListParagraph"/>
        <w:numPr>
          <w:ilvl w:val="0"/>
          <w:numId w:val="46"/>
        </w:numPr>
        <w:tabs>
          <w:tab w:val="left" w:pos="2836"/>
        </w:tabs>
        <w:spacing w:line="230" w:lineRule="auto"/>
        <w:ind w:right="112"/>
        <w:jc w:val="both"/>
        <w:rPr>
          <w:sz w:val="12"/>
        </w:rPr>
      </w:pPr>
      <w:r>
        <w:rPr>
          <w:color w:val="4D4D4F"/>
          <w:spacing w:val="2"/>
          <w:sz w:val="12"/>
        </w:rPr>
        <w:t xml:space="preserve">Bruce </w:t>
      </w:r>
      <w:r>
        <w:rPr>
          <w:color w:val="4D4D4F"/>
          <w:sz w:val="12"/>
        </w:rPr>
        <w:t xml:space="preserve">M, Batpurev </w:t>
      </w:r>
      <w:r>
        <w:rPr>
          <w:color w:val="4D4D4F"/>
          <w:spacing w:val="2"/>
          <w:sz w:val="12"/>
        </w:rPr>
        <w:t xml:space="preserve">K, </w:t>
      </w:r>
      <w:r>
        <w:rPr>
          <w:color w:val="4D4D4F"/>
          <w:sz w:val="12"/>
        </w:rPr>
        <w:t xml:space="preserve">Bryant D, Sinclair S and Kohout M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DELWP, Heidelberg,</w:t>
      </w:r>
      <w:r>
        <w:rPr>
          <w:color w:val="4D4D4F"/>
          <w:spacing w:val="8"/>
          <w:sz w:val="12"/>
        </w:rPr>
        <w:t xml:space="preserve"> </w:t>
      </w:r>
      <w:r>
        <w:rPr>
          <w:color w:val="4D4D4F"/>
          <w:sz w:val="12"/>
        </w:rPr>
        <w:t>Victoria.</w:t>
      </w:r>
    </w:p>
    <w:p w14:paraId="7056AC96" w14:textId="77777777" w:rsidR="00EF5B27" w:rsidRDefault="00EF5B27">
      <w:pPr>
        <w:spacing w:line="230" w:lineRule="auto"/>
        <w:jc w:val="both"/>
        <w:rPr>
          <w:sz w:val="12"/>
        </w:rPr>
        <w:sectPr w:rsidR="00EF5B27">
          <w:pgSz w:w="11910" w:h="16840"/>
          <w:pgMar w:top="1080" w:right="1020" w:bottom="860" w:left="1020" w:header="537" w:footer="678" w:gutter="0"/>
          <w:cols w:space="720"/>
        </w:sectPr>
      </w:pPr>
    </w:p>
    <w:p w14:paraId="4827FA5E" w14:textId="77777777" w:rsidR="00EF5B27" w:rsidRDefault="00000000">
      <w:pPr>
        <w:pStyle w:val="BodyText"/>
      </w:pPr>
      <w:r>
        <w:lastRenderedPageBreak/>
        <w:pict w14:anchorId="580EBEA0">
          <v:group id="_x0000_s3671" style="position:absolute;margin-left:587.05pt;margin-top:183.4pt;width:8.25pt;height:153.1pt;z-index:251527680;mso-position-horizontal-relative:page;mso-position-vertical-relative:page" coordorigin="11741,3668" coordsize="165,3062">
            <v:shape id="_x0000_s3678" style="position:absolute;left:11741;top:3668;width:165;height:561" coordorigin="11741,3668" coordsize="165,561" path="m11906,3668r-165,l11741,4228r165,-18l11906,3668xe" fillcolor="#00aed9" stroked="f">
              <v:path arrowok="t"/>
            </v:shape>
            <v:shape id="_x0000_s3677" style="position:absolute;left:11741;top:4118;width:165;height:425" coordorigin="11741,4118" coordsize="165,425" path="m11906,4118r-165,14l11741,4531r165,12l11906,4118xe" fillcolor="#047ebc" stroked="f">
              <v:path arrowok="t"/>
            </v:shape>
            <v:shape id="_x0000_s3676" type="#_x0000_t75" style="position:absolute;left:11741;top:4355;width:165;height:587">
              <v:imagedata r:id="rId42" o:title=""/>
            </v:shape>
            <v:shape id="_x0000_s3675" style="position:absolute;left:11741;top:5343;width:165;height:536" coordorigin="11741,5343" coordsize="165,536" path="m11741,5343r,535l11906,5872r,-525l11741,5343xe" fillcolor="#f36a2e" stroked="f">
              <v:path arrowok="t"/>
            </v:shape>
            <v:shape id="_x0000_s3674" style="position:absolute;left:11741;top:4925;width:165;height:501" coordorigin="11741,4926" coordsize="165,501" path="m11741,4926r,500l11906,5426r,-485l11741,4926xe" fillcolor="#49783f" stroked="f">
              <v:path arrowok="t"/>
            </v:shape>
            <v:shape id="_x0000_s3673" style="position:absolute;left:11741;top:5781;width:165;height:268" coordorigin="11741,5782" coordsize="165,268" path="m11906,5782r-165,8l11741,6039r165,10l11906,5782xe" fillcolor="#f99f2a" stroked="f">
              <v:path arrowok="t"/>
            </v:shape>
            <v:shape id="_x0000_s3672" style="position:absolute;left:11741;top:6023;width:165;height:707" coordorigin="11741,6023" coordsize="165,707" path="m11741,6023r,706l11906,6729r,-690l11741,6023xe" fillcolor="#ef412c" stroked="f">
              <v:path arrowok="t"/>
            </v:shape>
            <w10:wrap anchorx="page" anchory="page"/>
          </v:group>
        </w:pict>
      </w:r>
    </w:p>
    <w:p w14:paraId="40BCB600" w14:textId="77777777" w:rsidR="00EF5B27" w:rsidRDefault="00EF5B27">
      <w:pPr>
        <w:pStyle w:val="BodyText"/>
      </w:pPr>
    </w:p>
    <w:p w14:paraId="229EED47" w14:textId="77777777" w:rsidR="00EF5B27" w:rsidRDefault="00EF5B27">
      <w:pPr>
        <w:pStyle w:val="BodyText"/>
      </w:pPr>
    </w:p>
    <w:p w14:paraId="46017703" w14:textId="77777777" w:rsidR="00EF5B27" w:rsidRDefault="00EF5B27">
      <w:pPr>
        <w:pStyle w:val="BodyText"/>
        <w:spacing w:before="4"/>
        <w:rPr>
          <w:sz w:val="25"/>
        </w:rPr>
      </w:pPr>
    </w:p>
    <w:p w14:paraId="413F8D19" w14:textId="77777777" w:rsidR="00EF5B27" w:rsidRDefault="00000000">
      <w:pPr>
        <w:pStyle w:val="BodyText"/>
        <w:spacing w:before="100" w:line="254" w:lineRule="auto"/>
        <w:ind w:left="2608" w:right="169"/>
      </w:pPr>
      <w:bookmarkStart w:id="25" w:name="_bookmark24"/>
      <w:bookmarkEnd w:id="25"/>
      <w:r>
        <w:rPr>
          <w:color w:val="4D4D4F"/>
        </w:rPr>
        <w:t xml:space="preserve">Monitoring data is used to measure progress towards the conservation outcomes   KPIs, as detailed in the </w:t>
      </w:r>
      <w:r>
        <w:rPr>
          <w:color w:val="4D4D4F"/>
          <w:spacing w:val="-4"/>
        </w:rPr>
        <w:t xml:space="preserve">2015 </w:t>
      </w:r>
      <w:r>
        <w:rPr>
          <w:color w:val="4D4D4F"/>
        </w:rPr>
        <w:t>MRF and summarised in the MSA Outcomes Report 2014–2020. KPIs for species include measures relating to population counts, detection rates,</w:t>
      </w:r>
      <w:r>
        <w:rPr>
          <w:color w:val="4D4D4F"/>
          <w:spacing w:val="9"/>
        </w:rPr>
        <w:t xml:space="preserve"> </w:t>
      </w:r>
      <w:r>
        <w:rPr>
          <w:color w:val="4D4D4F"/>
        </w:rPr>
        <w:t>recruitment</w:t>
      </w:r>
      <w:r>
        <w:rPr>
          <w:color w:val="4D4D4F"/>
          <w:spacing w:val="9"/>
        </w:rPr>
        <w:t xml:space="preserve"> </w:t>
      </w:r>
      <w:r>
        <w:rPr>
          <w:color w:val="4D4D4F"/>
        </w:rPr>
        <w:t>and</w:t>
      </w:r>
      <w:r>
        <w:rPr>
          <w:color w:val="4D4D4F"/>
          <w:spacing w:val="10"/>
        </w:rPr>
        <w:t xml:space="preserve"> </w:t>
      </w:r>
      <w:r>
        <w:rPr>
          <w:color w:val="4D4D4F"/>
        </w:rPr>
        <w:t>occupancy.</w:t>
      </w:r>
      <w:r>
        <w:rPr>
          <w:color w:val="4D4D4F"/>
          <w:spacing w:val="9"/>
        </w:rPr>
        <w:t xml:space="preserve"> </w:t>
      </w:r>
      <w:r>
        <w:rPr>
          <w:color w:val="4D4D4F"/>
        </w:rPr>
        <w:t>KPIs</w:t>
      </w:r>
      <w:r>
        <w:rPr>
          <w:color w:val="4D4D4F"/>
          <w:spacing w:val="9"/>
        </w:rPr>
        <w:t xml:space="preserve"> </w:t>
      </w:r>
      <w:r>
        <w:rPr>
          <w:color w:val="4D4D4F"/>
        </w:rPr>
        <w:t>for</w:t>
      </w:r>
      <w:r>
        <w:rPr>
          <w:color w:val="4D4D4F"/>
          <w:spacing w:val="10"/>
        </w:rPr>
        <w:t xml:space="preserve"> </w:t>
      </w:r>
      <w:r>
        <w:rPr>
          <w:color w:val="4D4D4F"/>
        </w:rPr>
        <w:t>communities</w:t>
      </w:r>
      <w:r>
        <w:rPr>
          <w:color w:val="4D4D4F"/>
          <w:spacing w:val="9"/>
        </w:rPr>
        <w:t xml:space="preserve"> </w:t>
      </w:r>
      <w:r>
        <w:rPr>
          <w:color w:val="4D4D4F"/>
        </w:rPr>
        <w:t>include</w:t>
      </w:r>
      <w:r>
        <w:rPr>
          <w:color w:val="4D4D4F"/>
          <w:spacing w:val="9"/>
        </w:rPr>
        <w:t xml:space="preserve"> </w:t>
      </w:r>
      <w:r>
        <w:rPr>
          <w:color w:val="4D4D4F"/>
        </w:rPr>
        <w:t>measures</w:t>
      </w:r>
      <w:r>
        <w:rPr>
          <w:color w:val="4D4D4F"/>
          <w:spacing w:val="10"/>
        </w:rPr>
        <w:t xml:space="preserve"> </w:t>
      </w:r>
      <w:r>
        <w:rPr>
          <w:color w:val="4D4D4F"/>
        </w:rPr>
        <w:t>relating</w:t>
      </w:r>
    </w:p>
    <w:p w14:paraId="3E14DE36" w14:textId="77777777" w:rsidR="00EF5B27" w:rsidRDefault="00000000">
      <w:pPr>
        <w:pStyle w:val="BodyText"/>
        <w:spacing w:before="5" w:line="254" w:lineRule="auto"/>
        <w:ind w:left="2608" w:right="287"/>
      </w:pPr>
      <w:r>
        <w:rPr>
          <w:color w:val="4D4D4F"/>
        </w:rPr>
        <w:t>to plant species richness and cover of weed and native species, state change and spatial heterogeneity. It should be noted that the MSA Outcomes Report 2014–2020 did not present detailed analyses or interpretation of the monitoring results. Instead, it has offered a statement of whether each KPI was met and some brief qualitative discussion of trends.</w:t>
      </w:r>
    </w:p>
    <w:p w14:paraId="419D8732" w14:textId="77777777" w:rsidR="00EF5B27" w:rsidRDefault="00000000">
      <w:pPr>
        <w:pStyle w:val="BodyText"/>
        <w:spacing w:before="9"/>
        <w:rPr>
          <w:sz w:val="28"/>
        </w:rPr>
      </w:pPr>
      <w:r>
        <w:rPr>
          <w:noProof/>
        </w:rPr>
        <w:drawing>
          <wp:anchor distT="0" distB="0" distL="0" distR="0" simplePos="0" relativeHeight="251290112" behindDoc="0" locked="0" layoutInCell="1" allowOverlap="1" wp14:anchorId="48B3DCE3" wp14:editId="372DC55C">
            <wp:simplePos x="0" y="0"/>
            <wp:positionH relativeFrom="page">
              <wp:posOffset>2304288</wp:posOffset>
            </wp:positionH>
            <wp:positionV relativeFrom="paragraph">
              <wp:posOffset>248047</wp:posOffset>
            </wp:positionV>
            <wp:extent cx="4535423" cy="2551176"/>
            <wp:effectExtent l="0" t="0" r="0" b="0"/>
            <wp:wrapTopAndBottom/>
            <wp:docPr id="287"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11.png"/>
                    <pic:cNvPicPr/>
                  </pic:nvPicPr>
                  <pic:blipFill>
                    <a:blip r:embed="rId110" cstate="print"/>
                    <a:stretch>
                      <a:fillRect/>
                    </a:stretch>
                  </pic:blipFill>
                  <pic:spPr>
                    <a:xfrm>
                      <a:off x="0" y="0"/>
                      <a:ext cx="4535423" cy="2551176"/>
                    </a:xfrm>
                    <a:prstGeom prst="rect">
                      <a:avLst/>
                    </a:prstGeom>
                  </pic:spPr>
                </pic:pic>
              </a:graphicData>
            </a:graphic>
          </wp:anchor>
        </w:drawing>
      </w:r>
    </w:p>
    <w:p w14:paraId="5358713D" w14:textId="77777777" w:rsidR="00EF5B27" w:rsidRDefault="00000000">
      <w:pPr>
        <w:tabs>
          <w:tab w:val="left" w:pos="8977"/>
        </w:tabs>
        <w:spacing w:before="113"/>
        <w:ind w:left="2608"/>
        <w:rPr>
          <w:rFonts w:ascii="Century Gothic"/>
          <w:i/>
          <w:sz w:val="12"/>
        </w:rPr>
      </w:pPr>
      <w:r>
        <w:rPr>
          <w:color w:val="4D4D4F"/>
          <w:sz w:val="16"/>
        </w:rPr>
        <w:t>Figure</w:t>
      </w:r>
      <w:r>
        <w:rPr>
          <w:color w:val="4D4D4F"/>
          <w:spacing w:val="11"/>
          <w:sz w:val="16"/>
        </w:rPr>
        <w:t xml:space="preserve"> </w:t>
      </w:r>
      <w:r>
        <w:rPr>
          <w:color w:val="4D4D4F"/>
          <w:sz w:val="16"/>
        </w:rPr>
        <w:t>3:</w:t>
      </w:r>
      <w:r>
        <w:rPr>
          <w:color w:val="4D4D4F"/>
          <w:spacing w:val="12"/>
          <w:sz w:val="16"/>
        </w:rPr>
        <w:t xml:space="preserve"> </w:t>
      </w:r>
      <w:r>
        <w:rPr>
          <w:color w:val="4D4D4F"/>
          <w:sz w:val="16"/>
        </w:rPr>
        <w:t>Annual</w:t>
      </w:r>
      <w:r>
        <w:rPr>
          <w:color w:val="4D4D4F"/>
          <w:spacing w:val="11"/>
          <w:sz w:val="16"/>
        </w:rPr>
        <w:t xml:space="preserve"> </w:t>
      </w:r>
      <w:r>
        <w:rPr>
          <w:color w:val="4D4D4F"/>
          <w:sz w:val="16"/>
        </w:rPr>
        <w:t>monitoring</w:t>
      </w:r>
      <w:r>
        <w:rPr>
          <w:color w:val="4D4D4F"/>
          <w:spacing w:val="12"/>
          <w:sz w:val="16"/>
        </w:rPr>
        <w:t xml:space="preserve"> </w:t>
      </w:r>
      <w:r>
        <w:rPr>
          <w:color w:val="4D4D4F"/>
          <w:sz w:val="16"/>
        </w:rPr>
        <w:t>being</w:t>
      </w:r>
      <w:r>
        <w:rPr>
          <w:color w:val="4D4D4F"/>
          <w:spacing w:val="12"/>
          <w:sz w:val="16"/>
        </w:rPr>
        <w:t xml:space="preserve"> </w:t>
      </w:r>
      <w:r>
        <w:rPr>
          <w:color w:val="4D4D4F"/>
          <w:sz w:val="16"/>
        </w:rPr>
        <w:t>undertaken</w:t>
      </w:r>
      <w:r>
        <w:rPr>
          <w:color w:val="4D4D4F"/>
          <w:spacing w:val="11"/>
          <w:sz w:val="16"/>
        </w:rPr>
        <w:t xml:space="preserve"> </w:t>
      </w:r>
      <w:r>
        <w:rPr>
          <w:color w:val="4D4D4F"/>
          <w:sz w:val="16"/>
        </w:rPr>
        <w:t>by</w:t>
      </w:r>
      <w:r>
        <w:rPr>
          <w:color w:val="4D4D4F"/>
          <w:spacing w:val="12"/>
          <w:sz w:val="16"/>
        </w:rPr>
        <w:t xml:space="preserve"> </w:t>
      </w:r>
      <w:r>
        <w:rPr>
          <w:color w:val="4D4D4F"/>
          <w:sz w:val="16"/>
        </w:rPr>
        <w:t>DELWP</w:t>
      </w:r>
      <w:r>
        <w:rPr>
          <w:color w:val="4D4D4F"/>
          <w:spacing w:val="12"/>
          <w:sz w:val="16"/>
        </w:rPr>
        <w:t xml:space="preserve"> </w:t>
      </w:r>
      <w:r>
        <w:rPr>
          <w:color w:val="4D4D4F"/>
          <w:sz w:val="16"/>
        </w:rPr>
        <w:t>staff</w:t>
      </w:r>
      <w:r>
        <w:rPr>
          <w:color w:val="4D4D4F"/>
          <w:spacing w:val="11"/>
          <w:sz w:val="16"/>
        </w:rPr>
        <w:t xml:space="preserve"> </w:t>
      </w:r>
      <w:r>
        <w:rPr>
          <w:color w:val="4D4D4F"/>
          <w:sz w:val="16"/>
        </w:rPr>
        <w:t>at</w:t>
      </w:r>
      <w:r>
        <w:rPr>
          <w:color w:val="4D4D4F"/>
          <w:spacing w:val="12"/>
          <w:sz w:val="16"/>
        </w:rPr>
        <w:t xml:space="preserve"> </w:t>
      </w:r>
      <w:r>
        <w:rPr>
          <w:color w:val="4D4D4F"/>
          <w:sz w:val="16"/>
        </w:rPr>
        <w:t>Truganina</w:t>
      </w:r>
      <w:r>
        <w:rPr>
          <w:color w:val="4D4D4F"/>
          <w:spacing w:val="12"/>
          <w:sz w:val="16"/>
        </w:rPr>
        <w:t xml:space="preserve"> </w:t>
      </w:r>
      <w:r>
        <w:rPr>
          <w:color w:val="4D4D4F"/>
          <w:sz w:val="16"/>
        </w:rPr>
        <w:t>Cemetery</w:t>
      </w:r>
      <w:r>
        <w:rPr>
          <w:color w:val="4D4D4F"/>
          <w:sz w:val="16"/>
        </w:rPr>
        <w:tab/>
      </w:r>
      <w:r>
        <w:rPr>
          <w:rFonts w:ascii="Century Gothic"/>
          <w:i/>
          <w:color w:val="4D4D4F"/>
          <w:sz w:val="12"/>
        </w:rPr>
        <w:t>Source:</w:t>
      </w:r>
      <w:r>
        <w:rPr>
          <w:rFonts w:ascii="Century Gothic"/>
          <w:i/>
          <w:color w:val="4D4D4F"/>
          <w:spacing w:val="-22"/>
          <w:sz w:val="12"/>
        </w:rPr>
        <w:t xml:space="preserve"> </w:t>
      </w:r>
      <w:r>
        <w:rPr>
          <w:rFonts w:ascii="Century Gothic"/>
          <w:i/>
          <w:color w:val="4D4D4F"/>
          <w:sz w:val="12"/>
        </w:rPr>
        <w:t>DELWP</w:t>
      </w:r>
    </w:p>
    <w:p w14:paraId="02FD1678" w14:textId="77777777" w:rsidR="00EF5B27" w:rsidRDefault="00EF5B27">
      <w:pPr>
        <w:pStyle w:val="BodyText"/>
        <w:rPr>
          <w:rFonts w:ascii="Century Gothic"/>
          <w:i/>
        </w:rPr>
      </w:pPr>
    </w:p>
    <w:p w14:paraId="42539CE3" w14:textId="77777777" w:rsidR="00EF5B27" w:rsidRDefault="00EF5B27">
      <w:pPr>
        <w:pStyle w:val="BodyText"/>
        <w:spacing w:before="9"/>
        <w:rPr>
          <w:rFonts w:ascii="Century Gothic"/>
          <w:i/>
          <w:sz w:val="28"/>
        </w:rPr>
      </w:pPr>
    </w:p>
    <w:p w14:paraId="1CB67926" w14:textId="77777777" w:rsidR="00EF5B27" w:rsidRDefault="00000000">
      <w:pPr>
        <w:pStyle w:val="Heading3"/>
      </w:pPr>
      <w:r>
        <w:rPr>
          <w:color w:val="F99F2A"/>
          <w:spacing w:val="-6"/>
        </w:rPr>
        <w:t xml:space="preserve">Evaluation </w:t>
      </w:r>
      <w:r>
        <w:rPr>
          <w:color w:val="F99F2A"/>
          <w:spacing w:val="-4"/>
        </w:rPr>
        <w:t xml:space="preserve">approach </w:t>
      </w:r>
      <w:r>
        <w:rPr>
          <w:color w:val="F99F2A"/>
          <w:spacing w:val="-3"/>
        </w:rPr>
        <w:t xml:space="preserve">for KEQ </w:t>
      </w:r>
      <w:r>
        <w:rPr>
          <w:color w:val="F99F2A"/>
          <w:spacing w:val="-11"/>
        </w:rPr>
        <w:t xml:space="preserve">1: </w:t>
      </w:r>
      <w:r>
        <w:rPr>
          <w:color w:val="F99F2A"/>
        </w:rPr>
        <w:t xml:space="preserve">Are </w:t>
      </w:r>
      <w:r>
        <w:rPr>
          <w:color w:val="F99F2A"/>
          <w:spacing w:val="-4"/>
        </w:rPr>
        <w:t xml:space="preserve">the conservation outcomes </w:t>
      </w:r>
      <w:r>
        <w:rPr>
          <w:color w:val="F99F2A"/>
          <w:spacing w:val="-3"/>
        </w:rPr>
        <w:t xml:space="preserve">for </w:t>
      </w:r>
      <w:r>
        <w:rPr>
          <w:color w:val="F99F2A"/>
          <w:spacing w:val="-4"/>
        </w:rPr>
        <w:t xml:space="preserve">each </w:t>
      </w:r>
      <w:r>
        <w:rPr>
          <w:color w:val="F99F2A"/>
          <w:spacing w:val="-3"/>
        </w:rPr>
        <w:t xml:space="preserve">MNES </w:t>
      </w:r>
      <w:r>
        <w:rPr>
          <w:color w:val="F99F2A"/>
          <w:spacing w:val="-6"/>
        </w:rPr>
        <w:t xml:space="preserve">being </w:t>
      </w:r>
      <w:r>
        <w:rPr>
          <w:color w:val="F99F2A"/>
          <w:spacing w:val="-3"/>
        </w:rPr>
        <w:t xml:space="preserve">met </w:t>
      </w:r>
      <w:r>
        <w:rPr>
          <w:color w:val="F99F2A"/>
          <w:spacing w:val="-5"/>
        </w:rPr>
        <w:t xml:space="preserve">under </w:t>
      </w:r>
      <w:r>
        <w:rPr>
          <w:color w:val="F99F2A"/>
          <w:spacing w:val="-4"/>
        </w:rPr>
        <w:t xml:space="preserve">the current </w:t>
      </w:r>
      <w:r>
        <w:rPr>
          <w:color w:val="F99F2A"/>
          <w:spacing w:val="-5"/>
        </w:rPr>
        <w:t xml:space="preserve">definitions </w:t>
      </w:r>
      <w:r>
        <w:rPr>
          <w:color w:val="F99F2A"/>
          <w:spacing w:val="-4"/>
        </w:rPr>
        <w:t xml:space="preserve">and performance </w:t>
      </w:r>
      <w:r>
        <w:rPr>
          <w:color w:val="F99F2A"/>
          <w:spacing w:val="-6"/>
        </w:rPr>
        <w:t>indicators?</w:t>
      </w:r>
    </w:p>
    <w:p w14:paraId="1F5278A1" w14:textId="77777777" w:rsidR="00EF5B27" w:rsidRDefault="00000000">
      <w:pPr>
        <w:pStyle w:val="BodyText"/>
        <w:spacing w:before="217" w:line="254" w:lineRule="auto"/>
        <w:ind w:left="2608" w:right="352"/>
      </w:pPr>
      <w:r>
        <w:rPr>
          <w:color w:val="4D4D4F"/>
        </w:rPr>
        <w:t xml:space="preserve">This report presents DELWP’s methodology and results data for each MNES as provided to the Commissioner by </w:t>
      </w:r>
      <w:r>
        <w:rPr>
          <w:color w:val="4D4D4F"/>
          <w:spacing w:val="-4"/>
        </w:rPr>
        <w:t xml:space="preserve">DELWP,  </w:t>
      </w:r>
      <w:r>
        <w:rPr>
          <w:color w:val="4D4D4F"/>
        </w:rPr>
        <w:t>with updates to reflect data collected  over the 2020–2022 monitoring period. Multiple DELWP documents exist, containing definitions of performance objectives and measures for the conservation</w:t>
      </w:r>
      <w:r>
        <w:rPr>
          <w:color w:val="4D4D4F"/>
          <w:spacing w:val="34"/>
        </w:rPr>
        <w:t xml:space="preserve"> </w:t>
      </w:r>
      <w:r>
        <w:rPr>
          <w:color w:val="4D4D4F"/>
        </w:rPr>
        <w:t>outcomes</w:t>
      </w:r>
    </w:p>
    <w:p w14:paraId="39EA7974" w14:textId="77777777" w:rsidR="00EF5B27" w:rsidRDefault="00000000">
      <w:pPr>
        <w:pStyle w:val="BodyText"/>
        <w:spacing w:before="5" w:line="254" w:lineRule="auto"/>
        <w:ind w:left="2608" w:right="264"/>
      </w:pPr>
      <w:r>
        <w:rPr>
          <w:color w:val="4D4D4F"/>
        </w:rPr>
        <w:t>for MNES under MSA management. Current definitions of the conservation outcomes are presented in the Notice of the MSA Conservation Outcomes published in the Victorian Government Gazette and in DELWP’s 2015 MSA MRF. Current definitions of performance indicators associated with the conservation outcomes are contained within DELWP’s 2015 MSA MRF and Ecological Outcomes Report 2014–2020. There are discrepancies between the gazetted outcomes and the outcomes statements contained within the MRF, in terms of the language used to define the conservation outcomes. To avoid potential confusion, both the gazetted outcomes and MRF</w:t>
      </w:r>
    </w:p>
    <w:p w14:paraId="73421D1F" w14:textId="77777777" w:rsidR="00EF5B27" w:rsidRDefault="00000000">
      <w:pPr>
        <w:pStyle w:val="BodyText"/>
        <w:spacing w:before="10" w:line="254" w:lineRule="auto"/>
        <w:ind w:left="2608" w:right="113"/>
        <w:jc w:val="both"/>
      </w:pPr>
      <w:r>
        <w:rPr>
          <w:color w:val="4D4D4F"/>
        </w:rPr>
        <w:t>outcomes definitions are presented in this report for each MNES. Associated outcomes KPIs have been obtained from the 2015 MSA MRF, as these were not included with the gazetted conservation outcomes.</w:t>
      </w:r>
    </w:p>
    <w:p w14:paraId="4A642120" w14:textId="77777777" w:rsidR="00EF5B27" w:rsidRDefault="00EF5B27">
      <w:pPr>
        <w:spacing w:line="254" w:lineRule="auto"/>
        <w:jc w:val="both"/>
        <w:sectPr w:rsidR="00EF5B27">
          <w:pgSz w:w="11910" w:h="16840"/>
          <w:pgMar w:top="1080" w:right="1020" w:bottom="860" w:left="1020" w:header="537" w:footer="678" w:gutter="0"/>
          <w:cols w:space="720"/>
        </w:sectPr>
      </w:pPr>
    </w:p>
    <w:p w14:paraId="7E57B3FE" w14:textId="77777777" w:rsidR="00EF5B27" w:rsidRDefault="00000000">
      <w:pPr>
        <w:pStyle w:val="BodyText"/>
      </w:pPr>
      <w:r>
        <w:lastRenderedPageBreak/>
        <w:pict w14:anchorId="71F92C8A">
          <v:group id="_x0000_s3663" style="position:absolute;margin-left:587.05pt;margin-top:183.4pt;width:8.25pt;height:153.1pt;z-index:251528704;mso-position-horizontal-relative:page;mso-position-vertical-relative:page" coordorigin="11741,3668" coordsize="165,3062">
            <v:shape id="_x0000_s3670" style="position:absolute;left:11741;top:3668;width:165;height:561" coordorigin="11741,3668" coordsize="165,561" path="m11906,3668r-165,l11741,4228r165,-18l11906,3668xe" fillcolor="#00aed9" stroked="f">
              <v:path arrowok="t"/>
            </v:shape>
            <v:shape id="_x0000_s3669" style="position:absolute;left:11741;top:4118;width:165;height:425" coordorigin="11741,4118" coordsize="165,425" path="m11906,4118r-165,14l11741,4531r165,12l11906,4118xe" fillcolor="#047ebc" stroked="f">
              <v:path arrowok="t"/>
            </v:shape>
            <v:shape id="_x0000_s3668" type="#_x0000_t75" style="position:absolute;left:11741;top:4355;width:165;height:587">
              <v:imagedata r:id="rId42" o:title=""/>
            </v:shape>
            <v:shape id="_x0000_s3667" style="position:absolute;left:11741;top:5343;width:165;height:536" coordorigin="11741,5343" coordsize="165,536" path="m11741,5343r,535l11906,5872r,-525l11741,5343xe" fillcolor="#f36a2e" stroked="f">
              <v:path arrowok="t"/>
            </v:shape>
            <v:shape id="_x0000_s3666" style="position:absolute;left:11741;top:4925;width:165;height:501" coordorigin="11741,4926" coordsize="165,501" path="m11741,4926r,500l11906,5426r,-485l11741,4926xe" fillcolor="#49783f" stroked="f">
              <v:path arrowok="t"/>
            </v:shape>
            <v:shape id="_x0000_s3665" style="position:absolute;left:11741;top:5781;width:165;height:268" coordorigin="11741,5782" coordsize="165,268" path="m11906,5782r-165,8l11741,6039r165,10l11906,5782xe" fillcolor="#f99f2a" stroked="f">
              <v:path arrowok="t"/>
            </v:shape>
            <v:shape id="_x0000_s3664" style="position:absolute;left:11741;top:6023;width:165;height:707" coordorigin="11741,6023" coordsize="165,707" path="m11741,6023r,706l11906,6729r,-690l11741,6023xe" fillcolor="#ef412c" stroked="f">
              <v:path arrowok="t"/>
            </v:shape>
            <w10:wrap anchorx="page" anchory="page"/>
          </v:group>
        </w:pict>
      </w:r>
    </w:p>
    <w:p w14:paraId="05A122A5" w14:textId="77777777" w:rsidR="00EF5B27" w:rsidRDefault="00EF5B27">
      <w:pPr>
        <w:pStyle w:val="BodyText"/>
      </w:pPr>
    </w:p>
    <w:p w14:paraId="11BAC1BA" w14:textId="77777777" w:rsidR="00EF5B27" w:rsidRDefault="00EF5B27">
      <w:pPr>
        <w:pStyle w:val="BodyText"/>
      </w:pPr>
    </w:p>
    <w:p w14:paraId="44A6AF5F" w14:textId="77777777" w:rsidR="00EF5B27" w:rsidRDefault="00EF5B27">
      <w:pPr>
        <w:pStyle w:val="BodyText"/>
        <w:spacing w:before="4"/>
        <w:rPr>
          <w:sz w:val="25"/>
        </w:rPr>
      </w:pPr>
    </w:p>
    <w:p w14:paraId="49A2AF32" w14:textId="77777777" w:rsidR="00EF5B27" w:rsidRDefault="00000000">
      <w:pPr>
        <w:pStyle w:val="BodyText"/>
        <w:spacing w:before="100" w:line="254" w:lineRule="auto"/>
        <w:ind w:left="2608" w:right="151"/>
      </w:pPr>
      <w:r>
        <w:rPr>
          <w:color w:val="4D4D4F"/>
        </w:rPr>
        <w:t>It should also be noted that DELWP’s gazetted conservation outcomes statements include some that, technically by definition in DELWP’s MSA MRF, are MSA program ‘outputs’ performance measures, and as such will not be analysed in this report.</w:t>
      </w:r>
    </w:p>
    <w:p w14:paraId="0127E949" w14:textId="77777777" w:rsidR="00EF5B27" w:rsidRDefault="00000000">
      <w:pPr>
        <w:pStyle w:val="BodyText"/>
        <w:spacing w:before="117" w:line="254" w:lineRule="auto"/>
        <w:ind w:left="2608" w:right="151"/>
      </w:pPr>
      <w:r>
        <w:rPr>
          <w:color w:val="4D4D4F"/>
          <w:w w:val="105"/>
        </w:rPr>
        <w:t>For</w:t>
      </w:r>
      <w:r>
        <w:rPr>
          <w:color w:val="4D4D4F"/>
          <w:spacing w:val="-18"/>
          <w:w w:val="105"/>
        </w:rPr>
        <w:t xml:space="preserve"> </w:t>
      </w:r>
      <w:r>
        <w:rPr>
          <w:color w:val="4D4D4F"/>
          <w:spacing w:val="-3"/>
          <w:w w:val="105"/>
        </w:rPr>
        <w:t>assessing</w:t>
      </w:r>
      <w:r>
        <w:rPr>
          <w:color w:val="4D4D4F"/>
          <w:spacing w:val="-18"/>
          <w:w w:val="105"/>
        </w:rPr>
        <w:t xml:space="preserve"> </w:t>
      </w:r>
      <w:r>
        <w:rPr>
          <w:color w:val="4D4D4F"/>
          <w:spacing w:val="-3"/>
          <w:w w:val="105"/>
        </w:rPr>
        <w:t>ecological</w:t>
      </w:r>
      <w:r>
        <w:rPr>
          <w:color w:val="4D4D4F"/>
          <w:spacing w:val="-18"/>
          <w:w w:val="105"/>
        </w:rPr>
        <w:t xml:space="preserve"> </w:t>
      </w:r>
      <w:r>
        <w:rPr>
          <w:color w:val="4D4D4F"/>
          <w:spacing w:val="-3"/>
          <w:w w:val="105"/>
        </w:rPr>
        <w:t>status</w:t>
      </w:r>
      <w:r>
        <w:rPr>
          <w:color w:val="4D4D4F"/>
          <w:spacing w:val="-18"/>
          <w:w w:val="105"/>
        </w:rPr>
        <w:t xml:space="preserve"> </w:t>
      </w:r>
      <w:r>
        <w:rPr>
          <w:color w:val="4D4D4F"/>
          <w:w w:val="105"/>
        </w:rPr>
        <w:t>and</w:t>
      </w:r>
      <w:r>
        <w:rPr>
          <w:color w:val="4D4D4F"/>
          <w:spacing w:val="-18"/>
          <w:w w:val="105"/>
        </w:rPr>
        <w:t xml:space="preserve"> </w:t>
      </w:r>
      <w:r>
        <w:rPr>
          <w:color w:val="4D4D4F"/>
          <w:w w:val="105"/>
        </w:rPr>
        <w:t>trends,</w:t>
      </w:r>
      <w:r>
        <w:rPr>
          <w:color w:val="4D4D4F"/>
          <w:spacing w:val="-18"/>
          <w:w w:val="105"/>
        </w:rPr>
        <w:t xml:space="preserve"> </w:t>
      </w:r>
      <w:r>
        <w:rPr>
          <w:color w:val="4D4D4F"/>
          <w:spacing w:val="-3"/>
          <w:w w:val="105"/>
        </w:rPr>
        <w:t>DELWP</w:t>
      </w:r>
      <w:r>
        <w:rPr>
          <w:color w:val="4D4D4F"/>
          <w:spacing w:val="-18"/>
          <w:w w:val="105"/>
        </w:rPr>
        <w:t xml:space="preserve"> </w:t>
      </w:r>
      <w:r>
        <w:rPr>
          <w:color w:val="4D4D4F"/>
          <w:spacing w:val="-3"/>
          <w:w w:val="105"/>
        </w:rPr>
        <w:t>commissions</w:t>
      </w:r>
      <w:r>
        <w:rPr>
          <w:color w:val="4D4D4F"/>
          <w:spacing w:val="-18"/>
          <w:w w:val="105"/>
        </w:rPr>
        <w:t xml:space="preserve"> </w:t>
      </w:r>
      <w:r>
        <w:rPr>
          <w:color w:val="4D4D4F"/>
          <w:w w:val="105"/>
        </w:rPr>
        <w:t>ARI</w:t>
      </w:r>
      <w:r>
        <w:rPr>
          <w:color w:val="4D4D4F"/>
          <w:spacing w:val="-18"/>
          <w:w w:val="105"/>
        </w:rPr>
        <w:t xml:space="preserve"> </w:t>
      </w:r>
      <w:r>
        <w:rPr>
          <w:color w:val="4D4D4F"/>
          <w:spacing w:val="-3"/>
          <w:w w:val="105"/>
        </w:rPr>
        <w:t>to</w:t>
      </w:r>
      <w:r>
        <w:rPr>
          <w:color w:val="4D4D4F"/>
          <w:spacing w:val="-18"/>
          <w:w w:val="105"/>
        </w:rPr>
        <w:t xml:space="preserve"> </w:t>
      </w:r>
      <w:r>
        <w:rPr>
          <w:color w:val="4D4D4F"/>
          <w:spacing w:val="-4"/>
          <w:w w:val="105"/>
        </w:rPr>
        <w:t>develop,</w:t>
      </w:r>
      <w:r>
        <w:rPr>
          <w:color w:val="4D4D4F"/>
          <w:spacing w:val="-18"/>
          <w:w w:val="105"/>
        </w:rPr>
        <w:t xml:space="preserve"> </w:t>
      </w:r>
      <w:r>
        <w:rPr>
          <w:color w:val="4D4D4F"/>
          <w:w w:val="105"/>
        </w:rPr>
        <w:t>review and</w:t>
      </w:r>
      <w:r>
        <w:rPr>
          <w:color w:val="4D4D4F"/>
          <w:spacing w:val="-13"/>
          <w:w w:val="105"/>
        </w:rPr>
        <w:t xml:space="preserve"> </w:t>
      </w:r>
      <w:r>
        <w:rPr>
          <w:color w:val="4D4D4F"/>
          <w:w w:val="105"/>
        </w:rPr>
        <w:t>report</w:t>
      </w:r>
      <w:r>
        <w:rPr>
          <w:color w:val="4D4D4F"/>
          <w:spacing w:val="-13"/>
          <w:w w:val="105"/>
        </w:rPr>
        <w:t xml:space="preserve"> </w:t>
      </w:r>
      <w:r>
        <w:rPr>
          <w:color w:val="4D4D4F"/>
          <w:w w:val="105"/>
        </w:rPr>
        <w:t>on</w:t>
      </w:r>
      <w:r>
        <w:rPr>
          <w:color w:val="4D4D4F"/>
          <w:spacing w:val="-13"/>
          <w:w w:val="105"/>
        </w:rPr>
        <w:t xml:space="preserve"> </w:t>
      </w:r>
      <w:r>
        <w:rPr>
          <w:color w:val="4D4D4F"/>
          <w:w w:val="105"/>
        </w:rPr>
        <w:t>KPIs</w:t>
      </w:r>
      <w:r>
        <w:rPr>
          <w:color w:val="4D4D4F"/>
          <w:spacing w:val="-13"/>
          <w:w w:val="105"/>
        </w:rPr>
        <w:t xml:space="preserve"> </w:t>
      </w:r>
      <w:r>
        <w:rPr>
          <w:color w:val="4D4D4F"/>
          <w:w w:val="105"/>
        </w:rPr>
        <w:t>for</w:t>
      </w:r>
      <w:r>
        <w:rPr>
          <w:color w:val="4D4D4F"/>
          <w:spacing w:val="-13"/>
          <w:w w:val="105"/>
        </w:rPr>
        <w:t xml:space="preserve"> </w:t>
      </w:r>
      <w:r>
        <w:rPr>
          <w:color w:val="4D4D4F"/>
          <w:w w:val="105"/>
        </w:rPr>
        <w:t>each</w:t>
      </w:r>
      <w:r>
        <w:rPr>
          <w:color w:val="4D4D4F"/>
          <w:spacing w:val="-13"/>
          <w:w w:val="105"/>
        </w:rPr>
        <w:t xml:space="preserve"> </w:t>
      </w:r>
      <w:r>
        <w:rPr>
          <w:color w:val="4D4D4F"/>
          <w:w w:val="105"/>
        </w:rPr>
        <w:t>MNES.</w:t>
      </w:r>
      <w:r>
        <w:rPr>
          <w:color w:val="4D4D4F"/>
          <w:spacing w:val="-13"/>
          <w:w w:val="105"/>
        </w:rPr>
        <w:t xml:space="preserve"> </w:t>
      </w:r>
      <w:r>
        <w:rPr>
          <w:color w:val="4D4D4F"/>
          <w:w w:val="105"/>
        </w:rPr>
        <w:t>These</w:t>
      </w:r>
      <w:r>
        <w:rPr>
          <w:color w:val="4D4D4F"/>
          <w:spacing w:val="-12"/>
          <w:w w:val="105"/>
        </w:rPr>
        <w:t xml:space="preserve"> </w:t>
      </w:r>
      <w:r>
        <w:rPr>
          <w:color w:val="4D4D4F"/>
          <w:w w:val="105"/>
        </w:rPr>
        <w:t>KPIs</w:t>
      </w:r>
      <w:r>
        <w:rPr>
          <w:color w:val="4D4D4F"/>
          <w:spacing w:val="-13"/>
          <w:w w:val="105"/>
        </w:rPr>
        <w:t xml:space="preserve"> </w:t>
      </w:r>
      <w:r>
        <w:rPr>
          <w:color w:val="4D4D4F"/>
          <w:w w:val="105"/>
        </w:rPr>
        <w:t>sit</w:t>
      </w:r>
      <w:r>
        <w:rPr>
          <w:color w:val="4D4D4F"/>
          <w:spacing w:val="-13"/>
          <w:w w:val="105"/>
        </w:rPr>
        <w:t xml:space="preserve"> </w:t>
      </w:r>
      <w:r>
        <w:rPr>
          <w:color w:val="4D4D4F"/>
          <w:w w:val="105"/>
        </w:rPr>
        <w:t>beneath</w:t>
      </w:r>
      <w:r>
        <w:rPr>
          <w:color w:val="4D4D4F"/>
          <w:spacing w:val="-13"/>
          <w:w w:val="105"/>
        </w:rPr>
        <w:t xml:space="preserve"> </w:t>
      </w:r>
      <w:r>
        <w:rPr>
          <w:color w:val="4D4D4F"/>
          <w:w w:val="105"/>
        </w:rPr>
        <w:t>the</w:t>
      </w:r>
      <w:r>
        <w:rPr>
          <w:color w:val="4D4D4F"/>
          <w:spacing w:val="-13"/>
          <w:w w:val="105"/>
        </w:rPr>
        <w:t xml:space="preserve"> </w:t>
      </w:r>
      <w:r>
        <w:rPr>
          <w:color w:val="4D4D4F"/>
          <w:w w:val="105"/>
        </w:rPr>
        <w:t>outcome</w:t>
      </w:r>
      <w:r>
        <w:rPr>
          <w:color w:val="4D4D4F"/>
          <w:spacing w:val="-13"/>
          <w:w w:val="105"/>
        </w:rPr>
        <w:t xml:space="preserve"> </w:t>
      </w:r>
      <w:r>
        <w:rPr>
          <w:color w:val="4D4D4F"/>
          <w:w w:val="105"/>
        </w:rPr>
        <w:t>statements. These</w:t>
      </w:r>
      <w:r>
        <w:rPr>
          <w:color w:val="4D4D4F"/>
          <w:spacing w:val="-14"/>
          <w:w w:val="105"/>
        </w:rPr>
        <w:t xml:space="preserve"> </w:t>
      </w:r>
      <w:r>
        <w:rPr>
          <w:color w:val="4D4D4F"/>
          <w:w w:val="105"/>
        </w:rPr>
        <w:t>KPIs</w:t>
      </w:r>
      <w:r>
        <w:rPr>
          <w:color w:val="4D4D4F"/>
          <w:spacing w:val="-13"/>
          <w:w w:val="105"/>
        </w:rPr>
        <w:t xml:space="preserve"> </w:t>
      </w:r>
      <w:r>
        <w:rPr>
          <w:color w:val="4D4D4F"/>
          <w:w w:val="105"/>
        </w:rPr>
        <w:t>were</w:t>
      </w:r>
      <w:r>
        <w:rPr>
          <w:color w:val="4D4D4F"/>
          <w:spacing w:val="-13"/>
          <w:w w:val="105"/>
        </w:rPr>
        <w:t xml:space="preserve"> </w:t>
      </w:r>
      <w:r>
        <w:rPr>
          <w:color w:val="4D4D4F"/>
          <w:w w:val="105"/>
        </w:rPr>
        <w:t>designed</w:t>
      </w:r>
      <w:r>
        <w:rPr>
          <w:color w:val="4D4D4F"/>
          <w:spacing w:val="-14"/>
          <w:w w:val="105"/>
        </w:rPr>
        <w:t xml:space="preserve"> </w:t>
      </w:r>
      <w:r>
        <w:rPr>
          <w:color w:val="4D4D4F"/>
          <w:w w:val="105"/>
        </w:rPr>
        <w:t>by</w:t>
      </w:r>
      <w:r>
        <w:rPr>
          <w:color w:val="4D4D4F"/>
          <w:spacing w:val="-13"/>
          <w:w w:val="105"/>
        </w:rPr>
        <w:t xml:space="preserve"> </w:t>
      </w:r>
      <w:r>
        <w:rPr>
          <w:color w:val="4D4D4F"/>
          <w:w w:val="105"/>
        </w:rPr>
        <w:t>ARI</w:t>
      </w:r>
      <w:r>
        <w:rPr>
          <w:color w:val="4D4D4F"/>
          <w:spacing w:val="-13"/>
          <w:w w:val="105"/>
        </w:rPr>
        <w:t xml:space="preserve"> </w:t>
      </w:r>
      <w:r>
        <w:rPr>
          <w:color w:val="4D4D4F"/>
          <w:w w:val="105"/>
        </w:rPr>
        <w:t>to</w:t>
      </w:r>
      <w:r>
        <w:rPr>
          <w:color w:val="4D4D4F"/>
          <w:spacing w:val="-13"/>
          <w:w w:val="105"/>
        </w:rPr>
        <w:t xml:space="preserve"> </w:t>
      </w:r>
      <w:r>
        <w:rPr>
          <w:color w:val="4D4D4F"/>
          <w:w w:val="105"/>
        </w:rPr>
        <w:t>assess</w:t>
      </w:r>
      <w:r>
        <w:rPr>
          <w:color w:val="4D4D4F"/>
          <w:spacing w:val="-14"/>
          <w:w w:val="105"/>
        </w:rPr>
        <w:t xml:space="preserve"> </w:t>
      </w:r>
      <w:r>
        <w:rPr>
          <w:color w:val="4D4D4F"/>
          <w:w w:val="105"/>
        </w:rPr>
        <w:t>whether</w:t>
      </w:r>
      <w:r>
        <w:rPr>
          <w:color w:val="4D4D4F"/>
          <w:spacing w:val="-13"/>
          <w:w w:val="105"/>
        </w:rPr>
        <w:t xml:space="preserve"> </w:t>
      </w:r>
      <w:r>
        <w:rPr>
          <w:color w:val="4D4D4F"/>
          <w:w w:val="105"/>
        </w:rPr>
        <w:t>each</w:t>
      </w:r>
      <w:r>
        <w:rPr>
          <w:color w:val="4D4D4F"/>
          <w:spacing w:val="-13"/>
          <w:w w:val="105"/>
        </w:rPr>
        <w:t xml:space="preserve"> </w:t>
      </w:r>
      <w:r>
        <w:rPr>
          <w:color w:val="4D4D4F"/>
          <w:w w:val="105"/>
        </w:rPr>
        <w:t>outcome</w:t>
      </w:r>
      <w:r>
        <w:rPr>
          <w:color w:val="4D4D4F"/>
          <w:spacing w:val="-14"/>
          <w:w w:val="105"/>
        </w:rPr>
        <w:t xml:space="preserve"> </w:t>
      </w:r>
      <w:r>
        <w:rPr>
          <w:color w:val="4D4D4F"/>
          <w:w w:val="105"/>
        </w:rPr>
        <w:t>is</w:t>
      </w:r>
      <w:r>
        <w:rPr>
          <w:color w:val="4D4D4F"/>
          <w:spacing w:val="-13"/>
          <w:w w:val="105"/>
        </w:rPr>
        <w:t xml:space="preserve"> </w:t>
      </w:r>
      <w:r>
        <w:rPr>
          <w:color w:val="4D4D4F"/>
          <w:w w:val="105"/>
        </w:rPr>
        <w:t>being</w:t>
      </w:r>
      <w:r>
        <w:rPr>
          <w:color w:val="4D4D4F"/>
          <w:spacing w:val="-13"/>
          <w:w w:val="105"/>
        </w:rPr>
        <w:t xml:space="preserve"> </w:t>
      </w:r>
      <w:r>
        <w:rPr>
          <w:color w:val="4D4D4F"/>
          <w:w w:val="105"/>
        </w:rPr>
        <w:t>achieved. According</w:t>
      </w:r>
      <w:r>
        <w:rPr>
          <w:color w:val="4D4D4F"/>
          <w:spacing w:val="-16"/>
          <w:w w:val="105"/>
        </w:rPr>
        <w:t xml:space="preserve"> </w:t>
      </w:r>
      <w:r>
        <w:rPr>
          <w:color w:val="4D4D4F"/>
          <w:w w:val="105"/>
        </w:rPr>
        <w:t>to</w:t>
      </w:r>
      <w:r>
        <w:rPr>
          <w:color w:val="4D4D4F"/>
          <w:spacing w:val="-15"/>
          <w:w w:val="105"/>
        </w:rPr>
        <w:t xml:space="preserve"> </w:t>
      </w:r>
      <w:r>
        <w:rPr>
          <w:color w:val="4D4D4F"/>
          <w:w w:val="105"/>
        </w:rPr>
        <w:t>ARI,</w:t>
      </w:r>
      <w:r>
        <w:rPr>
          <w:color w:val="4D4D4F"/>
          <w:spacing w:val="-15"/>
          <w:w w:val="105"/>
        </w:rPr>
        <w:t xml:space="preserve"> </w:t>
      </w:r>
      <w:r>
        <w:rPr>
          <w:color w:val="4D4D4F"/>
          <w:w w:val="105"/>
        </w:rPr>
        <w:t>the</w:t>
      </w:r>
      <w:r>
        <w:rPr>
          <w:color w:val="4D4D4F"/>
          <w:spacing w:val="-16"/>
          <w:w w:val="105"/>
        </w:rPr>
        <w:t xml:space="preserve"> </w:t>
      </w:r>
      <w:r>
        <w:rPr>
          <w:color w:val="4D4D4F"/>
          <w:w w:val="105"/>
        </w:rPr>
        <w:t>choice</w:t>
      </w:r>
      <w:r>
        <w:rPr>
          <w:color w:val="4D4D4F"/>
          <w:spacing w:val="-15"/>
          <w:w w:val="105"/>
        </w:rPr>
        <w:t xml:space="preserve"> </w:t>
      </w:r>
      <w:r>
        <w:rPr>
          <w:color w:val="4D4D4F"/>
          <w:w w:val="105"/>
        </w:rPr>
        <w:t>of</w:t>
      </w:r>
      <w:r>
        <w:rPr>
          <w:color w:val="4D4D4F"/>
          <w:spacing w:val="-15"/>
          <w:w w:val="105"/>
        </w:rPr>
        <w:t xml:space="preserve"> </w:t>
      </w:r>
      <w:r>
        <w:rPr>
          <w:color w:val="4D4D4F"/>
          <w:w w:val="105"/>
        </w:rPr>
        <w:t>each</w:t>
      </w:r>
      <w:r>
        <w:rPr>
          <w:color w:val="4D4D4F"/>
          <w:spacing w:val="-16"/>
          <w:w w:val="105"/>
        </w:rPr>
        <w:t xml:space="preserve"> </w:t>
      </w:r>
      <w:r>
        <w:rPr>
          <w:color w:val="4D4D4F"/>
          <w:w w:val="105"/>
        </w:rPr>
        <w:t>KPI</w:t>
      </w:r>
      <w:r>
        <w:rPr>
          <w:color w:val="4D4D4F"/>
          <w:spacing w:val="-15"/>
          <w:w w:val="105"/>
        </w:rPr>
        <w:t xml:space="preserve"> </w:t>
      </w:r>
      <w:r>
        <w:rPr>
          <w:color w:val="4D4D4F"/>
          <w:w w:val="105"/>
        </w:rPr>
        <w:t>is</w:t>
      </w:r>
      <w:r>
        <w:rPr>
          <w:color w:val="4D4D4F"/>
          <w:spacing w:val="-15"/>
          <w:w w:val="105"/>
        </w:rPr>
        <w:t xml:space="preserve"> </w:t>
      </w:r>
      <w:r>
        <w:rPr>
          <w:color w:val="4D4D4F"/>
          <w:w w:val="105"/>
        </w:rPr>
        <w:t>determined</w:t>
      </w:r>
      <w:r>
        <w:rPr>
          <w:color w:val="4D4D4F"/>
          <w:spacing w:val="-16"/>
          <w:w w:val="105"/>
        </w:rPr>
        <w:t xml:space="preserve"> </w:t>
      </w:r>
      <w:r>
        <w:rPr>
          <w:color w:val="4D4D4F"/>
          <w:w w:val="105"/>
        </w:rPr>
        <w:t>by</w:t>
      </w:r>
      <w:r>
        <w:rPr>
          <w:color w:val="4D4D4F"/>
          <w:spacing w:val="-15"/>
          <w:w w:val="105"/>
        </w:rPr>
        <w:t xml:space="preserve"> </w:t>
      </w:r>
      <w:r>
        <w:rPr>
          <w:color w:val="4D4D4F"/>
          <w:w w:val="105"/>
        </w:rPr>
        <w:t>the</w:t>
      </w:r>
      <w:r>
        <w:rPr>
          <w:color w:val="4D4D4F"/>
          <w:spacing w:val="-15"/>
          <w:w w:val="105"/>
        </w:rPr>
        <w:t xml:space="preserve"> </w:t>
      </w:r>
      <w:r>
        <w:rPr>
          <w:color w:val="4D4D4F"/>
          <w:w w:val="105"/>
        </w:rPr>
        <w:t>form</w:t>
      </w:r>
      <w:r>
        <w:rPr>
          <w:color w:val="4D4D4F"/>
          <w:spacing w:val="-16"/>
          <w:w w:val="105"/>
        </w:rPr>
        <w:t xml:space="preserve"> </w:t>
      </w:r>
      <w:r>
        <w:rPr>
          <w:color w:val="4D4D4F"/>
          <w:w w:val="105"/>
        </w:rPr>
        <w:t>of</w:t>
      </w:r>
      <w:r>
        <w:rPr>
          <w:color w:val="4D4D4F"/>
          <w:spacing w:val="-15"/>
          <w:w w:val="105"/>
        </w:rPr>
        <w:t xml:space="preserve"> </w:t>
      </w:r>
      <w:r>
        <w:rPr>
          <w:color w:val="4D4D4F"/>
          <w:w w:val="105"/>
        </w:rPr>
        <w:t>the</w:t>
      </w:r>
      <w:r>
        <w:rPr>
          <w:color w:val="4D4D4F"/>
          <w:spacing w:val="-15"/>
          <w:w w:val="105"/>
        </w:rPr>
        <w:t xml:space="preserve"> </w:t>
      </w:r>
      <w:r>
        <w:rPr>
          <w:color w:val="4D4D4F"/>
          <w:w w:val="105"/>
        </w:rPr>
        <w:t>outcome, the ecological characteristics of the species or vegetation communities (mobility, detectability,</w:t>
      </w:r>
      <w:r>
        <w:rPr>
          <w:color w:val="4D4D4F"/>
          <w:spacing w:val="-17"/>
          <w:w w:val="105"/>
        </w:rPr>
        <w:t xml:space="preserve"> </w:t>
      </w:r>
      <w:r>
        <w:rPr>
          <w:color w:val="4D4D4F"/>
          <w:w w:val="105"/>
        </w:rPr>
        <w:t>temporal</w:t>
      </w:r>
      <w:r>
        <w:rPr>
          <w:color w:val="4D4D4F"/>
          <w:spacing w:val="-16"/>
          <w:w w:val="105"/>
        </w:rPr>
        <w:t xml:space="preserve"> </w:t>
      </w:r>
      <w:r>
        <w:rPr>
          <w:color w:val="4D4D4F"/>
          <w:w w:val="105"/>
        </w:rPr>
        <w:t>variation,</w:t>
      </w:r>
      <w:r>
        <w:rPr>
          <w:color w:val="4D4D4F"/>
          <w:spacing w:val="-16"/>
          <w:w w:val="105"/>
        </w:rPr>
        <w:t xml:space="preserve"> </w:t>
      </w:r>
      <w:r>
        <w:rPr>
          <w:color w:val="4D4D4F"/>
          <w:w w:val="105"/>
        </w:rPr>
        <w:t>etc.),</w:t>
      </w:r>
      <w:r>
        <w:rPr>
          <w:color w:val="4D4D4F"/>
          <w:spacing w:val="-17"/>
          <w:w w:val="105"/>
        </w:rPr>
        <w:t xml:space="preserve"> </w:t>
      </w:r>
      <w:r>
        <w:rPr>
          <w:color w:val="4D4D4F"/>
          <w:w w:val="105"/>
        </w:rPr>
        <w:t>the</w:t>
      </w:r>
      <w:r>
        <w:rPr>
          <w:color w:val="4D4D4F"/>
          <w:spacing w:val="-16"/>
          <w:w w:val="105"/>
        </w:rPr>
        <w:t xml:space="preserve"> </w:t>
      </w:r>
      <w:r>
        <w:rPr>
          <w:color w:val="4D4D4F"/>
          <w:w w:val="105"/>
        </w:rPr>
        <w:t>feasibility</w:t>
      </w:r>
      <w:r>
        <w:rPr>
          <w:color w:val="4D4D4F"/>
          <w:spacing w:val="-16"/>
          <w:w w:val="105"/>
        </w:rPr>
        <w:t xml:space="preserve"> </w:t>
      </w:r>
      <w:r>
        <w:rPr>
          <w:color w:val="4D4D4F"/>
          <w:w w:val="105"/>
        </w:rPr>
        <w:t>and</w:t>
      </w:r>
      <w:r>
        <w:rPr>
          <w:color w:val="4D4D4F"/>
          <w:spacing w:val="-17"/>
          <w:w w:val="105"/>
        </w:rPr>
        <w:t xml:space="preserve"> </w:t>
      </w:r>
      <w:r>
        <w:rPr>
          <w:color w:val="4D4D4F"/>
          <w:w w:val="105"/>
        </w:rPr>
        <w:t>cost</w:t>
      </w:r>
      <w:r>
        <w:rPr>
          <w:color w:val="4D4D4F"/>
          <w:spacing w:val="-16"/>
          <w:w w:val="105"/>
        </w:rPr>
        <w:t xml:space="preserve"> </w:t>
      </w:r>
      <w:r>
        <w:rPr>
          <w:color w:val="4D4D4F"/>
          <w:w w:val="105"/>
        </w:rPr>
        <w:t>of</w:t>
      </w:r>
      <w:r>
        <w:rPr>
          <w:color w:val="4D4D4F"/>
          <w:spacing w:val="-16"/>
          <w:w w:val="105"/>
        </w:rPr>
        <w:t xml:space="preserve"> </w:t>
      </w:r>
      <w:r>
        <w:rPr>
          <w:color w:val="4D4D4F"/>
          <w:w w:val="105"/>
        </w:rPr>
        <w:t>measurement,</w:t>
      </w:r>
    </w:p>
    <w:p w14:paraId="732D3A02" w14:textId="77777777" w:rsidR="00EF5B27" w:rsidRDefault="00000000">
      <w:pPr>
        <w:pStyle w:val="BodyText"/>
        <w:spacing w:before="8"/>
        <w:ind w:left="2608"/>
        <w:rPr>
          <w:sz w:val="11"/>
        </w:rPr>
      </w:pPr>
      <w:r>
        <w:rPr>
          <w:color w:val="4D4D4F"/>
        </w:rPr>
        <w:t>and the spatial distribution of the species or vegetation community.</w:t>
      </w:r>
      <w:r>
        <w:rPr>
          <w:color w:val="4D4D4F"/>
          <w:position w:val="7"/>
          <w:sz w:val="11"/>
        </w:rPr>
        <w:t>105</w:t>
      </w:r>
    </w:p>
    <w:p w14:paraId="29174A2D" w14:textId="77777777" w:rsidR="00EF5B27" w:rsidRDefault="00000000">
      <w:pPr>
        <w:pStyle w:val="BodyText"/>
        <w:spacing w:before="129" w:line="254" w:lineRule="auto"/>
        <w:ind w:left="2608" w:right="411"/>
        <w:jc w:val="both"/>
        <w:rPr>
          <w:sz w:val="11"/>
        </w:rPr>
      </w:pPr>
      <w:r>
        <w:rPr>
          <w:color w:val="4D4D4F"/>
        </w:rPr>
        <w:t>For species, these KPIs may relate to abundance and/or occupancy. For vegetation communities, KPIs may relate to cover of selected plants, richness of plant species within selected groups, heterogeneity and/or proportion of community undergoing undesirable changes between states.</w:t>
      </w:r>
      <w:r>
        <w:rPr>
          <w:color w:val="4D4D4F"/>
          <w:position w:val="7"/>
          <w:sz w:val="11"/>
        </w:rPr>
        <w:t>106</w:t>
      </w:r>
    </w:p>
    <w:p w14:paraId="7D85717E" w14:textId="77777777" w:rsidR="00EF5B27" w:rsidRDefault="00000000">
      <w:pPr>
        <w:pStyle w:val="BodyText"/>
        <w:spacing w:before="118" w:line="254" w:lineRule="auto"/>
        <w:ind w:left="2608" w:right="221"/>
      </w:pPr>
      <w:r>
        <w:rPr>
          <w:color w:val="4D4D4F"/>
        </w:rPr>
        <w:t xml:space="preserve">Informal changes to the MRF have occurred since the official publication of this document in </w:t>
      </w:r>
      <w:r>
        <w:rPr>
          <w:color w:val="4D4D4F"/>
          <w:spacing w:val="-3"/>
        </w:rPr>
        <w:t xml:space="preserve">2015. </w:t>
      </w:r>
      <w:r>
        <w:rPr>
          <w:color w:val="4D4D4F"/>
        </w:rPr>
        <w:t xml:space="preserve">ARI detailed these in its MSA Outcomes Report </w:t>
      </w:r>
      <w:r>
        <w:rPr>
          <w:color w:val="4D4D4F"/>
          <w:spacing w:val="-5"/>
        </w:rPr>
        <w:t xml:space="preserve">2014/15–2019/20. </w:t>
      </w:r>
      <w:r>
        <w:rPr>
          <w:color w:val="4D4D4F"/>
        </w:rPr>
        <w:t xml:space="preserve">ARI </w:t>
      </w:r>
      <w:r>
        <w:rPr>
          <w:color w:val="4D4D4F"/>
          <w:spacing w:val="-3"/>
        </w:rPr>
        <w:t xml:space="preserve">has </w:t>
      </w:r>
      <w:r>
        <w:rPr>
          <w:color w:val="4D4D4F"/>
          <w:spacing w:val="-4"/>
        </w:rPr>
        <w:t xml:space="preserve">since </w:t>
      </w:r>
      <w:r>
        <w:rPr>
          <w:color w:val="4D4D4F"/>
          <w:spacing w:val="-3"/>
        </w:rPr>
        <w:t xml:space="preserve">made </w:t>
      </w:r>
      <w:r>
        <w:rPr>
          <w:color w:val="4D4D4F"/>
        </w:rPr>
        <w:t xml:space="preserve">further </w:t>
      </w:r>
      <w:r>
        <w:rPr>
          <w:color w:val="4D4D4F"/>
          <w:spacing w:val="-4"/>
        </w:rPr>
        <w:t xml:space="preserve">informal </w:t>
      </w:r>
      <w:r>
        <w:rPr>
          <w:color w:val="4D4D4F"/>
          <w:spacing w:val="-3"/>
        </w:rPr>
        <w:t xml:space="preserve">updates to the </w:t>
      </w:r>
      <w:r>
        <w:rPr>
          <w:color w:val="4D4D4F"/>
          <w:spacing w:val="-4"/>
        </w:rPr>
        <w:t xml:space="preserve">monitoring </w:t>
      </w:r>
      <w:r>
        <w:rPr>
          <w:color w:val="4D4D4F"/>
          <w:spacing w:val="-3"/>
        </w:rPr>
        <w:t xml:space="preserve">protocol for 2020–2022 </w:t>
      </w:r>
      <w:r>
        <w:rPr>
          <w:color w:val="4D4D4F"/>
        </w:rPr>
        <w:t>via an internal document,</w:t>
      </w:r>
      <w:r>
        <w:rPr>
          <w:color w:val="4D4D4F"/>
          <w:position w:val="7"/>
          <w:sz w:val="11"/>
        </w:rPr>
        <w:t xml:space="preserve">107 </w:t>
      </w:r>
      <w:r>
        <w:rPr>
          <w:color w:val="4D4D4F"/>
        </w:rPr>
        <w:t>and these changes are documented in Appendix 2.</w:t>
      </w:r>
    </w:p>
    <w:p w14:paraId="035FE41D" w14:textId="77777777" w:rsidR="00EF5B27" w:rsidRDefault="00000000">
      <w:pPr>
        <w:pStyle w:val="Heading6"/>
        <w:spacing w:before="118"/>
      </w:pPr>
      <w:r>
        <w:rPr>
          <w:color w:val="4D4D4F"/>
        </w:rPr>
        <w:t>Targets, baselines and continual improvement</w:t>
      </w:r>
    </w:p>
    <w:p w14:paraId="10BEF166" w14:textId="77777777" w:rsidR="00EF5B27" w:rsidRDefault="00000000">
      <w:pPr>
        <w:pStyle w:val="BodyText"/>
        <w:spacing w:before="130" w:line="254" w:lineRule="auto"/>
        <w:ind w:left="2608" w:right="969"/>
        <w:jc w:val="both"/>
        <w:rPr>
          <w:sz w:val="11"/>
        </w:rPr>
      </w:pPr>
      <w:r>
        <w:rPr>
          <w:color w:val="4D4D4F"/>
        </w:rPr>
        <w:t>The following outlines the general design of targets, baselines and continual improvement approaches under the MSA MRF and has been extracted from the MSA Outcomes Report 2014–2020.</w:t>
      </w:r>
      <w:r>
        <w:rPr>
          <w:color w:val="4D4D4F"/>
          <w:position w:val="7"/>
          <w:sz w:val="11"/>
        </w:rPr>
        <w:t>108</w:t>
      </w:r>
    </w:p>
    <w:p w14:paraId="083F86C3" w14:textId="77777777" w:rsidR="00EF5B27" w:rsidRDefault="00EF5B27">
      <w:pPr>
        <w:pStyle w:val="BodyText"/>
        <w:spacing w:before="1"/>
        <w:rPr>
          <w:sz w:val="28"/>
        </w:rPr>
      </w:pPr>
    </w:p>
    <w:p w14:paraId="08219CDE" w14:textId="77777777" w:rsidR="00EF5B27" w:rsidRDefault="00000000">
      <w:pPr>
        <w:pStyle w:val="BodyText"/>
        <w:spacing w:before="1" w:line="254" w:lineRule="auto"/>
        <w:ind w:left="3175" w:right="440"/>
      </w:pPr>
      <w:r>
        <w:pict w14:anchorId="7F2EAD54">
          <v:line id="_x0000_s3662" style="position:absolute;left:0;text-align:left;z-index:251529728;mso-position-horizontal-relative:page" from="181.4pt,-1.4pt" to="181.4pt,141.45pt" strokecolor="#f99f2a" strokeweight="1pt">
            <w10:wrap anchorx="page"/>
          </v:line>
        </w:pict>
      </w:r>
      <w:r>
        <w:rPr>
          <w:color w:val="4D4D4F"/>
          <w:w w:val="105"/>
        </w:rPr>
        <w:t>‘For</w:t>
      </w:r>
      <w:r>
        <w:rPr>
          <w:color w:val="4D4D4F"/>
          <w:spacing w:val="-23"/>
          <w:w w:val="105"/>
        </w:rPr>
        <w:t xml:space="preserve"> </w:t>
      </w:r>
      <w:r>
        <w:rPr>
          <w:color w:val="4D4D4F"/>
          <w:w w:val="105"/>
        </w:rPr>
        <w:t>each</w:t>
      </w:r>
      <w:r>
        <w:rPr>
          <w:color w:val="4D4D4F"/>
          <w:spacing w:val="-23"/>
          <w:w w:val="105"/>
        </w:rPr>
        <w:t xml:space="preserve"> </w:t>
      </w:r>
      <w:r>
        <w:rPr>
          <w:color w:val="4D4D4F"/>
          <w:w w:val="105"/>
        </w:rPr>
        <w:t>MNES</w:t>
      </w:r>
      <w:r>
        <w:rPr>
          <w:color w:val="4D4D4F"/>
          <w:spacing w:val="-23"/>
          <w:w w:val="105"/>
        </w:rPr>
        <w:t xml:space="preserve"> </w:t>
      </w:r>
      <w:r>
        <w:rPr>
          <w:color w:val="4D4D4F"/>
          <w:w w:val="105"/>
        </w:rPr>
        <w:t>under</w:t>
      </w:r>
      <w:r>
        <w:rPr>
          <w:color w:val="4D4D4F"/>
          <w:spacing w:val="-23"/>
          <w:w w:val="105"/>
        </w:rPr>
        <w:t xml:space="preserve"> </w:t>
      </w:r>
      <w:r>
        <w:rPr>
          <w:color w:val="4D4D4F"/>
          <w:w w:val="105"/>
        </w:rPr>
        <w:t>MSA</w:t>
      </w:r>
      <w:r>
        <w:rPr>
          <w:color w:val="4D4D4F"/>
          <w:spacing w:val="-23"/>
          <w:w w:val="105"/>
        </w:rPr>
        <w:t xml:space="preserve"> </w:t>
      </w:r>
      <w:r>
        <w:rPr>
          <w:color w:val="4D4D4F"/>
          <w:w w:val="105"/>
        </w:rPr>
        <w:t>management,</w:t>
      </w:r>
      <w:r>
        <w:rPr>
          <w:color w:val="4D4D4F"/>
          <w:spacing w:val="-23"/>
          <w:w w:val="105"/>
        </w:rPr>
        <w:t xml:space="preserve"> </w:t>
      </w:r>
      <w:r>
        <w:rPr>
          <w:color w:val="4D4D4F"/>
          <w:w w:val="105"/>
        </w:rPr>
        <w:t>DELWP</w:t>
      </w:r>
      <w:r>
        <w:rPr>
          <w:color w:val="4D4D4F"/>
          <w:spacing w:val="-23"/>
          <w:w w:val="105"/>
        </w:rPr>
        <w:t xml:space="preserve"> </w:t>
      </w:r>
      <w:r>
        <w:rPr>
          <w:color w:val="4D4D4F"/>
          <w:w w:val="105"/>
        </w:rPr>
        <w:t>has</w:t>
      </w:r>
      <w:r>
        <w:rPr>
          <w:color w:val="4D4D4F"/>
          <w:spacing w:val="-23"/>
          <w:w w:val="105"/>
        </w:rPr>
        <w:t xml:space="preserve"> </w:t>
      </w:r>
      <w:r>
        <w:rPr>
          <w:color w:val="4D4D4F"/>
          <w:w w:val="105"/>
        </w:rPr>
        <w:t>created</w:t>
      </w:r>
      <w:r>
        <w:rPr>
          <w:color w:val="4D4D4F"/>
          <w:spacing w:val="-23"/>
          <w:w w:val="105"/>
        </w:rPr>
        <w:t xml:space="preserve"> </w:t>
      </w:r>
      <w:r>
        <w:rPr>
          <w:color w:val="4D4D4F"/>
          <w:w w:val="105"/>
        </w:rPr>
        <w:t xml:space="preserve">performance targets. These vary according to the characteristics of the species or community – </w:t>
      </w:r>
      <w:r>
        <w:rPr>
          <w:color w:val="4D4D4F"/>
          <w:spacing w:val="-3"/>
          <w:w w:val="105"/>
        </w:rPr>
        <w:t xml:space="preserve">however, </w:t>
      </w:r>
      <w:r>
        <w:rPr>
          <w:color w:val="4D4D4F"/>
          <w:w w:val="105"/>
        </w:rPr>
        <w:t>there are several consistent</w:t>
      </w:r>
      <w:r>
        <w:rPr>
          <w:color w:val="4D4D4F"/>
          <w:spacing w:val="-29"/>
          <w:w w:val="105"/>
        </w:rPr>
        <w:t xml:space="preserve"> </w:t>
      </w:r>
      <w:r>
        <w:rPr>
          <w:color w:val="4D4D4F"/>
          <w:w w:val="105"/>
        </w:rPr>
        <w:t>themes:</w:t>
      </w:r>
    </w:p>
    <w:p w14:paraId="0C8BA2B4" w14:textId="77777777" w:rsidR="00EF5B27" w:rsidRDefault="00000000">
      <w:pPr>
        <w:pStyle w:val="ListParagraph"/>
        <w:numPr>
          <w:ilvl w:val="1"/>
          <w:numId w:val="46"/>
        </w:numPr>
        <w:tabs>
          <w:tab w:val="left" w:pos="3346"/>
        </w:tabs>
        <w:spacing w:before="117" w:line="254" w:lineRule="auto"/>
        <w:ind w:right="614"/>
        <w:rPr>
          <w:sz w:val="20"/>
        </w:rPr>
      </w:pPr>
      <w:r>
        <w:rPr>
          <w:color w:val="4D4D4F"/>
          <w:sz w:val="20"/>
        </w:rPr>
        <w:t xml:space="preserve">most KPIs are assessed against a baseline,  which  sets  the  measure that the relevant attribute must remain above </w:t>
      </w:r>
      <w:r>
        <w:rPr>
          <w:color w:val="4D4D4F"/>
          <w:spacing w:val="-3"/>
          <w:sz w:val="20"/>
        </w:rPr>
        <w:t xml:space="preserve">(for </w:t>
      </w:r>
      <w:r>
        <w:rPr>
          <w:color w:val="4D4D4F"/>
          <w:sz w:val="20"/>
        </w:rPr>
        <w:t xml:space="preserve">desirable attributes such as populations of threatened species) or below </w:t>
      </w:r>
      <w:r>
        <w:rPr>
          <w:color w:val="4D4D4F"/>
          <w:spacing w:val="-3"/>
          <w:sz w:val="20"/>
        </w:rPr>
        <w:t xml:space="preserve">(for </w:t>
      </w:r>
      <w:r>
        <w:rPr>
          <w:color w:val="4D4D4F"/>
          <w:sz w:val="20"/>
        </w:rPr>
        <w:t>undesirable attributes such as weeds). In all such cases, the KPI is not met once the 95% confidence interval on the measure fails to meet the</w:t>
      </w:r>
      <w:r>
        <w:rPr>
          <w:color w:val="4D4D4F"/>
          <w:spacing w:val="21"/>
          <w:sz w:val="20"/>
        </w:rPr>
        <w:t xml:space="preserve"> </w:t>
      </w:r>
      <w:r>
        <w:rPr>
          <w:color w:val="4D4D4F"/>
          <w:sz w:val="20"/>
        </w:rPr>
        <w:t>baseline.</w:t>
      </w:r>
    </w:p>
    <w:p w14:paraId="63ED93C1" w14:textId="77777777" w:rsidR="00EF5B27" w:rsidRDefault="00000000">
      <w:pPr>
        <w:pStyle w:val="ListParagraph"/>
        <w:numPr>
          <w:ilvl w:val="1"/>
          <w:numId w:val="46"/>
        </w:numPr>
        <w:tabs>
          <w:tab w:val="left" w:pos="3346"/>
        </w:tabs>
        <w:spacing w:before="119" w:line="254" w:lineRule="auto"/>
        <w:ind w:right="390"/>
        <w:rPr>
          <w:sz w:val="20"/>
        </w:rPr>
      </w:pPr>
      <w:r>
        <w:rPr>
          <w:color w:val="4D4D4F"/>
          <w:sz w:val="20"/>
        </w:rPr>
        <w:t xml:space="preserve">all baseline values that are derived from means </w:t>
      </w:r>
      <w:r>
        <w:rPr>
          <w:color w:val="4D4D4F"/>
          <w:spacing w:val="-3"/>
          <w:sz w:val="20"/>
        </w:rPr>
        <w:t xml:space="preserve">(for </w:t>
      </w:r>
      <w:r>
        <w:rPr>
          <w:color w:val="4D4D4F"/>
          <w:sz w:val="20"/>
        </w:rPr>
        <w:t>percentage cover and species counts) are rounded to the nearest whole</w:t>
      </w:r>
      <w:r>
        <w:rPr>
          <w:color w:val="4D4D4F"/>
          <w:spacing w:val="32"/>
          <w:sz w:val="20"/>
        </w:rPr>
        <w:t xml:space="preserve"> </w:t>
      </w:r>
      <w:r>
        <w:rPr>
          <w:color w:val="4D4D4F"/>
          <w:spacing w:val="-3"/>
          <w:sz w:val="20"/>
        </w:rPr>
        <w:t>number.</w:t>
      </w:r>
    </w:p>
    <w:p w14:paraId="2C4A2E14" w14:textId="77777777" w:rsidR="00EF5B27" w:rsidRDefault="00EF5B27">
      <w:pPr>
        <w:pStyle w:val="BodyText"/>
      </w:pPr>
    </w:p>
    <w:p w14:paraId="34D67C60" w14:textId="77777777" w:rsidR="00EF5B27" w:rsidRDefault="00EF5B27">
      <w:pPr>
        <w:pStyle w:val="BodyText"/>
      </w:pPr>
    </w:p>
    <w:p w14:paraId="236E30D0" w14:textId="77777777" w:rsidR="00EF5B27" w:rsidRDefault="00EF5B27">
      <w:pPr>
        <w:pStyle w:val="BodyText"/>
      </w:pPr>
    </w:p>
    <w:p w14:paraId="55536F68" w14:textId="77777777" w:rsidR="00EF5B27" w:rsidRDefault="00EF5B27">
      <w:pPr>
        <w:pStyle w:val="BodyText"/>
      </w:pPr>
    </w:p>
    <w:p w14:paraId="7CE5CC6F" w14:textId="77777777" w:rsidR="00EF5B27" w:rsidRDefault="00EF5B27">
      <w:pPr>
        <w:pStyle w:val="BodyText"/>
      </w:pPr>
    </w:p>
    <w:p w14:paraId="16E0AE7F" w14:textId="77777777" w:rsidR="00EF5B27" w:rsidRDefault="00EF5B27">
      <w:pPr>
        <w:pStyle w:val="BodyText"/>
      </w:pPr>
    </w:p>
    <w:p w14:paraId="4492EE77" w14:textId="77777777" w:rsidR="00EF5B27" w:rsidRDefault="00EF5B27">
      <w:pPr>
        <w:pStyle w:val="BodyText"/>
      </w:pPr>
    </w:p>
    <w:p w14:paraId="53D32B23" w14:textId="77777777" w:rsidR="00EF5B27" w:rsidRDefault="00EF5B27">
      <w:pPr>
        <w:pStyle w:val="BodyText"/>
      </w:pPr>
    </w:p>
    <w:p w14:paraId="672ACABC" w14:textId="77777777" w:rsidR="00EF5B27" w:rsidRDefault="00EF5B27">
      <w:pPr>
        <w:pStyle w:val="BodyText"/>
      </w:pPr>
    </w:p>
    <w:p w14:paraId="6FB07326" w14:textId="77777777" w:rsidR="00EF5B27" w:rsidRDefault="00000000">
      <w:pPr>
        <w:pStyle w:val="BodyText"/>
        <w:spacing w:before="4"/>
        <w:rPr>
          <w:sz w:val="10"/>
        </w:rPr>
      </w:pPr>
      <w:r>
        <w:pict w14:anchorId="3CBC71D1">
          <v:line id="_x0000_s3661" style="position:absolute;z-index:251464192;mso-wrap-distance-left:0;mso-wrap-distance-right:0;mso-position-horizontal-relative:page" from="181.4pt,8.55pt" to="538.6pt,8.55pt" strokecolor="#4d4d4f" strokeweight=".5pt">
            <w10:wrap type="topAndBottom" anchorx="page"/>
          </v:line>
        </w:pict>
      </w:r>
    </w:p>
    <w:p w14:paraId="5F3E6560" w14:textId="77777777" w:rsidR="00EF5B27" w:rsidRDefault="00000000">
      <w:pPr>
        <w:pStyle w:val="ListParagraph"/>
        <w:numPr>
          <w:ilvl w:val="0"/>
          <w:numId w:val="46"/>
        </w:numPr>
        <w:tabs>
          <w:tab w:val="left" w:pos="2836"/>
        </w:tabs>
        <w:spacing w:before="88" w:line="230" w:lineRule="auto"/>
        <w:ind w:right="112"/>
        <w:rPr>
          <w:sz w:val="12"/>
        </w:rPr>
      </w:pPr>
      <w:r>
        <w:rPr>
          <w:color w:val="4D4D4F"/>
          <w:spacing w:val="2"/>
          <w:sz w:val="12"/>
        </w:rPr>
        <w:t xml:space="preserve">Bruce </w:t>
      </w:r>
      <w:r>
        <w:rPr>
          <w:color w:val="4D4D4F"/>
          <w:sz w:val="12"/>
        </w:rPr>
        <w:t xml:space="preserve">M, Batpurev </w:t>
      </w:r>
      <w:r>
        <w:rPr>
          <w:color w:val="4D4D4F"/>
          <w:spacing w:val="2"/>
          <w:sz w:val="12"/>
        </w:rPr>
        <w:t xml:space="preserve">K, </w:t>
      </w:r>
      <w:r>
        <w:rPr>
          <w:color w:val="4D4D4F"/>
          <w:sz w:val="12"/>
        </w:rPr>
        <w:t xml:space="preserve">Bryant D, Sinclair S and Kohout M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DELWP, Heidelberg,</w:t>
      </w:r>
      <w:r>
        <w:rPr>
          <w:color w:val="4D4D4F"/>
          <w:spacing w:val="8"/>
          <w:sz w:val="12"/>
        </w:rPr>
        <w:t xml:space="preserve"> </w:t>
      </w:r>
      <w:r>
        <w:rPr>
          <w:color w:val="4D4D4F"/>
          <w:sz w:val="12"/>
        </w:rPr>
        <w:t>Victoria.</w:t>
      </w:r>
    </w:p>
    <w:p w14:paraId="77C3F55B" w14:textId="77777777" w:rsidR="00EF5B27" w:rsidRDefault="00000000">
      <w:pPr>
        <w:pStyle w:val="ListParagraph"/>
        <w:numPr>
          <w:ilvl w:val="0"/>
          <w:numId w:val="46"/>
        </w:numPr>
        <w:tabs>
          <w:tab w:val="left" w:pos="2836"/>
        </w:tabs>
        <w:spacing w:line="230" w:lineRule="auto"/>
        <w:ind w:right="112"/>
        <w:rPr>
          <w:sz w:val="12"/>
        </w:rPr>
      </w:pPr>
      <w:r>
        <w:rPr>
          <w:color w:val="4D4D4F"/>
          <w:spacing w:val="2"/>
          <w:sz w:val="12"/>
        </w:rPr>
        <w:t xml:space="preserve">Bruce </w:t>
      </w:r>
      <w:r>
        <w:rPr>
          <w:color w:val="4D4D4F"/>
          <w:sz w:val="12"/>
        </w:rPr>
        <w:t xml:space="preserve">M, Batpurev </w:t>
      </w:r>
      <w:r>
        <w:rPr>
          <w:color w:val="4D4D4F"/>
          <w:spacing w:val="2"/>
          <w:sz w:val="12"/>
        </w:rPr>
        <w:t xml:space="preserve">K, </w:t>
      </w:r>
      <w:r>
        <w:rPr>
          <w:color w:val="4D4D4F"/>
          <w:sz w:val="12"/>
        </w:rPr>
        <w:t xml:space="preserve">Bryant D, Sinclair S and Kohout M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DELWP, Heidelberg,</w:t>
      </w:r>
      <w:r>
        <w:rPr>
          <w:color w:val="4D4D4F"/>
          <w:spacing w:val="8"/>
          <w:sz w:val="12"/>
        </w:rPr>
        <w:t xml:space="preserve"> </w:t>
      </w:r>
      <w:r>
        <w:rPr>
          <w:color w:val="4D4D4F"/>
          <w:sz w:val="12"/>
        </w:rPr>
        <w:t>Victoria.</w:t>
      </w:r>
    </w:p>
    <w:p w14:paraId="33A889F6" w14:textId="77777777" w:rsidR="00EF5B27" w:rsidRDefault="00000000">
      <w:pPr>
        <w:pStyle w:val="ListParagraph"/>
        <w:numPr>
          <w:ilvl w:val="0"/>
          <w:numId w:val="46"/>
        </w:numPr>
        <w:tabs>
          <w:tab w:val="left" w:pos="2836"/>
        </w:tabs>
        <w:spacing w:line="138" w:lineRule="exact"/>
        <w:rPr>
          <w:sz w:val="12"/>
        </w:rPr>
      </w:pPr>
      <w:r>
        <w:rPr>
          <w:color w:val="4D4D4F"/>
          <w:sz w:val="12"/>
        </w:rPr>
        <w:t xml:space="preserve">DELWP, internal document, </w:t>
      </w:r>
      <w:r>
        <w:rPr>
          <w:color w:val="4D4D4F"/>
          <w:spacing w:val="2"/>
          <w:sz w:val="12"/>
        </w:rPr>
        <w:t xml:space="preserve">Accessed </w:t>
      </w:r>
      <w:r>
        <w:rPr>
          <w:color w:val="4D4D4F"/>
          <w:sz w:val="12"/>
        </w:rPr>
        <w:t xml:space="preserve">6 </w:t>
      </w:r>
      <w:r>
        <w:rPr>
          <w:color w:val="4D4D4F"/>
          <w:spacing w:val="2"/>
          <w:sz w:val="12"/>
        </w:rPr>
        <w:t>February</w:t>
      </w:r>
      <w:r>
        <w:rPr>
          <w:color w:val="4D4D4F"/>
          <w:spacing w:val="11"/>
          <w:sz w:val="12"/>
        </w:rPr>
        <w:t xml:space="preserve"> </w:t>
      </w:r>
      <w:r>
        <w:rPr>
          <w:color w:val="4D4D4F"/>
          <w:spacing w:val="2"/>
          <w:sz w:val="12"/>
        </w:rPr>
        <w:t>2022.</w:t>
      </w:r>
    </w:p>
    <w:p w14:paraId="63C17D67" w14:textId="77777777" w:rsidR="00EF5B27" w:rsidRDefault="00000000">
      <w:pPr>
        <w:pStyle w:val="ListParagraph"/>
        <w:numPr>
          <w:ilvl w:val="0"/>
          <w:numId w:val="46"/>
        </w:numPr>
        <w:tabs>
          <w:tab w:val="left" w:pos="2836"/>
        </w:tabs>
        <w:spacing w:line="230" w:lineRule="auto"/>
        <w:ind w:right="112"/>
        <w:rPr>
          <w:sz w:val="12"/>
        </w:rPr>
      </w:pPr>
      <w:r>
        <w:rPr>
          <w:color w:val="4D4D4F"/>
          <w:spacing w:val="2"/>
          <w:sz w:val="12"/>
        </w:rPr>
        <w:t xml:space="preserve">Bruce </w:t>
      </w:r>
      <w:r>
        <w:rPr>
          <w:color w:val="4D4D4F"/>
          <w:sz w:val="12"/>
        </w:rPr>
        <w:t xml:space="preserve">M, Batpurev </w:t>
      </w:r>
      <w:r>
        <w:rPr>
          <w:color w:val="4D4D4F"/>
          <w:spacing w:val="2"/>
          <w:sz w:val="12"/>
        </w:rPr>
        <w:t xml:space="preserve">K, </w:t>
      </w:r>
      <w:r>
        <w:rPr>
          <w:color w:val="4D4D4F"/>
          <w:sz w:val="12"/>
        </w:rPr>
        <w:t xml:space="preserve">Bryant D, Sinclair S and Kohout M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DELWP, Heidelberg,</w:t>
      </w:r>
      <w:r>
        <w:rPr>
          <w:color w:val="4D4D4F"/>
          <w:spacing w:val="8"/>
          <w:sz w:val="12"/>
        </w:rPr>
        <w:t xml:space="preserve"> </w:t>
      </w:r>
      <w:r>
        <w:rPr>
          <w:color w:val="4D4D4F"/>
          <w:sz w:val="12"/>
        </w:rPr>
        <w:t>Victoria.</w:t>
      </w:r>
    </w:p>
    <w:p w14:paraId="10F4CCDC"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1A63D1BE" w14:textId="77777777" w:rsidR="00EF5B27" w:rsidRDefault="00000000">
      <w:pPr>
        <w:pStyle w:val="BodyText"/>
      </w:pPr>
      <w:r>
        <w:lastRenderedPageBreak/>
        <w:pict w14:anchorId="246733F9">
          <v:group id="_x0000_s3653" style="position:absolute;margin-left:587.05pt;margin-top:183.4pt;width:8.25pt;height:153.1pt;z-index:251530752;mso-position-horizontal-relative:page;mso-position-vertical-relative:page" coordorigin="11741,3668" coordsize="165,3062">
            <v:shape id="_x0000_s3660" style="position:absolute;left:11741;top:3668;width:165;height:561" coordorigin="11741,3668" coordsize="165,561" path="m11906,3668r-165,l11741,4228r165,-18l11906,3668xe" fillcolor="#00aed9" stroked="f">
              <v:path arrowok="t"/>
            </v:shape>
            <v:shape id="_x0000_s3659" style="position:absolute;left:11741;top:4118;width:165;height:425" coordorigin="11741,4118" coordsize="165,425" path="m11906,4118r-165,14l11741,4531r165,12l11906,4118xe" fillcolor="#047ebc" stroked="f">
              <v:path arrowok="t"/>
            </v:shape>
            <v:shape id="_x0000_s3658" type="#_x0000_t75" style="position:absolute;left:11741;top:4355;width:165;height:587">
              <v:imagedata r:id="rId42" o:title=""/>
            </v:shape>
            <v:shape id="_x0000_s3657" style="position:absolute;left:11741;top:5343;width:165;height:536" coordorigin="11741,5343" coordsize="165,536" path="m11741,5343r,535l11906,5872r,-525l11741,5343xe" fillcolor="#f36a2e" stroked="f">
              <v:path arrowok="t"/>
            </v:shape>
            <v:shape id="_x0000_s3656" style="position:absolute;left:11741;top:4925;width:165;height:501" coordorigin="11741,4926" coordsize="165,501" path="m11741,4926r,500l11906,5426r,-485l11741,4926xe" fillcolor="#49783f" stroked="f">
              <v:path arrowok="t"/>
            </v:shape>
            <v:shape id="_x0000_s3655" style="position:absolute;left:11741;top:5781;width:165;height:268" coordorigin="11741,5782" coordsize="165,268" path="m11906,5782r-165,8l11741,6039r165,10l11906,5782xe" fillcolor="#f99f2a" stroked="f">
              <v:path arrowok="t"/>
            </v:shape>
            <v:shape id="_x0000_s3654" style="position:absolute;left:11741;top:6023;width:165;height:707" coordorigin="11741,6023" coordsize="165,707" path="m11741,6023r,706l11906,6729r,-690l11741,6023xe" fillcolor="#ef412c" stroked="f">
              <v:path arrowok="t"/>
            </v:shape>
            <w10:wrap anchorx="page" anchory="page"/>
          </v:group>
        </w:pict>
      </w:r>
    </w:p>
    <w:p w14:paraId="027213E2" w14:textId="77777777" w:rsidR="00EF5B27" w:rsidRDefault="00EF5B27">
      <w:pPr>
        <w:pStyle w:val="BodyText"/>
      </w:pPr>
    </w:p>
    <w:p w14:paraId="6D717EDE" w14:textId="77777777" w:rsidR="00EF5B27" w:rsidRDefault="00EF5B27">
      <w:pPr>
        <w:pStyle w:val="BodyText"/>
      </w:pPr>
    </w:p>
    <w:p w14:paraId="361D0C94" w14:textId="77777777" w:rsidR="00EF5B27" w:rsidRDefault="00EF5B27">
      <w:pPr>
        <w:pStyle w:val="BodyText"/>
        <w:spacing w:before="4"/>
        <w:rPr>
          <w:sz w:val="25"/>
        </w:rPr>
      </w:pPr>
    </w:p>
    <w:p w14:paraId="137852F9" w14:textId="77777777" w:rsidR="00EF5B27" w:rsidRDefault="00000000">
      <w:pPr>
        <w:pStyle w:val="BodyText"/>
        <w:spacing w:before="100" w:line="254" w:lineRule="auto"/>
        <w:ind w:left="3175" w:right="153"/>
      </w:pPr>
      <w:r>
        <w:pict w14:anchorId="26419127">
          <v:line id="_x0000_s3652" style="position:absolute;left:0;text-align:left;z-index:251531776;mso-position-horizontal-relative:page" from="181.4pt,7.25pt" to="181.4pt,325.25pt" strokecolor="#f99f2a" strokeweight="1pt">
            <w10:wrap anchorx="page"/>
          </v:line>
        </w:pict>
      </w:r>
      <w:r>
        <w:rPr>
          <w:color w:val="4D4D4F"/>
        </w:rPr>
        <w:t>In most cases, baselines are set by the conditions at the commencement of monitoring. Given monitoring usually only commences when land comes under MSA management, this means that the target is to maintain or improve on what was present when MSA management commenced. In most of these cases, the baseline is calculated not from the first survey, but from the mean of the first five years of monitoring data. This approach is intended to dampen fluctuations between monitoring periods that are not related to management or long-term success (e.g. fluctuations in vegetation cover due to recent fires, or responses  by animals to weather</w:t>
      </w:r>
      <w:r>
        <w:rPr>
          <w:color w:val="4D4D4F"/>
          <w:spacing w:val="14"/>
        </w:rPr>
        <w:t xml:space="preserve"> </w:t>
      </w:r>
      <w:r>
        <w:rPr>
          <w:color w:val="4D4D4F"/>
        </w:rPr>
        <w:t>conditions).</w:t>
      </w:r>
    </w:p>
    <w:p w14:paraId="0A13DFB2" w14:textId="77777777" w:rsidR="00EF5B27" w:rsidRDefault="00000000">
      <w:pPr>
        <w:pStyle w:val="BodyText"/>
        <w:spacing w:before="125" w:line="254" w:lineRule="auto"/>
        <w:ind w:left="3175" w:right="446"/>
      </w:pPr>
      <w:r>
        <w:rPr>
          <w:color w:val="4D4D4F"/>
        </w:rPr>
        <w:t>A continuous improvement approach applies to some KPIs, which DELWP has designed to build on positive outcomes for MNES. In these cases, if the measured</w:t>
      </w:r>
      <w:r>
        <w:rPr>
          <w:color w:val="4D4D4F"/>
          <w:spacing w:val="7"/>
        </w:rPr>
        <w:t xml:space="preserve"> </w:t>
      </w:r>
      <w:r>
        <w:rPr>
          <w:color w:val="4D4D4F"/>
        </w:rPr>
        <w:t>mean</w:t>
      </w:r>
      <w:r>
        <w:rPr>
          <w:color w:val="4D4D4F"/>
          <w:spacing w:val="7"/>
        </w:rPr>
        <w:t xml:space="preserve"> </w:t>
      </w:r>
      <w:r>
        <w:rPr>
          <w:color w:val="4D4D4F"/>
        </w:rPr>
        <w:t>in</w:t>
      </w:r>
      <w:r>
        <w:rPr>
          <w:color w:val="4D4D4F"/>
          <w:spacing w:val="8"/>
        </w:rPr>
        <w:t xml:space="preserve"> </w:t>
      </w:r>
      <w:r>
        <w:rPr>
          <w:color w:val="4D4D4F"/>
        </w:rPr>
        <w:t>a</w:t>
      </w:r>
      <w:r>
        <w:rPr>
          <w:color w:val="4D4D4F"/>
          <w:spacing w:val="7"/>
        </w:rPr>
        <w:t xml:space="preserve"> </w:t>
      </w:r>
      <w:r>
        <w:rPr>
          <w:color w:val="4D4D4F"/>
        </w:rPr>
        <w:t>five-yearly</w:t>
      </w:r>
      <w:r>
        <w:rPr>
          <w:color w:val="4D4D4F"/>
          <w:spacing w:val="7"/>
        </w:rPr>
        <w:t xml:space="preserve"> </w:t>
      </w:r>
      <w:r>
        <w:rPr>
          <w:color w:val="4D4D4F"/>
        </w:rPr>
        <w:t>reporting</w:t>
      </w:r>
      <w:r>
        <w:rPr>
          <w:color w:val="4D4D4F"/>
          <w:spacing w:val="8"/>
        </w:rPr>
        <w:t xml:space="preserve"> </w:t>
      </w:r>
      <w:r>
        <w:rPr>
          <w:color w:val="4D4D4F"/>
        </w:rPr>
        <w:t>cycle</w:t>
      </w:r>
      <w:r>
        <w:rPr>
          <w:color w:val="4D4D4F"/>
          <w:spacing w:val="7"/>
        </w:rPr>
        <w:t xml:space="preserve"> </w:t>
      </w:r>
      <w:r>
        <w:rPr>
          <w:color w:val="4D4D4F"/>
        </w:rPr>
        <w:t>is</w:t>
      </w:r>
      <w:r>
        <w:rPr>
          <w:color w:val="4D4D4F"/>
          <w:spacing w:val="7"/>
        </w:rPr>
        <w:t xml:space="preserve"> </w:t>
      </w:r>
      <w:r>
        <w:rPr>
          <w:color w:val="4D4D4F"/>
        </w:rPr>
        <w:t>an</w:t>
      </w:r>
      <w:r>
        <w:rPr>
          <w:color w:val="4D4D4F"/>
          <w:spacing w:val="8"/>
        </w:rPr>
        <w:t xml:space="preserve"> </w:t>
      </w:r>
      <w:r>
        <w:rPr>
          <w:color w:val="4D4D4F"/>
        </w:rPr>
        <w:t>improvement</w:t>
      </w:r>
      <w:r>
        <w:rPr>
          <w:color w:val="4D4D4F"/>
          <w:spacing w:val="7"/>
        </w:rPr>
        <w:t xml:space="preserve"> </w:t>
      </w:r>
      <w:r>
        <w:rPr>
          <w:color w:val="4D4D4F"/>
        </w:rPr>
        <w:t>from</w:t>
      </w:r>
      <w:r>
        <w:rPr>
          <w:color w:val="4D4D4F"/>
          <w:spacing w:val="7"/>
        </w:rPr>
        <w:t xml:space="preserve"> </w:t>
      </w:r>
      <w:r>
        <w:rPr>
          <w:color w:val="4D4D4F"/>
        </w:rPr>
        <w:t>the</w:t>
      </w:r>
    </w:p>
    <w:p w14:paraId="37795CD9" w14:textId="77777777" w:rsidR="00EF5B27" w:rsidRDefault="00000000">
      <w:pPr>
        <w:pStyle w:val="BodyText"/>
        <w:spacing w:before="3" w:line="254" w:lineRule="auto"/>
        <w:ind w:left="3175" w:right="242"/>
      </w:pPr>
      <w:r>
        <w:rPr>
          <w:color w:val="4D4D4F"/>
        </w:rPr>
        <w:t xml:space="preserve">baseline, the measured mean sets a new target for the next five-year reporting period. DELWP states that this approach is beneficial for measures where the most desirable outcome is always ‘complete removal’ (e.g. weeds) or </w:t>
      </w:r>
      <w:r>
        <w:rPr>
          <w:color w:val="4D4D4F"/>
          <w:spacing w:val="-3"/>
        </w:rPr>
        <w:t xml:space="preserve">‘as </w:t>
      </w:r>
      <w:r>
        <w:rPr>
          <w:color w:val="4D4D4F"/>
        </w:rPr>
        <w:t>high  as</w:t>
      </w:r>
      <w:r>
        <w:rPr>
          <w:color w:val="4D4D4F"/>
          <w:spacing w:val="5"/>
        </w:rPr>
        <w:t xml:space="preserve"> </w:t>
      </w:r>
      <w:r>
        <w:rPr>
          <w:color w:val="4D4D4F"/>
        </w:rPr>
        <w:t>possible’</w:t>
      </w:r>
      <w:r>
        <w:rPr>
          <w:color w:val="4D4D4F"/>
          <w:spacing w:val="6"/>
        </w:rPr>
        <w:t xml:space="preserve"> </w:t>
      </w:r>
      <w:r>
        <w:rPr>
          <w:color w:val="4D4D4F"/>
        </w:rPr>
        <w:t>(e.g.</w:t>
      </w:r>
      <w:r>
        <w:rPr>
          <w:color w:val="4D4D4F"/>
          <w:spacing w:val="6"/>
        </w:rPr>
        <w:t xml:space="preserve"> </w:t>
      </w:r>
      <w:r>
        <w:rPr>
          <w:color w:val="4D4D4F"/>
        </w:rPr>
        <w:t>abundance</w:t>
      </w:r>
      <w:r>
        <w:rPr>
          <w:color w:val="4D4D4F"/>
          <w:spacing w:val="6"/>
        </w:rPr>
        <w:t xml:space="preserve"> </w:t>
      </w:r>
      <w:r>
        <w:rPr>
          <w:color w:val="4D4D4F"/>
        </w:rPr>
        <w:t>of</w:t>
      </w:r>
      <w:r>
        <w:rPr>
          <w:color w:val="4D4D4F"/>
          <w:spacing w:val="6"/>
        </w:rPr>
        <w:t xml:space="preserve"> </w:t>
      </w:r>
      <w:r>
        <w:rPr>
          <w:color w:val="4D4D4F"/>
        </w:rPr>
        <w:t>a</w:t>
      </w:r>
      <w:r>
        <w:rPr>
          <w:color w:val="4D4D4F"/>
          <w:spacing w:val="6"/>
        </w:rPr>
        <w:t xml:space="preserve"> </w:t>
      </w:r>
      <w:r>
        <w:rPr>
          <w:color w:val="4D4D4F"/>
        </w:rPr>
        <w:t>listed</w:t>
      </w:r>
      <w:r>
        <w:rPr>
          <w:color w:val="4D4D4F"/>
          <w:spacing w:val="6"/>
        </w:rPr>
        <w:t xml:space="preserve"> </w:t>
      </w:r>
      <w:r>
        <w:rPr>
          <w:color w:val="4D4D4F"/>
        </w:rPr>
        <w:t>species).</w:t>
      </w:r>
      <w:r>
        <w:rPr>
          <w:color w:val="4D4D4F"/>
          <w:spacing w:val="6"/>
        </w:rPr>
        <w:t xml:space="preserve"> </w:t>
      </w:r>
      <w:r>
        <w:rPr>
          <w:color w:val="4D4D4F"/>
        </w:rPr>
        <w:t>For</w:t>
      </w:r>
      <w:r>
        <w:rPr>
          <w:color w:val="4D4D4F"/>
          <w:spacing w:val="6"/>
        </w:rPr>
        <w:t xml:space="preserve"> </w:t>
      </w:r>
      <w:r>
        <w:rPr>
          <w:color w:val="4D4D4F"/>
        </w:rPr>
        <w:t>other</w:t>
      </w:r>
      <w:r>
        <w:rPr>
          <w:color w:val="4D4D4F"/>
          <w:spacing w:val="6"/>
        </w:rPr>
        <w:t xml:space="preserve"> </w:t>
      </w:r>
      <w:r>
        <w:rPr>
          <w:color w:val="4D4D4F"/>
        </w:rPr>
        <w:t>KPIs,</w:t>
      </w:r>
      <w:r>
        <w:rPr>
          <w:color w:val="4D4D4F"/>
          <w:spacing w:val="6"/>
        </w:rPr>
        <w:t xml:space="preserve"> </w:t>
      </w:r>
      <w:r>
        <w:rPr>
          <w:color w:val="4D4D4F"/>
        </w:rPr>
        <w:t>the</w:t>
      </w:r>
      <w:r>
        <w:rPr>
          <w:color w:val="4D4D4F"/>
          <w:spacing w:val="6"/>
        </w:rPr>
        <w:t xml:space="preserve"> </w:t>
      </w:r>
      <w:r>
        <w:rPr>
          <w:color w:val="4D4D4F"/>
        </w:rPr>
        <w:t>baseline</w:t>
      </w:r>
    </w:p>
    <w:p w14:paraId="45EBB89D" w14:textId="77777777" w:rsidR="00EF5B27" w:rsidRDefault="00000000">
      <w:pPr>
        <w:pStyle w:val="BodyText"/>
        <w:spacing w:before="5" w:line="254" w:lineRule="auto"/>
        <w:ind w:left="3175" w:right="151"/>
      </w:pPr>
      <w:r>
        <w:rPr>
          <w:color w:val="4D4D4F"/>
        </w:rPr>
        <w:t>is set and does not change, regardless of the results. Such set baselines are considered appropriate in cases where the attribute is desired at moderate levels. For example, it is desirable for the cover of Kangaroo Grass in Natural Temperate Grasslands to be maintained within a range, so a continuous improvement model is not appropriate.</w:t>
      </w:r>
    </w:p>
    <w:p w14:paraId="7F163952" w14:textId="77777777" w:rsidR="00EF5B27" w:rsidRDefault="00000000">
      <w:pPr>
        <w:pStyle w:val="BodyText"/>
        <w:spacing w:before="120" w:line="254" w:lineRule="auto"/>
        <w:ind w:left="3175" w:right="151"/>
      </w:pPr>
      <w:r>
        <w:rPr>
          <w:color w:val="4D4D4F"/>
        </w:rPr>
        <w:t>There are exceptions to these general approaches, which are based on considerations of the ecology and survey techniques applicable to the measure in question. These are described and explained in the MRF.’</w:t>
      </w:r>
    </w:p>
    <w:p w14:paraId="12A1FA46" w14:textId="77777777" w:rsidR="00EF5B27" w:rsidRDefault="00EF5B27">
      <w:pPr>
        <w:pStyle w:val="BodyText"/>
        <w:rPr>
          <w:sz w:val="24"/>
        </w:rPr>
      </w:pPr>
    </w:p>
    <w:p w14:paraId="6B0B1017" w14:textId="77777777" w:rsidR="00EF5B27" w:rsidRDefault="00000000">
      <w:pPr>
        <w:pStyle w:val="Heading3"/>
        <w:spacing w:before="168"/>
      </w:pPr>
      <w:r>
        <w:rPr>
          <w:color w:val="F99F2A"/>
        </w:rPr>
        <w:t>Stratification of reporting</w:t>
      </w:r>
    </w:p>
    <w:p w14:paraId="22753932" w14:textId="77777777" w:rsidR="00EF5B27" w:rsidRDefault="00000000">
      <w:pPr>
        <w:pStyle w:val="BodyText"/>
        <w:spacing w:before="221" w:line="254" w:lineRule="auto"/>
        <w:ind w:left="2608"/>
        <w:rPr>
          <w:sz w:val="11"/>
        </w:rPr>
      </w:pPr>
      <w:r>
        <w:rPr>
          <w:color w:val="4D4D4F"/>
        </w:rPr>
        <w:t>The following outlines the MSA MRF’s approach to stratification of reporting and has been extracted from the MSA Outcomes Report 2014–2020.</w:t>
      </w:r>
      <w:r>
        <w:rPr>
          <w:color w:val="4D4D4F"/>
          <w:position w:val="7"/>
          <w:sz w:val="11"/>
        </w:rPr>
        <w:t>109</w:t>
      </w:r>
    </w:p>
    <w:p w14:paraId="061FE9F1" w14:textId="77777777" w:rsidR="00EF5B27" w:rsidRDefault="00000000">
      <w:pPr>
        <w:pStyle w:val="BodyText"/>
        <w:spacing w:before="116" w:line="254" w:lineRule="auto"/>
        <w:ind w:left="3175" w:right="221"/>
      </w:pPr>
      <w:r>
        <w:pict w14:anchorId="3C6A59C3">
          <v:line id="_x0000_s3651" style="position:absolute;left:0;text-align:left;z-index:251532800;mso-position-horizontal-relative:page" from="181.4pt,7.1pt" to="181.4pt,141.15pt" strokecolor="#f99f2a" strokeweight="1pt">
            <w10:wrap anchorx="page"/>
          </v:line>
        </w:pict>
      </w:r>
      <w:r>
        <w:rPr>
          <w:color w:val="4D4D4F"/>
        </w:rPr>
        <w:t>‘The ‘stratification of reporting’ refers to the way that the KPI results are reported on separately for different locations. This is intended to reveal whether progress is consistent or mixed, and whether different places under different management regimes are tracking differently.</w:t>
      </w:r>
    </w:p>
    <w:p w14:paraId="115E6D90" w14:textId="77777777" w:rsidR="00EF5B27" w:rsidRDefault="00000000">
      <w:pPr>
        <w:pStyle w:val="BodyText"/>
        <w:spacing w:before="118" w:line="254" w:lineRule="auto"/>
        <w:ind w:left="3175" w:right="465"/>
      </w:pPr>
      <w:r>
        <w:rPr>
          <w:color w:val="4D4D4F"/>
        </w:rPr>
        <w:t>For two of the three vegetation communities (Natural Temperate Grassland and Grassy Eucalypt Woodland), the KPIs are reported separately according to states. These are defined by a state-and-transition model (STM).</w:t>
      </w:r>
      <w:r>
        <w:rPr>
          <w:color w:val="4D4D4F"/>
          <w:position w:val="7"/>
          <w:sz w:val="11"/>
        </w:rPr>
        <w:t xml:space="preserve">110 </w:t>
      </w:r>
      <w:r>
        <w:rPr>
          <w:color w:val="4D4D4F"/>
        </w:rPr>
        <w:t>STMs present alternative states of species assemblages (or profiles, groups) that</w:t>
      </w:r>
    </w:p>
    <w:p w14:paraId="6E9DEAD3" w14:textId="77777777" w:rsidR="00EF5B27" w:rsidRDefault="00000000">
      <w:pPr>
        <w:pStyle w:val="BodyText"/>
        <w:spacing w:before="5" w:line="254" w:lineRule="auto"/>
        <w:ind w:left="3175"/>
      </w:pPr>
      <w:r>
        <w:rPr>
          <w:color w:val="4D4D4F"/>
        </w:rPr>
        <w:t>could occur at a given site. Which of these occurs depends on management and natural events at the site.</w:t>
      </w:r>
    </w:p>
    <w:p w14:paraId="3B46A5BA" w14:textId="77777777" w:rsidR="00EF5B27" w:rsidRDefault="00EF5B27">
      <w:pPr>
        <w:pStyle w:val="BodyText"/>
      </w:pPr>
    </w:p>
    <w:p w14:paraId="20509AD4" w14:textId="77777777" w:rsidR="00EF5B27" w:rsidRDefault="00EF5B27">
      <w:pPr>
        <w:pStyle w:val="BodyText"/>
      </w:pPr>
    </w:p>
    <w:p w14:paraId="4F506AB7" w14:textId="77777777" w:rsidR="00EF5B27" w:rsidRDefault="00EF5B27">
      <w:pPr>
        <w:pStyle w:val="BodyText"/>
      </w:pPr>
    </w:p>
    <w:p w14:paraId="5B1AD50E" w14:textId="77777777" w:rsidR="00EF5B27" w:rsidRDefault="00EF5B27">
      <w:pPr>
        <w:pStyle w:val="BodyText"/>
      </w:pPr>
    </w:p>
    <w:p w14:paraId="2F6C6D7A" w14:textId="77777777" w:rsidR="00EF5B27" w:rsidRDefault="00EF5B27">
      <w:pPr>
        <w:pStyle w:val="BodyText"/>
      </w:pPr>
    </w:p>
    <w:p w14:paraId="6DB0B0AB" w14:textId="77777777" w:rsidR="00EF5B27" w:rsidRDefault="00000000">
      <w:pPr>
        <w:pStyle w:val="BodyText"/>
        <w:spacing w:before="4"/>
        <w:rPr>
          <w:sz w:val="12"/>
        </w:rPr>
      </w:pPr>
      <w:r>
        <w:pict w14:anchorId="57026A73">
          <v:line id="_x0000_s3650" style="position:absolute;z-index:251468288;mso-wrap-distance-left:0;mso-wrap-distance-right:0;mso-position-horizontal-relative:page" from="181.4pt,9.75pt" to="538.6pt,9.75pt" strokecolor="#4d4d4f" strokeweight=".5pt">
            <w10:wrap type="topAndBottom" anchorx="page"/>
          </v:line>
        </w:pict>
      </w:r>
    </w:p>
    <w:p w14:paraId="2E7677AC" w14:textId="77777777" w:rsidR="00EF5B27" w:rsidRDefault="00000000">
      <w:pPr>
        <w:pStyle w:val="ListParagraph"/>
        <w:numPr>
          <w:ilvl w:val="0"/>
          <w:numId w:val="46"/>
        </w:numPr>
        <w:tabs>
          <w:tab w:val="left" w:pos="2836"/>
        </w:tabs>
        <w:spacing w:before="88" w:line="230" w:lineRule="auto"/>
        <w:ind w:right="112"/>
        <w:rPr>
          <w:sz w:val="12"/>
        </w:rPr>
      </w:pPr>
      <w:r>
        <w:rPr>
          <w:color w:val="4D4D4F"/>
          <w:spacing w:val="2"/>
          <w:sz w:val="12"/>
        </w:rPr>
        <w:t xml:space="preserve">Bruce </w:t>
      </w:r>
      <w:r>
        <w:rPr>
          <w:color w:val="4D4D4F"/>
          <w:sz w:val="12"/>
        </w:rPr>
        <w:t xml:space="preserve">M, Batpurev </w:t>
      </w:r>
      <w:r>
        <w:rPr>
          <w:color w:val="4D4D4F"/>
          <w:spacing w:val="2"/>
          <w:sz w:val="12"/>
        </w:rPr>
        <w:t xml:space="preserve">K, </w:t>
      </w:r>
      <w:r>
        <w:rPr>
          <w:color w:val="4D4D4F"/>
          <w:sz w:val="12"/>
        </w:rPr>
        <w:t xml:space="preserve">Bryant D, Sinclair S and Kohout M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DELWP, Heidelberg,</w:t>
      </w:r>
      <w:r>
        <w:rPr>
          <w:color w:val="4D4D4F"/>
          <w:spacing w:val="8"/>
          <w:sz w:val="12"/>
        </w:rPr>
        <w:t xml:space="preserve"> </w:t>
      </w:r>
      <w:r>
        <w:rPr>
          <w:color w:val="4D4D4F"/>
          <w:sz w:val="12"/>
        </w:rPr>
        <w:t>Victoria.</w:t>
      </w:r>
    </w:p>
    <w:p w14:paraId="11D9DC87" w14:textId="77777777" w:rsidR="00EF5B27" w:rsidRDefault="00000000">
      <w:pPr>
        <w:pStyle w:val="ListParagraph"/>
        <w:numPr>
          <w:ilvl w:val="0"/>
          <w:numId w:val="46"/>
        </w:numPr>
        <w:tabs>
          <w:tab w:val="left" w:pos="2836"/>
        </w:tabs>
        <w:spacing w:line="230" w:lineRule="auto"/>
        <w:ind w:right="111"/>
        <w:rPr>
          <w:sz w:val="12"/>
        </w:rPr>
      </w:pPr>
      <w:r>
        <w:rPr>
          <w:color w:val="4D4D4F"/>
          <w:sz w:val="12"/>
        </w:rPr>
        <w:t xml:space="preserve">Sinclair </w:t>
      </w:r>
      <w:r>
        <w:rPr>
          <w:color w:val="4D4D4F"/>
          <w:w w:val="110"/>
          <w:sz w:val="12"/>
        </w:rPr>
        <w:t xml:space="preserve">SJ, </w:t>
      </w:r>
      <w:r>
        <w:rPr>
          <w:color w:val="4D4D4F"/>
          <w:sz w:val="12"/>
        </w:rPr>
        <w:t xml:space="preserve">Zamin </w:t>
      </w:r>
      <w:r>
        <w:rPr>
          <w:color w:val="4D4D4F"/>
          <w:spacing w:val="-3"/>
          <w:sz w:val="12"/>
        </w:rPr>
        <w:t xml:space="preserve">T, </w:t>
      </w:r>
      <w:r>
        <w:rPr>
          <w:color w:val="4D4D4F"/>
          <w:sz w:val="12"/>
        </w:rPr>
        <w:t xml:space="preserve">Gibson-Roy </w:t>
      </w:r>
      <w:r>
        <w:rPr>
          <w:color w:val="4D4D4F"/>
          <w:spacing w:val="-5"/>
          <w:sz w:val="12"/>
        </w:rPr>
        <w:t xml:space="preserve">P, </w:t>
      </w:r>
      <w:r>
        <w:rPr>
          <w:color w:val="4D4D4F"/>
          <w:spacing w:val="2"/>
          <w:sz w:val="12"/>
        </w:rPr>
        <w:t xml:space="preserve">Dorrough </w:t>
      </w:r>
      <w:r>
        <w:rPr>
          <w:color w:val="4D4D4F"/>
          <w:w w:val="110"/>
          <w:sz w:val="12"/>
        </w:rPr>
        <w:t xml:space="preserve">J, </w:t>
      </w:r>
      <w:r>
        <w:rPr>
          <w:color w:val="4D4D4F"/>
          <w:sz w:val="12"/>
        </w:rPr>
        <w:t xml:space="preserve">Wong N, Craigie </w:t>
      </w:r>
      <w:r>
        <w:rPr>
          <w:color w:val="4D4D4F"/>
          <w:spacing w:val="-3"/>
          <w:sz w:val="12"/>
        </w:rPr>
        <w:t xml:space="preserve">V, </w:t>
      </w:r>
      <w:r>
        <w:rPr>
          <w:color w:val="4D4D4F"/>
          <w:spacing w:val="2"/>
          <w:sz w:val="12"/>
        </w:rPr>
        <w:t xml:space="preserve">Garrard </w:t>
      </w:r>
      <w:r>
        <w:rPr>
          <w:color w:val="4D4D4F"/>
          <w:sz w:val="12"/>
        </w:rPr>
        <w:t xml:space="preserve">GE  and  </w:t>
      </w:r>
      <w:r>
        <w:rPr>
          <w:color w:val="4D4D4F"/>
          <w:spacing w:val="2"/>
          <w:sz w:val="12"/>
        </w:rPr>
        <w:t xml:space="preserve">Moore </w:t>
      </w:r>
      <w:r>
        <w:rPr>
          <w:color w:val="4D4D4F"/>
          <w:w w:val="110"/>
          <w:sz w:val="12"/>
        </w:rPr>
        <w:t xml:space="preserve">JL </w:t>
      </w:r>
      <w:r>
        <w:rPr>
          <w:color w:val="4D4D4F"/>
          <w:sz w:val="12"/>
        </w:rPr>
        <w:t xml:space="preserve">(2019b)  ‘A  state-and-transition  model  to guide grassland management.’ Australian Journal of Botany </w:t>
      </w:r>
      <w:r>
        <w:rPr>
          <w:color w:val="4D4D4F"/>
          <w:spacing w:val="-4"/>
          <w:sz w:val="12"/>
        </w:rPr>
        <w:t>67,</w:t>
      </w:r>
      <w:r>
        <w:rPr>
          <w:color w:val="4D4D4F"/>
          <w:spacing w:val="-1"/>
          <w:sz w:val="12"/>
        </w:rPr>
        <w:t xml:space="preserve"> </w:t>
      </w:r>
      <w:r>
        <w:rPr>
          <w:color w:val="4D4D4F"/>
          <w:spacing w:val="2"/>
          <w:sz w:val="12"/>
        </w:rPr>
        <w:t>437-453.</w:t>
      </w:r>
    </w:p>
    <w:p w14:paraId="6DEDCEC1"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5721A64B" w14:textId="77777777" w:rsidR="00EF5B27" w:rsidRDefault="00000000">
      <w:pPr>
        <w:pStyle w:val="BodyText"/>
      </w:pPr>
      <w:r>
        <w:lastRenderedPageBreak/>
        <w:pict w14:anchorId="12BAAB1A">
          <v:group id="_x0000_s3642" style="position:absolute;margin-left:587.05pt;margin-top:183.4pt;width:8.25pt;height:153.1pt;z-index:251533824;mso-position-horizontal-relative:page;mso-position-vertical-relative:page" coordorigin="11741,3668" coordsize="165,3062">
            <v:shape id="_x0000_s3649" style="position:absolute;left:11741;top:3668;width:165;height:561" coordorigin="11741,3668" coordsize="165,561" path="m11906,3668r-165,l11741,4228r165,-18l11906,3668xe" fillcolor="#00aed9" stroked="f">
              <v:path arrowok="t"/>
            </v:shape>
            <v:shape id="_x0000_s3648" style="position:absolute;left:11741;top:4118;width:165;height:425" coordorigin="11741,4118" coordsize="165,425" path="m11906,4118r-165,14l11741,4531r165,12l11906,4118xe" fillcolor="#047ebc" stroked="f">
              <v:path arrowok="t"/>
            </v:shape>
            <v:shape id="_x0000_s3647" type="#_x0000_t75" style="position:absolute;left:11741;top:4355;width:165;height:587">
              <v:imagedata r:id="rId42" o:title=""/>
            </v:shape>
            <v:shape id="_x0000_s3646" style="position:absolute;left:11741;top:5343;width:165;height:536" coordorigin="11741,5343" coordsize="165,536" path="m11741,5343r,535l11906,5872r,-525l11741,5343xe" fillcolor="#f36a2e" stroked="f">
              <v:path arrowok="t"/>
            </v:shape>
            <v:shape id="_x0000_s3645" style="position:absolute;left:11741;top:4925;width:165;height:501" coordorigin="11741,4926" coordsize="165,501" path="m11741,4926r,500l11906,5426r,-485l11741,4926xe" fillcolor="#49783f" stroked="f">
              <v:path arrowok="t"/>
            </v:shape>
            <v:shape id="_x0000_s3644" style="position:absolute;left:11741;top:5781;width:165;height:268" coordorigin="11741,5782" coordsize="165,268" path="m11906,5782r-165,8l11741,6039r165,10l11906,5782xe" fillcolor="#f99f2a" stroked="f">
              <v:path arrowok="t"/>
            </v:shape>
            <v:shape id="_x0000_s3643" style="position:absolute;left:11741;top:6023;width:165;height:707" coordorigin="11741,6023" coordsize="165,707" path="m11741,6023r,706l11906,6729r,-690l11741,6023xe" fillcolor="#ef412c" stroked="f">
              <v:path arrowok="t"/>
            </v:shape>
            <w10:wrap anchorx="page" anchory="page"/>
          </v:group>
        </w:pict>
      </w:r>
    </w:p>
    <w:p w14:paraId="40F55F8A" w14:textId="77777777" w:rsidR="00EF5B27" w:rsidRDefault="00EF5B27">
      <w:pPr>
        <w:pStyle w:val="BodyText"/>
      </w:pPr>
    </w:p>
    <w:p w14:paraId="205F183D" w14:textId="77777777" w:rsidR="00EF5B27" w:rsidRDefault="00EF5B27">
      <w:pPr>
        <w:pStyle w:val="BodyText"/>
      </w:pPr>
    </w:p>
    <w:p w14:paraId="7B318D3C" w14:textId="77777777" w:rsidR="00EF5B27" w:rsidRDefault="00EF5B27">
      <w:pPr>
        <w:pStyle w:val="BodyText"/>
        <w:spacing w:before="4"/>
        <w:rPr>
          <w:sz w:val="25"/>
        </w:rPr>
      </w:pPr>
    </w:p>
    <w:p w14:paraId="37043607" w14:textId="77777777" w:rsidR="00EF5B27" w:rsidRDefault="00000000">
      <w:pPr>
        <w:pStyle w:val="BodyText"/>
        <w:spacing w:before="100" w:line="254" w:lineRule="auto"/>
        <w:ind w:left="3175" w:right="245"/>
      </w:pPr>
      <w:r>
        <w:pict w14:anchorId="1E42B873">
          <v:line id="_x0000_s3641" style="position:absolute;left:0;text-align:left;z-index:251536896;mso-position-horizontal-relative:page" from="181.4pt,4.1pt" to="181.4pt,128.1pt" strokecolor="#f99f2a" strokeweight="1pt">
            <w10:wrap anchorx="page"/>
          </v:line>
        </w:pict>
      </w:r>
      <w:r>
        <w:rPr>
          <w:color w:val="4D4D4F"/>
        </w:rPr>
        <w:t>The assemblage may change from one state to another – it may undergo a desirable or undesirable transition if a threshold is crossed. Assigning a state  to a site is effectively a shorthand summary of what has happened to that site, what its current ecological status is, what the possibilities are for the site for improvement and what management tools might be</w:t>
      </w:r>
      <w:r>
        <w:rPr>
          <w:color w:val="4D4D4F"/>
          <w:spacing w:val="20"/>
        </w:rPr>
        <w:t xml:space="preserve"> </w:t>
      </w:r>
      <w:r>
        <w:rPr>
          <w:color w:val="4D4D4F"/>
        </w:rPr>
        <w:t>available.</w:t>
      </w:r>
    </w:p>
    <w:p w14:paraId="37996E81" w14:textId="77777777" w:rsidR="00EF5B27" w:rsidRDefault="00000000">
      <w:pPr>
        <w:pStyle w:val="BodyText"/>
        <w:spacing w:before="120" w:line="254" w:lineRule="auto"/>
        <w:ind w:left="3175" w:right="206"/>
      </w:pPr>
      <w:r>
        <w:rPr>
          <w:color w:val="4D4D4F"/>
        </w:rPr>
        <w:t>The STM for Natural Temperate Grassland is described in Sinclair et al. (2019b).</w:t>
      </w:r>
      <w:r>
        <w:rPr>
          <w:color w:val="4D4D4F"/>
          <w:position w:val="7"/>
          <w:sz w:val="11"/>
        </w:rPr>
        <w:t xml:space="preserve">111 </w:t>
      </w:r>
      <w:r>
        <w:rPr>
          <w:color w:val="4D4D4F"/>
        </w:rPr>
        <w:t>The STM for Grassy Eucalypt Woodland is unpublished and is not yet in use. States are not used for reporting on Seasonal Herbaceous Wetlands, because this community is reported on at discrete wetland sites.’</w:t>
      </w:r>
    </w:p>
    <w:p w14:paraId="14311B0A" w14:textId="77777777" w:rsidR="00EF5B27" w:rsidRDefault="00EF5B27">
      <w:pPr>
        <w:pStyle w:val="BodyText"/>
        <w:spacing w:before="3"/>
        <w:rPr>
          <w:sz w:val="19"/>
        </w:rPr>
      </w:pPr>
    </w:p>
    <w:p w14:paraId="3AE70FBF" w14:textId="77777777" w:rsidR="00EF5B27" w:rsidRDefault="00000000">
      <w:pPr>
        <w:pStyle w:val="Heading3"/>
      </w:pPr>
      <w:r>
        <w:rPr>
          <w:color w:val="F99F2A"/>
        </w:rPr>
        <w:t>Other measures</w:t>
      </w:r>
    </w:p>
    <w:p w14:paraId="4D53E64E" w14:textId="77777777" w:rsidR="00EF5B27" w:rsidRDefault="00000000">
      <w:pPr>
        <w:pStyle w:val="BodyText"/>
        <w:spacing w:before="222" w:line="254" w:lineRule="auto"/>
        <w:ind w:left="2608" w:right="352"/>
      </w:pPr>
      <w:r>
        <w:rPr>
          <w:color w:val="4D4D4F"/>
        </w:rPr>
        <w:t xml:space="preserve">Some additional parameters are monitored that do not contribute to the KPIs, such  as weather and other environmental covariates. DELWP has not included these measures as KPIs as they are ‘highly labile, highly correlated to the KPIs, or because they have an uncertain relationship to the desired </w:t>
      </w:r>
      <w:r>
        <w:rPr>
          <w:color w:val="4D4D4F"/>
          <w:spacing w:val="-3"/>
        </w:rPr>
        <w:t>outcomes.’</w:t>
      </w:r>
      <w:r>
        <w:rPr>
          <w:color w:val="4D4D4F"/>
          <w:spacing w:val="-3"/>
          <w:position w:val="7"/>
          <w:sz w:val="11"/>
        </w:rPr>
        <w:t xml:space="preserve">112 </w:t>
      </w:r>
      <w:r>
        <w:rPr>
          <w:color w:val="4D4D4F"/>
        </w:rPr>
        <w:t>This data may assist  in the interpretation of the KPIs in future, inform species and community models or reveal other changes of interest in the ecosystem. DELWP has not yet compiled the data for other measures for 2020–22 and as such they are not presented</w:t>
      </w:r>
      <w:r>
        <w:rPr>
          <w:color w:val="4D4D4F"/>
          <w:spacing w:val="7"/>
        </w:rPr>
        <w:t xml:space="preserve"> </w:t>
      </w:r>
      <w:r>
        <w:rPr>
          <w:color w:val="4D4D4F"/>
        </w:rPr>
        <w:t>here.</w:t>
      </w:r>
    </w:p>
    <w:p w14:paraId="26B728F6" w14:textId="77777777" w:rsidR="00EF5B27" w:rsidRDefault="00EF5B27">
      <w:pPr>
        <w:pStyle w:val="BodyText"/>
        <w:spacing w:before="7"/>
        <w:rPr>
          <w:sz w:val="19"/>
        </w:rPr>
      </w:pPr>
    </w:p>
    <w:p w14:paraId="5BAB2B0D" w14:textId="77777777" w:rsidR="00EF5B27" w:rsidRDefault="00000000">
      <w:pPr>
        <w:pStyle w:val="Heading3"/>
      </w:pPr>
      <w:r>
        <w:rPr>
          <w:color w:val="F99F2A"/>
        </w:rPr>
        <w:t>Scope of application</w:t>
      </w:r>
    </w:p>
    <w:p w14:paraId="509F68B7" w14:textId="77777777" w:rsidR="00EF5B27" w:rsidRDefault="00000000">
      <w:pPr>
        <w:pStyle w:val="BodyText"/>
        <w:spacing w:before="221" w:line="254" w:lineRule="auto"/>
        <w:ind w:left="2608" w:right="159"/>
        <w:rPr>
          <w:sz w:val="11"/>
        </w:rPr>
      </w:pPr>
      <w:r>
        <w:rPr>
          <w:color w:val="4D4D4F"/>
        </w:rPr>
        <w:t xml:space="preserve">The </w:t>
      </w:r>
      <w:r>
        <w:rPr>
          <w:color w:val="4D4D4F"/>
          <w:spacing w:val="-3"/>
        </w:rPr>
        <w:t xml:space="preserve">following outlines </w:t>
      </w:r>
      <w:r>
        <w:rPr>
          <w:color w:val="4D4D4F"/>
        </w:rPr>
        <w:t xml:space="preserve">the scope of </w:t>
      </w:r>
      <w:r>
        <w:rPr>
          <w:color w:val="4D4D4F"/>
          <w:spacing w:val="-3"/>
        </w:rPr>
        <w:t xml:space="preserve">application </w:t>
      </w:r>
      <w:r>
        <w:rPr>
          <w:color w:val="4D4D4F"/>
        </w:rPr>
        <w:t xml:space="preserve">of MSA </w:t>
      </w:r>
      <w:r>
        <w:rPr>
          <w:color w:val="4D4D4F"/>
          <w:spacing w:val="-3"/>
        </w:rPr>
        <w:t xml:space="preserve">monitoring </w:t>
      </w:r>
      <w:r>
        <w:rPr>
          <w:color w:val="4D4D4F"/>
        </w:rPr>
        <w:t xml:space="preserve">undertaken under the MSA program and has been extracted from the MSA Outcomes Report </w:t>
      </w:r>
      <w:r>
        <w:rPr>
          <w:color w:val="4D4D4F"/>
          <w:spacing w:val="-4"/>
        </w:rPr>
        <w:t>2014–2020.</w:t>
      </w:r>
      <w:r>
        <w:rPr>
          <w:color w:val="4D4D4F"/>
          <w:spacing w:val="-4"/>
          <w:position w:val="7"/>
          <w:sz w:val="11"/>
        </w:rPr>
        <w:t>113</w:t>
      </w:r>
    </w:p>
    <w:p w14:paraId="0E8109E7" w14:textId="77777777" w:rsidR="00EF5B27" w:rsidRDefault="00000000">
      <w:pPr>
        <w:pStyle w:val="Heading6"/>
        <w:spacing w:before="116"/>
      </w:pPr>
      <w:r>
        <w:rPr>
          <w:color w:val="4D4D4F"/>
        </w:rPr>
        <w:t>Geographic</w:t>
      </w:r>
    </w:p>
    <w:p w14:paraId="07659918" w14:textId="77777777" w:rsidR="00EF5B27" w:rsidRDefault="00EF5B27">
      <w:pPr>
        <w:pStyle w:val="BodyText"/>
        <w:spacing w:before="10"/>
        <w:rPr>
          <w:b/>
          <w:sz w:val="19"/>
        </w:rPr>
      </w:pPr>
    </w:p>
    <w:p w14:paraId="5FAEEDB5" w14:textId="77777777" w:rsidR="00EF5B27" w:rsidRDefault="00000000">
      <w:pPr>
        <w:pStyle w:val="BodyText"/>
        <w:spacing w:line="254" w:lineRule="auto"/>
        <w:ind w:left="3175" w:right="221"/>
      </w:pPr>
      <w:r>
        <w:pict w14:anchorId="00AAC981">
          <v:line id="_x0000_s3640" style="position:absolute;left:0;text-align:left;z-index:251534848;mso-position-horizontal-relative:page" from="181.4pt,-.85pt" to="181.4pt,88.9pt" strokecolor="#f99f2a" strokeweight="1pt">
            <w10:wrap anchorx="page"/>
          </v:line>
        </w:pict>
      </w:r>
      <w:r>
        <w:rPr>
          <w:color w:val="4D4D4F"/>
        </w:rPr>
        <w:t>‘Monitoring applies to all known natural populations of relevant species and vegetation communities on land within the MSA Conservation Areas described in the BCS, the Western Grassland Reserve, the Grassy Eucalypt Woodland Reserve, the Southern Brown Bandicoot management area and any other parcels of land acquired under the MSA. It is DELWP’s intention to monitor any newly discovered natural populations of EPBC-listed species on MSA managed land, and to evaluate their outcomes against the KPIs.’</w:t>
      </w:r>
    </w:p>
    <w:p w14:paraId="54E2173D" w14:textId="77777777" w:rsidR="00EF5B27" w:rsidRDefault="00EF5B27">
      <w:pPr>
        <w:pStyle w:val="BodyText"/>
        <w:spacing w:before="7"/>
        <w:rPr>
          <w:sz w:val="28"/>
        </w:rPr>
      </w:pPr>
    </w:p>
    <w:p w14:paraId="00A25AE0" w14:textId="77777777" w:rsidR="00EF5B27" w:rsidRDefault="00000000">
      <w:pPr>
        <w:pStyle w:val="Heading6"/>
      </w:pPr>
      <w:r>
        <w:rPr>
          <w:color w:val="4D4D4F"/>
        </w:rPr>
        <w:t>Temporal</w:t>
      </w:r>
    </w:p>
    <w:p w14:paraId="6F850370" w14:textId="77777777" w:rsidR="00EF5B27" w:rsidRDefault="00EF5B27">
      <w:pPr>
        <w:pStyle w:val="BodyText"/>
        <w:spacing w:before="11"/>
        <w:rPr>
          <w:b/>
          <w:sz w:val="19"/>
        </w:rPr>
      </w:pPr>
    </w:p>
    <w:p w14:paraId="5CE1C524" w14:textId="77777777" w:rsidR="00EF5B27" w:rsidRDefault="00000000">
      <w:pPr>
        <w:pStyle w:val="BodyText"/>
        <w:spacing w:line="254" w:lineRule="auto"/>
        <w:ind w:left="3175" w:right="151"/>
      </w:pPr>
      <w:r>
        <w:pict w14:anchorId="33011668">
          <v:line id="_x0000_s3639" style="position:absolute;left:0;text-align:left;z-index:251535872;mso-position-horizontal-relative:page" from="181.4pt,-1.1pt" to="181.4pt,52.6pt" strokecolor="#f99f2a" strokeweight="1pt">
            <w10:wrap anchorx="page"/>
          </v:line>
        </w:pict>
      </w:r>
      <w:r>
        <w:rPr>
          <w:color w:val="4D4D4F"/>
        </w:rPr>
        <w:t>‘Monitoring commences at a given location only once that site is secured or the regional implementation program has commenced in that area (for Growling Grass Frog, and Southern Brown Bandicoot only). This approach was a basic assumption in the design and costing of the MSA. This has several implications.</w:t>
      </w:r>
    </w:p>
    <w:p w14:paraId="5C54D935" w14:textId="77777777" w:rsidR="00EF5B27" w:rsidRDefault="00EF5B27">
      <w:pPr>
        <w:pStyle w:val="BodyText"/>
      </w:pPr>
    </w:p>
    <w:p w14:paraId="3E1DAC02" w14:textId="77777777" w:rsidR="00EF5B27" w:rsidRDefault="00EF5B27">
      <w:pPr>
        <w:pStyle w:val="BodyText"/>
      </w:pPr>
    </w:p>
    <w:p w14:paraId="135C95D5" w14:textId="77777777" w:rsidR="00EF5B27" w:rsidRDefault="00EF5B27">
      <w:pPr>
        <w:pStyle w:val="BodyText"/>
      </w:pPr>
    </w:p>
    <w:p w14:paraId="61ECBC55" w14:textId="77777777" w:rsidR="00EF5B27" w:rsidRDefault="00EF5B27">
      <w:pPr>
        <w:pStyle w:val="BodyText"/>
      </w:pPr>
    </w:p>
    <w:p w14:paraId="5201EC4F" w14:textId="77777777" w:rsidR="00EF5B27" w:rsidRDefault="00000000">
      <w:pPr>
        <w:pStyle w:val="BodyText"/>
        <w:spacing w:before="8"/>
        <w:rPr>
          <w:sz w:val="23"/>
        </w:rPr>
      </w:pPr>
      <w:r>
        <w:pict w14:anchorId="4BC564A1">
          <v:line id="_x0000_s3638" style="position:absolute;z-index:251470336;mso-wrap-distance-left:0;mso-wrap-distance-right:0;mso-position-horizontal-relative:page" from="181.4pt,16.65pt" to="538.6pt,16.65pt" strokecolor="#4d4d4f" strokeweight=".5pt">
            <w10:wrap type="topAndBottom" anchorx="page"/>
          </v:line>
        </w:pict>
      </w:r>
    </w:p>
    <w:p w14:paraId="2ED36DF7" w14:textId="77777777" w:rsidR="00EF5B27" w:rsidRDefault="00000000">
      <w:pPr>
        <w:pStyle w:val="ListParagraph"/>
        <w:numPr>
          <w:ilvl w:val="0"/>
          <w:numId w:val="46"/>
        </w:numPr>
        <w:tabs>
          <w:tab w:val="left" w:pos="2836"/>
        </w:tabs>
        <w:spacing w:before="88" w:line="230" w:lineRule="auto"/>
        <w:ind w:right="111"/>
        <w:rPr>
          <w:sz w:val="12"/>
        </w:rPr>
      </w:pPr>
      <w:r>
        <w:rPr>
          <w:color w:val="4D4D4F"/>
          <w:sz w:val="12"/>
        </w:rPr>
        <w:t xml:space="preserve">Sinclair </w:t>
      </w:r>
      <w:r>
        <w:rPr>
          <w:color w:val="4D4D4F"/>
          <w:w w:val="110"/>
          <w:sz w:val="12"/>
        </w:rPr>
        <w:t xml:space="preserve">SJ, </w:t>
      </w:r>
      <w:r>
        <w:rPr>
          <w:color w:val="4D4D4F"/>
          <w:sz w:val="12"/>
        </w:rPr>
        <w:t xml:space="preserve">Zamin </w:t>
      </w:r>
      <w:r>
        <w:rPr>
          <w:color w:val="4D4D4F"/>
          <w:spacing w:val="-3"/>
          <w:sz w:val="12"/>
        </w:rPr>
        <w:t xml:space="preserve">T, </w:t>
      </w:r>
      <w:r>
        <w:rPr>
          <w:color w:val="4D4D4F"/>
          <w:sz w:val="12"/>
        </w:rPr>
        <w:t xml:space="preserve">Gibson-Roy </w:t>
      </w:r>
      <w:r>
        <w:rPr>
          <w:color w:val="4D4D4F"/>
          <w:spacing w:val="-5"/>
          <w:sz w:val="12"/>
        </w:rPr>
        <w:t xml:space="preserve">P, </w:t>
      </w:r>
      <w:r>
        <w:rPr>
          <w:color w:val="4D4D4F"/>
          <w:spacing w:val="2"/>
          <w:sz w:val="12"/>
        </w:rPr>
        <w:t xml:space="preserve">Dorrough </w:t>
      </w:r>
      <w:r>
        <w:rPr>
          <w:color w:val="4D4D4F"/>
          <w:w w:val="110"/>
          <w:sz w:val="12"/>
        </w:rPr>
        <w:t xml:space="preserve">J, </w:t>
      </w:r>
      <w:r>
        <w:rPr>
          <w:color w:val="4D4D4F"/>
          <w:sz w:val="12"/>
        </w:rPr>
        <w:t xml:space="preserve">Wong N, Craigie </w:t>
      </w:r>
      <w:r>
        <w:rPr>
          <w:color w:val="4D4D4F"/>
          <w:spacing w:val="-3"/>
          <w:sz w:val="12"/>
        </w:rPr>
        <w:t xml:space="preserve">V, </w:t>
      </w:r>
      <w:r>
        <w:rPr>
          <w:color w:val="4D4D4F"/>
          <w:spacing w:val="2"/>
          <w:sz w:val="12"/>
        </w:rPr>
        <w:t xml:space="preserve">Garrard </w:t>
      </w:r>
      <w:r>
        <w:rPr>
          <w:color w:val="4D4D4F"/>
          <w:sz w:val="12"/>
        </w:rPr>
        <w:t xml:space="preserve">GE  and  </w:t>
      </w:r>
      <w:r>
        <w:rPr>
          <w:color w:val="4D4D4F"/>
          <w:spacing w:val="2"/>
          <w:sz w:val="12"/>
        </w:rPr>
        <w:t xml:space="preserve">Moore </w:t>
      </w:r>
      <w:r>
        <w:rPr>
          <w:color w:val="4D4D4F"/>
          <w:w w:val="110"/>
          <w:sz w:val="12"/>
        </w:rPr>
        <w:t xml:space="preserve">JL </w:t>
      </w:r>
      <w:r>
        <w:rPr>
          <w:color w:val="4D4D4F"/>
          <w:sz w:val="12"/>
        </w:rPr>
        <w:t xml:space="preserve">(2019b)  ‘A  state-and-transition  model  to guide grassland management.’ Australian Journal of Botany </w:t>
      </w:r>
      <w:r>
        <w:rPr>
          <w:color w:val="4D4D4F"/>
          <w:spacing w:val="-4"/>
          <w:sz w:val="12"/>
        </w:rPr>
        <w:t>67,</w:t>
      </w:r>
      <w:r>
        <w:rPr>
          <w:color w:val="4D4D4F"/>
          <w:spacing w:val="-1"/>
          <w:sz w:val="12"/>
        </w:rPr>
        <w:t xml:space="preserve"> </w:t>
      </w:r>
      <w:r>
        <w:rPr>
          <w:color w:val="4D4D4F"/>
          <w:spacing w:val="2"/>
          <w:sz w:val="12"/>
        </w:rPr>
        <w:t>437-453.</w:t>
      </w:r>
    </w:p>
    <w:p w14:paraId="002E595A" w14:textId="77777777" w:rsidR="00EF5B27" w:rsidRDefault="00000000">
      <w:pPr>
        <w:pStyle w:val="ListParagraph"/>
        <w:numPr>
          <w:ilvl w:val="0"/>
          <w:numId w:val="46"/>
        </w:numPr>
        <w:tabs>
          <w:tab w:val="left" w:pos="2836"/>
        </w:tabs>
        <w:spacing w:line="230" w:lineRule="auto"/>
        <w:ind w:right="112"/>
        <w:rPr>
          <w:sz w:val="12"/>
        </w:rPr>
      </w:pPr>
      <w:r>
        <w:rPr>
          <w:color w:val="4D4D4F"/>
          <w:spacing w:val="2"/>
          <w:sz w:val="12"/>
        </w:rPr>
        <w:t xml:space="preserve">Bruce </w:t>
      </w:r>
      <w:r>
        <w:rPr>
          <w:color w:val="4D4D4F"/>
          <w:sz w:val="12"/>
        </w:rPr>
        <w:t xml:space="preserve">M, Batpurev </w:t>
      </w:r>
      <w:r>
        <w:rPr>
          <w:color w:val="4D4D4F"/>
          <w:spacing w:val="2"/>
          <w:sz w:val="12"/>
        </w:rPr>
        <w:t xml:space="preserve">K, </w:t>
      </w:r>
      <w:r>
        <w:rPr>
          <w:color w:val="4D4D4F"/>
          <w:sz w:val="12"/>
        </w:rPr>
        <w:t xml:space="preserve">Bryant D, Sinclair S and Kohout M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DELWP, Heidelberg,</w:t>
      </w:r>
      <w:r>
        <w:rPr>
          <w:color w:val="4D4D4F"/>
          <w:spacing w:val="8"/>
          <w:sz w:val="12"/>
        </w:rPr>
        <w:t xml:space="preserve"> </w:t>
      </w:r>
      <w:r>
        <w:rPr>
          <w:color w:val="4D4D4F"/>
          <w:sz w:val="12"/>
        </w:rPr>
        <w:t>Victoria.</w:t>
      </w:r>
    </w:p>
    <w:p w14:paraId="0D268327" w14:textId="77777777" w:rsidR="00EF5B27" w:rsidRDefault="00000000">
      <w:pPr>
        <w:pStyle w:val="ListParagraph"/>
        <w:numPr>
          <w:ilvl w:val="0"/>
          <w:numId w:val="46"/>
        </w:numPr>
        <w:tabs>
          <w:tab w:val="left" w:pos="2836"/>
        </w:tabs>
        <w:spacing w:line="230" w:lineRule="auto"/>
        <w:ind w:right="111"/>
        <w:rPr>
          <w:sz w:val="12"/>
        </w:rPr>
      </w:pPr>
      <w:r>
        <w:rPr>
          <w:color w:val="4D4D4F"/>
          <w:sz w:val="12"/>
        </w:rPr>
        <w:t xml:space="preserve">M </w:t>
      </w:r>
      <w:r>
        <w:rPr>
          <w:color w:val="4D4D4F"/>
          <w:spacing w:val="2"/>
          <w:sz w:val="12"/>
        </w:rPr>
        <w:t xml:space="preserve">Bruce, </w:t>
      </w:r>
      <w:r>
        <w:rPr>
          <w:color w:val="4D4D4F"/>
          <w:sz w:val="12"/>
        </w:rPr>
        <w:t xml:space="preserve">K Batpurev, D Bryant. S Sinclair and M Kohout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DELWP, Heidelberg,</w:t>
      </w:r>
      <w:r>
        <w:rPr>
          <w:color w:val="4D4D4F"/>
          <w:spacing w:val="8"/>
          <w:sz w:val="12"/>
        </w:rPr>
        <w:t xml:space="preserve"> </w:t>
      </w:r>
      <w:r>
        <w:rPr>
          <w:color w:val="4D4D4F"/>
          <w:sz w:val="12"/>
        </w:rPr>
        <w:t>Victoria.</w:t>
      </w:r>
    </w:p>
    <w:p w14:paraId="19821E27"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2FCB7BC0" w14:textId="77777777" w:rsidR="00EF5B27" w:rsidRDefault="00000000">
      <w:pPr>
        <w:pStyle w:val="BodyText"/>
      </w:pPr>
      <w:r>
        <w:lastRenderedPageBreak/>
        <w:pict w14:anchorId="6EB25974">
          <v:group id="_x0000_s3630" style="position:absolute;margin-left:587.05pt;margin-top:183.4pt;width:8.25pt;height:153.1pt;z-index:251537920;mso-position-horizontal-relative:page;mso-position-vertical-relative:page" coordorigin="11741,3668" coordsize="165,3062">
            <v:shape id="_x0000_s3637" style="position:absolute;left:11741;top:3668;width:165;height:561" coordorigin="11741,3668" coordsize="165,561" path="m11906,3668r-165,l11741,4228r165,-18l11906,3668xe" fillcolor="#00aed9" stroked="f">
              <v:path arrowok="t"/>
            </v:shape>
            <v:shape id="_x0000_s3636" style="position:absolute;left:11741;top:4118;width:165;height:425" coordorigin="11741,4118" coordsize="165,425" path="m11906,4118r-165,14l11741,4531r165,12l11906,4118xe" fillcolor="#047ebc" stroked="f">
              <v:path arrowok="t"/>
            </v:shape>
            <v:shape id="_x0000_s3635" type="#_x0000_t75" style="position:absolute;left:11741;top:4355;width:165;height:587">
              <v:imagedata r:id="rId42" o:title=""/>
            </v:shape>
            <v:shape id="_x0000_s3634" style="position:absolute;left:11741;top:5343;width:165;height:536" coordorigin="11741,5343" coordsize="165,536" path="m11741,5343r,535l11906,5872r,-525l11741,5343xe" fillcolor="#f36a2e" stroked="f">
              <v:path arrowok="t"/>
            </v:shape>
            <v:shape id="_x0000_s3633" style="position:absolute;left:11741;top:4925;width:165;height:501" coordorigin="11741,4926" coordsize="165,501" path="m11741,4926r,500l11906,5426r,-485l11741,4926xe" fillcolor="#49783f" stroked="f">
              <v:path arrowok="t"/>
            </v:shape>
            <v:shape id="_x0000_s3632" style="position:absolute;left:11741;top:5781;width:165;height:268" coordorigin="11741,5782" coordsize="165,268" path="m11906,5782r-165,8l11741,6039r165,10l11906,5782xe" fillcolor="#f99f2a" stroked="f">
              <v:path arrowok="t"/>
            </v:shape>
            <v:shape id="_x0000_s3631" style="position:absolute;left:11741;top:6023;width:165;height:707" coordorigin="11741,6023" coordsize="165,707" path="m11741,6023r,706l11906,6729r,-690l11741,6023xe" fillcolor="#ef412c" stroked="f">
              <v:path arrowok="t"/>
            </v:shape>
            <w10:wrap anchorx="page" anchory="page"/>
          </v:group>
        </w:pict>
      </w:r>
    </w:p>
    <w:p w14:paraId="2C574B2E" w14:textId="77777777" w:rsidR="00EF5B27" w:rsidRDefault="00EF5B27">
      <w:pPr>
        <w:pStyle w:val="BodyText"/>
      </w:pPr>
    </w:p>
    <w:p w14:paraId="2BEBFE6A" w14:textId="77777777" w:rsidR="00EF5B27" w:rsidRDefault="00EF5B27">
      <w:pPr>
        <w:pStyle w:val="BodyText"/>
      </w:pPr>
    </w:p>
    <w:p w14:paraId="178BEA69" w14:textId="77777777" w:rsidR="00EF5B27" w:rsidRDefault="00EF5B27">
      <w:pPr>
        <w:pStyle w:val="BodyText"/>
        <w:spacing w:before="4"/>
        <w:rPr>
          <w:sz w:val="25"/>
        </w:rPr>
      </w:pPr>
    </w:p>
    <w:p w14:paraId="6DAC7B52" w14:textId="77777777" w:rsidR="00EF5B27" w:rsidRDefault="00000000">
      <w:pPr>
        <w:pStyle w:val="BodyText"/>
        <w:spacing w:before="100" w:line="254" w:lineRule="auto"/>
        <w:ind w:left="3175"/>
      </w:pPr>
      <w:r>
        <w:pict w14:anchorId="4B1E9AF2">
          <v:line id="_x0000_s3629" style="position:absolute;left:0;text-align:left;z-index:251538944;mso-position-horizontal-relative:page" from="181.4pt,3.7pt" to="181.4pt,185.8pt" strokecolor="#f99f2a" strokeweight="1pt">
            <w10:wrap anchorx="page"/>
          </v:line>
        </w:pict>
      </w:r>
      <w:r>
        <w:rPr>
          <w:color w:val="4D4D4F"/>
        </w:rPr>
        <w:t xml:space="preserve">First, it </w:t>
      </w:r>
      <w:r>
        <w:rPr>
          <w:color w:val="4D4D4F"/>
          <w:spacing w:val="-3"/>
        </w:rPr>
        <w:t xml:space="preserve">means that </w:t>
      </w:r>
      <w:r>
        <w:rPr>
          <w:color w:val="4D4D4F"/>
        </w:rPr>
        <w:t xml:space="preserve">the </w:t>
      </w:r>
      <w:r>
        <w:rPr>
          <w:color w:val="4D4D4F"/>
          <w:spacing w:val="-3"/>
        </w:rPr>
        <w:t xml:space="preserve">monitoring </w:t>
      </w:r>
      <w:r>
        <w:rPr>
          <w:color w:val="4D4D4F"/>
        </w:rPr>
        <w:t xml:space="preserve">does not </w:t>
      </w:r>
      <w:r>
        <w:rPr>
          <w:color w:val="4D4D4F"/>
          <w:spacing w:val="-3"/>
        </w:rPr>
        <w:t xml:space="preserve">include </w:t>
      </w:r>
      <w:r>
        <w:rPr>
          <w:color w:val="4D4D4F"/>
        </w:rPr>
        <w:t xml:space="preserve">counterfactuals </w:t>
      </w:r>
      <w:r>
        <w:rPr>
          <w:color w:val="4D4D4F"/>
          <w:spacing w:val="-3"/>
        </w:rPr>
        <w:t xml:space="preserve">that </w:t>
      </w:r>
      <w:r>
        <w:rPr>
          <w:color w:val="4D4D4F"/>
        </w:rPr>
        <w:t xml:space="preserve">are not part of MSA </w:t>
      </w:r>
      <w:r>
        <w:rPr>
          <w:color w:val="4D4D4F"/>
          <w:spacing w:val="-3"/>
        </w:rPr>
        <w:t xml:space="preserve">management. This </w:t>
      </w:r>
      <w:r>
        <w:rPr>
          <w:color w:val="4D4D4F"/>
          <w:spacing w:val="-4"/>
        </w:rPr>
        <w:t xml:space="preserve">limits </w:t>
      </w:r>
      <w:r>
        <w:rPr>
          <w:color w:val="4D4D4F"/>
        </w:rPr>
        <w:t xml:space="preserve">the </w:t>
      </w:r>
      <w:r>
        <w:rPr>
          <w:color w:val="4D4D4F"/>
          <w:spacing w:val="-3"/>
        </w:rPr>
        <w:t xml:space="preserve">ability </w:t>
      </w:r>
      <w:r>
        <w:rPr>
          <w:color w:val="4D4D4F"/>
        </w:rPr>
        <w:t xml:space="preserve">to compare and </w:t>
      </w:r>
      <w:r>
        <w:rPr>
          <w:color w:val="4D4D4F"/>
          <w:spacing w:val="-3"/>
        </w:rPr>
        <w:t xml:space="preserve">evaluate </w:t>
      </w:r>
      <w:r>
        <w:rPr>
          <w:color w:val="4D4D4F"/>
        </w:rPr>
        <w:t xml:space="preserve">MSA </w:t>
      </w:r>
      <w:r>
        <w:rPr>
          <w:color w:val="4D4D4F"/>
          <w:spacing w:val="-3"/>
        </w:rPr>
        <w:t xml:space="preserve">management against other management </w:t>
      </w:r>
      <w:r>
        <w:rPr>
          <w:color w:val="4D4D4F"/>
          <w:spacing w:val="-4"/>
        </w:rPr>
        <w:t xml:space="preserve">(including </w:t>
      </w:r>
      <w:r>
        <w:rPr>
          <w:color w:val="4D4D4F"/>
          <w:spacing w:val="-3"/>
        </w:rPr>
        <w:t xml:space="preserve">‘no management’) </w:t>
      </w:r>
      <w:r>
        <w:rPr>
          <w:color w:val="4D4D4F"/>
        </w:rPr>
        <w:t>scenarios.</w:t>
      </w:r>
    </w:p>
    <w:p w14:paraId="0D03F1B0" w14:textId="77777777" w:rsidR="00EF5B27" w:rsidRDefault="00000000">
      <w:pPr>
        <w:pStyle w:val="BodyText"/>
        <w:spacing w:before="117" w:line="254" w:lineRule="auto"/>
        <w:ind w:left="3175" w:right="372"/>
      </w:pPr>
      <w:r>
        <w:rPr>
          <w:color w:val="4D4D4F"/>
        </w:rPr>
        <w:t xml:space="preserve">Second, the progressive </w:t>
      </w:r>
      <w:r>
        <w:rPr>
          <w:color w:val="4D4D4F"/>
          <w:spacing w:val="-3"/>
        </w:rPr>
        <w:t xml:space="preserve">addition </w:t>
      </w:r>
      <w:r>
        <w:rPr>
          <w:color w:val="4D4D4F"/>
        </w:rPr>
        <w:t xml:space="preserve">of </w:t>
      </w:r>
      <w:r>
        <w:rPr>
          <w:color w:val="4D4D4F"/>
          <w:spacing w:val="-3"/>
        </w:rPr>
        <w:t xml:space="preserve">sites means that </w:t>
      </w:r>
      <w:r>
        <w:rPr>
          <w:color w:val="4D4D4F"/>
        </w:rPr>
        <w:t xml:space="preserve">the </w:t>
      </w:r>
      <w:r>
        <w:rPr>
          <w:color w:val="4D4D4F"/>
          <w:spacing w:val="-3"/>
        </w:rPr>
        <w:t xml:space="preserve">statistical </w:t>
      </w:r>
      <w:r>
        <w:rPr>
          <w:color w:val="4D4D4F"/>
        </w:rPr>
        <w:t xml:space="preserve">power to detect changes or </w:t>
      </w:r>
      <w:r>
        <w:rPr>
          <w:color w:val="4D4D4F"/>
          <w:spacing w:val="-3"/>
        </w:rPr>
        <w:t xml:space="preserve">management </w:t>
      </w:r>
      <w:r>
        <w:rPr>
          <w:color w:val="4D4D4F"/>
        </w:rPr>
        <w:t xml:space="preserve">effects </w:t>
      </w:r>
      <w:r>
        <w:rPr>
          <w:color w:val="4D4D4F"/>
          <w:spacing w:val="-3"/>
        </w:rPr>
        <w:t xml:space="preserve">will </w:t>
      </w:r>
      <w:r>
        <w:rPr>
          <w:color w:val="4D4D4F"/>
          <w:spacing w:val="-5"/>
        </w:rPr>
        <w:t xml:space="preserve">initially </w:t>
      </w:r>
      <w:r>
        <w:rPr>
          <w:color w:val="4D4D4F"/>
        </w:rPr>
        <w:t xml:space="preserve">be </w:t>
      </w:r>
      <w:r>
        <w:rPr>
          <w:color w:val="4D4D4F"/>
          <w:spacing w:val="-4"/>
        </w:rPr>
        <w:t xml:space="preserve">low. </w:t>
      </w:r>
      <w:r>
        <w:rPr>
          <w:color w:val="4D4D4F"/>
        </w:rPr>
        <w:t xml:space="preserve">For </w:t>
      </w:r>
      <w:r>
        <w:rPr>
          <w:color w:val="4D4D4F"/>
          <w:spacing w:val="-3"/>
        </w:rPr>
        <w:t xml:space="preserve">example, in </w:t>
      </w:r>
      <w:r>
        <w:rPr>
          <w:color w:val="4D4D4F"/>
          <w:spacing w:val="-7"/>
        </w:rPr>
        <w:t xml:space="preserve">2019, </w:t>
      </w:r>
      <w:r>
        <w:rPr>
          <w:color w:val="4D4D4F"/>
          <w:spacing w:val="-3"/>
        </w:rPr>
        <w:t xml:space="preserve">only approximately 10% </w:t>
      </w:r>
      <w:r>
        <w:rPr>
          <w:color w:val="4D4D4F"/>
        </w:rPr>
        <w:t xml:space="preserve">of the Natural </w:t>
      </w:r>
      <w:r>
        <w:rPr>
          <w:color w:val="4D4D4F"/>
          <w:spacing w:val="-4"/>
        </w:rPr>
        <w:t xml:space="preserve">Temperate </w:t>
      </w:r>
      <w:r>
        <w:rPr>
          <w:color w:val="4D4D4F"/>
        </w:rPr>
        <w:t xml:space="preserve">Grassland </w:t>
      </w:r>
      <w:r>
        <w:rPr>
          <w:color w:val="4D4D4F"/>
          <w:spacing w:val="-3"/>
        </w:rPr>
        <w:t xml:space="preserve">designated </w:t>
      </w:r>
      <w:r>
        <w:rPr>
          <w:color w:val="4D4D4F"/>
          <w:spacing w:val="-2"/>
        </w:rPr>
        <w:t xml:space="preserve">for </w:t>
      </w:r>
      <w:r>
        <w:rPr>
          <w:color w:val="4D4D4F"/>
        </w:rPr>
        <w:t xml:space="preserve">protection under the MSA program was </w:t>
      </w:r>
      <w:r>
        <w:rPr>
          <w:color w:val="4D4D4F"/>
          <w:spacing w:val="-3"/>
        </w:rPr>
        <w:t xml:space="preserve">being </w:t>
      </w:r>
      <w:r>
        <w:rPr>
          <w:color w:val="4D4D4F"/>
        </w:rPr>
        <w:t xml:space="preserve">monitored, with </w:t>
      </w:r>
      <w:r>
        <w:rPr>
          <w:color w:val="4D4D4F"/>
          <w:spacing w:val="-3"/>
        </w:rPr>
        <w:t xml:space="preserve">conclusions unable </w:t>
      </w:r>
      <w:r>
        <w:rPr>
          <w:color w:val="4D4D4F"/>
        </w:rPr>
        <w:t xml:space="preserve">to be drawn about the </w:t>
      </w:r>
      <w:r>
        <w:rPr>
          <w:color w:val="4D4D4F"/>
          <w:spacing w:val="-3"/>
        </w:rPr>
        <w:t xml:space="preserve">remaining </w:t>
      </w:r>
      <w:r>
        <w:rPr>
          <w:color w:val="4D4D4F"/>
        </w:rPr>
        <w:t>90%.</w:t>
      </w:r>
    </w:p>
    <w:p w14:paraId="6B5BB697" w14:textId="77777777" w:rsidR="00EF5B27" w:rsidRDefault="00000000">
      <w:pPr>
        <w:pStyle w:val="BodyText"/>
        <w:spacing w:before="120" w:line="254" w:lineRule="auto"/>
        <w:ind w:left="3175" w:right="145"/>
      </w:pPr>
      <w:r>
        <w:rPr>
          <w:color w:val="4D4D4F"/>
          <w:spacing w:val="-5"/>
        </w:rPr>
        <w:t xml:space="preserve">Third, </w:t>
      </w:r>
      <w:r>
        <w:rPr>
          <w:color w:val="4D4D4F"/>
          <w:spacing w:val="-4"/>
        </w:rPr>
        <w:t xml:space="preserve">it </w:t>
      </w:r>
      <w:r>
        <w:rPr>
          <w:color w:val="4D4D4F"/>
          <w:spacing w:val="-6"/>
        </w:rPr>
        <w:t xml:space="preserve">means that newly </w:t>
      </w:r>
      <w:r>
        <w:rPr>
          <w:color w:val="4D4D4F"/>
          <w:spacing w:val="-5"/>
        </w:rPr>
        <w:t xml:space="preserve">secured </w:t>
      </w:r>
      <w:r>
        <w:rPr>
          <w:color w:val="4D4D4F"/>
          <w:spacing w:val="-6"/>
        </w:rPr>
        <w:t xml:space="preserve">sites </w:t>
      </w:r>
      <w:r>
        <w:rPr>
          <w:color w:val="4D4D4F"/>
          <w:spacing w:val="-4"/>
        </w:rPr>
        <w:t xml:space="preserve">can </w:t>
      </w:r>
      <w:r>
        <w:rPr>
          <w:color w:val="4D4D4F"/>
          <w:spacing w:val="-6"/>
        </w:rPr>
        <w:t xml:space="preserve">influence </w:t>
      </w:r>
      <w:r>
        <w:rPr>
          <w:color w:val="4D4D4F"/>
          <w:spacing w:val="-5"/>
        </w:rPr>
        <w:t xml:space="preserve">the </w:t>
      </w:r>
      <w:r>
        <w:rPr>
          <w:color w:val="4D4D4F"/>
          <w:spacing w:val="-6"/>
        </w:rPr>
        <w:t xml:space="preserve">apparent </w:t>
      </w:r>
      <w:r>
        <w:rPr>
          <w:color w:val="4D4D4F"/>
          <w:spacing w:val="-5"/>
        </w:rPr>
        <w:t xml:space="preserve">progress towards </w:t>
      </w:r>
      <w:r>
        <w:rPr>
          <w:color w:val="4D4D4F"/>
        </w:rPr>
        <w:t>the</w:t>
      </w:r>
      <w:r>
        <w:rPr>
          <w:color w:val="4D4D4F"/>
          <w:spacing w:val="-7"/>
        </w:rPr>
        <w:t xml:space="preserve"> </w:t>
      </w:r>
      <w:r>
        <w:rPr>
          <w:color w:val="4D4D4F"/>
        </w:rPr>
        <w:t>outcomes;</w:t>
      </w:r>
      <w:r>
        <w:rPr>
          <w:color w:val="4D4D4F"/>
          <w:spacing w:val="-7"/>
        </w:rPr>
        <w:t xml:space="preserve"> </w:t>
      </w:r>
      <w:r>
        <w:rPr>
          <w:color w:val="4D4D4F"/>
        </w:rPr>
        <w:t>not</w:t>
      </w:r>
      <w:r>
        <w:rPr>
          <w:color w:val="4D4D4F"/>
          <w:spacing w:val="-7"/>
        </w:rPr>
        <w:t xml:space="preserve"> </w:t>
      </w:r>
      <w:r>
        <w:rPr>
          <w:color w:val="4D4D4F"/>
        </w:rPr>
        <w:t>because</w:t>
      </w:r>
      <w:r>
        <w:rPr>
          <w:color w:val="4D4D4F"/>
          <w:spacing w:val="-7"/>
        </w:rPr>
        <w:t xml:space="preserve"> </w:t>
      </w:r>
      <w:r>
        <w:rPr>
          <w:color w:val="4D4D4F"/>
        </w:rPr>
        <w:t>of</w:t>
      </w:r>
      <w:r>
        <w:rPr>
          <w:color w:val="4D4D4F"/>
          <w:spacing w:val="-6"/>
        </w:rPr>
        <w:t xml:space="preserve"> </w:t>
      </w:r>
      <w:r>
        <w:rPr>
          <w:color w:val="4D4D4F"/>
        </w:rPr>
        <w:t>changes</w:t>
      </w:r>
      <w:r>
        <w:rPr>
          <w:color w:val="4D4D4F"/>
          <w:spacing w:val="-7"/>
        </w:rPr>
        <w:t xml:space="preserve"> </w:t>
      </w:r>
      <w:r>
        <w:rPr>
          <w:color w:val="4D4D4F"/>
        </w:rPr>
        <w:t>brought</w:t>
      </w:r>
      <w:r>
        <w:rPr>
          <w:color w:val="4D4D4F"/>
          <w:spacing w:val="-7"/>
        </w:rPr>
        <w:t xml:space="preserve"> </w:t>
      </w:r>
      <w:r>
        <w:rPr>
          <w:color w:val="4D4D4F"/>
        </w:rPr>
        <w:t>about</w:t>
      </w:r>
      <w:r>
        <w:rPr>
          <w:color w:val="4D4D4F"/>
          <w:spacing w:val="-7"/>
        </w:rPr>
        <w:t xml:space="preserve"> </w:t>
      </w:r>
      <w:r>
        <w:rPr>
          <w:color w:val="4D4D4F"/>
        </w:rPr>
        <w:t>by</w:t>
      </w:r>
      <w:r>
        <w:rPr>
          <w:color w:val="4D4D4F"/>
          <w:spacing w:val="-7"/>
        </w:rPr>
        <w:t xml:space="preserve"> </w:t>
      </w:r>
      <w:r>
        <w:rPr>
          <w:color w:val="4D4D4F"/>
          <w:spacing w:val="-3"/>
        </w:rPr>
        <w:t>management,</w:t>
      </w:r>
      <w:r>
        <w:rPr>
          <w:color w:val="4D4D4F"/>
          <w:spacing w:val="-6"/>
        </w:rPr>
        <w:t xml:space="preserve"> </w:t>
      </w:r>
      <w:r>
        <w:rPr>
          <w:color w:val="4D4D4F"/>
        </w:rPr>
        <w:t>but</w:t>
      </w:r>
      <w:r>
        <w:rPr>
          <w:color w:val="4D4D4F"/>
          <w:spacing w:val="-7"/>
        </w:rPr>
        <w:t xml:space="preserve"> </w:t>
      </w:r>
      <w:r>
        <w:rPr>
          <w:color w:val="4D4D4F"/>
          <w:spacing w:val="-4"/>
        </w:rPr>
        <w:t xml:space="preserve">simply </w:t>
      </w:r>
      <w:r>
        <w:rPr>
          <w:color w:val="4D4D4F"/>
        </w:rPr>
        <w:t>due to their addition to the dataset. DELWP has designed KPIs to counter such effects. For example, some KPIs are assessed for a given site only from when it   is</w:t>
      </w:r>
      <w:r>
        <w:rPr>
          <w:color w:val="4D4D4F"/>
          <w:spacing w:val="5"/>
        </w:rPr>
        <w:t xml:space="preserve"> </w:t>
      </w:r>
      <w:r>
        <w:rPr>
          <w:color w:val="4D4D4F"/>
        </w:rPr>
        <w:t>secured,</w:t>
      </w:r>
      <w:r>
        <w:rPr>
          <w:color w:val="4D4D4F"/>
          <w:spacing w:val="6"/>
        </w:rPr>
        <w:t xml:space="preserve"> </w:t>
      </w:r>
      <w:r>
        <w:rPr>
          <w:color w:val="4D4D4F"/>
        </w:rPr>
        <w:t>and</w:t>
      </w:r>
      <w:r>
        <w:rPr>
          <w:color w:val="4D4D4F"/>
          <w:spacing w:val="6"/>
        </w:rPr>
        <w:t xml:space="preserve"> </w:t>
      </w:r>
      <w:r>
        <w:rPr>
          <w:color w:val="4D4D4F"/>
        </w:rPr>
        <w:t>some</w:t>
      </w:r>
      <w:r>
        <w:rPr>
          <w:color w:val="4D4D4F"/>
          <w:spacing w:val="5"/>
        </w:rPr>
        <w:t xml:space="preserve"> </w:t>
      </w:r>
      <w:r>
        <w:rPr>
          <w:color w:val="4D4D4F"/>
        </w:rPr>
        <w:t>baselines</w:t>
      </w:r>
      <w:r>
        <w:rPr>
          <w:color w:val="4D4D4F"/>
          <w:spacing w:val="6"/>
        </w:rPr>
        <w:t xml:space="preserve"> </w:t>
      </w:r>
      <w:r>
        <w:rPr>
          <w:color w:val="4D4D4F"/>
        </w:rPr>
        <w:t>are</w:t>
      </w:r>
      <w:r>
        <w:rPr>
          <w:color w:val="4D4D4F"/>
          <w:spacing w:val="6"/>
        </w:rPr>
        <w:t xml:space="preserve"> </w:t>
      </w:r>
      <w:r>
        <w:rPr>
          <w:color w:val="4D4D4F"/>
        </w:rPr>
        <w:t>re-balanced</w:t>
      </w:r>
      <w:r>
        <w:rPr>
          <w:color w:val="4D4D4F"/>
          <w:spacing w:val="5"/>
        </w:rPr>
        <w:t xml:space="preserve"> </w:t>
      </w:r>
      <w:r>
        <w:rPr>
          <w:color w:val="4D4D4F"/>
        </w:rPr>
        <w:t>to</w:t>
      </w:r>
      <w:r>
        <w:rPr>
          <w:color w:val="4D4D4F"/>
          <w:spacing w:val="6"/>
        </w:rPr>
        <w:t xml:space="preserve"> </w:t>
      </w:r>
      <w:r>
        <w:rPr>
          <w:color w:val="4D4D4F"/>
        </w:rPr>
        <w:t>account</w:t>
      </w:r>
      <w:r>
        <w:rPr>
          <w:color w:val="4D4D4F"/>
          <w:spacing w:val="6"/>
        </w:rPr>
        <w:t xml:space="preserve"> </w:t>
      </w:r>
      <w:r>
        <w:rPr>
          <w:color w:val="4D4D4F"/>
        </w:rPr>
        <w:t>for</w:t>
      </w:r>
      <w:r>
        <w:rPr>
          <w:color w:val="4D4D4F"/>
          <w:spacing w:val="5"/>
        </w:rPr>
        <w:t xml:space="preserve"> </w:t>
      </w:r>
      <w:r>
        <w:rPr>
          <w:color w:val="4D4D4F"/>
        </w:rPr>
        <w:t>new</w:t>
      </w:r>
      <w:r>
        <w:rPr>
          <w:color w:val="4D4D4F"/>
          <w:spacing w:val="6"/>
        </w:rPr>
        <w:t xml:space="preserve"> </w:t>
      </w:r>
      <w:r>
        <w:rPr>
          <w:color w:val="4D4D4F"/>
        </w:rPr>
        <w:t>sites.’</w:t>
      </w:r>
    </w:p>
    <w:p w14:paraId="3878ADE6" w14:textId="77777777" w:rsidR="00EF5B27" w:rsidRDefault="00EF5B27">
      <w:pPr>
        <w:pStyle w:val="BodyText"/>
        <w:rPr>
          <w:sz w:val="24"/>
        </w:rPr>
      </w:pPr>
    </w:p>
    <w:p w14:paraId="08B431E4" w14:textId="77777777" w:rsidR="00EF5B27" w:rsidRDefault="00000000">
      <w:pPr>
        <w:pStyle w:val="Heading3"/>
        <w:spacing w:before="170"/>
        <w:ind w:right="151"/>
      </w:pPr>
      <w:r>
        <w:rPr>
          <w:color w:val="F99F2A"/>
          <w:spacing w:val="-7"/>
        </w:rPr>
        <w:t xml:space="preserve">Treatment </w:t>
      </w:r>
      <w:r>
        <w:rPr>
          <w:color w:val="F99F2A"/>
        </w:rPr>
        <w:t xml:space="preserve">of </w:t>
      </w:r>
      <w:r>
        <w:rPr>
          <w:color w:val="F99F2A"/>
          <w:spacing w:val="-5"/>
        </w:rPr>
        <w:t xml:space="preserve">species re-introductions, </w:t>
      </w:r>
      <w:r>
        <w:rPr>
          <w:color w:val="F99F2A"/>
          <w:spacing w:val="-6"/>
        </w:rPr>
        <w:t xml:space="preserve">population augmentations </w:t>
      </w:r>
      <w:r>
        <w:rPr>
          <w:color w:val="F99F2A"/>
          <w:spacing w:val="-4"/>
        </w:rPr>
        <w:t xml:space="preserve">and </w:t>
      </w:r>
      <w:r>
        <w:rPr>
          <w:color w:val="F99F2A"/>
          <w:spacing w:val="-6"/>
        </w:rPr>
        <w:t xml:space="preserve">colonisation </w:t>
      </w:r>
      <w:r>
        <w:rPr>
          <w:color w:val="F99F2A"/>
        </w:rPr>
        <w:t xml:space="preserve">of </w:t>
      </w:r>
      <w:r>
        <w:rPr>
          <w:color w:val="F99F2A"/>
          <w:spacing w:val="-4"/>
        </w:rPr>
        <w:t xml:space="preserve">restored </w:t>
      </w:r>
      <w:r>
        <w:rPr>
          <w:color w:val="F99F2A"/>
          <w:spacing w:val="-5"/>
        </w:rPr>
        <w:t>habitats</w:t>
      </w:r>
    </w:p>
    <w:p w14:paraId="03EAA96F" w14:textId="77777777" w:rsidR="00EF5B27" w:rsidRDefault="00000000">
      <w:pPr>
        <w:pStyle w:val="BodyText"/>
        <w:spacing w:before="220" w:line="254" w:lineRule="auto"/>
        <w:ind w:left="2608" w:right="744"/>
        <w:jc w:val="both"/>
        <w:rPr>
          <w:sz w:val="11"/>
        </w:rPr>
      </w:pPr>
      <w:r>
        <w:rPr>
          <w:color w:val="4D4D4F"/>
        </w:rPr>
        <w:t>The following outlines a rationale for the treatment of species reintroductions, population augmentations and colonisation of restored habitats under the MSA program and has been extracted from the MSA Outcomes Report 2014–2020.</w:t>
      </w:r>
      <w:r>
        <w:rPr>
          <w:color w:val="4D4D4F"/>
          <w:position w:val="7"/>
          <w:sz w:val="11"/>
        </w:rPr>
        <w:t>114</w:t>
      </w:r>
    </w:p>
    <w:p w14:paraId="5C72C43D" w14:textId="77777777" w:rsidR="00EF5B27" w:rsidRDefault="00EF5B27">
      <w:pPr>
        <w:pStyle w:val="BodyText"/>
        <w:spacing w:before="2"/>
        <w:rPr>
          <w:sz w:val="28"/>
        </w:rPr>
      </w:pPr>
    </w:p>
    <w:p w14:paraId="39DF4BDA" w14:textId="77777777" w:rsidR="00EF5B27" w:rsidRDefault="00000000">
      <w:pPr>
        <w:pStyle w:val="BodyText"/>
        <w:spacing w:line="254" w:lineRule="auto"/>
        <w:ind w:left="3175" w:right="397"/>
        <w:rPr>
          <w:sz w:val="11"/>
        </w:rPr>
      </w:pPr>
      <w:r>
        <w:pict w14:anchorId="702B0DA7">
          <v:line id="_x0000_s3628" style="position:absolute;left:0;text-align:left;z-index:251539968;mso-position-horizontal-relative:page" from="181.4pt,.45pt" to="181.4pt,229.65pt" strokecolor="#f99f2a" strokeweight="1pt">
            <w10:wrap anchorx="page"/>
          </v:line>
        </w:pict>
      </w:r>
      <w:r>
        <w:rPr>
          <w:color w:val="4D4D4F"/>
        </w:rPr>
        <w:t>‘For several plant species, new populations may be created, or existing populations</w:t>
      </w:r>
      <w:r>
        <w:rPr>
          <w:color w:val="4D4D4F"/>
          <w:spacing w:val="-8"/>
        </w:rPr>
        <w:t xml:space="preserve"> </w:t>
      </w:r>
      <w:r>
        <w:rPr>
          <w:color w:val="4D4D4F"/>
        </w:rPr>
        <w:t>augmented,</w:t>
      </w:r>
      <w:r>
        <w:rPr>
          <w:color w:val="4D4D4F"/>
          <w:spacing w:val="-7"/>
        </w:rPr>
        <w:t xml:space="preserve"> </w:t>
      </w:r>
      <w:r>
        <w:rPr>
          <w:color w:val="4D4D4F"/>
        </w:rPr>
        <w:t>with</w:t>
      </w:r>
      <w:r>
        <w:rPr>
          <w:color w:val="4D4D4F"/>
          <w:spacing w:val="-7"/>
        </w:rPr>
        <w:t xml:space="preserve"> </w:t>
      </w:r>
      <w:r>
        <w:rPr>
          <w:color w:val="4D4D4F"/>
        </w:rPr>
        <w:t>the</w:t>
      </w:r>
      <w:r>
        <w:rPr>
          <w:color w:val="4D4D4F"/>
          <w:spacing w:val="-7"/>
        </w:rPr>
        <w:t xml:space="preserve"> </w:t>
      </w:r>
      <w:r>
        <w:rPr>
          <w:color w:val="4D4D4F"/>
        </w:rPr>
        <w:t>establishment</w:t>
      </w:r>
      <w:r>
        <w:rPr>
          <w:color w:val="4D4D4F"/>
          <w:spacing w:val="-7"/>
        </w:rPr>
        <w:t xml:space="preserve"> </w:t>
      </w:r>
      <w:r>
        <w:rPr>
          <w:color w:val="4D4D4F"/>
        </w:rPr>
        <w:t>of</w:t>
      </w:r>
      <w:r>
        <w:rPr>
          <w:color w:val="4D4D4F"/>
          <w:spacing w:val="-7"/>
        </w:rPr>
        <w:t xml:space="preserve"> </w:t>
      </w:r>
      <w:r>
        <w:rPr>
          <w:color w:val="4D4D4F"/>
        </w:rPr>
        <w:t>new</w:t>
      </w:r>
      <w:r>
        <w:rPr>
          <w:color w:val="4D4D4F"/>
          <w:spacing w:val="-7"/>
        </w:rPr>
        <w:t xml:space="preserve"> </w:t>
      </w:r>
      <w:r>
        <w:rPr>
          <w:color w:val="4D4D4F"/>
        </w:rPr>
        <w:t>individuals</w:t>
      </w:r>
      <w:r>
        <w:rPr>
          <w:color w:val="4D4D4F"/>
          <w:spacing w:val="-7"/>
        </w:rPr>
        <w:t xml:space="preserve"> </w:t>
      </w:r>
      <w:r>
        <w:rPr>
          <w:color w:val="4D4D4F"/>
        </w:rPr>
        <w:t>by</w:t>
      </w:r>
      <w:r>
        <w:rPr>
          <w:color w:val="4D4D4F"/>
          <w:spacing w:val="-7"/>
        </w:rPr>
        <w:t xml:space="preserve"> </w:t>
      </w:r>
      <w:r>
        <w:rPr>
          <w:color w:val="4D4D4F"/>
        </w:rPr>
        <w:t xml:space="preserve">seeding or planting. Button Wrinklewort and Large-fruit Groundsel are known to </w:t>
      </w:r>
      <w:r>
        <w:rPr>
          <w:color w:val="4D4D4F"/>
          <w:spacing w:val="-3"/>
        </w:rPr>
        <w:t xml:space="preserve">establish well </w:t>
      </w:r>
      <w:r>
        <w:rPr>
          <w:color w:val="4D4D4F"/>
        </w:rPr>
        <w:t xml:space="preserve">from direct </w:t>
      </w:r>
      <w:r>
        <w:rPr>
          <w:color w:val="4D4D4F"/>
          <w:spacing w:val="-3"/>
        </w:rPr>
        <w:t xml:space="preserve">seeding. </w:t>
      </w:r>
      <w:r>
        <w:rPr>
          <w:color w:val="4D4D4F"/>
        </w:rPr>
        <w:t xml:space="preserve">Both Matted </w:t>
      </w:r>
      <w:r>
        <w:rPr>
          <w:color w:val="4D4D4F"/>
          <w:spacing w:val="-3"/>
        </w:rPr>
        <w:t xml:space="preserve">Flax-lily </w:t>
      </w:r>
      <w:r>
        <w:rPr>
          <w:color w:val="4D4D4F"/>
        </w:rPr>
        <w:t xml:space="preserve">and </w:t>
      </w:r>
      <w:r>
        <w:rPr>
          <w:color w:val="4D4D4F"/>
          <w:spacing w:val="-3"/>
        </w:rPr>
        <w:t xml:space="preserve">Spiny </w:t>
      </w:r>
      <w:r>
        <w:rPr>
          <w:color w:val="4D4D4F"/>
        </w:rPr>
        <w:t>Rice-flower have been previously translocated from cleared sites to recipient sites, with  a mixed record of success and failure. For the Growling Grass Frog, new wetlands will be created to compensate for losses due to</w:t>
      </w:r>
      <w:r>
        <w:rPr>
          <w:color w:val="4D4D4F"/>
          <w:spacing w:val="43"/>
        </w:rPr>
        <w:t xml:space="preserve"> </w:t>
      </w:r>
      <w:r>
        <w:rPr>
          <w:color w:val="4D4D4F"/>
          <w:spacing w:val="-3"/>
        </w:rPr>
        <w:t>development.</w:t>
      </w:r>
      <w:r>
        <w:rPr>
          <w:color w:val="4D4D4F"/>
          <w:spacing w:val="-3"/>
          <w:position w:val="7"/>
          <w:sz w:val="11"/>
        </w:rPr>
        <w:t>115</w:t>
      </w:r>
    </w:p>
    <w:p w14:paraId="466DAF0E" w14:textId="77777777" w:rsidR="00EF5B27" w:rsidRDefault="00000000">
      <w:pPr>
        <w:pStyle w:val="BodyText"/>
        <w:spacing w:before="8"/>
        <w:ind w:left="3175"/>
      </w:pPr>
      <w:r>
        <w:rPr>
          <w:color w:val="4D4D4F"/>
        </w:rPr>
        <w:t>It is important that the MRF deals appropriately with these situations.</w:t>
      </w:r>
    </w:p>
    <w:p w14:paraId="78E18326" w14:textId="77777777" w:rsidR="00EF5B27" w:rsidRDefault="00000000">
      <w:pPr>
        <w:pStyle w:val="BodyText"/>
        <w:spacing w:before="16" w:line="254" w:lineRule="auto"/>
        <w:ind w:left="3175" w:right="151"/>
      </w:pPr>
      <w:r>
        <w:rPr>
          <w:color w:val="4D4D4F"/>
          <w:spacing w:val="-7"/>
        </w:rPr>
        <w:t xml:space="preserve">To </w:t>
      </w:r>
      <w:r>
        <w:rPr>
          <w:color w:val="4D4D4F"/>
        </w:rPr>
        <w:t>this end, DELWP has adopted the following principles (introduced in ARI’s MSA Outcomes Report 2014–2020, but not explicitly outlined in the</w:t>
      </w:r>
      <w:r>
        <w:rPr>
          <w:color w:val="4D4D4F"/>
          <w:spacing w:val="-26"/>
        </w:rPr>
        <w:t xml:space="preserve"> </w:t>
      </w:r>
      <w:r>
        <w:rPr>
          <w:color w:val="4D4D4F"/>
        </w:rPr>
        <w:t>MRF).</w:t>
      </w:r>
    </w:p>
    <w:p w14:paraId="7E714B8D" w14:textId="77777777" w:rsidR="00EF5B27" w:rsidRDefault="00000000">
      <w:pPr>
        <w:pStyle w:val="BodyText"/>
        <w:spacing w:before="116" w:line="254" w:lineRule="auto"/>
        <w:ind w:left="3175" w:right="384"/>
        <w:jc w:val="both"/>
      </w:pPr>
      <w:r>
        <w:rPr>
          <w:color w:val="4D4D4F"/>
        </w:rPr>
        <w:t>Any plants that are planted or translocated within an existing population are marked and monitored but only contribute to the KPI targets in the fifth year after their introduction, when they are assumed to be established within the population. DELWP states that this decision reflects the fact that</w:t>
      </w:r>
      <w:r>
        <w:rPr>
          <w:color w:val="4D4D4F"/>
          <w:spacing w:val="30"/>
        </w:rPr>
        <w:t xml:space="preserve"> </w:t>
      </w:r>
      <w:r>
        <w:rPr>
          <w:color w:val="4D4D4F"/>
        </w:rPr>
        <w:t>planted</w:t>
      </w:r>
    </w:p>
    <w:p w14:paraId="5B6C5F13" w14:textId="77777777" w:rsidR="00EF5B27" w:rsidRDefault="00000000">
      <w:pPr>
        <w:pStyle w:val="BodyText"/>
        <w:spacing w:before="5" w:line="254" w:lineRule="auto"/>
        <w:ind w:left="3175" w:right="302"/>
        <w:jc w:val="both"/>
      </w:pPr>
      <w:r>
        <w:rPr>
          <w:color w:val="4D4D4F"/>
          <w:spacing w:val="-3"/>
        </w:rPr>
        <w:t xml:space="preserve">or </w:t>
      </w:r>
      <w:r>
        <w:rPr>
          <w:color w:val="4D4D4F"/>
          <w:spacing w:val="-5"/>
        </w:rPr>
        <w:t xml:space="preserve">translocated plants </w:t>
      </w:r>
      <w:r>
        <w:rPr>
          <w:color w:val="4D4D4F"/>
          <w:spacing w:val="-4"/>
        </w:rPr>
        <w:t xml:space="preserve">suffer </w:t>
      </w:r>
      <w:r>
        <w:rPr>
          <w:color w:val="4D4D4F"/>
          <w:spacing w:val="-6"/>
        </w:rPr>
        <w:t xml:space="preserve">high </w:t>
      </w:r>
      <w:r>
        <w:rPr>
          <w:color w:val="4D4D4F"/>
          <w:spacing w:val="-4"/>
        </w:rPr>
        <w:t xml:space="preserve">mortality </w:t>
      </w:r>
      <w:r>
        <w:rPr>
          <w:color w:val="4D4D4F"/>
          <w:spacing w:val="-7"/>
        </w:rPr>
        <w:t>rates.</w:t>
      </w:r>
      <w:r>
        <w:rPr>
          <w:color w:val="4D4D4F"/>
          <w:spacing w:val="-7"/>
          <w:position w:val="7"/>
          <w:sz w:val="11"/>
        </w:rPr>
        <w:t xml:space="preserve">116 </w:t>
      </w:r>
      <w:r>
        <w:rPr>
          <w:color w:val="4D4D4F"/>
          <w:spacing w:val="-3"/>
        </w:rPr>
        <w:t xml:space="preserve">If </w:t>
      </w:r>
      <w:r>
        <w:rPr>
          <w:color w:val="4D4D4F"/>
          <w:spacing w:val="-5"/>
        </w:rPr>
        <w:t xml:space="preserve">they </w:t>
      </w:r>
      <w:r>
        <w:rPr>
          <w:color w:val="4D4D4F"/>
          <w:spacing w:val="-3"/>
        </w:rPr>
        <w:t xml:space="preserve">are </w:t>
      </w:r>
      <w:r>
        <w:rPr>
          <w:color w:val="4D4D4F"/>
          <w:spacing w:val="-5"/>
        </w:rPr>
        <w:t xml:space="preserve">counted </w:t>
      </w:r>
      <w:r>
        <w:rPr>
          <w:color w:val="4D4D4F"/>
          <w:spacing w:val="-4"/>
        </w:rPr>
        <w:t xml:space="preserve">before </w:t>
      </w:r>
      <w:r>
        <w:rPr>
          <w:color w:val="4D4D4F"/>
          <w:spacing w:val="-6"/>
        </w:rPr>
        <w:t xml:space="preserve">they </w:t>
      </w:r>
      <w:r>
        <w:rPr>
          <w:color w:val="4D4D4F"/>
          <w:spacing w:val="-3"/>
        </w:rPr>
        <w:t xml:space="preserve">are </w:t>
      </w:r>
      <w:r>
        <w:rPr>
          <w:color w:val="4D4D4F"/>
          <w:spacing w:val="-5"/>
        </w:rPr>
        <w:t xml:space="preserve">truly </w:t>
      </w:r>
      <w:r>
        <w:rPr>
          <w:color w:val="4D4D4F"/>
          <w:spacing w:val="-6"/>
        </w:rPr>
        <w:t xml:space="preserve">established, </w:t>
      </w:r>
      <w:r>
        <w:rPr>
          <w:color w:val="4D4D4F"/>
          <w:spacing w:val="-4"/>
        </w:rPr>
        <w:t xml:space="preserve">the </w:t>
      </w:r>
      <w:r>
        <w:rPr>
          <w:color w:val="4D4D4F"/>
          <w:spacing w:val="-5"/>
        </w:rPr>
        <w:t xml:space="preserve">population will </w:t>
      </w:r>
      <w:r>
        <w:rPr>
          <w:color w:val="4D4D4F"/>
        </w:rPr>
        <w:t xml:space="preserve">be </w:t>
      </w:r>
      <w:r>
        <w:rPr>
          <w:color w:val="4D4D4F"/>
          <w:spacing w:val="-6"/>
        </w:rPr>
        <w:t xml:space="preserve">falsely </w:t>
      </w:r>
      <w:r>
        <w:rPr>
          <w:color w:val="4D4D4F"/>
          <w:spacing w:val="-5"/>
        </w:rPr>
        <w:t xml:space="preserve">inflated early </w:t>
      </w:r>
      <w:r>
        <w:rPr>
          <w:color w:val="4D4D4F"/>
          <w:spacing w:val="-3"/>
        </w:rPr>
        <w:t xml:space="preserve">on, </w:t>
      </w:r>
      <w:r>
        <w:rPr>
          <w:color w:val="4D4D4F"/>
          <w:spacing w:val="-5"/>
        </w:rPr>
        <w:t xml:space="preserve">then </w:t>
      </w:r>
      <w:r>
        <w:rPr>
          <w:color w:val="4D4D4F"/>
        </w:rPr>
        <w:t xml:space="preserve">a </w:t>
      </w:r>
      <w:r>
        <w:rPr>
          <w:color w:val="4D4D4F"/>
          <w:spacing w:val="-5"/>
        </w:rPr>
        <w:t xml:space="preserve">decline </w:t>
      </w:r>
      <w:r>
        <w:rPr>
          <w:color w:val="4D4D4F"/>
          <w:spacing w:val="-4"/>
        </w:rPr>
        <w:t xml:space="preserve">will later </w:t>
      </w:r>
      <w:r>
        <w:rPr>
          <w:color w:val="4D4D4F"/>
        </w:rPr>
        <w:t xml:space="preserve">be recorded </w:t>
      </w:r>
      <w:r>
        <w:rPr>
          <w:color w:val="4D4D4F"/>
          <w:spacing w:val="-3"/>
        </w:rPr>
        <w:t xml:space="preserve">which </w:t>
      </w:r>
      <w:r>
        <w:rPr>
          <w:color w:val="4D4D4F"/>
        </w:rPr>
        <w:t xml:space="preserve">does </w:t>
      </w:r>
      <w:r>
        <w:rPr>
          <w:color w:val="4D4D4F"/>
          <w:spacing w:val="-3"/>
        </w:rPr>
        <w:t xml:space="preserve">not </w:t>
      </w:r>
      <w:r>
        <w:rPr>
          <w:color w:val="4D4D4F"/>
        </w:rPr>
        <w:t xml:space="preserve">reflect </w:t>
      </w:r>
      <w:r>
        <w:rPr>
          <w:color w:val="4D4D4F"/>
          <w:spacing w:val="-3"/>
        </w:rPr>
        <w:t xml:space="preserve">the </w:t>
      </w:r>
      <w:r>
        <w:rPr>
          <w:color w:val="4D4D4F"/>
          <w:spacing w:val="-4"/>
        </w:rPr>
        <w:t xml:space="preserve">decline </w:t>
      </w:r>
      <w:r>
        <w:rPr>
          <w:color w:val="4D4D4F"/>
        </w:rPr>
        <w:t xml:space="preserve">of </w:t>
      </w:r>
      <w:r>
        <w:rPr>
          <w:color w:val="4D4D4F"/>
          <w:spacing w:val="-3"/>
        </w:rPr>
        <w:t xml:space="preserve">the </w:t>
      </w:r>
      <w:r>
        <w:rPr>
          <w:color w:val="4D4D4F"/>
          <w:spacing w:val="-4"/>
        </w:rPr>
        <w:t>wild population.</w:t>
      </w:r>
    </w:p>
    <w:p w14:paraId="678849AC" w14:textId="77777777" w:rsidR="00EF5B27" w:rsidRDefault="00EF5B27">
      <w:pPr>
        <w:pStyle w:val="BodyText"/>
      </w:pPr>
    </w:p>
    <w:p w14:paraId="727F294B" w14:textId="77777777" w:rsidR="00EF5B27" w:rsidRDefault="00EF5B27">
      <w:pPr>
        <w:pStyle w:val="BodyText"/>
      </w:pPr>
    </w:p>
    <w:p w14:paraId="13600BF9" w14:textId="77777777" w:rsidR="00EF5B27" w:rsidRDefault="00EF5B27">
      <w:pPr>
        <w:pStyle w:val="BodyText"/>
      </w:pPr>
    </w:p>
    <w:p w14:paraId="66B80E52" w14:textId="77777777" w:rsidR="00EF5B27" w:rsidRDefault="00EF5B27">
      <w:pPr>
        <w:pStyle w:val="BodyText"/>
      </w:pPr>
    </w:p>
    <w:p w14:paraId="3E0A48D7" w14:textId="77777777" w:rsidR="00EF5B27" w:rsidRDefault="00EF5B27">
      <w:pPr>
        <w:pStyle w:val="BodyText"/>
      </w:pPr>
    </w:p>
    <w:p w14:paraId="2B992CE9" w14:textId="77777777" w:rsidR="00EF5B27" w:rsidRDefault="00EF5B27">
      <w:pPr>
        <w:pStyle w:val="BodyText"/>
        <w:spacing w:before="12"/>
      </w:pPr>
    </w:p>
    <w:p w14:paraId="2E5CA117" w14:textId="77777777" w:rsidR="00EF5B27" w:rsidRDefault="00000000">
      <w:pPr>
        <w:pStyle w:val="ListParagraph"/>
        <w:numPr>
          <w:ilvl w:val="0"/>
          <w:numId w:val="46"/>
        </w:numPr>
        <w:tabs>
          <w:tab w:val="left" w:pos="2836"/>
        </w:tabs>
        <w:spacing w:line="230" w:lineRule="auto"/>
        <w:ind w:right="111"/>
        <w:jc w:val="both"/>
        <w:rPr>
          <w:sz w:val="12"/>
        </w:rPr>
      </w:pPr>
      <w:r>
        <w:rPr>
          <w:color w:val="4D4D4F"/>
          <w:sz w:val="12"/>
        </w:rPr>
        <w:t xml:space="preserve">M </w:t>
      </w:r>
      <w:r>
        <w:rPr>
          <w:color w:val="4D4D4F"/>
          <w:spacing w:val="2"/>
          <w:sz w:val="12"/>
        </w:rPr>
        <w:t xml:space="preserve">Bruce, </w:t>
      </w:r>
      <w:r>
        <w:rPr>
          <w:color w:val="4D4D4F"/>
          <w:sz w:val="12"/>
        </w:rPr>
        <w:t xml:space="preserve">K Batpurev, D Bryant. S Sinclair and M Kohout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DELWP, Heidelberg,</w:t>
      </w:r>
      <w:r>
        <w:rPr>
          <w:color w:val="4D4D4F"/>
          <w:spacing w:val="8"/>
          <w:sz w:val="12"/>
        </w:rPr>
        <w:t xml:space="preserve"> </w:t>
      </w:r>
      <w:r>
        <w:rPr>
          <w:color w:val="4D4D4F"/>
          <w:sz w:val="12"/>
        </w:rPr>
        <w:t>Victoria.</w:t>
      </w:r>
    </w:p>
    <w:p w14:paraId="329CBCE8" w14:textId="77777777" w:rsidR="00EF5B27" w:rsidRDefault="00000000">
      <w:pPr>
        <w:pStyle w:val="ListParagraph"/>
        <w:numPr>
          <w:ilvl w:val="0"/>
          <w:numId w:val="46"/>
        </w:numPr>
        <w:tabs>
          <w:tab w:val="left" w:pos="2836"/>
        </w:tabs>
        <w:spacing w:line="138" w:lineRule="exact"/>
        <w:rPr>
          <w:sz w:val="12"/>
        </w:rPr>
      </w:pPr>
      <w:r>
        <w:rPr>
          <w:color w:val="4D4D4F"/>
          <w:sz w:val="12"/>
        </w:rPr>
        <w:t>DELWP</w:t>
      </w:r>
      <w:r>
        <w:rPr>
          <w:color w:val="4D4D4F"/>
          <w:spacing w:val="-8"/>
          <w:sz w:val="12"/>
        </w:rPr>
        <w:t xml:space="preserve"> </w:t>
      </w:r>
      <w:r>
        <w:rPr>
          <w:color w:val="4D4D4F"/>
          <w:spacing w:val="-4"/>
          <w:sz w:val="12"/>
        </w:rPr>
        <w:t>2017,</w:t>
      </w:r>
      <w:r>
        <w:rPr>
          <w:color w:val="4D4D4F"/>
          <w:spacing w:val="-7"/>
          <w:sz w:val="12"/>
        </w:rPr>
        <w:t xml:space="preserve"> </w:t>
      </w:r>
      <w:r>
        <w:rPr>
          <w:color w:val="4D4D4F"/>
          <w:sz w:val="12"/>
        </w:rPr>
        <w:t>‘Growling</w:t>
      </w:r>
      <w:r>
        <w:rPr>
          <w:color w:val="4D4D4F"/>
          <w:spacing w:val="-7"/>
          <w:sz w:val="12"/>
        </w:rPr>
        <w:t xml:space="preserve"> </w:t>
      </w:r>
      <w:r>
        <w:rPr>
          <w:color w:val="4D4D4F"/>
          <w:sz w:val="12"/>
        </w:rPr>
        <w:t>Grass</w:t>
      </w:r>
      <w:r>
        <w:rPr>
          <w:color w:val="4D4D4F"/>
          <w:spacing w:val="-7"/>
          <w:sz w:val="12"/>
        </w:rPr>
        <w:t xml:space="preserve"> </w:t>
      </w:r>
      <w:r>
        <w:rPr>
          <w:color w:val="4D4D4F"/>
          <w:sz w:val="12"/>
        </w:rPr>
        <w:t>Frog</w:t>
      </w:r>
      <w:r>
        <w:rPr>
          <w:color w:val="4D4D4F"/>
          <w:spacing w:val="-7"/>
          <w:sz w:val="12"/>
        </w:rPr>
        <w:t xml:space="preserve"> </w:t>
      </w:r>
      <w:r>
        <w:rPr>
          <w:color w:val="4D4D4F"/>
          <w:sz w:val="12"/>
        </w:rPr>
        <w:t>Masterplan</w:t>
      </w:r>
      <w:r>
        <w:rPr>
          <w:color w:val="4D4D4F"/>
          <w:spacing w:val="-7"/>
          <w:sz w:val="12"/>
        </w:rPr>
        <w:t xml:space="preserve"> </w:t>
      </w:r>
      <w:r>
        <w:rPr>
          <w:color w:val="4D4D4F"/>
          <w:sz w:val="12"/>
        </w:rPr>
        <w:t>for</w:t>
      </w:r>
      <w:r>
        <w:rPr>
          <w:color w:val="4D4D4F"/>
          <w:spacing w:val="-8"/>
          <w:sz w:val="12"/>
        </w:rPr>
        <w:t xml:space="preserve"> </w:t>
      </w:r>
      <w:r>
        <w:rPr>
          <w:color w:val="4D4D4F"/>
          <w:sz w:val="12"/>
        </w:rPr>
        <w:t>Melbourne’s</w:t>
      </w:r>
      <w:r>
        <w:rPr>
          <w:color w:val="4D4D4F"/>
          <w:spacing w:val="-7"/>
          <w:sz w:val="12"/>
        </w:rPr>
        <w:t xml:space="preserve"> </w:t>
      </w:r>
      <w:r>
        <w:rPr>
          <w:color w:val="4D4D4F"/>
          <w:sz w:val="12"/>
        </w:rPr>
        <w:t>Growth</w:t>
      </w:r>
      <w:r>
        <w:rPr>
          <w:color w:val="4D4D4F"/>
          <w:spacing w:val="-7"/>
          <w:sz w:val="12"/>
        </w:rPr>
        <w:t xml:space="preserve"> </w:t>
      </w:r>
      <w:r>
        <w:rPr>
          <w:color w:val="4D4D4F"/>
          <w:sz w:val="12"/>
        </w:rPr>
        <w:t>Corridors.</w:t>
      </w:r>
      <w:r>
        <w:rPr>
          <w:color w:val="4D4D4F"/>
          <w:spacing w:val="-7"/>
          <w:sz w:val="12"/>
        </w:rPr>
        <w:t xml:space="preserve"> </w:t>
      </w:r>
      <w:r>
        <w:rPr>
          <w:color w:val="4D4D4F"/>
          <w:sz w:val="12"/>
        </w:rPr>
        <w:t>Melbourne</w:t>
      </w:r>
      <w:r>
        <w:rPr>
          <w:color w:val="4D4D4F"/>
          <w:spacing w:val="-7"/>
          <w:sz w:val="12"/>
        </w:rPr>
        <w:t xml:space="preserve"> </w:t>
      </w:r>
      <w:r>
        <w:rPr>
          <w:color w:val="4D4D4F"/>
          <w:sz w:val="12"/>
        </w:rPr>
        <w:t>Strategic</w:t>
      </w:r>
      <w:r>
        <w:rPr>
          <w:color w:val="4D4D4F"/>
          <w:spacing w:val="-8"/>
          <w:sz w:val="12"/>
        </w:rPr>
        <w:t xml:space="preserve"> </w:t>
      </w:r>
      <w:r>
        <w:rPr>
          <w:color w:val="4D4D4F"/>
          <w:sz w:val="12"/>
        </w:rPr>
        <w:t>Assessment.’,</w:t>
      </w:r>
      <w:r>
        <w:rPr>
          <w:color w:val="4D4D4F"/>
          <w:spacing w:val="-7"/>
          <w:sz w:val="12"/>
        </w:rPr>
        <w:t xml:space="preserve"> </w:t>
      </w:r>
      <w:r>
        <w:rPr>
          <w:color w:val="4D4D4F"/>
          <w:sz w:val="12"/>
        </w:rPr>
        <w:t>East</w:t>
      </w:r>
      <w:r>
        <w:rPr>
          <w:color w:val="4D4D4F"/>
          <w:spacing w:val="-7"/>
          <w:sz w:val="12"/>
        </w:rPr>
        <w:t xml:space="preserve"> </w:t>
      </w:r>
      <w:r>
        <w:rPr>
          <w:color w:val="4D4D4F"/>
          <w:sz w:val="12"/>
        </w:rPr>
        <w:t>Melbourne,</w:t>
      </w:r>
      <w:r>
        <w:rPr>
          <w:color w:val="4D4D4F"/>
          <w:spacing w:val="-7"/>
          <w:sz w:val="12"/>
        </w:rPr>
        <w:t xml:space="preserve"> </w:t>
      </w:r>
      <w:r>
        <w:rPr>
          <w:color w:val="4D4D4F"/>
          <w:sz w:val="12"/>
        </w:rPr>
        <w:t>Victoria.</w:t>
      </w:r>
    </w:p>
    <w:p w14:paraId="4207EA0C" w14:textId="77777777" w:rsidR="00EF5B27" w:rsidRDefault="00000000">
      <w:pPr>
        <w:pStyle w:val="ListParagraph"/>
        <w:numPr>
          <w:ilvl w:val="0"/>
          <w:numId w:val="46"/>
        </w:numPr>
        <w:tabs>
          <w:tab w:val="left" w:pos="2836"/>
        </w:tabs>
        <w:spacing w:before="1" w:line="230" w:lineRule="auto"/>
        <w:ind w:right="111"/>
        <w:jc w:val="both"/>
        <w:rPr>
          <w:sz w:val="12"/>
        </w:rPr>
      </w:pPr>
      <w:r>
        <w:rPr>
          <w:color w:val="4D4D4F"/>
          <w:sz w:val="12"/>
        </w:rPr>
        <w:t xml:space="preserve">Godefroid S, Piazza C, Rossi G, Buord S, Stevens A-D, Aguraiuja R, Cowell C, Weekley CW, Vogg G, Iriondo JM, Johnson I, Dixon B, </w:t>
      </w:r>
      <w:r>
        <w:rPr>
          <w:color w:val="4D4D4F"/>
          <w:spacing w:val="2"/>
          <w:sz w:val="12"/>
        </w:rPr>
        <w:t xml:space="preserve">Gordon       </w:t>
      </w:r>
      <w:r>
        <w:rPr>
          <w:color w:val="4D4D4F"/>
          <w:sz w:val="12"/>
        </w:rPr>
        <w:t xml:space="preserve">D, Magnanon S, Valentin B, Bjureke </w:t>
      </w:r>
      <w:r>
        <w:rPr>
          <w:color w:val="4D4D4F"/>
          <w:spacing w:val="2"/>
          <w:sz w:val="12"/>
        </w:rPr>
        <w:t xml:space="preserve">K, </w:t>
      </w:r>
      <w:r>
        <w:rPr>
          <w:color w:val="4D4D4F"/>
          <w:sz w:val="12"/>
        </w:rPr>
        <w:t xml:space="preserve">Koopman R, Vicens M, Virevaire M and Vanderborght T 2011, ‘How successful are plant species reintroductions?’ Biological </w:t>
      </w:r>
      <w:r>
        <w:rPr>
          <w:color w:val="4D4D4F"/>
          <w:spacing w:val="2"/>
          <w:sz w:val="12"/>
        </w:rPr>
        <w:t xml:space="preserve">Conservation </w:t>
      </w:r>
      <w:r>
        <w:rPr>
          <w:color w:val="4D4D4F"/>
          <w:sz w:val="12"/>
        </w:rPr>
        <w:t>144,</w:t>
      </w:r>
      <w:r>
        <w:rPr>
          <w:color w:val="4D4D4F"/>
          <w:spacing w:val="7"/>
          <w:sz w:val="12"/>
        </w:rPr>
        <w:t xml:space="preserve"> </w:t>
      </w:r>
      <w:r>
        <w:rPr>
          <w:color w:val="4D4D4F"/>
          <w:sz w:val="12"/>
        </w:rPr>
        <w:t>672-682.</w:t>
      </w:r>
    </w:p>
    <w:p w14:paraId="44AA9910" w14:textId="77777777" w:rsidR="00EF5B27" w:rsidRDefault="00EF5B27">
      <w:pPr>
        <w:spacing w:line="230" w:lineRule="auto"/>
        <w:jc w:val="both"/>
        <w:rPr>
          <w:sz w:val="12"/>
        </w:rPr>
        <w:sectPr w:rsidR="00EF5B27">
          <w:footerReference w:type="default" r:id="rId111"/>
          <w:pgSz w:w="11910" w:h="16840"/>
          <w:pgMar w:top="1080" w:right="1020" w:bottom="1580" w:left="1020" w:header="537" w:footer="1388" w:gutter="0"/>
          <w:cols w:space="720"/>
        </w:sectPr>
      </w:pPr>
    </w:p>
    <w:p w14:paraId="5FBED852" w14:textId="77777777" w:rsidR="00EF5B27" w:rsidRDefault="00000000">
      <w:pPr>
        <w:pStyle w:val="BodyText"/>
      </w:pPr>
      <w:r>
        <w:lastRenderedPageBreak/>
        <w:pict w14:anchorId="3EB7B468">
          <v:group id="_x0000_s3620" style="position:absolute;margin-left:587.05pt;margin-top:183.4pt;width:8.25pt;height:153.1pt;z-index:251540992;mso-position-horizontal-relative:page;mso-position-vertical-relative:page" coordorigin="11741,3668" coordsize="165,3062">
            <v:shape id="_x0000_s3627" style="position:absolute;left:11741;top:3668;width:165;height:561" coordorigin="11741,3668" coordsize="165,561" path="m11906,3668r-165,l11741,4228r165,-18l11906,3668xe" fillcolor="#00aed9" stroked="f">
              <v:path arrowok="t"/>
            </v:shape>
            <v:shape id="_x0000_s3626" style="position:absolute;left:11741;top:4118;width:165;height:425" coordorigin="11741,4118" coordsize="165,425" path="m11906,4118r-165,14l11741,4531r165,12l11906,4118xe" fillcolor="#047ebc" stroked="f">
              <v:path arrowok="t"/>
            </v:shape>
            <v:shape id="_x0000_s3625" type="#_x0000_t75" style="position:absolute;left:11741;top:4355;width:165;height:587">
              <v:imagedata r:id="rId42" o:title=""/>
            </v:shape>
            <v:shape id="_x0000_s3624" style="position:absolute;left:11741;top:5343;width:165;height:536" coordorigin="11741,5343" coordsize="165,536" path="m11741,5343r,535l11906,5872r,-525l11741,5343xe" fillcolor="#f36a2e" stroked="f">
              <v:path arrowok="t"/>
            </v:shape>
            <v:shape id="_x0000_s3623" style="position:absolute;left:11741;top:4925;width:165;height:501" coordorigin="11741,4926" coordsize="165,501" path="m11741,4926r,500l11906,5426r,-485l11741,4926xe" fillcolor="#49783f" stroked="f">
              <v:path arrowok="t"/>
            </v:shape>
            <v:shape id="_x0000_s3622" style="position:absolute;left:11741;top:5781;width:165;height:268" coordorigin="11741,5782" coordsize="165,268" path="m11906,5782r-165,8l11741,6039r165,10l11906,5782xe" fillcolor="#f99f2a" stroked="f">
              <v:path arrowok="t"/>
            </v:shape>
            <v:shape id="_x0000_s3621" style="position:absolute;left:11741;top:6023;width:165;height:707" coordorigin="11741,6023" coordsize="165,707" path="m11741,6023r,706l11906,6729r,-690l11741,6023xe" fillcolor="#ef412c" stroked="f">
              <v:path arrowok="t"/>
            </v:shape>
            <w10:wrap anchorx="page" anchory="page"/>
          </v:group>
        </w:pict>
      </w:r>
    </w:p>
    <w:p w14:paraId="377DB601" w14:textId="77777777" w:rsidR="00EF5B27" w:rsidRDefault="00EF5B27">
      <w:pPr>
        <w:pStyle w:val="BodyText"/>
      </w:pPr>
    </w:p>
    <w:p w14:paraId="6CBC13A3" w14:textId="77777777" w:rsidR="00EF5B27" w:rsidRDefault="00EF5B27">
      <w:pPr>
        <w:pStyle w:val="BodyText"/>
      </w:pPr>
    </w:p>
    <w:p w14:paraId="064A34CD" w14:textId="77777777" w:rsidR="00EF5B27" w:rsidRDefault="00EF5B27">
      <w:pPr>
        <w:pStyle w:val="BodyText"/>
        <w:spacing w:before="4"/>
        <w:rPr>
          <w:sz w:val="25"/>
        </w:rPr>
      </w:pPr>
    </w:p>
    <w:p w14:paraId="67D85531" w14:textId="77777777" w:rsidR="00EF5B27" w:rsidRDefault="00000000">
      <w:pPr>
        <w:pStyle w:val="BodyText"/>
        <w:spacing w:before="100" w:line="254" w:lineRule="auto"/>
        <w:ind w:left="3175" w:right="111"/>
      </w:pPr>
      <w:r>
        <w:pict w14:anchorId="2890D39F">
          <v:line id="_x0000_s3619" style="position:absolute;left:0;text-align:left;z-index:251542016;mso-position-horizontal-relative:page" from="181.4pt,3.55pt" to="181.4pt,343.55pt" strokecolor="#f99f2a" strokeweight="1pt">
            <w10:wrap anchorx="page"/>
          </v:line>
        </w:pict>
      </w:r>
      <w:r>
        <w:rPr>
          <w:color w:val="4D4D4F"/>
        </w:rPr>
        <w:t xml:space="preserve">Any progeny resulting from direct seeding at monitored sites are counted as  part of the monitored population and contribute to the KPI targets. According to </w:t>
      </w:r>
      <w:r>
        <w:rPr>
          <w:color w:val="4D4D4F"/>
          <w:spacing w:val="-4"/>
        </w:rPr>
        <w:t xml:space="preserve">DELWP, </w:t>
      </w:r>
      <w:r>
        <w:rPr>
          <w:color w:val="4D4D4F"/>
        </w:rPr>
        <w:t xml:space="preserve">this recognises the fact that direct seeding is </w:t>
      </w:r>
      <w:r>
        <w:rPr>
          <w:color w:val="4D4D4F"/>
          <w:spacing w:val="-3"/>
        </w:rPr>
        <w:t xml:space="preserve">likely </w:t>
      </w:r>
      <w:r>
        <w:rPr>
          <w:color w:val="4D4D4F"/>
        </w:rPr>
        <w:t>to be an important management action for some populations of some species. It also recognises that individuals emerging from direct sowing are often indistinguishable from those derived from wild seed, and that any plants which are detected by the monitoring protocols have gone through stringent selection as germinants and probably have a similar survival probability to wild</w:t>
      </w:r>
      <w:r>
        <w:rPr>
          <w:color w:val="4D4D4F"/>
          <w:spacing w:val="42"/>
        </w:rPr>
        <w:t xml:space="preserve"> </w:t>
      </w:r>
      <w:r>
        <w:rPr>
          <w:color w:val="4D4D4F"/>
        </w:rPr>
        <w:t>plants.</w:t>
      </w:r>
    </w:p>
    <w:p w14:paraId="714925E5" w14:textId="77777777" w:rsidR="00EF5B27" w:rsidRDefault="00000000">
      <w:pPr>
        <w:pStyle w:val="BodyText"/>
        <w:spacing w:before="124" w:line="254" w:lineRule="auto"/>
        <w:ind w:left="3175" w:right="372"/>
      </w:pPr>
      <w:r>
        <w:rPr>
          <w:color w:val="4D4D4F"/>
        </w:rPr>
        <w:t>Spatially discrete, new plant populations created away from wild populations are not assessed with relation to their KPIs. Instead, new populations are monitored and reported as ‘other measures’. The decision to exclude such populations from evaluation against KPIs considers the clearly defined commitment to protect assets under the MSA (not new assets), the unknown survival probabilities in new populations and the fact that most translocation projects are expected to be conducted under non-MSA projects with their own monitoring requirements. It is acknowledged that new populations are often valuable for the conservation of species and should be monitored, as they boost the numbers of individuals, provide insurance populations and may facilitate gene flow. Spatially discrete new populations created on MSA properties by non-MSA projects which are covered by their own monitoring programs are not monitored at all under the MSA (e.g. several translocations were undertaken under the Regional Rail Link</w:t>
      </w:r>
      <w:r>
        <w:rPr>
          <w:color w:val="4D4D4F"/>
          <w:spacing w:val="32"/>
        </w:rPr>
        <w:t xml:space="preserve"> </w:t>
      </w:r>
      <w:r>
        <w:rPr>
          <w:color w:val="4D4D4F"/>
        </w:rPr>
        <w:t>project).</w:t>
      </w:r>
    </w:p>
    <w:p w14:paraId="1E3FAE04" w14:textId="77777777" w:rsidR="00EF5B27" w:rsidRDefault="00000000">
      <w:pPr>
        <w:pStyle w:val="BodyText"/>
        <w:spacing w:before="130" w:line="254" w:lineRule="auto"/>
        <w:ind w:left="3175" w:right="344"/>
        <w:jc w:val="both"/>
      </w:pPr>
      <w:r>
        <w:rPr>
          <w:color w:val="4D4D4F"/>
        </w:rPr>
        <w:t>It is expected that new wetlands created for the Growling Grass Frog will be colonised from adjacent habitat. This newly created habitat will be monitored and will contribute towards KPI targets.’</w:t>
      </w:r>
    </w:p>
    <w:p w14:paraId="0C03919E" w14:textId="77777777" w:rsidR="00EF5B27" w:rsidRDefault="00EF5B27">
      <w:pPr>
        <w:pStyle w:val="BodyText"/>
        <w:rPr>
          <w:sz w:val="24"/>
        </w:rPr>
      </w:pPr>
    </w:p>
    <w:p w14:paraId="7FF61CC8" w14:textId="77777777" w:rsidR="00EF5B27" w:rsidRDefault="00000000">
      <w:pPr>
        <w:pStyle w:val="Heading3"/>
        <w:spacing w:before="168"/>
        <w:ind w:right="715"/>
      </w:pPr>
      <w:r>
        <w:rPr>
          <w:color w:val="F99F2A"/>
          <w:spacing w:val="-6"/>
        </w:rPr>
        <w:t xml:space="preserve">Evaluation </w:t>
      </w:r>
      <w:r>
        <w:rPr>
          <w:color w:val="F99F2A"/>
          <w:spacing w:val="-4"/>
        </w:rPr>
        <w:t xml:space="preserve">approach </w:t>
      </w:r>
      <w:r>
        <w:rPr>
          <w:color w:val="F99F2A"/>
          <w:spacing w:val="-3"/>
        </w:rPr>
        <w:t xml:space="preserve">for KEQ 2: </w:t>
      </w:r>
      <w:r>
        <w:rPr>
          <w:color w:val="F99F2A"/>
          <w:spacing w:val="-4"/>
        </w:rPr>
        <w:t xml:space="preserve">Is the current </w:t>
      </w:r>
      <w:r>
        <w:rPr>
          <w:color w:val="F99F2A"/>
          <w:spacing w:val="-3"/>
        </w:rPr>
        <w:t xml:space="preserve">framework for MSA </w:t>
      </w:r>
      <w:r>
        <w:rPr>
          <w:color w:val="F99F2A"/>
          <w:spacing w:val="-5"/>
        </w:rPr>
        <w:t xml:space="preserve">monitoring </w:t>
      </w:r>
      <w:r>
        <w:rPr>
          <w:color w:val="F99F2A"/>
          <w:spacing w:val="-4"/>
        </w:rPr>
        <w:t xml:space="preserve">and reporting </w:t>
      </w:r>
      <w:r>
        <w:rPr>
          <w:color w:val="F99F2A"/>
        </w:rPr>
        <w:t xml:space="preserve">on </w:t>
      </w:r>
      <w:r>
        <w:rPr>
          <w:color w:val="F99F2A"/>
          <w:spacing w:val="-4"/>
        </w:rPr>
        <w:t xml:space="preserve">the </w:t>
      </w:r>
      <w:r>
        <w:rPr>
          <w:color w:val="F99F2A"/>
          <w:spacing w:val="-5"/>
        </w:rPr>
        <w:t xml:space="preserve">conservation </w:t>
      </w:r>
      <w:r>
        <w:rPr>
          <w:color w:val="F99F2A"/>
          <w:spacing w:val="-4"/>
        </w:rPr>
        <w:t xml:space="preserve">outcomes </w:t>
      </w:r>
      <w:r>
        <w:rPr>
          <w:color w:val="F99F2A"/>
          <w:spacing w:val="-7"/>
        </w:rPr>
        <w:t>adequate?</w:t>
      </w:r>
    </w:p>
    <w:p w14:paraId="1FBB2250" w14:textId="77777777" w:rsidR="00EF5B27" w:rsidRDefault="00000000">
      <w:pPr>
        <w:pStyle w:val="BodyText"/>
        <w:spacing w:before="217" w:line="254" w:lineRule="auto"/>
        <w:ind w:left="2608" w:right="384"/>
      </w:pPr>
      <w:r>
        <w:rPr>
          <w:color w:val="4D4D4F"/>
        </w:rPr>
        <w:t>As monitoring is designed to uncover evidence required to enable an assessment    of the conservation status and trajectory of MNES informing appropriate</w:t>
      </w:r>
      <w:r>
        <w:rPr>
          <w:color w:val="4D4D4F"/>
          <w:spacing w:val="28"/>
        </w:rPr>
        <w:t xml:space="preserve"> </w:t>
      </w:r>
      <w:r>
        <w:rPr>
          <w:color w:val="4D4D4F"/>
        </w:rPr>
        <w:t>protection</w:t>
      </w:r>
    </w:p>
    <w:p w14:paraId="69202210" w14:textId="77777777" w:rsidR="00EF5B27" w:rsidRDefault="00000000">
      <w:pPr>
        <w:pStyle w:val="BodyText"/>
        <w:spacing w:before="3" w:line="254" w:lineRule="auto"/>
        <w:ind w:left="2608" w:right="193"/>
        <w:rPr>
          <w:sz w:val="11"/>
        </w:rPr>
      </w:pPr>
      <w:r>
        <w:rPr>
          <w:color w:val="4D4D4F"/>
        </w:rPr>
        <w:t xml:space="preserve">measures, a robust monitoring program is recognised as an important component of threatened species </w:t>
      </w:r>
      <w:r>
        <w:rPr>
          <w:color w:val="4D4D4F"/>
          <w:spacing w:val="-3"/>
        </w:rPr>
        <w:t>management.</w:t>
      </w:r>
      <w:r>
        <w:rPr>
          <w:color w:val="4D4D4F"/>
          <w:spacing w:val="-3"/>
          <w:position w:val="7"/>
          <w:sz w:val="11"/>
        </w:rPr>
        <w:t xml:space="preserve">117 </w:t>
      </w:r>
      <w:r>
        <w:rPr>
          <w:color w:val="4D4D4F"/>
        </w:rPr>
        <w:t>A well designed MRF may help identify threats that are driving population decline, and hence help and prioritise management responses.  It may also assess the efficacy and contribute to improvements of actions that aim to manage conservation</w:t>
      </w:r>
      <w:r>
        <w:rPr>
          <w:color w:val="4D4D4F"/>
          <w:spacing w:val="8"/>
        </w:rPr>
        <w:t xml:space="preserve"> </w:t>
      </w:r>
      <w:r>
        <w:rPr>
          <w:color w:val="4D4D4F"/>
          <w:spacing w:val="-3"/>
        </w:rPr>
        <w:t>outcomes.</w:t>
      </w:r>
      <w:r>
        <w:rPr>
          <w:color w:val="4D4D4F"/>
          <w:spacing w:val="-3"/>
          <w:position w:val="7"/>
          <w:sz w:val="11"/>
        </w:rPr>
        <w:t>118</w:t>
      </w:r>
    </w:p>
    <w:p w14:paraId="10C7B933" w14:textId="77777777" w:rsidR="00EF5B27" w:rsidRDefault="00000000">
      <w:pPr>
        <w:pStyle w:val="BodyText"/>
        <w:spacing w:before="119" w:line="254" w:lineRule="auto"/>
        <w:ind w:left="2608" w:right="221"/>
      </w:pPr>
      <w:r>
        <w:rPr>
          <w:color w:val="4D4D4F"/>
        </w:rPr>
        <w:t xml:space="preserve">KEQ 2 provides the basis for a meta-evaluation assessing the adequacy of the existing MSA </w:t>
      </w:r>
      <w:r>
        <w:rPr>
          <w:color w:val="4D4D4F"/>
          <w:spacing w:val="-5"/>
        </w:rPr>
        <w:t xml:space="preserve">MRF. </w:t>
      </w:r>
      <w:r>
        <w:rPr>
          <w:color w:val="4D4D4F"/>
        </w:rPr>
        <w:t xml:space="preserve">Based on an initial assessment, this  </w:t>
      </w:r>
      <w:r>
        <w:rPr>
          <w:color w:val="4D4D4F"/>
          <w:spacing w:val="2"/>
        </w:rPr>
        <w:t xml:space="preserve">report  </w:t>
      </w:r>
      <w:r>
        <w:rPr>
          <w:color w:val="4D4D4F"/>
        </w:rPr>
        <w:t xml:space="preserve">summarises  findings  and makes recommendations for improvement to the current </w:t>
      </w:r>
      <w:r>
        <w:rPr>
          <w:color w:val="4D4D4F"/>
          <w:spacing w:val="-5"/>
        </w:rPr>
        <w:t xml:space="preserve">MRF. </w:t>
      </w:r>
      <w:r>
        <w:rPr>
          <w:color w:val="4D4D4F"/>
        </w:rPr>
        <w:t>The data</w:t>
      </w:r>
      <w:r>
        <w:rPr>
          <w:color w:val="4D4D4F"/>
          <w:spacing w:val="36"/>
        </w:rPr>
        <w:t xml:space="preserve"> </w:t>
      </w:r>
      <w:r>
        <w:rPr>
          <w:color w:val="4D4D4F"/>
        </w:rPr>
        <w:t>collected</w:t>
      </w:r>
    </w:p>
    <w:p w14:paraId="591896E4" w14:textId="77777777" w:rsidR="00EF5B27" w:rsidRDefault="00000000">
      <w:pPr>
        <w:pStyle w:val="BodyText"/>
        <w:spacing w:before="4" w:line="254" w:lineRule="auto"/>
        <w:ind w:left="2608" w:right="287"/>
      </w:pPr>
      <w:r>
        <w:rPr>
          <w:color w:val="4D4D4F"/>
        </w:rPr>
        <w:t>and findings gathered through interviews with DELWP and Parks Victoria were the primary inputs for an assessment of KEQ 2 in the current report. Results are stratified according to each MNES and a general summary is provided under the subheading    Key insights, management implications and future</w:t>
      </w:r>
      <w:r>
        <w:rPr>
          <w:color w:val="4D4D4F"/>
          <w:spacing w:val="25"/>
        </w:rPr>
        <w:t xml:space="preserve"> </w:t>
      </w:r>
      <w:r>
        <w:rPr>
          <w:color w:val="4D4D4F"/>
        </w:rPr>
        <w:t>focus.</w:t>
      </w:r>
    </w:p>
    <w:p w14:paraId="1F619FF7" w14:textId="77777777" w:rsidR="00EF5B27" w:rsidRDefault="00000000">
      <w:pPr>
        <w:pStyle w:val="BodyText"/>
        <w:spacing w:before="11"/>
        <w:rPr>
          <w:sz w:val="25"/>
        </w:rPr>
      </w:pPr>
      <w:r>
        <w:pict w14:anchorId="57134C6F">
          <v:line id="_x0000_s3618" style="position:absolute;z-index:251474432;mso-wrap-distance-left:0;mso-wrap-distance-right:0;mso-position-horizontal-relative:page" from="181.4pt,18.05pt" to="538.6pt,18.05pt" strokecolor="#4d4d4f" strokeweight=".5pt">
            <w10:wrap type="topAndBottom" anchorx="page"/>
          </v:line>
        </w:pict>
      </w:r>
    </w:p>
    <w:p w14:paraId="7F429939" w14:textId="77777777" w:rsidR="00EF5B27" w:rsidRDefault="00000000">
      <w:pPr>
        <w:pStyle w:val="ListParagraph"/>
        <w:numPr>
          <w:ilvl w:val="0"/>
          <w:numId w:val="46"/>
        </w:numPr>
        <w:tabs>
          <w:tab w:val="left" w:pos="2836"/>
        </w:tabs>
        <w:spacing w:before="88" w:line="230" w:lineRule="auto"/>
        <w:ind w:right="112"/>
        <w:rPr>
          <w:sz w:val="12"/>
        </w:rPr>
      </w:pPr>
      <w:r>
        <w:rPr>
          <w:color w:val="4D4D4F"/>
          <w:sz w:val="12"/>
        </w:rPr>
        <w:t>(Eds) Legge S, Robinson N, Lindenmayer D, Scheele B, Southwell D, Wintle B 2018, ‘Monitoring Threatened Species and Ecological Communities’, CSIRO publishing, Clayton,</w:t>
      </w:r>
      <w:r>
        <w:rPr>
          <w:color w:val="4D4D4F"/>
          <w:spacing w:val="10"/>
          <w:sz w:val="12"/>
        </w:rPr>
        <w:t xml:space="preserve"> </w:t>
      </w:r>
      <w:r>
        <w:rPr>
          <w:color w:val="4D4D4F"/>
          <w:sz w:val="12"/>
        </w:rPr>
        <w:t>Victoria.</w:t>
      </w:r>
    </w:p>
    <w:p w14:paraId="38FD1F63" w14:textId="77777777" w:rsidR="00EF5B27" w:rsidRDefault="00000000">
      <w:pPr>
        <w:pStyle w:val="ListParagraph"/>
        <w:numPr>
          <w:ilvl w:val="0"/>
          <w:numId w:val="46"/>
        </w:numPr>
        <w:tabs>
          <w:tab w:val="left" w:pos="2835"/>
        </w:tabs>
        <w:spacing w:line="230" w:lineRule="auto"/>
        <w:ind w:left="2834" w:right="112" w:hanging="226"/>
        <w:rPr>
          <w:sz w:val="12"/>
        </w:rPr>
      </w:pPr>
      <w:r>
        <w:rPr>
          <w:color w:val="4D4D4F"/>
          <w:sz w:val="12"/>
        </w:rPr>
        <w:t>(Eds) Legge S, Robinson N, Lindenmayer D, Scheele B, Southwell D, Wintle B 2018, ‘Monitoring Threatened Species and Ecological Communities’, CSIRO publishing, Clayton,</w:t>
      </w:r>
      <w:r>
        <w:rPr>
          <w:color w:val="4D4D4F"/>
          <w:spacing w:val="10"/>
          <w:sz w:val="12"/>
        </w:rPr>
        <w:t xml:space="preserve"> </w:t>
      </w:r>
      <w:r>
        <w:rPr>
          <w:color w:val="4D4D4F"/>
          <w:sz w:val="12"/>
        </w:rPr>
        <w:t>Victoria.</w:t>
      </w:r>
    </w:p>
    <w:p w14:paraId="61A9E038" w14:textId="77777777" w:rsidR="00EF5B27" w:rsidRDefault="00EF5B27">
      <w:pPr>
        <w:spacing w:line="230" w:lineRule="auto"/>
        <w:rPr>
          <w:sz w:val="12"/>
        </w:rPr>
        <w:sectPr w:rsidR="00EF5B27">
          <w:footerReference w:type="default" r:id="rId112"/>
          <w:pgSz w:w="11910" w:h="16840"/>
          <w:pgMar w:top="1080" w:right="1020" w:bottom="860" w:left="1020" w:header="537" w:footer="678" w:gutter="0"/>
          <w:cols w:space="720"/>
        </w:sectPr>
      </w:pPr>
    </w:p>
    <w:p w14:paraId="4D0BBA95" w14:textId="77777777" w:rsidR="00EF5B27" w:rsidRDefault="00000000">
      <w:pPr>
        <w:pStyle w:val="BodyText"/>
      </w:pPr>
      <w:r>
        <w:lastRenderedPageBreak/>
        <w:pict w14:anchorId="1A6817B7">
          <v:group id="_x0000_s3610" style="position:absolute;margin-left:587.05pt;margin-top:183.4pt;width:8.25pt;height:153.1pt;z-index:251543040;mso-position-horizontal-relative:page;mso-position-vertical-relative:page" coordorigin="11741,3668" coordsize="165,3062">
            <v:shape id="_x0000_s3617" style="position:absolute;left:11741;top:3668;width:165;height:561" coordorigin="11741,3668" coordsize="165,561" path="m11906,3668r-165,l11741,4228r165,-18l11906,3668xe" fillcolor="#00aed9" stroked="f">
              <v:path arrowok="t"/>
            </v:shape>
            <v:shape id="_x0000_s3616" style="position:absolute;left:11741;top:4118;width:165;height:425" coordorigin="11741,4118" coordsize="165,425" path="m11906,4118r-165,14l11741,4531r165,12l11906,4118xe" fillcolor="#047ebc" stroked="f">
              <v:path arrowok="t"/>
            </v:shape>
            <v:shape id="_x0000_s3615" type="#_x0000_t75" style="position:absolute;left:11741;top:4355;width:165;height:587">
              <v:imagedata r:id="rId42" o:title=""/>
            </v:shape>
            <v:shape id="_x0000_s3614" style="position:absolute;left:11741;top:5343;width:165;height:536" coordorigin="11741,5343" coordsize="165,536" path="m11741,5343r,535l11906,5872r,-525l11741,5343xe" fillcolor="#f36a2e" stroked="f">
              <v:path arrowok="t"/>
            </v:shape>
            <v:shape id="_x0000_s3613" style="position:absolute;left:11741;top:4925;width:165;height:501" coordorigin="11741,4926" coordsize="165,501" path="m11741,4926r,500l11906,5426r,-485l11741,4926xe" fillcolor="#49783f" stroked="f">
              <v:path arrowok="t"/>
            </v:shape>
            <v:shape id="_x0000_s3612" style="position:absolute;left:11741;top:5781;width:165;height:268" coordorigin="11741,5782" coordsize="165,268" path="m11906,5782r-165,8l11741,6039r165,10l11906,5782xe" fillcolor="#f99f2a" stroked="f">
              <v:path arrowok="t"/>
            </v:shape>
            <v:shape id="_x0000_s3611" style="position:absolute;left:11741;top:6023;width:165;height:707" coordorigin="11741,6023" coordsize="165,707" path="m11741,6023r,706l11906,6729r,-690l11741,6023xe" fillcolor="#ef412c" stroked="f">
              <v:path arrowok="t"/>
            </v:shape>
            <w10:wrap anchorx="page" anchory="page"/>
          </v:group>
        </w:pict>
      </w:r>
    </w:p>
    <w:p w14:paraId="5601B1BB" w14:textId="77777777" w:rsidR="00EF5B27" w:rsidRDefault="00EF5B27">
      <w:pPr>
        <w:pStyle w:val="BodyText"/>
      </w:pPr>
    </w:p>
    <w:p w14:paraId="1A0C3757" w14:textId="77777777" w:rsidR="00EF5B27" w:rsidRDefault="00EF5B27">
      <w:pPr>
        <w:pStyle w:val="BodyText"/>
      </w:pPr>
    </w:p>
    <w:p w14:paraId="61B3C75D" w14:textId="77777777" w:rsidR="00EF5B27" w:rsidRDefault="00EF5B27">
      <w:pPr>
        <w:pStyle w:val="BodyText"/>
        <w:spacing w:before="4"/>
        <w:rPr>
          <w:sz w:val="25"/>
        </w:rPr>
      </w:pPr>
    </w:p>
    <w:p w14:paraId="48F434EB" w14:textId="77777777" w:rsidR="00EF5B27" w:rsidRDefault="00000000">
      <w:pPr>
        <w:pStyle w:val="BodyText"/>
        <w:spacing w:before="100" w:line="254" w:lineRule="auto"/>
        <w:ind w:left="2608" w:right="159"/>
        <w:jc w:val="both"/>
      </w:pPr>
      <w:r>
        <w:rPr>
          <w:color w:val="4D4D4F"/>
        </w:rPr>
        <w:t xml:space="preserve">The </w:t>
      </w:r>
      <w:r>
        <w:rPr>
          <w:color w:val="4D4D4F"/>
          <w:spacing w:val="-4"/>
        </w:rPr>
        <w:t xml:space="preserve">timeframes for delivery </w:t>
      </w:r>
      <w:r>
        <w:rPr>
          <w:color w:val="4D4D4F"/>
          <w:spacing w:val="-3"/>
        </w:rPr>
        <w:t xml:space="preserve">of </w:t>
      </w:r>
      <w:r>
        <w:rPr>
          <w:color w:val="4D4D4F"/>
          <w:spacing w:val="-5"/>
        </w:rPr>
        <w:t xml:space="preserve">this inaugural </w:t>
      </w:r>
      <w:r>
        <w:rPr>
          <w:color w:val="4D4D4F"/>
        </w:rPr>
        <w:t xml:space="preserve">report </w:t>
      </w:r>
      <w:r>
        <w:rPr>
          <w:color w:val="4D4D4F"/>
          <w:spacing w:val="-4"/>
        </w:rPr>
        <w:t xml:space="preserve">have </w:t>
      </w:r>
      <w:r>
        <w:rPr>
          <w:color w:val="4D4D4F"/>
          <w:spacing w:val="-5"/>
        </w:rPr>
        <w:t xml:space="preserve">meant </w:t>
      </w:r>
      <w:r>
        <w:rPr>
          <w:color w:val="4D4D4F"/>
          <w:spacing w:val="-4"/>
        </w:rPr>
        <w:t xml:space="preserve">that external </w:t>
      </w:r>
      <w:r>
        <w:rPr>
          <w:color w:val="4D4D4F"/>
          <w:spacing w:val="-5"/>
        </w:rPr>
        <w:t xml:space="preserve">consultation </w:t>
      </w:r>
      <w:r>
        <w:rPr>
          <w:color w:val="4D4D4F"/>
        </w:rPr>
        <w:t xml:space="preserve">was not within scope. As such, information informing the current assessment for KEQ  2 has been obtained through interviews with internal experts from DELWP and Parks </w:t>
      </w:r>
      <w:r>
        <w:rPr>
          <w:color w:val="4D4D4F"/>
          <w:spacing w:val="-4"/>
        </w:rPr>
        <w:t xml:space="preserve">Victoria, </w:t>
      </w:r>
      <w:r>
        <w:rPr>
          <w:color w:val="4D4D4F"/>
          <w:spacing w:val="-3"/>
        </w:rPr>
        <w:t xml:space="preserve">and </w:t>
      </w:r>
      <w:r>
        <w:rPr>
          <w:color w:val="4D4D4F"/>
          <w:spacing w:val="-4"/>
        </w:rPr>
        <w:t xml:space="preserve">may </w:t>
      </w:r>
      <w:r>
        <w:rPr>
          <w:color w:val="4D4D4F"/>
          <w:spacing w:val="-3"/>
        </w:rPr>
        <w:t xml:space="preserve">form the </w:t>
      </w:r>
      <w:r>
        <w:rPr>
          <w:color w:val="4D4D4F"/>
          <w:spacing w:val="-5"/>
        </w:rPr>
        <w:t xml:space="preserve">basis </w:t>
      </w:r>
      <w:r>
        <w:rPr>
          <w:color w:val="4D4D4F"/>
          <w:spacing w:val="-4"/>
        </w:rPr>
        <w:t xml:space="preserve">for </w:t>
      </w:r>
      <w:r>
        <w:rPr>
          <w:color w:val="4D4D4F"/>
          <w:spacing w:val="-3"/>
        </w:rPr>
        <w:t xml:space="preserve">future </w:t>
      </w:r>
      <w:r>
        <w:rPr>
          <w:color w:val="4D4D4F"/>
          <w:spacing w:val="-4"/>
        </w:rPr>
        <w:t xml:space="preserve">formal </w:t>
      </w:r>
      <w:r>
        <w:rPr>
          <w:color w:val="4D4D4F"/>
          <w:spacing w:val="-3"/>
        </w:rPr>
        <w:t xml:space="preserve">reviews </w:t>
      </w:r>
      <w:r>
        <w:rPr>
          <w:color w:val="4D4D4F"/>
          <w:spacing w:val="-5"/>
        </w:rPr>
        <w:t xml:space="preserve">(see Recommendation </w:t>
      </w:r>
      <w:r>
        <w:rPr>
          <w:color w:val="4D4D4F"/>
          <w:spacing w:val="-11"/>
        </w:rPr>
        <w:t xml:space="preserve">1) </w:t>
      </w:r>
      <w:r>
        <w:rPr>
          <w:color w:val="4D4D4F"/>
          <w:spacing w:val="-3"/>
        </w:rPr>
        <w:t xml:space="preserve">of the MSA </w:t>
      </w:r>
      <w:r>
        <w:rPr>
          <w:color w:val="4D4D4F"/>
          <w:spacing w:val="-8"/>
        </w:rPr>
        <w:t xml:space="preserve">MRF, </w:t>
      </w:r>
      <w:r>
        <w:rPr>
          <w:color w:val="4D4D4F"/>
          <w:spacing w:val="-5"/>
        </w:rPr>
        <w:t xml:space="preserve">including </w:t>
      </w:r>
      <w:r>
        <w:rPr>
          <w:color w:val="4D4D4F"/>
          <w:spacing w:val="-4"/>
        </w:rPr>
        <w:t>addressing specific criteria such</w:t>
      </w:r>
      <w:r>
        <w:rPr>
          <w:color w:val="4D4D4F"/>
          <w:spacing w:val="9"/>
        </w:rPr>
        <w:t xml:space="preserve"> </w:t>
      </w:r>
      <w:r>
        <w:rPr>
          <w:color w:val="4D4D4F"/>
          <w:spacing w:val="-5"/>
        </w:rPr>
        <w:t>as:</w:t>
      </w:r>
    </w:p>
    <w:p w14:paraId="5B9EF80E" w14:textId="77777777" w:rsidR="00EF5B27" w:rsidRDefault="00000000">
      <w:pPr>
        <w:pStyle w:val="ListParagraph"/>
        <w:numPr>
          <w:ilvl w:val="1"/>
          <w:numId w:val="47"/>
        </w:numPr>
        <w:tabs>
          <w:tab w:val="left" w:pos="2779"/>
        </w:tabs>
        <w:spacing w:before="120"/>
        <w:rPr>
          <w:sz w:val="20"/>
        </w:rPr>
      </w:pPr>
      <w:r>
        <w:rPr>
          <w:color w:val="4D4D4F"/>
          <w:sz w:val="20"/>
        </w:rPr>
        <w:t>Do the KPIs adequately address the objectives for</w:t>
      </w:r>
      <w:r>
        <w:rPr>
          <w:color w:val="4D4D4F"/>
          <w:spacing w:val="39"/>
          <w:sz w:val="20"/>
        </w:rPr>
        <w:t xml:space="preserve"> </w:t>
      </w:r>
      <w:r>
        <w:rPr>
          <w:color w:val="4D4D4F"/>
          <w:sz w:val="20"/>
        </w:rPr>
        <w:t>MNES?</w:t>
      </w:r>
    </w:p>
    <w:p w14:paraId="7C9F255F" w14:textId="77777777" w:rsidR="00EF5B27" w:rsidRDefault="00000000">
      <w:pPr>
        <w:pStyle w:val="ListParagraph"/>
        <w:numPr>
          <w:ilvl w:val="1"/>
          <w:numId w:val="47"/>
        </w:numPr>
        <w:tabs>
          <w:tab w:val="left" w:pos="2779"/>
        </w:tabs>
        <w:spacing w:before="129"/>
        <w:rPr>
          <w:sz w:val="20"/>
        </w:rPr>
      </w:pPr>
      <w:r>
        <w:rPr>
          <w:color w:val="4D4D4F"/>
          <w:sz w:val="20"/>
        </w:rPr>
        <w:t>Are the methods clear enough to be</w:t>
      </w:r>
      <w:r>
        <w:rPr>
          <w:color w:val="4D4D4F"/>
          <w:spacing w:val="28"/>
          <w:sz w:val="20"/>
        </w:rPr>
        <w:t xml:space="preserve"> </w:t>
      </w:r>
      <w:r>
        <w:rPr>
          <w:color w:val="4D4D4F"/>
          <w:sz w:val="20"/>
        </w:rPr>
        <w:t>reproduced?</w:t>
      </w:r>
    </w:p>
    <w:p w14:paraId="0069AA1F" w14:textId="77777777" w:rsidR="00EF5B27" w:rsidRDefault="00000000">
      <w:pPr>
        <w:pStyle w:val="ListParagraph"/>
        <w:numPr>
          <w:ilvl w:val="1"/>
          <w:numId w:val="47"/>
        </w:numPr>
        <w:tabs>
          <w:tab w:val="left" w:pos="2779"/>
        </w:tabs>
        <w:spacing w:before="129"/>
        <w:rPr>
          <w:sz w:val="20"/>
        </w:rPr>
      </w:pPr>
      <w:r>
        <w:rPr>
          <w:color w:val="4D4D4F"/>
          <w:sz w:val="20"/>
        </w:rPr>
        <w:t>What would true ex-MSA counterfactuals add in terms of</w:t>
      </w:r>
      <w:r>
        <w:rPr>
          <w:color w:val="4D4D4F"/>
          <w:spacing w:val="32"/>
          <w:sz w:val="20"/>
        </w:rPr>
        <w:t xml:space="preserve"> </w:t>
      </w:r>
      <w:r>
        <w:rPr>
          <w:color w:val="4D4D4F"/>
          <w:sz w:val="20"/>
        </w:rPr>
        <w:t>inference?</w:t>
      </w:r>
    </w:p>
    <w:p w14:paraId="70B01D6F" w14:textId="77777777" w:rsidR="00EF5B27" w:rsidRDefault="00000000">
      <w:pPr>
        <w:pStyle w:val="ListParagraph"/>
        <w:numPr>
          <w:ilvl w:val="1"/>
          <w:numId w:val="47"/>
        </w:numPr>
        <w:tabs>
          <w:tab w:val="left" w:pos="2779"/>
        </w:tabs>
        <w:spacing w:before="130" w:line="254" w:lineRule="auto"/>
        <w:ind w:right="631"/>
        <w:rPr>
          <w:sz w:val="20"/>
        </w:rPr>
      </w:pPr>
      <w:r>
        <w:rPr>
          <w:color w:val="4D4D4F"/>
          <w:sz w:val="20"/>
        </w:rPr>
        <w:t>Is the rate of expansion of the current monitoring program sufficient such that reasonable power will be achieved in reasonable</w:t>
      </w:r>
      <w:r>
        <w:rPr>
          <w:color w:val="4D4D4F"/>
          <w:spacing w:val="31"/>
          <w:sz w:val="20"/>
        </w:rPr>
        <w:t xml:space="preserve"> </w:t>
      </w:r>
      <w:r>
        <w:rPr>
          <w:color w:val="4D4D4F"/>
          <w:spacing w:val="-3"/>
          <w:sz w:val="20"/>
        </w:rPr>
        <w:t>time?</w:t>
      </w:r>
    </w:p>
    <w:p w14:paraId="2F6611AE" w14:textId="77777777" w:rsidR="00EF5B27" w:rsidRDefault="00000000">
      <w:pPr>
        <w:pStyle w:val="ListParagraph"/>
        <w:numPr>
          <w:ilvl w:val="1"/>
          <w:numId w:val="47"/>
        </w:numPr>
        <w:tabs>
          <w:tab w:val="left" w:pos="2779"/>
        </w:tabs>
        <w:spacing w:before="116"/>
        <w:rPr>
          <w:sz w:val="20"/>
        </w:rPr>
      </w:pPr>
      <w:r>
        <w:rPr>
          <w:color w:val="4D4D4F"/>
          <w:sz w:val="20"/>
        </w:rPr>
        <w:t>Is monitoring linked to learning and adaptive</w:t>
      </w:r>
      <w:r>
        <w:rPr>
          <w:color w:val="4D4D4F"/>
          <w:spacing w:val="26"/>
          <w:sz w:val="20"/>
        </w:rPr>
        <w:t xml:space="preserve"> </w:t>
      </w:r>
      <w:r>
        <w:rPr>
          <w:color w:val="4D4D4F"/>
          <w:sz w:val="20"/>
        </w:rPr>
        <w:t>management?</w:t>
      </w:r>
    </w:p>
    <w:p w14:paraId="79C106B7" w14:textId="77777777" w:rsidR="00EF5B27" w:rsidRDefault="00000000">
      <w:pPr>
        <w:pStyle w:val="ListParagraph"/>
        <w:numPr>
          <w:ilvl w:val="1"/>
          <w:numId w:val="47"/>
        </w:numPr>
        <w:tabs>
          <w:tab w:val="left" w:pos="2779"/>
        </w:tabs>
        <w:spacing w:before="129"/>
        <w:rPr>
          <w:sz w:val="20"/>
        </w:rPr>
      </w:pPr>
      <w:r>
        <w:rPr>
          <w:color w:val="4D4D4F"/>
          <w:sz w:val="20"/>
        </w:rPr>
        <w:t>Is the monitoring integrated with</w:t>
      </w:r>
      <w:r>
        <w:rPr>
          <w:color w:val="4D4D4F"/>
          <w:spacing w:val="18"/>
          <w:sz w:val="20"/>
        </w:rPr>
        <w:t xml:space="preserve"> </w:t>
      </w:r>
      <w:r>
        <w:rPr>
          <w:color w:val="4D4D4F"/>
          <w:sz w:val="20"/>
        </w:rPr>
        <w:t>management?</w:t>
      </w:r>
    </w:p>
    <w:p w14:paraId="7D2B97C2" w14:textId="77777777" w:rsidR="00EF5B27" w:rsidRDefault="00000000">
      <w:pPr>
        <w:pStyle w:val="ListParagraph"/>
        <w:numPr>
          <w:ilvl w:val="1"/>
          <w:numId w:val="47"/>
        </w:numPr>
        <w:tabs>
          <w:tab w:val="left" w:pos="2779"/>
        </w:tabs>
        <w:spacing w:before="129"/>
        <w:rPr>
          <w:sz w:val="20"/>
        </w:rPr>
      </w:pPr>
      <w:r>
        <w:rPr>
          <w:color w:val="4D4D4F"/>
          <w:sz w:val="20"/>
        </w:rPr>
        <w:t>Does the monitoring link to an understanding of</w:t>
      </w:r>
      <w:r>
        <w:rPr>
          <w:color w:val="4D4D4F"/>
          <w:spacing w:val="31"/>
          <w:sz w:val="20"/>
        </w:rPr>
        <w:t xml:space="preserve"> </w:t>
      </w:r>
      <w:r>
        <w:rPr>
          <w:color w:val="4D4D4F"/>
          <w:sz w:val="20"/>
        </w:rPr>
        <w:t>threats?</w:t>
      </w:r>
    </w:p>
    <w:p w14:paraId="0C69E24B" w14:textId="77777777" w:rsidR="00EF5B27" w:rsidRDefault="00000000">
      <w:pPr>
        <w:pStyle w:val="ListParagraph"/>
        <w:numPr>
          <w:ilvl w:val="1"/>
          <w:numId w:val="47"/>
        </w:numPr>
        <w:tabs>
          <w:tab w:val="left" w:pos="2779"/>
        </w:tabs>
        <w:spacing w:before="129"/>
        <w:rPr>
          <w:sz w:val="20"/>
        </w:rPr>
      </w:pPr>
      <w:r>
        <w:rPr>
          <w:color w:val="4D4D4F"/>
          <w:sz w:val="20"/>
        </w:rPr>
        <w:t>Are there knowledge gaps that monitoring could help to</w:t>
      </w:r>
      <w:r>
        <w:rPr>
          <w:color w:val="4D4D4F"/>
          <w:spacing w:val="42"/>
          <w:sz w:val="20"/>
        </w:rPr>
        <w:t xml:space="preserve"> </w:t>
      </w:r>
      <w:r>
        <w:rPr>
          <w:color w:val="4D4D4F"/>
          <w:sz w:val="20"/>
        </w:rPr>
        <w:t>address?</w:t>
      </w:r>
    </w:p>
    <w:p w14:paraId="551B119D" w14:textId="77777777" w:rsidR="00EF5B27" w:rsidRDefault="00EF5B27">
      <w:pPr>
        <w:pStyle w:val="BodyText"/>
        <w:spacing w:before="2"/>
      </w:pPr>
    </w:p>
    <w:p w14:paraId="0A7FA0FC" w14:textId="77777777" w:rsidR="00EF5B27" w:rsidRDefault="00000000">
      <w:pPr>
        <w:pStyle w:val="Heading3"/>
      </w:pPr>
      <w:r>
        <w:rPr>
          <w:color w:val="F99F2A"/>
        </w:rPr>
        <w:t>How to read results in Part 2 of this report</w:t>
      </w:r>
    </w:p>
    <w:p w14:paraId="5D4F9B11" w14:textId="77777777" w:rsidR="00EF5B27" w:rsidRDefault="00000000">
      <w:pPr>
        <w:pStyle w:val="BodyText"/>
        <w:spacing w:before="222" w:line="254" w:lineRule="auto"/>
        <w:ind w:left="2608" w:right="1488"/>
      </w:pPr>
      <w:r>
        <w:rPr>
          <w:color w:val="4D4D4F"/>
        </w:rPr>
        <w:t>Results in Part 2 of this report are separated into chapters by MNES (i.e. by communities and species).</w:t>
      </w:r>
    </w:p>
    <w:p w14:paraId="51FCCBDE" w14:textId="77777777" w:rsidR="00EF5B27" w:rsidRDefault="00EF5B27">
      <w:pPr>
        <w:pStyle w:val="BodyText"/>
        <w:spacing w:before="9"/>
        <w:rPr>
          <w:sz w:val="18"/>
        </w:rPr>
      </w:pPr>
    </w:p>
    <w:p w14:paraId="6A25E4AE" w14:textId="77777777" w:rsidR="00EF5B27" w:rsidRDefault="00000000">
      <w:pPr>
        <w:pStyle w:val="Heading6"/>
      </w:pPr>
      <w:r>
        <w:rPr>
          <w:color w:val="4D4D4F"/>
        </w:rPr>
        <w:t>These MNES are:</w:t>
      </w:r>
    </w:p>
    <w:p w14:paraId="4AC2C9AB" w14:textId="77777777" w:rsidR="00EF5B27" w:rsidRDefault="00000000">
      <w:pPr>
        <w:pStyle w:val="BodyText"/>
        <w:spacing w:before="129" w:line="254" w:lineRule="auto"/>
        <w:ind w:left="2608"/>
      </w:pPr>
      <w:r>
        <w:rPr>
          <w:color w:val="4D4D4F"/>
        </w:rPr>
        <w:t>Ecosystems: Natural Temperate Grassland, Grassy Eucalypt Woodland and Seasonal Herbaceous Wetland.</w:t>
      </w:r>
    </w:p>
    <w:p w14:paraId="2DBF7286" w14:textId="77777777" w:rsidR="00EF5B27" w:rsidRDefault="00000000">
      <w:pPr>
        <w:pStyle w:val="BodyText"/>
        <w:spacing w:before="116" w:line="254" w:lineRule="auto"/>
        <w:ind w:left="2608"/>
      </w:pPr>
      <w:r>
        <w:rPr>
          <w:color w:val="4D4D4F"/>
        </w:rPr>
        <w:t>Threatened species: Golden Sun Moth, Matted Flax-lily, Spiny Rice-flower, Southern Brown Bandicoot, Growling Grass Frog, Small Golden Moths Orchid, Striped Legless Lizard, Button Wrinklewort and Large-fruit Groundsel.</w:t>
      </w:r>
    </w:p>
    <w:p w14:paraId="24994A82" w14:textId="77777777" w:rsidR="00EF5B27" w:rsidRDefault="00EF5B27">
      <w:pPr>
        <w:pStyle w:val="BodyText"/>
        <w:spacing w:before="11"/>
        <w:rPr>
          <w:sz w:val="18"/>
        </w:rPr>
      </w:pPr>
    </w:p>
    <w:p w14:paraId="27CC302D" w14:textId="77777777" w:rsidR="00EF5B27" w:rsidRDefault="00000000">
      <w:pPr>
        <w:pStyle w:val="Heading6"/>
      </w:pPr>
      <w:r>
        <w:rPr>
          <w:color w:val="4D4D4F"/>
        </w:rPr>
        <w:t>For each of the 12 MNES, information will be provided on:</w:t>
      </w:r>
    </w:p>
    <w:p w14:paraId="5F60E4BE" w14:textId="77777777" w:rsidR="00EF5B27" w:rsidRDefault="00000000">
      <w:pPr>
        <w:pStyle w:val="ListParagraph"/>
        <w:numPr>
          <w:ilvl w:val="1"/>
          <w:numId w:val="47"/>
        </w:numPr>
        <w:tabs>
          <w:tab w:val="left" w:pos="2779"/>
        </w:tabs>
        <w:spacing w:before="129" w:line="254" w:lineRule="auto"/>
        <w:ind w:right="296"/>
        <w:rPr>
          <w:sz w:val="20"/>
        </w:rPr>
      </w:pPr>
      <w:r>
        <w:rPr>
          <w:color w:val="4D4D4F"/>
          <w:sz w:val="20"/>
        </w:rPr>
        <w:t xml:space="preserve">Background: Brief information on the species/community ecology, including status </w:t>
      </w:r>
      <w:r>
        <w:rPr>
          <w:color w:val="4D4D4F"/>
          <w:w w:val="105"/>
          <w:sz w:val="20"/>
        </w:rPr>
        <w:t>of EPBC</w:t>
      </w:r>
      <w:r>
        <w:rPr>
          <w:color w:val="4D4D4F"/>
          <w:spacing w:val="3"/>
          <w:w w:val="105"/>
          <w:sz w:val="20"/>
        </w:rPr>
        <w:t xml:space="preserve"> </w:t>
      </w:r>
      <w:r>
        <w:rPr>
          <w:color w:val="4D4D4F"/>
          <w:w w:val="105"/>
          <w:sz w:val="20"/>
        </w:rPr>
        <w:t>listing</w:t>
      </w:r>
    </w:p>
    <w:p w14:paraId="23344848" w14:textId="77777777" w:rsidR="00EF5B27" w:rsidRDefault="00000000">
      <w:pPr>
        <w:pStyle w:val="ListParagraph"/>
        <w:numPr>
          <w:ilvl w:val="1"/>
          <w:numId w:val="47"/>
        </w:numPr>
        <w:tabs>
          <w:tab w:val="left" w:pos="2779"/>
        </w:tabs>
        <w:spacing w:before="116"/>
        <w:rPr>
          <w:sz w:val="20"/>
        </w:rPr>
      </w:pPr>
      <w:r>
        <w:rPr>
          <w:color w:val="4D4D4F"/>
          <w:sz w:val="20"/>
        </w:rPr>
        <w:t>DELWP’s conservation</w:t>
      </w:r>
      <w:r>
        <w:rPr>
          <w:color w:val="4D4D4F"/>
          <w:spacing w:val="8"/>
          <w:sz w:val="20"/>
        </w:rPr>
        <w:t xml:space="preserve"> </w:t>
      </w:r>
      <w:r>
        <w:rPr>
          <w:color w:val="4D4D4F"/>
          <w:sz w:val="20"/>
        </w:rPr>
        <w:t>commitments</w:t>
      </w:r>
    </w:p>
    <w:p w14:paraId="27C5C448" w14:textId="77777777" w:rsidR="00EF5B27" w:rsidRDefault="00000000">
      <w:pPr>
        <w:pStyle w:val="ListParagraph"/>
        <w:numPr>
          <w:ilvl w:val="1"/>
          <w:numId w:val="47"/>
        </w:numPr>
        <w:tabs>
          <w:tab w:val="left" w:pos="2779"/>
        </w:tabs>
        <w:spacing w:before="129" w:line="254" w:lineRule="auto"/>
        <w:ind w:right="462"/>
        <w:rPr>
          <w:sz w:val="20"/>
        </w:rPr>
      </w:pPr>
      <w:r>
        <w:rPr>
          <w:color w:val="4D4D4F"/>
          <w:sz w:val="20"/>
        </w:rPr>
        <w:t xml:space="preserve">KPIs assessed: For each MNES, there are one or more KPIs relating to KEQ </w:t>
      </w:r>
      <w:r>
        <w:rPr>
          <w:color w:val="4D4D4F"/>
          <w:spacing w:val="-5"/>
          <w:sz w:val="20"/>
        </w:rPr>
        <w:t xml:space="preserve">1.      </w:t>
      </w:r>
      <w:r>
        <w:rPr>
          <w:color w:val="4D4D4F"/>
          <w:sz w:val="20"/>
        </w:rPr>
        <w:t xml:space="preserve">For each KPI there is a summary table at the beginning of the relevant section. This table is a quick guide to the status of a KPI for the current reporting period. It shows the relevant reporting unit (location, population or </w:t>
      </w:r>
      <w:r>
        <w:rPr>
          <w:color w:val="4D4D4F"/>
          <w:spacing w:val="-2"/>
          <w:sz w:val="20"/>
        </w:rPr>
        <w:t xml:space="preserve">state) </w:t>
      </w:r>
      <w:r>
        <w:rPr>
          <w:color w:val="4D4D4F"/>
          <w:sz w:val="20"/>
        </w:rPr>
        <w:t xml:space="preserve">and indicates  if the KPI was achieved, not achieved or not assessed. Reasons for it to not have been assessed include that the MNES is not currently protected </w:t>
      </w:r>
      <w:r>
        <w:rPr>
          <w:color w:val="4D4D4F"/>
          <w:spacing w:val="-3"/>
          <w:sz w:val="20"/>
        </w:rPr>
        <w:t xml:space="preserve">(or </w:t>
      </w:r>
      <w:r>
        <w:rPr>
          <w:color w:val="4D4D4F"/>
          <w:sz w:val="20"/>
        </w:rPr>
        <w:t>too few locations are protected), too few years have elapsed for the KPI to be assessed (e.g. the baseline is not set) or the KPI is only assessed after a particular event which has not occurred in the relevant period (e.g. wetland</w:t>
      </w:r>
      <w:r>
        <w:rPr>
          <w:color w:val="4D4D4F"/>
          <w:spacing w:val="30"/>
          <w:sz w:val="20"/>
        </w:rPr>
        <w:t xml:space="preserve"> </w:t>
      </w:r>
      <w:r>
        <w:rPr>
          <w:color w:val="4D4D4F"/>
          <w:sz w:val="20"/>
        </w:rPr>
        <w:t>flooding)</w:t>
      </w:r>
    </w:p>
    <w:p w14:paraId="6907B4A0" w14:textId="77777777" w:rsidR="00EF5B27" w:rsidRDefault="00000000">
      <w:pPr>
        <w:pStyle w:val="ListParagraph"/>
        <w:numPr>
          <w:ilvl w:val="1"/>
          <w:numId w:val="47"/>
        </w:numPr>
        <w:tabs>
          <w:tab w:val="left" w:pos="2779"/>
        </w:tabs>
        <w:spacing w:before="125"/>
        <w:rPr>
          <w:sz w:val="20"/>
        </w:rPr>
      </w:pPr>
      <w:r>
        <w:rPr>
          <w:color w:val="4D4D4F"/>
          <w:sz w:val="20"/>
        </w:rPr>
        <w:t>Monitored</w:t>
      </w:r>
      <w:r>
        <w:rPr>
          <w:color w:val="4D4D4F"/>
          <w:spacing w:val="3"/>
          <w:sz w:val="20"/>
        </w:rPr>
        <w:t xml:space="preserve"> </w:t>
      </w:r>
      <w:r>
        <w:rPr>
          <w:color w:val="4D4D4F"/>
          <w:sz w:val="20"/>
        </w:rPr>
        <w:t>areas</w:t>
      </w:r>
    </w:p>
    <w:p w14:paraId="67A96059" w14:textId="77777777" w:rsidR="00EF5B27" w:rsidRDefault="00000000">
      <w:pPr>
        <w:pStyle w:val="ListParagraph"/>
        <w:numPr>
          <w:ilvl w:val="1"/>
          <w:numId w:val="47"/>
        </w:numPr>
        <w:tabs>
          <w:tab w:val="left" w:pos="2779"/>
        </w:tabs>
        <w:spacing w:before="129" w:line="254" w:lineRule="auto"/>
        <w:ind w:right="591"/>
        <w:rPr>
          <w:sz w:val="20"/>
        </w:rPr>
      </w:pPr>
      <w:r>
        <w:rPr>
          <w:color w:val="4D4D4F"/>
          <w:sz w:val="20"/>
        </w:rPr>
        <w:t>Results: Progress (status, trend and data confidence) against existing KPIs and delivery targets defined under the MSA program’s</w:t>
      </w:r>
      <w:r>
        <w:rPr>
          <w:color w:val="4D4D4F"/>
          <w:spacing w:val="30"/>
          <w:sz w:val="20"/>
        </w:rPr>
        <w:t xml:space="preserve"> </w:t>
      </w:r>
      <w:r>
        <w:rPr>
          <w:color w:val="4D4D4F"/>
          <w:sz w:val="20"/>
        </w:rPr>
        <w:t>MRF)</w:t>
      </w:r>
    </w:p>
    <w:p w14:paraId="67E22AB2" w14:textId="77777777" w:rsidR="00EF5B27" w:rsidRDefault="00EF5B27">
      <w:pPr>
        <w:spacing w:line="254" w:lineRule="auto"/>
        <w:rPr>
          <w:sz w:val="20"/>
        </w:rPr>
        <w:sectPr w:rsidR="00EF5B27">
          <w:pgSz w:w="11910" w:h="16840"/>
          <w:pgMar w:top="1080" w:right="1020" w:bottom="860" w:left="1020" w:header="537" w:footer="678" w:gutter="0"/>
          <w:cols w:space="720"/>
        </w:sectPr>
      </w:pPr>
    </w:p>
    <w:p w14:paraId="6A8CCBDF" w14:textId="77777777" w:rsidR="00EF5B27" w:rsidRDefault="00000000">
      <w:pPr>
        <w:pStyle w:val="BodyText"/>
      </w:pPr>
      <w:r>
        <w:lastRenderedPageBreak/>
        <w:pict w14:anchorId="266295B5">
          <v:group id="_x0000_s3602" style="position:absolute;margin-left:587.05pt;margin-top:183.4pt;width:8.25pt;height:153.1pt;z-index:251544064;mso-position-horizontal-relative:page;mso-position-vertical-relative:page" coordorigin="11741,3668" coordsize="165,3062">
            <v:shape id="_x0000_s3609" style="position:absolute;left:11741;top:3668;width:165;height:561" coordorigin="11741,3668" coordsize="165,561" path="m11906,3668r-165,l11741,4228r165,-18l11906,3668xe" fillcolor="#00aed9" stroked="f">
              <v:path arrowok="t"/>
            </v:shape>
            <v:shape id="_x0000_s3608" style="position:absolute;left:11741;top:4118;width:165;height:425" coordorigin="11741,4118" coordsize="165,425" path="m11906,4118r-165,14l11741,4531r165,12l11906,4118xe" fillcolor="#047ebc" stroked="f">
              <v:path arrowok="t"/>
            </v:shape>
            <v:shape id="_x0000_s3607" type="#_x0000_t75" style="position:absolute;left:11741;top:4355;width:165;height:587">
              <v:imagedata r:id="rId42" o:title=""/>
            </v:shape>
            <v:shape id="_x0000_s3606" style="position:absolute;left:11741;top:5343;width:165;height:536" coordorigin="11741,5343" coordsize="165,536" path="m11741,5343r,535l11906,5872r,-525l11741,5343xe" fillcolor="#f36a2e" stroked="f">
              <v:path arrowok="t"/>
            </v:shape>
            <v:shape id="_x0000_s3605" style="position:absolute;left:11741;top:4925;width:165;height:501" coordorigin="11741,4926" coordsize="165,501" path="m11741,4926r,500l11906,5426r,-485l11741,4926xe" fillcolor="#49783f" stroked="f">
              <v:path arrowok="t"/>
            </v:shape>
            <v:shape id="_x0000_s3604" style="position:absolute;left:11741;top:5781;width:165;height:268" coordorigin="11741,5782" coordsize="165,268" path="m11906,5782r-165,8l11741,6039r165,10l11906,5782xe" fillcolor="#f99f2a" stroked="f">
              <v:path arrowok="t"/>
            </v:shape>
            <v:shape id="_x0000_s3603" style="position:absolute;left:11741;top:6023;width:165;height:707" coordorigin="11741,6023" coordsize="165,707" path="m11741,6023r,706l11906,6729r,-690l11741,6023xe" fillcolor="#ef412c" stroked="f">
              <v:path arrowok="t"/>
            </v:shape>
            <w10:wrap anchorx="page" anchory="page"/>
          </v:group>
        </w:pict>
      </w:r>
    </w:p>
    <w:p w14:paraId="367628B7" w14:textId="77777777" w:rsidR="00EF5B27" w:rsidRDefault="00EF5B27">
      <w:pPr>
        <w:pStyle w:val="BodyText"/>
      </w:pPr>
    </w:p>
    <w:p w14:paraId="6E04D43D" w14:textId="77777777" w:rsidR="00EF5B27" w:rsidRDefault="00EF5B27">
      <w:pPr>
        <w:pStyle w:val="BodyText"/>
      </w:pPr>
    </w:p>
    <w:p w14:paraId="4A4F073E" w14:textId="77777777" w:rsidR="00EF5B27" w:rsidRDefault="00EF5B27">
      <w:pPr>
        <w:pStyle w:val="BodyText"/>
        <w:spacing w:before="4"/>
        <w:rPr>
          <w:sz w:val="25"/>
        </w:rPr>
      </w:pPr>
    </w:p>
    <w:p w14:paraId="54D5C2B1" w14:textId="77777777" w:rsidR="00EF5B27" w:rsidRDefault="00000000">
      <w:pPr>
        <w:pStyle w:val="ListParagraph"/>
        <w:numPr>
          <w:ilvl w:val="1"/>
          <w:numId w:val="47"/>
        </w:numPr>
        <w:tabs>
          <w:tab w:val="left" w:pos="2779"/>
        </w:tabs>
        <w:spacing w:before="100"/>
        <w:rPr>
          <w:sz w:val="20"/>
        </w:rPr>
      </w:pPr>
      <w:bookmarkStart w:id="26" w:name="_bookmark26"/>
      <w:bookmarkEnd w:id="26"/>
      <w:r>
        <w:rPr>
          <w:color w:val="4D4D4F"/>
          <w:sz w:val="20"/>
        </w:rPr>
        <w:t>Results</w:t>
      </w:r>
      <w:r>
        <w:rPr>
          <w:color w:val="4D4D4F"/>
          <w:spacing w:val="4"/>
          <w:sz w:val="20"/>
        </w:rPr>
        <w:t xml:space="preserve"> </w:t>
      </w:r>
      <w:r>
        <w:rPr>
          <w:color w:val="4D4D4F"/>
          <w:sz w:val="20"/>
        </w:rPr>
        <w:t>interpretation</w:t>
      </w:r>
    </w:p>
    <w:p w14:paraId="279AF318" w14:textId="77777777" w:rsidR="00EF5B27" w:rsidRDefault="00000000">
      <w:pPr>
        <w:pStyle w:val="ListParagraph"/>
        <w:numPr>
          <w:ilvl w:val="1"/>
          <w:numId w:val="47"/>
        </w:numPr>
        <w:tabs>
          <w:tab w:val="left" w:pos="2779"/>
        </w:tabs>
        <w:spacing w:before="130"/>
        <w:rPr>
          <w:sz w:val="20"/>
        </w:rPr>
      </w:pPr>
      <w:r>
        <w:rPr>
          <w:color w:val="4D4D4F"/>
          <w:sz w:val="20"/>
        </w:rPr>
        <w:t>Key insights and management</w:t>
      </w:r>
      <w:r>
        <w:rPr>
          <w:color w:val="4D4D4F"/>
          <w:spacing w:val="16"/>
          <w:sz w:val="20"/>
        </w:rPr>
        <w:t xml:space="preserve"> </w:t>
      </w:r>
      <w:r>
        <w:rPr>
          <w:color w:val="4D4D4F"/>
          <w:sz w:val="20"/>
        </w:rPr>
        <w:t>implications.</w:t>
      </w:r>
    </w:p>
    <w:p w14:paraId="7E6C9DAE" w14:textId="77777777" w:rsidR="00EF5B27" w:rsidRDefault="00000000">
      <w:pPr>
        <w:pStyle w:val="BodyText"/>
        <w:spacing w:before="129" w:line="254" w:lineRule="auto"/>
        <w:ind w:left="2608"/>
      </w:pPr>
      <w:r>
        <w:rPr>
          <w:color w:val="4D4D4F"/>
        </w:rPr>
        <w:t>Also included are charts or tables that show annual data relevant to the KPI. The most common of these is a chart showing the temporal trend in the indicator (shown as</w:t>
      </w:r>
    </w:p>
    <w:p w14:paraId="27EA24BB" w14:textId="77777777" w:rsidR="00EF5B27" w:rsidRDefault="00000000">
      <w:pPr>
        <w:pStyle w:val="BodyText"/>
        <w:spacing w:before="2" w:line="254" w:lineRule="auto"/>
        <w:ind w:left="2608" w:right="247"/>
      </w:pPr>
      <w:r>
        <w:rPr>
          <w:color w:val="4D4D4F"/>
        </w:rPr>
        <w:t xml:space="preserve">a faded </w:t>
      </w:r>
      <w:r>
        <w:rPr>
          <w:color w:val="4D4D4F"/>
          <w:spacing w:val="-3"/>
        </w:rPr>
        <w:t xml:space="preserve">line), </w:t>
      </w:r>
      <w:r>
        <w:rPr>
          <w:color w:val="4D4D4F"/>
        </w:rPr>
        <w:t xml:space="preserve">a baseline (shown as horizontal dashed </w:t>
      </w:r>
      <w:r>
        <w:rPr>
          <w:color w:val="4D4D4F"/>
          <w:spacing w:val="-3"/>
        </w:rPr>
        <w:t xml:space="preserve">line) </w:t>
      </w:r>
      <w:r>
        <w:rPr>
          <w:color w:val="4D4D4F"/>
        </w:rPr>
        <w:t>and the relevant mean used for assessing performance against the KPIs (typically a five-year rolling mean) with   95% confidence intervals (</w:t>
      </w:r>
      <w:hyperlink w:anchor="_bookmark25" w:history="1">
        <w:r>
          <w:rPr>
            <w:color w:val="4D4D4F"/>
          </w:rPr>
          <w:t>Figure</w:t>
        </w:r>
        <w:r>
          <w:rPr>
            <w:color w:val="4D4D4F"/>
            <w:spacing w:val="16"/>
          </w:rPr>
          <w:t xml:space="preserve"> </w:t>
        </w:r>
        <w:r>
          <w:rPr>
            <w:color w:val="4D4D4F"/>
            <w:spacing w:val="-3"/>
          </w:rPr>
          <w:t>4</w:t>
        </w:r>
      </w:hyperlink>
      <w:r>
        <w:rPr>
          <w:color w:val="4D4D4F"/>
          <w:spacing w:val="-3"/>
        </w:rPr>
        <w:t>).</w:t>
      </w:r>
    </w:p>
    <w:p w14:paraId="5C8FF1F9" w14:textId="77777777" w:rsidR="00EF5B27" w:rsidRDefault="00000000">
      <w:pPr>
        <w:pStyle w:val="BodyText"/>
        <w:spacing w:before="9"/>
        <w:rPr>
          <w:sz w:val="27"/>
        </w:rPr>
      </w:pPr>
      <w:r>
        <w:pict w14:anchorId="2F160C82">
          <v:group id="_x0000_s3599" style="position:absolute;margin-left:181.3pt;margin-top:19.3pt;width:357.4pt;height:201.15pt;z-index:251478528;mso-wrap-distance-left:0;mso-wrap-distance-right:0;mso-position-horizontal-relative:page" coordorigin="3626,386" coordsize="7148,4023">
            <v:shape id="_x0000_s3601" type="#_x0000_t75" style="position:absolute;left:3628;top:388;width:7143;height:4018">
              <v:imagedata r:id="rId113" o:title=""/>
            </v:shape>
            <v:rect id="_x0000_s3600" style="position:absolute;left:3628;top:388;width:7143;height:4018" filled="f" strokeweight=".25pt"/>
            <w10:wrap type="topAndBottom" anchorx="page"/>
          </v:group>
        </w:pict>
      </w:r>
    </w:p>
    <w:p w14:paraId="1942C7B5" w14:textId="77777777" w:rsidR="00EF5B27" w:rsidRDefault="00000000">
      <w:pPr>
        <w:tabs>
          <w:tab w:val="left" w:pos="8977"/>
        </w:tabs>
        <w:spacing w:before="103"/>
        <w:ind w:left="2608"/>
        <w:rPr>
          <w:rFonts w:ascii="Century Gothic"/>
          <w:i/>
          <w:sz w:val="12"/>
        </w:rPr>
      </w:pPr>
      <w:bookmarkStart w:id="27" w:name="_Ref113012614"/>
      <w:bookmarkStart w:id="28" w:name="_bookmark25"/>
      <w:bookmarkEnd w:id="27"/>
      <w:bookmarkEnd w:id="28"/>
      <w:r>
        <w:rPr>
          <w:color w:val="4D4D4F"/>
          <w:sz w:val="16"/>
        </w:rPr>
        <w:t>Figure</w:t>
      </w:r>
      <w:r>
        <w:rPr>
          <w:color w:val="4D4D4F"/>
          <w:spacing w:val="11"/>
          <w:sz w:val="16"/>
        </w:rPr>
        <w:t xml:space="preserve"> </w:t>
      </w:r>
      <w:r>
        <w:rPr>
          <w:color w:val="4D4D4F"/>
          <w:sz w:val="16"/>
        </w:rPr>
        <w:t>4:</w:t>
      </w:r>
      <w:r>
        <w:rPr>
          <w:color w:val="4D4D4F"/>
          <w:spacing w:val="12"/>
          <w:sz w:val="16"/>
        </w:rPr>
        <w:t xml:space="preserve"> </w:t>
      </w:r>
      <w:r>
        <w:rPr>
          <w:color w:val="4D4D4F"/>
          <w:sz w:val="16"/>
        </w:rPr>
        <w:t>Example</w:t>
      </w:r>
      <w:r>
        <w:rPr>
          <w:color w:val="4D4D4F"/>
          <w:spacing w:val="12"/>
          <w:sz w:val="16"/>
        </w:rPr>
        <w:t xml:space="preserve"> </w:t>
      </w:r>
      <w:r>
        <w:rPr>
          <w:color w:val="4D4D4F"/>
          <w:sz w:val="16"/>
        </w:rPr>
        <w:t>of</w:t>
      </w:r>
      <w:r>
        <w:rPr>
          <w:color w:val="4D4D4F"/>
          <w:spacing w:val="12"/>
          <w:sz w:val="16"/>
        </w:rPr>
        <w:t xml:space="preserve"> </w:t>
      </w:r>
      <w:r>
        <w:rPr>
          <w:color w:val="4D4D4F"/>
          <w:sz w:val="16"/>
        </w:rPr>
        <w:t>a</w:t>
      </w:r>
      <w:r>
        <w:rPr>
          <w:color w:val="4D4D4F"/>
          <w:spacing w:val="12"/>
          <w:sz w:val="16"/>
        </w:rPr>
        <w:t xml:space="preserve"> </w:t>
      </w:r>
      <w:r>
        <w:rPr>
          <w:color w:val="4D4D4F"/>
          <w:sz w:val="16"/>
        </w:rPr>
        <w:t>KPI</w:t>
      </w:r>
      <w:r>
        <w:rPr>
          <w:color w:val="4D4D4F"/>
          <w:spacing w:val="12"/>
          <w:sz w:val="16"/>
        </w:rPr>
        <w:t xml:space="preserve"> </w:t>
      </w:r>
      <w:r>
        <w:rPr>
          <w:color w:val="4D4D4F"/>
          <w:sz w:val="16"/>
        </w:rPr>
        <w:t>indicator</w:t>
      </w:r>
      <w:r>
        <w:rPr>
          <w:color w:val="4D4D4F"/>
          <w:spacing w:val="12"/>
          <w:sz w:val="16"/>
        </w:rPr>
        <w:t xml:space="preserve"> </w:t>
      </w:r>
      <w:r>
        <w:rPr>
          <w:color w:val="4D4D4F"/>
          <w:spacing w:val="2"/>
          <w:sz w:val="16"/>
        </w:rPr>
        <w:t>chart,</w:t>
      </w:r>
      <w:r>
        <w:rPr>
          <w:color w:val="4D4D4F"/>
          <w:spacing w:val="12"/>
          <w:sz w:val="16"/>
        </w:rPr>
        <w:t xml:space="preserve"> </w:t>
      </w:r>
      <w:r>
        <w:rPr>
          <w:color w:val="4D4D4F"/>
          <w:sz w:val="16"/>
        </w:rPr>
        <w:t>in</w:t>
      </w:r>
      <w:r>
        <w:rPr>
          <w:color w:val="4D4D4F"/>
          <w:spacing w:val="11"/>
          <w:sz w:val="16"/>
        </w:rPr>
        <w:t xml:space="preserve"> </w:t>
      </w:r>
      <w:r>
        <w:rPr>
          <w:color w:val="4D4D4F"/>
          <w:sz w:val="16"/>
        </w:rPr>
        <w:t>this</w:t>
      </w:r>
      <w:r>
        <w:rPr>
          <w:color w:val="4D4D4F"/>
          <w:spacing w:val="12"/>
          <w:sz w:val="16"/>
        </w:rPr>
        <w:t xml:space="preserve"> </w:t>
      </w:r>
      <w:r>
        <w:rPr>
          <w:color w:val="4D4D4F"/>
          <w:sz w:val="16"/>
        </w:rPr>
        <w:t>case</w:t>
      </w:r>
      <w:r>
        <w:rPr>
          <w:color w:val="4D4D4F"/>
          <w:spacing w:val="12"/>
          <w:sz w:val="16"/>
        </w:rPr>
        <w:t xml:space="preserve"> </w:t>
      </w:r>
      <w:r>
        <w:rPr>
          <w:color w:val="4D4D4F"/>
          <w:sz w:val="16"/>
        </w:rPr>
        <w:t>the</w:t>
      </w:r>
      <w:r>
        <w:rPr>
          <w:color w:val="4D4D4F"/>
          <w:spacing w:val="12"/>
          <w:sz w:val="16"/>
        </w:rPr>
        <w:t xml:space="preserve"> </w:t>
      </w:r>
      <w:r>
        <w:rPr>
          <w:color w:val="4D4D4F"/>
          <w:sz w:val="16"/>
        </w:rPr>
        <w:t>KPI</w:t>
      </w:r>
      <w:r>
        <w:rPr>
          <w:color w:val="4D4D4F"/>
          <w:spacing w:val="12"/>
          <w:sz w:val="16"/>
        </w:rPr>
        <w:t xml:space="preserve"> </w:t>
      </w:r>
      <w:r>
        <w:rPr>
          <w:color w:val="4D4D4F"/>
          <w:sz w:val="16"/>
        </w:rPr>
        <w:t>was</w:t>
      </w:r>
      <w:r>
        <w:rPr>
          <w:color w:val="4D4D4F"/>
          <w:spacing w:val="12"/>
          <w:sz w:val="16"/>
        </w:rPr>
        <w:t xml:space="preserve"> </w:t>
      </w:r>
      <w:r>
        <w:rPr>
          <w:color w:val="4D4D4F"/>
          <w:spacing w:val="2"/>
          <w:sz w:val="16"/>
        </w:rPr>
        <w:t>recorded</w:t>
      </w:r>
      <w:r>
        <w:rPr>
          <w:color w:val="4D4D4F"/>
          <w:spacing w:val="12"/>
          <w:sz w:val="16"/>
        </w:rPr>
        <w:t xml:space="preserve"> </w:t>
      </w:r>
      <w:r>
        <w:rPr>
          <w:color w:val="4D4D4F"/>
          <w:sz w:val="16"/>
        </w:rPr>
        <w:t>as</w:t>
      </w:r>
      <w:r>
        <w:rPr>
          <w:color w:val="4D4D4F"/>
          <w:spacing w:val="12"/>
          <w:sz w:val="16"/>
        </w:rPr>
        <w:t xml:space="preserve"> </w:t>
      </w:r>
      <w:r>
        <w:rPr>
          <w:color w:val="4D4D4F"/>
          <w:sz w:val="16"/>
        </w:rPr>
        <w:t>achieved</w:t>
      </w:r>
      <w:r>
        <w:rPr>
          <w:color w:val="4D4D4F"/>
          <w:sz w:val="16"/>
        </w:rPr>
        <w:tab/>
      </w:r>
      <w:r>
        <w:rPr>
          <w:rFonts w:ascii="Century Gothic"/>
          <w:i/>
          <w:color w:val="4D4D4F"/>
          <w:sz w:val="12"/>
        </w:rPr>
        <w:t>Source:</w:t>
      </w:r>
      <w:r>
        <w:rPr>
          <w:rFonts w:ascii="Century Gothic"/>
          <w:i/>
          <w:color w:val="4D4D4F"/>
          <w:spacing w:val="-22"/>
          <w:sz w:val="12"/>
        </w:rPr>
        <w:t xml:space="preserve"> </w:t>
      </w:r>
      <w:r>
        <w:rPr>
          <w:rFonts w:ascii="Century Gothic"/>
          <w:i/>
          <w:color w:val="4D4D4F"/>
          <w:sz w:val="12"/>
        </w:rPr>
        <w:t>DELWP</w:t>
      </w:r>
    </w:p>
    <w:p w14:paraId="31F433F6" w14:textId="77777777" w:rsidR="00EF5B27" w:rsidRDefault="00EF5B27">
      <w:pPr>
        <w:pStyle w:val="BodyText"/>
        <w:rPr>
          <w:rFonts w:ascii="Century Gothic"/>
          <w:i/>
          <w:sz w:val="21"/>
        </w:rPr>
      </w:pPr>
    </w:p>
    <w:p w14:paraId="007A299B" w14:textId="77777777" w:rsidR="00EF5B27" w:rsidRDefault="00000000">
      <w:pPr>
        <w:ind w:left="2608"/>
        <w:rPr>
          <w:b/>
          <w:sz w:val="26"/>
        </w:rPr>
      </w:pPr>
      <w:r>
        <w:rPr>
          <w:b/>
          <w:color w:val="F99F2A"/>
          <w:sz w:val="28"/>
        </w:rPr>
        <w:t>D</w:t>
      </w:r>
      <w:r>
        <w:rPr>
          <w:b/>
          <w:color w:val="F99F2A"/>
          <w:sz w:val="26"/>
        </w:rPr>
        <w:t>ata source</w:t>
      </w:r>
    </w:p>
    <w:p w14:paraId="699ACC7D" w14:textId="77777777" w:rsidR="00EF5B27" w:rsidRDefault="00000000">
      <w:pPr>
        <w:pStyle w:val="BodyText"/>
        <w:spacing w:before="221" w:line="254" w:lineRule="auto"/>
        <w:ind w:left="2608" w:right="221"/>
      </w:pPr>
      <w:r>
        <w:rPr>
          <w:color w:val="4D4D4F"/>
        </w:rPr>
        <w:t>This report presents data supplied by DELWP, ARI and Parks Victoria in relation to status and trend information against conservation outcomes for MNES defined in the MRF and published in the Victorian Government Gazette,</w:t>
      </w:r>
      <w:r>
        <w:rPr>
          <w:color w:val="4D4D4F"/>
          <w:position w:val="7"/>
          <w:sz w:val="11"/>
        </w:rPr>
        <w:t xml:space="preserve">119 </w:t>
      </w:r>
      <w:r>
        <w:rPr>
          <w:color w:val="4D4D4F"/>
        </w:rPr>
        <w:t>with the data acquisition period for this report ending on 28 February 2022.</w:t>
      </w:r>
    </w:p>
    <w:p w14:paraId="72A3C58E" w14:textId="77777777" w:rsidR="00EF5B27" w:rsidRDefault="00EF5B27">
      <w:pPr>
        <w:pStyle w:val="BodyText"/>
        <w:spacing w:before="3"/>
        <w:rPr>
          <w:sz w:val="19"/>
        </w:rPr>
      </w:pPr>
    </w:p>
    <w:p w14:paraId="0FDEBE58" w14:textId="77777777" w:rsidR="00EF5B27" w:rsidRDefault="00000000">
      <w:pPr>
        <w:pStyle w:val="Heading3"/>
      </w:pPr>
      <w:r>
        <w:rPr>
          <w:color w:val="F99F2A"/>
          <w:w w:val="105"/>
        </w:rPr>
        <w:t>Status 2020–2022</w:t>
      </w:r>
    </w:p>
    <w:p w14:paraId="6F38DCDB" w14:textId="77777777" w:rsidR="00EF5B27" w:rsidRDefault="00000000">
      <w:pPr>
        <w:pStyle w:val="BodyText"/>
        <w:spacing w:before="222" w:line="254" w:lineRule="auto"/>
        <w:ind w:left="2608" w:right="221"/>
      </w:pPr>
      <w:r>
        <w:rPr>
          <w:color w:val="4D4D4F"/>
          <w:w w:val="105"/>
        </w:rPr>
        <w:t>The</w:t>
      </w:r>
      <w:r>
        <w:rPr>
          <w:color w:val="4D4D4F"/>
          <w:spacing w:val="-16"/>
          <w:w w:val="105"/>
        </w:rPr>
        <w:t xml:space="preserve"> </w:t>
      </w:r>
      <w:r>
        <w:rPr>
          <w:color w:val="4D4D4F"/>
          <w:w w:val="105"/>
        </w:rPr>
        <w:t>status</w:t>
      </w:r>
      <w:r>
        <w:rPr>
          <w:color w:val="4D4D4F"/>
          <w:spacing w:val="-15"/>
          <w:w w:val="105"/>
        </w:rPr>
        <w:t xml:space="preserve"> </w:t>
      </w:r>
      <w:r>
        <w:rPr>
          <w:color w:val="4D4D4F"/>
          <w:w w:val="105"/>
        </w:rPr>
        <w:t>for</w:t>
      </w:r>
      <w:r>
        <w:rPr>
          <w:color w:val="4D4D4F"/>
          <w:spacing w:val="-15"/>
          <w:w w:val="105"/>
        </w:rPr>
        <w:t xml:space="preserve"> </w:t>
      </w:r>
      <w:r>
        <w:rPr>
          <w:color w:val="4D4D4F"/>
          <w:w w:val="105"/>
        </w:rPr>
        <w:t>each</w:t>
      </w:r>
      <w:r>
        <w:rPr>
          <w:color w:val="4D4D4F"/>
          <w:spacing w:val="-15"/>
          <w:w w:val="105"/>
        </w:rPr>
        <w:t xml:space="preserve"> </w:t>
      </w:r>
      <w:r>
        <w:rPr>
          <w:color w:val="4D4D4F"/>
          <w:w w:val="105"/>
        </w:rPr>
        <w:t>MNES</w:t>
      </w:r>
      <w:r>
        <w:rPr>
          <w:color w:val="4D4D4F"/>
          <w:spacing w:val="-15"/>
          <w:w w:val="105"/>
        </w:rPr>
        <w:t xml:space="preserve"> </w:t>
      </w:r>
      <w:r>
        <w:rPr>
          <w:color w:val="4D4D4F"/>
          <w:w w:val="105"/>
        </w:rPr>
        <w:t>conservation</w:t>
      </w:r>
      <w:r>
        <w:rPr>
          <w:color w:val="4D4D4F"/>
          <w:spacing w:val="-15"/>
          <w:w w:val="105"/>
        </w:rPr>
        <w:t xml:space="preserve"> </w:t>
      </w:r>
      <w:r>
        <w:rPr>
          <w:color w:val="4D4D4F"/>
          <w:w w:val="105"/>
        </w:rPr>
        <w:t>outcomes</w:t>
      </w:r>
      <w:r>
        <w:rPr>
          <w:color w:val="4D4D4F"/>
          <w:spacing w:val="-15"/>
          <w:w w:val="105"/>
        </w:rPr>
        <w:t xml:space="preserve"> </w:t>
      </w:r>
      <w:r>
        <w:rPr>
          <w:color w:val="4D4D4F"/>
          <w:w w:val="105"/>
        </w:rPr>
        <w:t>KPI</w:t>
      </w:r>
      <w:r>
        <w:rPr>
          <w:color w:val="4D4D4F"/>
          <w:spacing w:val="-15"/>
          <w:w w:val="105"/>
        </w:rPr>
        <w:t xml:space="preserve"> </w:t>
      </w:r>
      <w:r>
        <w:rPr>
          <w:color w:val="4D4D4F"/>
          <w:w w:val="105"/>
        </w:rPr>
        <w:t>is</w:t>
      </w:r>
      <w:r>
        <w:rPr>
          <w:color w:val="4D4D4F"/>
          <w:spacing w:val="-15"/>
          <w:w w:val="105"/>
        </w:rPr>
        <w:t xml:space="preserve"> </w:t>
      </w:r>
      <w:r>
        <w:rPr>
          <w:color w:val="4D4D4F"/>
          <w:w w:val="105"/>
        </w:rPr>
        <w:t>assessed</w:t>
      </w:r>
      <w:r>
        <w:rPr>
          <w:color w:val="4D4D4F"/>
          <w:spacing w:val="-15"/>
          <w:w w:val="105"/>
        </w:rPr>
        <w:t xml:space="preserve"> </w:t>
      </w:r>
      <w:r>
        <w:rPr>
          <w:color w:val="4D4D4F"/>
          <w:w w:val="105"/>
        </w:rPr>
        <w:t>as</w:t>
      </w:r>
      <w:r>
        <w:rPr>
          <w:color w:val="4D4D4F"/>
          <w:spacing w:val="-15"/>
          <w:w w:val="105"/>
        </w:rPr>
        <w:t xml:space="preserve"> </w:t>
      </w:r>
      <w:r>
        <w:rPr>
          <w:color w:val="4D4D4F"/>
          <w:w w:val="105"/>
        </w:rPr>
        <w:t>either</w:t>
      </w:r>
      <w:r>
        <w:rPr>
          <w:color w:val="4D4D4F"/>
          <w:spacing w:val="-15"/>
          <w:w w:val="105"/>
        </w:rPr>
        <w:t xml:space="preserve"> </w:t>
      </w:r>
      <w:r>
        <w:rPr>
          <w:color w:val="4D4D4F"/>
          <w:w w:val="105"/>
        </w:rPr>
        <w:t>‘Met’, ‘Not</w:t>
      </w:r>
      <w:r>
        <w:rPr>
          <w:color w:val="4D4D4F"/>
          <w:spacing w:val="-21"/>
          <w:w w:val="105"/>
        </w:rPr>
        <w:t xml:space="preserve"> </w:t>
      </w:r>
      <w:r>
        <w:rPr>
          <w:color w:val="4D4D4F"/>
          <w:w w:val="105"/>
        </w:rPr>
        <w:t>met’</w:t>
      </w:r>
      <w:r>
        <w:rPr>
          <w:color w:val="4D4D4F"/>
          <w:spacing w:val="-21"/>
          <w:w w:val="105"/>
        </w:rPr>
        <w:t xml:space="preserve"> </w:t>
      </w:r>
      <w:r>
        <w:rPr>
          <w:color w:val="4D4D4F"/>
          <w:w w:val="105"/>
        </w:rPr>
        <w:t>or</w:t>
      </w:r>
      <w:r>
        <w:rPr>
          <w:color w:val="4D4D4F"/>
          <w:spacing w:val="-21"/>
          <w:w w:val="105"/>
        </w:rPr>
        <w:t xml:space="preserve"> </w:t>
      </w:r>
      <w:r>
        <w:rPr>
          <w:color w:val="4D4D4F"/>
          <w:w w:val="105"/>
        </w:rPr>
        <w:t>‘Not</w:t>
      </w:r>
      <w:r>
        <w:rPr>
          <w:color w:val="4D4D4F"/>
          <w:spacing w:val="-21"/>
          <w:w w:val="105"/>
        </w:rPr>
        <w:t xml:space="preserve"> </w:t>
      </w:r>
      <w:r>
        <w:rPr>
          <w:color w:val="4D4D4F"/>
          <w:w w:val="105"/>
        </w:rPr>
        <w:t>assessed’</w:t>
      </w:r>
      <w:r>
        <w:rPr>
          <w:color w:val="4D4D4F"/>
          <w:spacing w:val="-21"/>
          <w:w w:val="105"/>
        </w:rPr>
        <w:t xml:space="preserve"> </w:t>
      </w:r>
      <w:r>
        <w:rPr>
          <w:color w:val="4D4D4F"/>
          <w:w w:val="105"/>
        </w:rPr>
        <w:t>according</w:t>
      </w:r>
      <w:r>
        <w:rPr>
          <w:color w:val="4D4D4F"/>
          <w:spacing w:val="-20"/>
          <w:w w:val="105"/>
        </w:rPr>
        <w:t xml:space="preserve"> </w:t>
      </w:r>
      <w:r>
        <w:rPr>
          <w:color w:val="4D4D4F"/>
          <w:w w:val="105"/>
        </w:rPr>
        <w:t>to</w:t>
      </w:r>
      <w:r>
        <w:rPr>
          <w:color w:val="4D4D4F"/>
          <w:spacing w:val="-21"/>
          <w:w w:val="105"/>
        </w:rPr>
        <w:t xml:space="preserve"> </w:t>
      </w:r>
      <w:r>
        <w:rPr>
          <w:color w:val="4D4D4F"/>
          <w:w w:val="105"/>
        </w:rPr>
        <w:t>the</w:t>
      </w:r>
      <w:r>
        <w:rPr>
          <w:color w:val="4D4D4F"/>
          <w:spacing w:val="-21"/>
          <w:w w:val="105"/>
        </w:rPr>
        <w:t xml:space="preserve"> </w:t>
      </w:r>
      <w:r>
        <w:rPr>
          <w:color w:val="4D4D4F"/>
          <w:w w:val="105"/>
        </w:rPr>
        <w:t>objective</w:t>
      </w:r>
      <w:r>
        <w:rPr>
          <w:color w:val="4D4D4F"/>
          <w:spacing w:val="-21"/>
          <w:w w:val="105"/>
        </w:rPr>
        <w:t xml:space="preserve"> </w:t>
      </w:r>
      <w:r>
        <w:rPr>
          <w:color w:val="4D4D4F"/>
          <w:w w:val="105"/>
        </w:rPr>
        <w:t>defined</w:t>
      </w:r>
      <w:r>
        <w:rPr>
          <w:color w:val="4D4D4F"/>
          <w:spacing w:val="-21"/>
          <w:w w:val="105"/>
        </w:rPr>
        <w:t xml:space="preserve"> </w:t>
      </w:r>
      <w:r>
        <w:rPr>
          <w:color w:val="4D4D4F"/>
          <w:w w:val="105"/>
        </w:rPr>
        <w:t>by</w:t>
      </w:r>
      <w:r>
        <w:rPr>
          <w:color w:val="4D4D4F"/>
          <w:spacing w:val="-20"/>
          <w:w w:val="105"/>
        </w:rPr>
        <w:t xml:space="preserve"> </w:t>
      </w:r>
      <w:r>
        <w:rPr>
          <w:color w:val="4D4D4F"/>
          <w:w w:val="105"/>
        </w:rPr>
        <w:t>the</w:t>
      </w:r>
      <w:r>
        <w:rPr>
          <w:color w:val="4D4D4F"/>
          <w:spacing w:val="-21"/>
          <w:w w:val="105"/>
        </w:rPr>
        <w:t xml:space="preserve"> </w:t>
      </w:r>
      <w:r>
        <w:rPr>
          <w:color w:val="4D4D4F"/>
          <w:w w:val="105"/>
        </w:rPr>
        <w:t>KPI.</w:t>
      </w:r>
      <w:r>
        <w:rPr>
          <w:color w:val="4D4D4F"/>
          <w:spacing w:val="-21"/>
          <w:w w:val="105"/>
        </w:rPr>
        <w:t xml:space="preserve"> </w:t>
      </w:r>
      <w:r>
        <w:rPr>
          <w:color w:val="4D4D4F"/>
          <w:w w:val="105"/>
        </w:rPr>
        <w:t>For</w:t>
      </w:r>
      <w:r>
        <w:rPr>
          <w:color w:val="4D4D4F"/>
          <w:spacing w:val="-21"/>
          <w:w w:val="105"/>
        </w:rPr>
        <w:t xml:space="preserve"> </w:t>
      </w:r>
      <w:r>
        <w:rPr>
          <w:color w:val="4D4D4F"/>
          <w:w w:val="105"/>
        </w:rPr>
        <w:t xml:space="preserve">each MNES under MSA management, DELWP has created performance targets that determine these statuses. </w:t>
      </w:r>
      <w:r>
        <w:rPr>
          <w:color w:val="4D4D4F"/>
          <w:spacing w:val="-3"/>
          <w:w w:val="105"/>
        </w:rPr>
        <w:t xml:space="preserve">Targets </w:t>
      </w:r>
      <w:r>
        <w:rPr>
          <w:color w:val="4D4D4F"/>
          <w:w w:val="105"/>
        </w:rPr>
        <w:t>vary according to the characteristics of the species</w:t>
      </w:r>
      <w:r>
        <w:rPr>
          <w:color w:val="4D4D4F"/>
          <w:spacing w:val="-7"/>
          <w:w w:val="105"/>
        </w:rPr>
        <w:t xml:space="preserve"> </w:t>
      </w:r>
      <w:r>
        <w:rPr>
          <w:color w:val="4D4D4F"/>
          <w:w w:val="105"/>
        </w:rPr>
        <w:t>or</w:t>
      </w:r>
      <w:r>
        <w:rPr>
          <w:color w:val="4D4D4F"/>
          <w:spacing w:val="-6"/>
          <w:w w:val="105"/>
        </w:rPr>
        <w:t xml:space="preserve"> </w:t>
      </w:r>
      <w:r>
        <w:rPr>
          <w:color w:val="4D4D4F"/>
          <w:w w:val="105"/>
        </w:rPr>
        <w:t>community</w:t>
      </w:r>
      <w:r>
        <w:rPr>
          <w:color w:val="4D4D4F"/>
          <w:spacing w:val="-7"/>
          <w:w w:val="105"/>
        </w:rPr>
        <w:t xml:space="preserve"> </w:t>
      </w:r>
      <w:r>
        <w:rPr>
          <w:color w:val="4D4D4F"/>
          <w:w w:val="105"/>
        </w:rPr>
        <w:t>–</w:t>
      </w:r>
      <w:r>
        <w:rPr>
          <w:color w:val="4D4D4F"/>
          <w:spacing w:val="-6"/>
          <w:w w:val="105"/>
        </w:rPr>
        <w:t xml:space="preserve"> </w:t>
      </w:r>
      <w:r>
        <w:rPr>
          <w:color w:val="4D4D4F"/>
          <w:spacing w:val="-3"/>
          <w:w w:val="105"/>
        </w:rPr>
        <w:t>however,</w:t>
      </w:r>
      <w:r>
        <w:rPr>
          <w:color w:val="4D4D4F"/>
          <w:spacing w:val="-6"/>
          <w:w w:val="105"/>
        </w:rPr>
        <w:t xml:space="preserve"> </w:t>
      </w:r>
      <w:r>
        <w:rPr>
          <w:color w:val="4D4D4F"/>
          <w:w w:val="105"/>
        </w:rPr>
        <w:t>there</w:t>
      </w:r>
      <w:r>
        <w:rPr>
          <w:color w:val="4D4D4F"/>
          <w:spacing w:val="-7"/>
          <w:w w:val="105"/>
        </w:rPr>
        <w:t xml:space="preserve"> </w:t>
      </w:r>
      <w:r>
        <w:rPr>
          <w:color w:val="4D4D4F"/>
          <w:w w:val="105"/>
        </w:rPr>
        <w:t>are</w:t>
      </w:r>
      <w:r>
        <w:rPr>
          <w:color w:val="4D4D4F"/>
          <w:spacing w:val="-6"/>
          <w:w w:val="105"/>
        </w:rPr>
        <w:t xml:space="preserve"> </w:t>
      </w:r>
      <w:r>
        <w:rPr>
          <w:color w:val="4D4D4F"/>
          <w:w w:val="105"/>
        </w:rPr>
        <w:t>several</w:t>
      </w:r>
      <w:r>
        <w:rPr>
          <w:color w:val="4D4D4F"/>
          <w:spacing w:val="-7"/>
          <w:w w:val="105"/>
        </w:rPr>
        <w:t xml:space="preserve"> </w:t>
      </w:r>
      <w:r>
        <w:rPr>
          <w:color w:val="4D4D4F"/>
          <w:w w:val="105"/>
        </w:rPr>
        <w:t>consistent</w:t>
      </w:r>
      <w:r>
        <w:rPr>
          <w:color w:val="4D4D4F"/>
          <w:spacing w:val="-6"/>
          <w:w w:val="105"/>
        </w:rPr>
        <w:t xml:space="preserve"> </w:t>
      </w:r>
      <w:r>
        <w:rPr>
          <w:color w:val="4D4D4F"/>
          <w:w w:val="105"/>
        </w:rPr>
        <w:t>themes:</w:t>
      </w:r>
    </w:p>
    <w:p w14:paraId="737DA1CF" w14:textId="77777777" w:rsidR="00EF5B27" w:rsidRDefault="00000000">
      <w:pPr>
        <w:pStyle w:val="ListParagraph"/>
        <w:numPr>
          <w:ilvl w:val="1"/>
          <w:numId w:val="47"/>
        </w:numPr>
        <w:tabs>
          <w:tab w:val="left" w:pos="2779"/>
        </w:tabs>
        <w:spacing w:before="119" w:line="254" w:lineRule="auto"/>
        <w:ind w:right="131"/>
        <w:jc w:val="both"/>
        <w:rPr>
          <w:sz w:val="20"/>
        </w:rPr>
      </w:pPr>
      <w:r>
        <w:rPr>
          <w:color w:val="4D4D4F"/>
          <w:sz w:val="20"/>
        </w:rPr>
        <w:t xml:space="preserve">most KPIs are assessed against a baseline, which sets the measure that the relevant </w:t>
      </w:r>
      <w:r>
        <w:rPr>
          <w:color w:val="4D4D4F"/>
          <w:spacing w:val="-3"/>
          <w:sz w:val="20"/>
        </w:rPr>
        <w:t xml:space="preserve">attribute must </w:t>
      </w:r>
      <w:r>
        <w:rPr>
          <w:color w:val="4D4D4F"/>
          <w:spacing w:val="-4"/>
          <w:sz w:val="20"/>
        </w:rPr>
        <w:t xml:space="preserve">remain </w:t>
      </w:r>
      <w:r>
        <w:rPr>
          <w:color w:val="4D4D4F"/>
          <w:spacing w:val="-3"/>
          <w:sz w:val="20"/>
        </w:rPr>
        <w:t xml:space="preserve">above </w:t>
      </w:r>
      <w:r>
        <w:rPr>
          <w:color w:val="4D4D4F"/>
          <w:spacing w:val="-5"/>
          <w:sz w:val="20"/>
        </w:rPr>
        <w:t xml:space="preserve">(for </w:t>
      </w:r>
      <w:r>
        <w:rPr>
          <w:color w:val="4D4D4F"/>
          <w:spacing w:val="-4"/>
          <w:sz w:val="20"/>
        </w:rPr>
        <w:t xml:space="preserve">desirable </w:t>
      </w:r>
      <w:r>
        <w:rPr>
          <w:color w:val="4D4D4F"/>
          <w:spacing w:val="-3"/>
          <w:sz w:val="20"/>
        </w:rPr>
        <w:t xml:space="preserve">attributes such </w:t>
      </w:r>
      <w:r>
        <w:rPr>
          <w:color w:val="4D4D4F"/>
          <w:sz w:val="20"/>
        </w:rPr>
        <w:t xml:space="preserve">as </w:t>
      </w:r>
      <w:r>
        <w:rPr>
          <w:color w:val="4D4D4F"/>
          <w:spacing w:val="-4"/>
          <w:sz w:val="20"/>
        </w:rPr>
        <w:t xml:space="preserve">populations </w:t>
      </w:r>
      <w:r>
        <w:rPr>
          <w:color w:val="4D4D4F"/>
          <w:sz w:val="20"/>
        </w:rPr>
        <w:t xml:space="preserve">of </w:t>
      </w:r>
      <w:r>
        <w:rPr>
          <w:color w:val="4D4D4F"/>
          <w:spacing w:val="-4"/>
          <w:sz w:val="20"/>
        </w:rPr>
        <w:t xml:space="preserve">threatened species) </w:t>
      </w:r>
      <w:r>
        <w:rPr>
          <w:color w:val="4D4D4F"/>
          <w:sz w:val="20"/>
        </w:rPr>
        <w:t xml:space="preserve">or below </w:t>
      </w:r>
      <w:r>
        <w:rPr>
          <w:color w:val="4D4D4F"/>
          <w:spacing w:val="-4"/>
          <w:sz w:val="20"/>
        </w:rPr>
        <w:t xml:space="preserve">(for </w:t>
      </w:r>
      <w:r>
        <w:rPr>
          <w:color w:val="4D4D4F"/>
          <w:spacing w:val="-3"/>
          <w:sz w:val="20"/>
        </w:rPr>
        <w:t xml:space="preserve">undesirable </w:t>
      </w:r>
      <w:r>
        <w:rPr>
          <w:color w:val="4D4D4F"/>
          <w:sz w:val="20"/>
        </w:rPr>
        <w:t xml:space="preserve">attributes such as </w:t>
      </w:r>
      <w:r>
        <w:rPr>
          <w:color w:val="4D4D4F"/>
          <w:spacing w:val="-4"/>
          <w:sz w:val="20"/>
        </w:rPr>
        <w:t xml:space="preserve">weeds). </w:t>
      </w:r>
      <w:r>
        <w:rPr>
          <w:color w:val="4D4D4F"/>
          <w:spacing w:val="-3"/>
          <w:sz w:val="20"/>
        </w:rPr>
        <w:t xml:space="preserve">In all </w:t>
      </w:r>
      <w:r>
        <w:rPr>
          <w:color w:val="4D4D4F"/>
          <w:sz w:val="20"/>
        </w:rPr>
        <w:t xml:space="preserve">such cases, the KPI  </w:t>
      </w:r>
      <w:r>
        <w:rPr>
          <w:color w:val="4D4D4F"/>
          <w:spacing w:val="-3"/>
          <w:sz w:val="20"/>
        </w:rPr>
        <w:t>is</w:t>
      </w:r>
      <w:r>
        <w:rPr>
          <w:color w:val="4D4D4F"/>
          <w:spacing w:val="-7"/>
          <w:sz w:val="20"/>
        </w:rPr>
        <w:t xml:space="preserve"> </w:t>
      </w:r>
      <w:r>
        <w:rPr>
          <w:color w:val="4D4D4F"/>
          <w:sz w:val="20"/>
        </w:rPr>
        <w:t>not</w:t>
      </w:r>
      <w:r>
        <w:rPr>
          <w:color w:val="4D4D4F"/>
          <w:spacing w:val="-7"/>
          <w:sz w:val="20"/>
        </w:rPr>
        <w:t xml:space="preserve"> </w:t>
      </w:r>
      <w:r>
        <w:rPr>
          <w:color w:val="4D4D4F"/>
          <w:spacing w:val="-2"/>
          <w:sz w:val="20"/>
        </w:rPr>
        <w:t>met</w:t>
      </w:r>
      <w:r>
        <w:rPr>
          <w:color w:val="4D4D4F"/>
          <w:spacing w:val="-7"/>
          <w:sz w:val="20"/>
        </w:rPr>
        <w:t xml:space="preserve"> </w:t>
      </w:r>
      <w:r>
        <w:rPr>
          <w:color w:val="4D4D4F"/>
          <w:sz w:val="20"/>
        </w:rPr>
        <w:t>once</w:t>
      </w:r>
      <w:r>
        <w:rPr>
          <w:color w:val="4D4D4F"/>
          <w:spacing w:val="-7"/>
          <w:sz w:val="20"/>
        </w:rPr>
        <w:t xml:space="preserve"> </w:t>
      </w:r>
      <w:r>
        <w:rPr>
          <w:color w:val="4D4D4F"/>
          <w:sz w:val="20"/>
        </w:rPr>
        <w:t>the</w:t>
      </w:r>
      <w:r>
        <w:rPr>
          <w:color w:val="4D4D4F"/>
          <w:spacing w:val="-7"/>
          <w:sz w:val="20"/>
        </w:rPr>
        <w:t xml:space="preserve"> </w:t>
      </w:r>
      <w:r>
        <w:rPr>
          <w:color w:val="4D4D4F"/>
          <w:sz w:val="20"/>
        </w:rPr>
        <w:t>95%</w:t>
      </w:r>
      <w:r>
        <w:rPr>
          <w:color w:val="4D4D4F"/>
          <w:spacing w:val="-7"/>
          <w:sz w:val="20"/>
        </w:rPr>
        <w:t xml:space="preserve"> </w:t>
      </w:r>
      <w:r>
        <w:rPr>
          <w:color w:val="4D4D4F"/>
          <w:sz w:val="20"/>
        </w:rPr>
        <w:t>confidence</w:t>
      </w:r>
      <w:r>
        <w:rPr>
          <w:color w:val="4D4D4F"/>
          <w:spacing w:val="-7"/>
          <w:sz w:val="20"/>
        </w:rPr>
        <w:t xml:space="preserve"> </w:t>
      </w:r>
      <w:r>
        <w:rPr>
          <w:color w:val="4D4D4F"/>
          <w:sz w:val="20"/>
        </w:rPr>
        <w:t>interval</w:t>
      </w:r>
      <w:r>
        <w:rPr>
          <w:color w:val="4D4D4F"/>
          <w:spacing w:val="-7"/>
          <w:sz w:val="20"/>
        </w:rPr>
        <w:t xml:space="preserve"> </w:t>
      </w:r>
      <w:r>
        <w:rPr>
          <w:color w:val="4D4D4F"/>
          <w:sz w:val="20"/>
        </w:rPr>
        <w:t>on</w:t>
      </w:r>
      <w:r>
        <w:rPr>
          <w:color w:val="4D4D4F"/>
          <w:spacing w:val="-7"/>
          <w:sz w:val="20"/>
        </w:rPr>
        <w:t xml:space="preserve"> </w:t>
      </w:r>
      <w:r>
        <w:rPr>
          <w:color w:val="4D4D4F"/>
          <w:sz w:val="20"/>
        </w:rPr>
        <w:t>the</w:t>
      </w:r>
      <w:r>
        <w:rPr>
          <w:color w:val="4D4D4F"/>
          <w:spacing w:val="-7"/>
          <w:sz w:val="20"/>
        </w:rPr>
        <w:t xml:space="preserve"> </w:t>
      </w:r>
      <w:r>
        <w:rPr>
          <w:color w:val="4D4D4F"/>
          <w:sz w:val="20"/>
        </w:rPr>
        <w:t>measure</w:t>
      </w:r>
      <w:r>
        <w:rPr>
          <w:color w:val="4D4D4F"/>
          <w:spacing w:val="-7"/>
          <w:sz w:val="20"/>
        </w:rPr>
        <w:t xml:space="preserve"> </w:t>
      </w:r>
      <w:r>
        <w:rPr>
          <w:color w:val="4D4D4F"/>
          <w:spacing w:val="-3"/>
          <w:sz w:val="20"/>
        </w:rPr>
        <w:t>fails</w:t>
      </w:r>
      <w:r>
        <w:rPr>
          <w:color w:val="4D4D4F"/>
          <w:spacing w:val="-7"/>
          <w:sz w:val="20"/>
        </w:rPr>
        <w:t xml:space="preserve"> </w:t>
      </w:r>
      <w:r>
        <w:rPr>
          <w:color w:val="4D4D4F"/>
          <w:sz w:val="20"/>
        </w:rPr>
        <w:t>to</w:t>
      </w:r>
      <w:r>
        <w:rPr>
          <w:color w:val="4D4D4F"/>
          <w:spacing w:val="-6"/>
          <w:sz w:val="20"/>
        </w:rPr>
        <w:t xml:space="preserve"> </w:t>
      </w:r>
      <w:r>
        <w:rPr>
          <w:color w:val="4D4D4F"/>
          <w:sz w:val="20"/>
        </w:rPr>
        <w:t>meet</w:t>
      </w:r>
      <w:r>
        <w:rPr>
          <w:color w:val="4D4D4F"/>
          <w:spacing w:val="-7"/>
          <w:sz w:val="20"/>
        </w:rPr>
        <w:t xml:space="preserve"> </w:t>
      </w:r>
      <w:r>
        <w:rPr>
          <w:color w:val="4D4D4F"/>
          <w:sz w:val="20"/>
        </w:rPr>
        <w:t>the</w:t>
      </w:r>
      <w:r>
        <w:rPr>
          <w:color w:val="4D4D4F"/>
          <w:spacing w:val="-7"/>
          <w:sz w:val="20"/>
        </w:rPr>
        <w:t xml:space="preserve"> </w:t>
      </w:r>
      <w:r>
        <w:rPr>
          <w:color w:val="4D4D4F"/>
          <w:spacing w:val="-3"/>
          <w:sz w:val="20"/>
        </w:rPr>
        <w:t>baseline.</w:t>
      </w:r>
    </w:p>
    <w:p w14:paraId="35B583E7" w14:textId="77777777" w:rsidR="00EF5B27" w:rsidRDefault="00000000">
      <w:pPr>
        <w:pStyle w:val="ListParagraph"/>
        <w:numPr>
          <w:ilvl w:val="1"/>
          <w:numId w:val="47"/>
        </w:numPr>
        <w:tabs>
          <w:tab w:val="left" w:pos="2779"/>
        </w:tabs>
        <w:spacing w:before="118" w:line="254" w:lineRule="auto"/>
        <w:ind w:right="290"/>
        <w:rPr>
          <w:sz w:val="20"/>
        </w:rPr>
      </w:pPr>
      <w:r>
        <w:rPr>
          <w:color w:val="4D4D4F"/>
          <w:sz w:val="20"/>
        </w:rPr>
        <w:t xml:space="preserve">all baseline values that are derived from means </w:t>
      </w:r>
      <w:r>
        <w:rPr>
          <w:color w:val="4D4D4F"/>
          <w:spacing w:val="-3"/>
          <w:sz w:val="20"/>
        </w:rPr>
        <w:t xml:space="preserve">(for </w:t>
      </w:r>
      <w:r>
        <w:rPr>
          <w:color w:val="4D4D4F"/>
          <w:sz w:val="20"/>
        </w:rPr>
        <w:t>percentage cover and species counts) are rounded to the nearest whole</w:t>
      </w:r>
      <w:r>
        <w:rPr>
          <w:color w:val="4D4D4F"/>
          <w:spacing w:val="25"/>
          <w:sz w:val="20"/>
        </w:rPr>
        <w:t xml:space="preserve"> </w:t>
      </w:r>
      <w:r>
        <w:rPr>
          <w:color w:val="4D4D4F"/>
          <w:spacing w:val="-3"/>
          <w:sz w:val="20"/>
        </w:rPr>
        <w:t>number.</w:t>
      </w:r>
    </w:p>
    <w:p w14:paraId="0F91F895" w14:textId="77777777" w:rsidR="00EF5B27" w:rsidRDefault="00000000">
      <w:pPr>
        <w:pStyle w:val="BodyText"/>
        <w:spacing w:before="2"/>
        <w:rPr>
          <w:sz w:val="16"/>
        </w:rPr>
      </w:pPr>
      <w:r>
        <w:pict w14:anchorId="7BEAA333">
          <v:line id="_x0000_s3598" style="position:absolute;z-index:251479552;mso-wrap-distance-left:0;mso-wrap-distance-right:0;mso-position-horizontal-relative:page" from="181.4pt,12.1pt" to="538.6pt,12.1pt" strokecolor="#4d4d4f" strokeweight=".5pt">
            <w10:wrap type="topAndBottom" anchorx="page"/>
          </v:line>
        </w:pict>
      </w:r>
    </w:p>
    <w:p w14:paraId="6DFA206D" w14:textId="77777777" w:rsidR="00EF5B27" w:rsidRDefault="00000000">
      <w:pPr>
        <w:pStyle w:val="ListParagraph"/>
        <w:numPr>
          <w:ilvl w:val="0"/>
          <w:numId w:val="46"/>
        </w:numPr>
        <w:tabs>
          <w:tab w:val="left" w:pos="2836"/>
        </w:tabs>
        <w:spacing w:before="88" w:line="230" w:lineRule="auto"/>
        <w:ind w:right="111"/>
        <w:jc w:val="both"/>
        <w:rPr>
          <w:sz w:val="12"/>
        </w:rPr>
      </w:pPr>
      <w:r>
        <w:rPr>
          <w:color w:val="4D4D4F"/>
          <w:sz w:val="12"/>
        </w:rPr>
        <w:t xml:space="preserve">State Government of Victoria </w:t>
      </w:r>
      <w:r>
        <w:rPr>
          <w:color w:val="4D4D4F"/>
          <w:spacing w:val="2"/>
          <w:sz w:val="12"/>
        </w:rPr>
        <w:t xml:space="preserve">2022, </w:t>
      </w:r>
      <w:r>
        <w:rPr>
          <w:color w:val="4D4D4F"/>
          <w:sz w:val="12"/>
        </w:rPr>
        <w:t xml:space="preserve">Victorian Government Gazette, Issue </w:t>
      </w:r>
      <w:r>
        <w:rPr>
          <w:color w:val="4D4D4F"/>
          <w:spacing w:val="2"/>
          <w:sz w:val="12"/>
        </w:rPr>
        <w:t xml:space="preserve">G4, </w:t>
      </w:r>
      <w:r>
        <w:rPr>
          <w:color w:val="4D4D4F"/>
          <w:sz w:val="12"/>
        </w:rPr>
        <w:t xml:space="preserve">‘Melbourne Strategic Assessment (Environment Mitigation Levy) </w:t>
      </w:r>
      <w:r>
        <w:rPr>
          <w:color w:val="4D4D4F"/>
          <w:spacing w:val="2"/>
          <w:sz w:val="12"/>
        </w:rPr>
        <w:t xml:space="preserve">Act 2020 </w:t>
      </w:r>
      <w:r>
        <w:rPr>
          <w:color w:val="4D4D4F"/>
          <w:sz w:val="12"/>
        </w:rPr>
        <w:t xml:space="preserve">– Notice of the </w:t>
      </w:r>
      <w:r>
        <w:rPr>
          <w:color w:val="4D4D4F"/>
          <w:spacing w:val="2"/>
          <w:sz w:val="12"/>
        </w:rPr>
        <w:t xml:space="preserve">Conservation </w:t>
      </w:r>
      <w:r>
        <w:rPr>
          <w:color w:val="4D4D4F"/>
          <w:sz w:val="12"/>
        </w:rPr>
        <w:t>Outcomes’,</w:t>
      </w:r>
      <w:r>
        <w:rPr>
          <w:color w:val="F36A2E"/>
          <w:sz w:val="12"/>
        </w:rPr>
        <w:t xml:space="preserve"> </w:t>
      </w:r>
      <w:hyperlink r:id="rId114">
        <w:r>
          <w:rPr>
            <w:color w:val="F36A2E"/>
            <w:sz w:val="12"/>
            <w:u w:val="single" w:color="F36A2E"/>
          </w:rPr>
          <w:t>http://www.gazette.vic.gov.au/gazette/Gazettes2022/GG2022G004.pd</w:t>
        </w:r>
        <w:r>
          <w:rPr>
            <w:color w:val="F36A2E"/>
            <w:sz w:val="12"/>
          </w:rPr>
          <w:t xml:space="preserve">f </w:t>
        </w:r>
      </w:hyperlink>
      <w:r>
        <w:rPr>
          <w:color w:val="4D4D4F"/>
          <w:spacing w:val="2"/>
          <w:sz w:val="12"/>
        </w:rPr>
        <w:t xml:space="preserve">Accessed </w:t>
      </w:r>
      <w:r>
        <w:rPr>
          <w:color w:val="4D4D4F"/>
          <w:sz w:val="12"/>
        </w:rPr>
        <w:t>27 January</w:t>
      </w:r>
      <w:r>
        <w:rPr>
          <w:color w:val="4D4D4F"/>
          <w:spacing w:val="4"/>
          <w:sz w:val="12"/>
        </w:rPr>
        <w:t xml:space="preserve"> </w:t>
      </w:r>
      <w:r>
        <w:rPr>
          <w:color w:val="4D4D4F"/>
          <w:spacing w:val="2"/>
          <w:sz w:val="12"/>
        </w:rPr>
        <w:t>2022.</w:t>
      </w:r>
    </w:p>
    <w:p w14:paraId="2FBAED8F" w14:textId="77777777" w:rsidR="00EF5B27" w:rsidRDefault="00EF5B27">
      <w:pPr>
        <w:spacing w:line="230" w:lineRule="auto"/>
        <w:jc w:val="both"/>
        <w:rPr>
          <w:sz w:val="12"/>
        </w:rPr>
        <w:sectPr w:rsidR="00EF5B27">
          <w:pgSz w:w="11910" w:h="16840"/>
          <w:pgMar w:top="1080" w:right="1020" w:bottom="860" w:left="1020" w:header="537" w:footer="678" w:gutter="0"/>
          <w:cols w:space="720"/>
        </w:sectPr>
      </w:pPr>
    </w:p>
    <w:p w14:paraId="31385972" w14:textId="77777777" w:rsidR="00EF5B27" w:rsidRDefault="00000000">
      <w:pPr>
        <w:pStyle w:val="BodyText"/>
      </w:pPr>
      <w:r>
        <w:lastRenderedPageBreak/>
        <w:pict w14:anchorId="7383E2C5">
          <v:group id="_x0000_s3590" style="position:absolute;margin-left:587.05pt;margin-top:183.4pt;width:8.25pt;height:153.1pt;z-index:251545088;mso-position-horizontal-relative:page;mso-position-vertical-relative:page" coordorigin="11741,3668" coordsize="165,3062">
            <v:shape id="_x0000_s3597" style="position:absolute;left:11741;top:3668;width:165;height:561" coordorigin="11741,3668" coordsize="165,561" path="m11906,3668r-165,l11741,4228r165,-18l11906,3668xe" fillcolor="#00aed9" stroked="f">
              <v:path arrowok="t"/>
            </v:shape>
            <v:shape id="_x0000_s3596" style="position:absolute;left:11741;top:4118;width:165;height:425" coordorigin="11741,4118" coordsize="165,425" path="m11906,4118r-165,14l11741,4531r165,12l11906,4118xe" fillcolor="#047ebc" stroked="f">
              <v:path arrowok="t"/>
            </v:shape>
            <v:shape id="_x0000_s3595" type="#_x0000_t75" style="position:absolute;left:11741;top:4355;width:165;height:587">
              <v:imagedata r:id="rId42" o:title=""/>
            </v:shape>
            <v:shape id="_x0000_s3594" style="position:absolute;left:11741;top:5343;width:165;height:536" coordorigin="11741,5343" coordsize="165,536" path="m11741,5343r,535l11906,5872r,-525l11741,5343xe" fillcolor="#f36a2e" stroked="f">
              <v:path arrowok="t"/>
            </v:shape>
            <v:shape id="_x0000_s3593" style="position:absolute;left:11741;top:4925;width:165;height:501" coordorigin="11741,4926" coordsize="165,501" path="m11741,4926r,500l11906,5426r,-485l11741,4926xe" fillcolor="#49783f" stroked="f">
              <v:path arrowok="t"/>
            </v:shape>
            <v:shape id="_x0000_s3592" style="position:absolute;left:11741;top:5781;width:165;height:268" coordorigin="11741,5782" coordsize="165,268" path="m11906,5782r-165,8l11741,6039r165,10l11906,5782xe" fillcolor="#f99f2a" stroked="f">
              <v:path arrowok="t"/>
            </v:shape>
            <v:shape id="_x0000_s3591" style="position:absolute;left:11741;top:6023;width:165;height:707" coordorigin="11741,6023" coordsize="165,707" path="m11741,6023r,706l11906,6729r,-690l11741,6023xe" fillcolor="#ef412c" stroked="f">
              <v:path arrowok="t"/>
            </v:shape>
            <w10:wrap anchorx="page" anchory="page"/>
          </v:group>
        </w:pict>
      </w:r>
    </w:p>
    <w:p w14:paraId="59CC43BA" w14:textId="77777777" w:rsidR="00EF5B27" w:rsidRDefault="00EF5B27">
      <w:pPr>
        <w:pStyle w:val="BodyText"/>
      </w:pPr>
    </w:p>
    <w:p w14:paraId="0C4F2432" w14:textId="77777777" w:rsidR="00EF5B27" w:rsidRDefault="00EF5B27">
      <w:pPr>
        <w:pStyle w:val="BodyText"/>
      </w:pPr>
    </w:p>
    <w:p w14:paraId="532C3BAC" w14:textId="77777777" w:rsidR="00EF5B27" w:rsidRDefault="00EF5B27">
      <w:pPr>
        <w:pStyle w:val="BodyText"/>
        <w:spacing w:before="4"/>
        <w:rPr>
          <w:sz w:val="25"/>
        </w:rPr>
      </w:pPr>
    </w:p>
    <w:p w14:paraId="62FA2773" w14:textId="77777777" w:rsidR="00EF5B27" w:rsidRDefault="00000000">
      <w:pPr>
        <w:pStyle w:val="BodyText"/>
        <w:spacing w:before="100" w:line="254" w:lineRule="auto"/>
        <w:ind w:left="2608" w:right="204"/>
      </w:pPr>
      <w:r>
        <w:rPr>
          <w:color w:val="4D4D4F"/>
        </w:rPr>
        <w:t>In most cases, baselines are set by the conditions at the commencement of monitoring. This means that the target is to maintain or improve on what was present when MSA management commenced. In these cases, the baseline is calculated not from the first survey, but from the mean of the first five years of monitoring data. This approach is intended to dampen fluctuations between monitoring periods that are not related to management or long-term success (e.g., fluctuations in vegetation cover  due to recent fires, or responses by animals to weather</w:t>
      </w:r>
      <w:r>
        <w:rPr>
          <w:color w:val="4D4D4F"/>
          <w:spacing w:val="35"/>
        </w:rPr>
        <w:t xml:space="preserve"> </w:t>
      </w:r>
      <w:r>
        <w:rPr>
          <w:color w:val="4D4D4F"/>
        </w:rPr>
        <w:t>conditions).</w:t>
      </w:r>
    </w:p>
    <w:p w14:paraId="31C84B2F" w14:textId="77777777" w:rsidR="00EF5B27" w:rsidRDefault="00000000">
      <w:pPr>
        <w:pStyle w:val="BodyText"/>
        <w:spacing w:before="122" w:line="254" w:lineRule="auto"/>
        <w:ind w:left="2608" w:right="308"/>
      </w:pPr>
      <w:r>
        <w:rPr>
          <w:color w:val="4D4D4F"/>
        </w:rPr>
        <w:t xml:space="preserve">A continuous improvement approach applies to some KPIs, which DELWP has designed to encourage positive outcomes </w:t>
      </w:r>
      <w:r>
        <w:rPr>
          <w:color w:val="4D4D4F"/>
          <w:spacing w:val="-3"/>
        </w:rPr>
        <w:t xml:space="preserve">(‘maintain gains’) </w:t>
      </w:r>
      <w:r>
        <w:rPr>
          <w:color w:val="4D4D4F"/>
        </w:rPr>
        <w:t xml:space="preserve">for MNES. In these cases, if the measured mean in a five-yearly reporting cycle is an improvement from the baseline, the measured mean sets a new target for the next five-year reporting period. DELWP states that this approach is beneficial for measures where the most desirable outcome is always ‘complete removal’ (e.g., weeds) or </w:t>
      </w:r>
      <w:r>
        <w:rPr>
          <w:color w:val="4D4D4F"/>
          <w:spacing w:val="-3"/>
        </w:rPr>
        <w:t xml:space="preserve">‘as </w:t>
      </w:r>
      <w:r>
        <w:rPr>
          <w:color w:val="4D4D4F"/>
        </w:rPr>
        <w:t>high as possible’ (e.g. abundance of a listed species). For other KPIs, the baseline is set and does not change, regardless of the results. Such set baselines are considered appropriate in cases where the attribute is desired at moderate levels. For example, it is desirable for the cover of Kangaroo Grass in Natural Temperate Grasslands to be maintained within a range, so a continuous improvement model is not</w:t>
      </w:r>
      <w:r>
        <w:rPr>
          <w:color w:val="4D4D4F"/>
          <w:spacing w:val="27"/>
        </w:rPr>
        <w:t xml:space="preserve"> </w:t>
      </w:r>
      <w:r>
        <w:rPr>
          <w:color w:val="4D4D4F"/>
        </w:rPr>
        <w:t>appropriate.</w:t>
      </w:r>
    </w:p>
    <w:p w14:paraId="6BF90CD5" w14:textId="77777777" w:rsidR="00EF5B27" w:rsidRDefault="00000000">
      <w:pPr>
        <w:pStyle w:val="BodyText"/>
        <w:spacing w:before="127" w:line="254" w:lineRule="auto"/>
        <w:ind w:left="2608" w:right="118"/>
        <w:jc w:val="both"/>
      </w:pPr>
      <w:r>
        <w:rPr>
          <w:color w:val="4D4D4F"/>
        </w:rPr>
        <w:t>There are exceptions to these general approaches, which are based on considerations of the ecology and survey techniques applicable to the measure in question. These are described and explained in the</w:t>
      </w:r>
      <w:r>
        <w:rPr>
          <w:color w:val="4D4D4F"/>
          <w:spacing w:val="19"/>
        </w:rPr>
        <w:t xml:space="preserve"> </w:t>
      </w:r>
      <w:r>
        <w:rPr>
          <w:color w:val="4D4D4F"/>
          <w:spacing w:val="-5"/>
        </w:rPr>
        <w:t>MRF.</w:t>
      </w:r>
    </w:p>
    <w:p w14:paraId="4C6E4183" w14:textId="77777777" w:rsidR="00EF5B27" w:rsidRDefault="00000000">
      <w:pPr>
        <w:pStyle w:val="BodyText"/>
        <w:spacing w:before="117"/>
        <w:ind w:left="2608"/>
      </w:pPr>
      <w:r>
        <w:rPr>
          <w:color w:val="4D4D4F"/>
          <w:spacing w:val="-4"/>
          <w:w w:val="105"/>
        </w:rPr>
        <w:t>Many</w:t>
      </w:r>
      <w:r>
        <w:rPr>
          <w:color w:val="4D4D4F"/>
          <w:spacing w:val="-17"/>
          <w:w w:val="105"/>
        </w:rPr>
        <w:t xml:space="preserve"> </w:t>
      </w:r>
      <w:r>
        <w:rPr>
          <w:color w:val="4D4D4F"/>
          <w:spacing w:val="-3"/>
          <w:w w:val="105"/>
        </w:rPr>
        <w:t>KPIs</w:t>
      </w:r>
      <w:r>
        <w:rPr>
          <w:color w:val="4D4D4F"/>
          <w:spacing w:val="-17"/>
          <w:w w:val="105"/>
        </w:rPr>
        <w:t xml:space="preserve"> </w:t>
      </w:r>
      <w:r>
        <w:rPr>
          <w:color w:val="4D4D4F"/>
          <w:w w:val="105"/>
        </w:rPr>
        <w:t>are</w:t>
      </w:r>
      <w:r>
        <w:rPr>
          <w:color w:val="4D4D4F"/>
          <w:spacing w:val="-17"/>
          <w:w w:val="105"/>
        </w:rPr>
        <w:t xml:space="preserve"> </w:t>
      </w:r>
      <w:r>
        <w:rPr>
          <w:color w:val="4D4D4F"/>
          <w:spacing w:val="-3"/>
          <w:w w:val="105"/>
        </w:rPr>
        <w:t>currently</w:t>
      </w:r>
      <w:r>
        <w:rPr>
          <w:color w:val="4D4D4F"/>
          <w:spacing w:val="-17"/>
          <w:w w:val="105"/>
        </w:rPr>
        <w:t xml:space="preserve"> </w:t>
      </w:r>
      <w:r>
        <w:rPr>
          <w:color w:val="4D4D4F"/>
          <w:spacing w:val="-4"/>
          <w:w w:val="105"/>
        </w:rPr>
        <w:t>unable</w:t>
      </w:r>
      <w:r>
        <w:rPr>
          <w:color w:val="4D4D4F"/>
          <w:spacing w:val="-17"/>
          <w:w w:val="105"/>
        </w:rPr>
        <w:t xml:space="preserve"> </w:t>
      </w:r>
      <w:r>
        <w:rPr>
          <w:color w:val="4D4D4F"/>
          <w:spacing w:val="-3"/>
          <w:w w:val="105"/>
        </w:rPr>
        <w:t>to</w:t>
      </w:r>
      <w:r>
        <w:rPr>
          <w:color w:val="4D4D4F"/>
          <w:spacing w:val="-17"/>
          <w:w w:val="105"/>
        </w:rPr>
        <w:t xml:space="preserve"> </w:t>
      </w:r>
      <w:r>
        <w:rPr>
          <w:color w:val="4D4D4F"/>
          <w:w w:val="105"/>
        </w:rPr>
        <w:t>be</w:t>
      </w:r>
      <w:r>
        <w:rPr>
          <w:color w:val="4D4D4F"/>
          <w:spacing w:val="-17"/>
          <w:w w:val="105"/>
        </w:rPr>
        <w:t xml:space="preserve"> </w:t>
      </w:r>
      <w:r>
        <w:rPr>
          <w:color w:val="4D4D4F"/>
          <w:spacing w:val="-3"/>
          <w:w w:val="105"/>
        </w:rPr>
        <w:t>assessed,</w:t>
      </w:r>
      <w:r>
        <w:rPr>
          <w:color w:val="4D4D4F"/>
          <w:spacing w:val="-17"/>
          <w:w w:val="105"/>
        </w:rPr>
        <w:t xml:space="preserve"> </w:t>
      </w:r>
      <w:r>
        <w:rPr>
          <w:color w:val="4D4D4F"/>
          <w:spacing w:val="-3"/>
          <w:w w:val="105"/>
        </w:rPr>
        <w:t>the</w:t>
      </w:r>
      <w:r>
        <w:rPr>
          <w:color w:val="4D4D4F"/>
          <w:spacing w:val="-17"/>
          <w:w w:val="105"/>
        </w:rPr>
        <w:t xml:space="preserve"> </w:t>
      </w:r>
      <w:r>
        <w:rPr>
          <w:color w:val="4D4D4F"/>
          <w:spacing w:val="-3"/>
          <w:w w:val="105"/>
        </w:rPr>
        <w:t>reasons</w:t>
      </w:r>
      <w:r>
        <w:rPr>
          <w:color w:val="4D4D4F"/>
          <w:spacing w:val="-17"/>
          <w:w w:val="105"/>
        </w:rPr>
        <w:t xml:space="preserve"> </w:t>
      </w:r>
      <w:r>
        <w:rPr>
          <w:color w:val="4D4D4F"/>
          <w:spacing w:val="-3"/>
          <w:w w:val="105"/>
        </w:rPr>
        <w:t>for</w:t>
      </w:r>
      <w:r>
        <w:rPr>
          <w:color w:val="4D4D4F"/>
          <w:spacing w:val="-17"/>
          <w:w w:val="105"/>
        </w:rPr>
        <w:t xml:space="preserve"> </w:t>
      </w:r>
      <w:r>
        <w:rPr>
          <w:color w:val="4D4D4F"/>
          <w:spacing w:val="-3"/>
          <w:w w:val="105"/>
        </w:rPr>
        <w:t>which</w:t>
      </w:r>
      <w:r>
        <w:rPr>
          <w:color w:val="4D4D4F"/>
          <w:spacing w:val="-17"/>
          <w:w w:val="105"/>
        </w:rPr>
        <w:t xml:space="preserve"> </w:t>
      </w:r>
      <w:r>
        <w:rPr>
          <w:color w:val="4D4D4F"/>
          <w:w w:val="105"/>
        </w:rPr>
        <w:t>are</w:t>
      </w:r>
      <w:r>
        <w:rPr>
          <w:color w:val="4D4D4F"/>
          <w:spacing w:val="-17"/>
          <w:w w:val="105"/>
        </w:rPr>
        <w:t xml:space="preserve"> </w:t>
      </w:r>
      <w:r>
        <w:rPr>
          <w:color w:val="4D4D4F"/>
          <w:spacing w:val="-4"/>
          <w:w w:val="105"/>
        </w:rPr>
        <w:t>outlined</w:t>
      </w:r>
      <w:r>
        <w:rPr>
          <w:color w:val="4D4D4F"/>
          <w:spacing w:val="-17"/>
          <w:w w:val="105"/>
        </w:rPr>
        <w:t xml:space="preserve"> </w:t>
      </w:r>
      <w:r>
        <w:rPr>
          <w:color w:val="4D4D4F"/>
          <w:spacing w:val="-4"/>
          <w:w w:val="105"/>
        </w:rPr>
        <w:t>below.</w:t>
      </w:r>
    </w:p>
    <w:p w14:paraId="3CD41B6D" w14:textId="77777777" w:rsidR="00EF5B27" w:rsidRDefault="00EF5B27">
      <w:pPr>
        <w:pStyle w:val="BodyText"/>
        <w:spacing w:before="2"/>
      </w:pPr>
    </w:p>
    <w:p w14:paraId="302D0076" w14:textId="77777777" w:rsidR="00EF5B27" w:rsidRDefault="00000000">
      <w:pPr>
        <w:pStyle w:val="Heading3"/>
      </w:pPr>
      <w:r>
        <w:rPr>
          <w:color w:val="F99F2A"/>
        </w:rPr>
        <w:t>Reason for non-assessment</w:t>
      </w:r>
    </w:p>
    <w:p w14:paraId="49777CDE" w14:textId="77777777" w:rsidR="00EF5B27" w:rsidRDefault="00000000">
      <w:pPr>
        <w:pStyle w:val="BodyText"/>
        <w:spacing w:before="222" w:line="254" w:lineRule="auto"/>
        <w:ind w:left="2608"/>
      </w:pPr>
      <w:r>
        <w:rPr>
          <w:color w:val="4D4D4F"/>
          <w:w w:val="105"/>
        </w:rPr>
        <w:t>For</w:t>
      </w:r>
      <w:r>
        <w:rPr>
          <w:color w:val="4D4D4F"/>
          <w:spacing w:val="-13"/>
          <w:w w:val="105"/>
        </w:rPr>
        <w:t xml:space="preserve"> </w:t>
      </w:r>
      <w:r>
        <w:rPr>
          <w:color w:val="4D4D4F"/>
          <w:w w:val="105"/>
        </w:rPr>
        <w:t>many</w:t>
      </w:r>
      <w:r>
        <w:rPr>
          <w:color w:val="4D4D4F"/>
          <w:spacing w:val="-13"/>
          <w:w w:val="105"/>
        </w:rPr>
        <w:t xml:space="preserve"> </w:t>
      </w:r>
      <w:r>
        <w:rPr>
          <w:color w:val="4D4D4F"/>
          <w:w w:val="105"/>
        </w:rPr>
        <w:t>of</w:t>
      </w:r>
      <w:r>
        <w:rPr>
          <w:color w:val="4D4D4F"/>
          <w:spacing w:val="-13"/>
          <w:w w:val="105"/>
        </w:rPr>
        <w:t xml:space="preserve"> </w:t>
      </w:r>
      <w:r>
        <w:rPr>
          <w:color w:val="4D4D4F"/>
          <w:w w:val="105"/>
        </w:rPr>
        <w:t>the</w:t>
      </w:r>
      <w:r>
        <w:rPr>
          <w:color w:val="4D4D4F"/>
          <w:spacing w:val="-12"/>
          <w:w w:val="105"/>
        </w:rPr>
        <w:t xml:space="preserve"> </w:t>
      </w:r>
      <w:r>
        <w:rPr>
          <w:color w:val="4D4D4F"/>
          <w:w w:val="105"/>
        </w:rPr>
        <w:t>KPIs,</w:t>
      </w:r>
      <w:r>
        <w:rPr>
          <w:color w:val="4D4D4F"/>
          <w:spacing w:val="-13"/>
          <w:w w:val="105"/>
        </w:rPr>
        <w:t xml:space="preserve"> </w:t>
      </w:r>
      <w:r>
        <w:rPr>
          <w:color w:val="4D4D4F"/>
          <w:w w:val="105"/>
        </w:rPr>
        <w:t>an</w:t>
      </w:r>
      <w:r>
        <w:rPr>
          <w:color w:val="4D4D4F"/>
          <w:spacing w:val="-13"/>
          <w:w w:val="105"/>
        </w:rPr>
        <w:t xml:space="preserve"> </w:t>
      </w:r>
      <w:r>
        <w:rPr>
          <w:color w:val="4D4D4F"/>
          <w:w w:val="105"/>
        </w:rPr>
        <w:t>assessment</w:t>
      </w:r>
      <w:r>
        <w:rPr>
          <w:color w:val="4D4D4F"/>
          <w:spacing w:val="-12"/>
          <w:w w:val="105"/>
        </w:rPr>
        <w:t xml:space="preserve"> </w:t>
      </w:r>
      <w:r>
        <w:rPr>
          <w:color w:val="4D4D4F"/>
          <w:w w:val="105"/>
        </w:rPr>
        <w:t>was</w:t>
      </w:r>
      <w:r>
        <w:rPr>
          <w:color w:val="4D4D4F"/>
          <w:spacing w:val="-13"/>
          <w:w w:val="105"/>
        </w:rPr>
        <w:t xml:space="preserve"> </w:t>
      </w:r>
      <w:r>
        <w:rPr>
          <w:color w:val="4D4D4F"/>
          <w:w w:val="105"/>
        </w:rPr>
        <w:t>unable</w:t>
      </w:r>
      <w:r>
        <w:rPr>
          <w:color w:val="4D4D4F"/>
          <w:spacing w:val="-13"/>
          <w:w w:val="105"/>
        </w:rPr>
        <w:t xml:space="preserve"> </w:t>
      </w:r>
      <w:r>
        <w:rPr>
          <w:color w:val="4D4D4F"/>
          <w:w w:val="105"/>
        </w:rPr>
        <w:t>to</w:t>
      </w:r>
      <w:r>
        <w:rPr>
          <w:color w:val="4D4D4F"/>
          <w:spacing w:val="-13"/>
          <w:w w:val="105"/>
        </w:rPr>
        <w:t xml:space="preserve"> </w:t>
      </w:r>
      <w:r>
        <w:rPr>
          <w:color w:val="4D4D4F"/>
          <w:w w:val="105"/>
        </w:rPr>
        <w:t>be</w:t>
      </w:r>
      <w:r>
        <w:rPr>
          <w:color w:val="4D4D4F"/>
          <w:spacing w:val="-12"/>
          <w:w w:val="105"/>
        </w:rPr>
        <w:t xml:space="preserve"> </w:t>
      </w:r>
      <w:r>
        <w:rPr>
          <w:color w:val="4D4D4F"/>
          <w:w w:val="105"/>
        </w:rPr>
        <w:t>made,</w:t>
      </w:r>
      <w:r>
        <w:rPr>
          <w:color w:val="4D4D4F"/>
          <w:spacing w:val="-13"/>
          <w:w w:val="105"/>
        </w:rPr>
        <w:t xml:space="preserve"> </w:t>
      </w:r>
      <w:r>
        <w:rPr>
          <w:color w:val="4D4D4F"/>
          <w:w w:val="105"/>
        </w:rPr>
        <w:t>with</w:t>
      </w:r>
      <w:r>
        <w:rPr>
          <w:color w:val="4D4D4F"/>
          <w:spacing w:val="-13"/>
          <w:w w:val="105"/>
        </w:rPr>
        <w:t xml:space="preserve"> </w:t>
      </w:r>
      <w:r>
        <w:rPr>
          <w:color w:val="4D4D4F"/>
          <w:w w:val="105"/>
        </w:rPr>
        <w:t>reasons</w:t>
      </w:r>
      <w:r>
        <w:rPr>
          <w:color w:val="4D4D4F"/>
          <w:spacing w:val="-12"/>
          <w:w w:val="105"/>
        </w:rPr>
        <w:t xml:space="preserve"> </w:t>
      </w:r>
      <w:r>
        <w:rPr>
          <w:color w:val="4D4D4F"/>
          <w:w w:val="105"/>
        </w:rPr>
        <w:t>for</w:t>
      </w:r>
      <w:r>
        <w:rPr>
          <w:color w:val="4D4D4F"/>
          <w:spacing w:val="-13"/>
          <w:w w:val="105"/>
        </w:rPr>
        <w:t xml:space="preserve"> </w:t>
      </w:r>
      <w:r>
        <w:rPr>
          <w:color w:val="4D4D4F"/>
          <w:w w:val="105"/>
        </w:rPr>
        <w:t>this varying</w:t>
      </w:r>
      <w:r>
        <w:rPr>
          <w:color w:val="4D4D4F"/>
          <w:spacing w:val="-5"/>
          <w:w w:val="105"/>
        </w:rPr>
        <w:t xml:space="preserve"> </w:t>
      </w:r>
      <w:r>
        <w:rPr>
          <w:color w:val="4D4D4F"/>
          <w:w w:val="105"/>
        </w:rPr>
        <w:t>with</w:t>
      </w:r>
      <w:r>
        <w:rPr>
          <w:color w:val="4D4D4F"/>
          <w:spacing w:val="-5"/>
          <w:w w:val="105"/>
        </w:rPr>
        <w:t xml:space="preserve"> </w:t>
      </w:r>
      <w:r>
        <w:rPr>
          <w:color w:val="4D4D4F"/>
          <w:w w:val="105"/>
        </w:rPr>
        <w:t>each</w:t>
      </w:r>
      <w:r>
        <w:rPr>
          <w:color w:val="4D4D4F"/>
          <w:spacing w:val="-5"/>
          <w:w w:val="105"/>
        </w:rPr>
        <w:t xml:space="preserve"> </w:t>
      </w:r>
      <w:r>
        <w:rPr>
          <w:color w:val="4D4D4F"/>
          <w:w w:val="105"/>
        </w:rPr>
        <w:t>KPI.</w:t>
      </w:r>
      <w:r>
        <w:rPr>
          <w:color w:val="4D4D4F"/>
          <w:spacing w:val="-4"/>
          <w:w w:val="105"/>
        </w:rPr>
        <w:t xml:space="preserve"> </w:t>
      </w:r>
      <w:r>
        <w:rPr>
          <w:color w:val="4D4D4F"/>
          <w:w w:val="105"/>
        </w:rPr>
        <w:t>Reasons</w:t>
      </w:r>
      <w:r>
        <w:rPr>
          <w:color w:val="4D4D4F"/>
          <w:spacing w:val="-5"/>
          <w:w w:val="105"/>
        </w:rPr>
        <w:t xml:space="preserve"> </w:t>
      </w:r>
      <w:r>
        <w:rPr>
          <w:color w:val="4D4D4F"/>
          <w:w w:val="105"/>
        </w:rPr>
        <w:t>for</w:t>
      </w:r>
      <w:r>
        <w:rPr>
          <w:color w:val="4D4D4F"/>
          <w:spacing w:val="-5"/>
          <w:w w:val="105"/>
        </w:rPr>
        <w:t xml:space="preserve"> </w:t>
      </w:r>
      <w:r>
        <w:rPr>
          <w:color w:val="4D4D4F"/>
          <w:w w:val="105"/>
        </w:rPr>
        <w:t>non-assessments</w:t>
      </w:r>
      <w:r>
        <w:rPr>
          <w:color w:val="4D4D4F"/>
          <w:spacing w:val="-4"/>
          <w:w w:val="105"/>
        </w:rPr>
        <w:t xml:space="preserve"> </w:t>
      </w:r>
      <w:r>
        <w:rPr>
          <w:color w:val="4D4D4F"/>
          <w:w w:val="105"/>
        </w:rPr>
        <w:t>are</w:t>
      </w:r>
      <w:r>
        <w:rPr>
          <w:color w:val="4D4D4F"/>
          <w:spacing w:val="-5"/>
          <w:w w:val="105"/>
        </w:rPr>
        <w:t xml:space="preserve"> </w:t>
      </w:r>
      <w:r>
        <w:rPr>
          <w:color w:val="4D4D4F"/>
          <w:w w:val="105"/>
        </w:rPr>
        <w:t>defined</w:t>
      </w:r>
      <w:r>
        <w:rPr>
          <w:color w:val="4D4D4F"/>
          <w:spacing w:val="-5"/>
          <w:w w:val="105"/>
        </w:rPr>
        <w:t xml:space="preserve"> </w:t>
      </w:r>
      <w:r>
        <w:rPr>
          <w:color w:val="4D4D4F"/>
          <w:w w:val="105"/>
        </w:rPr>
        <w:t>below:</w:t>
      </w:r>
    </w:p>
    <w:p w14:paraId="07FE2DDD" w14:textId="77777777" w:rsidR="00EF5B27" w:rsidRDefault="00000000">
      <w:pPr>
        <w:pStyle w:val="ListParagraph"/>
        <w:numPr>
          <w:ilvl w:val="1"/>
          <w:numId w:val="47"/>
        </w:numPr>
        <w:tabs>
          <w:tab w:val="left" w:pos="2779"/>
        </w:tabs>
        <w:spacing w:before="115"/>
        <w:rPr>
          <w:sz w:val="20"/>
        </w:rPr>
      </w:pPr>
      <w:r>
        <w:rPr>
          <w:color w:val="4D4D4F"/>
          <w:spacing w:val="-7"/>
          <w:sz w:val="20"/>
        </w:rPr>
        <w:t xml:space="preserve">N/A </w:t>
      </w:r>
      <w:r>
        <w:rPr>
          <w:color w:val="4D4D4F"/>
          <w:sz w:val="20"/>
        </w:rPr>
        <w:t>(not applicable): The KPI was able to be</w:t>
      </w:r>
      <w:r>
        <w:rPr>
          <w:color w:val="4D4D4F"/>
          <w:spacing w:val="13"/>
          <w:sz w:val="20"/>
        </w:rPr>
        <w:t xml:space="preserve"> </w:t>
      </w:r>
      <w:r>
        <w:rPr>
          <w:color w:val="4D4D4F"/>
          <w:sz w:val="20"/>
        </w:rPr>
        <w:t>assessed</w:t>
      </w:r>
    </w:p>
    <w:p w14:paraId="3D322943" w14:textId="77777777" w:rsidR="00EF5B27" w:rsidRDefault="00000000">
      <w:pPr>
        <w:pStyle w:val="ListParagraph"/>
        <w:numPr>
          <w:ilvl w:val="1"/>
          <w:numId w:val="47"/>
        </w:numPr>
        <w:tabs>
          <w:tab w:val="left" w:pos="2779"/>
        </w:tabs>
        <w:spacing w:before="130" w:line="254" w:lineRule="auto"/>
        <w:ind w:right="406"/>
        <w:rPr>
          <w:sz w:val="20"/>
        </w:rPr>
      </w:pPr>
      <w:r>
        <w:rPr>
          <w:color w:val="4D4D4F"/>
          <w:sz w:val="20"/>
        </w:rPr>
        <w:t>Baseline not yet set: For many of the KPIs, not enough time has elapsed for the baseline to have been set as this occurs after the fifth year of monitoring once enough data has been collected. This means the baseline is set as the mean measure of five years of data for that KPI from the commencement of</w:t>
      </w:r>
      <w:r>
        <w:rPr>
          <w:color w:val="4D4D4F"/>
          <w:spacing w:val="26"/>
          <w:sz w:val="20"/>
        </w:rPr>
        <w:t xml:space="preserve"> </w:t>
      </w:r>
      <w:r>
        <w:rPr>
          <w:color w:val="4D4D4F"/>
          <w:sz w:val="20"/>
        </w:rPr>
        <w:t>monitoring</w:t>
      </w:r>
    </w:p>
    <w:p w14:paraId="4865CF19" w14:textId="77777777" w:rsidR="00EF5B27" w:rsidRDefault="00000000">
      <w:pPr>
        <w:pStyle w:val="ListParagraph"/>
        <w:numPr>
          <w:ilvl w:val="1"/>
          <w:numId w:val="47"/>
        </w:numPr>
        <w:tabs>
          <w:tab w:val="left" w:pos="2779"/>
        </w:tabs>
        <w:spacing w:before="118" w:line="254" w:lineRule="auto"/>
        <w:ind w:right="384"/>
        <w:rPr>
          <w:sz w:val="20"/>
        </w:rPr>
      </w:pPr>
      <w:r>
        <w:rPr>
          <w:color w:val="4D4D4F"/>
          <w:sz w:val="20"/>
        </w:rPr>
        <w:t>Baseline set in 2022: For some of the KPIs, the baseline was set in 2022, meaning that not enough time has elapsed for the baseline to have been</w:t>
      </w:r>
      <w:r>
        <w:rPr>
          <w:color w:val="4D4D4F"/>
          <w:spacing w:val="36"/>
          <w:sz w:val="20"/>
        </w:rPr>
        <w:t xml:space="preserve"> </w:t>
      </w:r>
      <w:r>
        <w:rPr>
          <w:color w:val="4D4D4F"/>
          <w:sz w:val="20"/>
        </w:rPr>
        <w:t>set</w:t>
      </w:r>
    </w:p>
    <w:p w14:paraId="04C6D12C" w14:textId="77777777" w:rsidR="00EF5B27" w:rsidRDefault="00000000">
      <w:pPr>
        <w:pStyle w:val="ListParagraph"/>
        <w:numPr>
          <w:ilvl w:val="1"/>
          <w:numId w:val="47"/>
        </w:numPr>
        <w:tabs>
          <w:tab w:val="left" w:pos="2779"/>
        </w:tabs>
        <w:spacing w:before="116" w:line="254" w:lineRule="auto"/>
        <w:ind w:right="265"/>
        <w:rPr>
          <w:sz w:val="20"/>
        </w:rPr>
      </w:pPr>
      <w:r>
        <w:rPr>
          <w:color w:val="4D4D4F"/>
          <w:sz w:val="20"/>
        </w:rPr>
        <w:t>Change in monitoring method: DELWP indicates that some changes to the monitoring methods have been necessary over time as new information comes in, and knowledge of the species and systems improves. This has impacted the ability for an assessment to be made for some KPIs, as previous data collected according to outdated methodology is no longer</w:t>
      </w:r>
      <w:r>
        <w:rPr>
          <w:color w:val="4D4D4F"/>
          <w:spacing w:val="21"/>
          <w:sz w:val="20"/>
        </w:rPr>
        <w:t xml:space="preserve"> </w:t>
      </w:r>
      <w:r>
        <w:rPr>
          <w:color w:val="4D4D4F"/>
          <w:sz w:val="20"/>
        </w:rPr>
        <w:t>valid</w:t>
      </w:r>
    </w:p>
    <w:p w14:paraId="5A53255A" w14:textId="77777777" w:rsidR="00EF5B27" w:rsidRDefault="00000000">
      <w:pPr>
        <w:pStyle w:val="ListParagraph"/>
        <w:numPr>
          <w:ilvl w:val="1"/>
          <w:numId w:val="47"/>
        </w:numPr>
        <w:tabs>
          <w:tab w:val="left" w:pos="2779"/>
        </w:tabs>
        <w:spacing w:before="119" w:line="254" w:lineRule="auto"/>
        <w:ind w:right="228"/>
        <w:rPr>
          <w:sz w:val="20"/>
        </w:rPr>
      </w:pPr>
      <w:r>
        <w:rPr>
          <w:color w:val="4D4D4F"/>
          <w:sz w:val="20"/>
        </w:rPr>
        <w:t>Data not provided: For some of the KPIs, data may have been collected but was not formally provided by DELWP for</w:t>
      </w:r>
      <w:r>
        <w:rPr>
          <w:color w:val="4D4D4F"/>
          <w:spacing w:val="24"/>
          <w:sz w:val="20"/>
        </w:rPr>
        <w:t xml:space="preserve"> </w:t>
      </w:r>
      <w:r>
        <w:rPr>
          <w:color w:val="4D4D4F"/>
          <w:sz w:val="20"/>
        </w:rPr>
        <w:t>assessment</w:t>
      </w:r>
    </w:p>
    <w:p w14:paraId="42CCD984" w14:textId="77777777" w:rsidR="00EF5B27" w:rsidRDefault="00EF5B27">
      <w:pPr>
        <w:spacing w:line="254" w:lineRule="auto"/>
        <w:rPr>
          <w:sz w:val="20"/>
        </w:rPr>
        <w:sectPr w:rsidR="00EF5B27">
          <w:pgSz w:w="11910" w:h="16840"/>
          <w:pgMar w:top="1080" w:right="1020" w:bottom="860" w:left="1020" w:header="537" w:footer="678" w:gutter="0"/>
          <w:cols w:space="720"/>
        </w:sectPr>
      </w:pPr>
    </w:p>
    <w:p w14:paraId="47C18567" w14:textId="77777777" w:rsidR="00EF5B27" w:rsidRDefault="00EF5B27">
      <w:pPr>
        <w:pStyle w:val="BodyText"/>
      </w:pPr>
    </w:p>
    <w:p w14:paraId="6627A233" w14:textId="77777777" w:rsidR="00EF5B27" w:rsidRDefault="00EF5B27">
      <w:pPr>
        <w:pStyle w:val="BodyText"/>
      </w:pPr>
    </w:p>
    <w:p w14:paraId="198659F1" w14:textId="77777777" w:rsidR="00EF5B27" w:rsidRDefault="00EF5B27">
      <w:pPr>
        <w:pStyle w:val="BodyText"/>
      </w:pPr>
    </w:p>
    <w:p w14:paraId="52353D1B" w14:textId="77777777" w:rsidR="00EF5B27" w:rsidRDefault="00EF5B27">
      <w:pPr>
        <w:pStyle w:val="BodyText"/>
        <w:spacing w:before="4"/>
        <w:rPr>
          <w:sz w:val="25"/>
        </w:rPr>
      </w:pPr>
    </w:p>
    <w:p w14:paraId="5F760461" w14:textId="77777777" w:rsidR="00EF5B27" w:rsidRDefault="00000000">
      <w:pPr>
        <w:pStyle w:val="ListParagraph"/>
        <w:numPr>
          <w:ilvl w:val="1"/>
          <w:numId w:val="47"/>
        </w:numPr>
        <w:tabs>
          <w:tab w:val="left" w:pos="2779"/>
        </w:tabs>
        <w:spacing w:before="100" w:line="254" w:lineRule="auto"/>
        <w:ind w:right="113"/>
        <w:jc w:val="both"/>
        <w:rPr>
          <w:sz w:val="20"/>
        </w:rPr>
      </w:pPr>
      <w:r>
        <w:rPr>
          <w:color w:val="4D4D4F"/>
          <w:sz w:val="20"/>
        </w:rPr>
        <w:t>Lack of drawdown event: For some of the Seasonal Herbaceous Wetlands KPIs, data may only be collected after a drawdown event has occurred. An assessment has not been made due to lack of this event occurring in the defined reporting</w:t>
      </w:r>
      <w:r>
        <w:rPr>
          <w:color w:val="4D4D4F"/>
          <w:spacing w:val="39"/>
          <w:sz w:val="20"/>
        </w:rPr>
        <w:t xml:space="preserve"> </w:t>
      </w:r>
      <w:r>
        <w:rPr>
          <w:color w:val="4D4D4F"/>
          <w:sz w:val="20"/>
        </w:rPr>
        <w:t>period</w:t>
      </w:r>
    </w:p>
    <w:p w14:paraId="4D92F9B2" w14:textId="77777777" w:rsidR="00EF5B27" w:rsidRDefault="00000000">
      <w:pPr>
        <w:pStyle w:val="ListParagraph"/>
        <w:numPr>
          <w:ilvl w:val="1"/>
          <w:numId w:val="47"/>
        </w:numPr>
        <w:tabs>
          <w:tab w:val="left" w:pos="2779"/>
        </w:tabs>
        <w:spacing w:before="117" w:line="254" w:lineRule="auto"/>
        <w:ind w:right="315"/>
        <w:rPr>
          <w:sz w:val="20"/>
        </w:rPr>
      </w:pPr>
      <w:r>
        <w:rPr>
          <w:color w:val="4D4D4F"/>
          <w:sz w:val="20"/>
        </w:rPr>
        <w:t>Not monitored in 2020–2022: Some KPIs were not monitored over 2020–2022, and therefore an assessment cannot be made for this</w:t>
      </w:r>
      <w:r>
        <w:rPr>
          <w:color w:val="4D4D4F"/>
          <w:spacing w:val="34"/>
          <w:sz w:val="20"/>
        </w:rPr>
        <w:t xml:space="preserve"> </w:t>
      </w:r>
      <w:r>
        <w:rPr>
          <w:color w:val="4D4D4F"/>
          <w:sz w:val="20"/>
        </w:rPr>
        <w:t>period</w:t>
      </w:r>
    </w:p>
    <w:p w14:paraId="1A81F031" w14:textId="77777777" w:rsidR="00EF5B27" w:rsidRDefault="00000000">
      <w:pPr>
        <w:pStyle w:val="ListParagraph"/>
        <w:numPr>
          <w:ilvl w:val="1"/>
          <w:numId w:val="47"/>
        </w:numPr>
        <w:tabs>
          <w:tab w:val="left" w:pos="2779"/>
        </w:tabs>
        <w:spacing w:before="116" w:line="254" w:lineRule="auto"/>
        <w:ind w:right="229"/>
        <w:rPr>
          <w:sz w:val="20"/>
        </w:rPr>
      </w:pPr>
      <w:r>
        <w:rPr>
          <w:color w:val="4D4D4F"/>
          <w:sz w:val="20"/>
        </w:rPr>
        <w:t xml:space="preserve">Population not yet under MSA management: Some areas earmarked for monitoring of MNES KPIs are not yet under MSA management </w:t>
      </w:r>
      <w:r>
        <w:rPr>
          <w:color w:val="4D4D4F"/>
          <w:spacing w:val="-3"/>
          <w:sz w:val="20"/>
        </w:rPr>
        <w:t xml:space="preserve">(due </w:t>
      </w:r>
      <w:r>
        <w:rPr>
          <w:color w:val="4D4D4F"/>
          <w:sz w:val="20"/>
        </w:rPr>
        <w:t>to land not yet being acquired), and therefore remain</w:t>
      </w:r>
      <w:r>
        <w:rPr>
          <w:color w:val="4D4D4F"/>
          <w:spacing w:val="17"/>
          <w:sz w:val="20"/>
        </w:rPr>
        <w:t xml:space="preserve"> </w:t>
      </w:r>
      <w:r>
        <w:rPr>
          <w:color w:val="4D4D4F"/>
          <w:sz w:val="20"/>
        </w:rPr>
        <w:t>unassessed.</w:t>
      </w:r>
    </w:p>
    <w:p w14:paraId="05E84911" w14:textId="77777777" w:rsidR="00EF5B27" w:rsidRDefault="00EF5B27">
      <w:pPr>
        <w:pStyle w:val="BodyText"/>
        <w:spacing w:before="2"/>
        <w:rPr>
          <w:sz w:val="19"/>
        </w:rPr>
      </w:pPr>
    </w:p>
    <w:p w14:paraId="3B47CCAB" w14:textId="77777777" w:rsidR="00EF5B27" w:rsidRDefault="00000000">
      <w:pPr>
        <w:pStyle w:val="Heading3"/>
        <w:spacing w:before="1"/>
      </w:pPr>
      <w:r>
        <w:rPr>
          <w:color w:val="F99F2A"/>
        </w:rPr>
        <w:t>Trend</w:t>
      </w:r>
    </w:p>
    <w:p w14:paraId="4C839E80" w14:textId="77777777" w:rsidR="00EF5B27" w:rsidRDefault="00000000">
      <w:pPr>
        <w:pStyle w:val="BodyText"/>
        <w:spacing w:before="221" w:line="254" w:lineRule="auto"/>
        <w:ind w:left="2608" w:right="152"/>
      </w:pPr>
      <w:r>
        <w:rPr>
          <w:color w:val="4D4D4F"/>
        </w:rPr>
        <w:t>The trend summary presents an overall analysis of the trend assessments for each    KPI. The trend identifies whether the status of the indicator is deteriorating, improving or</w:t>
      </w:r>
      <w:r>
        <w:rPr>
          <w:color w:val="4D4D4F"/>
          <w:spacing w:val="5"/>
        </w:rPr>
        <w:t xml:space="preserve"> </w:t>
      </w:r>
      <w:r>
        <w:rPr>
          <w:color w:val="4D4D4F"/>
        </w:rPr>
        <w:t>remaining</w:t>
      </w:r>
      <w:r>
        <w:rPr>
          <w:color w:val="4D4D4F"/>
          <w:spacing w:val="6"/>
        </w:rPr>
        <w:t xml:space="preserve"> </w:t>
      </w:r>
      <w:r>
        <w:rPr>
          <w:color w:val="4D4D4F"/>
        </w:rPr>
        <w:t>stable.</w:t>
      </w:r>
      <w:r>
        <w:rPr>
          <w:color w:val="4D4D4F"/>
          <w:spacing w:val="5"/>
        </w:rPr>
        <w:t xml:space="preserve"> </w:t>
      </w:r>
      <w:r>
        <w:rPr>
          <w:color w:val="4D4D4F"/>
        </w:rPr>
        <w:t>The</w:t>
      </w:r>
      <w:r>
        <w:rPr>
          <w:color w:val="4D4D4F"/>
          <w:spacing w:val="6"/>
        </w:rPr>
        <w:t xml:space="preserve"> </w:t>
      </w:r>
      <w:r>
        <w:rPr>
          <w:color w:val="4D4D4F"/>
        </w:rPr>
        <w:t>legend</w:t>
      </w:r>
      <w:r>
        <w:rPr>
          <w:color w:val="4D4D4F"/>
          <w:spacing w:val="6"/>
        </w:rPr>
        <w:t xml:space="preserve"> </w:t>
      </w:r>
      <w:r>
        <w:rPr>
          <w:color w:val="4D4D4F"/>
        </w:rPr>
        <w:t>for</w:t>
      </w:r>
      <w:r>
        <w:rPr>
          <w:color w:val="4D4D4F"/>
          <w:spacing w:val="5"/>
        </w:rPr>
        <w:t xml:space="preserve"> </w:t>
      </w:r>
      <w:r>
        <w:rPr>
          <w:color w:val="4D4D4F"/>
        </w:rPr>
        <w:t>trend</w:t>
      </w:r>
      <w:r>
        <w:rPr>
          <w:color w:val="4D4D4F"/>
          <w:spacing w:val="6"/>
        </w:rPr>
        <w:t xml:space="preserve"> </w:t>
      </w:r>
      <w:r>
        <w:rPr>
          <w:color w:val="4D4D4F"/>
        </w:rPr>
        <w:t>in</w:t>
      </w:r>
      <w:r>
        <w:rPr>
          <w:color w:val="4D4D4F"/>
          <w:spacing w:val="6"/>
        </w:rPr>
        <w:t xml:space="preserve"> </w:t>
      </w:r>
      <w:r>
        <w:rPr>
          <w:color w:val="4D4D4F"/>
        </w:rPr>
        <w:t>the</w:t>
      </w:r>
      <w:r>
        <w:rPr>
          <w:color w:val="4D4D4F"/>
          <w:spacing w:val="5"/>
        </w:rPr>
        <w:t xml:space="preserve"> </w:t>
      </w:r>
      <w:r>
        <w:rPr>
          <w:color w:val="4D4D4F"/>
        </w:rPr>
        <w:t>report</w:t>
      </w:r>
      <w:r>
        <w:rPr>
          <w:color w:val="4D4D4F"/>
          <w:spacing w:val="6"/>
        </w:rPr>
        <w:t xml:space="preserve"> </w:t>
      </w:r>
      <w:r>
        <w:rPr>
          <w:color w:val="4D4D4F"/>
        </w:rPr>
        <w:t>card</w:t>
      </w:r>
      <w:r>
        <w:rPr>
          <w:color w:val="4D4D4F"/>
          <w:spacing w:val="6"/>
        </w:rPr>
        <w:t xml:space="preserve"> </w:t>
      </w:r>
      <w:r>
        <w:rPr>
          <w:color w:val="4D4D4F"/>
        </w:rPr>
        <w:t>reads</w:t>
      </w:r>
      <w:r>
        <w:rPr>
          <w:color w:val="4D4D4F"/>
          <w:spacing w:val="5"/>
        </w:rPr>
        <w:t xml:space="preserve"> </w:t>
      </w:r>
      <w:r>
        <w:rPr>
          <w:color w:val="4D4D4F"/>
        </w:rPr>
        <w:t>as</w:t>
      </w:r>
      <w:r>
        <w:rPr>
          <w:color w:val="4D4D4F"/>
          <w:spacing w:val="6"/>
        </w:rPr>
        <w:t xml:space="preserve"> </w:t>
      </w:r>
      <w:r>
        <w:rPr>
          <w:color w:val="4D4D4F"/>
        </w:rPr>
        <w:t>follows:</w:t>
      </w:r>
    </w:p>
    <w:p w14:paraId="7064814B" w14:textId="77777777" w:rsidR="00EF5B27" w:rsidRDefault="00EF5B27">
      <w:pPr>
        <w:pStyle w:val="BodyText"/>
      </w:pPr>
    </w:p>
    <w:p w14:paraId="5AC1108E" w14:textId="77777777" w:rsidR="00EF5B27" w:rsidRDefault="00EF5B27">
      <w:pPr>
        <w:pStyle w:val="BodyText"/>
        <w:spacing w:before="10"/>
        <w:rPr>
          <w:sz w:val="17"/>
        </w:rPr>
      </w:pPr>
    </w:p>
    <w:p w14:paraId="3BA51099" w14:textId="77777777" w:rsidR="00EF5B27" w:rsidRDefault="00EF5B27">
      <w:pPr>
        <w:rPr>
          <w:sz w:val="17"/>
        </w:rPr>
        <w:sectPr w:rsidR="00EF5B27">
          <w:pgSz w:w="11910" w:h="16840"/>
          <w:pgMar w:top="1080" w:right="1020" w:bottom="860" w:left="1020" w:header="537" w:footer="678" w:gutter="0"/>
          <w:cols w:space="720"/>
        </w:sectPr>
      </w:pPr>
    </w:p>
    <w:p w14:paraId="467A7E78" w14:textId="77777777" w:rsidR="00EF5B27" w:rsidRDefault="00000000">
      <w:pPr>
        <w:pStyle w:val="Heading5"/>
        <w:jc w:val="right"/>
      </w:pPr>
      <w:r>
        <w:rPr>
          <w:noProof/>
        </w:rPr>
        <w:drawing>
          <wp:anchor distT="0" distB="0" distL="0" distR="0" simplePos="0" relativeHeight="251548160" behindDoc="0" locked="0" layoutInCell="1" allowOverlap="1" wp14:anchorId="259F9A87" wp14:editId="76F7E35D">
            <wp:simplePos x="0" y="0"/>
            <wp:positionH relativeFrom="page">
              <wp:posOffset>2314021</wp:posOffset>
            </wp:positionH>
            <wp:positionV relativeFrom="paragraph">
              <wp:posOffset>134043</wp:posOffset>
            </wp:positionV>
            <wp:extent cx="151841" cy="66116"/>
            <wp:effectExtent l="0" t="0" r="0" b="0"/>
            <wp:wrapNone/>
            <wp:docPr id="28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40.png"/>
                    <pic:cNvPicPr/>
                  </pic:nvPicPr>
                  <pic:blipFill>
                    <a:blip r:embed="rId71" cstate="print"/>
                    <a:stretch>
                      <a:fillRect/>
                    </a:stretch>
                  </pic:blipFill>
                  <pic:spPr>
                    <a:xfrm>
                      <a:off x="0" y="0"/>
                      <a:ext cx="151841" cy="66116"/>
                    </a:xfrm>
                    <a:prstGeom prst="rect">
                      <a:avLst/>
                    </a:prstGeom>
                  </pic:spPr>
                </pic:pic>
              </a:graphicData>
            </a:graphic>
          </wp:anchor>
        </w:drawing>
      </w:r>
      <w:r>
        <w:rPr>
          <w:color w:val="5DB84B"/>
          <w:w w:val="85"/>
        </w:rPr>
        <w:t>Improving</w:t>
      </w:r>
    </w:p>
    <w:p w14:paraId="6452A6F8" w14:textId="77777777" w:rsidR="00EF5B27" w:rsidRDefault="00000000">
      <w:pPr>
        <w:spacing w:before="96"/>
        <w:ind w:left="585"/>
        <w:rPr>
          <w:rFonts w:ascii="Century Gothic"/>
          <w:sz w:val="25"/>
        </w:rPr>
      </w:pPr>
      <w:r>
        <w:br w:type="column"/>
      </w:r>
      <w:r>
        <w:rPr>
          <w:noProof/>
          <w:position w:val="-2"/>
        </w:rPr>
        <w:drawing>
          <wp:inline distT="0" distB="0" distL="0" distR="0" wp14:anchorId="1EDA5B14" wp14:editId="39E4BE25">
            <wp:extent cx="66128" cy="150228"/>
            <wp:effectExtent l="0" t="0" r="0" b="0"/>
            <wp:docPr id="291"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13.png"/>
                    <pic:cNvPicPr/>
                  </pic:nvPicPr>
                  <pic:blipFill>
                    <a:blip r:embed="rId115" cstate="print"/>
                    <a:stretch>
                      <a:fillRect/>
                    </a:stretch>
                  </pic:blipFill>
                  <pic:spPr>
                    <a:xfrm>
                      <a:off x="0" y="0"/>
                      <a:ext cx="66128" cy="150228"/>
                    </a:xfrm>
                    <a:prstGeom prst="rect">
                      <a:avLst/>
                    </a:prstGeom>
                  </pic:spPr>
                </pic:pic>
              </a:graphicData>
            </a:graphic>
          </wp:inline>
        </w:drawing>
      </w:r>
      <w:r>
        <w:rPr>
          <w:rFonts w:ascii="Times New Roman"/>
          <w:sz w:val="20"/>
        </w:rPr>
        <w:t xml:space="preserve">  </w:t>
      </w:r>
      <w:r>
        <w:rPr>
          <w:rFonts w:ascii="Times New Roman"/>
          <w:spacing w:val="1"/>
          <w:sz w:val="20"/>
        </w:rPr>
        <w:t xml:space="preserve"> </w:t>
      </w:r>
      <w:r>
        <w:rPr>
          <w:rFonts w:ascii="Century Gothic"/>
          <w:color w:val="F9A02A"/>
          <w:spacing w:val="-4"/>
          <w:w w:val="90"/>
          <w:sz w:val="25"/>
        </w:rPr>
        <w:t>Stable</w:t>
      </w:r>
    </w:p>
    <w:p w14:paraId="51DC6F14" w14:textId="77777777" w:rsidR="00EF5B27" w:rsidRDefault="00000000">
      <w:pPr>
        <w:pStyle w:val="Heading5"/>
        <w:ind w:left="901"/>
      </w:pPr>
      <w:r>
        <w:br w:type="column"/>
      </w:r>
      <w:r>
        <w:rPr>
          <w:color w:val="EF422C"/>
          <w:w w:val="85"/>
        </w:rPr>
        <w:t>Deteriorating</w:t>
      </w:r>
    </w:p>
    <w:p w14:paraId="109E3D31" w14:textId="77777777" w:rsidR="00EF5B27" w:rsidRDefault="00000000">
      <w:pPr>
        <w:spacing w:before="104"/>
        <w:ind w:left="789"/>
        <w:rPr>
          <w:rFonts w:ascii="Century Gothic"/>
          <w:sz w:val="25"/>
        </w:rPr>
      </w:pPr>
      <w:r>
        <w:br w:type="column"/>
      </w:r>
      <w:r>
        <w:rPr>
          <w:rFonts w:ascii="Century Gothic"/>
          <w:color w:val="808285"/>
          <w:sz w:val="25"/>
        </w:rPr>
        <w:t>Unclear</w:t>
      </w:r>
    </w:p>
    <w:p w14:paraId="219E3BFF" w14:textId="77777777" w:rsidR="00EF5B27" w:rsidRDefault="00EF5B27">
      <w:pPr>
        <w:rPr>
          <w:rFonts w:ascii="Century Gothic"/>
          <w:sz w:val="25"/>
        </w:rPr>
        <w:sectPr w:rsidR="00EF5B27">
          <w:type w:val="continuous"/>
          <w:pgSz w:w="11910" w:h="16840"/>
          <w:pgMar w:top="1140" w:right="1020" w:bottom="280" w:left="1020" w:header="720" w:footer="720" w:gutter="0"/>
          <w:cols w:num="4" w:space="720" w:equalWidth="0">
            <w:col w:w="4082" w:space="40"/>
            <w:col w:w="1518" w:space="39"/>
            <w:col w:w="2300" w:space="39"/>
            <w:col w:w="1852"/>
          </w:cols>
        </w:sectPr>
      </w:pPr>
    </w:p>
    <w:p w14:paraId="4E706C25" w14:textId="77777777" w:rsidR="00EF5B27" w:rsidRDefault="00000000">
      <w:pPr>
        <w:pStyle w:val="BodyText"/>
        <w:rPr>
          <w:rFonts w:ascii="Century Gothic"/>
        </w:rPr>
      </w:pPr>
      <w:r>
        <w:pict w14:anchorId="175F6DE8">
          <v:group id="_x0000_s3582" style="position:absolute;margin-left:587.05pt;margin-top:183.4pt;width:8.25pt;height:153.1pt;z-index:251546112;mso-position-horizontal-relative:page;mso-position-vertical-relative:page" coordorigin="11741,3668" coordsize="165,3062">
            <v:shape id="_x0000_s3589" style="position:absolute;left:11741;top:3668;width:165;height:561" coordorigin="11741,3668" coordsize="165,561" path="m11906,3668r-165,l11741,4228r165,-18l11906,3668xe" fillcolor="#00aed9" stroked="f">
              <v:path arrowok="t"/>
            </v:shape>
            <v:shape id="_x0000_s3588" style="position:absolute;left:11741;top:4118;width:165;height:425" coordorigin="11741,4118" coordsize="165,425" path="m11906,4118r-165,14l11741,4531r165,12l11906,4118xe" fillcolor="#047ebc" stroked="f">
              <v:path arrowok="t"/>
            </v:shape>
            <v:shape id="_x0000_s3587" type="#_x0000_t75" style="position:absolute;left:11741;top:4355;width:165;height:587">
              <v:imagedata r:id="rId42" o:title=""/>
            </v:shape>
            <v:shape id="_x0000_s3586" style="position:absolute;left:11741;top:5343;width:165;height:536" coordorigin="11741,5343" coordsize="165,536" path="m11741,5343r,535l11906,5872r,-525l11741,5343xe" fillcolor="#f36a2e" stroked="f">
              <v:path arrowok="t"/>
            </v:shape>
            <v:shape id="_x0000_s3585" style="position:absolute;left:11741;top:4925;width:165;height:501" coordorigin="11741,4926" coordsize="165,501" path="m11741,4926r,500l11906,5426r,-485l11741,4926xe" fillcolor="#49783f" stroked="f">
              <v:path arrowok="t"/>
            </v:shape>
            <v:shape id="_x0000_s3584" style="position:absolute;left:11741;top:5781;width:165;height:268" coordorigin="11741,5782" coordsize="165,268" path="m11906,5782r-165,8l11741,6039r165,10l11906,5782xe" fillcolor="#f99f2a" stroked="f">
              <v:path arrowok="t"/>
            </v:shape>
            <v:shape id="_x0000_s3583" style="position:absolute;left:11741;top:6023;width:165;height:707" coordorigin="11741,6023" coordsize="165,707" path="m11741,6023r,706l11906,6729r,-690l11741,6023xe" fillcolor="#ef412c" stroked="f">
              <v:path arrowok="t"/>
            </v:shape>
            <w10:wrap anchorx="page" anchory="page"/>
          </v:group>
        </w:pict>
      </w:r>
    </w:p>
    <w:p w14:paraId="49F19E5C" w14:textId="77777777" w:rsidR="00EF5B27" w:rsidRDefault="00EF5B27">
      <w:pPr>
        <w:pStyle w:val="BodyText"/>
        <w:spacing w:before="8"/>
        <w:rPr>
          <w:rFonts w:ascii="Century Gothic"/>
          <w:sz w:val="15"/>
        </w:rPr>
      </w:pPr>
    </w:p>
    <w:p w14:paraId="5554FDDF" w14:textId="77777777" w:rsidR="00EF5B27" w:rsidRDefault="00000000">
      <w:pPr>
        <w:spacing w:before="115"/>
        <w:ind w:left="2608"/>
        <w:rPr>
          <w:b/>
          <w:sz w:val="28"/>
        </w:rPr>
      </w:pPr>
      <w:r>
        <w:pict w14:anchorId="4308164D">
          <v:group id="_x0000_s3579" style="position:absolute;left:0;text-align:left;margin-left:476.25pt;margin-top:-35.65pt;width:8pt;height:13.55pt;z-index:251547136;mso-position-horizontal-relative:page" coordorigin="9525,-713" coordsize="160,271">
            <v:shape id="_x0000_s3581" style="position:absolute;left:9573;top:-492;width:50;height:50" coordorigin="9574,-491" coordsize="50,50" path="m9605,-491r-14,l9585,-489r-9,9l9574,-474r,14l9576,-454r9,9l9591,-442r14,l9611,-445r9,-9l9623,-460r,-14l9620,-480r-9,-9l9605,-491xe" fillcolor="#808285" stroked="f">
              <v:path arrowok="t"/>
            </v:shape>
            <v:shape id="_x0000_s3580" type="#_x0000_t75" style="position:absolute;left:9524;top:-713;width:160;height:190">
              <v:imagedata r:id="rId69" o:title=""/>
            </v:shape>
            <w10:wrap anchorx="page"/>
          </v:group>
        </w:pict>
      </w:r>
      <w:r>
        <w:rPr>
          <w:noProof/>
        </w:rPr>
        <w:drawing>
          <wp:anchor distT="0" distB="0" distL="0" distR="0" simplePos="0" relativeHeight="251549184" behindDoc="0" locked="0" layoutInCell="1" allowOverlap="1" wp14:anchorId="284C6A94" wp14:editId="16A18B1B">
            <wp:simplePos x="0" y="0"/>
            <wp:positionH relativeFrom="page">
              <wp:posOffset>4592113</wp:posOffset>
            </wp:positionH>
            <wp:positionV relativeFrom="paragraph">
              <wp:posOffset>-394316</wp:posOffset>
            </wp:positionV>
            <wp:extent cx="151841" cy="65493"/>
            <wp:effectExtent l="0" t="0" r="0" b="0"/>
            <wp:wrapNone/>
            <wp:docPr id="29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39.png"/>
                    <pic:cNvPicPr/>
                  </pic:nvPicPr>
                  <pic:blipFill>
                    <a:blip r:embed="rId70" cstate="print"/>
                    <a:stretch>
                      <a:fillRect/>
                    </a:stretch>
                  </pic:blipFill>
                  <pic:spPr>
                    <a:xfrm>
                      <a:off x="0" y="0"/>
                      <a:ext cx="151841" cy="65493"/>
                    </a:xfrm>
                    <a:prstGeom prst="rect">
                      <a:avLst/>
                    </a:prstGeom>
                  </pic:spPr>
                </pic:pic>
              </a:graphicData>
            </a:graphic>
          </wp:anchor>
        </w:drawing>
      </w:r>
      <w:r>
        <w:rPr>
          <w:b/>
          <w:color w:val="F99F2A"/>
          <w:sz w:val="28"/>
        </w:rPr>
        <w:t>Data confidence</w:t>
      </w:r>
    </w:p>
    <w:p w14:paraId="389C34AC" w14:textId="77777777" w:rsidR="00EF5B27" w:rsidRDefault="00000000">
      <w:pPr>
        <w:pStyle w:val="BodyText"/>
        <w:spacing w:before="108" w:line="254" w:lineRule="auto"/>
        <w:ind w:left="2608" w:right="465"/>
      </w:pPr>
      <w:r>
        <w:rPr>
          <w:color w:val="4D4D4F"/>
        </w:rPr>
        <w:t>Data confidence reflects on knowledge gaps and data limitations when assessing the status and trend of each KPI. The legend for data quality in the report card is:</w:t>
      </w:r>
    </w:p>
    <w:p w14:paraId="5B9D6A19" w14:textId="77777777" w:rsidR="00EF5B27" w:rsidRDefault="00000000">
      <w:pPr>
        <w:pStyle w:val="ListParagraph"/>
        <w:numPr>
          <w:ilvl w:val="1"/>
          <w:numId w:val="47"/>
        </w:numPr>
        <w:tabs>
          <w:tab w:val="left" w:pos="2779"/>
        </w:tabs>
        <w:spacing w:before="116" w:line="254" w:lineRule="auto"/>
        <w:ind w:right="710"/>
        <w:rPr>
          <w:sz w:val="20"/>
        </w:rPr>
      </w:pPr>
      <w:r>
        <w:rPr>
          <w:b/>
          <w:color w:val="4D4D4F"/>
          <w:spacing w:val="-7"/>
          <w:sz w:val="20"/>
        </w:rPr>
        <w:t xml:space="preserve">N/A </w:t>
      </w:r>
      <w:r>
        <w:rPr>
          <w:b/>
          <w:color w:val="4D4D4F"/>
          <w:sz w:val="20"/>
        </w:rPr>
        <w:t>(not applicable)</w:t>
      </w:r>
      <w:r>
        <w:rPr>
          <w:color w:val="4D4D4F"/>
          <w:sz w:val="20"/>
        </w:rPr>
        <w:t>: A KPI data confidence assessment has not been made, because</w:t>
      </w:r>
      <w:r>
        <w:rPr>
          <w:color w:val="4D4D4F"/>
          <w:spacing w:val="8"/>
          <w:sz w:val="20"/>
        </w:rPr>
        <w:t xml:space="preserve"> </w:t>
      </w:r>
      <w:r>
        <w:rPr>
          <w:color w:val="4D4D4F"/>
          <w:sz w:val="20"/>
        </w:rPr>
        <w:t>status</w:t>
      </w:r>
      <w:r>
        <w:rPr>
          <w:color w:val="4D4D4F"/>
          <w:spacing w:val="9"/>
          <w:sz w:val="20"/>
        </w:rPr>
        <w:t xml:space="preserve"> </w:t>
      </w:r>
      <w:r>
        <w:rPr>
          <w:color w:val="4D4D4F"/>
          <w:sz w:val="20"/>
        </w:rPr>
        <w:t>and</w:t>
      </w:r>
      <w:r>
        <w:rPr>
          <w:color w:val="4D4D4F"/>
          <w:spacing w:val="8"/>
          <w:sz w:val="20"/>
        </w:rPr>
        <w:t xml:space="preserve"> </w:t>
      </w:r>
      <w:r>
        <w:rPr>
          <w:color w:val="4D4D4F"/>
          <w:sz w:val="20"/>
        </w:rPr>
        <w:t>trend</w:t>
      </w:r>
      <w:r>
        <w:rPr>
          <w:color w:val="4D4D4F"/>
          <w:spacing w:val="9"/>
          <w:sz w:val="20"/>
        </w:rPr>
        <w:t xml:space="preserve"> </w:t>
      </w:r>
      <w:r>
        <w:rPr>
          <w:color w:val="4D4D4F"/>
          <w:sz w:val="20"/>
        </w:rPr>
        <w:t>assessments</w:t>
      </w:r>
      <w:r>
        <w:rPr>
          <w:color w:val="4D4D4F"/>
          <w:spacing w:val="8"/>
          <w:sz w:val="20"/>
        </w:rPr>
        <w:t xml:space="preserve"> </w:t>
      </w:r>
      <w:r>
        <w:rPr>
          <w:color w:val="4D4D4F"/>
          <w:sz w:val="20"/>
        </w:rPr>
        <w:t>have</w:t>
      </w:r>
      <w:r>
        <w:rPr>
          <w:color w:val="4D4D4F"/>
          <w:spacing w:val="9"/>
          <w:sz w:val="20"/>
        </w:rPr>
        <w:t xml:space="preserve"> </w:t>
      </w:r>
      <w:r>
        <w:rPr>
          <w:color w:val="4D4D4F"/>
          <w:sz w:val="20"/>
        </w:rPr>
        <w:t>not</w:t>
      </w:r>
      <w:r>
        <w:rPr>
          <w:color w:val="4D4D4F"/>
          <w:spacing w:val="8"/>
          <w:sz w:val="20"/>
        </w:rPr>
        <w:t xml:space="preserve"> </w:t>
      </w:r>
      <w:r>
        <w:rPr>
          <w:color w:val="4D4D4F"/>
          <w:sz w:val="20"/>
        </w:rPr>
        <w:t>been</w:t>
      </w:r>
      <w:r>
        <w:rPr>
          <w:color w:val="4D4D4F"/>
          <w:spacing w:val="9"/>
          <w:sz w:val="20"/>
        </w:rPr>
        <w:t xml:space="preserve"> </w:t>
      </w:r>
      <w:r>
        <w:rPr>
          <w:color w:val="4D4D4F"/>
          <w:sz w:val="20"/>
        </w:rPr>
        <w:t>made</w:t>
      </w:r>
      <w:r>
        <w:rPr>
          <w:color w:val="4D4D4F"/>
          <w:spacing w:val="8"/>
          <w:sz w:val="20"/>
        </w:rPr>
        <w:t xml:space="preserve"> </w:t>
      </w:r>
      <w:r>
        <w:rPr>
          <w:color w:val="4D4D4F"/>
          <w:sz w:val="20"/>
        </w:rPr>
        <w:t>for</w:t>
      </w:r>
      <w:r>
        <w:rPr>
          <w:color w:val="4D4D4F"/>
          <w:spacing w:val="9"/>
          <w:sz w:val="20"/>
        </w:rPr>
        <w:t xml:space="preserve"> </w:t>
      </w:r>
      <w:r>
        <w:rPr>
          <w:color w:val="4D4D4F"/>
          <w:sz w:val="20"/>
        </w:rPr>
        <w:t>this</w:t>
      </w:r>
      <w:r>
        <w:rPr>
          <w:color w:val="4D4D4F"/>
          <w:spacing w:val="8"/>
          <w:sz w:val="20"/>
        </w:rPr>
        <w:t xml:space="preserve"> </w:t>
      </w:r>
      <w:r>
        <w:rPr>
          <w:color w:val="4D4D4F"/>
          <w:spacing w:val="-3"/>
          <w:sz w:val="20"/>
        </w:rPr>
        <w:t>indicator.</w:t>
      </w:r>
    </w:p>
    <w:p w14:paraId="40FC2317" w14:textId="77777777" w:rsidR="00EF5B27" w:rsidRDefault="00000000">
      <w:pPr>
        <w:pStyle w:val="ListParagraph"/>
        <w:numPr>
          <w:ilvl w:val="1"/>
          <w:numId w:val="47"/>
        </w:numPr>
        <w:tabs>
          <w:tab w:val="left" w:pos="2779"/>
        </w:tabs>
        <w:spacing w:before="116" w:line="254" w:lineRule="auto"/>
        <w:ind w:right="606"/>
        <w:rPr>
          <w:sz w:val="20"/>
        </w:rPr>
      </w:pPr>
      <w:r>
        <w:rPr>
          <w:b/>
          <w:color w:val="4D4D4F"/>
          <w:sz w:val="20"/>
        </w:rPr>
        <w:t>Insufficient evidence</w:t>
      </w:r>
      <w:r>
        <w:rPr>
          <w:color w:val="4D4D4F"/>
          <w:sz w:val="20"/>
        </w:rPr>
        <w:t xml:space="preserve">: There is negligible evidence </w:t>
      </w:r>
      <w:r>
        <w:rPr>
          <w:color w:val="4D4D4F"/>
          <w:spacing w:val="-3"/>
          <w:sz w:val="20"/>
        </w:rPr>
        <w:t xml:space="preserve">(that </w:t>
      </w:r>
      <w:r>
        <w:rPr>
          <w:color w:val="4D4D4F"/>
          <w:sz w:val="20"/>
        </w:rPr>
        <w:t xml:space="preserve">is, suitable data </w:t>
      </w:r>
      <w:r>
        <w:rPr>
          <w:color w:val="4D4D4F"/>
          <w:spacing w:val="-3"/>
          <w:sz w:val="20"/>
        </w:rPr>
        <w:t xml:space="preserve">and/or </w:t>
      </w:r>
      <w:r>
        <w:rPr>
          <w:color w:val="4D4D4F"/>
          <w:sz w:val="20"/>
        </w:rPr>
        <w:t>thresholds) and no status and trend assessments can be</w:t>
      </w:r>
      <w:r>
        <w:rPr>
          <w:color w:val="4D4D4F"/>
          <w:spacing w:val="7"/>
          <w:sz w:val="20"/>
        </w:rPr>
        <w:t xml:space="preserve"> </w:t>
      </w:r>
      <w:r>
        <w:rPr>
          <w:color w:val="4D4D4F"/>
          <w:sz w:val="20"/>
        </w:rPr>
        <w:t>made.</w:t>
      </w:r>
    </w:p>
    <w:p w14:paraId="23DAF350" w14:textId="77777777" w:rsidR="00EF5B27" w:rsidRDefault="00000000">
      <w:pPr>
        <w:pStyle w:val="ListParagraph"/>
        <w:numPr>
          <w:ilvl w:val="1"/>
          <w:numId w:val="47"/>
        </w:numPr>
        <w:tabs>
          <w:tab w:val="left" w:pos="2779"/>
        </w:tabs>
        <w:spacing w:before="115" w:line="254" w:lineRule="auto"/>
        <w:ind w:right="659"/>
        <w:rPr>
          <w:sz w:val="20"/>
        </w:rPr>
      </w:pPr>
      <w:r>
        <w:rPr>
          <w:b/>
          <w:color w:val="4D4D4F"/>
          <w:w w:val="105"/>
          <w:sz w:val="20"/>
        </w:rPr>
        <w:t>Low</w:t>
      </w:r>
      <w:r>
        <w:rPr>
          <w:color w:val="4D4D4F"/>
          <w:w w:val="105"/>
          <w:sz w:val="20"/>
        </w:rPr>
        <w:t>:</w:t>
      </w:r>
      <w:r>
        <w:rPr>
          <w:color w:val="4D4D4F"/>
          <w:spacing w:val="-20"/>
          <w:w w:val="105"/>
          <w:sz w:val="20"/>
        </w:rPr>
        <w:t xml:space="preserve"> </w:t>
      </w:r>
      <w:r>
        <w:rPr>
          <w:color w:val="4D4D4F"/>
          <w:w w:val="105"/>
          <w:sz w:val="20"/>
        </w:rPr>
        <w:t>An</w:t>
      </w:r>
      <w:r>
        <w:rPr>
          <w:color w:val="4D4D4F"/>
          <w:spacing w:val="-19"/>
          <w:w w:val="105"/>
          <w:sz w:val="20"/>
        </w:rPr>
        <w:t xml:space="preserve"> </w:t>
      </w:r>
      <w:r>
        <w:rPr>
          <w:color w:val="4D4D4F"/>
          <w:w w:val="105"/>
          <w:sz w:val="20"/>
        </w:rPr>
        <w:t>assessment</w:t>
      </w:r>
      <w:r>
        <w:rPr>
          <w:color w:val="4D4D4F"/>
          <w:spacing w:val="-19"/>
          <w:w w:val="105"/>
          <w:sz w:val="20"/>
        </w:rPr>
        <w:t xml:space="preserve"> </w:t>
      </w:r>
      <w:r>
        <w:rPr>
          <w:color w:val="4D4D4F"/>
          <w:w w:val="105"/>
          <w:sz w:val="20"/>
        </w:rPr>
        <w:t>can</w:t>
      </w:r>
      <w:r>
        <w:rPr>
          <w:color w:val="4D4D4F"/>
          <w:spacing w:val="-19"/>
          <w:w w:val="105"/>
          <w:sz w:val="20"/>
        </w:rPr>
        <w:t xml:space="preserve"> </w:t>
      </w:r>
      <w:r>
        <w:rPr>
          <w:color w:val="4D4D4F"/>
          <w:w w:val="105"/>
          <w:sz w:val="20"/>
        </w:rPr>
        <w:t>be</w:t>
      </w:r>
      <w:r>
        <w:rPr>
          <w:color w:val="4D4D4F"/>
          <w:spacing w:val="-20"/>
          <w:w w:val="105"/>
          <w:sz w:val="20"/>
        </w:rPr>
        <w:t xml:space="preserve"> </w:t>
      </w:r>
      <w:r>
        <w:rPr>
          <w:color w:val="4D4D4F"/>
          <w:w w:val="105"/>
          <w:sz w:val="20"/>
        </w:rPr>
        <w:t>made,</w:t>
      </w:r>
      <w:r>
        <w:rPr>
          <w:color w:val="4D4D4F"/>
          <w:spacing w:val="-19"/>
          <w:w w:val="105"/>
          <w:sz w:val="20"/>
        </w:rPr>
        <w:t xml:space="preserve"> </w:t>
      </w:r>
      <w:r>
        <w:rPr>
          <w:color w:val="4D4D4F"/>
          <w:w w:val="105"/>
          <w:sz w:val="20"/>
        </w:rPr>
        <w:t>but</w:t>
      </w:r>
      <w:r>
        <w:rPr>
          <w:color w:val="4D4D4F"/>
          <w:spacing w:val="-19"/>
          <w:w w:val="105"/>
          <w:sz w:val="20"/>
        </w:rPr>
        <w:t xml:space="preserve"> </w:t>
      </w:r>
      <w:r>
        <w:rPr>
          <w:color w:val="4D4D4F"/>
          <w:w w:val="105"/>
          <w:sz w:val="20"/>
        </w:rPr>
        <w:t>there</w:t>
      </w:r>
      <w:r>
        <w:rPr>
          <w:color w:val="4D4D4F"/>
          <w:spacing w:val="-19"/>
          <w:w w:val="105"/>
          <w:sz w:val="20"/>
        </w:rPr>
        <w:t xml:space="preserve"> </w:t>
      </w:r>
      <w:r>
        <w:rPr>
          <w:color w:val="4D4D4F"/>
          <w:w w:val="105"/>
          <w:sz w:val="20"/>
        </w:rPr>
        <w:t>is</w:t>
      </w:r>
      <w:r>
        <w:rPr>
          <w:color w:val="4D4D4F"/>
          <w:spacing w:val="-19"/>
          <w:w w:val="105"/>
          <w:sz w:val="20"/>
        </w:rPr>
        <w:t xml:space="preserve"> </w:t>
      </w:r>
      <w:r>
        <w:rPr>
          <w:color w:val="4D4D4F"/>
          <w:w w:val="105"/>
          <w:sz w:val="20"/>
        </w:rPr>
        <w:t>only</w:t>
      </w:r>
      <w:r>
        <w:rPr>
          <w:color w:val="4D4D4F"/>
          <w:spacing w:val="-20"/>
          <w:w w:val="105"/>
          <w:sz w:val="20"/>
        </w:rPr>
        <w:t xml:space="preserve"> </w:t>
      </w:r>
      <w:r>
        <w:rPr>
          <w:color w:val="4D4D4F"/>
          <w:w w:val="105"/>
          <w:sz w:val="20"/>
        </w:rPr>
        <w:t>minimal</w:t>
      </w:r>
      <w:r>
        <w:rPr>
          <w:color w:val="4D4D4F"/>
          <w:spacing w:val="-19"/>
          <w:w w:val="105"/>
          <w:sz w:val="20"/>
        </w:rPr>
        <w:t xml:space="preserve"> </w:t>
      </w:r>
      <w:r>
        <w:rPr>
          <w:color w:val="4D4D4F"/>
          <w:w w:val="105"/>
          <w:sz w:val="20"/>
        </w:rPr>
        <w:t>evidence</w:t>
      </w:r>
      <w:r>
        <w:rPr>
          <w:color w:val="4D4D4F"/>
          <w:spacing w:val="-19"/>
          <w:w w:val="105"/>
          <w:sz w:val="20"/>
        </w:rPr>
        <w:t xml:space="preserve"> </w:t>
      </w:r>
      <w:r>
        <w:rPr>
          <w:color w:val="4D4D4F"/>
          <w:w w:val="105"/>
          <w:sz w:val="20"/>
        </w:rPr>
        <w:t>to</w:t>
      </w:r>
      <w:r>
        <w:rPr>
          <w:color w:val="4D4D4F"/>
          <w:spacing w:val="-19"/>
          <w:w w:val="105"/>
          <w:sz w:val="20"/>
        </w:rPr>
        <w:t xml:space="preserve"> </w:t>
      </w:r>
      <w:r>
        <w:rPr>
          <w:color w:val="4D4D4F"/>
          <w:w w:val="105"/>
          <w:sz w:val="20"/>
        </w:rPr>
        <w:t>guide the</w:t>
      </w:r>
      <w:r>
        <w:rPr>
          <w:color w:val="4D4D4F"/>
          <w:spacing w:val="1"/>
          <w:w w:val="105"/>
          <w:sz w:val="20"/>
        </w:rPr>
        <w:t xml:space="preserve"> </w:t>
      </w:r>
      <w:r>
        <w:rPr>
          <w:color w:val="4D4D4F"/>
          <w:w w:val="105"/>
          <w:sz w:val="20"/>
        </w:rPr>
        <w:t>assessment.</w:t>
      </w:r>
    </w:p>
    <w:p w14:paraId="21B50241" w14:textId="77777777" w:rsidR="00EF5B27" w:rsidRDefault="00000000">
      <w:pPr>
        <w:pStyle w:val="ListParagraph"/>
        <w:numPr>
          <w:ilvl w:val="1"/>
          <w:numId w:val="47"/>
        </w:numPr>
        <w:tabs>
          <w:tab w:val="left" w:pos="2779"/>
        </w:tabs>
        <w:spacing w:before="116"/>
        <w:rPr>
          <w:sz w:val="20"/>
        </w:rPr>
      </w:pPr>
      <w:r>
        <w:rPr>
          <w:b/>
          <w:color w:val="4D4D4F"/>
          <w:sz w:val="20"/>
        </w:rPr>
        <w:t>Moderate</w:t>
      </w:r>
      <w:r>
        <w:rPr>
          <w:color w:val="4D4D4F"/>
          <w:sz w:val="20"/>
        </w:rPr>
        <w:t>: Limited evidence or limited</w:t>
      </w:r>
      <w:r>
        <w:rPr>
          <w:color w:val="4D4D4F"/>
          <w:spacing w:val="16"/>
          <w:sz w:val="20"/>
        </w:rPr>
        <w:t xml:space="preserve"> </w:t>
      </w:r>
      <w:r>
        <w:rPr>
          <w:color w:val="4D4D4F"/>
          <w:sz w:val="20"/>
        </w:rPr>
        <w:t>consensus.</w:t>
      </w:r>
    </w:p>
    <w:p w14:paraId="38244850" w14:textId="77777777" w:rsidR="00EF5B27" w:rsidRDefault="00000000">
      <w:pPr>
        <w:pStyle w:val="ListParagraph"/>
        <w:numPr>
          <w:ilvl w:val="1"/>
          <w:numId w:val="47"/>
        </w:numPr>
        <w:tabs>
          <w:tab w:val="left" w:pos="2779"/>
        </w:tabs>
        <w:spacing w:before="130"/>
        <w:rPr>
          <w:sz w:val="20"/>
        </w:rPr>
      </w:pPr>
      <w:r>
        <w:rPr>
          <w:b/>
          <w:color w:val="4D4D4F"/>
          <w:sz w:val="20"/>
        </w:rPr>
        <w:t>High</w:t>
      </w:r>
      <w:r>
        <w:rPr>
          <w:color w:val="4D4D4F"/>
          <w:sz w:val="20"/>
        </w:rPr>
        <w:t>: Adequate high-quality evidence and high level of</w:t>
      </w:r>
      <w:r>
        <w:rPr>
          <w:color w:val="4D4D4F"/>
          <w:spacing w:val="32"/>
          <w:sz w:val="20"/>
        </w:rPr>
        <w:t xml:space="preserve"> </w:t>
      </w:r>
      <w:r>
        <w:rPr>
          <w:color w:val="4D4D4F"/>
          <w:sz w:val="20"/>
        </w:rPr>
        <w:t>consensus.</w:t>
      </w:r>
    </w:p>
    <w:p w14:paraId="62F6F097" w14:textId="77777777" w:rsidR="00EF5B27" w:rsidRDefault="00EF5B27">
      <w:pPr>
        <w:pStyle w:val="BodyText"/>
        <w:spacing w:before="2"/>
      </w:pPr>
    </w:p>
    <w:p w14:paraId="3678AE4B" w14:textId="77777777" w:rsidR="00EF5B27" w:rsidRDefault="00000000">
      <w:pPr>
        <w:pStyle w:val="Heading3"/>
      </w:pPr>
      <w:r>
        <w:rPr>
          <w:color w:val="F99F2A"/>
        </w:rPr>
        <w:t>Year that baseline was/will be set</w:t>
      </w:r>
    </w:p>
    <w:p w14:paraId="4EC33A21" w14:textId="77777777" w:rsidR="00EF5B27" w:rsidRDefault="00000000">
      <w:pPr>
        <w:pStyle w:val="BodyText"/>
        <w:spacing w:before="221" w:line="254" w:lineRule="auto"/>
        <w:ind w:left="2608" w:right="221"/>
      </w:pPr>
      <w:r>
        <w:rPr>
          <w:color w:val="4D4D4F"/>
          <w:w w:val="105"/>
        </w:rPr>
        <w:t>In</w:t>
      </w:r>
      <w:r>
        <w:rPr>
          <w:color w:val="4D4D4F"/>
          <w:spacing w:val="-14"/>
          <w:w w:val="105"/>
        </w:rPr>
        <w:t xml:space="preserve"> </w:t>
      </w:r>
      <w:r>
        <w:rPr>
          <w:color w:val="4D4D4F"/>
          <w:w w:val="105"/>
        </w:rPr>
        <w:t>many</w:t>
      </w:r>
      <w:r>
        <w:rPr>
          <w:color w:val="4D4D4F"/>
          <w:spacing w:val="-13"/>
          <w:w w:val="105"/>
        </w:rPr>
        <w:t xml:space="preserve"> </w:t>
      </w:r>
      <w:r>
        <w:rPr>
          <w:color w:val="4D4D4F"/>
          <w:w w:val="105"/>
        </w:rPr>
        <w:t>cases,</w:t>
      </w:r>
      <w:r>
        <w:rPr>
          <w:color w:val="4D4D4F"/>
          <w:spacing w:val="-13"/>
          <w:w w:val="105"/>
        </w:rPr>
        <w:t xml:space="preserve"> </w:t>
      </w:r>
      <w:r>
        <w:rPr>
          <w:color w:val="4D4D4F"/>
          <w:w w:val="105"/>
        </w:rPr>
        <w:t>the</w:t>
      </w:r>
      <w:r>
        <w:rPr>
          <w:color w:val="4D4D4F"/>
          <w:spacing w:val="-13"/>
          <w:w w:val="105"/>
        </w:rPr>
        <w:t xml:space="preserve"> </w:t>
      </w:r>
      <w:r>
        <w:rPr>
          <w:color w:val="4D4D4F"/>
          <w:w w:val="105"/>
        </w:rPr>
        <w:t>baselines</w:t>
      </w:r>
      <w:r>
        <w:rPr>
          <w:color w:val="4D4D4F"/>
          <w:spacing w:val="-13"/>
          <w:w w:val="105"/>
        </w:rPr>
        <w:t xml:space="preserve"> </w:t>
      </w:r>
      <w:r>
        <w:rPr>
          <w:color w:val="4D4D4F"/>
          <w:w w:val="105"/>
        </w:rPr>
        <w:t>for</w:t>
      </w:r>
      <w:r>
        <w:rPr>
          <w:color w:val="4D4D4F"/>
          <w:spacing w:val="-14"/>
          <w:w w:val="105"/>
        </w:rPr>
        <w:t xml:space="preserve"> </w:t>
      </w:r>
      <w:r>
        <w:rPr>
          <w:color w:val="4D4D4F"/>
          <w:w w:val="105"/>
        </w:rPr>
        <w:t>KPIs</w:t>
      </w:r>
      <w:r>
        <w:rPr>
          <w:color w:val="4D4D4F"/>
          <w:spacing w:val="-13"/>
          <w:w w:val="105"/>
        </w:rPr>
        <w:t xml:space="preserve"> </w:t>
      </w:r>
      <w:r>
        <w:rPr>
          <w:color w:val="4D4D4F"/>
          <w:w w:val="105"/>
        </w:rPr>
        <w:t>have</w:t>
      </w:r>
      <w:r>
        <w:rPr>
          <w:color w:val="4D4D4F"/>
          <w:spacing w:val="-13"/>
          <w:w w:val="105"/>
        </w:rPr>
        <w:t xml:space="preserve"> </w:t>
      </w:r>
      <w:r>
        <w:rPr>
          <w:color w:val="4D4D4F"/>
          <w:w w:val="105"/>
        </w:rPr>
        <w:t>not</w:t>
      </w:r>
      <w:r>
        <w:rPr>
          <w:color w:val="4D4D4F"/>
          <w:spacing w:val="-13"/>
          <w:w w:val="105"/>
        </w:rPr>
        <w:t xml:space="preserve"> </w:t>
      </w:r>
      <w:r>
        <w:rPr>
          <w:color w:val="4D4D4F"/>
          <w:w w:val="105"/>
        </w:rPr>
        <w:t>yet</w:t>
      </w:r>
      <w:r>
        <w:rPr>
          <w:color w:val="4D4D4F"/>
          <w:spacing w:val="-13"/>
          <w:w w:val="105"/>
        </w:rPr>
        <w:t xml:space="preserve"> </w:t>
      </w:r>
      <w:r>
        <w:rPr>
          <w:color w:val="4D4D4F"/>
          <w:w w:val="105"/>
        </w:rPr>
        <w:t>been</w:t>
      </w:r>
      <w:r>
        <w:rPr>
          <w:color w:val="4D4D4F"/>
          <w:spacing w:val="-13"/>
          <w:w w:val="105"/>
        </w:rPr>
        <w:t xml:space="preserve"> </w:t>
      </w:r>
      <w:r>
        <w:rPr>
          <w:color w:val="4D4D4F"/>
          <w:w w:val="105"/>
        </w:rPr>
        <w:t>set,</w:t>
      </w:r>
      <w:r>
        <w:rPr>
          <w:color w:val="4D4D4F"/>
          <w:spacing w:val="-14"/>
          <w:w w:val="105"/>
        </w:rPr>
        <w:t xml:space="preserve"> </w:t>
      </w:r>
      <w:r>
        <w:rPr>
          <w:color w:val="4D4D4F"/>
          <w:w w:val="105"/>
        </w:rPr>
        <w:t>the</w:t>
      </w:r>
      <w:r>
        <w:rPr>
          <w:color w:val="4D4D4F"/>
          <w:spacing w:val="-13"/>
          <w:w w:val="105"/>
        </w:rPr>
        <w:t xml:space="preserve"> </w:t>
      </w:r>
      <w:r>
        <w:rPr>
          <w:color w:val="4D4D4F"/>
          <w:w w:val="105"/>
        </w:rPr>
        <w:t>reasons</w:t>
      </w:r>
      <w:r>
        <w:rPr>
          <w:color w:val="4D4D4F"/>
          <w:spacing w:val="-13"/>
          <w:w w:val="105"/>
        </w:rPr>
        <w:t xml:space="preserve"> </w:t>
      </w:r>
      <w:r>
        <w:rPr>
          <w:color w:val="4D4D4F"/>
          <w:w w:val="105"/>
        </w:rPr>
        <w:t>for</w:t>
      </w:r>
      <w:r>
        <w:rPr>
          <w:color w:val="4D4D4F"/>
          <w:spacing w:val="-13"/>
          <w:w w:val="105"/>
        </w:rPr>
        <w:t xml:space="preserve"> </w:t>
      </w:r>
      <w:r>
        <w:rPr>
          <w:color w:val="4D4D4F"/>
          <w:w w:val="105"/>
        </w:rPr>
        <w:t>which may</w:t>
      </w:r>
      <w:r>
        <w:rPr>
          <w:color w:val="4D4D4F"/>
          <w:spacing w:val="1"/>
          <w:w w:val="105"/>
        </w:rPr>
        <w:t xml:space="preserve"> </w:t>
      </w:r>
      <w:r>
        <w:rPr>
          <w:color w:val="4D4D4F"/>
          <w:w w:val="105"/>
        </w:rPr>
        <w:t>include:</w:t>
      </w:r>
    </w:p>
    <w:p w14:paraId="3299D762" w14:textId="77777777" w:rsidR="00EF5B27" w:rsidRDefault="00000000">
      <w:pPr>
        <w:pStyle w:val="ListParagraph"/>
        <w:numPr>
          <w:ilvl w:val="1"/>
          <w:numId w:val="47"/>
        </w:numPr>
        <w:tabs>
          <w:tab w:val="left" w:pos="2779"/>
        </w:tabs>
        <w:spacing w:before="116" w:line="254" w:lineRule="auto"/>
        <w:ind w:right="399"/>
        <w:jc w:val="both"/>
        <w:rPr>
          <w:sz w:val="20"/>
        </w:rPr>
      </w:pPr>
      <w:r>
        <w:rPr>
          <w:color w:val="4D4D4F"/>
          <w:sz w:val="20"/>
        </w:rPr>
        <w:t>a lack of data for the baselines to be set under the current definitions. For some KPIs, the baseline is calculated not from the first survey, but from the mean of the first five years of monitoring data. In such instances, not enough time has elapsed for the baseline to be</w:t>
      </w:r>
      <w:r>
        <w:rPr>
          <w:color w:val="4D4D4F"/>
          <w:spacing w:val="19"/>
          <w:sz w:val="20"/>
        </w:rPr>
        <w:t xml:space="preserve"> </w:t>
      </w:r>
      <w:r>
        <w:rPr>
          <w:color w:val="4D4D4F"/>
          <w:sz w:val="20"/>
        </w:rPr>
        <w:t>calculated</w:t>
      </w:r>
    </w:p>
    <w:p w14:paraId="52E8AACF" w14:textId="77777777" w:rsidR="00EF5B27" w:rsidRDefault="00000000">
      <w:pPr>
        <w:pStyle w:val="ListParagraph"/>
        <w:numPr>
          <w:ilvl w:val="1"/>
          <w:numId w:val="47"/>
        </w:numPr>
        <w:tabs>
          <w:tab w:val="left" w:pos="2779"/>
        </w:tabs>
        <w:spacing w:before="118"/>
        <w:rPr>
          <w:sz w:val="20"/>
        </w:rPr>
      </w:pPr>
      <w:r>
        <w:rPr>
          <w:color w:val="4D4D4F"/>
          <w:sz w:val="20"/>
        </w:rPr>
        <w:t>monitoring has not yet commenced due to lack of protection of monitored</w:t>
      </w:r>
      <w:r>
        <w:rPr>
          <w:color w:val="4D4D4F"/>
          <w:spacing w:val="17"/>
          <w:sz w:val="20"/>
        </w:rPr>
        <w:t xml:space="preserve"> </w:t>
      </w:r>
      <w:r>
        <w:rPr>
          <w:color w:val="4D4D4F"/>
          <w:sz w:val="20"/>
        </w:rPr>
        <w:t>areas</w:t>
      </w:r>
    </w:p>
    <w:p w14:paraId="42EDA9BB" w14:textId="77777777" w:rsidR="00EF5B27" w:rsidRDefault="00000000">
      <w:pPr>
        <w:pStyle w:val="ListParagraph"/>
        <w:numPr>
          <w:ilvl w:val="1"/>
          <w:numId w:val="47"/>
        </w:numPr>
        <w:tabs>
          <w:tab w:val="left" w:pos="2779"/>
        </w:tabs>
        <w:spacing w:before="129"/>
        <w:rPr>
          <w:sz w:val="20"/>
        </w:rPr>
      </w:pPr>
      <w:r>
        <w:rPr>
          <w:color w:val="4D4D4F"/>
          <w:sz w:val="20"/>
        </w:rPr>
        <w:t>the KPI is not measured against a</w:t>
      </w:r>
      <w:r>
        <w:rPr>
          <w:color w:val="4D4D4F"/>
          <w:spacing w:val="32"/>
          <w:sz w:val="20"/>
        </w:rPr>
        <w:t xml:space="preserve"> </w:t>
      </w:r>
      <w:r>
        <w:rPr>
          <w:color w:val="4D4D4F"/>
          <w:sz w:val="20"/>
        </w:rPr>
        <w:t>baseline.</w:t>
      </w:r>
    </w:p>
    <w:p w14:paraId="32953F4E" w14:textId="77777777" w:rsidR="00EF5B27" w:rsidRDefault="00EF5B27">
      <w:pPr>
        <w:rPr>
          <w:sz w:val="20"/>
        </w:rPr>
        <w:sectPr w:rsidR="00EF5B27">
          <w:type w:val="continuous"/>
          <w:pgSz w:w="11910" w:h="16840"/>
          <w:pgMar w:top="1140" w:right="1020" w:bottom="280" w:left="1020" w:header="720" w:footer="720" w:gutter="0"/>
          <w:cols w:space="720"/>
        </w:sectPr>
      </w:pPr>
    </w:p>
    <w:p w14:paraId="22AA5B0B" w14:textId="77777777" w:rsidR="00EF5B27" w:rsidRDefault="00000000">
      <w:pPr>
        <w:pStyle w:val="BodyText"/>
      </w:pPr>
      <w:r>
        <w:lastRenderedPageBreak/>
        <w:pict w14:anchorId="4E624E65">
          <v:group id="_x0000_s3571" style="position:absolute;margin-left:587.05pt;margin-top:183.4pt;width:8.25pt;height:153.1pt;z-index:251550208;mso-position-horizontal-relative:page;mso-position-vertical-relative:page" coordorigin="11741,3668" coordsize="165,3062">
            <v:shape id="_x0000_s3578" style="position:absolute;left:11741;top:3668;width:165;height:561" coordorigin="11741,3668" coordsize="165,561" path="m11906,3668r-165,l11741,4228r165,-18l11906,3668xe" fillcolor="#00aed9" stroked="f">
              <v:path arrowok="t"/>
            </v:shape>
            <v:shape id="_x0000_s3577" style="position:absolute;left:11741;top:4118;width:165;height:425" coordorigin="11741,4118" coordsize="165,425" path="m11906,4118r-165,14l11741,4531r165,12l11906,4118xe" fillcolor="#047ebc" stroked="f">
              <v:path arrowok="t"/>
            </v:shape>
            <v:shape id="_x0000_s3576" type="#_x0000_t75" style="position:absolute;left:11741;top:4355;width:165;height:587">
              <v:imagedata r:id="rId42" o:title=""/>
            </v:shape>
            <v:shape id="_x0000_s3575" style="position:absolute;left:11741;top:5343;width:165;height:536" coordorigin="11741,5343" coordsize="165,536" path="m11741,5343r,535l11906,5872r,-525l11741,5343xe" fillcolor="#f36a2e" stroked="f">
              <v:path arrowok="t"/>
            </v:shape>
            <v:shape id="_x0000_s3574" style="position:absolute;left:11741;top:4925;width:165;height:501" coordorigin="11741,4926" coordsize="165,501" path="m11741,4926r,500l11906,5426r,-485l11741,4926xe" fillcolor="#49783f" stroked="f">
              <v:path arrowok="t"/>
            </v:shape>
            <v:shape id="_x0000_s3573" style="position:absolute;left:11741;top:5781;width:165;height:268" coordorigin="11741,5782" coordsize="165,268" path="m11906,5782r-165,8l11741,6039r165,10l11906,5782xe" fillcolor="#f99f2a" stroked="f">
              <v:path arrowok="t"/>
            </v:shape>
            <v:shape id="_x0000_s3572" style="position:absolute;left:11741;top:6023;width:165;height:707" coordorigin="11741,6023" coordsize="165,707" path="m11741,6023r,706l11906,6729r,-690l11741,6023xe" fillcolor="#ef412c" stroked="f">
              <v:path arrowok="t"/>
            </v:shape>
            <w10:wrap anchorx="page" anchory="page"/>
          </v:group>
        </w:pict>
      </w:r>
    </w:p>
    <w:p w14:paraId="7C738850" w14:textId="77777777" w:rsidR="00EF5B27" w:rsidRDefault="00EF5B27">
      <w:pPr>
        <w:pStyle w:val="BodyText"/>
      </w:pPr>
    </w:p>
    <w:p w14:paraId="774164AA" w14:textId="77777777" w:rsidR="00EF5B27" w:rsidRDefault="00EF5B27">
      <w:pPr>
        <w:pStyle w:val="BodyText"/>
      </w:pPr>
    </w:p>
    <w:p w14:paraId="22BFB47D" w14:textId="77777777" w:rsidR="00EF5B27" w:rsidRDefault="00EF5B27">
      <w:pPr>
        <w:pStyle w:val="BodyText"/>
        <w:spacing w:before="8"/>
      </w:pPr>
    </w:p>
    <w:p w14:paraId="2F7BD416" w14:textId="77777777" w:rsidR="00EF5B27" w:rsidRDefault="00000000">
      <w:pPr>
        <w:pStyle w:val="Heading2"/>
      </w:pPr>
      <w:bookmarkStart w:id="29" w:name="_bookmark27"/>
      <w:bookmarkEnd w:id="29"/>
      <w:r>
        <w:rPr>
          <w:color w:val="F99F2A"/>
        </w:rPr>
        <w:t>MNES 1: Natural Temperate Grassland</w:t>
      </w:r>
    </w:p>
    <w:p w14:paraId="3C841E11" w14:textId="77777777" w:rsidR="00EF5B27" w:rsidRDefault="00EF5B27">
      <w:pPr>
        <w:pStyle w:val="BodyText"/>
        <w:spacing w:before="5"/>
        <w:rPr>
          <w:b/>
          <w:sz w:val="76"/>
        </w:rPr>
      </w:pPr>
    </w:p>
    <w:p w14:paraId="3382565B" w14:textId="77777777" w:rsidR="00EF5B27" w:rsidRDefault="00000000">
      <w:pPr>
        <w:pStyle w:val="Heading3"/>
      </w:pPr>
      <w:r>
        <w:rPr>
          <w:color w:val="F99F2A"/>
        </w:rPr>
        <w:t>Background</w:t>
      </w:r>
    </w:p>
    <w:p w14:paraId="2A37B548" w14:textId="77777777" w:rsidR="00EF5B27" w:rsidRDefault="00000000">
      <w:pPr>
        <w:pStyle w:val="Heading6"/>
        <w:spacing w:before="221" w:line="254" w:lineRule="auto"/>
        <w:ind w:right="221"/>
        <w:rPr>
          <w:sz w:val="11"/>
        </w:rPr>
      </w:pPr>
      <w:r>
        <w:rPr>
          <w:color w:val="4D4D4F"/>
        </w:rPr>
        <w:t xml:space="preserve">Natural Temperate Grassland of the Victorian Volcanic Plain (hereafter Natural Temperate Grassland) is a vegetation community occurring on heavy soils on basalt terrain, dominated by one or more native tussock-forming grasses. This community also contains a variety of native herbs (notably daisies – family </w:t>
      </w:r>
      <w:r>
        <w:rPr>
          <w:i/>
          <w:color w:val="4D4D4F"/>
        </w:rPr>
        <w:t>Asteraceae</w:t>
      </w:r>
      <w:r>
        <w:rPr>
          <w:color w:val="4D4D4F"/>
        </w:rPr>
        <w:t>) which may occasionally be dominant. Sparse or absent tree cover is also characteristic of this community.</w:t>
      </w:r>
      <w:r>
        <w:rPr>
          <w:color w:val="4D4D4F"/>
          <w:position w:val="7"/>
          <w:sz w:val="11"/>
        </w:rPr>
        <w:t>120</w:t>
      </w:r>
    </w:p>
    <w:p w14:paraId="363244ED" w14:textId="77777777" w:rsidR="00EF5B27" w:rsidRDefault="00000000">
      <w:pPr>
        <w:pStyle w:val="BodyText"/>
        <w:spacing w:before="121" w:line="254" w:lineRule="auto"/>
        <w:ind w:left="2608" w:right="151"/>
        <w:rPr>
          <w:sz w:val="11"/>
        </w:rPr>
      </w:pPr>
      <w:r>
        <w:rPr>
          <w:color w:val="4D4D4F"/>
        </w:rPr>
        <w:t>This community formerly covered much of the Victorian Volcanic Plain (apart from forested areas in the far west and south, and isolated woodlands and wetlands elsewhere). It is now restricted to small, scattered remnants throughout its former range, with a concentration of remnants immediately west of Melbourne.</w:t>
      </w:r>
      <w:r>
        <w:rPr>
          <w:color w:val="4D4D4F"/>
          <w:position w:val="7"/>
          <w:sz w:val="11"/>
        </w:rPr>
        <w:t>121</w:t>
      </w:r>
    </w:p>
    <w:p w14:paraId="418B13A9" w14:textId="77777777" w:rsidR="00EF5B27" w:rsidRDefault="00000000">
      <w:pPr>
        <w:pStyle w:val="BodyText"/>
        <w:spacing w:before="118"/>
        <w:ind w:left="2608"/>
      </w:pPr>
      <w:r>
        <w:rPr>
          <w:color w:val="4D4D4F"/>
          <w:w w:val="105"/>
        </w:rPr>
        <w:t>EPBC listing: Critically Endangered</w:t>
      </w:r>
    </w:p>
    <w:p w14:paraId="0F7E12E3" w14:textId="77777777" w:rsidR="00EF5B27" w:rsidRDefault="00000000">
      <w:pPr>
        <w:pStyle w:val="BodyText"/>
        <w:spacing w:before="7"/>
        <w:rPr>
          <w:sz w:val="29"/>
        </w:rPr>
      </w:pPr>
      <w:r>
        <w:rPr>
          <w:noProof/>
        </w:rPr>
        <w:drawing>
          <wp:anchor distT="0" distB="0" distL="0" distR="0" simplePos="0" relativeHeight="251291136" behindDoc="0" locked="0" layoutInCell="1" allowOverlap="1" wp14:anchorId="2C664C63" wp14:editId="6B8D47AE">
            <wp:simplePos x="0" y="0"/>
            <wp:positionH relativeFrom="page">
              <wp:posOffset>2304000</wp:posOffset>
            </wp:positionH>
            <wp:positionV relativeFrom="paragraph">
              <wp:posOffset>254061</wp:posOffset>
            </wp:positionV>
            <wp:extent cx="4535423" cy="2551176"/>
            <wp:effectExtent l="0" t="0" r="0" b="0"/>
            <wp:wrapTopAndBottom/>
            <wp:docPr id="295"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14.jpeg"/>
                    <pic:cNvPicPr/>
                  </pic:nvPicPr>
                  <pic:blipFill>
                    <a:blip r:embed="rId116" cstate="print"/>
                    <a:stretch>
                      <a:fillRect/>
                    </a:stretch>
                  </pic:blipFill>
                  <pic:spPr>
                    <a:xfrm>
                      <a:off x="0" y="0"/>
                      <a:ext cx="4535423" cy="2551176"/>
                    </a:xfrm>
                    <a:prstGeom prst="rect">
                      <a:avLst/>
                    </a:prstGeom>
                  </pic:spPr>
                </pic:pic>
              </a:graphicData>
            </a:graphic>
          </wp:anchor>
        </w:drawing>
      </w:r>
    </w:p>
    <w:p w14:paraId="72A755CB" w14:textId="77777777" w:rsidR="00EF5B27" w:rsidRDefault="00000000">
      <w:pPr>
        <w:tabs>
          <w:tab w:val="left" w:pos="8977"/>
        </w:tabs>
        <w:spacing w:before="113"/>
        <w:ind w:left="2608"/>
        <w:rPr>
          <w:rFonts w:ascii="Century Gothic"/>
          <w:i/>
          <w:sz w:val="12"/>
        </w:rPr>
      </w:pPr>
      <w:r>
        <w:rPr>
          <w:color w:val="4D4D4F"/>
          <w:sz w:val="16"/>
        </w:rPr>
        <w:t>Figure</w:t>
      </w:r>
      <w:r>
        <w:rPr>
          <w:color w:val="4D4D4F"/>
          <w:spacing w:val="16"/>
          <w:sz w:val="16"/>
        </w:rPr>
        <w:t xml:space="preserve"> </w:t>
      </w:r>
      <w:r>
        <w:rPr>
          <w:color w:val="4D4D4F"/>
          <w:sz w:val="16"/>
        </w:rPr>
        <w:t>5:</w:t>
      </w:r>
      <w:r>
        <w:rPr>
          <w:color w:val="4D4D4F"/>
          <w:spacing w:val="17"/>
          <w:sz w:val="16"/>
        </w:rPr>
        <w:t xml:space="preserve"> </w:t>
      </w:r>
      <w:r>
        <w:rPr>
          <w:color w:val="4D4D4F"/>
          <w:sz w:val="16"/>
        </w:rPr>
        <w:t>Natural</w:t>
      </w:r>
      <w:r>
        <w:rPr>
          <w:color w:val="4D4D4F"/>
          <w:spacing w:val="17"/>
          <w:sz w:val="16"/>
        </w:rPr>
        <w:t xml:space="preserve"> </w:t>
      </w:r>
      <w:r>
        <w:rPr>
          <w:color w:val="4D4D4F"/>
          <w:sz w:val="16"/>
        </w:rPr>
        <w:t>Temperate</w:t>
      </w:r>
      <w:r>
        <w:rPr>
          <w:color w:val="4D4D4F"/>
          <w:spacing w:val="17"/>
          <w:sz w:val="16"/>
        </w:rPr>
        <w:t xml:space="preserve"> </w:t>
      </w:r>
      <w:r>
        <w:rPr>
          <w:color w:val="4D4D4F"/>
          <w:sz w:val="16"/>
        </w:rPr>
        <w:t>Grassland</w:t>
      </w:r>
      <w:r>
        <w:rPr>
          <w:color w:val="4D4D4F"/>
          <w:spacing w:val="17"/>
          <w:sz w:val="16"/>
        </w:rPr>
        <w:t xml:space="preserve"> </w:t>
      </w:r>
      <w:r>
        <w:rPr>
          <w:color w:val="4D4D4F"/>
          <w:sz w:val="16"/>
        </w:rPr>
        <w:t>in</w:t>
      </w:r>
      <w:r>
        <w:rPr>
          <w:color w:val="4D4D4F"/>
          <w:spacing w:val="17"/>
          <w:sz w:val="16"/>
        </w:rPr>
        <w:t xml:space="preserve"> </w:t>
      </w:r>
      <w:r>
        <w:rPr>
          <w:color w:val="4D4D4F"/>
          <w:sz w:val="16"/>
        </w:rPr>
        <w:t>the</w:t>
      </w:r>
      <w:r>
        <w:rPr>
          <w:color w:val="4D4D4F"/>
          <w:spacing w:val="17"/>
          <w:sz w:val="16"/>
        </w:rPr>
        <w:t xml:space="preserve"> </w:t>
      </w:r>
      <w:r>
        <w:rPr>
          <w:color w:val="4D4D4F"/>
          <w:sz w:val="16"/>
        </w:rPr>
        <w:t>Western</w:t>
      </w:r>
      <w:r>
        <w:rPr>
          <w:color w:val="4D4D4F"/>
          <w:spacing w:val="16"/>
          <w:sz w:val="16"/>
        </w:rPr>
        <w:t xml:space="preserve"> </w:t>
      </w:r>
      <w:r>
        <w:rPr>
          <w:color w:val="4D4D4F"/>
          <w:sz w:val="16"/>
        </w:rPr>
        <w:t>Grassland</w:t>
      </w:r>
      <w:r>
        <w:rPr>
          <w:color w:val="4D4D4F"/>
          <w:spacing w:val="17"/>
          <w:sz w:val="16"/>
        </w:rPr>
        <w:t xml:space="preserve"> </w:t>
      </w:r>
      <w:r>
        <w:rPr>
          <w:color w:val="4D4D4F"/>
          <w:sz w:val="16"/>
        </w:rPr>
        <w:t>Reserve</w:t>
      </w:r>
      <w:r>
        <w:rPr>
          <w:color w:val="4D4D4F"/>
          <w:sz w:val="16"/>
        </w:rPr>
        <w:tab/>
      </w:r>
      <w:r>
        <w:rPr>
          <w:rFonts w:ascii="Century Gothic"/>
          <w:i/>
          <w:color w:val="4D4D4F"/>
          <w:sz w:val="12"/>
        </w:rPr>
        <w:t>Source:</w:t>
      </w:r>
      <w:r>
        <w:rPr>
          <w:rFonts w:ascii="Century Gothic"/>
          <w:i/>
          <w:color w:val="4D4D4F"/>
          <w:spacing w:val="-21"/>
          <w:sz w:val="12"/>
        </w:rPr>
        <w:t xml:space="preserve"> </w:t>
      </w:r>
      <w:r>
        <w:rPr>
          <w:rFonts w:ascii="Century Gothic"/>
          <w:i/>
          <w:color w:val="4D4D4F"/>
          <w:sz w:val="12"/>
        </w:rPr>
        <w:t>DELWP</w:t>
      </w:r>
    </w:p>
    <w:p w14:paraId="189349F4" w14:textId="77777777" w:rsidR="00EF5B27" w:rsidRDefault="00EF5B27">
      <w:pPr>
        <w:pStyle w:val="BodyText"/>
        <w:rPr>
          <w:rFonts w:ascii="Century Gothic"/>
          <w:i/>
        </w:rPr>
      </w:pPr>
    </w:p>
    <w:p w14:paraId="6588DD32" w14:textId="77777777" w:rsidR="00EF5B27" w:rsidRDefault="00EF5B27">
      <w:pPr>
        <w:pStyle w:val="BodyText"/>
        <w:rPr>
          <w:rFonts w:ascii="Century Gothic"/>
          <w:i/>
        </w:rPr>
      </w:pPr>
    </w:p>
    <w:p w14:paraId="4E9AB2E9" w14:textId="77777777" w:rsidR="00EF5B27" w:rsidRDefault="00EF5B27">
      <w:pPr>
        <w:pStyle w:val="BodyText"/>
        <w:rPr>
          <w:rFonts w:ascii="Century Gothic"/>
          <w:i/>
        </w:rPr>
      </w:pPr>
    </w:p>
    <w:p w14:paraId="1FCE7621" w14:textId="77777777" w:rsidR="00EF5B27" w:rsidRDefault="00EF5B27">
      <w:pPr>
        <w:pStyle w:val="BodyText"/>
        <w:rPr>
          <w:rFonts w:ascii="Century Gothic"/>
          <w:i/>
        </w:rPr>
      </w:pPr>
    </w:p>
    <w:p w14:paraId="4E968F87" w14:textId="77777777" w:rsidR="00EF5B27" w:rsidRDefault="00EF5B27">
      <w:pPr>
        <w:pStyle w:val="BodyText"/>
        <w:rPr>
          <w:rFonts w:ascii="Century Gothic"/>
          <w:i/>
        </w:rPr>
      </w:pPr>
    </w:p>
    <w:p w14:paraId="010D0916" w14:textId="77777777" w:rsidR="00EF5B27" w:rsidRDefault="00EF5B27">
      <w:pPr>
        <w:pStyle w:val="BodyText"/>
        <w:rPr>
          <w:rFonts w:ascii="Century Gothic"/>
          <w:i/>
        </w:rPr>
      </w:pPr>
    </w:p>
    <w:p w14:paraId="6C2238B4" w14:textId="77777777" w:rsidR="00EF5B27" w:rsidRDefault="00EF5B27">
      <w:pPr>
        <w:pStyle w:val="BodyText"/>
        <w:rPr>
          <w:rFonts w:ascii="Century Gothic"/>
          <w:i/>
        </w:rPr>
      </w:pPr>
    </w:p>
    <w:p w14:paraId="77E63591" w14:textId="77777777" w:rsidR="00EF5B27" w:rsidRDefault="00000000">
      <w:pPr>
        <w:pStyle w:val="BodyText"/>
        <w:spacing w:before="5"/>
        <w:rPr>
          <w:rFonts w:ascii="Century Gothic"/>
          <w:i/>
          <w:sz w:val="12"/>
        </w:rPr>
      </w:pPr>
      <w:r>
        <w:pict w14:anchorId="2603D69F">
          <v:line id="_x0000_s3570" style="position:absolute;z-index:251482624;mso-wrap-distance-left:0;mso-wrap-distance-right:0;mso-position-horizontal-relative:page" from="181.4pt,9.85pt" to="538.55pt,9.85pt" strokecolor="#4d4d4f" strokeweight=".5pt">
            <w10:wrap type="topAndBottom" anchorx="page"/>
          </v:line>
        </w:pict>
      </w:r>
    </w:p>
    <w:p w14:paraId="55A201DF" w14:textId="77777777" w:rsidR="00EF5B27" w:rsidRDefault="00000000">
      <w:pPr>
        <w:pStyle w:val="ListParagraph"/>
        <w:numPr>
          <w:ilvl w:val="0"/>
          <w:numId w:val="46"/>
        </w:numPr>
        <w:tabs>
          <w:tab w:val="left" w:pos="2836"/>
        </w:tabs>
        <w:spacing w:before="88" w:line="230" w:lineRule="auto"/>
        <w:ind w:right="112"/>
        <w:jc w:val="both"/>
        <w:rPr>
          <w:sz w:val="12"/>
        </w:rPr>
      </w:pPr>
      <w:r>
        <w:rPr>
          <w:color w:val="4D4D4F"/>
          <w:sz w:val="12"/>
        </w:rPr>
        <w:t xml:space="preserve">Department of Sustainability, Environment, Water, Population and Communities (DSEWPAC) 2011, ‘Nationally Threatened Ecological Communities of the Victorian Volcanic Plain: Natural Temperate Grassland &amp; </w:t>
      </w:r>
      <w:r>
        <w:rPr>
          <w:color w:val="4D4D4F"/>
          <w:spacing w:val="2"/>
          <w:sz w:val="12"/>
        </w:rPr>
        <w:t xml:space="preserve">Grassy </w:t>
      </w:r>
      <w:r>
        <w:rPr>
          <w:color w:val="4D4D4F"/>
          <w:sz w:val="12"/>
        </w:rPr>
        <w:t xml:space="preserve">Eucalypt Woodland. A guide to the identification, assessment and management of nationally  threatened  ecological  communities  Environment  Protection  and  Biodiversity  </w:t>
      </w:r>
      <w:r>
        <w:rPr>
          <w:color w:val="4D4D4F"/>
          <w:spacing w:val="2"/>
          <w:sz w:val="12"/>
        </w:rPr>
        <w:t xml:space="preserve">Conservation Act </w:t>
      </w:r>
      <w:r>
        <w:rPr>
          <w:color w:val="4D4D4F"/>
          <w:sz w:val="12"/>
        </w:rPr>
        <w:t xml:space="preserve">1999.’ Department of Sustainability, Environment, Water, Population and Communities. </w:t>
      </w:r>
      <w:r>
        <w:rPr>
          <w:color w:val="4D4D4F"/>
          <w:spacing w:val="2"/>
          <w:sz w:val="12"/>
        </w:rPr>
        <w:t>Canberra,</w:t>
      </w:r>
      <w:r>
        <w:rPr>
          <w:color w:val="4D4D4F"/>
          <w:spacing w:val="29"/>
          <w:sz w:val="12"/>
        </w:rPr>
        <w:t xml:space="preserve"> </w:t>
      </w:r>
      <w:r>
        <w:rPr>
          <w:color w:val="4D4D4F"/>
          <w:sz w:val="12"/>
        </w:rPr>
        <w:t>ACT.</w:t>
      </w:r>
    </w:p>
    <w:p w14:paraId="432EAE24" w14:textId="77777777" w:rsidR="00EF5B27" w:rsidRDefault="00000000">
      <w:pPr>
        <w:pStyle w:val="ListParagraph"/>
        <w:numPr>
          <w:ilvl w:val="0"/>
          <w:numId w:val="46"/>
        </w:numPr>
        <w:tabs>
          <w:tab w:val="left" w:pos="2836"/>
        </w:tabs>
        <w:spacing w:line="230" w:lineRule="auto"/>
        <w:ind w:right="112"/>
        <w:jc w:val="both"/>
        <w:rPr>
          <w:sz w:val="12"/>
        </w:rPr>
      </w:pPr>
      <w:r>
        <w:rPr>
          <w:color w:val="4D4D4F"/>
          <w:sz w:val="12"/>
        </w:rPr>
        <w:t xml:space="preserve">Department of Sustainability, Environment, Water, Population and Communities (DSEWPAC) 2011, ‘Nationally Threatened Ecological Communities of the Victorian Volcanic Plain: Natural Temperate Grassland &amp; </w:t>
      </w:r>
      <w:r>
        <w:rPr>
          <w:color w:val="4D4D4F"/>
          <w:spacing w:val="2"/>
          <w:sz w:val="12"/>
        </w:rPr>
        <w:t xml:space="preserve">Grassy </w:t>
      </w:r>
      <w:r>
        <w:rPr>
          <w:color w:val="4D4D4F"/>
          <w:sz w:val="12"/>
        </w:rPr>
        <w:t xml:space="preserve">Eucalypt Woodland. A guide to the identification, assessment and management of nationally  threatened  ecological  communities  Environment  Protection  and  Biodiversity  </w:t>
      </w:r>
      <w:r>
        <w:rPr>
          <w:color w:val="4D4D4F"/>
          <w:spacing w:val="2"/>
          <w:sz w:val="12"/>
        </w:rPr>
        <w:t xml:space="preserve">Conservation Act </w:t>
      </w:r>
      <w:r>
        <w:rPr>
          <w:color w:val="4D4D4F"/>
          <w:sz w:val="12"/>
        </w:rPr>
        <w:t xml:space="preserve">1999.’ Department of Sustainability, Environment, Water, Population and Communities. </w:t>
      </w:r>
      <w:r>
        <w:rPr>
          <w:color w:val="4D4D4F"/>
          <w:spacing w:val="2"/>
          <w:sz w:val="12"/>
        </w:rPr>
        <w:t>Canberra,</w:t>
      </w:r>
      <w:r>
        <w:rPr>
          <w:color w:val="4D4D4F"/>
          <w:spacing w:val="29"/>
          <w:sz w:val="12"/>
        </w:rPr>
        <w:t xml:space="preserve"> </w:t>
      </w:r>
      <w:r>
        <w:rPr>
          <w:color w:val="4D4D4F"/>
          <w:sz w:val="12"/>
        </w:rPr>
        <w:t>ACT.</w:t>
      </w:r>
    </w:p>
    <w:p w14:paraId="70DB64A8" w14:textId="77777777" w:rsidR="00EF5B27" w:rsidRDefault="00EF5B27">
      <w:pPr>
        <w:spacing w:line="230" w:lineRule="auto"/>
        <w:jc w:val="both"/>
        <w:rPr>
          <w:sz w:val="12"/>
        </w:rPr>
        <w:sectPr w:rsidR="00EF5B27">
          <w:pgSz w:w="11910" w:h="16840"/>
          <w:pgMar w:top="1080" w:right="1020" w:bottom="860" w:left="1020" w:header="537" w:footer="678" w:gutter="0"/>
          <w:cols w:space="720"/>
        </w:sectPr>
      </w:pPr>
    </w:p>
    <w:p w14:paraId="2BB1691C" w14:textId="77777777" w:rsidR="00EF5B27" w:rsidRDefault="00000000">
      <w:pPr>
        <w:pStyle w:val="BodyText"/>
      </w:pPr>
      <w:r>
        <w:lastRenderedPageBreak/>
        <w:pict w14:anchorId="7C4D67B3">
          <v:group id="_x0000_s3562" style="position:absolute;margin-left:587.05pt;margin-top:183.4pt;width:8.25pt;height:153.1pt;z-index:251551232;mso-position-horizontal-relative:page;mso-position-vertical-relative:page" coordorigin="11741,3668" coordsize="165,3062">
            <v:shape id="_x0000_s3569" style="position:absolute;left:11741;top:3668;width:165;height:561" coordorigin="11741,3668" coordsize="165,561" path="m11906,3668r-165,l11741,4228r165,-18l11906,3668xe" fillcolor="#00aed9" stroked="f">
              <v:path arrowok="t"/>
            </v:shape>
            <v:shape id="_x0000_s3568" style="position:absolute;left:11741;top:4118;width:165;height:425" coordorigin="11741,4118" coordsize="165,425" path="m11906,4118r-165,14l11741,4531r165,12l11906,4118xe" fillcolor="#047ebc" stroked="f">
              <v:path arrowok="t"/>
            </v:shape>
            <v:shape id="_x0000_s3567" type="#_x0000_t75" style="position:absolute;left:11741;top:4355;width:165;height:587">
              <v:imagedata r:id="rId42" o:title=""/>
            </v:shape>
            <v:shape id="_x0000_s3566" style="position:absolute;left:11741;top:5343;width:165;height:536" coordorigin="11741,5343" coordsize="165,536" path="m11741,5343r,535l11906,5872r,-525l11741,5343xe" fillcolor="#f36a2e" stroked="f">
              <v:path arrowok="t"/>
            </v:shape>
            <v:shape id="_x0000_s3565" style="position:absolute;left:11741;top:4925;width:165;height:501" coordorigin="11741,4926" coordsize="165,501" path="m11741,4926r,500l11906,5426r,-485l11741,4926xe" fillcolor="#49783f" stroked="f">
              <v:path arrowok="t"/>
            </v:shape>
            <v:shape id="_x0000_s3564" style="position:absolute;left:11741;top:5781;width:165;height:268" coordorigin="11741,5782" coordsize="165,268" path="m11906,5782r-165,8l11741,6039r165,10l11906,5782xe" fillcolor="#f99f2a" stroked="f">
              <v:path arrowok="t"/>
            </v:shape>
            <v:shape id="_x0000_s3563" style="position:absolute;left:11741;top:6023;width:165;height:707" coordorigin="11741,6023" coordsize="165,707" path="m11741,6023r,706l11906,6729r,-690l11741,6023xe" fillcolor="#ef412c" stroked="f">
              <v:path arrowok="t"/>
            </v:shape>
            <w10:wrap anchorx="page" anchory="page"/>
          </v:group>
        </w:pict>
      </w:r>
    </w:p>
    <w:p w14:paraId="501A1630" w14:textId="77777777" w:rsidR="00EF5B27" w:rsidRDefault="00EF5B27">
      <w:pPr>
        <w:pStyle w:val="BodyText"/>
      </w:pPr>
    </w:p>
    <w:p w14:paraId="13D20010" w14:textId="77777777" w:rsidR="00EF5B27" w:rsidRDefault="00EF5B27">
      <w:pPr>
        <w:pStyle w:val="BodyText"/>
      </w:pPr>
    </w:p>
    <w:p w14:paraId="7A592A5E" w14:textId="77777777" w:rsidR="00EF5B27" w:rsidRDefault="00EF5B27">
      <w:pPr>
        <w:pStyle w:val="BodyText"/>
        <w:spacing w:before="12"/>
        <w:rPr>
          <w:sz w:val="22"/>
        </w:rPr>
      </w:pPr>
    </w:p>
    <w:p w14:paraId="49BB6011" w14:textId="77777777" w:rsidR="00EF5B27" w:rsidRDefault="00000000">
      <w:pPr>
        <w:pStyle w:val="Heading3"/>
        <w:spacing w:before="115"/>
      </w:pPr>
      <w:r>
        <w:rPr>
          <w:color w:val="F99F2A"/>
        </w:rPr>
        <w:t>DELWP’s conservation commitment</w:t>
      </w:r>
    </w:p>
    <w:p w14:paraId="34615933" w14:textId="77777777" w:rsidR="00EF5B27" w:rsidRDefault="00EF5B27">
      <w:pPr>
        <w:pStyle w:val="BodyText"/>
        <w:spacing w:before="5"/>
        <w:rPr>
          <w:b/>
          <w:sz w:val="27"/>
        </w:rPr>
      </w:pPr>
    </w:p>
    <w:p w14:paraId="15A7B805" w14:textId="77777777" w:rsidR="00EF5B27" w:rsidRDefault="00000000">
      <w:pPr>
        <w:pStyle w:val="BodyText"/>
        <w:spacing w:line="254" w:lineRule="auto"/>
        <w:ind w:left="2608"/>
      </w:pPr>
      <w:r>
        <w:rPr>
          <w:color w:val="4D4D4F"/>
        </w:rPr>
        <w:t>DELWP published the following statements as conservation outcomes for the Natural Temperate Grassland by notice in the Victorian Government Gazette:</w:t>
      </w:r>
    </w:p>
    <w:p w14:paraId="5E4B5E06" w14:textId="77777777" w:rsidR="00EF5B27" w:rsidRDefault="00000000">
      <w:pPr>
        <w:pStyle w:val="BodyText"/>
        <w:spacing w:before="6"/>
        <w:rPr>
          <w:sz w:val="28"/>
        </w:rPr>
      </w:pPr>
      <w:r>
        <w:pict w14:anchorId="40904B58">
          <v:shape id="_x0000_s3561" type="#_x0000_t202" style="position:absolute;margin-left:181.65pt;margin-top:19.6pt;width:356.7pt;height:120.35pt;z-index:251484672;mso-wrap-distance-left:0;mso-wrap-distance-right:0;mso-position-horizontal-relative:page" filled="f" strokecolor="#4d4d4f" strokeweight=".5pt">
            <v:textbox inset="0,0,0,0">
              <w:txbxContent>
                <w:p w14:paraId="44FF56DF" w14:textId="77777777" w:rsidR="00EF5B27" w:rsidRDefault="00000000">
                  <w:pPr>
                    <w:spacing w:before="192" w:line="254" w:lineRule="auto"/>
                    <w:ind w:left="275" w:right="74" w:hanging="49"/>
                    <w:rPr>
                      <w:b/>
                      <w:i/>
                      <w:sz w:val="20"/>
                    </w:rPr>
                  </w:pPr>
                  <w:r>
                    <w:rPr>
                      <w:b/>
                      <w:i/>
                      <w:color w:val="4D4D4F"/>
                      <w:sz w:val="20"/>
                    </w:rPr>
                    <w:t>‘The creation of the 15,000-ha Western Grassland Reserve (nature conservation reserve or National Park protection) located outside the UGB to Melbourne’s west, protecting native grasslands.’</w:t>
                  </w:r>
                </w:p>
                <w:p w14:paraId="12B48421" w14:textId="77777777" w:rsidR="00EF5B27" w:rsidRDefault="00000000">
                  <w:pPr>
                    <w:spacing w:before="117" w:line="254" w:lineRule="auto"/>
                    <w:ind w:left="275" w:right="287" w:hanging="49"/>
                    <w:rPr>
                      <w:b/>
                      <w:i/>
                      <w:sz w:val="20"/>
                    </w:rPr>
                  </w:pPr>
                  <w:r>
                    <w:rPr>
                      <w:b/>
                      <w:i/>
                      <w:color w:val="4D4D4F"/>
                      <w:sz w:val="20"/>
                    </w:rPr>
                    <w:t>‘The permanent protection of native grasslands in conservation areas identified in the BCS and the Conservation Areas Declaration.’</w:t>
                  </w:r>
                </w:p>
                <w:p w14:paraId="323D94AB" w14:textId="77777777" w:rsidR="00EF5B27" w:rsidRDefault="00000000">
                  <w:pPr>
                    <w:spacing w:before="116" w:line="254" w:lineRule="auto"/>
                    <w:ind w:left="324" w:right="74" w:hanging="48"/>
                    <w:rPr>
                      <w:b/>
                      <w:i/>
                      <w:sz w:val="20"/>
                    </w:rPr>
                  </w:pPr>
                  <w:r>
                    <w:rPr>
                      <w:b/>
                      <w:i/>
                      <w:color w:val="4D4D4F"/>
                      <w:sz w:val="20"/>
                    </w:rPr>
                    <w:t>‘Improved composition, structure, quality and ecological function of protected native grasslands.’</w:t>
                  </w:r>
                </w:p>
              </w:txbxContent>
            </v:textbox>
            <w10:wrap type="topAndBottom" anchorx="page"/>
          </v:shape>
        </w:pict>
      </w:r>
    </w:p>
    <w:p w14:paraId="0C62ED97" w14:textId="77777777" w:rsidR="00EF5B27" w:rsidRDefault="00EF5B27">
      <w:pPr>
        <w:pStyle w:val="BodyText"/>
        <w:spacing w:before="8"/>
        <w:rPr>
          <w:sz w:val="23"/>
        </w:rPr>
      </w:pPr>
    </w:p>
    <w:p w14:paraId="4A41726D" w14:textId="77777777" w:rsidR="00EF5B27" w:rsidRDefault="00000000">
      <w:pPr>
        <w:pStyle w:val="BodyText"/>
        <w:spacing w:before="101" w:line="254" w:lineRule="auto"/>
        <w:ind w:left="2608" w:right="151"/>
      </w:pPr>
      <w:r>
        <w:rPr>
          <w:color w:val="4D4D4F"/>
        </w:rPr>
        <w:t>DELWP’s MSA MRF also summarises the conservation outcomes for the Natural Temperate Grassland as a single goal statement: ‘the composition, structure and function of Natural Temperate Grassland of the Victorian Volcanic Plains improves within the program area’.</w:t>
      </w:r>
    </w:p>
    <w:p w14:paraId="4BCF9EC2" w14:textId="77777777" w:rsidR="00EF5B27" w:rsidRDefault="00EF5B27">
      <w:pPr>
        <w:pStyle w:val="BodyText"/>
        <w:spacing w:before="3"/>
        <w:rPr>
          <w:sz w:val="19"/>
        </w:rPr>
      </w:pPr>
    </w:p>
    <w:p w14:paraId="770A462D" w14:textId="77777777" w:rsidR="00EF5B27" w:rsidRDefault="00000000">
      <w:pPr>
        <w:pStyle w:val="Heading3"/>
      </w:pPr>
      <w:r>
        <w:rPr>
          <w:color w:val="F99F2A"/>
          <w:w w:val="110"/>
        </w:rPr>
        <w:t>KPIs assessed</w:t>
      </w:r>
    </w:p>
    <w:p w14:paraId="6033140C" w14:textId="77777777" w:rsidR="00EF5B27" w:rsidRDefault="00000000">
      <w:pPr>
        <w:pStyle w:val="BodyText"/>
        <w:spacing w:before="221"/>
        <w:ind w:left="2608"/>
      </w:pPr>
      <w:r>
        <w:rPr>
          <w:color w:val="4D4D4F"/>
          <w:w w:val="105"/>
        </w:rPr>
        <w:t>Progress towards this outcome is measured using seven KPIs:</w:t>
      </w:r>
    </w:p>
    <w:p w14:paraId="2294F930" w14:textId="77777777" w:rsidR="00EF5B27" w:rsidRDefault="00000000">
      <w:pPr>
        <w:pStyle w:val="ListParagraph"/>
        <w:numPr>
          <w:ilvl w:val="0"/>
          <w:numId w:val="45"/>
        </w:numPr>
        <w:tabs>
          <w:tab w:val="left" w:pos="2779"/>
        </w:tabs>
        <w:spacing w:before="130" w:line="254" w:lineRule="auto"/>
        <w:ind w:right="663"/>
        <w:rPr>
          <w:sz w:val="20"/>
        </w:rPr>
      </w:pPr>
      <w:r>
        <w:rPr>
          <w:color w:val="4D4D4F"/>
          <w:sz w:val="20"/>
        </w:rPr>
        <w:t xml:space="preserve">The area </w:t>
      </w:r>
      <w:r>
        <w:rPr>
          <w:color w:val="4D4D4F"/>
          <w:spacing w:val="-4"/>
          <w:sz w:val="20"/>
        </w:rPr>
        <w:t xml:space="preserve">(ha) </w:t>
      </w:r>
      <w:r>
        <w:rPr>
          <w:color w:val="4D4D4F"/>
          <w:sz w:val="20"/>
        </w:rPr>
        <w:t>making an unfavourable transition between states must be zero (defined by an</w:t>
      </w:r>
      <w:r>
        <w:rPr>
          <w:color w:val="4D4D4F"/>
          <w:spacing w:val="10"/>
          <w:sz w:val="20"/>
        </w:rPr>
        <w:t xml:space="preserve"> </w:t>
      </w:r>
      <w:r>
        <w:rPr>
          <w:color w:val="4D4D4F"/>
          <w:sz w:val="20"/>
        </w:rPr>
        <w:t>STM).</w:t>
      </w:r>
    </w:p>
    <w:p w14:paraId="48285E55" w14:textId="77777777" w:rsidR="00EF5B27" w:rsidRDefault="00000000">
      <w:pPr>
        <w:pStyle w:val="ListParagraph"/>
        <w:numPr>
          <w:ilvl w:val="0"/>
          <w:numId w:val="45"/>
        </w:numPr>
        <w:tabs>
          <w:tab w:val="left" w:pos="2779"/>
        </w:tabs>
        <w:spacing w:before="116" w:line="254" w:lineRule="auto"/>
        <w:ind w:right="327"/>
        <w:jc w:val="both"/>
        <w:rPr>
          <w:sz w:val="20"/>
        </w:rPr>
      </w:pPr>
      <w:r>
        <w:rPr>
          <w:color w:val="4D4D4F"/>
          <w:sz w:val="20"/>
        </w:rPr>
        <w:t>The cover of native perennial forbs must remain above a baseline. The baseline is different for each state. It is defined by the cover observed in the first five years of monitoring for each state and fixed at a new elevated level if</w:t>
      </w:r>
      <w:r>
        <w:rPr>
          <w:color w:val="4D4D4F"/>
          <w:spacing w:val="25"/>
          <w:sz w:val="20"/>
        </w:rPr>
        <w:t xml:space="preserve"> </w:t>
      </w:r>
      <w:r>
        <w:rPr>
          <w:color w:val="4D4D4F"/>
          <w:sz w:val="20"/>
        </w:rPr>
        <w:t>exceeded.</w:t>
      </w:r>
    </w:p>
    <w:p w14:paraId="4FB7D00C" w14:textId="77777777" w:rsidR="00EF5B27" w:rsidRDefault="00000000">
      <w:pPr>
        <w:pStyle w:val="ListParagraph"/>
        <w:numPr>
          <w:ilvl w:val="0"/>
          <w:numId w:val="45"/>
        </w:numPr>
        <w:tabs>
          <w:tab w:val="left" w:pos="2779"/>
        </w:tabs>
        <w:spacing w:before="117" w:line="254" w:lineRule="auto"/>
        <w:ind w:right="290"/>
        <w:rPr>
          <w:sz w:val="20"/>
        </w:rPr>
      </w:pPr>
      <w:r>
        <w:rPr>
          <w:color w:val="4D4D4F"/>
          <w:sz w:val="20"/>
        </w:rPr>
        <w:t>The richness of native perennial forbs must remain above a baseline. The baseline is different for each state. It is defined by the richness observed in the first five years of monitoring for each state and fixed at a new elevated level if</w:t>
      </w:r>
      <w:r>
        <w:rPr>
          <w:color w:val="4D4D4F"/>
          <w:spacing w:val="23"/>
          <w:sz w:val="20"/>
        </w:rPr>
        <w:t xml:space="preserve"> </w:t>
      </w:r>
      <w:r>
        <w:rPr>
          <w:color w:val="4D4D4F"/>
          <w:sz w:val="20"/>
        </w:rPr>
        <w:t>exceeded.</w:t>
      </w:r>
    </w:p>
    <w:p w14:paraId="59B54F26" w14:textId="77777777" w:rsidR="00EF5B27" w:rsidRDefault="00000000">
      <w:pPr>
        <w:pStyle w:val="ListParagraph"/>
        <w:numPr>
          <w:ilvl w:val="0"/>
          <w:numId w:val="45"/>
        </w:numPr>
        <w:tabs>
          <w:tab w:val="left" w:pos="2779"/>
        </w:tabs>
        <w:spacing w:before="117" w:line="254" w:lineRule="auto"/>
        <w:ind w:right="489"/>
        <w:rPr>
          <w:sz w:val="20"/>
        </w:rPr>
      </w:pPr>
      <w:r>
        <w:rPr>
          <w:color w:val="4D4D4F"/>
          <w:sz w:val="20"/>
        </w:rPr>
        <w:t xml:space="preserve">The cover of Kangaroo Grass </w:t>
      </w:r>
      <w:r>
        <w:rPr>
          <w:color w:val="4D4D4F"/>
          <w:spacing w:val="-3"/>
          <w:sz w:val="20"/>
        </w:rPr>
        <w:t>(</w:t>
      </w:r>
      <w:r>
        <w:rPr>
          <w:rFonts w:ascii="Arial Narrow"/>
          <w:i/>
          <w:color w:val="4D4D4F"/>
          <w:spacing w:val="-3"/>
          <w:sz w:val="20"/>
        </w:rPr>
        <w:t>Themeda triandra</w:t>
      </w:r>
      <w:r>
        <w:rPr>
          <w:color w:val="4D4D4F"/>
          <w:spacing w:val="-3"/>
          <w:sz w:val="20"/>
        </w:rPr>
        <w:t xml:space="preserve">) </w:t>
      </w:r>
      <w:r>
        <w:rPr>
          <w:color w:val="4D4D4F"/>
          <w:sz w:val="20"/>
        </w:rPr>
        <w:t xml:space="preserve">must remain above a baseline. The baseline is different for each state. It is defined by the first five years of monitoring for each state and fixed at a new elevated level if it is exceeded, until it reaches </w:t>
      </w:r>
      <w:r>
        <w:rPr>
          <w:color w:val="4D4D4F"/>
          <w:spacing w:val="2"/>
          <w:sz w:val="20"/>
        </w:rPr>
        <w:t xml:space="preserve">29% </w:t>
      </w:r>
      <w:r>
        <w:rPr>
          <w:color w:val="4D4D4F"/>
          <w:sz w:val="20"/>
        </w:rPr>
        <w:t>where it remains</w:t>
      </w:r>
      <w:r>
        <w:rPr>
          <w:color w:val="4D4D4F"/>
          <w:spacing w:val="21"/>
          <w:sz w:val="20"/>
        </w:rPr>
        <w:t xml:space="preserve"> </w:t>
      </w:r>
      <w:r>
        <w:rPr>
          <w:color w:val="4D4D4F"/>
          <w:sz w:val="20"/>
        </w:rPr>
        <w:t>fixed.</w:t>
      </w:r>
    </w:p>
    <w:p w14:paraId="1BAA4923" w14:textId="77777777" w:rsidR="00EF5B27" w:rsidRDefault="00000000">
      <w:pPr>
        <w:pStyle w:val="ListParagraph"/>
        <w:numPr>
          <w:ilvl w:val="0"/>
          <w:numId w:val="45"/>
        </w:numPr>
        <w:tabs>
          <w:tab w:val="left" w:pos="2779"/>
        </w:tabs>
        <w:spacing w:before="118" w:line="254" w:lineRule="auto"/>
        <w:ind w:right="272"/>
        <w:rPr>
          <w:sz w:val="20"/>
        </w:rPr>
      </w:pPr>
      <w:r>
        <w:rPr>
          <w:color w:val="4D4D4F"/>
          <w:sz w:val="20"/>
        </w:rPr>
        <w:t xml:space="preserve">The cover of native perennial grass </w:t>
      </w:r>
      <w:r>
        <w:rPr>
          <w:color w:val="4D4D4F"/>
          <w:spacing w:val="-3"/>
          <w:sz w:val="20"/>
        </w:rPr>
        <w:t xml:space="preserve">(excluding  </w:t>
      </w:r>
      <w:r>
        <w:rPr>
          <w:rFonts w:ascii="Arial Narrow"/>
          <w:i/>
          <w:color w:val="4D4D4F"/>
          <w:sz w:val="20"/>
        </w:rPr>
        <w:t xml:space="preserve">Themeda  </w:t>
      </w:r>
      <w:r>
        <w:rPr>
          <w:rFonts w:ascii="Arial Narrow"/>
          <w:i/>
          <w:color w:val="4D4D4F"/>
          <w:spacing w:val="-3"/>
          <w:sz w:val="20"/>
        </w:rPr>
        <w:t>triandra</w:t>
      </w:r>
      <w:r>
        <w:rPr>
          <w:color w:val="4D4D4F"/>
          <w:spacing w:val="-3"/>
          <w:sz w:val="20"/>
        </w:rPr>
        <w:t xml:space="preserve">)  </w:t>
      </w:r>
      <w:r>
        <w:rPr>
          <w:color w:val="4D4D4F"/>
          <w:sz w:val="20"/>
        </w:rPr>
        <w:t>must  remain above a baseline. The baseline is different for each state and is set permanently by the cover observed in the first five years of monitoring for each state.</w:t>
      </w:r>
    </w:p>
    <w:p w14:paraId="6EC47F81" w14:textId="77777777" w:rsidR="00EF5B27" w:rsidRDefault="00000000">
      <w:pPr>
        <w:pStyle w:val="ListParagraph"/>
        <w:numPr>
          <w:ilvl w:val="0"/>
          <w:numId w:val="45"/>
        </w:numPr>
        <w:tabs>
          <w:tab w:val="left" w:pos="2779"/>
        </w:tabs>
        <w:spacing w:before="117" w:line="254" w:lineRule="auto"/>
        <w:ind w:right="446"/>
        <w:rPr>
          <w:sz w:val="20"/>
        </w:rPr>
      </w:pPr>
      <w:r>
        <w:rPr>
          <w:color w:val="4D4D4F"/>
          <w:sz w:val="20"/>
        </w:rPr>
        <w:t xml:space="preserve">Every </w:t>
      </w:r>
      <w:r>
        <w:rPr>
          <w:color w:val="4D4D4F"/>
          <w:spacing w:val="-4"/>
          <w:sz w:val="20"/>
        </w:rPr>
        <w:t xml:space="preserve">year, </w:t>
      </w:r>
      <w:r>
        <w:rPr>
          <w:color w:val="4D4D4F"/>
          <w:sz w:val="20"/>
        </w:rPr>
        <w:t xml:space="preserve">between 5–30% </w:t>
      </w:r>
      <w:r>
        <w:rPr>
          <w:color w:val="4D4D4F"/>
          <w:spacing w:val="-3"/>
          <w:sz w:val="20"/>
        </w:rPr>
        <w:t xml:space="preserve">(inclusive) </w:t>
      </w:r>
      <w:r>
        <w:rPr>
          <w:color w:val="4D4D4F"/>
          <w:sz w:val="20"/>
        </w:rPr>
        <w:t>of randomly located plots must have bare ground cover of 25–75%</w:t>
      </w:r>
      <w:r>
        <w:rPr>
          <w:color w:val="4D4D4F"/>
          <w:spacing w:val="16"/>
          <w:sz w:val="20"/>
        </w:rPr>
        <w:t xml:space="preserve"> </w:t>
      </w:r>
      <w:r>
        <w:rPr>
          <w:color w:val="4D4D4F"/>
          <w:spacing w:val="-3"/>
          <w:sz w:val="20"/>
        </w:rPr>
        <w:t>(inclusive).</w:t>
      </w:r>
    </w:p>
    <w:p w14:paraId="035C761F" w14:textId="77777777" w:rsidR="00EF5B27" w:rsidRDefault="00000000">
      <w:pPr>
        <w:pStyle w:val="ListParagraph"/>
        <w:numPr>
          <w:ilvl w:val="0"/>
          <w:numId w:val="45"/>
        </w:numPr>
        <w:tabs>
          <w:tab w:val="left" w:pos="2779"/>
        </w:tabs>
        <w:spacing w:before="116" w:line="254" w:lineRule="auto"/>
        <w:ind w:right="137"/>
        <w:jc w:val="both"/>
        <w:rPr>
          <w:sz w:val="20"/>
        </w:rPr>
      </w:pPr>
      <w:r>
        <w:rPr>
          <w:color w:val="4D4D4F"/>
          <w:sz w:val="20"/>
        </w:rPr>
        <w:t xml:space="preserve">The cover of perennial weeds must remain below a baseline. The baseline is different </w:t>
      </w:r>
      <w:r>
        <w:rPr>
          <w:color w:val="4D4D4F"/>
          <w:spacing w:val="-3"/>
          <w:sz w:val="20"/>
        </w:rPr>
        <w:t xml:space="preserve">for each </w:t>
      </w:r>
      <w:r>
        <w:rPr>
          <w:color w:val="4D4D4F"/>
          <w:spacing w:val="-4"/>
          <w:sz w:val="20"/>
        </w:rPr>
        <w:t xml:space="preserve">state. </w:t>
      </w:r>
      <w:r>
        <w:rPr>
          <w:color w:val="4D4D4F"/>
          <w:sz w:val="20"/>
        </w:rPr>
        <w:t xml:space="preserve">It </w:t>
      </w:r>
      <w:r>
        <w:rPr>
          <w:color w:val="4D4D4F"/>
          <w:spacing w:val="-3"/>
          <w:sz w:val="20"/>
        </w:rPr>
        <w:t xml:space="preserve">is defined </w:t>
      </w:r>
      <w:r>
        <w:rPr>
          <w:color w:val="4D4D4F"/>
          <w:sz w:val="20"/>
        </w:rPr>
        <w:t xml:space="preserve">by </w:t>
      </w:r>
      <w:r>
        <w:rPr>
          <w:color w:val="4D4D4F"/>
          <w:spacing w:val="-3"/>
          <w:sz w:val="20"/>
        </w:rPr>
        <w:t xml:space="preserve">the richness </w:t>
      </w:r>
      <w:r>
        <w:rPr>
          <w:color w:val="4D4D4F"/>
          <w:sz w:val="20"/>
        </w:rPr>
        <w:t xml:space="preserve">observed </w:t>
      </w:r>
      <w:r>
        <w:rPr>
          <w:color w:val="4D4D4F"/>
          <w:spacing w:val="-3"/>
          <w:sz w:val="20"/>
        </w:rPr>
        <w:t xml:space="preserve">in the </w:t>
      </w:r>
      <w:r>
        <w:rPr>
          <w:color w:val="4D4D4F"/>
          <w:sz w:val="20"/>
        </w:rPr>
        <w:t xml:space="preserve">first five years of </w:t>
      </w:r>
      <w:r>
        <w:rPr>
          <w:color w:val="4D4D4F"/>
          <w:spacing w:val="-4"/>
          <w:sz w:val="20"/>
        </w:rPr>
        <w:t xml:space="preserve">monitoring for </w:t>
      </w:r>
      <w:r>
        <w:rPr>
          <w:color w:val="4D4D4F"/>
          <w:spacing w:val="-3"/>
          <w:sz w:val="20"/>
        </w:rPr>
        <w:t xml:space="preserve">each </w:t>
      </w:r>
      <w:r>
        <w:rPr>
          <w:color w:val="4D4D4F"/>
          <w:spacing w:val="-4"/>
          <w:sz w:val="20"/>
        </w:rPr>
        <w:t xml:space="preserve">state </w:t>
      </w:r>
      <w:r>
        <w:rPr>
          <w:color w:val="4D4D4F"/>
          <w:spacing w:val="-3"/>
          <w:sz w:val="20"/>
        </w:rPr>
        <w:t xml:space="preserve">and fixed at </w:t>
      </w:r>
      <w:r>
        <w:rPr>
          <w:color w:val="4D4D4F"/>
          <w:sz w:val="20"/>
        </w:rPr>
        <w:t xml:space="preserve">a </w:t>
      </w:r>
      <w:r>
        <w:rPr>
          <w:color w:val="4D4D4F"/>
          <w:spacing w:val="-3"/>
          <w:sz w:val="20"/>
        </w:rPr>
        <w:t xml:space="preserve">new </w:t>
      </w:r>
      <w:r>
        <w:rPr>
          <w:color w:val="4D4D4F"/>
          <w:spacing w:val="-4"/>
          <w:sz w:val="20"/>
        </w:rPr>
        <w:t xml:space="preserve">lowered </w:t>
      </w:r>
      <w:r>
        <w:rPr>
          <w:color w:val="4D4D4F"/>
          <w:spacing w:val="-5"/>
          <w:sz w:val="20"/>
        </w:rPr>
        <w:t xml:space="preserve">level </w:t>
      </w:r>
      <w:r>
        <w:rPr>
          <w:color w:val="4D4D4F"/>
          <w:spacing w:val="-3"/>
          <w:sz w:val="20"/>
        </w:rPr>
        <w:t xml:space="preserve">if </w:t>
      </w:r>
      <w:r>
        <w:rPr>
          <w:color w:val="4D4D4F"/>
          <w:spacing w:val="-4"/>
          <w:sz w:val="20"/>
        </w:rPr>
        <w:t xml:space="preserve">weeds </w:t>
      </w:r>
      <w:r>
        <w:rPr>
          <w:color w:val="4D4D4F"/>
          <w:sz w:val="20"/>
        </w:rPr>
        <w:t xml:space="preserve">are </w:t>
      </w:r>
      <w:r>
        <w:rPr>
          <w:color w:val="4D4D4F"/>
          <w:spacing w:val="-3"/>
          <w:sz w:val="20"/>
        </w:rPr>
        <w:t xml:space="preserve">reduced </w:t>
      </w:r>
      <w:r>
        <w:rPr>
          <w:color w:val="4D4D4F"/>
          <w:spacing w:val="-4"/>
          <w:sz w:val="20"/>
        </w:rPr>
        <w:t xml:space="preserve">below </w:t>
      </w:r>
      <w:r>
        <w:rPr>
          <w:color w:val="4D4D4F"/>
          <w:spacing w:val="-3"/>
          <w:sz w:val="20"/>
        </w:rPr>
        <w:t>the</w:t>
      </w:r>
      <w:r>
        <w:rPr>
          <w:color w:val="4D4D4F"/>
          <w:spacing w:val="-5"/>
          <w:sz w:val="20"/>
        </w:rPr>
        <w:t xml:space="preserve"> baseline.</w:t>
      </w:r>
    </w:p>
    <w:p w14:paraId="0D2C394A" w14:textId="77777777" w:rsidR="00EF5B27" w:rsidRDefault="00EF5B27">
      <w:pPr>
        <w:spacing w:line="254" w:lineRule="auto"/>
        <w:jc w:val="both"/>
        <w:rPr>
          <w:sz w:val="20"/>
        </w:rPr>
        <w:sectPr w:rsidR="00EF5B27">
          <w:pgSz w:w="11910" w:h="16840"/>
          <w:pgMar w:top="1080" w:right="1020" w:bottom="860" w:left="1020" w:header="537" w:footer="678" w:gutter="0"/>
          <w:cols w:space="720"/>
        </w:sectPr>
      </w:pPr>
    </w:p>
    <w:p w14:paraId="749E7DEF" w14:textId="77777777" w:rsidR="00EF5B27" w:rsidRDefault="00000000">
      <w:pPr>
        <w:pStyle w:val="BodyText"/>
      </w:pPr>
      <w:r>
        <w:lastRenderedPageBreak/>
        <w:pict w14:anchorId="7AA7389F">
          <v:group id="_x0000_s3553" style="position:absolute;margin-left:587.05pt;margin-top:183.4pt;width:8.25pt;height:153.1pt;z-index:251552256;mso-position-horizontal-relative:page;mso-position-vertical-relative:page" coordorigin="11741,3668" coordsize="165,3062">
            <v:shape id="_x0000_s3560" style="position:absolute;left:11741;top:3668;width:165;height:561" coordorigin="11741,3668" coordsize="165,561" path="m11906,3668r-165,l11741,4228r165,-18l11906,3668xe" fillcolor="#00aed9" stroked="f">
              <v:path arrowok="t"/>
            </v:shape>
            <v:shape id="_x0000_s3559" style="position:absolute;left:11741;top:4118;width:165;height:425" coordorigin="11741,4118" coordsize="165,425" path="m11906,4118r-165,14l11741,4531r165,12l11906,4118xe" fillcolor="#047ebc" stroked="f">
              <v:path arrowok="t"/>
            </v:shape>
            <v:shape id="_x0000_s3558" type="#_x0000_t75" style="position:absolute;left:11741;top:4355;width:165;height:587">
              <v:imagedata r:id="rId42" o:title=""/>
            </v:shape>
            <v:shape id="_x0000_s3557" style="position:absolute;left:11741;top:5343;width:165;height:536" coordorigin="11741,5343" coordsize="165,536" path="m11741,5343r,535l11906,5872r,-525l11741,5343xe" fillcolor="#f36a2e" stroked="f">
              <v:path arrowok="t"/>
            </v:shape>
            <v:shape id="_x0000_s3556" style="position:absolute;left:11741;top:4925;width:165;height:501" coordorigin="11741,4926" coordsize="165,501" path="m11741,4926r,500l11906,5426r,-485l11741,4926xe" fillcolor="#49783f" stroked="f">
              <v:path arrowok="t"/>
            </v:shape>
            <v:shape id="_x0000_s3555" style="position:absolute;left:11741;top:5781;width:165;height:268" coordorigin="11741,5782" coordsize="165,268" path="m11906,5782r-165,8l11741,6039r165,10l11906,5782xe" fillcolor="#f99f2a" stroked="f">
              <v:path arrowok="t"/>
            </v:shape>
            <v:shape id="_x0000_s3554" style="position:absolute;left:11741;top:6023;width:165;height:707" coordorigin="11741,6023" coordsize="165,707" path="m11741,6023r,706l11906,6729r,-690l11741,6023xe" fillcolor="#ef412c" stroked="f">
              <v:path arrowok="t"/>
            </v:shape>
            <w10:wrap anchorx="page" anchory="page"/>
          </v:group>
        </w:pict>
      </w:r>
    </w:p>
    <w:p w14:paraId="7F52208C" w14:textId="77777777" w:rsidR="00EF5B27" w:rsidRDefault="00EF5B27">
      <w:pPr>
        <w:pStyle w:val="BodyText"/>
      </w:pPr>
    </w:p>
    <w:p w14:paraId="0CB79C44" w14:textId="77777777" w:rsidR="00EF5B27" w:rsidRDefault="00EF5B27">
      <w:pPr>
        <w:pStyle w:val="BodyText"/>
      </w:pPr>
    </w:p>
    <w:p w14:paraId="7AF2847D" w14:textId="77777777" w:rsidR="00EF5B27" w:rsidRDefault="00EF5B27">
      <w:pPr>
        <w:pStyle w:val="BodyText"/>
        <w:spacing w:before="4"/>
        <w:rPr>
          <w:sz w:val="25"/>
        </w:rPr>
      </w:pPr>
    </w:p>
    <w:p w14:paraId="44D19A8F" w14:textId="77777777" w:rsidR="00EF5B27" w:rsidRDefault="00000000">
      <w:pPr>
        <w:pStyle w:val="BodyText"/>
        <w:spacing w:before="100" w:line="254" w:lineRule="auto"/>
        <w:ind w:left="113" w:right="547"/>
      </w:pPr>
      <w:bookmarkStart w:id="30" w:name="_bookmark28"/>
      <w:bookmarkStart w:id="31" w:name="_heading=h.147n2zr"/>
      <w:bookmarkEnd w:id="30"/>
      <w:bookmarkEnd w:id="31"/>
      <w:r>
        <w:rPr>
          <w:color w:val="4D4D4F"/>
        </w:rPr>
        <w:t xml:space="preserve">For KPIs 2, 3, 4, 5 and </w:t>
      </w:r>
      <w:r>
        <w:rPr>
          <w:color w:val="4D4D4F"/>
          <w:spacing w:val="-8"/>
        </w:rPr>
        <w:t xml:space="preserve">7, </w:t>
      </w:r>
      <w:r>
        <w:rPr>
          <w:color w:val="4D4D4F"/>
        </w:rPr>
        <w:t>each state has a separate baseline, which applies across all patches of that state. For  each state, that baseline is calculated using the data collected in the first five years after the first acquisition of a substantial representation of that state (i.e. three different patches of vegetation in that state, spread over three different management</w:t>
      </w:r>
      <w:r>
        <w:rPr>
          <w:color w:val="4D4D4F"/>
          <w:spacing w:val="7"/>
        </w:rPr>
        <w:t xml:space="preserve"> </w:t>
      </w:r>
      <w:r>
        <w:rPr>
          <w:color w:val="4D4D4F"/>
          <w:spacing w:val="-3"/>
        </w:rPr>
        <w:t>units).</w:t>
      </w:r>
    </w:p>
    <w:p w14:paraId="38233033" w14:textId="77777777" w:rsidR="00EF5B27" w:rsidRDefault="00EF5B27">
      <w:pPr>
        <w:pStyle w:val="BodyText"/>
      </w:pPr>
    </w:p>
    <w:p w14:paraId="38FCDC9C" w14:textId="77777777" w:rsidR="00EF5B27" w:rsidRDefault="00EF5B27">
      <w:pPr>
        <w:pStyle w:val="BodyText"/>
        <w:spacing w:before="9" w:after="1"/>
        <w:rPr>
          <w:sz w:val="12"/>
        </w:rPr>
      </w:pPr>
    </w:p>
    <w:tbl>
      <w:tblPr>
        <w:tblW w:w="0" w:type="auto"/>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152"/>
        <w:gridCol w:w="7480"/>
      </w:tblGrid>
      <w:tr w:rsidR="00EF5B27" w14:paraId="5F2B1361" w14:textId="77777777">
        <w:trPr>
          <w:trHeight w:val="459"/>
        </w:trPr>
        <w:tc>
          <w:tcPr>
            <w:tcW w:w="2152" w:type="dxa"/>
            <w:shd w:val="clear" w:color="auto" w:fill="FECC91"/>
          </w:tcPr>
          <w:p w14:paraId="57A81C78" w14:textId="77777777" w:rsidR="00EF5B27" w:rsidRDefault="00000000">
            <w:pPr>
              <w:pStyle w:val="TableParagraph"/>
              <w:spacing w:before="140"/>
              <w:ind w:left="113"/>
              <w:rPr>
                <w:b/>
                <w:sz w:val="16"/>
              </w:rPr>
            </w:pPr>
            <w:r>
              <w:rPr>
                <w:b/>
                <w:w w:val="105"/>
                <w:sz w:val="16"/>
              </w:rPr>
              <w:t>MNES</w:t>
            </w:r>
          </w:p>
        </w:tc>
        <w:tc>
          <w:tcPr>
            <w:tcW w:w="7480" w:type="dxa"/>
          </w:tcPr>
          <w:p w14:paraId="67591297" w14:textId="77777777" w:rsidR="00EF5B27" w:rsidRDefault="00000000">
            <w:pPr>
              <w:pStyle w:val="TableParagraph"/>
              <w:spacing w:before="140"/>
              <w:ind w:left="113"/>
              <w:rPr>
                <w:sz w:val="16"/>
              </w:rPr>
            </w:pPr>
            <w:r>
              <w:rPr>
                <w:color w:val="4D4D4F"/>
                <w:w w:val="105"/>
                <w:sz w:val="16"/>
              </w:rPr>
              <w:t>1. Natural Temperate Grassland</w:t>
            </w:r>
          </w:p>
        </w:tc>
      </w:tr>
      <w:tr w:rsidR="00EF5B27" w14:paraId="53BBA657" w14:textId="77777777">
        <w:trPr>
          <w:trHeight w:val="859"/>
        </w:trPr>
        <w:tc>
          <w:tcPr>
            <w:tcW w:w="2152" w:type="dxa"/>
            <w:shd w:val="clear" w:color="auto" w:fill="FECC91"/>
          </w:tcPr>
          <w:p w14:paraId="129358FE" w14:textId="77777777" w:rsidR="00EF5B27" w:rsidRDefault="00000000">
            <w:pPr>
              <w:pStyle w:val="TableParagraph"/>
              <w:spacing w:before="140" w:line="244" w:lineRule="auto"/>
              <w:ind w:left="113" w:right="279"/>
              <w:rPr>
                <w:b/>
                <w:sz w:val="16"/>
              </w:rPr>
            </w:pPr>
            <w:r>
              <w:rPr>
                <w:b/>
                <w:sz w:val="16"/>
              </w:rPr>
              <w:t>Commonwealth approved 2015 MSA MRF single outcome statement</w:t>
            </w:r>
          </w:p>
        </w:tc>
        <w:tc>
          <w:tcPr>
            <w:tcW w:w="7480" w:type="dxa"/>
          </w:tcPr>
          <w:p w14:paraId="39C9B934" w14:textId="77777777" w:rsidR="00EF5B27" w:rsidRDefault="00EF5B27">
            <w:pPr>
              <w:pStyle w:val="TableParagraph"/>
              <w:spacing w:before="10"/>
              <w:rPr>
                <w:sz w:val="27"/>
              </w:rPr>
            </w:pPr>
          </w:p>
          <w:p w14:paraId="0AD2CAD3" w14:textId="77777777" w:rsidR="00EF5B27" w:rsidRDefault="00000000">
            <w:pPr>
              <w:pStyle w:val="TableParagraph"/>
              <w:ind w:left="113"/>
              <w:rPr>
                <w:sz w:val="16"/>
              </w:rPr>
            </w:pPr>
            <w:r>
              <w:rPr>
                <w:color w:val="4D4D4F"/>
                <w:sz w:val="16"/>
              </w:rPr>
              <w:t>The composition, structure and function of Natural Temperate Grassland improves.</w:t>
            </w:r>
          </w:p>
        </w:tc>
      </w:tr>
      <w:tr w:rsidR="00EF5B27" w14:paraId="6B10D8BE" w14:textId="77777777">
        <w:trPr>
          <w:trHeight w:val="859"/>
        </w:trPr>
        <w:tc>
          <w:tcPr>
            <w:tcW w:w="2152" w:type="dxa"/>
            <w:shd w:val="clear" w:color="auto" w:fill="FECC91"/>
          </w:tcPr>
          <w:p w14:paraId="60E93F74" w14:textId="77777777" w:rsidR="00EF5B27" w:rsidRDefault="00000000">
            <w:pPr>
              <w:pStyle w:val="TableParagraph"/>
              <w:spacing w:before="140" w:line="244" w:lineRule="auto"/>
              <w:ind w:left="113"/>
              <w:rPr>
                <w:b/>
                <w:sz w:val="16"/>
              </w:rPr>
            </w:pPr>
            <w:r>
              <w:rPr>
                <w:b/>
                <w:sz w:val="16"/>
              </w:rPr>
              <w:t>2014–2020 Ecological Outcomes Report single outcome statement</w:t>
            </w:r>
          </w:p>
        </w:tc>
        <w:tc>
          <w:tcPr>
            <w:tcW w:w="7480" w:type="dxa"/>
          </w:tcPr>
          <w:p w14:paraId="6F343BE6" w14:textId="77777777" w:rsidR="00EF5B27" w:rsidRDefault="00EF5B27">
            <w:pPr>
              <w:pStyle w:val="TableParagraph"/>
              <w:spacing w:before="10"/>
              <w:rPr>
                <w:sz w:val="27"/>
              </w:rPr>
            </w:pPr>
          </w:p>
          <w:p w14:paraId="41EAE2F0" w14:textId="77777777" w:rsidR="00EF5B27" w:rsidRDefault="00000000">
            <w:pPr>
              <w:pStyle w:val="TableParagraph"/>
              <w:ind w:left="113"/>
              <w:rPr>
                <w:sz w:val="16"/>
              </w:rPr>
            </w:pPr>
            <w:r>
              <w:rPr>
                <w:color w:val="4D4D4F"/>
                <w:sz w:val="16"/>
              </w:rPr>
              <w:t xml:space="preserve">The </w:t>
            </w:r>
            <w:r>
              <w:rPr>
                <w:color w:val="4D4D4F"/>
                <w:spacing w:val="-3"/>
                <w:sz w:val="16"/>
              </w:rPr>
              <w:t xml:space="preserve">composition, </w:t>
            </w:r>
            <w:r>
              <w:rPr>
                <w:color w:val="4D4D4F"/>
                <w:sz w:val="16"/>
              </w:rPr>
              <w:t xml:space="preserve">structure and </w:t>
            </w:r>
            <w:r>
              <w:rPr>
                <w:color w:val="4D4D4F"/>
                <w:spacing w:val="-3"/>
                <w:sz w:val="16"/>
              </w:rPr>
              <w:t xml:space="preserve">function </w:t>
            </w:r>
            <w:r>
              <w:rPr>
                <w:color w:val="4D4D4F"/>
                <w:sz w:val="16"/>
              </w:rPr>
              <w:t xml:space="preserve">of </w:t>
            </w:r>
            <w:r>
              <w:rPr>
                <w:color w:val="4D4D4F"/>
                <w:spacing w:val="-3"/>
                <w:sz w:val="16"/>
              </w:rPr>
              <w:t xml:space="preserve">Natural </w:t>
            </w:r>
            <w:r>
              <w:rPr>
                <w:color w:val="4D4D4F"/>
                <w:spacing w:val="-4"/>
                <w:sz w:val="16"/>
              </w:rPr>
              <w:t xml:space="preserve">Temperate </w:t>
            </w:r>
            <w:r>
              <w:rPr>
                <w:color w:val="4D4D4F"/>
                <w:spacing w:val="-3"/>
                <w:sz w:val="16"/>
              </w:rPr>
              <w:t xml:space="preserve">Grassland </w:t>
            </w:r>
            <w:r>
              <w:rPr>
                <w:color w:val="4D4D4F"/>
                <w:sz w:val="16"/>
              </w:rPr>
              <w:t xml:space="preserve">of the </w:t>
            </w:r>
            <w:r>
              <w:rPr>
                <w:color w:val="4D4D4F"/>
                <w:spacing w:val="-3"/>
                <w:sz w:val="16"/>
              </w:rPr>
              <w:t xml:space="preserve">Victorian </w:t>
            </w:r>
            <w:r>
              <w:rPr>
                <w:color w:val="4D4D4F"/>
                <w:spacing w:val="-4"/>
                <w:sz w:val="16"/>
              </w:rPr>
              <w:t xml:space="preserve">Volcanic </w:t>
            </w:r>
            <w:r>
              <w:rPr>
                <w:color w:val="4D4D4F"/>
                <w:spacing w:val="-3"/>
                <w:sz w:val="16"/>
              </w:rPr>
              <w:t>Plain improves.</w:t>
            </w:r>
          </w:p>
        </w:tc>
      </w:tr>
      <w:tr w:rsidR="00EF5B27" w14:paraId="005C9FFE" w14:textId="77777777">
        <w:trPr>
          <w:trHeight w:val="1469"/>
        </w:trPr>
        <w:tc>
          <w:tcPr>
            <w:tcW w:w="2152" w:type="dxa"/>
            <w:shd w:val="clear" w:color="auto" w:fill="FECC91"/>
          </w:tcPr>
          <w:p w14:paraId="0057DCC6" w14:textId="77777777" w:rsidR="00EF5B27" w:rsidRDefault="00EF5B27">
            <w:pPr>
              <w:pStyle w:val="TableParagraph"/>
              <w:spacing w:before="2"/>
              <w:rPr>
                <w:sz w:val="28"/>
              </w:rPr>
            </w:pPr>
          </w:p>
          <w:p w14:paraId="45BD5333" w14:textId="77777777" w:rsidR="00EF5B27" w:rsidRDefault="00000000">
            <w:pPr>
              <w:pStyle w:val="TableParagraph"/>
              <w:spacing w:line="244" w:lineRule="auto"/>
              <w:ind w:left="113"/>
              <w:rPr>
                <w:b/>
                <w:sz w:val="16"/>
              </w:rPr>
            </w:pPr>
            <w:r>
              <w:rPr>
                <w:b/>
                <w:sz w:val="16"/>
              </w:rPr>
              <w:t>Conservation Outcomes published in the Victorian Government Gazette – Issue G4, 27 January 2022</w:t>
            </w:r>
          </w:p>
        </w:tc>
        <w:tc>
          <w:tcPr>
            <w:tcW w:w="7480" w:type="dxa"/>
          </w:tcPr>
          <w:p w14:paraId="0B2D9902" w14:textId="77777777" w:rsidR="00EF5B27" w:rsidRDefault="00000000">
            <w:pPr>
              <w:pStyle w:val="TableParagraph"/>
              <w:spacing w:before="148" w:line="271" w:lineRule="auto"/>
              <w:ind w:left="113"/>
              <w:rPr>
                <w:sz w:val="16"/>
              </w:rPr>
            </w:pPr>
            <w:r>
              <w:rPr>
                <w:color w:val="4D4D4F"/>
                <w:sz w:val="16"/>
              </w:rPr>
              <w:t>The creation of the 15,000-ha Western Grassland Reserve (nature conservation reserve or National Park protection) located outside the UGB to Melbourne’s west, protecting native grasslands.</w:t>
            </w:r>
          </w:p>
          <w:p w14:paraId="6F539C8B" w14:textId="77777777" w:rsidR="00EF5B27" w:rsidRDefault="00000000">
            <w:pPr>
              <w:pStyle w:val="TableParagraph"/>
              <w:spacing w:before="55" w:line="271" w:lineRule="auto"/>
              <w:ind w:left="113" w:right="168"/>
              <w:rPr>
                <w:sz w:val="16"/>
              </w:rPr>
            </w:pPr>
            <w:r>
              <w:rPr>
                <w:color w:val="4D4D4F"/>
                <w:sz w:val="16"/>
              </w:rPr>
              <w:t>The permanent protection of native grasslands in conservation areas identified in the BCS and the Conservation Areas Declaration.</w:t>
            </w:r>
          </w:p>
          <w:p w14:paraId="75A970E3" w14:textId="77777777" w:rsidR="00EF5B27" w:rsidRDefault="00000000">
            <w:pPr>
              <w:pStyle w:val="TableParagraph"/>
              <w:spacing w:before="55"/>
              <w:ind w:left="113"/>
              <w:rPr>
                <w:sz w:val="16"/>
              </w:rPr>
            </w:pPr>
            <w:r>
              <w:rPr>
                <w:color w:val="4D4D4F"/>
                <w:sz w:val="16"/>
              </w:rPr>
              <w:t>Improved composition, structure, quality and ecological function of protected native grasslands.</w:t>
            </w:r>
          </w:p>
        </w:tc>
      </w:tr>
    </w:tbl>
    <w:p w14:paraId="7C72798F" w14:textId="77777777" w:rsidR="00EF5B27" w:rsidRDefault="00EF5B27">
      <w:pPr>
        <w:pStyle w:val="BodyText"/>
        <w:rPr>
          <w:sz w:val="24"/>
        </w:rPr>
      </w:pPr>
    </w:p>
    <w:p w14:paraId="4EAE5C2F" w14:textId="77777777" w:rsidR="00EF5B27" w:rsidRDefault="00000000">
      <w:pPr>
        <w:pStyle w:val="Heading3"/>
        <w:spacing w:before="1"/>
        <w:ind w:left="113"/>
      </w:pPr>
      <w:r>
        <w:rPr>
          <w:color w:val="F99F2A"/>
        </w:rPr>
        <w:t>Monitored areas</w:t>
      </w:r>
    </w:p>
    <w:p w14:paraId="12135B42" w14:textId="77777777" w:rsidR="00EF5B27" w:rsidRDefault="00EF5B27">
      <w:pPr>
        <w:pStyle w:val="BodyText"/>
        <w:spacing w:before="4"/>
        <w:rPr>
          <w:b/>
          <w:sz w:val="27"/>
        </w:rPr>
      </w:pPr>
    </w:p>
    <w:p w14:paraId="0BA0A0D6" w14:textId="77777777" w:rsidR="00EF5B27" w:rsidRDefault="00000000">
      <w:pPr>
        <w:pStyle w:val="BodyText"/>
        <w:spacing w:line="254" w:lineRule="auto"/>
        <w:ind w:left="113" w:right="148"/>
        <w:jc w:val="both"/>
      </w:pPr>
      <w:r>
        <w:rPr>
          <w:color w:val="4D4D4F"/>
        </w:rPr>
        <w:t xml:space="preserve">Natural Temperate Grassland is only monitored on properties protected under the MSA, including both the Western </w:t>
      </w:r>
      <w:r>
        <w:rPr>
          <w:color w:val="4D4D4F"/>
          <w:spacing w:val="-3"/>
        </w:rPr>
        <w:t xml:space="preserve">Grassland </w:t>
      </w:r>
      <w:r>
        <w:rPr>
          <w:color w:val="4D4D4F"/>
        </w:rPr>
        <w:t xml:space="preserve">Reserve </w:t>
      </w:r>
      <w:r>
        <w:rPr>
          <w:color w:val="4D4D4F"/>
          <w:spacing w:val="-3"/>
        </w:rPr>
        <w:t xml:space="preserve">and other </w:t>
      </w:r>
      <w:r>
        <w:rPr>
          <w:color w:val="4D4D4F"/>
          <w:spacing w:val="-5"/>
        </w:rPr>
        <w:t xml:space="preserve">smaller  </w:t>
      </w:r>
      <w:r>
        <w:rPr>
          <w:color w:val="4D4D4F"/>
          <w:spacing w:val="-3"/>
        </w:rPr>
        <w:t xml:space="preserve">conservation areas </w:t>
      </w:r>
      <w:r>
        <w:rPr>
          <w:color w:val="4D4D4F"/>
          <w:spacing w:val="-4"/>
        </w:rPr>
        <w:t xml:space="preserve">within </w:t>
      </w:r>
      <w:r>
        <w:rPr>
          <w:color w:val="4D4D4F"/>
          <w:spacing w:val="-3"/>
        </w:rPr>
        <w:t xml:space="preserve">the UGB. </w:t>
      </w:r>
      <w:r>
        <w:rPr>
          <w:color w:val="4D4D4F"/>
        </w:rPr>
        <w:t xml:space="preserve">The </w:t>
      </w:r>
      <w:r>
        <w:rPr>
          <w:color w:val="4D4D4F"/>
          <w:spacing w:val="-3"/>
        </w:rPr>
        <w:t xml:space="preserve">KPIs </w:t>
      </w:r>
      <w:r>
        <w:rPr>
          <w:color w:val="4D4D4F"/>
        </w:rPr>
        <w:t xml:space="preserve">report on </w:t>
      </w:r>
      <w:r>
        <w:rPr>
          <w:color w:val="4D4D4F"/>
          <w:spacing w:val="-3"/>
        </w:rPr>
        <w:t xml:space="preserve">trends aggregated </w:t>
      </w:r>
      <w:r>
        <w:rPr>
          <w:color w:val="4D4D4F"/>
        </w:rPr>
        <w:t xml:space="preserve">across    </w:t>
      </w:r>
      <w:r>
        <w:rPr>
          <w:color w:val="4D4D4F"/>
          <w:spacing w:val="-4"/>
        </w:rPr>
        <w:t>all</w:t>
      </w:r>
      <w:r>
        <w:rPr>
          <w:color w:val="4D4D4F"/>
        </w:rPr>
        <w:t xml:space="preserve"> </w:t>
      </w:r>
      <w:r>
        <w:rPr>
          <w:color w:val="4D4D4F"/>
          <w:spacing w:val="-3"/>
        </w:rPr>
        <w:t>reserved</w:t>
      </w:r>
      <w:r>
        <w:rPr>
          <w:color w:val="4D4D4F"/>
        </w:rPr>
        <w:t xml:space="preserve"> </w:t>
      </w:r>
      <w:r>
        <w:rPr>
          <w:color w:val="4D4D4F"/>
          <w:spacing w:val="-4"/>
        </w:rPr>
        <w:t>land;</w:t>
      </w:r>
      <w:r>
        <w:rPr>
          <w:color w:val="4D4D4F"/>
        </w:rPr>
        <w:t xml:space="preserve"> </w:t>
      </w:r>
      <w:r>
        <w:rPr>
          <w:color w:val="4D4D4F"/>
          <w:spacing w:val="-3"/>
        </w:rPr>
        <w:t>not</w:t>
      </w:r>
      <w:r>
        <w:rPr>
          <w:color w:val="4D4D4F"/>
          <w:spacing w:val="1"/>
        </w:rPr>
        <w:t xml:space="preserve"> </w:t>
      </w:r>
      <w:r>
        <w:rPr>
          <w:color w:val="4D4D4F"/>
        </w:rPr>
        <w:t xml:space="preserve">by </w:t>
      </w:r>
      <w:r>
        <w:rPr>
          <w:color w:val="4D4D4F"/>
          <w:spacing w:val="-4"/>
        </w:rPr>
        <w:t>specific</w:t>
      </w:r>
      <w:r>
        <w:rPr>
          <w:color w:val="4D4D4F"/>
        </w:rPr>
        <w:t xml:space="preserve"> reserve or</w:t>
      </w:r>
      <w:r>
        <w:rPr>
          <w:color w:val="4D4D4F"/>
          <w:spacing w:val="1"/>
        </w:rPr>
        <w:t xml:space="preserve"> </w:t>
      </w:r>
      <w:r>
        <w:rPr>
          <w:color w:val="4D4D4F"/>
          <w:spacing w:val="-3"/>
        </w:rPr>
        <w:t>paddock,</w:t>
      </w:r>
      <w:r>
        <w:rPr>
          <w:color w:val="4D4D4F"/>
        </w:rPr>
        <w:t xml:space="preserve"> </w:t>
      </w:r>
      <w:r>
        <w:rPr>
          <w:color w:val="4D4D4F"/>
          <w:spacing w:val="-4"/>
        </w:rPr>
        <w:t>however</w:t>
      </w:r>
      <w:r>
        <w:rPr>
          <w:color w:val="4D4D4F"/>
        </w:rPr>
        <w:t xml:space="preserve"> </w:t>
      </w:r>
      <w:r>
        <w:rPr>
          <w:color w:val="4D4D4F"/>
          <w:spacing w:val="-3"/>
        </w:rPr>
        <w:t>the</w:t>
      </w:r>
      <w:r>
        <w:rPr>
          <w:color w:val="4D4D4F"/>
          <w:spacing w:val="1"/>
        </w:rPr>
        <w:t xml:space="preserve"> </w:t>
      </w:r>
      <w:r>
        <w:rPr>
          <w:color w:val="4D4D4F"/>
          <w:spacing w:val="-4"/>
        </w:rPr>
        <w:t>data</w:t>
      </w:r>
      <w:r>
        <w:rPr>
          <w:color w:val="4D4D4F"/>
        </w:rPr>
        <w:t xml:space="preserve"> can be </w:t>
      </w:r>
      <w:r>
        <w:rPr>
          <w:color w:val="4D4D4F"/>
          <w:spacing w:val="-4"/>
        </w:rPr>
        <w:t>interrogated</w:t>
      </w:r>
      <w:r>
        <w:rPr>
          <w:color w:val="4D4D4F"/>
          <w:spacing w:val="1"/>
        </w:rPr>
        <w:t xml:space="preserve"> </w:t>
      </w:r>
      <w:r>
        <w:rPr>
          <w:color w:val="4D4D4F"/>
          <w:spacing w:val="-4"/>
        </w:rPr>
        <w:t>for</w:t>
      </w:r>
      <w:r>
        <w:rPr>
          <w:color w:val="4D4D4F"/>
        </w:rPr>
        <w:t xml:space="preserve"> </w:t>
      </w:r>
      <w:r>
        <w:rPr>
          <w:color w:val="4D4D4F"/>
          <w:spacing w:val="-4"/>
        </w:rPr>
        <w:t>specific</w:t>
      </w:r>
      <w:r>
        <w:rPr>
          <w:color w:val="4D4D4F"/>
        </w:rPr>
        <w:t xml:space="preserve"> </w:t>
      </w:r>
      <w:r>
        <w:rPr>
          <w:color w:val="4D4D4F"/>
          <w:spacing w:val="-4"/>
        </w:rPr>
        <w:t>areas</w:t>
      </w:r>
      <w:r>
        <w:rPr>
          <w:color w:val="4D4D4F"/>
        </w:rPr>
        <w:t xml:space="preserve"> </w:t>
      </w:r>
      <w:r>
        <w:rPr>
          <w:color w:val="4D4D4F"/>
          <w:spacing w:val="-3"/>
        </w:rPr>
        <w:t>if</w:t>
      </w:r>
      <w:r>
        <w:rPr>
          <w:color w:val="4D4D4F"/>
          <w:spacing w:val="1"/>
        </w:rPr>
        <w:t xml:space="preserve"> </w:t>
      </w:r>
      <w:r>
        <w:rPr>
          <w:color w:val="4D4D4F"/>
          <w:spacing w:val="-4"/>
        </w:rPr>
        <w:t>necessary.</w:t>
      </w:r>
    </w:p>
    <w:p w14:paraId="2C46EB83" w14:textId="77777777" w:rsidR="00EF5B27" w:rsidRDefault="00EF5B27">
      <w:pPr>
        <w:pStyle w:val="BodyText"/>
        <w:spacing w:before="11"/>
        <w:rPr>
          <w:sz w:val="18"/>
        </w:rPr>
      </w:pPr>
    </w:p>
    <w:p w14:paraId="37C5DC27" w14:textId="77777777" w:rsidR="00EF5B27" w:rsidRDefault="00000000">
      <w:pPr>
        <w:pStyle w:val="BodyText"/>
        <w:spacing w:line="254" w:lineRule="auto"/>
        <w:ind w:left="113" w:right="264"/>
      </w:pPr>
      <w:r>
        <w:rPr>
          <w:color w:val="4D4D4F"/>
        </w:rPr>
        <w:t xml:space="preserve">Properties are gradually being protected by the MSA program, meaning the area under monitoring increases year- on-year. DELWP has indicated the number of plots will increase over time, and the ability to detect changes and infer relationships between management and ecological outcomes will increase. The current monitoring program    is approximately </w:t>
      </w:r>
      <w:r>
        <w:rPr>
          <w:color w:val="4D4D4F"/>
          <w:spacing w:val="-3"/>
        </w:rPr>
        <w:t xml:space="preserve">17% </w:t>
      </w:r>
      <w:r>
        <w:rPr>
          <w:color w:val="4D4D4F"/>
        </w:rPr>
        <w:t xml:space="preserve">of the scale of the monitoring program expected in the final years of the MSA, when all properties are protected </w:t>
      </w:r>
      <w:r>
        <w:rPr>
          <w:color w:val="4D4D4F"/>
          <w:spacing w:val="-4"/>
        </w:rPr>
        <w:t xml:space="preserve">(in </w:t>
      </w:r>
      <w:r>
        <w:rPr>
          <w:color w:val="4D4D4F"/>
        </w:rPr>
        <w:t>terms of area monitored and number of sampling</w:t>
      </w:r>
      <w:r>
        <w:rPr>
          <w:color w:val="4D4D4F"/>
          <w:spacing w:val="6"/>
        </w:rPr>
        <w:t xml:space="preserve"> </w:t>
      </w:r>
      <w:r>
        <w:rPr>
          <w:color w:val="4D4D4F"/>
        </w:rPr>
        <w:t>plots).</w:t>
      </w:r>
    </w:p>
    <w:p w14:paraId="3C9B9CA9" w14:textId="77777777" w:rsidR="00EF5B27" w:rsidRDefault="00000000">
      <w:pPr>
        <w:pStyle w:val="BodyText"/>
        <w:spacing w:before="9"/>
        <w:rPr>
          <w:sz w:val="26"/>
        </w:rPr>
      </w:pPr>
      <w:r>
        <w:pict w14:anchorId="7C341ACD">
          <v:group id="_x0000_s3550" style="position:absolute;margin-left:214pt;margin-top:18.6pt;width:324.7pt;height:207.3pt;z-index:251487744;mso-wrap-distance-left:0;mso-wrap-distance-right:0;mso-position-horizontal-relative:page" coordorigin="4280,372" coordsize="6494,4146">
            <v:shape id="_x0000_s3552" type="#_x0000_t75" style="position:absolute;left:4282;top:375;width:6489;height:4138">
              <v:imagedata r:id="rId117" o:title=""/>
            </v:shape>
            <v:rect id="_x0000_s3551" style="position:absolute;left:4282;top:374;width:6489;height:4141" filled="f" strokeweight=".25pt"/>
            <w10:wrap type="topAndBottom" anchorx="page"/>
          </v:group>
        </w:pict>
      </w:r>
    </w:p>
    <w:p w14:paraId="38D5C6BA" w14:textId="77777777" w:rsidR="00EF5B27" w:rsidRDefault="00000000">
      <w:pPr>
        <w:tabs>
          <w:tab w:val="left" w:pos="8977"/>
        </w:tabs>
        <w:spacing w:before="114"/>
        <w:ind w:left="3258"/>
        <w:rPr>
          <w:rFonts w:ascii="Century Gothic"/>
          <w:i/>
          <w:sz w:val="12"/>
        </w:rPr>
      </w:pPr>
      <w:r>
        <w:rPr>
          <w:color w:val="4D4D4F"/>
          <w:sz w:val="16"/>
        </w:rPr>
        <w:t>Figure</w:t>
      </w:r>
      <w:r>
        <w:rPr>
          <w:color w:val="4D4D4F"/>
          <w:spacing w:val="9"/>
          <w:sz w:val="16"/>
        </w:rPr>
        <w:t xml:space="preserve"> </w:t>
      </w:r>
      <w:r>
        <w:rPr>
          <w:color w:val="4D4D4F"/>
          <w:sz w:val="16"/>
        </w:rPr>
        <w:t>6:</w:t>
      </w:r>
      <w:r>
        <w:rPr>
          <w:color w:val="4D4D4F"/>
          <w:spacing w:val="9"/>
          <w:sz w:val="16"/>
        </w:rPr>
        <w:t xml:space="preserve"> </w:t>
      </w:r>
      <w:r>
        <w:rPr>
          <w:color w:val="4D4D4F"/>
          <w:sz w:val="16"/>
        </w:rPr>
        <w:t>Map</w:t>
      </w:r>
      <w:r>
        <w:rPr>
          <w:color w:val="4D4D4F"/>
          <w:spacing w:val="10"/>
          <w:sz w:val="16"/>
        </w:rPr>
        <w:t xml:space="preserve"> </w:t>
      </w:r>
      <w:r>
        <w:rPr>
          <w:color w:val="4D4D4F"/>
          <w:sz w:val="16"/>
        </w:rPr>
        <w:t>of</w:t>
      </w:r>
      <w:r>
        <w:rPr>
          <w:color w:val="4D4D4F"/>
          <w:spacing w:val="9"/>
          <w:sz w:val="16"/>
        </w:rPr>
        <w:t xml:space="preserve"> </w:t>
      </w:r>
      <w:r>
        <w:rPr>
          <w:color w:val="4D4D4F"/>
          <w:sz w:val="16"/>
        </w:rPr>
        <w:t>Natural</w:t>
      </w:r>
      <w:r>
        <w:rPr>
          <w:color w:val="4D4D4F"/>
          <w:spacing w:val="10"/>
          <w:sz w:val="16"/>
        </w:rPr>
        <w:t xml:space="preserve"> </w:t>
      </w:r>
      <w:r>
        <w:rPr>
          <w:color w:val="4D4D4F"/>
          <w:sz w:val="16"/>
        </w:rPr>
        <w:t>Temperate</w:t>
      </w:r>
      <w:r>
        <w:rPr>
          <w:color w:val="4D4D4F"/>
          <w:spacing w:val="9"/>
          <w:sz w:val="16"/>
        </w:rPr>
        <w:t xml:space="preserve"> </w:t>
      </w:r>
      <w:r>
        <w:rPr>
          <w:color w:val="4D4D4F"/>
          <w:sz w:val="16"/>
        </w:rPr>
        <w:t>Grassland</w:t>
      </w:r>
      <w:r>
        <w:rPr>
          <w:color w:val="4D4D4F"/>
          <w:spacing w:val="10"/>
          <w:sz w:val="16"/>
        </w:rPr>
        <w:t xml:space="preserve"> </w:t>
      </w:r>
      <w:r>
        <w:rPr>
          <w:color w:val="4D4D4F"/>
          <w:sz w:val="16"/>
        </w:rPr>
        <w:t>monitoring</w:t>
      </w:r>
      <w:r>
        <w:rPr>
          <w:color w:val="4D4D4F"/>
          <w:spacing w:val="9"/>
          <w:sz w:val="16"/>
        </w:rPr>
        <w:t xml:space="preserve"> </w:t>
      </w:r>
      <w:r>
        <w:rPr>
          <w:color w:val="4D4D4F"/>
          <w:sz w:val="16"/>
        </w:rPr>
        <w:t>locations</w:t>
      </w:r>
      <w:r>
        <w:rPr>
          <w:color w:val="4D4D4F"/>
          <w:spacing w:val="9"/>
          <w:sz w:val="16"/>
        </w:rPr>
        <w:t xml:space="preserve"> </w:t>
      </w:r>
      <w:r>
        <w:rPr>
          <w:color w:val="4D4D4F"/>
          <w:sz w:val="16"/>
        </w:rPr>
        <w:t>(north)</w:t>
      </w:r>
      <w:r>
        <w:rPr>
          <w:color w:val="4D4D4F"/>
          <w:sz w:val="16"/>
        </w:rPr>
        <w:tab/>
      </w:r>
      <w:r>
        <w:rPr>
          <w:rFonts w:ascii="Century Gothic"/>
          <w:i/>
          <w:color w:val="4D4D4F"/>
          <w:sz w:val="12"/>
        </w:rPr>
        <w:t>Source:</w:t>
      </w:r>
      <w:r>
        <w:rPr>
          <w:rFonts w:ascii="Century Gothic"/>
          <w:i/>
          <w:color w:val="4D4D4F"/>
          <w:spacing w:val="-21"/>
          <w:sz w:val="12"/>
        </w:rPr>
        <w:t xml:space="preserve"> </w:t>
      </w:r>
      <w:r>
        <w:rPr>
          <w:rFonts w:ascii="Century Gothic"/>
          <w:i/>
          <w:color w:val="4D4D4F"/>
          <w:sz w:val="12"/>
        </w:rPr>
        <w:t>DELWP</w:t>
      </w:r>
    </w:p>
    <w:p w14:paraId="7C35A469" w14:textId="77777777" w:rsidR="00EF5B27" w:rsidRDefault="00EF5B27">
      <w:pPr>
        <w:rPr>
          <w:rFonts w:ascii="Century Gothic"/>
          <w:sz w:val="12"/>
        </w:rPr>
        <w:sectPr w:rsidR="00EF5B27">
          <w:pgSz w:w="11910" w:h="16840"/>
          <w:pgMar w:top="1080" w:right="1020" w:bottom="860" w:left="1020" w:header="537" w:footer="678" w:gutter="0"/>
          <w:cols w:space="720"/>
        </w:sectPr>
      </w:pPr>
    </w:p>
    <w:p w14:paraId="30F13DFE" w14:textId="77777777" w:rsidR="00EF5B27" w:rsidRDefault="00000000">
      <w:pPr>
        <w:pStyle w:val="BodyText"/>
        <w:rPr>
          <w:rFonts w:ascii="Century Gothic"/>
          <w:i/>
        </w:rPr>
      </w:pPr>
      <w:r>
        <w:lastRenderedPageBreak/>
        <w:pict w14:anchorId="75F5322A">
          <v:group id="_x0000_s3542" style="position:absolute;margin-left:587.05pt;margin-top:183.4pt;width:8.25pt;height:153.1pt;z-index:251557376;mso-position-horizontal-relative:page;mso-position-vertical-relative:page" coordorigin="11741,3668" coordsize="165,3062">
            <v:shape id="_x0000_s3549" style="position:absolute;left:11741;top:3668;width:165;height:561" coordorigin="11741,3668" coordsize="165,561" path="m11906,3668r-165,l11741,4228r165,-18l11906,3668xe" fillcolor="#00aed9" stroked="f">
              <v:path arrowok="t"/>
            </v:shape>
            <v:shape id="_x0000_s3548" style="position:absolute;left:11741;top:4118;width:165;height:425" coordorigin="11741,4118" coordsize="165,425" path="m11906,4118r-165,14l11741,4531r165,12l11906,4118xe" fillcolor="#047ebc" stroked="f">
              <v:path arrowok="t"/>
            </v:shape>
            <v:shape id="_x0000_s3547" type="#_x0000_t75" style="position:absolute;left:11741;top:4355;width:165;height:587">
              <v:imagedata r:id="rId42" o:title=""/>
            </v:shape>
            <v:shape id="_x0000_s3546" style="position:absolute;left:11741;top:5343;width:165;height:536" coordorigin="11741,5343" coordsize="165,536" path="m11741,5343r,535l11906,5872r,-525l11741,5343xe" fillcolor="#f36a2e" stroked="f">
              <v:path arrowok="t"/>
            </v:shape>
            <v:shape id="_x0000_s3545" style="position:absolute;left:11741;top:4925;width:165;height:501" coordorigin="11741,4926" coordsize="165,501" path="m11741,4926r,500l11906,5426r,-485l11741,4926xe" fillcolor="#49783f" stroked="f">
              <v:path arrowok="t"/>
            </v:shape>
            <v:shape id="_x0000_s3544" style="position:absolute;left:11741;top:5781;width:165;height:268" coordorigin="11741,5782" coordsize="165,268" path="m11906,5782r-165,8l11741,6039r165,10l11906,5782xe" fillcolor="#f99f2a" stroked="f">
              <v:path arrowok="t"/>
            </v:shape>
            <v:shape id="_x0000_s3543" style="position:absolute;left:11741;top:6023;width:165;height:707" coordorigin="11741,6023" coordsize="165,707" path="m11741,6023r,706l11906,6729r,-690l11741,6023xe" fillcolor="#ef412c" stroked="f">
              <v:path arrowok="t"/>
            </v:shape>
            <w10:wrap anchorx="page" anchory="page"/>
          </v:group>
        </w:pict>
      </w:r>
    </w:p>
    <w:p w14:paraId="31E3F7D7" w14:textId="77777777" w:rsidR="00EF5B27" w:rsidRDefault="00EF5B27">
      <w:pPr>
        <w:pStyle w:val="BodyText"/>
        <w:rPr>
          <w:rFonts w:ascii="Century Gothic"/>
          <w:i/>
        </w:rPr>
      </w:pPr>
    </w:p>
    <w:p w14:paraId="11A7C049" w14:textId="77777777" w:rsidR="00EF5B27" w:rsidRDefault="00EF5B27">
      <w:pPr>
        <w:pStyle w:val="BodyText"/>
        <w:rPr>
          <w:rFonts w:ascii="Century Gothic"/>
          <w:i/>
        </w:rPr>
      </w:pPr>
    </w:p>
    <w:p w14:paraId="6B886771" w14:textId="77777777" w:rsidR="00EF5B27" w:rsidRDefault="00EF5B27">
      <w:pPr>
        <w:pStyle w:val="BodyText"/>
        <w:rPr>
          <w:rFonts w:ascii="Century Gothic"/>
          <w:i/>
        </w:rPr>
      </w:pPr>
    </w:p>
    <w:p w14:paraId="6AF5395B" w14:textId="77777777" w:rsidR="00EF5B27" w:rsidRDefault="00EF5B27">
      <w:pPr>
        <w:pStyle w:val="BodyText"/>
        <w:spacing w:before="2"/>
        <w:rPr>
          <w:rFonts w:ascii="Century Gothic"/>
          <w:i/>
          <w:sz w:val="15"/>
        </w:rPr>
      </w:pPr>
    </w:p>
    <w:bookmarkStart w:id="32" w:name="_bookmark29"/>
    <w:bookmarkEnd w:id="32"/>
    <w:p w14:paraId="5CA65A0F" w14:textId="77777777" w:rsidR="00EF5B27" w:rsidRDefault="00000000">
      <w:pPr>
        <w:pStyle w:val="BodyText"/>
        <w:ind w:left="2598"/>
        <w:rPr>
          <w:rFonts w:ascii="Century Gothic"/>
        </w:rPr>
      </w:pPr>
      <w:r>
        <w:rPr>
          <w:rFonts w:ascii="Century Gothic"/>
        </w:rPr>
      </w:r>
      <w:r>
        <w:rPr>
          <w:rFonts w:ascii="Century Gothic"/>
        </w:rPr>
        <w:pict w14:anchorId="3F6C04B8">
          <v:group id="_x0000_s3539" style="width:357.4pt;height:228.05pt;mso-position-horizontal-relative:char;mso-position-vertical-relative:line" coordsize="7148,4561">
            <v:shape id="_x0000_s3541" type="#_x0000_t75" style="position:absolute;left:2;top:2;width:7143;height:4556">
              <v:imagedata r:id="rId118" o:title=""/>
            </v:shape>
            <v:rect id="_x0000_s3540" style="position:absolute;left:2;top:2;width:7143;height:4556" filled="f" strokeweight=".25pt"/>
            <w10:anchorlock/>
          </v:group>
        </w:pict>
      </w:r>
    </w:p>
    <w:p w14:paraId="74D9D0FB" w14:textId="77777777" w:rsidR="00EF5B27" w:rsidRDefault="00000000">
      <w:pPr>
        <w:tabs>
          <w:tab w:val="left" w:pos="8977"/>
        </w:tabs>
        <w:spacing w:before="87"/>
        <w:ind w:left="2608"/>
        <w:rPr>
          <w:rFonts w:ascii="Century Gothic"/>
          <w:i/>
          <w:sz w:val="12"/>
        </w:rPr>
      </w:pPr>
      <w:r>
        <w:rPr>
          <w:color w:val="4D4D4F"/>
          <w:sz w:val="16"/>
        </w:rPr>
        <w:t>Figure</w:t>
      </w:r>
      <w:r>
        <w:rPr>
          <w:color w:val="4D4D4F"/>
          <w:spacing w:val="9"/>
          <w:sz w:val="16"/>
        </w:rPr>
        <w:t xml:space="preserve"> </w:t>
      </w:r>
      <w:r>
        <w:rPr>
          <w:color w:val="4D4D4F"/>
          <w:sz w:val="16"/>
        </w:rPr>
        <w:t>7:</w:t>
      </w:r>
      <w:r>
        <w:rPr>
          <w:color w:val="4D4D4F"/>
          <w:spacing w:val="9"/>
          <w:sz w:val="16"/>
        </w:rPr>
        <w:t xml:space="preserve"> </w:t>
      </w:r>
      <w:r>
        <w:rPr>
          <w:color w:val="4D4D4F"/>
          <w:sz w:val="16"/>
        </w:rPr>
        <w:t>Map</w:t>
      </w:r>
      <w:r>
        <w:rPr>
          <w:color w:val="4D4D4F"/>
          <w:spacing w:val="10"/>
          <w:sz w:val="16"/>
        </w:rPr>
        <w:t xml:space="preserve"> </w:t>
      </w:r>
      <w:r>
        <w:rPr>
          <w:color w:val="4D4D4F"/>
          <w:sz w:val="16"/>
        </w:rPr>
        <w:t>of</w:t>
      </w:r>
      <w:r>
        <w:rPr>
          <w:color w:val="4D4D4F"/>
          <w:spacing w:val="9"/>
          <w:sz w:val="16"/>
        </w:rPr>
        <w:t xml:space="preserve"> </w:t>
      </w:r>
      <w:r>
        <w:rPr>
          <w:color w:val="4D4D4F"/>
          <w:sz w:val="16"/>
        </w:rPr>
        <w:t>Natural</w:t>
      </w:r>
      <w:r>
        <w:rPr>
          <w:color w:val="4D4D4F"/>
          <w:spacing w:val="10"/>
          <w:sz w:val="16"/>
        </w:rPr>
        <w:t xml:space="preserve"> </w:t>
      </w:r>
      <w:r>
        <w:rPr>
          <w:color w:val="4D4D4F"/>
          <w:sz w:val="16"/>
        </w:rPr>
        <w:t>Temperate</w:t>
      </w:r>
      <w:r>
        <w:rPr>
          <w:color w:val="4D4D4F"/>
          <w:spacing w:val="9"/>
          <w:sz w:val="16"/>
        </w:rPr>
        <w:t xml:space="preserve"> </w:t>
      </w:r>
      <w:r>
        <w:rPr>
          <w:color w:val="4D4D4F"/>
          <w:sz w:val="16"/>
        </w:rPr>
        <w:t>Grassland</w:t>
      </w:r>
      <w:r>
        <w:rPr>
          <w:color w:val="4D4D4F"/>
          <w:spacing w:val="10"/>
          <w:sz w:val="16"/>
        </w:rPr>
        <w:t xml:space="preserve"> </w:t>
      </w:r>
      <w:r>
        <w:rPr>
          <w:color w:val="4D4D4F"/>
          <w:sz w:val="16"/>
        </w:rPr>
        <w:t>monitoring</w:t>
      </w:r>
      <w:r>
        <w:rPr>
          <w:color w:val="4D4D4F"/>
          <w:spacing w:val="9"/>
          <w:sz w:val="16"/>
        </w:rPr>
        <w:t xml:space="preserve"> </w:t>
      </w:r>
      <w:r>
        <w:rPr>
          <w:color w:val="4D4D4F"/>
          <w:sz w:val="16"/>
        </w:rPr>
        <w:t>locations</w:t>
      </w:r>
      <w:r>
        <w:rPr>
          <w:color w:val="4D4D4F"/>
          <w:spacing w:val="10"/>
          <w:sz w:val="16"/>
        </w:rPr>
        <w:t xml:space="preserve"> </w:t>
      </w:r>
      <w:r>
        <w:rPr>
          <w:color w:val="4D4D4F"/>
          <w:sz w:val="16"/>
        </w:rPr>
        <w:t>(west)</w:t>
      </w:r>
      <w:r>
        <w:rPr>
          <w:color w:val="4D4D4F"/>
          <w:sz w:val="16"/>
        </w:rPr>
        <w:tab/>
      </w:r>
      <w:r>
        <w:rPr>
          <w:rFonts w:ascii="Century Gothic"/>
          <w:i/>
          <w:color w:val="4D4D4F"/>
          <w:sz w:val="12"/>
        </w:rPr>
        <w:t>Source:</w:t>
      </w:r>
      <w:r>
        <w:rPr>
          <w:rFonts w:ascii="Century Gothic"/>
          <w:i/>
          <w:color w:val="4D4D4F"/>
          <w:spacing w:val="-22"/>
          <w:sz w:val="12"/>
        </w:rPr>
        <w:t xml:space="preserve"> </w:t>
      </w:r>
      <w:r>
        <w:rPr>
          <w:rFonts w:ascii="Century Gothic"/>
          <w:i/>
          <w:color w:val="4D4D4F"/>
          <w:sz w:val="12"/>
        </w:rPr>
        <w:t>DELWP</w:t>
      </w:r>
    </w:p>
    <w:p w14:paraId="63331DB9" w14:textId="77777777" w:rsidR="00EF5B27" w:rsidRDefault="00EF5B27">
      <w:pPr>
        <w:pStyle w:val="BodyText"/>
        <w:rPr>
          <w:rFonts w:ascii="Century Gothic"/>
          <w:i/>
        </w:rPr>
      </w:pPr>
    </w:p>
    <w:p w14:paraId="3B083BD1" w14:textId="77777777" w:rsidR="00EF5B27" w:rsidRDefault="00EF5B27">
      <w:pPr>
        <w:pStyle w:val="BodyText"/>
        <w:rPr>
          <w:rFonts w:ascii="Century Gothic"/>
          <w:i/>
        </w:rPr>
      </w:pPr>
    </w:p>
    <w:p w14:paraId="45EB9332" w14:textId="77777777" w:rsidR="00EF5B27" w:rsidRDefault="00000000">
      <w:pPr>
        <w:pStyle w:val="Heading3"/>
        <w:spacing w:before="282"/>
      </w:pPr>
      <w:r>
        <w:rPr>
          <w:color w:val="F99F2A"/>
          <w:w w:val="105"/>
        </w:rPr>
        <w:t>Results</w:t>
      </w:r>
    </w:p>
    <w:p w14:paraId="797ACFEF" w14:textId="77777777" w:rsidR="00EF5B27" w:rsidRDefault="00000000">
      <w:pPr>
        <w:pStyle w:val="Heading6"/>
        <w:spacing w:before="221"/>
      </w:pPr>
      <w:r>
        <w:rPr>
          <w:color w:val="4D4D4F"/>
        </w:rPr>
        <w:t>KP1: Hectares making transition between states</w:t>
      </w:r>
    </w:p>
    <w:p w14:paraId="7787FDCE" w14:textId="77777777" w:rsidR="00EF5B27" w:rsidRDefault="00EF5B27">
      <w:pPr>
        <w:pStyle w:val="BodyText"/>
        <w:spacing w:before="2"/>
        <w:rPr>
          <w:b/>
          <w:sz w:val="14"/>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3E96A0A0" w14:textId="77777777">
        <w:trPr>
          <w:trHeight w:val="561"/>
        </w:trPr>
        <w:tc>
          <w:tcPr>
            <w:tcW w:w="2980" w:type="dxa"/>
            <w:shd w:val="clear" w:color="auto" w:fill="FECC91"/>
          </w:tcPr>
          <w:p w14:paraId="3720BCF3" w14:textId="77777777" w:rsidR="00EF5B27" w:rsidRDefault="00000000">
            <w:pPr>
              <w:pStyle w:val="TableParagraph"/>
              <w:spacing w:before="91" w:line="244" w:lineRule="auto"/>
              <w:ind w:left="80" w:right="244"/>
              <w:rPr>
                <w:b/>
                <w:sz w:val="16"/>
              </w:rPr>
            </w:pPr>
            <w:r>
              <w:rPr>
                <w:b/>
                <w:sz w:val="16"/>
              </w:rPr>
              <w:t>KPI 1: Hectares making transition between states</w:t>
            </w:r>
          </w:p>
        </w:tc>
        <w:tc>
          <w:tcPr>
            <w:tcW w:w="1078" w:type="dxa"/>
            <w:shd w:val="clear" w:color="auto" w:fill="FECC91"/>
          </w:tcPr>
          <w:p w14:paraId="7DFD8C84"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0304A6C8" w14:textId="77777777" w:rsidR="00EF5B27" w:rsidRDefault="00EF5B27">
            <w:pPr>
              <w:pStyle w:val="TableParagraph"/>
              <w:spacing w:before="7"/>
              <w:rPr>
                <w:b/>
                <w:sz w:val="15"/>
              </w:rPr>
            </w:pPr>
          </w:p>
          <w:p w14:paraId="647EFFD3"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77293232" w14:textId="77777777" w:rsidR="00EF5B27" w:rsidRDefault="00EF5B27">
            <w:pPr>
              <w:pStyle w:val="TableParagraph"/>
              <w:spacing w:before="7"/>
              <w:rPr>
                <w:b/>
                <w:sz w:val="15"/>
              </w:rPr>
            </w:pPr>
          </w:p>
          <w:p w14:paraId="02779244"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4032F5F9"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7E131EEF"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60ADBC1A" w14:textId="77777777">
        <w:trPr>
          <w:trHeight w:val="448"/>
        </w:trPr>
        <w:tc>
          <w:tcPr>
            <w:tcW w:w="2980" w:type="dxa"/>
          </w:tcPr>
          <w:p w14:paraId="339CDFE2" w14:textId="77777777" w:rsidR="00EF5B27" w:rsidRDefault="00EF5B27">
            <w:pPr>
              <w:pStyle w:val="TableParagraph"/>
              <w:spacing w:before="11"/>
              <w:rPr>
                <w:b/>
                <w:sz w:val="11"/>
              </w:rPr>
            </w:pPr>
          </w:p>
          <w:p w14:paraId="2445BF10" w14:textId="77777777" w:rsidR="00EF5B27" w:rsidRDefault="00000000">
            <w:pPr>
              <w:pStyle w:val="TableParagraph"/>
              <w:ind w:left="80"/>
              <w:rPr>
                <w:sz w:val="14"/>
              </w:rPr>
            </w:pPr>
            <w:r>
              <w:rPr>
                <w:color w:val="4D4D4F"/>
                <w:w w:val="105"/>
                <w:sz w:val="14"/>
              </w:rPr>
              <w:t>Herb-rich grassland</w:t>
            </w:r>
          </w:p>
        </w:tc>
        <w:tc>
          <w:tcPr>
            <w:tcW w:w="1078" w:type="dxa"/>
          </w:tcPr>
          <w:p w14:paraId="22BF9A1D" w14:textId="77777777" w:rsidR="00EF5B27" w:rsidRDefault="00EF5B27">
            <w:pPr>
              <w:pStyle w:val="TableParagraph"/>
              <w:spacing w:before="11"/>
              <w:rPr>
                <w:b/>
                <w:sz w:val="11"/>
              </w:rPr>
            </w:pPr>
          </w:p>
          <w:p w14:paraId="2B880116" w14:textId="77777777" w:rsidR="00EF5B27" w:rsidRDefault="00000000">
            <w:pPr>
              <w:pStyle w:val="TableParagraph"/>
              <w:ind w:left="142"/>
              <w:rPr>
                <w:sz w:val="14"/>
              </w:rPr>
            </w:pPr>
            <w:r>
              <w:rPr>
                <w:color w:val="4D4D4F"/>
                <w:w w:val="105"/>
                <w:sz w:val="14"/>
              </w:rPr>
              <w:t>Not assessed</w:t>
            </w:r>
          </w:p>
        </w:tc>
        <w:tc>
          <w:tcPr>
            <w:tcW w:w="2155" w:type="dxa"/>
          </w:tcPr>
          <w:p w14:paraId="1B9E6576" w14:textId="77777777" w:rsidR="00EF5B27" w:rsidRDefault="00EF5B27">
            <w:pPr>
              <w:pStyle w:val="TableParagraph"/>
              <w:spacing w:before="11"/>
              <w:rPr>
                <w:b/>
                <w:sz w:val="11"/>
              </w:rPr>
            </w:pPr>
          </w:p>
          <w:p w14:paraId="26A729C0" w14:textId="77777777" w:rsidR="00EF5B27" w:rsidRDefault="00000000">
            <w:pPr>
              <w:pStyle w:val="TableParagraph"/>
              <w:ind w:left="143" w:right="142"/>
              <w:jc w:val="center"/>
              <w:rPr>
                <w:sz w:val="14"/>
              </w:rPr>
            </w:pPr>
            <w:r>
              <w:rPr>
                <w:color w:val="4D4D4F"/>
                <w:sz w:val="14"/>
              </w:rPr>
              <w:t>Change in monitoring method</w:t>
            </w:r>
          </w:p>
        </w:tc>
        <w:tc>
          <w:tcPr>
            <w:tcW w:w="964" w:type="dxa"/>
          </w:tcPr>
          <w:p w14:paraId="75F961F8" w14:textId="77777777" w:rsidR="00EF5B27" w:rsidRDefault="00EF5B27">
            <w:pPr>
              <w:pStyle w:val="TableParagraph"/>
              <w:spacing w:before="4"/>
              <w:rPr>
                <w:b/>
                <w:sz w:val="7"/>
              </w:rPr>
            </w:pPr>
          </w:p>
          <w:p w14:paraId="7B306246" w14:textId="77777777" w:rsidR="00EF5B27" w:rsidRDefault="00000000">
            <w:pPr>
              <w:pStyle w:val="TableParagraph"/>
              <w:spacing w:line="187" w:lineRule="exact"/>
              <w:ind w:left="400"/>
              <w:rPr>
                <w:sz w:val="18"/>
              </w:rPr>
            </w:pPr>
            <w:r>
              <w:rPr>
                <w:noProof/>
                <w:position w:val="-3"/>
                <w:sz w:val="18"/>
              </w:rPr>
              <w:drawing>
                <wp:inline distT="0" distB="0" distL="0" distR="0" wp14:anchorId="2DFDD705" wp14:editId="7E2E9BED">
                  <wp:extent cx="100572" cy="119062"/>
                  <wp:effectExtent l="0" t="0" r="0" b="0"/>
                  <wp:docPr id="297"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17.png"/>
                          <pic:cNvPicPr/>
                        </pic:nvPicPr>
                        <pic:blipFill>
                          <a:blip r:embed="rId84" cstate="print"/>
                          <a:stretch>
                            <a:fillRect/>
                          </a:stretch>
                        </pic:blipFill>
                        <pic:spPr>
                          <a:xfrm>
                            <a:off x="0" y="0"/>
                            <a:ext cx="100572" cy="119062"/>
                          </a:xfrm>
                          <a:prstGeom prst="rect">
                            <a:avLst/>
                          </a:prstGeom>
                        </pic:spPr>
                      </pic:pic>
                    </a:graphicData>
                  </a:graphic>
                </wp:inline>
              </w:drawing>
            </w:r>
          </w:p>
          <w:p w14:paraId="0A3708F3" w14:textId="77777777" w:rsidR="00EF5B27" w:rsidRDefault="00EF5B27">
            <w:pPr>
              <w:pStyle w:val="TableParagraph"/>
              <w:spacing w:before="8"/>
              <w:rPr>
                <w:b/>
                <w:sz w:val="2"/>
              </w:rPr>
            </w:pPr>
          </w:p>
          <w:p w14:paraId="7C5F0CF1" w14:textId="77777777" w:rsidR="00EF5B27" w:rsidRDefault="00000000">
            <w:pPr>
              <w:pStyle w:val="TableParagraph"/>
              <w:spacing w:line="48" w:lineRule="exact"/>
              <w:ind w:left="448"/>
              <w:rPr>
                <w:sz w:val="4"/>
              </w:rPr>
            </w:pPr>
            <w:r>
              <w:rPr>
                <w:sz w:val="4"/>
              </w:rPr>
            </w:r>
            <w:r>
              <w:rPr>
                <w:sz w:val="4"/>
              </w:rPr>
              <w:pict w14:anchorId="4E73ECDC">
                <v:group id="_x0000_s3537" style="width:2.45pt;height:2.45pt;mso-position-horizontal-relative:char;mso-position-vertical-relative:line" coordsize="49,49">
                  <v:shape id="_x0000_s3538" style="position:absolute;width:49;height:49" coordsize="49,49" path="m31,l18,,12,2,2,12,,17,,31r2,6l12,46r6,3l31,49r6,-3l46,37r3,-6l49,17,46,12,37,2,31,xe" fillcolor="#808285" stroked="f">
                    <v:path arrowok="t"/>
                  </v:shape>
                  <w10:wrap type="none"/>
                  <w10:anchorlock/>
                </v:group>
              </w:pict>
            </w:r>
          </w:p>
        </w:tc>
        <w:tc>
          <w:tcPr>
            <w:tcW w:w="964" w:type="dxa"/>
          </w:tcPr>
          <w:p w14:paraId="6580825E" w14:textId="77777777" w:rsidR="00EF5B27" w:rsidRDefault="00EF5B27">
            <w:pPr>
              <w:pStyle w:val="TableParagraph"/>
              <w:spacing w:before="11"/>
              <w:rPr>
                <w:b/>
                <w:sz w:val="11"/>
              </w:rPr>
            </w:pPr>
          </w:p>
          <w:p w14:paraId="0E164411" w14:textId="77777777" w:rsidR="00EF5B27" w:rsidRDefault="00000000">
            <w:pPr>
              <w:pStyle w:val="TableParagraph"/>
              <w:ind w:left="318" w:right="323"/>
              <w:jc w:val="center"/>
              <w:rPr>
                <w:sz w:val="14"/>
              </w:rPr>
            </w:pPr>
            <w:r>
              <w:rPr>
                <w:color w:val="4D4D4F"/>
                <w:w w:val="105"/>
                <w:sz w:val="14"/>
              </w:rPr>
              <w:t>N/A</w:t>
            </w:r>
          </w:p>
        </w:tc>
        <w:tc>
          <w:tcPr>
            <w:tcW w:w="1489" w:type="dxa"/>
          </w:tcPr>
          <w:p w14:paraId="073DF395" w14:textId="77777777" w:rsidR="00EF5B27" w:rsidRDefault="00EF5B27">
            <w:pPr>
              <w:pStyle w:val="TableParagraph"/>
              <w:spacing w:before="11"/>
              <w:rPr>
                <w:b/>
                <w:sz w:val="11"/>
              </w:rPr>
            </w:pPr>
          </w:p>
          <w:p w14:paraId="6EB63F77" w14:textId="77777777" w:rsidR="00EF5B27" w:rsidRDefault="00000000">
            <w:pPr>
              <w:pStyle w:val="TableParagraph"/>
              <w:ind w:left="451" w:right="457"/>
              <w:jc w:val="center"/>
              <w:rPr>
                <w:sz w:val="14"/>
              </w:rPr>
            </w:pPr>
            <w:r>
              <w:rPr>
                <w:color w:val="4D4D4F"/>
                <w:w w:val="105"/>
                <w:sz w:val="14"/>
              </w:rPr>
              <w:t>N/A</w:t>
            </w:r>
          </w:p>
        </w:tc>
      </w:tr>
      <w:tr w:rsidR="00EF5B27" w14:paraId="0BCB0DA5" w14:textId="77777777">
        <w:trPr>
          <w:trHeight w:val="448"/>
        </w:trPr>
        <w:tc>
          <w:tcPr>
            <w:tcW w:w="2980" w:type="dxa"/>
          </w:tcPr>
          <w:p w14:paraId="041625AA" w14:textId="77777777" w:rsidR="00EF5B27" w:rsidRDefault="00EF5B27">
            <w:pPr>
              <w:pStyle w:val="TableParagraph"/>
              <w:spacing w:before="11"/>
              <w:rPr>
                <w:b/>
                <w:sz w:val="11"/>
              </w:rPr>
            </w:pPr>
          </w:p>
          <w:p w14:paraId="60AF93AB" w14:textId="77777777" w:rsidR="00EF5B27" w:rsidRDefault="00000000">
            <w:pPr>
              <w:pStyle w:val="TableParagraph"/>
              <w:ind w:left="79"/>
              <w:rPr>
                <w:sz w:val="14"/>
              </w:rPr>
            </w:pPr>
            <w:r>
              <w:rPr>
                <w:rFonts w:ascii="Arial Narrow"/>
                <w:i/>
                <w:color w:val="4D4D4F"/>
                <w:w w:val="110"/>
                <w:sz w:val="14"/>
              </w:rPr>
              <w:t xml:space="preserve">Themeda </w:t>
            </w:r>
            <w:r>
              <w:rPr>
                <w:color w:val="4D4D4F"/>
                <w:w w:val="110"/>
                <w:sz w:val="14"/>
              </w:rPr>
              <w:t>grassland</w:t>
            </w:r>
          </w:p>
        </w:tc>
        <w:tc>
          <w:tcPr>
            <w:tcW w:w="1078" w:type="dxa"/>
          </w:tcPr>
          <w:p w14:paraId="4AC0E7B4" w14:textId="77777777" w:rsidR="00EF5B27" w:rsidRDefault="00EF5B27">
            <w:pPr>
              <w:pStyle w:val="TableParagraph"/>
              <w:spacing w:before="11"/>
              <w:rPr>
                <w:b/>
                <w:sz w:val="11"/>
              </w:rPr>
            </w:pPr>
          </w:p>
          <w:p w14:paraId="6585C366" w14:textId="77777777" w:rsidR="00EF5B27" w:rsidRDefault="00000000">
            <w:pPr>
              <w:pStyle w:val="TableParagraph"/>
              <w:ind w:left="142"/>
              <w:rPr>
                <w:sz w:val="14"/>
              </w:rPr>
            </w:pPr>
            <w:r>
              <w:rPr>
                <w:color w:val="4D4D4F"/>
                <w:w w:val="105"/>
                <w:sz w:val="14"/>
              </w:rPr>
              <w:t>Not assessed</w:t>
            </w:r>
          </w:p>
        </w:tc>
        <w:tc>
          <w:tcPr>
            <w:tcW w:w="2155" w:type="dxa"/>
          </w:tcPr>
          <w:p w14:paraId="57A6062E" w14:textId="77777777" w:rsidR="00EF5B27" w:rsidRDefault="00EF5B27">
            <w:pPr>
              <w:pStyle w:val="TableParagraph"/>
              <w:spacing w:before="11"/>
              <w:rPr>
                <w:b/>
                <w:sz w:val="11"/>
              </w:rPr>
            </w:pPr>
          </w:p>
          <w:p w14:paraId="174802A8" w14:textId="77777777" w:rsidR="00EF5B27" w:rsidRDefault="00000000">
            <w:pPr>
              <w:pStyle w:val="TableParagraph"/>
              <w:ind w:left="143" w:right="142"/>
              <w:jc w:val="center"/>
              <w:rPr>
                <w:sz w:val="14"/>
              </w:rPr>
            </w:pPr>
            <w:r>
              <w:rPr>
                <w:color w:val="4D4D4F"/>
                <w:sz w:val="14"/>
              </w:rPr>
              <w:t>Change in monitoring method</w:t>
            </w:r>
          </w:p>
        </w:tc>
        <w:tc>
          <w:tcPr>
            <w:tcW w:w="964" w:type="dxa"/>
          </w:tcPr>
          <w:p w14:paraId="409AA8BE" w14:textId="77777777" w:rsidR="00EF5B27" w:rsidRDefault="00EF5B27">
            <w:pPr>
              <w:pStyle w:val="TableParagraph"/>
              <w:spacing w:before="4"/>
              <w:rPr>
                <w:b/>
                <w:sz w:val="7"/>
              </w:rPr>
            </w:pPr>
          </w:p>
          <w:p w14:paraId="08486655" w14:textId="77777777" w:rsidR="00EF5B27" w:rsidRDefault="00000000">
            <w:pPr>
              <w:pStyle w:val="TableParagraph"/>
              <w:spacing w:line="187" w:lineRule="exact"/>
              <w:ind w:left="400"/>
              <w:rPr>
                <w:sz w:val="18"/>
              </w:rPr>
            </w:pPr>
            <w:r>
              <w:rPr>
                <w:noProof/>
                <w:position w:val="-3"/>
                <w:sz w:val="18"/>
              </w:rPr>
              <w:drawing>
                <wp:inline distT="0" distB="0" distL="0" distR="0" wp14:anchorId="50529FF8" wp14:editId="0CCFC417">
                  <wp:extent cx="100572" cy="119062"/>
                  <wp:effectExtent l="0" t="0" r="0" b="0"/>
                  <wp:docPr id="299"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18.png"/>
                          <pic:cNvPicPr/>
                        </pic:nvPicPr>
                        <pic:blipFill>
                          <a:blip r:embed="rId92" cstate="print"/>
                          <a:stretch>
                            <a:fillRect/>
                          </a:stretch>
                        </pic:blipFill>
                        <pic:spPr>
                          <a:xfrm>
                            <a:off x="0" y="0"/>
                            <a:ext cx="100572" cy="119062"/>
                          </a:xfrm>
                          <a:prstGeom prst="rect">
                            <a:avLst/>
                          </a:prstGeom>
                        </pic:spPr>
                      </pic:pic>
                    </a:graphicData>
                  </a:graphic>
                </wp:inline>
              </w:drawing>
            </w:r>
          </w:p>
          <w:p w14:paraId="5C8A6E2B" w14:textId="77777777" w:rsidR="00EF5B27" w:rsidRDefault="00EF5B27">
            <w:pPr>
              <w:pStyle w:val="TableParagraph"/>
              <w:spacing w:before="8"/>
              <w:rPr>
                <w:b/>
                <w:sz w:val="2"/>
              </w:rPr>
            </w:pPr>
          </w:p>
          <w:p w14:paraId="45B156AA" w14:textId="77777777" w:rsidR="00EF5B27" w:rsidRDefault="00000000">
            <w:pPr>
              <w:pStyle w:val="TableParagraph"/>
              <w:spacing w:line="48" w:lineRule="exact"/>
              <w:ind w:left="448"/>
              <w:rPr>
                <w:sz w:val="4"/>
              </w:rPr>
            </w:pPr>
            <w:r>
              <w:rPr>
                <w:sz w:val="4"/>
              </w:rPr>
            </w:r>
            <w:r>
              <w:rPr>
                <w:sz w:val="4"/>
              </w:rPr>
              <w:pict w14:anchorId="03B379AF">
                <v:group id="_x0000_s3535" style="width:2.45pt;height:2.45pt;mso-position-horizontal-relative:char;mso-position-vertical-relative:line" coordsize="49,49">
                  <v:shape id="_x0000_s3536" style="position:absolute;width:49;height:49" coordsize="49,49" path="m31,l18,,12,2,2,12,,17,,31r2,6l12,46r6,3l31,49r6,-3l46,37r3,-6l49,17,46,12,37,2,31,xe" fillcolor="#808285" stroked="f">
                    <v:path arrowok="t"/>
                  </v:shape>
                  <w10:wrap type="none"/>
                  <w10:anchorlock/>
                </v:group>
              </w:pict>
            </w:r>
          </w:p>
        </w:tc>
        <w:tc>
          <w:tcPr>
            <w:tcW w:w="964" w:type="dxa"/>
          </w:tcPr>
          <w:p w14:paraId="3F5698F1" w14:textId="77777777" w:rsidR="00EF5B27" w:rsidRDefault="00EF5B27">
            <w:pPr>
              <w:pStyle w:val="TableParagraph"/>
              <w:spacing w:before="11"/>
              <w:rPr>
                <w:b/>
                <w:sz w:val="11"/>
              </w:rPr>
            </w:pPr>
          </w:p>
          <w:p w14:paraId="78361F94" w14:textId="77777777" w:rsidR="00EF5B27" w:rsidRDefault="00000000">
            <w:pPr>
              <w:pStyle w:val="TableParagraph"/>
              <w:ind w:left="318" w:right="323"/>
              <w:jc w:val="center"/>
              <w:rPr>
                <w:sz w:val="14"/>
              </w:rPr>
            </w:pPr>
            <w:r>
              <w:rPr>
                <w:color w:val="4D4D4F"/>
                <w:w w:val="105"/>
                <w:sz w:val="14"/>
              </w:rPr>
              <w:t>N/A</w:t>
            </w:r>
          </w:p>
        </w:tc>
        <w:tc>
          <w:tcPr>
            <w:tcW w:w="1489" w:type="dxa"/>
          </w:tcPr>
          <w:p w14:paraId="4F665C4A" w14:textId="77777777" w:rsidR="00EF5B27" w:rsidRDefault="00EF5B27">
            <w:pPr>
              <w:pStyle w:val="TableParagraph"/>
              <w:spacing w:before="11"/>
              <w:rPr>
                <w:b/>
                <w:sz w:val="11"/>
              </w:rPr>
            </w:pPr>
          </w:p>
          <w:p w14:paraId="24EF4F89" w14:textId="77777777" w:rsidR="00EF5B27" w:rsidRDefault="00000000">
            <w:pPr>
              <w:pStyle w:val="TableParagraph"/>
              <w:ind w:left="451" w:right="457"/>
              <w:jc w:val="center"/>
              <w:rPr>
                <w:sz w:val="14"/>
              </w:rPr>
            </w:pPr>
            <w:r>
              <w:rPr>
                <w:color w:val="4D4D4F"/>
                <w:w w:val="105"/>
                <w:sz w:val="14"/>
              </w:rPr>
              <w:t>N/A</w:t>
            </w:r>
          </w:p>
        </w:tc>
      </w:tr>
      <w:tr w:rsidR="00EF5B27" w14:paraId="1C8E2FE0" w14:textId="77777777">
        <w:trPr>
          <w:trHeight w:val="448"/>
        </w:trPr>
        <w:tc>
          <w:tcPr>
            <w:tcW w:w="2980" w:type="dxa"/>
          </w:tcPr>
          <w:p w14:paraId="07D72260" w14:textId="77777777" w:rsidR="00EF5B27" w:rsidRDefault="00EF5B27">
            <w:pPr>
              <w:pStyle w:val="TableParagraph"/>
              <w:spacing w:before="11"/>
              <w:rPr>
                <w:b/>
                <w:sz w:val="11"/>
              </w:rPr>
            </w:pPr>
          </w:p>
          <w:p w14:paraId="634E6F86" w14:textId="77777777" w:rsidR="00EF5B27" w:rsidRDefault="00000000">
            <w:pPr>
              <w:pStyle w:val="TableParagraph"/>
              <w:ind w:left="79"/>
              <w:rPr>
                <w:sz w:val="14"/>
              </w:rPr>
            </w:pPr>
            <w:r>
              <w:rPr>
                <w:color w:val="4D4D4F"/>
                <w:w w:val="105"/>
                <w:sz w:val="14"/>
              </w:rPr>
              <w:t>C3 grassland</w:t>
            </w:r>
          </w:p>
        </w:tc>
        <w:tc>
          <w:tcPr>
            <w:tcW w:w="1078" w:type="dxa"/>
          </w:tcPr>
          <w:p w14:paraId="53195FCA" w14:textId="77777777" w:rsidR="00EF5B27" w:rsidRDefault="00EF5B27">
            <w:pPr>
              <w:pStyle w:val="TableParagraph"/>
              <w:spacing w:before="11"/>
              <w:rPr>
                <w:b/>
                <w:sz w:val="11"/>
              </w:rPr>
            </w:pPr>
          </w:p>
          <w:p w14:paraId="0F7CA8BE" w14:textId="77777777" w:rsidR="00EF5B27" w:rsidRDefault="00000000">
            <w:pPr>
              <w:pStyle w:val="TableParagraph"/>
              <w:ind w:left="142"/>
              <w:rPr>
                <w:sz w:val="14"/>
              </w:rPr>
            </w:pPr>
            <w:r>
              <w:rPr>
                <w:color w:val="4D4D4F"/>
                <w:w w:val="105"/>
                <w:sz w:val="14"/>
              </w:rPr>
              <w:t>Not assessed</w:t>
            </w:r>
          </w:p>
        </w:tc>
        <w:tc>
          <w:tcPr>
            <w:tcW w:w="2155" w:type="dxa"/>
          </w:tcPr>
          <w:p w14:paraId="3C624B21" w14:textId="77777777" w:rsidR="00EF5B27" w:rsidRDefault="00EF5B27">
            <w:pPr>
              <w:pStyle w:val="TableParagraph"/>
              <w:spacing w:before="11"/>
              <w:rPr>
                <w:b/>
                <w:sz w:val="11"/>
              </w:rPr>
            </w:pPr>
          </w:p>
          <w:p w14:paraId="21E8FD1E" w14:textId="77777777" w:rsidR="00EF5B27" w:rsidRDefault="00000000">
            <w:pPr>
              <w:pStyle w:val="TableParagraph"/>
              <w:ind w:left="143" w:right="142"/>
              <w:jc w:val="center"/>
              <w:rPr>
                <w:sz w:val="14"/>
              </w:rPr>
            </w:pPr>
            <w:r>
              <w:rPr>
                <w:color w:val="4D4D4F"/>
                <w:sz w:val="14"/>
              </w:rPr>
              <w:t>Change in monitoring method</w:t>
            </w:r>
          </w:p>
        </w:tc>
        <w:tc>
          <w:tcPr>
            <w:tcW w:w="964" w:type="dxa"/>
          </w:tcPr>
          <w:p w14:paraId="0243305C" w14:textId="77777777" w:rsidR="00EF5B27" w:rsidRDefault="00EF5B27">
            <w:pPr>
              <w:pStyle w:val="TableParagraph"/>
              <w:spacing w:before="4"/>
              <w:rPr>
                <w:b/>
                <w:sz w:val="7"/>
              </w:rPr>
            </w:pPr>
          </w:p>
          <w:p w14:paraId="66A2DF55" w14:textId="77777777" w:rsidR="00EF5B27" w:rsidRDefault="00000000">
            <w:pPr>
              <w:pStyle w:val="TableParagraph"/>
              <w:spacing w:line="187" w:lineRule="exact"/>
              <w:ind w:left="400"/>
              <w:rPr>
                <w:sz w:val="18"/>
              </w:rPr>
            </w:pPr>
            <w:r>
              <w:rPr>
                <w:noProof/>
                <w:position w:val="-3"/>
                <w:sz w:val="18"/>
              </w:rPr>
              <w:drawing>
                <wp:inline distT="0" distB="0" distL="0" distR="0" wp14:anchorId="174FEE91" wp14:editId="707FE8CB">
                  <wp:extent cx="100572" cy="119062"/>
                  <wp:effectExtent l="0" t="0" r="0" b="0"/>
                  <wp:docPr id="301"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19.png"/>
                          <pic:cNvPicPr/>
                        </pic:nvPicPr>
                        <pic:blipFill>
                          <a:blip r:embed="rId84" cstate="print"/>
                          <a:stretch>
                            <a:fillRect/>
                          </a:stretch>
                        </pic:blipFill>
                        <pic:spPr>
                          <a:xfrm>
                            <a:off x="0" y="0"/>
                            <a:ext cx="100572" cy="119062"/>
                          </a:xfrm>
                          <a:prstGeom prst="rect">
                            <a:avLst/>
                          </a:prstGeom>
                        </pic:spPr>
                      </pic:pic>
                    </a:graphicData>
                  </a:graphic>
                </wp:inline>
              </w:drawing>
            </w:r>
          </w:p>
          <w:p w14:paraId="115EBCA4" w14:textId="77777777" w:rsidR="00EF5B27" w:rsidRDefault="00EF5B27">
            <w:pPr>
              <w:pStyle w:val="TableParagraph"/>
              <w:spacing w:before="8"/>
              <w:rPr>
                <w:b/>
                <w:sz w:val="2"/>
              </w:rPr>
            </w:pPr>
          </w:p>
          <w:p w14:paraId="7A779440" w14:textId="77777777" w:rsidR="00EF5B27" w:rsidRDefault="00000000">
            <w:pPr>
              <w:pStyle w:val="TableParagraph"/>
              <w:spacing w:line="48" w:lineRule="exact"/>
              <w:ind w:left="448"/>
              <w:rPr>
                <w:sz w:val="4"/>
              </w:rPr>
            </w:pPr>
            <w:r>
              <w:rPr>
                <w:sz w:val="4"/>
              </w:rPr>
            </w:r>
            <w:r>
              <w:rPr>
                <w:sz w:val="4"/>
              </w:rPr>
              <w:pict w14:anchorId="46D61FB7">
                <v:group id="_x0000_s3533" style="width:2.45pt;height:2.45pt;mso-position-horizontal-relative:char;mso-position-vertical-relative:line" coordsize="49,49">
                  <v:shape id="_x0000_s3534" style="position:absolute;width:49;height:49" coordsize="49,49" path="m31,l18,,12,2,2,12,,17,,31r2,6l12,46r6,3l31,49r6,-3l46,37r3,-6l49,17,46,12,37,2,31,xe" fillcolor="#808285" stroked="f">
                    <v:path arrowok="t"/>
                  </v:shape>
                  <w10:wrap type="none"/>
                  <w10:anchorlock/>
                </v:group>
              </w:pict>
            </w:r>
          </w:p>
        </w:tc>
        <w:tc>
          <w:tcPr>
            <w:tcW w:w="964" w:type="dxa"/>
          </w:tcPr>
          <w:p w14:paraId="587F4FB0" w14:textId="77777777" w:rsidR="00EF5B27" w:rsidRDefault="00EF5B27">
            <w:pPr>
              <w:pStyle w:val="TableParagraph"/>
              <w:spacing w:before="11"/>
              <w:rPr>
                <w:b/>
                <w:sz w:val="11"/>
              </w:rPr>
            </w:pPr>
          </w:p>
          <w:p w14:paraId="2720F745" w14:textId="77777777" w:rsidR="00EF5B27" w:rsidRDefault="00000000">
            <w:pPr>
              <w:pStyle w:val="TableParagraph"/>
              <w:ind w:left="318" w:right="323"/>
              <w:jc w:val="center"/>
              <w:rPr>
                <w:sz w:val="14"/>
              </w:rPr>
            </w:pPr>
            <w:r>
              <w:rPr>
                <w:color w:val="4D4D4F"/>
                <w:w w:val="105"/>
                <w:sz w:val="14"/>
              </w:rPr>
              <w:t>N/A</w:t>
            </w:r>
          </w:p>
        </w:tc>
        <w:tc>
          <w:tcPr>
            <w:tcW w:w="1489" w:type="dxa"/>
          </w:tcPr>
          <w:p w14:paraId="36BACDDC" w14:textId="77777777" w:rsidR="00EF5B27" w:rsidRDefault="00EF5B27">
            <w:pPr>
              <w:pStyle w:val="TableParagraph"/>
              <w:spacing w:before="11"/>
              <w:rPr>
                <w:b/>
                <w:sz w:val="11"/>
              </w:rPr>
            </w:pPr>
          </w:p>
          <w:p w14:paraId="377848D0" w14:textId="77777777" w:rsidR="00EF5B27" w:rsidRDefault="00000000">
            <w:pPr>
              <w:pStyle w:val="TableParagraph"/>
              <w:ind w:left="451" w:right="457"/>
              <w:jc w:val="center"/>
              <w:rPr>
                <w:sz w:val="14"/>
              </w:rPr>
            </w:pPr>
            <w:r>
              <w:rPr>
                <w:color w:val="4D4D4F"/>
                <w:w w:val="105"/>
                <w:sz w:val="14"/>
              </w:rPr>
              <w:t>N/A</w:t>
            </w:r>
          </w:p>
        </w:tc>
      </w:tr>
      <w:tr w:rsidR="00EF5B27" w14:paraId="4ACDE42C" w14:textId="77777777">
        <w:trPr>
          <w:trHeight w:val="448"/>
        </w:trPr>
        <w:tc>
          <w:tcPr>
            <w:tcW w:w="2980" w:type="dxa"/>
          </w:tcPr>
          <w:p w14:paraId="15CF75D3" w14:textId="77777777" w:rsidR="00EF5B27" w:rsidRDefault="00EF5B27">
            <w:pPr>
              <w:pStyle w:val="TableParagraph"/>
              <w:spacing w:before="11"/>
              <w:rPr>
                <w:b/>
                <w:sz w:val="11"/>
              </w:rPr>
            </w:pPr>
          </w:p>
          <w:p w14:paraId="52E7E423" w14:textId="77777777" w:rsidR="00EF5B27" w:rsidRDefault="00000000">
            <w:pPr>
              <w:pStyle w:val="TableParagraph"/>
              <w:ind w:left="79"/>
              <w:rPr>
                <w:sz w:val="14"/>
              </w:rPr>
            </w:pPr>
            <w:r>
              <w:rPr>
                <w:color w:val="4D4D4F"/>
                <w:w w:val="105"/>
                <w:sz w:val="14"/>
              </w:rPr>
              <w:t>Nutrient-enriched grassland</w:t>
            </w:r>
          </w:p>
        </w:tc>
        <w:tc>
          <w:tcPr>
            <w:tcW w:w="1078" w:type="dxa"/>
          </w:tcPr>
          <w:p w14:paraId="2527ED4E" w14:textId="77777777" w:rsidR="00EF5B27" w:rsidRDefault="00EF5B27">
            <w:pPr>
              <w:pStyle w:val="TableParagraph"/>
              <w:spacing w:before="11"/>
              <w:rPr>
                <w:b/>
                <w:sz w:val="11"/>
              </w:rPr>
            </w:pPr>
          </w:p>
          <w:p w14:paraId="07C793F8" w14:textId="77777777" w:rsidR="00EF5B27" w:rsidRDefault="00000000">
            <w:pPr>
              <w:pStyle w:val="TableParagraph"/>
              <w:ind w:left="142"/>
              <w:rPr>
                <w:sz w:val="14"/>
              </w:rPr>
            </w:pPr>
            <w:r>
              <w:rPr>
                <w:color w:val="4D4D4F"/>
                <w:w w:val="105"/>
                <w:sz w:val="14"/>
              </w:rPr>
              <w:t>Not assessed</w:t>
            </w:r>
          </w:p>
        </w:tc>
        <w:tc>
          <w:tcPr>
            <w:tcW w:w="2155" w:type="dxa"/>
          </w:tcPr>
          <w:p w14:paraId="0E844147" w14:textId="77777777" w:rsidR="00EF5B27" w:rsidRDefault="00EF5B27">
            <w:pPr>
              <w:pStyle w:val="TableParagraph"/>
              <w:spacing w:before="11"/>
              <w:rPr>
                <w:b/>
                <w:sz w:val="11"/>
              </w:rPr>
            </w:pPr>
          </w:p>
          <w:p w14:paraId="02C8EC68" w14:textId="77777777" w:rsidR="00EF5B27" w:rsidRDefault="00000000">
            <w:pPr>
              <w:pStyle w:val="TableParagraph"/>
              <w:ind w:left="143" w:right="142"/>
              <w:jc w:val="center"/>
              <w:rPr>
                <w:sz w:val="14"/>
              </w:rPr>
            </w:pPr>
            <w:r>
              <w:rPr>
                <w:color w:val="4D4D4F"/>
                <w:sz w:val="14"/>
              </w:rPr>
              <w:t>Change in monitoring method</w:t>
            </w:r>
          </w:p>
        </w:tc>
        <w:tc>
          <w:tcPr>
            <w:tcW w:w="964" w:type="dxa"/>
          </w:tcPr>
          <w:p w14:paraId="7121FA51" w14:textId="77777777" w:rsidR="00EF5B27" w:rsidRDefault="00EF5B27">
            <w:pPr>
              <w:pStyle w:val="TableParagraph"/>
              <w:spacing w:before="5"/>
              <w:rPr>
                <w:b/>
                <w:sz w:val="7"/>
              </w:rPr>
            </w:pPr>
          </w:p>
          <w:p w14:paraId="3F8CD988" w14:textId="77777777" w:rsidR="00EF5B27" w:rsidRDefault="00000000">
            <w:pPr>
              <w:pStyle w:val="TableParagraph"/>
              <w:spacing w:line="187" w:lineRule="exact"/>
              <w:ind w:left="400"/>
              <w:rPr>
                <w:sz w:val="18"/>
              </w:rPr>
            </w:pPr>
            <w:r>
              <w:rPr>
                <w:noProof/>
                <w:position w:val="-3"/>
                <w:sz w:val="18"/>
              </w:rPr>
              <w:drawing>
                <wp:inline distT="0" distB="0" distL="0" distR="0" wp14:anchorId="1F8B9503" wp14:editId="48E04C49">
                  <wp:extent cx="100572" cy="119062"/>
                  <wp:effectExtent l="0" t="0" r="0" b="0"/>
                  <wp:docPr id="303"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20.png"/>
                          <pic:cNvPicPr/>
                        </pic:nvPicPr>
                        <pic:blipFill>
                          <a:blip r:embed="rId92" cstate="print"/>
                          <a:stretch>
                            <a:fillRect/>
                          </a:stretch>
                        </pic:blipFill>
                        <pic:spPr>
                          <a:xfrm>
                            <a:off x="0" y="0"/>
                            <a:ext cx="100572" cy="119062"/>
                          </a:xfrm>
                          <a:prstGeom prst="rect">
                            <a:avLst/>
                          </a:prstGeom>
                        </pic:spPr>
                      </pic:pic>
                    </a:graphicData>
                  </a:graphic>
                </wp:inline>
              </w:drawing>
            </w:r>
          </w:p>
          <w:p w14:paraId="19821ABD" w14:textId="77777777" w:rsidR="00EF5B27" w:rsidRDefault="00EF5B27">
            <w:pPr>
              <w:pStyle w:val="TableParagraph"/>
              <w:spacing w:before="7"/>
              <w:rPr>
                <w:b/>
                <w:sz w:val="2"/>
              </w:rPr>
            </w:pPr>
          </w:p>
          <w:p w14:paraId="2F488074" w14:textId="77777777" w:rsidR="00EF5B27" w:rsidRDefault="00000000">
            <w:pPr>
              <w:pStyle w:val="TableParagraph"/>
              <w:spacing w:line="48" w:lineRule="exact"/>
              <w:ind w:left="448"/>
              <w:rPr>
                <w:sz w:val="4"/>
              </w:rPr>
            </w:pPr>
            <w:r>
              <w:rPr>
                <w:sz w:val="4"/>
              </w:rPr>
            </w:r>
            <w:r>
              <w:rPr>
                <w:sz w:val="4"/>
              </w:rPr>
              <w:pict w14:anchorId="0045D9D6">
                <v:group id="_x0000_s3531" style="width:2.45pt;height:2.45pt;mso-position-horizontal-relative:char;mso-position-vertical-relative:line" coordsize="49,49">
                  <v:shape id="_x0000_s3532" style="position:absolute;width:49;height:49" coordsize="49,49" path="m31,l18,,12,2,2,12,,17,,31r2,6l12,46r6,3l31,49r6,-3l46,37r3,-6l49,17,46,12,37,2,31,xe" fillcolor="#808285" stroked="f">
                    <v:path arrowok="t"/>
                  </v:shape>
                  <w10:wrap type="none"/>
                  <w10:anchorlock/>
                </v:group>
              </w:pict>
            </w:r>
          </w:p>
        </w:tc>
        <w:tc>
          <w:tcPr>
            <w:tcW w:w="964" w:type="dxa"/>
          </w:tcPr>
          <w:p w14:paraId="0B74BA09" w14:textId="77777777" w:rsidR="00EF5B27" w:rsidRDefault="00EF5B27">
            <w:pPr>
              <w:pStyle w:val="TableParagraph"/>
              <w:spacing w:before="11"/>
              <w:rPr>
                <w:b/>
                <w:sz w:val="11"/>
              </w:rPr>
            </w:pPr>
          </w:p>
          <w:p w14:paraId="1811A138" w14:textId="77777777" w:rsidR="00EF5B27" w:rsidRDefault="00000000">
            <w:pPr>
              <w:pStyle w:val="TableParagraph"/>
              <w:ind w:left="318" w:right="323"/>
              <w:jc w:val="center"/>
              <w:rPr>
                <w:sz w:val="14"/>
              </w:rPr>
            </w:pPr>
            <w:r>
              <w:rPr>
                <w:color w:val="4D4D4F"/>
                <w:w w:val="105"/>
                <w:sz w:val="14"/>
              </w:rPr>
              <w:t>N/A</w:t>
            </w:r>
          </w:p>
        </w:tc>
        <w:tc>
          <w:tcPr>
            <w:tcW w:w="1489" w:type="dxa"/>
          </w:tcPr>
          <w:p w14:paraId="7762B2CA" w14:textId="77777777" w:rsidR="00EF5B27" w:rsidRDefault="00EF5B27">
            <w:pPr>
              <w:pStyle w:val="TableParagraph"/>
              <w:spacing w:before="11"/>
              <w:rPr>
                <w:b/>
                <w:sz w:val="11"/>
              </w:rPr>
            </w:pPr>
          </w:p>
          <w:p w14:paraId="2071DA3C" w14:textId="77777777" w:rsidR="00EF5B27" w:rsidRDefault="00000000">
            <w:pPr>
              <w:pStyle w:val="TableParagraph"/>
              <w:ind w:left="451" w:right="457"/>
              <w:jc w:val="center"/>
              <w:rPr>
                <w:sz w:val="14"/>
              </w:rPr>
            </w:pPr>
            <w:r>
              <w:rPr>
                <w:color w:val="4D4D4F"/>
                <w:w w:val="105"/>
                <w:sz w:val="14"/>
              </w:rPr>
              <w:t>N/A</w:t>
            </w:r>
          </w:p>
        </w:tc>
      </w:tr>
      <w:tr w:rsidR="00EF5B27" w14:paraId="33CDB07F" w14:textId="77777777">
        <w:trPr>
          <w:trHeight w:val="448"/>
        </w:trPr>
        <w:tc>
          <w:tcPr>
            <w:tcW w:w="2980" w:type="dxa"/>
          </w:tcPr>
          <w:p w14:paraId="57B7448C" w14:textId="77777777" w:rsidR="00EF5B27" w:rsidRDefault="00EF5B27">
            <w:pPr>
              <w:pStyle w:val="TableParagraph"/>
              <w:spacing w:before="11"/>
              <w:rPr>
                <w:b/>
                <w:sz w:val="11"/>
              </w:rPr>
            </w:pPr>
          </w:p>
          <w:p w14:paraId="2CCDA386" w14:textId="77777777" w:rsidR="00EF5B27" w:rsidRDefault="00000000">
            <w:pPr>
              <w:pStyle w:val="TableParagraph"/>
              <w:ind w:left="79"/>
              <w:rPr>
                <w:sz w:val="14"/>
              </w:rPr>
            </w:pPr>
            <w:r>
              <w:rPr>
                <w:color w:val="4D4D4F"/>
                <w:w w:val="105"/>
                <w:sz w:val="14"/>
              </w:rPr>
              <w:t>De-rocked grassland</w:t>
            </w:r>
          </w:p>
        </w:tc>
        <w:tc>
          <w:tcPr>
            <w:tcW w:w="1078" w:type="dxa"/>
          </w:tcPr>
          <w:p w14:paraId="68071E66" w14:textId="77777777" w:rsidR="00EF5B27" w:rsidRDefault="00EF5B27">
            <w:pPr>
              <w:pStyle w:val="TableParagraph"/>
              <w:spacing w:before="11"/>
              <w:rPr>
                <w:b/>
                <w:sz w:val="11"/>
              </w:rPr>
            </w:pPr>
          </w:p>
          <w:p w14:paraId="74261D45" w14:textId="77777777" w:rsidR="00EF5B27" w:rsidRDefault="00000000">
            <w:pPr>
              <w:pStyle w:val="TableParagraph"/>
              <w:ind w:left="142"/>
              <w:rPr>
                <w:sz w:val="14"/>
              </w:rPr>
            </w:pPr>
            <w:r>
              <w:rPr>
                <w:color w:val="4D4D4F"/>
                <w:w w:val="105"/>
                <w:sz w:val="14"/>
              </w:rPr>
              <w:t>Not assessed</w:t>
            </w:r>
          </w:p>
        </w:tc>
        <w:tc>
          <w:tcPr>
            <w:tcW w:w="2155" w:type="dxa"/>
          </w:tcPr>
          <w:p w14:paraId="753DE7AF" w14:textId="77777777" w:rsidR="00EF5B27" w:rsidRDefault="00EF5B27">
            <w:pPr>
              <w:pStyle w:val="TableParagraph"/>
              <w:spacing w:before="11"/>
              <w:rPr>
                <w:b/>
                <w:sz w:val="11"/>
              </w:rPr>
            </w:pPr>
          </w:p>
          <w:p w14:paraId="62EE1C15" w14:textId="77777777" w:rsidR="00EF5B27" w:rsidRDefault="00000000">
            <w:pPr>
              <w:pStyle w:val="TableParagraph"/>
              <w:ind w:left="143" w:right="142"/>
              <w:jc w:val="center"/>
              <w:rPr>
                <w:sz w:val="14"/>
              </w:rPr>
            </w:pPr>
            <w:r>
              <w:rPr>
                <w:color w:val="4D4D4F"/>
                <w:sz w:val="14"/>
              </w:rPr>
              <w:t>Change in monitoring method</w:t>
            </w:r>
          </w:p>
        </w:tc>
        <w:tc>
          <w:tcPr>
            <w:tcW w:w="964" w:type="dxa"/>
          </w:tcPr>
          <w:p w14:paraId="63B8470A" w14:textId="77777777" w:rsidR="00EF5B27" w:rsidRDefault="00EF5B27">
            <w:pPr>
              <w:pStyle w:val="TableParagraph"/>
              <w:spacing w:before="4"/>
              <w:rPr>
                <w:b/>
                <w:sz w:val="7"/>
              </w:rPr>
            </w:pPr>
          </w:p>
          <w:p w14:paraId="2F8A3CAD" w14:textId="77777777" w:rsidR="00EF5B27" w:rsidRDefault="00000000">
            <w:pPr>
              <w:pStyle w:val="TableParagraph"/>
              <w:spacing w:line="187" w:lineRule="exact"/>
              <w:ind w:left="400"/>
              <w:rPr>
                <w:sz w:val="18"/>
              </w:rPr>
            </w:pPr>
            <w:r>
              <w:rPr>
                <w:noProof/>
                <w:position w:val="-3"/>
                <w:sz w:val="18"/>
              </w:rPr>
              <w:drawing>
                <wp:inline distT="0" distB="0" distL="0" distR="0" wp14:anchorId="12C2A636" wp14:editId="506F1353">
                  <wp:extent cx="100572" cy="119062"/>
                  <wp:effectExtent l="0" t="0" r="0" b="0"/>
                  <wp:docPr id="305"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21.png"/>
                          <pic:cNvPicPr/>
                        </pic:nvPicPr>
                        <pic:blipFill>
                          <a:blip r:embed="rId84" cstate="print"/>
                          <a:stretch>
                            <a:fillRect/>
                          </a:stretch>
                        </pic:blipFill>
                        <pic:spPr>
                          <a:xfrm>
                            <a:off x="0" y="0"/>
                            <a:ext cx="100572" cy="119062"/>
                          </a:xfrm>
                          <a:prstGeom prst="rect">
                            <a:avLst/>
                          </a:prstGeom>
                        </pic:spPr>
                      </pic:pic>
                    </a:graphicData>
                  </a:graphic>
                </wp:inline>
              </w:drawing>
            </w:r>
          </w:p>
          <w:p w14:paraId="65467DDB" w14:textId="77777777" w:rsidR="00EF5B27" w:rsidRDefault="00EF5B27">
            <w:pPr>
              <w:pStyle w:val="TableParagraph"/>
              <w:spacing w:before="8"/>
              <w:rPr>
                <w:b/>
                <w:sz w:val="2"/>
              </w:rPr>
            </w:pPr>
          </w:p>
          <w:p w14:paraId="5C571F8F" w14:textId="77777777" w:rsidR="00EF5B27" w:rsidRDefault="00000000">
            <w:pPr>
              <w:pStyle w:val="TableParagraph"/>
              <w:spacing w:line="48" w:lineRule="exact"/>
              <w:ind w:left="448"/>
              <w:rPr>
                <w:sz w:val="4"/>
              </w:rPr>
            </w:pPr>
            <w:r>
              <w:rPr>
                <w:sz w:val="4"/>
              </w:rPr>
            </w:r>
            <w:r>
              <w:rPr>
                <w:sz w:val="4"/>
              </w:rPr>
              <w:pict w14:anchorId="0A774E5C">
                <v:group id="_x0000_s3529" style="width:2.45pt;height:2.45pt;mso-position-horizontal-relative:char;mso-position-vertical-relative:line" coordsize="49,49">
                  <v:shape id="_x0000_s3530" style="position:absolute;width:49;height:49" coordsize="49,49" path="m31,l18,,12,2,2,12,,17,,31r2,6l12,46r6,3l31,49r6,-3l46,37r3,-6l49,17,46,12,37,2,31,xe" fillcolor="#808285" stroked="f">
                    <v:path arrowok="t"/>
                  </v:shape>
                  <w10:wrap type="none"/>
                  <w10:anchorlock/>
                </v:group>
              </w:pict>
            </w:r>
          </w:p>
        </w:tc>
        <w:tc>
          <w:tcPr>
            <w:tcW w:w="964" w:type="dxa"/>
          </w:tcPr>
          <w:p w14:paraId="1562AB76" w14:textId="77777777" w:rsidR="00EF5B27" w:rsidRDefault="00EF5B27">
            <w:pPr>
              <w:pStyle w:val="TableParagraph"/>
              <w:spacing w:before="11"/>
              <w:rPr>
                <w:b/>
                <w:sz w:val="11"/>
              </w:rPr>
            </w:pPr>
          </w:p>
          <w:p w14:paraId="055880AC" w14:textId="77777777" w:rsidR="00EF5B27" w:rsidRDefault="00000000">
            <w:pPr>
              <w:pStyle w:val="TableParagraph"/>
              <w:ind w:left="318" w:right="323"/>
              <w:jc w:val="center"/>
              <w:rPr>
                <w:sz w:val="14"/>
              </w:rPr>
            </w:pPr>
            <w:r>
              <w:rPr>
                <w:color w:val="4D4D4F"/>
                <w:w w:val="105"/>
                <w:sz w:val="14"/>
              </w:rPr>
              <w:t>N/A</w:t>
            </w:r>
          </w:p>
        </w:tc>
        <w:tc>
          <w:tcPr>
            <w:tcW w:w="1489" w:type="dxa"/>
          </w:tcPr>
          <w:p w14:paraId="2F4CFFCE" w14:textId="77777777" w:rsidR="00EF5B27" w:rsidRDefault="00EF5B27">
            <w:pPr>
              <w:pStyle w:val="TableParagraph"/>
              <w:spacing w:before="11"/>
              <w:rPr>
                <w:b/>
                <w:sz w:val="11"/>
              </w:rPr>
            </w:pPr>
          </w:p>
          <w:p w14:paraId="37FE59F4" w14:textId="77777777" w:rsidR="00EF5B27" w:rsidRDefault="00000000">
            <w:pPr>
              <w:pStyle w:val="TableParagraph"/>
              <w:ind w:left="451" w:right="457"/>
              <w:jc w:val="center"/>
              <w:rPr>
                <w:sz w:val="14"/>
              </w:rPr>
            </w:pPr>
            <w:r>
              <w:rPr>
                <w:color w:val="4D4D4F"/>
                <w:w w:val="105"/>
                <w:sz w:val="14"/>
              </w:rPr>
              <w:t>N/A</w:t>
            </w:r>
          </w:p>
        </w:tc>
      </w:tr>
    </w:tbl>
    <w:p w14:paraId="74F8BD38" w14:textId="77777777" w:rsidR="00EF5B27" w:rsidRDefault="00EF5B27">
      <w:pPr>
        <w:pStyle w:val="BodyText"/>
        <w:rPr>
          <w:b/>
          <w:sz w:val="25"/>
        </w:rPr>
      </w:pPr>
    </w:p>
    <w:p w14:paraId="057FF952" w14:textId="77777777" w:rsidR="00EF5B27" w:rsidRDefault="00000000">
      <w:pPr>
        <w:pStyle w:val="BodyText"/>
        <w:spacing w:line="254" w:lineRule="auto"/>
        <w:ind w:left="2608" w:right="114"/>
        <w:jc w:val="both"/>
      </w:pPr>
      <w:r>
        <w:rPr>
          <w:color w:val="4D4D4F"/>
          <w:spacing w:val="-4"/>
        </w:rPr>
        <w:t xml:space="preserve">This </w:t>
      </w:r>
      <w:r>
        <w:rPr>
          <w:color w:val="4D4D4F"/>
        </w:rPr>
        <w:t xml:space="preserve">KPI </w:t>
      </w:r>
      <w:r>
        <w:rPr>
          <w:color w:val="4D4D4F"/>
          <w:spacing w:val="-4"/>
        </w:rPr>
        <w:t xml:space="preserve">compares </w:t>
      </w:r>
      <w:r>
        <w:rPr>
          <w:color w:val="4D4D4F"/>
          <w:spacing w:val="-3"/>
        </w:rPr>
        <w:t xml:space="preserve">the </w:t>
      </w:r>
      <w:r>
        <w:rPr>
          <w:color w:val="4D4D4F"/>
          <w:spacing w:val="-4"/>
        </w:rPr>
        <w:t xml:space="preserve">results </w:t>
      </w:r>
      <w:r>
        <w:rPr>
          <w:color w:val="4D4D4F"/>
          <w:spacing w:val="-3"/>
        </w:rPr>
        <w:t xml:space="preserve">from </w:t>
      </w:r>
      <w:r>
        <w:rPr>
          <w:color w:val="4D4D4F"/>
          <w:spacing w:val="-5"/>
        </w:rPr>
        <w:t xml:space="preserve">vegetation mapping completed </w:t>
      </w:r>
      <w:r>
        <w:rPr>
          <w:color w:val="4D4D4F"/>
          <w:spacing w:val="-3"/>
        </w:rPr>
        <w:t xml:space="preserve">at five-yearly </w:t>
      </w:r>
      <w:r>
        <w:rPr>
          <w:color w:val="4D4D4F"/>
          <w:spacing w:val="-4"/>
        </w:rPr>
        <w:t xml:space="preserve">intervals </w:t>
      </w:r>
      <w:r>
        <w:rPr>
          <w:color w:val="4D4D4F"/>
          <w:spacing w:val="-7"/>
        </w:rPr>
        <w:t xml:space="preserve">(with </w:t>
      </w:r>
      <w:r>
        <w:rPr>
          <w:color w:val="4D4D4F"/>
          <w:spacing w:val="-5"/>
        </w:rPr>
        <w:t xml:space="preserve">the </w:t>
      </w:r>
      <w:r>
        <w:rPr>
          <w:color w:val="4D4D4F"/>
          <w:spacing w:val="-3"/>
        </w:rPr>
        <w:t xml:space="preserve">first </w:t>
      </w:r>
      <w:r>
        <w:rPr>
          <w:color w:val="4D4D4F"/>
          <w:spacing w:val="-6"/>
        </w:rPr>
        <w:t xml:space="preserve">interval having concluded </w:t>
      </w:r>
      <w:r>
        <w:rPr>
          <w:color w:val="4D4D4F"/>
          <w:spacing w:val="-5"/>
        </w:rPr>
        <w:t xml:space="preserve">in </w:t>
      </w:r>
      <w:r>
        <w:rPr>
          <w:color w:val="4D4D4F"/>
          <w:spacing w:val="-4"/>
        </w:rPr>
        <w:t xml:space="preserve">2020, </w:t>
      </w:r>
      <w:r>
        <w:rPr>
          <w:color w:val="4D4D4F"/>
          <w:spacing w:val="-6"/>
        </w:rPr>
        <w:t xml:space="preserve">covering all </w:t>
      </w:r>
      <w:r>
        <w:rPr>
          <w:color w:val="4D4D4F"/>
          <w:spacing w:val="-5"/>
        </w:rPr>
        <w:t xml:space="preserve">areas protected and mapped </w:t>
      </w:r>
      <w:r>
        <w:rPr>
          <w:color w:val="4D4D4F"/>
          <w:spacing w:val="-3"/>
        </w:rPr>
        <w:t xml:space="preserve">by </w:t>
      </w:r>
      <w:r>
        <w:rPr>
          <w:color w:val="4D4D4F"/>
          <w:spacing w:val="-8"/>
        </w:rPr>
        <w:t xml:space="preserve">2016 </w:t>
      </w:r>
      <w:r>
        <w:rPr>
          <w:color w:val="4D4D4F"/>
        </w:rPr>
        <w:t xml:space="preserve">– </w:t>
      </w:r>
      <w:r>
        <w:rPr>
          <w:color w:val="4D4D4F"/>
          <w:spacing w:val="-3"/>
        </w:rPr>
        <w:t xml:space="preserve">an </w:t>
      </w:r>
      <w:r>
        <w:rPr>
          <w:color w:val="4D4D4F"/>
          <w:spacing w:val="-4"/>
        </w:rPr>
        <w:t xml:space="preserve">arbitrary </w:t>
      </w:r>
      <w:r>
        <w:rPr>
          <w:color w:val="4D4D4F"/>
          <w:spacing w:val="-5"/>
        </w:rPr>
        <w:t xml:space="preserve">commencement date </w:t>
      </w:r>
      <w:r>
        <w:rPr>
          <w:color w:val="4D4D4F"/>
          <w:spacing w:val="-4"/>
        </w:rPr>
        <w:t xml:space="preserve">when </w:t>
      </w:r>
      <w:r>
        <w:rPr>
          <w:color w:val="4D4D4F"/>
          <w:spacing w:val="-5"/>
        </w:rPr>
        <w:t xml:space="preserve">several </w:t>
      </w:r>
      <w:r>
        <w:rPr>
          <w:color w:val="4D4D4F"/>
          <w:spacing w:val="-4"/>
        </w:rPr>
        <w:t xml:space="preserve">properties </w:t>
      </w:r>
      <w:r>
        <w:rPr>
          <w:color w:val="4D4D4F"/>
          <w:spacing w:val="-3"/>
        </w:rPr>
        <w:t xml:space="preserve">were </w:t>
      </w:r>
      <w:r>
        <w:rPr>
          <w:color w:val="4D4D4F"/>
          <w:spacing w:val="-5"/>
        </w:rPr>
        <w:t xml:space="preserve">protected). </w:t>
      </w:r>
      <w:r>
        <w:rPr>
          <w:color w:val="4D4D4F"/>
          <w:spacing w:val="-3"/>
        </w:rPr>
        <w:t xml:space="preserve">It </w:t>
      </w:r>
      <w:r>
        <w:rPr>
          <w:color w:val="4D4D4F"/>
          <w:spacing w:val="-4"/>
        </w:rPr>
        <w:t xml:space="preserve">refers </w:t>
      </w:r>
      <w:r>
        <w:rPr>
          <w:color w:val="4D4D4F"/>
          <w:spacing w:val="-3"/>
        </w:rPr>
        <w:t xml:space="preserve">to states defined </w:t>
      </w:r>
      <w:r>
        <w:rPr>
          <w:color w:val="4D4D4F"/>
        </w:rPr>
        <w:t xml:space="preserve">by </w:t>
      </w:r>
      <w:r>
        <w:rPr>
          <w:color w:val="4D4D4F"/>
          <w:spacing w:val="-3"/>
        </w:rPr>
        <w:t xml:space="preserve">the Natural </w:t>
      </w:r>
      <w:r>
        <w:rPr>
          <w:color w:val="4D4D4F"/>
          <w:spacing w:val="-5"/>
        </w:rPr>
        <w:t xml:space="preserve">Temperate </w:t>
      </w:r>
      <w:r>
        <w:rPr>
          <w:color w:val="4D4D4F"/>
          <w:spacing w:val="-3"/>
        </w:rPr>
        <w:t xml:space="preserve">Grassland </w:t>
      </w:r>
      <w:r>
        <w:rPr>
          <w:color w:val="4D4D4F"/>
          <w:spacing w:val="-4"/>
        </w:rPr>
        <w:t xml:space="preserve">state-and-transition </w:t>
      </w:r>
      <w:r>
        <w:rPr>
          <w:color w:val="4D4D4F"/>
          <w:spacing w:val="-3"/>
        </w:rPr>
        <w:t xml:space="preserve">model </w:t>
      </w:r>
      <w:r>
        <w:rPr>
          <w:color w:val="4D4D4F"/>
          <w:spacing w:val="-6"/>
        </w:rPr>
        <w:t>(STM),</w:t>
      </w:r>
      <w:r>
        <w:rPr>
          <w:color w:val="4D4D4F"/>
          <w:spacing w:val="-6"/>
          <w:position w:val="7"/>
          <w:sz w:val="11"/>
        </w:rPr>
        <w:t xml:space="preserve">122 </w:t>
      </w:r>
      <w:r>
        <w:rPr>
          <w:color w:val="4D4D4F"/>
          <w:spacing w:val="-3"/>
        </w:rPr>
        <w:t xml:space="preserve">where some </w:t>
      </w:r>
      <w:r>
        <w:rPr>
          <w:color w:val="4D4D4F"/>
          <w:spacing w:val="-4"/>
        </w:rPr>
        <w:t xml:space="preserve">states </w:t>
      </w:r>
      <w:r>
        <w:rPr>
          <w:color w:val="4D4D4F"/>
        </w:rPr>
        <w:t xml:space="preserve">are </w:t>
      </w:r>
      <w:r>
        <w:rPr>
          <w:color w:val="4D4D4F"/>
          <w:spacing w:val="-3"/>
        </w:rPr>
        <w:t xml:space="preserve">more </w:t>
      </w:r>
      <w:r>
        <w:rPr>
          <w:color w:val="4D4D4F"/>
          <w:spacing w:val="-5"/>
        </w:rPr>
        <w:t xml:space="preserve">desirable </w:t>
      </w:r>
      <w:r>
        <w:rPr>
          <w:color w:val="4D4D4F"/>
          <w:spacing w:val="-4"/>
        </w:rPr>
        <w:t xml:space="preserve">than </w:t>
      </w:r>
      <w:r>
        <w:rPr>
          <w:color w:val="4D4D4F"/>
          <w:spacing w:val="-3"/>
        </w:rPr>
        <w:t xml:space="preserve">others. </w:t>
      </w:r>
      <w:r>
        <w:rPr>
          <w:color w:val="4D4D4F"/>
        </w:rPr>
        <w:t xml:space="preserve">The KPI </w:t>
      </w:r>
      <w:r>
        <w:rPr>
          <w:color w:val="4D4D4F"/>
          <w:spacing w:val="-4"/>
        </w:rPr>
        <w:t xml:space="preserve">is </w:t>
      </w:r>
      <w:r>
        <w:rPr>
          <w:color w:val="4D4D4F"/>
          <w:spacing w:val="-5"/>
        </w:rPr>
        <w:t xml:space="preserve">designed </w:t>
      </w:r>
      <w:r>
        <w:rPr>
          <w:color w:val="4D4D4F"/>
          <w:spacing w:val="-3"/>
        </w:rPr>
        <w:t xml:space="preserve">to </w:t>
      </w:r>
      <w:r>
        <w:rPr>
          <w:color w:val="4D4D4F"/>
          <w:spacing w:val="-4"/>
        </w:rPr>
        <w:t xml:space="preserve">ensure that any </w:t>
      </w:r>
      <w:r>
        <w:rPr>
          <w:color w:val="4D4D4F"/>
          <w:spacing w:val="-6"/>
        </w:rPr>
        <w:t xml:space="preserve">transitions </w:t>
      </w:r>
      <w:r>
        <w:rPr>
          <w:color w:val="4D4D4F"/>
          <w:spacing w:val="-4"/>
        </w:rPr>
        <w:t xml:space="preserve">between </w:t>
      </w:r>
      <w:r>
        <w:rPr>
          <w:color w:val="4D4D4F"/>
          <w:spacing w:val="-5"/>
        </w:rPr>
        <w:t xml:space="preserve">states </w:t>
      </w:r>
      <w:r>
        <w:rPr>
          <w:color w:val="4D4D4F"/>
          <w:spacing w:val="-3"/>
        </w:rPr>
        <w:t xml:space="preserve">are </w:t>
      </w:r>
      <w:r>
        <w:rPr>
          <w:color w:val="4D4D4F"/>
          <w:spacing w:val="-6"/>
        </w:rPr>
        <w:t xml:space="preserve">positive transitions, </w:t>
      </w:r>
      <w:r>
        <w:rPr>
          <w:color w:val="4D4D4F"/>
          <w:spacing w:val="-4"/>
        </w:rPr>
        <w:t xml:space="preserve">and </w:t>
      </w:r>
      <w:r>
        <w:rPr>
          <w:color w:val="4D4D4F"/>
          <w:spacing w:val="-5"/>
        </w:rPr>
        <w:t xml:space="preserve">that </w:t>
      </w:r>
      <w:r>
        <w:rPr>
          <w:color w:val="4D4D4F"/>
          <w:spacing w:val="-6"/>
        </w:rPr>
        <w:t xml:space="preserve">negative transitions </w:t>
      </w:r>
      <w:r>
        <w:rPr>
          <w:color w:val="4D4D4F"/>
          <w:spacing w:val="-3"/>
        </w:rPr>
        <w:t xml:space="preserve">are </w:t>
      </w:r>
      <w:r>
        <w:rPr>
          <w:color w:val="4D4D4F"/>
          <w:spacing w:val="-6"/>
        </w:rPr>
        <w:t>avoided.</w:t>
      </w:r>
    </w:p>
    <w:p w14:paraId="198C6887" w14:textId="77777777" w:rsidR="00EF5B27" w:rsidRDefault="00EF5B27">
      <w:pPr>
        <w:pStyle w:val="BodyText"/>
      </w:pPr>
    </w:p>
    <w:p w14:paraId="3A92BD30" w14:textId="77777777" w:rsidR="00EF5B27" w:rsidRDefault="00EF5B27">
      <w:pPr>
        <w:pStyle w:val="BodyText"/>
      </w:pPr>
    </w:p>
    <w:p w14:paraId="2A70B27B" w14:textId="77777777" w:rsidR="00EF5B27" w:rsidRDefault="00EF5B27">
      <w:pPr>
        <w:pStyle w:val="BodyText"/>
      </w:pPr>
    </w:p>
    <w:p w14:paraId="407BDC92" w14:textId="77777777" w:rsidR="00EF5B27" w:rsidRDefault="00EF5B27">
      <w:pPr>
        <w:pStyle w:val="BodyText"/>
      </w:pPr>
    </w:p>
    <w:p w14:paraId="6AC9963E" w14:textId="77777777" w:rsidR="00EF5B27" w:rsidRDefault="00000000">
      <w:pPr>
        <w:pStyle w:val="BodyText"/>
        <w:spacing w:before="7"/>
        <w:rPr>
          <w:sz w:val="10"/>
        </w:rPr>
      </w:pPr>
      <w:r>
        <w:pict w14:anchorId="1E05E1F6">
          <v:line id="_x0000_s3528" style="position:absolute;z-index:251492864;mso-wrap-distance-left:0;mso-wrap-distance-right:0;mso-position-horizontal-relative:page" from="181.4pt,8.65pt" to="538.6pt,8.65pt" strokecolor="#4d4d4f" strokeweight=".5pt">
            <w10:wrap type="topAndBottom" anchorx="page"/>
          </v:line>
        </w:pict>
      </w:r>
    </w:p>
    <w:p w14:paraId="5295B41F" w14:textId="77777777" w:rsidR="00EF5B27" w:rsidRDefault="00000000">
      <w:pPr>
        <w:pStyle w:val="ListParagraph"/>
        <w:numPr>
          <w:ilvl w:val="0"/>
          <w:numId w:val="44"/>
        </w:numPr>
        <w:tabs>
          <w:tab w:val="left" w:pos="2836"/>
        </w:tabs>
        <w:spacing w:before="88" w:line="230" w:lineRule="auto"/>
        <w:ind w:right="111"/>
        <w:jc w:val="left"/>
        <w:rPr>
          <w:sz w:val="12"/>
        </w:rPr>
      </w:pPr>
      <w:r>
        <w:rPr>
          <w:color w:val="4D4D4F"/>
          <w:sz w:val="12"/>
        </w:rPr>
        <w:t xml:space="preserve">Sinclair </w:t>
      </w:r>
      <w:r>
        <w:rPr>
          <w:color w:val="4D4D4F"/>
          <w:w w:val="110"/>
          <w:sz w:val="12"/>
        </w:rPr>
        <w:t xml:space="preserve">SJ, </w:t>
      </w:r>
      <w:r>
        <w:rPr>
          <w:color w:val="4D4D4F"/>
          <w:sz w:val="12"/>
        </w:rPr>
        <w:t xml:space="preserve">Zamin </w:t>
      </w:r>
      <w:r>
        <w:rPr>
          <w:color w:val="4D4D4F"/>
          <w:spacing w:val="-3"/>
          <w:sz w:val="12"/>
        </w:rPr>
        <w:t xml:space="preserve">T, </w:t>
      </w:r>
      <w:r>
        <w:rPr>
          <w:color w:val="4D4D4F"/>
          <w:sz w:val="12"/>
        </w:rPr>
        <w:t xml:space="preserve">Gibson-Roy </w:t>
      </w:r>
      <w:r>
        <w:rPr>
          <w:color w:val="4D4D4F"/>
          <w:spacing w:val="-5"/>
          <w:sz w:val="12"/>
        </w:rPr>
        <w:t xml:space="preserve">P, </w:t>
      </w:r>
      <w:r>
        <w:rPr>
          <w:color w:val="4D4D4F"/>
          <w:spacing w:val="2"/>
          <w:sz w:val="12"/>
        </w:rPr>
        <w:t xml:space="preserve">Dorrough </w:t>
      </w:r>
      <w:r>
        <w:rPr>
          <w:color w:val="4D4D4F"/>
          <w:w w:val="110"/>
          <w:sz w:val="12"/>
        </w:rPr>
        <w:t xml:space="preserve">J, </w:t>
      </w:r>
      <w:r>
        <w:rPr>
          <w:color w:val="4D4D4F"/>
          <w:sz w:val="12"/>
        </w:rPr>
        <w:t xml:space="preserve">Wong N, Craigie </w:t>
      </w:r>
      <w:r>
        <w:rPr>
          <w:color w:val="4D4D4F"/>
          <w:spacing w:val="-3"/>
          <w:sz w:val="12"/>
        </w:rPr>
        <w:t xml:space="preserve">V, </w:t>
      </w:r>
      <w:r>
        <w:rPr>
          <w:color w:val="4D4D4F"/>
          <w:spacing w:val="2"/>
          <w:sz w:val="12"/>
        </w:rPr>
        <w:t xml:space="preserve">Garrard </w:t>
      </w:r>
      <w:r>
        <w:rPr>
          <w:color w:val="4D4D4F"/>
          <w:sz w:val="12"/>
        </w:rPr>
        <w:t xml:space="preserve">GE and </w:t>
      </w:r>
      <w:r>
        <w:rPr>
          <w:color w:val="4D4D4F"/>
          <w:spacing w:val="2"/>
          <w:sz w:val="12"/>
        </w:rPr>
        <w:t xml:space="preserve">Moore </w:t>
      </w:r>
      <w:r>
        <w:rPr>
          <w:color w:val="4D4D4F"/>
          <w:w w:val="110"/>
          <w:sz w:val="12"/>
        </w:rPr>
        <w:t xml:space="preserve">JL </w:t>
      </w:r>
      <w:r>
        <w:rPr>
          <w:color w:val="4D4D4F"/>
          <w:sz w:val="12"/>
        </w:rPr>
        <w:t xml:space="preserve">2019b, ‘A state-and-transition model to guide grassland management.’ Australian Journal of Botany </w:t>
      </w:r>
      <w:r>
        <w:rPr>
          <w:color w:val="4D4D4F"/>
          <w:spacing w:val="-4"/>
          <w:sz w:val="12"/>
        </w:rPr>
        <w:t xml:space="preserve">67, </w:t>
      </w:r>
      <w:r>
        <w:rPr>
          <w:color w:val="4D4D4F"/>
          <w:spacing w:val="2"/>
          <w:sz w:val="12"/>
        </w:rPr>
        <w:t>437-453.</w:t>
      </w:r>
    </w:p>
    <w:p w14:paraId="542BDCCE"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31C2B8FB" w14:textId="77777777" w:rsidR="00EF5B27" w:rsidRDefault="00000000">
      <w:pPr>
        <w:pStyle w:val="BodyText"/>
      </w:pPr>
      <w:r>
        <w:lastRenderedPageBreak/>
        <w:pict w14:anchorId="62BA593B">
          <v:group id="_x0000_s3520" style="position:absolute;margin-left:587.05pt;margin-top:183.4pt;width:8.25pt;height:153.1pt;z-index:251559424;mso-position-horizontal-relative:page;mso-position-vertical-relative:page" coordorigin="11741,3668" coordsize="165,3062">
            <v:shape id="_x0000_s3527" style="position:absolute;left:11741;top:3668;width:165;height:561" coordorigin="11741,3668" coordsize="165,561" path="m11906,3668r-165,l11741,4228r165,-18l11906,3668xe" fillcolor="#00aed9" stroked="f">
              <v:path arrowok="t"/>
            </v:shape>
            <v:shape id="_x0000_s3526" style="position:absolute;left:11741;top:4118;width:165;height:425" coordorigin="11741,4118" coordsize="165,425" path="m11906,4118r-165,14l11741,4531r165,12l11906,4118xe" fillcolor="#047ebc" stroked="f">
              <v:path arrowok="t"/>
            </v:shape>
            <v:shape id="_x0000_s3525" type="#_x0000_t75" style="position:absolute;left:11741;top:4355;width:165;height:587">
              <v:imagedata r:id="rId42" o:title=""/>
            </v:shape>
            <v:shape id="_x0000_s3524" style="position:absolute;left:11741;top:5343;width:165;height:536" coordorigin="11741,5343" coordsize="165,536" path="m11741,5343r,535l11906,5872r,-525l11741,5343xe" fillcolor="#f36a2e" stroked="f">
              <v:path arrowok="t"/>
            </v:shape>
            <v:shape id="_x0000_s3523" style="position:absolute;left:11741;top:4925;width:165;height:501" coordorigin="11741,4926" coordsize="165,501" path="m11741,4926r,500l11906,5426r,-485l11741,4926xe" fillcolor="#49783f" stroked="f">
              <v:path arrowok="t"/>
            </v:shape>
            <v:shape id="_x0000_s3522" style="position:absolute;left:11741;top:5781;width:165;height:268" coordorigin="11741,5782" coordsize="165,268" path="m11906,5782r-165,8l11741,6039r165,10l11906,5782xe" fillcolor="#f99f2a" stroked="f">
              <v:path arrowok="t"/>
            </v:shape>
            <v:shape id="_x0000_s3521" style="position:absolute;left:11741;top:6023;width:165;height:707" coordorigin="11741,6023" coordsize="165,707" path="m11741,6023r,706l11906,6729r,-690l11741,6023xe" fillcolor="#ef412c" stroked="f">
              <v:path arrowok="t"/>
            </v:shape>
            <w10:wrap anchorx="page" anchory="page"/>
          </v:group>
        </w:pict>
      </w:r>
    </w:p>
    <w:p w14:paraId="163F4F7A" w14:textId="77777777" w:rsidR="00EF5B27" w:rsidRDefault="00EF5B27">
      <w:pPr>
        <w:pStyle w:val="BodyText"/>
      </w:pPr>
    </w:p>
    <w:p w14:paraId="15D8AA14" w14:textId="77777777" w:rsidR="00EF5B27" w:rsidRDefault="00EF5B27">
      <w:pPr>
        <w:pStyle w:val="BodyText"/>
      </w:pPr>
    </w:p>
    <w:p w14:paraId="340181EE" w14:textId="77777777" w:rsidR="00EF5B27" w:rsidRDefault="00EF5B27">
      <w:pPr>
        <w:pStyle w:val="BodyText"/>
        <w:spacing w:before="6"/>
        <w:rPr>
          <w:sz w:val="24"/>
        </w:rPr>
      </w:pPr>
    </w:p>
    <w:p w14:paraId="38E257EF" w14:textId="77777777" w:rsidR="00EF5B27" w:rsidRDefault="00000000">
      <w:pPr>
        <w:pStyle w:val="Heading6"/>
        <w:spacing w:before="111"/>
      </w:pPr>
      <w:bookmarkStart w:id="33" w:name="_bookmark30"/>
      <w:bookmarkStart w:id="34" w:name="_heading=h.32hioqz"/>
      <w:bookmarkEnd w:id="33"/>
      <w:bookmarkEnd w:id="34"/>
      <w:r>
        <w:rPr>
          <w:color w:val="4D4D4F"/>
        </w:rPr>
        <w:t>KPI 2: Cover of native perennial forbs</w:t>
      </w:r>
    </w:p>
    <w:p w14:paraId="5E5448CF" w14:textId="77777777" w:rsidR="00EF5B27" w:rsidRDefault="00EF5B27">
      <w:pPr>
        <w:pStyle w:val="BodyText"/>
        <w:spacing w:before="2"/>
        <w:rPr>
          <w:b/>
          <w:sz w:val="14"/>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3933F8BA" w14:textId="77777777">
        <w:trPr>
          <w:trHeight w:val="561"/>
        </w:trPr>
        <w:tc>
          <w:tcPr>
            <w:tcW w:w="2980" w:type="dxa"/>
            <w:shd w:val="clear" w:color="auto" w:fill="FECC91"/>
          </w:tcPr>
          <w:p w14:paraId="627A16FF" w14:textId="77777777" w:rsidR="00EF5B27" w:rsidRDefault="00EF5B27">
            <w:pPr>
              <w:pStyle w:val="TableParagraph"/>
              <w:spacing w:before="7"/>
              <w:rPr>
                <w:b/>
                <w:sz w:val="15"/>
              </w:rPr>
            </w:pPr>
          </w:p>
          <w:p w14:paraId="00D120C3" w14:textId="77777777" w:rsidR="00EF5B27" w:rsidRDefault="00000000">
            <w:pPr>
              <w:pStyle w:val="TableParagraph"/>
              <w:spacing w:before="1"/>
              <w:ind w:left="80"/>
              <w:rPr>
                <w:b/>
                <w:sz w:val="16"/>
              </w:rPr>
            </w:pPr>
            <w:r>
              <w:rPr>
                <w:b/>
                <w:sz w:val="16"/>
              </w:rPr>
              <w:t>KPI 2: Cover of native perennial forbs</w:t>
            </w:r>
          </w:p>
        </w:tc>
        <w:tc>
          <w:tcPr>
            <w:tcW w:w="1078" w:type="dxa"/>
            <w:shd w:val="clear" w:color="auto" w:fill="FECC91"/>
          </w:tcPr>
          <w:p w14:paraId="71E2906F"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1BCBE9FD" w14:textId="77777777" w:rsidR="00EF5B27" w:rsidRDefault="00EF5B27">
            <w:pPr>
              <w:pStyle w:val="TableParagraph"/>
              <w:spacing w:before="7"/>
              <w:rPr>
                <w:b/>
                <w:sz w:val="15"/>
              </w:rPr>
            </w:pPr>
          </w:p>
          <w:p w14:paraId="78DC5112"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371F084A" w14:textId="77777777" w:rsidR="00EF5B27" w:rsidRDefault="00EF5B27">
            <w:pPr>
              <w:pStyle w:val="TableParagraph"/>
              <w:spacing w:before="7"/>
              <w:rPr>
                <w:b/>
                <w:sz w:val="15"/>
              </w:rPr>
            </w:pPr>
          </w:p>
          <w:p w14:paraId="3C8DD653"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28640705"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206E0EA1"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6C0370BA" w14:textId="77777777">
        <w:trPr>
          <w:trHeight w:val="448"/>
        </w:trPr>
        <w:tc>
          <w:tcPr>
            <w:tcW w:w="2980" w:type="dxa"/>
          </w:tcPr>
          <w:p w14:paraId="19D9C0EE" w14:textId="77777777" w:rsidR="00EF5B27" w:rsidRDefault="00EF5B27">
            <w:pPr>
              <w:pStyle w:val="TableParagraph"/>
              <w:spacing w:before="11"/>
              <w:rPr>
                <w:b/>
                <w:sz w:val="11"/>
              </w:rPr>
            </w:pPr>
          </w:p>
          <w:p w14:paraId="51CB1744" w14:textId="77777777" w:rsidR="00EF5B27" w:rsidRDefault="00000000">
            <w:pPr>
              <w:pStyle w:val="TableParagraph"/>
              <w:ind w:left="80"/>
              <w:rPr>
                <w:sz w:val="14"/>
              </w:rPr>
            </w:pPr>
            <w:r>
              <w:rPr>
                <w:color w:val="4D4D4F"/>
                <w:w w:val="105"/>
                <w:sz w:val="14"/>
              </w:rPr>
              <w:t>Herb-rich grassland</w:t>
            </w:r>
          </w:p>
        </w:tc>
        <w:tc>
          <w:tcPr>
            <w:tcW w:w="1078" w:type="dxa"/>
          </w:tcPr>
          <w:p w14:paraId="77487D5E" w14:textId="77777777" w:rsidR="00EF5B27" w:rsidRDefault="00EF5B27">
            <w:pPr>
              <w:pStyle w:val="TableParagraph"/>
              <w:spacing w:before="11"/>
              <w:rPr>
                <w:b/>
                <w:sz w:val="11"/>
              </w:rPr>
            </w:pPr>
          </w:p>
          <w:p w14:paraId="32FE6E0B" w14:textId="77777777" w:rsidR="00EF5B27" w:rsidRDefault="00000000">
            <w:pPr>
              <w:pStyle w:val="TableParagraph"/>
              <w:ind w:left="128" w:right="124"/>
              <w:jc w:val="center"/>
              <w:rPr>
                <w:sz w:val="14"/>
              </w:rPr>
            </w:pPr>
            <w:r>
              <w:rPr>
                <w:color w:val="4D4D4F"/>
                <w:sz w:val="14"/>
              </w:rPr>
              <w:t>Met</w:t>
            </w:r>
          </w:p>
        </w:tc>
        <w:tc>
          <w:tcPr>
            <w:tcW w:w="2155" w:type="dxa"/>
          </w:tcPr>
          <w:p w14:paraId="65D06F3D" w14:textId="77777777" w:rsidR="00EF5B27" w:rsidRDefault="00EF5B27">
            <w:pPr>
              <w:pStyle w:val="TableParagraph"/>
              <w:spacing w:before="11"/>
              <w:rPr>
                <w:b/>
                <w:sz w:val="11"/>
              </w:rPr>
            </w:pPr>
          </w:p>
          <w:p w14:paraId="08486FCC" w14:textId="77777777" w:rsidR="00EF5B27" w:rsidRDefault="00000000">
            <w:pPr>
              <w:pStyle w:val="TableParagraph"/>
              <w:ind w:left="139" w:right="142"/>
              <w:jc w:val="center"/>
              <w:rPr>
                <w:sz w:val="14"/>
              </w:rPr>
            </w:pPr>
            <w:r>
              <w:rPr>
                <w:color w:val="4D4D4F"/>
                <w:w w:val="105"/>
                <w:sz w:val="14"/>
              </w:rPr>
              <w:t>N/A</w:t>
            </w:r>
          </w:p>
        </w:tc>
        <w:tc>
          <w:tcPr>
            <w:tcW w:w="964" w:type="dxa"/>
          </w:tcPr>
          <w:p w14:paraId="5DF5A984" w14:textId="77777777" w:rsidR="00EF5B27" w:rsidRDefault="00EF5B27">
            <w:pPr>
              <w:pStyle w:val="TableParagraph"/>
              <w:spacing w:before="8"/>
              <w:rPr>
                <w:b/>
                <w:sz w:val="8"/>
              </w:rPr>
            </w:pPr>
          </w:p>
          <w:p w14:paraId="347526F0" w14:textId="77777777" w:rsidR="00EF5B27" w:rsidRDefault="00000000">
            <w:pPr>
              <w:pStyle w:val="TableParagraph"/>
              <w:spacing w:line="232" w:lineRule="exact"/>
              <w:ind w:left="427"/>
              <w:rPr>
                <w:sz w:val="20"/>
              </w:rPr>
            </w:pPr>
            <w:r>
              <w:rPr>
                <w:noProof/>
                <w:position w:val="-4"/>
                <w:sz w:val="20"/>
              </w:rPr>
              <w:drawing>
                <wp:inline distT="0" distB="0" distL="0" distR="0" wp14:anchorId="21FE157C" wp14:editId="2B8B02DA">
                  <wp:extent cx="64988" cy="147637"/>
                  <wp:effectExtent l="0" t="0" r="0" b="0"/>
                  <wp:docPr id="30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46.png"/>
                          <pic:cNvPicPr/>
                        </pic:nvPicPr>
                        <pic:blipFill>
                          <a:blip r:embed="rId77" cstate="print"/>
                          <a:stretch>
                            <a:fillRect/>
                          </a:stretch>
                        </pic:blipFill>
                        <pic:spPr>
                          <a:xfrm>
                            <a:off x="0" y="0"/>
                            <a:ext cx="64988" cy="147637"/>
                          </a:xfrm>
                          <a:prstGeom prst="rect">
                            <a:avLst/>
                          </a:prstGeom>
                        </pic:spPr>
                      </pic:pic>
                    </a:graphicData>
                  </a:graphic>
                </wp:inline>
              </w:drawing>
            </w:r>
          </w:p>
        </w:tc>
        <w:tc>
          <w:tcPr>
            <w:tcW w:w="964" w:type="dxa"/>
          </w:tcPr>
          <w:p w14:paraId="0D6393F1" w14:textId="77777777" w:rsidR="00EF5B27" w:rsidRDefault="00EF5B27">
            <w:pPr>
              <w:pStyle w:val="TableParagraph"/>
              <w:spacing w:before="11"/>
              <w:rPr>
                <w:b/>
                <w:sz w:val="11"/>
              </w:rPr>
            </w:pPr>
          </w:p>
          <w:p w14:paraId="402F345B" w14:textId="77777777" w:rsidR="00EF5B27" w:rsidRDefault="00000000">
            <w:pPr>
              <w:pStyle w:val="TableParagraph"/>
              <w:ind w:left="344"/>
              <w:rPr>
                <w:sz w:val="14"/>
              </w:rPr>
            </w:pPr>
            <w:r>
              <w:rPr>
                <w:color w:val="4D4D4F"/>
                <w:w w:val="105"/>
                <w:sz w:val="14"/>
              </w:rPr>
              <w:t>High</w:t>
            </w:r>
          </w:p>
        </w:tc>
        <w:tc>
          <w:tcPr>
            <w:tcW w:w="1489" w:type="dxa"/>
          </w:tcPr>
          <w:p w14:paraId="6DF85C8D" w14:textId="77777777" w:rsidR="00EF5B27" w:rsidRDefault="00000000">
            <w:pPr>
              <w:pStyle w:val="TableParagraph"/>
              <w:spacing w:before="134"/>
              <w:ind w:left="588"/>
              <w:rPr>
                <w:sz w:val="16"/>
              </w:rPr>
            </w:pPr>
            <w:r>
              <w:rPr>
                <w:color w:val="4D4D4F"/>
                <w:sz w:val="16"/>
              </w:rPr>
              <w:t>2019</w:t>
            </w:r>
          </w:p>
        </w:tc>
      </w:tr>
      <w:tr w:rsidR="00EF5B27" w14:paraId="3D41D5CE" w14:textId="77777777">
        <w:trPr>
          <w:trHeight w:val="448"/>
        </w:trPr>
        <w:tc>
          <w:tcPr>
            <w:tcW w:w="2980" w:type="dxa"/>
          </w:tcPr>
          <w:p w14:paraId="5B0871CD" w14:textId="77777777" w:rsidR="00EF5B27" w:rsidRDefault="00EF5B27">
            <w:pPr>
              <w:pStyle w:val="TableParagraph"/>
              <w:spacing w:before="1"/>
              <w:rPr>
                <w:b/>
                <w:sz w:val="12"/>
              </w:rPr>
            </w:pPr>
          </w:p>
          <w:p w14:paraId="6E02A468" w14:textId="77777777" w:rsidR="00EF5B27" w:rsidRDefault="00000000">
            <w:pPr>
              <w:pStyle w:val="TableParagraph"/>
              <w:ind w:left="80"/>
              <w:rPr>
                <w:rFonts w:ascii="Arial Narrow"/>
                <w:i/>
                <w:sz w:val="14"/>
              </w:rPr>
            </w:pPr>
            <w:r>
              <w:rPr>
                <w:rFonts w:ascii="Arial Narrow"/>
                <w:i/>
                <w:color w:val="4D4D4F"/>
                <w:w w:val="115"/>
                <w:sz w:val="14"/>
              </w:rPr>
              <w:t>Themeda grassland</w:t>
            </w:r>
          </w:p>
        </w:tc>
        <w:tc>
          <w:tcPr>
            <w:tcW w:w="1078" w:type="dxa"/>
          </w:tcPr>
          <w:p w14:paraId="766A08F0" w14:textId="77777777" w:rsidR="00EF5B27" w:rsidRDefault="00EF5B27">
            <w:pPr>
              <w:pStyle w:val="TableParagraph"/>
              <w:spacing w:before="11"/>
              <w:rPr>
                <w:b/>
                <w:sz w:val="11"/>
              </w:rPr>
            </w:pPr>
          </w:p>
          <w:p w14:paraId="5CE5D366" w14:textId="77777777" w:rsidR="00EF5B27" w:rsidRDefault="00000000">
            <w:pPr>
              <w:pStyle w:val="TableParagraph"/>
              <w:ind w:left="128" w:right="124"/>
              <w:jc w:val="center"/>
              <w:rPr>
                <w:sz w:val="14"/>
              </w:rPr>
            </w:pPr>
            <w:r>
              <w:rPr>
                <w:color w:val="4D4D4F"/>
                <w:sz w:val="14"/>
              </w:rPr>
              <w:t>Met</w:t>
            </w:r>
          </w:p>
        </w:tc>
        <w:tc>
          <w:tcPr>
            <w:tcW w:w="2155" w:type="dxa"/>
          </w:tcPr>
          <w:p w14:paraId="77EBE5C4" w14:textId="77777777" w:rsidR="00EF5B27" w:rsidRDefault="00EF5B27">
            <w:pPr>
              <w:pStyle w:val="TableParagraph"/>
              <w:spacing w:before="11"/>
              <w:rPr>
                <w:b/>
                <w:sz w:val="11"/>
              </w:rPr>
            </w:pPr>
          </w:p>
          <w:p w14:paraId="2FDA77C1" w14:textId="77777777" w:rsidR="00EF5B27" w:rsidRDefault="00000000">
            <w:pPr>
              <w:pStyle w:val="TableParagraph"/>
              <w:ind w:left="139" w:right="142"/>
              <w:jc w:val="center"/>
              <w:rPr>
                <w:sz w:val="14"/>
              </w:rPr>
            </w:pPr>
            <w:r>
              <w:rPr>
                <w:color w:val="4D4D4F"/>
                <w:w w:val="105"/>
                <w:sz w:val="14"/>
              </w:rPr>
              <w:t>N/A</w:t>
            </w:r>
          </w:p>
        </w:tc>
        <w:tc>
          <w:tcPr>
            <w:tcW w:w="964" w:type="dxa"/>
          </w:tcPr>
          <w:p w14:paraId="6B310226" w14:textId="77777777" w:rsidR="00EF5B27" w:rsidRDefault="00EF5B27">
            <w:pPr>
              <w:pStyle w:val="TableParagraph"/>
              <w:spacing w:before="8"/>
              <w:rPr>
                <w:b/>
                <w:sz w:val="8"/>
              </w:rPr>
            </w:pPr>
          </w:p>
          <w:p w14:paraId="522C603E" w14:textId="77777777" w:rsidR="00EF5B27" w:rsidRDefault="00000000">
            <w:pPr>
              <w:pStyle w:val="TableParagraph"/>
              <w:spacing w:line="232" w:lineRule="exact"/>
              <w:ind w:left="427"/>
              <w:rPr>
                <w:sz w:val="20"/>
              </w:rPr>
            </w:pPr>
            <w:r>
              <w:rPr>
                <w:noProof/>
                <w:position w:val="-4"/>
                <w:sz w:val="20"/>
              </w:rPr>
              <w:drawing>
                <wp:inline distT="0" distB="0" distL="0" distR="0" wp14:anchorId="0EF91FA5" wp14:editId="063FA422">
                  <wp:extent cx="64988" cy="147637"/>
                  <wp:effectExtent l="0" t="0" r="0" b="0"/>
                  <wp:docPr id="30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46.png"/>
                          <pic:cNvPicPr/>
                        </pic:nvPicPr>
                        <pic:blipFill>
                          <a:blip r:embed="rId77" cstate="print"/>
                          <a:stretch>
                            <a:fillRect/>
                          </a:stretch>
                        </pic:blipFill>
                        <pic:spPr>
                          <a:xfrm>
                            <a:off x="0" y="0"/>
                            <a:ext cx="64988" cy="147637"/>
                          </a:xfrm>
                          <a:prstGeom prst="rect">
                            <a:avLst/>
                          </a:prstGeom>
                        </pic:spPr>
                      </pic:pic>
                    </a:graphicData>
                  </a:graphic>
                </wp:inline>
              </w:drawing>
            </w:r>
          </w:p>
        </w:tc>
        <w:tc>
          <w:tcPr>
            <w:tcW w:w="964" w:type="dxa"/>
          </w:tcPr>
          <w:p w14:paraId="0B750EDB" w14:textId="77777777" w:rsidR="00EF5B27" w:rsidRDefault="00EF5B27">
            <w:pPr>
              <w:pStyle w:val="TableParagraph"/>
              <w:spacing w:before="11"/>
              <w:rPr>
                <w:b/>
                <w:sz w:val="11"/>
              </w:rPr>
            </w:pPr>
          </w:p>
          <w:p w14:paraId="24C7A35A" w14:textId="77777777" w:rsidR="00EF5B27" w:rsidRDefault="00000000">
            <w:pPr>
              <w:pStyle w:val="TableParagraph"/>
              <w:ind w:left="344"/>
              <w:rPr>
                <w:sz w:val="14"/>
              </w:rPr>
            </w:pPr>
            <w:r>
              <w:rPr>
                <w:color w:val="4D4D4F"/>
                <w:w w:val="105"/>
                <w:sz w:val="14"/>
              </w:rPr>
              <w:t>High</w:t>
            </w:r>
          </w:p>
        </w:tc>
        <w:tc>
          <w:tcPr>
            <w:tcW w:w="1489" w:type="dxa"/>
          </w:tcPr>
          <w:p w14:paraId="19D28B97" w14:textId="77777777" w:rsidR="00EF5B27" w:rsidRDefault="00000000">
            <w:pPr>
              <w:pStyle w:val="TableParagraph"/>
              <w:spacing w:before="134"/>
              <w:ind w:left="587"/>
              <w:rPr>
                <w:sz w:val="16"/>
              </w:rPr>
            </w:pPr>
            <w:r>
              <w:rPr>
                <w:color w:val="4D4D4F"/>
                <w:sz w:val="16"/>
              </w:rPr>
              <w:t>2018</w:t>
            </w:r>
          </w:p>
        </w:tc>
      </w:tr>
      <w:tr w:rsidR="00EF5B27" w14:paraId="7ACFFFA0" w14:textId="77777777">
        <w:trPr>
          <w:trHeight w:val="448"/>
        </w:trPr>
        <w:tc>
          <w:tcPr>
            <w:tcW w:w="2980" w:type="dxa"/>
          </w:tcPr>
          <w:p w14:paraId="21B41149" w14:textId="77777777" w:rsidR="00EF5B27" w:rsidRDefault="00EF5B27">
            <w:pPr>
              <w:pStyle w:val="TableParagraph"/>
              <w:spacing w:before="11"/>
              <w:rPr>
                <w:b/>
                <w:sz w:val="11"/>
              </w:rPr>
            </w:pPr>
          </w:p>
          <w:p w14:paraId="1407E202" w14:textId="77777777" w:rsidR="00EF5B27" w:rsidRDefault="00000000">
            <w:pPr>
              <w:pStyle w:val="TableParagraph"/>
              <w:ind w:left="80"/>
              <w:rPr>
                <w:sz w:val="14"/>
              </w:rPr>
            </w:pPr>
            <w:r>
              <w:rPr>
                <w:color w:val="4D4D4F"/>
                <w:w w:val="105"/>
                <w:sz w:val="14"/>
              </w:rPr>
              <w:t>C3 grassland</w:t>
            </w:r>
          </w:p>
        </w:tc>
        <w:tc>
          <w:tcPr>
            <w:tcW w:w="1078" w:type="dxa"/>
          </w:tcPr>
          <w:p w14:paraId="0D761AF4" w14:textId="77777777" w:rsidR="00EF5B27" w:rsidRDefault="00EF5B27">
            <w:pPr>
              <w:pStyle w:val="TableParagraph"/>
              <w:spacing w:before="11"/>
              <w:rPr>
                <w:b/>
                <w:sz w:val="11"/>
              </w:rPr>
            </w:pPr>
          </w:p>
          <w:p w14:paraId="06F4CD46"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7873A69B" w14:textId="77777777" w:rsidR="00EF5B27" w:rsidRDefault="00EF5B27">
            <w:pPr>
              <w:pStyle w:val="TableParagraph"/>
              <w:spacing w:before="11"/>
              <w:rPr>
                <w:b/>
                <w:sz w:val="11"/>
              </w:rPr>
            </w:pPr>
          </w:p>
          <w:p w14:paraId="07CB80A6" w14:textId="77777777" w:rsidR="00EF5B27" w:rsidRDefault="00000000">
            <w:pPr>
              <w:pStyle w:val="TableParagraph"/>
              <w:ind w:left="143" w:right="142"/>
              <w:jc w:val="center"/>
              <w:rPr>
                <w:sz w:val="14"/>
              </w:rPr>
            </w:pPr>
            <w:r>
              <w:rPr>
                <w:color w:val="4D4D4F"/>
                <w:sz w:val="14"/>
              </w:rPr>
              <w:t>Baseline not yet set</w:t>
            </w:r>
          </w:p>
        </w:tc>
        <w:tc>
          <w:tcPr>
            <w:tcW w:w="964" w:type="dxa"/>
          </w:tcPr>
          <w:p w14:paraId="251308FE" w14:textId="77777777" w:rsidR="00EF5B27" w:rsidRDefault="00EF5B27">
            <w:pPr>
              <w:pStyle w:val="TableParagraph"/>
              <w:spacing w:before="4"/>
              <w:rPr>
                <w:b/>
                <w:sz w:val="7"/>
              </w:rPr>
            </w:pPr>
          </w:p>
          <w:p w14:paraId="664CC3F3" w14:textId="77777777" w:rsidR="00EF5B27" w:rsidRDefault="00000000">
            <w:pPr>
              <w:pStyle w:val="TableParagraph"/>
              <w:spacing w:line="187" w:lineRule="exact"/>
              <w:ind w:left="400"/>
              <w:rPr>
                <w:sz w:val="18"/>
              </w:rPr>
            </w:pPr>
            <w:r>
              <w:rPr>
                <w:noProof/>
                <w:position w:val="-3"/>
                <w:sz w:val="18"/>
              </w:rPr>
              <w:drawing>
                <wp:inline distT="0" distB="0" distL="0" distR="0" wp14:anchorId="52885FC0" wp14:editId="54CE39D1">
                  <wp:extent cx="100572" cy="119062"/>
                  <wp:effectExtent l="0" t="0" r="0" b="0"/>
                  <wp:docPr id="311"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21.png"/>
                          <pic:cNvPicPr/>
                        </pic:nvPicPr>
                        <pic:blipFill>
                          <a:blip r:embed="rId84" cstate="print"/>
                          <a:stretch>
                            <a:fillRect/>
                          </a:stretch>
                        </pic:blipFill>
                        <pic:spPr>
                          <a:xfrm>
                            <a:off x="0" y="0"/>
                            <a:ext cx="100572" cy="119062"/>
                          </a:xfrm>
                          <a:prstGeom prst="rect">
                            <a:avLst/>
                          </a:prstGeom>
                        </pic:spPr>
                      </pic:pic>
                    </a:graphicData>
                  </a:graphic>
                </wp:inline>
              </w:drawing>
            </w:r>
          </w:p>
          <w:p w14:paraId="2A062CA7" w14:textId="77777777" w:rsidR="00EF5B27" w:rsidRDefault="00EF5B27">
            <w:pPr>
              <w:pStyle w:val="TableParagraph"/>
              <w:spacing w:before="8"/>
              <w:rPr>
                <w:b/>
                <w:sz w:val="2"/>
              </w:rPr>
            </w:pPr>
          </w:p>
          <w:p w14:paraId="49EBC14F" w14:textId="77777777" w:rsidR="00EF5B27" w:rsidRDefault="00000000">
            <w:pPr>
              <w:pStyle w:val="TableParagraph"/>
              <w:spacing w:line="48" w:lineRule="exact"/>
              <w:ind w:left="448"/>
              <w:rPr>
                <w:sz w:val="4"/>
              </w:rPr>
            </w:pPr>
            <w:r>
              <w:rPr>
                <w:sz w:val="4"/>
              </w:rPr>
            </w:r>
            <w:r>
              <w:rPr>
                <w:sz w:val="4"/>
              </w:rPr>
              <w:pict w14:anchorId="66246A89">
                <v:group id="_x0000_s3518" style="width:2.45pt;height:2.45pt;mso-position-horizontal-relative:char;mso-position-vertical-relative:line" coordsize="49,49">
                  <v:shape id="_x0000_s3519" style="position:absolute;width:49;height:49" coordsize="49,49" path="m31,l18,,12,2,2,12,,17,,31r2,6l12,46r6,3l31,49r6,-3l46,37r3,-6l49,17,46,12,37,2,31,xe" fillcolor="#808285" stroked="f">
                    <v:path arrowok="t"/>
                  </v:shape>
                  <w10:wrap type="none"/>
                  <w10:anchorlock/>
                </v:group>
              </w:pict>
            </w:r>
          </w:p>
        </w:tc>
        <w:tc>
          <w:tcPr>
            <w:tcW w:w="964" w:type="dxa"/>
          </w:tcPr>
          <w:p w14:paraId="7463C7D7" w14:textId="77777777" w:rsidR="00EF5B27" w:rsidRDefault="00EF5B27">
            <w:pPr>
              <w:pStyle w:val="TableParagraph"/>
              <w:spacing w:before="11"/>
              <w:rPr>
                <w:b/>
                <w:sz w:val="11"/>
              </w:rPr>
            </w:pPr>
          </w:p>
          <w:p w14:paraId="32F682A2" w14:textId="77777777" w:rsidR="00EF5B27" w:rsidRDefault="00000000">
            <w:pPr>
              <w:pStyle w:val="TableParagraph"/>
              <w:ind w:left="368"/>
              <w:rPr>
                <w:sz w:val="14"/>
              </w:rPr>
            </w:pPr>
            <w:r>
              <w:rPr>
                <w:color w:val="4D4D4F"/>
                <w:w w:val="105"/>
                <w:sz w:val="14"/>
              </w:rPr>
              <w:t>N/A</w:t>
            </w:r>
          </w:p>
        </w:tc>
        <w:tc>
          <w:tcPr>
            <w:tcW w:w="1489" w:type="dxa"/>
          </w:tcPr>
          <w:p w14:paraId="35FE60B0" w14:textId="77777777" w:rsidR="00EF5B27" w:rsidRDefault="00000000">
            <w:pPr>
              <w:pStyle w:val="TableParagraph"/>
              <w:spacing w:before="134"/>
              <w:ind w:left="579"/>
              <w:rPr>
                <w:sz w:val="16"/>
              </w:rPr>
            </w:pPr>
            <w:r>
              <w:rPr>
                <w:color w:val="4D4D4F"/>
                <w:sz w:val="16"/>
              </w:rPr>
              <w:t>2022</w:t>
            </w:r>
          </w:p>
        </w:tc>
      </w:tr>
      <w:tr w:rsidR="00EF5B27" w14:paraId="473CED25" w14:textId="77777777">
        <w:trPr>
          <w:trHeight w:val="448"/>
        </w:trPr>
        <w:tc>
          <w:tcPr>
            <w:tcW w:w="2980" w:type="dxa"/>
          </w:tcPr>
          <w:p w14:paraId="188E861A" w14:textId="77777777" w:rsidR="00EF5B27" w:rsidRDefault="00EF5B27">
            <w:pPr>
              <w:pStyle w:val="TableParagraph"/>
              <w:spacing w:before="11"/>
              <w:rPr>
                <w:b/>
                <w:sz w:val="11"/>
              </w:rPr>
            </w:pPr>
          </w:p>
          <w:p w14:paraId="2EBB595B" w14:textId="77777777" w:rsidR="00EF5B27" w:rsidRDefault="00000000">
            <w:pPr>
              <w:pStyle w:val="TableParagraph"/>
              <w:ind w:left="80"/>
              <w:rPr>
                <w:sz w:val="14"/>
              </w:rPr>
            </w:pPr>
            <w:r>
              <w:rPr>
                <w:color w:val="4D4D4F"/>
                <w:w w:val="105"/>
                <w:sz w:val="14"/>
              </w:rPr>
              <w:t>Nutrient-enriched grassland</w:t>
            </w:r>
          </w:p>
        </w:tc>
        <w:tc>
          <w:tcPr>
            <w:tcW w:w="1078" w:type="dxa"/>
          </w:tcPr>
          <w:p w14:paraId="645FBD97" w14:textId="77777777" w:rsidR="00EF5B27" w:rsidRDefault="00EF5B27">
            <w:pPr>
              <w:pStyle w:val="TableParagraph"/>
              <w:spacing w:before="11"/>
              <w:rPr>
                <w:b/>
                <w:sz w:val="11"/>
              </w:rPr>
            </w:pPr>
          </w:p>
          <w:p w14:paraId="47F93946" w14:textId="77777777" w:rsidR="00EF5B27" w:rsidRDefault="00000000">
            <w:pPr>
              <w:pStyle w:val="TableParagraph"/>
              <w:ind w:left="128" w:right="125"/>
              <w:jc w:val="center"/>
              <w:rPr>
                <w:sz w:val="14"/>
              </w:rPr>
            </w:pPr>
            <w:r>
              <w:rPr>
                <w:color w:val="4D4D4F"/>
                <w:sz w:val="14"/>
              </w:rPr>
              <w:t>Not met</w:t>
            </w:r>
          </w:p>
        </w:tc>
        <w:tc>
          <w:tcPr>
            <w:tcW w:w="2155" w:type="dxa"/>
          </w:tcPr>
          <w:p w14:paraId="3F171017" w14:textId="77777777" w:rsidR="00EF5B27" w:rsidRDefault="00EF5B27">
            <w:pPr>
              <w:pStyle w:val="TableParagraph"/>
              <w:spacing w:before="11"/>
              <w:rPr>
                <w:b/>
                <w:sz w:val="11"/>
              </w:rPr>
            </w:pPr>
          </w:p>
          <w:p w14:paraId="72D11E24" w14:textId="77777777" w:rsidR="00EF5B27" w:rsidRDefault="00000000">
            <w:pPr>
              <w:pStyle w:val="TableParagraph"/>
              <w:ind w:left="138" w:right="142"/>
              <w:jc w:val="center"/>
              <w:rPr>
                <w:sz w:val="14"/>
              </w:rPr>
            </w:pPr>
            <w:r>
              <w:rPr>
                <w:color w:val="4D4D4F"/>
                <w:w w:val="105"/>
                <w:sz w:val="14"/>
              </w:rPr>
              <w:t>N/A</w:t>
            </w:r>
          </w:p>
        </w:tc>
        <w:tc>
          <w:tcPr>
            <w:tcW w:w="964" w:type="dxa"/>
          </w:tcPr>
          <w:p w14:paraId="5B7E3879" w14:textId="77777777" w:rsidR="00EF5B27" w:rsidRDefault="00EF5B27">
            <w:pPr>
              <w:pStyle w:val="TableParagraph"/>
              <w:spacing w:before="1"/>
              <w:rPr>
                <w:b/>
                <w:sz w:val="15"/>
              </w:rPr>
            </w:pPr>
          </w:p>
          <w:p w14:paraId="14495B4B" w14:textId="77777777" w:rsidR="00EF5B27" w:rsidRDefault="00000000">
            <w:pPr>
              <w:pStyle w:val="TableParagraph"/>
              <w:spacing w:line="101" w:lineRule="exact"/>
              <w:ind w:left="361"/>
              <w:rPr>
                <w:sz w:val="10"/>
              </w:rPr>
            </w:pPr>
            <w:r>
              <w:rPr>
                <w:noProof/>
                <w:position w:val="-1"/>
                <w:sz w:val="10"/>
              </w:rPr>
              <w:drawing>
                <wp:inline distT="0" distB="0" distL="0" distR="0" wp14:anchorId="1E17FF69" wp14:editId="19AE195E">
                  <wp:extent cx="149256" cy="64389"/>
                  <wp:effectExtent l="0" t="0" r="0" b="0"/>
                  <wp:docPr id="31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48.png"/>
                          <pic:cNvPicPr/>
                        </pic:nvPicPr>
                        <pic:blipFill>
                          <a:blip r:embed="rId79" cstate="print"/>
                          <a:stretch>
                            <a:fillRect/>
                          </a:stretch>
                        </pic:blipFill>
                        <pic:spPr>
                          <a:xfrm>
                            <a:off x="0" y="0"/>
                            <a:ext cx="149256" cy="64389"/>
                          </a:xfrm>
                          <a:prstGeom prst="rect">
                            <a:avLst/>
                          </a:prstGeom>
                        </pic:spPr>
                      </pic:pic>
                    </a:graphicData>
                  </a:graphic>
                </wp:inline>
              </w:drawing>
            </w:r>
          </w:p>
        </w:tc>
        <w:tc>
          <w:tcPr>
            <w:tcW w:w="964" w:type="dxa"/>
          </w:tcPr>
          <w:p w14:paraId="5D3FFDD9" w14:textId="77777777" w:rsidR="00EF5B27" w:rsidRDefault="00EF5B27">
            <w:pPr>
              <w:pStyle w:val="TableParagraph"/>
              <w:spacing w:before="11"/>
              <w:rPr>
                <w:b/>
                <w:sz w:val="11"/>
              </w:rPr>
            </w:pPr>
          </w:p>
          <w:p w14:paraId="7AFA511C" w14:textId="77777777" w:rsidR="00EF5B27" w:rsidRDefault="00000000">
            <w:pPr>
              <w:pStyle w:val="TableParagraph"/>
              <w:ind w:left="344"/>
              <w:rPr>
                <w:sz w:val="14"/>
              </w:rPr>
            </w:pPr>
            <w:r>
              <w:rPr>
                <w:color w:val="4D4D4F"/>
                <w:w w:val="105"/>
                <w:sz w:val="14"/>
              </w:rPr>
              <w:t>High</w:t>
            </w:r>
          </w:p>
        </w:tc>
        <w:tc>
          <w:tcPr>
            <w:tcW w:w="1489" w:type="dxa"/>
          </w:tcPr>
          <w:p w14:paraId="700692DC" w14:textId="77777777" w:rsidR="00EF5B27" w:rsidRDefault="00000000">
            <w:pPr>
              <w:pStyle w:val="TableParagraph"/>
              <w:spacing w:before="134"/>
              <w:ind w:left="588"/>
              <w:rPr>
                <w:sz w:val="16"/>
              </w:rPr>
            </w:pPr>
            <w:r>
              <w:rPr>
                <w:color w:val="4D4D4F"/>
                <w:sz w:val="16"/>
              </w:rPr>
              <w:t>2017</w:t>
            </w:r>
          </w:p>
        </w:tc>
      </w:tr>
      <w:tr w:rsidR="00EF5B27" w14:paraId="5A8F6DC9" w14:textId="77777777">
        <w:trPr>
          <w:trHeight w:val="448"/>
        </w:trPr>
        <w:tc>
          <w:tcPr>
            <w:tcW w:w="2980" w:type="dxa"/>
          </w:tcPr>
          <w:p w14:paraId="07627B96" w14:textId="77777777" w:rsidR="00EF5B27" w:rsidRDefault="00EF5B27">
            <w:pPr>
              <w:pStyle w:val="TableParagraph"/>
              <w:spacing w:before="11"/>
              <w:rPr>
                <w:b/>
                <w:sz w:val="11"/>
              </w:rPr>
            </w:pPr>
          </w:p>
          <w:p w14:paraId="682BE67B" w14:textId="77777777" w:rsidR="00EF5B27" w:rsidRDefault="00000000">
            <w:pPr>
              <w:pStyle w:val="TableParagraph"/>
              <w:ind w:left="80"/>
              <w:rPr>
                <w:sz w:val="14"/>
              </w:rPr>
            </w:pPr>
            <w:r>
              <w:rPr>
                <w:color w:val="4D4D4F"/>
                <w:w w:val="105"/>
                <w:sz w:val="14"/>
              </w:rPr>
              <w:t>De-rocked grassland</w:t>
            </w:r>
          </w:p>
        </w:tc>
        <w:tc>
          <w:tcPr>
            <w:tcW w:w="1078" w:type="dxa"/>
          </w:tcPr>
          <w:p w14:paraId="7735F757" w14:textId="77777777" w:rsidR="00EF5B27" w:rsidRDefault="00EF5B27">
            <w:pPr>
              <w:pStyle w:val="TableParagraph"/>
              <w:spacing w:before="11"/>
              <w:rPr>
                <w:b/>
                <w:sz w:val="11"/>
              </w:rPr>
            </w:pPr>
          </w:p>
          <w:p w14:paraId="6C5EABB4"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06EE1633" w14:textId="77777777" w:rsidR="00EF5B27" w:rsidRDefault="00EF5B27">
            <w:pPr>
              <w:pStyle w:val="TableParagraph"/>
              <w:spacing w:before="11"/>
              <w:rPr>
                <w:b/>
                <w:sz w:val="11"/>
              </w:rPr>
            </w:pPr>
          </w:p>
          <w:p w14:paraId="76D6551A" w14:textId="77777777" w:rsidR="00EF5B27" w:rsidRDefault="00000000">
            <w:pPr>
              <w:pStyle w:val="TableParagraph"/>
              <w:ind w:left="143" w:right="142"/>
              <w:jc w:val="center"/>
              <w:rPr>
                <w:sz w:val="14"/>
              </w:rPr>
            </w:pPr>
            <w:r>
              <w:rPr>
                <w:color w:val="4D4D4F"/>
                <w:sz w:val="14"/>
              </w:rPr>
              <w:t>Baseline not yet set</w:t>
            </w:r>
          </w:p>
        </w:tc>
        <w:tc>
          <w:tcPr>
            <w:tcW w:w="964" w:type="dxa"/>
          </w:tcPr>
          <w:p w14:paraId="178BB797" w14:textId="77777777" w:rsidR="00EF5B27" w:rsidRDefault="00EF5B27">
            <w:pPr>
              <w:pStyle w:val="TableParagraph"/>
              <w:spacing w:before="4"/>
              <w:rPr>
                <w:b/>
                <w:sz w:val="7"/>
              </w:rPr>
            </w:pPr>
          </w:p>
          <w:p w14:paraId="660EDA1E" w14:textId="77777777" w:rsidR="00EF5B27" w:rsidRDefault="00000000">
            <w:pPr>
              <w:pStyle w:val="TableParagraph"/>
              <w:spacing w:line="187" w:lineRule="exact"/>
              <w:ind w:left="400"/>
              <w:rPr>
                <w:sz w:val="18"/>
              </w:rPr>
            </w:pPr>
            <w:r>
              <w:rPr>
                <w:noProof/>
                <w:position w:val="-3"/>
                <w:sz w:val="18"/>
              </w:rPr>
              <w:drawing>
                <wp:inline distT="0" distB="0" distL="0" distR="0" wp14:anchorId="470FE3CB" wp14:editId="47A2C8E0">
                  <wp:extent cx="100572" cy="119062"/>
                  <wp:effectExtent l="0" t="0" r="0" b="0"/>
                  <wp:docPr id="315"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22.png"/>
                          <pic:cNvPicPr/>
                        </pic:nvPicPr>
                        <pic:blipFill>
                          <a:blip r:embed="rId83" cstate="print"/>
                          <a:stretch>
                            <a:fillRect/>
                          </a:stretch>
                        </pic:blipFill>
                        <pic:spPr>
                          <a:xfrm>
                            <a:off x="0" y="0"/>
                            <a:ext cx="100572" cy="119062"/>
                          </a:xfrm>
                          <a:prstGeom prst="rect">
                            <a:avLst/>
                          </a:prstGeom>
                        </pic:spPr>
                      </pic:pic>
                    </a:graphicData>
                  </a:graphic>
                </wp:inline>
              </w:drawing>
            </w:r>
          </w:p>
          <w:p w14:paraId="62D2AEED" w14:textId="77777777" w:rsidR="00EF5B27" w:rsidRDefault="00EF5B27">
            <w:pPr>
              <w:pStyle w:val="TableParagraph"/>
              <w:spacing w:before="8"/>
              <w:rPr>
                <w:b/>
                <w:sz w:val="2"/>
              </w:rPr>
            </w:pPr>
          </w:p>
          <w:p w14:paraId="478DA7DE" w14:textId="77777777" w:rsidR="00EF5B27" w:rsidRDefault="00000000">
            <w:pPr>
              <w:pStyle w:val="TableParagraph"/>
              <w:spacing w:line="48" w:lineRule="exact"/>
              <w:ind w:left="448"/>
              <w:rPr>
                <w:sz w:val="4"/>
              </w:rPr>
            </w:pPr>
            <w:r>
              <w:rPr>
                <w:sz w:val="4"/>
              </w:rPr>
            </w:r>
            <w:r>
              <w:rPr>
                <w:sz w:val="4"/>
              </w:rPr>
              <w:pict w14:anchorId="00DB32B8">
                <v:group id="_x0000_s3516" style="width:2.45pt;height:2.45pt;mso-position-horizontal-relative:char;mso-position-vertical-relative:line" coordsize="49,49">
                  <v:shape id="_x0000_s3517" style="position:absolute;width:49;height:49" coordsize="49,49" path="m31,l18,,12,2,2,12,,17,,31r2,6l12,46r6,3l31,49r6,-3l46,37r3,-6l49,17,46,12,37,2,31,xe" fillcolor="#808285" stroked="f">
                    <v:path arrowok="t"/>
                  </v:shape>
                  <w10:wrap type="none"/>
                  <w10:anchorlock/>
                </v:group>
              </w:pict>
            </w:r>
          </w:p>
        </w:tc>
        <w:tc>
          <w:tcPr>
            <w:tcW w:w="964" w:type="dxa"/>
          </w:tcPr>
          <w:p w14:paraId="206DCD76" w14:textId="77777777" w:rsidR="00EF5B27" w:rsidRDefault="00EF5B27">
            <w:pPr>
              <w:pStyle w:val="TableParagraph"/>
              <w:spacing w:before="11"/>
              <w:rPr>
                <w:b/>
                <w:sz w:val="11"/>
              </w:rPr>
            </w:pPr>
          </w:p>
          <w:p w14:paraId="2F6FEB3B" w14:textId="77777777" w:rsidR="00EF5B27" w:rsidRDefault="00000000">
            <w:pPr>
              <w:pStyle w:val="TableParagraph"/>
              <w:ind w:left="368"/>
              <w:rPr>
                <w:sz w:val="14"/>
              </w:rPr>
            </w:pPr>
            <w:r>
              <w:rPr>
                <w:color w:val="4D4D4F"/>
                <w:w w:val="105"/>
                <w:sz w:val="14"/>
              </w:rPr>
              <w:t>N/A</w:t>
            </w:r>
          </w:p>
        </w:tc>
        <w:tc>
          <w:tcPr>
            <w:tcW w:w="1489" w:type="dxa"/>
          </w:tcPr>
          <w:p w14:paraId="739FF538" w14:textId="77777777" w:rsidR="00EF5B27" w:rsidRDefault="00000000">
            <w:pPr>
              <w:pStyle w:val="TableParagraph"/>
              <w:spacing w:before="134"/>
              <w:ind w:left="579"/>
              <w:rPr>
                <w:sz w:val="16"/>
              </w:rPr>
            </w:pPr>
            <w:r>
              <w:rPr>
                <w:color w:val="4D4D4F"/>
                <w:sz w:val="16"/>
              </w:rPr>
              <w:t>2023</w:t>
            </w:r>
          </w:p>
        </w:tc>
      </w:tr>
    </w:tbl>
    <w:p w14:paraId="4B73AF61" w14:textId="77777777" w:rsidR="00EF5B27" w:rsidRDefault="00EF5B27">
      <w:pPr>
        <w:pStyle w:val="BodyText"/>
        <w:spacing w:before="3"/>
        <w:rPr>
          <w:b/>
          <w:sz w:val="34"/>
        </w:rPr>
      </w:pPr>
    </w:p>
    <w:p w14:paraId="301C03A4" w14:textId="77777777" w:rsidR="00EF5B27" w:rsidRDefault="00000000">
      <w:pPr>
        <w:pStyle w:val="BodyText"/>
        <w:spacing w:before="1" w:line="254" w:lineRule="auto"/>
        <w:ind w:left="2608"/>
      </w:pPr>
      <w:r>
        <w:rPr>
          <w:color w:val="4D4D4F"/>
          <w:spacing w:val="-4"/>
        </w:rPr>
        <w:t xml:space="preserve">This </w:t>
      </w:r>
      <w:r>
        <w:rPr>
          <w:color w:val="4D4D4F"/>
        </w:rPr>
        <w:t xml:space="preserve">KPI </w:t>
      </w:r>
      <w:r>
        <w:rPr>
          <w:color w:val="4D4D4F"/>
          <w:spacing w:val="-4"/>
        </w:rPr>
        <w:t xml:space="preserve">measures </w:t>
      </w:r>
      <w:r>
        <w:rPr>
          <w:color w:val="4D4D4F"/>
          <w:spacing w:val="-3"/>
        </w:rPr>
        <w:t xml:space="preserve">the </w:t>
      </w:r>
      <w:r>
        <w:rPr>
          <w:color w:val="4D4D4F"/>
          <w:spacing w:val="-4"/>
        </w:rPr>
        <w:t xml:space="preserve">cover </w:t>
      </w:r>
      <w:r>
        <w:rPr>
          <w:color w:val="4D4D4F"/>
          <w:spacing w:val="-3"/>
        </w:rPr>
        <w:t xml:space="preserve">of the </w:t>
      </w:r>
      <w:r>
        <w:rPr>
          <w:color w:val="4D4D4F"/>
          <w:spacing w:val="-5"/>
        </w:rPr>
        <w:t xml:space="preserve">valuable </w:t>
      </w:r>
      <w:r>
        <w:rPr>
          <w:color w:val="4D4D4F"/>
          <w:spacing w:val="-3"/>
        </w:rPr>
        <w:t xml:space="preserve">and </w:t>
      </w:r>
      <w:r>
        <w:rPr>
          <w:color w:val="4D4D4F"/>
          <w:spacing w:val="-4"/>
        </w:rPr>
        <w:t xml:space="preserve">diverse native </w:t>
      </w:r>
      <w:r>
        <w:rPr>
          <w:color w:val="4D4D4F"/>
          <w:spacing w:val="-5"/>
        </w:rPr>
        <w:t xml:space="preserve">perennial </w:t>
      </w:r>
      <w:r>
        <w:rPr>
          <w:color w:val="4D4D4F"/>
          <w:spacing w:val="-3"/>
        </w:rPr>
        <w:t xml:space="preserve">forb </w:t>
      </w:r>
      <w:r>
        <w:rPr>
          <w:color w:val="4D4D4F"/>
          <w:spacing w:val="-4"/>
        </w:rPr>
        <w:t xml:space="preserve">component, </w:t>
      </w:r>
      <w:r>
        <w:rPr>
          <w:color w:val="4D4D4F"/>
          <w:spacing w:val="-5"/>
        </w:rPr>
        <w:t xml:space="preserve">which </w:t>
      </w:r>
      <w:r>
        <w:rPr>
          <w:color w:val="4D4D4F"/>
          <w:spacing w:val="-6"/>
        </w:rPr>
        <w:t xml:space="preserve">includes </w:t>
      </w:r>
      <w:r>
        <w:rPr>
          <w:color w:val="4D4D4F"/>
          <w:spacing w:val="-5"/>
        </w:rPr>
        <w:t xml:space="preserve">many </w:t>
      </w:r>
      <w:r>
        <w:rPr>
          <w:color w:val="4D4D4F"/>
          <w:spacing w:val="-3"/>
        </w:rPr>
        <w:t xml:space="preserve">rare </w:t>
      </w:r>
      <w:r>
        <w:rPr>
          <w:color w:val="4D4D4F"/>
          <w:spacing w:val="-6"/>
        </w:rPr>
        <w:t>species.</w:t>
      </w:r>
      <w:r>
        <w:rPr>
          <w:color w:val="4D4D4F"/>
          <w:spacing w:val="-6"/>
          <w:position w:val="7"/>
          <w:sz w:val="11"/>
        </w:rPr>
        <w:t xml:space="preserve">123 </w:t>
      </w:r>
      <w:r>
        <w:rPr>
          <w:color w:val="4D4D4F"/>
          <w:spacing w:val="-3"/>
        </w:rPr>
        <w:t xml:space="preserve">The </w:t>
      </w:r>
      <w:r>
        <w:rPr>
          <w:color w:val="4D4D4F"/>
          <w:spacing w:val="-6"/>
        </w:rPr>
        <w:t xml:space="preserve">point intercept </w:t>
      </w:r>
      <w:r>
        <w:rPr>
          <w:color w:val="4D4D4F"/>
          <w:spacing w:val="-5"/>
        </w:rPr>
        <w:t xml:space="preserve">plots (permanent </w:t>
      </w:r>
      <w:r>
        <w:rPr>
          <w:color w:val="4D4D4F"/>
          <w:spacing w:val="-4"/>
        </w:rPr>
        <w:t xml:space="preserve">and </w:t>
      </w:r>
      <w:r>
        <w:rPr>
          <w:color w:val="4D4D4F"/>
          <w:spacing w:val="-5"/>
        </w:rPr>
        <w:t xml:space="preserve">re-allocated) </w:t>
      </w:r>
      <w:r>
        <w:rPr>
          <w:color w:val="4D4D4F"/>
          <w:spacing w:val="-4"/>
        </w:rPr>
        <w:t xml:space="preserve">provide </w:t>
      </w:r>
      <w:r>
        <w:rPr>
          <w:color w:val="4D4D4F"/>
          <w:spacing w:val="-3"/>
        </w:rPr>
        <w:t xml:space="preserve">an </w:t>
      </w:r>
      <w:r>
        <w:rPr>
          <w:color w:val="4D4D4F"/>
          <w:spacing w:val="-5"/>
        </w:rPr>
        <w:t xml:space="preserve">estimate </w:t>
      </w:r>
      <w:r>
        <w:rPr>
          <w:color w:val="4D4D4F"/>
          <w:spacing w:val="-3"/>
        </w:rPr>
        <w:t xml:space="preserve">of the </w:t>
      </w:r>
      <w:r>
        <w:rPr>
          <w:color w:val="4D4D4F"/>
          <w:spacing w:val="-4"/>
        </w:rPr>
        <w:t xml:space="preserve">cover </w:t>
      </w:r>
      <w:r>
        <w:rPr>
          <w:color w:val="4D4D4F"/>
          <w:spacing w:val="-3"/>
        </w:rPr>
        <w:t xml:space="preserve">of </w:t>
      </w:r>
      <w:r>
        <w:rPr>
          <w:color w:val="4D4D4F"/>
          <w:spacing w:val="-4"/>
        </w:rPr>
        <w:t xml:space="preserve">native </w:t>
      </w:r>
      <w:r>
        <w:rPr>
          <w:color w:val="4D4D4F"/>
          <w:spacing w:val="-5"/>
        </w:rPr>
        <w:t xml:space="preserve">perennial </w:t>
      </w:r>
      <w:r>
        <w:rPr>
          <w:color w:val="4D4D4F"/>
          <w:spacing w:val="-3"/>
        </w:rPr>
        <w:t xml:space="preserve">herbs </w:t>
      </w:r>
      <w:r>
        <w:rPr>
          <w:color w:val="4D4D4F"/>
          <w:spacing w:val="-4"/>
        </w:rPr>
        <w:t xml:space="preserve">in </w:t>
      </w:r>
      <w:r>
        <w:rPr>
          <w:color w:val="4D4D4F"/>
          <w:spacing w:val="-3"/>
        </w:rPr>
        <w:t xml:space="preserve">each </w:t>
      </w:r>
      <w:r>
        <w:rPr>
          <w:color w:val="4D4D4F"/>
          <w:spacing w:val="-4"/>
        </w:rPr>
        <w:t xml:space="preserve">state in </w:t>
      </w:r>
      <w:r>
        <w:rPr>
          <w:color w:val="4D4D4F"/>
          <w:spacing w:val="-3"/>
        </w:rPr>
        <w:t xml:space="preserve">each </w:t>
      </w:r>
      <w:r>
        <w:rPr>
          <w:color w:val="4D4D4F"/>
          <w:spacing w:val="-8"/>
        </w:rPr>
        <w:t xml:space="preserve">year. </w:t>
      </w:r>
      <w:r>
        <w:rPr>
          <w:color w:val="4D4D4F"/>
        </w:rPr>
        <w:t>Forb cover is relatively low across all states.</w:t>
      </w:r>
    </w:p>
    <w:p w14:paraId="3DC47788" w14:textId="77777777" w:rsidR="00EF5B27" w:rsidRDefault="00000000">
      <w:pPr>
        <w:pStyle w:val="BodyText"/>
        <w:spacing w:before="118" w:line="254" w:lineRule="auto"/>
        <w:ind w:left="2608" w:right="221"/>
      </w:pPr>
      <w:r>
        <w:rPr>
          <w:color w:val="4D4D4F"/>
        </w:rPr>
        <w:t xml:space="preserve">This KPI was met in two states: Herb-rich grassland and </w:t>
      </w:r>
      <w:r>
        <w:rPr>
          <w:rFonts w:ascii="Arial Narrow" w:hAnsi="Arial Narrow"/>
          <w:i/>
          <w:color w:val="4D4D4F"/>
        </w:rPr>
        <w:t xml:space="preserve">Themeda </w:t>
      </w:r>
      <w:r>
        <w:rPr>
          <w:color w:val="4D4D4F"/>
        </w:rPr>
        <w:t>grassland. This KPI  was not met in the Nutrient-enriched grassland state. The baseline has not yet been  set for the other states because these states are not yet sufficiently protected – thus  an assessment cannot be made for these</w:t>
      </w:r>
      <w:r>
        <w:rPr>
          <w:color w:val="4D4D4F"/>
          <w:spacing w:val="31"/>
        </w:rPr>
        <w:t xml:space="preserve"> </w:t>
      </w:r>
      <w:r>
        <w:rPr>
          <w:color w:val="4D4D4F"/>
        </w:rPr>
        <w:t>states.</w:t>
      </w:r>
    </w:p>
    <w:p w14:paraId="352A64CA" w14:textId="77777777" w:rsidR="00EF5B27" w:rsidRDefault="00000000">
      <w:pPr>
        <w:pStyle w:val="BodyText"/>
        <w:spacing w:before="118" w:line="254" w:lineRule="auto"/>
        <w:ind w:left="2608" w:right="221"/>
      </w:pPr>
      <w:r>
        <w:rPr>
          <w:color w:val="4D4D4F"/>
        </w:rPr>
        <w:t>This KPI is assessed using a continuous improvement approach, where any increase over the baseline in a five-year reporting period will lead to the calculation of a new baseline for subsequent reporting periods.</w:t>
      </w:r>
    </w:p>
    <w:p w14:paraId="36695EB1" w14:textId="77777777" w:rsidR="00EF5B27" w:rsidRDefault="00000000">
      <w:pPr>
        <w:pStyle w:val="BodyText"/>
        <w:spacing w:before="11"/>
        <w:rPr>
          <w:sz w:val="26"/>
        </w:rPr>
      </w:pPr>
      <w:r>
        <w:pict w14:anchorId="74357BC8">
          <v:group id="_x0000_s3513" style="position:absolute;margin-left:181.3pt;margin-top:18.75pt;width:357.4pt;height:201.15pt;z-index:251493888;mso-wrap-distance-left:0;mso-wrap-distance-right:0;mso-position-horizontal-relative:page" coordorigin="3626,375" coordsize="7148,4023">
            <v:shape id="_x0000_s3515" type="#_x0000_t75" style="position:absolute;left:3628;top:377;width:7143;height:4018">
              <v:imagedata r:id="rId119" o:title=""/>
            </v:shape>
            <v:rect id="_x0000_s3514" style="position:absolute;left:3628;top:377;width:7143;height:4018" filled="f" strokeweight=".25pt"/>
            <w10:wrap type="topAndBottom" anchorx="page"/>
          </v:group>
        </w:pict>
      </w:r>
    </w:p>
    <w:p w14:paraId="036286D1" w14:textId="77777777" w:rsidR="00EF5B27" w:rsidRDefault="00000000">
      <w:pPr>
        <w:spacing w:before="103" w:line="244" w:lineRule="auto"/>
        <w:ind w:left="2038" w:right="111"/>
        <w:jc w:val="right"/>
        <w:rPr>
          <w:sz w:val="16"/>
        </w:rPr>
      </w:pPr>
      <w:r>
        <w:rPr>
          <w:color w:val="4D4D4F"/>
          <w:sz w:val="16"/>
        </w:rPr>
        <w:t>Figure</w:t>
      </w:r>
      <w:r>
        <w:rPr>
          <w:color w:val="4D4D4F"/>
          <w:spacing w:val="8"/>
          <w:sz w:val="16"/>
        </w:rPr>
        <w:t xml:space="preserve"> </w:t>
      </w:r>
      <w:r>
        <w:rPr>
          <w:color w:val="4D4D4F"/>
          <w:sz w:val="16"/>
        </w:rPr>
        <w:t>8:</w:t>
      </w:r>
      <w:r>
        <w:rPr>
          <w:color w:val="4D4D4F"/>
          <w:spacing w:val="8"/>
          <w:sz w:val="16"/>
        </w:rPr>
        <w:t xml:space="preserve"> </w:t>
      </w:r>
      <w:r>
        <w:rPr>
          <w:color w:val="4D4D4F"/>
          <w:sz w:val="16"/>
        </w:rPr>
        <w:t>Cover</w:t>
      </w:r>
      <w:r>
        <w:rPr>
          <w:color w:val="4D4D4F"/>
          <w:spacing w:val="8"/>
          <w:sz w:val="16"/>
        </w:rPr>
        <w:t xml:space="preserve"> </w:t>
      </w:r>
      <w:r>
        <w:rPr>
          <w:color w:val="4D4D4F"/>
          <w:sz w:val="16"/>
        </w:rPr>
        <w:t>of</w:t>
      </w:r>
      <w:r>
        <w:rPr>
          <w:color w:val="4D4D4F"/>
          <w:spacing w:val="8"/>
          <w:sz w:val="16"/>
        </w:rPr>
        <w:t xml:space="preserve"> </w:t>
      </w:r>
      <w:r>
        <w:rPr>
          <w:color w:val="4D4D4F"/>
          <w:sz w:val="16"/>
        </w:rPr>
        <w:t>native</w:t>
      </w:r>
      <w:r>
        <w:rPr>
          <w:color w:val="4D4D4F"/>
          <w:spacing w:val="8"/>
          <w:sz w:val="16"/>
        </w:rPr>
        <w:t xml:space="preserve"> </w:t>
      </w:r>
      <w:r>
        <w:rPr>
          <w:color w:val="4D4D4F"/>
          <w:sz w:val="16"/>
        </w:rPr>
        <w:t>perennial</w:t>
      </w:r>
      <w:r>
        <w:rPr>
          <w:color w:val="4D4D4F"/>
          <w:spacing w:val="8"/>
          <w:sz w:val="16"/>
        </w:rPr>
        <w:t xml:space="preserve"> </w:t>
      </w:r>
      <w:r>
        <w:rPr>
          <w:color w:val="4D4D4F"/>
          <w:sz w:val="16"/>
        </w:rPr>
        <w:t>forbs</w:t>
      </w:r>
      <w:r>
        <w:rPr>
          <w:color w:val="4D4D4F"/>
          <w:spacing w:val="8"/>
          <w:sz w:val="16"/>
        </w:rPr>
        <w:t xml:space="preserve"> </w:t>
      </w:r>
      <w:r>
        <w:rPr>
          <w:color w:val="4D4D4F"/>
          <w:sz w:val="16"/>
        </w:rPr>
        <w:t>in</w:t>
      </w:r>
      <w:r>
        <w:rPr>
          <w:color w:val="4D4D4F"/>
          <w:spacing w:val="8"/>
          <w:sz w:val="16"/>
        </w:rPr>
        <w:t xml:space="preserve"> </w:t>
      </w:r>
      <w:r>
        <w:rPr>
          <w:color w:val="4D4D4F"/>
          <w:sz w:val="16"/>
        </w:rPr>
        <w:t>Natural</w:t>
      </w:r>
      <w:r>
        <w:rPr>
          <w:color w:val="4D4D4F"/>
          <w:spacing w:val="8"/>
          <w:sz w:val="16"/>
        </w:rPr>
        <w:t xml:space="preserve"> </w:t>
      </w:r>
      <w:r>
        <w:rPr>
          <w:color w:val="4D4D4F"/>
          <w:sz w:val="16"/>
        </w:rPr>
        <w:t>Temperate</w:t>
      </w:r>
      <w:r>
        <w:rPr>
          <w:color w:val="4D4D4F"/>
          <w:spacing w:val="8"/>
          <w:sz w:val="16"/>
        </w:rPr>
        <w:t xml:space="preserve"> </w:t>
      </w:r>
      <w:r>
        <w:rPr>
          <w:color w:val="4D4D4F"/>
          <w:sz w:val="16"/>
        </w:rPr>
        <w:t>Grassland,</w:t>
      </w:r>
      <w:r>
        <w:rPr>
          <w:color w:val="4D4D4F"/>
          <w:spacing w:val="8"/>
          <w:sz w:val="16"/>
        </w:rPr>
        <w:t xml:space="preserve"> </w:t>
      </w:r>
      <w:r>
        <w:rPr>
          <w:color w:val="4D4D4F"/>
          <w:sz w:val="16"/>
        </w:rPr>
        <w:t>displayed</w:t>
      </w:r>
      <w:r>
        <w:rPr>
          <w:color w:val="4D4D4F"/>
          <w:spacing w:val="8"/>
          <w:sz w:val="16"/>
        </w:rPr>
        <w:t xml:space="preserve"> </w:t>
      </w:r>
      <w:r>
        <w:rPr>
          <w:color w:val="4D4D4F"/>
          <w:sz w:val="16"/>
        </w:rPr>
        <w:t>by</w:t>
      </w:r>
      <w:r>
        <w:rPr>
          <w:color w:val="4D4D4F"/>
          <w:spacing w:val="8"/>
          <w:sz w:val="16"/>
        </w:rPr>
        <w:t xml:space="preserve"> </w:t>
      </w:r>
      <w:r>
        <w:rPr>
          <w:color w:val="4D4D4F"/>
          <w:sz w:val="16"/>
        </w:rPr>
        <w:t>state.</w:t>
      </w:r>
      <w:r>
        <w:rPr>
          <w:color w:val="4D4D4F"/>
          <w:spacing w:val="8"/>
          <w:sz w:val="16"/>
        </w:rPr>
        <w:t xml:space="preserve"> </w:t>
      </w:r>
      <w:r>
        <w:rPr>
          <w:color w:val="4D4D4F"/>
          <w:sz w:val="16"/>
        </w:rPr>
        <w:t>The</w:t>
      </w:r>
      <w:r>
        <w:rPr>
          <w:color w:val="4D4D4F"/>
          <w:spacing w:val="8"/>
          <w:sz w:val="16"/>
        </w:rPr>
        <w:t xml:space="preserve"> </w:t>
      </w:r>
      <w:r>
        <w:rPr>
          <w:color w:val="4D4D4F"/>
          <w:spacing w:val="2"/>
          <w:sz w:val="16"/>
        </w:rPr>
        <w:t>error</w:t>
      </w:r>
      <w:r>
        <w:rPr>
          <w:color w:val="4D4D4F"/>
          <w:spacing w:val="8"/>
          <w:sz w:val="16"/>
        </w:rPr>
        <w:t xml:space="preserve"> </w:t>
      </w:r>
      <w:r>
        <w:rPr>
          <w:color w:val="4D4D4F"/>
          <w:sz w:val="16"/>
        </w:rPr>
        <w:t>bars</w:t>
      </w:r>
      <w:r>
        <w:rPr>
          <w:color w:val="4D4D4F"/>
          <w:w w:val="117"/>
          <w:sz w:val="16"/>
        </w:rPr>
        <w:t xml:space="preserve"> </w:t>
      </w:r>
      <w:r>
        <w:rPr>
          <w:color w:val="4D4D4F"/>
          <w:sz w:val="16"/>
        </w:rPr>
        <w:t>represent</w:t>
      </w:r>
      <w:r>
        <w:rPr>
          <w:color w:val="4D4D4F"/>
          <w:spacing w:val="8"/>
          <w:sz w:val="16"/>
        </w:rPr>
        <w:t xml:space="preserve"> </w:t>
      </w:r>
      <w:r>
        <w:rPr>
          <w:color w:val="4D4D4F"/>
          <w:sz w:val="16"/>
        </w:rPr>
        <w:t>95%</w:t>
      </w:r>
      <w:r>
        <w:rPr>
          <w:color w:val="4D4D4F"/>
          <w:spacing w:val="9"/>
          <w:sz w:val="16"/>
        </w:rPr>
        <w:t xml:space="preserve"> </w:t>
      </w:r>
      <w:r>
        <w:rPr>
          <w:color w:val="4D4D4F"/>
          <w:sz w:val="16"/>
        </w:rPr>
        <w:t>confidence</w:t>
      </w:r>
      <w:r>
        <w:rPr>
          <w:color w:val="4D4D4F"/>
          <w:spacing w:val="8"/>
          <w:sz w:val="16"/>
        </w:rPr>
        <w:t xml:space="preserve"> </w:t>
      </w:r>
      <w:r>
        <w:rPr>
          <w:color w:val="4D4D4F"/>
          <w:sz w:val="16"/>
        </w:rPr>
        <w:t>intervals.</w:t>
      </w:r>
      <w:r>
        <w:rPr>
          <w:color w:val="4D4D4F"/>
          <w:spacing w:val="9"/>
          <w:sz w:val="16"/>
        </w:rPr>
        <w:t xml:space="preserve"> </w:t>
      </w:r>
      <w:r>
        <w:rPr>
          <w:color w:val="4D4D4F"/>
          <w:sz w:val="16"/>
        </w:rPr>
        <w:t>The</w:t>
      </w:r>
      <w:r>
        <w:rPr>
          <w:color w:val="4D4D4F"/>
          <w:spacing w:val="8"/>
          <w:sz w:val="16"/>
        </w:rPr>
        <w:t xml:space="preserve"> </w:t>
      </w:r>
      <w:r>
        <w:rPr>
          <w:color w:val="4D4D4F"/>
          <w:sz w:val="16"/>
        </w:rPr>
        <w:t>baselines</w:t>
      </w:r>
      <w:r>
        <w:rPr>
          <w:color w:val="4D4D4F"/>
          <w:spacing w:val="9"/>
          <w:sz w:val="16"/>
        </w:rPr>
        <w:t xml:space="preserve"> </w:t>
      </w:r>
      <w:r>
        <w:rPr>
          <w:color w:val="4D4D4F"/>
          <w:sz w:val="16"/>
        </w:rPr>
        <w:t>are</w:t>
      </w:r>
      <w:r>
        <w:rPr>
          <w:color w:val="4D4D4F"/>
          <w:spacing w:val="8"/>
          <w:sz w:val="16"/>
        </w:rPr>
        <w:t xml:space="preserve"> </w:t>
      </w:r>
      <w:r>
        <w:rPr>
          <w:color w:val="4D4D4F"/>
          <w:sz w:val="16"/>
        </w:rPr>
        <w:t>shown</w:t>
      </w:r>
      <w:r>
        <w:rPr>
          <w:color w:val="4D4D4F"/>
          <w:spacing w:val="9"/>
          <w:sz w:val="16"/>
        </w:rPr>
        <w:t xml:space="preserve"> </w:t>
      </w:r>
      <w:r>
        <w:rPr>
          <w:color w:val="4D4D4F"/>
          <w:sz w:val="16"/>
        </w:rPr>
        <w:t>for</w:t>
      </w:r>
      <w:r>
        <w:rPr>
          <w:color w:val="4D4D4F"/>
          <w:spacing w:val="8"/>
          <w:sz w:val="16"/>
        </w:rPr>
        <w:t xml:space="preserve"> </w:t>
      </w:r>
      <w:r>
        <w:rPr>
          <w:color w:val="4D4D4F"/>
          <w:sz w:val="16"/>
        </w:rPr>
        <w:t>those</w:t>
      </w:r>
      <w:r>
        <w:rPr>
          <w:color w:val="4D4D4F"/>
          <w:spacing w:val="9"/>
          <w:sz w:val="16"/>
        </w:rPr>
        <w:t xml:space="preserve"> </w:t>
      </w:r>
      <w:r>
        <w:rPr>
          <w:color w:val="4D4D4F"/>
          <w:sz w:val="16"/>
        </w:rPr>
        <w:t>states</w:t>
      </w:r>
      <w:r>
        <w:rPr>
          <w:color w:val="4D4D4F"/>
          <w:spacing w:val="8"/>
          <w:sz w:val="16"/>
        </w:rPr>
        <w:t xml:space="preserve"> </w:t>
      </w:r>
      <w:r>
        <w:rPr>
          <w:color w:val="4D4D4F"/>
          <w:sz w:val="16"/>
        </w:rPr>
        <w:t>which</w:t>
      </w:r>
      <w:r>
        <w:rPr>
          <w:color w:val="4D4D4F"/>
          <w:spacing w:val="9"/>
          <w:sz w:val="16"/>
        </w:rPr>
        <w:t xml:space="preserve"> </w:t>
      </w:r>
      <w:r>
        <w:rPr>
          <w:color w:val="4D4D4F"/>
          <w:sz w:val="16"/>
        </w:rPr>
        <w:t>have</w:t>
      </w:r>
      <w:r>
        <w:rPr>
          <w:color w:val="4D4D4F"/>
          <w:spacing w:val="8"/>
          <w:sz w:val="16"/>
        </w:rPr>
        <w:t xml:space="preserve"> </w:t>
      </w:r>
      <w:r>
        <w:rPr>
          <w:color w:val="4D4D4F"/>
          <w:sz w:val="16"/>
        </w:rPr>
        <w:t>had</w:t>
      </w:r>
      <w:r>
        <w:rPr>
          <w:color w:val="4D4D4F"/>
          <w:spacing w:val="9"/>
          <w:sz w:val="16"/>
        </w:rPr>
        <w:t xml:space="preserve"> </w:t>
      </w:r>
      <w:r>
        <w:rPr>
          <w:color w:val="4D4D4F"/>
          <w:sz w:val="16"/>
        </w:rPr>
        <w:t>baselines</w:t>
      </w:r>
      <w:r>
        <w:rPr>
          <w:color w:val="4D4D4F"/>
          <w:spacing w:val="8"/>
          <w:sz w:val="16"/>
        </w:rPr>
        <w:t xml:space="preserve"> </w:t>
      </w:r>
      <w:r>
        <w:rPr>
          <w:color w:val="4D4D4F"/>
          <w:sz w:val="16"/>
        </w:rPr>
        <w:t>set.</w:t>
      </w:r>
    </w:p>
    <w:p w14:paraId="75DAC395" w14:textId="77777777" w:rsidR="00EF5B27" w:rsidRDefault="00000000">
      <w:pPr>
        <w:spacing w:before="33"/>
        <w:ind w:left="2038" w:right="111"/>
        <w:jc w:val="right"/>
        <w:rPr>
          <w:rFonts w:ascii="Century Gothic"/>
          <w:i/>
          <w:sz w:val="12"/>
        </w:rPr>
      </w:pPr>
      <w:r>
        <w:rPr>
          <w:rFonts w:ascii="Century Gothic"/>
          <w:i/>
          <w:color w:val="4D4D4F"/>
          <w:spacing w:val="-1"/>
          <w:w w:val="90"/>
          <w:sz w:val="12"/>
        </w:rPr>
        <w:t>Source:</w:t>
      </w:r>
      <w:r>
        <w:rPr>
          <w:rFonts w:ascii="Century Gothic"/>
          <w:i/>
          <w:color w:val="4D4D4F"/>
          <w:spacing w:val="-4"/>
          <w:w w:val="90"/>
          <w:sz w:val="12"/>
        </w:rPr>
        <w:t xml:space="preserve"> </w:t>
      </w:r>
      <w:r>
        <w:rPr>
          <w:rFonts w:ascii="Century Gothic"/>
          <w:i/>
          <w:color w:val="4D4D4F"/>
          <w:w w:val="90"/>
          <w:sz w:val="12"/>
        </w:rPr>
        <w:t>DELWP</w:t>
      </w:r>
    </w:p>
    <w:p w14:paraId="648E2C27" w14:textId="77777777" w:rsidR="00EF5B27" w:rsidRDefault="00EF5B27">
      <w:pPr>
        <w:pStyle w:val="BodyText"/>
        <w:rPr>
          <w:rFonts w:ascii="Century Gothic"/>
          <w:i/>
        </w:rPr>
      </w:pPr>
    </w:p>
    <w:p w14:paraId="3D40CC47" w14:textId="77777777" w:rsidR="00EF5B27" w:rsidRDefault="00EF5B27">
      <w:pPr>
        <w:pStyle w:val="BodyText"/>
        <w:rPr>
          <w:rFonts w:ascii="Century Gothic"/>
          <w:i/>
        </w:rPr>
      </w:pPr>
    </w:p>
    <w:p w14:paraId="79E9A026" w14:textId="77777777" w:rsidR="00EF5B27" w:rsidRDefault="00EF5B27">
      <w:pPr>
        <w:pStyle w:val="BodyText"/>
        <w:rPr>
          <w:rFonts w:ascii="Century Gothic"/>
          <w:i/>
          <w:sz w:val="14"/>
        </w:rPr>
      </w:pPr>
    </w:p>
    <w:p w14:paraId="12B1C246" w14:textId="77777777" w:rsidR="00EF5B27" w:rsidRDefault="00000000">
      <w:pPr>
        <w:pStyle w:val="ListParagraph"/>
        <w:numPr>
          <w:ilvl w:val="0"/>
          <w:numId w:val="44"/>
        </w:numPr>
        <w:tabs>
          <w:tab w:val="left" w:pos="2836"/>
        </w:tabs>
        <w:spacing w:before="101" w:line="230" w:lineRule="auto"/>
        <w:ind w:right="112"/>
        <w:jc w:val="left"/>
        <w:rPr>
          <w:sz w:val="12"/>
        </w:rPr>
      </w:pPr>
      <w:r>
        <w:rPr>
          <w:color w:val="4D4D4F"/>
          <w:sz w:val="12"/>
        </w:rPr>
        <w:t xml:space="preserve">Stuwe </w:t>
      </w:r>
      <w:r>
        <w:rPr>
          <w:color w:val="4D4D4F"/>
          <w:w w:val="130"/>
          <w:sz w:val="12"/>
        </w:rPr>
        <w:t xml:space="preserve">J </w:t>
      </w:r>
      <w:r>
        <w:rPr>
          <w:color w:val="4D4D4F"/>
          <w:sz w:val="12"/>
        </w:rPr>
        <w:t>1986, ‘An assessment of the conservation status of native grasslands on the western plains, Victoria and sites of botanical significance.’</w:t>
      </w:r>
      <w:r>
        <w:rPr>
          <w:color w:val="4D4D4F"/>
          <w:spacing w:val="10"/>
          <w:sz w:val="12"/>
        </w:rPr>
        <w:t xml:space="preserve"> </w:t>
      </w:r>
      <w:r>
        <w:rPr>
          <w:color w:val="4D4D4F"/>
          <w:sz w:val="12"/>
        </w:rPr>
        <w:t>ARI</w:t>
      </w:r>
      <w:r>
        <w:rPr>
          <w:color w:val="4D4D4F"/>
          <w:spacing w:val="10"/>
          <w:sz w:val="12"/>
        </w:rPr>
        <w:t xml:space="preserve"> </w:t>
      </w:r>
      <w:r>
        <w:rPr>
          <w:color w:val="4D4D4F"/>
          <w:sz w:val="12"/>
        </w:rPr>
        <w:t>Technical</w:t>
      </w:r>
      <w:r>
        <w:rPr>
          <w:color w:val="4D4D4F"/>
          <w:spacing w:val="10"/>
          <w:sz w:val="12"/>
        </w:rPr>
        <w:t xml:space="preserve"> </w:t>
      </w:r>
      <w:r>
        <w:rPr>
          <w:color w:val="4D4D4F"/>
          <w:spacing w:val="2"/>
          <w:sz w:val="12"/>
        </w:rPr>
        <w:t>Report</w:t>
      </w:r>
      <w:r>
        <w:rPr>
          <w:color w:val="4D4D4F"/>
          <w:spacing w:val="10"/>
          <w:sz w:val="12"/>
        </w:rPr>
        <w:t xml:space="preserve"> </w:t>
      </w:r>
      <w:r>
        <w:rPr>
          <w:color w:val="4D4D4F"/>
          <w:sz w:val="12"/>
        </w:rPr>
        <w:t>Series</w:t>
      </w:r>
      <w:r>
        <w:rPr>
          <w:color w:val="4D4D4F"/>
          <w:spacing w:val="10"/>
          <w:sz w:val="12"/>
        </w:rPr>
        <w:t xml:space="preserve"> </w:t>
      </w:r>
      <w:r>
        <w:rPr>
          <w:color w:val="4D4D4F"/>
          <w:sz w:val="12"/>
        </w:rPr>
        <w:t>No.</w:t>
      </w:r>
      <w:r>
        <w:rPr>
          <w:color w:val="4D4D4F"/>
          <w:spacing w:val="10"/>
          <w:sz w:val="12"/>
        </w:rPr>
        <w:t xml:space="preserve"> </w:t>
      </w:r>
      <w:r>
        <w:rPr>
          <w:color w:val="4D4D4F"/>
          <w:spacing w:val="2"/>
          <w:sz w:val="12"/>
        </w:rPr>
        <w:t>48,</w:t>
      </w:r>
      <w:r>
        <w:rPr>
          <w:color w:val="4D4D4F"/>
          <w:spacing w:val="10"/>
          <w:sz w:val="12"/>
        </w:rPr>
        <w:t xml:space="preserve"> </w:t>
      </w:r>
      <w:r>
        <w:rPr>
          <w:color w:val="4D4D4F"/>
          <w:spacing w:val="2"/>
          <w:sz w:val="12"/>
        </w:rPr>
        <w:t>Conservation</w:t>
      </w:r>
      <w:r>
        <w:rPr>
          <w:color w:val="4D4D4F"/>
          <w:spacing w:val="10"/>
          <w:sz w:val="12"/>
        </w:rPr>
        <w:t xml:space="preserve"> </w:t>
      </w:r>
      <w:r>
        <w:rPr>
          <w:color w:val="4D4D4F"/>
          <w:spacing w:val="2"/>
          <w:sz w:val="12"/>
        </w:rPr>
        <w:t>Forests</w:t>
      </w:r>
      <w:r>
        <w:rPr>
          <w:color w:val="4D4D4F"/>
          <w:spacing w:val="10"/>
          <w:sz w:val="12"/>
        </w:rPr>
        <w:t xml:space="preserve"> </w:t>
      </w:r>
      <w:r>
        <w:rPr>
          <w:color w:val="4D4D4F"/>
          <w:sz w:val="12"/>
        </w:rPr>
        <w:t>&amp;</w:t>
      </w:r>
      <w:r>
        <w:rPr>
          <w:color w:val="4D4D4F"/>
          <w:spacing w:val="10"/>
          <w:sz w:val="12"/>
        </w:rPr>
        <w:t xml:space="preserve"> </w:t>
      </w:r>
      <w:r>
        <w:rPr>
          <w:color w:val="4D4D4F"/>
          <w:spacing w:val="2"/>
          <w:sz w:val="12"/>
        </w:rPr>
        <w:t>Lands,</w:t>
      </w:r>
      <w:r>
        <w:rPr>
          <w:color w:val="4D4D4F"/>
          <w:spacing w:val="10"/>
          <w:sz w:val="12"/>
        </w:rPr>
        <w:t xml:space="preserve"> </w:t>
      </w:r>
      <w:r>
        <w:rPr>
          <w:color w:val="4D4D4F"/>
          <w:sz w:val="12"/>
        </w:rPr>
        <w:t>Fisheries</w:t>
      </w:r>
      <w:r>
        <w:rPr>
          <w:color w:val="4D4D4F"/>
          <w:spacing w:val="10"/>
          <w:sz w:val="12"/>
        </w:rPr>
        <w:t xml:space="preserve"> </w:t>
      </w:r>
      <w:r>
        <w:rPr>
          <w:color w:val="4D4D4F"/>
          <w:sz w:val="12"/>
        </w:rPr>
        <w:t>and</w:t>
      </w:r>
      <w:r>
        <w:rPr>
          <w:color w:val="4D4D4F"/>
          <w:spacing w:val="11"/>
          <w:sz w:val="12"/>
        </w:rPr>
        <w:t xml:space="preserve"> </w:t>
      </w:r>
      <w:r>
        <w:rPr>
          <w:color w:val="4D4D4F"/>
          <w:sz w:val="12"/>
        </w:rPr>
        <w:t>Wildlife</w:t>
      </w:r>
      <w:r>
        <w:rPr>
          <w:color w:val="4D4D4F"/>
          <w:spacing w:val="10"/>
          <w:sz w:val="12"/>
        </w:rPr>
        <w:t xml:space="preserve"> </w:t>
      </w:r>
      <w:r>
        <w:rPr>
          <w:color w:val="4D4D4F"/>
          <w:spacing w:val="2"/>
          <w:sz w:val="12"/>
        </w:rPr>
        <w:t>Service,</w:t>
      </w:r>
      <w:r>
        <w:rPr>
          <w:color w:val="4D4D4F"/>
          <w:spacing w:val="10"/>
          <w:sz w:val="12"/>
        </w:rPr>
        <w:t xml:space="preserve"> </w:t>
      </w:r>
      <w:r>
        <w:rPr>
          <w:color w:val="4D4D4F"/>
          <w:sz w:val="12"/>
        </w:rPr>
        <w:t>Heidelberg,</w:t>
      </w:r>
      <w:r>
        <w:rPr>
          <w:color w:val="4D4D4F"/>
          <w:spacing w:val="10"/>
          <w:sz w:val="12"/>
        </w:rPr>
        <w:t xml:space="preserve"> </w:t>
      </w:r>
      <w:r>
        <w:rPr>
          <w:color w:val="4D4D4F"/>
          <w:sz w:val="12"/>
        </w:rPr>
        <w:t>Victoria.</w:t>
      </w:r>
    </w:p>
    <w:p w14:paraId="4876C3A2" w14:textId="77777777" w:rsidR="00EF5B27" w:rsidRDefault="00EF5B27">
      <w:pPr>
        <w:spacing w:line="230" w:lineRule="auto"/>
        <w:rPr>
          <w:sz w:val="12"/>
        </w:rPr>
        <w:sectPr w:rsidR="00EF5B27">
          <w:footerReference w:type="default" r:id="rId120"/>
          <w:pgSz w:w="11910" w:h="16840"/>
          <w:pgMar w:top="1080" w:right="1020" w:bottom="1600" w:left="1020" w:header="537" w:footer="1404" w:gutter="0"/>
          <w:cols w:space="720"/>
        </w:sectPr>
      </w:pPr>
    </w:p>
    <w:p w14:paraId="0F3BED47" w14:textId="77777777" w:rsidR="00EF5B27" w:rsidRDefault="00000000">
      <w:pPr>
        <w:pStyle w:val="BodyText"/>
      </w:pPr>
      <w:r>
        <w:lastRenderedPageBreak/>
        <w:pict w14:anchorId="42DA97AD">
          <v:group id="_x0000_s3505" style="position:absolute;margin-left:587.05pt;margin-top:183.4pt;width:8.25pt;height:153.1pt;z-index:251561472;mso-position-horizontal-relative:page;mso-position-vertical-relative:page" coordorigin="11741,3668" coordsize="165,3062">
            <v:shape id="_x0000_s3512" style="position:absolute;left:11741;top:3668;width:165;height:561" coordorigin="11741,3668" coordsize="165,561" path="m11906,3668r-165,l11741,4228r165,-18l11906,3668xe" fillcolor="#00aed9" stroked="f">
              <v:path arrowok="t"/>
            </v:shape>
            <v:shape id="_x0000_s3511" style="position:absolute;left:11741;top:4118;width:165;height:425" coordorigin="11741,4118" coordsize="165,425" path="m11906,4118r-165,14l11741,4531r165,12l11906,4118xe" fillcolor="#047ebc" stroked="f">
              <v:path arrowok="t"/>
            </v:shape>
            <v:shape id="_x0000_s3510" type="#_x0000_t75" style="position:absolute;left:11741;top:4355;width:165;height:587">
              <v:imagedata r:id="rId42" o:title=""/>
            </v:shape>
            <v:shape id="_x0000_s3509" style="position:absolute;left:11741;top:5343;width:165;height:536" coordorigin="11741,5343" coordsize="165,536" path="m11741,5343r,535l11906,5872r,-525l11741,5343xe" fillcolor="#f36a2e" stroked="f">
              <v:path arrowok="t"/>
            </v:shape>
            <v:shape id="_x0000_s3508" style="position:absolute;left:11741;top:4925;width:165;height:501" coordorigin="11741,4926" coordsize="165,501" path="m11741,4926r,500l11906,5426r,-485l11741,4926xe" fillcolor="#49783f" stroked="f">
              <v:path arrowok="t"/>
            </v:shape>
            <v:shape id="_x0000_s3507" style="position:absolute;left:11741;top:5781;width:165;height:268" coordorigin="11741,5782" coordsize="165,268" path="m11906,5782r-165,8l11741,6039r165,10l11906,5782xe" fillcolor="#f99f2a" stroked="f">
              <v:path arrowok="t"/>
            </v:shape>
            <v:shape id="_x0000_s3506" style="position:absolute;left:11741;top:6023;width:165;height:707" coordorigin="11741,6023" coordsize="165,707" path="m11741,6023r,706l11906,6729r,-690l11741,6023xe" fillcolor="#ef412c" stroked="f">
              <v:path arrowok="t"/>
            </v:shape>
            <w10:wrap anchorx="page" anchory="page"/>
          </v:group>
        </w:pict>
      </w:r>
    </w:p>
    <w:p w14:paraId="090A84F4" w14:textId="77777777" w:rsidR="00EF5B27" w:rsidRDefault="00EF5B27">
      <w:pPr>
        <w:pStyle w:val="BodyText"/>
      </w:pPr>
    </w:p>
    <w:p w14:paraId="739B350B" w14:textId="77777777" w:rsidR="00EF5B27" w:rsidRDefault="00EF5B27">
      <w:pPr>
        <w:pStyle w:val="BodyText"/>
      </w:pPr>
    </w:p>
    <w:p w14:paraId="244ECDE0" w14:textId="77777777" w:rsidR="00EF5B27" w:rsidRDefault="00EF5B27">
      <w:pPr>
        <w:pStyle w:val="BodyText"/>
        <w:spacing w:before="6"/>
        <w:rPr>
          <w:sz w:val="24"/>
        </w:rPr>
      </w:pPr>
    </w:p>
    <w:p w14:paraId="7E3CCCFC" w14:textId="77777777" w:rsidR="00EF5B27" w:rsidRDefault="00000000">
      <w:pPr>
        <w:pStyle w:val="Heading6"/>
        <w:spacing w:before="111"/>
      </w:pPr>
      <w:bookmarkStart w:id="35" w:name="_bookmark31"/>
      <w:bookmarkStart w:id="36" w:name="_heading=h.41mghml"/>
      <w:bookmarkEnd w:id="35"/>
      <w:bookmarkEnd w:id="36"/>
      <w:r>
        <w:rPr>
          <w:color w:val="4D4D4F"/>
        </w:rPr>
        <w:t>KPI 3: Richness of native perennial forbs</w:t>
      </w:r>
    </w:p>
    <w:p w14:paraId="7D90CBBD" w14:textId="77777777" w:rsidR="00EF5B27" w:rsidRDefault="00EF5B27">
      <w:pPr>
        <w:pStyle w:val="BodyText"/>
        <w:spacing w:before="2"/>
        <w:rPr>
          <w:b/>
          <w:sz w:val="14"/>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79A7A4A6" w14:textId="77777777">
        <w:trPr>
          <w:trHeight w:val="561"/>
        </w:trPr>
        <w:tc>
          <w:tcPr>
            <w:tcW w:w="2980" w:type="dxa"/>
            <w:shd w:val="clear" w:color="auto" w:fill="FECC91"/>
          </w:tcPr>
          <w:p w14:paraId="36E51CF4" w14:textId="77777777" w:rsidR="00EF5B27" w:rsidRDefault="00EF5B27">
            <w:pPr>
              <w:pStyle w:val="TableParagraph"/>
              <w:spacing w:before="7"/>
              <w:rPr>
                <w:b/>
                <w:sz w:val="15"/>
              </w:rPr>
            </w:pPr>
          </w:p>
          <w:p w14:paraId="0E9489E5" w14:textId="77777777" w:rsidR="00EF5B27" w:rsidRDefault="00000000">
            <w:pPr>
              <w:pStyle w:val="TableParagraph"/>
              <w:spacing w:before="1"/>
              <w:ind w:left="80"/>
              <w:rPr>
                <w:b/>
                <w:sz w:val="16"/>
              </w:rPr>
            </w:pPr>
            <w:r>
              <w:rPr>
                <w:b/>
                <w:sz w:val="16"/>
              </w:rPr>
              <w:t>KPI 3: Richness of native perennial forbs</w:t>
            </w:r>
          </w:p>
        </w:tc>
        <w:tc>
          <w:tcPr>
            <w:tcW w:w="1078" w:type="dxa"/>
            <w:shd w:val="clear" w:color="auto" w:fill="FECC91"/>
          </w:tcPr>
          <w:p w14:paraId="737AD414"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4A2704D1" w14:textId="77777777" w:rsidR="00EF5B27" w:rsidRDefault="00EF5B27">
            <w:pPr>
              <w:pStyle w:val="TableParagraph"/>
              <w:spacing w:before="7"/>
              <w:rPr>
                <w:b/>
                <w:sz w:val="15"/>
              </w:rPr>
            </w:pPr>
          </w:p>
          <w:p w14:paraId="55F0A203"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0B843000" w14:textId="77777777" w:rsidR="00EF5B27" w:rsidRDefault="00EF5B27">
            <w:pPr>
              <w:pStyle w:val="TableParagraph"/>
              <w:spacing w:before="7"/>
              <w:rPr>
                <w:b/>
                <w:sz w:val="15"/>
              </w:rPr>
            </w:pPr>
          </w:p>
          <w:p w14:paraId="69321A7B"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422EE083"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1B67D6C9"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302A5C0A" w14:textId="77777777">
        <w:trPr>
          <w:trHeight w:val="448"/>
        </w:trPr>
        <w:tc>
          <w:tcPr>
            <w:tcW w:w="2980" w:type="dxa"/>
          </w:tcPr>
          <w:p w14:paraId="2F646705" w14:textId="77777777" w:rsidR="00EF5B27" w:rsidRDefault="00EF5B27">
            <w:pPr>
              <w:pStyle w:val="TableParagraph"/>
              <w:spacing w:before="11"/>
              <w:rPr>
                <w:b/>
                <w:sz w:val="11"/>
              </w:rPr>
            </w:pPr>
          </w:p>
          <w:p w14:paraId="39D10841" w14:textId="77777777" w:rsidR="00EF5B27" w:rsidRDefault="00000000">
            <w:pPr>
              <w:pStyle w:val="TableParagraph"/>
              <w:ind w:left="80"/>
              <w:rPr>
                <w:sz w:val="14"/>
              </w:rPr>
            </w:pPr>
            <w:r>
              <w:rPr>
                <w:color w:val="4D4D4F"/>
                <w:w w:val="105"/>
                <w:sz w:val="14"/>
              </w:rPr>
              <w:t>Herb-rich grassland</w:t>
            </w:r>
          </w:p>
        </w:tc>
        <w:tc>
          <w:tcPr>
            <w:tcW w:w="1078" w:type="dxa"/>
          </w:tcPr>
          <w:p w14:paraId="23366C7F" w14:textId="77777777" w:rsidR="00EF5B27" w:rsidRDefault="00EF5B27">
            <w:pPr>
              <w:pStyle w:val="TableParagraph"/>
              <w:spacing w:before="11"/>
              <w:rPr>
                <w:b/>
                <w:sz w:val="11"/>
              </w:rPr>
            </w:pPr>
          </w:p>
          <w:p w14:paraId="79ED1787" w14:textId="77777777" w:rsidR="00EF5B27" w:rsidRDefault="00000000">
            <w:pPr>
              <w:pStyle w:val="TableParagraph"/>
              <w:ind w:left="128" w:right="124"/>
              <w:jc w:val="center"/>
              <w:rPr>
                <w:sz w:val="14"/>
              </w:rPr>
            </w:pPr>
            <w:r>
              <w:rPr>
                <w:color w:val="4D4D4F"/>
                <w:sz w:val="14"/>
              </w:rPr>
              <w:t>Met</w:t>
            </w:r>
          </w:p>
        </w:tc>
        <w:tc>
          <w:tcPr>
            <w:tcW w:w="2155" w:type="dxa"/>
          </w:tcPr>
          <w:p w14:paraId="17AC9C9E" w14:textId="77777777" w:rsidR="00EF5B27" w:rsidRDefault="00EF5B27">
            <w:pPr>
              <w:pStyle w:val="TableParagraph"/>
              <w:spacing w:before="11"/>
              <w:rPr>
                <w:b/>
                <w:sz w:val="11"/>
              </w:rPr>
            </w:pPr>
          </w:p>
          <w:p w14:paraId="54011591" w14:textId="77777777" w:rsidR="00EF5B27" w:rsidRDefault="00000000">
            <w:pPr>
              <w:pStyle w:val="TableParagraph"/>
              <w:ind w:left="139" w:right="142"/>
              <w:jc w:val="center"/>
              <w:rPr>
                <w:sz w:val="14"/>
              </w:rPr>
            </w:pPr>
            <w:r>
              <w:rPr>
                <w:color w:val="4D4D4F"/>
                <w:w w:val="105"/>
                <w:sz w:val="14"/>
              </w:rPr>
              <w:t>N/A</w:t>
            </w:r>
          </w:p>
        </w:tc>
        <w:tc>
          <w:tcPr>
            <w:tcW w:w="964" w:type="dxa"/>
          </w:tcPr>
          <w:p w14:paraId="48A5300B" w14:textId="77777777" w:rsidR="00EF5B27" w:rsidRDefault="00EF5B27">
            <w:pPr>
              <w:pStyle w:val="TableParagraph"/>
              <w:spacing w:before="8"/>
              <w:rPr>
                <w:b/>
                <w:sz w:val="8"/>
              </w:rPr>
            </w:pPr>
          </w:p>
          <w:p w14:paraId="04310412" w14:textId="77777777" w:rsidR="00EF5B27" w:rsidRDefault="00000000">
            <w:pPr>
              <w:pStyle w:val="TableParagraph"/>
              <w:spacing w:line="232" w:lineRule="exact"/>
              <w:ind w:left="427"/>
              <w:rPr>
                <w:sz w:val="20"/>
              </w:rPr>
            </w:pPr>
            <w:r>
              <w:rPr>
                <w:noProof/>
                <w:position w:val="-4"/>
                <w:sz w:val="20"/>
              </w:rPr>
              <w:drawing>
                <wp:inline distT="0" distB="0" distL="0" distR="0" wp14:anchorId="56F99C24" wp14:editId="40E7F82E">
                  <wp:extent cx="64988" cy="147637"/>
                  <wp:effectExtent l="0" t="0" r="0" b="0"/>
                  <wp:docPr id="31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46.png"/>
                          <pic:cNvPicPr/>
                        </pic:nvPicPr>
                        <pic:blipFill>
                          <a:blip r:embed="rId77" cstate="print"/>
                          <a:stretch>
                            <a:fillRect/>
                          </a:stretch>
                        </pic:blipFill>
                        <pic:spPr>
                          <a:xfrm>
                            <a:off x="0" y="0"/>
                            <a:ext cx="64988" cy="147637"/>
                          </a:xfrm>
                          <a:prstGeom prst="rect">
                            <a:avLst/>
                          </a:prstGeom>
                        </pic:spPr>
                      </pic:pic>
                    </a:graphicData>
                  </a:graphic>
                </wp:inline>
              </w:drawing>
            </w:r>
          </w:p>
        </w:tc>
        <w:tc>
          <w:tcPr>
            <w:tcW w:w="964" w:type="dxa"/>
          </w:tcPr>
          <w:p w14:paraId="6775D37E" w14:textId="77777777" w:rsidR="00EF5B27" w:rsidRDefault="00EF5B27">
            <w:pPr>
              <w:pStyle w:val="TableParagraph"/>
              <w:spacing w:before="11"/>
              <w:rPr>
                <w:b/>
                <w:sz w:val="11"/>
              </w:rPr>
            </w:pPr>
          </w:p>
          <w:p w14:paraId="2E3F8861" w14:textId="77777777" w:rsidR="00EF5B27" w:rsidRDefault="00000000">
            <w:pPr>
              <w:pStyle w:val="TableParagraph"/>
              <w:ind w:left="344"/>
              <w:rPr>
                <w:sz w:val="14"/>
              </w:rPr>
            </w:pPr>
            <w:r>
              <w:rPr>
                <w:color w:val="4D4D4F"/>
                <w:w w:val="105"/>
                <w:sz w:val="14"/>
              </w:rPr>
              <w:t>High</w:t>
            </w:r>
          </w:p>
        </w:tc>
        <w:tc>
          <w:tcPr>
            <w:tcW w:w="1489" w:type="dxa"/>
          </w:tcPr>
          <w:p w14:paraId="565FB187" w14:textId="77777777" w:rsidR="00EF5B27" w:rsidRDefault="00000000">
            <w:pPr>
              <w:pStyle w:val="TableParagraph"/>
              <w:spacing w:before="134"/>
              <w:ind w:left="451" w:right="457"/>
              <w:jc w:val="center"/>
              <w:rPr>
                <w:sz w:val="16"/>
              </w:rPr>
            </w:pPr>
            <w:r>
              <w:rPr>
                <w:color w:val="4D4D4F"/>
                <w:sz w:val="16"/>
              </w:rPr>
              <w:t>2017</w:t>
            </w:r>
          </w:p>
        </w:tc>
      </w:tr>
      <w:tr w:rsidR="00EF5B27" w14:paraId="428DC4C5" w14:textId="77777777">
        <w:trPr>
          <w:trHeight w:val="448"/>
        </w:trPr>
        <w:tc>
          <w:tcPr>
            <w:tcW w:w="2980" w:type="dxa"/>
          </w:tcPr>
          <w:p w14:paraId="6419B6DC" w14:textId="77777777" w:rsidR="00EF5B27" w:rsidRDefault="00EF5B27">
            <w:pPr>
              <w:pStyle w:val="TableParagraph"/>
              <w:spacing w:before="1"/>
              <w:rPr>
                <w:b/>
                <w:sz w:val="12"/>
              </w:rPr>
            </w:pPr>
          </w:p>
          <w:p w14:paraId="4988FDD9" w14:textId="77777777" w:rsidR="00EF5B27" w:rsidRDefault="00000000">
            <w:pPr>
              <w:pStyle w:val="TableParagraph"/>
              <w:ind w:left="80"/>
              <w:rPr>
                <w:rFonts w:ascii="Arial Narrow"/>
                <w:i/>
                <w:sz w:val="14"/>
              </w:rPr>
            </w:pPr>
            <w:r>
              <w:rPr>
                <w:rFonts w:ascii="Arial Narrow"/>
                <w:i/>
                <w:color w:val="4D4D4F"/>
                <w:w w:val="115"/>
                <w:sz w:val="14"/>
              </w:rPr>
              <w:t>Themeda grassland</w:t>
            </w:r>
          </w:p>
        </w:tc>
        <w:tc>
          <w:tcPr>
            <w:tcW w:w="1078" w:type="dxa"/>
          </w:tcPr>
          <w:p w14:paraId="277F4533" w14:textId="77777777" w:rsidR="00EF5B27" w:rsidRDefault="00EF5B27">
            <w:pPr>
              <w:pStyle w:val="TableParagraph"/>
              <w:spacing w:before="11"/>
              <w:rPr>
                <w:b/>
                <w:sz w:val="11"/>
              </w:rPr>
            </w:pPr>
          </w:p>
          <w:p w14:paraId="588E876C" w14:textId="77777777" w:rsidR="00EF5B27" w:rsidRDefault="00000000">
            <w:pPr>
              <w:pStyle w:val="TableParagraph"/>
              <w:ind w:left="128" w:right="124"/>
              <w:jc w:val="center"/>
              <w:rPr>
                <w:sz w:val="14"/>
              </w:rPr>
            </w:pPr>
            <w:r>
              <w:rPr>
                <w:color w:val="4D4D4F"/>
                <w:sz w:val="14"/>
              </w:rPr>
              <w:t>Met</w:t>
            </w:r>
          </w:p>
        </w:tc>
        <w:tc>
          <w:tcPr>
            <w:tcW w:w="2155" w:type="dxa"/>
          </w:tcPr>
          <w:p w14:paraId="6EEE2887" w14:textId="77777777" w:rsidR="00EF5B27" w:rsidRDefault="00EF5B27">
            <w:pPr>
              <w:pStyle w:val="TableParagraph"/>
              <w:spacing w:before="11"/>
              <w:rPr>
                <w:b/>
                <w:sz w:val="11"/>
              </w:rPr>
            </w:pPr>
          </w:p>
          <w:p w14:paraId="4195AB45" w14:textId="77777777" w:rsidR="00EF5B27" w:rsidRDefault="00000000">
            <w:pPr>
              <w:pStyle w:val="TableParagraph"/>
              <w:ind w:left="139" w:right="142"/>
              <w:jc w:val="center"/>
              <w:rPr>
                <w:sz w:val="14"/>
              </w:rPr>
            </w:pPr>
            <w:r>
              <w:rPr>
                <w:color w:val="4D4D4F"/>
                <w:w w:val="105"/>
                <w:sz w:val="14"/>
              </w:rPr>
              <w:t>N/A</w:t>
            </w:r>
          </w:p>
        </w:tc>
        <w:tc>
          <w:tcPr>
            <w:tcW w:w="964" w:type="dxa"/>
          </w:tcPr>
          <w:p w14:paraId="25D84305" w14:textId="77777777" w:rsidR="00EF5B27" w:rsidRDefault="00EF5B27">
            <w:pPr>
              <w:pStyle w:val="TableParagraph"/>
              <w:spacing w:before="8"/>
              <w:rPr>
                <w:b/>
                <w:sz w:val="8"/>
              </w:rPr>
            </w:pPr>
          </w:p>
          <w:p w14:paraId="748FDF32" w14:textId="77777777" w:rsidR="00EF5B27" w:rsidRDefault="00000000">
            <w:pPr>
              <w:pStyle w:val="TableParagraph"/>
              <w:spacing w:line="232" w:lineRule="exact"/>
              <w:ind w:left="427"/>
              <w:rPr>
                <w:sz w:val="20"/>
              </w:rPr>
            </w:pPr>
            <w:r>
              <w:rPr>
                <w:noProof/>
                <w:position w:val="-4"/>
                <w:sz w:val="20"/>
              </w:rPr>
              <w:drawing>
                <wp:inline distT="0" distB="0" distL="0" distR="0" wp14:anchorId="1E28D428" wp14:editId="1F5FB509">
                  <wp:extent cx="64988" cy="147637"/>
                  <wp:effectExtent l="0" t="0" r="0" b="0"/>
                  <wp:docPr id="31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46.png"/>
                          <pic:cNvPicPr/>
                        </pic:nvPicPr>
                        <pic:blipFill>
                          <a:blip r:embed="rId77" cstate="print"/>
                          <a:stretch>
                            <a:fillRect/>
                          </a:stretch>
                        </pic:blipFill>
                        <pic:spPr>
                          <a:xfrm>
                            <a:off x="0" y="0"/>
                            <a:ext cx="64988" cy="147637"/>
                          </a:xfrm>
                          <a:prstGeom prst="rect">
                            <a:avLst/>
                          </a:prstGeom>
                        </pic:spPr>
                      </pic:pic>
                    </a:graphicData>
                  </a:graphic>
                </wp:inline>
              </w:drawing>
            </w:r>
          </w:p>
        </w:tc>
        <w:tc>
          <w:tcPr>
            <w:tcW w:w="964" w:type="dxa"/>
          </w:tcPr>
          <w:p w14:paraId="4E726CD6" w14:textId="77777777" w:rsidR="00EF5B27" w:rsidRDefault="00EF5B27">
            <w:pPr>
              <w:pStyle w:val="TableParagraph"/>
              <w:spacing w:before="11"/>
              <w:rPr>
                <w:b/>
                <w:sz w:val="11"/>
              </w:rPr>
            </w:pPr>
          </w:p>
          <w:p w14:paraId="16C62855" w14:textId="77777777" w:rsidR="00EF5B27" w:rsidRDefault="00000000">
            <w:pPr>
              <w:pStyle w:val="TableParagraph"/>
              <w:ind w:left="344"/>
              <w:rPr>
                <w:sz w:val="14"/>
              </w:rPr>
            </w:pPr>
            <w:r>
              <w:rPr>
                <w:color w:val="4D4D4F"/>
                <w:w w:val="105"/>
                <w:sz w:val="14"/>
              </w:rPr>
              <w:t>High</w:t>
            </w:r>
          </w:p>
        </w:tc>
        <w:tc>
          <w:tcPr>
            <w:tcW w:w="1489" w:type="dxa"/>
          </w:tcPr>
          <w:p w14:paraId="4B060F82" w14:textId="77777777" w:rsidR="00EF5B27" w:rsidRDefault="00000000">
            <w:pPr>
              <w:pStyle w:val="TableParagraph"/>
              <w:spacing w:before="134"/>
              <w:ind w:left="453" w:right="457"/>
              <w:jc w:val="center"/>
              <w:rPr>
                <w:sz w:val="16"/>
              </w:rPr>
            </w:pPr>
            <w:r>
              <w:rPr>
                <w:color w:val="4D4D4F"/>
                <w:sz w:val="16"/>
              </w:rPr>
              <w:t>2018</w:t>
            </w:r>
          </w:p>
        </w:tc>
      </w:tr>
      <w:tr w:rsidR="00EF5B27" w14:paraId="0D808B36" w14:textId="77777777">
        <w:trPr>
          <w:trHeight w:val="448"/>
        </w:trPr>
        <w:tc>
          <w:tcPr>
            <w:tcW w:w="2980" w:type="dxa"/>
          </w:tcPr>
          <w:p w14:paraId="53C28B89" w14:textId="77777777" w:rsidR="00EF5B27" w:rsidRDefault="00EF5B27">
            <w:pPr>
              <w:pStyle w:val="TableParagraph"/>
              <w:spacing w:before="11"/>
              <w:rPr>
                <w:b/>
                <w:sz w:val="11"/>
              </w:rPr>
            </w:pPr>
          </w:p>
          <w:p w14:paraId="696FFC08" w14:textId="77777777" w:rsidR="00EF5B27" w:rsidRDefault="00000000">
            <w:pPr>
              <w:pStyle w:val="TableParagraph"/>
              <w:ind w:left="80"/>
              <w:rPr>
                <w:sz w:val="14"/>
              </w:rPr>
            </w:pPr>
            <w:r>
              <w:rPr>
                <w:color w:val="4D4D4F"/>
                <w:w w:val="105"/>
                <w:sz w:val="14"/>
              </w:rPr>
              <w:t>C3 grassland</w:t>
            </w:r>
          </w:p>
        </w:tc>
        <w:tc>
          <w:tcPr>
            <w:tcW w:w="1078" w:type="dxa"/>
          </w:tcPr>
          <w:p w14:paraId="0824A304" w14:textId="77777777" w:rsidR="00EF5B27" w:rsidRDefault="00EF5B27">
            <w:pPr>
              <w:pStyle w:val="TableParagraph"/>
              <w:spacing w:before="11"/>
              <w:rPr>
                <w:b/>
                <w:sz w:val="11"/>
              </w:rPr>
            </w:pPr>
          </w:p>
          <w:p w14:paraId="008E7758"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748528DB" w14:textId="77777777" w:rsidR="00EF5B27" w:rsidRDefault="00EF5B27">
            <w:pPr>
              <w:pStyle w:val="TableParagraph"/>
              <w:spacing w:before="11"/>
              <w:rPr>
                <w:b/>
                <w:sz w:val="11"/>
              </w:rPr>
            </w:pPr>
          </w:p>
          <w:p w14:paraId="337D5B1D" w14:textId="77777777" w:rsidR="00EF5B27" w:rsidRDefault="00000000">
            <w:pPr>
              <w:pStyle w:val="TableParagraph"/>
              <w:ind w:left="143" w:right="142"/>
              <w:jc w:val="center"/>
              <w:rPr>
                <w:sz w:val="14"/>
              </w:rPr>
            </w:pPr>
            <w:r>
              <w:rPr>
                <w:color w:val="4D4D4F"/>
                <w:sz w:val="14"/>
              </w:rPr>
              <w:t>Baseline not yet set</w:t>
            </w:r>
          </w:p>
        </w:tc>
        <w:tc>
          <w:tcPr>
            <w:tcW w:w="964" w:type="dxa"/>
          </w:tcPr>
          <w:p w14:paraId="6B1D28CC" w14:textId="77777777" w:rsidR="00EF5B27" w:rsidRDefault="00EF5B27">
            <w:pPr>
              <w:pStyle w:val="TableParagraph"/>
              <w:spacing w:before="4"/>
              <w:rPr>
                <w:b/>
                <w:sz w:val="7"/>
              </w:rPr>
            </w:pPr>
          </w:p>
          <w:p w14:paraId="58B2FBF7" w14:textId="77777777" w:rsidR="00EF5B27" w:rsidRDefault="00000000">
            <w:pPr>
              <w:pStyle w:val="TableParagraph"/>
              <w:spacing w:line="187" w:lineRule="exact"/>
              <w:ind w:left="400"/>
              <w:rPr>
                <w:sz w:val="18"/>
              </w:rPr>
            </w:pPr>
            <w:r>
              <w:rPr>
                <w:noProof/>
                <w:position w:val="-3"/>
                <w:sz w:val="18"/>
              </w:rPr>
              <w:drawing>
                <wp:inline distT="0" distB="0" distL="0" distR="0" wp14:anchorId="35B0DE15" wp14:editId="5D448DDD">
                  <wp:extent cx="100572" cy="119062"/>
                  <wp:effectExtent l="0" t="0" r="0" b="0"/>
                  <wp:docPr id="321"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24.png"/>
                          <pic:cNvPicPr/>
                        </pic:nvPicPr>
                        <pic:blipFill>
                          <a:blip r:embed="rId76" cstate="print"/>
                          <a:stretch>
                            <a:fillRect/>
                          </a:stretch>
                        </pic:blipFill>
                        <pic:spPr>
                          <a:xfrm>
                            <a:off x="0" y="0"/>
                            <a:ext cx="100572" cy="119062"/>
                          </a:xfrm>
                          <a:prstGeom prst="rect">
                            <a:avLst/>
                          </a:prstGeom>
                        </pic:spPr>
                      </pic:pic>
                    </a:graphicData>
                  </a:graphic>
                </wp:inline>
              </w:drawing>
            </w:r>
          </w:p>
          <w:p w14:paraId="65791542" w14:textId="77777777" w:rsidR="00EF5B27" w:rsidRDefault="00EF5B27">
            <w:pPr>
              <w:pStyle w:val="TableParagraph"/>
              <w:spacing w:before="8"/>
              <w:rPr>
                <w:b/>
                <w:sz w:val="2"/>
              </w:rPr>
            </w:pPr>
          </w:p>
          <w:p w14:paraId="71317FB5" w14:textId="77777777" w:rsidR="00EF5B27" w:rsidRDefault="00000000">
            <w:pPr>
              <w:pStyle w:val="TableParagraph"/>
              <w:spacing w:line="48" w:lineRule="exact"/>
              <w:ind w:left="448"/>
              <w:rPr>
                <w:sz w:val="4"/>
              </w:rPr>
            </w:pPr>
            <w:r>
              <w:rPr>
                <w:sz w:val="4"/>
              </w:rPr>
            </w:r>
            <w:r>
              <w:rPr>
                <w:sz w:val="4"/>
              </w:rPr>
              <w:pict w14:anchorId="5AC7C488">
                <v:group id="_x0000_s3503" style="width:2.45pt;height:2.45pt;mso-position-horizontal-relative:char;mso-position-vertical-relative:line" coordsize="49,49">
                  <v:shape id="_x0000_s3504" style="position:absolute;width:49;height:49" coordsize="49,49" path="m31,l18,,12,2,2,12,,17,,31r2,6l12,46r6,3l31,49r6,-3l46,37r3,-6l49,17,46,12,37,2,31,xe" fillcolor="#808285" stroked="f">
                    <v:path arrowok="t"/>
                  </v:shape>
                  <w10:wrap type="none"/>
                  <w10:anchorlock/>
                </v:group>
              </w:pict>
            </w:r>
          </w:p>
        </w:tc>
        <w:tc>
          <w:tcPr>
            <w:tcW w:w="964" w:type="dxa"/>
          </w:tcPr>
          <w:p w14:paraId="12FD30D4" w14:textId="77777777" w:rsidR="00EF5B27" w:rsidRDefault="00EF5B27">
            <w:pPr>
              <w:pStyle w:val="TableParagraph"/>
              <w:spacing w:before="11"/>
              <w:rPr>
                <w:b/>
                <w:sz w:val="11"/>
              </w:rPr>
            </w:pPr>
          </w:p>
          <w:p w14:paraId="1646E20D" w14:textId="77777777" w:rsidR="00EF5B27" w:rsidRDefault="00000000">
            <w:pPr>
              <w:pStyle w:val="TableParagraph"/>
              <w:ind w:left="368"/>
              <w:rPr>
                <w:sz w:val="14"/>
              </w:rPr>
            </w:pPr>
            <w:r>
              <w:rPr>
                <w:color w:val="4D4D4F"/>
                <w:w w:val="105"/>
                <w:sz w:val="14"/>
              </w:rPr>
              <w:t>N/A</w:t>
            </w:r>
          </w:p>
        </w:tc>
        <w:tc>
          <w:tcPr>
            <w:tcW w:w="1489" w:type="dxa"/>
          </w:tcPr>
          <w:p w14:paraId="385AC691" w14:textId="77777777" w:rsidR="00EF5B27" w:rsidRDefault="00000000">
            <w:pPr>
              <w:pStyle w:val="TableParagraph"/>
              <w:spacing w:before="134"/>
              <w:ind w:left="457" w:right="457"/>
              <w:jc w:val="center"/>
              <w:rPr>
                <w:sz w:val="16"/>
              </w:rPr>
            </w:pPr>
            <w:r>
              <w:rPr>
                <w:color w:val="4D4D4F"/>
                <w:sz w:val="16"/>
              </w:rPr>
              <w:t>2022</w:t>
            </w:r>
          </w:p>
        </w:tc>
      </w:tr>
      <w:tr w:rsidR="00EF5B27" w14:paraId="371260A9" w14:textId="77777777">
        <w:trPr>
          <w:trHeight w:val="448"/>
        </w:trPr>
        <w:tc>
          <w:tcPr>
            <w:tcW w:w="2980" w:type="dxa"/>
          </w:tcPr>
          <w:p w14:paraId="176944A0" w14:textId="77777777" w:rsidR="00EF5B27" w:rsidRDefault="00EF5B27">
            <w:pPr>
              <w:pStyle w:val="TableParagraph"/>
              <w:spacing w:before="11"/>
              <w:rPr>
                <w:b/>
                <w:sz w:val="11"/>
              </w:rPr>
            </w:pPr>
          </w:p>
          <w:p w14:paraId="3C7A75D5" w14:textId="77777777" w:rsidR="00EF5B27" w:rsidRDefault="00000000">
            <w:pPr>
              <w:pStyle w:val="TableParagraph"/>
              <w:ind w:left="80"/>
              <w:rPr>
                <w:sz w:val="14"/>
              </w:rPr>
            </w:pPr>
            <w:r>
              <w:rPr>
                <w:color w:val="4D4D4F"/>
                <w:w w:val="105"/>
                <w:sz w:val="14"/>
              </w:rPr>
              <w:t>Nutrient-enriched grassland</w:t>
            </w:r>
          </w:p>
        </w:tc>
        <w:tc>
          <w:tcPr>
            <w:tcW w:w="1078" w:type="dxa"/>
          </w:tcPr>
          <w:p w14:paraId="41073FB3" w14:textId="77777777" w:rsidR="00EF5B27" w:rsidRDefault="00EF5B27">
            <w:pPr>
              <w:pStyle w:val="TableParagraph"/>
              <w:spacing w:before="11"/>
              <w:rPr>
                <w:b/>
                <w:sz w:val="11"/>
              </w:rPr>
            </w:pPr>
          </w:p>
          <w:p w14:paraId="4E238F44" w14:textId="77777777" w:rsidR="00EF5B27" w:rsidRDefault="00000000">
            <w:pPr>
              <w:pStyle w:val="TableParagraph"/>
              <w:ind w:left="128" w:right="124"/>
              <w:jc w:val="center"/>
              <w:rPr>
                <w:sz w:val="14"/>
              </w:rPr>
            </w:pPr>
            <w:r>
              <w:rPr>
                <w:color w:val="4D4D4F"/>
                <w:sz w:val="14"/>
              </w:rPr>
              <w:t>Met</w:t>
            </w:r>
          </w:p>
        </w:tc>
        <w:tc>
          <w:tcPr>
            <w:tcW w:w="2155" w:type="dxa"/>
          </w:tcPr>
          <w:p w14:paraId="453C0A5B" w14:textId="77777777" w:rsidR="00EF5B27" w:rsidRDefault="00EF5B27">
            <w:pPr>
              <w:pStyle w:val="TableParagraph"/>
              <w:spacing w:before="11"/>
              <w:rPr>
                <w:b/>
                <w:sz w:val="11"/>
              </w:rPr>
            </w:pPr>
          </w:p>
          <w:p w14:paraId="2B66190E" w14:textId="77777777" w:rsidR="00EF5B27" w:rsidRDefault="00000000">
            <w:pPr>
              <w:pStyle w:val="TableParagraph"/>
              <w:ind w:left="139" w:right="142"/>
              <w:jc w:val="center"/>
              <w:rPr>
                <w:sz w:val="14"/>
              </w:rPr>
            </w:pPr>
            <w:r>
              <w:rPr>
                <w:color w:val="4D4D4F"/>
                <w:w w:val="105"/>
                <w:sz w:val="14"/>
              </w:rPr>
              <w:t>N/A</w:t>
            </w:r>
          </w:p>
        </w:tc>
        <w:tc>
          <w:tcPr>
            <w:tcW w:w="964" w:type="dxa"/>
          </w:tcPr>
          <w:p w14:paraId="06DBF951" w14:textId="77777777" w:rsidR="00EF5B27" w:rsidRDefault="00EF5B27">
            <w:pPr>
              <w:pStyle w:val="TableParagraph"/>
              <w:spacing w:before="8"/>
              <w:rPr>
                <w:b/>
                <w:sz w:val="8"/>
              </w:rPr>
            </w:pPr>
          </w:p>
          <w:p w14:paraId="3FF859FD" w14:textId="77777777" w:rsidR="00EF5B27" w:rsidRDefault="00000000">
            <w:pPr>
              <w:pStyle w:val="TableParagraph"/>
              <w:spacing w:line="232" w:lineRule="exact"/>
              <w:ind w:left="427"/>
              <w:rPr>
                <w:sz w:val="20"/>
              </w:rPr>
            </w:pPr>
            <w:r>
              <w:rPr>
                <w:noProof/>
                <w:position w:val="-4"/>
                <w:sz w:val="20"/>
              </w:rPr>
              <w:drawing>
                <wp:inline distT="0" distB="0" distL="0" distR="0" wp14:anchorId="3CCB8713" wp14:editId="6709AC6E">
                  <wp:extent cx="64988" cy="147637"/>
                  <wp:effectExtent l="0" t="0" r="0" b="0"/>
                  <wp:docPr id="32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46.png"/>
                          <pic:cNvPicPr/>
                        </pic:nvPicPr>
                        <pic:blipFill>
                          <a:blip r:embed="rId77" cstate="print"/>
                          <a:stretch>
                            <a:fillRect/>
                          </a:stretch>
                        </pic:blipFill>
                        <pic:spPr>
                          <a:xfrm>
                            <a:off x="0" y="0"/>
                            <a:ext cx="64988" cy="147637"/>
                          </a:xfrm>
                          <a:prstGeom prst="rect">
                            <a:avLst/>
                          </a:prstGeom>
                        </pic:spPr>
                      </pic:pic>
                    </a:graphicData>
                  </a:graphic>
                </wp:inline>
              </w:drawing>
            </w:r>
          </w:p>
        </w:tc>
        <w:tc>
          <w:tcPr>
            <w:tcW w:w="964" w:type="dxa"/>
          </w:tcPr>
          <w:p w14:paraId="35A11647" w14:textId="77777777" w:rsidR="00EF5B27" w:rsidRDefault="00EF5B27">
            <w:pPr>
              <w:pStyle w:val="TableParagraph"/>
              <w:spacing w:before="11"/>
              <w:rPr>
                <w:b/>
                <w:sz w:val="11"/>
              </w:rPr>
            </w:pPr>
          </w:p>
          <w:p w14:paraId="7FE073B0" w14:textId="77777777" w:rsidR="00EF5B27" w:rsidRDefault="00000000">
            <w:pPr>
              <w:pStyle w:val="TableParagraph"/>
              <w:ind w:left="344"/>
              <w:rPr>
                <w:sz w:val="14"/>
              </w:rPr>
            </w:pPr>
            <w:r>
              <w:rPr>
                <w:color w:val="4D4D4F"/>
                <w:w w:val="105"/>
                <w:sz w:val="14"/>
              </w:rPr>
              <w:t>High</w:t>
            </w:r>
          </w:p>
        </w:tc>
        <w:tc>
          <w:tcPr>
            <w:tcW w:w="1489" w:type="dxa"/>
          </w:tcPr>
          <w:p w14:paraId="60C3153B" w14:textId="77777777" w:rsidR="00EF5B27" w:rsidRDefault="00000000">
            <w:pPr>
              <w:pStyle w:val="TableParagraph"/>
              <w:spacing w:before="134"/>
              <w:ind w:left="451" w:right="457"/>
              <w:jc w:val="center"/>
              <w:rPr>
                <w:sz w:val="16"/>
              </w:rPr>
            </w:pPr>
            <w:r>
              <w:rPr>
                <w:color w:val="4D4D4F"/>
                <w:sz w:val="16"/>
              </w:rPr>
              <w:t>2017</w:t>
            </w:r>
          </w:p>
        </w:tc>
      </w:tr>
      <w:tr w:rsidR="00EF5B27" w14:paraId="6187D128" w14:textId="77777777">
        <w:trPr>
          <w:trHeight w:val="448"/>
        </w:trPr>
        <w:tc>
          <w:tcPr>
            <w:tcW w:w="2980" w:type="dxa"/>
          </w:tcPr>
          <w:p w14:paraId="57130045" w14:textId="77777777" w:rsidR="00EF5B27" w:rsidRDefault="00EF5B27">
            <w:pPr>
              <w:pStyle w:val="TableParagraph"/>
              <w:spacing w:before="11"/>
              <w:rPr>
                <w:b/>
                <w:sz w:val="11"/>
              </w:rPr>
            </w:pPr>
          </w:p>
          <w:p w14:paraId="0EFE3ED8" w14:textId="77777777" w:rsidR="00EF5B27" w:rsidRDefault="00000000">
            <w:pPr>
              <w:pStyle w:val="TableParagraph"/>
              <w:ind w:left="80"/>
              <w:rPr>
                <w:sz w:val="14"/>
              </w:rPr>
            </w:pPr>
            <w:r>
              <w:rPr>
                <w:color w:val="4D4D4F"/>
                <w:w w:val="105"/>
                <w:sz w:val="14"/>
              </w:rPr>
              <w:t>De-rocked grassland</w:t>
            </w:r>
          </w:p>
        </w:tc>
        <w:tc>
          <w:tcPr>
            <w:tcW w:w="1078" w:type="dxa"/>
          </w:tcPr>
          <w:p w14:paraId="4ABDADE6" w14:textId="77777777" w:rsidR="00EF5B27" w:rsidRDefault="00EF5B27">
            <w:pPr>
              <w:pStyle w:val="TableParagraph"/>
              <w:spacing w:before="11"/>
              <w:rPr>
                <w:b/>
                <w:sz w:val="11"/>
              </w:rPr>
            </w:pPr>
          </w:p>
          <w:p w14:paraId="69C52AB1"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4C03B5D8" w14:textId="77777777" w:rsidR="00EF5B27" w:rsidRDefault="00EF5B27">
            <w:pPr>
              <w:pStyle w:val="TableParagraph"/>
              <w:spacing w:before="11"/>
              <w:rPr>
                <w:b/>
                <w:sz w:val="11"/>
              </w:rPr>
            </w:pPr>
          </w:p>
          <w:p w14:paraId="45640EBD" w14:textId="77777777" w:rsidR="00EF5B27" w:rsidRDefault="00000000">
            <w:pPr>
              <w:pStyle w:val="TableParagraph"/>
              <w:ind w:left="143" w:right="142"/>
              <w:jc w:val="center"/>
              <w:rPr>
                <w:sz w:val="14"/>
              </w:rPr>
            </w:pPr>
            <w:r>
              <w:rPr>
                <w:color w:val="4D4D4F"/>
                <w:sz w:val="14"/>
              </w:rPr>
              <w:t>Baseline not yet set</w:t>
            </w:r>
          </w:p>
        </w:tc>
        <w:tc>
          <w:tcPr>
            <w:tcW w:w="964" w:type="dxa"/>
          </w:tcPr>
          <w:p w14:paraId="2A963863" w14:textId="77777777" w:rsidR="00EF5B27" w:rsidRDefault="00EF5B27">
            <w:pPr>
              <w:pStyle w:val="TableParagraph"/>
              <w:spacing w:before="4"/>
              <w:rPr>
                <w:b/>
                <w:sz w:val="7"/>
              </w:rPr>
            </w:pPr>
          </w:p>
          <w:p w14:paraId="5FFDEBA1" w14:textId="77777777" w:rsidR="00EF5B27" w:rsidRDefault="00000000">
            <w:pPr>
              <w:pStyle w:val="TableParagraph"/>
              <w:spacing w:line="187" w:lineRule="exact"/>
              <w:ind w:left="400"/>
              <w:rPr>
                <w:sz w:val="18"/>
              </w:rPr>
            </w:pPr>
            <w:r>
              <w:rPr>
                <w:noProof/>
                <w:position w:val="-3"/>
                <w:sz w:val="18"/>
              </w:rPr>
              <w:drawing>
                <wp:inline distT="0" distB="0" distL="0" distR="0" wp14:anchorId="7928F191" wp14:editId="32C84050">
                  <wp:extent cx="100572" cy="119062"/>
                  <wp:effectExtent l="0" t="0" r="0" b="0"/>
                  <wp:docPr id="32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25.png"/>
                          <pic:cNvPicPr/>
                        </pic:nvPicPr>
                        <pic:blipFill>
                          <a:blip r:embed="rId121" cstate="print"/>
                          <a:stretch>
                            <a:fillRect/>
                          </a:stretch>
                        </pic:blipFill>
                        <pic:spPr>
                          <a:xfrm>
                            <a:off x="0" y="0"/>
                            <a:ext cx="100572" cy="119062"/>
                          </a:xfrm>
                          <a:prstGeom prst="rect">
                            <a:avLst/>
                          </a:prstGeom>
                        </pic:spPr>
                      </pic:pic>
                    </a:graphicData>
                  </a:graphic>
                </wp:inline>
              </w:drawing>
            </w:r>
          </w:p>
          <w:p w14:paraId="2B456C23" w14:textId="77777777" w:rsidR="00EF5B27" w:rsidRDefault="00EF5B27">
            <w:pPr>
              <w:pStyle w:val="TableParagraph"/>
              <w:spacing w:before="8"/>
              <w:rPr>
                <w:b/>
                <w:sz w:val="2"/>
              </w:rPr>
            </w:pPr>
          </w:p>
          <w:p w14:paraId="21523CBB" w14:textId="77777777" w:rsidR="00EF5B27" w:rsidRDefault="00000000">
            <w:pPr>
              <w:pStyle w:val="TableParagraph"/>
              <w:spacing w:line="48" w:lineRule="exact"/>
              <w:ind w:left="448"/>
              <w:rPr>
                <w:sz w:val="4"/>
              </w:rPr>
            </w:pPr>
            <w:r>
              <w:rPr>
                <w:sz w:val="4"/>
              </w:rPr>
            </w:r>
            <w:r>
              <w:rPr>
                <w:sz w:val="4"/>
              </w:rPr>
              <w:pict w14:anchorId="16431252">
                <v:group id="_x0000_s3501" style="width:2.45pt;height:2.45pt;mso-position-horizontal-relative:char;mso-position-vertical-relative:line" coordsize="49,49">
                  <v:shape id="_x0000_s3502" style="position:absolute;width:49;height:49" coordsize="49,49" path="m31,l18,,12,2,2,12,,17,,31r2,6l12,46r6,3l31,49r6,-3l46,37r3,-6l49,17,46,12,37,2,31,xe" fillcolor="#808285" stroked="f">
                    <v:path arrowok="t"/>
                  </v:shape>
                  <w10:wrap type="none"/>
                  <w10:anchorlock/>
                </v:group>
              </w:pict>
            </w:r>
          </w:p>
        </w:tc>
        <w:tc>
          <w:tcPr>
            <w:tcW w:w="964" w:type="dxa"/>
          </w:tcPr>
          <w:p w14:paraId="6AF08662" w14:textId="77777777" w:rsidR="00EF5B27" w:rsidRDefault="00EF5B27">
            <w:pPr>
              <w:pStyle w:val="TableParagraph"/>
              <w:spacing w:before="11"/>
              <w:rPr>
                <w:b/>
                <w:sz w:val="11"/>
              </w:rPr>
            </w:pPr>
          </w:p>
          <w:p w14:paraId="28603D23" w14:textId="77777777" w:rsidR="00EF5B27" w:rsidRDefault="00000000">
            <w:pPr>
              <w:pStyle w:val="TableParagraph"/>
              <w:ind w:left="368"/>
              <w:rPr>
                <w:sz w:val="14"/>
              </w:rPr>
            </w:pPr>
            <w:r>
              <w:rPr>
                <w:color w:val="4D4D4F"/>
                <w:w w:val="105"/>
                <w:sz w:val="14"/>
              </w:rPr>
              <w:t>N/A</w:t>
            </w:r>
          </w:p>
        </w:tc>
        <w:tc>
          <w:tcPr>
            <w:tcW w:w="1489" w:type="dxa"/>
          </w:tcPr>
          <w:p w14:paraId="0F1631F9" w14:textId="77777777" w:rsidR="00EF5B27" w:rsidRDefault="00000000">
            <w:pPr>
              <w:pStyle w:val="TableParagraph"/>
              <w:spacing w:before="134"/>
              <w:ind w:left="457" w:right="457"/>
              <w:jc w:val="center"/>
              <w:rPr>
                <w:sz w:val="16"/>
              </w:rPr>
            </w:pPr>
            <w:r>
              <w:rPr>
                <w:color w:val="4D4D4F"/>
                <w:w w:val="105"/>
                <w:sz w:val="16"/>
              </w:rPr>
              <w:t>Unclear</w:t>
            </w:r>
          </w:p>
        </w:tc>
      </w:tr>
    </w:tbl>
    <w:p w14:paraId="326FD21C" w14:textId="77777777" w:rsidR="00EF5B27" w:rsidRDefault="00EF5B27">
      <w:pPr>
        <w:pStyle w:val="BodyText"/>
        <w:spacing w:before="3"/>
        <w:rPr>
          <w:b/>
          <w:sz w:val="34"/>
        </w:rPr>
      </w:pPr>
    </w:p>
    <w:p w14:paraId="06DC4934" w14:textId="77777777" w:rsidR="00EF5B27" w:rsidRDefault="00000000">
      <w:pPr>
        <w:pStyle w:val="BodyText"/>
        <w:spacing w:line="256" w:lineRule="auto"/>
        <w:ind w:left="2608" w:right="295"/>
        <w:rPr>
          <w:sz w:val="11"/>
        </w:rPr>
      </w:pPr>
      <w:r>
        <w:rPr>
          <w:color w:val="4D4D4F"/>
        </w:rPr>
        <w:t xml:space="preserve">This KPI measures the richness of the native perennial forb component (explicitly at the scale of the </w:t>
      </w:r>
      <w:r>
        <w:rPr>
          <w:color w:val="4D4D4F"/>
          <w:spacing w:val="2"/>
        </w:rPr>
        <w:t xml:space="preserve">400 </w:t>
      </w:r>
      <w:r>
        <w:rPr>
          <w:color w:val="4D4D4F"/>
        </w:rPr>
        <w:t>m</w:t>
      </w:r>
      <w:r>
        <w:rPr>
          <w:color w:val="4D4D4F"/>
          <w:position w:val="7"/>
          <w:sz w:val="11"/>
        </w:rPr>
        <w:t xml:space="preserve">2 </w:t>
      </w:r>
      <w:r>
        <w:rPr>
          <w:color w:val="4D4D4F"/>
        </w:rPr>
        <w:t xml:space="preserve">plot). The point intercept plots (permanent and re-allocated) provide an estimate of the richness of native perennial herbs per plot, in each state,   in each </w:t>
      </w:r>
      <w:r>
        <w:rPr>
          <w:color w:val="4D4D4F"/>
          <w:spacing w:val="-4"/>
        </w:rPr>
        <w:t xml:space="preserve">year. </w:t>
      </w:r>
      <w:r>
        <w:rPr>
          <w:color w:val="4D4D4F"/>
        </w:rPr>
        <w:t xml:space="preserve">It is notable that imperfect detectability of sparse or cryptic species </w:t>
      </w:r>
      <w:r>
        <w:rPr>
          <w:color w:val="4D4D4F"/>
          <w:spacing w:val="-3"/>
        </w:rPr>
        <w:t xml:space="preserve">(due </w:t>
      </w:r>
      <w:r>
        <w:rPr>
          <w:color w:val="4D4D4F"/>
        </w:rPr>
        <w:t>to seasonal conditions and human error) inevitably leads to fluctuations in the data. This KPI is assessed using a continuous improvement approach, where any increase over the baseline in a five-year reporting period will lead to the calculation of a new baseline for subsequent reporting</w:t>
      </w:r>
      <w:r>
        <w:rPr>
          <w:color w:val="4D4D4F"/>
          <w:spacing w:val="17"/>
        </w:rPr>
        <w:t xml:space="preserve"> </w:t>
      </w:r>
      <w:r>
        <w:rPr>
          <w:color w:val="4D4D4F"/>
        </w:rPr>
        <w:t>periods</w:t>
      </w:r>
      <w:r>
        <w:rPr>
          <w:color w:val="4D4D4F"/>
          <w:position w:val="7"/>
          <w:sz w:val="11"/>
        </w:rPr>
        <w:t>.</w:t>
      </w:r>
    </w:p>
    <w:p w14:paraId="4BF0F8E0" w14:textId="77777777" w:rsidR="00EF5B27" w:rsidRDefault="00000000">
      <w:pPr>
        <w:pStyle w:val="BodyText"/>
        <w:spacing w:before="104" w:line="254" w:lineRule="auto"/>
        <w:ind w:left="2608" w:right="147"/>
      </w:pPr>
      <w:bookmarkStart w:id="37" w:name="_heading=h.2grqrue"/>
      <w:bookmarkEnd w:id="37"/>
      <w:r>
        <w:rPr>
          <w:color w:val="4D4D4F"/>
        </w:rPr>
        <w:t xml:space="preserve">This KPI was met in the three states for which assessment is possible: Herb-rich grassland, </w:t>
      </w:r>
      <w:r>
        <w:rPr>
          <w:rFonts w:ascii="Arial Narrow"/>
          <w:i/>
          <w:color w:val="4D4D4F"/>
        </w:rPr>
        <w:t xml:space="preserve">Themeda </w:t>
      </w:r>
      <w:r>
        <w:rPr>
          <w:color w:val="4D4D4F"/>
        </w:rPr>
        <w:t>grassland and Nutrient-enriched grassland. The baseline has not  yet</w:t>
      </w:r>
      <w:r>
        <w:rPr>
          <w:color w:val="4D4D4F"/>
          <w:spacing w:val="-5"/>
        </w:rPr>
        <w:t xml:space="preserve"> </w:t>
      </w:r>
      <w:r>
        <w:rPr>
          <w:color w:val="4D4D4F"/>
        </w:rPr>
        <w:t>been</w:t>
      </w:r>
      <w:r>
        <w:rPr>
          <w:color w:val="4D4D4F"/>
          <w:spacing w:val="-4"/>
        </w:rPr>
        <w:t xml:space="preserve"> </w:t>
      </w:r>
      <w:r>
        <w:rPr>
          <w:color w:val="4D4D4F"/>
        </w:rPr>
        <w:t>set</w:t>
      </w:r>
      <w:r>
        <w:rPr>
          <w:color w:val="4D4D4F"/>
          <w:spacing w:val="-4"/>
        </w:rPr>
        <w:t xml:space="preserve"> </w:t>
      </w:r>
      <w:r>
        <w:rPr>
          <w:color w:val="4D4D4F"/>
        </w:rPr>
        <w:t>for</w:t>
      </w:r>
      <w:r>
        <w:rPr>
          <w:color w:val="4D4D4F"/>
          <w:spacing w:val="-4"/>
        </w:rPr>
        <w:t xml:space="preserve"> </w:t>
      </w:r>
      <w:r>
        <w:rPr>
          <w:color w:val="4D4D4F"/>
        </w:rPr>
        <w:t>the</w:t>
      </w:r>
      <w:r>
        <w:rPr>
          <w:color w:val="4D4D4F"/>
          <w:spacing w:val="-4"/>
        </w:rPr>
        <w:t xml:space="preserve"> </w:t>
      </w:r>
      <w:r>
        <w:rPr>
          <w:color w:val="4D4D4F"/>
        </w:rPr>
        <w:t>other</w:t>
      </w:r>
      <w:r>
        <w:rPr>
          <w:color w:val="4D4D4F"/>
          <w:spacing w:val="-4"/>
        </w:rPr>
        <w:t xml:space="preserve"> </w:t>
      </w:r>
      <w:r>
        <w:rPr>
          <w:color w:val="4D4D4F"/>
        </w:rPr>
        <w:t>states</w:t>
      </w:r>
      <w:r>
        <w:rPr>
          <w:color w:val="4D4D4F"/>
          <w:spacing w:val="-5"/>
        </w:rPr>
        <w:t xml:space="preserve"> </w:t>
      </w:r>
      <w:r>
        <w:rPr>
          <w:color w:val="4D4D4F"/>
        </w:rPr>
        <w:t>because</w:t>
      </w:r>
      <w:r>
        <w:rPr>
          <w:color w:val="4D4D4F"/>
          <w:spacing w:val="-4"/>
        </w:rPr>
        <w:t xml:space="preserve"> </w:t>
      </w:r>
      <w:r>
        <w:rPr>
          <w:color w:val="4D4D4F"/>
        </w:rPr>
        <w:t>these</w:t>
      </w:r>
      <w:r>
        <w:rPr>
          <w:color w:val="4D4D4F"/>
          <w:spacing w:val="-4"/>
        </w:rPr>
        <w:t xml:space="preserve"> </w:t>
      </w:r>
      <w:r>
        <w:rPr>
          <w:color w:val="4D4D4F"/>
        </w:rPr>
        <w:t>states</w:t>
      </w:r>
      <w:r>
        <w:rPr>
          <w:color w:val="4D4D4F"/>
          <w:spacing w:val="-4"/>
        </w:rPr>
        <w:t xml:space="preserve"> </w:t>
      </w:r>
      <w:r>
        <w:rPr>
          <w:color w:val="4D4D4F"/>
        </w:rPr>
        <w:t>are</w:t>
      </w:r>
      <w:r>
        <w:rPr>
          <w:color w:val="4D4D4F"/>
          <w:spacing w:val="-4"/>
        </w:rPr>
        <w:t xml:space="preserve"> </w:t>
      </w:r>
      <w:r>
        <w:rPr>
          <w:color w:val="4D4D4F"/>
        </w:rPr>
        <w:t>not</w:t>
      </w:r>
      <w:r>
        <w:rPr>
          <w:color w:val="4D4D4F"/>
          <w:spacing w:val="-4"/>
        </w:rPr>
        <w:t xml:space="preserve"> </w:t>
      </w:r>
      <w:r>
        <w:rPr>
          <w:color w:val="4D4D4F"/>
        </w:rPr>
        <w:t>yet</w:t>
      </w:r>
      <w:r>
        <w:rPr>
          <w:color w:val="4D4D4F"/>
          <w:spacing w:val="-5"/>
        </w:rPr>
        <w:t xml:space="preserve"> </w:t>
      </w:r>
      <w:r>
        <w:rPr>
          <w:color w:val="4D4D4F"/>
        </w:rPr>
        <w:t>sufficiently</w:t>
      </w:r>
      <w:r>
        <w:rPr>
          <w:color w:val="4D4D4F"/>
          <w:spacing w:val="-4"/>
        </w:rPr>
        <w:t xml:space="preserve"> </w:t>
      </w:r>
      <w:r>
        <w:rPr>
          <w:color w:val="4D4D4F"/>
        </w:rPr>
        <w:t>protected.</w:t>
      </w:r>
    </w:p>
    <w:p w14:paraId="768890EC" w14:textId="77777777" w:rsidR="00EF5B27" w:rsidRDefault="00000000">
      <w:pPr>
        <w:pStyle w:val="BodyText"/>
        <w:spacing w:before="2"/>
        <w:rPr>
          <w:sz w:val="22"/>
        </w:rPr>
      </w:pPr>
      <w:r>
        <w:pict w14:anchorId="26229A4C">
          <v:group id="_x0000_s3498" style="position:absolute;margin-left:181.3pt;margin-top:15.85pt;width:357.4pt;height:201.15pt;z-index:251499008;mso-wrap-distance-left:0;mso-wrap-distance-right:0;mso-position-horizontal-relative:page" coordorigin="3626,317" coordsize="7148,4023">
            <v:shape id="_x0000_s3500" type="#_x0000_t75" style="position:absolute;left:3628;top:319;width:7143;height:4018">
              <v:imagedata r:id="rId122" o:title=""/>
            </v:shape>
            <v:rect id="_x0000_s3499" style="position:absolute;left:3628;top:319;width:7143;height:4018" filled="f" strokeweight=".25pt"/>
            <w10:wrap type="topAndBottom" anchorx="page"/>
          </v:group>
        </w:pict>
      </w:r>
    </w:p>
    <w:p w14:paraId="702CAEFC" w14:textId="77777777" w:rsidR="00EF5B27" w:rsidRDefault="00000000">
      <w:pPr>
        <w:tabs>
          <w:tab w:val="left" w:pos="8977"/>
        </w:tabs>
        <w:spacing w:before="103" w:line="244" w:lineRule="auto"/>
        <w:ind w:left="2608" w:right="111"/>
        <w:jc w:val="both"/>
        <w:rPr>
          <w:rFonts w:ascii="Century Gothic"/>
          <w:i/>
          <w:sz w:val="12"/>
        </w:rPr>
      </w:pPr>
      <w:r>
        <w:rPr>
          <w:color w:val="4D4D4F"/>
          <w:sz w:val="16"/>
        </w:rPr>
        <w:t xml:space="preserve">Figure 9: Richness of native perennial forbs in Natural Temperate Grassland, displayed by state. The </w:t>
      </w:r>
      <w:r>
        <w:rPr>
          <w:color w:val="4D4D4F"/>
          <w:spacing w:val="2"/>
          <w:sz w:val="16"/>
        </w:rPr>
        <w:t xml:space="preserve">error </w:t>
      </w:r>
      <w:r>
        <w:rPr>
          <w:color w:val="4D4D4F"/>
          <w:sz w:val="16"/>
        </w:rPr>
        <w:t>bars represent 95% confidence intervals. The upper panel shows the annual data  (faint  line),  five-year rolling mean (heavy line) and the baseline (dashed line) for those states which have had baselines set. The lower</w:t>
      </w:r>
      <w:r>
        <w:rPr>
          <w:color w:val="4D4D4F"/>
          <w:spacing w:val="9"/>
          <w:sz w:val="16"/>
        </w:rPr>
        <w:t xml:space="preserve"> </w:t>
      </w:r>
      <w:r>
        <w:rPr>
          <w:color w:val="4D4D4F"/>
          <w:sz w:val="16"/>
        </w:rPr>
        <w:t>panel</w:t>
      </w:r>
      <w:r>
        <w:rPr>
          <w:color w:val="4D4D4F"/>
          <w:spacing w:val="9"/>
          <w:sz w:val="16"/>
        </w:rPr>
        <w:t xml:space="preserve"> </w:t>
      </w:r>
      <w:r>
        <w:rPr>
          <w:color w:val="4D4D4F"/>
          <w:sz w:val="16"/>
        </w:rPr>
        <w:t>shows</w:t>
      </w:r>
      <w:r>
        <w:rPr>
          <w:color w:val="4D4D4F"/>
          <w:spacing w:val="10"/>
          <w:sz w:val="16"/>
        </w:rPr>
        <w:t xml:space="preserve"> </w:t>
      </w:r>
      <w:r>
        <w:rPr>
          <w:color w:val="4D4D4F"/>
          <w:sz w:val="16"/>
        </w:rPr>
        <w:t>the</w:t>
      </w:r>
      <w:r>
        <w:rPr>
          <w:color w:val="4D4D4F"/>
          <w:spacing w:val="9"/>
          <w:sz w:val="16"/>
        </w:rPr>
        <w:t xml:space="preserve"> </w:t>
      </w:r>
      <w:r>
        <w:rPr>
          <w:color w:val="4D4D4F"/>
          <w:sz w:val="16"/>
        </w:rPr>
        <w:t>annual</w:t>
      </w:r>
      <w:r>
        <w:rPr>
          <w:color w:val="4D4D4F"/>
          <w:spacing w:val="9"/>
          <w:sz w:val="16"/>
        </w:rPr>
        <w:t xml:space="preserve"> </w:t>
      </w:r>
      <w:r>
        <w:rPr>
          <w:color w:val="4D4D4F"/>
          <w:sz w:val="16"/>
        </w:rPr>
        <w:t>data</w:t>
      </w:r>
      <w:r>
        <w:rPr>
          <w:color w:val="4D4D4F"/>
          <w:spacing w:val="10"/>
          <w:sz w:val="16"/>
        </w:rPr>
        <w:t xml:space="preserve"> </w:t>
      </w:r>
      <w:r>
        <w:rPr>
          <w:color w:val="4D4D4F"/>
          <w:sz w:val="16"/>
        </w:rPr>
        <w:t>for</w:t>
      </w:r>
      <w:r>
        <w:rPr>
          <w:color w:val="4D4D4F"/>
          <w:spacing w:val="9"/>
          <w:sz w:val="16"/>
        </w:rPr>
        <w:t xml:space="preserve"> </w:t>
      </w:r>
      <w:r>
        <w:rPr>
          <w:color w:val="4D4D4F"/>
          <w:sz w:val="16"/>
        </w:rPr>
        <w:t>all</w:t>
      </w:r>
      <w:r>
        <w:rPr>
          <w:color w:val="4D4D4F"/>
          <w:spacing w:val="10"/>
          <w:sz w:val="16"/>
        </w:rPr>
        <w:t xml:space="preserve"> </w:t>
      </w:r>
      <w:r>
        <w:rPr>
          <w:color w:val="4D4D4F"/>
          <w:sz w:val="16"/>
        </w:rPr>
        <w:t>states.</w:t>
      </w:r>
      <w:r>
        <w:rPr>
          <w:color w:val="4D4D4F"/>
          <w:sz w:val="16"/>
        </w:rPr>
        <w:tab/>
      </w:r>
      <w:r>
        <w:rPr>
          <w:rFonts w:ascii="Century Gothic"/>
          <w:i/>
          <w:color w:val="4D4D4F"/>
          <w:w w:val="90"/>
          <w:sz w:val="12"/>
        </w:rPr>
        <w:t xml:space="preserve">Source: </w:t>
      </w:r>
      <w:r>
        <w:rPr>
          <w:rFonts w:ascii="Century Gothic"/>
          <w:i/>
          <w:color w:val="4D4D4F"/>
          <w:spacing w:val="-5"/>
          <w:w w:val="90"/>
          <w:sz w:val="12"/>
        </w:rPr>
        <w:t>DELWP</w:t>
      </w:r>
    </w:p>
    <w:p w14:paraId="7D41E01F" w14:textId="77777777" w:rsidR="00EF5B27" w:rsidRDefault="00EF5B27">
      <w:pPr>
        <w:spacing w:line="244" w:lineRule="auto"/>
        <w:jc w:val="both"/>
        <w:rPr>
          <w:rFonts w:ascii="Century Gothic"/>
          <w:sz w:val="12"/>
        </w:rPr>
        <w:sectPr w:rsidR="00EF5B27">
          <w:footerReference w:type="default" r:id="rId123"/>
          <w:pgSz w:w="11910" w:h="16840"/>
          <w:pgMar w:top="1080" w:right="1020" w:bottom="860" w:left="1020" w:header="537" w:footer="678" w:gutter="0"/>
          <w:cols w:space="720"/>
        </w:sectPr>
      </w:pPr>
    </w:p>
    <w:p w14:paraId="633FF8B9" w14:textId="77777777" w:rsidR="00EF5B27" w:rsidRDefault="00000000">
      <w:pPr>
        <w:pStyle w:val="BodyText"/>
        <w:rPr>
          <w:rFonts w:ascii="Century Gothic"/>
          <w:i/>
        </w:rPr>
      </w:pPr>
      <w:r>
        <w:lastRenderedPageBreak/>
        <w:pict w14:anchorId="18862C87">
          <v:group id="_x0000_s3490" style="position:absolute;margin-left:587.05pt;margin-top:183.4pt;width:8.25pt;height:153.1pt;z-index:251563520;mso-position-horizontal-relative:page;mso-position-vertical-relative:page" coordorigin="11741,3668" coordsize="165,3062">
            <v:shape id="_x0000_s3497" style="position:absolute;left:11741;top:3668;width:165;height:561" coordorigin="11741,3668" coordsize="165,561" path="m11906,3668r-165,l11741,4228r165,-18l11906,3668xe" fillcolor="#00aed9" stroked="f">
              <v:path arrowok="t"/>
            </v:shape>
            <v:shape id="_x0000_s3496" style="position:absolute;left:11741;top:4118;width:165;height:425" coordorigin="11741,4118" coordsize="165,425" path="m11906,4118r-165,14l11741,4531r165,12l11906,4118xe" fillcolor="#047ebc" stroked="f">
              <v:path arrowok="t"/>
            </v:shape>
            <v:shape id="_x0000_s3495" type="#_x0000_t75" style="position:absolute;left:11741;top:4355;width:165;height:587">
              <v:imagedata r:id="rId42" o:title=""/>
            </v:shape>
            <v:shape id="_x0000_s3494" style="position:absolute;left:11741;top:5343;width:165;height:536" coordorigin="11741,5343" coordsize="165,536" path="m11741,5343r,535l11906,5872r,-525l11741,5343xe" fillcolor="#f36a2e" stroked="f">
              <v:path arrowok="t"/>
            </v:shape>
            <v:shape id="_x0000_s3493" style="position:absolute;left:11741;top:4925;width:165;height:501" coordorigin="11741,4926" coordsize="165,501" path="m11741,4926r,500l11906,5426r,-485l11741,4926xe" fillcolor="#49783f" stroked="f">
              <v:path arrowok="t"/>
            </v:shape>
            <v:shape id="_x0000_s3492" style="position:absolute;left:11741;top:5781;width:165;height:268" coordorigin="11741,5782" coordsize="165,268" path="m11906,5782r-165,8l11741,6039r165,10l11906,5782xe" fillcolor="#f99f2a" stroked="f">
              <v:path arrowok="t"/>
            </v:shape>
            <v:shape id="_x0000_s3491" style="position:absolute;left:11741;top:6023;width:165;height:707" coordorigin="11741,6023" coordsize="165,707" path="m11741,6023r,706l11906,6729r,-690l11741,6023xe" fillcolor="#ef412c" stroked="f">
              <v:path arrowok="t"/>
            </v:shape>
            <w10:wrap anchorx="page" anchory="page"/>
          </v:group>
        </w:pict>
      </w:r>
    </w:p>
    <w:p w14:paraId="2835CDF7" w14:textId="77777777" w:rsidR="00EF5B27" w:rsidRDefault="00EF5B27">
      <w:pPr>
        <w:pStyle w:val="BodyText"/>
        <w:rPr>
          <w:rFonts w:ascii="Century Gothic"/>
          <w:i/>
        </w:rPr>
      </w:pPr>
    </w:p>
    <w:p w14:paraId="332B40C4" w14:textId="77777777" w:rsidR="00EF5B27" w:rsidRDefault="00EF5B27">
      <w:pPr>
        <w:pStyle w:val="BodyText"/>
        <w:rPr>
          <w:rFonts w:ascii="Century Gothic"/>
          <w:i/>
        </w:rPr>
      </w:pPr>
    </w:p>
    <w:p w14:paraId="1D607659" w14:textId="77777777" w:rsidR="00EF5B27" w:rsidRDefault="00EF5B27">
      <w:pPr>
        <w:pStyle w:val="BodyText"/>
        <w:spacing w:before="3"/>
        <w:rPr>
          <w:rFonts w:ascii="Century Gothic"/>
          <w:i/>
          <w:sz w:val="25"/>
        </w:rPr>
      </w:pPr>
    </w:p>
    <w:p w14:paraId="18A8F154" w14:textId="77777777" w:rsidR="00EF5B27" w:rsidRDefault="00000000">
      <w:pPr>
        <w:spacing w:before="111"/>
        <w:ind w:left="113"/>
        <w:rPr>
          <w:b/>
          <w:sz w:val="20"/>
        </w:rPr>
      </w:pPr>
      <w:bookmarkStart w:id="38" w:name="_bookmark32"/>
      <w:bookmarkStart w:id="39" w:name="_heading=h.3fwokq0"/>
      <w:bookmarkEnd w:id="38"/>
      <w:bookmarkEnd w:id="39"/>
      <w:r>
        <w:rPr>
          <w:b/>
          <w:color w:val="4D4D4F"/>
          <w:sz w:val="20"/>
        </w:rPr>
        <w:t>KPI 4: Cover of Kangaroo Grass (</w:t>
      </w:r>
      <w:r>
        <w:rPr>
          <w:b/>
          <w:i/>
          <w:color w:val="4D4D4F"/>
          <w:sz w:val="20"/>
        </w:rPr>
        <w:t>Themeda triandra</w:t>
      </w:r>
      <w:r>
        <w:rPr>
          <w:b/>
          <w:color w:val="4D4D4F"/>
          <w:sz w:val="20"/>
        </w:rPr>
        <w:t>)</w:t>
      </w:r>
    </w:p>
    <w:p w14:paraId="243ED173" w14:textId="77777777" w:rsidR="00EF5B27" w:rsidRDefault="00EF5B27">
      <w:pPr>
        <w:pStyle w:val="BodyText"/>
        <w:rPr>
          <w:b/>
          <w:sz w:val="13"/>
        </w:rPr>
      </w:pPr>
    </w:p>
    <w:tbl>
      <w:tblPr>
        <w:tblW w:w="0" w:type="auto"/>
        <w:tblInd w:w="12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4474D890" w14:textId="77777777">
        <w:trPr>
          <w:trHeight w:val="561"/>
        </w:trPr>
        <w:tc>
          <w:tcPr>
            <w:tcW w:w="2980" w:type="dxa"/>
            <w:shd w:val="clear" w:color="auto" w:fill="FECC91"/>
          </w:tcPr>
          <w:p w14:paraId="18F5E985" w14:textId="77777777" w:rsidR="00EF5B27" w:rsidRDefault="00EF5B27">
            <w:pPr>
              <w:pStyle w:val="TableParagraph"/>
              <w:spacing w:before="7"/>
              <w:rPr>
                <w:b/>
                <w:sz w:val="15"/>
              </w:rPr>
            </w:pPr>
          </w:p>
          <w:p w14:paraId="2D0C4465" w14:textId="77777777" w:rsidR="00EF5B27" w:rsidRDefault="00000000">
            <w:pPr>
              <w:pStyle w:val="TableParagraph"/>
              <w:spacing w:before="1"/>
              <w:ind w:left="80"/>
              <w:rPr>
                <w:b/>
                <w:sz w:val="16"/>
              </w:rPr>
            </w:pPr>
            <w:r>
              <w:rPr>
                <w:b/>
                <w:sz w:val="16"/>
              </w:rPr>
              <w:t>KPI 4: Cover of Kangaroo Grass</w:t>
            </w:r>
          </w:p>
        </w:tc>
        <w:tc>
          <w:tcPr>
            <w:tcW w:w="1078" w:type="dxa"/>
            <w:shd w:val="clear" w:color="auto" w:fill="FECC91"/>
          </w:tcPr>
          <w:p w14:paraId="4AA8AF8E"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4463C4C2" w14:textId="77777777" w:rsidR="00EF5B27" w:rsidRDefault="00EF5B27">
            <w:pPr>
              <w:pStyle w:val="TableParagraph"/>
              <w:spacing w:before="7"/>
              <w:rPr>
                <w:b/>
                <w:sz w:val="15"/>
              </w:rPr>
            </w:pPr>
          </w:p>
          <w:p w14:paraId="42802F14"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4A9ADB9F" w14:textId="77777777" w:rsidR="00EF5B27" w:rsidRDefault="00EF5B27">
            <w:pPr>
              <w:pStyle w:val="TableParagraph"/>
              <w:spacing w:before="7"/>
              <w:rPr>
                <w:b/>
                <w:sz w:val="15"/>
              </w:rPr>
            </w:pPr>
          </w:p>
          <w:p w14:paraId="31E835EF"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3469DD21"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5C550384"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2098F367" w14:textId="77777777">
        <w:trPr>
          <w:trHeight w:val="448"/>
        </w:trPr>
        <w:tc>
          <w:tcPr>
            <w:tcW w:w="2980" w:type="dxa"/>
          </w:tcPr>
          <w:p w14:paraId="51A4DE95" w14:textId="77777777" w:rsidR="00EF5B27" w:rsidRDefault="00EF5B27">
            <w:pPr>
              <w:pStyle w:val="TableParagraph"/>
              <w:spacing w:before="11"/>
              <w:rPr>
                <w:b/>
                <w:sz w:val="11"/>
              </w:rPr>
            </w:pPr>
          </w:p>
          <w:p w14:paraId="3CFBE4E7" w14:textId="77777777" w:rsidR="00EF5B27" w:rsidRDefault="00000000">
            <w:pPr>
              <w:pStyle w:val="TableParagraph"/>
              <w:ind w:left="80"/>
              <w:rPr>
                <w:sz w:val="14"/>
              </w:rPr>
            </w:pPr>
            <w:r>
              <w:rPr>
                <w:color w:val="4D4D4F"/>
                <w:w w:val="105"/>
                <w:sz w:val="14"/>
              </w:rPr>
              <w:t>Herb-rich grassland</w:t>
            </w:r>
          </w:p>
        </w:tc>
        <w:tc>
          <w:tcPr>
            <w:tcW w:w="1078" w:type="dxa"/>
          </w:tcPr>
          <w:p w14:paraId="2689458A" w14:textId="77777777" w:rsidR="00EF5B27" w:rsidRDefault="00EF5B27">
            <w:pPr>
              <w:pStyle w:val="TableParagraph"/>
              <w:spacing w:before="11"/>
              <w:rPr>
                <w:b/>
                <w:sz w:val="11"/>
              </w:rPr>
            </w:pPr>
          </w:p>
          <w:p w14:paraId="7B3D8DE1" w14:textId="77777777" w:rsidR="00EF5B27" w:rsidRDefault="00000000">
            <w:pPr>
              <w:pStyle w:val="TableParagraph"/>
              <w:ind w:left="128" w:right="124"/>
              <w:jc w:val="center"/>
              <w:rPr>
                <w:sz w:val="14"/>
              </w:rPr>
            </w:pPr>
            <w:r>
              <w:rPr>
                <w:color w:val="4D4D4F"/>
                <w:sz w:val="14"/>
              </w:rPr>
              <w:t>Met</w:t>
            </w:r>
          </w:p>
        </w:tc>
        <w:tc>
          <w:tcPr>
            <w:tcW w:w="2155" w:type="dxa"/>
          </w:tcPr>
          <w:p w14:paraId="0378ED46" w14:textId="77777777" w:rsidR="00EF5B27" w:rsidRDefault="00EF5B27">
            <w:pPr>
              <w:pStyle w:val="TableParagraph"/>
              <w:spacing w:before="11"/>
              <w:rPr>
                <w:b/>
                <w:sz w:val="11"/>
              </w:rPr>
            </w:pPr>
          </w:p>
          <w:p w14:paraId="513345B5" w14:textId="77777777" w:rsidR="00EF5B27" w:rsidRDefault="00000000">
            <w:pPr>
              <w:pStyle w:val="TableParagraph"/>
              <w:ind w:left="139" w:right="142"/>
              <w:jc w:val="center"/>
              <w:rPr>
                <w:sz w:val="14"/>
              </w:rPr>
            </w:pPr>
            <w:r>
              <w:rPr>
                <w:color w:val="4D4D4F"/>
                <w:w w:val="105"/>
                <w:sz w:val="14"/>
              </w:rPr>
              <w:t>N/A</w:t>
            </w:r>
          </w:p>
        </w:tc>
        <w:tc>
          <w:tcPr>
            <w:tcW w:w="964" w:type="dxa"/>
          </w:tcPr>
          <w:p w14:paraId="37062232" w14:textId="77777777" w:rsidR="00EF5B27" w:rsidRDefault="00EF5B27">
            <w:pPr>
              <w:pStyle w:val="TableParagraph"/>
              <w:spacing w:before="8"/>
              <w:rPr>
                <w:b/>
                <w:sz w:val="8"/>
              </w:rPr>
            </w:pPr>
          </w:p>
          <w:p w14:paraId="015AB228" w14:textId="77777777" w:rsidR="00EF5B27" w:rsidRDefault="00000000">
            <w:pPr>
              <w:pStyle w:val="TableParagraph"/>
              <w:spacing w:line="232" w:lineRule="exact"/>
              <w:ind w:left="427"/>
              <w:rPr>
                <w:sz w:val="20"/>
              </w:rPr>
            </w:pPr>
            <w:r>
              <w:rPr>
                <w:noProof/>
                <w:position w:val="-4"/>
                <w:sz w:val="20"/>
              </w:rPr>
              <w:drawing>
                <wp:inline distT="0" distB="0" distL="0" distR="0" wp14:anchorId="6E67057E" wp14:editId="014A936F">
                  <wp:extent cx="64988" cy="147637"/>
                  <wp:effectExtent l="0" t="0" r="0" b="0"/>
                  <wp:docPr id="32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50.png"/>
                          <pic:cNvPicPr/>
                        </pic:nvPicPr>
                        <pic:blipFill>
                          <a:blip r:embed="rId81" cstate="print"/>
                          <a:stretch>
                            <a:fillRect/>
                          </a:stretch>
                        </pic:blipFill>
                        <pic:spPr>
                          <a:xfrm>
                            <a:off x="0" y="0"/>
                            <a:ext cx="64988" cy="147637"/>
                          </a:xfrm>
                          <a:prstGeom prst="rect">
                            <a:avLst/>
                          </a:prstGeom>
                        </pic:spPr>
                      </pic:pic>
                    </a:graphicData>
                  </a:graphic>
                </wp:inline>
              </w:drawing>
            </w:r>
          </w:p>
        </w:tc>
        <w:tc>
          <w:tcPr>
            <w:tcW w:w="964" w:type="dxa"/>
          </w:tcPr>
          <w:p w14:paraId="0F7161C8" w14:textId="77777777" w:rsidR="00EF5B27" w:rsidRDefault="00EF5B27">
            <w:pPr>
              <w:pStyle w:val="TableParagraph"/>
              <w:spacing w:before="11"/>
              <w:rPr>
                <w:b/>
                <w:sz w:val="11"/>
              </w:rPr>
            </w:pPr>
          </w:p>
          <w:p w14:paraId="0BC0E072" w14:textId="77777777" w:rsidR="00EF5B27" w:rsidRDefault="00000000">
            <w:pPr>
              <w:pStyle w:val="TableParagraph"/>
              <w:ind w:left="344"/>
              <w:rPr>
                <w:sz w:val="14"/>
              </w:rPr>
            </w:pPr>
            <w:r>
              <w:rPr>
                <w:color w:val="4D4D4F"/>
                <w:w w:val="105"/>
                <w:sz w:val="14"/>
              </w:rPr>
              <w:t>High</w:t>
            </w:r>
          </w:p>
        </w:tc>
        <w:tc>
          <w:tcPr>
            <w:tcW w:w="1489" w:type="dxa"/>
          </w:tcPr>
          <w:p w14:paraId="016F2988" w14:textId="77777777" w:rsidR="00EF5B27" w:rsidRDefault="00000000">
            <w:pPr>
              <w:pStyle w:val="TableParagraph"/>
              <w:spacing w:before="134"/>
              <w:ind w:left="451" w:right="457"/>
              <w:jc w:val="center"/>
              <w:rPr>
                <w:sz w:val="16"/>
              </w:rPr>
            </w:pPr>
            <w:r>
              <w:rPr>
                <w:color w:val="4D4D4F"/>
                <w:sz w:val="16"/>
              </w:rPr>
              <w:t>2017</w:t>
            </w:r>
          </w:p>
        </w:tc>
      </w:tr>
      <w:tr w:rsidR="00EF5B27" w14:paraId="6202409F" w14:textId="77777777">
        <w:trPr>
          <w:trHeight w:val="448"/>
        </w:trPr>
        <w:tc>
          <w:tcPr>
            <w:tcW w:w="2980" w:type="dxa"/>
          </w:tcPr>
          <w:p w14:paraId="26BE7FF7" w14:textId="77777777" w:rsidR="00EF5B27" w:rsidRDefault="00EF5B27">
            <w:pPr>
              <w:pStyle w:val="TableParagraph"/>
              <w:spacing w:before="11"/>
              <w:rPr>
                <w:b/>
                <w:sz w:val="11"/>
              </w:rPr>
            </w:pPr>
          </w:p>
          <w:p w14:paraId="753FDD46" w14:textId="77777777" w:rsidR="00EF5B27" w:rsidRDefault="00000000">
            <w:pPr>
              <w:pStyle w:val="TableParagraph"/>
              <w:ind w:left="80"/>
              <w:rPr>
                <w:sz w:val="14"/>
              </w:rPr>
            </w:pPr>
            <w:r>
              <w:rPr>
                <w:rFonts w:ascii="Arial Narrow"/>
                <w:i/>
                <w:color w:val="4D4D4F"/>
                <w:w w:val="110"/>
                <w:sz w:val="14"/>
              </w:rPr>
              <w:t xml:space="preserve">Themeda </w:t>
            </w:r>
            <w:r>
              <w:rPr>
                <w:color w:val="4D4D4F"/>
                <w:w w:val="110"/>
                <w:sz w:val="14"/>
              </w:rPr>
              <w:t>grassland</w:t>
            </w:r>
          </w:p>
        </w:tc>
        <w:tc>
          <w:tcPr>
            <w:tcW w:w="1078" w:type="dxa"/>
          </w:tcPr>
          <w:p w14:paraId="2E18CFA0" w14:textId="77777777" w:rsidR="00EF5B27" w:rsidRDefault="00EF5B27">
            <w:pPr>
              <w:pStyle w:val="TableParagraph"/>
              <w:spacing w:before="11"/>
              <w:rPr>
                <w:b/>
                <w:sz w:val="11"/>
              </w:rPr>
            </w:pPr>
          </w:p>
          <w:p w14:paraId="08E1F715" w14:textId="77777777" w:rsidR="00EF5B27" w:rsidRDefault="00000000">
            <w:pPr>
              <w:pStyle w:val="TableParagraph"/>
              <w:ind w:left="128" w:right="124"/>
              <w:jc w:val="center"/>
              <w:rPr>
                <w:sz w:val="14"/>
              </w:rPr>
            </w:pPr>
            <w:r>
              <w:rPr>
                <w:color w:val="4D4D4F"/>
                <w:sz w:val="14"/>
              </w:rPr>
              <w:t>Met</w:t>
            </w:r>
          </w:p>
        </w:tc>
        <w:tc>
          <w:tcPr>
            <w:tcW w:w="2155" w:type="dxa"/>
          </w:tcPr>
          <w:p w14:paraId="5FD09ED1" w14:textId="77777777" w:rsidR="00EF5B27" w:rsidRDefault="00EF5B27">
            <w:pPr>
              <w:pStyle w:val="TableParagraph"/>
              <w:spacing w:before="11"/>
              <w:rPr>
                <w:b/>
                <w:sz w:val="11"/>
              </w:rPr>
            </w:pPr>
          </w:p>
          <w:p w14:paraId="6169AEFC" w14:textId="77777777" w:rsidR="00EF5B27" w:rsidRDefault="00000000">
            <w:pPr>
              <w:pStyle w:val="TableParagraph"/>
              <w:ind w:left="138" w:right="142"/>
              <w:jc w:val="center"/>
              <w:rPr>
                <w:sz w:val="14"/>
              </w:rPr>
            </w:pPr>
            <w:r>
              <w:rPr>
                <w:color w:val="4D4D4F"/>
                <w:w w:val="105"/>
                <w:sz w:val="14"/>
              </w:rPr>
              <w:t>N/A</w:t>
            </w:r>
          </w:p>
        </w:tc>
        <w:tc>
          <w:tcPr>
            <w:tcW w:w="964" w:type="dxa"/>
          </w:tcPr>
          <w:p w14:paraId="2E6AEB70" w14:textId="77777777" w:rsidR="00EF5B27" w:rsidRDefault="00EF5B27">
            <w:pPr>
              <w:pStyle w:val="TableParagraph"/>
              <w:spacing w:before="8"/>
              <w:rPr>
                <w:b/>
                <w:sz w:val="8"/>
              </w:rPr>
            </w:pPr>
          </w:p>
          <w:p w14:paraId="56D7051F" w14:textId="77777777" w:rsidR="00EF5B27" w:rsidRDefault="00000000">
            <w:pPr>
              <w:pStyle w:val="TableParagraph"/>
              <w:spacing w:line="232" w:lineRule="exact"/>
              <w:ind w:left="427"/>
              <w:rPr>
                <w:sz w:val="20"/>
              </w:rPr>
            </w:pPr>
            <w:r>
              <w:rPr>
                <w:noProof/>
                <w:position w:val="-4"/>
                <w:sz w:val="20"/>
              </w:rPr>
              <w:drawing>
                <wp:inline distT="0" distB="0" distL="0" distR="0" wp14:anchorId="2506C917" wp14:editId="105D40F1">
                  <wp:extent cx="64988" cy="147637"/>
                  <wp:effectExtent l="0" t="0" r="0" b="0"/>
                  <wp:docPr id="32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50.png"/>
                          <pic:cNvPicPr/>
                        </pic:nvPicPr>
                        <pic:blipFill>
                          <a:blip r:embed="rId81" cstate="print"/>
                          <a:stretch>
                            <a:fillRect/>
                          </a:stretch>
                        </pic:blipFill>
                        <pic:spPr>
                          <a:xfrm>
                            <a:off x="0" y="0"/>
                            <a:ext cx="64988" cy="147637"/>
                          </a:xfrm>
                          <a:prstGeom prst="rect">
                            <a:avLst/>
                          </a:prstGeom>
                        </pic:spPr>
                      </pic:pic>
                    </a:graphicData>
                  </a:graphic>
                </wp:inline>
              </w:drawing>
            </w:r>
          </w:p>
        </w:tc>
        <w:tc>
          <w:tcPr>
            <w:tcW w:w="964" w:type="dxa"/>
          </w:tcPr>
          <w:p w14:paraId="11EC6383" w14:textId="77777777" w:rsidR="00EF5B27" w:rsidRDefault="00EF5B27">
            <w:pPr>
              <w:pStyle w:val="TableParagraph"/>
              <w:spacing w:before="11"/>
              <w:rPr>
                <w:b/>
                <w:sz w:val="11"/>
              </w:rPr>
            </w:pPr>
          </w:p>
          <w:p w14:paraId="34B2459F" w14:textId="77777777" w:rsidR="00EF5B27" w:rsidRDefault="00000000">
            <w:pPr>
              <w:pStyle w:val="TableParagraph"/>
              <w:ind w:left="344"/>
              <w:rPr>
                <w:sz w:val="14"/>
              </w:rPr>
            </w:pPr>
            <w:r>
              <w:rPr>
                <w:color w:val="4D4D4F"/>
                <w:w w:val="105"/>
                <w:sz w:val="14"/>
              </w:rPr>
              <w:t>High</w:t>
            </w:r>
          </w:p>
        </w:tc>
        <w:tc>
          <w:tcPr>
            <w:tcW w:w="1489" w:type="dxa"/>
          </w:tcPr>
          <w:p w14:paraId="3625C4F8" w14:textId="77777777" w:rsidR="00EF5B27" w:rsidRDefault="00000000">
            <w:pPr>
              <w:pStyle w:val="TableParagraph"/>
              <w:spacing w:before="134"/>
              <w:ind w:left="451" w:right="457"/>
              <w:jc w:val="center"/>
              <w:rPr>
                <w:sz w:val="16"/>
              </w:rPr>
            </w:pPr>
            <w:r>
              <w:rPr>
                <w:color w:val="4D4D4F"/>
                <w:sz w:val="16"/>
              </w:rPr>
              <w:t>2017</w:t>
            </w:r>
          </w:p>
        </w:tc>
      </w:tr>
      <w:tr w:rsidR="00EF5B27" w14:paraId="1253962B" w14:textId="77777777">
        <w:trPr>
          <w:trHeight w:val="448"/>
        </w:trPr>
        <w:tc>
          <w:tcPr>
            <w:tcW w:w="2980" w:type="dxa"/>
          </w:tcPr>
          <w:p w14:paraId="0B760E7F" w14:textId="77777777" w:rsidR="00EF5B27" w:rsidRDefault="00EF5B27">
            <w:pPr>
              <w:pStyle w:val="TableParagraph"/>
              <w:spacing w:before="11"/>
              <w:rPr>
                <w:b/>
                <w:sz w:val="11"/>
              </w:rPr>
            </w:pPr>
          </w:p>
          <w:p w14:paraId="4B16E5D8" w14:textId="77777777" w:rsidR="00EF5B27" w:rsidRDefault="00000000">
            <w:pPr>
              <w:pStyle w:val="TableParagraph"/>
              <w:ind w:left="80"/>
              <w:rPr>
                <w:sz w:val="14"/>
              </w:rPr>
            </w:pPr>
            <w:r>
              <w:rPr>
                <w:color w:val="4D4D4F"/>
                <w:w w:val="105"/>
                <w:sz w:val="14"/>
              </w:rPr>
              <w:t>C3 grassland</w:t>
            </w:r>
          </w:p>
        </w:tc>
        <w:tc>
          <w:tcPr>
            <w:tcW w:w="1078" w:type="dxa"/>
          </w:tcPr>
          <w:p w14:paraId="487C62CA" w14:textId="77777777" w:rsidR="00EF5B27" w:rsidRDefault="00EF5B27">
            <w:pPr>
              <w:pStyle w:val="TableParagraph"/>
              <w:spacing w:before="11"/>
              <w:rPr>
                <w:b/>
                <w:sz w:val="11"/>
              </w:rPr>
            </w:pPr>
          </w:p>
          <w:p w14:paraId="66E6B89F"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3C45926A" w14:textId="77777777" w:rsidR="00EF5B27" w:rsidRDefault="00EF5B27">
            <w:pPr>
              <w:pStyle w:val="TableParagraph"/>
              <w:spacing w:before="11"/>
              <w:rPr>
                <w:b/>
                <w:sz w:val="11"/>
              </w:rPr>
            </w:pPr>
          </w:p>
          <w:p w14:paraId="540EC080" w14:textId="77777777" w:rsidR="00EF5B27" w:rsidRDefault="00000000">
            <w:pPr>
              <w:pStyle w:val="TableParagraph"/>
              <w:ind w:left="143" w:right="142"/>
              <w:jc w:val="center"/>
              <w:rPr>
                <w:sz w:val="14"/>
              </w:rPr>
            </w:pPr>
            <w:r>
              <w:rPr>
                <w:color w:val="4D4D4F"/>
                <w:sz w:val="14"/>
              </w:rPr>
              <w:t>Baseline not yet set</w:t>
            </w:r>
          </w:p>
        </w:tc>
        <w:tc>
          <w:tcPr>
            <w:tcW w:w="964" w:type="dxa"/>
          </w:tcPr>
          <w:p w14:paraId="54FBE017" w14:textId="77777777" w:rsidR="00EF5B27" w:rsidRDefault="00EF5B27">
            <w:pPr>
              <w:pStyle w:val="TableParagraph"/>
              <w:spacing w:before="4"/>
              <w:rPr>
                <w:b/>
                <w:sz w:val="7"/>
              </w:rPr>
            </w:pPr>
          </w:p>
          <w:p w14:paraId="5DD0BA48" w14:textId="77777777" w:rsidR="00EF5B27" w:rsidRDefault="00000000">
            <w:pPr>
              <w:pStyle w:val="TableParagraph"/>
              <w:spacing w:line="187" w:lineRule="exact"/>
              <w:ind w:left="400"/>
              <w:rPr>
                <w:sz w:val="18"/>
              </w:rPr>
            </w:pPr>
            <w:r>
              <w:rPr>
                <w:noProof/>
                <w:position w:val="-3"/>
                <w:sz w:val="18"/>
              </w:rPr>
              <w:drawing>
                <wp:inline distT="0" distB="0" distL="0" distR="0" wp14:anchorId="64910466" wp14:editId="2A62B102">
                  <wp:extent cx="100572" cy="119062"/>
                  <wp:effectExtent l="0" t="0" r="0" b="0"/>
                  <wp:docPr id="331"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27.png"/>
                          <pic:cNvPicPr/>
                        </pic:nvPicPr>
                        <pic:blipFill>
                          <a:blip r:embed="rId76" cstate="print"/>
                          <a:stretch>
                            <a:fillRect/>
                          </a:stretch>
                        </pic:blipFill>
                        <pic:spPr>
                          <a:xfrm>
                            <a:off x="0" y="0"/>
                            <a:ext cx="100572" cy="119062"/>
                          </a:xfrm>
                          <a:prstGeom prst="rect">
                            <a:avLst/>
                          </a:prstGeom>
                        </pic:spPr>
                      </pic:pic>
                    </a:graphicData>
                  </a:graphic>
                </wp:inline>
              </w:drawing>
            </w:r>
          </w:p>
          <w:p w14:paraId="2B873386" w14:textId="77777777" w:rsidR="00EF5B27" w:rsidRDefault="00EF5B27">
            <w:pPr>
              <w:pStyle w:val="TableParagraph"/>
              <w:spacing w:before="8"/>
              <w:rPr>
                <w:b/>
                <w:sz w:val="2"/>
              </w:rPr>
            </w:pPr>
          </w:p>
          <w:p w14:paraId="7CD06D93" w14:textId="77777777" w:rsidR="00EF5B27" w:rsidRDefault="00000000">
            <w:pPr>
              <w:pStyle w:val="TableParagraph"/>
              <w:spacing w:line="48" w:lineRule="exact"/>
              <w:ind w:left="448"/>
              <w:rPr>
                <w:sz w:val="4"/>
              </w:rPr>
            </w:pPr>
            <w:r>
              <w:rPr>
                <w:sz w:val="4"/>
              </w:rPr>
            </w:r>
            <w:r>
              <w:rPr>
                <w:sz w:val="4"/>
              </w:rPr>
              <w:pict w14:anchorId="1358CEA3">
                <v:group id="_x0000_s3488" style="width:2.45pt;height:2.45pt;mso-position-horizontal-relative:char;mso-position-vertical-relative:line" coordsize="49,49">
                  <v:shape id="_x0000_s3489" style="position:absolute;width:49;height:49" coordsize="49,49" path="m31,l18,,12,2,2,12,,17,,31r2,6l12,46r6,3l31,49r6,-3l46,37r3,-6l49,17,46,12,37,2,31,xe" fillcolor="#808285" stroked="f">
                    <v:path arrowok="t"/>
                  </v:shape>
                  <w10:wrap type="none"/>
                  <w10:anchorlock/>
                </v:group>
              </w:pict>
            </w:r>
          </w:p>
        </w:tc>
        <w:tc>
          <w:tcPr>
            <w:tcW w:w="964" w:type="dxa"/>
          </w:tcPr>
          <w:p w14:paraId="63088EB2" w14:textId="77777777" w:rsidR="00EF5B27" w:rsidRDefault="00EF5B27">
            <w:pPr>
              <w:pStyle w:val="TableParagraph"/>
              <w:spacing w:before="11"/>
              <w:rPr>
                <w:b/>
                <w:sz w:val="11"/>
              </w:rPr>
            </w:pPr>
          </w:p>
          <w:p w14:paraId="5A572AE3" w14:textId="77777777" w:rsidR="00EF5B27" w:rsidRDefault="00000000">
            <w:pPr>
              <w:pStyle w:val="TableParagraph"/>
              <w:ind w:left="368"/>
              <w:rPr>
                <w:sz w:val="14"/>
              </w:rPr>
            </w:pPr>
            <w:r>
              <w:rPr>
                <w:color w:val="4D4D4F"/>
                <w:w w:val="105"/>
                <w:sz w:val="14"/>
              </w:rPr>
              <w:t>N/A</w:t>
            </w:r>
          </w:p>
        </w:tc>
        <w:tc>
          <w:tcPr>
            <w:tcW w:w="1489" w:type="dxa"/>
          </w:tcPr>
          <w:p w14:paraId="5D1539B4" w14:textId="77777777" w:rsidR="00EF5B27" w:rsidRDefault="00000000">
            <w:pPr>
              <w:pStyle w:val="TableParagraph"/>
              <w:spacing w:before="134"/>
              <w:ind w:left="457" w:right="457"/>
              <w:jc w:val="center"/>
              <w:rPr>
                <w:sz w:val="16"/>
              </w:rPr>
            </w:pPr>
            <w:r>
              <w:rPr>
                <w:color w:val="4D4D4F"/>
                <w:w w:val="105"/>
                <w:sz w:val="16"/>
              </w:rPr>
              <w:t>Unclear</w:t>
            </w:r>
          </w:p>
        </w:tc>
      </w:tr>
      <w:tr w:rsidR="00EF5B27" w14:paraId="157BE2CC" w14:textId="77777777">
        <w:trPr>
          <w:trHeight w:val="448"/>
        </w:trPr>
        <w:tc>
          <w:tcPr>
            <w:tcW w:w="2980" w:type="dxa"/>
          </w:tcPr>
          <w:p w14:paraId="2BB4B90D" w14:textId="77777777" w:rsidR="00EF5B27" w:rsidRDefault="00EF5B27">
            <w:pPr>
              <w:pStyle w:val="TableParagraph"/>
              <w:spacing w:before="11"/>
              <w:rPr>
                <w:b/>
                <w:sz w:val="11"/>
              </w:rPr>
            </w:pPr>
          </w:p>
          <w:p w14:paraId="4F2C01DC" w14:textId="77777777" w:rsidR="00EF5B27" w:rsidRDefault="00000000">
            <w:pPr>
              <w:pStyle w:val="TableParagraph"/>
              <w:ind w:left="80"/>
              <w:rPr>
                <w:sz w:val="14"/>
              </w:rPr>
            </w:pPr>
            <w:r>
              <w:rPr>
                <w:color w:val="4D4D4F"/>
                <w:w w:val="105"/>
                <w:sz w:val="14"/>
              </w:rPr>
              <w:t>Nutrient-enriched grassland</w:t>
            </w:r>
          </w:p>
        </w:tc>
        <w:tc>
          <w:tcPr>
            <w:tcW w:w="1078" w:type="dxa"/>
          </w:tcPr>
          <w:p w14:paraId="66504277" w14:textId="77777777" w:rsidR="00EF5B27" w:rsidRDefault="00EF5B27">
            <w:pPr>
              <w:pStyle w:val="TableParagraph"/>
              <w:spacing w:before="11"/>
              <w:rPr>
                <w:b/>
                <w:sz w:val="11"/>
              </w:rPr>
            </w:pPr>
          </w:p>
          <w:p w14:paraId="3012BE80" w14:textId="77777777" w:rsidR="00EF5B27" w:rsidRDefault="00000000">
            <w:pPr>
              <w:pStyle w:val="TableParagraph"/>
              <w:ind w:left="128" w:right="124"/>
              <w:jc w:val="center"/>
              <w:rPr>
                <w:sz w:val="14"/>
              </w:rPr>
            </w:pPr>
            <w:r>
              <w:rPr>
                <w:color w:val="4D4D4F"/>
                <w:sz w:val="14"/>
              </w:rPr>
              <w:t>Met</w:t>
            </w:r>
          </w:p>
        </w:tc>
        <w:tc>
          <w:tcPr>
            <w:tcW w:w="2155" w:type="dxa"/>
          </w:tcPr>
          <w:p w14:paraId="5A230439" w14:textId="77777777" w:rsidR="00EF5B27" w:rsidRDefault="00EF5B27">
            <w:pPr>
              <w:pStyle w:val="TableParagraph"/>
              <w:spacing w:before="11"/>
              <w:rPr>
                <w:b/>
                <w:sz w:val="11"/>
              </w:rPr>
            </w:pPr>
          </w:p>
          <w:p w14:paraId="0C65E2BD" w14:textId="77777777" w:rsidR="00EF5B27" w:rsidRDefault="00000000">
            <w:pPr>
              <w:pStyle w:val="TableParagraph"/>
              <w:ind w:left="139" w:right="142"/>
              <w:jc w:val="center"/>
              <w:rPr>
                <w:sz w:val="14"/>
              </w:rPr>
            </w:pPr>
            <w:r>
              <w:rPr>
                <w:color w:val="4D4D4F"/>
                <w:w w:val="105"/>
                <w:sz w:val="14"/>
              </w:rPr>
              <w:t>N/A</w:t>
            </w:r>
          </w:p>
        </w:tc>
        <w:tc>
          <w:tcPr>
            <w:tcW w:w="964" w:type="dxa"/>
          </w:tcPr>
          <w:p w14:paraId="3BB832F2" w14:textId="77777777" w:rsidR="00EF5B27" w:rsidRDefault="00EF5B27">
            <w:pPr>
              <w:pStyle w:val="TableParagraph"/>
              <w:spacing w:before="8"/>
              <w:rPr>
                <w:b/>
                <w:sz w:val="8"/>
              </w:rPr>
            </w:pPr>
          </w:p>
          <w:p w14:paraId="24872FEE" w14:textId="77777777" w:rsidR="00EF5B27" w:rsidRDefault="00000000">
            <w:pPr>
              <w:pStyle w:val="TableParagraph"/>
              <w:spacing w:line="232" w:lineRule="exact"/>
              <w:ind w:left="427"/>
              <w:rPr>
                <w:sz w:val="20"/>
              </w:rPr>
            </w:pPr>
            <w:r>
              <w:rPr>
                <w:noProof/>
                <w:position w:val="-4"/>
                <w:sz w:val="20"/>
              </w:rPr>
              <w:drawing>
                <wp:inline distT="0" distB="0" distL="0" distR="0" wp14:anchorId="50FC0FCA" wp14:editId="70F6AAA5">
                  <wp:extent cx="64988" cy="147637"/>
                  <wp:effectExtent l="0" t="0" r="0" b="0"/>
                  <wp:docPr id="33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50.png"/>
                          <pic:cNvPicPr/>
                        </pic:nvPicPr>
                        <pic:blipFill>
                          <a:blip r:embed="rId81" cstate="print"/>
                          <a:stretch>
                            <a:fillRect/>
                          </a:stretch>
                        </pic:blipFill>
                        <pic:spPr>
                          <a:xfrm>
                            <a:off x="0" y="0"/>
                            <a:ext cx="64988" cy="147637"/>
                          </a:xfrm>
                          <a:prstGeom prst="rect">
                            <a:avLst/>
                          </a:prstGeom>
                        </pic:spPr>
                      </pic:pic>
                    </a:graphicData>
                  </a:graphic>
                </wp:inline>
              </w:drawing>
            </w:r>
          </w:p>
        </w:tc>
        <w:tc>
          <w:tcPr>
            <w:tcW w:w="964" w:type="dxa"/>
          </w:tcPr>
          <w:p w14:paraId="714671E8" w14:textId="77777777" w:rsidR="00EF5B27" w:rsidRDefault="00EF5B27">
            <w:pPr>
              <w:pStyle w:val="TableParagraph"/>
              <w:spacing w:before="11"/>
              <w:rPr>
                <w:b/>
                <w:sz w:val="11"/>
              </w:rPr>
            </w:pPr>
          </w:p>
          <w:p w14:paraId="368CD72E" w14:textId="77777777" w:rsidR="00EF5B27" w:rsidRDefault="00000000">
            <w:pPr>
              <w:pStyle w:val="TableParagraph"/>
              <w:ind w:left="344"/>
              <w:rPr>
                <w:sz w:val="14"/>
              </w:rPr>
            </w:pPr>
            <w:r>
              <w:rPr>
                <w:color w:val="4D4D4F"/>
                <w:w w:val="105"/>
                <w:sz w:val="14"/>
              </w:rPr>
              <w:t>High</w:t>
            </w:r>
          </w:p>
        </w:tc>
        <w:tc>
          <w:tcPr>
            <w:tcW w:w="1489" w:type="dxa"/>
          </w:tcPr>
          <w:p w14:paraId="5427C9F7" w14:textId="77777777" w:rsidR="00EF5B27" w:rsidRDefault="00000000">
            <w:pPr>
              <w:pStyle w:val="TableParagraph"/>
              <w:spacing w:before="134"/>
              <w:ind w:left="451" w:right="457"/>
              <w:jc w:val="center"/>
              <w:rPr>
                <w:sz w:val="16"/>
              </w:rPr>
            </w:pPr>
            <w:r>
              <w:rPr>
                <w:color w:val="4D4D4F"/>
                <w:sz w:val="16"/>
              </w:rPr>
              <w:t>2017</w:t>
            </w:r>
          </w:p>
        </w:tc>
      </w:tr>
      <w:tr w:rsidR="00EF5B27" w14:paraId="696BB577" w14:textId="77777777">
        <w:trPr>
          <w:trHeight w:val="448"/>
        </w:trPr>
        <w:tc>
          <w:tcPr>
            <w:tcW w:w="2980" w:type="dxa"/>
          </w:tcPr>
          <w:p w14:paraId="4CB86C53" w14:textId="77777777" w:rsidR="00EF5B27" w:rsidRDefault="00EF5B27">
            <w:pPr>
              <w:pStyle w:val="TableParagraph"/>
              <w:spacing w:before="11"/>
              <w:rPr>
                <w:b/>
                <w:sz w:val="11"/>
              </w:rPr>
            </w:pPr>
          </w:p>
          <w:p w14:paraId="5A20792D" w14:textId="77777777" w:rsidR="00EF5B27" w:rsidRDefault="00000000">
            <w:pPr>
              <w:pStyle w:val="TableParagraph"/>
              <w:ind w:left="80"/>
              <w:rPr>
                <w:sz w:val="14"/>
              </w:rPr>
            </w:pPr>
            <w:r>
              <w:rPr>
                <w:color w:val="4D4D4F"/>
                <w:w w:val="105"/>
                <w:sz w:val="14"/>
              </w:rPr>
              <w:t>De-rocked grassland</w:t>
            </w:r>
          </w:p>
        </w:tc>
        <w:tc>
          <w:tcPr>
            <w:tcW w:w="1078" w:type="dxa"/>
          </w:tcPr>
          <w:p w14:paraId="2AD5A910" w14:textId="77777777" w:rsidR="00EF5B27" w:rsidRDefault="00EF5B27">
            <w:pPr>
              <w:pStyle w:val="TableParagraph"/>
              <w:spacing w:before="11"/>
              <w:rPr>
                <w:b/>
                <w:sz w:val="11"/>
              </w:rPr>
            </w:pPr>
          </w:p>
          <w:p w14:paraId="61C38C00"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25DEB6E4" w14:textId="77777777" w:rsidR="00EF5B27" w:rsidRDefault="00EF5B27">
            <w:pPr>
              <w:pStyle w:val="TableParagraph"/>
              <w:spacing w:before="11"/>
              <w:rPr>
                <w:b/>
                <w:sz w:val="11"/>
              </w:rPr>
            </w:pPr>
          </w:p>
          <w:p w14:paraId="6C1B08F7" w14:textId="77777777" w:rsidR="00EF5B27" w:rsidRDefault="00000000">
            <w:pPr>
              <w:pStyle w:val="TableParagraph"/>
              <w:ind w:left="143" w:right="142"/>
              <w:jc w:val="center"/>
              <w:rPr>
                <w:sz w:val="14"/>
              </w:rPr>
            </w:pPr>
            <w:r>
              <w:rPr>
                <w:color w:val="4D4D4F"/>
                <w:sz w:val="14"/>
              </w:rPr>
              <w:t>Baseline not yet set</w:t>
            </w:r>
          </w:p>
        </w:tc>
        <w:tc>
          <w:tcPr>
            <w:tcW w:w="964" w:type="dxa"/>
          </w:tcPr>
          <w:p w14:paraId="6433D826" w14:textId="77777777" w:rsidR="00EF5B27" w:rsidRDefault="00EF5B27">
            <w:pPr>
              <w:pStyle w:val="TableParagraph"/>
              <w:spacing w:before="4"/>
              <w:rPr>
                <w:b/>
                <w:sz w:val="7"/>
              </w:rPr>
            </w:pPr>
          </w:p>
          <w:p w14:paraId="33F823B7" w14:textId="77777777" w:rsidR="00EF5B27" w:rsidRDefault="00000000">
            <w:pPr>
              <w:pStyle w:val="TableParagraph"/>
              <w:spacing w:line="187" w:lineRule="exact"/>
              <w:ind w:left="400"/>
              <w:rPr>
                <w:sz w:val="18"/>
              </w:rPr>
            </w:pPr>
            <w:r>
              <w:rPr>
                <w:noProof/>
                <w:position w:val="-3"/>
                <w:sz w:val="18"/>
              </w:rPr>
              <w:drawing>
                <wp:inline distT="0" distB="0" distL="0" distR="0" wp14:anchorId="41FD7C38" wp14:editId="349348FC">
                  <wp:extent cx="100572" cy="119062"/>
                  <wp:effectExtent l="0" t="0" r="0" b="0"/>
                  <wp:docPr id="335"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28.png"/>
                          <pic:cNvPicPr/>
                        </pic:nvPicPr>
                        <pic:blipFill>
                          <a:blip r:embed="rId86" cstate="print"/>
                          <a:stretch>
                            <a:fillRect/>
                          </a:stretch>
                        </pic:blipFill>
                        <pic:spPr>
                          <a:xfrm>
                            <a:off x="0" y="0"/>
                            <a:ext cx="100572" cy="119062"/>
                          </a:xfrm>
                          <a:prstGeom prst="rect">
                            <a:avLst/>
                          </a:prstGeom>
                        </pic:spPr>
                      </pic:pic>
                    </a:graphicData>
                  </a:graphic>
                </wp:inline>
              </w:drawing>
            </w:r>
          </w:p>
          <w:p w14:paraId="517EEB43" w14:textId="77777777" w:rsidR="00EF5B27" w:rsidRDefault="00EF5B27">
            <w:pPr>
              <w:pStyle w:val="TableParagraph"/>
              <w:spacing w:before="8"/>
              <w:rPr>
                <w:b/>
                <w:sz w:val="2"/>
              </w:rPr>
            </w:pPr>
          </w:p>
          <w:p w14:paraId="0D1443A2" w14:textId="77777777" w:rsidR="00EF5B27" w:rsidRDefault="00000000">
            <w:pPr>
              <w:pStyle w:val="TableParagraph"/>
              <w:spacing w:line="48" w:lineRule="exact"/>
              <w:ind w:left="448"/>
              <w:rPr>
                <w:sz w:val="4"/>
              </w:rPr>
            </w:pPr>
            <w:r>
              <w:rPr>
                <w:sz w:val="4"/>
              </w:rPr>
            </w:r>
            <w:r>
              <w:rPr>
                <w:sz w:val="4"/>
              </w:rPr>
              <w:pict w14:anchorId="3AE8E087">
                <v:group id="_x0000_s3486" style="width:2.45pt;height:2.45pt;mso-position-horizontal-relative:char;mso-position-vertical-relative:line" coordsize="49,49">
                  <v:shape id="_x0000_s3487" style="position:absolute;width:49;height:49" coordsize="49,49" path="m31,l18,,12,2,2,12,,17,,31r2,6l12,46r6,3l31,49r6,-3l46,37r3,-6l49,17,46,12,37,2,31,xe" fillcolor="#808285" stroked="f">
                    <v:path arrowok="t"/>
                  </v:shape>
                  <w10:wrap type="none"/>
                  <w10:anchorlock/>
                </v:group>
              </w:pict>
            </w:r>
          </w:p>
        </w:tc>
        <w:tc>
          <w:tcPr>
            <w:tcW w:w="964" w:type="dxa"/>
          </w:tcPr>
          <w:p w14:paraId="5D734C9B" w14:textId="77777777" w:rsidR="00EF5B27" w:rsidRDefault="00EF5B27">
            <w:pPr>
              <w:pStyle w:val="TableParagraph"/>
              <w:spacing w:before="11"/>
              <w:rPr>
                <w:b/>
                <w:sz w:val="11"/>
              </w:rPr>
            </w:pPr>
          </w:p>
          <w:p w14:paraId="2B4EBD56" w14:textId="77777777" w:rsidR="00EF5B27" w:rsidRDefault="00000000">
            <w:pPr>
              <w:pStyle w:val="TableParagraph"/>
              <w:ind w:left="368"/>
              <w:rPr>
                <w:sz w:val="14"/>
              </w:rPr>
            </w:pPr>
            <w:r>
              <w:rPr>
                <w:color w:val="4D4D4F"/>
                <w:w w:val="105"/>
                <w:sz w:val="14"/>
              </w:rPr>
              <w:t>N/A</w:t>
            </w:r>
          </w:p>
        </w:tc>
        <w:tc>
          <w:tcPr>
            <w:tcW w:w="1489" w:type="dxa"/>
          </w:tcPr>
          <w:p w14:paraId="06C25CB8" w14:textId="77777777" w:rsidR="00EF5B27" w:rsidRDefault="00000000">
            <w:pPr>
              <w:pStyle w:val="TableParagraph"/>
              <w:spacing w:before="134"/>
              <w:ind w:left="457" w:right="457"/>
              <w:jc w:val="center"/>
              <w:rPr>
                <w:sz w:val="16"/>
              </w:rPr>
            </w:pPr>
            <w:r>
              <w:rPr>
                <w:color w:val="4D4D4F"/>
                <w:w w:val="105"/>
                <w:sz w:val="16"/>
              </w:rPr>
              <w:t>Unclear</w:t>
            </w:r>
          </w:p>
        </w:tc>
      </w:tr>
    </w:tbl>
    <w:p w14:paraId="641D8007" w14:textId="77777777" w:rsidR="00EF5B27" w:rsidRDefault="00EF5B27">
      <w:pPr>
        <w:pStyle w:val="BodyText"/>
        <w:spacing w:before="3"/>
        <w:rPr>
          <w:b/>
          <w:sz w:val="34"/>
        </w:rPr>
      </w:pPr>
    </w:p>
    <w:p w14:paraId="5AC578AA" w14:textId="77777777" w:rsidR="00EF5B27" w:rsidRDefault="00000000">
      <w:pPr>
        <w:pStyle w:val="BodyText"/>
        <w:spacing w:before="1" w:line="254" w:lineRule="auto"/>
        <w:ind w:left="113" w:right="151"/>
      </w:pPr>
      <w:r>
        <w:rPr>
          <w:color w:val="4D4D4F"/>
        </w:rPr>
        <w:t>This KPI measures the cover of Kangaroo Grass (</w:t>
      </w:r>
      <w:r>
        <w:rPr>
          <w:rFonts w:ascii="Arial Narrow"/>
          <w:i/>
          <w:color w:val="4D4D4F"/>
        </w:rPr>
        <w:t>Themeda triandra</w:t>
      </w:r>
      <w:r>
        <w:rPr>
          <w:color w:val="4D4D4F"/>
        </w:rPr>
        <w:t>), which was the natural dominant of Natural Temperate Grassland and is considered a foundational species that regulates nutrient dynamics and species competition in the community.</w:t>
      </w:r>
      <w:r>
        <w:rPr>
          <w:color w:val="4D4D4F"/>
          <w:position w:val="7"/>
          <w:sz w:val="11"/>
        </w:rPr>
        <w:t xml:space="preserve">124 </w:t>
      </w:r>
      <w:r>
        <w:rPr>
          <w:color w:val="4D4D4F"/>
        </w:rPr>
        <w:t>The point intercept plots (permanent and re-allocated) provide an estimate of the cover of this species in each state in each year.</w:t>
      </w:r>
    </w:p>
    <w:p w14:paraId="64B2EFB7" w14:textId="77777777" w:rsidR="00EF5B27" w:rsidRDefault="00000000">
      <w:pPr>
        <w:pStyle w:val="BodyText"/>
        <w:spacing w:before="118" w:line="254" w:lineRule="auto"/>
        <w:ind w:left="113" w:right="308"/>
      </w:pPr>
      <w:r>
        <w:rPr>
          <w:color w:val="4D4D4F"/>
        </w:rPr>
        <w:t xml:space="preserve">For the most intact state (Herb-rich grassland), this KPI is assessed using a set baseline approach (rather than a continuous improvement approach), where the baseline remains at </w:t>
      </w:r>
      <w:r>
        <w:rPr>
          <w:color w:val="4D4D4F"/>
          <w:spacing w:val="3"/>
        </w:rPr>
        <w:t xml:space="preserve">29%. </w:t>
      </w:r>
      <w:r>
        <w:rPr>
          <w:color w:val="4D4D4F"/>
        </w:rPr>
        <w:t>This reflects the fact that Kangaroo Grass is valuable but can become over-abundant.</w:t>
      </w:r>
      <w:r>
        <w:rPr>
          <w:color w:val="4D4D4F"/>
          <w:position w:val="7"/>
          <w:sz w:val="11"/>
        </w:rPr>
        <w:t xml:space="preserve">125 </w:t>
      </w:r>
      <w:r>
        <w:rPr>
          <w:color w:val="4D4D4F"/>
        </w:rPr>
        <w:t>It is assumed that the intact Herb-rich grasslands have an acceptable level of Kangaroo Grass</w:t>
      </w:r>
      <w:r>
        <w:rPr>
          <w:color w:val="4D4D4F"/>
          <w:spacing w:val="17"/>
        </w:rPr>
        <w:t xml:space="preserve"> </w:t>
      </w:r>
      <w:r>
        <w:rPr>
          <w:color w:val="4D4D4F"/>
          <w:spacing w:val="-4"/>
        </w:rPr>
        <w:t>cover.</w:t>
      </w:r>
    </w:p>
    <w:p w14:paraId="3FA33724" w14:textId="77777777" w:rsidR="00EF5B27" w:rsidRDefault="00000000">
      <w:pPr>
        <w:pStyle w:val="BodyText"/>
        <w:spacing w:before="118" w:line="254" w:lineRule="auto"/>
        <w:ind w:left="113" w:right="439"/>
      </w:pPr>
      <w:r>
        <w:rPr>
          <w:color w:val="4D4D4F"/>
        </w:rPr>
        <w:t>For all other states, a continuous improvement approach will be taken, where any increase over the baseline in a five-year reporting period will lead to the calculation of a new baseline for subsequent reporting periods until a cover of 29% is reached, when the baseline will become fixed.</w:t>
      </w:r>
    </w:p>
    <w:p w14:paraId="73873CFD" w14:textId="77777777" w:rsidR="00EF5B27" w:rsidRDefault="00000000">
      <w:pPr>
        <w:pStyle w:val="BodyText"/>
        <w:spacing w:before="117"/>
        <w:ind w:left="113"/>
      </w:pPr>
      <w:r>
        <w:rPr>
          <w:color w:val="4D4D4F"/>
        </w:rPr>
        <w:t>The baseline has not yet been set for the other states because these states are not yet sufficiently protected.</w:t>
      </w:r>
    </w:p>
    <w:p w14:paraId="263B98BE" w14:textId="77777777" w:rsidR="00EF5B27" w:rsidRDefault="00000000">
      <w:pPr>
        <w:pStyle w:val="BodyText"/>
        <w:spacing w:before="11"/>
        <w:rPr>
          <w:sz w:val="23"/>
        </w:rPr>
      </w:pPr>
      <w:r>
        <w:pict w14:anchorId="12FA6347">
          <v:group id="_x0000_s3483" style="position:absolute;margin-left:181.3pt;margin-top:16.95pt;width:357.4pt;height:201.15pt;z-index:251500032;mso-wrap-distance-left:0;mso-wrap-distance-right:0;mso-position-horizontal-relative:page" coordorigin="3626,339" coordsize="7148,4023">
            <v:shape id="_x0000_s3485" type="#_x0000_t75" style="position:absolute;left:3628;top:341;width:7143;height:4018">
              <v:imagedata r:id="rId122" o:title=""/>
            </v:shape>
            <v:rect id="_x0000_s3484" style="position:absolute;left:3628;top:341;width:7143;height:4018" filled="f" strokeweight=".25pt"/>
            <w10:wrap type="topAndBottom" anchorx="page"/>
          </v:group>
        </w:pict>
      </w:r>
    </w:p>
    <w:p w14:paraId="575F7AFA" w14:textId="77777777" w:rsidR="00EF5B27" w:rsidRDefault="00000000">
      <w:pPr>
        <w:tabs>
          <w:tab w:val="left" w:pos="8977"/>
        </w:tabs>
        <w:spacing w:before="103" w:line="244" w:lineRule="auto"/>
        <w:ind w:left="2608" w:right="111" w:hanging="1"/>
        <w:jc w:val="both"/>
        <w:rPr>
          <w:rFonts w:ascii="Century Gothic"/>
          <w:i/>
          <w:sz w:val="12"/>
        </w:rPr>
      </w:pPr>
      <w:r>
        <w:rPr>
          <w:color w:val="4D4D4F"/>
          <w:sz w:val="16"/>
        </w:rPr>
        <w:t>Figure 10: Cover of Kangaroo Grass (</w:t>
      </w:r>
      <w:r>
        <w:rPr>
          <w:rFonts w:ascii="Arial Narrow"/>
          <w:i/>
          <w:color w:val="4D4D4F"/>
          <w:sz w:val="16"/>
        </w:rPr>
        <w:t>Themeda triandra</w:t>
      </w:r>
      <w:r>
        <w:rPr>
          <w:color w:val="4D4D4F"/>
          <w:sz w:val="16"/>
        </w:rPr>
        <w:t xml:space="preserve">), displayed by state. The </w:t>
      </w:r>
      <w:r>
        <w:rPr>
          <w:color w:val="4D4D4F"/>
          <w:spacing w:val="2"/>
          <w:sz w:val="16"/>
        </w:rPr>
        <w:t xml:space="preserve">error </w:t>
      </w:r>
      <w:r>
        <w:rPr>
          <w:color w:val="4D4D4F"/>
          <w:sz w:val="16"/>
        </w:rPr>
        <w:t>bars represent 95% confidence intervals. The upper panel shows the annual data (faint line), five-year rolling mean (heavy line) and the baseline (dashed line) for those states which have had baselines set. The lower panel shows the annual data for</w:t>
      </w:r>
      <w:r>
        <w:rPr>
          <w:color w:val="4D4D4F"/>
          <w:spacing w:val="25"/>
          <w:sz w:val="16"/>
        </w:rPr>
        <w:t xml:space="preserve"> </w:t>
      </w:r>
      <w:r>
        <w:rPr>
          <w:color w:val="4D4D4F"/>
          <w:sz w:val="16"/>
        </w:rPr>
        <w:t>all</w:t>
      </w:r>
      <w:r>
        <w:rPr>
          <w:color w:val="4D4D4F"/>
          <w:spacing w:val="8"/>
          <w:sz w:val="16"/>
        </w:rPr>
        <w:t xml:space="preserve"> </w:t>
      </w:r>
      <w:r>
        <w:rPr>
          <w:color w:val="4D4D4F"/>
          <w:sz w:val="16"/>
        </w:rPr>
        <w:t>states.</w:t>
      </w:r>
      <w:r>
        <w:rPr>
          <w:color w:val="4D4D4F"/>
          <w:sz w:val="16"/>
        </w:rPr>
        <w:tab/>
      </w:r>
      <w:r>
        <w:rPr>
          <w:rFonts w:ascii="Century Gothic"/>
          <w:i/>
          <w:color w:val="4D4D4F"/>
          <w:w w:val="90"/>
          <w:sz w:val="12"/>
        </w:rPr>
        <w:t>Source:</w:t>
      </w:r>
      <w:r>
        <w:rPr>
          <w:rFonts w:ascii="Century Gothic"/>
          <w:i/>
          <w:color w:val="4D4D4F"/>
          <w:spacing w:val="1"/>
          <w:w w:val="90"/>
          <w:sz w:val="12"/>
        </w:rPr>
        <w:t xml:space="preserve"> </w:t>
      </w:r>
      <w:r>
        <w:rPr>
          <w:rFonts w:ascii="Century Gothic"/>
          <w:i/>
          <w:color w:val="4D4D4F"/>
          <w:spacing w:val="-5"/>
          <w:w w:val="90"/>
          <w:sz w:val="12"/>
        </w:rPr>
        <w:t>DELWP</w:t>
      </w:r>
    </w:p>
    <w:p w14:paraId="04FDAD61" w14:textId="77777777" w:rsidR="00EF5B27" w:rsidRDefault="00000000">
      <w:pPr>
        <w:pStyle w:val="BodyText"/>
        <w:spacing w:before="9"/>
        <w:rPr>
          <w:rFonts w:ascii="Century Gothic"/>
          <w:i/>
          <w:sz w:val="24"/>
        </w:rPr>
      </w:pPr>
      <w:r>
        <w:pict w14:anchorId="2ABF522B">
          <v:line id="_x0000_s3482" style="position:absolute;z-index:251502080;mso-wrap-distance-left:0;mso-wrap-distance-right:0;mso-position-horizontal-relative:page" from="56.7pt,17.4pt" to="538.6pt,17.4pt" strokecolor="#4d4d4f" strokeweight=".5pt">
            <w10:wrap type="topAndBottom" anchorx="page"/>
          </v:line>
        </w:pict>
      </w:r>
    </w:p>
    <w:p w14:paraId="12F10C93" w14:textId="77777777" w:rsidR="00EF5B27" w:rsidRDefault="00000000">
      <w:pPr>
        <w:pStyle w:val="ListParagraph"/>
        <w:numPr>
          <w:ilvl w:val="0"/>
          <w:numId w:val="44"/>
        </w:numPr>
        <w:tabs>
          <w:tab w:val="left" w:pos="341"/>
        </w:tabs>
        <w:spacing w:before="83" w:line="143" w:lineRule="exact"/>
        <w:ind w:left="340"/>
        <w:jc w:val="left"/>
        <w:rPr>
          <w:sz w:val="12"/>
        </w:rPr>
      </w:pPr>
      <w:r>
        <w:rPr>
          <w:color w:val="4D4D4F"/>
          <w:w w:val="105"/>
          <w:sz w:val="12"/>
        </w:rPr>
        <w:t>Prober</w:t>
      </w:r>
      <w:r>
        <w:rPr>
          <w:color w:val="4D4D4F"/>
          <w:spacing w:val="-13"/>
          <w:w w:val="105"/>
          <w:sz w:val="12"/>
        </w:rPr>
        <w:t xml:space="preserve"> </w:t>
      </w:r>
      <w:r>
        <w:rPr>
          <w:color w:val="4D4D4F"/>
          <w:w w:val="105"/>
          <w:sz w:val="12"/>
        </w:rPr>
        <w:t>SM</w:t>
      </w:r>
      <w:r>
        <w:rPr>
          <w:color w:val="4D4D4F"/>
          <w:spacing w:val="-12"/>
          <w:w w:val="105"/>
          <w:sz w:val="12"/>
        </w:rPr>
        <w:t xml:space="preserve"> </w:t>
      </w:r>
      <w:r>
        <w:rPr>
          <w:color w:val="4D4D4F"/>
          <w:w w:val="105"/>
          <w:sz w:val="12"/>
        </w:rPr>
        <w:t>and</w:t>
      </w:r>
      <w:r>
        <w:rPr>
          <w:color w:val="4D4D4F"/>
          <w:spacing w:val="-13"/>
          <w:w w:val="105"/>
          <w:sz w:val="12"/>
        </w:rPr>
        <w:t xml:space="preserve"> </w:t>
      </w:r>
      <w:r>
        <w:rPr>
          <w:color w:val="4D4D4F"/>
          <w:w w:val="105"/>
          <w:sz w:val="12"/>
        </w:rPr>
        <w:t>Lunt</w:t>
      </w:r>
      <w:r>
        <w:rPr>
          <w:color w:val="4D4D4F"/>
          <w:spacing w:val="-12"/>
          <w:w w:val="105"/>
          <w:sz w:val="12"/>
        </w:rPr>
        <w:t xml:space="preserve"> </w:t>
      </w:r>
      <w:r>
        <w:rPr>
          <w:color w:val="4D4D4F"/>
          <w:w w:val="105"/>
          <w:sz w:val="12"/>
        </w:rPr>
        <w:t>ID</w:t>
      </w:r>
      <w:r>
        <w:rPr>
          <w:color w:val="4D4D4F"/>
          <w:spacing w:val="-13"/>
          <w:w w:val="105"/>
          <w:sz w:val="12"/>
        </w:rPr>
        <w:t xml:space="preserve"> </w:t>
      </w:r>
      <w:r>
        <w:rPr>
          <w:color w:val="4D4D4F"/>
          <w:w w:val="105"/>
          <w:sz w:val="12"/>
        </w:rPr>
        <w:t>2009.</w:t>
      </w:r>
      <w:r>
        <w:rPr>
          <w:color w:val="4D4D4F"/>
          <w:spacing w:val="-12"/>
          <w:w w:val="105"/>
          <w:sz w:val="12"/>
        </w:rPr>
        <w:t xml:space="preserve"> </w:t>
      </w:r>
      <w:r>
        <w:rPr>
          <w:color w:val="4D4D4F"/>
          <w:w w:val="105"/>
          <w:sz w:val="12"/>
        </w:rPr>
        <w:t>‘Restoration</w:t>
      </w:r>
      <w:r>
        <w:rPr>
          <w:color w:val="4D4D4F"/>
          <w:spacing w:val="-13"/>
          <w:w w:val="105"/>
          <w:sz w:val="12"/>
        </w:rPr>
        <w:t xml:space="preserve"> </w:t>
      </w:r>
      <w:r>
        <w:rPr>
          <w:color w:val="4D4D4F"/>
          <w:w w:val="105"/>
          <w:sz w:val="12"/>
        </w:rPr>
        <w:t>of</w:t>
      </w:r>
      <w:r>
        <w:rPr>
          <w:color w:val="4D4D4F"/>
          <w:spacing w:val="-12"/>
          <w:w w:val="105"/>
          <w:sz w:val="12"/>
        </w:rPr>
        <w:t xml:space="preserve"> </w:t>
      </w:r>
      <w:r>
        <w:rPr>
          <w:rFonts w:ascii="Arial Narrow" w:hAnsi="Arial Narrow"/>
          <w:i/>
          <w:color w:val="4D4D4F"/>
          <w:w w:val="105"/>
          <w:sz w:val="12"/>
        </w:rPr>
        <w:t>Themeda</w:t>
      </w:r>
      <w:r>
        <w:rPr>
          <w:rFonts w:ascii="Arial Narrow" w:hAnsi="Arial Narrow"/>
          <w:i/>
          <w:color w:val="4D4D4F"/>
          <w:spacing w:val="-13"/>
          <w:w w:val="105"/>
          <w:sz w:val="12"/>
        </w:rPr>
        <w:t xml:space="preserve"> </w:t>
      </w:r>
      <w:r>
        <w:rPr>
          <w:rFonts w:ascii="Arial Narrow" w:hAnsi="Arial Narrow"/>
          <w:i/>
          <w:color w:val="4D4D4F"/>
          <w:w w:val="105"/>
          <w:sz w:val="12"/>
        </w:rPr>
        <w:t>australis</w:t>
      </w:r>
      <w:r>
        <w:rPr>
          <w:rFonts w:ascii="Arial Narrow" w:hAnsi="Arial Narrow"/>
          <w:i/>
          <w:color w:val="4D4D4F"/>
          <w:spacing w:val="-12"/>
          <w:w w:val="105"/>
          <w:sz w:val="12"/>
        </w:rPr>
        <w:t xml:space="preserve"> </w:t>
      </w:r>
      <w:r>
        <w:rPr>
          <w:color w:val="4D4D4F"/>
          <w:w w:val="105"/>
          <w:sz w:val="12"/>
        </w:rPr>
        <w:t>swards</w:t>
      </w:r>
      <w:r>
        <w:rPr>
          <w:color w:val="4D4D4F"/>
          <w:spacing w:val="-12"/>
          <w:w w:val="105"/>
          <w:sz w:val="12"/>
        </w:rPr>
        <w:t xml:space="preserve"> </w:t>
      </w:r>
      <w:r>
        <w:rPr>
          <w:color w:val="4D4D4F"/>
          <w:w w:val="105"/>
          <w:sz w:val="12"/>
        </w:rPr>
        <w:t>suppresses</w:t>
      </w:r>
      <w:r>
        <w:rPr>
          <w:color w:val="4D4D4F"/>
          <w:spacing w:val="-13"/>
          <w:w w:val="105"/>
          <w:sz w:val="12"/>
        </w:rPr>
        <w:t xml:space="preserve"> </w:t>
      </w:r>
      <w:r>
        <w:rPr>
          <w:color w:val="4D4D4F"/>
          <w:w w:val="105"/>
          <w:sz w:val="12"/>
        </w:rPr>
        <w:t>soil</w:t>
      </w:r>
      <w:r>
        <w:rPr>
          <w:color w:val="4D4D4F"/>
          <w:spacing w:val="-12"/>
          <w:w w:val="105"/>
          <w:sz w:val="12"/>
        </w:rPr>
        <w:t xml:space="preserve"> </w:t>
      </w:r>
      <w:r>
        <w:rPr>
          <w:color w:val="4D4D4F"/>
          <w:w w:val="105"/>
          <w:sz w:val="12"/>
        </w:rPr>
        <w:t>nitrate</w:t>
      </w:r>
      <w:r>
        <w:rPr>
          <w:color w:val="4D4D4F"/>
          <w:spacing w:val="-13"/>
          <w:w w:val="105"/>
          <w:sz w:val="12"/>
        </w:rPr>
        <w:t xml:space="preserve"> </w:t>
      </w:r>
      <w:r>
        <w:rPr>
          <w:color w:val="4D4D4F"/>
          <w:w w:val="105"/>
          <w:sz w:val="12"/>
        </w:rPr>
        <w:t>and</w:t>
      </w:r>
      <w:r>
        <w:rPr>
          <w:color w:val="4D4D4F"/>
          <w:spacing w:val="-12"/>
          <w:w w:val="105"/>
          <w:sz w:val="12"/>
        </w:rPr>
        <w:t xml:space="preserve"> </w:t>
      </w:r>
      <w:r>
        <w:rPr>
          <w:color w:val="4D4D4F"/>
          <w:w w:val="105"/>
          <w:sz w:val="12"/>
        </w:rPr>
        <w:t>enhances</w:t>
      </w:r>
      <w:r>
        <w:rPr>
          <w:color w:val="4D4D4F"/>
          <w:spacing w:val="-13"/>
          <w:w w:val="105"/>
          <w:sz w:val="12"/>
        </w:rPr>
        <w:t xml:space="preserve"> </w:t>
      </w:r>
      <w:r>
        <w:rPr>
          <w:color w:val="4D4D4F"/>
          <w:w w:val="105"/>
          <w:sz w:val="12"/>
        </w:rPr>
        <w:t>ecological</w:t>
      </w:r>
      <w:r>
        <w:rPr>
          <w:color w:val="4D4D4F"/>
          <w:spacing w:val="-12"/>
          <w:w w:val="105"/>
          <w:sz w:val="12"/>
        </w:rPr>
        <w:t xml:space="preserve"> </w:t>
      </w:r>
      <w:r>
        <w:rPr>
          <w:color w:val="4D4D4F"/>
          <w:w w:val="105"/>
          <w:sz w:val="12"/>
        </w:rPr>
        <w:t>resistance</w:t>
      </w:r>
      <w:r>
        <w:rPr>
          <w:color w:val="4D4D4F"/>
          <w:spacing w:val="-13"/>
          <w:w w:val="105"/>
          <w:sz w:val="12"/>
        </w:rPr>
        <w:t xml:space="preserve"> </w:t>
      </w:r>
      <w:r>
        <w:rPr>
          <w:color w:val="4D4D4F"/>
          <w:w w:val="105"/>
          <w:sz w:val="12"/>
        </w:rPr>
        <w:t>to</w:t>
      </w:r>
      <w:r>
        <w:rPr>
          <w:color w:val="4D4D4F"/>
          <w:spacing w:val="-12"/>
          <w:w w:val="105"/>
          <w:sz w:val="12"/>
        </w:rPr>
        <w:t xml:space="preserve"> </w:t>
      </w:r>
      <w:r>
        <w:rPr>
          <w:color w:val="4D4D4F"/>
          <w:w w:val="105"/>
          <w:sz w:val="12"/>
        </w:rPr>
        <w:t>invasion</w:t>
      </w:r>
      <w:r>
        <w:rPr>
          <w:color w:val="4D4D4F"/>
          <w:spacing w:val="-12"/>
          <w:w w:val="105"/>
          <w:sz w:val="12"/>
        </w:rPr>
        <w:t xml:space="preserve"> </w:t>
      </w:r>
      <w:r>
        <w:rPr>
          <w:color w:val="4D4D4F"/>
          <w:w w:val="105"/>
          <w:sz w:val="12"/>
        </w:rPr>
        <w:t>by</w:t>
      </w:r>
      <w:r>
        <w:rPr>
          <w:color w:val="4D4D4F"/>
          <w:spacing w:val="-13"/>
          <w:w w:val="105"/>
          <w:sz w:val="12"/>
        </w:rPr>
        <w:t xml:space="preserve"> </w:t>
      </w:r>
      <w:r>
        <w:rPr>
          <w:color w:val="4D4D4F"/>
          <w:w w:val="105"/>
          <w:sz w:val="12"/>
        </w:rPr>
        <w:t>exotic</w:t>
      </w:r>
      <w:r>
        <w:rPr>
          <w:color w:val="4D4D4F"/>
          <w:spacing w:val="-12"/>
          <w:w w:val="105"/>
          <w:sz w:val="12"/>
        </w:rPr>
        <w:t xml:space="preserve"> </w:t>
      </w:r>
      <w:r>
        <w:rPr>
          <w:color w:val="4D4D4F"/>
          <w:w w:val="105"/>
          <w:sz w:val="12"/>
        </w:rPr>
        <w:t>annuals.’</w:t>
      </w:r>
      <w:r>
        <w:rPr>
          <w:color w:val="4D4D4F"/>
          <w:spacing w:val="-13"/>
          <w:w w:val="105"/>
          <w:sz w:val="12"/>
        </w:rPr>
        <w:t xml:space="preserve"> </w:t>
      </w:r>
      <w:r>
        <w:rPr>
          <w:color w:val="4D4D4F"/>
          <w:w w:val="105"/>
          <w:sz w:val="12"/>
        </w:rPr>
        <w:t>Biological</w:t>
      </w:r>
      <w:r>
        <w:rPr>
          <w:color w:val="4D4D4F"/>
          <w:spacing w:val="-12"/>
          <w:w w:val="105"/>
          <w:sz w:val="12"/>
        </w:rPr>
        <w:t xml:space="preserve"> </w:t>
      </w:r>
      <w:r>
        <w:rPr>
          <w:color w:val="4D4D4F"/>
          <w:w w:val="105"/>
          <w:sz w:val="12"/>
        </w:rPr>
        <w:t>Invasions</w:t>
      </w:r>
      <w:r>
        <w:rPr>
          <w:color w:val="4D4D4F"/>
          <w:spacing w:val="-13"/>
          <w:w w:val="105"/>
          <w:sz w:val="12"/>
        </w:rPr>
        <w:t xml:space="preserve"> </w:t>
      </w:r>
      <w:r>
        <w:rPr>
          <w:color w:val="4D4D4F"/>
          <w:spacing w:val="-6"/>
          <w:w w:val="105"/>
          <w:sz w:val="12"/>
        </w:rPr>
        <w:t>11,</w:t>
      </w:r>
      <w:r>
        <w:rPr>
          <w:color w:val="4D4D4F"/>
          <w:spacing w:val="-12"/>
          <w:w w:val="105"/>
          <w:sz w:val="12"/>
        </w:rPr>
        <w:t xml:space="preserve"> </w:t>
      </w:r>
      <w:r>
        <w:rPr>
          <w:color w:val="4D4D4F"/>
          <w:spacing w:val="-5"/>
          <w:w w:val="105"/>
          <w:sz w:val="12"/>
        </w:rPr>
        <w:t>171-181.</w:t>
      </w:r>
    </w:p>
    <w:p w14:paraId="447C2EEE" w14:textId="77777777" w:rsidR="00EF5B27" w:rsidRDefault="00000000">
      <w:pPr>
        <w:pStyle w:val="ListParagraph"/>
        <w:numPr>
          <w:ilvl w:val="0"/>
          <w:numId w:val="44"/>
        </w:numPr>
        <w:tabs>
          <w:tab w:val="left" w:pos="341"/>
        </w:tabs>
        <w:spacing w:before="2" w:line="230" w:lineRule="auto"/>
        <w:ind w:left="340" w:right="111"/>
        <w:jc w:val="left"/>
        <w:rPr>
          <w:sz w:val="12"/>
        </w:rPr>
      </w:pPr>
      <w:r>
        <w:rPr>
          <w:color w:val="4D4D4F"/>
          <w:sz w:val="12"/>
        </w:rPr>
        <w:t xml:space="preserve">Stuwe </w:t>
      </w:r>
      <w:r>
        <w:rPr>
          <w:color w:val="4D4D4F"/>
          <w:w w:val="130"/>
          <w:sz w:val="12"/>
        </w:rPr>
        <w:t xml:space="preserve">J </w:t>
      </w:r>
      <w:r>
        <w:rPr>
          <w:color w:val="4D4D4F"/>
          <w:sz w:val="12"/>
        </w:rPr>
        <w:t xml:space="preserve">1986, ‘An assessment of the conservation status of native grasslands on the western plains, Victoria and sites of botanical significance.’ ARI Technical </w:t>
      </w:r>
      <w:r>
        <w:rPr>
          <w:color w:val="4D4D4F"/>
          <w:spacing w:val="2"/>
          <w:sz w:val="12"/>
        </w:rPr>
        <w:t xml:space="preserve">Report </w:t>
      </w:r>
      <w:r>
        <w:rPr>
          <w:color w:val="4D4D4F"/>
          <w:sz w:val="12"/>
        </w:rPr>
        <w:t xml:space="preserve">Series No. </w:t>
      </w:r>
      <w:r>
        <w:rPr>
          <w:color w:val="4D4D4F"/>
          <w:spacing w:val="2"/>
          <w:sz w:val="12"/>
        </w:rPr>
        <w:t xml:space="preserve">48, Conservation Forests </w:t>
      </w:r>
      <w:r>
        <w:rPr>
          <w:color w:val="4D4D4F"/>
          <w:sz w:val="12"/>
        </w:rPr>
        <w:t xml:space="preserve">&amp; </w:t>
      </w:r>
      <w:r>
        <w:rPr>
          <w:color w:val="4D4D4F"/>
          <w:spacing w:val="2"/>
          <w:sz w:val="12"/>
        </w:rPr>
        <w:t xml:space="preserve">Lands, </w:t>
      </w:r>
      <w:r>
        <w:rPr>
          <w:color w:val="4D4D4F"/>
          <w:sz w:val="12"/>
        </w:rPr>
        <w:t xml:space="preserve">Fisheries and Wildlife </w:t>
      </w:r>
      <w:r>
        <w:rPr>
          <w:color w:val="4D4D4F"/>
          <w:spacing w:val="2"/>
          <w:sz w:val="12"/>
        </w:rPr>
        <w:t xml:space="preserve">Service, </w:t>
      </w:r>
      <w:r>
        <w:rPr>
          <w:color w:val="4D4D4F"/>
          <w:sz w:val="12"/>
        </w:rPr>
        <w:t>Heidelberg,</w:t>
      </w:r>
      <w:r>
        <w:rPr>
          <w:color w:val="4D4D4F"/>
          <w:spacing w:val="16"/>
          <w:sz w:val="12"/>
        </w:rPr>
        <w:t xml:space="preserve"> </w:t>
      </w:r>
      <w:r>
        <w:rPr>
          <w:color w:val="4D4D4F"/>
          <w:sz w:val="12"/>
        </w:rPr>
        <w:t>Victoria.</w:t>
      </w:r>
    </w:p>
    <w:p w14:paraId="6B213DE5"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7550676F" w14:textId="77777777" w:rsidR="00EF5B27" w:rsidRDefault="00000000">
      <w:pPr>
        <w:pStyle w:val="BodyText"/>
      </w:pPr>
      <w:r>
        <w:lastRenderedPageBreak/>
        <w:pict w14:anchorId="08BFF804">
          <v:group id="_x0000_s3474" style="position:absolute;margin-left:587.05pt;margin-top:183.4pt;width:8.25pt;height:153.1pt;z-index:251566592;mso-position-horizontal-relative:page;mso-position-vertical-relative:page" coordorigin="11741,3668" coordsize="165,3062">
            <v:shape id="_x0000_s3481" style="position:absolute;left:11741;top:3668;width:165;height:561" coordorigin="11741,3668" coordsize="165,561" path="m11906,3668r-165,l11741,4228r165,-18l11906,3668xe" fillcolor="#00aed9" stroked="f">
              <v:path arrowok="t"/>
            </v:shape>
            <v:shape id="_x0000_s3480" style="position:absolute;left:11741;top:4118;width:165;height:425" coordorigin="11741,4118" coordsize="165,425" path="m11906,4118r-165,14l11741,4531r165,12l11906,4118xe" fillcolor="#047ebc" stroked="f">
              <v:path arrowok="t"/>
            </v:shape>
            <v:shape id="_x0000_s3479" type="#_x0000_t75" style="position:absolute;left:11741;top:4355;width:165;height:587">
              <v:imagedata r:id="rId42" o:title=""/>
            </v:shape>
            <v:shape id="_x0000_s3478" style="position:absolute;left:11741;top:5343;width:165;height:536" coordorigin="11741,5343" coordsize="165,536" path="m11741,5343r,535l11906,5872r,-525l11741,5343xe" fillcolor="#f36a2e" stroked="f">
              <v:path arrowok="t"/>
            </v:shape>
            <v:shape id="_x0000_s3477" style="position:absolute;left:11741;top:4925;width:165;height:501" coordorigin="11741,4926" coordsize="165,501" path="m11741,4926r,500l11906,5426r,-485l11741,4926xe" fillcolor="#49783f" stroked="f">
              <v:path arrowok="t"/>
            </v:shape>
            <v:shape id="_x0000_s3476" style="position:absolute;left:11741;top:5781;width:165;height:268" coordorigin="11741,5782" coordsize="165,268" path="m11906,5782r-165,8l11741,6039r165,10l11906,5782xe" fillcolor="#f99f2a" stroked="f">
              <v:path arrowok="t"/>
            </v:shape>
            <v:shape id="_x0000_s3475" style="position:absolute;left:11741;top:6023;width:165;height:707" coordorigin="11741,6023" coordsize="165,707" path="m11741,6023r,706l11906,6729r,-690l11741,6023xe" fillcolor="#ef412c" stroked="f">
              <v:path arrowok="t"/>
            </v:shape>
            <w10:wrap anchorx="page" anchory="page"/>
          </v:group>
        </w:pict>
      </w:r>
    </w:p>
    <w:p w14:paraId="289D073C" w14:textId="77777777" w:rsidR="00EF5B27" w:rsidRDefault="00EF5B27">
      <w:pPr>
        <w:pStyle w:val="BodyText"/>
      </w:pPr>
    </w:p>
    <w:p w14:paraId="2B2B50A8" w14:textId="77777777" w:rsidR="00EF5B27" w:rsidRDefault="00EF5B27">
      <w:pPr>
        <w:pStyle w:val="BodyText"/>
      </w:pPr>
    </w:p>
    <w:p w14:paraId="37C1F7ED" w14:textId="77777777" w:rsidR="00EF5B27" w:rsidRDefault="00EF5B27">
      <w:pPr>
        <w:pStyle w:val="BodyText"/>
        <w:spacing w:before="6"/>
        <w:rPr>
          <w:sz w:val="24"/>
        </w:rPr>
      </w:pPr>
    </w:p>
    <w:p w14:paraId="27511019" w14:textId="77777777" w:rsidR="00EF5B27" w:rsidRDefault="00000000">
      <w:pPr>
        <w:pStyle w:val="Heading6"/>
        <w:spacing w:before="111"/>
      </w:pPr>
      <w:bookmarkStart w:id="40" w:name="_bookmark33"/>
      <w:bookmarkStart w:id="41" w:name="_heading=h.4f1mdlm"/>
      <w:bookmarkEnd w:id="40"/>
      <w:bookmarkEnd w:id="41"/>
      <w:r>
        <w:rPr>
          <w:color w:val="4D4D4F"/>
          <w:w w:val="105"/>
        </w:rPr>
        <w:t>KPI 5: Cover of any native perennial grasses (excluding Kangaroo Grass)</w:t>
      </w:r>
    </w:p>
    <w:p w14:paraId="6BE3501E" w14:textId="77777777" w:rsidR="00EF5B27" w:rsidRDefault="00EF5B27">
      <w:pPr>
        <w:pStyle w:val="BodyText"/>
        <w:spacing w:before="2"/>
        <w:rPr>
          <w:b/>
          <w:sz w:val="14"/>
        </w:rPr>
      </w:pPr>
    </w:p>
    <w:tbl>
      <w:tblPr>
        <w:tblW w:w="0" w:type="auto"/>
        <w:tblInd w:w="12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0F7CBB38" w14:textId="77777777">
        <w:trPr>
          <w:trHeight w:val="561"/>
        </w:trPr>
        <w:tc>
          <w:tcPr>
            <w:tcW w:w="2980" w:type="dxa"/>
            <w:shd w:val="clear" w:color="auto" w:fill="FECC91"/>
          </w:tcPr>
          <w:p w14:paraId="0A858237" w14:textId="77777777" w:rsidR="00EF5B27" w:rsidRDefault="00000000">
            <w:pPr>
              <w:pStyle w:val="TableParagraph"/>
              <w:spacing w:before="91" w:line="244" w:lineRule="auto"/>
              <w:ind w:left="80" w:right="244"/>
              <w:rPr>
                <w:b/>
                <w:sz w:val="16"/>
              </w:rPr>
            </w:pPr>
            <w:r>
              <w:rPr>
                <w:b/>
                <w:sz w:val="16"/>
              </w:rPr>
              <w:t>KPI 5: Cover of any native perennial grass (ex. Kangaroo Grass)</w:t>
            </w:r>
          </w:p>
        </w:tc>
        <w:tc>
          <w:tcPr>
            <w:tcW w:w="1078" w:type="dxa"/>
            <w:shd w:val="clear" w:color="auto" w:fill="FECC91"/>
          </w:tcPr>
          <w:p w14:paraId="3EE14070"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6271D4F6" w14:textId="77777777" w:rsidR="00EF5B27" w:rsidRDefault="00EF5B27">
            <w:pPr>
              <w:pStyle w:val="TableParagraph"/>
              <w:spacing w:before="7"/>
              <w:rPr>
                <w:b/>
                <w:sz w:val="15"/>
              </w:rPr>
            </w:pPr>
          </w:p>
          <w:p w14:paraId="4403DE1F"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636D35A8" w14:textId="77777777" w:rsidR="00EF5B27" w:rsidRDefault="00EF5B27">
            <w:pPr>
              <w:pStyle w:val="TableParagraph"/>
              <w:spacing w:before="7"/>
              <w:rPr>
                <w:b/>
                <w:sz w:val="15"/>
              </w:rPr>
            </w:pPr>
          </w:p>
          <w:p w14:paraId="6FB06B89"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5E1A4A1F"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319A8212"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6A97148A" w14:textId="77777777">
        <w:trPr>
          <w:trHeight w:val="448"/>
        </w:trPr>
        <w:tc>
          <w:tcPr>
            <w:tcW w:w="2980" w:type="dxa"/>
          </w:tcPr>
          <w:p w14:paraId="3F26FC2E" w14:textId="77777777" w:rsidR="00EF5B27" w:rsidRDefault="00EF5B27">
            <w:pPr>
              <w:pStyle w:val="TableParagraph"/>
              <w:spacing w:before="11"/>
              <w:rPr>
                <w:b/>
                <w:sz w:val="11"/>
              </w:rPr>
            </w:pPr>
          </w:p>
          <w:p w14:paraId="55A54A53" w14:textId="77777777" w:rsidR="00EF5B27" w:rsidRDefault="00000000">
            <w:pPr>
              <w:pStyle w:val="TableParagraph"/>
              <w:ind w:left="80"/>
              <w:rPr>
                <w:sz w:val="14"/>
              </w:rPr>
            </w:pPr>
            <w:r>
              <w:rPr>
                <w:color w:val="4D4D4F"/>
                <w:w w:val="105"/>
                <w:sz w:val="14"/>
              </w:rPr>
              <w:t>Herb-rich grassland</w:t>
            </w:r>
          </w:p>
        </w:tc>
        <w:tc>
          <w:tcPr>
            <w:tcW w:w="1078" w:type="dxa"/>
          </w:tcPr>
          <w:p w14:paraId="41213548" w14:textId="77777777" w:rsidR="00EF5B27" w:rsidRDefault="00EF5B27">
            <w:pPr>
              <w:pStyle w:val="TableParagraph"/>
              <w:spacing w:before="11"/>
              <w:rPr>
                <w:b/>
                <w:sz w:val="11"/>
              </w:rPr>
            </w:pPr>
          </w:p>
          <w:p w14:paraId="3205F0E9" w14:textId="77777777" w:rsidR="00EF5B27" w:rsidRDefault="00000000">
            <w:pPr>
              <w:pStyle w:val="TableParagraph"/>
              <w:ind w:left="128" w:right="124"/>
              <w:jc w:val="center"/>
              <w:rPr>
                <w:sz w:val="14"/>
              </w:rPr>
            </w:pPr>
            <w:r>
              <w:rPr>
                <w:color w:val="4D4D4F"/>
                <w:sz w:val="14"/>
              </w:rPr>
              <w:t>Met</w:t>
            </w:r>
          </w:p>
        </w:tc>
        <w:tc>
          <w:tcPr>
            <w:tcW w:w="2155" w:type="dxa"/>
          </w:tcPr>
          <w:p w14:paraId="28F7E7BF" w14:textId="77777777" w:rsidR="00EF5B27" w:rsidRDefault="00EF5B27">
            <w:pPr>
              <w:pStyle w:val="TableParagraph"/>
              <w:spacing w:before="11"/>
              <w:rPr>
                <w:b/>
                <w:sz w:val="11"/>
              </w:rPr>
            </w:pPr>
          </w:p>
          <w:p w14:paraId="498260B4" w14:textId="77777777" w:rsidR="00EF5B27" w:rsidRDefault="00000000">
            <w:pPr>
              <w:pStyle w:val="TableParagraph"/>
              <w:ind w:left="139" w:right="142"/>
              <w:jc w:val="center"/>
              <w:rPr>
                <w:sz w:val="14"/>
              </w:rPr>
            </w:pPr>
            <w:r>
              <w:rPr>
                <w:color w:val="4D4D4F"/>
                <w:w w:val="105"/>
                <w:sz w:val="14"/>
              </w:rPr>
              <w:t>N/A</w:t>
            </w:r>
          </w:p>
        </w:tc>
        <w:tc>
          <w:tcPr>
            <w:tcW w:w="964" w:type="dxa"/>
          </w:tcPr>
          <w:p w14:paraId="29C4BCD2" w14:textId="77777777" w:rsidR="00EF5B27" w:rsidRDefault="00EF5B27">
            <w:pPr>
              <w:pStyle w:val="TableParagraph"/>
              <w:spacing w:before="8"/>
              <w:rPr>
                <w:b/>
                <w:sz w:val="8"/>
              </w:rPr>
            </w:pPr>
          </w:p>
          <w:p w14:paraId="7B8C9F8C" w14:textId="77777777" w:rsidR="00EF5B27" w:rsidRDefault="00000000">
            <w:pPr>
              <w:pStyle w:val="TableParagraph"/>
              <w:spacing w:line="232" w:lineRule="exact"/>
              <w:ind w:left="427"/>
              <w:rPr>
                <w:sz w:val="20"/>
              </w:rPr>
            </w:pPr>
            <w:r>
              <w:rPr>
                <w:noProof/>
                <w:position w:val="-4"/>
                <w:sz w:val="20"/>
              </w:rPr>
              <w:drawing>
                <wp:inline distT="0" distB="0" distL="0" distR="0" wp14:anchorId="479A745D" wp14:editId="0B6EF57F">
                  <wp:extent cx="64988" cy="147637"/>
                  <wp:effectExtent l="0" t="0" r="0" b="0"/>
                  <wp:docPr id="33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50.png"/>
                          <pic:cNvPicPr/>
                        </pic:nvPicPr>
                        <pic:blipFill>
                          <a:blip r:embed="rId81" cstate="print"/>
                          <a:stretch>
                            <a:fillRect/>
                          </a:stretch>
                        </pic:blipFill>
                        <pic:spPr>
                          <a:xfrm>
                            <a:off x="0" y="0"/>
                            <a:ext cx="64988" cy="147637"/>
                          </a:xfrm>
                          <a:prstGeom prst="rect">
                            <a:avLst/>
                          </a:prstGeom>
                        </pic:spPr>
                      </pic:pic>
                    </a:graphicData>
                  </a:graphic>
                </wp:inline>
              </w:drawing>
            </w:r>
          </w:p>
        </w:tc>
        <w:tc>
          <w:tcPr>
            <w:tcW w:w="964" w:type="dxa"/>
          </w:tcPr>
          <w:p w14:paraId="5CD1C734" w14:textId="77777777" w:rsidR="00EF5B27" w:rsidRDefault="00EF5B27">
            <w:pPr>
              <w:pStyle w:val="TableParagraph"/>
              <w:spacing w:before="11"/>
              <w:rPr>
                <w:b/>
                <w:sz w:val="11"/>
              </w:rPr>
            </w:pPr>
          </w:p>
          <w:p w14:paraId="76D3EDC7" w14:textId="77777777" w:rsidR="00EF5B27" w:rsidRDefault="00000000">
            <w:pPr>
              <w:pStyle w:val="TableParagraph"/>
              <w:ind w:left="344"/>
              <w:rPr>
                <w:sz w:val="14"/>
              </w:rPr>
            </w:pPr>
            <w:r>
              <w:rPr>
                <w:color w:val="4D4D4F"/>
                <w:w w:val="105"/>
                <w:sz w:val="14"/>
              </w:rPr>
              <w:t>High</w:t>
            </w:r>
          </w:p>
        </w:tc>
        <w:tc>
          <w:tcPr>
            <w:tcW w:w="1489" w:type="dxa"/>
          </w:tcPr>
          <w:p w14:paraId="3B55EDF8" w14:textId="77777777" w:rsidR="00EF5B27" w:rsidRDefault="00000000">
            <w:pPr>
              <w:pStyle w:val="TableParagraph"/>
              <w:spacing w:before="134"/>
              <w:ind w:left="452" w:right="457"/>
              <w:jc w:val="center"/>
              <w:rPr>
                <w:sz w:val="16"/>
              </w:rPr>
            </w:pPr>
            <w:r>
              <w:rPr>
                <w:color w:val="4D4D4F"/>
                <w:sz w:val="16"/>
              </w:rPr>
              <w:t>2013</w:t>
            </w:r>
          </w:p>
        </w:tc>
      </w:tr>
      <w:tr w:rsidR="00EF5B27" w14:paraId="38DFF43B" w14:textId="77777777">
        <w:trPr>
          <w:trHeight w:val="448"/>
        </w:trPr>
        <w:tc>
          <w:tcPr>
            <w:tcW w:w="2980" w:type="dxa"/>
          </w:tcPr>
          <w:p w14:paraId="40FBDCFB" w14:textId="77777777" w:rsidR="00EF5B27" w:rsidRDefault="00EF5B27">
            <w:pPr>
              <w:pStyle w:val="TableParagraph"/>
              <w:spacing w:before="11"/>
              <w:rPr>
                <w:b/>
                <w:sz w:val="11"/>
              </w:rPr>
            </w:pPr>
          </w:p>
          <w:p w14:paraId="195963C6" w14:textId="77777777" w:rsidR="00EF5B27" w:rsidRDefault="00000000">
            <w:pPr>
              <w:pStyle w:val="TableParagraph"/>
              <w:ind w:left="80"/>
              <w:rPr>
                <w:sz w:val="14"/>
              </w:rPr>
            </w:pPr>
            <w:r>
              <w:rPr>
                <w:rFonts w:ascii="Arial Narrow"/>
                <w:i/>
                <w:color w:val="4D4D4F"/>
                <w:w w:val="110"/>
                <w:sz w:val="14"/>
              </w:rPr>
              <w:t xml:space="preserve">Themeda </w:t>
            </w:r>
            <w:r>
              <w:rPr>
                <w:color w:val="4D4D4F"/>
                <w:w w:val="110"/>
                <w:sz w:val="14"/>
              </w:rPr>
              <w:t>grassland</w:t>
            </w:r>
          </w:p>
        </w:tc>
        <w:tc>
          <w:tcPr>
            <w:tcW w:w="1078" w:type="dxa"/>
          </w:tcPr>
          <w:p w14:paraId="15556D90" w14:textId="77777777" w:rsidR="00EF5B27" w:rsidRDefault="00EF5B27">
            <w:pPr>
              <w:pStyle w:val="TableParagraph"/>
              <w:spacing w:before="11"/>
              <w:rPr>
                <w:b/>
                <w:sz w:val="11"/>
              </w:rPr>
            </w:pPr>
          </w:p>
          <w:p w14:paraId="0958DD7F" w14:textId="77777777" w:rsidR="00EF5B27" w:rsidRDefault="00000000">
            <w:pPr>
              <w:pStyle w:val="TableParagraph"/>
              <w:ind w:left="128" w:right="124"/>
              <w:jc w:val="center"/>
              <w:rPr>
                <w:sz w:val="14"/>
              </w:rPr>
            </w:pPr>
            <w:r>
              <w:rPr>
                <w:color w:val="4D4D4F"/>
                <w:sz w:val="14"/>
              </w:rPr>
              <w:t>Met</w:t>
            </w:r>
          </w:p>
        </w:tc>
        <w:tc>
          <w:tcPr>
            <w:tcW w:w="2155" w:type="dxa"/>
          </w:tcPr>
          <w:p w14:paraId="3135FCBF" w14:textId="77777777" w:rsidR="00EF5B27" w:rsidRDefault="00EF5B27">
            <w:pPr>
              <w:pStyle w:val="TableParagraph"/>
              <w:spacing w:before="11"/>
              <w:rPr>
                <w:b/>
                <w:sz w:val="11"/>
              </w:rPr>
            </w:pPr>
          </w:p>
          <w:p w14:paraId="7F2DFA48" w14:textId="77777777" w:rsidR="00EF5B27" w:rsidRDefault="00000000">
            <w:pPr>
              <w:pStyle w:val="TableParagraph"/>
              <w:ind w:left="138" w:right="142"/>
              <w:jc w:val="center"/>
              <w:rPr>
                <w:sz w:val="14"/>
              </w:rPr>
            </w:pPr>
            <w:r>
              <w:rPr>
                <w:color w:val="4D4D4F"/>
                <w:w w:val="105"/>
                <w:sz w:val="14"/>
              </w:rPr>
              <w:t>N/A</w:t>
            </w:r>
          </w:p>
        </w:tc>
        <w:tc>
          <w:tcPr>
            <w:tcW w:w="964" w:type="dxa"/>
          </w:tcPr>
          <w:p w14:paraId="21E7A6A0" w14:textId="77777777" w:rsidR="00EF5B27" w:rsidRDefault="00EF5B27">
            <w:pPr>
              <w:pStyle w:val="TableParagraph"/>
              <w:spacing w:before="8"/>
              <w:rPr>
                <w:b/>
                <w:sz w:val="8"/>
              </w:rPr>
            </w:pPr>
          </w:p>
          <w:p w14:paraId="4EF01560" w14:textId="77777777" w:rsidR="00EF5B27" w:rsidRDefault="00000000">
            <w:pPr>
              <w:pStyle w:val="TableParagraph"/>
              <w:spacing w:line="232" w:lineRule="exact"/>
              <w:ind w:left="427"/>
              <w:rPr>
                <w:sz w:val="20"/>
              </w:rPr>
            </w:pPr>
            <w:r>
              <w:rPr>
                <w:noProof/>
                <w:position w:val="-4"/>
                <w:sz w:val="20"/>
              </w:rPr>
              <w:drawing>
                <wp:inline distT="0" distB="0" distL="0" distR="0" wp14:anchorId="3ACCB738" wp14:editId="5A9DAE04">
                  <wp:extent cx="64988" cy="147637"/>
                  <wp:effectExtent l="0" t="0" r="0" b="0"/>
                  <wp:docPr id="33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50.png"/>
                          <pic:cNvPicPr/>
                        </pic:nvPicPr>
                        <pic:blipFill>
                          <a:blip r:embed="rId81" cstate="print"/>
                          <a:stretch>
                            <a:fillRect/>
                          </a:stretch>
                        </pic:blipFill>
                        <pic:spPr>
                          <a:xfrm>
                            <a:off x="0" y="0"/>
                            <a:ext cx="64988" cy="147637"/>
                          </a:xfrm>
                          <a:prstGeom prst="rect">
                            <a:avLst/>
                          </a:prstGeom>
                        </pic:spPr>
                      </pic:pic>
                    </a:graphicData>
                  </a:graphic>
                </wp:inline>
              </w:drawing>
            </w:r>
          </w:p>
        </w:tc>
        <w:tc>
          <w:tcPr>
            <w:tcW w:w="964" w:type="dxa"/>
          </w:tcPr>
          <w:p w14:paraId="6B70E820" w14:textId="77777777" w:rsidR="00EF5B27" w:rsidRDefault="00EF5B27">
            <w:pPr>
              <w:pStyle w:val="TableParagraph"/>
              <w:spacing w:before="11"/>
              <w:rPr>
                <w:b/>
                <w:sz w:val="11"/>
              </w:rPr>
            </w:pPr>
          </w:p>
          <w:p w14:paraId="6586152D" w14:textId="77777777" w:rsidR="00EF5B27" w:rsidRDefault="00000000">
            <w:pPr>
              <w:pStyle w:val="TableParagraph"/>
              <w:ind w:left="344"/>
              <w:rPr>
                <w:sz w:val="14"/>
              </w:rPr>
            </w:pPr>
            <w:r>
              <w:rPr>
                <w:color w:val="4D4D4F"/>
                <w:w w:val="105"/>
                <w:sz w:val="14"/>
              </w:rPr>
              <w:t>High</w:t>
            </w:r>
          </w:p>
        </w:tc>
        <w:tc>
          <w:tcPr>
            <w:tcW w:w="1489" w:type="dxa"/>
          </w:tcPr>
          <w:p w14:paraId="63E73B6F" w14:textId="77777777" w:rsidR="00EF5B27" w:rsidRDefault="00000000">
            <w:pPr>
              <w:pStyle w:val="TableParagraph"/>
              <w:spacing w:before="134"/>
              <w:ind w:left="452" w:right="457"/>
              <w:jc w:val="center"/>
              <w:rPr>
                <w:sz w:val="16"/>
              </w:rPr>
            </w:pPr>
            <w:r>
              <w:rPr>
                <w:color w:val="4D4D4F"/>
                <w:sz w:val="16"/>
              </w:rPr>
              <w:t>2013</w:t>
            </w:r>
          </w:p>
        </w:tc>
      </w:tr>
      <w:tr w:rsidR="00EF5B27" w14:paraId="41429EFE" w14:textId="77777777">
        <w:trPr>
          <w:trHeight w:val="448"/>
        </w:trPr>
        <w:tc>
          <w:tcPr>
            <w:tcW w:w="2980" w:type="dxa"/>
          </w:tcPr>
          <w:p w14:paraId="02A94C49" w14:textId="77777777" w:rsidR="00EF5B27" w:rsidRDefault="00EF5B27">
            <w:pPr>
              <w:pStyle w:val="TableParagraph"/>
              <w:spacing w:before="11"/>
              <w:rPr>
                <w:b/>
                <w:sz w:val="11"/>
              </w:rPr>
            </w:pPr>
          </w:p>
          <w:p w14:paraId="33E03F9F" w14:textId="77777777" w:rsidR="00EF5B27" w:rsidRDefault="00000000">
            <w:pPr>
              <w:pStyle w:val="TableParagraph"/>
              <w:ind w:left="80"/>
              <w:rPr>
                <w:sz w:val="14"/>
              </w:rPr>
            </w:pPr>
            <w:r>
              <w:rPr>
                <w:color w:val="4D4D4F"/>
                <w:w w:val="105"/>
                <w:sz w:val="14"/>
              </w:rPr>
              <w:t>C3 grassland</w:t>
            </w:r>
          </w:p>
        </w:tc>
        <w:tc>
          <w:tcPr>
            <w:tcW w:w="1078" w:type="dxa"/>
          </w:tcPr>
          <w:p w14:paraId="3CF58BF5" w14:textId="77777777" w:rsidR="00EF5B27" w:rsidRDefault="00EF5B27">
            <w:pPr>
              <w:pStyle w:val="TableParagraph"/>
              <w:spacing w:before="11"/>
              <w:rPr>
                <w:b/>
                <w:sz w:val="11"/>
              </w:rPr>
            </w:pPr>
          </w:p>
          <w:p w14:paraId="330714A4"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31AF9ADD" w14:textId="77777777" w:rsidR="00EF5B27" w:rsidRDefault="00EF5B27">
            <w:pPr>
              <w:pStyle w:val="TableParagraph"/>
              <w:spacing w:before="11"/>
              <w:rPr>
                <w:b/>
                <w:sz w:val="11"/>
              </w:rPr>
            </w:pPr>
          </w:p>
          <w:p w14:paraId="38D4EE79" w14:textId="77777777" w:rsidR="00EF5B27" w:rsidRDefault="00000000">
            <w:pPr>
              <w:pStyle w:val="TableParagraph"/>
              <w:ind w:left="143" w:right="142"/>
              <w:jc w:val="center"/>
              <w:rPr>
                <w:sz w:val="14"/>
              </w:rPr>
            </w:pPr>
            <w:r>
              <w:rPr>
                <w:color w:val="4D4D4F"/>
                <w:sz w:val="14"/>
              </w:rPr>
              <w:t>Baseline not yet set</w:t>
            </w:r>
          </w:p>
        </w:tc>
        <w:tc>
          <w:tcPr>
            <w:tcW w:w="964" w:type="dxa"/>
          </w:tcPr>
          <w:p w14:paraId="5BCD57CB" w14:textId="77777777" w:rsidR="00EF5B27" w:rsidRDefault="00EF5B27">
            <w:pPr>
              <w:pStyle w:val="TableParagraph"/>
              <w:spacing w:before="4"/>
              <w:rPr>
                <w:b/>
                <w:sz w:val="7"/>
              </w:rPr>
            </w:pPr>
          </w:p>
          <w:p w14:paraId="6FADFDA8" w14:textId="77777777" w:rsidR="00EF5B27" w:rsidRDefault="00000000">
            <w:pPr>
              <w:pStyle w:val="TableParagraph"/>
              <w:spacing w:line="187" w:lineRule="exact"/>
              <w:ind w:left="400"/>
              <w:rPr>
                <w:sz w:val="18"/>
              </w:rPr>
            </w:pPr>
            <w:r>
              <w:rPr>
                <w:noProof/>
                <w:position w:val="-3"/>
                <w:sz w:val="18"/>
              </w:rPr>
              <w:drawing>
                <wp:inline distT="0" distB="0" distL="0" distR="0" wp14:anchorId="6E29C503" wp14:editId="53780411">
                  <wp:extent cx="100572" cy="119062"/>
                  <wp:effectExtent l="0" t="0" r="0" b="0"/>
                  <wp:docPr id="341"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29.png"/>
                          <pic:cNvPicPr/>
                        </pic:nvPicPr>
                        <pic:blipFill>
                          <a:blip r:embed="rId76" cstate="print"/>
                          <a:stretch>
                            <a:fillRect/>
                          </a:stretch>
                        </pic:blipFill>
                        <pic:spPr>
                          <a:xfrm>
                            <a:off x="0" y="0"/>
                            <a:ext cx="100572" cy="119062"/>
                          </a:xfrm>
                          <a:prstGeom prst="rect">
                            <a:avLst/>
                          </a:prstGeom>
                        </pic:spPr>
                      </pic:pic>
                    </a:graphicData>
                  </a:graphic>
                </wp:inline>
              </w:drawing>
            </w:r>
          </w:p>
          <w:p w14:paraId="00E8F9FD" w14:textId="77777777" w:rsidR="00EF5B27" w:rsidRDefault="00EF5B27">
            <w:pPr>
              <w:pStyle w:val="TableParagraph"/>
              <w:spacing w:before="8"/>
              <w:rPr>
                <w:b/>
                <w:sz w:val="2"/>
              </w:rPr>
            </w:pPr>
          </w:p>
          <w:p w14:paraId="04CB1E61" w14:textId="77777777" w:rsidR="00EF5B27" w:rsidRDefault="00000000">
            <w:pPr>
              <w:pStyle w:val="TableParagraph"/>
              <w:spacing w:line="48" w:lineRule="exact"/>
              <w:ind w:left="448"/>
              <w:rPr>
                <w:sz w:val="4"/>
              </w:rPr>
            </w:pPr>
            <w:r>
              <w:rPr>
                <w:sz w:val="4"/>
              </w:rPr>
            </w:r>
            <w:r>
              <w:rPr>
                <w:sz w:val="4"/>
              </w:rPr>
              <w:pict w14:anchorId="5A5D0D16">
                <v:group id="_x0000_s3472" style="width:2.45pt;height:2.45pt;mso-position-horizontal-relative:char;mso-position-vertical-relative:line" coordsize="49,49">
                  <v:shape id="_x0000_s3473" style="position:absolute;width:49;height:49" coordsize="49,49" path="m31,l18,,12,2,2,12,,17,,31r2,6l12,46r6,3l31,49r6,-3l46,37r3,-6l49,17,46,12,37,2,31,xe" fillcolor="#808285" stroked="f">
                    <v:path arrowok="t"/>
                  </v:shape>
                  <w10:wrap type="none"/>
                  <w10:anchorlock/>
                </v:group>
              </w:pict>
            </w:r>
          </w:p>
        </w:tc>
        <w:tc>
          <w:tcPr>
            <w:tcW w:w="964" w:type="dxa"/>
          </w:tcPr>
          <w:p w14:paraId="7F591CF1" w14:textId="77777777" w:rsidR="00EF5B27" w:rsidRDefault="00EF5B27">
            <w:pPr>
              <w:pStyle w:val="TableParagraph"/>
              <w:spacing w:before="11"/>
              <w:rPr>
                <w:b/>
                <w:sz w:val="11"/>
              </w:rPr>
            </w:pPr>
          </w:p>
          <w:p w14:paraId="18B84D9C" w14:textId="77777777" w:rsidR="00EF5B27" w:rsidRDefault="00000000">
            <w:pPr>
              <w:pStyle w:val="TableParagraph"/>
              <w:ind w:left="368"/>
              <w:rPr>
                <w:sz w:val="14"/>
              </w:rPr>
            </w:pPr>
            <w:r>
              <w:rPr>
                <w:color w:val="4D4D4F"/>
                <w:w w:val="105"/>
                <w:sz w:val="14"/>
              </w:rPr>
              <w:t>N/A</w:t>
            </w:r>
          </w:p>
        </w:tc>
        <w:tc>
          <w:tcPr>
            <w:tcW w:w="1489" w:type="dxa"/>
          </w:tcPr>
          <w:p w14:paraId="71861E3B" w14:textId="77777777" w:rsidR="00EF5B27" w:rsidRDefault="00000000">
            <w:pPr>
              <w:pStyle w:val="TableParagraph"/>
              <w:spacing w:before="134"/>
              <w:ind w:left="457" w:right="457"/>
              <w:jc w:val="center"/>
              <w:rPr>
                <w:sz w:val="16"/>
              </w:rPr>
            </w:pPr>
            <w:r>
              <w:rPr>
                <w:color w:val="4D4D4F"/>
                <w:w w:val="105"/>
                <w:sz w:val="16"/>
              </w:rPr>
              <w:t>Unclear</w:t>
            </w:r>
          </w:p>
        </w:tc>
      </w:tr>
      <w:tr w:rsidR="00EF5B27" w14:paraId="350C7062" w14:textId="77777777">
        <w:trPr>
          <w:trHeight w:val="448"/>
        </w:trPr>
        <w:tc>
          <w:tcPr>
            <w:tcW w:w="2980" w:type="dxa"/>
          </w:tcPr>
          <w:p w14:paraId="33DA3CEF" w14:textId="77777777" w:rsidR="00EF5B27" w:rsidRDefault="00EF5B27">
            <w:pPr>
              <w:pStyle w:val="TableParagraph"/>
              <w:spacing w:before="11"/>
              <w:rPr>
                <w:b/>
                <w:sz w:val="11"/>
              </w:rPr>
            </w:pPr>
          </w:p>
          <w:p w14:paraId="56605B50" w14:textId="77777777" w:rsidR="00EF5B27" w:rsidRDefault="00000000">
            <w:pPr>
              <w:pStyle w:val="TableParagraph"/>
              <w:ind w:left="80"/>
              <w:rPr>
                <w:sz w:val="14"/>
              </w:rPr>
            </w:pPr>
            <w:r>
              <w:rPr>
                <w:color w:val="4D4D4F"/>
                <w:w w:val="105"/>
                <w:sz w:val="14"/>
              </w:rPr>
              <w:t>Nutrient-enriched grassland</w:t>
            </w:r>
          </w:p>
        </w:tc>
        <w:tc>
          <w:tcPr>
            <w:tcW w:w="1078" w:type="dxa"/>
          </w:tcPr>
          <w:p w14:paraId="499BF8A2" w14:textId="77777777" w:rsidR="00EF5B27" w:rsidRDefault="00EF5B27">
            <w:pPr>
              <w:pStyle w:val="TableParagraph"/>
              <w:spacing w:before="11"/>
              <w:rPr>
                <w:b/>
                <w:sz w:val="11"/>
              </w:rPr>
            </w:pPr>
          </w:p>
          <w:p w14:paraId="7F9E4041" w14:textId="77777777" w:rsidR="00EF5B27" w:rsidRDefault="00000000">
            <w:pPr>
              <w:pStyle w:val="TableParagraph"/>
              <w:ind w:left="128" w:right="124"/>
              <w:jc w:val="center"/>
              <w:rPr>
                <w:sz w:val="14"/>
              </w:rPr>
            </w:pPr>
            <w:r>
              <w:rPr>
                <w:color w:val="4D4D4F"/>
                <w:sz w:val="14"/>
              </w:rPr>
              <w:t>Met</w:t>
            </w:r>
          </w:p>
        </w:tc>
        <w:tc>
          <w:tcPr>
            <w:tcW w:w="2155" w:type="dxa"/>
          </w:tcPr>
          <w:p w14:paraId="751402E8" w14:textId="77777777" w:rsidR="00EF5B27" w:rsidRDefault="00EF5B27">
            <w:pPr>
              <w:pStyle w:val="TableParagraph"/>
              <w:spacing w:before="11"/>
              <w:rPr>
                <w:b/>
                <w:sz w:val="11"/>
              </w:rPr>
            </w:pPr>
          </w:p>
          <w:p w14:paraId="1BC083E2" w14:textId="77777777" w:rsidR="00EF5B27" w:rsidRDefault="00000000">
            <w:pPr>
              <w:pStyle w:val="TableParagraph"/>
              <w:ind w:left="139" w:right="142"/>
              <w:jc w:val="center"/>
              <w:rPr>
                <w:sz w:val="14"/>
              </w:rPr>
            </w:pPr>
            <w:r>
              <w:rPr>
                <w:color w:val="4D4D4F"/>
                <w:w w:val="105"/>
                <w:sz w:val="14"/>
              </w:rPr>
              <w:t>N/A</w:t>
            </w:r>
          </w:p>
        </w:tc>
        <w:tc>
          <w:tcPr>
            <w:tcW w:w="964" w:type="dxa"/>
          </w:tcPr>
          <w:p w14:paraId="4390237B" w14:textId="77777777" w:rsidR="00EF5B27" w:rsidRDefault="00EF5B27">
            <w:pPr>
              <w:pStyle w:val="TableParagraph"/>
              <w:spacing w:before="1"/>
              <w:rPr>
                <w:b/>
                <w:sz w:val="15"/>
              </w:rPr>
            </w:pPr>
          </w:p>
          <w:p w14:paraId="0BAE103C" w14:textId="77777777" w:rsidR="00EF5B27" w:rsidRDefault="00000000">
            <w:pPr>
              <w:pStyle w:val="TableParagraph"/>
              <w:spacing w:line="101" w:lineRule="exact"/>
              <w:ind w:left="361"/>
              <w:rPr>
                <w:sz w:val="10"/>
              </w:rPr>
            </w:pPr>
            <w:r>
              <w:rPr>
                <w:noProof/>
                <w:position w:val="-1"/>
                <w:sz w:val="10"/>
              </w:rPr>
              <w:drawing>
                <wp:inline distT="0" distB="0" distL="0" distR="0" wp14:anchorId="3ECBF875" wp14:editId="320776D3">
                  <wp:extent cx="149256" cy="64389"/>
                  <wp:effectExtent l="0" t="0" r="0" b="0"/>
                  <wp:docPr id="34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48.png"/>
                          <pic:cNvPicPr/>
                        </pic:nvPicPr>
                        <pic:blipFill>
                          <a:blip r:embed="rId79" cstate="print"/>
                          <a:stretch>
                            <a:fillRect/>
                          </a:stretch>
                        </pic:blipFill>
                        <pic:spPr>
                          <a:xfrm>
                            <a:off x="0" y="0"/>
                            <a:ext cx="149256" cy="64389"/>
                          </a:xfrm>
                          <a:prstGeom prst="rect">
                            <a:avLst/>
                          </a:prstGeom>
                        </pic:spPr>
                      </pic:pic>
                    </a:graphicData>
                  </a:graphic>
                </wp:inline>
              </w:drawing>
            </w:r>
          </w:p>
        </w:tc>
        <w:tc>
          <w:tcPr>
            <w:tcW w:w="964" w:type="dxa"/>
          </w:tcPr>
          <w:p w14:paraId="2FB18C83" w14:textId="77777777" w:rsidR="00EF5B27" w:rsidRDefault="00EF5B27">
            <w:pPr>
              <w:pStyle w:val="TableParagraph"/>
              <w:spacing w:before="11"/>
              <w:rPr>
                <w:b/>
                <w:sz w:val="11"/>
              </w:rPr>
            </w:pPr>
          </w:p>
          <w:p w14:paraId="496858B4" w14:textId="77777777" w:rsidR="00EF5B27" w:rsidRDefault="00000000">
            <w:pPr>
              <w:pStyle w:val="TableParagraph"/>
              <w:ind w:left="344"/>
              <w:rPr>
                <w:sz w:val="14"/>
              </w:rPr>
            </w:pPr>
            <w:r>
              <w:rPr>
                <w:color w:val="4D4D4F"/>
                <w:w w:val="105"/>
                <w:sz w:val="14"/>
              </w:rPr>
              <w:t>High</w:t>
            </w:r>
          </w:p>
        </w:tc>
        <w:tc>
          <w:tcPr>
            <w:tcW w:w="1489" w:type="dxa"/>
          </w:tcPr>
          <w:p w14:paraId="431FC66F" w14:textId="77777777" w:rsidR="00EF5B27" w:rsidRDefault="00000000">
            <w:pPr>
              <w:pStyle w:val="TableParagraph"/>
              <w:spacing w:before="134"/>
              <w:ind w:left="452" w:right="457"/>
              <w:jc w:val="center"/>
              <w:rPr>
                <w:sz w:val="16"/>
              </w:rPr>
            </w:pPr>
            <w:r>
              <w:rPr>
                <w:color w:val="4D4D4F"/>
                <w:sz w:val="16"/>
              </w:rPr>
              <w:t>2013</w:t>
            </w:r>
          </w:p>
        </w:tc>
      </w:tr>
      <w:tr w:rsidR="00EF5B27" w14:paraId="736CC551" w14:textId="77777777">
        <w:trPr>
          <w:trHeight w:val="448"/>
        </w:trPr>
        <w:tc>
          <w:tcPr>
            <w:tcW w:w="2980" w:type="dxa"/>
          </w:tcPr>
          <w:p w14:paraId="39403432" w14:textId="77777777" w:rsidR="00EF5B27" w:rsidRDefault="00EF5B27">
            <w:pPr>
              <w:pStyle w:val="TableParagraph"/>
              <w:spacing w:before="11"/>
              <w:rPr>
                <w:b/>
                <w:sz w:val="11"/>
              </w:rPr>
            </w:pPr>
          </w:p>
          <w:p w14:paraId="6F1F3EC6" w14:textId="77777777" w:rsidR="00EF5B27" w:rsidRDefault="00000000">
            <w:pPr>
              <w:pStyle w:val="TableParagraph"/>
              <w:ind w:left="80"/>
              <w:rPr>
                <w:sz w:val="14"/>
              </w:rPr>
            </w:pPr>
            <w:r>
              <w:rPr>
                <w:color w:val="4D4D4F"/>
                <w:w w:val="105"/>
                <w:sz w:val="14"/>
              </w:rPr>
              <w:t>De-rocked grassland</w:t>
            </w:r>
          </w:p>
        </w:tc>
        <w:tc>
          <w:tcPr>
            <w:tcW w:w="1078" w:type="dxa"/>
          </w:tcPr>
          <w:p w14:paraId="1CB81F41" w14:textId="77777777" w:rsidR="00EF5B27" w:rsidRDefault="00EF5B27">
            <w:pPr>
              <w:pStyle w:val="TableParagraph"/>
              <w:spacing w:before="11"/>
              <w:rPr>
                <w:b/>
                <w:sz w:val="11"/>
              </w:rPr>
            </w:pPr>
          </w:p>
          <w:p w14:paraId="5E93B4B0"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6387A6FE" w14:textId="77777777" w:rsidR="00EF5B27" w:rsidRDefault="00EF5B27">
            <w:pPr>
              <w:pStyle w:val="TableParagraph"/>
              <w:spacing w:before="11"/>
              <w:rPr>
                <w:b/>
                <w:sz w:val="11"/>
              </w:rPr>
            </w:pPr>
          </w:p>
          <w:p w14:paraId="661E3D0E" w14:textId="77777777" w:rsidR="00EF5B27" w:rsidRDefault="00000000">
            <w:pPr>
              <w:pStyle w:val="TableParagraph"/>
              <w:ind w:left="143" w:right="142"/>
              <w:jc w:val="center"/>
              <w:rPr>
                <w:sz w:val="14"/>
              </w:rPr>
            </w:pPr>
            <w:r>
              <w:rPr>
                <w:color w:val="4D4D4F"/>
                <w:sz w:val="14"/>
              </w:rPr>
              <w:t>Baseline not yet set</w:t>
            </w:r>
          </w:p>
        </w:tc>
        <w:tc>
          <w:tcPr>
            <w:tcW w:w="964" w:type="dxa"/>
          </w:tcPr>
          <w:p w14:paraId="311939AC" w14:textId="77777777" w:rsidR="00EF5B27" w:rsidRDefault="00EF5B27">
            <w:pPr>
              <w:pStyle w:val="TableParagraph"/>
              <w:spacing w:before="4"/>
              <w:rPr>
                <w:b/>
                <w:sz w:val="7"/>
              </w:rPr>
            </w:pPr>
          </w:p>
          <w:p w14:paraId="2FC6516E" w14:textId="77777777" w:rsidR="00EF5B27" w:rsidRDefault="00000000">
            <w:pPr>
              <w:pStyle w:val="TableParagraph"/>
              <w:spacing w:line="187" w:lineRule="exact"/>
              <w:ind w:left="400"/>
              <w:rPr>
                <w:sz w:val="18"/>
              </w:rPr>
            </w:pPr>
            <w:r>
              <w:rPr>
                <w:noProof/>
                <w:position w:val="-3"/>
                <w:sz w:val="18"/>
              </w:rPr>
              <w:drawing>
                <wp:inline distT="0" distB="0" distL="0" distR="0" wp14:anchorId="636639B8" wp14:editId="63C1231B">
                  <wp:extent cx="100572" cy="119062"/>
                  <wp:effectExtent l="0" t="0" r="0" b="0"/>
                  <wp:docPr id="345"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30.png"/>
                          <pic:cNvPicPr/>
                        </pic:nvPicPr>
                        <pic:blipFill>
                          <a:blip r:embed="rId86" cstate="print"/>
                          <a:stretch>
                            <a:fillRect/>
                          </a:stretch>
                        </pic:blipFill>
                        <pic:spPr>
                          <a:xfrm>
                            <a:off x="0" y="0"/>
                            <a:ext cx="100572" cy="119062"/>
                          </a:xfrm>
                          <a:prstGeom prst="rect">
                            <a:avLst/>
                          </a:prstGeom>
                        </pic:spPr>
                      </pic:pic>
                    </a:graphicData>
                  </a:graphic>
                </wp:inline>
              </w:drawing>
            </w:r>
          </w:p>
          <w:p w14:paraId="662EA98C" w14:textId="77777777" w:rsidR="00EF5B27" w:rsidRDefault="00EF5B27">
            <w:pPr>
              <w:pStyle w:val="TableParagraph"/>
              <w:spacing w:before="8"/>
              <w:rPr>
                <w:b/>
                <w:sz w:val="2"/>
              </w:rPr>
            </w:pPr>
          </w:p>
          <w:p w14:paraId="272B4FBB" w14:textId="77777777" w:rsidR="00EF5B27" w:rsidRDefault="00000000">
            <w:pPr>
              <w:pStyle w:val="TableParagraph"/>
              <w:spacing w:line="48" w:lineRule="exact"/>
              <w:ind w:left="448"/>
              <w:rPr>
                <w:sz w:val="4"/>
              </w:rPr>
            </w:pPr>
            <w:r>
              <w:rPr>
                <w:sz w:val="4"/>
              </w:rPr>
            </w:r>
            <w:r>
              <w:rPr>
                <w:sz w:val="4"/>
              </w:rPr>
              <w:pict w14:anchorId="7A210E32">
                <v:group id="_x0000_s3470" style="width:2.45pt;height:2.45pt;mso-position-horizontal-relative:char;mso-position-vertical-relative:line" coordsize="49,49">
                  <v:shape id="_x0000_s3471" style="position:absolute;width:49;height:49" coordsize="49,49" path="m31,l18,,12,2,2,12,,17,,31r2,6l12,46r6,3l31,49r6,-3l46,37r3,-6l49,17,46,12,37,2,31,xe" fillcolor="#808285" stroked="f">
                    <v:path arrowok="t"/>
                  </v:shape>
                  <w10:wrap type="none"/>
                  <w10:anchorlock/>
                </v:group>
              </w:pict>
            </w:r>
          </w:p>
        </w:tc>
        <w:tc>
          <w:tcPr>
            <w:tcW w:w="964" w:type="dxa"/>
          </w:tcPr>
          <w:p w14:paraId="439E73AD" w14:textId="77777777" w:rsidR="00EF5B27" w:rsidRDefault="00EF5B27">
            <w:pPr>
              <w:pStyle w:val="TableParagraph"/>
              <w:spacing w:before="11"/>
              <w:rPr>
                <w:b/>
                <w:sz w:val="11"/>
              </w:rPr>
            </w:pPr>
          </w:p>
          <w:p w14:paraId="30C89D46" w14:textId="77777777" w:rsidR="00EF5B27" w:rsidRDefault="00000000">
            <w:pPr>
              <w:pStyle w:val="TableParagraph"/>
              <w:ind w:left="368"/>
              <w:rPr>
                <w:sz w:val="14"/>
              </w:rPr>
            </w:pPr>
            <w:r>
              <w:rPr>
                <w:color w:val="4D4D4F"/>
                <w:w w:val="105"/>
                <w:sz w:val="14"/>
              </w:rPr>
              <w:t>N/A</w:t>
            </w:r>
          </w:p>
        </w:tc>
        <w:tc>
          <w:tcPr>
            <w:tcW w:w="1489" w:type="dxa"/>
          </w:tcPr>
          <w:p w14:paraId="1B464FB6" w14:textId="77777777" w:rsidR="00EF5B27" w:rsidRDefault="00000000">
            <w:pPr>
              <w:pStyle w:val="TableParagraph"/>
              <w:spacing w:before="134"/>
              <w:ind w:left="457" w:right="457"/>
              <w:jc w:val="center"/>
              <w:rPr>
                <w:sz w:val="16"/>
              </w:rPr>
            </w:pPr>
            <w:r>
              <w:rPr>
                <w:color w:val="4D4D4F"/>
                <w:w w:val="105"/>
                <w:sz w:val="16"/>
              </w:rPr>
              <w:t>Unclear</w:t>
            </w:r>
          </w:p>
        </w:tc>
      </w:tr>
    </w:tbl>
    <w:p w14:paraId="2EDAAA37" w14:textId="77777777" w:rsidR="00EF5B27" w:rsidRDefault="00EF5B27">
      <w:pPr>
        <w:pStyle w:val="BodyText"/>
        <w:spacing w:before="3"/>
        <w:rPr>
          <w:b/>
          <w:sz w:val="34"/>
        </w:rPr>
      </w:pPr>
    </w:p>
    <w:p w14:paraId="15C0C824" w14:textId="77777777" w:rsidR="00EF5B27" w:rsidRDefault="00000000">
      <w:pPr>
        <w:pStyle w:val="BodyText"/>
        <w:spacing w:before="1" w:line="254" w:lineRule="auto"/>
        <w:ind w:left="2608" w:right="130"/>
      </w:pPr>
      <w:r>
        <w:rPr>
          <w:color w:val="4D4D4F"/>
        </w:rPr>
        <w:t xml:space="preserve">This KPI measures the cover of native perennial grasses (other than Kangaroo Grass, which was dealt with in the preceding KPI). The point intercept plots (permanent and </w:t>
      </w:r>
      <w:r>
        <w:rPr>
          <w:color w:val="4D4D4F"/>
          <w:spacing w:val="-3"/>
        </w:rPr>
        <w:t xml:space="preserve">re-allocated) </w:t>
      </w:r>
      <w:r>
        <w:rPr>
          <w:color w:val="4D4D4F"/>
        </w:rPr>
        <w:t xml:space="preserve">provide an </w:t>
      </w:r>
      <w:r>
        <w:rPr>
          <w:color w:val="4D4D4F"/>
          <w:spacing w:val="-3"/>
        </w:rPr>
        <w:t xml:space="preserve">estimate </w:t>
      </w:r>
      <w:r>
        <w:rPr>
          <w:color w:val="4D4D4F"/>
        </w:rPr>
        <w:t xml:space="preserve">of the cover of these species </w:t>
      </w:r>
      <w:r>
        <w:rPr>
          <w:color w:val="4D4D4F"/>
          <w:spacing w:val="-3"/>
        </w:rPr>
        <w:t xml:space="preserve">in </w:t>
      </w:r>
      <w:r>
        <w:rPr>
          <w:color w:val="4D4D4F"/>
        </w:rPr>
        <w:t xml:space="preserve">each </w:t>
      </w:r>
      <w:r>
        <w:rPr>
          <w:color w:val="4D4D4F"/>
          <w:spacing w:val="-3"/>
        </w:rPr>
        <w:t xml:space="preserve">state in </w:t>
      </w:r>
      <w:r>
        <w:rPr>
          <w:color w:val="4D4D4F"/>
        </w:rPr>
        <w:t xml:space="preserve">each </w:t>
      </w:r>
      <w:r>
        <w:rPr>
          <w:color w:val="4D4D4F"/>
          <w:spacing w:val="-6"/>
        </w:rPr>
        <w:t>year.</w:t>
      </w:r>
    </w:p>
    <w:p w14:paraId="1FCABD7C" w14:textId="77777777" w:rsidR="00EF5B27" w:rsidRDefault="00000000">
      <w:pPr>
        <w:pStyle w:val="BodyText"/>
        <w:spacing w:before="117" w:line="254" w:lineRule="auto"/>
        <w:ind w:left="2608" w:right="221"/>
      </w:pPr>
      <w:r>
        <w:rPr>
          <w:color w:val="4D4D4F"/>
        </w:rPr>
        <w:t>This KPI is assessed using a set baseline approach (rather than a continuous improvement approach), where the baseline remains at the value defined in the first monitoring period, reflecting the fact that moderate levels of native grass cover must be maintained, and that both loss of cover and over-growth may be problematic.</w:t>
      </w:r>
    </w:p>
    <w:p w14:paraId="3FD3FE8F" w14:textId="77777777" w:rsidR="00EF5B27" w:rsidRDefault="00000000">
      <w:pPr>
        <w:pStyle w:val="BodyText"/>
        <w:spacing w:before="118" w:line="254" w:lineRule="auto"/>
        <w:ind w:left="2608" w:right="151"/>
      </w:pPr>
      <w:r>
        <w:rPr>
          <w:color w:val="4D4D4F"/>
        </w:rPr>
        <w:t xml:space="preserve">This KPI was met in the three states for which assessment is possible as the baselines are set: Herb-rich grassland, </w:t>
      </w:r>
      <w:r>
        <w:rPr>
          <w:rFonts w:ascii="Arial Narrow"/>
          <w:i/>
          <w:color w:val="4D4D4F"/>
        </w:rPr>
        <w:t xml:space="preserve">Themeda </w:t>
      </w:r>
      <w:r>
        <w:rPr>
          <w:color w:val="4D4D4F"/>
        </w:rPr>
        <w:t>grassland and Nutrient-enriched grassland.</w:t>
      </w:r>
    </w:p>
    <w:p w14:paraId="42D99CD9" w14:textId="77777777" w:rsidR="00EF5B27" w:rsidRDefault="00000000">
      <w:pPr>
        <w:pStyle w:val="BodyText"/>
        <w:spacing w:before="2" w:line="254" w:lineRule="auto"/>
        <w:ind w:left="2608"/>
      </w:pPr>
      <w:r>
        <w:rPr>
          <w:color w:val="4D4D4F"/>
        </w:rPr>
        <w:t>The baseline has not yet been set for the other states because these states are not yet sufficiently protected.</w:t>
      </w:r>
    </w:p>
    <w:p w14:paraId="31631610" w14:textId="77777777" w:rsidR="00EF5B27" w:rsidRDefault="00000000">
      <w:pPr>
        <w:pStyle w:val="BodyText"/>
        <w:spacing w:before="8"/>
        <w:rPr>
          <w:sz w:val="27"/>
        </w:rPr>
      </w:pPr>
      <w:r>
        <w:pict w14:anchorId="612A8FDE">
          <v:group id="_x0000_s3467" style="position:absolute;margin-left:181.3pt;margin-top:19.2pt;width:357.4pt;height:201.15pt;z-index:251506176;mso-wrap-distance-left:0;mso-wrap-distance-right:0;mso-position-horizontal-relative:page" coordorigin="3626,384" coordsize="7148,4023">
            <v:shape id="_x0000_s3469" type="#_x0000_t75" style="position:absolute;left:3628;top:386;width:7143;height:4018">
              <v:imagedata r:id="rId124" o:title=""/>
            </v:shape>
            <v:rect id="_x0000_s3468" style="position:absolute;left:3628;top:386;width:7143;height:4018" filled="f" strokeweight=".25pt"/>
            <w10:wrap type="topAndBottom" anchorx="page"/>
          </v:group>
        </w:pict>
      </w:r>
    </w:p>
    <w:p w14:paraId="41522680" w14:textId="77777777" w:rsidR="00EF5B27" w:rsidRDefault="00000000">
      <w:pPr>
        <w:tabs>
          <w:tab w:val="left" w:pos="8974"/>
        </w:tabs>
        <w:spacing w:before="103" w:line="244" w:lineRule="auto"/>
        <w:ind w:left="2608" w:right="114"/>
        <w:jc w:val="both"/>
        <w:rPr>
          <w:rFonts w:ascii="Century Gothic"/>
          <w:i/>
          <w:sz w:val="12"/>
        </w:rPr>
      </w:pPr>
      <w:r>
        <w:rPr>
          <w:color w:val="4D4D4F"/>
          <w:sz w:val="16"/>
        </w:rPr>
        <w:t xml:space="preserve">Figure </w:t>
      </w:r>
      <w:r>
        <w:rPr>
          <w:color w:val="4D4D4F"/>
          <w:spacing w:val="-8"/>
          <w:sz w:val="16"/>
        </w:rPr>
        <w:t xml:space="preserve">11: </w:t>
      </w:r>
      <w:r>
        <w:rPr>
          <w:color w:val="4D4D4F"/>
          <w:sz w:val="16"/>
        </w:rPr>
        <w:t xml:space="preserve">Cover of perennial native grasses (excluding </w:t>
      </w:r>
      <w:r>
        <w:rPr>
          <w:rFonts w:ascii="Arial Narrow"/>
          <w:i/>
          <w:color w:val="4D4D4F"/>
          <w:sz w:val="16"/>
        </w:rPr>
        <w:t>Themeda triandra</w:t>
      </w:r>
      <w:r>
        <w:rPr>
          <w:color w:val="4D4D4F"/>
          <w:sz w:val="16"/>
        </w:rPr>
        <w:t xml:space="preserve">) in Natural Temperate Grassland, displayed by state. The </w:t>
      </w:r>
      <w:r>
        <w:rPr>
          <w:color w:val="4D4D4F"/>
          <w:spacing w:val="2"/>
          <w:sz w:val="16"/>
        </w:rPr>
        <w:t xml:space="preserve">error </w:t>
      </w:r>
      <w:r>
        <w:rPr>
          <w:color w:val="4D4D4F"/>
          <w:sz w:val="16"/>
        </w:rPr>
        <w:t>bars represent 95% confidence intervals. The upper panel shows the annual data (faint line), five-year rolling mean (heavy line) and the baseline (dashed line) for those states which have had</w:t>
      </w:r>
      <w:r>
        <w:rPr>
          <w:color w:val="4D4D4F"/>
          <w:spacing w:val="10"/>
          <w:sz w:val="16"/>
        </w:rPr>
        <w:t xml:space="preserve"> </w:t>
      </w:r>
      <w:r>
        <w:rPr>
          <w:color w:val="4D4D4F"/>
          <w:sz w:val="16"/>
        </w:rPr>
        <w:t>baselines</w:t>
      </w:r>
      <w:r>
        <w:rPr>
          <w:color w:val="4D4D4F"/>
          <w:spacing w:val="10"/>
          <w:sz w:val="16"/>
        </w:rPr>
        <w:t xml:space="preserve"> </w:t>
      </w:r>
      <w:r>
        <w:rPr>
          <w:color w:val="4D4D4F"/>
          <w:sz w:val="16"/>
        </w:rPr>
        <w:t>set.</w:t>
      </w:r>
      <w:r>
        <w:rPr>
          <w:color w:val="4D4D4F"/>
          <w:spacing w:val="10"/>
          <w:sz w:val="16"/>
        </w:rPr>
        <w:t xml:space="preserve"> </w:t>
      </w:r>
      <w:r>
        <w:rPr>
          <w:color w:val="4D4D4F"/>
          <w:sz w:val="16"/>
        </w:rPr>
        <w:t>The</w:t>
      </w:r>
      <w:r>
        <w:rPr>
          <w:color w:val="4D4D4F"/>
          <w:spacing w:val="11"/>
          <w:sz w:val="16"/>
        </w:rPr>
        <w:t xml:space="preserve"> </w:t>
      </w:r>
      <w:r>
        <w:rPr>
          <w:color w:val="4D4D4F"/>
          <w:sz w:val="16"/>
        </w:rPr>
        <w:t>lower</w:t>
      </w:r>
      <w:r>
        <w:rPr>
          <w:color w:val="4D4D4F"/>
          <w:spacing w:val="10"/>
          <w:sz w:val="16"/>
        </w:rPr>
        <w:t xml:space="preserve"> </w:t>
      </w:r>
      <w:r>
        <w:rPr>
          <w:color w:val="4D4D4F"/>
          <w:sz w:val="16"/>
        </w:rPr>
        <w:t>panel</w:t>
      </w:r>
      <w:r>
        <w:rPr>
          <w:color w:val="4D4D4F"/>
          <w:spacing w:val="10"/>
          <w:sz w:val="16"/>
        </w:rPr>
        <w:t xml:space="preserve"> </w:t>
      </w:r>
      <w:r>
        <w:rPr>
          <w:color w:val="4D4D4F"/>
          <w:sz w:val="16"/>
        </w:rPr>
        <w:t>shows</w:t>
      </w:r>
      <w:r>
        <w:rPr>
          <w:color w:val="4D4D4F"/>
          <w:spacing w:val="10"/>
          <w:sz w:val="16"/>
        </w:rPr>
        <w:t xml:space="preserve"> </w:t>
      </w:r>
      <w:r>
        <w:rPr>
          <w:color w:val="4D4D4F"/>
          <w:sz w:val="16"/>
        </w:rPr>
        <w:t>the</w:t>
      </w:r>
      <w:r>
        <w:rPr>
          <w:color w:val="4D4D4F"/>
          <w:spacing w:val="11"/>
          <w:sz w:val="16"/>
        </w:rPr>
        <w:t xml:space="preserve"> </w:t>
      </w:r>
      <w:r>
        <w:rPr>
          <w:color w:val="4D4D4F"/>
          <w:sz w:val="16"/>
        </w:rPr>
        <w:t>annual</w:t>
      </w:r>
      <w:r>
        <w:rPr>
          <w:color w:val="4D4D4F"/>
          <w:spacing w:val="10"/>
          <w:sz w:val="16"/>
        </w:rPr>
        <w:t xml:space="preserve"> </w:t>
      </w:r>
      <w:r>
        <w:rPr>
          <w:color w:val="4D4D4F"/>
          <w:sz w:val="16"/>
        </w:rPr>
        <w:t>data</w:t>
      </w:r>
      <w:r>
        <w:rPr>
          <w:color w:val="4D4D4F"/>
          <w:spacing w:val="10"/>
          <w:sz w:val="16"/>
        </w:rPr>
        <w:t xml:space="preserve"> </w:t>
      </w:r>
      <w:r>
        <w:rPr>
          <w:color w:val="4D4D4F"/>
          <w:sz w:val="16"/>
        </w:rPr>
        <w:t>for</w:t>
      </w:r>
      <w:r>
        <w:rPr>
          <w:color w:val="4D4D4F"/>
          <w:spacing w:val="11"/>
          <w:sz w:val="16"/>
        </w:rPr>
        <w:t xml:space="preserve"> </w:t>
      </w:r>
      <w:r>
        <w:rPr>
          <w:color w:val="4D4D4F"/>
          <w:sz w:val="16"/>
        </w:rPr>
        <w:t>all</w:t>
      </w:r>
      <w:r>
        <w:rPr>
          <w:color w:val="4D4D4F"/>
          <w:spacing w:val="10"/>
          <w:sz w:val="16"/>
        </w:rPr>
        <w:t xml:space="preserve"> </w:t>
      </w:r>
      <w:r>
        <w:rPr>
          <w:color w:val="4D4D4F"/>
          <w:sz w:val="16"/>
        </w:rPr>
        <w:t>states.</w:t>
      </w:r>
      <w:r>
        <w:rPr>
          <w:color w:val="4D4D4F"/>
          <w:sz w:val="16"/>
        </w:rPr>
        <w:tab/>
      </w:r>
      <w:r>
        <w:rPr>
          <w:rFonts w:ascii="Century Gothic"/>
          <w:i/>
          <w:color w:val="4D4D4F"/>
          <w:w w:val="90"/>
          <w:sz w:val="12"/>
        </w:rPr>
        <w:t>Source:</w:t>
      </w:r>
      <w:r>
        <w:rPr>
          <w:rFonts w:ascii="Century Gothic"/>
          <w:i/>
          <w:color w:val="4D4D4F"/>
          <w:spacing w:val="1"/>
          <w:w w:val="90"/>
          <w:sz w:val="12"/>
        </w:rPr>
        <w:t xml:space="preserve"> </w:t>
      </w:r>
      <w:r>
        <w:rPr>
          <w:rFonts w:ascii="Century Gothic"/>
          <w:i/>
          <w:color w:val="4D4D4F"/>
          <w:spacing w:val="-5"/>
          <w:w w:val="90"/>
          <w:sz w:val="12"/>
        </w:rPr>
        <w:t>DELWP</w:t>
      </w:r>
    </w:p>
    <w:p w14:paraId="079BC94E" w14:textId="77777777" w:rsidR="00EF5B27" w:rsidRDefault="00EF5B27">
      <w:pPr>
        <w:spacing w:line="244" w:lineRule="auto"/>
        <w:jc w:val="both"/>
        <w:rPr>
          <w:rFonts w:ascii="Century Gothic"/>
          <w:sz w:val="12"/>
        </w:rPr>
        <w:sectPr w:rsidR="00EF5B27">
          <w:pgSz w:w="11910" w:h="16840"/>
          <w:pgMar w:top="1080" w:right="1020" w:bottom="860" w:left="1020" w:header="537" w:footer="678" w:gutter="0"/>
          <w:cols w:space="720"/>
        </w:sectPr>
      </w:pPr>
    </w:p>
    <w:p w14:paraId="7E866FC7" w14:textId="77777777" w:rsidR="00EF5B27" w:rsidRDefault="00000000">
      <w:pPr>
        <w:pStyle w:val="BodyText"/>
        <w:rPr>
          <w:rFonts w:ascii="Century Gothic"/>
          <w:i/>
        </w:rPr>
      </w:pPr>
      <w:r>
        <w:lastRenderedPageBreak/>
        <w:pict w14:anchorId="38DE33A8">
          <v:group id="_x0000_s3459" style="position:absolute;margin-left:587.05pt;margin-top:183.4pt;width:8.25pt;height:153.1pt;z-index:251567616;mso-position-horizontal-relative:page;mso-position-vertical-relative:page" coordorigin="11741,3668" coordsize="165,3062">
            <v:shape id="_x0000_s3466" style="position:absolute;left:11741;top:3668;width:165;height:561" coordorigin="11741,3668" coordsize="165,561" path="m11906,3668r-165,l11741,4228r165,-18l11906,3668xe" fillcolor="#00aed9" stroked="f">
              <v:path arrowok="t"/>
            </v:shape>
            <v:shape id="_x0000_s3465" style="position:absolute;left:11741;top:4118;width:165;height:425" coordorigin="11741,4118" coordsize="165,425" path="m11906,4118r-165,14l11741,4531r165,12l11906,4118xe" fillcolor="#047ebc" stroked="f">
              <v:path arrowok="t"/>
            </v:shape>
            <v:shape id="_x0000_s3464" type="#_x0000_t75" style="position:absolute;left:11741;top:4355;width:165;height:587">
              <v:imagedata r:id="rId42" o:title=""/>
            </v:shape>
            <v:shape id="_x0000_s3463" style="position:absolute;left:11741;top:5343;width:165;height:536" coordorigin="11741,5343" coordsize="165,536" path="m11741,5343r,535l11906,5872r,-525l11741,5343xe" fillcolor="#f36a2e" stroked="f">
              <v:path arrowok="t"/>
            </v:shape>
            <v:shape id="_x0000_s3462" style="position:absolute;left:11741;top:4925;width:165;height:501" coordorigin="11741,4926" coordsize="165,501" path="m11741,4926r,500l11906,5426r,-485l11741,4926xe" fillcolor="#49783f" stroked="f">
              <v:path arrowok="t"/>
            </v:shape>
            <v:shape id="_x0000_s3461" style="position:absolute;left:11741;top:5781;width:165;height:268" coordorigin="11741,5782" coordsize="165,268" path="m11906,5782r-165,8l11741,6039r165,10l11906,5782xe" fillcolor="#f99f2a" stroked="f">
              <v:path arrowok="t"/>
            </v:shape>
            <v:shape id="_x0000_s3460" style="position:absolute;left:11741;top:6023;width:165;height:707" coordorigin="11741,6023" coordsize="165,707" path="m11741,6023r,706l11906,6729r,-690l11741,6023xe" fillcolor="#ef412c" stroked="f">
              <v:path arrowok="t"/>
            </v:shape>
            <w10:wrap anchorx="page" anchory="page"/>
          </v:group>
        </w:pict>
      </w:r>
    </w:p>
    <w:p w14:paraId="067B1936" w14:textId="77777777" w:rsidR="00EF5B27" w:rsidRDefault="00EF5B27">
      <w:pPr>
        <w:pStyle w:val="BodyText"/>
        <w:rPr>
          <w:rFonts w:ascii="Century Gothic"/>
          <w:i/>
        </w:rPr>
      </w:pPr>
    </w:p>
    <w:p w14:paraId="3B82E018" w14:textId="77777777" w:rsidR="00EF5B27" w:rsidRDefault="00EF5B27">
      <w:pPr>
        <w:pStyle w:val="BodyText"/>
        <w:rPr>
          <w:rFonts w:ascii="Century Gothic"/>
          <w:i/>
        </w:rPr>
      </w:pPr>
    </w:p>
    <w:p w14:paraId="26DBCA64" w14:textId="77777777" w:rsidR="00EF5B27" w:rsidRDefault="00EF5B27">
      <w:pPr>
        <w:pStyle w:val="BodyText"/>
        <w:spacing w:before="1"/>
        <w:rPr>
          <w:rFonts w:ascii="Century Gothic"/>
          <w:i/>
          <w:sz w:val="24"/>
        </w:rPr>
      </w:pPr>
    </w:p>
    <w:p w14:paraId="58F037B7" w14:textId="77777777" w:rsidR="00EF5B27" w:rsidRDefault="00000000">
      <w:pPr>
        <w:pStyle w:val="Heading6"/>
        <w:spacing w:before="111"/>
      </w:pPr>
      <w:bookmarkStart w:id="42" w:name="_bookmark35"/>
      <w:bookmarkStart w:id="43" w:name="_heading=h.19c6y18"/>
      <w:bookmarkEnd w:id="42"/>
      <w:bookmarkEnd w:id="43"/>
      <w:r>
        <w:rPr>
          <w:color w:val="4D4D4F"/>
        </w:rPr>
        <w:t>KPI 6: Percentage of plots that have bare ground cover between 25–75%</w:t>
      </w:r>
    </w:p>
    <w:p w14:paraId="12965C12" w14:textId="77777777" w:rsidR="00EF5B27" w:rsidRDefault="00EF5B27">
      <w:pPr>
        <w:pStyle w:val="BodyText"/>
        <w:spacing w:before="2"/>
        <w:rPr>
          <w:b/>
          <w:sz w:val="14"/>
        </w:rPr>
      </w:pPr>
    </w:p>
    <w:tbl>
      <w:tblPr>
        <w:tblW w:w="0" w:type="auto"/>
        <w:tblInd w:w="12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0EA92EA7" w14:textId="77777777">
        <w:trPr>
          <w:trHeight w:val="561"/>
        </w:trPr>
        <w:tc>
          <w:tcPr>
            <w:tcW w:w="2980" w:type="dxa"/>
            <w:shd w:val="clear" w:color="auto" w:fill="FECC91"/>
          </w:tcPr>
          <w:p w14:paraId="2D56EA4B" w14:textId="77777777" w:rsidR="00EF5B27" w:rsidRDefault="00000000">
            <w:pPr>
              <w:pStyle w:val="TableParagraph"/>
              <w:spacing w:before="91" w:line="244" w:lineRule="auto"/>
              <w:ind w:left="80" w:right="244"/>
              <w:rPr>
                <w:b/>
                <w:sz w:val="16"/>
              </w:rPr>
            </w:pPr>
            <w:r>
              <w:rPr>
                <w:b/>
                <w:sz w:val="16"/>
              </w:rPr>
              <w:t>KPI 6: Percentage of plots that have bare ground between 25–75%</w:t>
            </w:r>
          </w:p>
        </w:tc>
        <w:tc>
          <w:tcPr>
            <w:tcW w:w="1078" w:type="dxa"/>
            <w:shd w:val="clear" w:color="auto" w:fill="FECC91"/>
          </w:tcPr>
          <w:p w14:paraId="7A670B38"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5E266A96" w14:textId="77777777" w:rsidR="00EF5B27" w:rsidRDefault="00EF5B27">
            <w:pPr>
              <w:pStyle w:val="TableParagraph"/>
              <w:spacing w:before="7"/>
              <w:rPr>
                <w:b/>
                <w:sz w:val="15"/>
              </w:rPr>
            </w:pPr>
          </w:p>
          <w:p w14:paraId="02D3F774"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18C8D364" w14:textId="77777777" w:rsidR="00EF5B27" w:rsidRDefault="00EF5B27">
            <w:pPr>
              <w:pStyle w:val="TableParagraph"/>
              <w:spacing w:before="7"/>
              <w:rPr>
                <w:b/>
                <w:sz w:val="15"/>
              </w:rPr>
            </w:pPr>
          </w:p>
          <w:p w14:paraId="6B626A49"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399463E3"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0CC8CE90"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544C8FEF" w14:textId="77777777">
        <w:trPr>
          <w:trHeight w:val="448"/>
        </w:trPr>
        <w:tc>
          <w:tcPr>
            <w:tcW w:w="2980" w:type="dxa"/>
          </w:tcPr>
          <w:p w14:paraId="0B6F62F6" w14:textId="77777777" w:rsidR="00EF5B27" w:rsidRDefault="00EF5B27">
            <w:pPr>
              <w:pStyle w:val="TableParagraph"/>
              <w:spacing w:before="11"/>
              <w:rPr>
                <w:b/>
                <w:sz w:val="11"/>
              </w:rPr>
            </w:pPr>
          </w:p>
          <w:p w14:paraId="4B3423E0" w14:textId="77777777" w:rsidR="00EF5B27" w:rsidRDefault="00000000">
            <w:pPr>
              <w:pStyle w:val="TableParagraph"/>
              <w:ind w:left="80"/>
              <w:rPr>
                <w:sz w:val="14"/>
              </w:rPr>
            </w:pPr>
            <w:r>
              <w:rPr>
                <w:color w:val="4D4D4F"/>
                <w:w w:val="105"/>
                <w:sz w:val="14"/>
              </w:rPr>
              <w:t>Herb-rich grassland</w:t>
            </w:r>
          </w:p>
        </w:tc>
        <w:tc>
          <w:tcPr>
            <w:tcW w:w="1078" w:type="dxa"/>
          </w:tcPr>
          <w:p w14:paraId="2A511E2B" w14:textId="77777777" w:rsidR="00EF5B27" w:rsidRDefault="00EF5B27">
            <w:pPr>
              <w:pStyle w:val="TableParagraph"/>
              <w:spacing w:before="11"/>
              <w:rPr>
                <w:b/>
                <w:sz w:val="11"/>
              </w:rPr>
            </w:pPr>
          </w:p>
          <w:p w14:paraId="04FF30A4" w14:textId="77777777" w:rsidR="00EF5B27" w:rsidRDefault="00000000">
            <w:pPr>
              <w:pStyle w:val="TableParagraph"/>
              <w:ind w:right="421"/>
              <w:jc w:val="right"/>
              <w:rPr>
                <w:sz w:val="14"/>
              </w:rPr>
            </w:pPr>
            <w:r>
              <w:rPr>
                <w:color w:val="4D4D4F"/>
                <w:w w:val="90"/>
                <w:sz w:val="14"/>
              </w:rPr>
              <w:t>Met</w:t>
            </w:r>
          </w:p>
        </w:tc>
        <w:tc>
          <w:tcPr>
            <w:tcW w:w="2155" w:type="dxa"/>
          </w:tcPr>
          <w:p w14:paraId="4CF9AEF6" w14:textId="77777777" w:rsidR="00EF5B27" w:rsidRDefault="00EF5B27">
            <w:pPr>
              <w:pStyle w:val="TableParagraph"/>
              <w:spacing w:before="11"/>
              <w:rPr>
                <w:b/>
                <w:sz w:val="11"/>
              </w:rPr>
            </w:pPr>
          </w:p>
          <w:p w14:paraId="21B9F3BA" w14:textId="77777777" w:rsidR="00EF5B27" w:rsidRDefault="00000000">
            <w:pPr>
              <w:pStyle w:val="TableParagraph"/>
              <w:ind w:left="139" w:right="142"/>
              <w:jc w:val="center"/>
              <w:rPr>
                <w:sz w:val="14"/>
              </w:rPr>
            </w:pPr>
            <w:r>
              <w:rPr>
                <w:color w:val="4D4D4F"/>
                <w:w w:val="105"/>
                <w:sz w:val="14"/>
              </w:rPr>
              <w:t>N/A</w:t>
            </w:r>
          </w:p>
        </w:tc>
        <w:tc>
          <w:tcPr>
            <w:tcW w:w="964" w:type="dxa"/>
          </w:tcPr>
          <w:p w14:paraId="75C7F0AC" w14:textId="77777777" w:rsidR="00EF5B27" w:rsidRDefault="00EF5B27">
            <w:pPr>
              <w:pStyle w:val="TableParagraph"/>
              <w:spacing w:before="8"/>
              <w:rPr>
                <w:b/>
                <w:sz w:val="8"/>
              </w:rPr>
            </w:pPr>
          </w:p>
          <w:p w14:paraId="1268E8FA" w14:textId="77777777" w:rsidR="00EF5B27" w:rsidRDefault="00000000">
            <w:pPr>
              <w:pStyle w:val="TableParagraph"/>
              <w:spacing w:line="232" w:lineRule="exact"/>
              <w:ind w:left="427"/>
              <w:rPr>
                <w:sz w:val="20"/>
              </w:rPr>
            </w:pPr>
            <w:r>
              <w:rPr>
                <w:noProof/>
                <w:position w:val="-4"/>
                <w:sz w:val="20"/>
              </w:rPr>
              <w:drawing>
                <wp:inline distT="0" distB="0" distL="0" distR="0" wp14:anchorId="3F707F1C" wp14:editId="59C92F29">
                  <wp:extent cx="64988" cy="147637"/>
                  <wp:effectExtent l="0" t="0" r="0" b="0"/>
                  <wp:docPr id="34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50.png"/>
                          <pic:cNvPicPr/>
                        </pic:nvPicPr>
                        <pic:blipFill>
                          <a:blip r:embed="rId81" cstate="print"/>
                          <a:stretch>
                            <a:fillRect/>
                          </a:stretch>
                        </pic:blipFill>
                        <pic:spPr>
                          <a:xfrm>
                            <a:off x="0" y="0"/>
                            <a:ext cx="64988" cy="147637"/>
                          </a:xfrm>
                          <a:prstGeom prst="rect">
                            <a:avLst/>
                          </a:prstGeom>
                        </pic:spPr>
                      </pic:pic>
                    </a:graphicData>
                  </a:graphic>
                </wp:inline>
              </w:drawing>
            </w:r>
          </w:p>
        </w:tc>
        <w:tc>
          <w:tcPr>
            <w:tcW w:w="964" w:type="dxa"/>
          </w:tcPr>
          <w:p w14:paraId="5DBE8746" w14:textId="77777777" w:rsidR="00EF5B27" w:rsidRDefault="00EF5B27">
            <w:pPr>
              <w:pStyle w:val="TableParagraph"/>
              <w:spacing w:before="11"/>
              <w:rPr>
                <w:b/>
                <w:sz w:val="11"/>
              </w:rPr>
            </w:pPr>
          </w:p>
          <w:p w14:paraId="71587B11" w14:textId="77777777" w:rsidR="00EF5B27" w:rsidRDefault="00000000">
            <w:pPr>
              <w:pStyle w:val="TableParagraph"/>
              <w:ind w:left="323" w:right="323"/>
              <w:jc w:val="center"/>
              <w:rPr>
                <w:sz w:val="14"/>
              </w:rPr>
            </w:pPr>
            <w:r>
              <w:rPr>
                <w:color w:val="4D4D4F"/>
                <w:w w:val="105"/>
                <w:sz w:val="14"/>
              </w:rPr>
              <w:t>High</w:t>
            </w:r>
          </w:p>
        </w:tc>
        <w:tc>
          <w:tcPr>
            <w:tcW w:w="1489" w:type="dxa"/>
          </w:tcPr>
          <w:p w14:paraId="6A7637EE" w14:textId="77777777" w:rsidR="00EF5B27" w:rsidRDefault="00000000">
            <w:pPr>
              <w:pStyle w:val="TableParagraph"/>
              <w:spacing w:before="134"/>
              <w:ind w:left="449" w:right="457"/>
              <w:jc w:val="center"/>
              <w:rPr>
                <w:sz w:val="16"/>
              </w:rPr>
            </w:pPr>
            <w:r>
              <w:rPr>
                <w:color w:val="4D4D4F"/>
                <w:w w:val="105"/>
                <w:sz w:val="16"/>
              </w:rPr>
              <w:t>N/A</w:t>
            </w:r>
          </w:p>
        </w:tc>
      </w:tr>
      <w:tr w:rsidR="00EF5B27" w14:paraId="0854D952" w14:textId="77777777">
        <w:trPr>
          <w:trHeight w:val="448"/>
        </w:trPr>
        <w:tc>
          <w:tcPr>
            <w:tcW w:w="2980" w:type="dxa"/>
          </w:tcPr>
          <w:p w14:paraId="183AA1F0" w14:textId="77777777" w:rsidR="00EF5B27" w:rsidRDefault="00EF5B27">
            <w:pPr>
              <w:pStyle w:val="TableParagraph"/>
              <w:spacing w:before="11"/>
              <w:rPr>
                <w:b/>
                <w:sz w:val="11"/>
              </w:rPr>
            </w:pPr>
          </w:p>
          <w:p w14:paraId="1C632D10" w14:textId="77777777" w:rsidR="00EF5B27" w:rsidRDefault="00000000">
            <w:pPr>
              <w:pStyle w:val="TableParagraph"/>
              <w:ind w:left="80"/>
              <w:rPr>
                <w:sz w:val="14"/>
              </w:rPr>
            </w:pPr>
            <w:r>
              <w:rPr>
                <w:rFonts w:ascii="Arial Narrow"/>
                <w:i/>
                <w:color w:val="4D4D4F"/>
                <w:w w:val="110"/>
                <w:sz w:val="14"/>
              </w:rPr>
              <w:t xml:space="preserve">Themeda </w:t>
            </w:r>
            <w:r>
              <w:rPr>
                <w:color w:val="4D4D4F"/>
                <w:w w:val="110"/>
                <w:sz w:val="14"/>
              </w:rPr>
              <w:t>grassland</w:t>
            </w:r>
          </w:p>
        </w:tc>
        <w:tc>
          <w:tcPr>
            <w:tcW w:w="1078" w:type="dxa"/>
          </w:tcPr>
          <w:p w14:paraId="23C46D1F" w14:textId="77777777" w:rsidR="00EF5B27" w:rsidRDefault="00EF5B27">
            <w:pPr>
              <w:pStyle w:val="TableParagraph"/>
              <w:spacing w:before="11"/>
              <w:rPr>
                <w:b/>
                <w:sz w:val="11"/>
              </w:rPr>
            </w:pPr>
          </w:p>
          <w:p w14:paraId="419AFB7A" w14:textId="77777777" w:rsidR="00EF5B27" w:rsidRDefault="00000000">
            <w:pPr>
              <w:pStyle w:val="TableParagraph"/>
              <w:ind w:right="421"/>
              <w:jc w:val="right"/>
              <w:rPr>
                <w:sz w:val="14"/>
              </w:rPr>
            </w:pPr>
            <w:r>
              <w:rPr>
                <w:color w:val="4D4D4F"/>
                <w:w w:val="90"/>
                <w:sz w:val="14"/>
              </w:rPr>
              <w:t>Met</w:t>
            </w:r>
          </w:p>
        </w:tc>
        <w:tc>
          <w:tcPr>
            <w:tcW w:w="2155" w:type="dxa"/>
          </w:tcPr>
          <w:p w14:paraId="71AE6084" w14:textId="77777777" w:rsidR="00EF5B27" w:rsidRDefault="00EF5B27">
            <w:pPr>
              <w:pStyle w:val="TableParagraph"/>
              <w:spacing w:before="11"/>
              <w:rPr>
                <w:b/>
                <w:sz w:val="11"/>
              </w:rPr>
            </w:pPr>
          </w:p>
          <w:p w14:paraId="49B9A90E" w14:textId="77777777" w:rsidR="00EF5B27" w:rsidRDefault="00000000">
            <w:pPr>
              <w:pStyle w:val="TableParagraph"/>
              <w:ind w:left="138" w:right="142"/>
              <w:jc w:val="center"/>
              <w:rPr>
                <w:sz w:val="14"/>
              </w:rPr>
            </w:pPr>
            <w:r>
              <w:rPr>
                <w:color w:val="4D4D4F"/>
                <w:w w:val="105"/>
                <w:sz w:val="14"/>
              </w:rPr>
              <w:t>N/A</w:t>
            </w:r>
          </w:p>
        </w:tc>
        <w:tc>
          <w:tcPr>
            <w:tcW w:w="964" w:type="dxa"/>
          </w:tcPr>
          <w:p w14:paraId="729756B9" w14:textId="77777777" w:rsidR="00EF5B27" w:rsidRDefault="00EF5B27">
            <w:pPr>
              <w:pStyle w:val="TableParagraph"/>
              <w:spacing w:before="8"/>
              <w:rPr>
                <w:b/>
                <w:sz w:val="8"/>
              </w:rPr>
            </w:pPr>
          </w:p>
          <w:p w14:paraId="32E6F2D7" w14:textId="77777777" w:rsidR="00EF5B27" w:rsidRDefault="00000000">
            <w:pPr>
              <w:pStyle w:val="TableParagraph"/>
              <w:spacing w:line="232" w:lineRule="exact"/>
              <w:ind w:left="427"/>
              <w:rPr>
                <w:sz w:val="20"/>
              </w:rPr>
            </w:pPr>
            <w:r>
              <w:rPr>
                <w:noProof/>
                <w:position w:val="-4"/>
                <w:sz w:val="20"/>
              </w:rPr>
              <w:drawing>
                <wp:inline distT="0" distB="0" distL="0" distR="0" wp14:anchorId="16231782" wp14:editId="5B498102">
                  <wp:extent cx="64988" cy="147637"/>
                  <wp:effectExtent l="0" t="0" r="0" b="0"/>
                  <wp:docPr id="34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50.png"/>
                          <pic:cNvPicPr/>
                        </pic:nvPicPr>
                        <pic:blipFill>
                          <a:blip r:embed="rId81" cstate="print"/>
                          <a:stretch>
                            <a:fillRect/>
                          </a:stretch>
                        </pic:blipFill>
                        <pic:spPr>
                          <a:xfrm>
                            <a:off x="0" y="0"/>
                            <a:ext cx="64988" cy="147637"/>
                          </a:xfrm>
                          <a:prstGeom prst="rect">
                            <a:avLst/>
                          </a:prstGeom>
                        </pic:spPr>
                      </pic:pic>
                    </a:graphicData>
                  </a:graphic>
                </wp:inline>
              </w:drawing>
            </w:r>
          </w:p>
        </w:tc>
        <w:tc>
          <w:tcPr>
            <w:tcW w:w="964" w:type="dxa"/>
          </w:tcPr>
          <w:p w14:paraId="60FEF0DA" w14:textId="77777777" w:rsidR="00EF5B27" w:rsidRDefault="00EF5B27">
            <w:pPr>
              <w:pStyle w:val="TableParagraph"/>
              <w:spacing w:before="11"/>
              <w:rPr>
                <w:b/>
                <w:sz w:val="11"/>
              </w:rPr>
            </w:pPr>
          </w:p>
          <w:p w14:paraId="2F6AD7BA" w14:textId="77777777" w:rsidR="00EF5B27" w:rsidRDefault="00000000">
            <w:pPr>
              <w:pStyle w:val="TableParagraph"/>
              <w:ind w:left="323" w:right="323"/>
              <w:jc w:val="center"/>
              <w:rPr>
                <w:sz w:val="14"/>
              </w:rPr>
            </w:pPr>
            <w:r>
              <w:rPr>
                <w:color w:val="4D4D4F"/>
                <w:w w:val="105"/>
                <w:sz w:val="14"/>
              </w:rPr>
              <w:t>High</w:t>
            </w:r>
          </w:p>
        </w:tc>
        <w:tc>
          <w:tcPr>
            <w:tcW w:w="1489" w:type="dxa"/>
          </w:tcPr>
          <w:p w14:paraId="30E2D011" w14:textId="77777777" w:rsidR="00EF5B27" w:rsidRDefault="00000000">
            <w:pPr>
              <w:pStyle w:val="TableParagraph"/>
              <w:spacing w:before="134"/>
              <w:ind w:left="449" w:right="457"/>
              <w:jc w:val="center"/>
              <w:rPr>
                <w:sz w:val="16"/>
              </w:rPr>
            </w:pPr>
            <w:r>
              <w:rPr>
                <w:color w:val="4D4D4F"/>
                <w:w w:val="105"/>
                <w:sz w:val="16"/>
              </w:rPr>
              <w:t>N/A</w:t>
            </w:r>
          </w:p>
        </w:tc>
      </w:tr>
      <w:tr w:rsidR="00EF5B27" w14:paraId="2653009B" w14:textId="77777777">
        <w:trPr>
          <w:trHeight w:val="448"/>
        </w:trPr>
        <w:tc>
          <w:tcPr>
            <w:tcW w:w="2980" w:type="dxa"/>
          </w:tcPr>
          <w:p w14:paraId="3A21DAA8" w14:textId="77777777" w:rsidR="00EF5B27" w:rsidRDefault="00EF5B27">
            <w:pPr>
              <w:pStyle w:val="TableParagraph"/>
              <w:spacing w:before="11"/>
              <w:rPr>
                <w:b/>
                <w:sz w:val="11"/>
              </w:rPr>
            </w:pPr>
          </w:p>
          <w:p w14:paraId="3FCE3DE4" w14:textId="77777777" w:rsidR="00EF5B27" w:rsidRDefault="00000000">
            <w:pPr>
              <w:pStyle w:val="TableParagraph"/>
              <w:ind w:left="80"/>
              <w:rPr>
                <w:sz w:val="14"/>
              </w:rPr>
            </w:pPr>
            <w:r>
              <w:rPr>
                <w:color w:val="4D4D4F"/>
                <w:w w:val="105"/>
                <w:sz w:val="14"/>
              </w:rPr>
              <w:t>C3 grassland</w:t>
            </w:r>
          </w:p>
        </w:tc>
        <w:tc>
          <w:tcPr>
            <w:tcW w:w="1078" w:type="dxa"/>
          </w:tcPr>
          <w:p w14:paraId="66292C04" w14:textId="77777777" w:rsidR="00EF5B27" w:rsidRDefault="00EF5B27">
            <w:pPr>
              <w:pStyle w:val="TableParagraph"/>
              <w:spacing w:before="11"/>
              <w:rPr>
                <w:b/>
                <w:sz w:val="11"/>
              </w:rPr>
            </w:pPr>
          </w:p>
          <w:p w14:paraId="548A8DA3" w14:textId="77777777" w:rsidR="00EF5B27" w:rsidRDefault="00000000">
            <w:pPr>
              <w:pStyle w:val="TableParagraph"/>
              <w:ind w:right="421"/>
              <w:jc w:val="right"/>
              <w:rPr>
                <w:sz w:val="14"/>
              </w:rPr>
            </w:pPr>
            <w:r>
              <w:rPr>
                <w:color w:val="4D4D4F"/>
                <w:w w:val="90"/>
                <w:sz w:val="14"/>
              </w:rPr>
              <w:t>Met</w:t>
            </w:r>
          </w:p>
        </w:tc>
        <w:tc>
          <w:tcPr>
            <w:tcW w:w="2155" w:type="dxa"/>
          </w:tcPr>
          <w:p w14:paraId="62688D8A" w14:textId="77777777" w:rsidR="00EF5B27" w:rsidRDefault="00EF5B27">
            <w:pPr>
              <w:pStyle w:val="TableParagraph"/>
              <w:spacing w:before="11"/>
              <w:rPr>
                <w:b/>
                <w:sz w:val="11"/>
              </w:rPr>
            </w:pPr>
          </w:p>
          <w:p w14:paraId="600AD37A" w14:textId="77777777" w:rsidR="00EF5B27" w:rsidRDefault="00000000">
            <w:pPr>
              <w:pStyle w:val="TableParagraph"/>
              <w:ind w:left="139" w:right="142"/>
              <w:jc w:val="center"/>
              <w:rPr>
                <w:sz w:val="14"/>
              </w:rPr>
            </w:pPr>
            <w:r>
              <w:rPr>
                <w:color w:val="4D4D4F"/>
                <w:w w:val="105"/>
                <w:sz w:val="14"/>
              </w:rPr>
              <w:t>N/A</w:t>
            </w:r>
          </w:p>
        </w:tc>
        <w:tc>
          <w:tcPr>
            <w:tcW w:w="964" w:type="dxa"/>
          </w:tcPr>
          <w:p w14:paraId="1A5FE230" w14:textId="77777777" w:rsidR="00EF5B27" w:rsidRDefault="00EF5B27">
            <w:pPr>
              <w:pStyle w:val="TableParagraph"/>
              <w:spacing w:before="8"/>
              <w:rPr>
                <w:b/>
                <w:sz w:val="8"/>
              </w:rPr>
            </w:pPr>
          </w:p>
          <w:p w14:paraId="6B75105F" w14:textId="77777777" w:rsidR="00EF5B27" w:rsidRDefault="00000000">
            <w:pPr>
              <w:pStyle w:val="TableParagraph"/>
              <w:spacing w:line="232" w:lineRule="exact"/>
              <w:ind w:left="427"/>
              <w:rPr>
                <w:sz w:val="20"/>
              </w:rPr>
            </w:pPr>
            <w:r>
              <w:rPr>
                <w:noProof/>
                <w:position w:val="-4"/>
                <w:sz w:val="20"/>
              </w:rPr>
              <w:drawing>
                <wp:inline distT="0" distB="0" distL="0" distR="0" wp14:anchorId="2DE71F11" wp14:editId="169F93E3">
                  <wp:extent cx="64988" cy="147637"/>
                  <wp:effectExtent l="0" t="0" r="0" b="0"/>
                  <wp:docPr id="351"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50.png"/>
                          <pic:cNvPicPr/>
                        </pic:nvPicPr>
                        <pic:blipFill>
                          <a:blip r:embed="rId81" cstate="print"/>
                          <a:stretch>
                            <a:fillRect/>
                          </a:stretch>
                        </pic:blipFill>
                        <pic:spPr>
                          <a:xfrm>
                            <a:off x="0" y="0"/>
                            <a:ext cx="64988" cy="147637"/>
                          </a:xfrm>
                          <a:prstGeom prst="rect">
                            <a:avLst/>
                          </a:prstGeom>
                        </pic:spPr>
                      </pic:pic>
                    </a:graphicData>
                  </a:graphic>
                </wp:inline>
              </w:drawing>
            </w:r>
          </w:p>
        </w:tc>
        <w:tc>
          <w:tcPr>
            <w:tcW w:w="964" w:type="dxa"/>
          </w:tcPr>
          <w:p w14:paraId="0501EA8D" w14:textId="77777777" w:rsidR="00EF5B27" w:rsidRDefault="00EF5B27">
            <w:pPr>
              <w:pStyle w:val="TableParagraph"/>
              <w:spacing w:before="11"/>
              <w:rPr>
                <w:b/>
                <w:sz w:val="11"/>
              </w:rPr>
            </w:pPr>
          </w:p>
          <w:p w14:paraId="358FD533" w14:textId="77777777" w:rsidR="00EF5B27" w:rsidRDefault="00000000">
            <w:pPr>
              <w:pStyle w:val="TableParagraph"/>
              <w:ind w:left="323" w:right="323"/>
              <w:jc w:val="center"/>
              <w:rPr>
                <w:sz w:val="14"/>
              </w:rPr>
            </w:pPr>
            <w:r>
              <w:rPr>
                <w:color w:val="4D4D4F"/>
                <w:w w:val="105"/>
                <w:sz w:val="14"/>
              </w:rPr>
              <w:t>High</w:t>
            </w:r>
          </w:p>
        </w:tc>
        <w:tc>
          <w:tcPr>
            <w:tcW w:w="1489" w:type="dxa"/>
          </w:tcPr>
          <w:p w14:paraId="69F2E549" w14:textId="77777777" w:rsidR="00EF5B27" w:rsidRDefault="00000000">
            <w:pPr>
              <w:pStyle w:val="TableParagraph"/>
              <w:spacing w:before="134"/>
              <w:ind w:left="449" w:right="457"/>
              <w:jc w:val="center"/>
              <w:rPr>
                <w:sz w:val="16"/>
              </w:rPr>
            </w:pPr>
            <w:r>
              <w:rPr>
                <w:color w:val="4D4D4F"/>
                <w:w w:val="105"/>
                <w:sz w:val="16"/>
              </w:rPr>
              <w:t>N/A</w:t>
            </w:r>
          </w:p>
        </w:tc>
      </w:tr>
      <w:tr w:rsidR="00EF5B27" w14:paraId="6E496EF0" w14:textId="77777777">
        <w:trPr>
          <w:trHeight w:val="448"/>
        </w:trPr>
        <w:tc>
          <w:tcPr>
            <w:tcW w:w="2980" w:type="dxa"/>
          </w:tcPr>
          <w:p w14:paraId="594B010A" w14:textId="77777777" w:rsidR="00EF5B27" w:rsidRDefault="00EF5B27">
            <w:pPr>
              <w:pStyle w:val="TableParagraph"/>
              <w:spacing w:before="11"/>
              <w:rPr>
                <w:b/>
                <w:sz w:val="11"/>
              </w:rPr>
            </w:pPr>
          </w:p>
          <w:p w14:paraId="2D73C875" w14:textId="77777777" w:rsidR="00EF5B27" w:rsidRDefault="00000000">
            <w:pPr>
              <w:pStyle w:val="TableParagraph"/>
              <w:ind w:left="80"/>
              <w:rPr>
                <w:sz w:val="14"/>
              </w:rPr>
            </w:pPr>
            <w:r>
              <w:rPr>
                <w:color w:val="4D4D4F"/>
                <w:w w:val="105"/>
                <w:sz w:val="14"/>
              </w:rPr>
              <w:t>Nutrient-enriched grassland</w:t>
            </w:r>
          </w:p>
        </w:tc>
        <w:tc>
          <w:tcPr>
            <w:tcW w:w="1078" w:type="dxa"/>
          </w:tcPr>
          <w:p w14:paraId="4DDDF297" w14:textId="77777777" w:rsidR="00EF5B27" w:rsidRDefault="00EF5B27">
            <w:pPr>
              <w:pStyle w:val="TableParagraph"/>
              <w:spacing w:before="11"/>
              <w:rPr>
                <w:b/>
                <w:sz w:val="11"/>
              </w:rPr>
            </w:pPr>
          </w:p>
          <w:p w14:paraId="56B06CA3" w14:textId="77777777" w:rsidR="00EF5B27" w:rsidRDefault="00000000">
            <w:pPr>
              <w:pStyle w:val="TableParagraph"/>
              <w:ind w:right="421"/>
              <w:jc w:val="right"/>
              <w:rPr>
                <w:sz w:val="14"/>
              </w:rPr>
            </w:pPr>
            <w:r>
              <w:rPr>
                <w:color w:val="4D4D4F"/>
                <w:w w:val="90"/>
                <w:sz w:val="14"/>
              </w:rPr>
              <w:t>Met</w:t>
            </w:r>
          </w:p>
        </w:tc>
        <w:tc>
          <w:tcPr>
            <w:tcW w:w="2155" w:type="dxa"/>
          </w:tcPr>
          <w:p w14:paraId="494484A1" w14:textId="77777777" w:rsidR="00EF5B27" w:rsidRDefault="00EF5B27">
            <w:pPr>
              <w:pStyle w:val="TableParagraph"/>
              <w:spacing w:before="11"/>
              <w:rPr>
                <w:b/>
                <w:sz w:val="11"/>
              </w:rPr>
            </w:pPr>
          </w:p>
          <w:p w14:paraId="64A0DF0A" w14:textId="77777777" w:rsidR="00EF5B27" w:rsidRDefault="00000000">
            <w:pPr>
              <w:pStyle w:val="TableParagraph"/>
              <w:ind w:left="139" w:right="142"/>
              <w:jc w:val="center"/>
              <w:rPr>
                <w:sz w:val="14"/>
              </w:rPr>
            </w:pPr>
            <w:r>
              <w:rPr>
                <w:color w:val="4D4D4F"/>
                <w:w w:val="105"/>
                <w:sz w:val="14"/>
              </w:rPr>
              <w:t>N/A</w:t>
            </w:r>
          </w:p>
        </w:tc>
        <w:tc>
          <w:tcPr>
            <w:tcW w:w="964" w:type="dxa"/>
          </w:tcPr>
          <w:p w14:paraId="0A997893" w14:textId="77777777" w:rsidR="00EF5B27" w:rsidRDefault="00EF5B27">
            <w:pPr>
              <w:pStyle w:val="TableParagraph"/>
              <w:spacing w:before="8"/>
              <w:rPr>
                <w:b/>
                <w:sz w:val="8"/>
              </w:rPr>
            </w:pPr>
          </w:p>
          <w:p w14:paraId="3CB34F22" w14:textId="77777777" w:rsidR="00EF5B27" w:rsidRDefault="00000000">
            <w:pPr>
              <w:pStyle w:val="TableParagraph"/>
              <w:spacing w:line="232" w:lineRule="exact"/>
              <w:ind w:left="427"/>
              <w:rPr>
                <w:sz w:val="20"/>
              </w:rPr>
            </w:pPr>
            <w:r>
              <w:rPr>
                <w:noProof/>
                <w:position w:val="-4"/>
                <w:sz w:val="20"/>
              </w:rPr>
              <w:drawing>
                <wp:inline distT="0" distB="0" distL="0" distR="0" wp14:anchorId="02F93499" wp14:editId="2D638FD9">
                  <wp:extent cx="64988" cy="147637"/>
                  <wp:effectExtent l="0" t="0" r="0" b="0"/>
                  <wp:docPr id="35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50.png"/>
                          <pic:cNvPicPr/>
                        </pic:nvPicPr>
                        <pic:blipFill>
                          <a:blip r:embed="rId81" cstate="print"/>
                          <a:stretch>
                            <a:fillRect/>
                          </a:stretch>
                        </pic:blipFill>
                        <pic:spPr>
                          <a:xfrm>
                            <a:off x="0" y="0"/>
                            <a:ext cx="64988" cy="147637"/>
                          </a:xfrm>
                          <a:prstGeom prst="rect">
                            <a:avLst/>
                          </a:prstGeom>
                        </pic:spPr>
                      </pic:pic>
                    </a:graphicData>
                  </a:graphic>
                </wp:inline>
              </w:drawing>
            </w:r>
          </w:p>
        </w:tc>
        <w:tc>
          <w:tcPr>
            <w:tcW w:w="964" w:type="dxa"/>
          </w:tcPr>
          <w:p w14:paraId="45EF99E0" w14:textId="77777777" w:rsidR="00EF5B27" w:rsidRDefault="00EF5B27">
            <w:pPr>
              <w:pStyle w:val="TableParagraph"/>
              <w:spacing w:before="11"/>
              <w:rPr>
                <w:b/>
                <w:sz w:val="11"/>
              </w:rPr>
            </w:pPr>
          </w:p>
          <w:p w14:paraId="13EF0E01" w14:textId="77777777" w:rsidR="00EF5B27" w:rsidRDefault="00000000">
            <w:pPr>
              <w:pStyle w:val="TableParagraph"/>
              <w:ind w:left="323" w:right="323"/>
              <w:jc w:val="center"/>
              <w:rPr>
                <w:sz w:val="14"/>
              </w:rPr>
            </w:pPr>
            <w:r>
              <w:rPr>
                <w:color w:val="4D4D4F"/>
                <w:w w:val="105"/>
                <w:sz w:val="14"/>
              </w:rPr>
              <w:t>High</w:t>
            </w:r>
          </w:p>
        </w:tc>
        <w:tc>
          <w:tcPr>
            <w:tcW w:w="1489" w:type="dxa"/>
          </w:tcPr>
          <w:p w14:paraId="54F8F7DB" w14:textId="77777777" w:rsidR="00EF5B27" w:rsidRDefault="00000000">
            <w:pPr>
              <w:pStyle w:val="TableParagraph"/>
              <w:spacing w:before="134"/>
              <w:ind w:left="449" w:right="457"/>
              <w:jc w:val="center"/>
              <w:rPr>
                <w:sz w:val="16"/>
              </w:rPr>
            </w:pPr>
            <w:r>
              <w:rPr>
                <w:color w:val="4D4D4F"/>
                <w:w w:val="105"/>
                <w:sz w:val="16"/>
              </w:rPr>
              <w:t>N/A</w:t>
            </w:r>
          </w:p>
        </w:tc>
      </w:tr>
      <w:tr w:rsidR="00EF5B27" w14:paraId="7B8096F5" w14:textId="77777777">
        <w:trPr>
          <w:trHeight w:val="448"/>
        </w:trPr>
        <w:tc>
          <w:tcPr>
            <w:tcW w:w="2980" w:type="dxa"/>
          </w:tcPr>
          <w:p w14:paraId="1231D9FD" w14:textId="77777777" w:rsidR="00EF5B27" w:rsidRDefault="00EF5B27">
            <w:pPr>
              <w:pStyle w:val="TableParagraph"/>
              <w:spacing w:before="11"/>
              <w:rPr>
                <w:b/>
                <w:sz w:val="11"/>
              </w:rPr>
            </w:pPr>
          </w:p>
          <w:p w14:paraId="1D84687F" w14:textId="77777777" w:rsidR="00EF5B27" w:rsidRDefault="00000000">
            <w:pPr>
              <w:pStyle w:val="TableParagraph"/>
              <w:ind w:left="80"/>
              <w:rPr>
                <w:sz w:val="14"/>
              </w:rPr>
            </w:pPr>
            <w:r>
              <w:rPr>
                <w:color w:val="4D4D4F"/>
                <w:w w:val="105"/>
                <w:sz w:val="14"/>
              </w:rPr>
              <w:t>De-rocked grassland</w:t>
            </w:r>
          </w:p>
        </w:tc>
        <w:tc>
          <w:tcPr>
            <w:tcW w:w="1078" w:type="dxa"/>
          </w:tcPr>
          <w:p w14:paraId="7BA9A2B4" w14:textId="77777777" w:rsidR="00EF5B27" w:rsidRDefault="00EF5B27">
            <w:pPr>
              <w:pStyle w:val="TableParagraph"/>
              <w:spacing w:before="11"/>
              <w:rPr>
                <w:b/>
                <w:sz w:val="11"/>
              </w:rPr>
            </w:pPr>
          </w:p>
          <w:p w14:paraId="35D3DA0A" w14:textId="77777777" w:rsidR="00EF5B27" w:rsidRDefault="00000000">
            <w:pPr>
              <w:pStyle w:val="TableParagraph"/>
              <w:ind w:right="421"/>
              <w:jc w:val="right"/>
              <w:rPr>
                <w:sz w:val="14"/>
              </w:rPr>
            </w:pPr>
            <w:r>
              <w:rPr>
                <w:color w:val="4D4D4F"/>
                <w:w w:val="90"/>
                <w:sz w:val="14"/>
              </w:rPr>
              <w:t>Met</w:t>
            </w:r>
          </w:p>
        </w:tc>
        <w:tc>
          <w:tcPr>
            <w:tcW w:w="2155" w:type="dxa"/>
          </w:tcPr>
          <w:p w14:paraId="1B6074D9" w14:textId="77777777" w:rsidR="00EF5B27" w:rsidRDefault="00EF5B27">
            <w:pPr>
              <w:pStyle w:val="TableParagraph"/>
              <w:spacing w:before="11"/>
              <w:rPr>
                <w:b/>
                <w:sz w:val="11"/>
              </w:rPr>
            </w:pPr>
          </w:p>
          <w:p w14:paraId="5E6F59AF" w14:textId="77777777" w:rsidR="00EF5B27" w:rsidRDefault="00000000">
            <w:pPr>
              <w:pStyle w:val="TableParagraph"/>
              <w:ind w:left="139" w:right="142"/>
              <w:jc w:val="center"/>
              <w:rPr>
                <w:sz w:val="14"/>
              </w:rPr>
            </w:pPr>
            <w:r>
              <w:rPr>
                <w:color w:val="4D4D4F"/>
                <w:w w:val="105"/>
                <w:sz w:val="14"/>
              </w:rPr>
              <w:t>N/A</w:t>
            </w:r>
          </w:p>
        </w:tc>
        <w:tc>
          <w:tcPr>
            <w:tcW w:w="964" w:type="dxa"/>
          </w:tcPr>
          <w:p w14:paraId="70D078E5" w14:textId="77777777" w:rsidR="00EF5B27" w:rsidRDefault="00EF5B27">
            <w:pPr>
              <w:pStyle w:val="TableParagraph"/>
              <w:spacing w:before="8"/>
              <w:rPr>
                <w:b/>
                <w:sz w:val="8"/>
              </w:rPr>
            </w:pPr>
          </w:p>
          <w:p w14:paraId="08BADFBB" w14:textId="77777777" w:rsidR="00EF5B27" w:rsidRDefault="00000000">
            <w:pPr>
              <w:pStyle w:val="TableParagraph"/>
              <w:spacing w:line="232" w:lineRule="exact"/>
              <w:ind w:left="427"/>
              <w:rPr>
                <w:sz w:val="20"/>
              </w:rPr>
            </w:pPr>
            <w:r>
              <w:rPr>
                <w:noProof/>
                <w:position w:val="-4"/>
                <w:sz w:val="20"/>
              </w:rPr>
              <w:drawing>
                <wp:inline distT="0" distB="0" distL="0" distR="0" wp14:anchorId="5F924F80" wp14:editId="0B00BFEA">
                  <wp:extent cx="64988" cy="147637"/>
                  <wp:effectExtent l="0" t="0" r="0" b="0"/>
                  <wp:docPr id="355"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50.png"/>
                          <pic:cNvPicPr/>
                        </pic:nvPicPr>
                        <pic:blipFill>
                          <a:blip r:embed="rId81" cstate="print"/>
                          <a:stretch>
                            <a:fillRect/>
                          </a:stretch>
                        </pic:blipFill>
                        <pic:spPr>
                          <a:xfrm>
                            <a:off x="0" y="0"/>
                            <a:ext cx="64988" cy="147637"/>
                          </a:xfrm>
                          <a:prstGeom prst="rect">
                            <a:avLst/>
                          </a:prstGeom>
                        </pic:spPr>
                      </pic:pic>
                    </a:graphicData>
                  </a:graphic>
                </wp:inline>
              </w:drawing>
            </w:r>
          </w:p>
        </w:tc>
        <w:tc>
          <w:tcPr>
            <w:tcW w:w="964" w:type="dxa"/>
          </w:tcPr>
          <w:p w14:paraId="0425CA33" w14:textId="77777777" w:rsidR="00EF5B27" w:rsidRDefault="00EF5B27">
            <w:pPr>
              <w:pStyle w:val="TableParagraph"/>
              <w:spacing w:before="11"/>
              <w:rPr>
                <w:b/>
                <w:sz w:val="11"/>
              </w:rPr>
            </w:pPr>
          </w:p>
          <w:p w14:paraId="38CAC205" w14:textId="77777777" w:rsidR="00EF5B27" w:rsidRDefault="00000000">
            <w:pPr>
              <w:pStyle w:val="TableParagraph"/>
              <w:ind w:left="323" w:right="323"/>
              <w:jc w:val="center"/>
              <w:rPr>
                <w:sz w:val="14"/>
              </w:rPr>
            </w:pPr>
            <w:r>
              <w:rPr>
                <w:color w:val="4D4D4F"/>
                <w:w w:val="105"/>
                <w:sz w:val="14"/>
              </w:rPr>
              <w:t>High</w:t>
            </w:r>
          </w:p>
        </w:tc>
        <w:tc>
          <w:tcPr>
            <w:tcW w:w="1489" w:type="dxa"/>
          </w:tcPr>
          <w:p w14:paraId="55821C32" w14:textId="77777777" w:rsidR="00EF5B27" w:rsidRDefault="00000000">
            <w:pPr>
              <w:pStyle w:val="TableParagraph"/>
              <w:spacing w:before="134"/>
              <w:ind w:left="449" w:right="457"/>
              <w:jc w:val="center"/>
              <w:rPr>
                <w:sz w:val="16"/>
              </w:rPr>
            </w:pPr>
            <w:r>
              <w:rPr>
                <w:color w:val="4D4D4F"/>
                <w:w w:val="105"/>
                <w:sz w:val="16"/>
              </w:rPr>
              <w:t>N/A</w:t>
            </w:r>
          </w:p>
        </w:tc>
      </w:tr>
    </w:tbl>
    <w:p w14:paraId="0F2C2B52" w14:textId="77777777" w:rsidR="00EF5B27" w:rsidRDefault="00EF5B27">
      <w:pPr>
        <w:pStyle w:val="BodyText"/>
        <w:spacing w:before="3"/>
        <w:rPr>
          <w:b/>
          <w:sz w:val="34"/>
        </w:rPr>
      </w:pPr>
    </w:p>
    <w:p w14:paraId="2C869513" w14:textId="77777777" w:rsidR="00EF5B27" w:rsidRDefault="00000000">
      <w:pPr>
        <w:pStyle w:val="BodyText"/>
        <w:spacing w:before="1" w:line="254" w:lineRule="auto"/>
        <w:ind w:left="2608" w:right="285"/>
      </w:pPr>
      <w:r>
        <w:rPr>
          <w:color w:val="4D4D4F"/>
        </w:rPr>
        <w:t xml:space="preserve">This KPI is a measure of habitat structural heterogeneity. It requires that Natural Temperate Grassland exists in a range of structural types each year (no single </w:t>
      </w:r>
      <w:r>
        <w:rPr>
          <w:color w:val="4D4D4F"/>
          <w:spacing w:val="2"/>
        </w:rPr>
        <w:t xml:space="preserve">type    </w:t>
      </w:r>
      <w:r>
        <w:rPr>
          <w:color w:val="4D4D4F"/>
        </w:rPr>
        <w:t>is always preferred), to allow a range of animals to meet their habitat requirements. The KPI requires a certain percentage (5–30%) of plots to fall within a bare ground cover category (25–75% bare ground), and consequently requires a proportion to   fall outside that category. Rapid plots provide the data for this KPI. Only plots that sample</w:t>
      </w:r>
      <w:r>
        <w:rPr>
          <w:color w:val="4D4D4F"/>
          <w:spacing w:val="6"/>
        </w:rPr>
        <w:t xml:space="preserve"> </w:t>
      </w:r>
      <w:r>
        <w:rPr>
          <w:color w:val="4D4D4F"/>
        </w:rPr>
        <w:t>Natural</w:t>
      </w:r>
      <w:r>
        <w:rPr>
          <w:color w:val="4D4D4F"/>
          <w:spacing w:val="7"/>
        </w:rPr>
        <w:t xml:space="preserve"> </w:t>
      </w:r>
      <w:r>
        <w:rPr>
          <w:color w:val="4D4D4F"/>
        </w:rPr>
        <w:t>Temperate</w:t>
      </w:r>
      <w:r>
        <w:rPr>
          <w:color w:val="4D4D4F"/>
          <w:spacing w:val="7"/>
        </w:rPr>
        <w:t xml:space="preserve"> </w:t>
      </w:r>
      <w:r>
        <w:rPr>
          <w:color w:val="4D4D4F"/>
        </w:rPr>
        <w:t>Grassland</w:t>
      </w:r>
      <w:r>
        <w:rPr>
          <w:color w:val="4D4D4F"/>
          <w:spacing w:val="7"/>
        </w:rPr>
        <w:t xml:space="preserve"> </w:t>
      </w:r>
      <w:r>
        <w:rPr>
          <w:color w:val="4D4D4F"/>
          <w:spacing w:val="-4"/>
        </w:rPr>
        <w:t>(as</w:t>
      </w:r>
      <w:r>
        <w:rPr>
          <w:color w:val="4D4D4F"/>
          <w:spacing w:val="7"/>
        </w:rPr>
        <w:t xml:space="preserve"> </w:t>
      </w:r>
      <w:r>
        <w:rPr>
          <w:color w:val="4D4D4F"/>
        </w:rPr>
        <w:t>mapped</w:t>
      </w:r>
      <w:r>
        <w:rPr>
          <w:color w:val="4D4D4F"/>
          <w:spacing w:val="7"/>
        </w:rPr>
        <w:t xml:space="preserve"> </w:t>
      </w:r>
      <w:r>
        <w:rPr>
          <w:color w:val="4D4D4F"/>
        </w:rPr>
        <w:t>in</w:t>
      </w:r>
      <w:r>
        <w:rPr>
          <w:color w:val="4D4D4F"/>
          <w:spacing w:val="7"/>
        </w:rPr>
        <w:t xml:space="preserve"> </w:t>
      </w:r>
      <w:r>
        <w:rPr>
          <w:color w:val="4D4D4F"/>
        </w:rPr>
        <w:t>the</w:t>
      </w:r>
      <w:r>
        <w:rPr>
          <w:color w:val="4D4D4F"/>
          <w:spacing w:val="6"/>
        </w:rPr>
        <w:t xml:space="preserve"> </w:t>
      </w:r>
      <w:r>
        <w:rPr>
          <w:color w:val="4D4D4F"/>
        </w:rPr>
        <w:t>inventory</w:t>
      </w:r>
      <w:r>
        <w:rPr>
          <w:color w:val="4D4D4F"/>
          <w:spacing w:val="7"/>
        </w:rPr>
        <w:t xml:space="preserve"> </w:t>
      </w:r>
      <w:r>
        <w:rPr>
          <w:color w:val="4D4D4F"/>
        </w:rPr>
        <w:t>report)</w:t>
      </w:r>
      <w:r>
        <w:rPr>
          <w:color w:val="4D4D4F"/>
          <w:spacing w:val="7"/>
        </w:rPr>
        <w:t xml:space="preserve"> </w:t>
      </w:r>
      <w:r>
        <w:rPr>
          <w:color w:val="4D4D4F"/>
        </w:rPr>
        <w:t>contribute</w:t>
      </w:r>
    </w:p>
    <w:p w14:paraId="4211BACA" w14:textId="77777777" w:rsidR="00EF5B27" w:rsidRDefault="00000000">
      <w:pPr>
        <w:pStyle w:val="BodyText"/>
        <w:spacing w:before="8" w:line="254" w:lineRule="auto"/>
        <w:ind w:left="2608"/>
      </w:pPr>
      <w:r>
        <w:rPr>
          <w:color w:val="4D4D4F"/>
        </w:rPr>
        <w:t xml:space="preserve">to the assessment of KPI 6. Individual </w:t>
      </w:r>
      <w:r>
        <w:rPr>
          <w:color w:val="4D4D4F"/>
          <w:spacing w:val="-5"/>
        </w:rPr>
        <w:t xml:space="preserve">10 </w:t>
      </w:r>
      <w:r>
        <w:rPr>
          <w:color w:val="4D4D4F"/>
        </w:rPr>
        <w:t xml:space="preserve">m radius plots that appear not to be Natural </w:t>
      </w:r>
      <w:r>
        <w:rPr>
          <w:color w:val="4D4D4F"/>
          <w:spacing w:val="-6"/>
        </w:rPr>
        <w:t xml:space="preserve">Temperate </w:t>
      </w:r>
      <w:r>
        <w:rPr>
          <w:color w:val="4D4D4F"/>
          <w:spacing w:val="-5"/>
        </w:rPr>
        <w:t xml:space="preserve">Grassland </w:t>
      </w:r>
      <w:r>
        <w:rPr>
          <w:color w:val="4D4D4F"/>
          <w:spacing w:val="-3"/>
        </w:rPr>
        <w:t xml:space="preserve">are </w:t>
      </w:r>
      <w:r>
        <w:rPr>
          <w:color w:val="4D4D4F"/>
          <w:spacing w:val="-6"/>
        </w:rPr>
        <w:t xml:space="preserve">included </w:t>
      </w:r>
      <w:r>
        <w:rPr>
          <w:color w:val="4D4D4F"/>
          <w:spacing w:val="-3"/>
        </w:rPr>
        <w:t xml:space="preserve">if </w:t>
      </w:r>
      <w:r>
        <w:rPr>
          <w:color w:val="4D4D4F"/>
          <w:spacing w:val="-5"/>
        </w:rPr>
        <w:t xml:space="preserve">they fall </w:t>
      </w:r>
      <w:r>
        <w:rPr>
          <w:color w:val="4D4D4F"/>
          <w:spacing w:val="-6"/>
        </w:rPr>
        <w:t xml:space="preserve">within </w:t>
      </w:r>
      <w:r>
        <w:rPr>
          <w:color w:val="4D4D4F"/>
          <w:spacing w:val="-5"/>
        </w:rPr>
        <w:t xml:space="preserve">mapped Natural </w:t>
      </w:r>
      <w:r>
        <w:rPr>
          <w:color w:val="4D4D4F"/>
          <w:spacing w:val="-6"/>
        </w:rPr>
        <w:t xml:space="preserve">Temperate </w:t>
      </w:r>
      <w:r>
        <w:rPr>
          <w:color w:val="4D4D4F"/>
          <w:spacing w:val="-5"/>
        </w:rPr>
        <w:t>Grassland.</w:t>
      </w:r>
    </w:p>
    <w:p w14:paraId="3D37BCC3" w14:textId="77777777" w:rsidR="00EF5B27" w:rsidRDefault="00000000">
      <w:pPr>
        <w:pStyle w:val="BodyText"/>
        <w:spacing w:before="116"/>
        <w:ind w:left="2608"/>
      </w:pPr>
      <w:r>
        <w:rPr>
          <w:color w:val="4D4D4F"/>
        </w:rPr>
        <w:t>This KPI does not refer to a baseline. Rather, the KPI is met or not in each year.</w:t>
      </w:r>
    </w:p>
    <w:p w14:paraId="1E515577" w14:textId="77777777" w:rsidR="00EF5B27" w:rsidRDefault="00000000">
      <w:pPr>
        <w:pStyle w:val="BodyText"/>
        <w:spacing w:before="129" w:line="254" w:lineRule="auto"/>
        <w:ind w:left="2608" w:right="141"/>
      </w:pPr>
      <w:hyperlink w:anchor="_bookmark34" w:history="1">
        <w:r>
          <w:rPr>
            <w:color w:val="4D4D4F"/>
            <w:spacing w:val="-6"/>
          </w:rPr>
          <w:t xml:space="preserve">Table </w:t>
        </w:r>
        <w:r>
          <w:rPr>
            <w:color w:val="4D4D4F"/>
          </w:rPr>
          <w:t xml:space="preserve">2 </w:t>
        </w:r>
      </w:hyperlink>
      <w:r>
        <w:rPr>
          <w:color w:val="4D4D4F"/>
        </w:rPr>
        <w:t xml:space="preserve">shows performance </w:t>
      </w:r>
      <w:r>
        <w:rPr>
          <w:color w:val="4D4D4F"/>
          <w:spacing w:val="-3"/>
        </w:rPr>
        <w:t xml:space="preserve">against </w:t>
      </w:r>
      <w:r>
        <w:rPr>
          <w:color w:val="4D4D4F"/>
          <w:spacing w:val="-4"/>
        </w:rPr>
        <w:t xml:space="preserve">this </w:t>
      </w:r>
      <w:r>
        <w:rPr>
          <w:color w:val="4D4D4F"/>
        </w:rPr>
        <w:t xml:space="preserve">KPI over </w:t>
      </w:r>
      <w:r>
        <w:rPr>
          <w:color w:val="4D4D4F"/>
          <w:spacing w:val="-4"/>
        </w:rPr>
        <w:t xml:space="preserve">multiple </w:t>
      </w:r>
      <w:r>
        <w:rPr>
          <w:color w:val="4D4D4F"/>
        </w:rPr>
        <w:t>years. It records the numbers of plots that fell into different bare ground categories, along with a measure of what</w:t>
      </w:r>
      <w:bookmarkStart w:id="44" w:name="_heading=h.3tbugp1"/>
      <w:bookmarkEnd w:id="44"/>
      <w:r>
        <w:rPr>
          <w:color w:val="4D4D4F"/>
        </w:rPr>
        <w:t xml:space="preserve"> percentage of plots fall within the range specified by the KPI. It shows that this KPI   was</w:t>
      </w:r>
      <w:r>
        <w:rPr>
          <w:color w:val="4D4D4F"/>
          <w:spacing w:val="-4"/>
        </w:rPr>
        <w:t xml:space="preserve"> </w:t>
      </w:r>
      <w:r>
        <w:rPr>
          <w:color w:val="4D4D4F"/>
        </w:rPr>
        <w:t>met</w:t>
      </w:r>
      <w:r>
        <w:rPr>
          <w:color w:val="4D4D4F"/>
          <w:spacing w:val="-4"/>
        </w:rPr>
        <w:t xml:space="preserve"> </w:t>
      </w:r>
      <w:r>
        <w:rPr>
          <w:color w:val="4D4D4F"/>
        </w:rPr>
        <w:t>in</w:t>
      </w:r>
      <w:r>
        <w:rPr>
          <w:color w:val="4D4D4F"/>
          <w:spacing w:val="-4"/>
        </w:rPr>
        <w:t xml:space="preserve"> </w:t>
      </w:r>
      <w:r>
        <w:rPr>
          <w:color w:val="4D4D4F"/>
          <w:spacing w:val="-7"/>
        </w:rPr>
        <w:t>2017,</w:t>
      </w:r>
      <w:r>
        <w:rPr>
          <w:color w:val="4D4D4F"/>
          <w:spacing w:val="-3"/>
        </w:rPr>
        <w:t xml:space="preserve"> 2018,</w:t>
      </w:r>
      <w:r>
        <w:rPr>
          <w:color w:val="4D4D4F"/>
          <w:spacing w:val="-4"/>
        </w:rPr>
        <w:t xml:space="preserve"> 2019 </w:t>
      </w:r>
      <w:r>
        <w:rPr>
          <w:color w:val="4D4D4F"/>
        </w:rPr>
        <w:t>and</w:t>
      </w:r>
      <w:r>
        <w:rPr>
          <w:color w:val="4D4D4F"/>
          <w:spacing w:val="-4"/>
        </w:rPr>
        <w:t xml:space="preserve"> </w:t>
      </w:r>
      <w:r>
        <w:rPr>
          <w:color w:val="4D4D4F"/>
        </w:rPr>
        <w:t>2021</w:t>
      </w:r>
      <w:r>
        <w:rPr>
          <w:color w:val="4D4D4F"/>
          <w:spacing w:val="-3"/>
        </w:rPr>
        <w:t xml:space="preserve"> </w:t>
      </w:r>
      <w:r>
        <w:rPr>
          <w:color w:val="4D4D4F"/>
        </w:rPr>
        <w:t>after</w:t>
      </w:r>
      <w:r>
        <w:rPr>
          <w:color w:val="4D4D4F"/>
          <w:spacing w:val="-4"/>
        </w:rPr>
        <w:t xml:space="preserve"> </w:t>
      </w:r>
      <w:r>
        <w:rPr>
          <w:color w:val="4D4D4F"/>
        </w:rPr>
        <w:t>having</w:t>
      </w:r>
      <w:r>
        <w:rPr>
          <w:color w:val="4D4D4F"/>
          <w:spacing w:val="-4"/>
        </w:rPr>
        <w:t xml:space="preserve"> </w:t>
      </w:r>
      <w:r>
        <w:rPr>
          <w:color w:val="4D4D4F"/>
        </w:rPr>
        <w:t>not</w:t>
      </w:r>
      <w:r>
        <w:rPr>
          <w:color w:val="4D4D4F"/>
          <w:spacing w:val="-3"/>
        </w:rPr>
        <w:t xml:space="preserve"> </w:t>
      </w:r>
      <w:r>
        <w:rPr>
          <w:color w:val="4D4D4F"/>
        </w:rPr>
        <w:t>been</w:t>
      </w:r>
      <w:r>
        <w:rPr>
          <w:color w:val="4D4D4F"/>
          <w:spacing w:val="-4"/>
        </w:rPr>
        <w:t xml:space="preserve"> </w:t>
      </w:r>
      <w:r>
        <w:rPr>
          <w:color w:val="4D4D4F"/>
        </w:rPr>
        <w:t>met</w:t>
      </w:r>
      <w:r>
        <w:rPr>
          <w:color w:val="4D4D4F"/>
          <w:spacing w:val="-4"/>
        </w:rPr>
        <w:t xml:space="preserve"> </w:t>
      </w:r>
      <w:r>
        <w:rPr>
          <w:color w:val="4D4D4F"/>
        </w:rPr>
        <w:t>in</w:t>
      </w:r>
      <w:r>
        <w:rPr>
          <w:color w:val="4D4D4F"/>
          <w:spacing w:val="-4"/>
        </w:rPr>
        <w:t xml:space="preserve"> </w:t>
      </w:r>
      <w:r>
        <w:rPr>
          <w:color w:val="4D4D4F"/>
          <w:spacing w:val="-3"/>
        </w:rPr>
        <w:t xml:space="preserve">2014, </w:t>
      </w:r>
      <w:r>
        <w:rPr>
          <w:color w:val="4D4D4F"/>
          <w:spacing w:val="-4"/>
        </w:rPr>
        <w:t xml:space="preserve">2015 </w:t>
      </w:r>
      <w:r>
        <w:rPr>
          <w:color w:val="4D4D4F"/>
        </w:rPr>
        <w:t>or</w:t>
      </w:r>
      <w:r>
        <w:rPr>
          <w:color w:val="4D4D4F"/>
          <w:spacing w:val="-4"/>
        </w:rPr>
        <w:t xml:space="preserve"> </w:t>
      </w:r>
      <w:r>
        <w:rPr>
          <w:color w:val="4D4D4F"/>
          <w:spacing w:val="-3"/>
        </w:rPr>
        <w:t>2016.</w:t>
      </w:r>
    </w:p>
    <w:p w14:paraId="31487ACB" w14:textId="77777777" w:rsidR="00EF5B27" w:rsidRDefault="00EF5B27">
      <w:pPr>
        <w:pStyle w:val="BodyText"/>
        <w:spacing w:before="7"/>
        <w:rPr>
          <w:sz w:val="29"/>
        </w:rPr>
      </w:pPr>
    </w:p>
    <w:p w14:paraId="449B78F1" w14:textId="77777777" w:rsidR="00EF5B27" w:rsidRDefault="00000000">
      <w:pPr>
        <w:tabs>
          <w:tab w:val="left" w:pos="8977"/>
        </w:tabs>
        <w:ind w:left="113"/>
        <w:rPr>
          <w:rFonts w:ascii="Century Gothic"/>
          <w:i/>
          <w:sz w:val="12"/>
        </w:rPr>
      </w:pPr>
      <w:bookmarkStart w:id="45" w:name="_Ref112867957"/>
      <w:bookmarkStart w:id="46" w:name="_bookmark34"/>
      <w:bookmarkEnd w:id="45"/>
      <w:bookmarkEnd w:id="46"/>
      <w:r>
        <w:rPr>
          <w:color w:val="4D4D4F"/>
          <w:sz w:val="16"/>
        </w:rPr>
        <w:t>Table</w:t>
      </w:r>
      <w:r>
        <w:rPr>
          <w:color w:val="4D4D4F"/>
          <w:spacing w:val="10"/>
          <w:sz w:val="16"/>
        </w:rPr>
        <w:t xml:space="preserve"> </w:t>
      </w:r>
      <w:r>
        <w:rPr>
          <w:color w:val="4D4D4F"/>
          <w:sz w:val="16"/>
        </w:rPr>
        <w:t>2:</w:t>
      </w:r>
      <w:r>
        <w:rPr>
          <w:color w:val="4D4D4F"/>
          <w:spacing w:val="10"/>
          <w:sz w:val="16"/>
        </w:rPr>
        <w:t xml:space="preserve"> </w:t>
      </w:r>
      <w:r>
        <w:rPr>
          <w:color w:val="4D4D4F"/>
          <w:sz w:val="16"/>
        </w:rPr>
        <w:t>The</w:t>
      </w:r>
      <w:r>
        <w:rPr>
          <w:color w:val="4D4D4F"/>
          <w:spacing w:val="11"/>
          <w:sz w:val="16"/>
        </w:rPr>
        <w:t xml:space="preserve"> </w:t>
      </w:r>
      <w:r>
        <w:rPr>
          <w:color w:val="4D4D4F"/>
          <w:sz w:val="16"/>
        </w:rPr>
        <w:t>distribution</w:t>
      </w:r>
      <w:r>
        <w:rPr>
          <w:color w:val="4D4D4F"/>
          <w:spacing w:val="10"/>
          <w:sz w:val="16"/>
        </w:rPr>
        <w:t xml:space="preserve"> </w:t>
      </w:r>
      <w:r>
        <w:rPr>
          <w:color w:val="4D4D4F"/>
          <w:sz w:val="16"/>
        </w:rPr>
        <w:t>of</w:t>
      </w:r>
      <w:r>
        <w:rPr>
          <w:color w:val="4D4D4F"/>
          <w:spacing w:val="11"/>
          <w:sz w:val="16"/>
        </w:rPr>
        <w:t xml:space="preserve"> </w:t>
      </w:r>
      <w:r>
        <w:rPr>
          <w:color w:val="4D4D4F"/>
          <w:sz w:val="16"/>
        </w:rPr>
        <w:t>all</w:t>
      </w:r>
      <w:r>
        <w:rPr>
          <w:color w:val="4D4D4F"/>
          <w:spacing w:val="10"/>
          <w:sz w:val="16"/>
        </w:rPr>
        <w:t xml:space="preserve"> </w:t>
      </w:r>
      <w:r>
        <w:rPr>
          <w:color w:val="4D4D4F"/>
          <w:sz w:val="16"/>
        </w:rPr>
        <w:t>plots</w:t>
      </w:r>
      <w:r>
        <w:rPr>
          <w:color w:val="4D4D4F"/>
          <w:spacing w:val="11"/>
          <w:sz w:val="16"/>
        </w:rPr>
        <w:t xml:space="preserve"> </w:t>
      </w:r>
      <w:r>
        <w:rPr>
          <w:color w:val="4D4D4F"/>
          <w:sz w:val="16"/>
        </w:rPr>
        <w:t>according</w:t>
      </w:r>
      <w:r>
        <w:rPr>
          <w:color w:val="4D4D4F"/>
          <w:spacing w:val="10"/>
          <w:sz w:val="16"/>
        </w:rPr>
        <w:t xml:space="preserve"> </w:t>
      </w:r>
      <w:r>
        <w:rPr>
          <w:color w:val="4D4D4F"/>
          <w:sz w:val="16"/>
        </w:rPr>
        <w:t>to</w:t>
      </w:r>
      <w:r>
        <w:rPr>
          <w:color w:val="4D4D4F"/>
          <w:spacing w:val="10"/>
          <w:sz w:val="16"/>
        </w:rPr>
        <w:t xml:space="preserve"> </w:t>
      </w:r>
      <w:r>
        <w:rPr>
          <w:color w:val="4D4D4F"/>
          <w:sz w:val="16"/>
        </w:rPr>
        <w:t>bare</w:t>
      </w:r>
      <w:r>
        <w:rPr>
          <w:color w:val="4D4D4F"/>
          <w:spacing w:val="11"/>
          <w:sz w:val="16"/>
        </w:rPr>
        <w:t xml:space="preserve"> </w:t>
      </w:r>
      <w:r>
        <w:rPr>
          <w:color w:val="4D4D4F"/>
          <w:sz w:val="16"/>
        </w:rPr>
        <w:t>ground</w:t>
      </w:r>
      <w:r>
        <w:rPr>
          <w:color w:val="4D4D4F"/>
          <w:spacing w:val="10"/>
          <w:sz w:val="16"/>
        </w:rPr>
        <w:t xml:space="preserve"> </w:t>
      </w:r>
      <w:r>
        <w:rPr>
          <w:color w:val="4D4D4F"/>
          <w:sz w:val="16"/>
        </w:rPr>
        <w:t>categories.</w:t>
      </w:r>
      <w:r>
        <w:rPr>
          <w:color w:val="4D4D4F"/>
          <w:spacing w:val="11"/>
          <w:sz w:val="16"/>
        </w:rPr>
        <w:t xml:space="preserve"> </w:t>
      </w:r>
      <w:r>
        <w:rPr>
          <w:color w:val="4D4D4F"/>
          <w:sz w:val="16"/>
        </w:rPr>
        <w:t>All</w:t>
      </w:r>
      <w:r>
        <w:rPr>
          <w:color w:val="4D4D4F"/>
          <w:spacing w:val="10"/>
          <w:sz w:val="16"/>
        </w:rPr>
        <w:t xml:space="preserve"> </w:t>
      </w:r>
      <w:r>
        <w:rPr>
          <w:color w:val="4D4D4F"/>
          <w:sz w:val="16"/>
        </w:rPr>
        <w:t>figures</w:t>
      </w:r>
      <w:r>
        <w:rPr>
          <w:color w:val="4D4D4F"/>
          <w:spacing w:val="11"/>
          <w:sz w:val="16"/>
        </w:rPr>
        <w:t xml:space="preserve"> </w:t>
      </w:r>
      <w:r>
        <w:rPr>
          <w:color w:val="4D4D4F"/>
          <w:sz w:val="16"/>
        </w:rPr>
        <w:t>are</w:t>
      </w:r>
      <w:r>
        <w:rPr>
          <w:color w:val="4D4D4F"/>
          <w:spacing w:val="10"/>
          <w:sz w:val="16"/>
        </w:rPr>
        <w:t xml:space="preserve"> </w:t>
      </w:r>
      <w:r>
        <w:rPr>
          <w:color w:val="4D4D4F"/>
          <w:sz w:val="16"/>
        </w:rPr>
        <w:t>numbers</w:t>
      </w:r>
      <w:r>
        <w:rPr>
          <w:color w:val="4D4D4F"/>
          <w:spacing w:val="11"/>
          <w:sz w:val="16"/>
        </w:rPr>
        <w:t xml:space="preserve"> </w:t>
      </w:r>
      <w:r>
        <w:rPr>
          <w:color w:val="4D4D4F"/>
          <w:sz w:val="16"/>
        </w:rPr>
        <w:t>of</w:t>
      </w:r>
      <w:r>
        <w:rPr>
          <w:color w:val="4D4D4F"/>
          <w:spacing w:val="10"/>
          <w:sz w:val="16"/>
        </w:rPr>
        <w:t xml:space="preserve"> </w:t>
      </w:r>
      <w:r>
        <w:rPr>
          <w:color w:val="4D4D4F"/>
          <w:sz w:val="16"/>
        </w:rPr>
        <w:t>rapid</w:t>
      </w:r>
      <w:r>
        <w:rPr>
          <w:color w:val="4D4D4F"/>
          <w:spacing w:val="10"/>
          <w:sz w:val="16"/>
        </w:rPr>
        <w:t xml:space="preserve"> </w:t>
      </w:r>
      <w:r>
        <w:rPr>
          <w:color w:val="4D4D4F"/>
          <w:sz w:val="16"/>
        </w:rPr>
        <w:t>plots.</w:t>
      </w:r>
      <w:r>
        <w:rPr>
          <w:color w:val="4D4D4F"/>
          <w:sz w:val="16"/>
        </w:rPr>
        <w:tab/>
      </w:r>
      <w:r>
        <w:rPr>
          <w:rFonts w:ascii="Century Gothic"/>
          <w:i/>
          <w:color w:val="4D4D4F"/>
          <w:sz w:val="12"/>
        </w:rPr>
        <w:t>Source:</w:t>
      </w:r>
      <w:r>
        <w:rPr>
          <w:rFonts w:ascii="Century Gothic"/>
          <w:i/>
          <w:color w:val="4D4D4F"/>
          <w:spacing w:val="-21"/>
          <w:sz w:val="12"/>
        </w:rPr>
        <w:t xml:space="preserve"> </w:t>
      </w:r>
      <w:r>
        <w:rPr>
          <w:rFonts w:ascii="Century Gothic"/>
          <w:i/>
          <w:color w:val="4D4D4F"/>
          <w:sz w:val="12"/>
        </w:rPr>
        <w:t>DELWP</w:t>
      </w:r>
    </w:p>
    <w:p w14:paraId="1B7B7C10" w14:textId="77777777" w:rsidR="00EF5B27" w:rsidRDefault="00EF5B27">
      <w:pPr>
        <w:pStyle w:val="BodyText"/>
        <w:spacing w:before="11"/>
        <w:rPr>
          <w:rFonts w:ascii="Century Gothic"/>
          <w:i/>
          <w:sz w:val="10"/>
        </w:rPr>
      </w:pPr>
    </w:p>
    <w:tbl>
      <w:tblPr>
        <w:tblW w:w="0" w:type="auto"/>
        <w:tblInd w:w="12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134"/>
        <w:gridCol w:w="1134"/>
        <w:gridCol w:w="1134"/>
        <w:gridCol w:w="1134"/>
        <w:gridCol w:w="1134"/>
        <w:gridCol w:w="2829"/>
        <w:gridCol w:w="1134"/>
      </w:tblGrid>
      <w:tr w:rsidR="00EF5B27" w14:paraId="262D3EF9" w14:textId="77777777">
        <w:trPr>
          <w:trHeight w:val="561"/>
        </w:trPr>
        <w:tc>
          <w:tcPr>
            <w:tcW w:w="1134" w:type="dxa"/>
            <w:shd w:val="clear" w:color="auto" w:fill="FECC91"/>
          </w:tcPr>
          <w:p w14:paraId="6B53225D" w14:textId="77777777" w:rsidR="00EF5B27" w:rsidRDefault="00EF5B27">
            <w:pPr>
              <w:pStyle w:val="TableParagraph"/>
              <w:spacing w:before="7"/>
              <w:rPr>
                <w:rFonts w:ascii="Century Gothic"/>
                <w:i/>
                <w:sz w:val="15"/>
              </w:rPr>
            </w:pPr>
          </w:p>
          <w:p w14:paraId="6F5A3E99" w14:textId="77777777" w:rsidR="00EF5B27" w:rsidRDefault="00000000">
            <w:pPr>
              <w:pStyle w:val="TableParagraph"/>
              <w:ind w:left="81" w:right="77"/>
              <w:jc w:val="center"/>
              <w:rPr>
                <w:b/>
                <w:sz w:val="16"/>
              </w:rPr>
            </w:pPr>
            <w:r>
              <w:rPr>
                <w:b/>
                <w:w w:val="105"/>
                <w:sz w:val="16"/>
              </w:rPr>
              <w:t>Year</w:t>
            </w:r>
          </w:p>
        </w:tc>
        <w:tc>
          <w:tcPr>
            <w:tcW w:w="1134" w:type="dxa"/>
            <w:shd w:val="clear" w:color="auto" w:fill="FECC91"/>
          </w:tcPr>
          <w:p w14:paraId="74205450" w14:textId="77777777" w:rsidR="00EF5B27" w:rsidRDefault="00000000">
            <w:pPr>
              <w:pStyle w:val="TableParagraph"/>
              <w:spacing w:before="91"/>
              <w:ind w:left="81" w:right="77"/>
              <w:jc w:val="center"/>
              <w:rPr>
                <w:b/>
                <w:sz w:val="16"/>
              </w:rPr>
            </w:pPr>
            <w:r>
              <w:rPr>
                <w:b/>
                <w:w w:val="105"/>
                <w:sz w:val="16"/>
              </w:rPr>
              <w:t>0–24%</w:t>
            </w:r>
          </w:p>
          <w:p w14:paraId="174F6E16" w14:textId="77777777" w:rsidR="00EF5B27" w:rsidRDefault="00000000">
            <w:pPr>
              <w:pStyle w:val="TableParagraph"/>
              <w:spacing w:before="4"/>
              <w:ind w:left="81" w:right="77"/>
              <w:jc w:val="center"/>
              <w:rPr>
                <w:b/>
                <w:sz w:val="16"/>
              </w:rPr>
            </w:pPr>
            <w:r>
              <w:rPr>
                <w:b/>
                <w:sz w:val="16"/>
              </w:rPr>
              <w:t>bare ground</w:t>
            </w:r>
          </w:p>
        </w:tc>
        <w:tc>
          <w:tcPr>
            <w:tcW w:w="1134" w:type="dxa"/>
            <w:shd w:val="clear" w:color="auto" w:fill="FECC91"/>
          </w:tcPr>
          <w:p w14:paraId="5D3F008E" w14:textId="77777777" w:rsidR="00EF5B27" w:rsidRDefault="00000000">
            <w:pPr>
              <w:pStyle w:val="TableParagraph"/>
              <w:spacing w:before="91"/>
              <w:ind w:left="81" w:right="77"/>
              <w:jc w:val="center"/>
              <w:rPr>
                <w:b/>
                <w:sz w:val="16"/>
              </w:rPr>
            </w:pPr>
            <w:r>
              <w:rPr>
                <w:b/>
                <w:w w:val="105"/>
                <w:sz w:val="16"/>
              </w:rPr>
              <w:t>25–75%</w:t>
            </w:r>
          </w:p>
          <w:p w14:paraId="55053B20" w14:textId="77777777" w:rsidR="00EF5B27" w:rsidRDefault="00000000">
            <w:pPr>
              <w:pStyle w:val="TableParagraph"/>
              <w:spacing w:before="4"/>
              <w:ind w:left="81" w:right="77"/>
              <w:jc w:val="center"/>
              <w:rPr>
                <w:b/>
                <w:sz w:val="16"/>
              </w:rPr>
            </w:pPr>
            <w:r>
              <w:rPr>
                <w:b/>
                <w:sz w:val="16"/>
              </w:rPr>
              <w:t>bare ground</w:t>
            </w:r>
          </w:p>
        </w:tc>
        <w:tc>
          <w:tcPr>
            <w:tcW w:w="1134" w:type="dxa"/>
            <w:shd w:val="clear" w:color="auto" w:fill="FECC91"/>
          </w:tcPr>
          <w:p w14:paraId="44BA17E9" w14:textId="77777777" w:rsidR="00EF5B27" w:rsidRDefault="00000000">
            <w:pPr>
              <w:pStyle w:val="TableParagraph"/>
              <w:spacing w:before="91"/>
              <w:ind w:left="81" w:right="73"/>
              <w:jc w:val="center"/>
              <w:rPr>
                <w:b/>
                <w:sz w:val="16"/>
              </w:rPr>
            </w:pPr>
            <w:r>
              <w:rPr>
                <w:b/>
                <w:w w:val="105"/>
                <w:sz w:val="16"/>
              </w:rPr>
              <w:t>76–100%</w:t>
            </w:r>
          </w:p>
          <w:p w14:paraId="323424F4" w14:textId="77777777" w:rsidR="00EF5B27" w:rsidRDefault="00000000">
            <w:pPr>
              <w:pStyle w:val="TableParagraph"/>
              <w:spacing w:before="4"/>
              <w:ind w:left="81" w:right="77"/>
              <w:jc w:val="center"/>
              <w:rPr>
                <w:b/>
                <w:sz w:val="16"/>
              </w:rPr>
            </w:pPr>
            <w:r>
              <w:rPr>
                <w:b/>
                <w:sz w:val="16"/>
              </w:rPr>
              <w:t>bare ground</w:t>
            </w:r>
          </w:p>
        </w:tc>
        <w:tc>
          <w:tcPr>
            <w:tcW w:w="1134" w:type="dxa"/>
            <w:shd w:val="clear" w:color="auto" w:fill="FECC91"/>
          </w:tcPr>
          <w:p w14:paraId="157A8048" w14:textId="77777777" w:rsidR="00EF5B27" w:rsidRDefault="00000000">
            <w:pPr>
              <w:pStyle w:val="TableParagraph"/>
              <w:spacing w:before="91" w:line="244" w:lineRule="auto"/>
              <w:ind w:left="310" w:right="96" w:hanging="198"/>
              <w:rPr>
                <w:b/>
                <w:sz w:val="16"/>
              </w:rPr>
            </w:pPr>
            <w:r>
              <w:rPr>
                <w:b/>
                <w:sz w:val="16"/>
              </w:rPr>
              <w:t>Total number of plots</w:t>
            </w:r>
          </w:p>
        </w:tc>
        <w:tc>
          <w:tcPr>
            <w:tcW w:w="2829" w:type="dxa"/>
            <w:shd w:val="clear" w:color="auto" w:fill="FECC91"/>
          </w:tcPr>
          <w:p w14:paraId="17980341" w14:textId="77777777" w:rsidR="00EF5B27" w:rsidRDefault="00000000">
            <w:pPr>
              <w:pStyle w:val="TableParagraph"/>
              <w:spacing w:before="91" w:line="244" w:lineRule="auto"/>
              <w:ind w:left="497" w:right="121" w:firstLine="83"/>
              <w:rPr>
                <w:b/>
                <w:sz w:val="16"/>
              </w:rPr>
            </w:pPr>
            <w:r>
              <w:rPr>
                <w:b/>
                <w:sz w:val="16"/>
              </w:rPr>
              <w:t>Percentage of plots with 25–75% bare ground cover</w:t>
            </w:r>
          </w:p>
        </w:tc>
        <w:tc>
          <w:tcPr>
            <w:tcW w:w="1134" w:type="dxa"/>
            <w:shd w:val="clear" w:color="auto" w:fill="FECC91"/>
          </w:tcPr>
          <w:p w14:paraId="3DC197D3" w14:textId="77777777" w:rsidR="00EF5B27" w:rsidRDefault="00EF5B27">
            <w:pPr>
              <w:pStyle w:val="TableParagraph"/>
              <w:spacing w:before="7"/>
              <w:rPr>
                <w:rFonts w:ascii="Century Gothic"/>
                <w:i/>
                <w:sz w:val="15"/>
              </w:rPr>
            </w:pPr>
          </w:p>
          <w:p w14:paraId="46EA50DE" w14:textId="77777777" w:rsidR="00EF5B27" w:rsidRDefault="00000000">
            <w:pPr>
              <w:pStyle w:val="TableParagraph"/>
              <w:ind w:left="81" w:right="77"/>
              <w:jc w:val="center"/>
              <w:rPr>
                <w:b/>
                <w:sz w:val="16"/>
              </w:rPr>
            </w:pPr>
            <w:r>
              <w:rPr>
                <w:b/>
                <w:w w:val="105"/>
                <w:sz w:val="16"/>
              </w:rPr>
              <w:t>KPI met?</w:t>
            </w:r>
          </w:p>
        </w:tc>
      </w:tr>
      <w:tr w:rsidR="00EF5B27" w14:paraId="63FCB8A6" w14:textId="77777777">
        <w:trPr>
          <w:trHeight w:val="391"/>
        </w:trPr>
        <w:tc>
          <w:tcPr>
            <w:tcW w:w="1134" w:type="dxa"/>
          </w:tcPr>
          <w:p w14:paraId="30D5A6A2" w14:textId="77777777" w:rsidR="00EF5B27" w:rsidRDefault="00000000">
            <w:pPr>
              <w:pStyle w:val="TableParagraph"/>
              <w:spacing w:before="117"/>
              <w:ind w:left="81" w:right="81"/>
              <w:jc w:val="center"/>
              <w:rPr>
                <w:sz w:val="14"/>
              </w:rPr>
            </w:pPr>
            <w:r>
              <w:rPr>
                <w:color w:val="4D4D4F"/>
                <w:sz w:val="14"/>
              </w:rPr>
              <w:t>2013</w:t>
            </w:r>
          </w:p>
        </w:tc>
        <w:tc>
          <w:tcPr>
            <w:tcW w:w="8499" w:type="dxa"/>
            <w:gridSpan w:val="6"/>
          </w:tcPr>
          <w:p w14:paraId="0F6655F8" w14:textId="77777777" w:rsidR="00EF5B27" w:rsidRDefault="00000000">
            <w:pPr>
              <w:pStyle w:val="TableParagraph"/>
              <w:spacing w:before="117"/>
              <w:ind w:left="3025" w:right="3021"/>
              <w:jc w:val="center"/>
              <w:rPr>
                <w:sz w:val="14"/>
              </w:rPr>
            </w:pPr>
            <w:r>
              <w:rPr>
                <w:color w:val="4D4D4F"/>
                <w:sz w:val="14"/>
              </w:rPr>
              <w:t>No rapid plots were implemented in 2013.</w:t>
            </w:r>
          </w:p>
        </w:tc>
      </w:tr>
      <w:tr w:rsidR="00EF5B27" w14:paraId="124E4167" w14:textId="77777777">
        <w:trPr>
          <w:trHeight w:val="391"/>
        </w:trPr>
        <w:tc>
          <w:tcPr>
            <w:tcW w:w="1134" w:type="dxa"/>
          </w:tcPr>
          <w:p w14:paraId="7144A2ED" w14:textId="77777777" w:rsidR="00EF5B27" w:rsidRDefault="00000000">
            <w:pPr>
              <w:pStyle w:val="TableParagraph"/>
              <w:spacing w:before="117"/>
              <w:ind w:left="81" w:right="81"/>
              <w:jc w:val="center"/>
              <w:rPr>
                <w:sz w:val="14"/>
              </w:rPr>
            </w:pPr>
            <w:r>
              <w:rPr>
                <w:color w:val="4D4D4F"/>
                <w:sz w:val="14"/>
              </w:rPr>
              <w:t>2014</w:t>
            </w:r>
          </w:p>
        </w:tc>
        <w:tc>
          <w:tcPr>
            <w:tcW w:w="1134" w:type="dxa"/>
          </w:tcPr>
          <w:p w14:paraId="712B4A24" w14:textId="77777777" w:rsidR="00EF5B27" w:rsidRDefault="00000000">
            <w:pPr>
              <w:pStyle w:val="TableParagraph"/>
              <w:spacing w:before="117"/>
              <w:ind w:left="81" w:right="72"/>
              <w:jc w:val="center"/>
              <w:rPr>
                <w:sz w:val="14"/>
              </w:rPr>
            </w:pPr>
            <w:r>
              <w:rPr>
                <w:color w:val="4D4D4F"/>
                <w:sz w:val="14"/>
              </w:rPr>
              <w:t>45</w:t>
            </w:r>
          </w:p>
        </w:tc>
        <w:tc>
          <w:tcPr>
            <w:tcW w:w="1134" w:type="dxa"/>
          </w:tcPr>
          <w:p w14:paraId="24C84496" w14:textId="77777777" w:rsidR="00EF5B27" w:rsidRDefault="00000000">
            <w:pPr>
              <w:pStyle w:val="TableParagraph"/>
              <w:spacing w:before="117"/>
              <w:ind w:right="526"/>
              <w:jc w:val="right"/>
              <w:rPr>
                <w:sz w:val="14"/>
              </w:rPr>
            </w:pPr>
            <w:r>
              <w:rPr>
                <w:color w:val="4D4D4F"/>
                <w:w w:val="96"/>
                <w:sz w:val="14"/>
              </w:rPr>
              <w:t>1</w:t>
            </w:r>
          </w:p>
        </w:tc>
        <w:tc>
          <w:tcPr>
            <w:tcW w:w="1134" w:type="dxa"/>
          </w:tcPr>
          <w:p w14:paraId="31FBEB8F" w14:textId="77777777" w:rsidR="00EF5B27" w:rsidRDefault="00000000">
            <w:pPr>
              <w:pStyle w:val="TableParagraph"/>
              <w:spacing w:before="106"/>
              <w:ind w:left="4"/>
              <w:jc w:val="center"/>
              <w:rPr>
                <w:sz w:val="16"/>
              </w:rPr>
            </w:pPr>
            <w:r>
              <w:rPr>
                <w:color w:val="4D4D4F"/>
                <w:w w:val="96"/>
                <w:sz w:val="16"/>
              </w:rPr>
              <w:t>1</w:t>
            </w:r>
          </w:p>
        </w:tc>
        <w:tc>
          <w:tcPr>
            <w:tcW w:w="1134" w:type="dxa"/>
          </w:tcPr>
          <w:p w14:paraId="2888A837" w14:textId="77777777" w:rsidR="00EF5B27" w:rsidRDefault="00000000">
            <w:pPr>
              <w:pStyle w:val="TableParagraph"/>
              <w:spacing w:before="117"/>
              <w:ind w:right="497"/>
              <w:jc w:val="right"/>
              <w:rPr>
                <w:sz w:val="14"/>
              </w:rPr>
            </w:pPr>
            <w:r>
              <w:rPr>
                <w:color w:val="4D4D4F"/>
                <w:w w:val="95"/>
                <w:sz w:val="14"/>
              </w:rPr>
              <w:t>47</w:t>
            </w:r>
          </w:p>
        </w:tc>
        <w:tc>
          <w:tcPr>
            <w:tcW w:w="2829" w:type="dxa"/>
          </w:tcPr>
          <w:p w14:paraId="1DAA029A" w14:textId="77777777" w:rsidR="00EF5B27" w:rsidRDefault="00000000">
            <w:pPr>
              <w:pStyle w:val="TableParagraph"/>
              <w:spacing w:before="117"/>
              <w:ind w:left="1272" w:right="1263"/>
              <w:jc w:val="center"/>
              <w:rPr>
                <w:sz w:val="14"/>
              </w:rPr>
            </w:pPr>
            <w:r>
              <w:rPr>
                <w:color w:val="4D4D4F"/>
                <w:sz w:val="14"/>
              </w:rPr>
              <w:t>2%</w:t>
            </w:r>
          </w:p>
        </w:tc>
        <w:tc>
          <w:tcPr>
            <w:tcW w:w="1134" w:type="dxa"/>
          </w:tcPr>
          <w:p w14:paraId="1E327F66" w14:textId="77777777" w:rsidR="00EF5B27" w:rsidRDefault="00000000">
            <w:pPr>
              <w:pStyle w:val="TableParagraph"/>
              <w:spacing w:before="117"/>
              <w:ind w:left="81" w:right="75"/>
              <w:jc w:val="center"/>
              <w:rPr>
                <w:sz w:val="14"/>
              </w:rPr>
            </w:pPr>
            <w:r>
              <w:rPr>
                <w:color w:val="4D4D4F"/>
                <w:sz w:val="14"/>
              </w:rPr>
              <w:t>No</w:t>
            </w:r>
          </w:p>
        </w:tc>
      </w:tr>
      <w:tr w:rsidR="00EF5B27" w14:paraId="4E17F572" w14:textId="77777777">
        <w:trPr>
          <w:trHeight w:val="391"/>
        </w:trPr>
        <w:tc>
          <w:tcPr>
            <w:tcW w:w="1134" w:type="dxa"/>
          </w:tcPr>
          <w:p w14:paraId="5F2FBB9F" w14:textId="77777777" w:rsidR="00EF5B27" w:rsidRDefault="00000000">
            <w:pPr>
              <w:pStyle w:val="TableParagraph"/>
              <w:spacing w:before="117"/>
              <w:ind w:left="81" w:right="77"/>
              <w:jc w:val="center"/>
              <w:rPr>
                <w:sz w:val="14"/>
              </w:rPr>
            </w:pPr>
            <w:r>
              <w:rPr>
                <w:color w:val="4D4D4F"/>
                <w:sz w:val="14"/>
              </w:rPr>
              <w:t>2015</w:t>
            </w:r>
          </w:p>
        </w:tc>
        <w:tc>
          <w:tcPr>
            <w:tcW w:w="1134" w:type="dxa"/>
          </w:tcPr>
          <w:p w14:paraId="453DAD3C" w14:textId="77777777" w:rsidR="00EF5B27" w:rsidRDefault="00000000">
            <w:pPr>
              <w:pStyle w:val="TableParagraph"/>
              <w:spacing w:before="117"/>
              <w:ind w:left="81" w:right="74"/>
              <w:jc w:val="center"/>
              <w:rPr>
                <w:sz w:val="14"/>
              </w:rPr>
            </w:pPr>
            <w:r>
              <w:rPr>
                <w:color w:val="4D4D4F"/>
                <w:sz w:val="14"/>
              </w:rPr>
              <w:t>37</w:t>
            </w:r>
          </w:p>
        </w:tc>
        <w:tc>
          <w:tcPr>
            <w:tcW w:w="1134" w:type="dxa"/>
          </w:tcPr>
          <w:p w14:paraId="6A2BB4E8" w14:textId="77777777" w:rsidR="00EF5B27" w:rsidRDefault="00000000">
            <w:pPr>
              <w:pStyle w:val="TableParagraph"/>
              <w:spacing w:before="117"/>
              <w:ind w:right="492"/>
              <w:jc w:val="right"/>
              <w:rPr>
                <w:sz w:val="14"/>
              </w:rPr>
            </w:pPr>
            <w:r>
              <w:rPr>
                <w:color w:val="4D4D4F"/>
                <w:w w:val="95"/>
                <w:sz w:val="14"/>
              </w:rPr>
              <w:t>31</w:t>
            </w:r>
          </w:p>
        </w:tc>
        <w:tc>
          <w:tcPr>
            <w:tcW w:w="1134" w:type="dxa"/>
          </w:tcPr>
          <w:p w14:paraId="29C80784" w14:textId="77777777" w:rsidR="00EF5B27" w:rsidRDefault="00000000">
            <w:pPr>
              <w:pStyle w:val="TableParagraph"/>
              <w:spacing w:before="106"/>
              <w:ind w:left="4"/>
              <w:jc w:val="center"/>
              <w:rPr>
                <w:sz w:val="16"/>
              </w:rPr>
            </w:pPr>
            <w:r>
              <w:rPr>
                <w:color w:val="4D4D4F"/>
                <w:w w:val="96"/>
                <w:sz w:val="16"/>
              </w:rPr>
              <w:t>1</w:t>
            </w:r>
          </w:p>
        </w:tc>
        <w:tc>
          <w:tcPr>
            <w:tcW w:w="1134" w:type="dxa"/>
          </w:tcPr>
          <w:p w14:paraId="79D5279E" w14:textId="77777777" w:rsidR="00EF5B27" w:rsidRDefault="00000000">
            <w:pPr>
              <w:pStyle w:val="TableParagraph"/>
              <w:spacing w:before="117"/>
              <w:ind w:right="494"/>
              <w:jc w:val="right"/>
              <w:rPr>
                <w:sz w:val="14"/>
              </w:rPr>
            </w:pPr>
            <w:r>
              <w:rPr>
                <w:color w:val="4D4D4F"/>
                <w:w w:val="95"/>
                <w:sz w:val="14"/>
              </w:rPr>
              <w:t>69</w:t>
            </w:r>
          </w:p>
        </w:tc>
        <w:tc>
          <w:tcPr>
            <w:tcW w:w="2829" w:type="dxa"/>
          </w:tcPr>
          <w:p w14:paraId="015DE258" w14:textId="77777777" w:rsidR="00EF5B27" w:rsidRDefault="00000000">
            <w:pPr>
              <w:pStyle w:val="TableParagraph"/>
              <w:spacing w:before="117"/>
              <w:ind w:left="1272" w:right="1265"/>
              <w:jc w:val="center"/>
              <w:rPr>
                <w:sz w:val="14"/>
              </w:rPr>
            </w:pPr>
            <w:r>
              <w:rPr>
                <w:color w:val="4D4D4F"/>
                <w:sz w:val="14"/>
              </w:rPr>
              <w:t>45%</w:t>
            </w:r>
          </w:p>
        </w:tc>
        <w:tc>
          <w:tcPr>
            <w:tcW w:w="1134" w:type="dxa"/>
          </w:tcPr>
          <w:p w14:paraId="09C10CE2" w14:textId="77777777" w:rsidR="00EF5B27" w:rsidRDefault="00000000">
            <w:pPr>
              <w:pStyle w:val="TableParagraph"/>
              <w:spacing w:before="117"/>
              <w:ind w:left="81" w:right="75"/>
              <w:jc w:val="center"/>
              <w:rPr>
                <w:sz w:val="14"/>
              </w:rPr>
            </w:pPr>
            <w:r>
              <w:rPr>
                <w:color w:val="4D4D4F"/>
                <w:sz w:val="14"/>
              </w:rPr>
              <w:t>No</w:t>
            </w:r>
          </w:p>
        </w:tc>
      </w:tr>
      <w:tr w:rsidR="00EF5B27" w14:paraId="3D8ADF0D" w14:textId="77777777">
        <w:trPr>
          <w:trHeight w:val="391"/>
        </w:trPr>
        <w:tc>
          <w:tcPr>
            <w:tcW w:w="1134" w:type="dxa"/>
          </w:tcPr>
          <w:p w14:paraId="082FF65D" w14:textId="77777777" w:rsidR="00EF5B27" w:rsidRDefault="00000000">
            <w:pPr>
              <w:pStyle w:val="TableParagraph"/>
              <w:spacing w:before="117"/>
              <w:ind w:left="81" w:right="81"/>
              <w:jc w:val="center"/>
              <w:rPr>
                <w:sz w:val="14"/>
              </w:rPr>
            </w:pPr>
            <w:r>
              <w:rPr>
                <w:color w:val="4D4D4F"/>
                <w:sz w:val="14"/>
              </w:rPr>
              <w:t>2016</w:t>
            </w:r>
          </w:p>
        </w:tc>
        <w:tc>
          <w:tcPr>
            <w:tcW w:w="1134" w:type="dxa"/>
          </w:tcPr>
          <w:p w14:paraId="330B04C9" w14:textId="77777777" w:rsidR="00EF5B27" w:rsidRDefault="00000000">
            <w:pPr>
              <w:pStyle w:val="TableParagraph"/>
              <w:spacing w:before="117"/>
              <w:ind w:left="81" w:right="75"/>
              <w:jc w:val="center"/>
              <w:rPr>
                <w:sz w:val="14"/>
              </w:rPr>
            </w:pPr>
            <w:r>
              <w:rPr>
                <w:color w:val="4D4D4F"/>
                <w:sz w:val="14"/>
              </w:rPr>
              <w:t>57</w:t>
            </w:r>
          </w:p>
        </w:tc>
        <w:tc>
          <w:tcPr>
            <w:tcW w:w="1134" w:type="dxa"/>
          </w:tcPr>
          <w:p w14:paraId="48C352EF" w14:textId="77777777" w:rsidR="00EF5B27" w:rsidRDefault="00000000">
            <w:pPr>
              <w:pStyle w:val="TableParagraph"/>
              <w:spacing w:before="117"/>
              <w:ind w:right="485"/>
              <w:jc w:val="right"/>
              <w:rPr>
                <w:sz w:val="14"/>
              </w:rPr>
            </w:pPr>
            <w:r>
              <w:rPr>
                <w:color w:val="4D4D4F"/>
                <w:w w:val="95"/>
                <w:sz w:val="14"/>
              </w:rPr>
              <w:t>36</w:t>
            </w:r>
          </w:p>
        </w:tc>
        <w:tc>
          <w:tcPr>
            <w:tcW w:w="1134" w:type="dxa"/>
          </w:tcPr>
          <w:p w14:paraId="08517258" w14:textId="77777777" w:rsidR="00EF5B27" w:rsidRDefault="00000000">
            <w:pPr>
              <w:pStyle w:val="TableParagraph"/>
              <w:spacing w:before="106"/>
              <w:ind w:left="4"/>
              <w:jc w:val="center"/>
              <w:rPr>
                <w:sz w:val="16"/>
              </w:rPr>
            </w:pPr>
            <w:r>
              <w:rPr>
                <w:color w:val="4D4D4F"/>
                <w:w w:val="96"/>
                <w:sz w:val="16"/>
              </w:rPr>
              <w:t>0</w:t>
            </w:r>
          </w:p>
        </w:tc>
        <w:tc>
          <w:tcPr>
            <w:tcW w:w="1134" w:type="dxa"/>
          </w:tcPr>
          <w:p w14:paraId="379C5371" w14:textId="77777777" w:rsidR="00EF5B27" w:rsidRDefault="00000000">
            <w:pPr>
              <w:pStyle w:val="TableParagraph"/>
              <w:spacing w:before="117"/>
              <w:ind w:right="490"/>
              <w:jc w:val="right"/>
              <w:rPr>
                <w:sz w:val="14"/>
              </w:rPr>
            </w:pPr>
            <w:r>
              <w:rPr>
                <w:color w:val="4D4D4F"/>
                <w:w w:val="95"/>
                <w:sz w:val="14"/>
              </w:rPr>
              <w:t>93</w:t>
            </w:r>
          </w:p>
        </w:tc>
        <w:tc>
          <w:tcPr>
            <w:tcW w:w="2829" w:type="dxa"/>
          </w:tcPr>
          <w:p w14:paraId="0339D5BE" w14:textId="77777777" w:rsidR="00EF5B27" w:rsidRDefault="00000000">
            <w:pPr>
              <w:pStyle w:val="TableParagraph"/>
              <w:spacing w:before="117"/>
              <w:ind w:left="1270" w:right="1267"/>
              <w:jc w:val="center"/>
              <w:rPr>
                <w:sz w:val="14"/>
              </w:rPr>
            </w:pPr>
            <w:r>
              <w:rPr>
                <w:color w:val="4D4D4F"/>
                <w:sz w:val="14"/>
              </w:rPr>
              <w:t>39%</w:t>
            </w:r>
          </w:p>
        </w:tc>
        <w:tc>
          <w:tcPr>
            <w:tcW w:w="1134" w:type="dxa"/>
          </w:tcPr>
          <w:p w14:paraId="5CC99CA2" w14:textId="77777777" w:rsidR="00EF5B27" w:rsidRDefault="00000000">
            <w:pPr>
              <w:pStyle w:val="TableParagraph"/>
              <w:spacing w:before="117"/>
              <w:ind w:left="81" w:right="75"/>
              <w:jc w:val="center"/>
              <w:rPr>
                <w:sz w:val="14"/>
              </w:rPr>
            </w:pPr>
            <w:r>
              <w:rPr>
                <w:color w:val="4D4D4F"/>
                <w:sz w:val="14"/>
              </w:rPr>
              <w:t>No</w:t>
            </w:r>
          </w:p>
        </w:tc>
      </w:tr>
      <w:tr w:rsidR="00EF5B27" w14:paraId="2C48239A" w14:textId="77777777">
        <w:trPr>
          <w:trHeight w:val="391"/>
        </w:trPr>
        <w:tc>
          <w:tcPr>
            <w:tcW w:w="1134" w:type="dxa"/>
          </w:tcPr>
          <w:p w14:paraId="139BCB4B" w14:textId="77777777" w:rsidR="00EF5B27" w:rsidRDefault="00000000">
            <w:pPr>
              <w:pStyle w:val="TableParagraph"/>
              <w:spacing w:before="117"/>
              <w:ind w:left="81" w:right="77"/>
              <w:jc w:val="center"/>
              <w:rPr>
                <w:sz w:val="14"/>
              </w:rPr>
            </w:pPr>
            <w:r>
              <w:rPr>
                <w:color w:val="4D4D4F"/>
                <w:sz w:val="14"/>
              </w:rPr>
              <w:t>2017</w:t>
            </w:r>
          </w:p>
        </w:tc>
        <w:tc>
          <w:tcPr>
            <w:tcW w:w="1134" w:type="dxa"/>
          </w:tcPr>
          <w:p w14:paraId="5AD2C05B" w14:textId="77777777" w:rsidR="00EF5B27" w:rsidRDefault="00000000">
            <w:pPr>
              <w:pStyle w:val="TableParagraph"/>
              <w:spacing w:before="117"/>
              <w:ind w:left="81" w:right="77"/>
              <w:jc w:val="center"/>
              <w:rPr>
                <w:sz w:val="14"/>
              </w:rPr>
            </w:pPr>
            <w:r>
              <w:rPr>
                <w:color w:val="4D4D4F"/>
                <w:sz w:val="14"/>
              </w:rPr>
              <w:t>113</w:t>
            </w:r>
          </w:p>
        </w:tc>
        <w:tc>
          <w:tcPr>
            <w:tcW w:w="1134" w:type="dxa"/>
          </w:tcPr>
          <w:p w14:paraId="622A412B" w14:textId="77777777" w:rsidR="00EF5B27" w:rsidRDefault="00000000">
            <w:pPr>
              <w:pStyle w:val="TableParagraph"/>
              <w:spacing w:before="117"/>
              <w:ind w:right="508"/>
              <w:jc w:val="right"/>
              <w:rPr>
                <w:sz w:val="14"/>
              </w:rPr>
            </w:pPr>
            <w:r>
              <w:rPr>
                <w:color w:val="4D4D4F"/>
                <w:w w:val="95"/>
                <w:sz w:val="14"/>
              </w:rPr>
              <w:t>11</w:t>
            </w:r>
          </w:p>
        </w:tc>
        <w:tc>
          <w:tcPr>
            <w:tcW w:w="1134" w:type="dxa"/>
          </w:tcPr>
          <w:p w14:paraId="0A12EDDC" w14:textId="77777777" w:rsidR="00EF5B27" w:rsidRDefault="00000000">
            <w:pPr>
              <w:pStyle w:val="TableParagraph"/>
              <w:spacing w:before="106"/>
              <w:ind w:left="4"/>
              <w:jc w:val="center"/>
              <w:rPr>
                <w:sz w:val="16"/>
              </w:rPr>
            </w:pPr>
            <w:r>
              <w:rPr>
                <w:color w:val="4D4D4F"/>
                <w:w w:val="96"/>
                <w:sz w:val="16"/>
              </w:rPr>
              <w:t>0</w:t>
            </w:r>
          </w:p>
        </w:tc>
        <w:tc>
          <w:tcPr>
            <w:tcW w:w="1134" w:type="dxa"/>
          </w:tcPr>
          <w:p w14:paraId="133BBF3B" w14:textId="77777777" w:rsidR="00EF5B27" w:rsidRDefault="00000000">
            <w:pPr>
              <w:pStyle w:val="TableParagraph"/>
              <w:spacing w:before="117"/>
              <w:ind w:right="459"/>
              <w:jc w:val="right"/>
              <w:rPr>
                <w:sz w:val="14"/>
              </w:rPr>
            </w:pPr>
            <w:r>
              <w:rPr>
                <w:color w:val="4D4D4F"/>
                <w:w w:val="95"/>
                <w:sz w:val="14"/>
              </w:rPr>
              <w:t>124</w:t>
            </w:r>
          </w:p>
        </w:tc>
        <w:tc>
          <w:tcPr>
            <w:tcW w:w="2829" w:type="dxa"/>
          </w:tcPr>
          <w:p w14:paraId="7623F7A6" w14:textId="77777777" w:rsidR="00EF5B27" w:rsidRDefault="00000000">
            <w:pPr>
              <w:pStyle w:val="TableParagraph"/>
              <w:spacing w:before="117"/>
              <w:ind w:left="1272" w:right="1263"/>
              <w:jc w:val="center"/>
              <w:rPr>
                <w:sz w:val="14"/>
              </w:rPr>
            </w:pPr>
            <w:r>
              <w:rPr>
                <w:color w:val="4D4D4F"/>
                <w:sz w:val="14"/>
              </w:rPr>
              <w:t>9%</w:t>
            </w:r>
          </w:p>
        </w:tc>
        <w:tc>
          <w:tcPr>
            <w:tcW w:w="1134" w:type="dxa"/>
          </w:tcPr>
          <w:p w14:paraId="5CE08481" w14:textId="77777777" w:rsidR="00EF5B27" w:rsidRDefault="00000000">
            <w:pPr>
              <w:pStyle w:val="TableParagraph"/>
              <w:spacing w:before="117"/>
              <w:ind w:left="81" w:right="78"/>
              <w:jc w:val="center"/>
              <w:rPr>
                <w:sz w:val="14"/>
              </w:rPr>
            </w:pPr>
            <w:r>
              <w:rPr>
                <w:color w:val="4D4D4F"/>
                <w:w w:val="110"/>
                <w:sz w:val="14"/>
              </w:rPr>
              <w:t>Yes</w:t>
            </w:r>
          </w:p>
        </w:tc>
      </w:tr>
      <w:tr w:rsidR="00EF5B27" w14:paraId="259F3D34" w14:textId="77777777">
        <w:trPr>
          <w:trHeight w:val="391"/>
        </w:trPr>
        <w:tc>
          <w:tcPr>
            <w:tcW w:w="1134" w:type="dxa"/>
          </w:tcPr>
          <w:p w14:paraId="668AA382" w14:textId="77777777" w:rsidR="00EF5B27" w:rsidRDefault="00000000">
            <w:pPr>
              <w:pStyle w:val="TableParagraph"/>
              <w:spacing w:before="117"/>
              <w:ind w:left="81" w:right="81"/>
              <w:jc w:val="center"/>
              <w:rPr>
                <w:sz w:val="14"/>
              </w:rPr>
            </w:pPr>
            <w:r>
              <w:rPr>
                <w:color w:val="4D4D4F"/>
                <w:sz w:val="14"/>
              </w:rPr>
              <w:t>2018</w:t>
            </w:r>
          </w:p>
        </w:tc>
        <w:tc>
          <w:tcPr>
            <w:tcW w:w="1134" w:type="dxa"/>
          </w:tcPr>
          <w:p w14:paraId="6FAFA6E3" w14:textId="77777777" w:rsidR="00EF5B27" w:rsidRDefault="00000000">
            <w:pPr>
              <w:pStyle w:val="TableParagraph"/>
              <w:spacing w:before="117"/>
              <w:ind w:left="81" w:right="77"/>
              <w:jc w:val="center"/>
              <w:rPr>
                <w:sz w:val="14"/>
              </w:rPr>
            </w:pPr>
            <w:r>
              <w:rPr>
                <w:color w:val="4D4D4F"/>
                <w:sz w:val="14"/>
              </w:rPr>
              <w:t>139</w:t>
            </w:r>
          </w:p>
        </w:tc>
        <w:tc>
          <w:tcPr>
            <w:tcW w:w="1134" w:type="dxa"/>
          </w:tcPr>
          <w:p w14:paraId="40A24B8D" w14:textId="77777777" w:rsidR="00EF5B27" w:rsidRDefault="00000000">
            <w:pPr>
              <w:pStyle w:val="TableParagraph"/>
              <w:spacing w:before="117"/>
              <w:ind w:right="493"/>
              <w:jc w:val="right"/>
              <w:rPr>
                <w:sz w:val="14"/>
              </w:rPr>
            </w:pPr>
            <w:r>
              <w:rPr>
                <w:color w:val="4D4D4F"/>
                <w:w w:val="95"/>
                <w:sz w:val="14"/>
              </w:rPr>
              <w:t>21</w:t>
            </w:r>
          </w:p>
        </w:tc>
        <w:tc>
          <w:tcPr>
            <w:tcW w:w="1134" w:type="dxa"/>
          </w:tcPr>
          <w:p w14:paraId="2D392815" w14:textId="77777777" w:rsidR="00EF5B27" w:rsidRDefault="00000000">
            <w:pPr>
              <w:pStyle w:val="TableParagraph"/>
              <w:spacing w:before="106"/>
              <w:ind w:left="4"/>
              <w:jc w:val="center"/>
              <w:rPr>
                <w:sz w:val="16"/>
              </w:rPr>
            </w:pPr>
            <w:r>
              <w:rPr>
                <w:color w:val="4D4D4F"/>
                <w:w w:val="96"/>
                <w:sz w:val="16"/>
              </w:rPr>
              <w:t>0</w:t>
            </w:r>
          </w:p>
        </w:tc>
        <w:tc>
          <w:tcPr>
            <w:tcW w:w="1134" w:type="dxa"/>
          </w:tcPr>
          <w:p w14:paraId="04C36887" w14:textId="77777777" w:rsidR="00EF5B27" w:rsidRDefault="00000000">
            <w:pPr>
              <w:pStyle w:val="TableParagraph"/>
              <w:spacing w:before="117"/>
              <w:ind w:right="458"/>
              <w:jc w:val="right"/>
              <w:rPr>
                <w:sz w:val="14"/>
              </w:rPr>
            </w:pPr>
            <w:r>
              <w:rPr>
                <w:color w:val="4D4D4F"/>
                <w:w w:val="95"/>
                <w:sz w:val="14"/>
              </w:rPr>
              <w:t>160</w:t>
            </w:r>
          </w:p>
        </w:tc>
        <w:tc>
          <w:tcPr>
            <w:tcW w:w="2829" w:type="dxa"/>
          </w:tcPr>
          <w:p w14:paraId="578DADAD" w14:textId="77777777" w:rsidR="00EF5B27" w:rsidRDefault="00000000">
            <w:pPr>
              <w:pStyle w:val="TableParagraph"/>
              <w:spacing w:before="117"/>
              <w:ind w:left="1270" w:right="1267"/>
              <w:jc w:val="center"/>
              <w:rPr>
                <w:sz w:val="14"/>
              </w:rPr>
            </w:pPr>
            <w:r>
              <w:rPr>
                <w:color w:val="4D4D4F"/>
                <w:sz w:val="14"/>
              </w:rPr>
              <w:t>13%</w:t>
            </w:r>
          </w:p>
        </w:tc>
        <w:tc>
          <w:tcPr>
            <w:tcW w:w="1134" w:type="dxa"/>
          </w:tcPr>
          <w:p w14:paraId="714CAD3F" w14:textId="77777777" w:rsidR="00EF5B27" w:rsidRDefault="00000000">
            <w:pPr>
              <w:pStyle w:val="TableParagraph"/>
              <w:spacing w:before="117"/>
              <w:ind w:left="81" w:right="78"/>
              <w:jc w:val="center"/>
              <w:rPr>
                <w:sz w:val="14"/>
              </w:rPr>
            </w:pPr>
            <w:r>
              <w:rPr>
                <w:color w:val="4D4D4F"/>
                <w:w w:val="110"/>
                <w:sz w:val="14"/>
              </w:rPr>
              <w:t>Yes</w:t>
            </w:r>
          </w:p>
        </w:tc>
      </w:tr>
      <w:tr w:rsidR="00EF5B27" w14:paraId="63A67679" w14:textId="77777777">
        <w:trPr>
          <w:trHeight w:val="391"/>
        </w:trPr>
        <w:tc>
          <w:tcPr>
            <w:tcW w:w="1134" w:type="dxa"/>
          </w:tcPr>
          <w:p w14:paraId="68FBBC58" w14:textId="77777777" w:rsidR="00EF5B27" w:rsidRDefault="00000000">
            <w:pPr>
              <w:pStyle w:val="TableParagraph"/>
              <w:spacing w:before="117"/>
              <w:ind w:left="81" w:right="81"/>
              <w:jc w:val="center"/>
              <w:rPr>
                <w:sz w:val="14"/>
              </w:rPr>
            </w:pPr>
            <w:r>
              <w:rPr>
                <w:color w:val="4D4D4F"/>
                <w:sz w:val="14"/>
              </w:rPr>
              <w:t>2019</w:t>
            </w:r>
          </w:p>
        </w:tc>
        <w:tc>
          <w:tcPr>
            <w:tcW w:w="1134" w:type="dxa"/>
          </w:tcPr>
          <w:p w14:paraId="1C756E9D" w14:textId="77777777" w:rsidR="00EF5B27" w:rsidRDefault="00000000">
            <w:pPr>
              <w:pStyle w:val="TableParagraph"/>
              <w:spacing w:before="117"/>
              <w:ind w:left="81" w:right="77"/>
              <w:jc w:val="center"/>
              <w:rPr>
                <w:sz w:val="14"/>
              </w:rPr>
            </w:pPr>
            <w:r>
              <w:rPr>
                <w:color w:val="4D4D4F"/>
                <w:sz w:val="14"/>
              </w:rPr>
              <w:t>154</w:t>
            </w:r>
          </w:p>
        </w:tc>
        <w:tc>
          <w:tcPr>
            <w:tcW w:w="1134" w:type="dxa"/>
          </w:tcPr>
          <w:p w14:paraId="60212D10" w14:textId="77777777" w:rsidR="00EF5B27" w:rsidRDefault="00000000">
            <w:pPr>
              <w:pStyle w:val="TableParagraph"/>
              <w:spacing w:before="117"/>
              <w:ind w:right="499"/>
              <w:jc w:val="right"/>
              <w:rPr>
                <w:sz w:val="14"/>
              </w:rPr>
            </w:pPr>
            <w:r>
              <w:rPr>
                <w:color w:val="4D4D4F"/>
                <w:w w:val="95"/>
                <w:sz w:val="14"/>
              </w:rPr>
              <w:t>67</w:t>
            </w:r>
          </w:p>
        </w:tc>
        <w:tc>
          <w:tcPr>
            <w:tcW w:w="1134" w:type="dxa"/>
          </w:tcPr>
          <w:p w14:paraId="73CAA935" w14:textId="77777777" w:rsidR="00EF5B27" w:rsidRDefault="00000000">
            <w:pPr>
              <w:pStyle w:val="TableParagraph"/>
              <w:spacing w:before="106"/>
              <w:ind w:left="4"/>
              <w:jc w:val="center"/>
              <w:rPr>
                <w:sz w:val="16"/>
              </w:rPr>
            </w:pPr>
            <w:r>
              <w:rPr>
                <w:color w:val="4D4D4F"/>
                <w:w w:val="96"/>
                <w:sz w:val="16"/>
              </w:rPr>
              <w:t>3</w:t>
            </w:r>
          </w:p>
        </w:tc>
        <w:tc>
          <w:tcPr>
            <w:tcW w:w="1134" w:type="dxa"/>
          </w:tcPr>
          <w:p w14:paraId="40CA53C2" w14:textId="77777777" w:rsidR="00EF5B27" w:rsidRDefault="00000000">
            <w:pPr>
              <w:pStyle w:val="TableParagraph"/>
              <w:spacing w:before="117"/>
              <w:ind w:right="452"/>
              <w:jc w:val="right"/>
              <w:rPr>
                <w:sz w:val="14"/>
              </w:rPr>
            </w:pPr>
            <w:r>
              <w:rPr>
                <w:color w:val="4D4D4F"/>
                <w:w w:val="95"/>
                <w:sz w:val="14"/>
              </w:rPr>
              <w:t>224</w:t>
            </w:r>
          </w:p>
        </w:tc>
        <w:tc>
          <w:tcPr>
            <w:tcW w:w="2829" w:type="dxa"/>
          </w:tcPr>
          <w:p w14:paraId="2CFC1CE8" w14:textId="77777777" w:rsidR="00EF5B27" w:rsidRDefault="00000000">
            <w:pPr>
              <w:pStyle w:val="TableParagraph"/>
              <w:spacing w:before="117"/>
              <w:ind w:left="1270" w:right="1267"/>
              <w:jc w:val="center"/>
              <w:rPr>
                <w:sz w:val="14"/>
              </w:rPr>
            </w:pPr>
            <w:r>
              <w:rPr>
                <w:color w:val="4D4D4F"/>
                <w:sz w:val="14"/>
              </w:rPr>
              <w:t>30%</w:t>
            </w:r>
          </w:p>
        </w:tc>
        <w:tc>
          <w:tcPr>
            <w:tcW w:w="1134" w:type="dxa"/>
          </w:tcPr>
          <w:p w14:paraId="5EEDCB8B" w14:textId="77777777" w:rsidR="00EF5B27" w:rsidRDefault="00000000">
            <w:pPr>
              <w:pStyle w:val="TableParagraph"/>
              <w:spacing w:before="117"/>
              <w:ind w:left="81" w:right="77"/>
              <w:jc w:val="center"/>
              <w:rPr>
                <w:sz w:val="14"/>
              </w:rPr>
            </w:pPr>
            <w:r>
              <w:rPr>
                <w:color w:val="4D4D4F"/>
                <w:w w:val="110"/>
                <w:sz w:val="14"/>
              </w:rPr>
              <w:t>Yes</w:t>
            </w:r>
          </w:p>
        </w:tc>
      </w:tr>
      <w:tr w:rsidR="00EF5B27" w14:paraId="0F247AB8" w14:textId="77777777">
        <w:trPr>
          <w:trHeight w:val="391"/>
        </w:trPr>
        <w:tc>
          <w:tcPr>
            <w:tcW w:w="1134" w:type="dxa"/>
          </w:tcPr>
          <w:p w14:paraId="041BFE24" w14:textId="77777777" w:rsidR="00EF5B27" w:rsidRDefault="00000000">
            <w:pPr>
              <w:pStyle w:val="TableParagraph"/>
              <w:spacing w:before="117"/>
              <w:ind w:left="81" w:right="72"/>
              <w:jc w:val="center"/>
              <w:rPr>
                <w:sz w:val="14"/>
              </w:rPr>
            </w:pPr>
            <w:r>
              <w:rPr>
                <w:color w:val="4D4D4F"/>
                <w:sz w:val="14"/>
              </w:rPr>
              <w:t>2020</w:t>
            </w:r>
          </w:p>
        </w:tc>
        <w:tc>
          <w:tcPr>
            <w:tcW w:w="1134" w:type="dxa"/>
          </w:tcPr>
          <w:p w14:paraId="40F15A0F" w14:textId="77777777" w:rsidR="00EF5B27" w:rsidRDefault="00000000">
            <w:pPr>
              <w:pStyle w:val="TableParagraph"/>
              <w:spacing w:before="117"/>
              <w:ind w:left="81" w:right="82"/>
              <w:jc w:val="center"/>
              <w:rPr>
                <w:sz w:val="14"/>
              </w:rPr>
            </w:pPr>
            <w:r>
              <w:rPr>
                <w:color w:val="4D4D4F"/>
                <w:w w:val="105"/>
                <w:sz w:val="14"/>
              </w:rPr>
              <w:t>N/A</w:t>
            </w:r>
          </w:p>
        </w:tc>
        <w:tc>
          <w:tcPr>
            <w:tcW w:w="1134" w:type="dxa"/>
          </w:tcPr>
          <w:p w14:paraId="0618C705" w14:textId="77777777" w:rsidR="00EF5B27" w:rsidRDefault="00000000">
            <w:pPr>
              <w:pStyle w:val="TableParagraph"/>
              <w:spacing w:before="117"/>
              <w:ind w:right="456"/>
              <w:jc w:val="right"/>
              <w:rPr>
                <w:sz w:val="14"/>
              </w:rPr>
            </w:pPr>
            <w:r>
              <w:rPr>
                <w:color w:val="4D4D4F"/>
                <w:sz w:val="14"/>
              </w:rPr>
              <w:t>N/A</w:t>
            </w:r>
          </w:p>
        </w:tc>
        <w:tc>
          <w:tcPr>
            <w:tcW w:w="1134" w:type="dxa"/>
          </w:tcPr>
          <w:p w14:paraId="7F97CEEC" w14:textId="77777777" w:rsidR="00EF5B27" w:rsidRDefault="00000000">
            <w:pPr>
              <w:pStyle w:val="TableParagraph"/>
              <w:spacing w:before="117"/>
              <w:ind w:left="81" w:right="82"/>
              <w:jc w:val="center"/>
              <w:rPr>
                <w:sz w:val="14"/>
              </w:rPr>
            </w:pPr>
            <w:r>
              <w:rPr>
                <w:color w:val="4D4D4F"/>
                <w:w w:val="105"/>
                <w:sz w:val="14"/>
              </w:rPr>
              <w:t>N/A</w:t>
            </w:r>
          </w:p>
        </w:tc>
        <w:tc>
          <w:tcPr>
            <w:tcW w:w="1134" w:type="dxa"/>
          </w:tcPr>
          <w:p w14:paraId="7DEA3834" w14:textId="77777777" w:rsidR="00EF5B27" w:rsidRDefault="00000000">
            <w:pPr>
              <w:pStyle w:val="TableParagraph"/>
              <w:spacing w:before="117"/>
              <w:ind w:right="457"/>
              <w:jc w:val="right"/>
              <w:rPr>
                <w:sz w:val="14"/>
              </w:rPr>
            </w:pPr>
            <w:r>
              <w:rPr>
                <w:color w:val="4D4D4F"/>
                <w:sz w:val="14"/>
              </w:rPr>
              <w:t>N/A</w:t>
            </w:r>
          </w:p>
        </w:tc>
        <w:tc>
          <w:tcPr>
            <w:tcW w:w="2829" w:type="dxa"/>
          </w:tcPr>
          <w:p w14:paraId="1D7B287D" w14:textId="77777777" w:rsidR="00EF5B27" w:rsidRDefault="00000000">
            <w:pPr>
              <w:pStyle w:val="TableParagraph"/>
              <w:spacing w:before="117"/>
              <w:ind w:left="1266" w:right="1267"/>
              <w:jc w:val="center"/>
              <w:rPr>
                <w:sz w:val="14"/>
              </w:rPr>
            </w:pPr>
            <w:r>
              <w:rPr>
                <w:color w:val="4D4D4F"/>
                <w:w w:val="105"/>
                <w:sz w:val="14"/>
              </w:rPr>
              <w:t>N/A</w:t>
            </w:r>
          </w:p>
        </w:tc>
        <w:tc>
          <w:tcPr>
            <w:tcW w:w="1134" w:type="dxa"/>
          </w:tcPr>
          <w:p w14:paraId="18CD1828" w14:textId="77777777" w:rsidR="00EF5B27" w:rsidRDefault="00000000">
            <w:pPr>
              <w:pStyle w:val="TableParagraph"/>
              <w:spacing w:before="117"/>
              <w:ind w:left="81" w:right="82"/>
              <w:jc w:val="center"/>
              <w:rPr>
                <w:sz w:val="14"/>
              </w:rPr>
            </w:pPr>
            <w:r>
              <w:rPr>
                <w:color w:val="4D4D4F"/>
                <w:w w:val="105"/>
                <w:sz w:val="14"/>
              </w:rPr>
              <w:t>N/A</w:t>
            </w:r>
          </w:p>
        </w:tc>
      </w:tr>
      <w:tr w:rsidR="00EF5B27" w14:paraId="0599ED02" w14:textId="77777777">
        <w:trPr>
          <w:trHeight w:val="391"/>
        </w:trPr>
        <w:tc>
          <w:tcPr>
            <w:tcW w:w="1134" w:type="dxa"/>
          </w:tcPr>
          <w:p w14:paraId="0584A390" w14:textId="77777777" w:rsidR="00EF5B27" w:rsidRDefault="00000000">
            <w:pPr>
              <w:pStyle w:val="TableParagraph"/>
              <w:spacing w:before="117"/>
              <w:ind w:left="81" w:right="78"/>
              <w:jc w:val="center"/>
              <w:rPr>
                <w:sz w:val="14"/>
              </w:rPr>
            </w:pPr>
            <w:r>
              <w:rPr>
                <w:color w:val="4D4D4F"/>
                <w:sz w:val="14"/>
              </w:rPr>
              <w:t>2021</w:t>
            </w:r>
          </w:p>
        </w:tc>
        <w:tc>
          <w:tcPr>
            <w:tcW w:w="1134" w:type="dxa"/>
          </w:tcPr>
          <w:p w14:paraId="4C838010" w14:textId="77777777" w:rsidR="00EF5B27" w:rsidRDefault="00000000">
            <w:pPr>
              <w:pStyle w:val="TableParagraph"/>
              <w:spacing w:before="117"/>
              <w:ind w:left="81" w:right="77"/>
              <w:jc w:val="center"/>
              <w:rPr>
                <w:sz w:val="14"/>
              </w:rPr>
            </w:pPr>
            <w:r>
              <w:rPr>
                <w:color w:val="4D4D4F"/>
                <w:sz w:val="14"/>
              </w:rPr>
              <w:t>1717</w:t>
            </w:r>
          </w:p>
        </w:tc>
        <w:tc>
          <w:tcPr>
            <w:tcW w:w="1134" w:type="dxa"/>
          </w:tcPr>
          <w:p w14:paraId="6BD4BADB" w14:textId="77777777" w:rsidR="00EF5B27" w:rsidRDefault="00000000">
            <w:pPr>
              <w:pStyle w:val="TableParagraph"/>
              <w:spacing w:before="117"/>
              <w:ind w:right="466"/>
              <w:jc w:val="right"/>
              <w:rPr>
                <w:sz w:val="14"/>
              </w:rPr>
            </w:pPr>
            <w:r>
              <w:rPr>
                <w:color w:val="4D4D4F"/>
                <w:w w:val="95"/>
                <w:sz w:val="14"/>
              </w:rPr>
              <w:t>117</w:t>
            </w:r>
          </w:p>
        </w:tc>
        <w:tc>
          <w:tcPr>
            <w:tcW w:w="1134" w:type="dxa"/>
          </w:tcPr>
          <w:p w14:paraId="5B11439E" w14:textId="77777777" w:rsidR="00EF5B27" w:rsidRDefault="00000000">
            <w:pPr>
              <w:pStyle w:val="TableParagraph"/>
              <w:spacing w:before="106"/>
              <w:ind w:left="4"/>
              <w:jc w:val="center"/>
              <w:rPr>
                <w:sz w:val="16"/>
              </w:rPr>
            </w:pPr>
            <w:r>
              <w:rPr>
                <w:color w:val="4D4D4F"/>
                <w:w w:val="96"/>
                <w:sz w:val="16"/>
              </w:rPr>
              <w:t>0</w:t>
            </w:r>
          </w:p>
        </w:tc>
        <w:tc>
          <w:tcPr>
            <w:tcW w:w="1134" w:type="dxa"/>
          </w:tcPr>
          <w:p w14:paraId="405BD925" w14:textId="77777777" w:rsidR="00EF5B27" w:rsidRDefault="00000000">
            <w:pPr>
              <w:pStyle w:val="TableParagraph"/>
              <w:spacing w:before="117"/>
              <w:ind w:right="420"/>
              <w:jc w:val="right"/>
              <w:rPr>
                <w:sz w:val="14"/>
              </w:rPr>
            </w:pPr>
            <w:r>
              <w:rPr>
                <w:color w:val="4D4D4F"/>
                <w:w w:val="95"/>
                <w:sz w:val="14"/>
              </w:rPr>
              <w:t>1834</w:t>
            </w:r>
          </w:p>
        </w:tc>
        <w:tc>
          <w:tcPr>
            <w:tcW w:w="2829" w:type="dxa"/>
          </w:tcPr>
          <w:p w14:paraId="1EA624A1" w14:textId="77777777" w:rsidR="00EF5B27" w:rsidRDefault="00000000">
            <w:pPr>
              <w:pStyle w:val="TableParagraph"/>
              <w:spacing w:before="117"/>
              <w:ind w:left="3"/>
              <w:jc w:val="center"/>
              <w:rPr>
                <w:sz w:val="14"/>
              </w:rPr>
            </w:pPr>
            <w:r>
              <w:rPr>
                <w:color w:val="4D4D4F"/>
                <w:w w:val="96"/>
                <w:sz w:val="14"/>
              </w:rPr>
              <w:t>0</w:t>
            </w:r>
          </w:p>
        </w:tc>
        <w:tc>
          <w:tcPr>
            <w:tcW w:w="1134" w:type="dxa"/>
          </w:tcPr>
          <w:p w14:paraId="66D7F334" w14:textId="77777777" w:rsidR="00EF5B27" w:rsidRDefault="00000000">
            <w:pPr>
              <w:pStyle w:val="TableParagraph"/>
              <w:spacing w:before="117"/>
              <w:ind w:left="81" w:right="78"/>
              <w:jc w:val="center"/>
              <w:rPr>
                <w:sz w:val="14"/>
              </w:rPr>
            </w:pPr>
            <w:r>
              <w:rPr>
                <w:color w:val="4D4D4F"/>
                <w:w w:val="110"/>
                <w:sz w:val="14"/>
              </w:rPr>
              <w:t>Yes</w:t>
            </w:r>
          </w:p>
        </w:tc>
      </w:tr>
    </w:tbl>
    <w:p w14:paraId="7D261467" w14:textId="77777777" w:rsidR="00EF5B27" w:rsidRDefault="00EF5B27">
      <w:pPr>
        <w:jc w:val="center"/>
        <w:rPr>
          <w:sz w:val="14"/>
        </w:rPr>
        <w:sectPr w:rsidR="00EF5B27">
          <w:pgSz w:w="11910" w:h="16840"/>
          <w:pgMar w:top="1080" w:right="1020" w:bottom="860" w:left="1020" w:header="537" w:footer="678" w:gutter="0"/>
          <w:cols w:space="720"/>
        </w:sectPr>
      </w:pPr>
    </w:p>
    <w:p w14:paraId="38E9B9D7" w14:textId="77777777" w:rsidR="00EF5B27" w:rsidRDefault="00000000">
      <w:pPr>
        <w:pStyle w:val="BodyText"/>
        <w:rPr>
          <w:rFonts w:ascii="Century Gothic"/>
          <w:i/>
        </w:rPr>
      </w:pPr>
      <w:r>
        <w:lastRenderedPageBreak/>
        <w:pict w14:anchorId="36CF2264">
          <v:group id="_x0000_s3451" style="position:absolute;margin-left:587.05pt;margin-top:183.4pt;width:8.25pt;height:153.1pt;z-index:251571712;mso-position-horizontal-relative:page;mso-position-vertical-relative:page" coordorigin="11741,3668" coordsize="165,3062">
            <v:shape id="_x0000_s3458" style="position:absolute;left:11741;top:3668;width:165;height:561" coordorigin="11741,3668" coordsize="165,561" path="m11906,3668r-165,l11741,4228r165,-18l11906,3668xe" fillcolor="#00aed9" stroked="f">
              <v:path arrowok="t"/>
            </v:shape>
            <v:shape id="_x0000_s3457" style="position:absolute;left:11741;top:4118;width:165;height:425" coordorigin="11741,4118" coordsize="165,425" path="m11906,4118r-165,14l11741,4531r165,12l11906,4118xe" fillcolor="#047ebc" stroked="f">
              <v:path arrowok="t"/>
            </v:shape>
            <v:shape id="_x0000_s3456" type="#_x0000_t75" style="position:absolute;left:11741;top:4355;width:165;height:587">
              <v:imagedata r:id="rId42" o:title=""/>
            </v:shape>
            <v:shape id="_x0000_s3455" style="position:absolute;left:11741;top:5343;width:165;height:536" coordorigin="11741,5343" coordsize="165,536" path="m11741,5343r,535l11906,5872r,-525l11741,5343xe" fillcolor="#f36a2e" stroked="f">
              <v:path arrowok="t"/>
            </v:shape>
            <v:shape id="_x0000_s3454" style="position:absolute;left:11741;top:4925;width:165;height:501" coordorigin="11741,4926" coordsize="165,501" path="m11741,4926r,500l11906,5426r,-485l11741,4926xe" fillcolor="#49783f" stroked="f">
              <v:path arrowok="t"/>
            </v:shape>
            <v:shape id="_x0000_s3453" style="position:absolute;left:11741;top:5781;width:165;height:268" coordorigin="11741,5782" coordsize="165,268" path="m11906,5782r-165,8l11741,6039r165,10l11906,5782xe" fillcolor="#f99f2a" stroked="f">
              <v:path arrowok="t"/>
            </v:shape>
            <v:shape id="_x0000_s3452" style="position:absolute;left:11741;top:6023;width:165;height:707" coordorigin="11741,6023" coordsize="165,707" path="m11741,6023r,706l11906,6729r,-690l11741,6023xe" fillcolor="#ef412c" stroked="f">
              <v:path arrowok="t"/>
            </v:shape>
            <w10:wrap anchorx="page" anchory="page"/>
          </v:group>
        </w:pict>
      </w:r>
    </w:p>
    <w:p w14:paraId="798B41D9" w14:textId="77777777" w:rsidR="00EF5B27" w:rsidRDefault="00EF5B27">
      <w:pPr>
        <w:pStyle w:val="BodyText"/>
        <w:rPr>
          <w:rFonts w:ascii="Century Gothic"/>
          <w:i/>
        </w:rPr>
      </w:pPr>
    </w:p>
    <w:p w14:paraId="6E6A0C61" w14:textId="77777777" w:rsidR="00EF5B27" w:rsidRDefault="00EF5B27">
      <w:pPr>
        <w:pStyle w:val="BodyText"/>
        <w:rPr>
          <w:rFonts w:ascii="Century Gothic"/>
          <w:i/>
        </w:rPr>
      </w:pPr>
    </w:p>
    <w:p w14:paraId="7569CA77" w14:textId="77777777" w:rsidR="00EF5B27" w:rsidRDefault="00EF5B27">
      <w:pPr>
        <w:pStyle w:val="BodyText"/>
        <w:spacing w:before="1"/>
        <w:rPr>
          <w:rFonts w:ascii="Century Gothic"/>
          <w:i/>
          <w:sz w:val="24"/>
        </w:rPr>
      </w:pPr>
    </w:p>
    <w:p w14:paraId="7689205A" w14:textId="77777777" w:rsidR="00EF5B27" w:rsidRDefault="00000000">
      <w:pPr>
        <w:pStyle w:val="Heading6"/>
        <w:spacing w:before="111"/>
      </w:pPr>
      <w:bookmarkStart w:id="47" w:name="_bookmark36"/>
      <w:bookmarkStart w:id="48" w:name="_heading=h.28h4qwu"/>
      <w:bookmarkEnd w:id="47"/>
      <w:bookmarkEnd w:id="48"/>
      <w:r>
        <w:rPr>
          <w:color w:val="4D4D4F"/>
        </w:rPr>
        <w:t>KPI 7: Percentage cover of all perennial vegetation comprised of weeds</w:t>
      </w:r>
    </w:p>
    <w:p w14:paraId="05AB16E8" w14:textId="77777777" w:rsidR="00EF5B27" w:rsidRDefault="00EF5B27">
      <w:pPr>
        <w:pStyle w:val="BodyText"/>
        <w:spacing w:before="2"/>
        <w:rPr>
          <w:b/>
          <w:sz w:val="14"/>
        </w:rPr>
      </w:pPr>
    </w:p>
    <w:tbl>
      <w:tblPr>
        <w:tblW w:w="0" w:type="auto"/>
        <w:tblInd w:w="12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0FE300C0" w14:textId="77777777">
        <w:trPr>
          <w:trHeight w:val="561"/>
        </w:trPr>
        <w:tc>
          <w:tcPr>
            <w:tcW w:w="2980" w:type="dxa"/>
            <w:shd w:val="clear" w:color="auto" w:fill="FECC91"/>
          </w:tcPr>
          <w:p w14:paraId="0F9A7FA7" w14:textId="77777777" w:rsidR="00EF5B27" w:rsidRDefault="00000000">
            <w:pPr>
              <w:pStyle w:val="TableParagraph"/>
              <w:spacing w:before="91" w:line="244" w:lineRule="auto"/>
              <w:ind w:left="80" w:right="244"/>
              <w:rPr>
                <w:b/>
                <w:sz w:val="16"/>
              </w:rPr>
            </w:pPr>
            <w:r>
              <w:rPr>
                <w:b/>
                <w:sz w:val="16"/>
              </w:rPr>
              <w:t>KPI 7: Percentage cover of all perennial vegetation comprised of weeds</w:t>
            </w:r>
          </w:p>
        </w:tc>
        <w:tc>
          <w:tcPr>
            <w:tcW w:w="1078" w:type="dxa"/>
            <w:shd w:val="clear" w:color="auto" w:fill="FECC91"/>
          </w:tcPr>
          <w:p w14:paraId="351FD414"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2117D5C4" w14:textId="77777777" w:rsidR="00EF5B27" w:rsidRDefault="00EF5B27">
            <w:pPr>
              <w:pStyle w:val="TableParagraph"/>
              <w:spacing w:before="7"/>
              <w:rPr>
                <w:b/>
                <w:sz w:val="15"/>
              </w:rPr>
            </w:pPr>
          </w:p>
          <w:p w14:paraId="2A707328"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36FE8CCA" w14:textId="77777777" w:rsidR="00EF5B27" w:rsidRDefault="00EF5B27">
            <w:pPr>
              <w:pStyle w:val="TableParagraph"/>
              <w:spacing w:before="7"/>
              <w:rPr>
                <w:b/>
                <w:sz w:val="15"/>
              </w:rPr>
            </w:pPr>
          </w:p>
          <w:p w14:paraId="5E6BF141"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6E133C94"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7307DE2B"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79CF74B8" w14:textId="77777777">
        <w:trPr>
          <w:trHeight w:val="448"/>
        </w:trPr>
        <w:tc>
          <w:tcPr>
            <w:tcW w:w="2980" w:type="dxa"/>
          </w:tcPr>
          <w:p w14:paraId="12A0733C" w14:textId="77777777" w:rsidR="00EF5B27" w:rsidRDefault="00EF5B27">
            <w:pPr>
              <w:pStyle w:val="TableParagraph"/>
              <w:spacing w:before="11"/>
              <w:rPr>
                <w:b/>
                <w:sz w:val="11"/>
              </w:rPr>
            </w:pPr>
          </w:p>
          <w:p w14:paraId="30718217" w14:textId="77777777" w:rsidR="00EF5B27" w:rsidRDefault="00000000">
            <w:pPr>
              <w:pStyle w:val="TableParagraph"/>
              <w:ind w:left="80"/>
              <w:rPr>
                <w:sz w:val="14"/>
              </w:rPr>
            </w:pPr>
            <w:r>
              <w:rPr>
                <w:color w:val="4D4D4F"/>
                <w:w w:val="105"/>
                <w:sz w:val="14"/>
              </w:rPr>
              <w:t>Herb-rich grassland</w:t>
            </w:r>
          </w:p>
        </w:tc>
        <w:tc>
          <w:tcPr>
            <w:tcW w:w="1078" w:type="dxa"/>
          </w:tcPr>
          <w:p w14:paraId="0D98762A" w14:textId="77777777" w:rsidR="00EF5B27" w:rsidRDefault="00EF5B27">
            <w:pPr>
              <w:pStyle w:val="TableParagraph"/>
              <w:spacing w:before="11"/>
              <w:rPr>
                <w:b/>
                <w:sz w:val="11"/>
              </w:rPr>
            </w:pPr>
          </w:p>
          <w:p w14:paraId="2CF9D983" w14:textId="77777777" w:rsidR="00EF5B27" w:rsidRDefault="00000000">
            <w:pPr>
              <w:pStyle w:val="TableParagraph"/>
              <w:ind w:left="128" w:right="124"/>
              <w:jc w:val="center"/>
              <w:rPr>
                <w:sz w:val="14"/>
              </w:rPr>
            </w:pPr>
            <w:r>
              <w:rPr>
                <w:color w:val="4D4D4F"/>
                <w:sz w:val="14"/>
              </w:rPr>
              <w:t>Met</w:t>
            </w:r>
          </w:p>
        </w:tc>
        <w:tc>
          <w:tcPr>
            <w:tcW w:w="2155" w:type="dxa"/>
          </w:tcPr>
          <w:p w14:paraId="081A4F89" w14:textId="77777777" w:rsidR="00EF5B27" w:rsidRDefault="00EF5B27">
            <w:pPr>
              <w:pStyle w:val="TableParagraph"/>
              <w:spacing w:before="11"/>
              <w:rPr>
                <w:b/>
                <w:sz w:val="11"/>
              </w:rPr>
            </w:pPr>
          </w:p>
          <w:p w14:paraId="7469DF2F" w14:textId="77777777" w:rsidR="00EF5B27" w:rsidRDefault="00000000">
            <w:pPr>
              <w:pStyle w:val="TableParagraph"/>
              <w:ind w:left="139" w:right="142"/>
              <w:jc w:val="center"/>
              <w:rPr>
                <w:sz w:val="14"/>
              </w:rPr>
            </w:pPr>
            <w:r>
              <w:rPr>
                <w:color w:val="4D4D4F"/>
                <w:w w:val="105"/>
                <w:sz w:val="14"/>
              </w:rPr>
              <w:t>N/A</w:t>
            </w:r>
          </w:p>
        </w:tc>
        <w:tc>
          <w:tcPr>
            <w:tcW w:w="964" w:type="dxa"/>
          </w:tcPr>
          <w:p w14:paraId="1CA3F28E" w14:textId="77777777" w:rsidR="00EF5B27" w:rsidRDefault="00EF5B27">
            <w:pPr>
              <w:pStyle w:val="TableParagraph"/>
              <w:spacing w:before="8"/>
              <w:rPr>
                <w:b/>
                <w:sz w:val="8"/>
              </w:rPr>
            </w:pPr>
          </w:p>
          <w:p w14:paraId="589CFB64" w14:textId="77777777" w:rsidR="00EF5B27" w:rsidRDefault="00000000">
            <w:pPr>
              <w:pStyle w:val="TableParagraph"/>
              <w:spacing w:line="232" w:lineRule="exact"/>
              <w:ind w:left="427"/>
              <w:rPr>
                <w:sz w:val="20"/>
              </w:rPr>
            </w:pPr>
            <w:r>
              <w:rPr>
                <w:noProof/>
                <w:position w:val="-4"/>
                <w:sz w:val="20"/>
              </w:rPr>
              <w:drawing>
                <wp:inline distT="0" distB="0" distL="0" distR="0" wp14:anchorId="43671A83" wp14:editId="6570F8AB">
                  <wp:extent cx="64988" cy="147637"/>
                  <wp:effectExtent l="0" t="0" r="0" b="0"/>
                  <wp:docPr id="35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50.png"/>
                          <pic:cNvPicPr/>
                        </pic:nvPicPr>
                        <pic:blipFill>
                          <a:blip r:embed="rId81" cstate="print"/>
                          <a:stretch>
                            <a:fillRect/>
                          </a:stretch>
                        </pic:blipFill>
                        <pic:spPr>
                          <a:xfrm>
                            <a:off x="0" y="0"/>
                            <a:ext cx="64988" cy="147637"/>
                          </a:xfrm>
                          <a:prstGeom prst="rect">
                            <a:avLst/>
                          </a:prstGeom>
                        </pic:spPr>
                      </pic:pic>
                    </a:graphicData>
                  </a:graphic>
                </wp:inline>
              </w:drawing>
            </w:r>
          </w:p>
        </w:tc>
        <w:tc>
          <w:tcPr>
            <w:tcW w:w="964" w:type="dxa"/>
          </w:tcPr>
          <w:p w14:paraId="196501F3" w14:textId="77777777" w:rsidR="00EF5B27" w:rsidRDefault="00EF5B27">
            <w:pPr>
              <w:pStyle w:val="TableParagraph"/>
              <w:spacing w:before="11"/>
              <w:rPr>
                <w:b/>
                <w:sz w:val="11"/>
              </w:rPr>
            </w:pPr>
          </w:p>
          <w:p w14:paraId="530879DA" w14:textId="77777777" w:rsidR="00EF5B27" w:rsidRDefault="00000000">
            <w:pPr>
              <w:pStyle w:val="TableParagraph"/>
              <w:ind w:left="344"/>
              <w:rPr>
                <w:sz w:val="14"/>
              </w:rPr>
            </w:pPr>
            <w:r>
              <w:rPr>
                <w:color w:val="4D4D4F"/>
                <w:w w:val="105"/>
                <w:sz w:val="14"/>
              </w:rPr>
              <w:t>High</w:t>
            </w:r>
          </w:p>
        </w:tc>
        <w:tc>
          <w:tcPr>
            <w:tcW w:w="1489" w:type="dxa"/>
          </w:tcPr>
          <w:p w14:paraId="07379157" w14:textId="77777777" w:rsidR="00EF5B27" w:rsidRDefault="00000000">
            <w:pPr>
              <w:pStyle w:val="TableParagraph"/>
              <w:spacing w:before="134"/>
              <w:ind w:left="451" w:right="457"/>
              <w:jc w:val="center"/>
              <w:rPr>
                <w:sz w:val="16"/>
              </w:rPr>
            </w:pPr>
            <w:r>
              <w:rPr>
                <w:color w:val="4D4D4F"/>
                <w:sz w:val="16"/>
              </w:rPr>
              <w:t>2017</w:t>
            </w:r>
          </w:p>
        </w:tc>
      </w:tr>
      <w:tr w:rsidR="00EF5B27" w14:paraId="77487063" w14:textId="77777777">
        <w:trPr>
          <w:trHeight w:val="448"/>
        </w:trPr>
        <w:tc>
          <w:tcPr>
            <w:tcW w:w="2980" w:type="dxa"/>
          </w:tcPr>
          <w:p w14:paraId="26BDA6F0" w14:textId="77777777" w:rsidR="00EF5B27" w:rsidRDefault="00EF5B27">
            <w:pPr>
              <w:pStyle w:val="TableParagraph"/>
              <w:spacing w:before="11"/>
              <w:rPr>
                <w:b/>
                <w:sz w:val="11"/>
              </w:rPr>
            </w:pPr>
          </w:p>
          <w:p w14:paraId="54BA14D6" w14:textId="77777777" w:rsidR="00EF5B27" w:rsidRDefault="00000000">
            <w:pPr>
              <w:pStyle w:val="TableParagraph"/>
              <w:ind w:left="80"/>
              <w:rPr>
                <w:sz w:val="14"/>
              </w:rPr>
            </w:pPr>
            <w:r>
              <w:rPr>
                <w:rFonts w:ascii="Arial Narrow"/>
                <w:i/>
                <w:color w:val="4D4D4F"/>
                <w:w w:val="110"/>
                <w:sz w:val="14"/>
              </w:rPr>
              <w:t xml:space="preserve">Themeda </w:t>
            </w:r>
            <w:r>
              <w:rPr>
                <w:color w:val="4D4D4F"/>
                <w:w w:val="110"/>
                <w:sz w:val="14"/>
              </w:rPr>
              <w:t>grassland</w:t>
            </w:r>
          </w:p>
        </w:tc>
        <w:tc>
          <w:tcPr>
            <w:tcW w:w="1078" w:type="dxa"/>
          </w:tcPr>
          <w:p w14:paraId="01BE32CF" w14:textId="77777777" w:rsidR="00EF5B27" w:rsidRDefault="00EF5B27">
            <w:pPr>
              <w:pStyle w:val="TableParagraph"/>
              <w:spacing w:before="11"/>
              <w:rPr>
                <w:b/>
                <w:sz w:val="11"/>
              </w:rPr>
            </w:pPr>
          </w:p>
          <w:p w14:paraId="78AFD33D" w14:textId="77777777" w:rsidR="00EF5B27" w:rsidRDefault="00000000">
            <w:pPr>
              <w:pStyle w:val="TableParagraph"/>
              <w:ind w:left="128" w:right="124"/>
              <w:jc w:val="center"/>
              <w:rPr>
                <w:sz w:val="14"/>
              </w:rPr>
            </w:pPr>
            <w:r>
              <w:rPr>
                <w:color w:val="4D4D4F"/>
                <w:sz w:val="14"/>
              </w:rPr>
              <w:t>Met</w:t>
            </w:r>
          </w:p>
        </w:tc>
        <w:tc>
          <w:tcPr>
            <w:tcW w:w="2155" w:type="dxa"/>
          </w:tcPr>
          <w:p w14:paraId="0C47B32B" w14:textId="77777777" w:rsidR="00EF5B27" w:rsidRDefault="00EF5B27">
            <w:pPr>
              <w:pStyle w:val="TableParagraph"/>
              <w:spacing w:before="11"/>
              <w:rPr>
                <w:b/>
                <w:sz w:val="11"/>
              </w:rPr>
            </w:pPr>
          </w:p>
          <w:p w14:paraId="35B1214F" w14:textId="77777777" w:rsidR="00EF5B27" w:rsidRDefault="00000000">
            <w:pPr>
              <w:pStyle w:val="TableParagraph"/>
              <w:ind w:left="138" w:right="142"/>
              <w:jc w:val="center"/>
              <w:rPr>
                <w:sz w:val="14"/>
              </w:rPr>
            </w:pPr>
            <w:r>
              <w:rPr>
                <w:color w:val="4D4D4F"/>
                <w:w w:val="105"/>
                <w:sz w:val="14"/>
              </w:rPr>
              <w:t>N/A</w:t>
            </w:r>
          </w:p>
        </w:tc>
        <w:tc>
          <w:tcPr>
            <w:tcW w:w="964" w:type="dxa"/>
          </w:tcPr>
          <w:p w14:paraId="67579F60" w14:textId="77777777" w:rsidR="00EF5B27" w:rsidRDefault="00EF5B27">
            <w:pPr>
              <w:pStyle w:val="TableParagraph"/>
              <w:spacing w:before="8"/>
              <w:rPr>
                <w:b/>
                <w:sz w:val="8"/>
              </w:rPr>
            </w:pPr>
          </w:p>
          <w:p w14:paraId="278A1140" w14:textId="77777777" w:rsidR="00EF5B27" w:rsidRDefault="00000000">
            <w:pPr>
              <w:pStyle w:val="TableParagraph"/>
              <w:spacing w:line="232" w:lineRule="exact"/>
              <w:ind w:left="427"/>
              <w:rPr>
                <w:sz w:val="20"/>
              </w:rPr>
            </w:pPr>
            <w:r>
              <w:rPr>
                <w:noProof/>
                <w:position w:val="-4"/>
                <w:sz w:val="20"/>
              </w:rPr>
              <w:drawing>
                <wp:inline distT="0" distB="0" distL="0" distR="0" wp14:anchorId="3A00933C" wp14:editId="431D39D7">
                  <wp:extent cx="64988" cy="147637"/>
                  <wp:effectExtent l="0" t="0" r="0" b="0"/>
                  <wp:docPr id="35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50.png"/>
                          <pic:cNvPicPr/>
                        </pic:nvPicPr>
                        <pic:blipFill>
                          <a:blip r:embed="rId81" cstate="print"/>
                          <a:stretch>
                            <a:fillRect/>
                          </a:stretch>
                        </pic:blipFill>
                        <pic:spPr>
                          <a:xfrm>
                            <a:off x="0" y="0"/>
                            <a:ext cx="64988" cy="147637"/>
                          </a:xfrm>
                          <a:prstGeom prst="rect">
                            <a:avLst/>
                          </a:prstGeom>
                        </pic:spPr>
                      </pic:pic>
                    </a:graphicData>
                  </a:graphic>
                </wp:inline>
              </w:drawing>
            </w:r>
          </w:p>
        </w:tc>
        <w:tc>
          <w:tcPr>
            <w:tcW w:w="964" w:type="dxa"/>
          </w:tcPr>
          <w:p w14:paraId="76C482E3" w14:textId="77777777" w:rsidR="00EF5B27" w:rsidRDefault="00EF5B27">
            <w:pPr>
              <w:pStyle w:val="TableParagraph"/>
              <w:spacing w:before="11"/>
              <w:rPr>
                <w:b/>
                <w:sz w:val="11"/>
              </w:rPr>
            </w:pPr>
          </w:p>
          <w:p w14:paraId="6BDE38F8" w14:textId="77777777" w:rsidR="00EF5B27" w:rsidRDefault="00000000">
            <w:pPr>
              <w:pStyle w:val="TableParagraph"/>
              <w:ind w:left="344"/>
              <w:rPr>
                <w:sz w:val="14"/>
              </w:rPr>
            </w:pPr>
            <w:r>
              <w:rPr>
                <w:color w:val="4D4D4F"/>
                <w:w w:val="105"/>
                <w:sz w:val="14"/>
              </w:rPr>
              <w:t>High</w:t>
            </w:r>
          </w:p>
        </w:tc>
        <w:tc>
          <w:tcPr>
            <w:tcW w:w="1489" w:type="dxa"/>
          </w:tcPr>
          <w:p w14:paraId="473C81B2" w14:textId="77777777" w:rsidR="00EF5B27" w:rsidRDefault="00000000">
            <w:pPr>
              <w:pStyle w:val="TableParagraph"/>
              <w:spacing w:before="134"/>
              <w:ind w:left="451" w:right="457"/>
              <w:jc w:val="center"/>
              <w:rPr>
                <w:sz w:val="16"/>
              </w:rPr>
            </w:pPr>
            <w:r>
              <w:rPr>
                <w:color w:val="4D4D4F"/>
                <w:sz w:val="16"/>
              </w:rPr>
              <w:t>2017</w:t>
            </w:r>
          </w:p>
        </w:tc>
      </w:tr>
      <w:tr w:rsidR="00EF5B27" w14:paraId="563B0B10" w14:textId="77777777">
        <w:trPr>
          <w:trHeight w:val="448"/>
        </w:trPr>
        <w:tc>
          <w:tcPr>
            <w:tcW w:w="2980" w:type="dxa"/>
          </w:tcPr>
          <w:p w14:paraId="310C874B" w14:textId="77777777" w:rsidR="00EF5B27" w:rsidRDefault="00EF5B27">
            <w:pPr>
              <w:pStyle w:val="TableParagraph"/>
              <w:spacing w:before="11"/>
              <w:rPr>
                <w:b/>
                <w:sz w:val="11"/>
              </w:rPr>
            </w:pPr>
          </w:p>
          <w:p w14:paraId="48AF0F81" w14:textId="77777777" w:rsidR="00EF5B27" w:rsidRDefault="00000000">
            <w:pPr>
              <w:pStyle w:val="TableParagraph"/>
              <w:ind w:left="80"/>
              <w:rPr>
                <w:sz w:val="14"/>
              </w:rPr>
            </w:pPr>
            <w:r>
              <w:rPr>
                <w:color w:val="4D4D4F"/>
                <w:w w:val="105"/>
                <w:sz w:val="14"/>
              </w:rPr>
              <w:t>C3 grassland</w:t>
            </w:r>
          </w:p>
        </w:tc>
        <w:tc>
          <w:tcPr>
            <w:tcW w:w="1078" w:type="dxa"/>
          </w:tcPr>
          <w:p w14:paraId="7EF297BC" w14:textId="77777777" w:rsidR="00EF5B27" w:rsidRDefault="00EF5B27">
            <w:pPr>
              <w:pStyle w:val="TableParagraph"/>
              <w:spacing w:before="11"/>
              <w:rPr>
                <w:b/>
                <w:sz w:val="11"/>
              </w:rPr>
            </w:pPr>
          </w:p>
          <w:p w14:paraId="3BB3F943"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026E63D3" w14:textId="77777777" w:rsidR="00EF5B27" w:rsidRDefault="00EF5B27">
            <w:pPr>
              <w:pStyle w:val="TableParagraph"/>
              <w:spacing w:before="11"/>
              <w:rPr>
                <w:b/>
                <w:sz w:val="11"/>
              </w:rPr>
            </w:pPr>
          </w:p>
          <w:p w14:paraId="5FF83904" w14:textId="77777777" w:rsidR="00EF5B27" w:rsidRDefault="00000000">
            <w:pPr>
              <w:pStyle w:val="TableParagraph"/>
              <w:ind w:left="143" w:right="142"/>
              <w:jc w:val="center"/>
              <w:rPr>
                <w:sz w:val="14"/>
              </w:rPr>
            </w:pPr>
            <w:r>
              <w:rPr>
                <w:color w:val="4D4D4F"/>
                <w:sz w:val="14"/>
              </w:rPr>
              <w:t>Baseline not yet set</w:t>
            </w:r>
          </w:p>
        </w:tc>
        <w:tc>
          <w:tcPr>
            <w:tcW w:w="964" w:type="dxa"/>
          </w:tcPr>
          <w:p w14:paraId="50B04478" w14:textId="77777777" w:rsidR="00EF5B27" w:rsidRDefault="00EF5B27">
            <w:pPr>
              <w:pStyle w:val="TableParagraph"/>
              <w:spacing w:before="4"/>
              <w:rPr>
                <w:b/>
                <w:sz w:val="7"/>
              </w:rPr>
            </w:pPr>
          </w:p>
          <w:p w14:paraId="153F7D4C" w14:textId="77777777" w:rsidR="00EF5B27" w:rsidRDefault="00000000">
            <w:pPr>
              <w:pStyle w:val="TableParagraph"/>
              <w:spacing w:line="187" w:lineRule="exact"/>
              <w:ind w:left="400"/>
              <w:rPr>
                <w:sz w:val="18"/>
              </w:rPr>
            </w:pPr>
            <w:r>
              <w:rPr>
                <w:noProof/>
                <w:position w:val="-3"/>
                <w:sz w:val="18"/>
              </w:rPr>
              <w:drawing>
                <wp:inline distT="0" distB="0" distL="0" distR="0" wp14:anchorId="5340CD2A" wp14:editId="780B98D9">
                  <wp:extent cx="100572" cy="119062"/>
                  <wp:effectExtent l="0" t="0" r="0" b="0"/>
                  <wp:docPr id="361"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132.png"/>
                          <pic:cNvPicPr/>
                        </pic:nvPicPr>
                        <pic:blipFill>
                          <a:blip r:embed="rId76" cstate="print"/>
                          <a:stretch>
                            <a:fillRect/>
                          </a:stretch>
                        </pic:blipFill>
                        <pic:spPr>
                          <a:xfrm>
                            <a:off x="0" y="0"/>
                            <a:ext cx="100572" cy="119062"/>
                          </a:xfrm>
                          <a:prstGeom prst="rect">
                            <a:avLst/>
                          </a:prstGeom>
                        </pic:spPr>
                      </pic:pic>
                    </a:graphicData>
                  </a:graphic>
                </wp:inline>
              </w:drawing>
            </w:r>
          </w:p>
          <w:p w14:paraId="3FB68DF2" w14:textId="77777777" w:rsidR="00EF5B27" w:rsidRDefault="00EF5B27">
            <w:pPr>
              <w:pStyle w:val="TableParagraph"/>
              <w:spacing w:before="8"/>
              <w:rPr>
                <w:b/>
                <w:sz w:val="2"/>
              </w:rPr>
            </w:pPr>
          </w:p>
          <w:p w14:paraId="597065BD" w14:textId="77777777" w:rsidR="00EF5B27" w:rsidRDefault="00000000">
            <w:pPr>
              <w:pStyle w:val="TableParagraph"/>
              <w:spacing w:line="48" w:lineRule="exact"/>
              <w:ind w:left="448"/>
              <w:rPr>
                <w:sz w:val="4"/>
              </w:rPr>
            </w:pPr>
            <w:r>
              <w:rPr>
                <w:sz w:val="4"/>
              </w:rPr>
            </w:r>
            <w:r>
              <w:rPr>
                <w:sz w:val="4"/>
              </w:rPr>
              <w:pict w14:anchorId="75122F27">
                <v:group id="_x0000_s3449" style="width:2.45pt;height:2.45pt;mso-position-horizontal-relative:char;mso-position-vertical-relative:line" coordsize="49,49">
                  <v:shape id="_x0000_s3450" style="position:absolute;width:49;height:49" coordsize="49,49" path="m31,l18,,12,2,2,12,,17,,31r2,6l12,46r6,3l31,49r6,-3l46,37r3,-6l49,17,46,12,37,2,31,xe" fillcolor="#808285" stroked="f">
                    <v:path arrowok="t"/>
                  </v:shape>
                  <w10:wrap type="none"/>
                  <w10:anchorlock/>
                </v:group>
              </w:pict>
            </w:r>
          </w:p>
        </w:tc>
        <w:tc>
          <w:tcPr>
            <w:tcW w:w="964" w:type="dxa"/>
          </w:tcPr>
          <w:p w14:paraId="47FBE1EB" w14:textId="77777777" w:rsidR="00EF5B27" w:rsidRDefault="00EF5B27">
            <w:pPr>
              <w:pStyle w:val="TableParagraph"/>
              <w:spacing w:before="11"/>
              <w:rPr>
                <w:b/>
                <w:sz w:val="11"/>
              </w:rPr>
            </w:pPr>
          </w:p>
          <w:p w14:paraId="2516E18B" w14:textId="77777777" w:rsidR="00EF5B27" w:rsidRDefault="00000000">
            <w:pPr>
              <w:pStyle w:val="TableParagraph"/>
              <w:ind w:left="368"/>
              <w:rPr>
                <w:sz w:val="14"/>
              </w:rPr>
            </w:pPr>
            <w:r>
              <w:rPr>
                <w:color w:val="4D4D4F"/>
                <w:w w:val="105"/>
                <w:sz w:val="14"/>
              </w:rPr>
              <w:t>N/A</w:t>
            </w:r>
          </w:p>
        </w:tc>
        <w:tc>
          <w:tcPr>
            <w:tcW w:w="1489" w:type="dxa"/>
          </w:tcPr>
          <w:p w14:paraId="79D75DEB" w14:textId="77777777" w:rsidR="00EF5B27" w:rsidRDefault="00000000">
            <w:pPr>
              <w:pStyle w:val="TableParagraph"/>
              <w:spacing w:before="134"/>
              <w:ind w:left="457" w:right="457"/>
              <w:jc w:val="center"/>
              <w:rPr>
                <w:sz w:val="16"/>
              </w:rPr>
            </w:pPr>
            <w:r>
              <w:rPr>
                <w:color w:val="4D4D4F"/>
                <w:w w:val="105"/>
                <w:sz w:val="16"/>
              </w:rPr>
              <w:t>Unclear</w:t>
            </w:r>
          </w:p>
        </w:tc>
      </w:tr>
      <w:tr w:rsidR="00EF5B27" w14:paraId="66816A05" w14:textId="77777777">
        <w:trPr>
          <w:trHeight w:val="448"/>
        </w:trPr>
        <w:tc>
          <w:tcPr>
            <w:tcW w:w="2980" w:type="dxa"/>
          </w:tcPr>
          <w:p w14:paraId="3224470B" w14:textId="77777777" w:rsidR="00EF5B27" w:rsidRDefault="00EF5B27">
            <w:pPr>
              <w:pStyle w:val="TableParagraph"/>
              <w:spacing w:before="11"/>
              <w:rPr>
                <w:b/>
                <w:sz w:val="11"/>
              </w:rPr>
            </w:pPr>
          </w:p>
          <w:p w14:paraId="34C64FDB" w14:textId="77777777" w:rsidR="00EF5B27" w:rsidRDefault="00000000">
            <w:pPr>
              <w:pStyle w:val="TableParagraph"/>
              <w:ind w:left="80"/>
              <w:rPr>
                <w:sz w:val="14"/>
              </w:rPr>
            </w:pPr>
            <w:r>
              <w:rPr>
                <w:color w:val="4D4D4F"/>
                <w:w w:val="105"/>
                <w:sz w:val="14"/>
              </w:rPr>
              <w:t>Nutrient-enriched grassland</w:t>
            </w:r>
          </w:p>
        </w:tc>
        <w:tc>
          <w:tcPr>
            <w:tcW w:w="1078" w:type="dxa"/>
          </w:tcPr>
          <w:p w14:paraId="36F25CC0" w14:textId="77777777" w:rsidR="00EF5B27" w:rsidRDefault="00EF5B27">
            <w:pPr>
              <w:pStyle w:val="TableParagraph"/>
              <w:spacing w:before="11"/>
              <w:rPr>
                <w:b/>
                <w:sz w:val="11"/>
              </w:rPr>
            </w:pPr>
          </w:p>
          <w:p w14:paraId="0ADD0393" w14:textId="77777777" w:rsidR="00EF5B27" w:rsidRDefault="00000000">
            <w:pPr>
              <w:pStyle w:val="TableParagraph"/>
              <w:ind w:left="128" w:right="124"/>
              <w:jc w:val="center"/>
              <w:rPr>
                <w:sz w:val="14"/>
              </w:rPr>
            </w:pPr>
            <w:r>
              <w:rPr>
                <w:color w:val="4D4D4F"/>
                <w:sz w:val="14"/>
              </w:rPr>
              <w:t>Met</w:t>
            </w:r>
          </w:p>
        </w:tc>
        <w:tc>
          <w:tcPr>
            <w:tcW w:w="2155" w:type="dxa"/>
          </w:tcPr>
          <w:p w14:paraId="5BDEDF5D" w14:textId="77777777" w:rsidR="00EF5B27" w:rsidRDefault="00EF5B27">
            <w:pPr>
              <w:pStyle w:val="TableParagraph"/>
              <w:spacing w:before="11"/>
              <w:rPr>
                <w:b/>
                <w:sz w:val="11"/>
              </w:rPr>
            </w:pPr>
          </w:p>
          <w:p w14:paraId="102BDF22" w14:textId="77777777" w:rsidR="00EF5B27" w:rsidRDefault="00000000">
            <w:pPr>
              <w:pStyle w:val="TableParagraph"/>
              <w:ind w:left="139" w:right="142"/>
              <w:jc w:val="center"/>
              <w:rPr>
                <w:sz w:val="14"/>
              </w:rPr>
            </w:pPr>
            <w:r>
              <w:rPr>
                <w:color w:val="4D4D4F"/>
                <w:w w:val="105"/>
                <w:sz w:val="14"/>
              </w:rPr>
              <w:t>N/A</w:t>
            </w:r>
          </w:p>
        </w:tc>
        <w:tc>
          <w:tcPr>
            <w:tcW w:w="964" w:type="dxa"/>
          </w:tcPr>
          <w:p w14:paraId="7E1BE7DA" w14:textId="77777777" w:rsidR="00EF5B27" w:rsidRDefault="00EF5B27">
            <w:pPr>
              <w:pStyle w:val="TableParagraph"/>
              <w:spacing w:before="1"/>
              <w:rPr>
                <w:b/>
                <w:sz w:val="15"/>
              </w:rPr>
            </w:pPr>
          </w:p>
          <w:p w14:paraId="0F9A817F" w14:textId="77777777" w:rsidR="00EF5B27" w:rsidRDefault="00000000">
            <w:pPr>
              <w:pStyle w:val="TableParagraph"/>
              <w:spacing w:line="101" w:lineRule="exact"/>
              <w:ind w:left="361"/>
              <w:rPr>
                <w:sz w:val="10"/>
              </w:rPr>
            </w:pPr>
            <w:r>
              <w:rPr>
                <w:noProof/>
                <w:position w:val="-1"/>
                <w:sz w:val="10"/>
              </w:rPr>
              <w:drawing>
                <wp:inline distT="0" distB="0" distL="0" distR="0" wp14:anchorId="55A7EBF8" wp14:editId="26146C3A">
                  <wp:extent cx="149256" cy="64389"/>
                  <wp:effectExtent l="0" t="0" r="0" b="0"/>
                  <wp:docPr id="36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48.png"/>
                          <pic:cNvPicPr/>
                        </pic:nvPicPr>
                        <pic:blipFill>
                          <a:blip r:embed="rId79" cstate="print"/>
                          <a:stretch>
                            <a:fillRect/>
                          </a:stretch>
                        </pic:blipFill>
                        <pic:spPr>
                          <a:xfrm>
                            <a:off x="0" y="0"/>
                            <a:ext cx="149256" cy="64389"/>
                          </a:xfrm>
                          <a:prstGeom prst="rect">
                            <a:avLst/>
                          </a:prstGeom>
                        </pic:spPr>
                      </pic:pic>
                    </a:graphicData>
                  </a:graphic>
                </wp:inline>
              </w:drawing>
            </w:r>
          </w:p>
        </w:tc>
        <w:tc>
          <w:tcPr>
            <w:tcW w:w="964" w:type="dxa"/>
          </w:tcPr>
          <w:p w14:paraId="35669CCF" w14:textId="77777777" w:rsidR="00EF5B27" w:rsidRDefault="00EF5B27">
            <w:pPr>
              <w:pStyle w:val="TableParagraph"/>
              <w:spacing w:before="11"/>
              <w:rPr>
                <w:b/>
                <w:sz w:val="11"/>
              </w:rPr>
            </w:pPr>
          </w:p>
          <w:p w14:paraId="3C9A8977" w14:textId="77777777" w:rsidR="00EF5B27" w:rsidRDefault="00000000">
            <w:pPr>
              <w:pStyle w:val="TableParagraph"/>
              <w:ind w:left="344"/>
              <w:rPr>
                <w:sz w:val="14"/>
              </w:rPr>
            </w:pPr>
            <w:r>
              <w:rPr>
                <w:color w:val="4D4D4F"/>
                <w:w w:val="105"/>
                <w:sz w:val="14"/>
              </w:rPr>
              <w:t>High</w:t>
            </w:r>
          </w:p>
        </w:tc>
        <w:tc>
          <w:tcPr>
            <w:tcW w:w="1489" w:type="dxa"/>
          </w:tcPr>
          <w:p w14:paraId="0F987306" w14:textId="77777777" w:rsidR="00EF5B27" w:rsidRDefault="00000000">
            <w:pPr>
              <w:pStyle w:val="TableParagraph"/>
              <w:spacing w:before="134"/>
              <w:ind w:left="451" w:right="457"/>
              <w:jc w:val="center"/>
              <w:rPr>
                <w:sz w:val="16"/>
              </w:rPr>
            </w:pPr>
            <w:r>
              <w:rPr>
                <w:color w:val="4D4D4F"/>
                <w:sz w:val="16"/>
              </w:rPr>
              <w:t>2017</w:t>
            </w:r>
          </w:p>
        </w:tc>
      </w:tr>
      <w:tr w:rsidR="00EF5B27" w14:paraId="4B11AB1A" w14:textId="77777777">
        <w:trPr>
          <w:trHeight w:val="448"/>
        </w:trPr>
        <w:tc>
          <w:tcPr>
            <w:tcW w:w="2980" w:type="dxa"/>
          </w:tcPr>
          <w:p w14:paraId="0DCD2E8A" w14:textId="77777777" w:rsidR="00EF5B27" w:rsidRDefault="00EF5B27">
            <w:pPr>
              <w:pStyle w:val="TableParagraph"/>
              <w:spacing w:before="11"/>
              <w:rPr>
                <w:b/>
                <w:sz w:val="11"/>
              </w:rPr>
            </w:pPr>
          </w:p>
          <w:p w14:paraId="137F2D1E" w14:textId="77777777" w:rsidR="00EF5B27" w:rsidRDefault="00000000">
            <w:pPr>
              <w:pStyle w:val="TableParagraph"/>
              <w:ind w:left="80"/>
              <w:rPr>
                <w:sz w:val="14"/>
              </w:rPr>
            </w:pPr>
            <w:r>
              <w:rPr>
                <w:color w:val="4D4D4F"/>
                <w:w w:val="105"/>
                <w:sz w:val="14"/>
              </w:rPr>
              <w:t>De-rocked grassland</w:t>
            </w:r>
          </w:p>
        </w:tc>
        <w:tc>
          <w:tcPr>
            <w:tcW w:w="1078" w:type="dxa"/>
          </w:tcPr>
          <w:p w14:paraId="10F2883B" w14:textId="77777777" w:rsidR="00EF5B27" w:rsidRDefault="00EF5B27">
            <w:pPr>
              <w:pStyle w:val="TableParagraph"/>
              <w:spacing w:before="11"/>
              <w:rPr>
                <w:b/>
                <w:sz w:val="11"/>
              </w:rPr>
            </w:pPr>
          </w:p>
          <w:p w14:paraId="4360F8FB"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7A3C7BD6" w14:textId="77777777" w:rsidR="00EF5B27" w:rsidRDefault="00EF5B27">
            <w:pPr>
              <w:pStyle w:val="TableParagraph"/>
              <w:spacing w:before="11"/>
              <w:rPr>
                <w:b/>
                <w:sz w:val="11"/>
              </w:rPr>
            </w:pPr>
          </w:p>
          <w:p w14:paraId="7D67CBF5" w14:textId="77777777" w:rsidR="00EF5B27" w:rsidRDefault="00000000">
            <w:pPr>
              <w:pStyle w:val="TableParagraph"/>
              <w:ind w:left="143" w:right="142"/>
              <w:jc w:val="center"/>
              <w:rPr>
                <w:sz w:val="14"/>
              </w:rPr>
            </w:pPr>
            <w:r>
              <w:rPr>
                <w:color w:val="4D4D4F"/>
                <w:sz w:val="14"/>
              </w:rPr>
              <w:t>Baseline not yet set</w:t>
            </w:r>
          </w:p>
        </w:tc>
        <w:tc>
          <w:tcPr>
            <w:tcW w:w="964" w:type="dxa"/>
          </w:tcPr>
          <w:p w14:paraId="120862BA" w14:textId="77777777" w:rsidR="00EF5B27" w:rsidRDefault="00EF5B27">
            <w:pPr>
              <w:pStyle w:val="TableParagraph"/>
              <w:spacing w:before="4"/>
              <w:rPr>
                <w:b/>
                <w:sz w:val="7"/>
              </w:rPr>
            </w:pPr>
          </w:p>
          <w:p w14:paraId="66C042A0" w14:textId="77777777" w:rsidR="00EF5B27" w:rsidRDefault="00000000">
            <w:pPr>
              <w:pStyle w:val="TableParagraph"/>
              <w:spacing w:line="187" w:lineRule="exact"/>
              <w:ind w:left="400"/>
              <w:rPr>
                <w:sz w:val="18"/>
              </w:rPr>
            </w:pPr>
            <w:r>
              <w:rPr>
                <w:noProof/>
                <w:position w:val="-3"/>
                <w:sz w:val="18"/>
              </w:rPr>
              <w:drawing>
                <wp:inline distT="0" distB="0" distL="0" distR="0" wp14:anchorId="7888AC75" wp14:editId="2E4CF7F8">
                  <wp:extent cx="100572" cy="119062"/>
                  <wp:effectExtent l="0" t="0" r="0" b="0"/>
                  <wp:docPr id="365"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133.png"/>
                          <pic:cNvPicPr/>
                        </pic:nvPicPr>
                        <pic:blipFill>
                          <a:blip r:embed="rId86" cstate="print"/>
                          <a:stretch>
                            <a:fillRect/>
                          </a:stretch>
                        </pic:blipFill>
                        <pic:spPr>
                          <a:xfrm>
                            <a:off x="0" y="0"/>
                            <a:ext cx="100572" cy="119062"/>
                          </a:xfrm>
                          <a:prstGeom prst="rect">
                            <a:avLst/>
                          </a:prstGeom>
                        </pic:spPr>
                      </pic:pic>
                    </a:graphicData>
                  </a:graphic>
                </wp:inline>
              </w:drawing>
            </w:r>
          </w:p>
          <w:p w14:paraId="78C8D1C8" w14:textId="77777777" w:rsidR="00EF5B27" w:rsidRDefault="00EF5B27">
            <w:pPr>
              <w:pStyle w:val="TableParagraph"/>
              <w:spacing w:before="8"/>
              <w:rPr>
                <w:b/>
                <w:sz w:val="2"/>
              </w:rPr>
            </w:pPr>
          </w:p>
          <w:p w14:paraId="4B24E7CE" w14:textId="77777777" w:rsidR="00EF5B27" w:rsidRDefault="00000000">
            <w:pPr>
              <w:pStyle w:val="TableParagraph"/>
              <w:spacing w:line="48" w:lineRule="exact"/>
              <w:ind w:left="448"/>
              <w:rPr>
                <w:sz w:val="4"/>
              </w:rPr>
            </w:pPr>
            <w:r>
              <w:rPr>
                <w:sz w:val="4"/>
              </w:rPr>
            </w:r>
            <w:r>
              <w:rPr>
                <w:sz w:val="4"/>
              </w:rPr>
              <w:pict w14:anchorId="5E126E72">
                <v:group id="_x0000_s3447" style="width:2.45pt;height:2.45pt;mso-position-horizontal-relative:char;mso-position-vertical-relative:line" coordsize="49,49">
                  <v:shape id="_x0000_s3448" style="position:absolute;width:49;height:49" coordsize="49,49" path="m31,l18,,12,2,2,12,,17,,31r2,6l12,46r6,3l31,49r6,-3l46,37r3,-6l49,17,46,12,37,2,31,xe" fillcolor="#808285" stroked="f">
                    <v:path arrowok="t"/>
                  </v:shape>
                  <w10:wrap type="none"/>
                  <w10:anchorlock/>
                </v:group>
              </w:pict>
            </w:r>
          </w:p>
        </w:tc>
        <w:tc>
          <w:tcPr>
            <w:tcW w:w="964" w:type="dxa"/>
          </w:tcPr>
          <w:p w14:paraId="61DDB74E" w14:textId="77777777" w:rsidR="00EF5B27" w:rsidRDefault="00EF5B27">
            <w:pPr>
              <w:pStyle w:val="TableParagraph"/>
              <w:spacing w:before="11"/>
              <w:rPr>
                <w:b/>
                <w:sz w:val="11"/>
              </w:rPr>
            </w:pPr>
          </w:p>
          <w:p w14:paraId="11CE13A4" w14:textId="77777777" w:rsidR="00EF5B27" w:rsidRDefault="00000000">
            <w:pPr>
              <w:pStyle w:val="TableParagraph"/>
              <w:ind w:left="368"/>
              <w:rPr>
                <w:sz w:val="14"/>
              </w:rPr>
            </w:pPr>
            <w:r>
              <w:rPr>
                <w:color w:val="4D4D4F"/>
                <w:w w:val="105"/>
                <w:sz w:val="14"/>
              </w:rPr>
              <w:t>N/A</w:t>
            </w:r>
          </w:p>
        </w:tc>
        <w:tc>
          <w:tcPr>
            <w:tcW w:w="1489" w:type="dxa"/>
          </w:tcPr>
          <w:p w14:paraId="29D42810" w14:textId="77777777" w:rsidR="00EF5B27" w:rsidRDefault="00000000">
            <w:pPr>
              <w:pStyle w:val="TableParagraph"/>
              <w:spacing w:before="134"/>
              <w:ind w:left="457" w:right="457"/>
              <w:jc w:val="center"/>
              <w:rPr>
                <w:sz w:val="16"/>
              </w:rPr>
            </w:pPr>
            <w:r>
              <w:rPr>
                <w:color w:val="4D4D4F"/>
                <w:w w:val="105"/>
                <w:sz w:val="16"/>
              </w:rPr>
              <w:t>Unclear</w:t>
            </w:r>
          </w:p>
        </w:tc>
      </w:tr>
    </w:tbl>
    <w:p w14:paraId="7FDDF49C" w14:textId="77777777" w:rsidR="00EF5B27" w:rsidRDefault="00EF5B27">
      <w:pPr>
        <w:pStyle w:val="BodyText"/>
        <w:spacing w:before="3"/>
        <w:rPr>
          <w:b/>
          <w:sz w:val="34"/>
        </w:rPr>
      </w:pPr>
    </w:p>
    <w:p w14:paraId="00FE01A8" w14:textId="77777777" w:rsidR="00EF5B27" w:rsidRDefault="00000000">
      <w:pPr>
        <w:pStyle w:val="BodyText"/>
        <w:spacing w:before="1" w:line="254" w:lineRule="auto"/>
        <w:ind w:left="2608" w:right="308"/>
      </w:pPr>
      <w:r>
        <w:rPr>
          <w:color w:val="4D4D4F"/>
        </w:rPr>
        <w:t xml:space="preserve">This KPI measures the percentage of all perennial vegetation cover that is comprised of weeds </w:t>
      </w:r>
      <w:r>
        <w:rPr>
          <w:color w:val="4D4D4F"/>
          <w:spacing w:val="-3"/>
        </w:rPr>
        <w:t xml:space="preserve">(introduced </w:t>
      </w:r>
      <w:r>
        <w:rPr>
          <w:color w:val="4D4D4F"/>
          <w:spacing w:val="-4"/>
        </w:rPr>
        <w:t xml:space="preserve">species). </w:t>
      </w:r>
      <w:r>
        <w:rPr>
          <w:color w:val="4D4D4F"/>
          <w:spacing w:val="-3"/>
        </w:rPr>
        <w:t xml:space="preserve">Weeds </w:t>
      </w:r>
      <w:r>
        <w:rPr>
          <w:color w:val="4D4D4F"/>
        </w:rPr>
        <w:t xml:space="preserve">are </w:t>
      </w:r>
      <w:r>
        <w:rPr>
          <w:color w:val="4D4D4F"/>
          <w:spacing w:val="-3"/>
        </w:rPr>
        <w:t xml:space="preserve">considered </w:t>
      </w:r>
      <w:r>
        <w:rPr>
          <w:color w:val="4D4D4F"/>
          <w:spacing w:val="-4"/>
        </w:rPr>
        <w:t>undesirable.</w:t>
      </w:r>
      <w:r>
        <w:rPr>
          <w:color w:val="4D4D4F"/>
          <w:spacing w:val="-4"/>
          <w:position w:val="7"/>
          <w:sz w:val="11"/>
        </w:rPr>
        <w:t xml:space="preserve">126 </w:t>
      </w:r>
      <w:r>
        <w:rPr>
          <w:color w:val="4D4D4F"/>
        </w:rPr>
        <w:t xml:space="preserve">The </w:t>
      </w:r>
      <w:r>
        <w:rPr>
          <w:color w:val="4D4D4F"/>
          <w:spacing w:val="-3"/>
        </w:rPr>
        <w:t xml:space="preserve">point intercept </w:t>
      </w:r>
      <w:r>
        <w:rPr>
          <w:color w:val="4D4D4F"/>
        </w:rPr>
        <w:t xml:space="preserve">data from the permanent and re-randomised plots provide the relevant data in each state in each </w:t>
      </w:r>
      <w:r>
        <w:rPr>
          <w:color w:val="4D4D4F"/>
          <w:spacing w:val="-4"/>
        </w:rPr>
        <w:t xml:space="preserve">year. </w:t>
      </w:r>
      <w:r>
        <w:rPr>
          <w:color w:val="4D4D4F"/>
        </w:rPr>
        <w:t>This KPI is assessed using a continuous improvement approach, where any increase over the baseline in a five-year reporting period will lead to the calculation of a new baseline for subsequent reporting</w:t>
      </w:r>
      <w:r>
        <w:rPr>
          <w:color w:val="4D4D4F"/>
          <w:spacing w:val="35"/>
        </w:rPr>
        <w:t xml:space="preserve"> </w:t>
      </w:r>
      <w:r>
        <w:rPr>
          <w:color w:val="4D4D4F"/>
        </w:rPr>
        <w:t>periods.</w:t>
      </w:r>
    </w:p>
    <w:p w14:paraId="2B923C9C" w14:textId="77777777" w:rsidR="00EF5B27" w:rsidRDefault="00000000">
      <w:pPr>
        <w:pStyle w:val="BodyText"/>
        <w:spacing w:before="109" w:line="254" w:lineRule="auto"/>
        <w:ind w:left="2608"/>
      </w:pPr>
      <w:r>
        <w:rPr>
          <w:color w:val="4D4D4F"/>
        </w:rPr>
        <w:t>This KPI was met in Herb-rich grassland</w:t>
      </w:r>
      <w:r>
        <w:rPr>
          <w:rFonts w:ascii="Century Gothic" w:hAnsi="Century Gothic"/>
          <w:i/>
          <w:color w:val="4D4D4F"/>
        </w:rPr>
        <w:t xml:space="preserve">, </w:t>
      </w:r>
      <w:r>
        <w:rPr>
          <w:rFonts w:ascii="Arial Narrow" w:hAnsi="Arial Narrow"/>
          <w:i/>
          <w:color w:val="4D4D4F"/>
        </w:rPr>
        <w:t xml:space="preserve">Themeda </w:t>
      </w:r>
      <w:r>
        <w:rPr>
          <w:color w:val="4D4D4F"/>
        </w:rPr>
        <w:t>grassland (TG) and Nutrient-enriched grassland – the three states for which assessment is possible as the baseline is set.</w:t>
      </w:r>
    </w:p>
    <w:p w14:paraId="242BF774" w14:textId="77777777" w:rsidR="00EF5B27" w:rsidRDefault="00000000">
      <w:pPr>
        <w:pStyle w:val="BodyText"/>
        <w:spacing w:before="3" w:line="254" w:lineRule="auto"/>
        <w:ind w:left="2608"/>
      </w:pPr>
      <w:r>
        <w:rPr>
          <w:color w:val="4D4D4F"/>
        </w:rPr>
        <w:t>The baseline has not yet been set for the other states because these states are not yet sufficiently protected.</w:t>
      </w:r>
    </w:p>
    <w:p w14:paraId="45C0E6C2" w14:textId="77777777" w:rsidR="00EF5B27" w:rsidRDefault="00000000">
      <w:pPr>
        <w:pStyle w:val="BodyText"/>
        <w:spacing w:before="7"/>
        <w:rPr>
          <w:sz w:val="27"/>
        </w:rPr>
      </w:pPr>
      <w:r>
        <w:pict w14:anchorId="0423E28F">
          <v:group id="_x0000_s3444" style="position:absolute;margin-left:181.3pt;margin-top:19.2pt;width:357.4pt;height:201.15pt;z-index:251508224;mso-wrap-distance-left:0;mso-wrap-distance-right:0;mso-position-horizontal-relative:page" coordorigin="3626,384" coordsize="7148,4023">
            <v:shape id="_x0000_s3446" type="#_x0000_t75" style="position:absolute;left:3628;top:386;width:7143;height:4018">
              <v:imagedata r:id="rId125" o:title=""/>
            </v:shape>
            <v:rect id="_x0000_s3445" style="position:absolute;left:3628;top:386;width:7143;height:4018" filled="f" strokeweight=".25pt"/>
            <w10:wrap type="topAndBottom" anchorx="page"/>
          </v:group>
        </w:pict>
      </w:r>
    </w:p>
    <w:p w14:paraId="146178DC" w14:textId="77777777" w:rsidR="00EF5B27" w:rsidRDefault="00000000">
      <w:pPr>
        <w:tabs>
          <w:tab w:val="left" w:pos="8977"/>
        </w:tabs>
        <w:spacing w:before="103" w:line="244" w:lineRule="auto"/>
        <w:ind w:left="2608" w:right="111"/>
        <w:jc w:val="both"/>
        <w:rPr>
          <w:rFonts w:ascii="Century Gothic"/>
          <w:i/>
          <w:sz w:val="12"/>
        </w:rPr>
      </w:pPr>
      <w:r>
        <w:rPr>
          <w:color w:val="4D4D4F"/>
          <w:sz w:val="16"/>
        </w:rPr>
        <w:t xml:space="preserve">Figure </w:t>
      </w:r>
      <w:r>
        <w:rPr>
          <w:color w:val="4D4D4F"/>
          <w:spacing w:val="-2"/>
          <w:sz w:val="16"/>
        </w:rPr>
        <w:t xml:space="preserve">12: </w:t>
      </w:r>
      <w:r>
        <w:rPr>
          <w:color w:val="4D4D4F"/>
          <w:sz w:val="16"/>
        </w:rPr>
        <w:t xml:space="preserve">Percentage cover of all perennial vegetation comprised of weeds. The </w:t>
      </w:r>
      <w:r>
        <w:rPr>
          <w:color w:val="4D4D4F"/>
          <w:spacing w:val="2"/>
          <w:sz w:val="16"/>
        </w:rPr>
        <w:t xml:space="preserve">error </w:t>
      </w:r>
      <w:r>
        <w:rPr>
          <w:color w:val="4D4D4F"/>
          <w:sz w:val="16"/>
        </w:rPr>
        <w:t>bars represent 95% confidence intervals. The upper panel shows the annual data from permanent and re-allocated plots (faint line), five-year rolling mean (heavy line), and the baseline (dashed line) for those states which have had baselines</w:t>
      </w:r>
      <w:r>
        <w:rPr>
          <w:color w:val="4D4D4F"/>
          <w:spacing w:val="11"/>
          <w:sz w:val="16"/>
        </w:rPr>
        <w:t xml:space="preserve"> </w:t>
      </w:r>
      <w:r>
        <w:rPr>
          <w:color w:val="4D4D4F"/>
          <w:sz w:val="16"/>
        </w:rPr>
        <w:t>set.</w:t>
      </w:r>
      <w:r>
        <w:rPr>
          <w:color w:val="4D4D4F"/>
          <w:sz w:val="16"/>
        </w:rPr>
        <w:tab/>
      </w:r>
      <w:r>
        <w:rPr>
          <w:rFonts w:ascii="Century Gothic"/>
          <w:i/>
          <w:color w:val="4D4D4F"/>
          <w:w w:val="90"/>
          <w:sz w:val="12"/>
        </w:rPr>
        <w:t>Source:</w:t>
      </w:r>
      <w:r>
        <w:rPr>
          <w:rFonts w:ascii="Century Gothic"/>
          <w:i/>
          <w:color w:val="4D4D4F"/>
          <w:spacing w:val="1"/>
          <w:w w:val="90"/>
          <w:sz w:val="12"/>
        </w:rPr>
        <w:t xml:space="preserve"> </w:t>
      </w:r>
      <w:r>
        <w:rPr>
          <w:rFonts w:ascii="Century Gothic"/>
          <w:i/>
          <w:color w:val="4D4D4F"/>
          <w:spacing w:val="-5"/>
          <w:w w:val="90"/>
          <w:sz w:val="12"/>
        </w:rPr>
        <w:t>DELWP</w:t>
      </w:r>
    </w:p>
    <w:p w14:paraId="7A663994" w14:textId="77777777" w:rsidR="00EF5B27" w:rsidRDefault="00EF5B27">
      <w:pPr>
        <w:pStyle w:val="BodyText"/>
        <w:rPr>
          <w:rFonts w:ascii="Century Gothic"/>
          <w:i/>
        </w:rPr>
      </w:pPr>
    </w:p>
    <w:p w14:paraId="3EBBE2AB" w14:textId="77777777" w:rsidR="00EF5B27" w:rsidRDefault="00EF5B27">
      <w:pPr>
        <w:pStyle w:val="BodyText"/>
        <w:rPr>
          <w:rFonts w:ascii="Century Gothic"/>
          <w:i/>
        </w:rPr>
      </w:pPr>
    </w:p>
    <w:p w14:paraId="48F3965C" w14:textId="77777777" w:rsidR="00EF5B27" w:rsidRDefault="00000000">
      <w:pPr>
        <w:pStyle w:val="BodyText"/>
        <w:spacing w:before="8"/>
        <w:rPr>
          <w:rFonts w:ascii="Century Gothic"/>
          <w:i/>
          <w:sz w:val="21"/>
        </w:rPr>
      </w:pPr>
      <w:r>
        <w:pict w14:anchorId="6FB744F0">
          <v:line id="_x0000_s3443" style="position:absolute;z-index:251509248;mso-wrap-distance-left:0;mso-wrap-distance-right:0;mso-position-horizontal-relative:page" from="181.4pt,15.5pt" to="538.55pt,15.5pt" strokecolor="#4d4d4f" strokeweight=".5pt">
            <w10:wrap type="topAndBottom" anchorx="page"/>
          </v:line>
        </w:pict>
      </w:r>
    </w:p>
    <w:p w14:paraId="43DC11E7" w14:textId="77777777" w:rsidR="00EF5B27" w:rsidRDefault="00000000">
      <w:pPr>
        <w:pStyle w:val="ListParagraph"/>
        <w:numPr>
          <w:ilvl w:val="0"/>
          <w:numId w:val="44"/>
        </w:numPr>
        <w:tabs>
          <w:tab w:val="left" w:pos="2836"/>
        </w:tabs>
        <w:spacing w:before="88" w:line="230" w:lineRule="auto"/>
        <w:ind w:right="113"/>
        <w:jc w:val="left"/>
        <w:rPr>
          <w:sz w:val="12"/>
        </w:rPr>
      </w:pPr>
      <w:r>
        <w:rPr>
          <w:color w:val="4D4D4F"/>
          <w:w w:val="105"/>
          <w:sz w:val="12"/>
        </w:rPr>
        <w:t xml:space="preserve">Sinclair SJ, Griffioen </w:t>
      </w:r>
      <w:r>
        <w:rPr>
          <w:color w:val="4D4D4F"/>
          <w:spacing w:val="-5"/>
          <w:w w:val="105"/>
          <w:sz w:val="12"/>
        </w:rPr>
        <w:t xml:space="preserve">P, </w:t>
      </w:r>
      <w:r>
        <w:rPr>
          <w:color w:val="4D4D4F"/>
          <w:w w:val="105"/>
          <w:sz w:val="12"/>
        </w:rPr>
        <w:t xml:space="preserve">Duncan DH, Millett-Riley JE and White MD 2015, ‘Quantifying ecosystem quality by modelling multi-attribute </w:t>
      </w:r>
      <w:r>
        <w:rPr>
          <w:color w:val="4D4D4F"/>
          <w:spacing w:val="2"/>
          <w:w w:val="105"/>
          <w:sz w:val="12"/>
        </w:rPr>
        <w:t xml:space="preserve">expert </w:t>
      </w:r>
      <w:r>
        <w:rPr>
          <w:color w:val="4D4D4F"/>
          <w:w w:val="105"/>
          <w:sz w:val="12"/>
        </w:rPr>
        <w:t>opinion.’ Ecological Applications 25,</w:t>
      </w:r>
      <w:r>
        <w:rPr>
          <w:color w:val="4D4D4F"/>
          <w:spacing w:val="-3"/>
          <w:w w:val="105"/>
          <w:sz w:val="12"/>
        </w:rPr>
        <w:t xml:space="preserve"> </w:t>
      </w:r>
      <w:r>
        <w:rPr>
          <w:color w:val="4D4D4F"/>
          <w:w w:val="105"/>
          <w:sz w:val="12"/>
        </w:rPr>
        <w:t>1463-1477.</w:t>
      </w:r>
    </w:p>
    <w:p w14:paraId="6CA79385"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73D355E4" w14:textId="77777777" w:rsidR="00EF5B27" w:rsidRDefault="00000000">
      <w:pPr>
        <w:pStyle w:val="BodyText"/>
      </w:pPr>
      <w:r>
        <w:lastRenderedPageBreak/>
        <w:pict w14:anchorId="64DCA5D8">
          <v:group id="_x0000_s3435" style="position:absolute;margin-left:587.05pt;margin-top:183.4pt;width:8.25pt;height:153.1pt;z-index:251572736;mso-position-horizontal-relative:page;mso-position-vertical-relative:page" coordorigin="11741,3668" coordsize="165,3062">
            <v:shape id="_x0000_s3442" style="position:absolute;left:11741;top:3668;width:165;height:561" coordorigin="11741,3668" coordsize="165,561" path="m11906,3668r-165,l11741,4228r165,-18l11906,3668xe" fillcolor="#00aed9" stroked="f">
              <v:path arrowok="t"/>
            </v:shape>
            <v:shape id="_x0000_s3441" style="position:absolute;left:11741;top:4118;width:165;height:425" coordorigin="11741,4118" coordsize="165,425" path="m11906,4118r-165,14l11741,4531r165,12l11906,4118xe" fillcolor="#047ebc" stroked="f">
              <v:path arrowok="t"/>
            </v:shape>
            <v:shape id="_x0000_s3440" type="#_x0000_t75" style="position:absolute;left:11741;top:4355;width:165;height:587">
              <v:imagedata r:id="rId42" o:title=""/>
            </v:shape>
            <v:shape id="_x0000_s3439" style="position:absolute;left:11741;top:5343;width:165;height:536" coordorigin="11741,5343" coordsize="165,536" path="m11741,5343r,535l11906,5872r,-525l11741,5343xe" fillcolor="#f36a2e" stroked="f">
              <v:path arrowok="t"/>
            </v:shape>
            <v:shape id="_x0000_s3438" style="position:absolute;left:11741;top:4925;width:165;height:501" coordorigin="11741,4926" coordsize="165,501" path="m11741,4926r,500l11906,5426r,-485l11741,4926xe" fillcolor="#49783f" stroked="f">
              <v:path arrowok="t"/>
            </v:shape>
            <v:shape id="_x0000_s3437" style="position:absolute;left:11741;top:5781;width:165;height:268" coordorigin="11741,5782" coordsize="165,268" path="m11906,5782r-165,8l11741,6039r165,10l11906,5782xe" fillcolor="#f99f2a" stroked="f">
              <v:path arrowok="t"/>
            </v:shape>
            <v:shape id="_x0000_s3436" style="position:absolute;left:11741;top:6023;width:165;height:707" coordorigin="11741,6023" coordsize="165,707" path="m11741,6023r,706l11906,6729r,-690l11741,6023xe" fillcolor="#ef412c" stroked="f">
              <v:path arrowok="t"/>
            </v:shape>
            <w10:wrap anchorx="page" anchory="page"/>
          </v:group>
        </w:pict>
      </w:r>
    </w:p>
    <w:p w14:paraId="0D930058" w14:textId="77777777" w:rsidR="00EF5B27" w:rsidRDefault="00EF5B27">
      <w:pPr>
        <w:pStyle w:val="BodyText"/>
      </w:pPr>
    </w:p>
    <w:p w14:paraId="5B80F4D4" w14:textId="77777777" w:rsidR="00EF5B27" w:rsidRDefault="00EF5B27">
      <w:pPr>
        <w:pStyle w:val="BodyText"/>
      </w:pPr>
    </w:p>
    <w:p w14:paraId="7D3D4014" w14:textId="77777777" w:rsidR="00EF5B27" w:rsidRDefault="00EF5B27">
      <w:pPr>
        <w:pStyle w:val="BodyText"/>
        <w:spacing w:before="12"/>
        <w:rPr>
          <w:sz w:val="22"/>
        </w:rPr>
      </w:pPr>
    </w:p>
    <w:p w14:paraId="31D04204" w14:textId="77777777" w:rsidR="00EF5B27" w:rsidRDefault="00000000">
      <w:pPr>
        <w:pStyle w:val="Heading3"/>
        <w:spacing w:before="115"/>
      </w:pPr>
      <w:r>
        <w:rPr>
          <w:color w:val="F99F2A"/>
        </w:rPr>
        <w:t>Results interpretation</w:t>
      </w:r>
    </w:p>
    <w:p w14:paraId="1D816BF2" w14:textId="77777777" w:rsidR="00EF5B27" w:rsidRDefault="00000000">
      <w:pPr>
        <w:pStyle w:val="BodyText"/>
        <w:spacing w:before="221" w:line="254" w:lineRule="auto"/>
        <w:ind w:left="2608" w:right="221"/>
        <w:rPr>
          <w:sz w:val="11"/>
        </w:rPr>
      </w:pPr>
      <w:r>
        <w:rPr>
          <w:color w:val="4D4D4F"/>
          <w:w w:val="105"/>
        </w:rPr>
        <w:t xml:space="preserve">Results for Natural Temperate Grassland are varied where KPIs can be assessed. For the most intact grasslands </w:t>
      </w:r>
      <w:r>
        <w:rPr>
          <w:color w:val="4D4D4F"/>
          <w:spacing w:val="-4"/>
          <w:w w:val="105"/>
        </w:rPr>
        <w:t xml:space="preserve">(states </w:t>
      </w:r>
      <w:r>
        <w:rPr>
          <w:color w:val="4D4D4F"/>
          <w:w w:val="105"/>
        </w:rPr>
        <w:t xml:space="preserve">Herb-rich grassland and </w:t>
      </w:r>
      <w:r>
        <w:rPr>
          <w:rFonts w:ascii="Arial Narrow" w:hAnsi="Arial Narrow"/>
          <w:i/>
          <w:color w:val="4D4D4F"/>
          <w:spacing w:val="-3"/>
          <w:w w:val="105"/>
        </w:rPr>
        <w:t xml:space="preserve">Themeda </w:t>
      </w:r>
      <w:r>
        <w:rPr>
          <w:color w:val="4D4D4F"/>
          <w:spacing w:val="-3"/>
          <w:w w:val="105"/>
        </w:rPr>
        <w:t xml:space="preserve">grassland’), </w:t>
      </w:r>
      <w:r>
        <w:rPr>
          <w:color w:val="4D4D4F"/>
          <w:w w:val="105"/>
        </w:rPr>
        <w:t>which</w:t>
      </w:r>
      <w:r>
        <w:rPr>
          <w:color w:val="4D4D4F"/>
          <w:spacing w:val="-20"/>
          <w:w w:val="105"/>
        </w:rPr>
        <w:t xml:space="preserve"> </w:t>
      </w:r>
      <w:r>
        <w:rPr>
          <w:color w:val="4D4D4F"/>
          <w:w w:val="105"/>
        </w:rPr>
        <w:t>are</w:t>
      </w:r>
      <w:r>
        <w:rPr>
          <w:color w:val="4D4D4F"/>
          <w:spacing w:val="-20"/>
          <w:w w:val="105"/>
        </w:rPr>
        <w:t xml:space="preserve"> </w:t>
      </w:r>
      <w:r>
        <w:rPr>
          <w:color w:val="4D4D4F"/>
          <w:spacing w:val="-3"/>
          <w:w w:val="105"/>
        </w:rPr>
        <w:t>relatively</w:t>
      </w:r>
      <w:r>
        <w:rPr>
          <w:color w:val="4D4D4F"/>
          <w:spacing w:val="-20"/>
          <w:w w:val="105"/>
        </w:rPr>
        <w:t xml:space="preserve"> </w:t>
      </w:r>
      <w:r>
        <w:rPr>
          <w:color w:val="4D4D4F"/>
          <w:w w:val="105"/>
        </w:rPr>
        <w:t>rare</w:t>
      </w:r>
      <w:r>
        <w:rPr>
          <w:color w:val="4D4D4F"/>
          <w:spacing w:val="-20"/>
          <w:w w:val="105"/>
        </w:rPr>
        <w:t xml:space="preserve"> </w:t>
      </w:r>
      <w:r>
        <w:rPr>
          <w:color w:val="4D4D4F"/>
          <w:spacing w:val="-3"/>
          <w:w w:val="105"/>
        </w:rPr>
        <w:t>in</w:t>
      </w:r>
      <w:r>
        <w:rPr>
          <w:color w:val="4D4D4F"/>
          <w:spacing w:val="-20"/>
          <w:w w:val="105"/>
        </w:rPr>
        <w:t xml:space="preserve"> </w:t>
      </w:r>
      <w:r>
        <w:rPr>
          <w:color w:val="4D4D4F"/>
          <w:w w:val="105"/>
        </w:rPr>
        <w:t>the</w:t>
      </w:r>
      <w:r>
        <w:rPr>
          <w:color w:val="4D4D4F"/>
          <w:spacing w:val="-20"/>
          <w:w w:val="105"/>
        </w:rPr>
        <w:t xml:space="preserve"> </w:t>
      </w:r>
      <w:r>
        <w:rPr>
          <w:color w:val="4D4D4F"/>
          <w:w w:val="105"/>
        </w:rPr>
        <w:t>landscape,</w:t>
      </w:r>
      <w:r>
        <w:rPr>
          <w:color w:val="4D4D4F"/>
          <w:spacing w:val="-20"/>
          <w:w w:val="105"/>
        </w:rPr>
        <w:t xml:space="preserve"> </w:t>
      </w:r>
      <w:r>
        <w:rPr>
          <w:color w:val="4D4D4F"/>
          <w:spacing w:val="-3"/>
          <w:w w:val="105"/>
        </w:rPr>
        <w:t>all</w:t>
      </w:r>
      <w:r>
        <w:rPr>
          <w:color w:val="4D4D4F"/>
          <w:spacing w:val="-20"/>
          <w:w w:val="105"/>
        </w:rPr>
        <w:t xml:space="preserve"> </w:t>
      </w:r>
      <w:r>
        <w:rPr>
          <w:color w:val="4D4D4F"/>
          <w:w w:val="105"/>
        </w:rPr>
        <w:t>KPIs</w:t>
      </w:r>
      <w:r>
        <w:rPr>
          <w:color w:val="4D4D4F"/>
          <w:spacing w:val="-20"/>
          <w:w w:val="105"/>
        </w:rPr>
        <w:t xml:space="preserve"> </w:t>
      </w:r>
      <w:r>
        <w:rPr>
          <w:color w:val="4D4D4F"/>
          <w:w w:val="105"/>
        </w:rPr>
        <w:t>have</w:t>
      </w:r>
      <w:r>
        <w:rPr>
          <w:color w:val="4D4D4F"/>
          <w:spacing w:val="-19"/>
          <w:w w:val="105"/>
        </w:rPr>
        <w:t xml:space="preserve"> </w:t>
      </w:r>
      <w:r>
        <w:rPr>
          <w:color w:val="4D4D4F"/>
          <w:w w:val="105"/>
        </w:rPr>
        <w:t>been</w:t>
      </w:r>
      <w:r>
        <w:rPr>
          <w:color w:val="4D4D4F"/>
          <w:spacing w:val="-20"/>
          <w:w w:val="105"/>
        </w:rPr>
        <w:t xml:space="preserve"> </w:t>
      </w:r>
      <w:r>
        <w:rPr>
          <w:color w:val="4D4D4F"/>
          <w:spacing w:val="-2"/>
          <w:w w:val="105"/>
        </w:rPr>
        <w:t>met</w:t>
      </w:r>
      <w:r>
        <w:rPr>
          <w:color w:val="4D4D4F"/>
          <w:spacing w:val="-20"/>
          <w:w w:val="105"/>
        </w:rPr>
        <w:t xml:space="preserve"> </w:t>
      </w:r>
      <w:r>
        <w:rPr>
          <w:color w:val="4D4D4F"/>
          <w:w w:val="105"/>
        </w:rPr>
        <w:t>and</w:t>
      </w:r>
      <w:r>
        <w:rPr>
          <w:color w:val="4D4D4F"/>
          <w:spacing w:val="-20"/>
          <w:w w:val="105"/>
        </w:rPr>
        <w:t xml:space="preserve"> </w:t>
      </w:r>
      <w:r>
        <w:rPr>
          <w:color w:val="4D4D4F"/>
          <w:w w:val="105"/>
        </w:rPr>
        <w:t>the</w:t>
      </w:r>
      <w:r>
        <w:rPr>
          <w:color w:val="4D4D4F"/>
          <w:spacing w:val="-20"/>
          <w:w w:val="105"/>
        </w:rPr>
        <w:t xml:space="preserve"> </w:t>
      </w:r>
      <w:r>
        <w:rPr>
          <w:color w:val="4D4D4F"/>
          <w:spacing w:val="-3"/>
          <w:w w:val="105"/>
        </w:rPr>
        <w:t>condition</w:t>
      </w:r>
      <w:r>
        <w:rPr>
          <w:color w:val="4D4D4F"/>
          <w:spacing w:val="-20"/>
          <w:w w:val="105"/>
        </w:rPr>
        <w:t xml:space="preserve"> </w:t>
      </w:r>
      <w:r>
        <w:rPr>
          <w:color w:val="4D4D4F"/>
          <w:w w:val="105"/>
        </w:rPr>
        <w:t>of the</w:t>
      </w:r>
      <w:r>
        <w:rPr>
          <w:color w:val="4D4D4F"/>
          <w:spacing w:val="-21"/>
          <w:w w:val="105"/>
        </w:rPr>
        <w:t xml:space="preserve"> </w:t>
      </w:r>
      <w:r>
        <w:rPr>
          <w:color w:val="4D4D4F"/>
          <w:w w:val="105"/>
        </w:rPr>
        <w:t>grassland</w:t>
      </w:r>
      <w:r>
        <w:rPr>
          <w:color w:val="4D4D4F"/>
          <w:spacing w:val="-21"/>
          <w:w w:val="105"/>
        </w:rPr>
        <w:t xml:space="preserve"> </w:t>
      </w:r>
      <w:r>
        <w:rPr>
          <w:color w:val="4D4D4F"/>
          <w:spacing w:val="-3"/>
          <w:w w:val="105"/>
        </w:rPr>
        <w:t>is</w:t>
      </w:r>
      <w:r>
        <w:rPr>
          <w:color w:val="4D4D4F"/>
          <w:spacing w:val="-21"/>
          <w:w w:val="105"/>
        </w:rPr>
        <w:t xml:space="preserve"> </w:t>
      </w:r>
      <w:r>
        <w:rPr>
          <w:color w:val="4D4D4F"/>
          <w:spacing w:val="-3"/>
          <w:w w:val="105"/>
        </w:rPr>
        <w:t>being</w:t>
      </w:r>
      <w:r>
        <w:rPr>
          <w:color w:val="4D4D4F"/>
          <w:spacing w:val="-21"/>
          <w:w w:val="105"/>
        </w:rPr>
        <w:t xml:space="preserve"> </w:t>
      </w:r>
      <w:r>
        <w:rPr>
          <w:color w:val="4D4D4F"/>
          <w:spacing w:val="-4"/>
          <w:w w:val="105"/>
        </w:rPr>
        <w:t>maintained.</w:t>
      </w:r>
      <w:r>
        <w:rPr>
          <w:color w:val="4D4D4F"/>
          <w:spacing w:val="-21"/>
          <w:w w:val="105"/>
        </w:rPr>
        <w:t xml:space="preserve"> </w:t>
      </w:r>
      <w:r>
        <w:rPr>
          <w:color w:val="4D4D4F"/>
          <w:w w:val="105"/>
        </w:rPr>
        <w:t>For</w:t>
      </w:r>
      <w:r>
        <w:rPr>
          <w:color w:val="4D4D4F"/>
          <w:spacing w:val="-21"/>
          <w:w w:val="105"/>
        </w:rPr>
        <w:t xml:space="preserve"> </w:t>
      </w:r>
      <w:r>
        <w:rPr>
          <w:color w:val="4D4D4F"/>
          <w:w w:val="105"/>
        </w:rPr>
        <w:t>more</w:t>
      </w:r>
      <w:r>
        <w:rPr>
          <w:color w:val="4D4D4F"/>
          <w:spacing w:val="-21"/>
          <w:w w:val="105"/>
        </w:rPr>
        <w:t xml:space="preserve"> </w:t>
      </w:r>
      <w:r>
        <w:rPr>
          <w:color w:val="4D4D4F"/>
          <w:w w:val="105"/>
        </w:rPr>
        <w:t>degraded</w:t>
      </w:r>
      <w:r>
        <w:rPr>
          <w:color w:val="4D4D4F"/>
          <w:spacing w:val="-21"/>
          <w:w w:val="105"/>
        </w:rPr>
        <w:t xml:space="preserve"> </w:t>
      </w:r>
      <w:r>
        <w:rPr>
          <w:color w:val="4D4D4F"/>
          <w:w w:val="105"/>
        </w:rPr>
        <w:t>grasslands</w:t>
      </w:r>
      <w:r>
        <w:rPr>
          <w:color w:val="4D4D4F"/>
          <w:spacing w:val="-21"/>
          <w:w w:val="105"/>
        </w:rPr>
        <w:t xml:space="preserve"> </w:t>
      </w:r>
      <w:r>
        <w:rPr>
          <w:color w:val="4D4D4F"/>
          <w:spacing w:val="-4"/>
          <w:w w:val="105"/>
        </w:rPr>
        <w:t>(e.g.</w:t>
      </w:r>
      <w:r>
        <w:rPr>
          <w:color w:val="4D4D4F"/>
          <w:spacing w:val="-21"/>
          <w:w w:val="105"/>
        </w:rPr>
        <w:t xml:space="preserve"> </w:t>
      </w:r>
      <w:r>
        <w:rPr>
          <w:color w:val="4D4D4F"/>
          <w:spacing w:val="-3"/>
          <w:w w:val="105"/>
        </w:rPr>
        <w:t>state</w:t>
      </w:r>
      <w:r>
        <w:rPr>
          <w:color w:val="4D4D4F"/>
          <w:spacing w:val="-21"/>
          <w:w w:val="105"/>
        </w:rPr>
        <w:t xml:space="preserve"> </w:t>
      </w:r>
      <w:r>
        <w:rPr>
          <w:color w:val="4D4D4F"/>
          <w:w w:val="105"/>
        </w:rPr>
        <w:t xml:space="preserve">Nutrified </w:t>
      </w:r>
      <w:r>
        <w:rPr>
          <w:color w:val="4D4D4F"/>
          <w:spacing w:val="-3"/>
          <w:w w:val="105"/>
        </w:rPr>
        <w:t>Grassland),</w:t>
      </w:r>
      <w:r>
        <w:rPr>
          <w:color w:val="4D4D4F"/>
          <w:spacing w:val="-23"/>
          <w:w w:val="105"/>
        </w:rPr>
        <w:t xml:space="preserve"> </w:t>
      </w:r>
      <w:r>
        <w:rPr>
          <w:color w:val="4D4D4F"/>
          <w:w w:val="105"/>
        </w:rPr>
        <w:t>weed</w:t>
      </w:r>
      <w:r>
        <w:rPr>
          <w:color w:val="4D4D4F"/>
          <w:spacing w:val="-23"/>
          <w:w w:val="105"/>
        </w:rPr>
        <w:t xml:space="preserve"> </w:t>
      </w:r>
      <w:r>
        <w:rPr>
          <w:color w:val="4D4D4F"/>
          <w:spacing w:val="-3"/>
          <w:w w:val="105"/>
        </w:rPr>
        <w:t>levels</w:t>
      </w:r>
      <w:r>
        <w:rPr>
          <w:color w:val="4D4D4F"/>
          <w:spacing w:val="-23"/>
          <w:w w:val="105"/>
        </w:rPr>
        <w:t xml:space="preserve"> </w:t>
      </w:r>
      <w:r>
        <w:rPr>
          <w:color w:val="4D4D4F"/>
          <w:w w:val="105"/>
        </w:rPr>
        <w:t>have</w:t>
      </w:r>
      <w:r>
        <w:rPr>
          <w:color w:val="4D4D4F"/>
          <w:spacing w:val="-23"/>
          <w:w w:val="105"/>
        </w:rPr>
        <w:t xml:space="preserve"> </w:t>
      </w:r>
      <w:r>
        <w:rPr>
          <w:color w:val="4D4D4F"/>
          <w:w w:val="105"/>
        </w:rPr>
        <w:t>increased</w:t>
      </w:r>
      <w:r>
        <w:rPr>
          <w:color w:val="4D4D4F"/>
          <w:spacing w:val="-23"/>
          <w:w w:val="105"/>
        </w:rPr>
        <w:t xml:space="preserve"> </w:t>
      </w:r>
      <w:r>
        <w:rPr>
          <w:color w:val="4D4D4F"/>
          <w:spacing w:val="-3"/>
          <w:w w:val="105"/>
        </w:rPr>
        <w:t>in</w:t>
      </w:r>
      <w:r>
        <w:rPr>
          <w:color w:val="4D4D4F"/>
          <w:spacing w:val="-23"/>
          <w:w w:val="105"/>
        </w:rPr>
        <w:t xml:space="preserve"> </w:t>
      </w:r>
      <w:r>
        <w:rPr>
          <w:color w:val="4D4D4F"/>
          <w:w w:val="105"/>
        </w:rPr>
        <w:t>recent</w:t>
      </w:r>
      <w:r>
        <w:rPr>
          <w:color w:val="4D4D4F"/>
          <w:spacing w:val="-23"/>
          <w:w w:val="105"/>
        </w:rPr>
        <w:t xml:space="preserve"> </w:t>
      </w:r>
      <w:r>
        <w:rPr>
          <w:color w:val="4D4D4F"/>
          <w:w w:val="105"/>
        </w:rPr>
        <w:t>years</w:t>
      </w:r>
      <w:r>
        <w:rPr>
          <w:color w:val="4D4D4F"/>
          <w:spacing w:val="-23"/>
          <w:w w:val="105"/>
        </w:rPr>
        <w:t xml:space="preserve"> </w:t>
      </w:r>
      <w:r>
        <w:rPr>
          <w:color w:val="4D4D4F"/>
          <w:w w:val="105"/>
        </w:rPr>
        <w:t>and</w:t>
      </w:r>
      <w:r>
        <w:rPr>
          <w:color w:val="4D4D4F"/>
          <w:spacing w:val="-22"/>
          <w:w w:val="105"/>
        </w:rPr>
        <w:t xml:space="preserve"> </w:t>
      </w:r>
      <w:r>
        <w:rPr>
          <w:color w:val="4D4D4F"/>
          <w:spacing w:val="-3"/>
          <w:w w:val="105"/>
        </w:rPr>
        <w:t>native</w:t>
      </w:r>
      <w:r>
        <w:rPr>
          <w:color w:val="4D4D4F"/>
          <w:spacing w:val="-23"/>
          <w:w w:val="105"/>
        </w:rPr>
        <w:t xml:space="preserve"> </w:t>
      </w:r>
      <w:r>
        <w:rPr>
          <w:color w:val="4D4D4F"/>
          <w:w w:val="105"/>
        </w:rPr>
        <w:t>forbs</w:t>
      </w:r>
      <w:r>
        <w:rPr>
          <w:color w:val="4D4D4F"/>
          <w:spacing w:val="-23"/>
          <w:w w:val="105"/>
        </w:rPr>
        <w:t xml:space="preserve"> </w:t>
      </w:r>
      <w:r>
        <w:rPr>
          <w:color w:val="4D4D4F"/>
          <w:w w:val="105"/>
        </w:rPr>
        <w:t>have</w:t>
      </w:r>
      <w:r>
        <w:rPr>
          <w:color w:val="4D4D4F"/>
          <w:spacing w:val="-23"/>
          <w:w w:val="105"/>
        </w:rPr>
        <w:t xml:space="preserve"> </w:t>
      </w:r>
      <w:r>
        <w:rPr>
          <w:color w:val="4D4D4F"/>
          <w:spacing w:val="-3"/>
          <w:w w:val="105"/>
        </w:rPr>
        <w:t xml:space="preserve">declined, </w:t>
      </w:r>
      <w:r>
        <w:rPr>
          <w:color w:val="4D4D4F"/>
          <w:w w:val="105"/>
        </w:rPr>
        <w:t>which</w:t>
      </w:r>
      <w:r>
        <w:rPr>
          <w:color w:val="4D4D4F"/>
          <w:spacing w:val="-20"/>
          <w:w w:val="105"/>
        </w:rPr>
        <w:t xml:space="preserve"> </w:t>
      </w:r>
      <w:r>
        <w:rPr>
          <w:color w:val="4D4D4F"/>
          <w:spacing w:val="-3"/>
          <w:w w:val="105"/>
        </w:rPr>
        <w:t>is</w:t>
      </w:r>
      <w:r>
        <w:rPr>
          <w:color w:val="4D4D4F"/>
          <w:spacing w:val="-19"/>
          <w:w w:val="105"/>
        </w:rPr>
        <w:t xml:space="preserve"> </w:t>
      </w:r>
      <w:r>
        <w:rPr>
          <w:color w:val="4D4D4F"/>
          <w:w w:val="105"/>
        </w:rPr>
        <w:t>cause</w:t>
      </w:r>
      <w:r>
        <w:rPr>
          <w:color w:val="4D4D4F"/>
          <w:spacing w:val="-19"/>
          <w:w w:val="105"/>
        </w:rPr>
        <w:t xml:space="preserve"> </w:t>
      </w:r>
      <w:r>
        <w:rPr>
          <w:color w:val="4D4D4F"/>
          <w:spacing w:val="-2"/>
          <w:w w:val="105"/>
        </w:rPr>
        <w:t>for</w:t>
      </w:r>
      <w:r>
        <w:rPr>
          <w:color w:val="4D4D4F"/>
          <w:spacing w:val="-19"/>
          <w:w w:val="105"/>
        </w:rPr>
        <w:t xml:space="preserve"> </w:t>
      </w:r>
      <w:r>
        <w:rPr>
          <w:color w:val="4D4D4F"/>
          <w:w w:val="105"/>
        </w:rPr>
        <w:t>concern</w:t>
      </w:r>
      <w:r>
        <w:rPr>
          <w:color w:val="4D4D4F"/>
          <w:spacing w:val="-19"/>
          <w:w w:val="105"/>
        </w:rPr>
        <w:t xml:space="preserve"> </w:t>
      </w:r>
      <w:r>
        <w:rPr>
          <w:color w:val="4D4D4F"/>
          <w:w w:val="105"/>
        </w:rPr>
        <w:t>even</w:t>
      </w:r>
      <w:r>
        <w:rPr>
          <w:color w:val="4D4D4F"/>
          <w:spacing w:val="-20"/>
          <w:w w:val="105"/>
        </w:rPr>
        <w:t xml:space="preserve"> </w:t>
      </w:r>
      <w:r>
        <w:rPr>
          <w:color w:val="4D4D4F"/>
          <w:w w:val="105"/>
        </w:rPr>
        <w:t>though</w:t>
      </w:r>
      <w:r>
        <w:rPr>
          <w:color w:val="4D4D4F"/>
          <w:spacing w:val="-19"/>
          <w:w w:val="105"/>
        </w:rPr>
        <w:t xml:space="preserve"> </w:t>
      </w:r>
      <w:r>
        <w:rPr>
          <w:color w:val="4D4D4F"/>
          <w:w w:val="105"/>
        </w:rPr>
        <w:t>the</w:t>
      </w:r>
      <w:r>
        <w:rPr>
          <w:color w:val="4D4D4F"/>
          <w:spacing w:val="-19"/>
          <w:w w:val="105"/>
        </w:rPr>
        <w:t xml:space="preserve"> </w:t>
      </w:r>
      <w:r>
        <w:rPr>
          <w:color w:val="4D4D4F"/>
          <w:w w:val="105"/>
        </w:rPr>
        <w:t>KPIs</w:t>
      </w:r>
      <w:r>
        <w:rPr>
          <w:color w:val="4D4D4F"/>
          <w:spacing w:val="-19"/>
          <w:w w:val="105"/>
        </w:rPr>
        <w:t xml:space="preserve"> </w:t>
      </w:r>
      <w:r>
        <w:rPr>
          <w:color w:val="4D4D4F"/>
          <w:w w:val="105"/>
        </w:rPr>
        <w:t>have</w:t>
      </w:r>
      <w:r>
        <w:rPr>
          <w:color w:val="4D4D4F"/>
          <w:spacing w:val="-19"/>
          <w:w w:val="105"/>
        </w:rPr>
        <w:t xml:space="preserve"> </w:t>
      </w:r>
      <w:r>
        <w:rPr>
          <w:color w:val="4D4D4F"/>
          <w:w w:val="105"/>
        </w:rPr>
        <w:t>not</w:t>
      </w:r>
      <w:r>
        <w:rPr>
          <w:color w:val="4D4D4F"/>
          <w:spacing w:val="-20"/>
          <w:w w:val="105"/>
        </w:rPr>
        <w:t xml:space="preserve"> </w:t>
      </w:r>
      <w:r>
        <w:rPr>
          <w:color w:val="4D4D4F"/>
          <w:w w:val="105"/>
        </w:rPr>
        <w:t>been</w:t>
      </w:r>
      <w:r>
        <w:rPr>
          <w:color w:val="4D4D4F"/>
          <w:spacing w:val="-19"/>
          <w:w w:val="105"/>
        </w:rPr>
        <w:t xml:space="preserve"> </w:t>
      </w:r>
      <w:r>
        <w:rPr>
          <w:color w:val="4D4D4F"/>
          <w:w w:val="105"/>
        </w:rPr>
        <w:t>breached</w:t>
      </w:r>
      <w:r>
        <w:rPr>
          <w:color w:val="4D4D4F"/>
          <w:spacing w:val="-19"/>
          <w:w w:val="105"/>
        </w:rPr>
        <w:t xml:space="preserve"> </w:t>
      </w:r>
      <w:r>
        <w:rPr>
          <w:color w:val="4D4D4F"/>
          <w:w w:val="105"/>
        </w:rPr>
        <w:t>to</w:t>
      </w:r>
      <w:r>
        <w:rPr>
          <w:color w:val="4D4D4F"/>
          <w:spacing w:val="-19"/>
          <w:w w:val="105"/>
        </w:rPr>
        <w:t xml:space="preserve"> </w:t>
      </w:r>
      <w:r>
        <w:rPr>
          <w:color w:val="4D4D4F"/>
          <w:spacing w:val="-4"/>
          <w:w w:val="105"/>
        </w:rPr>
        <w:t>date.</w:t>
      </w:r>
      <w:r>
        <w:rPr>
          <w:color w:val="4D4D4F"/>
          <w:spacing w:val="-4"/>
          <w:w w:val="105"/>
          <w:position w:val="7"/>
          <w:sz w:val="11"/>
        </w:rPr>
        <w:t>127</w:t>
      </w:r>
    </w:p>
    <w:p w14:paraId="0916EA40" w14:textId="77777777" w:rsidR="00EF5B27" w:rsidRDefault="00000000">
      <w:pPr>
        <w:pStyle w:val="Heading6"/>
        <w:spacing w:before="121"/>
      </w:pPr>
      <w:r>
        <w:rPr>
          <w:color w:val="4D4D4F"/>
        </w:rPr>
        <w:t>KPI 1 – state change</w:t>
      </w:r>
    </w:p>
    <w:p w14:paraId="4F2549BA" w14:textId="77777777" w:rsidR="00EF5B27" w:rsidRDefault="00000000">
      <w:pPr>
        <w:pStyle w:val="BodyText"/>
        <w:spacing w:before="129" w:line="254" w:lineRule="auto"/>
        <w:ind w:left="2608" w:right="264"/>
      </w:pPr>
      <w:r>
        <w:rPr>
          <w:color w:val="4D4D4F"/>
        </w:rPr>
        <w:t>With respect to grassland state change, DELWP was unable to provide a formal assessment of KPI 1 in 2021, due to a recent change in its monitoring protocol leading to dataset incompatibility issues. Note this KPI was not assessed in 2020 due to COVID-19 lockdowns and restrictions. Despite this, DELWP suspects that no, or very</w:t>
      </w:r>
    </w:p>
    <w:p w14:paraId="648A526A" w14:textId="77777777" w:rsidR="00EF5B27" w:rsidRDefault="00000000">
      <w:pPr>
        <w:pStyle w:val="BodyText"/>
        <w:spacing w:before="5" w:line="254" w:lineRule="auto"/>
        <w:ind w:left="2608" w:right="169"/>
      </w:pPr>
      <w:r>
        <w:rPr>
          <w:color w:val="4D4D4F"/>
        </w:rPr>
        <w:t xml:space="preserve">little, negative state change has occurred at each </w:t>
      </w:r>
      <w:r>
        <w:rPr>
          <w:color w:val="4D4D4F"/>
          <w:spacing w:val="-3"/>
        </w:rPr>
        <w:t xml:space="preserve">site, </w:t>
      </w:r>
      <w:r>
        <w:rPr>
          <w:color w:val="4D4D4F"/>
        </w:rPr>
        <w:t xml:space="preserve">given that it is aware of no cases of large-scale conversion to cropping, fertiliser application or other such detrimental applications </w:t>
      </w:r>
      <w:r>
        <w:rPr>
          <w:color w:val="4D4D4F"/>
          <w:spacing w:val="-2"/>
        </w:rPr>
        <w:t xml:space="preserve">within </w:t>
      </w:r>
      <w:r>
        <w:rPr>
          <w:color w:val="4D4D4F"/>
        </w:rPr>
        <w:t xml:space="preserve">the </w:t>
      </w:r>
      <w:r>
        <w:rPr>
          <w:color w:val="4D4D4F"/>
          <w:spacing w:val="-3"/>
        </w:rPr>
        <w:t>WGR.</w:t>
      </w:r>
      <w:r>
        <w:rPr>
          <w:color w:val="4D4D4F"/>
          <w:spacing w:val="-3"/>
          <w:position w:val="7"/>
          <w:sz w:val="11"/>
        </w:rPr>
        <w:t xml:space="preserve">128 </w:t>
      </w:r>
      <w:r>
        <w:rPr>
          <w:color w:val="4D4D4F"/>
        </w:rPr>
        <w:t xml:space="preserve">DELWP has observed one </w:t>
      </w:r>
      <w:r>
        <w:rPr>
          <w:color w:val="4D4D4F"/>
          <w:spacing w:val="-3"/>
        </w:rPr>
        <w:t xml:space="preserve">site </w:t>
      </w:r>
      <w:r>
        <w:rPr>
          <w:color w:val="4D4D4F"/>
        </w:rPr>
        <w:t xml:space="preserve">undergoing a </w:t>
      </w:r>
      <w:r>
        <w:rPr>
          <w:color w:val="4D4D4F"/>
          <w:spacing w:val="-3"/>
        </w:rPr>
        <w:t xml:space="preserve">small </w:t>
      </w:r>
      <w:r>
        <w:rPr>
          <w:color w:val="4D4D4F"/>
        </w:rPr>
        <w:t xml:space="preserve">positive state change </w:t>
      </w:r>
      <w:r>
        <w:rPr>
          <w:color w:val="4D4D4F"/>
          <w:spacing w:val="-4"/>
        </w:rPr>
        <w:t xml:space="preserve">likely </w:t>
      </w:r>
      <w:r>
        <w:rPr>
          <w:color w:val="4D4D4F"/>
        </w:rPr>
        <w:t>due to dedicated restoration efforts in November</w:t>
      </w:r>
      <w:r>
        <w:rPr>
          <w:color w:val="4D4D4F"/>
          <w:spacing w:val="-13"/>
        </w:rPr>
        <w:t xml:space="preserve"> </w:t>
      </w:r>
      <w:r>
        <w:rPr>
          <w:color w:val="4D4D4F"/>
          <w:spacing w:val="-4"/>
        </w:rPr>
        <w:t>2016.</w:t>
      </w:r>
    </w:p>
    <w:p w14:paraId="2988914A" w14:textId="77777777" w:rsidR="00EF5B27" w:rsidRDefault="00000000">
      <w:pPr>
        <w:pStyle w:val="BodyText"/>
        <w:spacing w:before="118" w:line="254" w:lineRule="auto"/>
        <w:ind w:left="2608" w:right="151"/>
      </w:pPr>
      <w:r>
        <w:rPr>
          <w:color w:val="4D4D4F"/>
        </w:rPr>
        <w:t xml:space="preserve">DELWP has indicated that the interpretation of KPI 1 is now complicated by the shift from the use of subjective polygon-based data to the use of point-based field surveys recording the covers of important plant groups within a </w:t>
      </w:r>
      <w:r>
        <w:rPr>
          <w:color w:val="4D4D4F"/>
          <w:spacing w:val="-5"/>
        </w:rPr>
        <w:t xml:space="preserve">10 </w:t>
      </w:r>
      <w:r>
        <w:rPr>
          <w:color w:val="4D4D4F"/>
        </w:rPr>
        <w:t xml:space="preserve">m radius at a grid of points separated by 80 m. DELWP applies the state </w:t>
      </w:r>
      <w:r>
        <w:rPr>
          <w:color w:val="4D4D4F"/>
          <w:spacing w:val="-3"/>
        </w:rPr>
        <w:t>key</w:t>
      </w:r>
      <w:r>
        <w:rPr>
          <w:color w:val="4D4D4F"/>
          <w:spacing w:val="-3"/>
          <w:position w:val="7"/>
          <w:sz w:val="11"/>
        </w:rPr>
        <w:t xml:space="preserve">129 </w:t>
      </w:r>
      <w:r>
        <w:rPr>
          <w:color w:val="4D4D4F"/>
        </w:rPr>
        <w:t>to each point, as an estimate of which</w:t>
      </w:r>
      <w:r>
        <w:rPr>
          <w:color w:val="4D4D4F"/>
          <w:spacing w:val="4"/>
        </w:rPr>
        <w:t xml:space="preserve"> </w:t>
      </w:r>
      <w:r>
        <w:rPr>
          <w:color w:val="4D4D4F"/>
        </w:rPr>
        <w:t>state</w:t>
      </w:r>
      <w:r>
        <w:rPr>
          <w:color w:val="4D4D4F"/>
          <w:spacing w:val="5"/>
        </w:rPr>
        <w:t xml:space="preserve"> </w:t>
      </w:r>
      <w:r>
        <w:rPr>
          <w:color w:val="4D4D4F"/>
        </w:rPr>
        <w:t>was</w:t>
      </w:r>
      <w:r>
        <w:rPr>
          <w:color w:val="4D4D4F"/>
          <w:spacing w:val="5"/>
        </w:rPr>
        <w:t xml:space="preserve"> </w:t>
      </w:r>
      <w:r>
        <w:rPr>
          <w:color w:val="4D4D4F"/>
          <w:spacing w:val="-3"/>
        </w:rPr>
        <w:t>likely</w:t>
      </w:r>
      <w:r>
        <w:rPr>
          <w:color w:val="4D4D4F"/>
          <w:spacing w:val="4"/>
        </w:rPr>
        <w:t xml:space="preserve"> </w:t>
      </w:r>
      <w:r>
        <w:rPr>
          <w:color w:val="4D4D4F"/>
        </w:rPr>
        <w:t>to</w:t>
      </w:r>
      <w:r>
        <w:rPr>
          <w:color w:val="4D4D4F"/>
          <w:spacing w:val="5"/>
        </w:rPr>
        <w:t xml:space="preserve"> </w:t>
      </w:r>
      <w:r>
        <w:rPr>
          <w:color w:val="4D4D4F"/>
        </w:rPr>
        <w:t>exist</w:t>
      </w:r>
      <w:r>
        <w:rPr>
          <w:color w:val="4D4D4F"/>
          <w:spacing w:val="5"/>
        </w:rPr>
        <w:t xml:space="preserve"> </w:t>
      </w:r>
      <w:r>
        <w:rPr>
          <w:color w:val="4D4D4F"/>
        </w:rPr>
        <w:t>at</w:t>
      </w:r>
      <w:r>
        <w:rPr>
          <w:color w:val="4D4D4F"/>
          <w:spacing w:val="4"/>
        </w:rPr>
        <w:t xml:space="preserve"> </w:t>
      </w:r>
      <w:r>
        <w:rPr>
          <w:color w:val="4D4D4F"/>
        </w:rPr>
        <w:t>or</w:t>
      </w:r>
      <w:r>
        <w:rPr>
          <w:color w:val="4D4D4F"/>
          <w:spacing w:val="5"/>
        </w:rPr>
        <w:t xml:space="preserve"> </w:t>
      </w:r>
      <w:r>
        <w:rPr>
          <w:color w:val="4D4D4F"/>
        </w:rPr>
        <w:t>around</w:t>
      </w:r>
      <w:r>
        <w:rPr>
          <w:color w:val="4D4D4F"/>
          <w:spacing w:val="5"/>
        </w:rPr>
        <w:t xml:space="preserve"> </w:t>
      </w:r>
      <w:r>
        <w:rPr>
          <w:color w:val="4D4D4F"/>
        </w:rPr>
        <w:t>that</w:t>
      </w:r>
      <w:r>
        <w:rPr>
          <w:color w:val="4D4D4F"/>
          <w:spacing w:val="4"/>
        </w:rPr>
        <w:t xml:space="preserve"> </w:t>
      </w:r>
      <w:r>
        <w:rPr>
          <w:color w:val="4D4D4F"/>
        </w:rPr>
        <w:t>location.</w:t>
      </w:r>
      <w:r>
        <w:rPr>
          <w:color w:val="4D4D4F"/>
          <w:spacing w:val="5"/>
        </w:rPr>
        <w:t xml:space="preserve"> </w:t>
      </w:r>
      <w:r>
        <w:rPr>
          <w:color w:val="4D4D4F"/>
        </w:rPr>
        <w:t>This</w:t>
      </w:r>
      <w:r>
        <w:rPr>
          <w:color w:val="4D4D4F"/>
          <w:spacing w:val="5"/>
        </w:rPr>
        <w:t xml:space="preserve"> </w:t>
      </w:r>
      <w:r>
        <w:rPr>
          <w:color w:val="4D4D4F"/>
        </w:rPr>
        <w:t>new</w:t>
      </w:r>
      <w:r>
        <w:rPr>
          <w:color w:val="4D4D4F"/>
          <w:spacing w:val="4"/>
        </w:rPr>
        <w:t xml:space="preserve"> </w:t>
      </w:r>
      <w:r>
        <w:rPr>
          <w:color w:val="4D4D4F"/>
        </w:rPr>
        <w:t>survey</w:t>
      </w:r>
      <w:r>
        <w:rPr>
          <w:color w:val="4D4D4F"/>
          <w:spacing w:val="5"/>
        </w:rPr>
        <w:t xml:space="preserve"> </w:t>
      </w:r>
      <w:r>
        <w:rPr>
          <w:color w:val="4D4D4F"/>
        </w:rPr>
        <w:t>method</w:t>
      </w:r>
    </w:p>
    <w:p w14:paraId="773A831F" w14:textId="77777777" w:rsidR="00EF5B27" w:rsidRDefault="00000000">
      <w:pPr>
        <w:pStyle w:val="BodyText"/>
        <w:spacing w:before="6" w:line="254" w:lineRule="auto"/>
        <w:ind w:left="2608" w:right="287"/>
        <w:rPr>
          <w:sz w:val="11"/>
        </w:rPr>
      </w:pPr>
      <w:r>
        <w:rPr>
          <w:color w:val="4D4D4F"/>
        </w:rPr>
        <w:t xml:space="preserve">was prompted by the recommendations of </w:t>
      </w:r>
      <w:r>
        <w:rPr>
          <w:color w:val="4D4D4F"/>
          <w:spacing w:val="-3"/>
        </w:rPr>
        <w:t xml:space="preserve">VAGO, </w:t>
      </w:r>
      <w:r>
        <w:rPr>
          <w:color w:val="4D4D4F"/>
        </w:rPr>
        <w:t>covering the whole of the Western Grassland Reserve and will offer a more repeatable means of assessing state change  in future reports, according to</w:t>
      </w:r>
      <w:r>
        <w:rPr>
          <w:color w:val="4D4D4F"/>
          <w:spacing w:val="22"/>
        </w:rPr>
        <w:t xml:space="preserve"> </w:t>
      </w:r>
      <w:r>
        <w:rPr>
          <w:color w:val="4D4D4F"/>
          <w:spacing w:val="-5"/>
        </w:rPr>
        <w:t>DELWP.</w:t>
      </w:r>
      <w:r>
        <w:rPr>
          <w:color w:val="4D4D4F"/>
          <w:spacing w:val="-5"/>
          <w:position w:val="7"/>
          <w:sz w:val="11"/>
        </w:rPr>
        <w:t>130</w:t>
      </w:r>
    </w:p>
    <w:p w14:paraId="1AC521CB" w14:textId="77777777" w:rsidR="00EF5B27" w:rsidRDefault="00000000">
      <w:pPr>
        <w:pStyle w:val="BodyText"/>
        <w:spacing w:before="117" w:line="254" w:lineRule="auto"/>
        <w:ind w:left="2608" w:right="176"/>
      </w:pPr>
      <w:r>
        <w:rPr>
          <w:color w:val="4D4D4F"/>
        </w:rPr>
        <w:t xml:space="preserve">In future years, this KPI will be assessed by comparing state change across all points </w:t>
      </w:r>
      <w:r>
        <w:rPr>
          <w:color w:val="4D4D4F"/>
          <w:spacing w:val="-4"/>
        </w:rPr>
        <w:t xml:space="preserve">(&gt;10,000 </w:t>
      </w:r>
      <w:r>
        <w:rPr>
          <w:color w:val="4D4D4F"/>
        </w:rPr>
        <w:t xml:space="preserve">points). Given the small </w:t>
      </w:r>
      <w:r>
        <w:rPr>
          <w:color w:val="4D4D4F"/>
          <w:spacing w:val="-3"/>
        </w:rPr>
        <w:t xml:space="preserve">size </w:t>
      </w:r>
      <w:r>
        <w:rPr>
          <w:color w:val="4D4D4F"/>
        </w:rPr>
        <w:t xml:space="preserve">of the areas assessed </w:t>
      </w:r>
      <w:r>
        <w:rPr>
          <w:color w:val="4D4D4F"/>
          <w:spacing w:val="-9"/>
        </w:rPr>
        <w:t xml:space="preserve">(10 </w:t>
      </w:r>
      <w:r>
        <w:rPr>
          <w:color w:val="4D4D4F"/>
        </w:rPr>
        <w:t>m radius), DELWP has indicated that one would expect some error and inaccuracies in the data, because states are designed to apply to management units and may have variation within   them (i.e. some small points within a given management unit will not qualify for that state).</w:t>
      </w:r>
      <w:r>
        <w:rPr>
          <w:color w:val="4D4D4F"/>
          <w:spacing w:val="4"/>
        </w:rPr>
        <w:t xml:space="preserve"> </w:t>
      </w:r>
      <w:r>
        <w:rPr>
          <w:color w:val="4D4D4F"/>
        </w:rPr>
        <w:t>For</w:t>
      </w:r>
      <w:r>
        <w:rPr>
          <w:color w:val="4D4D4F"/>
          <w:spacing w:val="4"/>
        </w:rPr>
        <w:t xml:space="preserve"> </w:t>
      </w:r>
      <w:r>
        <w:rPr>
          <w:color w:val="4D4D4F"/>
        </w:rPr>
        <w:t>this</w:t>
      </w:r>
      <w:r>
        <w:rPr>
          <w:color w:val="4D4D4F"/>
          <w:spacing w:val="4"/>
        </w:rPr>
        <w:t xml:space="preserve"> </w:t>
      </w:r>
      <w:r>
        <w:rPr>
          <w:color w:val="4D4D4F"/>
        </w:rPr>
        <w:t>reason,</w:t>
      </w:r>
      <w:r>
        <w:rPr>
          <w:color w:val="4D4D4F"/>
          <w:spacing w:val="4"/>
        </w:rPr>
        <w:t xml:space="preserve"> </w:t>
      </w:r>
      <w:r>
        <w:rPr>
          <w:color w:val="4D4D4F"/>
        </w:rPr>
        <w:t>DELWP</w:t>
      </w:r>
      <w:r>
        <w:rPr>
          <w:color w:val="4D4D4F"/>
          <w:spacing w:val="5"/>
        </w:rPr>
        <w:t xml:space="preserve"> </w:t>
      </w:r>
      <w:r>
        <w:rPr>
          <w:color w:val="4D4D4F"/>
        </w:rPr>
        <w:t>plans</w:t>
      </w:r>
      <w:r>
        <w:rPr>
          <w:color w:val="4D4D4F"/>
          <w:spacing w:val="4"/>
        </w:rPr>
        <w:t xml:space="preserve"> </w:t>
      </w:r>
      <w:r>
        <w:rPr>
          <w:color w:val="4D4D4F"/>
        </w:rPr>
        <w:t>to</w:t>
      </w:r>
      <w:r>
        <w:rPr>
          <w:color w:val="4D4D4F"/>
          <w:spacing w:val="4"/>
        </w:rPr>
        <w:t xml:space="preserve"> </w:t>
      </w:r>
      <w:r>
        <w:rPr>
          <w:color w:val="4D4D4F"/>
        </w:rPr>
        <w:t>define</w:t>
      </w:r>
      <w:r>
        <w:rPr>
          <w:color w:val="4D4D4F"/>
          <w:spacing w:val="4"/>
        </w:rPr>
        <w:t xml:space="preserve"> </w:t>
      </w:r>
      <w:r>
        <w:rPr>
          <w:color w:val="4D4D4F"/>
        </w:rPr>
        <w:t>and</w:t>
      </w:r>
      <w:r>
        <w:rPr>
          <w:color w:val="4D4D4F"/>
          <w:spacing w:val="5"/>
        </w:rPr>
        <w:t xml:space="preserve"> </w:t>
      </w:r>
      <w:r>
        <w:rPr>
          <w:color w:val="4D4D4F"/>
        </w:rPr>
        <w:t>apply</w:t>
      </w:r>
      <w:r>
        <w:rPr>
          <w:color w:val="4D4D4F"/>
          <w:spacing w:val="4"/>
        </w:rPr>
        <w:t xml:space="preserve"> </w:t>
      </w:r>
      <w:r>
        <w:rPr>
          <w:color w:val="4D4D4F"/>
        </w:rPr>
        <w:t>a</w:t>
      </w:r>
      <w:r>
        <w:rPr>
          <w:color w:val="4D4D4F"/>
          <w:spacing w:val="4"/>
        </w:rPr>
        <w:t xml:space="preserve"> </w:t>
      </w:r>
      <w:r>
        <w:rPr>
          <w:color w:val="4D4D4F"/>
        </w:rPr>
        <w:t>tolerance</w:t>
      </w:r>
      <w:r>
        <w:rPr>
          <w:color w:val="4D4D4F"/>
          <w:spacing w:val="4"/>
        </w:rPr>
        <w:t xml:space="preserve"> </w:t>
      </w:r>
      <w:r>
        <w:rPr>
          <w:color w:val="4D4D4F"/>
        </w:rPr>
        <w:t>for</w:t>
      </w:r>
      <w:r>
        <w:rPr>
          <w:color w:val="4D4D4F"/>
          <w:spacing w:val="4"/>
        </w:rPr>
        <w:t xml:space="preserve"> </w:t>
      </w:r>
      <w:r>
        <w:rPr>
          <w:color w:val="4D4D4F"/>
        </w:rPr>
        <w:t>negative</w:t>
      </w:r>
      <w:r>
        <w:rPr>
          <w:color w:val="4D4D4F"/>
          <w:spacing w:val="5"/>
        </w:rPr>
        <w:t xml:space="preserve"> </w:t>
      </w:r>
      <w:r>
        <w:rPr>
          <w:color w:val="4D4D4F"/>
        </w:rPr>
        <w:t>state</w:t>
      </w:r>
    </w:p>
    <w:p w14:paraId="17AE2105" w14:textId="77777777" w:rsidR="00EF5B27" w:rsidRDefault="00000000">
      <w:pPr>
        <w:pStyle w:val="BodyText"/>
        <w:spacing w:before="8" w:line="254" w:lineRule="auto"/>
        <w:ind w:left="2608" w:right="85"/>
      </w:pPr>
      <w:r>
        <w:rPr>
          <w:color w:val="4D4D4F"/>
        </w:rPr>
        <w:t>change, both spatially (the number of points within a mapped state that were different) and on the cover data (a certain deviation from the threshold in the state key).</w:t>
      </w:r>
      <w:r>
        <w:rPr>
          <w:color w:val="4D4D4F"/>
          <w:position w:val="7"/>
          <w:sz w:val="11"/>
        </w:rPr>
        <w:t xml:space="preserve">131 </w:t>
      </w:r>
      <w:r>
        <w:rPr>
          <w:color w:val="4D4D4F"/>
        </w:rPr>
        <w:t>DELWP will adjust this tolerance to match states that were mapped in the same year as the point data (where no functional state change was possible, and all error must be due to spatial heterogeneity and observer error). Field surveys are recommended to validate point-based data to determine the appropriate level of tolerance. With the tolerances applied, ‘genuine’ state changes will only be recognised where clusters of points show similar changes in unison (i.e. spatial tolerance of variegation); and changes will be recognised with some tolerance in cover threshold, to account for observer error, location error and inter-annual variation in weed cover (i.e. cover error tolerance).</w:t>
      </w:r>
    </w:p>
    <w:p w14:paraId="0E35801B" w14:textId="77777777" w:rsidR="00EF5B27" w:rsidRDefault="00EF5B27">
      <w:pPr>
        <w:pStyle w:val="BodyText"/>
      </w:pPr>
    </w:p>
    <w:p w14:paraId="358043A2" w14:textId="77777777" w:rsidR="00EF5B27" w:rsidRDefault="00EF5B27">
      <w:pPr>
        <w:pStyle w:val="BodyText"/>
      </w:pPr>
    </w:p>
    <w:p w14:paraId="14AF5DB2" w14:textId="77777777" w:rsidR="00EF5B27" w:rsidRDefault="00000000">
      <w:pPr>
        <w:pStyle w:val="BodyText"/>
        <w:spacing w:before="4"/>
        <w:rPr>
          <w:sz w:val="24"/>
        </w:rPr>
      </w:pPr>
      <w:r>
        <w:pict w14:anchorId="7FD336A4">
          <v:line id="_x0000_s3434" style="position:absolute;z-index:251511296;mso-wrap-distance-left:0;mso-wrap-distance-right:0;mso-position-horizontal-relative:page" from="181.4pt,17.1pt" to="538.6pt,17.1pt" strokecolor="#4d4d4f" strokeweight=".5pt">
            <w10:wrap type="topAndBottom" anchorx="page"/>
          </v:line>
        </w:pict>
      </w:r>
    </w:p>
    <w:p w14:paraId="26AA1FDA" w14:textId="77777777" w:rsidR="00EF5B27" w:rsidRDefault="00000000">
      <w:pPr>
        <w:pStyle w:val="ListParagraph"/>
        <w:numPr>
          <w:ilvl w:val="0"/>
          <w:numId w:val="44"/>
        </w:numPr>
        <w:tabs>
          <w:tab w:val="left" w:pos="2836"/>
        </w:tabs>
        <w:spacing w:before="88" w:line="230" w:lineRule="auto"/>
        <w:ind w:left="2608" w:right="4046" w:firstLine="0"/>
        <w:jc w:val="left"/>
        <w:rPr>
          <w:sz w:val="12"/>
        </w:rPr>
      </w:pPr>
      <w:r>
        <w:rPr>
          <w:color w:val="4D4D4F"/>
          <w:sz w:val="12"/>
        </w:rPr>
        <w:t xml:space="preserve">DELWP Officer, personal communication, 9 </w:t>
      </w:r>
      <w:r>
        <w:rPr>
          <w:color w:val="4D4D4F"/>
          <w:spacing w:val="2"/>
          <w:sz w:val="12"/>
        </w:rPr>
        <w:t xml:space="preserve">February 2022. </w:t>
      </w:r>
      <w:r>
        <w:rPr>
          <w:color w:val="4D4D4F"/>
          <w:sz w:val="12"/>
        </w:rPr>
        <w:t xml:space="preserve">128. DELWP, internal document, provided </w:t>
      </w:r>
      <w:r>
        <w:rPr>
          <w:color w:val="4D4D4F"/>
          <w:spacing w:val="-3"/>
          <w:sz w:val="12"/>
        </w:rPr>
        <w:t xml:space="preserve">16 </w:t>
      </w:r>
      <w:r>
        <w:rPr>
          <w:color w:val="4D4D4F"/>
          <w:spacing w:val="2"/>
          <w:sz w:val="12"/>
        </w:rPr>
        <w:t>February 2022.</w:t>
      </w:r>
    </w:p>
    <w:p w14:paraId="6794ABC9" w14:textId="77777777" w:rsidR="00EF5B27" w:rsidRDefault="00000000">
      <w:pPr>
        <w:pStyle w:val="ListParagraph"/>
        <w:numPr>
          <w:ilvl w:val="0"/>
          <w:numId w:val="43"/>
        </w:numPr>
        <w:tabs>
          <w:tab w:val="left" w:pos="2836"/>
        </w:tabs>
        <w:spacing w:line="230" w:lineRule="auto"/>
        <w:ind w:right="111"/>
        <w:rPr>
          <w:sz w:val="12"/>
        </w:rPr>
      </w:pPr>
      <w:r>
        <w:rPr>
          <w:color w:val="4D4D4F"/>
          <w:sz w:val="12"/>
        </w:rPr>
        <w:t xml:space="preserve">Sinclair </w:t>
      </w:r>
      <w:r>
        <w:rPr>
          <w:color w:val="4D4D4F"/>
          <w:w w:val="110"/>
          <w:sz w:val="12"/>
        </w:rPr>
        <w:t xml:space="preserve">SJ, </w:t>
      </w:r>
      <w:r>
        <w:rPr>
          <w:color w:val="4D4D4F"/>
          <w:sz w:val="12"/>
        </w:rPr>
        <w:t xml:space="preserve">Zamin </w:t>
      </w:r>
      <w:r>
        <w:rPr>
          <w:color w:val="4D4D4F"/>
          <w:spacing w:val="-3"/>
          <w:sz w:val="12"/>
        </w:rPr>
        <w:t xml:space="preserve">T, </w:t>
      </w:r>
      <w:r>
        <w:rPr>
          <w:color w:val="4D4D4F"/>
          <w:sz w:val="12"/>
        </w:rPr>
        <w:t xml:space="preserve">Gibson-Roy </w:t>
      </w:r>
      <w:r>
        <w:rPr>
          <w:color w:val="4D4D4F"/>
          <w:spacing w:val="-5"/>
          <w:sz w:val="12"/>
        </w:rPr>
        <w:t xml:space="preserve">P, </w:t>
      </w:r>
      <w:r>
        <w:rPr>
          <w:color w:val="4D4D4F"/>
          <w:spacing w:val="2"/>
          <w:sz w:val="12"/>
        </w:rPr>
        <w:t xml:space="preserve">Dorrough </w:t>
      </w:r>
      <w:r>
        <w:rPr>
          <w:color w:val="4D4D4F"/>
          <w:w w:val="110"/>
          <w:sz w:val="12"/>
        </w:rPr>
        <w:t xml:space="preserve">J, </w:t>
      </w:r>
      <w:r>
        <w:rPr>
          <w:color w:val="4D4D4F"/>
          <w:sz w:val="12"/>
        </w:rPr>
        <w:t xml:space="preserve">Wong N, Craigie </w:t>
      </w:r>
      <w:r>
        <w:rPr>
          <w:color w:val="4D4D4F"/>
          <w:spacing w:val="-3"/>
          <w:sz w:val="12"/>
        </w:rPr>
        <w:t xml:space="preserve">V, </w:t>
      </w:r>
      <w:r>
        <w:rPr>
          <w:color w:val="4D4D4F"/>
          <w:spacing w:val="2"/>
          <w:sz w:val="12"/>
        </w:rPr>
        <w:t xml:space="preserve">Garrard </w:t>
      </w:r>
      <w:r>
        <w:rPr>
          <w:color w:val="4D4D4F"/>
          <w:sz w:val="12"/>
        </w:rPr>
        <w:t xml:space="preserve">GE and </w:t>
      </w:r>
      <w:r>
        <w:rPr>
          <w:color w:val="4D4D4F"/>
          <w:spacing w:val="2"/>
          <w:sz w:val="12"/>
        </w:rPr>
        <w:t xml:space="preserve">Moore </w:t>
      </w:r>
      <w:r>
        <w:rPr>
          <w:color w:val="4D4D4F"/>
          <w:w w:val="110"/>
          <w:sz w:val="12"/>
        </w:rPr>
        <w:t xml:space="preserve">JL </w:t>
      </w:r>
      <w:r>
        <w:rPr>
          <w:color w:val="4D4D4F"/>
          <w:sz w:val="12"/>
        </w:rPr>
        <w:t xml:space="preserve">2019b. ‘A state-and-transition model to guide grassland management.’ Australian Journal of Botany </w:t>
      </w:r>
      <w:r>
        <w:rPr>
          <w:color w:val="4D4D4F"/>
          <w:spacing w:val="-4"/>
          <w:sz w:val="12"/>
        </w:rPr>
        <w:t xml:space="preserve">67, </w:t>
      </w:r>
      <w:r>
        <w:rPr>
          <w:color w:val="4D4D4F"/>
          <w:spacing w:val="2"/>
          <w:sz w:val="12"/>
        </w:rPr>
        <w:t>437-453.</w:t>
      </w:r>
    </w:p>
    <w:p w14:paraId="4D8F23B2" w14:textId="77777777" w:rsidR="00EF5B27" w:rsidRDefault="00000000">
      <w:pPr>
        <w:pStyle w:val="ListParagraph"/>
        <w:numPr>
          <w:ilvl w:val="0"/>
          <w:numId w:val="43"/>
        </w:numPr>
        <w:tabs>
          <w:tab w:val="left" w:pos="2836"/>
        </w:tabs>
        <w:spacing w:line="138" w:lineRule="exact"/>
        <w:rPr>
          <w:sz w:val="12"/>
        </w:rPr>
      </w:pPr>
      <w:r>
        <w:rPr>
          <w:color w:val="4D4D4F"/>
          <w:sz w:val="12"/>
        </w:rPr>
        <w:t xml:space="preserve">DELWP, internal document, provided </w:t>
      </w:r>
      <w:r>
        <w:rPr>
          <w:color w:val="4D4D4F"/>
          <w:spacing w:val="-3"/>
          <w:sz w:val="12"/>
        </w:rPr>
        <w:t xml:space="preserve">16 </w:t>
      </w:r>
      <w:r>
        <w:rPr>
          <w:color w:val="4D4D4F"/>
          <w:spacing w:val="2"/>
          <w:sz w:val="12"/>
        </w:rPr>
        <w:t>February</w:t>
      </w:r>
      <w:r>
        <w:rPr>
          <w:color w:val="4D4D4F"/>
          <w:spacing w:val="16"/>
          <w:sz w:val="12"/>
        </w:rPr>
        <w:t xml:space="preserve"> </w:t>
      </w:r>
      <w:r>
        <w:rPr>
          <w:color w:val="4D4D4F"/>
          <w:spacing w:val="2"/>
          <w:sz w:val="12"/>
        </w:rPr>
        <w:t>2022.</w:t>
      </w:r>
    </w:p>
    <w:p w14:paraId="0759502A" w14:textId="77777777" w:rsidR="00EF5B27" w:rsidRDefault="00000000">
      <w:pPr>
        <w:pStyle w:val="ListParagraph"/>
        <w:numPr>
          <w:ilvl w:val="0"/>
          <w:numId w:val="43"/>
        </w:numPr>
        <w:tabs>
          <w:tab w:val="left" w:pos="2836"/>
        </w:tabs>
        <w:spacing w:line="143" w:lineRule="exact"/>
        <w:rPr>
          <w:sz w:val="12"/>
        </w:rPr>
      </w:pPr>
      <w:r>
        <w:rPr>
          <w:color w:val="4D4D4F"/>
          <w:sz w:val="12"/>
        </w:rPr>
        <w:t xml:space="preserve">DELWP Officer, personal communication, 9 </w:t>
      </w:r>
      <w:r>
        <w:rPr>
          <w:color w:val="4D4D4F"/>
          <w:spacing w:val="2"/>
          <w:sz w:val="12"/>
        </w:rPr>
        <w:t>February</w:t>
      </w:r>
      <w:r>
        <w:rPr>
          <w:color w:val="4D4D4F"/>
          <w:spacing w:val="14"/>
          <w:sz w:val="12"/>
        </w:rPr>
        <w:t xml:space="preserve"> </w:t>
      </w:r>
      <w:r>
        <w:rPr>
          <w:color w:val="4D4D4F"/>
          <w:spacing w:val="2"/>
          <w:sz w:val="12"/>
        </w:rPr>
        <w:t>2022.</w:t>
      </w:r>
    </w:p>
    <w:p w14:paraId="08650F56"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280A12F0" w14:textId="77777777" w:rsidR="00EF5B27" w:rsidRDefault="00000000">
      <w:pPr>
        <w:pStyle w:val="BodyText"/>
      </w:pPr>
      <w:r>
        <w:lastRenderedPageBreak/>
        <w:pict w14:anchorId="64E43659">
          <v:group id="_x0000_s3426" style="position:absolute;margin-left:587.05pt;margin-top:183.4pt;width:8.25pt;height:153.1pt;z-index:251575808;mso-position-horizontal-relative:page;mso-position-vertical-relative:page" coordorigin="11741,3668" coordsize="165,3062">
            <v:shape id="_x0000_s3433" style="position:absolute;left:11741;top:3668;width:165;height:561" coordorigin="11741,3668" coordsize="165,561" path="m11906,3668r-165,l11741,4228r165,-18l11906,3668xe" fillcolor="#00aed9" stroked="f">
              <v:path arrowok="t"/>
            </v:shape>
            <v:shape id="_x0000_s3432" style="position:absolute;left:11741;top:4118;width:165;height:425" coordorigin="11741,4118" coordsize="165,425" path="m11906,4118r-165,14l11741,4531r165,12l11906,4118xe" fillcolor="#047ebc" stroked="f">
              <v:path arrowok="t"/>
            </v:shape>
            <v:shape id="_x0000_s3431" type="#_x0000_t75" style="position:absolute;left:11741;top:4355;width:165;height:587">
              <v:imagedata r:id="rId42" o:title=""/>
            </v:shape>
            <v:shape id="_x0000_s3430" style="position:absolute;left:11741;top:5343;width:165;height:536" coordorigin="11741,5343" coordsize="165,536" path="m11741,5343r,535l11906,5872r,-525l11741,5343xe" fillcolor="#f36a2e" stroked="f">
              <v:path arrowok="t"/>
            </v:shape>
            <v:shape id="_x0000_s3429" style="position:absolute;left:11741;top:4925;width:165;height:501" coordorigin="11741,4926" coordsize="165,501" path="m11741,4926r,500l11906,5426r,-485l11741,4926xe" fillcolor="#49783f" stroked="f">
              <v:path arrowok="t"/>
            </v:shape>
            <v:shape id="_x0000_s3428" style="position:absolute;left:11741;top:5781;width:165;height:268" coordorigin="11741,5782" coordsize="165,268" path="m11906,5782r-165,8l11741,6039r165,10l11906,5782xe" fillcolor="#f99f2a" stroked="f">
              <v:path arrowok="t"/>
            </v:shape>
            <v:shape id="_x0000_s3427" style="position:absolute;left:11741;top:6023;width:165;height:707" coordorigin="11741,6023" coordsize="165,707" path="m11741,6023r,706l11906,6729r,-690l11741,6023xe" fillcolor="#ef412c" stroked="f">
              <v:path arrowok="t"/>
            </v:shape>
            <w10:wrap anchorx="page" anchory="page"/>
          </v:group>
        </w:pict>
      </w:r>
    </w:p>
    <w:p w14:paraId="2585399C" w14:textId="77777777" w:rsidR="00EF5B27" w:rsidRDefault="00EF5B27">
      <w:pPr>
        <w:pStyle w:val="BodyText"/>
      </w:pPr>
    </w:p>
    <w:p w14:paraId="02FFE6E6" w14:textId="77777777" w:rsidR="00EF5B27" w:rsidRDefault="00EF5B27">
      <w:pPr>
        <w:pStyle w:val="BodyText"/>
      </w:pPr>
    </w:p>
    <w:p w14:paraId="2E49B523" w14:textId="77777777" w:rsidR="00EF5B27" w:rsidRDefault="00EF5B27">
      <w:pPr>
        <w:pStyle w:val="BodyText"/>
        <w:spacing w:before="4"/>
        <w:rPr>
          <w:sz w:val="25"/>
        </w:rPr>
      </w:pPr>
    </w:p>
    <w:p w14:paraId="5CB6C04E" w14:textId="77777777" w:rsidR="00EF5B27" w:rsidRDefault="00000000">
      <w:pPr>
        <w:pStyle w:val="BodyText"/>
        <w:spacing w:before="100" w:line="254" w:lineRule="auto"/>
        <w:ind w:left="2608" w:right="221"/>
      </w:pPr>
      <w:r>
        <w:rPr>
          <w:color w:val="4D4D4F"/>
        </w:rPr>
        <w:t xml:space="preserve">DELWP intended for this KPI to highlight changes brought about by dramatic changes  </w:t>
      </w:r>
      <w:r>
        <w:rPr>
          <w:color w:val="4D4D4F"/>
          <w:spacing w:val="-5"/>
        </w:rPr>
        <w:t xml:space="preserve">in land use </w:t>
      </w:r>
      <w:r>
        <w:rPr>
          <w:color w:val="4D4D4F"/>
          <w:spacing w:val="-7"/>
        </w:rPr>
        <w:t xml:space="preserve">leading </w:t>
      </w:r>
      <w:r>
        <w:rPr>
          <w:color w:val="4D4D4F"/>
          <w:spacing w:val="-4"/>
        </w:rPr>
        <w:t xml:space="preserve">to </w:t>
      </w:r>
      <w:r>
        <w:rPr>
          <w:color w:val="4D4D4F"/>
          <w:spacing w:val="-6"/>
        </w:rPr>
        <w:t xml:space="preserve">wholescale degradation </w:t>
      </w:r>
      <w:r>
        <w:rPr>
          <w:color w:val="4D4D4F"/>
          <w:spacing w:val="-4"/>
        </w:rPr>
        <w:t xml:space="preserve">of </w:t>
      </w:r>
      <w:r>
        <w:rPr>
          <w:color w:val="4D4D4F"/>
          <w:spacing w:val="-6"/>
        </w:rPr>
        <w:t xml:space="preserve">grasslands </w:t>
      </w:r>
      <w:r>
        <w:rPr>
          <w:color w:val="4D4D4F"/>
          <w:spacing w:val="-3"/>
        </w:rPr>
        <w:t xml:space="preserve">on </w:t>
      </w:r>
      <w:r>
        <w:rPr>
          <w:color w:val="4D4D4F"/>
          <w:spacing w:val="-5"/>
        </w:rPr>
        <w:t xml:space="preserve">large </w:t>
      </w:r>
      <w:r>
        <w:rPr>
          <w:color w:val="4D4D4F"/>
          <w:spacing w:val="-6"/>
        </w:rPr>
        <w:t xml:space="preserve">scales </w:t>
      </w:r>
      <w:r>
        <w:rPr>
          <w:color w:val="4D4D4F"/>
          <w:spacing w:val="-7"/>
        </w:rPr>
        <w:t xml:space="preserve">(e.g. </w:t>
      </w:r>
      <w:r>
        <w:rPr>
          <w:color w:val="4D4D4F"/>
          <w:spacing w:val="-6"/>
        </w:rPr>
        <w:t xml:space="preserve">conversion   </w:t>
      </w:r>
      <w:r>
        <w:rPr>
          <w:color w:val="4D4D4F"/>
          <w:spacing w:val="-4"/>
        </w:rPr>
        <w:t xml:space="preserve">to </w:t>
      </w:r>
      <w:r>
        <w:rPr>
          <w:color w:val="4D4D4F"/>
          <w:spacing w:val="-5"/>
        </w:rPr>
        <w:t xml:space="preserve">cropping, </w:t>
      </w:r>
      <w:r>
        <w:rPr>
          <w:color w:val="4D4D4F"/>
          <w:spacing w:val="-6"/>
        </w:rPr>
        <w:t xml:space="preserve">fertiliser  application,  </w:t>
      </w:r>
      <w:r>
        <w:rPr>
          <w:color w:val="4D4D4F"/>
          <w:spacing w:val="-3"/>
        </w:rPr>
        <w:t xml:space="preserve">heavy </w:t>
      </w:r>
      <w:r>
        <w:rPr>
          <w:color w:val="4D4D4F"/>
          <w:spacing w:val="-4"/>
        </w:rPr>
        <w:t xml:space="preserve">and </w:t>
      </w:r>
      <w:r>
        <w:rPr>
          <w:color w:val="4D4D4F"/>
          <w:spacing w:val="-5"/>
        </w:rPr>
        <w:t xml:space="preserve">ongoing grazing which </w:t>
      </w:r>
      <w:r>
        <w:rPr>
          <w:color w:val="4D4D4F"/>
          <w:spacing w:val="-4"/>
        </w:rPr>
        <w:t xml:space="preserve">impacts </w:t>
      </w:r>
      <w:r>
        <w:rPr>
          <w:color w:val="4D4D4F"/>
          <w:spacing w:val="-3"/>
        </w:rPr>
        <w:t xml:space="preserve">on </w:t>
      </w:r>
      <w:r>
        <w:rPr>
          <w:rFonts w:ascii="Arial Narrow"/>
          <w:i/>
          <w:color w:val="4D4D4F"/>
          <w:spacing w:val="-7"/>
        </w:rPr>
        <w:t>Themeda</w:t>
      </w:r>
      <w:r>
        <w:rPr>
          <w:color w:val="4D4D4F"/>
          <w:spacing w:val="-7"/>
        </w:rPr>
        <w:t>).</w:t>
      </w:r>
      <w:r>
        <w:rPr>
          <w:color w:val="4D4D4F"/>
          <w:spacing w:val="-7"/>
          <w:position w:val="7"/>
          <w:sz w:val="11"/>
        </w:rPr>
        <w:t xml:space="preserve">132  </w:t>
      </w:r>
      <w:r>
        <w:rPr>
          <w:color w:val="4D4D4F"/>
          <w:spacing w:val="-3"/>
        </w:rPr>
        <w:t xml:space="preserve">It </w:t>
      </w:r>
      <w:r>
        <w:rPr>
          <w:color w:val="4D4D4F"/>
          <w:spacing w:val="-4"/>
        </w:rPr>
        <w:t xml:space="preserve">was not </w:t>
      </w:r>
      <w:r>
        <w:rPr>
          <w:color w:val="4D4D4F"/>
          <w:spacing w:val="-6"/>
        </w:rPr>
        <w:t xml:space="preserve">intended </w:t>
      </w:r>
      <w:r>
        <w:rPr>
          <w:color w:val="4D4D4F"/>
          <w:spacing w:val="-4"/>
        </w:rPr>
        <w:t xml:space="preserve">to </w:t>
      </w:r>
      <w:r>
        <w:rPr>
          <w:color w:val="4D4D4F"/>
          <w:spacing w:val="-5"/>
        </w:rPr>
        <w:t xml:space="preserve">deal </w:t>
      </w:r>
      <w:r>
        <w:rPr>
          <w:color w:val="4D4D4F"/>
          <w:spacing w:val="-4"/>
        </w:rPr>
        <w:t xml:space="preserve">with </w:t>
      </w:r>
      <w:r>
        <w:rPr>
          <w:color w:val="4D4D4F"/>
          <w:spacing w:val="-5"/>
        </w:rPr>
        <w:t xml:space="preserve">incremental changes </w:t>
      </w:r>
      <w:r>
        <w:rPr>
          <w:color w:val="4D4D4F"/>
          <w:spacing w:val="-3"/>
        </w:rPr>
        <w:t xml:space="preserve">on </w:t>
      </w:r>
      <w:r>
        <w:rPr>
          <w:color w:val="4D4D4F"/>
        </w:rPr>
        <w:t xml:space="preserve">a </w:t>
      </w:r>
      <w:r>
        <w:rPr>
          <w:color w:val="4D4D4F"/>
          <w:spacing w:val="-3"/>
        </w:rPr>
        <w:t xml:space="preserve">fine </w:t>
      </w:r>
      <w:r>
        <w:rPr>
          <w:color w:val="4D4D4F"/>
          <w:spacing w:val="-5"/>
        </w:rPr>
        <w:t xml:space="preserve">scale, </w:t>
      </w:r>
      <w:r>
        <w:rPr>
          <w:color w:val="4D4D4F"/>
          <w:spacing w:val="-4"/>
        </w:rPr>
        <w:t xml:space="preserve">with </w:t>
      </w:r>
      <w:r>
        <w:rPr>
          <w:color w:val="4D4D4F"/>
          <w:spacing w:val="-5"/>
        </w:rPr>
        <w:t xml:space="preserve">other </w:t>
      </w:r>
      <w:r>
        <w:rPr>
          <w:color w:val="4D4D4F"/>
          <w:spacing w:val="-4"/>
        </w:rPr>
        <w:t xml:space="preserve">KPIs </w:t>
      </w:r>
      <w:r>
        <w:rPr>
          <w:color w:val="4D4D4F"/>
          <w:spacing w:val="-5"/>
        </w:rPr>
        <w:t xml:space="preserve">being </w:t>
      </w:r>
      <w:r>
        <w:rPr>
          <w:color w:val="4D4D4F"/>
        </w:rPr>
        <w:t>more appropriate for</w:t>
      </w:r>
      <w:r>
        <w:rPr>
          <w:color w:val="4D4D4F"/>
          <w:spacing w:val="11"/>
        </w:rPr>
        <w:t xml:space="preserve"> </w:t>
      </w:r>
      <w:r>
        <w:rPr>
          <w:color w:val="4D4D4F"/>
        </w:rPr>
        <w:t>this.</w:t>
      </w:r>
    </w:p>
    <w:p w14:paraId="69FC50D7" w14:textId="77777777" w:rsidR="00EF5B27" w:rsidRDefault="00000000">
      <w:pPr>
        <w:pStyle w:val="Heading6"/>
        <w:spacing w:before="120"/>
      </w:pPr>
      <w:r>
        <w:rPr>
          <w:color w:val="4D4D4F"/>
        </w:rPr>
        <w:t>KPI 2 – cover of native forbs</w:t>
      </w:r>
    </w:p>
    <w:p w14:paraId="0FB64683" w14:textId="77777777" w:rsidR="00EF5B27" w:rsidRDefault="00000000">
      <w:pPr>
        <w:pStyle w:val="BodyText"/>
        <w:spacing w:before="129" w:line="254" w:lineRule="auto"/>
        <w:ind w:left="2608" w:right="147"/>
      </w:pPr>
      <w:r>
        <w:rPr>
          <w:color w:val="4D4D4F"/>
        </w:rPr>
        <w:t xml:space="preserve">With respect to the </w:t>
      </w:r>
      <w:r>
        <w:rPr>
          <w:color w:val="4D4D4F"/>
          <w:spacing w:val="-4"/>
        </w:rPr>
        <w:t xml:space="preserve">maintenance </w:t>
      </w:r>
      <w:r>
        <w:rPr>
          <w:color w:val="4D4D4F"/>
        </w:rPr>
        <w:t xml:space="preserve">of </w:t>
      </w:r>
      <w:r>
        <w:rPr>
          <w:color w:val="4D4D4F"/>
          <w:spacing w:val="-3"/>
        </w:rPr>
        <w:t xml:space="preserve">native </w:t>
      </w:r>
      <w:r>
        <w:rPr>
          <w:color w:val="4D4D4F"/>
        </w:rPr>
        <w:t xml:space="preserve">forb </w:t>
      </w:r>
      <w:r>
        <w:rPr>
          <w:color w:val="4D4D4F"/>
          <w:spacing w:val="-5"/>
        </w:rPr>
        <w:t xml:space="preserve">cover, </w:t>
      </w:r>
      <w:r>
        <w:rPr>
          <w:color w:val="4D4D4F"/>
        </w:rPr>
        <w:t xml:space="preserve">KPI 2 has been </w:t>
      </w:r>
      <w:r>
        <w:rPr>
          <w:color w:val="4D4D4F"/>
          <w:spacing w:val="-2"/>
        </w:rPr>
        <w:t xml:space="preserve">met for </w:t>
      </w:r>
      <w:r>
        <w:rPr>
          <w:color w:val="4D4D4F"/>
        </w:rPr>
        <w:t xml:space="preserve">two </w:t>
      </w:r>
      <w:r>
        <w:rPr>
          <w:color w:val="4D4D4F"/>
          <w:spacing w:val="-3"/>
        </w:rPr>
        <w:t xml:space="preserve">states: Herb-rich </w:t>
      </w:r>
      <w:r>
        <w:rPr>
          <w:color w:val="4D4D4F"/>
          <w:spacing w:val="-4"/>
        </w:rPr>
        <w:t xml:space="preserve">grassland </w:t>
      </w:r>
      <w:r>
        <w:rPr>
          <w:color w:val="4D4D4F"/>
          <w:spacing w:val="-3"/>
        </w:rPr>
        <w:t xml:space="preserve">and </w:t>
      </w:r>
      <w:r>
        <w:rPr>
          <w:rFonts w:ascii="Arial Narrow" w:hAnsi="Arial Narrow"/>
          <w:i/>
          <w:color w:val="4D4D4F"/>
          <w:spacing w:val="-5"/>
        </w:rPr>
        <w:t xml:space="preserve">Themeda </w:t>
      </w:r>
      <w:r>
        <w:rPr>
          <w:color w:val="4D4D4F"/>
          <w:spacing w:val="-4"/>
        </w:rPr>
        <w:t xml:space="preserve">grassland; </w:t>
      </w:r>
      <w:r>
        <w:rPr>
          <w:color w:val="4D4D4F"/>
          <w:spacing w:val="-3"/>
        </w:rPr>
        <w:t xml:space="preserve">and not </w:t>
      </w:r>
      <w:r>
        <w:rPr>
          <w:color w:val="4D4D4F"/>
          <w:spacing w:val="-4"/>
        </w:rPr>
        <w:t xml:space="preserve">met for </w:t>
      </w:r>
      <w:r>
        <w:rPr>
          <w:color w:val="4D4D4F"/>
          <w:spacing w:val="-3"/>
        </w:rPr>
        <w:t xml:space="preserve">one </w:t>
      </w:r>
      <w:r>
        <w:rPr>
          <w:color w:val="4D4D4F"/>
          <w:spacing w:val="-4"/>
        </w:rPr>
        <w:t xml:space="preserve">state, </w:t>
      </w:r>
      <w:r>
        <w:rPr>
          <w:color w:val="4D4D4F"/>
          <w:spacing w:val="-5"/>
        </w:rPr>
        <w:t xml:space="preserve">Nutrient-enriched </w:t>
      </w:r>
      <w:r>
        <w:rPr>
          <w:color w:val="4D4D4F"/>
        </w:rPr>
        <w:t xml:space="preserve">grassland. According to </w:t>
      </w:r>
      <w:r>
        <w:rPr>
          <w:color w:val="4D4D4F"/>
          <w:spacing w:val="-6"/>
        </w:rPr>
        <w:t xml:space="preserve">DELWP, </w:t>
      </w:r>
      <w:r>
        <w:rPr>
          <w:color w:val="4D4D4F"/>
        </w:rPr>
        <w:t xml:space="preserve">the </w:t>
      </w:r>
      <w:r>
        <w:rPr>
          <w:color w:val="4D4D4F"/>
          <w:spacing w:val="-3"/>
        </w:rPr>
        <w:t xml:space="preserve">decline </w:t>
      </w:r>
      <w:r>
        <w:rPr>
          <w:color w:val="4D4D4F"/>
        </w:rPr>
        <w:t xml:space="preserve">of forbs </w:t>
      </w:r>
      <w:r>
        <w:rPr>
          <w:color w:val="4D4D4F"/>
          <w:spacing w:val="-3"/>
        </w:rPr>
        <w:t xml:space="preserve">in Nutrient-enriched </w:t>
      </w:r>
      <w:r>
        <w:rPr>
          <w:color w:val="4D4D4F"/>
        </w:rPr>
        <w:t xml:space="preserve">grassland may be attributable to two sources: </w:t>
      </w:r>
      <w:r>
        <w:rPr>
          <w:color w:val="4D4D4F"/>
          <w:spacing w:val="-10"/>
        </w:rPr>
        <w:t xml:space="preserve">1) </w:t>
      </w:r>
      <w:r>
        <w:rPr>
          <w:color w:val="4D4D4F"/>
        </w:rPr>
        <w:t xml:space="preserve">new properties being acquired which have low forb cover </w:t>
      </w:r>
      <w:r>
        <w:rPr>
          <w:color w:val="4D4D4F"/>
          <w:spacing w:val="-3"/>
        </w:rPr>
        <w:t xml:space="preserve">(e.g. </w:t>
      </w:r>
      <w:r>
        <w:rPr>
          <w:color w:val="4D4D4F"/>
        </w:rPr>
        <w:t xml:space="preserve">Argoona </w:t>
      </w:r>
      <w:r>
        <w:rPr>
          <w:color w:val="4D4D4F"/>
          <w:spacing w:val="-4"/>
        </w:rPr>
        <w:t>Rd).</w:t>
      </w:r>
      <w:r>
        <w:rPr>
          <w:color w:val="4D4D4F"/>
          <w:spacing w:val="-4"/>
          <w:position w:val="7"/>
          <w:sz w:val="11"/>
        </w:rPr>
        <w:t xml:space="preserve">133 </w:t>
      </w:r>
      <w:r>
        <w:rPr>
          <w:color w:val="4D4D4F"/>
        </w:rPr>
        <w:t xml:space="preserve">When added to the dataset, they cause an overall decrease </w:t>
      </w:r>
      <w:r>
        <w:rPr>
          <w:color w:val="4D4D4F"/>
          <w:spacing w:val="-3"/>
        </w:rPr>
        <w:t xml:space="preserve">in </w:t>
      </w:r>
      <w:r>
        <w:rPr>
          <w:color w:val="4D4D4F"/>
          <w:spacing w:val="-5"/>
        </w:rPr>
        <w:t xml:space="preserve">mean cover </w:t>
      </w:r>
      <w:r>
        <w:rPr>
          <w:color w:val="4D4D4F"/>
          <w:spacing w:val="-7"/>
        </w:rPr>
        <w:t xml:space="preserve">(despite </w:t>
      </w:r>
      <w:r>
        <w:rPr>
          <w:color w:val="4D4D4F"/>
          <w:spacing w:val="-6"/>
        </w:rPr>
        <w:t xml:space="preserve">DELWP’s </w:t>
      </w:r>
      <w:r>
        <w:rPr>
          <w:color w:val="4D4D4F"/>
          <w:spacing w:val="-4"/>
        </w:rPr>
        <w:t xml:space="preserve">approach to </w:t>
      </w:r>
      <w:r>
        <w:rPr>
          <w:color w:val="4D4D4F"/>
          <w:spacing w:val="-5"/>
        </w:rPr>
        <w:t xml:space="preserve">‘dampen’ </w:t>
      </w:r>
      <w:r>
        <w:rPr>
          <w:color w:val="4D4D4F"/>
          <w:spacing w:val="-6"/>
        </w:rPr>
        <w:t xml:space="preserve">this </w:t>
      </w:r>
      <w:r>
        <w:rPr>
          <w:color w:val="4D4D4F"/>
          <w:spacing w:val="-4"/>
        </w:rPr>
        <w:t xml:space="preserve">effect) and </w:t>
      </w:r>
      <w:r>
        <w:rPr>
          <w:color w:val="4D4D4F"/>
          <w:spacing w:val="-5"/>
        </w:rPr>
        <w:t xml:space="preserve">2) </w:t>
      </w:r>
      <w:r>
        <w:rPr>
          <w:color w:val="4D4D4F"/>
          <w:spacing w:val="-6"/>
        </w:rPr>
        <w:t xml:space="preserve">increasing </w:t>
      </w:r>
      <w:r>
        <w:rPr>
          <w:color w:val="4D4D4F"/>
          <w:spacing w:val="-5"/>
        </w:rPr>
        <w:t xml:space="preserve">biomass levels </w:t>
      </w:r>
      <w:r>
        <w:rPr>
          <w:color w:val="4D4D4F"/>
          <w:spacing w:val="-4"/>
        </w:rPr>
        <w:t xml:space="preserve">after the </w:t>
      </w:r>
      <w:r>
        <w:rPr>
          <w:color w:val="4D4D4F"/>
          <w:spacing w:val="-5"/>
        </w:rPr>
        <w:t xml:space="preserve">cessation </w:t>
      </w:r>
      <w:r>
        <w:rPr>
          <w:color w:val="4D4D4F"/>
          <w:spacing w:val="-3"/>
        </w:rPr>
        <w:t xml:space="preserve">of </w:t>
      </w:r>
      <w:r>
        <w:rPr>
          <w:color w:val="4D4D4F"/>
          <w:spacing w:val="-5"/>
        </w:rPr>
        <w:t xml:space="preserve">grazing, </w:t>
      </w:r>
      <w:r>
        <w:rPr>
          <w:color w:val="4D4D4F"/>
          <w:spacing w:val="-6"/>
        </w:rPr>
        <w:t xml:space="preserve">causing </w:t>
      </w:r>
      <w:r>
        <w:rPr>
          <w:color w:val="4D4D4F"/>
          <w:spacing w:val="-5"/>
        </w:rPr>
        <w:t xml:space="preserve">the </w:t>
      </w:r>
      <w:r>
        <w:rPr>
          <w:color w:val="4D4D4F"/>
          <w:spacing w:val="-6"/>
        </w:rPr>
        <w:t xml:space="preserve">competitive </w:t>
      </w:r>
      <w:r>
        <w:rPr>
          <w:color w:val="4D4D4F"/>
          <w:spacing w:val="-7"/>
        </w:rPr>
        <w:t xml:space="preserve">exclusion </w:t>
      </w:r>
      <w:r>
        <w:rPr>
          <w:color w:val="4D4D4F"/>
          <w:spacing w:val="-4"/>
        </w:rPr>
        <w:t xml:space="preserve">of </w:t>
      </w:r>
      <w:r>
        <w:rPr>
          <w:color w:val="4D4D4F"/>
          <w:spacing w:val="-5"/>
        </w:rPr>
        <w:t xml:space="preserve">those </w:t>
      </w:r>
      <w:r>
        <w:rPr>
          <w:color w:val="4D4D4F"/>
          <w:spacing w:val="-6"/>
        </w:rPr>
        <w:t xml:space="preserve">native </w:t>
      </w:r>
      <w:r>
        <w:rPr>
          <w:color w:val="4D4D4F"/>
          <w:spacing w:val="-5"/>
        </w:rPr>
        <w:t xml:space="preserve">forbs </w:t>
      </w:r>
      <w:r>
        <w:rPr>
          <w:color w:val="4D4D4F"/>
        </w:rPr>
        <w:t xml:space="preserve">which prosper under </w:t>
      </w:r>
      <w:r>
        <w:rPr>
          <w:color w:val="4D4D4F"/>
          <w:spacing w:val="-3"/>
        </w:rPr>
        <w:t xml:space="preserve">grazing </w:t>
      </w:r>
      <w:r>
        <w:rPr>
          <w:color w:val="4D4D4F"/>
          <w:spacing w:val="-4"/>
        </w:rPr>
        <w:t xml:space="preserve">(e.g. </w:t>
      </w:r>
      <w:r>
        <w:rPr>
          <w:color w:val="4D4D4F"/>
          <w:spacing w:val="-3"/>
        </w:rPr>
        <w:t xml:space="preserve">Atriplex semibaccata). This </w:t>
      </w:r>
      <w:r>
        <w:rPr>
          <w:color w:val="4D4D4F"/>
        </w:rPr>
        <w:t xml:space="preserve">loss </w:t>
      </w:r>
      <w:r>
        <w:rPr>
          <w:color w:val="4D4D4F"/>
          <w:spacing w:val="-3"/>
        </w:rPr>
        <w:t xml:space="preserve">is </w:t>
      </w:r>
      <w:r>
        <w:rPr>
          <w:color w:val="4D4D4F"/>
        </w:rPr>
        <w:t>exacerbated by the failure of other forb species to recolonise ungrazed grasslands, due to their need for open space, combined with their rarity in the landscape and low dispersal ability.</w:t>
      </w:r>
    </w:p>
    <w:p w14:paraId="5EBBD379" w14:textId="77777777" w:rsidR="00EF5B27" w:rsidRDefault="00000000">
      <w:pPr>
        <w:pStyle w:val="BodyText"/>
        <w:spacing w:before="126" w:line="254" w:lineRule="auto"/>
        <w:ind w:left="2608"/>
      </w:pPr>
      <w:r>
        <w:rPr>
          <w:color w:val="4D4D4F"/>
        </w:rPr>
        <w:t>DELWP suspects that rectifying this problem in state Nutrient-enriched grassland will likely require:</w:t>
      </w:r>
    </w:p>
    <w:p w14:paraId="66ACB886" w14:textId="77777777" w:rsidR="00EF5B27" w:rsidRDefault="00000000">
      <w:pPr>
        <w:pStyle w:val="ListParagraph"/>
        <w:numPr>
          <w:ilvl w:val="1"/>
          <w:numId w:val="47"/>
        </w:numPr>
        <w:tabs>
          <w:tab w:val="left" w:pos="2779"/>
        </w:tabs>
        <w:spacing w:before="115" w:line="254" w:lineRule="auto"/>
        <w:ind w:right="512"/>
        <w:rPr>
          <w:sz w:val="20"/>
        </w:rPr>
      </w:pPr>
      <w:r>
        <w:rPr>
          <w:color w:val="4D4D4F"/>
          <w:sz w:val="20"/>
        </w:rPr>
        <w:t>improved interim management to ensure that newly protected properties are in relatively good</w:t>
      </w:r>
      <w:r>
        <w:rPr>
          <w:color w:val="4D4D4F"/>
          <w:spacing w:val="7"/>
          <w:sz w:val="20"/>
        </w:rPr>
        <w:t xml:space="preserve"> </w:t>
      </w:r>
      <w:r>
        <w:rPr>
          <w:color w:val="4D4D4F"/>
          <w:sz w:val="20"/>
        </w:rPr>
        <w:t>condition</w:t>
      </w:r>
    </w:p>
    <w:p w14:paraId="0B2FD848" w14:textId="77777777" w:rsidR="00EF5B27" w:rsidRDefault="00000000">
      <w:pPr>
        <w:pStyle w:val="ListParagraph"/>
        <w:numPr>
          <w:ilvl w:val="1"/>
          <w:numId w:val="47"/>
        </w:numPr>
        <w:tabs>
          <w:tab w:val="left" w:pos="2779"/>
        </w:tabs>
        <w:spacing w:before="116" w:line="254" w:lineRule="auto"/>
        <w:ind w:right="363"/>
        <w:rPr>
          <w:sz w:val="20"/>
        </w:rPr>
      </w:pPr>
      <w:r>
        <w:rPr>
          <w:color w:val="4D4D4F"/>
          <w:sz w:val="20"/>
        </w:rPr>
        <w:t>biomass control, via either a return to grazing regimes sufficient to provide space for the forbs or the introduction of fire regimes, coupled</w:t>
      </w:r>
      <w:r>
        <w:rPr>
          <w:color w:val="4D4D4F"/>
          <w:spacing w:val="29"/>
          <w:sz w:val="20"/>
        </w:rPr>
        <w:t xml:space="preserve"> </w:t>
      </w:r>
      <w:r>
        <w:rPr>
          <w:color w:val="4D4D4F"/>
          <w:sz w:val="20"/>
        </w:rPr>
        <w:t>with</w:t>
      </w:r>
    </w:p>
    <w:p w14:paraId="4588EF57" w14:textId="77777777" w:rsidR="00EF5B27" w:rsidRDefault="00000000">
      <w:pPr>
        <w:pStyle w:val="ListParagraph"/>
        <w:numPr>
          <w:ilvl w:val="1"/>
          <w:numId w:val="47"/>
        </w:numPr>
        <w:tabs>
          <w:tab w:val="left" w:pos="2779"/>
        </w:tabs>
        <w:spacing w:before="116"/>
        <w:rPr>
          <w:sz w:val="11"/>
        </w:rPr>
      </w:pPr>
      <w:r>
        <w:rPr>
          <w:color w:val="4D4D4F"/>
          <w:sz w:val="20"/>
        </w:rPr>
        <w:t>specific efforts to re-introduce those forbs that are</w:t>
      </w:r>
      <w:r>
        <w:rPr>
          <w:color w:val="4D4D4F"/>
          <w:spacing w:val="35"/>
          <w:sz w:val="20"/>
        </w:rPr>
        <w:t xml:space="preserve"> </w:t>
      </w:r>
      <w:r>
        <w:rPr>
          <w:color w:val="4D4D4F"/>
          <w:sz w:val="20"/>
        </w:rPr>
        <w:t>lacking.</w:t>
      </w:r>
      <w:r>
        <w:rPr>
          <w:color w:val="4D4D4F"/>
          <w:position w:val="7"/>
          <w:sz w:val="11"/>
        </w:rPr>
        <w:t>134</w:t>
      </w:r>
    </w:p>
    <w:p w14:paraId="3152A463" w14:textId="77777777" w:rsidR="00EF5B27" w:rsidRDefault="00000000">
      <w:pPr>
        <w:pStyle w:val="Heading6"/>
        <w:spacing w:before="129"/>
      </w:pPr>
      <w:r>
        <w:rPr>
          <w:color w:val="4D4D4F"/>
        </w:rPr>
        <w:t>KPI 3 – maintenance of native forb richness</w:t>
      </w:r>
    </w:p>
    <w:p w14:paraId="4A794441" w14:textId="77777777" w:rsidR="00EF5B27" w:rsidRDefault="00000000">
      <w:pPr>
        <w:pStyle w:val="BodyText"/>
        <w:spacing w:before="130" w:line="254" w:lineRule="auto"/>
        <w:ind w:left="2608" w:right="308"/>
      </w:pPr>
      <w:r>
        <w:rPr>
          <w:color w:val="4D4D4F"/>
        </w:rPr>
        <w:t xml:space="preserve">With respect to native forb richness, KPI 3 has been met in the three states for which assessment is possible: Herb-rich grassland, </w:t>
      </w:r>
      <w:r>
        <w:rPr>
          <w:rFonts w:ascii="Arial Narrow"/>
          <w:i/>
          <w:color w:val="4D4D4F"/>
        </w:rPr>
        <w:t xml:space="preserve">Themeda </w:t>
      </w:r>
      <w:r>
        <w:rPr>
          <w:color w:val="4D4D4F"/>
        </w:rPr>
        <w:t>grassland, and Nutrient- enriched grassland. The baseline has not yet been set for the other states because these states are not yet sufficiently protected. It is suspected the same factors noted for KPI 2 are relevant to KPI</w:t>
      </w:r>
      <w:r>
        <w:rPr>
          <w:color w:val="4D4D4F"/>
          <w:spacing w:val="32"/>
        </w:rPr>
        <w:t xml:space="preserve"> </w:t>
      </w:r>
      <w:r>
        <w:rPr>
          <w:color w:val="4D4D4F"/>
        </w:rPr>
        <w:t>3.</w:t>
      </w:r>
    </w:p>
    <w:p w14:paraId="293C46BC" w14:textId="77777777" w:rsidR="00EF5B27" w:rsidRDefault="00000000">
      <w:pPr>
        <w:pStyle w:val="Heading6"/>
        <w:spacing w:before="119"/>
      </w:pPr>
      <w:r>
        <w:rPr>
          <w:color w:val="4D4D4F"/>
        </w:rPr>
        <w:t>KPI 4 – maintenance of Kangaroo Grass cover</w:t>
      </w:r>
    </w:p>
    <w:p w14:paraId="08725AF7" w14:textId="77777777" w:rsidR="00EF5B27" w:rsidRDefault="00000000">
      <w:pPr>
        <w:pStyle w:val="BodyText"/>
        <w:spacing w:before="129" w:line="254" w:lineRule="auto"/>
        <w:ind w:left="2608" w:right="322"/>
      </w:pPr>
      <w:r>
        <w:rPr>
          <w:color w:val="4D4D4F"/>
        </w:rPr>
        <w:t xml:space="preserve">With respect to the maintenance of Kangaroo Grass </w:t>
      </w:r>
      <w:r>
        <w:rPr>
          <w:color w:val="4D4D4F"/>
          <w:spacing w:val="-4"/>
        </w:rPr>
        <w:t xml:space="preserve">cover,  </w:t>
      </w:r>
      <w:r>
        <w:rPr>
          <w:color w:val="4D4D4F"/>
        </w:rPr>
        <w:t xml:space="preserve">KPI 4 has been met for   all states where it can be assessed Herb-rich grassland, </w:t>
      </w:r>
      <w:r>
        <w:rPr>
          <w:rFonts w:ascii="Arial Narrow"/>
          <w:i/>
          <w:color w:val="4D4D4F"/>
        </w:rPr>
        <w:t xml:space="preserve">Themeda </w:t>
      </w:r>
      <w:r>
        <w:rPr>
          <w:color w:val="4D4D4F"/>
        </w:rPr>
        <w:t>grassland and Nutrient-enriched</w:t>
      </w:r>
      <w:r>
        <w:rPr>
          <w:color w:val="4D4D4F"/>
          <w:spacing w:val="11"/>
        </w:rPr>
        <w:t xml:space="preserve"> </w:t>
      </w:r>
      <w:r>
        <w:rPr>
          <w:color w:val="4D4D4F"/>
        </w:rPr>
        <w:t>grassland.</w:t>
      </w:r>
      <w:r>
        <w:rPr>
          <w:color w:val="4D4D4F"/>
          <w:spacing w:val="11"/>
        </w:rPr>
        <w:t xml:space="preserve"> </w:t>
      </w:r>
      <w:r>
        <w:rPr>
          <w:color w:val="4D4D4F"/>
        </w:rPr>
        <w:t>DELWP</w:t>
      </w:r>
      <w:r>
        <w:rPr>
          <w:color w:val="4D4D4F"/>
          <w:spacing w:val="11"/>
        </w:rPr>
        <w:t xml:space="preserve"> </w:t>
      </w:r>
      <w:r>
        <w:rPr>
          <w:color w:val="4D4D4F"/>
        </w:rPr>
        <w:t>has</w:t>
      </w:r>
      <w:r>
        <w:rPr>
          <w:color w:val="4D4D4F"/>
          <w:spacing w:val="11"/>
        </w:rPr>
        <w:t xml:space="preserve"> </w:t>
      </w:r>
      <w:r>
        <w:rPr>
          <w:color w:val="4D4D4F"/>
        </w:rPr>
        <w:t>indicated</w:t>
      </w:r>
      <w:r>
        <w:rPr>
          <w:color w:val="4D4D4F"/>
          <w:spacing w:val="11"/>
        </w:rPr>
        <w:t xml:space="preserve"> </w:t>
      </w:r>
      <w:r>
        <w:rPr>
          <w:color w:val="4D4D4F"/>
        </w:rPr>
        <w:t>that</w:t>
      </w:r>
      <w:r>
        <w:rPr>
          <w:color w:val="4D4D4F"/>
          <w:spacing w:val="11"/>
        </w:rPr>
        <w:t xml:space="preserve"> </w:t>
      </w:r>
      <w:r>
        <w:rPr>
          <w:color w:val="4D4D4F"/>
        </w:rPr>
        <w:t>the</w:t>
      </w:r>
      <w:r>
        <w:rPr>
          <w:color w:val="4D4D4F"/>
          <w:spacing w:val="12"/>
        </w:rPr>
        <w:t xml:space="preserve"> </w:t>
      </w:r>
      <w:r>
        <w:rPr>
          <w:color w:val="4D4D4F"/>
        </w:rPr>
        <w:t>persistence</w:t>
      </w:r>
      <w:r>
        <w:rPr>
          <w:color w:val="4D4D4F"/>
          <w:spacing w:val="11"/>
        </w:rPr>
        <w:t xml:space="preserve"> </w:t>
      </w:r>
      <w:r>
        <w:rPr>
          <w:color w:val="4D4D4F"/>
        </w:rPr>
        <w:t>of</w:t>
      </w:r>
      <w:r>
        <w:rPr>
          <w:color w:val="4D4D4F"/>
          <w:spacing w:val="11"/>
        </w:rPr>
        <w:t xml:space="preserve"> </w:t>
      </w:r>
      <w:r>
        <w:rPr>
          <w:color w:val="4D4D4F"/>
        </w:rPr>
        <w:t>Kangaroo</w:t>
      </w:r>
    </w:p>
    <w:p w14:paraId="26185FD8" w14:textId="77777777" w:rsidR="00EF5B27" w:rsidRDefault="00000000">
      <w:pPr>
        <w:pStyle w:val="BodyText"/>
        <w:spacing w:before="4" w:line="254" w:lineRule="auto"/>
        <w:ind w:left="2608" w:right="158" w:hanging="1"/>
      </w:pPr>
      <w:r>
        <w:rPr>
          <w:color w:val="4D4D4F"/>
        </w:rPr>
        <w:t xml:space="preserve">Grass in sites where it occurs is currently not a major </w:t>
      </w:r>
      <w:r>
        <w:rPr>
          <w:color w:val="4D4D4F"/>
          <w:spacing w:val="-3"/>
        </w:rPr>
        <w:t>issue.</w:t>
      </w:r>
      <w:r>
        <w:rPr>
          <w:color w:val="4D4D4F"/>
          <w:spacing w:val="-3"/>
          <w:position w:val="7"/>
          <w:sz w:val="11"/>
        </w:rPr>
        <w:t xml:space="preserve">135  </w:t>
      </w:r>
      <w:r>
        <w:rPr>
          <w:color w:val="4D4D4F"/>
        </w:rPr>
        <w:t xml:space="preserve">The species appears to  be increasing </w:t>
      </w:r>
      <w:r>
        <w:rPr>
          <w:color w:val="4D4D4F"/>
          <w:spacing w:val="-3"/>
        </w:rPr>
        <w:t xml:space="preserve">slightly </w:t>
      </w:r>
      <w:r>
        <w:rPr>
          <w:color w:val="4D4D4F"/>
        </w:rPr>
        <w:t xml:space="preserve">in cover in states Herb-rich grassland and </w:t>
      </w:r>
      <w:r>
        <w:rPr>
          <w:rFonts w:ascii="Arial Narrow"/>
          <w:i/>
          <w:color w:val="4D4D4F"/>
        </w:rPr>
        <w:t xml:space="preserve">Themeda </w:t>
      </w:r>
      <w:r>
        <w:rPr>
          <w:color w:val="4D4D4F"/>
        </w:rPr>
        <w:t xml:space="preserve">grassland. Kangaroo Grass is effectively absent in all other states, with the baseline set at </w:t>
      </w:r>
      <w:r>
        <w:rPr>
          <w:color w:val="4D4D4F"/>
          <w:spacing w:val="2"/>
        </w:rPr>
        <w:t xml:space="preserve">0% </w:t>
      </w:r>
      <w:r>
        <w:rPr>
          <w:color w:val="4D4D4F"/>
        </w:rPr>
        <w:t xml:space="preserve">for Nutrient-enriched grassland, and </w:t>
      </w:r>
      <w:r>
        <w:rPr>
          <w:color w:val="4D4D4F"/>
          <w:spacing w:val="-3"/>
        </w:rPr>
        <w:t xml:space="preserve">likely </w:t>
      </w:r>
      <w:r>
        <w:rPr>
          <w:color w:val="4D4D4F"/>
        </w:rPr>
        <w:t xml:space="preserve">to be set at </w:t>
      </w:r>
      <w:r>
        <w:rPr>
          <w:color w:val="4D4D4F"/>
          <w:spacing w:val="2"/>
        </w:rPr>
        <w:t xml:space="preserve">0% </w:t>
      </w:r>
      <w:r>
        <w:rPr>
          <w:color w:val="4D4D4F"/>
        </w:rPr>
        <w:t>for the other states in coming years. This will mean that this KPI is never breached in these states, however efforts   to increase Kangaroo Grass cover in these states could be accelerated, hopefully leading to non-zero benchmarks in</w:t>
      </w:r>
      <w:r>
        <w:rPr>
          <w:color w:val="4D4D4F"/>
          <w:spacing w:val="20"/>
        </w:rPr>
        <w:t xml:space="preserve"> </w:t>
      </w:r>
      <w:r>
        <w:rPr>
          <w:color w:val="4D4D4F"/>
        </w:rPr>
        <w:t>future.</w:t>
      </w:r>
    </w:p>
    <w:p w14:paraId="10219818" w14:textId="77777777" w:rsidR="00EF5B27" w:rsidRDefault="00EF5B27">
      <w:pPr>
        <w:pStyle w:val="BodyText"/>
      </w:pPr>
    </w:p>
    <w:p w14:paraId="73D49427" w14:textId="77777777" w:rsidR="00EF5B27" w:rsidRDefault="00EF5B27">
      <w:pPr>
        <w:pStyle w:val="BodyText"/>
      </w:pPr>
    </w:p>
    <w:p w14:paraId="3D44884A" w14:textId="77777777" w:rsidR="00EF5B27" w:rsidRDefault="00000000">
      <w:pPr>
        <w:pStyle w:val="BodyText"/>
        <w:spacing w:before="8"/>
        <w:rPr>
          <w:sz w:val="15"/>
        </w:rPr>
      </w:pPr>
      <w:r>
        <w:pict w14:anchorId="2205EF71">
          <v:line id="_x0000_s3425" style="position:absolute;z-index:251514368;mso-wrap-distance-left:0;mso-wrap-distance-right:0;mso-position-horizontal-relative:page" from="181.4pt,11.75pt" to="538.6pt,11.75pt" strokecolor="#4d4d4f" strokeweight=".5pt">
            <w10:wrap type="topAndBottom" anchorx="page"/>
          </v:line>
        </w:pict>
      </w:r>
    </w:p>
    <w:p w14:paraId="092D5CEC" w14:textId="77777777" w:rsidR="00EF5B27" w:rsidRDefault="00000000">
      <w:pPr>
        <w:pStyle w:val="ListParagraph"/>
        <w:numPr>
          <w:ilvl w:val="0"/>
          <w:numId w:val="43"/>
        </w:numPr>
        <w:tabs>
          <w:tab w:val="left" w:pos="2836"/>
        </w:tabs>
        <w:spacing w:before="88" w:line="230" w:lineRule="auto"/>
        <w:ind w:left="2608" w:right="4204" w:firstLine="0"/>
        <w:jc w:val="both"/>
        <w:rPr>
          <w:sz w:val="12"/>
        </w:rPr>
      </w:pPr>
      <w:r>
        <w:rPr>
          <w:color w:val="4D4D4F"/>
          <w:sz w:val="12"/>
        </w:rPr>
        <w:t xml:space="preserve">DELWP, internal document, provided </w:t>
      </w:r>
      <w:r>
        <w:rPr>
          <w:color w:val="4D4D4F"/>
          <w:spacing w:val="-3"/>
          <w:sz w:val="12"/>
        </w:rPr>
        <w:t xml:space="preserve">16 </w:t>
      </w:r>
      <w:r>
        <w:rPr>
          <w:color w:val="4D4D4F"/>
          <w:spacing w:val="2"/>
          <w:sz w:val="12"/>
        </w:rPr>
        <w:t xml:space="preserve">February 2022. </w:t>
      </w:r>
      <w:r>
        <w:rPr>
          <w:color w:val="4D4D4F"/>
          <w:sz w:val="12"/>
        </w:rPr>
        <w:t xml:space="preserve">133. DELWP, internal document, provided </w:t>
      </w:r>
      <w:r>
        <w:rPr>
          <w:color w:val="4D4D4F"/>
          <w:spacing w:val="-3"/>
          <w:sz w:val="12"/>
        </w:rPr>
        <w:t xml:space="preserve">16 </w:t>
      </w:r>
      <w:r>
        <w:rPr>
          <w:color w:val="4D4D4F"/>
          <w:spacing w:val="2"/>
          <w:sz w:val="12"/>
        </w:rPr>
        <w:t xml:space="preserve">February 2022. </w:t>
      </w:r>
      <w:r>
        <w:rPr>
          <w:color w:val="4D4D4F"/>
          <w:sz w:val="12"/>
        </w:rPr>
        <w:t xml:space="preserve">134. DELWP, internal document, provided </w:t>
      </w:r>
      <w:r>
        <w:rPr>
          <w:color w:val="4D4D4F"/>
          <w:spacing w:val="-3"/>
          <w:sz w:val="12"/>
        </w:rPr>
        <w:t xml:space="preserve">16 </w:t>
      </w:r>
      <w:r>
        <w:rPr>
          <w:color w:val="4D4D4F"/>
          <w:spacing w:val="2"/>
          <w:sz w:val="12"/>
        </w:rPr>
        <w:t xml:space="preserve">February 2022. </w:t>
      </w:r>
      <w:r>
        <w:rPr>
          <w:color w:val="4D4D4F"/>
          <w:sz w:val="12"/>
        </w:rPr>
        <w:t xml:space="preserve">135. DELWP, internal document, provided </w:t>
      </w:r>
      <w:r>
        <w:rPr>
          <w:color w:val="4D4D4F"/>
          <w:spacing w:val="-3"/>
          <w:sz w:val="12"/>
        </w:rPr>
        <w:t xml:space="preserve">16 </w:t>
      </w:r>
      <w:r>
        <w:rPr>
          <w:color w:val="4D4D4F"/>
          <w:spacing w:val="2"/>
          <w:sz w:val="12"/>
        </w:rPr>
        <w:t>February</w:t>
      </w:r>
      <w:r>
        <w:rPr>
          <w:color w:val="4D4D4F"/>
          <w:spacing w:val="14"/>
          <w:sz w:val="12"/>
        </w:rPr>
        <w:t xml:space="preserve"> </w:t>
      </w:r>
      <w:r>
        <w:rPr>
          <w:color w:val="4D4D4F"/>
          <w:spacing w:val="2"/>
          <w:sz w:val="12"/>
        </w:rPr>
        <w:t>2022.</w:t>
      </w:r>
    </w:p>
    <w:p w14:paraId="2C527BA3" w14:textId="77777777" w:rsidR="00EF5B27" w:rsidRDefault="00EF5B27">
      <w:pPr>
        <w:spacing w:line="230" w:lineRule="auto"/>
        <w:jc w:val="both"/>
        <w:rPr>
          <w:sz w:val="12"/>
        </w:rPr>
        <w:sectPr w:rsidR="00EF5B27">
          <w:pgSz w:w="11910" w:h="16840"/>
          <w:pgMar w:top="1080" w:right="1020" w:bottom="860" w:left="1020" w:header="537" w:footer="678" w:gutter="0"/>
          <w:cols w:space="720"/>
        </w:sectPr>
      </w:pPr>
    </w:p>
    <w:p w14:paraId="735DF501" w14:textId="77777777" w:rsidR="00EF5B27" w:rsidRDefault="00000000">
      <w:pPr>
        <w:pStyle w:val="BodyText"/>
      </w:pPr>
      <w:r>
        <w:lastRenderedPageBreak/>
        <w:pict w14:anchorId="58BF863C">
          <v:group id="_x0000_s3417" style="position:absolute;margin-left:587.05pt;margin-top:183.4pt;width:8.25pt;height:153.1pt;z-index:251576832;mso-position-horizontal-relative:page;mso-position-vertical-relative:page" coordorigin="11741,3668" coordsize="165,3062">
            <v:shape id="_x0000_s3424" style="position:absolute;left:11741;top:3668;width:165;height:561" coordorigin="11741,3668" coordsize="165,561" path="m11906,3668r-165,l11741,4228r165,-18l11906,3668xe" fillcolor="#00aed9" stroked="f">
              <v:path arrowok="t"/>
            </v:shape>
            <v:shape id="_x0000_s3423" style="position:absolute;left:11741;top:4118;width:165;height:425" coordorigin="11741,4118" coordsize="165,425" path="m11906,4118r-165,14l11741,4531r165,12l11906,4118xe" fillcolor="#047ebc" stroked="f">
              <v:path arrowok="t"/>
            </v:shape>
            <v:shape id="_x0000_s3422" type="#_x0000_t75" style="position:absolute;left:11741;top:4355;width:165;height:587">
              <v:imagedata r:id="rId42" o:title=""/>
            </v:shape>
            <v:shape id="_x0000_s3421" style="position:absolute;left:11741;top:5343;width:165;height:536" coordorigin="11741,5343" coordsize="165,536" path="m11741,5343r,535l11906,5872r,-525l11741,5343xe" fillcolor="#f36a2e" stroked="f">
              <v:path arrowok="t"/>
            </v:shape>
            <v:shape id="_x0000_s3420" style="position:absolute;left:11741;top:4925;width:165;height:501" coordorigin="11741,4926" coordsize="165,501" path="m11741,4926r,500l11906,5426r,-485l11741,4926xe" fillcolor="#49783f" stroked="f">
              <v:path arrowok="t"/>
            </v:shape>
            <v:shape id="_x0000_s3419" style="position:absolute;left:11741;top:5781;width:165;height:268" coordorigin="11741,5782" coordsize="165,268" path="m11906,5782r-165,8l11741,6039r165,10l11906,5782xe" fillcolor="#f99f2a" stroked="f">
              <v:path arrowok="t"/>
            </v:shape>
            <v:shape id="_x0000_s3418" style="position:absolute;left:11741;top:6023;width:165;height:707" coordorigin="11741,6023" coordsize="165,707" path="m11741,6023r,706l11906,6729r,-690l11741,6023xe" fillcolor="#ef412c" stroked="f">
              <v:path arrowok="t"/>
            </v:shape>
            <w10:wrap anchorx="page" anchory="page"/>
          </v:group>
        </w:pict>
      </w:r>
    </w:p>
    <w:p w14:paraId="768D0A91" w14:textId="77777777" w:rsidR="00EF5B27" w:rsidRDefault="00EF5B27">
      <w:pPr>
        <w:pStyle w:val="BodyText"/>
      </w:pPr>
    </w:p>
    <w:p w14:paraId="1BDB4966" w14:textId="77777777" w:rsidR="00EF5B27" w:rsidRDefault="00EF5B27">
      <w:pPr>
        <w:pStyle w:val="BodyText"/>
      </w:pPr>
    </w:p>
    <w:p w14:paraId="469B971C" w14:textId="77777777" w:rsidR="00EF5B27" w:rsidRDefault="00EF5B27">
      <w:pPr>
        <w:pStyle w:val="BodyText"/>
        <w:spacing w:before="6"/>
        <w:rPr>
          <w:sz w:val="24"/>
        </w:rPr>
      </w:pPr>
    </w:p>
    <w:p w14:paraId="5A00EAD5" w14:textId="77777777" w:rsidR="00EF5B27" w:rsidRDefault="00000000">
      <w:pPr>
        <w:pStyle w:val="Heading6"/>
        <w:spacing w:before="111"/>
      </w:pPr>
      <w:r>
        <w:rPr>
          <w:color w:val="4D4D4F"/>
        </w:rPr>
        <w:t>KPI 5 – maintenance of other native grasses</w:t>
      </w:r>
    </w:p>
    <w:p w14:paraId="703DC92A" w14:textId="77777777" w:rsidR="00EF5B27" w:rsidRDefault="00000000">
      <w:pPr>
        <w:pStyle w:val="BodyText"/>
        <w:spacing w:before="129" w:line="254" w:lineRule="auto"/>
        <w:ind w:left="2608" w:right="421"/>
      </w:pPr>
      <w:r>
        <w:rPr>
          <w:color w:val="4D4D4F"/>
        </w:rPr>
        <w:t xml:space="preserve">With respect to the maintenance of other native grasses, KPI 5 has been met in all three states where it has been assessed (Herb-rich grassland, </w:t>
      </w:r>
      <w:r>
        <w:rPr>
          <w:rFonts w:ascii="Arial Narrow"/>
          <w:i/>
          <w:color w:val="4D4D4F"/>
        </w:rPr>
        <w:t xml:space="preserve">Themeda </w:t>
      </w:r>
      <w:r>
        <w:rPr>
          <w:color w:val="4D4D4F"/>
        </w:rPr>
        <w:t xml:space="preserve">grassland    and Nutrient-enriched grassland). In state Nutrient-enriched grassland the cover of natives is apparently decreasing, and a breach of the baseline may not be surprising over the next few years, according to </w:t>
      </w:r>
      <w:r>
        <w:rPr>
          <w:color w:val="4D4D4F"/>
          <w:spacing w:val="-5"/>
        </w:rPr>
        <w:t>DELWP.</w:t>
      </w:r>
      <w:r>
        <w:rPr>
          <w:color w:val="4D4D4F"/>
          <w:spacing w:val="-5"/>
          <w:position w:val="7"/>
          <w:sz w:val="11"/>
        </w:rPr>
        <w:t xml:space="preserve">136 </w:t>
      </w:r>
      <w:r>
        <w:rPr>
          <w:color w:val="4D4D4F"/>
        </w:rPr>
        <w:t>The explanation for this apparent decrease in native grass cover may be attributable to two</w:t>
      </w:r>
      <w:r>
        <w:rPr>
          <w:color w:val="4D4D4F"/>
          <w:spacing w:val="8"/>
        </w:rPr>
        <w:t xml:space="preserve"> </w:t>
      </w:r>
      <w:r>
        <w:rPr>
          <w:color w:val="4D4D4F"/>
        </w:rPr>
        <w:t>sources:</w:t>
      </w:r>
    </w:p>
    <w:p w14:paraId="0D5B3DA8" w14:textId="77777777" w:rsidR="00EF5B27" w:rsidRDefault="00000000">
      <w:pPr>
        <w:pStyle w:val="ListParagraph"/>
        <w:numPr>
          <w:ilvl w:val="1"/>
          <w:numId w:val="47"/>
        </w:numPr>
        <w:tabs>
          <w:tab w:val="left" w:pos="2779"/>
        </w:tabs>
        <w:spacing w:before="121" w:line="254" w:lineRule="auto"/>
        <w:ind w:right="171"/>
        <w:rPr>
          <w:sz w:val="20"/>
        </w:rPr>
      </w:pPr>
      <w:r>
        <w:rPr>
          <w:color w:val="4D4D4F"/>
          <w:sz w:val="20"/>
        </w:rPr>
        <w:t xml:space="preserve">new properties being acquired which have lower native grass </w:t>
      </w:r>
      <w:r>
        <w:rPr>
          <w:color w:val="4D4D4F"/>
          <w:spacing w:val="-4"/>
          <w:sz w:val="20"/>
        </w:rPr>
        <w:t xml:space="preserve">cover. </w:t>
      </w:r>
      <w:r>
        <w:rPr>
          <w:color w:val="4D4D4F"/>
          <w:sz w:val="20"/>
        </w:rPr>
        <w:t>When added to the dataset, they cause an overall decrease in the mean (despite our</w:t>
      </w:r>
      <w:r>
        <w:rPr>
          <w:color w:val="4D4D4F"/>
          <w:spacing w:val="3"/>
          <w:sz w:val="20"/>
        </w:rPr>
        <w:t xml:space="preserve"> </w:t>
      </w:r>
      <w:r>
        <w:rPr>
          <w:color w:val="4D4D4F"/>
          <w:sz w:val="20"/>
        </w:rPr>
        <w:t>approach</w:t>
      </w:r>
    </w:p>
    <w:p w14:paraId="00591101" w14:textId="77777777" w:rsidR="00EF5B27" w:rsidRDefault="00000000">
      <w:pPr>
        <w:pStyle w:val="BodyText"/>
        <w:spacing w:before="2"/>
        <w:ind w:left="2778"/>
      </w:pPr>
      <w:r>
        <w:rPr>
          <w:color w:val="4D4D4F"/>
        </w:rPr>
        <w:t>to dampen this effect, above, this effect is still present)</w:t>
      </w:r>
    </w:p>
    <w:p w14:paraId="73EE04F7" w14:textId="77777777" w:rsidR="00EF5B27" w:rsidRDefault="00000000">
      <w:pPr>
        <w:pStyle w:val="ListParagraph"/>
        <w:numPr>
          <w:ilvl w:val="1"/>
          <w:numId w:val="47"/>
        </w:numPr>
        <w:tabs>
          <w:tab w:val="left" w:pos="2779"/>
        </w:tabs>
        <w:spacing w:before="129" w:line="254" w:lineRule="auto"/>
        <w:ind w:right="494"/>
        <w:rPr>
          <w:sz w:val="11"/>
        </w:rPr>
      </w:pPr>
      <w:r>
        <w:rPr>
          <w:color w:val="4D4D4F"/>
          <w:sz w:val="20"/>
        </w:rPr>
        <w:t>an actual potential decrease at managed sites resulting from weed invasion and lack of biomass</w:t>
      </w:r>
      <w:r>
        <w:rPr>
          <w:color w:val="4D4D4F"/>
          <w:spacing w:val="11"/>
          <w:sz w:val="20"/>
        </w:rPr>
        <w:t xml:space="preserve"> </w:t>
      </w:r>
      <w:r>
        <w:rPr>
          <w:color w:val="4D4D4F"/>
          <w:sz w:val="20"/>
        </w:rPr>
        <w:t>management.</w:t>
      </w:r>
      <w:r>
        <w:rPr>
          <w:color w:val="4D4D4F"/>
          <w:position w:val="7"/>
          <w:sz w:val="11"/>
        </w:rPr>
        <w:t>137</w:t>
      </w:r>
    </w:p>
    <w:p w14:paraId="0D415B04" w14:textId="77777777" w:rsidR="00EF5B27" w:rsidRDefault="00000000">
      <w:pPr>
        <w:pStyle w:val="Heading6"/>
        <w:spacing w:before="116"/>
      </w:pPr>
      <w:r>
        <w:rPr>
          <w:color w:val="4D4D4F"/>
        </w:rPr>
        <w:t>KPI 6 – biomass heterogeneity across the reserve</w:t>
      </w:r>
    </w:p>
    <w:p w14:paraId="1F4D5DE1" w14:textId="77777777" w:rsidR="00EF5B27" w:rsidRDefault="00000000">
      <w:pPr>
        <w:pStyle w:val="BodyText"/>
        <w:spacing w:before="129" w:line="254" w:lineRule="auto"/>
        <w:ind w:left="2608" w:right="334"/>
      </w:pPr>
      <w:r>
        <w:rPr>
          <w:color w:val="4D4D4F"/>
        </w:rPr>
        <w:t xml:space="preserve">With respect to biomass heterogeneity across the reserve, KPI 6 was met in </w:t>
      </w:r>
      <w:r>
        <w:rPr>
          <w:color w:val="4D4D4F"/>
          <w:spacing w:val="-3"/>
        </w:rPr>
        <w:t xml:space="preserve">2021.     </w:t>
      </w:r>
      <w:r>
        <w:rPr>
          <w:color w:val="4D4D4F"/>
        </w:rPr>
        <w:t>It</w:t>
      </w:r>
      <w:r>
        <w:rPr>
          <w:color w:val="4D4D4F"/>
          <w:spacing w:val="-6"/>
        </w:rPr>
        <w:t xml:space="preserve"> </w:t>
      </w:r>
      <w:r>
        <w:rPr>
          <w:color w:val="4D4D4F"/>
        </w:rPr>
        <w:t>was</w:t>
      </w:r>
      <w:r>
        <w:rPr>
          <w:color w:val="4D4D4F"/>
          <w:spacing w:val="-5"/>
        </w:rPr>
        <w:t xml:space="preserve"> </w:t>
      </w:r>
      <w:r>
        <w:rPr>
          <w:color w:val="4D4D4F"/>
        </w:rPr>
        <w:t>also</w:t>
      </w:r>
      <w:r>
        <w:rPr>
          <w:color w:val="4D4D4F"/>
          <w:spacing w:val="-5"/>
        </w:rPr>
        <w:t xml:space="preserve"> </w:t>
      </w:r>
      <w:r>
        <w:rPr>
          <w:color w:val="4D4D4F"/>
        </w:rPr>
        <w:t>met</w:t>
      </w:r>
      <w:r>
        <w:rPr>
          <w:color w:val="4D4D4F"/>
          <w:spacing w:val="-5"/>
        </w:rPr>
        <w:t xml:space="preserve"> </w:t>
      </w:r>
      <w:r>
        <w:rPr>
          <w:color w:val="4D4D4F"/>
        </w:rPr>
        <w:t>in</w:t>
      </w:r>
      <w:r>
        <w:rPr>
          <w:color w:val="4D4D4F"/>
          <w:spacing w:val="-5"/>
        </w:rPr>
        <w:t xml:space="preserve"> </w:t>
      </w:r>
      <w:r>
        <w:rPr>
          <w:color w:val="4D4D4F"/>
          <w:spacing w:val="-8"/>
        </w:rPr>
        <w:t>2017,</w:t>
      </w:r>
      <w:r>
        <w:rPr>
          <w:color w:val="4D4D4F"/>
          <w:spacing w:val="-5"/>
        </w:rPr>
        <w:t xml:space="preserve"> 2018 </w:t>
      </w:r>
      <w:r>
        <w:rPr>
          <w:color w:val="4D4D4F"/>
        </w:rPr>
        <w:t>and</w:t>
      </w:r>
      <w:r>
        <w:rPr>
          <w:color w:val="4D4D4F"/>
          <w:spacing w:val="-6"/>
        </w:rPr>
        <w:t xml:space="preserve"> </w:t>
      </w:r>
      <w:r>
        <w:rPr>
          <w:color w:val="4D4D4F"/>
          <w:spacing w:val="-5"/>
        </w:rPr>
        <w:t xml:space="preserve">2019 </w:t>
      </w:r>
      <w:r>
        <w:rPr>
          <w:color w:val="4D4D4F"/>
          <w:spacing w:val="-3"/>
        </w:rPr>
        <w:t>(not</w:t>
      </w:r>
      <w:r>
        <w:rPr>
          <w:color w:val="4D4D4F"/>
          <w:spacing w:val="-5"/>
        </w:rPr>
        <w:t xml:space="preserve"> </w:t>
      </w:r>
      <w:r>
        <w:rPr>
          <w:color w:val="4D4D4F"/>
        </w:rPr>
        <w:t>measured</w:t>
      </w:r>
      <w:r>
        <w:rPr>
          <w:color w:val="4D4D4F"/>
          <w:spacing w:val="-5"/>
        </w:rPr>
        <w:t xml:space="preserve"> </w:t>
      </w:r>
      <w:r>
        <w:rPr>
          <w:color w:val="4D4D4F"/>
        </w:rPr>
        <w:t>in</w:t>
      </w:r>
      <w:r>
        <w:rPr>
          <w:color w:val="4D4D4F"/>
          <w:spacing w:val="-5"/>
        </w:rPr>
        <w:t xml:space="preserve"> </w:t>
      </w:r>
      <w:r>
        <w:rPr>
          <w:color w:val="4D4D4F"/>
        </w:rPr>
        <w:t>2020).</w:t>
      </w:r>
      <w:r>
        <w:rPr>
          <w:color w:val="4D4D4F"/>
          <w:spacing w:val="-5"/>
        </w:rPr>
        <w:t xml:space="preserve"> </w:t>
      </w:r>
      <w:r>
        <w:rPr>
          <w:color w:val="4D4D4F"/>
        </w:rPr>
        <w:t>It</w:t>
      </w:r>
      <w:r>
        <w:rPr>
          <w:color w:val="4D4D4F"/>
          <w:spacing w:val="-5"/>
        </w:rPr>
        <w:t xml:space="preserve"> </w:t>
      </w:r>
      <w:r>
        <w:rPr>
          <w:color w:val="4D4D4F"/>
        </w:rPr>
        <w:t>was</w:t>
      </w:r>
      <w:r>
        <w:rPr>
          <w:color w:val="4D4D4F"/>
          <w:spacing w:val="-5"/>
        </w:rPr>
        <w:t xml:space="preserve"> </w:t>
      </w:r>
      <w:r>
        <w:rPr>
          <w:color w:val="4D4D4F"/>
        </w:rPr>
        <w:t>not</w:t>
      </w:r>
      <w:r>
        <w:rPr>
          <w:color w:val="4D4D4F"/>
          <w:spacing w:val="-6"/>
        </w:rPr>
        <w:t xml:space="preserve"> </w:t>
      </w:r>
      <w:r>
        <w:rPr>
          <w:color w:val="4D4D4F"/>
        </w:rPr>
        <w:t>met</w:t>
      </w:r>
      <w:r>
        <w:rPr>
          <w:color w:val="4D4D4F"/>
          <w:spacing w:val="-5"/>
        </w:rPr>
        <w:t xml:space="preserve"> </w:t>
      </w:r>
      <w:r>
        <w:rPr>
          <w:color w:val="4D4D4F"/>
        </w:rPr>
        <w:t>in</w:t>
      </w:r>
      <w:r>
        <w:rPr>
          <w:color w:val="4D4D4F"/>
          <w:spacing w:val="-5"/>
        </w:rPr>
        <w:t xml:space="preserve"> </w:t>
      </w:r>
      <w:r>
        <w:rPr>
          <w:color w:val="4D4D4F"/>
          <w:spacing w:val="-3"/>
        </w:rPr>
        <w:t>2014,</w:t>
      </w:r>
    </w:p>
    <w:p w14:paraId="761747C4" w14:textId="77777777" w:rsidR="00EF5B27" w:rsidRDefault="00000000">
      <w:pPr>
        <w:pStyle w:val="BodyText"/>
        <w:spacing w:before="3" w:line="254" w:lineRule="auto"/>
        <w:ind w:left="2608" w:right="328"/>
        <w:jc w:val="both"/>
      </w:pPr>
      <w:r>
        <w:rPr>
          <w:color w:val="4D4D4F"/>
          <w:spacing w:val="-4"/>
        </w:rPr>
        <w:t xml:space="preserve">2015 </w:t>
      </w:r>
      <w:r>
        <w:rPr>
          <w:color w:val="4D4D4F"/>
        </w:rPr>
        <w:t xml:space="preserve">or </w:t>
      </w:r>
      <w:r>
        <w:rPr>
          <w:color w:val="4D4D4F"/>
          <w:spacing w:val="-3"/>
        </w:rPr>
        <w:t xml:space="preserve">2016. </w:t>
      </w:r>
      <w:r>
        <w:rPr>
          <w:color w:val="4D4D4F"/>
        </w:rPr>
        <w:t xml:space="preserve">In </w:t>
      </w:r>
      <w:r>
        <w:rPr>
          <w:color w:val="4D4D4F"/>
          <w:spacing w:val="-3"/>
        </w:rPr>
        <w:t xml:space="preserve">2021, 6% </w:t>
      </w:r>
      <w:r>
        <w:rPr>
          <w:color w:val="4D4D4F"/>
        </w:rPr>
        <w:t xml:space="preserve">of plots had bare ground cover of 5–25%. This is within the target range </w:t>
      </w:r>
      <w:r>
        <w:rPr>
          <w:color w:val="4D4D4F"/>
          <w:spacing w:val="-4"/>
        </w:rPr>
        <w:t xml:space="preserve">(5 </w:t>
      </w:r>
      <w:r>
        <w:rPr>
          <w:color w:val="4D4D4F"/>
        </w:rPr>
        <w:t xml:space="preserve">–30% of </w:t>
      </w:r>
      <w:r>
        <w:rPr>
          <w:color w:val="4D4D4F"/>
          <w:spacing w:val="-3"/>
        </w:rPr>
        <w:t xml:space="preserve">plots), </w:t>
      </w:r>
      <w:r>
        <w:rPr>
          <w:color w:val="4D4D4F"/>
        </w:rPr>
        <w:t xml:space="preserve">but very close to the lower </w:t>
      </w:r>
      <w:r>
        <w:rPr>
          <w:color w:val="4D4D4F"/>
          <w:spacing w:val="-3"/>
        </w:rPr>
        <w:t xml:space="preserve">limit. </w:t>
      </w:r>
      <w:r>
        <w:rPr>
          <w:color w:val="4D4D4F"/>
        </w:rPr>
        <w:t>This means that 2021 came very close to breaching the KPI because biomass was high in many places.</w:t>
      </w:r>
    </w:p>
    <w:p w14:paraId="762931E5" w14:textId="77777777" w:rsidR="00EF5B27" w:rsidRDefault="00000000">
      <w:pPr>
        <w:pStyle w:val="Heading6"/>
        <w:spacing w:before="117"/>
      </w:pPr>
      <w:r>
        <w:rPr>
          <w:color w:val="4D4D4F"/>
        </w:rPr>
        <w:t>KPI 7 – perennial weed cover</w:t>
      </w:r>
    </w:p>
    <w:p w14:paraId="256C1C99" w14:textId="77777777" w:rsidR="00EF5B27" w:rsidRDefault="00000000">
      <w:pPr>
        <w:pStyle w:val="BodyText"/>
        <w:spacing w:before="129" w:line="254" w:lineRule="auto"/>
        <w:ind w:left="2608" w:right="264"/>
      </w:pPr>
      <w:r>
        <w:rPr>
          <w:color w:val="4D4D4F"/>
        </w:rPr>
        <w:t xml:space="preserve">With respect to perennial weed </w:t>
      </w:r>
      <w:r>
        <w:rPr>
          <w:color w:val="4D4D4F"/>
          <w:spacing w:val="-4"/>
        </w:rPr>
        <w:t xml:space="preserve">cover,  </w:t>
      </w:r>
      <w:r>
        <w:rPr>
          <w:color w:val="4D4D4F"/>
        </w:rPr>
        <w:t xml:space="preserve">KPI 7 has been met in all three states where    it is assessed (Herb-rich grassland, </w:t>
      </w:r>
      <w:r>
        <w:rPr>
          <w:rFonts w:ascii="Arial Narrow" w:hAnsi="Arial Narrow"/>
          <w:i/>
          <w:color w:val="4D4D4F"/>
        </w:rPr>
        <w:t xml:space="preserve">Themeda </w:t>
      </w:r>
      <w:r>
        <w:rPr>
          <w:color w:val="4D4D4F"/>
        </w:rPr>
        <w:t xml:space="preserve">grassland and Nutrient-enriched grassland). Weed cover appears to be increasing steadily in protected areas of Nutrient-enriched grassland, and it appears very </w:t>
      </w:r>
      <w:r>
        <w:rPr>
          <w:color w:val="4D4D4F"/>
          <w:spacing w:val="-3"/>
        </w:rPr>
        <w:t xml:space="preserve">likely </w:t>
      </w:r>
      <w:r>
        <w:rPr>
          <w:color w:val="4D4D4F"/>
        </w:rPr>
        <w:t>that this KPI will be breached within the next two to three years without substantially increased weed control.</w:t>
      </w:r>
      <w:r>
        <w:rPr>
          <w:color w:val="4D4D4F"/>
          <w:position w:val="7"/>
          <w:sz w:val="11"/>
        </w:rPr>
        <w:t xml:space="preserve">138 </w:t>
      </w:r>
      <w:r>
        <w:rPr>
          <w:color w:val="4D4D4F"/>
        </w:rPr>
        <w:t>Currently, it is only the use of the five-year rolling average that has prevented the increase from registering as a breach of the baseline. The ‘increase’ in weed levels measured</w:t>
      </w:r>
      <w:r>
        <w:rPr>
          <w:color w:val="4D4D4F"/>
          <w:spacing w:val="7"/>
        </w:rPr>
        <w:t xml:space="preserve"> </w:t>
      </w:r>
      <w:r>
        <w:rPr>
          <w:color w:val="4D4D4F"/>
        </w:rPr>
        <w:t>in</w:t>
      </w:r>
      <w:r>
        <w:rPr>
          <w:color w:val="4D4D4F"/>
          <w:spacing w:val="7"/>
        </w:rPr>
        <w:t xml:space="preserve"> </w:t>
      </w:r>
      <w:r>
        <w:rPr>
          <w:color w:val="4D4D4F"/>
        </w:rPr>
        <w:t>Nutrient-enriched</w:t>
      </w:r>
      <w:r>
        <w:rPr>
          <w:color w:val="4D4D4F"/>
          <w:spacing w:val="7"/>
        </w:rPr>
        <w:t xml:space="preserve"> </w:t>
      </w:r>
      <w:r>
        <w:rPr>
          <w:color w:val="4D4D4F"/>
        </w:rPr>
        <w:t>grassland</w:t>
      </w:r>
      <w:r>
        <w:rPr>
          <w:color w:val="4D4D4F"/>
          <w:spacing w:val="8"/>
        </w:rPr>
        <w:t xml:space="preserve"> </w:t>
      </w:r>
      <w:r>
        <w:rPr>
          <w:color w:val="4D4D4F"/>
        </w:rPr>
        <w:t>is</w:t>
      </w:r>
      <w:r>
        <w:rPr>
          <w:color w:val="4D4D4F"/>
          <w:spacing w:val="7"/>
        </w:rPr>
        <w:t xml:space="preserve"> </w:t>
      </w:r>
      <w:r>
        <w:rPr>
          <w:color w:val="4D4D4F"/>
          <w:spacing w:val="-3"/>
        </w:rPr>
        <w:t>likely</w:t>
      </w:r>
      <w:r>
        <w:rPr>
          <w:color w:val="4D4D4F"/>
          <w:spacing w:val="7"/>
        </w:rPr>
        <w:t xml:space="preserve"> </w:t>
      </w:r>
      <w:r>
        <w:rPr>
          <w:color w:val="4D4D4F"/>
        </w:rPr>
        <w:t>attributable</w:t>
      </w:r>
      <w:r>
        <w:rPr>
          <w:color w:val="4D4D4F"/>
          <w:spacing w:val="7"/>
        </w:rPr>
        <w:t xml:space="preserve"> </w:t>
      </w:r>
      <w:r>
        <w:rPr>
          <w:color w:val="4D4D4F"/>
        </w:rPr>
        <w:t>to</w:t>
      </w:r>
      <w:r>
        <w:rPr>
          <w:color w:val="4D4D4F"/>
          <w:spacing w:val="8"/>
        </w:rPr>
        <w:t xml:space="preserve"> </w:t>
      </w:r>
      <w:r>
        <w:rPr>
          <w:color w:val="4D4D4F"/>
        </w:rPr>
        <w:t>two</w:t>
      </w:r>
      <w:r>
        <w:rPr>
          <w:color w:val="4D4D4F"/>
          <w:spacing w:val="7"/>
        </w:rPr>
        <w:t xml:space="preserve"> </w:t>
      </w:r>
      <w:r>
        <w:rPr>
          <w:color w:val="4D4D4F"/>
        </w:rPr>
        <w:t>sources:</w:t>
      </w:r>
    </w:p>
    <w:p w14:paraId="3F91DD8B" w14:textId="77777777" w:rsidR="00EF5B27" w:rsidRDefault="00000000">
      <w:pPr>
        <w:pStyle w:val="ListParagraph"/>
        <w:numPr>
          <w:ilvl w:val="1"/>
          <w:numId w:val="47"/>
        </w:numPr>
        <w:tabs>
          <w:tab w:val="left" w:pos="2779"/>
        </w:tabs>
        <w:spacing w:before="123" w:line="254" w:lineRule="auto"/>
        <w:ind w:right="221"/>
        <w:rPr>
          <w:sz w:val="20"/>
        </w:rPr>
      </w:pPr>
      <w:r>
        <w:rPr>
          <w:color w:val="4D4D4F"/>
          <w:sz w:val="20"/>
        </w:rPr>
        <w:t xml:space="preserve">new properties being acquired which have very high weed levels (e.g. Argoona </w:t>
      </w:r>
      <w:r>
        <w:rPr>
          <w:color w:val="4D4D4F"/>
          <w:spacing w:val="-3"/>
          <w:sz w:val="20"/>
        </w:rPr>
        <w:t xml:space="preserve">Rd). </w:t>
      </w:r>
      <w:r>
        <w:rPr>
          <w:color w:val="4D4D4F"/>
          <w:sz w:val="20"/>
        </w:rPr>
        <w:t>When added to the dataset, they cause an overall increase in the mean (despite DELWP’s approach to dampen this effect, above, this effect is still</w:t>
      </w:r>
      <w:r>
        <w:rPr>
          <w:color w:val="4D4D4F"/>
          <w:spacing w:val="43"/>
          <w:sz w:val="20"/>
        </w:rPr>
        <w:t xml:space="preserve"> </w:t>
      </w:r>
      <w:r>
        <w:rPr>
          <w:color w:val="4D4D4F"/>
          <w:sz w:val="20"/>
        </w:rPr>
        <w:t>present)</w:t>
      </w:r>
    </w:p>
    <w:p w14:paraId="59ECEDAB" w14:textId="77777777" w:rsidR="00EF5B27" w:rsidRDefault="00000000">
      <w:pPr>
        <w:pStyle w:val="ListParagraph"/>
        <w:numPr>
          <w:ilvl w:val="1"/>
          <w:numId w:val="47"/>
        </w:numPr>
        <w:tabs>
          <w:tab w:val="left" w:pos="2779"/>
        </w:tabs>
        <w:spacing w:before="117" w:line="254" w:lineRule="auto"/>
        <w:ind w:right="325"/>
        <w:jc w:val="both"/>
        <w:rPr>
          <w:sz w:val="11"/>
        </w:rPr>
      </w:pPr>
      <w:r>
        <w:rPr>
          <w:color w:val="4D4D4F"/>
          <w:sz w:val="20"/>
        </w:rPr>
        <w:t xml:space="preserve">an actual increase in weed cover at managed sites. The former source represents  a combination of ‘luck’, in the order that properties are acquired, combined with a possible worsening of private land sites as time goes </w:t>
      </w:r>
      <w:r>
        <w:rPr>
          <w:color w:val="4D4D4F"/>
          <w:spacing w:val="-3"/>
          <w:sz w:val="20"/>
        </w:rPr>
        <w:t xml:space="preserve">by. </w:t>
      </w:r>
      <w:r>
        <w:rPr>
          <w:color w:val="4D4D4F"/>
          <w:sz w:val="20"/>
        </w:rPr>
        <w:t xml:space="preserve">The later source is </w:t>
      </w:r>
      <w:r>
        <w:rPr>
          <w:color w:val="4D4D4F"/>
          <w:spacing w:val="-3"/>
          <w:sz w:val="20"/>
        </w:rPr>
        <w:t xml:space="preserve">likely </w:t>
      </w:r>
      <w:r>
        <w:rPr>
          <w:color w:val="4D4D4F"/>
          <w:sz w:val="20"/>
        </w:rPr>
        <w:t>attributable to MSA</w:t>
      </w:r>
      <w:r>
        <w:rPr>
          <w:color w:val="4D4D4F"/>
          <w:spacing w:val="10"/>
          <w:sz w:val="20"/>
        </w:rPr>
        <w:t xml:space="preserve"> </w:t>
      </w:r>
      <w:r>
        <w:rPr>
          <w:color w:val="4D4D4F"/>
          <w:sz w:val="20"/>
        </w:rPr>
        <w:t>management.</w:t>
      </w:r>
      <w:r>
        <w:rPr>
          <w:color w:val="4D4D4F"/>
          <w:position w:val="7"/>
          <w:sz w:val="11"/>
        </w:rPr>
        <w:t>139</w:t>
      </w:r>
    </w:p>
    <w:p w14:paraId="7166A098" w14:textId="77777777" w:rsidR="00EF5B27" w:rsidRDefault="00EF5B27">
      <w:pPr>
        <w:pStyle w:val="BodyText"/>
      </w:pPr>
    </w:p>
    <w:p w14:paraId="092BE181" w14:textId="77777777" w:rsidR="00EF5B27" w:rsidRDefault="00EF5B27">
      <w:pPr>
        <w:pStyle w:val="BodyText"/>
      </w:pPr>
    </w:p>
    <w:p w14:paraId="7376D61F" w14:textId="77777777" w:rsidR="00EF5B27" w:rsidRDefault="00EF5B27">
      <w:pPr>
        <w:pStyle w:val="BodyText"/>
      </w:pPr>
    </w:p>
    <w:p w14:paraId="31014F4F" w14:textId="77777777" w:rsidR="00EF5B27" w:rsidRDefault="00EF5B27">
      <w:pPr>
        <w:pStyle w:val="BodyText"/>
      </w:pPr>
    </w:p>
    <w:p w14:paraId="1A4C60D8" w14:textId="77777777" w:rsidR="00EF5B27" w:rsidRDefault="00EF5B27">
      <w:pPr>
        <w:pStyle w:val="BodyText"/>
      </w:pPr>
    </w:p>
    <w:p w14:paraId="7F2BFB75" w14:textId="77777777" w:rsidR="00EF5B27" w:rsidRDefault="00EF5B27">
      <w:pPr>
        <w:pStyle w:val="BodyText"/>
      </w:pPr>
    </w:p>
    <w:p w14:paraId="555AB229" w14:textId="77777777" w:rsidR="00EF5B27" w:rsidRDefault="00EF5B27">
      <w:pPr>
        <w:pStyle w:val="BodyText"/>
      </w:pPr>
    </w:p>
    <w:p w14:paraId="1371B613" w14:textId="77777777" w:rsidR="00EF5B27" w:rsidRDefault="00EF5B27">
      <w:pPr>
        <w:pStyle w:val="BodyText"/>
      </w:pPr>
    </w:p>
    <w:p w14:paraId="0C62AEF4" w14:textId="77777777" w:rsidR="00EF5B27" w:rsidRDefault="00EF5B27">
      <w:pPr>
        <w:pStyle w:val="BodyText"/>
      </w:pPr>
    </w:p>
    <w:p w14:paraId="40DE7506" w14:textId="77777777" w:rsidR="00EF5B27" w:rsidRDefault="00000000">
      <w:pPr>
        <w:pStyle w:val="BodyText"/>
        <w:spacing w:before="7"/>
        <w:rPr>
          <w:sz w:val="11"/>
        </w:rPr>
      </w:pPr>
      <w:r>
        <w:pict w14:anchorId="468D90E0">
          <v:line id="_x0000_s3416" style="position:absolute;z-index:251515392;mso-wrap-distance-left:0;mso-wrap-distance-right:0;mso-position-horizontal-relative:page" from="181.4pt,9.25pt" to="538.6pt,9.25pt" strokecolor="#4d4d4f" strokeweight=".5pt">
            <w10:wrap type="topAndBottom" anchorx="page"/>
          </v:line>
        </w:pict>
      </w:r>
    </w:p>
    <w:p w14:paraId="313C2B5E" w14:textId="77777777" w:rsidR="00EF5B27" w:rsidRDefault="00000000">
      <w:pPr>
        <w:spacing w:before="83" w:line="143" w:lineRule="exact"/>
        <w:ind w:left="2608"/>
        <w:rPr>
          <w:sz w:val="12"/>
        </w:rPr>
      </w:pPr>
      <w:r>
        <w:rPr>
          <w:color w:val="4D4D4F"/>
          <w:sz w:val="12"/>
        </w:rPr>
        <w:t xml:space="preserve">136. DELWP, internal document, provided </w:t>
      </w:r>
      <w:r>
        <w:rPr>
          <w:color w:val="4D4D4F"/>
          <w:spacing w:val="-3"/>
          <w:sz w:val="12"/>
        </w:rPr>
        <w:t xml:space="preserve">16  </w:t>
      </w:r>
      <w:r>
        <w:rPr>
          <w:color w:val="4D4D4F"/>
          <w:spacing w:val="2"/>
          <w:sz w:val="12"/>
        </w:rPr>
        <w:t>February</w:t>
      </w:r>
      <w:r>
        <w:rPr>
          <w:color w:val="4D4D4F"/>
          <w:spacing w:val="20"/>
          <w:sz w:val="12"/>
        </w:rPr>
        <w:t xml:space="preserve"> </w:t>
      </w:r>
      <w:r>
        <w:rPr>
          <w:color w:val="4D4D4F"/>
          <w:spacing w:val="2"/>
          <w:sz w:val="12"/>
        </w:rPr>
        <w:t>2022.</w:t>
      </w:r>
    </w:p>
    <w:p w14:paraId="6C5873DC" w14:textId="77777777" w:rsidR="00EF5B27" w:rsidRDefault="00000000">
      <w:pPr>
        <w:spacing w:before="2" w:line="230" w:lineRule="auto"/>
        <w:ind w:left="2608" w:right="4205"/>
        <w:jc w:val="both"/>
        <w:rPr>
          <w:sz w:val="12"/>
        </w:rPr>
      </w:pPr>
      <w:r>
        <w:rPr>
          <w:color w:val="4D4D4F"/>
          <w:sz w:val="12"/>
        </w:rPr>
        <w:t xml:space="preserve">137. DELWP, internal document, provided </w:t>
      </w:r>
      <w:r>
        <w:rPr>
          <w:color w:val="4D4D4F"/>
          <w:spacing w:val="-3"/>
          <w:sz w:val="12"/>
        </w:rPr>
        <w:t xml:space="preserve">16 </w:t>
      </w:r>
      <w:r>
        <w:rPr>
          <w:color w:val="4D4D4F"/>
          <w:spacing w:val="2"/>
          <w:sz w:val="12"/>
        </w:rPr>
        <w:t xml:space="preserve">February 2022. </w:t>
      </w:r>
      <w:r>
        <w:rPr>
          <w:color w:val="4D4D4F"/>
          <w:sz w:val="12"/>
        </w:rPr>
        <w:t xml:space="preserve">138. DELWP, internal document, provided </w:t>
      </w:r>
      <w:r>
        <w:rPr>
          <w:color w:val="4D4D4F"/>
          <w:spacing w:val="-3"/>
          <w:sz w:val="12"/>
        </w:rPr>
        <w:t xml:space="preserve">16 </w:t>
      </w:r>
      <w:r>
        <w:rPr>
          <w:color w:val="4D4D4F"/>
          <w:spacing w:val="2"/>
          <w:sz w:val="12"/>
        </w:rPr>
        <w:t xml:space="preserve">February 2022. </w:t>
      </w:r>
      <w:r>
        <w:rPr>
          <w:color w:val="4D4D4F"/>
          <w:sz w:val="12"/>
        </w:rPr>
        <w:t xml:space="preserve">139. DELWP, internal document, provided </w:t>
      </w:r>
      <w:r>
        <w:rPr>
          <w:color w:val="4D4D4F"/>
          <w:spacing w:val="-3"/>
          <w:sz w:val="12"/>
        </w:rPr>
        <w:t xml:space="preserve">16  </w:t>
      </w:r>
      <w:r>
        <w:rPr>
          <w:color w:val="4D4D4F"/>
          <w:spacing w:val="2"/>
          <w:sz w:val="12"/>
        </w:rPr>
        <w:t>February</w:t>
      </w:r>
      <w:r>
        <w:rPr>
          <w:color w:val="4D4D4F"/>
          <w:spacing w:val="19"/>
          <w:sz w:val="12"/>
        </w:rPr>
        <w:t xml:space="preserve"> </w:t>
      </w:r>
      <w:r>
        <w:rPr>
          <w:color w:val="4D4D4F"/>
          <w:spacing w:val="2"/>
          <w:sz w:val="12"/>
        </w:rPr>
        <w:t>2022.</w:t>
      </w:r>
    </w:p>
    <w:p w14:paraId="1861C067" w14:textId="77777777" w:rsidR="00EF5B27" w:rsidRDefault="00EF5B27">
      <w:pPr>
        <w:spacing w:line="230" w:lineRule="auto"/>
        <w:jc w:val="both"/>
        <w:rPr>
          <w:sz w:val="12"/>
        </w:rPr>
        <w:sectPr w:rsidR="00EF5B27">
          <w:footerReference w:type="default" r:id="rId126"/>
          <w:pgSz w:w="11910" w:h="16840"/>
          <w:pgMar w:top="1080" w:right="1020" w:bottom="860" w:left="1020" w:header="537" w:footer="678" w:gutter="0"/>
          <w:cols w:space="720"/>
        </w:sectPr>
      </w:pPr>
    </w:p>
    <w:p w14:paraId="791EDE18" w14:textId="77777777" w:rsidR="00EF5B27" w:rsidRDefault="00000000">
      <w:pPr>
        <w:pStyle w:val="BodyText"/>
      </w:pPr>
      <w:r>
        <w:lastRenderedPageBreak/>
        <w:pict w14:anchorId="3FFBBC7D">
          <v:group id="_x0000_s3408" style="position:absolute;margin-left:587.05pt;margin-top:183.4pt;width:8.25pt;height:153.1pt;z-index:251578880;mso-position-horizontal-relative:page;mso-position-vertical-relative:page" coordorigin="11741,3668" coordsize="165,3062">
            <v:shape id="_x0000_s3415" style="position:absolute;left:11741;top:3668;width:165;height:561" coordorigin="11741,3668" coordsize="165,561" path="m11906,3668r-165,l11741,4228r165,-18l11906,3668xe" fillcolor="#00aed9" stroked="f">
              <v:path arrowok="t"/>
            </v:shape>
            <v:shape id="_x0000_s3414" style="position:absolute;left:11741;top:4118;width:165;height:425" coordorigin="11741,4118" coordsize="165,425" path="m11906,4118r-165,14l11741,4531r165,12l11906,4118xe" fillcolor="#047ebc" stroked="f">
              <v:path arrowok="t"/>
            </v:shape>
            <v:shape id="_x0000_s3413" type="#_x0000_t75" style="position:absolute;left:11741;top:4355;width:165;height:587">
              <v:imagedata r:id="rId42" o:title=""/>
            </v:shape>
            <v:shape id="_x0000_s3412" style="position:absolute;left:11741;top:5343;width:165;height:536" coordorigin="11741,5343" coordsize="165,536" path="m11741,5343r,535l11906,5872r,-525l11741,5343xe" fillcolor="#f36a2e" stroked="f">
              <v:path arrowok="t"/>
            </v:shape>
            <v:shape id="_x0000_s3411" style="position:absolute;left:11741;top:4925;width:165;height:501" coordorigin="11741,4926" coordsize="165,501" path="m11741,4926r,500l11906,5426r,-485l11741,4926xe" fillcolor="#49783f" stroked="f">
              <v:path arrowok="t"/>
            </v:shape>
            <v:shape id="_x0000_s3410" style="position:absolute;left:11741;top:5781;width:165;height:268" coordorigin="11741,5782" coordsize="165,268" path="m11906,5782r-165,8l11741,6039r165,10l11906,5782xe" fillcolor="#f99f2a" stroked="f">
              <v:path arrowok="t"/>
            </v:shape>
            <v:shape id="_x0000_s3409" style="position:absolute;left:11741;top:6023;width:165;height:707" coordorigin="11741,6023" coordsize="165,707" path="m11741,6023r,706l11906,6729r,-690l11741,6023xe" fillcolor="#ef412c" stroked="f">
              <v:path arrowok="t"/>
            </v:shape>
            <w10:wrap anchorx="page" anchory="page"/>
          </v:group>
        </w:pict>
      </w:r>
    </w:p>
    <w:p w14:paraId="303B4524" w14:textId="77777777" w:rsidR="00EF5B27" w:rsidRDefault="00EF5B27">
      <w:pPr>
        <w:pStyle w:val="BodyText"/>
      </w:pPr>
    </w:p>
    <w:p w14:paraId="6CD84AD2" w14:textId="77777777" w:rsidR="00EF5B27" w:rsidRDefault="00EF5B27">
      <w:pPr>
        <w:pStyle w:val="BodyText"/>
      </w:pPr>
    </w:p>
    <w:p w14:paraId="40BB44D6" w14:textId="77777777" w:rsidR="00EF5B27" w:rsidRDefault="00EF5B27">
      <w:pPr>
        <w:pStyle w:val="BodyText"/>
        <w:spacing w:before="12"/>
        <w:rPr>
          <w:sz w:val="22"/>
        </w:rPr>
      </w:pPr>
    </w:p>
    <w:p w14:paraId="6B4CAAF8" w14:textId="77777777" w:rsidR="00EF5B27" w:rsidRDefault="00000000">
      <w:pPr>
        <w:pStyle w:val="Heading3"/>
        <w:spacing w:before="115"/>
      </w:pPr>
      <w:r>
        <w:rPr>
          <w:color w:val="F99F2A"/>
        </w:rPr>
        <w:t>Key insights and management implications</w:t>
      </w:r>
    </w:p>
    <w:p w14:paraId="7747D524" w14:textId="77777777" w:rsidR="00EF5B27" w:rsidRDefault="00000000">
      <w:pPr>
        <w:pStyle w:val="BodyText"/>
        <w:spacing w:before="221" w:line="254" w:lineRule="auto"/>
        <w:ind w:left="2608" w:right="151"/>
      </w:pPr>
      <w:r>
        <w:rPr>
          <w:color w:val="4D4D4F"/>
          <w:w w:val="105"/>
        </w:rPr>
        <w:t>Natural</w:t>
      </w:r>
      <w:r>
        <w:rPr>
          <w:color w:val="4D4D4F"/>
          <w:spacing w:val="-15"/>
          <w:w w:val="105"/>
        </w:rPr>
        <w:t xml:space="preserve"> </w:t>
      </w:r>
      <w:r>
        <w:rPr>
          <w:color w:val="4D4D4F"/>
          <w:w w:val="105"/>
        </w:rPr>
        <w:t>Temperate</w:t>
      </w:r>
      <w:r>
        <w:rPr>
          <w:color w:val="4D4D4F"/>
          <w:spacing w:val="-15"/>
          <w:w w:val="105"/>
        </w:rPr>
        <w:t xml:space="preserve"> </w:t>
      </w:r>
      <w:r>
        <w:rPr>
          <w:color w:val="4D4D4F"/>
          <w:w w:val="105"/>
        </w:rPr>
        <w:t>Grassland</w:t>
      </w:r>
      <w:r>
        <w:rPr>
          <w:color w:val="4D4D4F"/>
          <w:spacing w:val="-14"/>
          <w:w w:val="105"/>
        </w:rPr>
        <w:t xml:space="preserve"> </w:t>
      </w:r>
      <w:r>
        <w:rPr>
          <w:color w:val="4D4D4F"/>
          <w:w w:val="105"/>
        </w:rPr>
        <w:t>is</w:t>
      </w:r>
      <w:r>
        <w:rPr>
          <w:color w:val="4D4D4F"/>
          <w:spacing w:val="-15"/>
          <w:w w:val="105"/>
        </w:rPr>
        <w:t xml:space="preserve"> </w:t>
      </w:r>
      <w:r>
        <w:rPr>
          <w:color w:val="4D4D4F"/>
          <w:w w:val="105"/>
        </w:rPr>
        <w:t>a</w:t>
      </w:r>
      <w:r>
        <w:rPr>
          <w:color w:val="4D4D4F"/>
          <w:spacing w:val="-15"/>
          <w:w w:val="105"/>
        </w:rPr>
        <w:t xml:space="preserve"> </w:t>
      </w:r>
      <w:r>
        <w:rPr>
          <w:color w:val="4D4D4F"/>
          <w:w w:val="105"/>
        </w:rPr>
        <w:t>complex</w:t>
      </w:r>
      <w:r>
        <w:rPr>
          <w:color w:val="4D4D4F"/>
          <w:spacing w:val="-14"/>
          <w:w w:val="105"/>
        </w:rPr>
        <w:t xml:space="preserve"> </w:t>
      </w:r>
      <w:r>
        <w:rPr>
          <w:color w:val="4D4D4F"/>
          <w:w w:val="105"/>
        </w:rPr>
        <w:t>ecosystem</w:t>
      </w:r>
      <w:r>
        <w:rPr>
          <w:color w:val="4D4D4F"/>
          <w:spacing w:val="-15"/>
          <w:w w:val="105"/>
        </w:rPr>
        <w:t xml:space="preserve"> </w:t>
      </w:r>
      <w:r>
        <w:rPr>
          <w:color w:val="4D4D4F"/>
          <w:w w:val="105"/>
        </w:rPr>
        <w:t>–</w:t>
      </w:r>
      <w:r>
        <w:rPr>
          <w:color w:val="4D4D4F"/>
          <w:spacing w:val="-15"/>
          <w:w w:val="105"/>
        </w:rPr>
        <w:t xml:space="preserve"> </w:t>
      </w:r>
      <w:r>
        <w:rPr>
          <w:color w:val="4D4D4F"/>
          <w:w w:val="105"/>
        </w:rPr>
        <w:t>and</w:t>
      </w:r>
      <w:r>
        <w:rPr>
          <w:color w:val="4D4D4F"/>
          <w:spacing w:val="-14"/>
          <w:w w:val="105"/>
        </w:rPr>
        <w:t xml:space="preserve"> </w:t>
      </w:r>
      <w:r>
        <w:rPr>
          <w:color w:val="4D4D4F"/>
          <w:w w:val="105"/>
        </w:rPr>
        <w:t>DELWP</w:t>
      </w:r>
      <w:r>
        <w:rPr>
          <w:color w:val="4D4D4F"/>
          <w:spacing w:val="-15"/>
          <w:w w:val="105"/>
        </w:rPr>
        <w:t xml:space="preserve"> </w:t>
      </w:r>
      <w:r>
        <w:rPr>
          <w:color w:val="4D4D4F"/>
          <w:w w:val="105"/>
        </w:rPr>
        <w:t>indicates</w:t>
      </w:r>
      <w:r>
        <w:rPr>
          <w:color w:val="4D4D4F"/>
          <w:spacing w:val="-14"/>
          <w:w w:val="105"/>
        </w:rPr>
        <w:t xml:space="preserve"> </w:t>
      </w:r>
      <w:r>
        <w:rPr>
          <w:color w:val="4D4D4F"/>
          <w:w w:val="105"/>
        </w:rPr>
        <w:t>it</w:t>
      </w:r>
      <w:r>
        <w:rPr>
          <w:color w:val="4D4D4F"/>
          <w:spacing w:val="-15"/>
          <w:w w:val="105"/>
        </w:rPr>
        <w:t xml:space="preserve"> </w:t>
      </w:r>
      <w:r>
        <w:rPr>
          <w:color w:val="4D4D4F"/>
          <w:w w:val="105"/>
        </w:rPr>
        <w:t>has been</w:t>
      </w:r>
      <w:r>
        <w:rPr>
          <w:color w:val="4D4D4F"/>
          <w:spacing w:val="-23"/>
          <w:w w:val="105"/>
        </w:rPr>
        <w:t xml:space="preserve"> </w:t>
      </w:r>
      <w:r>
        <w:rPr>
          <w:color w:val="4D4D4F"/>
          <w:w w:val="105"/>
        </w:rPr>
        <w:t>difficult</w:t>
      </w:r>
      <w:r>
        <w:rPr>
          <w:color w:val="4D4D4F"/>
          <w:spacing w:val="-22"/>
          <w:w w:val="105"/>
        </w:rPr>
        <w:t xml:space="preserve"> </w:t>
      </w:r>
      <w:r>
        <w:rPr>
          <w:color w:val="4D4D4F"/>
          <w:w w:val="105"/>
        </w:rPr>
        <w:t>to</w:t>
      </w:r>
      <w:r>
        <w:rPr>
          <w:color w:val="4D4D4F"/>
          <w:spacing w:val="-22"/>
          <w:w w:val="105"/>
        </w:rPr>
        <w:t xml:space="preserve"> </w:t>
      </w:r>
      <w:r>
        <w:rPr>
          <w:color w:val="4D4D4F"/>
          <w:w w:val="105"/>
        </w:rPr>
        <w:t>design</w:t>
      </w:r>
      <w:r>
        <w:rPr>
          <w:color w:val="4D4D4F"/>
          <w:spacing w:val="-22"/>
          <w:w w:val="105"/>
        </w:rPr>
        <w:t xml:space="preserve"> </w:t>
      </w:r>
      <w:r>
        <w:rPr>
          <w:color w:val="4D4D4F"/>
          <w:w w:val="105"/>
        </w:rPr>
        <w:t>monitoring</w:t>
      </w:r>
      <w:r>
        <w:rPr>
          <w:color w:val="4D4D4F"/>
          <w:spacing w:val="-22"/>
          <w:w w:val="105"/>
        </w:rPr>
        <w:t xml:space="preserve"> </w:t>
      </w:r>
      <w:r>
        <w:rPr>
          <w:color w:val="4D4D4F"/>
          <w:w w:val="105"/>
        </w:rPr>
        <w:t>protocols</w:t>
      </w:r>
      <w:r>
        <w:rPr>
          <w:color w:val="4D4D4F"/>
          <w:spacing w:val="-22"/>
          <w:w w:val="105"/>
        </w:rPr>
        <w:t xml:space="preserve"> </w:t>
      </w:r>
      <w:r>
        <w:rPr>
          <w:color w:val="4D4D4F"/>
          <w:w w:val="105"/>
        </w:rPr>
        <w:t>that</w:t>
      </w:r>
      <w:r>
        <w:rPr>
          <w:color w:val="4D4D4F"/>
          <w:spacing w:val="-22"/>
          <w:w w:val="105"/>
        </w:rPr>
        <w:t xml:space="preserve"> </w:t>
      </w:r>
      <w:r>
        <w:rPr>
          <w:color w:val="4D4D4F"/>
          <w:w w:val="105"/>
        </w:rPr>
        <w:t>properly</w:t>
      </w:r>
      <w:r>
        <w:rPr>
          <w:color w:val="4D4D4F"/>
          <w:spacing w:val="-22"/>
          <w:w w:val="105"/>
        </w:rPr>
        <w:t xml:space="preserve"> </w:t>
      </w:r>
      <w:r>
        <w:rPr>
          <w:color w:val="4D4D4F"/>
          <w:w w:val="105"/>
        </w:rPr>
        <w:t>capture</w:t>
      </w:r>
      <w:r>
        <w:rPr>
          <w:color w:val="4D4D4F"/>
          <w:spacing w:val="-22"/>
          <w:w w:val="105"/>
        </w:rPr>
        <w:t xml:space="preserve"> </w:t>
      </w:r>
      <w:r>
        <w:rPr>
          <w:color w:val="4D4D4F"/>
          <w:w w:val="105"/>
        </w:rPr>
        <w:t>the</w:t>
      </w:r>
      <w:r>
        <w:rPr>
          <w:color w:val="4D4D4F"/>
          <w:spacing w:val="-22"/>
          <w:w w:val="105"/>
        </w:rPr>
        <w:t xml:space="preserve"> </w:t>
      </w:r>
      <w:r>
        <w:rPr>
          <w:color w:val="4D4D4F"/>
          <w:w w:val="105"/>
        </w:rPr>
        <w:t>dynamics</w:t>
      </w:r>
      <w:r>
        <w:rPr>
          <w:color w:val="4D4D4F"/>
          <w:spacing w:val="-22"/>
          <w:w w:val="105"/>
        </w:rPr>
        <w:t xml:space="preserve"> </w:t>
      </w:r>
      <w:r>
        <w:rPr>
          <w:color w:val="4D4D4F"/>
          <w:w w:val="105"/>
        </w:rPr>
        <w:t>of the</w:t>
      </w:r>
      <w:r>
        <w:rPr>
          <w:color w:val="4D4D4F"/>
          <w:spacing w:val="-21"/>
          <w:w w:val="105"/>
        </w:rPr>
        <w:t xml:space="preserve"> </w:t>
      </w:r>
      <w:r>
        <w:rPr>
          <w:color w:val="4D4D4F"/>
          <w:w w:val="105"/>
        </w:rPr>
        <w:t>system,</w:t>
      </w:r>
      <w:r>
        <w:rPr>
          <w:color w:val="4D4D4F"/>
          <w:spacing w:val="-20"/>
          <w:w w:val="105"/>
        </w:rPr>
        <w:t xml:space="preserve"> </w:t>
      </w:r>
      <w:r>
        <w:rPr>
          <w:color w:val="4D4D4F"/>
          <w:w w:val="105"/>
        </w:rPr>
        <w:t>with</w:t>
      </w:r>
      <w:r>
        <w:rPr>
          <w:color w:val="4D4D4F"/>
          <w:spacing w:val="-21"/>
          <w:w w:val="105"/>
        </w:rPr>
        <w:t xml:space="preserve"> </w:t>
      </w:r>
      <w:r>
        <w:rPr>
          <w:color w:val="4D4D4F"/>
          <w:w w:val="105"/>
        </w:rPr>
        <w:t>not</w:t>
      </w:r>
      <w:r>
        <w:rPr>
          <w:color w:val="4D4D4F"/>
          <w:spacing w:val="-20"/>
          <w:w w:val="105"/>
        </w:rPr>
        <w:t xml:space="preserve"> </w:t>
      </w:r>
      <w:r>
        <w:rPr>
          <w:color w:val="4D4D4F"/>
          <w:w w:val="105"/>
        </w:rPr>
        <w:t>a</w:t>
      </w:r>
      <w:r>
        <w:rPr>
          <w:color w:val="4D4D4F"/>
          <w:spacing w:val="-21"/>
          <w:w w:val="105"/>
        </w:rPr>
        <w:t xml:space="preserve"> </w:t>
      </w:r>
      <w:r>
        <w:rPr>
          <w:color w:val="4D4D4F"/>
          <w:w w:val="105"/>
        </w:rPr>
        <w:t>single</w:t>
      </w:r>
      <w:r>
        <w:rPr>
          <w:color w:val="4D4D4F"/>
          <w:spacing w:val="-20"/>
          <w:w w:val="105"/>
        </w:rPr>
        <w:t xml:space="preserve"> </w:t>
      </w:r>
      <w:r>
        <w:rPr>
          <w:color w:val="4D4D4F"/>
          <w:w w:val="105"/>
        </w:rPr>
        <w:t>variable</w:t>
      </w:r>
      <w:r>
        <w:rPr>
          <w:color w:val="4D4D4F"/>
          <w:spacing w:val="-20"/>
          <w:w w:val="105"/>
        </w:rPr>
        <w:t xml:space="preserve"> </w:t>
      </w:r>
      <w:r>
        <w:rPr>
          <w:color w:val="4D4D4F"/>
          <w:w w:val="105"/>
        </w:rPr>
        <w:t>appropriate</w:t>
      </w:r>
      <w:r>
        <w:rPr>
          <w:color w:val="4D4D4F"/>
          <w:spacing w:val="-21"/>
          <w:w w:val="105"/>
        </w:rPr>
        <w:t xml:space="preserve"> </w:t>
      </w:r>
      <w:r>
        <w:rPr>
          <w:color w:val="4D4D4F"/>
          <w:w w:val="105"/>
        </w:rPr>
        <w:t>to</w:t>
      </w:r>
      <w:r>
        <w:rPr>
          <w:color w:val="4D4D4F"/>
          <w:spacing w:val="-20"/>
          <w:w w:val="105"/>
        </w:rPr>
        <w:t xml:space="preserve"> </w:t>
      </w:r>
      <w:r>
        <w:rPr>
          <w:color w:val="4D4D4F"/>
          <w:w w:val="105"/>
        </w:rPr>
        <w:t>detect</w:t>
      </w:r>
      <w:r>
        <w:rPr>
          <w:color w:val="4D4D4F"/>
          <w:spacing w:val="-21"/>
          <w:w w:val="105"/>
        </w:rPr>
        <w:t xml:space="preserve"> </w:t>
      </w:r>
      <w:r>
        <w:rPr>
          <w:color w:val="4D4D4F"/>
          <w:w w:val="105"/>
        </w:rPr>
        <w:t>and</w:t>
      </w:r>
      <w:r>
        <w:rPr>
          <w:color w:val="4D4D4F"/>
          <w:spacing w:val="-20"/>
          <w:w w:val="105"/>
        </w:rPr>
        <w:t xml:space="preserve"> </w:t>
      </w:r>
      <w:r>
        <w:rPr>
          <w:color w:val="4D4D4F"/>
          <w:w w:val="105"/>
        </w:rPr>
        <w:t>measure</w:t>
      </w:r>
      <w:r>
        <w:rPr>
          <w:color w:val="4D4D4F"/>
          <w:spacing w:val="-20"/>
          <w:w w:val="105"/>
        </w:rPr>
        <w:t xml:space="preserve"> </w:t>
      </w:r>
      <w:r>
        <w:rPr>
          <w:color w:val="4D4D4F"/>
          <w:w w:val="105"/>
        </w:rPr>
        <w:t>change.</w:t>
      </w:r>
      <w:r>
        <w:rPr>
          <w:color w:val="4D4D4F"/>
          <w:w w:val="105"/>
          <w:position w:val="7"/>
          <w:sz w:val="11"/>
        </w:rPr>
        <w:t xml:space="preserve">140 </w:t>
      </w:r>
      <w:r>
        <w:rPr>
          <w:color w:val="4D4D4F"/>
          <w:w w:val="105"/>
        </w:rPr>
        <w:t>The</w:t>
      </w:r>
      <w:r>
        <w:rPr>
          <w:color w:val="4D4D4F"/>
          <w:spacing w:val="-20"/>
          <w:w w:val="105"/>
        </w:rPr>
        <w:t xml:space="preserve"> </w:t>
      </w:r>
      <w:r>
        <w:rPr>
          <w:color w:val="4D4D4F"/>
          <w:w w:val="105"/>
        </w:rPr>
        <w:t>KPIs</w:t>
      </w:r>
      <w:r>
        <w:rPr>
          <w:color w:val="4D4D4F"/>
          <w:spacing w:val="-20"/>
          <w:w w:val="105"/>
        </w:rPr>
        <w:t xml:space="preserve"> </w:t>
      </w:r>
      <w:r>
        <w:rPr>
          <w:color w:val="4D4D4F"/>
          <w:w w:val="105"/>
        </w:rPr>
        <w:t>described</w:t>
      </w:r>
      <w:r>
        <w:rPr>
          <w:color w:val="4D4D4F"/>
          <w:spacing w:val="-20"/>
          <w:w w:val="105"/>
        </w:rPr>
        <w:t xml:space="preserve"> </w:t>
      </w:r>
      <w:r>
        <w:rPr>
          <w:color w:val="4D4D4F"/>
          <w:w w:val="105"/>
        </w:rPr>
        <w:t>above</w:t>
      </w:r>
      <w:r>
        <w:rPr>
          <w:color w:val="4D4D4F"/>
          <w:spacing w:val="-20"/>
          <w:w w:val="105"/>
        </w:rPr>
        <w:t xml:space="preserve"> </w:t>
      </w:r>
      <w:r>
        <w:rPr>
          <w:color w:val="4D4D4F"/>
          <w:w w:val="105"/>
        </w:rPr>
        <w:t>provide</w:t>
      </w:r>
      <w:r>
        <w:rPr>
          <w:color w:val="4D4D4F"/>
          <w:spacing w:val="-20"/>
          <w:w w:val="105"/>
        </w:rPr>
        <w:t xml:space="preserve"> </w:t>
      </w:r>
      <w:r>
        <w:rPr>
          <w:color w:val="4D4D4F"/>
          <w:w w:val="105"/>
        </w:rPr>
        <w:t>good</w:t>
      </w:r>
      <w:r>
        <w:rPr>
          <w:color w:val="4D4D4F"/>
          <w:spacing w:val="-20"/>
          <w:w w:val="105"/>
        </w:rPr>
        <w:t xml:space="preserve"> </w:t>
      </w:r>
      <w:r>
        <w:rPr>
          <w:color w:val="4D4D4F"/>
          <w:w w:val="105"/>
        </w:rPr>
        <w:t>indications</w:t>
      </w:r>
      <w:r>
        <w:rPr>
          <w:color w:val="4D4D4F"/>
          <w:spacing w:val="-20"/>
          <w:w w:val="105"/>
        </w:rPr>
        <w:t xml:space="preserve"> </w:t>
      </w:r>
      <w:r>
        <w:rPr>
          <w:color w:val="4D4D4F"/>
          <w:w w:val="105"/>
        </w:rPr>
        <w:t>of</w:t>
      </w:r>
      <w:r>
        <w:rPr>
          <w:color w:val="4D4D4F"/>
          <w:spacing w:val="-20"/>
          <w:w w:val="105"/>
        </w:rPr>
        <w:t xml:space="preserve"> </w:t>
      </w:r>
      <w:r>
        <w:rPr>
          <w:color w:val="4D4D4F"/>
          <w:w w:val="105"/>
        </w:rPr>
        <w:t>Natural</w:t>
      </w:r>
      <w:r>
        <w:rPr>
          <w:color w:val="4D4D4F"/>
          <w:spacing w:val="-20"/>
          <w:w w:val="105"/>
        </w:rPr>
        <w:t xml:space="preserve"> </w:t>
      </w:r>
      <w:r>
        <w:rPr>
          <w:color w:val="4D4D4F"/>
          <w:w w:val="105"/>
        </w:rPr>
        <w:t>Temperate</w:t>
      </w:r>
      <w:r>
        <w:rPr>
          <w:color w:val="4D4D4F"/>
          <w:spacing w:val="-19"/>
          <w:w w:val="105"/>
        </w:rPr>
        <w:t xml:space="preserve"> </w:t>
      </w:r>
      <w:r>
        <w:rPr>
          <w:color w:val="4D4D4F"/>
          <w:w w:val="105"/>
        </w:rPr>
        <w:t>Grassland change, but they address separate aspects of the community. No single KPI is a direct</w:t>
      </w:r>
      <w:r>
        <w:rPr>
          <w:color w:val="4D4D4F"/>
          <w:spacing w:val="-25"/>
          <w:w w:val="105"/>
        </w:rPr>
        <w:t xml:space="preserve"> </w:t>
      </w:r>
      <w:r>
        <w:rPr>
          <w:color w:val="4D4D4F"/>
          <w:w w:val="105"/>
        </w:rPr>
        <w:t>and</w:t>
      </w:r>
      <w:r>
        <w:rPr>
          <w:color w:val="4D4D4F"/>
          <w:spacing w:val="-25"/>
          <w:w w:val="105"/>
        </w:rPr>
        <w:t xml:space="preserve"> </w:t>
      </w:r>
      <w:r>
        <w:rPr>
          <w:color w:val="4D4D4F"/>
          <w:w w:val="105"/>
        </w:rPr>
        <w:t>all-encompassing</w:t>
      </w:r>
      <w:r>
        <w:rPr>
          <w:color w:val="4D4D4F"/>
          <w:spacing w:val="-25"/>
          <w:w w:val="105"/>
        </w:rPr>
        <w:t xml:space="preserve"> </w:t>
      </w:r>
      <w:r>
        <w:rPr>
          <w:color w:val="4D4D4F"/>
          <w:w w:val="105"/>
        </w:rPr>
        <w:t>measure</w:t>
      </w:r>
      <w:r>
        <w:rPr>
          <w:color w:val="4D4D4F"/>
          <w:spacing w:val="-24"/>
          <w:w w:val="105"/>
        </w:rPr>
        <w:t xml:space="preserve"> </w:t>
      </w:r>
      <w:r>
        <w:rPr>
          <w:color w:val="4D4D4F"/>
          <w:w w:val="105"/>
        </w:rPr>
        <w:t>of</w:t>
      </w:r>
      <w:r>
        <w:rPr>
          <w:color w:val="4D4D4F"/>
          <w:spacing w:val="-25"/>
          <w:w w:val="105"/>
        </w:rPr>
        <w:t xml:space="preserve"> </w:t>
      </w:r>
      <w:r>
        <w:rPr>
          <w:color w:val="4D4D4F"/>
          <w:w w:val="105"/>
        </w:rPr>
        <w:t>the</w:t>
      </w:r>
      <w:r>
        <w:rPr>
          <w:color w:val="4D4D4F"/>
          <w:spacing w:val="-25"/>
          <w:w w:val="105"/>
        </w:rPr>
        <w:t xml:space="preserve"> </w:t>
      </w:r>
      <w:r>
        <w:rPr>
          <w:color w:val="4D4D4F"/>
          <w:w w:val="105"/>
        </w:rPr>
        <w:t>composition,</w:t>
      </w:r>
      <w:r>
        <w:rPr>
          <w:color w:val="4D4D4F"/>
          <w:spacing w:val="-24"/>
          <w:w w:val="105"/>
        </w:rPr>
        <w:t xml:space="preserve"> </w:t>
      </w:r>
      <w:r>
        <w:rPr>
          <w:color w:val="4D4D4F"/>
          <w:w w:val="105"/>
        </w:rPr>
        <w:t>structure</w:t>
      </w:r>
      <w:r>
        <w:rPr>
          <w:color w:val="4D4D4F"/>
          <w:spacing w:val="-25"/>
          <w:w w:val="105"/>
        </w:rPr>
        <w:t xml:space="preserve"> </w:t>
      </w:r>
      <w:r>
        <w:rPr>
          <w:color w:val="4D4D4F"/>
          <w:w w:val="105"/>
        </w:rPr>
        <w:t>and</w:t>
      </w:r>
      <w:r>
        <w:rPr>
          <w:color w:val="4D4D4F"/>
          <w:spacing w:val="-25"/>
          <w:w w:val="105"/>
        </w:rPr>
        <w:t xml:space="preserve"> </w:t>
      </w:r>
      <w:r>
        <w:rPr>
          <w:color w:val="4D4D4F"/>
          <w:w w:val="105"/>
        </w:rPr>
        <w:t>function</w:t>
      </w:r>
      <w:r>
        <w:rPr>
          <w:color w:val="4D4D4F"/>
          <w:spacing w:val="-24"/>
          <w:w w:val="105"/>
        </w:rPr>
        <w:t xml:space="preserve"> </w:t>
      </w:r>
      <w:r>
        <w:rPr>
          <w:color w:val="4D4D4F"/>
          <w:w w:val="105"/>
        </w:rPr>
        <w:t>for the</w:t>
      </w:r>
      <w:r>
        <w:rPr>
          <w:color w:val="4D4D4F"/>
          <w:spacing w:val="-20"/>
          <w:w w:val="105"/>
        </w:rPr>
        <w:t xml:space="preserve"> </w:t>
      </w:r>
      <w:r>
        <w:rPr>
          <w:color w:val="4D4D4F"/>
          <w:w w:val="105"/>
        </w:rPr>
        <w:t>community,</w:t>
      </w:r>
      <w:r>
        <w:rPr>
          <w:color w:val="4D4D4F"/>
          <w:spacing w:val="-19"/>
          <w:w w:val="105"/>
        </w:rPr>
        <w:t xml:space="preserve"> </w:t>
      </w:r>
      <w:r>
        <w:rPr>
          <w:color w:val="4D4D4F"/>
          <w:w w:val="105"/>
        </w:rPr>
        <w:t>which</w:t>
      </w:r>
      <w:r>
        <w:rPr>
          <w:color w:val="4D4D4F"/>
          <w:spacing w:val="-19"/>
          <w:w w:val="105"/>
        </w:rPr>
        <w:t xml:space="preserve"> </w:t>
      </w:r>
      <w:r>
        <w:rPr>
          <w:color w:val="4D4D4F"/>
          <w:w w:val="105"/>
        </w:rPr>
        <w:t>is</w:t>
      </w:r>
      <w:r>
        <w:rPr>
          <w:color w:val="4D4D4F"/>
          <w:spacing w:val="-20"/>
          <w:w w:val="105"/>
        </w:rPr>
        <w:t xml:space="preserve"> </w:t>
      </w:r>
      <w:r>
        <w:rPr>
          <w:color w:val="4D4D4F"/>
          <w:w w:val="105"/>
        </w:rPr>
        <w:t>the</w:t>
      </w:r>
      <w:r>
        <w:rPr>
          <w:color w:val="4D4D4F"/>
          <w:spacing w:val="-19"/>
          <w:w w:val="105"/>
        </w:rPr>
        <w:t xml:space="preserve"> </w:t>
      </w:r>
      <w:r>
        <w:rPr>
          <w:color w:val="4D4D4F"/>
          <w:w w:val="105"/>
        </w:rPr>
        <w:t>way</w:t>
      </w:r>
      <w:r>
        <w:rPr>
          <w:color w:val="4D4D4F"/>
          <w:spacing w:val="-19"/>
          <w:w w:val="105"/>
        </w:rPr>
        <w:t xml:space="preserve"> </w:t>
      </w:r>
      <w:r>
        <w:rPr>
          <w:color w:val="4D4D4F"/>
          <w:w w:val="105"/>
        </w:rPr>
        <w:t>improvement</w:t>
      </w:r>
      <w:r>
        <w:rPr>
          <w:color w:val="4D4D4F"/>
          <w:spacing w:val="-19"/>
          <w:w w:val="105"/>
        </w:rPr>
        <w:t xml:space="preserve"> </w:t>
      </w:r>
      <w:r>
        <w:rPr>
          <w:color w:val="4D4D4F"/>
          <w:w w:val="105"/>
        </w:rPr>
        <w:t>is</w:t>
      </w:r>
      <w:r>
        <w:rPr>
          <w:color w:val="4D4D4F"/>
          <w:spacing w:val="-20"/>
          <w:w w:val="105"/>
        </w:rPr>
        <w:t xml:space="preserve"> </w:t>
      </w:r>
      <w:r>
        <w:rPr>
          <w:color w:val="4D4D4F"/>
          <w:w w:val="105"/>
        </w:rPr>
        <w:t>framed</w:t>
      </w:r>
      <w:r>
        <w:rPr>
          <w:color w:val="4D4D4F"/>
          <w:spacing w:val="-19"/>
          <w:w w:val="105"/>
        </w:rPr>
        <w:t xml:space="preserve"> </w:t>
      </w:r>
      <w:r>
        <w:rPr>
          <w:color w:val="4D4D4F"/>
          <w:w w:val="105"/>
        </w:rPr>
        <w:t>in</w:t>
      </w:r>
      <w:r>
        <w:rPr>
          <w:color w:val="4D4D4F"/>
          <w:spacing w:val="-19"/>
          <w:w w:val="105"/>
        </w:rPr>
        <w:t xml:space="preserve"> </w:t>
      </w:r>
      <w:r>
        <w:rPr>
          <w:color w:val="4D4D4F"/>
          <w:w w:val="105"/>
        </w:rPr>
        <w:t>DELWP’s</w:t>
      </w:r>
      <w:r>
        <w:rPr>
          <w:color w:val="4D4D4F"/>
          <w:spacing w:val="-19"/>
          <w:w w:val="105"/>
        </w:rPr>
        <w:t xml:space="preserve"> </w:t>
      </w:r>
      <w:r>
        <w:rPr>
          <w:color w:val="4D4D4F"/>
          <w:w w:val="105"/>
        </w:rPr>
        <w:t>conservation outcomes statement.</w:t>
      </w:r>
    </w:p>
    <w:p w14:paraId="19C8B965" w14:textId="77777777" w:rsidR="00EF5B27" w:rsidRDefault="00000000">
      <w:pPr>
        <w:pStyle w:val="BodyText"/>
        <w:spacing w:before="123" w:line="254" w:lineRule="auto"/>
        <w:ind w:left="2608" w:right="221"/>
      </w:pPr>
      <w:r>
        <w:rPr>
          <w:color w:val="4D4D4F"/>
          <w:w w:val="105"/>
        </w:rPr>
        <w:t>DELWP partially addresses this, having developed an overall Natural Temperate Grassland quality metric, and is determined using the algorithm described in Sinclair</w:t>
      </w:r>
      <w:r>
        <w:rPr>
          <w:color w:val="4D4D4F"/>
          <w:spacing w:val="-13"/>
          <w:w w:val="105"/>
        </w:rPr>
        <w:t xml:space="preserve"> </w:t>
      </w:r>
      <w:r>
        <w:rPr>
          <w:color w:val="4D4D4F"/>
          <w:w w:val="105"/>
        </w:rPr>
        <w:t>et</w:t>
      </w:r>
      <w:r>
        <w:rPr>
          <w:color w:val="4D4D4F"/>
          <w:spacing w:val="-13"/>
          <w:w w:val="105"/>
        </w:rPr>
        <w:t xml:space="preserve"> </w:t>
      </w:r>
      <w:r>
        <w:rPr>
          <w:color w:val="4D4D4F"/>
          <w:spacing w:val="-4"/>
          <w:w w:val="105"/>
        </w:rPr>
        <w:t>al.</w:t>
      </w:r>
      <w:r>
        <w:rPr>
          <w:color w:val="4D4D4F"/>
          <w:spacing w:val="-4"/>
          <w:w w:val="105"/>
          <w:position w:val="7"/>
          <w:sz w:val="11"/>
        </w:rPr>
        <w:t>141</w:t>
      </w:r>
      <w:r>
        <w:rPr>
          <w:color w:val="4D4D4F"/>
          <w:spacing w:val="9"/>
          <w:w w:val="105"/>
          <w:position w:val="7"/>
          <w:sz w:val="11"/>
        </w:rPr>
        <w:t xml:space="preserve"> </w:t>
      </w:r>
      <w:r>
        <w:rPr>
          <w:color w:val="4D4D4F"/>
          <w:w w:val="105"/>
        </w:rPr>
        <w:t>This</w:t>
      </w:r>
      <w:r>
        <w:rPr>
          <w:color w:val="4D4D4F"/>
          <w:spacing w:val="-13"/>
          <w:w w:val="105"/>
        </w:rPr>
        <w:t xml:space="preserve"> </w:t>
      </w:r>
      <w:r>
        <w:rPr>
          <w:color w:val="4D4D4F"/>
          <w:w w:val="105"/>
        </w:rPr>
        <w:t>metric</w:t>
      </w:r>
      <w:r>
        <w:rPr>
          <w:color w:val="4D4D4F"/>
          <w:spacing w:val="-13"/>
          <w:w w:val="105"/>
        </w:rPr>
        <w:t xml:space="preserve"> </w:t>
      </w:r>
      <w:r>
        <w:rPr>
          <w:color w:val="4D4D4F"/>
          <w:w w:val="105"/>
        </w:rPr>
        <w:t>has</w:t>
      </w:r>
      <w:r>
        <w:rPr>
          <w:color w:val="4D4D4F"/>
          <w:spacing w:val="-13"/>
          <w:w w:val="105"/>
        </w:rPr>
        <w:t xml:space="preserve"> </w:t>
      </w:r>
      <w:r>
        <w:rPr>
          <w:color w:val="4D4D4F"/>
          <w:w w:val="105"/>
        </w:rPr>
        <w:t>previously</w:t>
      </w:r>
      <w:r>
        <w:rPr>
          <w:color w:val="4D4D4F"/>
          <w:spacing w:val="-13"/>
          <w:w w:val="105"/>
        </w:rPr>
        <w:t xml:space="preserve"> </w:t>
      </w:r>
      <w:r>
        <w:rPr>
          <w:color w:val="4D4D4F"/>
          <w:w w:val="105"/>
        </w:rPr>
        <w:t>been</w:t>
      </w:r>
      <w:r>
        <w:rPr>
          <w:color w:val="4D4D4F"/>
          <w:spacing w:val="-13"/>
          <w:w w:val="105"/>
        </w:rPr>
        <w:t xml:space="preserve"> </w:t>
      </w:r>
      <w:r>
        <w:rPr>
          <w:color w:val="4D4D4F"/>
          <w:w w:val="105"/>
        </w:rPr>
        <w:t>reported</w:t>
      </w:r>
      <w:r>
        <w:rPr>
          <w:color w:val="4D4D4F"/>
          <w:spacing w:val="-13"/>
          <w:w w:val="105"/>
        </w:rPr>
        <w:t xml:space="preserve"> </w:t>
      </w:r>
      <w:r>
        <w:rPr>
          <w:color w:val="4D4D4F"/>
          <w:w w:val="105"/>
        </w:rPr>
        <w:t>on</w:t>
      </w:r>
      <w:r>
        <w:rPr>
          <w:color w:val="4D4D4F"/>
          <w:spacing w:val="-13"/>
          <w:w w:val="105"/>
        </w:rPr>
        <w:t xml:space="preserve"> </w:t>
      </w:r>
      <w:r>
        <w:rPr>
          <w:color w:val="4D4D4F"/>
          <w:w w:val="105"/>
        </w:rPr>
        <w:t>by</w:t>
      </w:r>
      <w:r>
        <w:rPr>
          <w:color w:val="4D4D4F"/>
          <w:spacing w:val="-13"/>
          <w:w w:val="105"/>
        </w:rPr>
        <w:t xml:space="preserve"> </w:t>
      </w:r>
      <w:r>
        <w:rPr>
          <w:color w:val="4D4D4F"/>
          <w:w w:val="105"/>
        </w:rPr>
        <w:t>DELWP</w:t>
      </w:r>
      <w:r>
        <w:rPr>
          <w:color w:val="4D4D4F"/>
          <w:spacing w:val="-12"/>
          <w:w w:val="105"/>
        </w:rPr>
        <w:t xml:space="preserve"> </w:t>
      </w:r>
      <w:r>
        <w:rPr>
          <w:color w:val="4D4D4F"/>
          <w:w w:val="105"/>
        </w:rPr>
        <w:t>as</w:t>
      </w:r>
      <w:r>
        <w:rPr>
          <w:color w:val="4D4D4F"/>
          <w:spacing w:val="-13"/>
          <w:w w:val="105"/>
        </w:rPr>
        <w:t xml:space="preserve"> </w:t>
      </w:r>
      <w:r>
        <w:rPr>
          <w:color w:val="4D4D4F"/>
          <w:w w:val="105"/>
        </w:rPr>
        <w:t>an</w:t>
      </w:r>
      <w:r>
        <w:rPr>
          <w:color w:val="4D4D4F"/>
          <w:spacing w:val="-13"/>
          <w:w w:val="105"/>
        </w:rPr>
        <w:t xml:space="preserve"> </w:t>
      </w:r>
      <w:r>
        <w:rPr>
          <w:color w:val="4D4D4F"/>
          <w:w w:val="105"/>
        </w:rPr>
        <w:t xml:space="preserve">‘other </w:t>
      </w:r>
      <w:r>
        <w:rPr>
          <w:color w:val="4D4D4F"/>
          <w:spacing w:val="-3"/>
          <w:w w:val="105"/>
        </w:rPr>
        <w:t>measure’.</w:t>
      </w:r>
      <w:r>
        <w:rPr>
          <w:color w:val="4D4D4F"/>
          <w:spacing w:val="-3"/>
          <w:w w:val="105"/>
          <w:position w:val="7"/>
          <w:sz w:val="11"/>
        </w:rPr>
        <w:t>142</w:t>
      </w:r>
      <w:r>
        <w:rPr>
          <w:color w:val="4D4D4F"/>
          <w:spacing w:val="-1"/>
          <w:w w:val="105"/>
          <w:position w:val="7"/>
          <w:sz w:val="11"/>
        </w:rPr>
        <w:t xml:space="preserve"> </w:t>
      </w:r>
      <w:r>
        <w:rPr>
          <w:color w:val="4D4D4F"/>
          <w:w w:val="105"/>
        </w:rPr>
        <w:t>The</w:t>
      </w:r>
      <w:r>
        <w:rPr>
          <w:color w:val="4D4D4F"/>
          <w:spacing w:val="-23"/>
          <w:w w:val="105"/>
        </w:rPr>
        <w:t xml:space="preserve"> </w:t>
      </w:r>
      <w:r>
        <w:rPr>
          <w:color w:val="4D4D4F"/>
          <w:w w:val="105"/>
        </w:rPr>
        <w:t>quality</w:t>
      </w:r>
      <w:r>
        <w:rPr>
          <w:color w:val="4D4D4F"/>
          <w:spacing w:val="-22"/>
          <w:w w:val="105"/>
        </w:rPr>
        <w:t xml:space="preserve"> </w:t>
      </w:r>
      <w:r>
        <w:rPr>
          <w:color w:val="4D4D4F"/>
          <w:w w:val="105"/>
        </w:rPr>
        <w:t>algorithm</w:t>
      </w:r>
      <w:r>
        <w:rPr>
          <w:color w:val="4D4D4F"/>
          <w:spacing w:val="-23"/>
          <w:w w:val="105"/>
        </w:rPr>
        <w:t xml:space="preserve"> </w:t>
      </w:r>
      <w:r>
        <w:rPr>
          <w:color w:val="4D4D4F"/>
          <w:w w:val="105"/>
        </w:rPr>
        <w:t>combines</w:t>
      </w:r>
      <w:r>
        <w:rPr>
          <w:color w:val="4D4D4F"/>
          <w:spacing w:val="-22"/>
          <w:w w:val="105"/>
        </w:rPr>
        <w:t xml:space="preserve"> </w:t>
      </w:r>
      <w:r>
        <w:rPr>
          <w:color w:val="4D4D4F"/>
          <w:w w:val="105"/>
        </w:rPr>
        <w:t>eight</w:t>
      </w:r>
      <w:r>
        <w:rPr>
          <w:color w:val="4D4D4F"/>
          <w:spacing w:val="-23"/>
          <w:w w:val="105"/>
        </w:rPr>
        <w:t xml:space="preserve"> </w:t>
      </w:r>
      <w:r>
        <w:rPr>
          <w:color w:val="4D4D4F"/>
          <w:w w:val="105"/>
        </w:rPr>
        <w:t>measurable</w:t>
      </w:r>
      <w:r>
        <w:rPr>
          <w:color w:val="4D4D4F"/>
          <w:spacing w:val="-22"/>
          <w:w w:val="105"/>
        </w:rPr>
        <w:t xml:space="preserve"> </w:t>
      </w:r>
      <w:r>
        <w:rPr>
          <w:color w:val="4D4D4F"/>
          <w:w w:val="105"/>
        </w:rPr>
        <w:t>on-ground</w:t>
      </w:r>
      <w:r>
        <w:rPr>
          <w:color w:val="4D4D4F"/>
          <w:spacing w:val="-22"/>
          <w:w w:val="105"/>
        </w:rPr>
        <w:t xml:space="preserve"> </w:t>
      </w:r>
      <w:r>
        <w:rPr>
          <w:color w:val="4D4D4F"/>
          <w:w w:val="105"/>
        </w:rPr>
        <w:t>variables into</w:t>
      </w:r>
      <w:r>
        <w:rPr>
          <w:color w:val="4D4D4F"/>
          <w:spacing w:val="-14"/>
          <w:w w:val="105"/>
        </w:rPr>
        <w:t xml:space="preserve"> </w:t>
      </w:r>
      <w:r>
        <w:rPr>
          <w:color w:val="4D4D4F"/>
          <w:w w:val="105"/>
        </w:rPr>
        <w:t>a</w:t>
      </w:r>
      <w:r>
        <w:rPr>
          <w:color w:val="4D4D4F"/>
          <w:spacing w:val="-13"/>
          <w:w w:val="105"/>
        </w:rPr>
        <w:t xml:space="preserve"> </w:t>
      </w:r>
      <w:r>
        <w:rPr>
          <w:color w:val="4D4D4F"/>
          <w:w w:val="105"/>
        </w:rPr>
        <w:t>single</w:t>
      </w:r>
      <w:r>
        <w:rPr>
          <w:color w:val="4D4D4F"/>
          <w:spacing w:val="-14"/>
          <w:w w:val="105"/>
        </w:rPr>
        <w:t xml:space="preserve"> </w:t>
      </w:r>
      <w:r>
        <w:rPr>
          <w:color w:val="4D4D4F"/>
          <w:w w:val="105"/>
        </w:rPr>
        <w:t>value.</w:t>
      </w:r>
      <w:r>
        <w:rPr>
          <w:color w:val="4D4D4F"/>
          <w:spacing w:val="-13"/>
          <w:w w:val="105"/>
        </w:rPr>
        <w:t xml:space="preserve"> </w:t>
      </w:r>
      <w:r>
        <w:rPr>
          <w:color w:val="4D4D4F"/>
          <w:w w:val="105"/>
        </w:rPr>
        <w:t>These</w:t>
      </w:r>
      <w:r>
        <w:rPr>
          <w:color w:val="4D4D4F"/>
          <w:spacing w:val="-13"/>
          <w:w w:val="105"/>
        </w:rPr>
        <w:t xml:space="preserve"> </w:t>
      </w:r>
      <w:r>
        <w:rPr>
          <w:color w:val="4D4D4F"/>
          <w:w w:val="105"/>
        </w:rPr>
        <w:t>eight</w:t>
      </w:r>
      <w:r>
        <w:rPr>
          <w:color w:val="4D4D4F"/>
          <w:spacing w:val="-14"/>
          <w:w w:val="105"/>
        </w:rPr>
        <w:t xml:space="preserve"> </w:t>
      </w:r>
      <w:r>
        <w:rPr>
          <w:color w:val="4D4D4F"/>
          <w:w w:val="105"/>
        </w:rPr>
        <w:t>variables</w:t>
      </w:r>
      <w:r>
        <w:rPr>
          <w:color w:val="4D4D4F"/>
          <w:spacing w:val="-13"/>
          <w:w w:val="105"/>
        </w:rPr>
        <w:t xml:space="preserve"> </w:t>
      </w:r>
      <w:r>
        <w:rPr>
          <w:color w:val="4D4D4F"/>
          <w:w w:val="105"/>
        </w:rPr>
        <w:t>correspond</w:t>
      </w:r>
      <w:r>
        <w:rPr>
          <w:color w:val="4D4D4F"/>
          <w:spacing w:val="-13"/>
          <w:w w:val="105"/>
        </w:rPr>
        <w:t xml:space="preserve"> </w:t>
      </w:r>
      <w:r>
        <w:rPr>
          <w:color w:val="4D4D4F"/>
          <w:w w:val="105"/>
        </w:rPr>
        <w:t>closely</w:t>
      </w:r>
      <w:r>
        <w:rPr>
          <w:color w:val="4D4D4F"/>
          <w:spacing w:val="-14"/>
          <w:w w:val="105"/>
        </w:rPr>
        <w:t xml:space="preserve"> </w:t>
      </w:r>
      <w:r>
        <w:rPr>
          <w:color w:val="4D4D4F"/>
          <w:w w:val="105"/>
        </w:rPr>
        <w:t>with</w:t>
      </w:r>
      <w:r>
        <w:rPr>
          <w:color w:val="4D4D4F"/>
          <w:spacing w:val="-13"/>
          <w:w w:val="105"/>
        </w:rPr>
        <w:t xml:space="preserve"> </w:t>
      </w:r>
      <w:r>
        <w:rPr>
          <w:color w:val="4D4D4F"/>
          <w:w w:val="105"/>
        </w:rPr>
        <w:t>the</w:t>
      </w:r>
      <w:r>
        <w:rPr>
          <w:color w:val="4D4D4F"/>
          <w:spacing w:val="-13"/>
          <w:w w:val="105"/>
        </w:rPr>
        <w:t xml:space="preserve"> </w:t>
      </w:r>
      <w:r>
        <w:rPr>
          <w:color w:val="4D4D4F"/>
          <w:w w:val="105"/>
        </w:rPr>
        <w:t>KPI</w:t>
      </w:r>
      <w:r>
        <w:rPr>
          <w:color w:val="4D4D4F"/>
          <w:spacing w:val="-14"/>
          <w:w w:val="105"/>
        </w:rPr>
        <w:t xml:space="preserve"> </w:t>
      </w:r>
      <w:r>
        <w:rPr>
          <w:color w:val="4D4D4F"/>
          <w:w w:val="105"/>
        </w:rPr>
        <w:t>variables.</w:t>
      </w:r>
    </w:p>
    <w:p w14:paraId="447D2026" w14:textId="77777777" w:rsidR="00EF5B27" w:rsidRDefault="00000000">
      <w:pPr>
        <w:pStyle w:val="BodyText"/>
        <w:spacing w:before="6" w:line="254" w:lineRule="auto"/>
        <w:ind w:left="2608" w:right="253"/>
      </w:pPr>
      <w:r>
        <w:rPr>
          <w:color w:val="4D4D4F"/>
        </w:rPr>
        <w:t xml:space="preserve">The algorithm makes sense of changes among the multiple KPIs, by providing a    single quality score between 100 </w:t>
      </w:r>
      <w:r>
        <w:rPr>
          <w:color w:val="4D4D4F"/>
          <w:spacing w:val="-5"/>
        </w:rPr>
        <w:t xml:space="preserve">(a </w:t>
      </w:r>
      <w:r>
        <w:rPr>
          <w:color w:val="4D4D4F"/>
        </w:rPr>
        <w:t xml:space="preserve">‘pristine’ </w:t>
      </w:r>
      <w:r>
        <w:rPr>
          <w:color w:val="4D4D4F"/>
          <w:spacing w:val="-3"/>
        </w:rPr>
        <w:t xml:space="preserve">site) </w:t>
      </w:r>
      <w:r>
        <w:rPr>
          <w:color w:val="4D4D4F"/>
        </w:rPr>
        <w:t xml:space="preserve">and zero (where no value remains). The score is calculated from all permanent and re-allocated point-intercept plots in each year and reported by state. Having this metric included as a KPI may assist in </w:t>
      </w:r>
      <w:r>
        <w:rPr>
          <w:color w:val="4D4D4F"/>
          <w:spacing w:val="-3"/>
        </w:rPr>
        <w:t xml:space="preserve">interpretation </w:t>
      </w:r>
      <w:r>
        <w:rPr>
          <w:color w:val="4D4D4F"/>
        </w:rPr>
        <w:t xml:space="preserve">of </w:t>
      </w:r>
      <w:r>
        <w:rPr>
          <w:color w:val="4D4D4F"/>
          <w:spacing w:val="-3"/>
        </w:rPr>
        <w:t xml:space="preserve">results </w:t>
      </w:r>
      <w:r>
        <w:rPr>
          <w:color w:val="4D4D4F"/>
          <w:spacing w:val="-2"/>
        </w:rPr>
        <w:t xml:space="preserve">for </w:t>
      </w:r>
      <w:r>
        <w:rPr>
          <w:color w:val="4D4D4F"/>
        </w:rPr>
        <w:t xml:space="preserve">Natural </w:t>
      </w:r>
      <w:r>
        <w:rPr>
          <w:color w:val="4D4D4F"/>
          <w:spacing w:val="-4"/>
        </w:rPr>
        <w:t xml:space="preserve">Temperate </w:t>
      </w:r>
      <w:r>
        <w:rPr>
          <w:color w:val="4D4D4F"/>
        </w:rPr>
        <w:t xml:space="preserve">Grassland, </w:t>
      </w:r>
      <w:r>
        <w:rPr>
          <w:color w:val="4D4D4F"/>
          <w:spacing w:val="-3"/>
        </w:rPr>
        <w:t xml:space="preserve">given </w:t>
      </w:r>
      <w:r>
        <w:rPr>
          <w:color w:val="4D4D4F"/>
        </w:rPr>
        <w:t>the complexity of</w:t>
      </w:r>
      <w:r>
        <w:rPr>
          <w:color w:val="4D4D4F"/>
          <w:spacing w:val="16"/>
        </w:rPr>
        <w:t xml:space="preserve"> </w:t>
      </w:r>
      <w:r>
        <w:rPr>
          <w:color w:val="4D4D4F"/>
          <w:spacing w:val="-3"/>
        </w:rPr>
        <w:t>this.</w:t>
      </w:r>
    </w:p>
    <w:p w14:paraId="0F471E16" w14:textId="77777777" w:rsidR="00EF5B27" w:rsidRDefault="00000000">
      <w:pPr>
        <w:pStyle w:val="BodyText"/>
        <w:spacing w:before="120" w:line="254" w:lineRule="auto"/>
        <w:ind w:left="2608" w:right="315"/>
        <w:rPr>
          <w:sz w:val="11"/>
        </w:rPr>
      </w:pPr>
      <w:r>
        <w:rPr>
          <w:color w:val="4D4D4F"/>
        </w:rPr>
        <w:t>For Natural Temperate Grassland, KPIs are reported according to a ‘state-and- transition’ model,</w:t>
      </w:r>
      <w:r>
        <w:rPr>
          <w:color w:val="4D4D4F"/>
          <w:position w:val="7"/>
          <w:sz w:val="11"/>
        </w:rPr>
        <w:t xml:space="preserve">143 </w:t>
      </w:r>
      <w:r>
        <w:rPr>
          <w:color w:val="4D4D4F"/>
        </w:rPr>
        <w:t xml:space="preserve">where some states are more desirable than others. Much of Natural Temperate Grassland earmarked for MSA management falls within the Western Grassland Reserve. The KPI ‘Hectares making transition between states’  was designed to ensure that any transitions between states are positive transitions, and that negative transitions are avoided. </w:t>
      </w:r>
      <w:r>
        <w:rPr>
          <w:color w:val="4D4D4F"/>
          <w:spacing w:val="-3"/>
        </w:rPr>
        <w:t xml:space="preserve">However, </w:t>
      </w:r>
      <w:r>
        <w:rPr>
          <w:color w:val="4D4D4F"/>
        </w:rPr>
        <w:t xml:space="preserve">many areas within the Western Grassland Reserve are acquired </w:t>
      </w:r>
      <w:r>
        <w:rPr>
          <w:color w:val="4D4D4F"/>
          <w:spacing w:val="-3"/>
        </w:rPr>
        <w:t xml:space="preserve">in </w:t>
      </w:r>
      <w:r>
        <w:rPr>
          <w:color w:val="4D4D4F"/>
        </w:rPr>
        <w:t xml:space="preserve">poor </w:t>
      </w:r>
      <w:r>
        <w:rPr>
          <w:color w:val="4D4D4F"/>
          <w:spacing w:val="-3"/>
        </w:rPr>
        <w:t xml:space="preserve">condition </w:t>
      </w:r>
      <w:r>
        <w:rPr>
          <w:color w:val="4D4D4F"/>
        </w:rPr>
        <w:t xml:space="preserve">and as such much of the focus </w:t>
      </w:r>
      <w:r>
        <w:rPr>
          <w:color w:val="4D4D4F"/>
          <w:spacing w:val="-3"/>
        </w:rPr>
        <w:t xml:space="preserve">is </w:t>
      </w:r>
      <w:r>
        <w:rPr>
          <w:color w:val="4D4D4F"/>
        </w:rPr>
        <w:t>on weed management and protection of higher quality areas from weed encroachment. DELWP has indicated that restoration to improve grassland condition has not been    a realistic or feasible objective, therefore one wouldn’t expect to see much state transition (positive or negative) in these areas over</w:t>
      </w:r>
      <w:r>
        <w:rPr>
          <w:color w:val="4D4D4F"/>
          <w:spacing w:val="32"/>
        </w:rPr>
        <w:t xml:space="preserve"> </w:t>
      </w:r>
      <w:r>
        <w:rPr>
          <w:color w:val="4D4D4F"/>
          <w:spacing w:val="-3"/>
        </w:rPr>
        <w:t>time.</w:t>
      </w:r>
      <w:r>
        <w:rPr>
          <w:color w:val="4D4D4F"/>
          <w:spacing w:val="-3"/>
          <w:position w:val="7"/>
          <w:sz w:val="11"/>
        </w:rPr>
        <w:t>144</w:t>
      </w:r>
    </w:p>
    <w:p w14:paraId="3659E206" w14:textId="77777777" w:rsidR="00EF5B27" w:rsidRDefault="00000000">
      <w:pPr>
        <w:pStyle w:val="BodyText"/>
        <w:spacing w:before="127" w:line="254" w:lineRule="auto"/>
        <w:ind w:left="2608"/>
        <w:rPr>
          <w:sz w:val="11"/>
        </w:rPr>
      </w:pPr>
      <w:r>
        <w:rPr>
          <w:color w:val="4D4D4F"/>
        </w:rPr>
        <w:t>Of all the MNES, Natural Temperate Grassland associated with the Western Grassland Reserve has received the most attention from stakeholders, according to DELWP</w:t>
      </w:r>
      <w:r>
        <w:rPr>
          <w:color w:val="4D4D4F"/>
          <w:position w:val="7"/>
          <w:sz w:val="11"/>
        </w:rPr>
        <w:t>145</w:t>
      </w:r>
    </w:p>
    <w:p w14:paraId="3140C437" w14:textId="77777777" w:rsidR="00EF5B27" w:rsidRDefault="00000000">
      <w:pPr>
        <w:pStyle w:val="BodyText"/>
        <w:spacing w:before="2" w:line="254" w:lineRule="auto"/>
        <w:ind w:left="2608" w:right="494"/>
        <w:jc w:val="both"/>
      </w:pPr>
      <w:r>
        <w:rPr>
          <w:color w:val="4D4D4F"/>
        </w:rPr>
        <w:t>– consequently a large degree of resources has been directed toward monitoring Natural Temperate Grassland (DELWP commenced monitoring Natural Temperate Grassland in 2013).</w:t>
      </w:r>
    </w:p>
    <w:p w14:paraId="1CB44920" w14:textId="77777777" w:rsidR="00EF5B27" w:rsidRDefault="00000000">
      <w:pPr>
        <w:pStyle w:val="BodyText"/>
        <w:spacing w:before="117" w:line="254" w:lineRule="auto"/>
        <w:ind w:left="2608" w:right="67"/>
      </w:pPr>
      <w:r>
        <w:rPr>
          <w:color w:val="4D4D4F"/>
        </w:rPr>
        <w:t>Many of the MSA species are not technically independent, as many cohabit in Natural Temperate Grassland. These complex ecosystem dynamics may make it difficult to tease out causative relationships between management interventions and species responses.</w:t>
      </w:r>
    </w:p>
    <w:p w14:paraId="4B660D9E" w14:textId="77777777" w:rsidR="00EF5B27" w:rsidRDefault="00EF5B27">
      <w:pPr>
        <w:pStyle w:val="BodyText"/>
      </w:pPr>
    </w:p>
    <w:p w14:paraId="25253AB2" w14:textId="77777777" w:rsidR="00EF5B27" w:rsidRDefault="00EF5B27">
      <w:pPr>
        <w:pStyle w:val="BodyText"/>
      </w:pPr>
    </w:p>
    <w:p w14:paraId="20497F68" w14:textId="77777777" w:rsidR="00EF5B27" w:rsidRDefault="00EF5B27">
      <w:pPr>
        <w:pStyle w:val="BodyText"/>
      </w:pPr>
    </w:p>
    <w:p w14:paraId="3EA969DC" w14:textId="77777777" w:rsidR="00EF5B27" w:rsidRDefault="00000000">
      <w:pPr>
        <w:pStyle w:val="BodyText"/>
        <w:spacing w:before="5"/>
        <w:rPr>
          <w:sz w:val="12"/>
        </w:rPr>
      </w:pPr>
      <w:r>
        <w:pict w14:anchorId="377ADC74">
          <v:line id="_x0000_s3407" style="position:absolute;z-index:251517440;mso-wrap-distance-left:0;mso-wrap-distance-right:0;mso-position-horizontal-relative:page" from="181.4pt,9.8pt" to="538.6pt,9.8pt" strokecolor="#4d4d4f" strokeweight=".5pt">
            <w10:wrap type="topAndBottom" anchorx="page"/>
          </v:line>
        </w:pict>
      </w:r>
    </w:p>
    <w:p w14:paraId="044EF5CA" w14:textId="77777777" w:rsidR="00EF5B27" w:rsidRDefault="00000000">
      <w:pPr>
        <w:pStyle w:val="ListParagraph"/>
        <w:numPr>
          <w:ilvl w:val="0"/>
          <w:numId w:val="42"/>
        </w:numPr>
        <w:tabs>
          <w:tab w:val="left" w:pos="2836"/>
        </w:tabs>
        <w:spacing w:before="83" w:line="143" w:lineRule="exact"/>
        <w:jc w:val="left"/>
        <w:rPr>
          <w:sz w:val="12"/>
        </w:rPr>
      </w:pPr>
      <w:r>
        <w:rPr>
          <w:color w:val="4D4D4F"/>
          <w:sz w:val="12"/>
        </w:rPr>
        <w:t xml:space="preserve">DELWP, internal document, provided </w:t>
      </w:r>
      <w:r>
        <w:rPr>
          <w:color w:val="4D4D4F"/>
          <w:spacing w:val="-3"/>
          <w:sz w:val="12"/>
        </w:rPr>
        <w:t xml:space="preserve">16 </w:t>
      </w:r>
      <w:r>
        <w:rPr>
          <w:color w:val="4D4D4F"/>
          <w:spacing w:val="2"/>
          <w:sz w:val="12"/>
        </w:rPr>
        <w:t>February</w:t>
      </w:r>
      <w:r>
        <w:rPr>
          <w:color w:val="4D4D4F"/>
          <w:spacing w:val="16"/>
          <w:sz w:val="12"/>
        </w:rPr>
        <w:t xml:space="preserve"> </w:t>
      </w:r>
      <w:r>
        <w:rPr>
          <w:color w:val="4D4D4F"/>
          <w:spacing w:val="2"/>
          <w:sz w:val="12"/>
        </w:rPr>
        <w:t>2022.</w:t>
      </w:r>
    </w:p>
    <w:p w14:paraId="64380A31" w14:textId="77777777" w:rsidR="00EF5B27" w:rsidRDefault="00000000">
      <w:pPr>
        <w:pStyle w:val="ListParagraph"/>
        <w:numPr>
          <w:ilvl w:val="0"/>
          <w:numId w:val="42"/>
        </w:numPr>
        <w:tabs>
          <w:tab w:val="left" w:pos="2836"/>
        </w:tabs>
        <w:spacing w:before="2" w:line="230" w:lineRule="auto"/>
        <w:ind w:right="111"/>
        <w:jc w:val="left"/>
        <w:rPr>
          <w:sz w:val="12"/>
        </w:rPr>
      </w:pPr>
      <w:r>
        <w:rPr>
          <w:color w:val="4D4D4F"/>
          <w:w w:val="105"/>
          <w:sz w:val="12"/>
        </w:rPr>
        <w:t xml:space="preserve">Sinclair SJ, Griffioen </w:t>
      </w:r>
      <w:r>
        <w:rPr>
          <w:color w:val="4D4D4F"/>
          <w:spacing w:val="-5"/>
          <w:w w:val="105"/>
          <w:sz w:val="12"/>
        </w:rPr>
        <w:t xml:space="preserve">P, </w:t>
      </w:r>
      <w:r>
        <w:rPr>
          <w:color w:val="4D4D4F"/>
          <w:w w:val="105"/>
          <w:sz w:val="12"/>
        </w:rPr>
        <w:t xml:space="preserve">Duncan DH, Millett-Riley JE and White MD 2015, ‘Quantifying ecosystem quality by modelling multi-attribute </w:t>
      </w:r>
      <w:r>
        <w:rPr>
          <w:color w:val="4D4D4F"/>
          <w:spacing w:val="2"/>
          <w:w w:val="105"/>
          <w:sz w:val="12"/>
        </w:rPr>
        <w:t xml:space="preserve">expert </w:t>
      </w:r>
      <w:r>
        <w:rPr>
          <w:color w:val="4D4D4F"/>
          <w:w w:val="105"/>
          <w:sz w:val="12"/>
        </w:rPr>
        <w:t>opinion.’ Ecological Applications 25,</w:t>
      </w:r>
      <w:r>
        <w:rPr>
          <w:color w:val="4D4D4F"/>
          <w:spacing w:val="-3"/>
          <w:w w:val="105"/>
          <w:sz w:val="12"/>
        </w:rPr>
        <w:t xml:space="preserve"> </w:t>
      </w:r>
      <w:r>
        <w:rPr>
          <w:color w:val="4D4D4F"/>
          <w:w w:val="105"/>
          <w:sz w:val="12"/>
        </w:rPr>
        <w:t>1463-1477.</w:t>
      </w:r>
    </w:p>
    <w:p w14:paraId="54EBE266" w14:textId="77777777" w:rsidR="00EF5B27" w:rsidRDefault="00000000">
      <w:pPr>
        <w:pStyle w:val="ListParagraph"/>
        <w:numPr>
          <w:ilvl w:val="0"/>
          <w:numId w:val="42"/>
        </w:numPr>
        <w:tabs>
          <w:tab w:val="left" w:pos="2836"/>
        </w:tabs>
        <w:spacing w:line="230" w:lineRule="auto"/>
        <w:ind w:right="111"/>
        <w:jc w:val="left"/>
        <w:rPr>
          <w:sz w:val="12"/>
        </w:rPr>
      </w:pPr>
      <w:r>
        <w:rPr>
          <w:color w:val="4D4D4F"/>
          <w:sz w:val="12"/>
        </w:rPr>
        <w:t xml:space="preserve">M </w:t>
      </w:r>
      <w:r>
        <w:rPr>
          <w:color w:val="4D4D4F"/>
          <w:spacing w:val="2"/>
          <w:sz w:val="12"/>
        </w:rPr>
        <w:t xml:space="preserve">Bruce, </w:t>
      </w:r>
      <w:r>
        <w:rPr>
          <w:color w:val="4D4D4F"/>
          <w:sz w:val="12"/>
        </w:rPr>
        <w:t xml:space="preserve">K Batpurev, D Bryant. S Sinclair and M Kohout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Department of Environment, Land, Water and Planning, Heidelberg,</w:t>
      </w:r>
      <w:r>
        <w:rPr>
          <w:color w:val="4D4D4F"/>
          <w:spacing w:val="24"/>
          <w:sz w:val="12"/>
        </w:rPr>
        <w:t xml:space="preserve"> </w:t>
      </w:r>
      <w:r>
        <w:rPr>
          <w:color w:val="4D4D4F"/>
          <w:sz w:val="12"/>
        </w:rPr>
        <w:t>Victoria.</w:t>
      </w:r>
    </w:p>
    <w:p w14:paraId="785952C5" w14:textId="77777777" w:rsidR="00EF5B27" w:rsidRDefault="00000000">
      <w:pPr>
        <w:pStyle w:val="ListParagraph"/>
        <w:numPr>
          <w:ilvl w:val="0"/>
          <w:numId w:val="42"/>
        </w:numPr>
        <w:tabs>
          <w:tab w:val="left" w:pos="2836"/>
        </w:tabs>
        <w:spacing w:line="230" w:lineRule="auto"/>
        <w:ind w:right="111"/>
        <w:jc w:val="left"/>
        <w:rPr>
          <w:sz w:val="12"/>
        </w:rPr>
      </w:pPr>
      <w:r>
        <w:rPr>
          <w:color w:val="4D4D4F"/>
          <w:sz w:val="12"/>
        </w:rPr>
        <w:t xml:space="preserve">Sinclair </w:t>
      </w:r>
      <w:r>
        <w:rPr>
          <w:color w:val="4D4D4F"/>
          <w:w w:val="110"/>
          <w:sz w:val="12"/>
        </w:rPr>
        <w:t xml:space="preserve">SJ, </w:t>
      </w:r>
      <w:r>
        <w:rPr>
          <w:color w:val="4D4D4F"/>
          <w:sz w:val="12"/>
        </w:rPr>
        <w:t xml:space="preserve">Zamin </w:t>
      </w:r>
      <w:r>
        <w:rPr>
          <w:color w:val="4D4D4F"/>
          <w:spacing w:val="-3"/>
          <w:sz w:val="12"/>
        </w:rPr>
        <w:t xml:space="preserve">T, </w:t>
      </w:r>
      <w:r>
        <w:rPr>
          <w:color w:val="4D4D4F"/>
          <w:sz w:val="12"/>
        </w:rPr>
        <w:t xml:space="preserve">Gibson-Roy </w:t>
      </w:r>
      <w:r>
        <w:rPr>
          <w:color w:val="4D4D4F"/>
          <w:spacing w:val="-5"/>
          <w:sz w:val="12"/>
        </w:rPr>
        <w:t xml:space="preserve">P, </w:t>
      </w:r>
      <w:r>
        <w:rPr>
          <w:color w:val="4D4D4F"/>
          <w:spacing w:val="2"/>
          <w:sz w:val="12"/>
        </w:rPr>
        <w:t xml:space="preserve">Dorrough </w:t>
      </w:r>
      <w:r>
        <w:rPr>
          <w:color w:val="4D4D4F"/>
          <w:w w:val="110"/>
          <w:sz w:val="12"/>
        </w:rPr>
        <w:t xml:space="preserve">J, </w:t>
      </w:r>
      <w:r>
        <w:rPr>
          <w:color w:val="4D4D4F"/>
          <w:sz w:val="12"/>
        </w:rPr>
        <w:t xml:space="preserve">Wong N, Craigie </w:t>
      </w:r>
      <w:r>
        <w:rPr>
          <w:color w:val="4D4D4F"/>
          <w:spacing w:val="-3"/>
          <w:sz w:val="12"/>
        </w:rPr>
        <w:t xml:space="preserve">V, </w:t>
      </w:r>
      <w:r>
        <w:rPr>
          <w:color w:val="4D4D4F"/>
          <w:spacing w:val="2"/>
          <w:sz w:val="12"/>
        </w:rPr>
        <w:t xml:space="preserve">Garrard </w:t>
      </w:r>
      <w:r>
        <w:rPr>
          <w:color w:val="4D4D4F"/>
          <w:sz w:val="12"/>
        </w:rPr>
        <w:t xml:space="preserve">GE and </w:t>
      </w:r>
      <w:r>
        <w:rPr>
          <w:color w:val="4D4D4F"/>
          <w:spacing w:val="2"/>
          <w:sz w:val="12"/>
        </w:rPr>
        <w:t xml:space="preserve">Moore </w:t>
      </w:r>
      <w:r>
        <w:rPr>
          <w:color w:val="4D4D4F"/>
          <w:w w:val="110"/>
          <w:sz w:val="12"/>
        </w:rPr>
        <w:t xml:space="preserve">JL </w:t>
      </w:r>
      <w:r>
        <w:rPr>
          <w:color w:val="4D4D4F"/>
          <w:sz w:val="12"/>
        </w:rPr>
        <w:t xml:space="preserve">2019b. ‘A state-and-transition model to guide grassland management.’ Australian Journal of Botany </w:t>
      </w:r>
      <w:r>
        <w:rPr>
          <w:color w:val="4D4D4F"/>
          <w:spacing w:val="-4"/>
          <w:sz w:val="12"/>
        </w:rPr>
        <w:t xml:space="preserve">67, </w:t>
      </w:r>
      <w:r>
        <w:rPr>
          <w:color w:val="4D4D4F"/>
          <w:spacing w:val="2"/>
          <w:sz w:val="12"/>
        </w:rPr>
        <w:t>437-453.</w:t>
      </w:r>
    </w:p>
    <w:p w14:paraId="15C9491A" w14:textId="77777777" w:rsidR="00EF5B27" w:rsidRDefault="00000000">
      <w:pPr>
        <w:pStyle w:val="ListParagraph"/>
        <w:numPr>
          <w:ilvl w:val="0"/>
          <w:numId w:val="42"/>
        </w:numPr>
        <w:tabs>
          <w:tab w:val="left" w:pos="2836"/>
        </w:tabs>
        <w:spacing w:line="138" w:lineRule="exact"/>
        <w:jc w:val="left"/>
        <w:rPr>
          <w:sz w:val="12"/>
        </w:rPr>
      </w:pPr>
      <w:r>
        <w:rPr>
          <w:color w:val="4D4D4F"/>
          <w:sz w:val="12"/>
        </w:rPr>
        <w:t>DELWP</w:t>
      </w:r>
      <w:r>
        <w:rPr>
          <w:color w:val="4D4D4F"/>
          <w:spacing w:val="13"/>
          <w:sz w:val="12"/>
        </w:rPr>
        <w:t xml:space="preserve"> </w:t>
      </w:r>
      <w:r>
        <w:rPr>
          <w:color w:val="4D4D4F"/>
          <w:sz w:val="12"/>
        </w:rPr>
        <w:t>Officer,</w:t>
      </w:r>
      <w:r>
        <w:rPr>
          <w:color w:val="4D4D4F"/>
          <w:spacing w:val="13"/>
          <w:sz w:val="12"/>
        </w:rPr>
        <w:t xml:space="preserve"> </w:t>
      </w:r>
      <w:r>
        <w:rPr>
          <w:color w:val="4D4D4F"/>
          <w:sz w:val="12"/>
        </w:rPr>
        <w:t>personal</w:t>
      </w:r>
      <w:r>
        <w:rPr>
          <w:color w:val="4D4D4F"/>
          <w:spacing w:val="13"/>
          <w:sz w:val="12"/>
        </w:rPr>
        <w:t xml:space="preserve"> </w:t>
      </w:r>
      <w:r>
        <w:rPr>
          <w:color w:val="4D4D4F"/>
          <w:sz w:val="12"/>
        </w:rPr>
        <w:t>communication,</w:t>
      </w:r>
      <w:r>
        <w:rPr>
          <w:color w:val="4D4D4F"/>
          <w:spacing w:val="13"/>
          <w:sz w:val="12"/>
        </w:rPr>
        <w:t xml:space="preserve"> </w:t>
      </w:r>
      <w:r>
        <w:rPr>
          <w:color w:val="4D4D4F"/>
          <w:sz w:val="12"/>
        </w:rPr>
        <w:t>20</w:t>
      </w:r>
      <w:r>
        <w:rPr>
          <w:color w:val="4D4D4F"/>
          <w:spacing w:val="13"/>
          <w:sz w:val="12"/>
        </w:rPr>
        <w:t xml:space="preserve"> </w:t>
      </w:r>
      <w:r>
        <w:rPr>
          <w:color w:val="4D4D4F"/>
          <w:sz w:val="12"/>
        </w:rPr>
        <w:t>July</w:t>
      </w:r>
      <w:r>
        <w:rPr>
          <w:color w:val="4D4D4F"/>
          <w:spacing w:val="13"/>
          <w:sz w:val="12"/>
        </w:rPr>
        <w:t xml:space="preserve"> </w:t>
      </w:r>
      <w:r>
        <w:rPr>
          <w:color w:val="4D4D4F"/>
          <w:sz w:val="12"/>
        </w:rPr>
        <w:t>2021.</w:t>
      </w:r>
    </w:p>
    <w:p w14:paraId="660635E5" w14:textId="77777777" w:rsidR="00EF5B27" w:rsidRDefault="00000000">
      <w:pPr>
        <w:pStyle w:val="ListParagraph"/>
        <w:numPr>
          <w:ilvl w:val="0"/>
          <w:numId w:val="42"/>
        </w:numPr>
        <w:tabs>
          <w:tab w:val="left" w:pos="2836"/>
        </w:tabs>
        <w:spacing w:line="143" w:lineRule="exact"/>
        <w:jc w:val="left"/>
        <w:rPr>
          <w:sz w:val="12"/>
        </w:rPr>
      </w:pPr>
      <w:r>
        <w:rPr>
          <w:color w:val="4D4D4F"/>
          <w:sz w:val="12"/>
        </w:rPr>
        <w:t>DELWP</w:t>
      </w:r>
      <w:r>
        <w:rPr>
          <w:color w:val="4D4D4F"/>
          <w:spacing w:val="13"/>
          <w:sz w:val="12"/>
        </w:rPr>
        <w:t xml:space="preserve"> </w:t>
      </w:r>
      <w:r>
        <w:rPr>
          <w:color w:val="4D4D4F"/>
          <w:sz w:val="12"/>
        </w:rPr>
        <w:t>Officer,</w:t>
      </w:r>
      <w:r>
        <w:rPr>
          <w:color w:val="4D4D4F"/>
          <w:spacing w:val="13"/>
          <w:sz w:val="12"/>
        </w:rPr>
        <w:t xml:space="preserve"> </w:t>
      </w:r>
      <w:r>
        <w:rPr>
          <w:color w:val="4D4D4F"/>
          <w:sz w:val="12"/>
        </w:rPr>
        <w:t>personal</w:t>
      </w:r>
      <w:r>
        <w:rPr>
          <w:color w:val="4D4D4F"/>
          <w:spacing w:val="13"/>
          <w:sz w:val="12"/>
        </w:rPr>
        <w:t xml:space="preserve"> </w:t>
      </w:r>
      <w:r>
        <w:rPr>
          <w:color w:val="4D4D4F"/>
          <w:sz w:val="12"/>
        </w:rPr>
        <w:t>communication,</w:t>
      </w:r>
      <w:r>
        <w:rPr>
          <w:color w:val="4D4D4F"/>
          <w:spacing w:val="13"/>
          <w:sz w:val="12"/>
        </w:rPr>
        <w:t xml:space="preserve"> </w:t>
      </w:r>
      <w:r>
        <w:rPr>
          <w:color w:val="4D4D4F"/>
          <w:sz w:val="12"/>
        </w:rPr>
        <w:t>20</w:t>
      </w:r>
      <w:r>
        <w:rPr>
          <w:color w:val="4D4D4F"/>
          <w:spacing w:val="13"/>
          <w:sz w:val="12"/>
        </w:rPr>
        <w:t xml:space="preserve"> </w:t>
      </w:r>
      <w:r>
        <w:rPr>
          <w:color w:val="4D4D4F"/>
          <w:sz w:val="12"/>
        </w:rPr>
        <w:t>July</w:t>
      </w:r>
      <w:r>
        <w:rPr>
          <w:color w:val="4D4D4F"/>
          <w:spacing w:val="13"/>
          <w:sz w:val="12"/>
        </w:rPr>
        <w:t xml:space="preserve"> </w:t>
      </w:r>
      <w:r>
        <w:rPr>
          <w:color w:val="4D4D4F"/>
          <w:sz w:val="12"/>
        </w:rPr>
        <w:t>2021.</w:t>
      </w:r>
    </w:p>
    <w:p w14:paraId="174E8F06"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3BD1A42F" w14:textId="77777777" w:rsidR="00EF5B27" w:rsidRDefault="00000000">
      <w:pPr>
        <w:pStyle w:val="BodyText"/>
      </w:pPr>
      <w:r>
        <w:lastRenderedPageBreak/>
        <w:pict w14:anchorId="7F682E32">
          <v:group id="_x0000_s3399" style="position:absolute;margin-left:587.05pt;margin-top:183.4pt;width:8.25pt;height:153.1pt;z-index:251580928;mso-position-horizontal-relative:page;mso-position-vertical-relative:page" coordorigin="11741,3668" coordsize="165,3062">
            <v:shape id="_x0000_s3406" style="position:absolute;left:11741;top:3668;width:165;height:561" coordorigin="11741,3668" coordsize="165,561" path="m11906,3668r-165,l11741,4228r165,-18l11906,3668xe" fillcolor="#00aed9" stroked="f">
              <v:path arrowok="t"/>
            </v:shape>
            <v:shape id="_x0000_s3405" style="position:absolute;left:11741;top:4118;width:165;height:425" coordorigin="11741,4118" coordsize="165,425" path="m11906,4118r-165,14l11741,4531r165,12l11906,4118xe" fillcolor="#047ebc" stroked="f">
              <v:path arrowok="t"/>
            </v:shape>
            <v:shape id="_x0000_s3404" type="#_x0000_t75" style="position:absolute;left:11741;top:4355;width:165;height:587">
              <v:imagedata r:id="rId42" o:title=""/>
            </v:shape>
            <v:shape id="_x0000_s3403" style="position:absolute;left:11741;top:5343;width:165;height:536" coordorigin="11741,5343" coordsize="165,536" path="m11741,5343r,535l11906,5872r,-525l11741,5343xe" fillcolor="#f36a2e" stroked="f">
              <v:path arrowok="t"/>
            </v:shape>
            <v:shape id="_x0000_s3402" style="position:absolute;left:11741;top:4925;width:165;height:501" coordorigin="11741,4926" coordsize="165,501" path="m11741,4926r,500l11906,5426r,-485l11741,4926xe" fillcolor="#49783f" stroked="f">
              <v:path arrowok="t"/>
            </v:shape>
            <v:shape id="_x0000_s3401" style="position:absolute;left:11741;top:5781;width:165;height:268" coordorigin="11741,5782" coordsize="165,268" path="m11906,5782r-165,8l11741,6039r165,10l11906,5782xe" fillcolor="#f99f2a" stroked="f">
              <v:path arrowok="t"/>
            </v:shape>
            <v:shape id="_x0000_s3400" style="position:absolute;left:11741;top:6023;width:165;height:707" coordorigin="11741,6023" coordsize="165,707" path="m11741,6023r,706l11906,6729r,-690l11741,6023xe" fillcolor="#ef412c" stroked="f">
              <v:path arrowok="t"/>
            </v:shape>
            <w10:wrap anchorx="page" anchory="page"/>
          </v:group>
        </w:pict>
      </w:r>
    </w:p>
    <w:p w14:paraId="74947218" w14:textId="77777777" w:rsidR="00EF5B27" w:rsidRDefault="00EF5B27">
      <w:pPr>
        <w:pStyle w:val="BodyText"/>
      </w:pPr>
    </w:p>
    <w:p w14:paraId="7DE9E672" w14:textId="77777777" w:rsidR="00EF5B27" w:rsidRDefault="00EF5B27">
      <w:pPr>
        <w:pStyle w:val="BodyText"/>
      </w:pPr>
    </w:p>
    <w:p w14:paraId="113A9AA1" w14:textId="77777777" w:rsidR="00EF5B27" w:rsidRDefault="00EF5B27">
      <w:pPr>
        <w:pStyle w:val="BodyText"/>
        <w:spacing w:before="4"/>
        <w:rPr>
          <w:sz w:val="25"/>
        </w:rPr>
      </w:pPr>
    </w:p>
    <w:p w14:paraId="104AC5AB" w14:textId="77777777" w:rsidR="00EF5B27" w:rsidRDefault="00000000">
      <w:pPr>
        <w:pStyle w:val="BodyText"/>
        <w:spacing w:before="100" w:line="254" w:lineRule="auto"/>
        <w:ind w:left="2608" w:right="147"/>
      </w:pPr>
      <w:r>
        <w:rPr>
          <w:color w:val="4D4D4F"/>
          <w:w w:val="105"/>
        </w:rPr>
        <w:t>One of the main issues around interpretation of the results for Natural Temperate Grassland</w:t>
      </w:r>
      <w:r>
        <w:rPr>
          <w:color w:val="4D4D4F"/>
          <w:spacing w:val="-12"/>
          <w:w w:val="105"/>
        </w:rPr>
        <w:t xml:space="preserve"> </w:t>
      </w:r>
      <w:r>
        <w:rPr>
          <w:color w:val="4D4D4F"/>
          <w:w w:val="105"/>
        </w:rPr>
        <w:t>under</w:t>
      </w:r>
      <w:r>
        <w:rPr>
          <w:color w:val="4D4D4F"/>
          <w:spacing w:val="-12"/>
          <w:w w:val="105"/>
        </w:rPr>
        <w:t xml:space="preserve"> </w:t>
      </w:r>
      <w:r>
        <w:rPr>
          <w:color w:val="4D4D4F"/>
          <w:w w:val="105"/>
        </w:rPr>
        <w:t>the</w:t>
      </w:r>
      <w:r>
        <w:rPr>
          <w:color w:val="4D4D4F"/>
          <w:spacing w:val="-12"/>
          <w:w w:val="105"/>
        </w:rPr>
        <w:t xml:space="preserve"> </w:t>
      </w:r>
      <w:r>
        <w:rPr>
          <w:color w:val="4D4D4F"/>
          <w:w w:val="105"/>
        </w:rPr>
        <w:t>current</w:t>
      </w:r>
      <w:r>
        <w:rPr>
          <w:color w:val="4D4D4F"/>
          <w:spacing w:val="-11"/>
          <w:w w:val="105"/>
        </w:rPr>
        <w:t xml:space="preserve"> </w:t>
      </w:r>
      <w:r>
        <w:rPr>
          <w:color w:val="4D4D4F"/>
          <w:w w:val="105"/>
        </w:rPr>
        <w:t>framework</w:t>
      </w:r>
      <w:r>
        <w:rPr>
          <w:color w:val="4D4D4F"/>
          <w:spacing w:val="-12"/>
          <w:w w:val="105"/>
        </w:rPr>
        <w:t xml:space="preserve"> </w:t>
      </w:r>
      <w:r>
        <w:rPr>
          <w:color w:val="4D4D4F"/>
          <w:w w:val="105"/>
        </w:rPr>
        <w:t>is</w:t>
      </w:r>
      <w:r>
        <w:rPr>
          <w:color w:val="4D4D4F"/>
          <w:spacing w:val="-12"/>
          <w:w w:val="105"/>
        </w:rPr>
        <w:t xml:space="preserve"> </w:t>
      </w:r>
      <w:r>
        <w:rPr>
          <w:color w:val="4D4D4F"/>
          <w:w w:val="105"/>
        </w:rPr>
        <w:t>that</w:t>
      </w:r>
      <w:r>
        <w:rPr>
          <w:color w:val="4D4D4F"/>
          <w:spacing w:val="-11"/>
          <w:w w:val="105"/>
        </w:rPr>
        <w:t xml:space="preserve"> </w:t>
      </w:r>
      <w:r>
        <w:rPr>
          <w:color w:val="4D4D4F"/>
          <w:w w:val="105"/>
        </w:rPr>
        <w:t>most</w:t>
      </w:r>
      <w:r>
        <w:rPr>
          <w:color w:val="4D4D4F"/>
          <w:spacing w:val="-12"/>
          <w:w w:val="105"/>
        </w:rPr>
        <w:t xml:space="preserve"> </w:t>
      </w:r>
      <w:r>
        <w:rPr>
          <w:color w:val="4D4D4F"/>
          <w:w w:val="105"/>
        </w:rPr>
        <w:t>of</w:t>
      </w:r>
      <w:r>
        <w:rPr>
          <w:color w:val="4D4D4F"/>
          <w:spacing w:val="-12"/>
          <w:w w:val="105"/>
        </w:rPr>
        <w:t xml:space="preserve"> </w:t>
      </w:r>
      <w:r>
        <w:rPr>
          <w:color w:val="4D4D4F"/>
          <w:w w:val="105"/>
        </w:rPr>
        <w:t>the</w:t>
      </w:r>
      <w:r>
        <w:rPr>
          <w:color w:val="4D4D4F"/>
          <w:spacing w:val="-12"/>
          <w:w w:val="105"/>
        </w:rPr>
        <w:t xml:space="preserve"> </w:t>
      </w:r>
      <w:r>
        <w:rPr>
          <w:color w:val="4D4D4F"/>
          <w:w w:val="105"/>
        </w:rPr>
        <w:t>KPIs</w:t>
      </w:r>
      <w:r>
        <w:rPr>
          <w:color w:val="4D4D4F"/>
          <w:spacing w:val="-11"/>
          <w:w w:val="105"/>
        </w:rPr>
        <w:t xml:space="preserve"> </w:t>
      </w:r>
      <w:r>
        <w:rPr>
          <w:color w:val="4D4D4F"/>
          <w:w w:val="105"/>
        </w:rPr>
        <w:t>are</w:t>
      </w:r>
      <w:r>
        <w:rPr>
          <w:color w:val="4D4D4F"/>
          <w:spacing w:val="-12"/>
          <w:w w:val="105"/>
        </w:rPr>
        <w:t xml:space="preserve"> </w:t>
      </w:r>
      <w:r>
        <w:rPr>
          <w:color w:val="4D4D4F"/>
          <w:w w:val="105"/>
        </w:rPr>
        <w:t>disaggregated</w:t>
      </w:r>
      <w:r>
        <w:rPr>
          <w:color w:val="4D4D4F"/>
          <w:spacing w:val="-12"/>
          <w:w w:val="105"/>
        </w:rPr>
        <w:t xml:space="preserve"> </w:t>
      </w:r>
      <w:r>
        <w:rPr>
          <w:color w:val="4D4D4F"/>
          <w:w w:val="105"/>
        </w:rPr>
        <w:t>by states</w:t>
      </w:r>
      <w:r>
        <w:rPr>
          <w:color w:val="4D4D4F"/>
          <w:spacing w:val="-17"/>
          <w:w w:val="105"/>
        </w:rPr>
        <w:t xml:space="preserve"> </w:t>
      </w:r>
      <w:r>
        <w:rPr>
          <w:color w:val="4D4D4F"/>
          <w:w w:val="105"/>
        </w:rPr>
        <w:t>–</w:t>
      </w:r>
      <w:r>
        <w:rPr>
          <w:color w:val="4D4D4F"/>
          <w:spacing w:val="-16"/>
          <w:w w:val="105"/>
        </w:rPr>
        <w:t xml:space="preserve"> </w:t>
      </w:r>
      <w:r>
        <w:rPr>
          <w:color w:val="4D4D4F"/>
          <w:w w:val="105"/>
        </w:rPr>
        <w:t>and</w:t>
      </w:r>
      <w:r>
        <w:rPr>
          <w:color w:val="4D4D4F"/>
          <w:spacing w:val="-17"/>
          <w:w w:val="105"/>
        </w:rPr>
        <w:t xml:space="preserve"> </w:t>
      </w:r>
      <w:r>
        <w:rPr>
          <w:color w:val="4D4D4F"/>
          <w:w w:val="105"/>
        </w:rPr>
        <w:t>this</w:t>
      </w:r>
      <w:r>
        <w:rPr>
          <w:color w:val="4D4D4F"/>
          <w:spacing w:val="-16"/>
          <w:w w:val="105"/>
        </w:rPr>
        <w:t xml:space="preserve"> </w:t>
      </w:r>
      <w:r>
        <w:rPr>
          <w:color w:val="4D4D4F"/>
          <w:w w:val="105"/>
        </w:rPr>
        <w:t>is</w:t>
      </w:r>
      <w:r>
        <w:rPr>
          <w:color w:val="4D4D4F"/>
          <w:spacing w:val="-17"/>
          <w:w w:val="105"/>
        </w:rPr>
        <w:t xml:space="preserve"> </w:t>
      </w:r>
      <w:r>
        <w:rPr>
          <w:color w:val="4D4D4F"/>
          <w:w w:val="105"/>
        </w:rPr>
        <w:t>how</w:t>
      </w:r>
      <w:r>
        <w:rPr>
          <w:color w:val="4D4D4F"/>
          <w:spacing w:val="-16"/>
          <w:w w:val="105"/>
        </w:rPr>
        <w:t xml:space="preserve"> </w:t>
      </w:r>
      <w:r>
        <w:rPr>
          <w:color w:val="4D4D4F"/>
          <w:w w:val="105"/>
        </w:rPr>
        <w:t>they</w:t>
      </w:r>
      <w:r>
        <w:rPr>
          <w:color w:val="4D4D4F"/>
          <w:spacing w:val="-17"/>
          <w:w w:val="105"/>
        </w:rPr>
        <w:t xml:space="preserve"> </w:t>
      </w:r>
      <w:r>
        <w:rPr>
          <w:color w:val="4D4D4F"/>
          <w:w w:val="105"/>
        </w:rPr>
        <w:t>have</w:t>
      </w:r>
      <w:r>
        <w:rPr>
          <w:color w:val="4D4D4F"/>
          <w:spacing w:val="-16"/>
          <w:w w:val="105"/>
        </w:rPr>
        <w:t xml:space="preserve"> </w:t>
      </w:r>
      <w:r>
        <w:rPr>
          <w:color w:val="4D4D4F"/>
          <w:w w:val="105"/>
        </w:rPr>
        <w:t>traditionally</w:t>
      </w:r>
      <w:r>
        <w:rPr>
          <w:color w:val="4D4D4F"/>
          <w:spacing w:val="-17"/>
          <w:w w:val="105"/>
        </w:rPr>
        <w:t xml:space="preserve"> </w:t>
      </w:r>
      <w:r>
        <w:rPr>
          <w:color w:val="4D4D4F"/>
          <w:w w:val="105"/>
        </w:rPr>
        <w:t>been</w:t>
      </w:r>
      <w:r>
        <w:rPr>
          <w:color w:val="4D4D4F"/>
          <w:spacing w:val="-16"/>
          <w:w w:val="105"/>
        </w:rPr>
        <w:t xml:space="preserve"> </w:t>
      </w:r>
      <w:r>
        <w:rPr>
          <w:color w:val="4D4D4F"/>
          <w:w w:val="105"/>
        </w:rPr>
        <w:t>reported</w:t>
      </w:r>
      <w:r>
        <w:rPr>
          <w:color w:val="4D4D4F"/>
          <w:spacing w:val="-17"/>
          <w:w w:val="105"/>
        </w:rPr>
        <w:t xml:space="preserve"> </w:t>
      </w:r>
      <w:r>
        <w:rPr>
          <w:color w:val="4D4D4F"/>
          <w:w w:val="105"/>
        </w:rPr>
        <w:t>on,</w:t>
      </w:r>
      <w:r>
        <w:rPr>
          <w:color w:val="4D4D4F"/>
          <w:spacing w:val="-16"/>
          <w:w w:val="105"/>
        </w:rPr>
        <w:t xml:space="preserve"> </w:t>
      </w:r>
      <w:r>
        <w:rPr>
          <w:color w:val="4D4D4F"/>
          <w:w w:val="105"/>
        </w:rPr>
        <w:t>each</w:t>
      </w:r>
      <w:r>
        <w:rPr>
          <w:color w:val="4D4D4F"/>
          <w:spacing w:val="-17"/>
          <w:w w:val="105"/>
        </w:rPr>
        <w:t xml:space="preserve"> </w:t>
      </w:r>
      <w:r>
        <w:rPr>
          <w:color w:val="4D4D4F"/>
          <w:w w:val="105"/>
        </w:rPr>
        <w:t>with</w:t>
      </w:r>
      <w:r>
        <w:rPr>
          <w:color w:val="4D4D4F"/>
          <w:spacing w:val="-16"/>
          <w:w w:val="105"/>
        </w:rPr>
        <w:t xml:space="preserve"> </w:t>
      </w:r>
      <w:r>
        <w:rPr>
          <w:color w:val="4D4D4F"/>
          <w:w w:val="105"/>
        </w:rPr>
        <w:t>separate baselines.</w:t>
      </w:r>
      <w:r>
        <w:rPr>
          <w:color w:val="4D4D4F"/>
          <w:spacing w:val="-10"/>
          <w:w w:val="105"/>
        </w:rPr>
        <w:t xml:space="preserve"> </w:t>
      </w:r>
      <w:r>
        <w:rPr>
          <w:color w:val="4D4D4F"/>
          <w:w w:val="105"/>
        </w:rPr>
        <w:t>Previously,</w:t>
      </w:r>
      <w:r>
        <w:rPr>
          <w:color w:val="4D4D4F"/>
          <w:spacing w:val="-9"/>
          <w:w w:val="105"/>
        </w:rPr>
        <w:t xml:space="preserve"> </w:t>
      </w:r>
      <w:r>
        <w:rPr>
          <w:color w:val="4D4D4F"/>
          <w:w w:val="105"/>
        </w:rPr>
        <w:t>results</w:t>
      </w:r>
      <w:r>
        <w:rPr>
          <w:color w:val="4D4D4F"/>
          <w:spacing w:val="-9"/>
          <w:w w:val="105"/>
        </w:rPr>
        <w:t xml:space="preserve"> </w:t>
      </w:r>
      <w:r>
        <w:rPr>
          <w:color w:val="4D4D4F"/>
          <w:w w:val="105"/>
        </w:rPr>
        <w:t>have</w:t>
      </w:r>
      <w:r>
        <w:rPr>
          <w:color w:val="4D4D4F"/>
          <w:spacing w:val="-10"/>
          <w:w w:val="105"/>
        </w:rPr>
        <w:t xml:space="preserve"> </w:t>
      </w:r>
      <w:r>
        <w:rPr>
          <w:color w:val="4D4D4F"/>
          <w:w w:val="105"/>
        </w:rPr>
        <w:t>been</w:t>
      </w:r>
      <w:r>
        <w:rPr>
          <w:color w:val="4D4D4F"/>
          <w:spacing w:val="-9"/>
          <w:w w:val="105"/>
        </w:rPr>
        <w:t xml:space="preserve"> </w:t>
      </w:r>
      <w:r>
        <w:rPr>
          <w:color w:val="4D4D4F"/>
          <w:w w:val="105"/>
        </w:rPr>
        <w:t>summarised</w:t>
      </w:r>
      <w:r>
        <w:rPr>
          <w:color w:val="4D4D4F"/>
          <w:spacing w:val="-9"/>
          <w:w w:val="105"/>
        </w:rPr>
        <w:t xml:space="preserve"> </w:t>
      </w:r>
      <w:r>
        <w:rPr>
          <w:color w:val="4D4D4F"/>
          <w:w w:val="105"/>
        </w:rPr>
        <w:t>across</w:t>
      </w:r>
      <w:r>
        <w:rPr>
          <w:color w:val="4D4D4F"/>
          <w:spacing w:val="-9"/>
          <w:w w:val="105"/>
        </w:rPr>
        <w:t xml:space="preserve"> </w:t>
      </w:r>
      <w:r>
        <w:rPr>
          <w:color w:val="4D4D4F"/>
          <w:w w:val="105"/>
        </w:rPr>
        <w:t>all</w:t>
      </w:r>
      <w:r>
        <w:rPr>
          <w:color w:val="4D4D4F"/>
          <w:spacing w:val="-10"/>
          <w:w w:val="105"/>
        </w:rPr>
        <w:t xml:space="preserve"> </w:t>
      </w:r>
      <w:r>
        <w:rPr>
          <w:color w:val="4D4D4F"/>
          <w:w w:val="105"/>
        </w:rPr>
        <w:t>states</w:t>
      </w:r>
      <w:r>
        <w:rPr>
          <w:color w:val="4D4D4F"/>
          <w:spacing w:val="-9"/>
          <w:w w:val="105"/>
        </w:rPr>
        <w:t xml:space="preserve"> </w:t>
      </w:r>
      <w:r>
        <w:rPr>
          <w:color w:val="4D4D4F"/>
          <w:w w:val="105"/>
        </w:rPr>
        <w:t>where</w:t>
      </w:r>
      <w:r>
        <w:rPr>
          <w:color w:val="4D4D4F"/>
          <w:spacing w:val="-9"/>
          <w:w w:val="105"/>
        </w:rPr>
        <w:t xml:space="preserve"> </w:t>
      </w:r>
      <w:r>
        <w:rPr>
          <w:color w:val="4D4D4F"/>
          <w:w w:val="105"/>
        </w:rPr>
        <w:t>a</w:t>
      </w:r>
      <w:r>
        <w:rPr>
          <w:color w:val="4D4D4F"/>
          <w:spacing w:val="-9"/>
          <w:w w:val="105"/>
        </w:rPr>
        <w:t xml:space="preserve"> </w:t>
      </w:r>
      <w:r>
        <w:rPr>
          <w:color w:val="4D4D4F"/>
          <w:w w:val="105"/>
        </w:rPr>
        <w:t>single outcome</w:t>
      </w:r>
      <w:r>
        <w:rPr>
          <w:color w:val="4D4D4F"/>
          <w:spacing w:val="-14"/>
          <w:w w:val="105"/>
        </w:rPr>
        <w:t xml:space="preserve"> </w:t>
      </w:r>
      <w:r>
        <w:rPr>
          <w:color w:val="4D4D4F"/>
          <w:w w:val="105"/>
        </w:rPr>
        <w:t>is</w:t>
      </w:r>
      <w:r>
        <w:rPr>
          <w:color w:val="4D4D4F"/>
          <w:spacing w:val="-14"/>
          <w:w w:val="105"/>
        </w:rPr>
        <w:t xml:space="preserve"> </w:t>
      </w:r>
      <w:r>
        <w:rPr>
          <w:color w:val="4D4D4F"/>
          <w:w w:val="105"/>
        </w:rPr>
        <w:t>reported</w:t>
      </w:r>
      <w:r>
        <w:rPr>
          <w:color w:val="4D4D4F"/>
          <w:spacing w:val="-13"/>
          <w:w w:val="105"/>
        </w:rPr>
        <w:t xml:space="preserve"> </w:t>
      </w:r>
      <w:r>
        <w:rPr>
          <w:color w:val="4D4D4F"/>
          <w:w w:val="105"/>
        </w:rPr>
        <w:t>for</w:t>
      </w:r>
      <w:r>
        <w:rPr>
          <w:color w:val="4D4D4F"/>
          <w:spacing w:val="-14"/>
          <w:w w:val="105"/>
        </w:rPr>
        <w:t xml:space="preserve"> </w:t>
      </w:r>
      <w:r>
        <w:rPr>
          <w:color w:val="4D4D4F"/>
          <w:w w:val="105"/>
        </w:rPr>
        <w:t>each</w:t>
      </w:r>
      <w:r>
        <w:rPr>
          <w:color w:val="4D4D4F"/>
          <w:spacing w:val="-14"/>
          <w:w w:val="105"/>
        </w:rPr>
        <w:t xml:space="preserve"> </w:t>
      </w:r>
      <w:r>
        <w:rPr>
          <w:color w:val="4D4D4F"/>
          <w:w w:val="105"/>
        </w:rPr>
        <w:t>KPI</w:t>
      </w:r>
      <w:r>
        <w:rPr>
          <w:color w:val="4D4D4F"/>
          <w:spacing w:val="-13"/>
          <w:w w:val="105"/>
        </w:rPr>
        <w:t xml:space="preserve"> </w:t>
      </w:r>
      <w:r>
        <w:rPr>
          <w:color w:val="4D4D4F"/>
          <w:w w:val="105"/>
        </w:rPr>
        <w:t>–</w:t>
      </w:r>
      <w:r>
        <w:rPr>
          <w:color w:val="4D4D4F"/>
          <w:spacing w:val="-14"/>
          <w:w w:val="105"/>
        </w:rPr>
        <w:t xml:space="preserve"> </w:t>
      </w:r>
      <w:r>
        <w:rPr>
          <w:color w:val="4D4D4F"/>
          <w:w w:val="105"/>
        </w:rPr>
        <w:t>such</w:t>
      </w:r>
      <w:r>
        <w:rPr>
          <w:color w:val="4D4D4F"/>
          <w:spacing w:val="-13"/>
          <w:w w:val="105"/>
        </w:rPr>
        <w:t xml:space="preserve"> </w:t>
      </w:r>
      <w:r>
        <w:rPr>
          <w:color w:val="4D4D4F"/>
          <w:w w:val="105"/>
        </w:rPr>
        <w:t>as</w:t>
      </w:r>
      <w:r>
        <w:rPr>
          <w:color w:val="4D4D4F"/>
          <w:spacing w:val="-14"/>
          <w:w w:val="105"/>
        </w:rPr>
        <w:t xml:space="preserve"> </w:t>
      </w:r>
      <w:r>
        <w:rPr>
          <w:color w:val="4D4D4F"/>
          <w:w w:val="105"/>
        </w:rPr>
        <w:t>‘met’</w:t>
      </w:r>
      <w:r>
        <w:rPr>
          <w:color w:val="4D4D4F"/>
          <w:spacing w:val="-14"/>
          <w:w w:val="105"/>
        </w:rPr>
        <w:t xml:space="preserve"> </w:t>
      </w:r>
      <w:r>
        <w:rPr>
          <w:color w:val="4D4D4F"/>
          <w:spacing w:val="-4"/>
          <w:w w:val="105"/>
        </w:rPr>
        <w:t>(in</w:t>
      </w:r>
      <w:r>
        <w:rPr>
          <w:color w:val="4D4D4F"/>
          <w:spacing w:val="-13"/>
          <w:w w:val="105"/>
        </w:rPr>
        <w:t xml:space="preserve"> </w:t>
      </w:r>
      <w:r>
        <w:rPr>
          <w:color w:val="4D4D4F"/>
          <w:w w:val="105"/>
        </w:rPr>
        <w:t>all</w:t>
      </w:r>
      <w:r>
        <w:rPr>
          <w:color w:val="4D4D4F"/>
          <w:spacing w:val="-14"/>
          <w:w w:val="105"/>
        </w:rPr>
        <w:t xml:space="preserve"> </w:t>
      </w:r>
      <w:r>
        <w:rPr>
          <w:color w:val="4D4D4F"/>
          <w:w w:val="105"/>
        </w:rPr>
        <w:t>states),</w:t>
      </w:r>
      <w:r>
        <w:rPr>
          <w:color w:val="4D4D4F"/>
          <w:spacing w:val="-14"/>
          <w:w w:val="105"/>
        </w:rPr>
        <w:t xml:space="preserve"> </w:t>
      </w:r>
      <w:r>
        <w:rPr>
          <w:color w:val="4D4D4F"/>
          <w:w w:val="105"/>
        </w:rPr>
        <w:t>‘not</w:t>
      </w:r>
      <w:r>
        <w:rPr>
          <w:color w:val="4D4D4F"/>
          <w:spacing w:val="-13"/>
          <w:w w:val="105"/>
        </w:rPr>
        <w:t xml:space="preserve"> </w:t>
      </w:r>
      <w:r>
        <w:rPr>
          <w:color w:val="4D4D4F"/>
          <w:w w:val="105"/>
        </w:rPr>
        <w:t>met’</w:t>
      </w:r>
      <w:r>
        <w:rPr>
          <w:color w:val="4D4D4F"/>
          <w:spacing w:val="-14"/>
          <w:w w:val="105"/>
        </w:rPr>
        <w:t xml:space="preserve"> </w:t>
      </w:r>
      <w:r>
        <w:rPr>
          <w:color w:val="4D4D4F"/>
          <w:spacing w:val="-4"/>
          <w:w w:val="105"/>
        </w:rPr>
        <w:t>(in</w:t>
      </w:r>
      <w:r>
        <w:rPr>
          <w:color w:val="4D4D4F"/>
          <w:spacing w:val="-13"/>
          <w:w w:val="105"/>
        </w:rPr>
        <w:t xml:space="preserve"> </w:t>
      </w:r>
      <w:r>
        <w:rPr>
          <w:color w:val="4D4D4F"/>
          <w:w w:val="105"/>
        </w:rPr>
        <w:t>all</w:t>
      </w:r>
      <w:r>
        <w:rPr>
          <w:color w:val="4D4D4F"/>
          <w:spacing w:val="-14"/>
          <w:w w:val="105"/>
        </w:rPr>
        <w:t xml:space="preserve"> </w:t>
      </w:r>
      <w:r>
        <w:rPr>
          <w:color w:val="4D4D4F"/>
          <w:w w:val="105"/>
        </w:rPr>
        <w:t>states) or</w:t>
      </w:r>
      <w:r>
        <w:rPr>
          <w:color w:val="4D4D4F"/>
          <w:spacing w:val="-13"/>
          <w:w w:val="105"/>
        </w:rPr>
        <w:t xml:space="preserve"> </w:t>
      </w:r>
      <w:r>
        <w:rPr>
          <w:color w:val="4D4D4F"/>
          <w:w w:val="105"/>
        </w:rPr>
        <w:t>‘partially</w:t>
      </w:r>
      <w:r>
        <w:rPr>
          <w:color w:val="4D4D4F"/>
          <w:spacing w:val="-12"/>
          <w:w w:val="105"/>
        </w:rPr>
        <w:t xml:space="preserve"> </w:t>
      </w:r>
      <w:r>
        <w:rPr>
          <w:color w:val="4D4D4F"/>
          <w:w w:val="105"/>
        </w:rPr>
        <w:t>met’</w:t>
      </w:r>
      <w:r>
        <w:rPr>
          <w:color w:val="4D4D4F"/>
          <w:spacing w:val="-12"/>
          <w:w w:val="105"/>
        </w:rPr>
        <w:t xml:space="preserve"> </w:t>
      </w:r>
      <w:r>
        <w:rPr>
          <w:color w:val="4D4D4F"/>
          <w:w w:val="105"/>
        </w:rPr>
        <w:t>(where</w:t>
      </w:r>
      <w:r>
        <w:rPr>
          <w:color w:val="4D4D4F"/>
          <w:spacing w:val="-13"/>
          <w:w w:val="105"/>
        </w:rPr>
        <w:t xml:space="preserve"> </w:t>
      </w:r>
      <w:r>
        <w:rPr>
          <w:color w:val="4D4D4F"/>
          <w:w w:val="105"/>
        </w:rPr>
        <w:t>the</w:t>
      </w:r>
      <w:r>
        <w:rPr>
          <w:color w:val="4D4D4F"/>
          <w:spacing w:val="-12"/>
          <w:w w:val="105"/>
        </w:rPr>
        <w:t xml:space="preserve"> </w:t>
      </w:r>
      <w:r>
        <w:rPr>
          <w:color w:val="4D4D4F"/>
          <w:w w:val="105"/>
        </w:rPr>
        <w:t>KPI</w:t>
      </w:r>
      <w:r>
        <w:rPr>
          <w:color w:val="4D4D4F"/>
          <w:spacing w:val="-12"/>
          <w:w w:val="105"/>
        </w:rPr>
        <w:t xml:space="preserve"> </w:t>
      </w:r>
      <w:r>
        <w:rPr>
          <w:color w:val="4D4D4F"/>
          <w:w w:val="105"/>
        </w:rPr>
        <w:t>is</w:t>
      </w:r>
      <w:r>
        <w:rPr>
          <w:color w:val="4D4D4F"/>
          <w:spacing w:val="-13"/>
          <w:w w:val="105"/>
        </w:rPr>
        <w:t xml:space="preserve"> </w:t>
      </w:r>
      <w:r>
        <w:rPr>
          <w:color w:val="4D4D4F"/>
          <w:w w:val="105"/>
        </w:rPr>
        <w:t>met</w:t>
      </w:r>
      <w:r>
        <w:rPr>
          <w:color w:val="4D4D4F"/>
          <w:spacing w:val="-12"/>
          <w:w w:val="105"/>
        </w:rPr>
        <w:t xml:space="preserve"> </w:t>
      </w:r>
      <w:r>
        <w:rPr>
          <w:color w:val="4D4D4F"/>
          <w:w w:val="105"/>
        </w:rPr>
        <w:t>across</w:t>
      </w:r>
      <w:r>
        <w:rPr>
          <w:color w:val="4D4D4F"/>
          <w:spacing w:val="-12"/>
          <w:w w:val="105"/>
        </w:rPr>
        <w:t xml:space="preserve"> </w:t>
      </w:r>
      <w:r>
        <w:rPr>
          <w:color w:val="4D4D4F"/>
          <w:w w:val="105"/>
        </w:rPr>
        <w:t>some</w:t>
      </w:r>
      <w:r>
        <w:rPr>
          <w:color w:val="4D4D4F"/>
          <w:spacing w:val="-13"/>
          <w:w w:val="105"/>
        </w:rPr>
        <w:t xml:space="preserve"> </w:t>
      </w:r>
      <w:r>
        <w:rPr>
          <w:color w:val="4D4D4F"/>
          <w:w w:val="105"/>
        </w:rPr>
        <w:t>states</w:t>
      </w:r>
      <w:r>
        <w:rPr>
          <w:color w:val="4D4D4F"/>
          <w:spacing w:val="-12"/>
          <w:w w:val="105"/>
        </w:rPr>
        <w:t xml:space="preserve"> </w:t>
      </w:r>
      <w:r>
        <w:rPr>
          <w:color w:val="4D4D4F"/>
          <w:w w:val="105"/>
        </w:rPr>
        <w:t>but</w:t>
      </w:r>
      <w:r>
        <w:rPr>
          <w:color w:val="4D4D4F"/>
          <w:spacing w:val="-12"/>
          <w:w w:val="105"/>
        </w:rPr>
        <w:t xml:space="preserve"> </w:t>
      </w:r>
      <w:r>
        <w:rPr>
          <w:color w:val="4D4D4F"/>
          <w:w w:val="105"/>
        </w:rPr>
        <w:t>unassessed</w:t>
      </w:r>
      <w:r>
        <w:rPr>
          <w:color w:val="4D4D4F"/>
          <w:spacing w:val="-12"/>
          <w:w w:val="105"/>
        </w:rPr>
        <w:t xml:space="preserve"> </w:t>
      </w:r>
      <w:r>
        <w:rPr>
          <w:color w:val="4D4D4F"/>
          <w:w w:val="105"/>
        </w:rPr>
        <w:t>in</w:t>
      </w:r>
      <w:r>
        <w:rPr>
          <w:color w:val="4D4D4F"/>
          <w:spacing w:val="-13"/>
          <w:w w:val="105"/>
        </w:rPr>
        <w:t xml:space="preserve"> </w:t>
      </w:r>
      <w:r>
        <w:rPr>
          <w:color w:val="4D4D4F"/>
          <w:w w:val="105"/>
        </w:rPr>
        <w:t xml:space="preserve">others). It is unclear how one would summarise across all the states in each KPI category, </w:t>
      </w:r>
      <w:r>
        <w:rPr>
          <w:color w:val="4D4D4F"/>
          <w:spacing w:val="-3"/>
          <w:w w:val="105"/>
        </w:rPr>
        <w:t xml:space="preserve">if, </w:t>
      </w:r>
      <w:r>
        <w:rPr>
          <w:color w:val="4D4D4F"/>
          <w:w w:val="105"/>
        </w:rPr>
        <w:t>for</w:t>
      </w:r>
      <w:r>
        <w:rPr>
          <w:color w:val="4D4D4F"/>
          <w:spacing w:val="-19"/>
          <w:w w:val="105"/>
        </w:rPr>
        <w:t xml:space="preserve"> </w:t>
      </w:r>
      <w:r>
        <w:rPr>
          <w:color w:val="4D4D4F"/>
          <w:w w:val="105"/>
        </w:rPr>
        <w:t>example,</w:t>
      </w:r>
      <w:r>
        <w:rPr>
          <w:color w:val="4D4D4F"/>
          <w:spacing w:val="-19"/>
          <w:w w:val="105"/>
        </w:rPr>
        <w:t xml:space="preserve"> </w:t>
      </w:r>
      <w:r>
        <w:rPr>
          <w:color w:val="4D4D4F"/>
          <w:w w:val="105"/>
        </w:rPr>
        <w:t>one</w:t>
      </w:r>
      <w:r>
        <w:rPr>
          <w:color w:val="4D4D4F"/>
          <w:spacing w:val="-19"/>
          <w:w w:val="105"/>
        </w:rPr>
        <w:t xml:space="preserve"> </w:t>
      </w:r>
      <w:r>
        <w:rPr>
          <w:color w:val="4D4D4F"/>
          <w:w w:val="105"/>
        </w:rPr>
        <w:t>state</w:t>
      </w:r>
      <w:r>
        <w:rPr>
          <w:color w:val="4D4D4F"/>
          <w:spacing w:val="-19"/>
          <w:w w:val="105"/>
        </w:rPr>
        <w:t xml:space="preserve"> </w:t>
      </w:r>
      <w:r>
        <w:rPr>
          <w:color w:val="4D4D4F"/>
          <w:w w:val="105"/>
        </w:rPr>
        <w:t>is</w:t>
      </w:r>
      <w:r>
        <w:rPr>
          <w:color w:val="4D4D4F"/>
          <w:spacing w:val="-18"/>
          <w:w w:val="105"/>
        </w:rPr>
        <w:t xml:space="preserve"> </w:t>
      </w:r>
      <w:r>
        <w:rPr>
          <w:color w:val="4D4D4F"/>
          <w:w w:val="105"/>
        </w:rPr>
        <w:t>performing</w:t>
      </w:r>
      <w:r>
        <w:rPr>
          <w:color w:val="4D4D4F"/>
          <w:spacing w:val="-19"/>
          <w:w w:val="105"/>
        </w:rPr>
        <w:t xml:space="preserve"> </w:t>
      </w:r>
      <w:r>
        <w:rPr>
          <w:color w:val="4D4D4F"/>
          <w:w w:val="105"/>
        </w:rPr>
        <w:t>badly</w:t>
      </w:r>
      <w:r>
        <w:rPr>
          <w:color w:val="4D4D4F"/>
          <w:spacing w:val="-19"/>
          <w:w w:val="105"/>
        </w:rPr>
        <w:t xml:space="preserve"> </w:t>
      </w:r>
      <w:r>
        <w:rPr>
          <w:color w:val="4D4D4F"/>
          <w:w w:val="105"/>
        </w:rPr>
        <w:t>and</w:t>
      </w:r>
      <w:r>
        <w:rPr>
          <w:color w:val="4D4D4F"/>
          <w:spacing w:val="-19"/>
          <w:w w:val="105"/>
        </w:rPr>
        <w:t xml:space="preserve"> </w:t>
      </w:r>
      <w:r>
        <w:rPr>
          <w:color w:val="4D4D4F"/>
          <w:w w:val="105"/>
        </w:rPr>
        <w:t>one</w:t>
      </w:r>
      <w:r>
        <w:rPr>
          <w:color w:val="4D4D4F"/>
          <w:spacing w:val="-18"/>
          <w:w w:val="105"/>
        </w:rPr>
        <w:t xml:space="preserve"> </w:t>
      </w:r>
      <w:r>
        <w:rPr>
          <w:color w:val="4D4D4F"/>
          <w:w w:val="105"/>
        </w:rPr>
        <w:t>is</w:t>
      </w:r>
      <w:r>
        <w:rPr>
          <w:color w:val="4D4D4F"/>
          <w:spacing w:val="-19"/>
          <w:w w:val="105"/>
        </w:rPr>
        <w:t xml:space="preserve"> </w:t>
      </w:r>
      <w:r>
        <w:rPr>
          <w:color w:val="4D4D4F"/>
          <w:w w:val="105"/>
        </w:rPr>
        <w:t>doing</w:t>
      </w:r>
      <w:r>
        <w:rPr>
          <w:color w:val="4D4D4F"/>
          <w:spacing w:val="-19"/>
          <w:w w:val="105"/>
        </w:rPr>
        <w:t xml:space="preserve"> </w:t>
      </w:r>
      <w:r>
        <w:rPr>
          <w:color w:val="4D4D4F"/>
          <w:w w:val="105"/>
        </w:rPr>
        <w:t>well.</w:t>
      </w:r>
      <w:r>
        <w:rPr>
          <w:color w:val="4D4D4F"/>
          <w:spacing w:val="-19"/>
          <w:w w:val="105"/>
        </w:rPr>
        <w:t xml:space="preserve"> </w:t>
      </w:r>
      <w:r>
        <w:rPr>
          <w:color w:val="4D4D4F"/>
          <w:w w:val="105"/>
        </w:rPr>
        <w:t>The</w:t>
      </w:r>
      <w:r>
        <w:rPr>
          <w:color w:val="4D4D4F"/>
          <w:spacing w:val="-18"/>
          <w:w w:val="105"/>
        </w:rPr>
        <w:t xml:space="preserve"> </w:t>
      </w:r>
      <w:r>
        <w:rPr>
          <w:color w:val="4D4D4F"/>
          <w:w w:val="105"/>
        </w:rPr>
        <w:t>design</w:t>
      </w:r>
      <w:r>
        <w:rPr>
          <w:color w:val="4D4D4F"/>
          <w:spacing w:val="-19"/>
          <w:w w:val="105"/>
        </w:rPr>
        <w:t xml:space="preserve"> </w:t>
      </w:r>
      <w:r>
        <w:rPr>
          <w:color w:val="4D4D4F"/>
          <w:w w:val="105"/>
        </w:rPr>
        <w:t>of</w:t>
      </w:r>
      <w:r>
        <w:rPr>
          <w:color w:val="4D4D4F"/>
          <w:spacing w:val="-19"/>
          <w:w w:val="105"/>
        </w:rPr>
        <w:t xml:space="preserve"> </w:t>
      </w:r>
      <w:r>
        <w:rPr>
          <w:color w:val="4D4D4F"/>
          <w:spacing w:val="-3"/>
          <w:w w:val="105"/>
        </w:rPr>
        <w:t>this</w:t>
      </w:r>
      <w:r>
        <w:rPr>
          <w:color w:val="4D4D4F"/>
          <w:spacing w:val="-19"/>
          <w:w w:val="105"/>
        </w:rPr>
        <w:t xml:space="preserve"> </w:t>
      </w:r>
      <w:r>
        <w:rPr>
          <w:color w:val="4D4D4F"/>
          <w:w w:val="105"/>
        </w:rPr>
        <w:t>KPI may</w:t>
      </w:r>
      <w:r>
        <w:rPr>
          <w:color w:val="4D4D4F"/>
          <w:spacing w:val="-20"/>
          <w:w w:val="105"/>
        </w:rPr>
        <w:t xml:space="preserve"> </w:t>
      </w:r>
      <w:r>
        <w:rPr>
          <w:color w:val="4D4D4F"/>
          <w:w w:val="105"/>
        </w:rPr>
        <w:t>be</w:t>
      </w:r>
      <w:r>
        <w:rPr>
          <w:color w:val="4D4D4F"/>
          <w:spacing w:val="-20"/>
          <w:w w:val="105"/>
        </w:rPr>
        <w:t xml:space="preserve"> </w:t>
      </w:r>
      <w:r>
        <w:rPr>
          <w:color w:val="4D4D4F"/>
          <w:w w:val="105"/>
        </w:rPr>
        <w:t>amended</w:t>
      </w:r>
      <w:r>
        <w:rPr>
          <w:color w:val="4D4D4F"/>
          <w:spacing w:val="-19"/>
          <w:w w:val="105"/>
        </w:rPr>
        <w:t xml:space="preserve"> </w:t>
      </w:r>
      <w:r>
        <w:rPr>
          <w:color w:val="4D4D4F"/>
          <w:w w:val="105"/>
        </w:rPr>
        <w:t>to</w:t>
      </w:r>
      <w:r>
        <w:rPr>
          <w:color w:val="4D4D4F"/>
          <w:spacing w:val="-20"/>
          <w:w w:val="105"/>
        </w:rPr>
        <w:t xml:space="preserve"> </w:t>
      </w:r>
      <w:r>
        <w:rPr>
          <w:color w:val="4D4D4F"/>
          <w:w w:val="105"/>
        </w:rPr>
        <w:t>account</w:t>
      </w:r>
      <w:r>
        <w:rPr>
          <w:color w:val="4D4D4F"/>
          <w:spacing w:val="-20"/>
          <w:w w:val="105"/>
        </w:rPr>
        <w:t xml:space="preserve"> </w:t>
      </w:r>
      <w:r>
        <w:rPr>
          <w:color w:val="4D4D4F"/>
          <w:w w:val="105"/>
        </w:rPr>
        <w:t>for</w:t>
      </w:r>
      <w:r>
        <w:rPr>
          <w:color w:val="4D4D4F"/>
          <w:spacing w:val="-19"/>
          <w:w w:val="105"/>
        </w:rPr>
        <w:t xml:space="preserve"> </w:t>
      </w:r>
      <w:r>
        <w:rPr>
          <w:color w:val="4D4D4F"/>
          <w:spacing w:val="-3"/>
          <w:w w:val="105"/>
        </w:rPr>
        <w:t>this</w:t>
      </w:r>
      <w:r>
        <w:rPr>
          <w:color w:val="4D4D4F"/>
          <w:spacing w:val="-20"/>
          <w:w w:val="105"/>
        </w:rPr>
        <w:t xml:space="preserve"> </w:t>
      </w:r>
      <w:r>
        <w:rPr>
          <w:color w:val="4D4D4F"/>
          <w:spacing w:val="-3"/>
          <w:w w:val="105"/>
        </w:rPr>
        <w:t>potential</w:t>
      </w:r>
      <w:r>
        <w:rPr>
          <w:color w:val="4D4D4F"/>
          <w:spacing w:val="-20"/>
          <w:w w:val="105"/>
        </w:rPr>
        <w:t xml:space="preserve"> </w:t>
      </w:r>
      <w:r>
        <w:rPr>
          <w:color w:val="4D4D4F"/>
          <w:w w:val="105"/>
        </w:rPr>
        <w:t>issue</w:t>
      </w:r>
      <w:r>
        <w:rPr>
          <w:color w:val="4D4D4F"/>
          <w:spacing w:val="-19"/>
          <w:w w:val="105"/>
        </w:rPr>
        <w:t xml:space="preserve"> </w:t>
      </w:r>
      <w:r>
        <w:rPr>
          <w:color w:val="4D4D4F"/>
          <w:w w:val="105"/>
        </w:rPr>
        <w:t>to</w:t>
      </w:r>
      <w:r>
        <w:rPr>
          <w:color w:val="4D4D4F"/>
          <w:spacing w:val="-20"/>
          <w:w w:val="105"/>
        </w:rPr>
        <w:t xml:space="preserve"> </w:t>
      </w:r>
      <w:r>
        <w:rPr>
          <w:color w:val="4D4D4F"/>
          <w:w w:val="105"/>
        </w:rPr>
        <w:t>clarify</w:t>
      </w:r>
      <w:r>
        <w:rPr>
          <w:color w:val="4D4D4F"/>
          <w:spacing w:val="-20"/>
          <w:w w:val="105"/>
        </w:rPr>
        <w:t xml:space="preserve"> </w:t>
      </w:r>
      <w:r>
        <w:rPr>
          <w:color w:val="4D4D4F"/>
          <w:w w:val="105"/>
        </w:rPr>
        <w:t>results</w:t>
      </w:r>
      <w:r>
        <w:rPr>
          <w:color w:val="4D4D4F"/>
          <w:spacing w:val="-19"/>
          <w:w w:val="105"/>
        </w:rPr>
        <w:t xml:space="preserve"> </w:t>
      </w:r>
      <w:r>
        <w:rPr>
          <w:color w:val="4D4D4F"/>
          <w:w w:val="105"/>
        </w:rPr>
        <w:t>in</w:t>
      </w:r>
      <w:r>
        <w:rPr>
          <w:color w:val="4D4D4F"/>
          <w:spacing w:val="-20"/>
          <w:w w:val="105"/>
        </w:rPr>
        <w:t xml:space="preserve"> </w:t>
      </w:r>
      <w:r>
        <w:rPr>
          <w:color w:val="4D4D4F"/>
          <w:w w:val="105"/>
        </w:rPr>
        <w:t>such</w:t>
      </w:r>
      <w:r>
        <w:rPr>
          <w:color w:val="4D4D4F"/>
          <w:spacing w:val="-20"/>
          <w:w w:val="105"/>
        </w:rPr>
        <w:t xml:space="preserve"> </w:t>
      </w:r>
      <w:r>
        <w:rPr>
          <w:color w:val="4D4D4F"/>
          <w:w w:val="105"/>
        </w:rPr>
        <w:t>a</w:t>
      </w:r>
      <w:r>
        <w:rPr>
          <w:color w:val="4D4D4F"/>
          <w:spacing w:val="-19"/>
          <w:w w:val="105"/>
        </w:rPr>
        <w:t xml:space="preserve"> </w:t>
      </w:r>
      <w:r>
        <w:rPr>
          <w:color w:val="4D4D4F"/>
          <w:w w:val="105"/>
        </w:rPr>
        <w:t>scenario.</w:t>
      </w:r>
    </w:p>
    <w:p w14:paraId="1F8DE6EC" w14:textId="77777777" w:rsidR="00EF5B27" w:rsidRDefault="00000000">
      <w:pPr>
        <w:pStyle w:val="BodyText"/>
        <w:spacing w:before="125" w:line="254" w:lineRule="auto"/>
        <w:ind w:left="2608" w:right="221"/>
      </w:pPr>
      <w:r>
        <w:rPr>
          <w:color w:val="4D4D4F"/>
        </w:rPr>
        <w:t>KPIs for Natural Temperate Grassland could be organised by  management  unit  as well as by states (i.e. stratify results by parcel of land). State monitoring may highlight variation in the different land use histories, while monitoring by parcel may reveal information on the efficacy of management regimes across the landscape.</w:t>
      </w:r>
      <w:r>
        <w:rPr>
          <w:color w:val="4D4D4F"/>
          <w:spacing w:val="44"/>
        </w:rPr>
        <w:t xml:space="preserve"> </w:t>
      </w:r>
      <w:r>
        <w:rPr>
          <w:color w:val="4D4D4F"/>
        </w:rPr>
        <w:t>Time</w:t>
      </w:r>
    </w:p>
    <w:p w14:paraId="21E0AF3F" w14:textId="77777777" w:rsidR="00EF5B27" w:rsidRDefault="00000000">
      <w:pPr>
        <w:pStyle w:val="BodyText"/>
        <w:spacing w:before="5" w:line="254" w:lineRule="auto"/>
        <w:ind w:left="2608" w:right="197"/>
      </w:pPr>
      <w:r>
        <w:rPr>
          <w:color w:val="4D4D4F"/>
        </w:rPr>
        <w:t>since acquisition would seem an important variable, as this is the period within which DELWP has had the ability to have any direct management impact. This gets lost in DELWP’s attempt to ‘dampen’ the effect of the addition of new properties. It would be good to be able to explore variation in grassland condition as a function of time since acquisition. This may help to inform a clearer picture of whether interim management actions are required or have been effective if applied.</w:t>
      </w:r>
    </w:p>
    <w:p w14:paraId="43AFD09D" w14:textId="77777777" w:rsidR="00EF5B27" w:rsidRDefault="00000000">
      <w:pPr>
        <w:pStyle w:val="BodyText"/>
        <w:spacing w:before="120" w:line="254" w:lineRule="auto"/>
        <w:ind w:left="2608" w:right="151"/>
      </w:pPr>
      <w:r>
        <w:rPr>
          <w:color w:val="4D4D4F"/>
        </w:rPr>
        <w:t>Further, the introduction of counterfactual controls in the form of monitored areas on private land – outside the MSA managed areas – in conjunction with data from remote sensing across all tenures would improve an understanding of the efficacy of interim land management.</w:t>
      </w:r>
    </w:p>
    <w:p w14:paraId="4AE2F0E0" w14:textId="77777777" w:rsidR="00EF5B27" w:rsidRDefault="00EF5B27">
      <w:pPr>
        <w:spacing w:line="254" w:lineRule="auto"/>
        <w:sectPr w:rsidR="00EF5B27">
          <w:pgSz w:w="11910" w:h="16840"/>
          <w:pgMar w:top="1080" w:right="1020" w:bottom="860" w:left="1020" w:header="537" w:footer="678" w:gutter="0"/>
          <w:cols w:space="720"/>
        </w:sectPr>
      </w:pPr>
    </w:p>
    <w:p w14:paraId="7F3F930B" w14:textId="77777777" w:rsidR="00EF5B27" w:rsidRDefault="00000000">
      <w:pPr>
        <w:pStyle w:val="BodyText"/>
      </w:pPr>
      <w:r>
        <w:lastRenderedPageBreak/>
        <w:pict w14:anchorId="5AC12F1F">
          <v:group id="_x0000_s3391" style="position:absolute;margin-left:587.05pt;margin-top:183.4pt;width:8.25pt;height:153.1pt;z-index:251582976;mso-position-horizontal-relative:page;mso-position-vertical-relative:page" coordorigin="11741,3668" coordsize="165,3062">
            <v:shape id="_x0000_s3398" style="position:absolute;left:11741;top:3668;width:165;height:561" coordorigin="11741,3668" coordsize="165,561" path="m11906,3668r-165,l11741,4228r165,-18l11906,3668xe" fillcolor="#00aed9" stroked="f">
              <v:path arrowok="t"/>
            </v:shape>
            <v:shape id="_x0000_s3397" style="position:absolute;left:11741;top:4118;width:165;height:425" coordorigin="11741,4118" coordsize="165,425" path="m11906,4118r-165,14l11741,4531r165,12l11906,4118xe" fillcolor="#047ebc" stroked="f">
              <v:path arrowok="t"/>
            </v:shape>
            <v:shape id="_x0000_s3396" type="#_x0000_t75" style="position:absolute;left:11741;top:4355;width:165;height:587">
              <v:imagedata r:id="rId42" o:title=""/>
            </v:shape>
            <v:shape id="_x0000_s3395" style="position:absolute;left:11741;top:5343;width:165;height:536" coordorigin="11741,5343" coordsize="165,536" path="m11741,5343r,535l11906,5872r,-525l11741,5343xe" fillcolor="#f36a2e" stroked="f">
              <v:path arrowok="t"/>
            </v:shape>
            <v:shape id="_x0000_s3394" style="position:absolute;left:11741;top:4925;width:165;height:501" coordorigin="11741,4926" coordsize="165,501" path="m11741,4926r,500l11906,5426r,-485l11741,4926xe" fillcolor="#49783f" stroked="f">
              <v:path arrowok="t"/>
            </v:shape>
            <v:shape id="_x0000_s3393" style="position:absolute;left:11741;top:5781;width:165;height:268" coordorigin="11741,5782" coordsize="165,268" path="m11906,5782r-165,8l11741,6039r165,10l11906,5782xe" fillcolor="#f99f2a" stroked="f">
              <v:path arrowok="t"/>
            </v:shape>
            <v:shape id="_x0000_s3392" style="position:absolute;left:11741;top:6023;width:165;height:707" coordorigin="11741,6023" coordsize="165,707" path="m11741,6023r,706l11906,6729r,-690l11741,6023xe" fillcolor="#ef412c" stroked="f">
              <v:path arrowok="t"/>
            </v:shape>
            <w10:wrap anchorx="page" anchory="page"/>
          </v:group>
        </w:pict>
      </w:r>
    </w:p>
    <w:p w14:paraId="44F90CC0" w14:textId="77777777" w:rsidR="00EF5B27" w:rsidRDefault="00EF5B27">
      <w:pPr>
        <w:pStyle w:val="BodyText"/>
      </w:pPr>
    </w:p>
    <w:p w14:paraId="216AF00D" w14:textId="77777777" w:rsidR="00EF5B27" w:rsidRDefault="00EF5B27">
      <w:pPr>
        <w:pStyle w:val="BodyText"/>
      </w:pPr>
    </w:p>
    <w:p w14:paraId="1E87F572" w14:textId="77777777" w:rsidR="00EF5B27" w:rsidRDefault="00EF5B27">
      <w:pPr>
        <w:pStyle w:val="BodyText"/>
        <w:spacing w:before="8"/>
      </w:pPr>
    </w:p>
    <w:p w14:paraId="60DFDE45" w14:textId="77777777" w:rsidR="00EF5B27" w:rsidRDefault="00000000">
      <w:pPr>
        <w:pStyle w:val="Heading2"/>
      </w:pPr>
      <w:bookmarkStart w:id="49" w:name="_bookmark37"/>
      <w:bookmarkEnd w:id="49"/>
      <w:r>
        <w:rPr>
          <w:color w:val="F99F2A"/>
        </w:rPr>
        <w:t>MNES 2: Grassy Eucalypt Woodland</w:t>
      </w:r>
    </w:p>
    <w:p w14:paraId="075EDE54" w14:textId="77777777" w:rsidR="00EF5B27" w:rsidRDefault="00EF5B27">
      <w:pPr>
        <w:pStyle w:val="BodyText"/>
        <w:rPr>
          <w:b/>
          <w:sz w:val="52"/>
        </w:rPr>
      </w:pPr>
    </w:p>
    <w:p w14:paraId="5D83E726" w14:textId="77777777" w:rsidR="00EF5B27" w:rsidRDefault="00EF5B27">
      <w:pPr>
        <w:pStyle w:val="BodyText"/>
        <w:spacing w:before="3"/>
        <w:rPr>
          <w:b/>
          <w:sz w:val="65"/>
        </w:rPr>
      </w:pPr>
    </w:p>
    <w:p w14:paraId="28478435" w14:textId="77777777" w:rsidR="00EF5B27" w:rsidRDefault="00000000">
      <w:pPr>
        <w:pStyle w:val="Heading3"/>
      </w:pPr>
      <w:r>
        <w:rPr>
          <w:color w:val="F99F2A"/>
        </w:rPr>
        <w:t>Background</w:t>
      </w:r>
    </w:p>
    <w:p w14:paraId="5AA7B234" w14:textId="77777777" w:rsidR="00EF5B27" w:rsidRDefault="00000000">
      <w:pPr>
        <w:pStyle w:val="Heading6"/>
        <w:spacing w:before="221" w:line="254" w:lineRule="auto"/>
        <w:ind w:right="111"/>
        <w:jc w:val="both"/>
        <w:rPr>
          <w:sz w:val="10"/>
        </w:rPr>
      </w:pPr>
      <w:r>
        <w:rPr>
          <w:color w:val="4D4D4F"/>
        </w:rPr>
        <w:t xml:space="preserve">‘Grassy Eucalypt Woodland of the Victorian Volcanic Plain’ (hereafter Grassy Eucalypt Woodland) is an ecological community listed as Critically Endangered under the EPBC </w:t>
      </w:r>
      <w:r>
        <w:rPr>
          <w:color w:val="4D4D4F"/>
          <w:spacing w:val="-5"/>
        </w:rPr>
        <w:t>Act.</w:t>
      </w:r>
      <w:r>
        <w:rPr>
          <w:color w:val="4D4D4F"/>
          <w:spacing w:val="-5"/>
          <w:position w:val="7"/>
          <w:sz w:val="11"/>
        </w:rPr>
        <w:t xml:space="preserve">146 </w:t>
      </w:r>
      <w:r>
        <w:rPr>
          <w:color w:val="4D4D4F"/>
          <w:spacing w:val="-4"/>
        </w:rPr>
        <w:t xml:space="preserve">This </w:t>
      </w:r>
      <w:r>
        <w:rPr>
          <w:color w:val="4D4D4F"/>
          <w:spacing w:val="-5"/>
        </w:rPr>
        <w:t xml:space="preserve">community </w:t>
      </w:r>
      <w:r>
        <w:rPr>
          <w:color w:val="4D4D4F"/>
          <w:spacing w:val="-4"/>
        </w:rPr>
        <w:t xml:space="preserve">is characterised </w:t>
      </w:r>
      <w:r>
        <w:rPr>
          <w:color w:val="4D4D4F"/>
          <w:spacing w:val="-3"/>
        </w:rPr>
        <w:t xml:space="preserve">by </w:t>
      </w:r>
      <w:r>
        <w:rPr>
          <w:color w:val="4D4D4F"/>
          <w:spacing w:val="-5"/>
        </w:rPr>
        <w:t xml:space="preserve">eucalypt woodlands </w:t>
      </w:r>
      <w:r>
        <w:rPr>
          <w:color w:val="4D4D4F"/>
          <w:spacing w:val="-4"/>
        </w:rPr>
        <w:t xml:space="preserve">with </w:t>
      </w:r>
      <w:r>
        <w:rPr>
          <w:color w:val="4D4D4F"/>
        </w:rPr>
        <w:t xml:space="preserve">a </w:t>
      </w:r>
      <w:r>
        <w:rPr>
          <w:color w:val="4D4D4F"/>
          <w:spacing w:val="-4"/>
        </w:rPr>
        <w:t xml:space="preserve">grassy </w:t>
      </w:r>
      <w:r>
        <w:rPr>
          <w:color w:val="4D4D4F"/>
          <w:spacing w:val="-5"/>
        </w:rPr>
        <w:t xml:space="preserve">understorey, </w:t>
      </w:r>
      <w:r>
        <w:rPr>
          <w:color w:val="4D4D4F"/>
        </w:rPr>
        <w:t>described in detail in the Commonwealth listing advice.</w:t>
      </w:r>
      <w:r>
        <w:rPr>
          <w:color w:val="4D4D4F"/>
          <w:position w:val="7"/>
          <w:sz w:val="11"/>
        </w:rPr>
        <w:t xml:space="preserve">147 </w:t>
      </w:r>
      <w:r>
        <w:rPr>
          <w:color w:val="4D4D4F"/>
        </w:rPr>
        <w:t>Grassy Eucalypt Woodland of the Victorian Volcanic Plain represents occurrences of grassy eucalypt woodlands located</w:t>
      </w:r>
      <w:r>
        <w:rPr>
          <w:color w:val="4D4D4F"/>
          <w:spacing w:val="-5"/>
        </w:rPr>
        <w:t xml:space="preserve"> </w:t>
      </w:r>
      <w:r>
        <w:rPr>
          <w:color w:val="4D4D4F"/>
        </w:rPr>
        <w:t>south</w:t>
      </w:r>
      <w:r>
        <w:rPr>
          <w:color w:val="4D4D4F"/>
          <w:spacing w:val="-5"/>
        </w:rPr>
        <w:t xml:space="preserve"> </w:t>
      </w:r>
      <w:r>
        <w:rPr>
          <w:color w:val="4D4D4F"/>
        </w:rPr>
        <w:t>of</w:t>
      </w:r>
      <w:r>
        <w:rPr>
          <w:color w:val="4D4D4F"/>
          <w:spacing w:val="-4"/>
        </w:rPr>
        <w:t xml:space="preserve"> </w:t>
      </w:r>
      <w:r>
        <w:rPr>
          <w:color w:val="4D4D4F"/>
        </w:rPr>
        <w:t>the</w:t>
      </w:r>
      <w:r>
        <w:rPr>
          <w:color w:val="4D4D4F"/>
          <w:spacing w:val="-5"/>
        </w:rPr>
        <w:t xml:space="preserve"> </w:t>
      </w:r>
      <w:r>
        <w:rPr>
          <w:color w:val="4D4D4F"/>
        </w:rPr>
        <w:t>Great</w:t>
      </w:r>
      <w:r>
        <w:rPr>
          <w:color w:val="4D4D4F"/>
          <w:spacing w:val="-4"/>
        </w:rPr>
        <w:t xml:space="preserve"> </w:t>
      </w:r>
      <w:r>
        <w:rPr>
          <w:color w:val="4D4D4F"/>
        </w:rPr>
        <w:t>Dividing</w:t>
      </w:r>
      <w:r>
        <w:rPr>
          <w:color w:val="4D4D4F"/>
          <w:spacing w:val="-5"/>
        </w:rPr>
        <w:t xml:space="preserve"> </w:t>
      </w:r>
      <w:r>
        <w:rPr>
          <w:color w:val="4D4D4F"/>
        </w:rPr>
        <w:t>Range,</w:t>
      </w:r>
      <w:r>
        <w:rPr>
          <w:color w:val="4D4D4F"/>
          <w:spacing w:val="-4"/>
        </w:rPr>
        <w:t xml:space="preserve"> </w:t>
      </w:r>
      <w:r>
        <w:rPr>
          <w:color w:val="4D4D4F"/>
        </w:rPr>
        <w:t>and</w:t>
      </w:r>
      <w:r>
        <w:rPr>
          <w:color w:val="4D4D4F"/>
          <w:spacing w:val="-5"/>
        </w:rPr>
        <w:t xml:space="preserve"> </w:t>
      </w:r>
      <w:r>
        <w:rPr>
          <w:color w:val="4D4D4F"/>
        </w:rPr>
        <w:t>are</w:t>
      </w:r>
      <w:r>
        <w:rPr>
          <w:color w:val="4D4D4F"/>
          <w:spacing w:val="-4"/>
        </w:rPr>
        <w:t xml:space="preserve"> </w:t>
      </w:r>
      <w:r>
        <w:rPr>
          <w:color w:val="4D4D4F"/>
        </w:rPr>
        <w:t>specifically</w:t>
      </w:r>
      <w:r>
        <w:rPr>
          <w:color w:val="4D4D4F"/>
          <w:spacing w:val="-5"/>
        </w:rPr>
        <w:t xml:space="preserve"> </w:t>
      </w:r>
      <w:r>
        <w:rPr>
          <w:color w:val="4D4D4F"/>
        </w:rPr>
        <w:t>limited</w:t>
      </w:r>
      <w:r>
        <w:rPr>
          <w:color w:val="4D4D4F"/>
          <w:spacing w:val="-4"/>
        </w:rPr>
        <w:t xml:space="preserve"> </w:t>
      </w:r>
      <w:r>
        <w:rPr>
          <w:color w:val="4D4D4F"/>
        </w:rPr>
        <w:t>to</w:t>
      </w:r>
      <w:r>
        <w:rPr>
          <w:color w:val="4D4D4F"/>
          <w:spacing w:val="-5"/>
        </w:rPr>
        <w:t xml:space="preserve"> </w:t>
      </w:r>
      <w:r>
        <w:rPr>
          <w:color w:val="4D4D4F"/>
        </w:rPr>
        <w:t>the</w:t>
      </w:r>
      <w:r>
        <w:rPr>
          <w:color w:val="4D4D4F"/>
          <w:spacing w:val="-4"/>
        </w:rPr>
        <w:t xml:space="preserve"> </w:t>
      </w:r>
      <w:r>
        <w:rPr>
          <w:color w:val="4D4D4F"/>
        </w:rPr>
        <w:t>extensive Quaternary basalt plain of south-western</w:t>
      </w:r>
      <w:r>
        <w:rPr>
          <w:color w:val="4D4D4F"/>
          <w:spacing w:val="22"/>
        </w:rPr>
        <w:t xml:space="preserve"> </w:t>
      </w:r>
      <w:r>
        <w:rPr>
          <w:color w:val="4D4D4F"/>
        </w:rPr>
        <w:t>Victoria.</w:t>
      </w:r>
      <w:r>
        <w:rPr>
          <w:color w:val="4D4D4F"/>
          <w:position w:val="6"/>
          <w:sz w:val="10"/>
        </w:rPr>
        <w:t>148</w:t>
      </w:r>
    </w:p>
    <w:p w14:paraId="6E6C63A2" w14:textId="77777777" w:rsidR="00EF5B27" w:rsidRDefault="00000000">
      <w:pPr>
        <w:pStyle w:val="BodyText"/>
        <w:spacing w:before="122"/>
        <w:ind w:left="2608"/>
        <w:jc w:val="both"/>
      </w:pPr>
      <w:r>
        <w:rPr>
          <w:color w:val="4D4D4F"/>
          <w:w w:val="105"/>
        </w:rPr>
        <w:t>EPBC listing status: Critically endangered</w:t>
      </w:r>
    </w:p>
    <w:p w14:paraId="4F372986" w14:textId="77777777" w:rsidR="00EF5B27" w:rsidRDefault="00000000">
      <w:pPr>
        <w:pStyle w:val="BodyText"/>
        <w:spacing w:before="7"/>
        <w:rPr>
          <w:sz w:val="29"/>
        </w:rPr>
      </w:pPr>
      <w:r>
        <w:rPr>
          <w:noProof/>
        </w:rPr>
        <w:drawing>
          <wp:anchor distT="0" distB="0" distL="0" distR="0" simplePos="0" relativeHeight="251292160" behindDoc="0" locked="0" layoutInCell="1" allowOverlap="1" wp14:anchorId="403994F3" wp14:editId="7C13FC33">
            <wp:simplePos x="0" y="0"/>
            <wp:positionH relativeFrom="page">
              <wp:posOffset>2304575</wp:posOffset>
            </wp:positionH>
            <wp:positionV relativeFrom="paragraph">
              <wp:posOffset>254154</wp:posOffset>
            </wp:positionV>
            <wp:extent cx="4535425" cy="2551176"/>
            <wp:effectExtent l="0" t="0" r="0" b="0"/>
            <wp:wrapTopAndBottom/>
            <wp:docPr id="367"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135.png"/>
                    <pic:cNvPicPr/>
                  </pic:nvPicPr>
                  <pic:blipFill>
                    <a:blip r:embed="rId127" cstate="print"/>
                    <a:stretch>
                      <a:fillRect/>
                    </a:stretch>
                  </pic:blipFill>
                  <pic:spPr>
                    <a:xfrm>
                      <a:off x="0" y="0"/>
                      <a:ext cx="4535425" cy="2551176"/>
                    </a:xfrm>
                    <a:prstGeom prst="rect">
                      <a:avLst/>
                    </a:prstGeom>
                  </pic:spPr>
                </pic:pic>
              </a:graphicData>
            </a:graphic>
          </wp:anchor>
        </w:drawing>
      </w:r>
    </w:p>
    <w:p w14:paraId="1240D445" w14:textId="77777777" w:rsidR="00EF5B27" w:rsidRDefault="00000000">
      <w:pPr>
        <w:tabs>
          <w:tab w:val="left" w:pos="8977"/>
        </w:tabs>
        <w:spacing w:before="113"/>
        <w:ind w:left="2608"/>
        <w:jc w:val="both"/>
        <w:rPr>
          <w:rFonts w:ascii="Century Gothic"/>
          <w:i/>
          <w:sz w:val="12"/>
        </w:rPr>
      </w:pPr>
      <w:r>
        <w:rPr>
          <w:color w:val="4D4D4F"/>
          <w:sz w:val="16"/>
        </w:rPr>
        <w:t>Figure</w:t>
      </w:r>
      <w:r>
        <w:rPr>
          <w:color w:val="4D4D4F"/>
          <w:spacing w:val="10"/>
          <w:sz w:val="16"/>
        </w:rPr>
        <w:t xml:space="preserve"> </w:t>
      </w:r>
      <w:r>
        <w:rPr>
          <w:color w:val="4D4D4F"/>
          <w:sz w:val="16"/>
        </w:rPr>
        <w:t>13:</w:t>
      </w:r>
      <w:r>
        <w:rPr>
          <w:color w:val="4D4D4F"/>
          <w:spacing w:val="11"/>
          <w:sz w:val="16"/>
        </w:rPr>
        <w:t xml:space="preserve"> </w:t>
      </w:r>
      <w:r>
        <w:rPr>
          <w:color w:val="4D4D4F"/>
          <w:sz w:val="16"/>
        </w:rPr>
        <w:t>Grassy</w:t>
      </w:r>
      <w:r>
        <w:rPr>
          <w:color w:val="4D4D4F"/>
          <w:spacing w:val="11"/>
          <w:sz w:val="16"/>
        </w:rPr>
        <w:t xml:space="preserve"> </w:t>
      </w:r>
      <w:r>
        <w:rPr>
          <w:color w:val="4D4D4F"/>
          <w:sz w:val="16"/>
        </w:rPr>
        <w:t>Eucalypt</w:t>
      </w:r>
      <w:r>
        <w:rPr>
          <w:color w:val="4D4D4F"/>
          <w:spacing w:val="11"/>
          <w:sz w:val="16"/>
        </w:rPr>
        <w:t xml:space="preserve"> </w:t>
      </w:r>
      <w:r>
        <w:rPr>
          <w:color w:val="4D4D4F"/>
          <w:sz w:val="16"/>
        </w:rPr>
        <w:t>Woodland</w:t>
      </w:r>
      <w:r>
        <w:rPr>
          <w:color w:val="4D4D4F"/>
          <w:spacing w:val="10"/>
          <w:sz w:val="16"/>
        </w:rPr>
        <w:t xml:space="preserve"> </w:t>
      </w:r>
      <w:r>
        <w:rPr>
          <w:color w:val="4D4D4F"/>
          <w:sz w:val="16"/>
        </w:rPr>
        <w:t>of</w:t>
      </w:r>
      <w:r>
        <w:rPr>
          <w:color w:val="4D4D4F"/>
          <w:spacing w:val="11"/>
          <w:sz w:val="16"/>
        </w:rPr>
        <w:t xml:space="preserve"> </w:t>
      </w:r>
      <w:r>
        <w:rPr>
          <w:color w:val="4D4D4F"/>
          <w:sz w:val="16"/>
        </w:rPr>
        <w:t>the</w:t>
      </w:r>
      <w:r>
        <w:rPr>
          <w:color w:val="4D4D4F"/>
          <w:spacing w:val="11"/>
          <w:sz w:val="16"/>
        </w:rPr>
        <w:t xml:space="preserve"> </w:t>
      </w:r>
      <w:r>
        <w:rPr>
          <w:color w:val="4D4D4F"/>
          <w:sz w:val="16"/>
        </w:rPr>
        <w:t>Victorian</w:t>
      </w:r>
      <w:r>
        <w:rPr>
          <w:color w:val="4D4D4F"/>
          <w:spacing w:val="11"/>
          <w:sz w:val="16"/>
        </w:rPr>
        <w:t xml:space="preserve"> </w:t>
      </w:r>
      <w:r>
        <w:rPr>
          <w:color w:val="4D4D4F"/>
          <w:sz w:val="16"/>
        </w:rPr>
        <w:t>Volcanic</w:t>
      </w:r>
      <w:r>
        <w:rPr>
          <w:color w:val="4D4D4F"/>
          <w:spacing w:val="11"/>
          <w:sz w:val="16"/>
        </w:rPr>
        <w:t xml:space="preserve"> </w:t>
      </w:r>
      <w:r>
        <w:rPr>
          <w:color w:val="4D4D4F"/>
          <w:sz w:val="16"/>
        </w:rPr>
        <w:t>Plain</w:t>
      </w:r>
      <w:r>
        <w:rPr>
          <w:color w:val="4D4D4F"/>
          <w:sz w:val="16"/>
        </w:rPr>
        <w:tab/>
      </w:r>
      <w:r>
        <w:rPr>
          <w:rFonts w:ascii="Century Gothic"/>
          <w:i/>
          <w:color w:val="4D4D4F"/>
          <w:sz w:val="12"/>
        </w:rPr>
        <w:t>Source:</w:t>
      </w:r>
      <w:r>
        <w:rPr>
          <w:rFonts w:ascii="Century Gothic"/>
          <w:i/>
          <w:color w:val="4D4D4F"/>
          <w:spacing w:val="-22"/>
          <w:sz w:val="12"/>
        </w:rPr>
        <w:t xml:space="preserve"> </w:t>
      </w:r>
      <w:r>
        <w:rPr>
          <w:rFonts w:ascii="Century Gothic"/>
          <w:i/>
          <w:color w:val="4D4D4F"/>
          <w:sz w:val="12"/>
        </w:rPr>
        <w:t>DELWP</w:t>
      </w:r>
    </w:p>
    <w:p w14:paraId="5C1C25B2" w14:textId="77777777" w:rsidR="00EF5B27" w:rsidRDefault="00EF5B27">
      <w:pPr>
        <w:pStyle w:val="BodyText"/>
        <w:rPr>
          <w:rFonts w:ascii="Century Gothic"/>
          <w:i/>
        </w:rPr>
      </w:pPr>
    </w:p>
    <w:p w14:paraId="3EDEF435" w14:textId="77777777" w:rsidR="00EF5B27" w:rsidRDefault="00EF5B27">
      <w:pPr>
        <w:pStyle w:val="BodyText"/>
        <w:rPr>
          <w:rFonts w:ascii="Century Gothic"/>
          <w:i/>
        </w:rPr>
      </w:pPr>
    </w:p>
    <w:p w14:paraId="0A4B673B" w14:textId="77777777" w:rsidR="00EF5B27" w:rsidRDefault="00EF5B27">
      <w:pPr>
        <w:pStyle w:val="BodyText"/>
        <w:rPr>
          <w:rFonts w:ascii="Century Gothic"/>
          <w:i/>
        </w:rPr>
      </w:pPr>
    </w:p>
    <w:p w14:paraId="09C3EAF9" w14:textId="77777777" w:rsidR="00EF5B27" w:rsidRDefault="00EF5B27">
      <w:pPr>
        <w:pStyle w:val="BodyText"/>
        <w:rPr>
          <w:rFonts w:ascii="Century Gothic"/>
          <w:i/>
        </w:rPr>
      </w:pPr>
    </w:p>
    <w:p w14:paraId="3C1A1033" w14:textId="77777777" w:rsidR="00EF5B27" w:rsidRDefault="00EF5B27">
      <w:pPr>
        <w:pStyle w:val="BodyText"/>
        <w:rPr>
          <w:rFonts w:ascii="Century Gothic"/>
          <w:i/>
        </w:rPr>
      </w:pPr>
    </w:p>
    <w:p w14:paraId="4EEC41C7" w14:textId="77777777" w:rsidR="00EF5B27" w:rsidRDefault="00EF5B27">
      <w:pPr>
        <w:pStyle w:val="BodyText"/>
        <w:rPr>
          <w:rFonts w:ascii="Century Gothic"/>
          <w:i/>
        </w:rPr>
      </w:pPr>
    </w:p>
    <w:p w14:paraId="58A4538C" w14:textId="77777777" w:rsidR="00EF5B27" w:rsidRDefault="00EF5B27">
      <w:pPr>
        <w:pStyle w:val="BodyText"/>
        <w:rPr>
          <w:rFonts w:ascii="Century Gothic"/>
          <w:i/>
        </w:rPr>
      </w:pPr>
    </w:p>
    <w:p w14:paraId="3325FD0C" w14:textId="77777777" w:rsidR="00EF5B27" w:rsidRDefault="00000000">
      <w:pPr>
        <w:pStyle w:val="BodyText"/>
        <w:spacing w:before="1"/>
        <w:rPr>
          <w:rFonts w:ascii="Century Gothic"/>
          <w:i/>
          <w:sz w:val="22"/>
        </w:rPr>
      </w:pPr>
      <w:r>
        <w:pict w14:anchorId="25BF2D23">
          <v:line id="_x0000_s3390" style="position:absolute;z-index:251520512;mso-wrap-distance-left:0;mso-wrap-distance-right:0;mso-position-horizontal-relative:page" from="181.4pt,15.75pt" to="538.6pt,15.75pt" strokecolor="#4d4d4f" strokeweight=".5pt">
            <w10:wrap type="topAndBottom" anchorx="page"/>
          </v:line>
        </w:pict>
      </w:r>
    </w:p>
    <w:p w14:paraId="5369915F" w14:textId="77777777" w:rsidR="00EF5B27" w:rsidRDefault="00000000">
      <w:pPr>
        <w:pStyle w:val="ListParagraph"/>
        <w:numPr>
          <w:ilvl w:val="0"/>
          <w:numId w:val="42"/>
        </w:numPr>
        <w:tabs>
          <w:tab w:val="left" w:pos="2836"/>
        </w:tabs>
        <w:spacing w:before="88" w:line="230" w:lineRule="auto"/>
        <w:ind w:right="109"/>
        <w:jc w:val="both"/>
        <w:rPr>
          <w:sz w:val="12"/>
        </w:rPr>
      </w:pPr>
      <w:r>
        <w:rPr>
          <w:color w:val="4D4D4F"/>
          <w:sz w:val="12"/>
        </w:rPr>
        <w:t xml:space="preserve">Department of the Environment </w:t>
      </w:r>
      <w:r>
        <w:rPr>
          <w:color w:val="4D4D4F"/>
          <w:spacing w:val="2"/>
          <w:sz w:val="12"/>
        </w:rPr>
        <w:t xml:space="preserve">2022. </w:t>
      </w:r>
      <w:r>
        <w:rPr>
          <w:color w:val="4D4D4F"/>
          <w:sz w:val="12"/>
        </w:rPr>
        <w:t xml:space="preserve">‘Grassy Eucalypt Woodland of the Victorian Volcanic Plain in Community and Species Profile and </w:t>
      </w:r>
      <w:r>
        <w:rPr>
          <w:color w:val="4D4D4F"/>
          <w:spacing w:val="2"/>
          <w:sz w:val="12"/>
        </w:rPr>
        <w:t xml:space="preserve">Threats </w:t>
      </w:r>
      <w:r>
        <w:rPr>
          <w:color w:val="4D4D4F"/>
          <w:sz w:val="12"/>
        </w:rPr>
        <w:t xml:space="preserve">Database’, Department of the Environment, </w:t>
      </w:r>
      <w:r>
        <w:rPr>
          <w:color w:val="4D4D4F"/>
          <w:spacing w:val="2"/>
          <w:sz w:val="12"/>
        </w:rPr>
        <w:t xml:space="preserve">Canberra. </w:t>
      </w:r>
      <w:r>
        <w:rPr>
          <w:color w:val="4D4D4F"/>
          <w:sz w:val="12"/>
        </w:rPr>
        <w:t>Available from:</w:t>
      </w:r>
      <w:r>
        <w:rPr>
          <w:color w:val="F36A2E"/>
          <w:sz w:val="12"/>
        </w:rPr>
        <w:t xml:space="preserve"> </w:t>
      </w:r>
      <w:hyperlink r:id="rId128">
        <w:r>
          <w:rPr>
            <w:color w:val="F36A2E"/>
            <w:sz w:val="12"/>
            <w:u w:val="single" w:color="F36A2E"/>
          </w:rPr>
          <w:t>http://www.environment.gov.au/cgi-bin/sprat/public/</w:t>
        </w:r>
      </w:hyperlink>
      <w:r>
        <w:rPr>
          <w:color w:val="F36A2E"/>
          <w:sz w:val="12"/>
          <w:u w:val="single" w:color="F36A2E"/>
        </w:rPr>
        <w:t xml:space="preserve"> sprat.p</w:t>
      </w:r>
      <w:r>
        <w:rPr>
          <w:color w:val="F36A2E"/>
          <w:sz w:val="12"/>
        </w:rPr>
        <w:t xml:space="preserve">l </w:t>
      </w:r>
      <w:r>
        <w:rPr>
          <w:color w:val="4D4D4F"/>
          <w:spacing w:val="2"/>
          <w:sz w:val="12"/>
        </w:rPr>
        <w:t xml:space="preserve">Accessed </w:t>
      </w:r>
      <w:r>
        <w:rPr>
          <w:color w:val="4D4D4F"/>
          <w:sz w:val="12"/>
        </w:rPr>
        <w:t xml:space="preserve">10 </w:t>
      </w:r>
      <w:r>
        <w:rPr>
          <w:color w:val="4D4D4F"/>
          <w:spacing w:val="2"/>
          <w:sz w:val="12"/>
        </w:rPr>
        <w:t>February</w:t>
      </w:r>
      <w:r>
        <w:rPr>
          <w:color w:val="4D4D4F"/>
          <w:spacing w:val="6"/>
          <w:sz w:val="12"/>
        </w:rPr>
        <w:t xml:space="preserve"> </w:t>
      </w:r>
      <w:r>
        <w:rPr>
          <w:color w:val="4D4D4F"/>
          <w:spacing w:val="2"/>
          <w:sz w:val="12"/>
        </w:rPr>
        <w:t>2022.</w:t>
      </w:r>
    </w:p>
    <w:p w14:paraId="13FAC574" w14:textId="77777777" w:rsidR="00EF5B27" w:rsidRDefault="00000000">
      <w:pPr>
        <w:pStyle w:val="ListParagraph"/>
        <w:numPr>
          <w:ilvl w:val="0"/>
          <w:numId w:val="42"/>
        </w:numPr>
        <w:tabs>
          <w:tab w:val="left" w:pos="2836"/>
        </w:tabs>
        <w:spacing w:line="230" w:lineRule="auto"/>
        <w:ind w:right="111"/>
        <w:jc w:val="both"/>
        <w:rPr>
          <w:sz w:val="12"/>
        </w:rPr>
      </w:pPr>
      <w:r>
        <w:rPr>
          <w:color w:val="4D4D4F"/>
          <w:spacing w:val="2"/>
          <w:sz w:val="12"/>
        </w:rPr>
        <w:t xml:space="preserve">TSSC </w:t>
      </w:r>
      <w:r>
        <w:rPr>
          <w:color w:val="4D4D4F"/>
          <w:spacing w:val="3"/>
          <w:sz w:val="12"/>
        </w:rPr>
        <w:t xml:space="preserve">2008, </w:t>
      </w:r>
      <w:r>
        <w:rPr>
          <w:color w:val="4D4D4F"/>
          <w:sz w:val="12"/>
        </w:rPr>
        <w:t xml:space="preserve">‘Advice to the  Minister  for  the  Environment,  Heritage  and  the  </w:t>
      </w:r>
      <w:r>
        <w:rPr>
          <w:color w:val="4D4D4F"/>
          <w:spacing w:val="3"/>
          <w:sz w:val="12"/>
        </w:rPr>
        <w:t xml:space="preserve">Arts  </w:t>
      </w:r>
      <w:r>
        <w:rPr>
          <w:color w:val="4D4D4F"/>
          <w:sz w:val="12"/>
        </w:rPr>
        <w:t xml:space="preserve">from  the  Threatened  Species  Scientific  Committee  (the Committee) on Amendment to the list of Threatened Ecological Communities under the Environment Protection and Biodiversity </w:t>
      </w:r>
      <w:r>
        <w:rPr>
          <w:color w:val="4D4D4F"/>
          <w:spacing w:val="2"/>
          <w:sz w:val="12"/>
        </w:rPr>
        <w:t xml:space="preserve">Conservation Act </w:t>
      </w:r>
      <w:r>
        <w:rPr>
          <w:color w:val="4D4D4F"/>
          <w:sz w:val="12"/>
        </w:rPr>
        <w:t xml:space="preserve">1999 (EPBC Act): Natural Temperate Grassland of the  Victorian  Volcanic  Plain.’  Threatened  Species  Scientific  Committee. </w:t>
      </w:r>
      <w:r>
        <w:rPr>
          <w:color w:val="4D4D4F"/>
          <w:spacing w:val="2"/>
          <w:sz w:val="12"/>
        </w:rPr>
        <w:t>Canberra,</w:t>
      </w:r>
      <w:r>
        <w:rPr>
          <w:color w:val="4D4D4F"/>
          <w:spacing w:val="4"/>
          <w:sz w:val="12"/>
        </w:rPr>
        <w:t xml:space="preserve"> </w:t>
      </w:r>
      <w:r>
        <w:rPr>
          <w:color w:val="4D4D4F"/>
          <w:sz w:val="12"/>
        </w:rPr>
        <w:t>ACT.</w:t>
      </w:r>
    </w:p>
    <w:p w14:paraId="1675A1C0" w14:textId="77777777" w:rsidR="00EF5B27" w:rsidRDefault="00000000">
      <w:pPr>
        <w:pStyle w:val="ListParagraph"/>
        <w:numPr>
          <w:ilvl w:val="0"/>
          <w:numId w:val="42"/>
        </w:numPr>
        <w:tabs>
          <w:tab w:val="left" w:pos="2836"/>
        </w:tabs>
        <w:spacing w:line="230" w:lineRule="auto"/>
        <w:ind w:right="111"/>
        <w:jc w:val="both"/>
        <w:rPr>
          <w:sz w:val="12"/>
        </w:rPr>
      </w:pPr>
      <w:r>
        <w:rPr>
          <w:color w:val="4D4D4F"/>
          <w:spacing w:val="2"/>
          <w:sz w:val="12"/>
        </w:rPr>
        <w:t xml:space="preserve">TSSC </w:t>
      </w:r>
      <w:r>
        <w:rPr>
          <w:color w:val="4D4D4F"/>
          <w:spacing w:val="3"/>
          <w:sz w:val="12"/>
        </w:rPr>
        <w:t xml:space="preserve">2008, </w:t>
      </w:r>
      <w:r>
        <w:rPr>
          <w:color w:val="4D4D4F"/>
          <w:sz w:val="12"/>
        </w:rPr>
        <w:t xml:space="preserve">‘Advice to the  Minister  for  the  Environment,  Heritage  and  the  </w:t>
      </w:r>
      <w:r>
        <w:rPr>
          <w:color w:val="4D4D4F"/>
          <w:spacing w:val="3"/>
          <w:sz w:val="12"/>
        </w:rPr>
        <w:t xml:space="preserve">Arts  </w:t>
      </w:r>
      <w:r>
        <w:rPr>
          <w:color w:val="4D4D4F"/>
          <w:sz w:val="12"/>
        </w:rPr>
        <w:t xml:space="preserve">from  the  Threatened  Species  Scientific  Committee  (the Committee) on Amendment to the list of Threatened Ecological Communities under the Environment Protection and Biodiversity </w:t>
      </w:r>
      <w:r>
        <w:rPr>
          <w:color w:val="4D4D4F"/>
          <w:spacing w:val="2"/>
          <w:sz w:val="12"/>
        </w:rPr>
        <w:t xml:space="preserve">Conservation Act </w:t>
      </w:r>
      <w:r>
        <w:rPr>
          <w:color w:val="4D4D4F"/>
          <w:sz w:val="12"/>
        </w:rPr>
        <w:t xml:space="preserve">1999 (EPBC Act): Natural Temperate Grassland of the  Victorian  Volcanic  Plain.’  Threatened  Species  Scientific  Committee. </w:t>
      </w:r>
      <w:r>
        <w:rPr>
          <w:color w:val="4D4D4F"/>
          <w:spacing w:val="2"/>
          <w:sz w:val="12"/>
        </w:rPr>
        <w:t>Canberra,</w:t>
      </w:r>
      <w:r>
        <w:rPr>
          <w:color w:val="4D4D4F"/>
          <w:spacing w:val="4"/>
          <w:sz w:val="12"/>
        </w:rPr>
        <w:t xml:space="preserve"> </w:t>
      </w:r>
      <w:r>
        <w:rPr>
          <w:color w:val="4D4D4F"/>
          <w:sz w:val="12"/>
        </w:rPr>
        <w:t>ACT.</w:t>
      </w:r>
    </w:p>
    <w:p w14:paraId="39CAF57A" w14:textId="77777777" w:rsidR="00EF5B27" w:rsidRDefault="00EF5B27">
      <w:pPr>
        <w:spacing w:line="230" w:lineRule="auto"/>
        <w:jc w:val="both"/>
        <w:rPr>
          <w:sz w:val="12"/>
        </w:rPr>
        <w:sectPr w:rsidR="00EF5B27">
          <w:pgSz w:w="11910" w:h="16840"/>
          <w:pgMar w:top="1080" w:right="1020" w:bottom="860" w:left="1020" w:header="537" w:footer="678" w:gutter="0"/>
          <w:cols w:space="720"/>
        </w:sectPr>
      </w:pPr>
    </w:p>
    <w:p w14:paraId="3A382209" w14:textId="77777777" w:rsidR="00EF5B27" w:rsidRDefault="00EF5B27">
      <w:pPr>
        <w:pStyle w:val="BodyText"/>
      </w:pPr>
    </w:p>
    <w:p w14:paraId="167E8F82" w14:textId="77777777" w:rsidR="00EF5B27" w:rsidRDefault="00EF5B27">
      <w:pPr>
        <w:pStyle w:val="BodyText"/>
      </w:pPr>
    </w:p>
    <w:p w14:paraId="105438B5" w14:textId="77777777" w:rsidR="00EF5B27" w:rsidRDefault="00EF5B27">
      <w:pPr>
        <w:pStyle w:val="BodyText"/>
      </w:pPr>
    </w:p>
    <w:p w14:paraId="0A10405D" w14:textId="77777777" w:rsidR="00EF5B27" w:rsidRDefault="00EF5B27">
      <w:pPr>
        <w:pStyle w:val="BodyText"/>
        <w:spacing w:before="12"/>
        <w:rPr>
          <w:sz w:val="22"/>
        </w:rPr>
      </w:pPr>
    </w:p>
    <w:p w14:paraId="2C81E3A3" w14:textId="77777777" w:rsidR="00EF5B27" w:rsidRDefault="00000000">
      <w:pPr>
        <w:pStyle w:val="Heading3"/>
        <w:spacing w:before="115"/>
      </w:pPr>
      <w:r>
        <w:rPr>
          <w:color w:val="F99F2A"/>
        </w:rPr>
        <w:t>DELWP’s conservation commitments</w:t>
      </w:r>
    </w:p>
    <w:p w14:paraId="0E06B25E" w14:textId="77777777" w:rsidR="00EF5B27" w:rsidRDefault="00000000">
      <w:pPr>
        <w:pStyle w:val="BodyText"/>
        <w:spacing w:before="221" w:line="254" w:lineRule="auto"/>
        <w:ind w:left="2608"/>
      </w:pPr>
      <w:r>
        <w:rPr>
          <w:color w:val="4D4D4F"/>
        </w:rPr>
        <w:t>DELWP published the following statements as conservation outcomes for the Grassy Eucalypt Woodland by notice in the Victorian Government Gazette:</w:t>
      </w:r>
    </w:p>
    <w:p w14:paraId="31F584EF" w14:textId="77777777" w:rsidR="00EF5B27" w:rsidRDefault="00000000">
      <w:pPr>
        <w:pStyle w:val="BodyText"/>
        <w:spacing w:before="6"/>
        <w:rPr>
          <w:sz w:val="28"/>
        </w:rPr>
      </w:pPr>
      <w:r>
        <w:pict w14:anchorId="32334DE4">
          <v:shape id="_x0000_s3389" type="#_x0000_t202" style="position:absolute;margin-left:181.65pt;margin-top:19.6pt;width:356.7pt;height:144.65pt;z-index:251521536;mso-wrap-distance-left:0;mso-wrap-distance-right:0;mso-position-horizontal-relative:page" filled="f" strokecolor="#4d4d4f" strokeweight=".5pt">
            <v:textbox inset="0,0,0,0">
              <w:txbxContent>
                <w:p w14:paraId="03AD6D4F" w14:textId="77777777" w:rsidR="00EF5B27" w:rsidRDefault="00000000">
                  <w:pPr>
                    <w:spacing w:before="192" w:line="254" w:lineRule="auto"/>
                    <w:ind w:left="275" w:right="290" w:hanging="49"/>
                    <w:rPr>
                      <w:b/>
                      <w:i/>
                      <w:sz w:val="20"/>
                    </w:rPr>
                  </w:pPr>
                  <w:r>
                    <w:rPr>
                      <w:b/>
                      <w:i/>
                      <w:color w:val="4D4D4F"/>
                      <w:sz w:val="20"/>
                    </w:rPr>
                    <w:t>‘The creation of the 1,200 ha Grassy Eucalypt Woodland Protected Area outside the UGB, south-west of Whittlesea, protecting Grassy Eucalypt Woodland.’</w:t>
                  </w:r>
                </w:p>
                <w:p w14:paraId="2F472606" w14:textId="77777777" w:rsidR="00EF5B27" w:rsidRDefault="00000000">
                  <w:pPr>
                    <w:spacing w:before="116"/>
                    <w:ind w:left="226"/>
                    <w:rPr>
                      <w:b/>
                      <w:i/>
                      <w:sz w:val="20"/>
                    </w:rPr>
                  </w:pPr>
                  <w:r>
                    <w:rPr>
                      <w:b/>
                      <w:i/>
                      <w:color w:val="4D4D4F"/>
                      <w:sz w:val="20"/>
                    </w:rPr>
                    <w:t>‘The permanent protection of 341 ha of Grassy Eucalypt Woodland:</w:t>
                  </w:r>
                </w:p>
                <w:p w14:paraId="578A821B" w14:textId="77777777" w:rsidR="00EF5B27" w:rsidRDefault="00000000">
                  <w:pPr>
                    <w:numPr>
                      <w:ilvl w:val="0"/>
                      <w:numId w:val="41"/>
                    </w:numPr>
                    <w:tabs>
                      <w:tab w:val="left" w:pos="397"/>
                    </w:tabs>
                    <w:spacing w:before="129"/>
                    <w:rPr>
                      <w:b/>
                      <w:i/>
                      <w:sz w:val="20"/>
                    </w:rPr>
                  </w:pPr>
                  <w:r>
                    <w:rPr>
                      <w:b/>
                      <w:i/>
                      <w:color w:val="4D4D4F"/>
                      <w:spacing w:val="-3"/>
                      <w:sz w:val="20"/>
                    </w:rPr>
                    <w:t xml:space="preserve">in </w:t>
                  </w:r>
                  <w:r>
                    <w:rPr>
                      <w:b/>
                      <w:i/>
                      <w:color w:val="4D4D4F"/>
                      <w:spacing w:val="-6"/>
                      <w:sz w:val="20"/>
                    </w:rPr>
                    <w:t xml:space="preserve">conservation </w:t>
                  </w:r>
                  <w:r>
                    <w:rPr>
                      <w:b/>
                      <w:i/>
                      <w:color w:val="4D4D4F"/>
                      <w:spacing w:val="-5"/>
                      <w:sz w:val="20"/>
                    </w:rPr>
                    <w:t xml:space="preserve">areas identified </w:t>
                  </w:r>
                  <w:r>
                    <w:rPr>
                      <w:b/>
                      <w:i/>
                      <w:color w:val="4D4D4F"/>
                      <w:spacing w:val="-3"/>
                      <w:sz w:val="20"/>
                    </w:rPr>
                    <w:t xml:space="preserve">in </w:t>
                  </w:r>
                  <w:r>
                    <w:rPr>
                      <w:b/>
                      <w:i/>
                      <w:color w:val="4D4D4F"/>
                      <w:spacing w:val="-4"/>
                      <w:sz w:val="20"/>
                    </w:rPr>
                    <w:t xml:space="preserve">the BCS and the </w:t>
                  </w:r>
                  <w:r>
                    <w:rPr>
                      <w:b/>
                      <w:i/>
                      <w:color w:val="4D4D4F"/>
                      <w:spacing w:val="-6"/>
                      <w:sz w:val="20"/>
                    </w:rPr>
                    <w:t xml:space="preserve">Conservation </w:t>
                  </w:r>
                  <w:r>
                    <w:rPr>
                      <w:b/>
                      <w:i/>
                      <w:color w:val="4D4D4F"/>
                      <w:spacing w:val="-5"/>
                      <w:sz w:val="20"/>
                    </w:rPr>
                    <w:t>Areas</w:t>
                  </w:r>
                  <w:r>
                    <w:rPr>
                      <w:b/>
                      <w:i/>
                      <w:color w:val="4D4D4F"/>
                      <w:spacing w:val="20"/>
                      <w:sz w:val="20"/>
                    </w:rPr>
                    <w:t xml:space="preserve"> </w:t>
                  </w:r>
                  <w:r>
                    <w:rPr>
                      <w:b/>
                      <w:i/>
                      <w:color w:val="4D4D4F"/>
                      <w:spacing w:val="-6"/>
                      <w:sz w:val="20"/>
                    </w:rPr>
                    <w:t>Declaration</w:t>
                  </w:r>
                </w:p>
                <w:p w14:paraId="77AE1C0C" w14:textId="77777777" w:rsidR="00EF5B27" w:rsidRDefault="00000000">
                  <w:pPr>
                    <w:numPr>
                      <w:ilvl w:val="0"/>
                      <w:numId w:val="41"/>
                    </w:numPr>
                    <w:tabs>
                      <w:tab w:val="left" w:pos="397"/>
                    </w:tabs>
                    <w:spacing w:before="129" w:line="254" w:lineRule="auto"/>
                    <w:ind w:right="288"/>
                    <w:rPr>
                      <w:b/>
                      <w:i/>
                      <w:sz w:val="20"/>
                    </w:rPr>
                  </w:pPr>
                  <w:r>
                    <w:rPr>
                      <w:b/>
                      <w:i/>
                      <w:color w:val="4D4D4F"/>
                      <w:sz w:val="20"/>
                    </w:rPr>
                    <w:t>on land secured as part of the Grassy Eucalypt Woodland Protected Area that is in addition to the 1,200</w:t>
                  </w:r>
                  <w:r>
                    <w:rPr>
                      <w:b/>
                      <w:i/>
                      <w:color w:val="4D4D4F"/>
                      <w:spacing w:val="21"/>
                      <w:sz w:val="20"/>
                    </w:rPr>
                    <w:t xml:space="preserve"> </w:t>
                  </w:r>
                  <w:r>
                    <w:rPr>
                      <w:b/>
                      <w:i/>
                      <w:color w:val="4D4D4F"/>
                      <w:spacing w:val="-4"/>
                      <w:sz w:val="20"/>
                    </w:rPr>
                    <w:t>ha.’</w:t>
                  </w:r>
                </w:p>
                <w:p w14:paraId="6D76FB2F" w14:textId="77777777" w:rsidR="00EF5B27" w:rsidRDefault="00000000">
                  <w:pPr>
                    <w:spacing w:before="116" w:line="254" w:lineRule="auto"/>
                    <w:ind w:left="331" w:right="74" w:hanging="105"/>
                    <w:rPr>
                      <w:b/>
                      <w:i/>
                      <w:sz w:val="20"/>
                    </w:rPr>
                  </w:pPr>
                  <w:r>
                    <w:rPr>
                      <w:b/>
                      <w:i/>
                      <w:color w:val="4D4D4F"/>
                      <w:sz w:val="20"/>
                    </w:rPr>
                    <w:t>‘Improved composition, structure, quality, and ecological function of protected Grassy Eucalypt Woodland.’</w:t>
                  </w:r>
                </w:p>
              </w:txbxContent>
            </v:textbox>
            <w10:wrap type="topAndBottom" anchorx="page"/>
          </v:shape>
        </w:pict>
      </w:r>
    </w:p>
    <w:p w14:paraId="32F994EC" w14:textId="77777777" w:rsidR="00EF5B27" w:rsidRDefault="00EF5B27">
      <w:pPr>
        <w:pStyle w:val="BodyText"/>
        <w:spacing w:before="8"/>
        <w:rPr>
          <w:sz w:val="23"/>
        </w:rPr>
      </w:pPr>
    </w:p>
    <w:p w14:paraId="2BD3023E" w14:textId="77777777" w:rsidR="00EF5B27" w:rsidRDefault="00EF5B27">
      <w:pPr>
        <w:rPr>
          <w:sz w:val="23"/>
        </w:rPr>
        <w:sectPr w:rsidR="00EF5B27">
          <w:pgSz w:w="11910" w:h="16840"/>
          <w:pgMar w:top="1080" w:right="1020" w:bottom="860" w:left="1020" w:header="537" w:footer="678" w:gutter="0"/>
          <w:cols w:space="720"/>
        </w:sectPr>
      </w:pPr>
    </w:p>
    <w:p w14:paraId="5909DC90" w14:textId="77777777" w:rsidR="00EF5B27" w:rsidRDefault="00000000">
      <w:pPr>
        <w:pStyle w:val="BodyText"/>
      </w:pPr>
      <w:r>
        <w:pict w14:anchorId="753FE3D0">
          <v:group id="_x0000_s3381" style="position:absolute;margin-left:587.05pt;margin-top:183.4pt;width:8.25pt;height:153.1pt;z-index:251585024;mso-position-horizontal-relative:page;mso-position-vertical-relative:page" coordorigin="11741,3668" coordsize="165,3062">
            <v:shape id="_x0000_s3388" style="position:absolute;left:11741;top:3668;width:165;height:561" coordorigin="11741,3668" coordsize="165,561" path="m11906,3668r-165,l11741,4228r165,-18l11906,3668xe" fillcolor="#00aed9" stroked="f">
              <v:path arrowok="t"/>
            </v:shape>
            <v:shape id="_x0000_s3387" style="position:absolute;left:11741;top:4118;width:165;height:425" coordorigin="11741,4118" coordsize="165,425" path="m11906,4118r-165,14l11741,4531r165,12l11906,4118xe" fillcolor="#047ebc" stroked="f">
              <v:path arrowok="t"/>
            </v:shape>
            <v:shape id="_x0000_s3386" type="#_x0000_t75" style="position:absolute;left:11741;top:4355;width:165;height:587">
              <v:imagedata r:id="rId42" o:title=""/>
            </v:shape>
            <v:shape id="_x0000_s3385" style="position:absolute;left:11741;top:5343;width:165;height:536" coordorigin="11741,5343" coordsize="165,536" path="m11741,5343r,535l11906,5872r,-525l11741,5343xe" fillcolor="#f36a2e" stroked="f">
              <v:path arrowok="t"/>
            </v:shape>
            <v:shape id="_x0000_s3384" style="position:absolute;left:11741;top:4925;width:165;height:501" coordorigin="11741,4926" coordsize="165,501" path="m11741,4926r,500l11906,5426r,-485l11741,4926xe" fillcolor="#49783f" stroked="f">
              <v:path arrowok="t"/>
            </v:shape>
            <v:shape id="_x0000_s3383" style="position:absolute;left:11741;top:5781;width:165;height:268" coordorigin="11741,5782" coordsize="165,268" path="m11906,5782r-165,8l11741,6039r165,10l11906,5782xe" fillcolor="#f99f2a" stroked="f">
              <v:path arrowok="t"/>
            </v:shape>
            <v:shape id="_x0000_s3382" style="position:absolute;left:11741;top:6023;width:165;height:707" coordorigin="11741,6023" coordsize="165,707" path="m11741,6023r,706l11906,6729r,-690l11741,6023xe" fillcolor="#ef412c" stroked="f">
              <v:path arrowok="t"/>
            </v:shape>
            <w10:wrap anchorx="page" anchory="page"/>
          </v:group>
        </w:pict>
      </w:r>
    </w:p>
    <w:p w14:paraId="6A5F6A8F" w14:textId="77777777" w:rsidR="00EF5B27" w:rsidRDefault="00EF5B27">
      <w:pPr>
        <w:pStyle w:val="BodyText"/>
      </w:pPr>
    </w:p>
    <w:p w14:paraId="6987DF84" w14:textId="77777777" w:rsidR="00EF5B27" w:rsidRDefault="00EF5B27">
      <w:pPr>
        <w:pStyle w:val="BodyText"/>
      </w:pPr>
    </w:p>
    <w:p w14:paraId="1C96B68D" w14:textId="77777777" w:rsidR="00EF5B27" w:rsidRDefault="00EF5B27">
      <w:pPr>
        <w:pStyle w:val="BodyText"/>
      </w:pPr>
    </w:p>
    <w:p w14:paraId="5CE612C4" w14:textId="77777777" w:rsidR="00EF5B27" w:rsidRDefault="00EF5B27">
      <w:pPr>
        <w:pStyle w:val="BodyText"/>
      </w:pPr>
    </w:p>
    <w:p w14:paraId="016AD75A" w14:textId="77777777" w:rsidR="00EF5B27" w:rsidRDefault="00EF5B27">
      <w:pPr>
        <w:pStyle w:val="BodyText"/>
      </w:pPr>
    </w:p>
    <w:p w14:paraId="7AD44B9E" w14:textId="77777777" w:rsidR="00EF5B27" w:rsidRDefault="00EF5B27">
      <w:pPr>
        <w:pStyle w:val="BodyText"/>
      </w:pPr>
    </w:p>
    <w:p w14:paraId="3D65E7E2" w14:textId="77777777" w:rsidR="00EF5B27" w:rsidRDefault="00EF5B27">
      <w:pPr>
        <w:pStyle w:val="BodyText"/>
      </w:pPr>
    </w:p>
    <w:p w14:paraId="097D954F" w14:textId="77777777" w:rsidR="00EF5B27" w:rsidRDefault="00EF5B27">
      <w:pPr>
        <w:pStyle w:val="BodyText"/>
      </w:pPr>
    </w:p>
    <w:p w14:paraId="31D5A0C3" w14:textId="77777777" w:rsidR="00EF5B27" w:rsidRDefault="00EF5B27">
      <w:pPr>
        <w:pStyle w:val="BodyText"/>
      </w:pPr>
    </w:p>
    <w:p w14:paraId="6B8520FE" w14:textId="77777777" w:rsidR="00EF5B27" w:rsidRDefault="00EF5B27">
      <w:pPr>
        <w:pStyle w:val="BodyText"/>
      </w:pPr>
    </w:p>
    <w:p w14:paraId="6D4FAD67" w14:textId="77777777" w:rsidR="00EF5B27" w:rsidRDefault="00EF5B27">
      <w:pPr>
        <w:pStyle w:val="BodyText"/>
      </w:pPr>
    </w:p>
    <w:p w14:paraId="24BC2F72" w14:textId="77777777" w:rsidR="00EF5B27" w:rsidRDefault="00EF5B27">
      <w:pPr>
        <w:pStyle w:val="BodyText"/>
      </w:pPr>
    </w:p>
    <w:p w14:paraId="6274F8F6" w14:textId="77777777" w:rsidR="00EF5B27" w:rsidRDefault="00EF5B27">
      <w:pPr>
        <w:pStyle w:val="BodyText"/>
      </w:pPr>
    </w:p>
    <w:p w14:paraId="3C7FD952" w14:textId="77777777" w:rsidR="00EF5B27" w:rsidRDefault="00EF5B27">
      <w:pPr>
        <w:pStyle w:val="BodyText"/>
      </w:pPr>
    </w:p>
    <w:p w14:paraId="0FC10478" w14:textId="77777777" w:rsidR="00EF5B27" w:rsidRDefault="00EF5B27">
      <w:pPr>
        <w:pStyle w:val="BodyText"/>
      </w:pPr>
    </w:p>
    <w:p w14:paraId="7AD535B9" w14:textId="77777777" w:rsidR="00EF5B27" w:rsidRDefault="00EF5B27">
      <w:pPr>
        <w:pStyle w:val="BodyText"/>
      </w:pPr>
    </w:p>
    <w:p w14:paraId="607AFB02" w14:textId="77777777" w:rsidR="00EF5B27" w:rsidRDefault="00EF5B27">
      <w:pPr>
        <w:pStyle w:val="BodyText"/>
      </w:pPr>
    </w:p>
    <w:p w14:paraId="68FC5EDB" w14:textId="77777777" w:rsidR="00EF5B27" w:rsidRDefault="00EF5B27">
      <w:pPr>
        <w:pStyle w:val="BodyText"/>
      </w:pPr>
    </w:p>
    <w:p w14:paraId="34CFDD50" w14:textId="77777777" w:rsidR="00EF5B27" w:rsidRDefault="00EF5B27">
      <w:pPr>
        <w:pStyle w:val="BodyText"/>
      </w:pPr>
    </w:p>
    <w:p w14:paraId="256A132A" w14:textId="77777777" w:rsidR="00EF5B27" w:rsidRDefault="00EF5B27">
      <w:pPr>
        <w:pStyle w:val="BodyText"/>
      </w:pPr>
    </w:p>
    <w:p w14:paraId="716E0893" w14:textId="77777777" w:rsidR="00EF5B27" w:rsidRDefault="00EF5B27">
      <w:pPr>
        <w:pStyle w:val="BodyText"/>
      </w:pPr>
    </w:p>
    <w:p w14:paraId="254BD2D6" w14:textId="77777777" w:rsidR="00EF5B27" w:rsidRDefault="00EF5B27">
      <w:pPr>
        <w:pStyle w:val="BodyText"/>
      </w:pPr>
    </w:p>
    <w:p w14:paraId="68E410B7" w14:textId="77777777" w:rsidR="00EF5B27" w:rsidRDefault="00EF5B27">
      <w:pPr>
        <w:pStyle w:val="BodyText"/>
      </w:pPr>
    </w:p>
    <w:p w14:paraId="1062266F" w14:textId="77777777" w:rsidR="00EF5B27" w:rsidRDefault="00EF5B27">
      <w:pPr>
        <w:pStyle w:val="BodyText"/>
      </w:pPr>
    </w:p>
    <w:p w14:paraId="20691DA8" w14:textId="77777777" w:rsidR="00EF5B27" w:rsidRDefault="00EF5B27">
      <w:pPr>
        <w:pStyle w:val="BodyText"/>
      </w:pPr>
    </w:p>
    <w:p w14:paraId="7BA38BBF" w14:textId="77777777" w:rsidR="00EF5B27" w:rsidRDefault="00EF5B27">
      <w:pPr>
        <w:pStyle w:val="BodyText"/>
      </w:pPr>
    </w:p>
    <w:p w14:paraId="4C3516CC" w14:textId="77777777" w:rsidR="00EF5B27" w:rsidRDefault="00EF5B27">
      <w:pPr>
        <w:pStyle w:val="BodyText"/>
      </w:pPr>
    </w:p>
    <w:p w14:paraId="2BB8660E" w14:textId="77777777" w:rsidR="00EF5B27" w:rsidRDefault="00EF5B27">
      <w:pPr>
        <w:pStyle w:val="BodyText"/>
      </w:pPr>
    </w:p>
    <w:p w14:paraId="5C2FE7AC" w14:textId="77777777" w:rsidR="00EF5B27" w:rsidRDefault="00EF5B27">
      <w:pPr>
        <w:pStyle w:val="BodyText"/>
      </w:pPr>
    </w:p>
    <w:p w14:paraId="34D7A15A" w14:textId="77777777" w:rsidR="00EF5B27" w:rsidRDefault="00EF5B27">
      <w:pPr>
        <w:pStyle w:val="BodyText"/>
      </w:pPr>
    </w:p>
    <w:p w14:paraId="4F55DACD" w14:textId="77777777" w:rsidR="00EF5B27" w:rsidRDefault="00EF5B27">
      <w:pPr>
        <w:pStyle w:val="BodyText"/>
        <w:spacing w:before="4"/>
        <w:rPr>
          <w:sz w:val="12"/>
        </w:rPr>
      </w:pPr>
    </w:p>
    <w:p w14:paraId="2BB7D3E6" w14:textId="77777777" w:rsidR="00EF5B27" w:rsidRDefault="00000000">
      <w:pPr>
        <w:pStyle w:val="BodyText"/>
        <w:spacing w:line="20" w:lineRule="exact"/>
        <w:ind w:left="108" w:right="-216"/>
        <w:rPr>
          <w:sz w:val="2"/>
        </w:rPr>
      </w:pPr>
      <w:r>
        <w:rPr>
          <w:sz w:val="2"/>
        </w:rPr>
      </w:r>
      <w:r>
        <w:rPr>
          <w:sz w:val="2"/>
        </w:rPr>
        <w:pict w14:anchorId="200A42EF">
          <v:group id="_x0000_s3379" style="width:107.75pt;height:.5pt;mso-position-horizontal-relative:char;mso-position-vertical-relative:line" coordsize="2155,10">
            <v:line id="_x0000_s3380" style="position:absolute" from="0,5" to="2154,5" strokecolor="#4d4d4f" strokeweight=".5pt"/>
            <w10:anchorlock/>
          </v:group>
        </w:pict>
      </w:r>
    </w:p>
    <w:p w14:paraId="4648E7D6" w14:textId="77777777" w:rsidR="00EF5B27" w:rsidRDefault="00000000">
      <w:pPr>
        <w:pStyle w:val="ListParagraph"/>
        <w:numPr>
          <w:ilvl w:val="0"/>
          <w:numId w:val="42"/>
        </w:numPr>
        <w:tabs>
          <w:tab w:val="left" w:pos="341"/>
        </w:tabs>
        <w:spacing w:before="107" w:line="230" w:lineRule="auto"/>
        <w:ind w:left="340" w:right="38"/>
        <w:jc w:val="left"/>
        <w:rPr>
          <w:sz w:val="12"/>
        </w:rPr>
      </w:pPr>
      <w:r>
        <w:rPr>
          <w:color w:val="4D4D4F"/>
          <w:sz w:val="12"/>
        </w:rPr>
        <w:t>DELWP 2015, ‘Monitoring and Reporting  Framework  – Melbourne Strategic Assessment’, East Melbourne,</w:t>
      </w:r>
      <w:r>
        <w:rPr>
          <w:color w:val="4D4D4F"/>
          <w:spacing w:val="7"/>
          <w:sz w:val="12"/>
        </w:rPr>
        <w:t xml:space="preserve"> </w:t>
      </w:r>
      <w:r>
        <w:rPr>
          <w:color w:val="4D4D4F"/>
          <w:sz w:val="12"/>
        </w:rPr>
        <w:t>Victoria.</w:t>
      </w:r>
    </w:p>
    <w:p w14:paraId="75F2C8F1" w14:textId="77777777" w:rsidR="00EF5B27" w:rsidRDefault="00000000">
      <w:pPr>
        <w:pStyle w:val="BodyText"/>
        <w:spacing w:before="101" w:line="254" w:lineRule="auto"/>
        <w:ind w:left="114" w:right="561"/>
        <w:rPr>
          <w:sz w:val="11"/>
        </w:rPr>
      </w:pPr>
      <w:r>
        <w:br w:type="column"/>
      </w:r>
      <w:r>
        <w:rPr>
          <w:color w:val="4D4D4F"/>
        </w:rPr>
        <w:t>DELWP’s MSA MRF also summarises the conservation outcomes for the Grassy Eucalypt Woodland as a single goal statement: ‘the composition, structure and function of Grassy Eucalypt Woodland of the Victorian Volcanic Plain improves in all areas where it is protected’.</w:t>
      </w:r>
      <w:r>
        <w:rPr>
          <w:color w:val="4D4D4F"/>
          <w:position w:val="7"/>
          <w:sz w:val="11"/>
        </w:rPr>
        <w:t>149</w:t>
      </w:r>
    </w:p>
    <w:p w14:paraId="7E13BB56" w14:textId="77777777" w:rsidR="00EF5B27" w:rsidRDefault="00EF5B27">
      <w:pPr>
        <w:pStyle w:val="BodyText"/>
        <w:spacing w:before="3"/>
        <w:rPr>
          <w:sz w:val="19"/>
        </w:rPr>
      </w:pPr>
    </w:p>
    <w:p w14:paraId="5606C0C3" w14:textId="77777777" w:rsidR="00EF5B27" w:rsidRDefault="00000000">
      <w:pPr>
        <w:pStyle w:val="Heading3"/>
        <w:ind w:left="114"/>
      </w:pPr>
      <w:r>
        <w:rPr>
          <w:color w:val="F99F2A"/>
          <w:w w:val="110"/>
        </w:rPr>
        <w:t>KPIs assessed</w:t>
      </w:r>
    </w:p>
    <w:p w14:paraId="5C1DCFAE" w14:textId="77777777" w:rsidR="00EF5B27" w:rsidRDefault="00000000">
      <w:pPr>
        <w:pStyle w:val="BodyText"/>
        <w:spacing w:before="222"/>
        <w:ind w:left="114"/>
      </w:pPr>
      <w:r>
        <w:rPr>
          <w:color w:val="4D4D4F"/>
          <w:w w:val="105"/>
        </w:rPr>
        <w:t>Progress towards this goal is measured using seven KPIs:</w:t>
      </w:r>
    </w:p>
    <w:p w14:paraId="7EB5340D" w14:textId="77777777" w:rsidR="00EF5B27" w:rsidRDefault="00000000">
      <w:pPr>
        <w:pStyle w:val="ListParagraph"/>
        <w:numPr>
          <w:ilvl w:val="0"/>
          <w:numId w:val="40"/>
        </w:numPr>
        <w:tabs>
          <w:tab w:val="left" w:pos="285"/>
        </w:tabs>
        <w:spacing w:before="129" w:line="254" w:lineRule="auto"/>
        <w:ind w:right="511"/>
        <w:rPr>
          <w:sz w:val="20"/>
        </w:rPr>
      </w:pPr>
      <w:r>
        <w:rPr>
          <w:color w:val="4D4D4F"/>
          <w:sz w:val="20"/>
        </w:rPr>
        <w:t xml:space="preserve">The area </w:t>
      </w:r>
      <w:r>
        <w:rPr>
          <w:color w:val="4D4D4F"/>
          <w:spacing w:val="-4"/>
          <w:sz w:val="20"/>
        </w:rPr>
        <w:t xml:space="preserve">(ha) </w:t>
      </w:r>
      <w:r>
        <w:rPr>
          <w:color w:val="4D4D4F"/>
          <w:sz w:val="20"/>
        </w:rPr>
        <w:t xml:space="preserve">making an unfavourable transition between states must be zero – defined by a state-and-transition model </w:t>
      </w:r>
      <w:r>
        <w:rPr>
          <w:color w:val="4D4D4F"/>
          <w:spacing w:val="-3"/>
          <w:sz w:val="20"/>
        </w:rPr>
        <w:t xml:space="preserve">(STM), </w:t>
      </w:r>
      <w:r>
        <w:rPr>
          <w:color w:val="4D4D4F"/>
          <w:sz w:val="20"/>
        </w:rPr>
        <w:t>currently</w:t>
      </w:r>
      <w:r>
        <w:rPr>
          <w:color w:val="4D4D4F"/>
          <w:spacing w:val="27"/>
          <w:sz w:val="20"/>
        </w:rPr>
        <w:t xml:space="preserve"> </w:t>
      </w:r>
      <w:r>
        <w:rPr>
          <w:color w:val="4D4D4F"/>
          <w:sz w:val="20"/>
        </w:rPr>
        <w:t>unpublished.</w:t>
      </w:r>
    </w:p>
    <w:p w14:paraId="089AE1DE" w14:textId="77777777" w:rsidR="00EF5B27" w:rsidRDefault="00000000">
      <w:pPr>
        <w:pStyle w:val="ListParagraph"/>
        <w:numPr>
          <w:ilvl w:val="0"/>
          <w:numId w:val="40"/>
        </w:numPr>
        <w:tabs>
          <w:tab w:val="left" w:pos="285"/>
        </w:tabs>
        <w:spacing w:before="116" w:line="254" w:lineRule="auto"/>
        <w:ind w:right="327"/>
        <w:jc w:val="both"/>
        <w:rPr>
          <w:sz w:val="20"/>
        </w:rPr>
      </w:pPr>
      <w:r>
        <w:rPr>
          <w:color w:val="4D4D4F"/>
          <w:sz w:val="20"/>
        </w:rPr>
        <w:t>The cover of native perennial forbs must remain above a baseline. The baseline is different for each state. It is defined by the cover observed in the first five years of monitoring for each state and fixed at a new elevated level if</w:t>
      </w:r>
      <w:r>
        <w:rPr>
          <w:color w:val="4D4D4F"/>
          <w:spacing w:val="25"/>
          <w:sz w:val="20"/>
        </w:rPr>
        <w:t xml:space="preserve"> </w:t>
      </w:r>
      <w:r>
        <w:rPr>
          <w:color w:val="4D4D4F"/>
          <w:sz w:val="20"/>
        </w:rPr>
        <w:t>exceeded.</w:t>
      </w:r>
    </w:p>
    <w:p w14:paraId="38D7C0F7" w14:textId="77777777" w:rsidR="00EF5B27" w:rsidRDefault="00000000">
      <w:pPr>
        <w:pStyle w:val="ListParagraph"/>
        <w:numPr>
          <w:ilvl w:val="0"/>
          <w:numId w:val="40"/>
        </w:numPr>
        <w:tabs>
          <w:tab w:val="left" w:pos="285"/>
        </w:tabs>
        <w:spacing w:before="117" w:line="254" w:lineRule="auto"/>
        <w:ind w:right="290"/>
        <w:rPr>
          <w:sz w:val="20"/>
        </w:rPr>
      </w:pPr>
      <w:r>
        <w:rPr>
          <w:color w:val="4D4D4F"/>
          <w:sz w:val="20"/>
        </w:rPr>
        <w:t>The richness of native perennial forbs must remain above a baseline. The baseline is different for each state. It is defined by the richness observed in the first five years of monitoring for each state and fixed at a new elevated level if</w:t>
      </w:r>
      <w:r>
        <w:rPr>
          <w:color w:val="4D4D4F"/>
          <w:spacing w:val="23"/>
          <w:sz w:val="20"/>
        </w:rPr>
        <w:t xml:space="preserve"> </w:t>
      </w:r>
      <w:r>
        <w:rPr>
          <w:color w:val="4D4D4F"/>
          <w:sz w:val="20"/>
        </w:rPr>
        <w:t>exceeded.</w:t>
      </w:r>
    </w:p>
    <w:p w14:paraId="481289DD" w14:textId="77777777" w:rsidR="00EF5B27" w:rsidRDefault="00000000">
      <w:pPr>
        <w:pStyle w:val="ListParagraph"/>
        <w:numPr>
          <w:ilvl w:val="0"/>
          <w:numId w:val="40"/>
        </w:numPr>
        <w:tabs>
          <w:tab w:val="left" w:pos="285"/>
        </w:tabs>
        <w:spacing w:before="117" w:line="254" w:lineRule="auto"/>
        <w:ind w:left="283" w:right="288" w:hanging="169"/>
        <w:rPr>
          <w:sz w:val="20"/>
        </w:rPr>
      </w:pPr>
      <w:r>
        <w:rPr>
          <w:color w:val="4D4D4F"/>
          <w:sz w:val="20"/>
        </w:rPr>
        <w:t xml:space="preserve">The cover of ‘target grass species’ (Kangaroo Grass </w:t>
      </w:r>
      <w:r>
        <w:rPr>
          <w:color w:val="4D4D4F"/>
          <w:spacing w:val="-3"/>
          <w:sz w:val="20"/>
        </w:rPr>
        <w:t>(</w:t>
      </w:r>
      <w:r>
        <w:rPr>
          <w:rFonts w:ascii="Arial Narrow" w:hAnsi="Arial Narrow"/>
          <w:i/>
          <w:color w:val="4D4D4F"/>
          <w:spacing w:val="-3"/>
          <w:sz w:val="20"/>
        </w:rPr>
        <w:t>Themeda triandra</w:t>
      </w:r>
      <w:r>
        <w:rPr>
          <w:color w:val="4D4D4F"/>
          <w:spacing w:val="-3"/>
          <w:sz w:val="20"/>
        </w:rPr>
        <w:t xml:space="preserve">), </w:t>
      </w:r>
      <w:r>
        <w:rPr>
          <w:color w:val="4D4D4F"/>
          <w:sz w:val="20"/>
        </w:rPr>
        <w:t xml:space="preserve">Common </w:t>
      </w:r>
      <w:r>
        <w:rPr>
          <w:color w:val="4D4D4F"/>
          <w:spacing w:val="-4"/>
          <w:sz w:val="20"/>
        </w:rPr>
        <w:t xml:space="preserve">Tussock </w:t>
      </w:r>
      <w:r>
        <w:rPr>
          <w:color w:val="4D4D4F"/>
          <w:sz w:val="20"/>
        </w:rPr>
        <w:t xml:space="preserve">Grass </w:t>
      </w:r>
      <w:r>
        <w:rPr>
          <w:color w:val="4D4D4F"/>
          <w:spacing w:val="-4"/>
          <w:sz w:val="20"/>
        </w:rPr>
        <w:t>(</w:t>
      </w:r>
      <w:r>
        <w:rPr>
          <w:rFonts w:ascii="Arial Narrow" w:hAnsi="Arial Narrow"/>
          <w:i/>
          <w:color w:val="4D4D4F"/>
          <w:spacing w:val="-4"/>
          <w:sz w:val="20"/>
        </w:rPr>
        <w:t>Poa labillardierei</w:t>
      </w:r>
      <w:r>
        <w:rPr>
          <w:color w:val="4D4D4F"/>
          <w:spacing w:val="-4"/>
          <w:sz w:val="20"/>
        </w:rPr>
        <w:t xml:space="preserve">) </w:t>
      </w:r>
      <w:r>
        <w:rPr>
          <w:color w:val="4D4D4F"/>
          <w:spacing w:val="-5"/>
          <w:sz w:val="20"/>
        </w:rPr>
        <w:t xml:space="preserve">and/or </w:t>
      </w:r>
      <w:r>
        <w:rPr>
          <w:color w:val="4D4D4F"/>
          <w:sz w:val="20"/>
        </w:rPr>
        <w:t xml:space="preserve">Soft Spear-grass </w:t>
      </w:r>
      <w:r>
        <w:rPr>
          <w:color w:val="4D4D4F"/>
          <w:spacing w:val="-5"/>
          <w:sz w:val="20"/>
        </w:rPr>
        <w:t>(</w:t>
      </w:r>
      <w:r>
        <w:rPr>
          <w:rFonts w:ascii="Arial Narrow" w:hAnsi="Arial Narrow"/>
          <w:i/>
          <w:color w:val="4D4D4F"/>
          <w:spacing w:val="-5"/>
          <w:sz w:val="20"/>
        </w:rPr>
        <w:t>Austrostipa mollis</w:t>
      </w:r>
      <w:r>
        <w:rPr>
          <w:color w:val="4D4D4F"/>
          <w:spacing w:val="-5"/>
          <w:sz w:val="20"/>
        </w:rPr>
        <w:t xml:space="preserve">))  </w:t>
      </w:r>
      <w:r>
        <w:rPr>
          <w:color w:val="4D4D4F"/>
          <w:spacing w:val="-3"/>
          <w:sz w:val="20"/>
        </w:rPr>
        <w:t xml:space="preserve">must </w:t>
      </w:r>
      <w:r>
        <w:rPr>
          <w:color w:val="4D4D4F"/>
          <w:sz w:val="20"/>
        </w:rPr>
        <w:t xml:space="preserve">remain above a baseline. The baseline is different for each state. It is defined by the first five years of monitoring for each state and fixed at a new elevated level if it is exceeded, until it reaches </w:t>
      </w:r>
      <w:r>
        <w:rPr>
          <w:color w:val="4D4D4F"/>
          <w:spacing w:val="3"/>
          <w:sz w:val="20"/>
        </w:rPr>
        <w:t xml:space="preserve">29%, </w:t>
      </w:r>
      <w:r>
        <w:rPr>
          <w:color w:val="4D4D4F"/>
          <w:sz w:val="20"/>
        </w:rPr>
        <w:t>where it remains</w:t>
      </w:r>
      <w:r>
        <w:rPr>
          <w:color w:val="4D4D4F"/>
          <w:spacing w:val="23"/>
          <w:sz w:val="20"/>
        </w:rPr>
        <w:t xml:space="preserve"> </w:t>
      </w:r>
      <w:r>
        <w:rPr>
          <w:color w:val="4D4D4F"/>
          <w:sz w:val="20"/>
        </w:rPr>
        <w:t>fixed.</w:t>
      </w:r>
    </w:p>
    <w:p w14:paraId="0A3FBDBA" w14:textId="77777777" w:rsidR="00EF5B27" w:rsidRDefault="00000000">
      <w:pPr>
        <w:pStyle w:val="ListParagraph"/>
        <w:numPr>
          <w:ilvl w:val="0"/>
          <w:numId w:val="40"/>
        </w:numPr>
        <w:tabs>
          <w:tab w:val="left" w:pos="284"/>
        </w:tabs>
        <w:spacing w:before="119" w:line="254" w:lineRule="auto"/>
        <w:ind w:left="283" w:right="675"/>
        <w:rPr>
          <w:sz w:val="20"/>
        </w:rPr>
      </w:pPr>
      <w:r>
        <w:rPr>
          <w:color w:val="4D4D4F"/>
          <w:sz w:val="20"/>
        </w:rPr>
        <w:t xml:space="preserve">Every </w:t>
      </w:r>
      <w:r>
        <w:rPr>
          <w:color w:val="4D4D4F"/>
          <w:spacing w:val="-4"/>
          <w:sz w:val="20"/>
        </w:rPr>
        <w:t xml:space="preserve">year, </w:t>
      </w:r>
      <w:r>
        <w:rPr>
          <w:color w:val="4D4D4F"/>
          <w:sz w:val="20"/>
        </w:rPr>
        <w:t>the relative abundance of four woodland structural types must be appropriately represented across the entire reserve network (Multi-layered vegetation, Open treeless vegetation, Park-like vegetation and Vigorous regeneration; which must be in certain proportions by</w:t>
      </w:r>
      <w:r>
        <w:rPr>
          <w:color w:val="4D4D4F"/>
          <w:spacing w:val="30"/>
          <w:sz w:val="20"/>
        </w:rPr>
        <w:t xml:space="preserve"> </w:t>
      </w:r>
      <w:r>
        <w:rPr>
          <w:color w:val="4D4D4F"/>
          <w:sz w:val="20"/>
        </w:rPr>
        <w:t>area).</w:t>
      </w:r>
    </w:p>
    <w:p w14:paraId="4A5E4543" w14:textId="77777777" w:rsidR="00EF5B27" w:rsidRDefault="00000000">
      <w:pPr>
        <w:pStyle w:val="ListParagraph"/>
        <w:numPr>
          <w:ilvl w:val="0"/>
          <w:numId w:val="40"/>
        </w:numPr>
        <w:tabs>
          <w:tab w:val="left" w:pos="284"/>
        </w:tabs>
        <w:spacing w:before="118"/>
        <w:ind w:left="283"/>
        <w:rPr>
          <w:sz w:val="20"/>
        </w:rPr>
      </w:pPr>
      <w:r>
        <w:rPr>
          <w:color w:val="4D4D4F"/>
          <w:w w:val="105"/>
          <w:sz w:val="20"/>
        </w:rPr>
        <w:t>Every</w:t>
      </w:r>
      <w:r>
        <w:rPr>
          <w:color w:val="4D4D4F"/>
          <w:spacing w:val="-10"/>
          <w:w w:val="105"/>
          <w:sz w:val="20"/>
        </w:rPr>
        <w:t xml:space="preserve"> </w:t>
      </w:r>
      <w:r>
        <w:rPr>
          <w:color w:val="4D4D4F"/>
          <w:spacing w:val="-4"/>
          <w:w w:val="105"/>
          <w:sz w:val="20"/>
        </w:rPr>
        <w:t>year,</w:t>
      </w:r>
      <w:r>
        <w:rPr>
          <w:color w:val="4D4D4F"/>
          <w:spacing w:val="-9"/>
          <w:w w:val="105"/>
          <w:sz w:val="20"/>
        </w:rPr>
        <w:t xml:space="preserve"> </w:t>
      </w:r>
      <w:r>
        <w:rPr>
          <w:color w:val="4D4D4F"/>
          <w:w w:val="105"/>
          <w:sz w:val="20"/>
        </w:rPr>
        <w:t>between</w:t>
      </w:r>
      <w:r>
        <w:rPr>
          <w:color w:val="4D4D4F"/>
          <w:spacing w:val="-9"/>
          <w:w w:val="105"/>
          <w:sz w:val="20"/>
        </w:rPr>
        <w:t xml:space="preserve"> </w:t>
      </w:r>
      <w:r>
        <w:rPr>
          <w:color w:val="4D4D4F"/>
          <w:w w:val="105"/>
          <w:sz w:val="20"/>
        </w:rPr>
        <w:t>25–75%</w:t>
      </w:r>
      <w:r>
        <w:rPr>
          <w:color w:val="4D4D4F"/>
          <w:spacing w:val="-9"/>
          <w:w w:val="105"/>
          <w:sz w:val="20"/>
        </w:rPr>
        <w:t xml:space="preserve"> </w:t>
      </w:r>
      <w:r>
        <w:rPr>
          <w:color w:val="4D4D4F"/>
          <w:w w:val="105"/>
          <w:sz w:val="20"/>
        </w:rPr>
        <w:t>of</w:t>
      </w:r>
      <w:r>
        <w:rPr>
          <w:color w:val="4D4D4F"/>
          <w:spacing w:val="-9"/>
          <w:w w:val="105"/>
          <w:sz w:val="20"/>
        </w:rPr>
        <w:t xml:space="preserve"> </w:t>
      </w:r>
      <w:r>
        <w:rPr>
          <w:color w:val="4D4D4F"/>
          <w:w w:val="105"/>
          <w:sz w:val="20"/>
        </w:rPr>
        <w:t>all</w:t>
      </w:r>
      <w:r>
        <w:rPr>
          <w:color w:val="4D4D4F"/>
          <w:spacing w:val="-9"/>
          <w:w w:val="105"/>
          <w:sz w:val="20"/>
        </w:rPr>
        <w:t xml:space="preserve"> </w:t>
      </w:r>
      <w:r>
        <w:rPr>
          <w:color w:val="4D4D4F"/>
          <w:w w:val="105"/>
          <w:sz w:val="20"/>
        </w:rPr>
        <w:t>plots</w:t>
      </w:r>
      <w:r>
        <w:rPr>
          <w:color w:val="4D4D4F"/>
          <w:spacing w:val="-9"/>
          <w:w w:val="105"/>
          <w:sz w:val="20"/>
        </w:rPr>
        <w:t xml:space="preserve"> </w:t>
      </w:r>
      <w:r>
        <w:rPr>
          <w:color w:val="4D4D4F"/>
          <w:w w:val="105"/>
          <w:sz w:val="20"/>
        </w:rPr>
        <w:t>must</w:t>
      </w:r>
      <w:r>
        <w:rPr>
          <w:color w:val="4D4D4F"/>
          <w:spacing w:val="-10"/>
          <w:w w:val="105"/>
          <w:sz w:val="20"/>
        </w:rPr>
        <w:t xml:space="preserve"> </w:t>
      </w:r>
      <w:r>
        <w:rPr>
          <w:color w:val="4D4D4F"/>
          <w:w w:val="105"/>
          <w:sz w:val="20"/>
        </w:rPr>
        <w:t>support</w:t>
      </w:r>
      <w:r>
        <w:rPr>
          <w:color w:val="4D4D4F"/>
          <w:spacing w:val="-9"/>
          <w:w w:val="105"/>
          <w:sz w:val="20"/>
        </w:rPr>
        <w:t xml:space="preserve"> </w:t>
      </w:r>
      <w:r>
        <w:rPr>
          <w:color w:val="4D4D4F"/>
          <w:w w:val="105"/>
          <w:sz w:val="20"/>
        </w:rPr>
        <w:t>some</w:t>
      </w:r>
      <w:r>
        <w:rPr>
          <w:color w:val="4D4D4F"/>
          <w:spacing w:val="-9"/>
          <w:w w:val="105"/>
          <w:sz w:val="20"/>
        </w:rPr>
        <w:t xml:space="preserve"> </w:t>
      </w:r>
      <w:r>
        <w:rPr>
          <w:color w:val="4D4D4F"/>
          <w:w w:val="105"/>
          <w:sz w:val="20"/>
        </w:rPr>
        <w:t>Eucalyptus</w:t>
      </w:r>
      <w:r>
        <w:rPr>
          <w:color w:val="4D4D4F"/>
          <w:spacing w:val="-9"/>
          <w:w w:val="105"/>
          <w:sz w:val="20"/>
        </w:rPr>
        <w:t xml:space="preserve"> </w:t>
      </w:r>
      <w:r>
        <w:rPr>
          <w:color w:val="4D4D4F"/>
          <w:w w:val="105"/>
          <w:sz w:val="20"/>
        </w:rPr>
        <w:t>recruits.</w:t>
      </w:r>
    </w:p>
    <w:p w14:paraId="1D93FA20" w14:textId="77777777" w:rsidR="00EF5B27" w:rsidRDefault="00000000">
      <w:pPr>
        <w:pStyle w:val="ListParagraph"/>
        <w:numPr>
          <w:ilvl w:val="0"/>
          <w:numId w:val="40"/>
        </w:numPr>
        <w:tabs>
          <w:tab w:val="left" w:pos="284"/>
        </w:tabs>
        <w:spacing w:before="130" w:line="254" w:lineRule="auto"/>
        <w:ind w:left="283" w:right="147"/>
        <w:rPr>
          <w:sz w:val="20"/>
        </w:rPr>
      </w:pPr>
      <w:r>
        <w:rPr>
          <w:color w:val="4D4D4F"/>
          <w:sz w:val="20"/>
        </w:rPr>
        <w:t xml:space="preserve">The cover of </w:t>
      </w:r>
      <w:r>
        <w:rPr>
          <w:color w:val="4D4D4F"/>
          <w:spacing w:val="-3"/>
          <w:sz w:val="20"/>
        </w:rPr>
        <w:t xml:space="preserve">perennial </w:t>
      </w:r>
      <w:r>
        <w:rPr>
          <w:color w:val="4D4D4F"/>
          <w:sz w:val="20"/>
        </w:rPr>
        <w:t xml:space="preserve">weeds </w:t>
      </w:r>
      <w:r>
        <w:rPr>
          <w:color w:val="4D4D4F"/>
          <w:spacing w:val="-3"/>
          <w:sz w:val="20"/>
        </w:rPr>
        <w:t xml:space="preserve">must remain </w:t>
      </w:r>
      <w:r>
        <w:rPr>
          <w:color w:val="4D4D4F"/>
          <w:sz w:val="20"/>
        </w:rPr>
        <w:t xml:space="preserve">below a </w:t>
      </w:r>
      <w:r>
        <w:rPr>
          <w:color w:val="4D4D4F"/>
          <w:spacing w:val="-3"/>
          <w:sz w:val="20"/>
        </w:rPr>
        <w:t xml:space="preserve">baseline. </w:t>
      </w:r>
      <w:r>
        <w:rPr>
          <w:color w:val="4D4D4F"/>
          <w:sz w:val="20"/>
        </w:rPr>
        <w:t xml:space="preserve">The </w:t>
      </w:r>
      <w:r>
        <w:rPr>
          <w:color w:val="4D4D4F"/>
          <w:spacing w:val="-3"/>
          <w:sz w:val="20"/>
        </w:rPr>
        <w:t xml:space="preserve">baseline is </w:t>
      </w:r>
      <w:r>
        <w:rPr>
          <w:color w:val="4D4D4F"/>
          <w:sz w:val="20"/>
        </w:rPr>
        <w:t xml:space="preserve">different </w:t>
      </w:r>
      <w:r>
        <w:rPr>
          <w:color w:val="4D4D4F"/>
          <w:spacing w:val="-3"/>
          <w:sz w:val="20"/>
        </w:rPr>
        <w:t xml:space="preserve">for each </w:t>
      </w:r>
      <w:r>
        <w:rPr>
          <w:color w:val="4D4D4F"/>
          <w:spacing w:val="-4"/>
          <w:sz w:val="20"/>
        </w:rPr>
        <w:t xml:space="preserve">state. </w:t>
      </w:r>
      <w:r>
        <w:rPr>
          <w:color w:val="4D4D4F"/>
          <w:sz w:val="20"/>
        </w:rPr>
        <w:t xml:space="preserve">It </w:t>
      </w:r>
      <w:r>
        <w:rPr>
          <w:color w:val="4D4D4F"/>
          <w:spacing w:val="-3"/>
          <w:sz w:val="20"/>
        </w:rPr>
        <w:t xml:space="preserve">is defined </w:t>
      </w:r>
      <w:r>
        <w:rPr>
          <w:color w:val="4D4D4F"/>
          <w:sz w:val="20"/>
        </w:rPr>
        <w:t xml:space="preserve">by </w:t>
      </w:r>
      <w:r>
        <w:rPr>
          <w:color w:val="4D4D4F"/>
          <w:spacing w:val="-3"/>
          <w:sz w:val="20"/>
        </w:rPr>
        <w:t xml:space="preserve">the richness </w:t>
      </w:r>
      <w:r>
        <w:rPr>
          <w:color w:val="4D4D4F"/>
          <w:sz w:val="20"/>
        </w:rPr>
        <w:t xml:space="preserve">observed </w:t>
      </w:r>
      <w:r>
        <w:rPr>
          <w:color w:val="4D4D4F"/>
          <w:spacing w:val="-3"/>
          <w:sz w:val="20"/>
        </w:rPr>
        <w:t xml:space="preserve">in the </w:t>
      </w:r>
      <w:r>
        <w:rPr>
          <w:color w:val="4D4D4F"/>
          <w:sz w:val="20"/>
        </w:rPr>
        <w:t xml:space="preserve">first five years of </w:t>
      </w:r>
      <w:r>
        <w:rPr>
          <w:color w:val="4D4D4F"/>
          <w:spacing w:val="-4"/>
          <w:sz w:val="20"/>
        </w:rPr>
        <w:t xml:space="preserve">monitoring for </w:t>
      </w:r>
      <w:r>
        <w:rPr>
          <w:color w:val="4D4D4F"/>
          <w:spacing w:val="-3"/>
          <w:sz w:val="20"/>
        </w:rPr>
        <w:t xml:space="preserve">each </w:t>
      </w:r>
      <w:r>
        <w:rPr>
          <w:color w:val="4D4D4F"/>
          <w:spacing w:val="-4"/>
          <w:sz w:val="20"/>
        </w:rPr>
        <w:t xml:space="preserve">state </w:t>
      </w:r>
      <w:r>
        <w:rPr>
          <w:color w:val="4D4D4F"/>
          <w:spacing w:val="-3"/>
          <w:sz w:val="20"/>
        </w:rPr>
        <w:t xml:space="preserve">and fixed at </w:t>
      </w:r>
      <w:r>
        <w:rPr>
          <w:color w:val="4D4D4F"/>
          <w:sz w:val="20"/>
        </w:rPr>
        <w:t xml:space="preserve">a </w:t>
      </w:r>
      <w:r>
        <w:rPr>
          <w:color w:val="4D4D4F"/>
          <w:spacing w:val="-3"/>
          <w:sz w:val="20"/>
        </w:rPr>
        <w:t xml:space="preserve">new </w:t>
      </w:r>
      <w:r>
        <w:rPr>
          <w:color w:val="4D4D4F"/>
          <w:spacing w:val="-4"/>
          <w:sz w:val="20"/>
        </w:rPr>
        <w:t xml:space="preserve">lowered </w:t>
      </w:r>
      <w:r>
        <w:rPr>
          <w:color w:val="4D4D4F"/>
          <w:spacing w:val="-5"/>
          <w:sz w:val="20"/>
        </w:rPr>
        <w:t xml:space="preserve">level </w:t>
      </w:r>
      <w:r>
        <w:rPr>
          <w:color w:val="4D4D4F"/>
          <w:spacing w:val="-3"/>
          <w:sz w:val="20"/>
        </w:rPr>
        <w:t xml:space="preserve">if </w:t>
      </w:r>
      <w:r>
        <w:rPr>
          <w:color w:val="4D4D4F"/>
          <w:spacing w:val="-4"/>
          <w:sz w:val="20"/>
        </w:rPr>
        <w:t xml:space="preserve">weeds </w:t>
      </w:r>
      <w:r>
        <w:rPr>
          <w:color w:val="4D4D4F"/>
          <w:sz w:val="20"/>
        </w:rPr>
        <w:t xml:space="preserve">are </w:t>
      </w:r>
      <w:r>
        <w:rPr>
          <w:color w:val="4D4D4F"/>
          <w:spacing w:val="-3"/>
          <w:sz w:val="20"/>
        </w:rPr>
        <w:t xml:space="preserve">reduced </w:t>
      </w:r>
      <w:r>
        <w:rPr>
          <w:color w:val="4D4D4F"/>
          <w:spacing w:val="-4"/>
          <w:sz w:val="20"/>
        </w:rPr>
        <w:t xml:space="preserve">below </w:t>
      </w:r>
      <w:r>
        <w:rPr>
          <w:color w:val="4D4D4F"/>
          <w:spacing w:val="-3"/>
          <w:sz w:val="20"/>
        </w:rPr>
        <w:t>the</w:t>
      </w:r>
      <w:r>
        <w:rPr>
          <w:color w:val="4D4D4F"/>
          <w:spacing w:val="-5"/>
          <w:sz w:val="20"/>
        </w:rPr>
        <w:t xml:space="preserve"> baseline.</w:t>
      </w:r>
    </w:p>
    <w:p w14:paraId="50EF6ED9" w14:textId="77777777" w:rsidR="00EF5B27" w:rsidRDefault="00EF5B27">
      <w:pPr>
        <w:spacing w:line="254" w:lineRule="auto"/>
        <w:rPr>
          <w:sz w:val="20"/>
        </w:rPr>
        <w:sectPr w:rsidR="00EF5B27">
          <w:type w:val="continuous"/>
          <w:pgSz w:w="11910" w:h="16840"/>
          <w:pgMar w:top="1140" w:right="1020" w:bottom="280" w:left="1020" w:header="720" w:footer="720" w:gutter="0"/>
          <w:cols w:num="2" w:space="720" w:equalWidth="0">
            <w:col w:w="2128" w:space="366"/>
            <w:col w:w="7376"/>
          </w:cols>
        </w:sectPr>
      </w:pPr>
    </w:p>
    <w:p w14:paraId="0C7C50C7" w14:textId="77777777" w:rsidR="00EF5B27" w:rsidRDefault="00000000">
      <w:pPr>
        <w:pStyle w:val="BodyText"/>
      </w:pPr>
      <w:r>
        <w:lastRenderedPageBreak/>
        <w:pict w14:anchorId="44B691DB">
          <v:group id="_x0000_s3371" style="position:absolute;margin-left:587.05pt;margin-top:183.4pt;width:8.25pt;height:153.1pt;z-index:251587072;mso-position-horizontal-relative:page;mso-position-vertical-relative:page" coordorigin="11741,3668" coordsize="165,3062">
            <v:shape id="_x0000_s3378" style="position:absolute;left:11741;top:3668;width:165;height:561" coordorigin="11741,3668" coordsize="165,561" path="m11906,3668r-165,l11741,4228r165,-18l11906,3668xe" fillcolor="#00aed9" stroked="f">
              <v:path arrowok="t"/>
            </v:shape>
            <v:shape id="_x0000_s3377" style="position:absolute;left:11741;top:4118;width:165;height:425" coordorigin="11741,4118" coordsize="165,425" path="m11906,4118r-165,14l11741,4531r165,12l11906,4118xe" fillcolor="#047ebc" stroked="f">
              <v:path arrowok="t"/>
            </v:shape>
            <v:shape id="_x0000_s3376" type="#_x0000_t75" style="position:absolute;left:11741;top:4355;width:165;height:587">
              <v:imagedata r:id="rId42" o:title=""/>
            </v:shape>
            <v:shape id="_x0000_s3375" style="position:absolute;left:11741;top:5343;width:165;height:536" coordorigin="11741,5343" coordsize="165,536" path="m11741,5343r,535l11906,5872r,-525l11741,5343xe" fillcolor="#f36a2e" stroked="f">
              <v:path arrowok="t"/>
            </v:shape>
            <v:shape id="_x0000_s3374" style="position:absolute;left:11741;top:4925;width:165;height:501" coordorigin="11741,4926" coordsize="165,501" path="m11741,4926r,500l11906,5426r,-485l11741,4926xe" fillcolor="#49783f" stroked="f">
              <v:path arrowok="t"/>
            </v:shape>
            <v:shape id="_x0000_s3373" style="position:absolute;left:11741;top:5781;width:165;height:268" coordorigin="11741,5782" coordsize="165,268" path="m11906,5782r-165,8l11741,6039r165,10l11906,5782xe" fillcolor="#f99f2a" stroked="f">
              <v:path arrowok="t"/>
            </v:shape>
            <v:shape id="_x0000_s3372" style="position:absolute;left:11741;top:6023;width:165;height:707" coordorigin="11741,6023" coordsize="165,707" path="m11741,6023r,706l11906,6729r,-690l11741,6023xe" fillcolor="#ef412c" stroked="f">
              <v:path arrowok="t"/>
            </v:shape>
            <w10:wrap anchorx="page" anchory="page"/>
          </v:group>
        </w:pict>
      </w:r>
    </w:p>
    <w:p w14:paraId="1833A2E2" w14:textId="77777777" w:rsidR="00EF5B27" w:rsidRDefault="00EF5B27">
      <w:pPr>
        <w:pStyle w:val="BodyText"/>
      </w:pPr>
    </w:p>
    <w:p w14:paraId="0FFC819C" w14:textId="77777777" w:rsidR="00EF5B27" w:rsidRDefault="00EF5B27">
      <w:pPr>
        <w:pStyle w:val="BodyText"/>
      </w:pPr>
    </w:p>
    <w:p w14:paraId="6504F86A" w14:textId="77777777" w:rsidR="00EF5B27" w:rsidRDefault="00EF5B27">
      <w:pPr>
        <w:pStyle w:val="BodyText"/>
        <w:spacing w:before="4"/>
        <w:rPr>
          <w:sz w:val="25"/>
        </w:rPr>
      </w:pPr>
    </w:p>
    <w:p w14:paraId="0ABAE3EF" w14:textId="77777777" w:rsidR="00EF5B27" w:rsidRDefault="00000000">
      <w:pPr>
        <w:pStyle w:val="BodyText"/>
        <w:spacing w:before="100"/>
        <w:ind w:left="2608"/>
        <w:rPr>
          <w:rFonts w:ascii="Arial Narrow"/>
          <w:i/>
        </w:rPr>
      </w:pPr>
      <w:bookmarkStart w:id="50" w:name="_bookmark38"/>
      <w:bookmarkEnd w:id="50"/>
      <w:r>
        <w:rPr>
          <w:color w:val="4D4D4F"/>
          <w:w w:val="105"/>
        </w:rPr>
        <w:t xml:space="preserve">KPIs are assessed in the following five grassland states: Herb-rich grassland, </w:t>
      </w:r>
      <w:r>
        <w:rPr>
          <w:rFonts w:ascii="Arial Narrow"/>
          <w:i/>
          <w:color w:val="4D4D4F"/>
          <w:w w:val="105"/>
        </w:rPr>
        <w:t>Themeda</w:t>
      </w:r>
    </w:p>
    <w:p w14:paraId="3EC7111B" w14:textId="77777777" w:rsidR="00EF5B27" w:rsidRDefault="00000000">
      <w:pPr>
        <w:pStyle w:val="BodyText"/>
        <w:spacing w:before="16"/>
        <w:ind w:left="2608"/>
      </w:pPr>
      <w:r>
        <w:rPr>
          <w:color w:val="4D4D4F"/>
          <w:w w:val="105"/>
        </w:rPr>
        <w:t>grassland, C3 grassland, Nutrient-enriched grassland, and De-rocked grassland.</w:t>
      </w:r>
    </w:p>
    <w:p w14:paraId="75E80502" w14:textId="77777777" w:rsidR="00EF5B27" w:rsidRDefault="00EF5B27">
      <w:pPr>
        <w:pStyle w:val="BodyText"/>
      </w:pPr>
    </w:p>
    <w:p w14:paraId="61151383" w14:textId="77777777" w:rsidR="00EF5B27" w:rsidRDefault="00EF5B27">
      <w:pPr>
        <w:pStyle w:val="BodyText"/>
        <w:spacing w:before="9" w:after="1"/>
        <w:rPr>
          <w:sz w:val="12"/>
        </w:rPr>
      </w:pPr>
    </w:p>
    <w:tbl>
      <w:tblPr>
        <w:tblW w:w="0" w:type="auto"/>
        <w:tblInd w:w="11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152"/>
        <w:gridCol w:w="7480"/>
      </w:tblGrid>
      <w:tr w:rsidR="00EF5B27" w14:paraId="43B33511" w14:textId="77777777">
        <w:trPr>
          <w:trHeight w:val="459"/>
        </w:trPr>
        <w:tc>
          <w:tcPr>
            <w:tcW w:w="2152" w:type="dxa"/>
            <w:shd w:val="clear" w:color="auto" w:fill="FECC91"/>
          </w:tcPr>
          <w:p w14:paraId="009A771D" w14:textId="77777777" w:rsidR="00EF5B27" w:rsidRDefault="00000000">
            <w:pPr>
              <w:pStyle w:val="TableParagraph"/>
              <w:spacing w:before="140"/>
              <w:ind w:left="113"/>
              <w:rPr>
                <w:b/>
                <w:sz w:val="16"/>
              </w:rPr>
            </w:pPr>
            <w:r>
              <w:rPr>
                <w:b/>
                <w:w w:val="105"/>
                <w:sz w:val="16"/>
              </w:rPr>
              <w:t>MNES</w:t>
            </w:r>
          </w:p>
        </w:tc>
        <w:tc>
          <w:tcPr>
            <w:tcW w:w="7480" w:type="dxa"/>
          </w:tcPr>
          <w:p w14:paraId="40D843F0" w14:textId="77777777" w:rsidR="00EF5B27" w:rsidRDefault="00000000">
            <w:pPr>
              <w:pStyle w:val="TableParagraph"/>
              <w:spacing w:before="140"/>
              <w:ind w:left="113"/>
              <w:rPr>
                <w:sz w:val="16"/>
              </w:rPr>
            </w:pPr>
            <w:r>
              <w:rPr>
                <w:color w:val="4D4D4F"/>
                <w:w w:val="105"/>
                <w:sz w:val="16"/>
              </w:rPr>
              <w:t>2. Grassy Eucalypt Woodland</w:t>
            </w:r>
          </w:p>
        </w:tc>
      </w:tr>
      <w:tr w:rsidR="00EF5B27" w14:paraId="21011EA5" w14:textId="77777777">
        <w:trPr>
          <w:trHeight w:val="859"/>
        </w:trPr>
        <w:tc>
          <w:tcPr>
            <w:tcW w:w="2152" w:type="dxa"/>
            <w:shd w:val="clear" w:color="auto" w:fill="FECC91"/>
          </w:tcPr>
          <w:p w14:paraId="4D079B2D" w14:textId="77777777" w:rsidR="00EF5B27" w:rsidRDefault="00000000">
            <w:pPr>
              <w:pStyle w:val="TableParagraph"/>
              <w:spacing w:before="140" w:line="244" w:lineRule="auto"/>
              <w:ind w:left="113" w:right="279"/>
              <w:rPr>
                <w:b/>
                <w:sz w:val="16"/>
              </w:rPr>
            </w:pPr>
            <w:r>
              <w:rPr>
                <w:b/>
                <w:sz w:val="16"/>
              </w:rPr>
              <w:t>Commonwealth approved 2015 MSA MRF single outcome statement</w:t>
            </w:r>
          </w:p>
        </w:tc>
        <w:tc>
          <w:tcPr>
            <w:tcW w:w="7480" w:type="dxa"/>
          </w:tcPr>
          <w:p w14:paraId="37D8EA8F" w14:textId="77777777" w:rsidR="00EF5B27" w:rsidRDefault="00EF5B27">
            <w:pPr>
              <w:pStyle w:val="TableParagraph"/>
              <w:spacing w:before="10"/>
              <w:rPr>
                <w:sz w:val="27"/>
              </w:rPr>
            </w:pPr>
          </w:p>
          <w:p w14:paraId="17AB484B" w14:textId="77777777" w:rsidR="00EF5B27" w:rsidRDefault="00000000">
            <w:pPr>
              <w:pStyle w:val="TableParagraph"/>
              <w:ind w:left="113"/>
              <w:rPr>
                <w:sz w:val="16"/>
              </w:rPr>
            </w:pPr>
            <w:r>
              <w:rPr>
                <w:color w:val="4D4D4F"/>
                <w:sz w:val="16"/>
              </w:rPr>
              <w:t>The composition, structure and function of Grassy Eucalypt Woodland improves.</w:t>
            </w:r>
          </w:p>
        </w:tc>
      </w:tr>
      <w:tr w:rsidR="00EF5B27" w14:paraId="5A6E62E2" w14:textId="77777777">
        <w:trPr>
          <w:trHeight w:val="859"/>
        </w:trPr>
        <w:tc>
          <w:tcPr>
            <w:tcW w:w="2152" w:type="dxa"/>
            <w:shd w:val="clear" w:color="auto" w:fill="FECC91"/>
          </w:tcPr>
          <w:p w14:paraId="430158AA" w14:textId="77777777" w:rsidR="00EF5B27" w:rsidRDefault="00000000">
            <w:pPr>
              <w:pStyle w:val="TableParagraph"/>
              <w:spacing w:before="140" w:line="244" w:lineRule="auto"/>
              <w:ind w:left="113"/>
              <w:rPr>
                <w:b/>
                <w:sz w:val="16"/>
              </w:rPr>
            </w:pPr>
            <w:r>
              <w:rPr>
                <w:b/>
                <w:sz w:val="16"/>
              </w:rPr>
              <w:t>2014–2020 Ecological Outcomes Report single outcome statement</w:t>
            </w:r>
          </w:p>
        </w:tc>
        <w:tc>
          <w:tcPr>
            <w:tcW w:w="7480" w:type="dxa"/>
          </w:tcPr>
          <w:p w14:paraId="25B3387E" w14:textId="77777777" w:rsidR="00EF5B27" w:rsidRDefault="00EF5B27">
            <w:pPr>
              <w:pStyle w:val="TableParagraph"/>
              <w:spacing w:before="10"/>
              <w:rPr>
                <w:sz w:val="27"/>
              </w:rPr>
            </w:pPr>
          </w:p>
          <w:p w14:paraId="678AFF3B" w14:textId="77777777" w:rsidR="00EF5B27" w:rsidRDefault="00000000">
            <w:pPr>
              <w:pStyle w:val="TableParagraph"/>
              <w:ind w:left="113"/>
              <w:rPr>
                <w:sz w:val="16"/>
              </w:rPr>
            </w:pPr>
            <w:r>
              <w:rPr>
                <w:color w:val="4D4D4F"/>
                <w:sz w:val="16"/>
              </w:rPr>
              <w:t>The composition, structure and function of Grassy Eucalypt Woodland of the Victorian Volcanic Plain improves.</w:t>
            </w:r>
          </w:p>
        </w:tc>
      </w:tr>
      <w:tr w:rsidR="00EF5B27" w14:paraId="39A1DF1A" w14:textId="77777777">
        <w:trPr>
          <w:trHeight w:val="1835"/>
        </w:trPr>
        <w:tc>
          <w:tcPr>
            <w:tcW w:w="2152" w:type="dxa"/>
            <w:shd w:val="clear" w:color="auto" w:fill="FECC91"/>
          </w:tcPr>
          <w:p w14:paraId="57D459E2" w14:textId="77777777" w:rsidR="00EF5B27" w:rsidRDefault="00EF5B27">
            <w:pPr>
              <w:pStyle w:val="TableParagraph"/>
              <w:rPr>
                <w:sz w:val="20"/>
              </w:rPr>
            </w:pPr>
          </w:p>
          <w:p w14:paraId="08890E85" w14:textId="77777777" w:rsidR="00EF5B27" w:rsidRDefault="00EF5B27">
            <w:pPr>
              <w:pStyle w:val="TableParagraph"/>
              <w:spacing w:before="2"/>
              <w:rPr>
                <w:sz w:val="23"/>
              </w:rPr>
            </w:pPr>
          </w:p>
          <w:p w14:paraId="0CFEA883" w14:textId="77777777" w:rsidR="00EF5B27" w:rsidRDefault="00000000">
            <w:pPr>
              <w:pStyle w:val="TableParagraph"/>
              <w:spacing w:before="1" w:line="244" w:lineRule="auto"/>
              <w:ind w:left="113"/>
              <w:rPr>
                <w:b/>
                <w:sz w:val="16"/>
              </w:rPr>
            </w:pPr>
            <w:r>
              <w:rPr>
                <w:b/>
                <w:sz w:val="16"/>
              </w:rPr>
              <w:t>Conservation Outcomes published in the Victorian Government Gazette – Issue G4, 27 January 2022</w:t>
            </w:r>
          </w:p>
        </w:tc>
        <w:tc>
          <w:tcPr>
            <w:tcW w:w="7480" w:type="dxa"/>
          </w:tcPr>
          <w:p w14:paraId="209352CD" w14:textId="77777777" w:rsidR="00EF5B27" w:rsidRDefault="00000000">
            <w:pPr>
              <w:pStyle w:val="TableParagraph"/>
              <w:spacing w:before="164" w:line="271" w:lineRule="auto"/>
              <w:ind w:left="113"/>
              <w:rPr>
                <w:sz w:val="16"/>
              </w:rPr>
            </w:pPr>
            <w:r>
              <w:rPr>
                <w:color w:val="4D4D4F"/>
                <w:sz w:val="16"/>
              </w:rPr>
              <w:t>The creation of the 1,200 ha Grassy Eucalypt Woodland Protected Area outside the UGB, south-west of Whittlesea, protecting Grassy Eucalypt Woodland.</w:t>
            </w:r>
          </w:p>
          <w:p w14:paraId="4EDC5891" w14:textId="77777777" w:rsidR="00EF5B27" w:rsidRDefault="00000000">
            <w:pPr>
              <w:pStyle w:val="TableParagraph"/>
              <w:spacing w:before="55"/>
              <w:ind w:left="113"/>
              <w:rPr>
                <w:sz w:val="16"/>
              </w:rPr>
            </w:pPr>
            <w:r>
              <w:rPr>
                <w:color w:val="4D4D4F"/>
                <w:sz w:val="16"/>
              </w:rPr>
              <w:t>The permanent protection of 341 ha of Grassy Eucalypt Woodland:</w:t>
            </w:r>
          </w:p>
          <w:p w14:paraId="763E8133" w14:textId="77777777" w:rsidR="00EF5B27" w:rsidRDefault="00000000">
            <w:pPr>
              <w:pStyle w:val="TableParagraph"/>
              <w:numPr>
                <w:ilvl w:val="0"/>
                <w:numId w:val="39"/>
              </w:numPr>
              <w:tabs>
                <w:tab w:val="left" w:pos="227"/>
              </w:tabs>
              <w:spacing w:before="82"/>
              <w:ind w:firstLine="0"/>
              <w:rPr>
                <w:sz w:val="16"/>
              </w:rPr>
            </w:pPr>
            <w:r>
              <w:rPr>
                <w:color w:val="4D4D4F"/>
                <w:sz w:val="16"/>
              </w:rPr>
              <w:t>in</w:t>
            </w:r>
            <w:r>
              <w:rPr>
                <w:color w:val="4D4D4F"/>
                <w:spacing w:val="5"/>
                <w:sz w:val="16"/>
              </w:rPr>
              <w:t xml:space="preserve"> </w:t>
            </w:r>
            <w:r>
              <w:rPr>
                <w:color w:val="4D4D4F"/>
                <w:sz w:val="16"/>
              </w:rPr>
              <w:t>conservation</w:t>
            </w:r>
            <w:r>
              <w:rPr>
                <w:color w:val="4D4D4F"/>
                <w:spacing w:val="6"/>
                <w:sz w:val="16"/>
              </w:rPr>
              <w:t xml:space="preserve"> </w:t>
            </w:r>
            <w:r>
              <w:rPr>
                <w:color w:val="4D4D4F"/>
                <w:sz w:val="16"/>
              </w:rPr>
              <w:t>areas</w:t>
            </w:r>
            <w:r>
              <w:rPr>
                <w:color w:val="4D4D4F"/>
                <w:spacing w:val="5"/>
                <w:sz w:val="16"/>
              </w:rPr>
              <w:t xml:space="preserve"> </w:t>
            </w:r>
            <w:r>
              <w:rPr>
                <w:color w:val="4D4D4F"/>
                <w:sz w:val="16"/>
              </w:rPr>
              <w:t>identified</w:t>
            </w:r>
            <w:r>
              <w:rPr>
                <w:color w:val="4D4D4F"/>
                <w:spacing w:val="6"/>
                <w:sz w:val="16"/>
              </w:rPr>
              <w:t xml:space="preserve"> </w:t>
            </w:r>
            <w:r>
              <w:rPr>
                <w:color w:val="4D4D4F"/>
                <w:sz w:val="16"/>
              </w:rPr>
              <w:t>in</w:t>
            </w:r>
            <w:r>
              <w:rPr>
                <w:color w:val="4D4D4F"/>
                <w:spacing w:val="5"/>
                <w:sz w:val="16"/>
              </w:rPr>
              <w:t xml:space="preserve"> </w:t>
            </w:r>
            <w:r>
              <w:rPr>
                <w:color w:val="4D4D4F"/>
                <w:sz w:val="16"/>
              </w:rPr>
              <w:t>the</w:t>
            </w:r>
            <w:r>
              <w:rPr>
                <w:color w:val="4D4D4F"/>
                <w:spacing w:val="6"/>
                <w:sz w:val="16"/>
              </w:rPr>
              <w:t xml:space="preserve"> </w:t>
            </w:r>
            <w:r>
              <w:rPr>
                <w:color w:val="4D4D4F"/>
                <w:sz w:val="16"/>
              </w:rPr>
              <w:t>BCS</w:t>
            </w:r>
            <w:r>
              <w:rPr>
                <w:color w:val="4D4D4F"/>
                <w:spacing w:val="6"/>
                <w:sz w:val="16"/>
              </w:rPr>
              <w:t xml:space="preserve"> </w:t>
            </w:r>
            <w:r>
              <w:rPr>
                <w:color w:val="4D4D4F"/>
                <w:sz w:val="16"/>
              </w:rPr>
              <w:t>and</w:t>
            </w:r>
            <w:r>
              <w:rPr>
                <w:color w:val="4D4D4F"/>
                <w:spacing w:val="5"/>
                <w:sz w:val="16"/>
              </w:rPr>
              <w:t xml:space="preserve"> </w:t>
            </w:r>
            <w:r>
              <w:rPr>
                <w:color w:val="4D4D4F"/>
                <w:sz w:val="16"/>
              </w:rPr>
              <w:t>the</w:t>
            </w:r>
            <w:r>
              <w:rPr>
                <w:color w:val="4D4D4F"/>
                <w:spacing w:val="6"/>
                <w:sz w:val="16"/>
              </w:rPr>
              <w:t xml:space="preserve"> </w:t>
            </w:r>
            <w:r>
              <w:rPr>
                <w:color w:val="4D4D4F"/>
                <w:sz w:val="16"/>
              </w:rPr>
              <w:t>Conservation</w:t>
            </w:r>
            <w:r>
              <w:rPr>
                <w:color w:val="4D4D4F"/>
                <w:spacing w:val="5"/>
                <w:sz w:val="16"/>
              </w:rPr>
              <w:t xml:space="preserve"> </w:t>
            </w:r>
            <w:r>
              <w:rPr>
                <w:color w:val="4D4D4F"/>
                <w:sz w:val="16"/>
              </w:rPr>
              <w:t>Areas</w:t>
            </w:r>
            <w:r>
              <w:rPr>
                <w:color w:val="4D4D4F"/>
                <w:spacing w:val="6"/>
                <w:sz w:val="16"/>
              </w:rPr>
              <w:t xml:space="preserve"> </w:t>
            </w:r>
            <w:r>
              <w:rPr>
                <w:color w:val="4D4D4F"/>
                <w:sz w:val="16"/>
              </w:rPr>
              <w:t>Declaration</w:t>
            </w:r>
          </w:p>
          <w:p w14:paraId="56EF6927" w14:textId="77777777" w:rsidR="00EF5B27" w:rsidRDefault="00000000">
            <w:pPr>
              <w:pStyle w:val="TableParagraph"/>
              <w:numPr>
                <w:ilvl w:val="0"/>
                <w:numId w:val="39"/>
              </w:numPr>
              <w:tabs>
                <w:tab w:val="left" w:pos="227"/>
              </w:tabs>
              <w:spacing w:before="81" w:line="340" w:lineRule="auto"/>
              <w:ind w:right="96" w:firstLine="0"/>
              <w:rPr>
                <w:sz w:val="16"/>
              </w:rPr>
            </w:pPr>
            <w:r>
              <w:rPr>
                <w:color w:val="4D4D4F"/>
                <w:sz w:val="16"/>
              </w:rPr>
              <w:t xml:space="preserve">on land secured as </w:t>
            </w:r>
            <w:r>
              <w:rPr>
                <w:color w:val="4D4D4F"/>
                <w:spacing w:val="2"/>
                <w:sz w:val="16"/>
              </w:rPr>
              <w:t xml:space="preserve">part </w:t>
            </w:r>
            <w:r>
              <w:rPr>
                <w:color w:val="4D4D4F"/>
                <w:sz w:val="16"/>
              </w:rPr>
              <w:t xml:space="preserve">of the Grassy Eucalypt Woodland Protected </w:t>
            </w:r>
            <w:r>
              <w:rPr>
                <w:color w:val="4D4D4F"/>
                <w:spacing w:val="2"/>
                <w:sz w:val="16"/>
              </w:rPr>
              <w:t xml:space="preserve">Area </w:t>
            </w:r>
            <w:r>
              <w:rPr>
                <w:color w:val="4D4D4F"/>
                <w:sz w:val="16"/>
              </w:rPr>
              <w:t>that is in addition to the 1,200 ha. Improved</w:t>
            </w:r>
            <w:r>
              <w:rPr>
                <w:color w:val="4D4D4F"/>
                <w:spacing w:val="7"/>
                <w:sz w:val="16"/>
              </w:rPr>
              <w:t xml:space="preserve"> </w:t>
            </w:r>
            <w:r>
              <w:rPr>
                <w:color w:val="4D4D4F"/>
                <w:sz w:val="16"/>
              </w:rPr>
              <w:t>composition,</w:t>
            </w:r>
            <w:r>
              <w:rPr>
                <w:color w:val="4D4D4F"/>
                <w:spacing w:val="8"/>
                <w:sz w:val="16"/>
              </w:rPr>
              <w:t xml:space="preserve"> </w:t>
            </w:r>
            <w:r>
              <w:rPr>
                <w:color w:val="4D4D4F"/>
                <w:spacing w:val="2"/>
                <w:sz w:val="16"/>
              </w:rPr>
              <w:t>structure,</w:t>
            </w:r>
            <w:r>
              <w:rPr>
                <w:color w:val="4D4D4F"/>
                <w:spacing w:val="7"/>
                <w:sz w:val="16"/>
              </w:rPr>
              <w:t xml:space="preserve"> </w:t>
            </w:r>
            <w:r>
              <w:rPr>
                <w:color w:val="4D4D4F"/>
                <w:sz w:val="16"/>
              </w:rPr>
              <w:t>quality,</w:t>
            </w:r>
            <w:r>
              <w:rPr>
                <w:color w:val="4D4D4F"/>
                <w:spacing w:val="8"/>
                <w:sz w:val="16"/>
              </w:rPr>
              <w:t xml:space="preserve"> </w:t>
            </w:r>
            <w:r>
              <w:rPr>
                <w:color w:val="4D4D4F"/>
                <w:sz w:val="16"/>
              </w:rPr>
              <w:t>and</w:t>
            </w:r>
            <w:r>
              <w:rPr>
                <w:color w:val="4D4D4F"/>
                <w:spacing w:val="7"/>
                <w:sz w:val="16"/>
              </w:rPr>
              <w:t xml:space="preserve"> </w:t>
            </w:r>
            <w:r>
              <w:rPr>
                <w:color w:val="4D4D4F"/>
                <w:sz w:val="16"/>
              </w:rPr>
              <w:t>ecological</w:t>
            </w:r>
            <w:r>
              <w:rPr>
                <w:color w:val="4D4D4F"/>
                <w:spacing w:val="8"/>
                <w:sz w:val="16"/>
              </w:rPr>
              <w:t xml:space="preserve"> </w:t>
            </w:r>
            <w:r>
              <w:rPr>
                <w:color w:val="4D4D4F"/>
                <w:sz w:val="16"/>
              </w:rPr>
              <w:t>function</w:t>
            </w:r>
            <w:r>
              <w:rPr>
                <w:color w:val="4D4D4F"/>
                <w:spacing w:val="7"/>
                <w:sz w:val="16"/>
              </w:rPr>
              <w:t xml:space="preserve"> </w:t>
            </w:r>
            <w:r>
              <w:rPr>
                <w:color w:val="4D4D4F"/>
                <w:sz w:val="16"/>
              </w:rPr>
              <w:t>of</w:t>
            </w:r>
            <w:r>
              <w:rPr>
                <w:color w:val="4D4D4F"/>
                <w:spacing w:val="8"/>
                <w:sz w:val="16"/>
              </w:rPr>
              <w:t xml:space="preserve"> </w:t>
            </w:r>
            <w:r>
              <w:rPr>
                <w:color w:val="4D4D4F"/>
                <w:sz w:val="16"/>
              </w:rPr>
              <w:t>protected</w:t>
            </w:r>
            <w:r>
              <w:rPr>
                <w:color w:val="4D4D4F"/>
                <w:spacing w:val="7"/>
                <w:sz w:val="16"/>
              </w:rPr>
              <w:t xml:space="preserve"> </w:t>
            </w:r>
            <w:r>
              <w:rPr>
                <w:color w:val="4D4D4F"/>
                <w:sz w:val="16"/>
              </w:rPr>
              <w:t>Grassy</w:t>
            </w:r>
            <w:r>
              <w:rPr>
                <w:color w:val="4D4D4F"/>
                <w:spacing w:val="8"/>
                <w:sz w:val="16"/>
              </w:rPr>
              <w:t xml:space="preserve"> </w:t>
            </w:r>
            <w:r>
              <w:rPr>
                <w:color w:val="4D4D4F"/>
                <w:sz w:val="16"/>
              </w:rPr>
              <w:t>Eucalypt</w:t>
            </w:r>
            <w:r>
              <w:rPr>
                <w:color w:val="4D4D4F"/>
                <w:spacing w:val="7"/>
                <w:sz w:val="16"/>
              </w:rPr>
              <w:t xml:space="preserve"> </w:t>
            </w:r>
            <w:r>
              <w:rPr>
                <w:color w:val="4D4D4F"/>
                <w:sz w:val="16"/>
              </w:rPr>
              <w:t>Woodland.</w:t>
            </w:r>
          </w:p>
        </w:tc>
      </w:tr>
    </w:tbl>
    <w:p w14:paraId="11F8AB6F" w14:textId="77777777" w:rsidR="00EF5B27" w:rsidRDefault="00EF5B27">
      <w:pPr>
        <w:pStyle w:val="BodyText"/>
        <w:spacing w:before="2"/>
        <w:rPr>
          <w:sz w:val="33"/>
        </w:rPr>
      </w:pPr>
    </w:p>
    <w:p w14:paraId="0BD583A4" w14:textId="77777777" w:rsidR="00EF5B27" w:rsidRDefault="00000000">
      <w:pPr>
        <w:pStyle w:val="Heading3"/>
      </w:pPr>
      <w:r>
        <w:rPr>
          <w:color w:val="F99F2A"/>
        </w:rPr>
        <w:t>Monitored areas</w:t>
      </w:r>
    </w:p>
    <w:p w14:paraId="1927D48A" w14:textId="77777777" w:rsidR="00EF5B27" w:rsidRDefault="00000000">
      <w:pPr>
        <w:pStyle w:val="BodyText"/>
        <w:spacing w:before="221" w:line="254" w:lineRule="auto"/>
        <w:ind w:left="2608" w:right="264"/>
      </w:pPr>
      <w:bookmarkStart w:id="51" w:name="_heading=h.4k668n3"/>
      <w:bookmarkEnd w:id="51"/>
      <w:r>
        <w:rPr>
          <w:color w:val="4D4D4F"/>
        </w:rPr>
        <w:t xml:space="preserve">Grassy Eucalypt Woodland is only monitored on properties protected under the MSA. Currently this only covers The Mount Ridley Woodland Reserve (Conservation Area </w:t>
      </w:r>
      <w:r>
        <w:rPr>
          <w:color w:val="4D4D4F"/>
          <w:spacing w:val="-4"/>
        </w:rPr>
        <w:t xml:space="preserve">26), </w:t>
      </w:r>
      <w:r>
        <w:rPr>
          <w:color w:val="4D4D4F"/>
        </w:rPr>
        <w:t xml:space="preserve">which was first monitored in </w:t>
      </w:r>
      <w:r>
        <w:rPr>
          <w:color w:val="4D4D4F"/>
          <w:spacing w:val="-3"/>
        </w:rPr>
        <w:t xml:space="preserve">2021. Twelve </w:t>
      </w:r>
      <w:r>
        <w:rPr>
          <w:color w:val="4D4D4F"/>
        </w:rPr>
        <w:t>plots were</w:t>
      </w:r>
      <w:r>
        <w:rPr>
          <w:color w:val="4D4D4F"/>
          <w:spacing w:val="34"/>
        </w:rPr>
        <w:t xml:space="preserve"> </w:t>
      </w:r>
      <w:r>
        <w:rPr>
          <w:color w:val="4D4D4F"/>
        </w:rPr>
        <w:t>implemented.</w:t>
      </w:r>
    </w:p>
    <w:p w14:paraId="2811812F" w14:textId="77777777" w:rsidR="00EF5B27" w:rsidRDefault="00000000">
      <w:pPr>
        <w:pStyle w:val="BodyText"/>
        <w:spacing w:before="9"/>
        <w:rPr>
          <w:sz w:val="27"/>
        </w:rPr>
      </w:pPr>
      <w:r>
        <w:pict w14:anchorId="2B065FE4">
          <v:group id="_x0000_s3368" style="position:absolute;margin-left:181.3pt;margin-top:19.25pt;width:357.4pt;height:229pt;z-index:251524608;mso-wrap-distance-left:0;mso-wrap-distance-right:0;mso-position-horizontal-relative:page" coordorigin="3626,385" coordsize="7148,4580">
            <v:shape id="_x0000_s3370" type="#_x0000_t75" style="position:absolute;left:3628;top:387;width:7143;height:4575">
              <v:imagedata r:id="rId129" o:title=""/>
            </v:shape>
            <v:rect id="_x0000_s3369" style="position:absolute;left:3628;top:387;width:7143;height:4575" filled="f" strokeweight=".25pt"/>
            <w10:wrap type="topAndBottom" anchorx="page"/>
          </v:group>
        </w:pict>
      </w:r>
    </w:p>
    <w:p w14:paraId="4295B3C1" w14:textId="77777777" w:rsidR="00EF5B27" w:rsidRDefault="00000000">
      <w:pPr>
        <w:tabs>
          <w:tab w:val="left" w:pos="8977"/>
        </w:tabs>
        <w:spacing w:before="103"/>
        <w:ind w:left="2608"/>
        <w:rPr>
          <w:rFonts w:ascii="Century Gothic"/>
          <w:i/>
          <w:sz w:val="12"/>
        </w:rPr>
      </w:pPr>
      <w:r>
        <w:rPr>
          <w:color w:val="4D4D4F"/>
          <w:sz w:val="16"/>
        </w:rPr>
        <w:t>Figure</w:t>
      </w:r>
      <w:r>
        <w:rPr>
          <w:color w:val="4D4D4F"/>
          <w:spacing w:val="6"/>
          <w:sz w:val="16"/>
        </w:rPr>
        <w:t xml:space="preserve"> </w:t>
      </w:r>
      <w:r>
        <w:rPr>
          <w:color w:val="4D4D4F"/>
          <w:sz w:val="16"/>
        </w:rPr>
        <w:t>14:</w:t>
      </w:r>
      <w:r>
        <w:rPr>
          <w:color w:val="4D4D4F"/>
          <w:spacing w:val="6"/>
          <w:sz w:val="16"/>
        </w:rPr>
        <w:t xml:space="preserve"> </w:t>
      </w:r>
      <w:r>
        <w:rPr>
          <w:color w:val="4D4D4F"/>
          <w:sz w:val="16"/>
        </w:rPr>
        <w:t>Map</w:t>
      </w:r>
      <w:r>
        <w:rPr>
          <w:color w:val="4D4D4F"/>
          <w:spacing w:val="6"/>
          <w:sz w:val="16"/>
        </w:rPr>
        <w:t xml:space="preserve"> </w:t>
      </w:r>
      <w:r>
        <w:rPr>
          <w:color w:val="4D4D4F"/>
          <w:sz w:val="16"/>
        </w:rPr>
        <w:t>of</w:t>
      </w:r>
      <w:r>
        <w:rPr>
          <w:color w:val="4D4D4F"/>
          <w:spacing w:val="7"/>
          <w:sz w:val="16"/>
        </w:rPr>
        <w:t xml:space="preserve"> </w:t>
      </w:r>
      <w:r>
        <w:rPr>
          <w:color w:val="4D4D4F"/>
          <w:sz w:val="16"/>
        </w:rPr>
        <w:t>monitored</w:t>
      </w:r>
      <w:r>
        <w:rPr>
          <w:color w:val="4D4D4F"/>
          <w:spacing w:val="6"/>
          <w:sz w:val="16"/>
        </w:rPr>
        <w:t xml:space="preserve"> </w:t>
      </w:r>
      <w:r>
        <w:rPr>
          <w:color w:val="4D4D4F"/>
          <w:sz w:val="16"/>
        </w:rPr>
        <w:t>locations</w:t>
      </w:r>
      <w:r>
        <w:rPr>
          <w:color w:val="4D4D4F"/>
          <w:spacing w:val="6"/>
          <w:sz w:val="16"/>
        </w:rPr>
        <w:t xml:space="preserve"> </w:t>
      </w:r>
      <w:r>
        <w:rPr>
          <w:color w:val="4D4D4F"/>
          <w:sz w:val="16"/>
        </w:rPr>
        <w:t>of</w:t>
      </w:r>
      <w:r>
        <w:rPr>
          <w:color w:val="4D4D4F"/>
          <w:spacing w:val="7"/>
          <w:sz w:val="16"/>
        </w:rPr>
        <w:t xml:space="preserve"> </w:t>
      </w:r>
      <w:r>
        <w:rPr>
          <w:color w:val="4D4D4F"/>
          <w:sz w:val="16"/>
        </w:rPr>
        <w:t>Grassy</w:t>
      </w:r>
      <w:r>
        <w:rPr>
          <w:color w:val="4D4D4F"/>
          <w:spacing w:val="6"/>
          <w:sz w:val="16"/>
        </w:rPr>
        <w:t xml:space="preserve"> </w:t>
      </w:r>
      <w:r>
        <w:rPr>
          <w:color w:val="4D4D4F"/>
          <w:sz w:val="16"/>
        </w:rPr>
        <w:t>Eucalypt</w:t>
      </w:r>
      <w:r>
        <w:rPr>
          <w:color w:val="4D4D4F"/>
          <w:spacing w:val="6"/>
          <w:sz w:val="16"/>
        </w:rPr>
        <w:t xml:space="preserve"> </w:t>
      </w:r>
      <w:r>
        <w:rPr>
          <w:color w:val="4D4D4F"/>
          <w:sz w:val="16"/>
        </w:rPr>
        <w:t>Woodland</w:t>
      </w:r>
      <w:r>
        <w:rPr>
          <w:color w:val="4D4D4F"/>
          <w:sz w:val="16"/>
        </w:rPr>
        <w:tab/>
      </w:r>
      <w:r>
        <w:rPr>
          <w:rFonts w:ascii="Century Gothic"/>
          <w:i/>
          <w:color w:val="4D4D4F"/>
          <w:sz w:val="12"/>
        </w:rPr>
        <w:t>Source:</w:t>
      </w:r>
      <w:r>
        <w:rPr>
          <w:rFonts w:ascii="Century Gothic"/>
          <w:i/>
          <w:color w:val="4D4D4F"/>
          <w:spacing w:val="-21"/>
          <w:sz w:val="12"/>
        </w:rPr>
        <w:t xml:space="preserve"> </w:t>
      </w:r>
      <w:r>
        <w:rPr>
          <w:rFonts w:ascii="Century Gothic"/>
          <w:i/>
          <w:color w:val="4D4D4F"/>
          <w:sz w:val="12"/>
        </w:rPr>
        <w:t>DELWP</w:t>
      </w:r>
    </w:p>
    <w:p w14:paraId="041DB820" w14:textId="77777777" w:rsidR="00EF5B27" w:rsidRDefault="00EF5B27">
      <w:pPr>
        <w:rPr>
          <w:rFonts w:ascii="Century Gothic"/>
          <w:sz w:val="12"/>
        </w:rPr>
        <w:sectPr w:rsidR="00EF5B27">
          <w:pgSz w:w="11910" w:h="16840"/>
          <w:pgMar w:top="1080" w:right="1020" w:bottom="860" w:left="1020" w:header="537" w:footer="678" w:gutter="0"/>
          <w:cols w:space="720"/>
        </w:sectPr>
      </w:pPr>
    </w:p>
    <w:p w14:paraId="032D6245" w14:textId="77777777" w:rsidR="00EF5B27" w:rsidRDefault="00000000">
      <w:pPr>
        <w:pStyle w:val="BodyText"/>
        <w:rPr>
          <w:rFonts w:ascii="Century Gothic"/>
          <w:i/>
        </w:rPr>
      </w:pPr>
      <w:r>
        <w:lastRenderedPageBreak/>
        <w:pict w14:anchorId="2E9985CC">
          <v:group id="_x0000_s3360" style="position:absolute;margin-left:587.05pt;margin-top:183.4pt;width:8.25pt;height:153.1pt;z-index:251593216;mso-position-horizontal-relative:page;mso-position-vertical-relative:page" coordorigin="11741,3668" coordsize="165,3062">
            <v:shape id="_x0000_s3367" style="position:absolute;left:11741;top:3668;width:165;height:561" coordorigin="11741,3668" coordsize="165,561" path="m11906,3668r-165,l11741,4228r165,-18l11906,3668xe" fillcolor="#00aed9" stroked="f">
              <v:path arrowok="t"/>
            </v:shape>
            <v:shape id="_x0000_s3366" style="position:absolute;left:11741;top:4118;width:165;height:425" coordorigin="11741,4118" coordsize="165,425" path="m11906,4118r-165,14l11741,4531r165,12l11906,4118xe" fillcolor="#047ebc" stroked="f">
              <v:path arrowok="t"/>
            </v:shape>
            <v:shape id="_x0000_s3365" type="#_x0000_t75" style="position:absolute;left:11741;top:4355;width:165;height:587">
              <v:imagedata r:id="rId42" o:title=""/>
            </v:shape>
            <v:shape id="_x0000_s3364" style="position:absolute;left:11741;top:5343;width:165;height:536" coordorigin="11741,5343" coordsize="165,536" path="m11741,5343r,535l11906,5872r,-525l11741,5343xe" fillcolor="#f36a2e" stroked="f">
              <v:path arrowok="t"/>
            </v:shape>
            <v:shape id="_x0000_s3363" style="position:absolute;left:11741;top:4925;width:165;height:501" coordorigin="11741,4926" coordsize="165,501" path="m11741,4926r,500l11906,5426r,-485l11741,4926xe" fillcolor="#49783f" stroked="f">
              <v:path arrowok="t"/>
            </v:shape>
            <v:shape id="_x0000_s3362" style="position:absolute;left:11741;top:5781;width:165;height:268" coordorigin="11741,5782" coordsize="165,268" path="m11906,5782r-165,8l11741,6039r165,10l11906,5782xe" fillcolor="#f99f2a" stroked="f">
              <v:path arrowok="t"/>
            </v:shape>
            <v:shape id="_x0000_s3361" style="position:absolute;left:11741;top:6023;width:165;height:707" coordorigin="11741,6023" coordsize="165,707" path="m11741,6023r,706l11906,6729r,-690l11741,6023xe" fillcolor="#ef412c" stroked="f">
              <v:path arrowok="t"/>
            </v:shape>
            <w10:wrap anchorx="page" anchory="page"/>
          </v:group>
        </w:pict>
      </w:r>
    </w:p>
    <w:p w14:paraId="7F1F9ED8" w14:textId="77777777" w:rsidR="00EF5B27" w:rsidRDefault="00EF5B27">
      <w:pPr>
        <w:pStyle w:val="BodyText"/>
        <w:rPr>
          <w:rFonts w:ascii="Century Gothic"/>
          <w:i/>
        </w:rPr>
      </w:pPr>
    </w:p>
    <w:p w14:paraId="7B1DC3FF" w14:textId="77777777" w:rsidR="00EF5B27" w:rsidRDefault="00EF5B27">
      <w:pPr>
        <w:pStyle w:val="BodyText"/>
        <w:rPr>
          <w:rFonts w:ascii="Century Gothic"/>
          <w:i/>
        </w:rPr>
      </w:pPr>
    </w:p>
    <w:p w14:paraId="3FF50466" w14:textId="77777777" w:rsidR="00EF5B27" w:rsidRDefault="00EF5B27">
      <w:pPr>
        <w:pStyle w:val="BodyText"/>
        <w:spacing w:before="7"/>
        <w:rPr>
          <w:rFonts w:ascii="Century Gothic"/>
          <w:i/>
          <w:sz w:val="22"/>
        </w:rPr>
      </w:pPr>
    </w:p>
    <w:p w14:paraId="35B69326" w14:textId="77777777" w:rsidR="00EF5B27" w:rsidRDefault="00000000">
      <w:pPr>
        <w:pStyle w:val="Heading3"/>
        <w:spacing w:before="116"/>
      </w:pPr>
      <w:r>
        <w:rPr>
          <w:color w:val="F99F2A"/>
          <w:w w:val="105"/>
        </w:rPr>
        <w:t>Results</w:t>
      </w:r>
    </w:p>
    <w:p w14:paraId="3837E755" w14:textId="77777777" w:rsidR="00EF5B27" w:rsidRDefault="00000000">
      <w:pPr>
        <w:pStyle w:val="Heading6"/>
        <w:spacing w:before="221"/>
      </w:pPr>
      <w:r>
        <w:rPr>
          <w:color w:val="4D4D4F"/>
        </w:rPr>
        <w:t>KP1: Hectares making transition between states</w:t>
      </w:r>
    </w:p>
    <w:p w14:paraId="53B26924" w14:textId="77777777" w:rsidR="00EF5B27" w:rsidRDefault="00EF5B27">
      <w:pPr>
        <w:pStyle w:val="BodyText"/>
        <w:spacing w:before="2"/>
        <w:rPr>
          <w:b/>
          <w:sz w:val="14"/>
        </w:rPr>
      </w:pPr>
    </w:p>
    <w:tbl>
      <w:tblPr>
        <w:tblW w:w="0" w:type="auto"/>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1E585CB0" w14:textId="77777777">
        <w:trPr>
          <w:trHeight w:val="561"/>
        </w:trPr>
        <w:tc>
          <w:tcPr>
            <w:tcW w:w="2980" w:type="dxa"/>
            <w:shd w:val="clear" w:color="auto" w:fill="FECC91"/>
          </w:tcPr>
          <w:p w14:paraId="7E786BEE" w14:textId="77777777" w:rsidR="00EF5B27" w:rsidRDefault="00000000">
            <w:pPr>
              <w:pStyle w:val="TableParagraph"/>
              <w:spacing w:before="91" w:line="244" w:lineRule="auto"/>
              <w:ind w:left="80" w:right="244"/>
              <w:rPr>
                <w:b/>
                <w:sz w:val="16"/>
              </w:rPr>
            </w:pPr>
            <w:r>
              <w:rPr>
                <w:b/>
                <w:sz w:val="16"/>
              </w:rPr>
              <w:t>KPI 1: Hectares making transition between states</w:t>
            </w:r>
          </w:p>
        </w:tc>
        <w:tc>
          <w:tcPr>
            <w:tcW w:w="1078" w:type="dxa"/>
            <w:shd w:val="clear" w:color="auto" w:fill="FECC91"/>
          </w:tcPr>
          <w:p w14:paraId="6CD19234"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3EE2C1C3" w14:textId="77777777" w:rsidR="00EF5B27" w:rsidRDefault="00EF5B27">
            <w:pPr>
              <w:pStyle w:val="TableParagraph"/>
              <w:spacing w:before="7"/>
              <w:rPr>
                <w:b/>
                <w:sz w:val="15"/>
              </w:rPr>
            </w:pPr>
          </w:p>
          <w:p w14:paraId="1C302CD6"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7F34BCCB" w14:textId="77777777" w:rsidR="00EF5B27" w:rsidRDefault="00EF5B27">
            <w:pPr>
              <w:pStyle w:val="TableParagraph"/>
              <w:spacing w:before="7"/>
              <w:rPr>
                <w:b/>
                <w:sz w:val="15"/>
              </w:rPr>
            </w:pPr>
          </w:p>
          <w:p w14:paraId="253BBAA6"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7F74325D"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27BD259A"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7A316518" w14:textId="77777777">
        <w:trPr>
          <w:trHeight w:val="448"/>
        </w:trPr>
        <w:tc>
          <w:tcPr>
            <w:tcW w:w="2980" w:type="dxa"/>
          </w:tcPr>
          <w:p w14:paraId="3EE89A50" w14:textId="77777777" w:rsidR="00EF5B27" w:rsidRDefault="00EF5B27">
            <w:pPr>
              <w:pStyle w:val="TableParagraph"/>
              <w:spacing w:before="11"/>
              <w:rPr>
                <w:b/>
                <w:sz w:val="11"/>
              </w:rPr>
            </w:pPr>
          </w:p>
          <w:p w14:paraId="7C74C8C0" w14:textId="77777777" w:rsidR="00EF5B27" w:rsidRDefault="00000000">
            <w:pPr>
              <w:pStyle w:val="TableParagraph"/>
              <w:ind w:left="80"/>
              <w:rPr>
                <w:sz w:val="14"/>
              </w:rPr>
            </w:pPr>
            <w:r>
              <w:rPr>
                <w:color w:val="4D4D4F"/>
                <w:w w:val="105"/>
                <w:sz w:val="14"/>
              </w:rPr>
              <w:t>Herb-rich grassland</w:t>
            </w:r>
          </w:p>
        </w:tc>
        <w:tc>
          <w:tcPr>
            <w:tcW w:w="1078" w:type="dxa"/>
          </w:tcPr>
          <w:p w14:paraId="274657DA" w14:textId="77777777" w:rsidR="00EF5B27" w:rsidRDefault="00EF5B27">
            <w:pPr>
              <w:pStyle w:val="TableParagraph"/>
              <w:spacing w:before="11"/>
              <w:rPr>
                <w:b/>
                <w:sz w:val="11"/>
              </w:rPr>
            </w:pPr>
          </w:p>
          <w:p w14:paraId="50A50177"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6535FFB4" w14:textId="77777777" w:rsidR="00EF5B27" w:rsidRDefault="00EF5B27">
            <w:pPr>
              <w:pStyle w:val="TableParagraph"/>
              <w:spacing w:before="11"/>
              <w:rPr>
                <w:b/>
                <w:sz w:val="11"/>
              </w:rPr>
            </w:pPr>
          </w:p>
          <w:p w14:paraId="639F958C" w14:textId="77777777" w:rsidR="00EF5B27" w:rsidRDefault="00000000">
            <w:pPr>
              <w:pStyle w:val="TableParagraph"/>
              <w:ind w:left="143" w:right="142"/>
              <w:jc w:val="center"/>
              <w:rPr>
                <w:sz w:val="14"/>
              </w:rPr>
            </w:pPr>
            <w:r>
              <w:rPr>
                <w:color w:val="4D4D4F"/>
                <w:w w:val="105"/>
                <w:sz w:val="14"/>
              </w:rPr>
              <w:t>Assessed every 5 years</w:t>
            </w:r>
          </w:p>
        </w:tc>
        <w:tc>
          <w:tcPr>
            <w:tcW w:w="964" w:type="dxa"/>
          </w:tcPr>
          <w:p w14:paraId="7C39110B" w14:textId="77777777" w:rsidR="00EF5B27" w:rsidRDefault="00EF5B27">
            <w:pPr>
              <w:pStyle w:val="TableParagraph"/>
              <w:spacing w:before="4"/>
              <w:rPr>
                <w:b/>
                <w:sz w:val="7"/>
              </w:rPr>
            </w:pPr>
          </w:p>
          <w:p w14:paraId="344FD67F" w14:textId="77777777" w:rsidR="00EF5B27" w:rsidRDefault="00000000">
            <w:pPr>
              <w:pStyle w:val="TableParagraph"/>
              <w:spacing w:line="187" w:lineRule="exact"/>
              <w:ind w:left="400"/>
              <w:rPr>
                <w:sz w:val="18"/>
              </w:rPr>
            </w:pPr>
            <w:r>
              <w:rPr>
                <w:noProof/>
                <w:position w:val="-3"/>
                <w:sz w:val="18"/>
              </w:rPr>
              <w:drawing>
                <wp:inline distT="0" distB="0" distL="0" distR="0" wp14:anchorId="52AEA006" wp14:editId="103DF9DF">
                  <wp:extent cx="100572" cy="119062"/>
                  <wp:effectExtent l="0" t="0" r="0" b="0"/>
                  <wp:docPr id="369"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137.png"/>
                          <pic:cNvPicPr/>
                        </pic:nvPicPr>
                        <pic:blipFill>
                          <a:blip r:embed="rId93" cstate="print"/>
                          <a:stretch>
                            <a:fillRect/>
                          </a:stretch>
                        </pic:blipFill>
                        <pic:spPr>
                          <a:xfrm>
                            <a:off x="0" y="0"/>
                            <a:ext cx="100572" cy="119062"/>
                          </a:xfrm>
                          <a:prstGeom prst="rect">
                            <a:avLst/>
                          </a:prstGeom>
                        </pic:spPr>
                      </pic:pic>
                    </a:graphicData>
                  </a:graphic>
                </wp:inline>
              </w:drawing>
            </w:r>
          </w:p>
          <w:p w14:paraId="75E49795" w14:textId="77777777" w:rsidR="00EF5B27" w:rsidRDefault="00EF5B27">
            <w:pPr>
              <w:pStyle w:val="TableParagraph"/>
              <w:spacing w:before="8"/>
              <w:rPr>
                <w:b/>
                <w:sz w:val="2"/>
              </w:rPr>
            </w:pPr>
          </w:p>
          <w:p w14:paraId="5D9819FA" w14:textId="77777777" w:rsidR="00EF5B27" w:rsidRDefault="00000000">
            <w:pPr>
              <w:pStyle w:val="TableParagraph"/>
              <w:spacing w:line="48" w:lineRule="exact"/>
              <w:ind w:left="448"/>
              <w:rPr>
                <w:sz w:val="4"/>
              </w:rPr>
            </w:pPr>
            <w:r>
              <w:rPr>
                <w:sz w:val="4"/>
              </w:rPr>
            </w:r>
            <w:r>
              <w:rPr>
                <w:sz w:val="4"/>
              </w:rPr>
              <w:pict w14:anchorId="1E6CD615">
                <v:group id="_x0000_s3358" style="width:2.45pt;height:2.45pt;mso-position-horizontal-relative:char;mso-position-vertical-relative:line" coordsize="49,49">
                  <v:shape id="_x0000_s3359" style="position:absolute;width:49;height:49" coordsize="49,49" path="m31,l18,,12,2,2,12,,17,,31r2,6l12,46r6,3l31,49r6,-3l46,37r3,-6l49,17,46,12,37,2,31,xe" fillcolor="#808285" stroked="f">
                    <v:path arrowok="t"/>
                  </v:shape>
                  <w10:wrap type="none"/>
                  <w10:anchorlock/>
                </v:group>
              </w:pict>
            </w:r>
          </w:p>
        </w:tc>
        <w:tc>
          <w:tcPr>
            <w:tcW w:w="964" w:type="dxa"/>
          </w:tcPr>
          <w:p w14:paraId="2F29668F" w14:textId="77777777" w:rsidR="00EF5B27" w:rsidRDefault="00EF5B27">
            <w:pPr>
              <w:pStyle w:val="TableParagraph"/>
              <w:spacing w:before="11"/>
              <w:rPr>
                <w:b/>
                <w:sz w:val="11"/>
              </w:rPr>
            </w:pPr>
          </w:p>
          <w:p w14:paraId="62505483" w14:textId="77777777" w:rsidR="00EF5B27" w:rsidRDefault="00000000">
            <w:pPr>
              <w:pStyle w:val="TableParagraph"/>
              <w:ind w:left="318" w:right="323"/>
              <w:jc w:val="center"/>
              <w:rPr>
                <w:sz w:val="14"/>
              </w:rPr>
            </w:pPr>
            <w:r>
              <w:rPr>
                <w:color w:val="4D4D4F"/>
                <w:w w:val="105"/>
                <w:sz w:val="14"/>
              </w:rPr>
              <w:t>N/A</w:t>
            </w:r>
          </w:p>
        </w:tc>
        <w:tc>
          <w:tcPr>
            <w:tcW w:w="1489" w:type="dxa"/>
          </w:tcPr>
          <w:p w14:paraId="3EC71A41" w14:textId="77777777" w:rsidR="00EF5B27" w:rsidRDefault="00EF5B27">
            <w:pPr>
              <w:pStyle w:val="TableParagraph"/>
              <w:spacing w:before="11"/>
              <w:rPr>
                <w:b/>
                <w:sz w:val="11"/>
              </w:rPr>
            </w:pPr>
          </w:p>
          <w:p w14:paraId="77470255" w14:textId="77777777" w:rsidR="00EF5B27" w:rsidRDefault="00000000">
            <w:pPr>
              <w:pStyle w:val="TableParagraph"/>
              <w:ind w:left="451" w:right="457"/>
              <w:jc w:val="center"/>
              <w:rPr>
                <w:sz w:val="14"/>
              </w:rPr>
            </w:pPr>
            <w:r>
              <w:rPr>
                <w:color w:val="4D4D4F"/>
                <w:w w:val="105"/>
                <w:sz w:val="14"/>
              </w:rPr>
              <w:t>N/A</w:t>
            </w:r>
          </w:p>
        </w:tc>
      </w:tr>
      <w:tr w:rsidR="00EF5B27" w14:paraId="79DD6481" w14:textId="77777777">
        <w:trPr>
          <w:trHeight w:val="448"/>
        </w:trPr>
        <w:tc>
          <w:tcPr>
            <w:tcW w:w="2980" w:type="dxa"/>
          </w:tcPr>
          <w:p w14:paraId="5400516A" w14:textId="77777777" w:rsidR="00EF5B27" w:rsidRDefault="00EF5B27">
            <w:pPr>
              <w:pStyle w:val="TableParagraph"/>
              <w:spacing w:before="11"/>
              <w:rPr>
                <w:b/>
                <w:sz w:val="11"/>
              </w:rPr>
            </w:pPr>
          </w:p>
          <w:p w14:paraId="2B40278D" w14:textId="77777777" w:rsidR="00EF5B27" w:rsidRDefault="00000000">
            <w:pPr>
              <w:pStyle w:val="TableParagraph"/>
              <w:ind w:left="79"/>
              <w:rPr>
                <w:sz w:val="14"/>
              </w:rPr>
            </w:pPr>
            <w:r>
              <w:rPr>
                <w:rFonts w:ascii="Arial Narrow"/>
                <w:i/>
                <w:color w:val="4D4D4F"/>
                <w:w w:val="110"/>
                <w:sz w:val="14"/>
              </w:rPr>
              <w:t xml:space="preserve">Themeda </w:t>
            </w:r>
            <w:r>
              <w:rPr>
                <w:color w:val="4D4D4F"/>
                <w:w w:val="110"/>
                <w:sz w:val="14"/>
              </w:rPr>
              <w:t>grassland</w:t>
            </w:r>
          </w:p>
        </w:tc>
        <w:tc>
          <w:tcPr>
            <w:tcW w:w="1078" w:type="dxa"/>
          </w:tcPr>
          <w:p w14:paraId="573A101B" w14:textId="77777777" w:rsidR="00EF5B27" w:rsidRDefault="00EF5B27">
            <w:pPr>
              <w:pStyle w:val="TableParagraph"/>
              <w:spacing w:before="11"/>
              <w:rPr>
                <w:b/>
                <w:sz w:val="11"/>
              </w:rPr>
            </w:pPr>
          </w:p>
          <w:p w14:paraId="6988CB60"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3FEF0D79" w14:textId="77777777" w:rsidR="00EF5B27" w:rsidRDefault="00EF5B27">
            <w:pPr>
              <w:pStyle w:val="TableParagraph"/>
              <w:spacing w:before="11"/>
              <w:rPr>
                <w:b/>
                <w:sz w:val="11"/>
              </w:rPr>
            </w:pPr>
          </w:p>
          <w:p w14:paraId="50E4AE80" w14:textId="77777777" w:rsidR="00EF5B27" w:rsidRDefault="00000000">
            <w:pPr>
              <w:pStyle w:val="TableParagraph"/>
              <w:ind w:left="143" w:right="142"/>
              <w:jc w:val="center"/>
              <w:rPr>
                <w:sz w:val="14"/>
              </w:rPr>
            </w:pPr>
            <w:r>
              <w:rPr>
                <w:color w:val="4D4D4F"/>
                <w:w w:val="105"/>
                <w:sz w:val="14"/>
              </w:rPr>
              <w:t>Assessed every 5 years</w:t>
            </w:r>
          </w:p>
        </w:tc>
        <w:tc>
          <w:tcPr>
            <w:tcW w:w="964" w:type="dxa"/>
          </w:tcPr>
          <w:p w14:paraId="700752A4" w14:textId="77777777" w:rsidR="00EF5B27" w:rsidRDefault="00EF5B27">
            <w:pPr>
              <w:pStyle w:val="TableParagraph"/>
              <w:spacing w:before="4"/>
              <w:rPr>
                <w:b/>
                <w:sz w:val="7"/>
              </w:rPr>
            </w:pPr>
          </w:p>
          <w:p w14:paraId="63FA5E3A" w14:textId="77777777" w:rsidR="00EF5B27" w:rsidRDefault="00000000">
            <w:pPr>
              <w:pStyle w:val="TableParagraph"/>
              <w:spacing w:line="187" w:lineRule="exact"/>
              <w:ind w:left="400"/>
              <w:rPr>
                <w:sz w:val="18"/>
              </w:rPr>
            </w:pPr>
            <w:r>
              <w:rPr>
                <w:noProof/>
                <w:position w:val="-3"/>
                <w:sz w:val="18"/>
              </w:rPr>
              <w:drawing>
                <wp:inline distT="0" distB="0" distL="0" distR="0" wp14:anchorId="505D99A7" wp14:editId="31DC7416">
                  <wp:extent cx="100572" cy="119062"/>
                  <wp:effectExtent l="0" t="0" r="0" b="0"/>
                  <wp:docPr id="371"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138.png"/>
                          <pic:cNvPicPr/>
                        </pic:nvPicPr>
                        <pic:blipFill>
                          <a:blip r:embed="rId76" cstate="print"/>
                          <a:stretch>
                            <a:fillRect/>
                          </a:stretch>
                        </pic:blipFill>
                        <pic:spPr>
                          <a:xfrm>
                            <a:off x="0" y="0"/>
                            <a:ext cx="100572" cy="119062"/>
                          </a:xfrm>
                          <a:prstGeom prst="rect">
                            <a:avLst/>
                          </a:prstGeom>
                        </pic:spPr>
                      </pic:pic>
                    </a:graphicData>
                  </a:graphic>
                </wp:inline>
              </w:drawing>
            </w:r>
          </w:p>
          <w:p w14:paraId="16FDD2A1" w14:textId="77777777" w:rsidR="00EF5B27" w:rsidRDefault="00EF5B27">
            <w:pPr>
              <w:pStyle w:val="TableParagraph"/>
              <w:spacing w:before="8"/>
              <w:rPr>
                <w:b/>
                <w:sz w:val="2"/>
              </w:rPr>
            </w:pPr>
          </w:p>
          <w:p w14:paraId="2286321F" w14:textId="77777777" w:rsidR="00EF5B27" w:rsidRDefault="00000000">
            <w:pPr>
              <w:pStyle w:val="TableParagraph"/>
              <w:spacing w:line="48" w:lineRule="exact"/>
              <w:ind w:left="448"/>
              <w:rPr>
                <w:sz w:val="4"/>
              </w:rPr>
            </w:pPr>
            <w:r>
              <w:rPr>
                <w:sz w:val="4"/>
              </w:rPr>
            </w:r>
            <w:r>
              <w:rPr>
                <w:sz w:val="4"/>
              </w:rPr>
              <w:pict w14:anchorId="4571EE06">
                <v:group id="_x0000_s3356" style="width:2.45pt;height:2.45pt;mso-position-horizontal-relative:char;mso-position-vertical-relative:line" coordsize="49,49">
                  <v:shape id="_x0000_s3357" style="position:absolute;width:49;height:49" coordsize="49,49" path="m31,l18,,12,2,2,12,,17,,31r2,6l12,46r6,3l31,49r6,-3l46,37r3,-6l49,17,46,12,37,2,31,xe" fillcolor="#808285" stroked="f">
                    <v:path arrowok="t"/>
                  </v:shape>
                  <w10:wrap type="none"/>
                  <w10:anchorlock/>
                </v:group>
              </w:pict>
            </w:r>
          </w:p>
        </w:tc>
        <w:tc>
          <w:tcPr>
            <w:tcW w:w="964" w:type="dxa"/>
          </w:tcPr>
          <w:p w14:paraId="113D9B9E" w14:textId="77777777" w:rsidR="00EF5B27" w:rsidRDefault="00EF5B27">
            <w:pPr>
              <w:pStyle w:val="TableParagraph"/>
              <w:spacing w:before="11"/>
              <w:rPr>
                <w:b/>
                <w:sz w:val="11"/>
              </w:rPr>
            </w:pPr>
          </w:p>
          <w:p w14:paraId="0387B366" w14:textId="77777777" w:rsidR="00EF5B27" w:rsidRDefault="00000000">
            <w:pPr>
              <w:pStyle w:val="TableParagraph"/>
              <w:ind w:left="318" w:right="323"/>
              <w:jc w:val="center"/>
              <w:rPr>
                <w:sz w:val="14"/>
              </w:rPr>
            </w:pPr>
            <w:r>
              <w:rPr>
                <w:color w:val="4D4D4F"/>
                <w:w w:val="105"/>
                <w:sz w:val="14"/>
              </w:rPr>
              <w:t>N/A</w:t>
            </w:r>
          </w:p>
        </w:tc>
        <w:tc>
          <w:tcPr>
            <w:tcW w:w="1489" w:type="dxa"/>
          </w:tcPr>
          <w:p w14:paraId="07FA0FF9" w14:textId="77777777" w:rsidR="00EF5B27" w:rsidRDefault="00EF5B27">
            <w:pPr>
              <w:pStyle w:val="TableParagraph"/>
              <w:spacing w:before="11"/>
              <w:rPr>
                <w:b/>
                <w:sz w:val="11"/>
              </w:rPr>
            </w:pPr>
          </w:p>
          <w:p w14:paraId="1F43749D" w14:textId="77777777" w:rsidR="00EF5B27" w:rsidRDefault="00000000">
            <w:pPr>
              <w:pStyle w:val="TableParagraph"/>
              <w:ind w:left="451" w:right="457"/>
              <w:jc w:val="center"/>
              <w:rPr>
                <w:sz w:val="14"/>
              </w:rPr>
            </w:pPr>
            <w:r>
              <w:rPr>
                <w:color w:val="4D4D4F"/>
                <w:w w:val="105"/>
                <w:sz w:val="14"/>
              </w:rPr>
              <w:t>N/A</w:t>
            </w:r>
          </w:p>
        </w:tc>
      </w:tr>
      <w:tr w:rsidR="00EF5B27" w14:paraId="54EBDDAF" w14:textId="77777777">
        <w:trPr>
          <w:trHeight w:val="448"/>
        </w:trPr>
        <w:tc>
          <w:tcPr>
            <w:tcW w:w="2980" w:type="dxa"/>
          </w:tcPr>
          <w:p w14:paraId="3D658EEB" w14:textId="77777777" w:rsidR="00EF5B27" w:rsidRDefault="00EF5B27">
            <w:pPr>
              <w:pStyle w:val="TableParagraph"/>
              <w:spacing w:before="11"/>
              <w:rPr>
                <w:b/>
                <w:sz w:val="11"/>
              </w:rPr>
            </w:pPr>
          </w:p>
          <w:p w14:paraId="7C289021" w14:textId="77777777" w:rsidR="00EF5B27" w:rsidRDefault="00000000">
            <w:pPr>
              <w:pStyle w:val="TableParagraph"/>
              <w:ind w:left="79"/>
              <w:rPr>
                <w:sz w:val="14"/>
              </w:rPr>
            </w:pPr>
            <w:r>
              <w:rPr>
                <w:color w:val="4D4D4F"/>
                <w:w w:val="105"/>
                <w:sz w:val="14"/>
              </w:rPr>
              <w:t>C3 grassland</w:t>
            </w:r>
          </w:p>
        </w:tc>
        <w:tc>
          <w:tcPr>
            <w:tcW w:w="1078" w:type="dxa"/>
          </w:tcPr>
          <w:p w14:paraId="3B2E3C1F" w14:textId="77777777" w:rsidR="00EF5B27" w:rsidRDefault="00EF5B27">
            <w:pPr>
              <w:pStyle w:val="TableParagraph"/>
              <w:spacing w:before="11"/>
              <w:rPr>
                <w:b/>
                <w:sz w:val="11"/>
              </w:rPr>
            </w:pPr>
          </w:p>
          <w:p w14:paraId="77C54E18"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6751F0F1" w14:textId="77777777" w:rsidR="00EF5B27" w:rsidRDefault="00EF5B27">
            <w:pPr>
              <w:pStyle w:val="TableParagraph"/>
              <w:spacing w:before="11"/>
              <w:rPr>
                <w:b/>
                <w:sz w:val="11"/>
              </w:rPr>
            </w:pPr>
          </w:p>
          <w:p w14:paraId="4D954210" w14:textId="77777777" w:rsidR="00EF5B27" w:rsidRDefault="00000000">
            <w:pPr>
              <w:pStyle w:val="TableParagraph"/>
              <w:ind w:left="143" w:right="142"/>
              <w:jc w:val="center"/>
              <w:rPr>
                <w:sz w:val="14"/>
              </w:rPr>
            </w:pPr>
            <w:r>
              <w:rPr>
                <w:color w:val="4D4D4F"/>
                <w:w w:val="105"/>
                <w:sz w:val="14"/>
              </w:rPr>
              <w:t>Assessed every 5 years</w:t>
            </w:r>
          </w:p>
        </w:tc>
        <w:tc>
          <w:tcPr>
            <w:tcW w:w="964" w:type="dxa"/>
          </w:tcPr>
          <w:p w14:paraId="72144AF5" w14:textId="77777777" w:rsidR="00EF5B27" w:rsidRDefault="00EF5B27">
            <w:pPr>
              <w:pStyle w:val="TableParagraph"/>
              <w:spacing w:before="4"/>
              <w:rPr>
                <w:b/>
                <w:sz w:val="7"/>
              </w:rPr>
            </w:pPr>
          </w:p>
          <w:p w14:paraId="0F8C8F78" w14:textId="77777777" w:rsidR="00EF5B27" w:rsidRDefault="00000000">
            <w:pPr>
              <w:pStyle w:val="TableParagraph"/>
              <w:spacing w:line="187" w:lineRule="exact"/>
              <w:ind w:left="400"/>
              <w:rPr>
                <w:sz w:val="18"/>
              </w:rPr>
            </w:pPr>
            <w:r>
              <w:rPr>
                <w:noProof/>
                <w:position w:val="-3"/>
                <w:sz w:val="18"/>
              </w:rPr>
              <w:drawing>
                <wp:inline distT="0" distB="0" distL="0" distR="0" wp14:anchorId="3EC52370" wp14:editId="2BED4F90">
                  <wp:extent cx="100572" cy="119062"/>
                  <wp:effectExtent l="0" t="0" r="0" b="0"/>
                  <wp:docPr id="373"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139.png"/>
                          <pic:cNvPicPr/>
                        </pic:nvPicPr>
                        <pic:blipFill>
                          <a:blip r:embed="rId86" cstate="print"/>
                          <a:stretch>
                            <a:fillRect/>
                          </a:stretch>
                        </pic:blipFill>
                        <pic:spPr>
                          <a:xfrm>
                            <a:off x="0" y="0"/>
                            <a:ext cx="100572" cy="119062"/>
                          </a:xfrm>
                          <a:prstGeom prst="rect">
                            <a:avLst/>
                          </a:prstGeom>
                        </pic:spPr>
                      </pic:pic>
                    </a:graphicData>
                  </a:graphic>
                </wp:inline>
              </w:drawing>
            </w:r>
          </w:p>
          <w:p w14:paraId="1E68A8D1" w14:textId="77777777" w:rsidR="00EF5B27" w:rsidRDefault="00EF5B27">
            <w:pPr>
              <w:pStyle w:val="TableParagraph"/>
              <w:spacing w:before="8"/>
              <w:rPr>
                <w:b/>
                <w:sz w:val="2"/>
              </w:rPr>
            </w:pPr>
          </w:p>
          <w:p w14:paraId="30211293" w14:textId="77777777" w:rsidR="00EF5B27" w:rsidRDefault="00000000">
            <w:pPr>
              <w:pStyle w:val="TableParagraph"/>
              <w:spacing w:line="48" w:lineRule="exact"/>
              <w:ind w:left="448"/>
              <w:rPr>
                <w:sz w:val="4"/>
              </w:rPr>
            </w:pPr>
            <w:r>
              <w:rPr>
                <w:sz w:val="4"/>
              </w:rPr>
            </w:r>
            <w:r>
              <w:rPr>
                <w:sz w:val="4"/>
              </w:rPr>
              <w:pict w14:anchorId="326C7F6A">
                <v:group id="_x0000_s3354" style="width:2.45pt;height:2.45pt;mso-position-horizontal-relative:char;mso-position-vertical-relative:line" coordsize="49,49">
                  <v:shape id="_x0000_s3355" style="position:absolute;width:49;height:49" coordsize="49,49" path="m31,l18,,12,2,2,12,,17,,31r2,6l12,46r6,3l31,49r6,-3l46,37r3,-6l49,17,46,12,37,2,31,xe" fillcolor="#808285" stroked="f">
                    <v:path arrowok="t"/>
                  </v:shape>
                  <w10:wrap type="none"/>
                  <w10:anchorlock/>
                </v:group>
              </w:pict>
            </w:r>
          </w:p>
        </w:tc>
        <w:tc>
          <w:tcPr>
            <w:tcW w:w="964" w:type="dxa"/>
          </w:tcPr>
          <w:p w14:paraId="7FD2512A" w14:textId="77777777" w:rsidR="00EF5B27" w:rsidRDefault="00EF5B27">
            <w:pPr>
              <w:pStyle w:val="TableParagraph"/>
              <w:spacing w:before="11"/>
              <w:rPr>
                <w:b/>
                <w:sz w:val="11"/>
              </w:rPr>
            </w:pPr>
          </w:p>
          <w:p w14:paraId="4280A833" w14:textId="77777777" w:rsidR="00EF5B27" w:rsidRDefault="00000000">
            <w:pPr>
              <w:pStyle w:val="TableParagraph"/>
              <w:ind w:left="318" w:right="323"/>
              <w:jc w:val="center"/>
              <w:rPr>
                <w:sz w:val="14"/>
              </w:rPr>
            </w:pPr>
            <w:r>
              <w:rPr>
                <w:color w:val="4D4D4F"/>
                <w:w w:val="105"/>
                <w:sz w:val="14"/>
              </w:rPr>
              <w:t>N/A</w:t>
            </w:r>
          </w:p>
        </w:tc>
        <w:tc>
          <w:tcPr>
            <w:tcW w:w="1489" w:type="dxa"/>
          </w:tcPr>
          <w:p w14:paraId="5CC194C0" w14:textId="77777777" w:rsidR="00EF5B27" w:rsidRDefault="00EF5B27">
            <w:pPr>
              <w:pStyle w:val="TableParagraph"/>
              <w:spacing w:before="11"/>
              <w:rPr>
                <w:b/>
                <w:sz w:val="11"/>
              </w:rPr>
            </w:pPr>
          </w:p>
          <w:p w14:paraId="09747CFE" w14:textId="77777777" w:rsidR="00EF5B27" w:rsidRDefault="00000000">
            <w:pPr>
              <w:pStyle w:val="TableParagraph"/>
              <w:ind w:left="451" w:right="457"/>
              <w:jc w:val="center"/>
              <w:rPr>
                <w:sz w:val="14"/>
              </w:rPr>
            </w:pPr>
            <w:r>
              <w:rPr>
                <w:color w:val="4D4D4F"/>
                <w:w w:val="105"/>
                <w:sz w:val="14"/>
              </w:rPr>
              <w:t>N/A</w:t>
            </w:r>
          </w:p>
        </w:tc>
      </w:tr>
      <w:tr w:rsidR="00EF5B27" w14:paraId="1D4E0EF6" w14:textId="77777777">
        <w:trPr>
          <w:trHeight w:val="448"/>
        </w:trPr>
        <w:tc>
          <w:tcPr>
            <w:tcW w:w="2980" w:type="dxa"/>
          </w:tcPr>
          <w:p w14:paraId="77A4725D" w14:textId="77777777" w:rsidR="00EF5B27" w:rsidRDefault="00EF5B27">
            <w:pPr>
              <w:pStyle w:val="TableParagraph"/>
              <w:spacing w:before="11"/>
              <w:rPr>
                <w:b/>
                <w:sz w:val="11"/>
              </w:rPr>
            </w:pPr>
          </w:p>
          <w:p w14:paraId="7AC45A49" w14:textId="77777777" w:rsidR="00EF5B27" w:rsidRDefault="00000000">
            <w:pPr>
              <w:pStyle w:val="TableParagraph"/>
              <w:ind w:left="79"/>
              <w:rPr>
                <w:sz w:val="14"/>
              </w:rPr>
            </w:pPr>
            <w:r>
              <w:rPr>
                <w:color w:val="4D4D4F"/>
                <w:w w:val="105"/>
                <w:sz w:val="14"/>
              </w:rPr>
              <w:t>Nutrient-enriched grassland</w:t>
            </w:r>
          </w:p>
        </w:tc>
        <w:tc>
          <w:tcPr>
            <w:tcW w:w="1078" w:type="dxa"/>
          </w:tcPr>
          <w:p w14:paraId="59C89023" w14:textId="77777777" w:rsidR="00EF5B27" w:rsidRDefault="00EF5B27">
            <w:pPr>
              <w:pStyle w:val="TableParagraph"/>
              <w:spacing w:before="11"/>
              <w:rPr>
                <w:b/>
                <w:sz w:val="11"/>
              </w:rPr>
            </w:pPr>
          </w:p>
          <w:p w14:paraId="7E4E8506"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2552301E" w14:textId="77777777" w:rsidR="00EF5B27" w:rsidRDefault="00EF5B27">
            <w:pPr>
              <w:pStyle w:val="TableParagraph"/>
              <w:spacing w:before="11"/>
              <w:rPr>
                <w:b/>
                <w:sz w:val="11"/>
              </w:rPr>
            </w:pPr>
          </w:p>
          <w:p w14:paraId="5D0CA8F7" w14:textId="77777777" w:rsidR="00EF5B27" w:rsidRDefault="00000000">
            <w:pPr>
              <w:pStyle w:val="TableParagraph"/>
              <w:ind w:left="143" w:right="142"/>
              <w:jc w:val="center"/>
              <w:rPr>
                <w:sz w:val="14"/>
              </w:rPr>
            </w:pPr>
            <w:r>
              <w:rPr>
                <w:color w:val="4D4D4F"/>
                <w:w w:val="105"/>
                <w:sz w:val="14"/>
              </w:rPr>
              <w:t>Assessed every 5 years</w:t>
            </w:r>
          </w:p>
        </w:tc>
        <w:tc>
          <w:tcPr>
            <w:tcW w:w="964" w:type="dxa"/>
          </w:tcPr>
          <w:p w14:paraId="49BB032A" w14:textId="77777777" w:rsidR="00EF5B27" w:rsidRDefault="00EF5B27">
            <w:pPr>
              <w:pStyle w:val="TableParagraph"/>
              <w:spacing w:before="5"/>
              <w:rPr>
                <w:b/>
                <w:sz w:val="7"/>
              </w:rPr>
            </w:pPr>
          </w:p>
          <w:p w14:paraId="267550A1" w14:textId="77777777" w:rsidR="00EF5B27" w:rsidRDefault="00000000">
            <w:pPr>
              <w:pStyle w:val="TableParagraph"/>
              <w:spacing w:line="187" w:lineRule="exact"/>
              <w:ind w:left="400"/>
              <w:rPr>
                <w:sz w:val="18"/>
              </w:rPr>
            </w:pPr>
            <w:r>
              <w:rPr>
                <w:noProof/>
                <w:position w:val="-3"/>
                <w:sz w:val="18"/>
              </w:rPr>
              <w:drawing>
                <wp:inline distT="0" distB="0" distL="0" distR="0" wp14:anchorId="0760C846" wp14:editId="26EFD2D7">
                  <wp:extent cx="100572" cy="119062"/>
                  <wp:effectExtent l="0" t="0" r="0" b="0"/>
                  <wp:docPr id="375"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110.png"/>
                          <pic:cNvPicPr/>
                        </pic:nvPicPr>
                        <pic:blipFill>
                          <a:blip r:embed="rId94" cstate="print"/>
                          <a:stretch>
                            <a:fillRect/>
                          </a:stretch>
                        </pic:blipFill>
                        <pic:spPr>
                          <a:xfrm>
                            <a:off x="0" y="0"/>
                            <a:ext cx="100572" cy="119062"/>
                          </a:xfrm>
                          <a:prstGeom prst="rect">
                            <a:avLst/>
                          </a:prstGeom>
                        </pic:spPr>
                      </pic:pic>
                    </a:graphicData>
                  </a:graphic>
                </wp:inline>
              </w:drawing>
            </w:r>
          </w:p>
          <w:p w14:paraId="7DA2F951" w14:textId="77777777" w:rsidR="00EF5B27" w:rsidRDefault="00EF5B27">
            <w:pPr>
              <w:pStyle w:val="TableParagraph"/>
              <w:spacing w:before="7"/>
              <w:rPr>
                <w:b/>
                <w:sz w:val="2"/>
              </w:rPr>
            </w:pPr>
          </w:p>
          <w:p w14:paraId="7043878B" w14:textId="77777777" w:rsidR="00EF5B27" w:rsidRDefault="00000000">
            <w:pPr>
              <w:pStyle w:val="TableParagraph"/>
              <w:spacing w:line="48" w:lineRule="exact"/>
              <w:ind w:left="448"/>
              <w:rPr>
                <w:sz w:val="4"/>
              </w:rPr>
            </w:pPr>
            <w:r>
              <w:rPr>
                <w:sz w:val="4"/>
              </w:rPr>
            </w:r>
            <w:r>
              <w:rPr>
                <w:sz w:val="4"/>
              </w:rPr>
              <w:pict w14:anchorId="7419A1E2">
                <v:group id="_x0000_s3352" style="width:2.45pt;height:2.45pt;mso-position-horizontal-relative:char;mso-position-vertical-relative:line" coordsize="49,49">
                  <v:shape id="_x0000_s3353" style="position:absolute;width:49;height:49" coordsize="49,49" path="m31,l18,,12,2,2,12,,17,,31r2,6l12,46r6,3l31,49r6,-3l46,37r3,-6l49,17,46,12,37,2,31,xe" fillcolor="#808285" stroked="f">
                    <v:path arrowok="t"/>
                  </v:shape>
                  <w10:wrap type="none"/>
                  <w10:anchorlock/>
                </v:group>
              </w:pict>
            </w:r>
          </w:p>
        </w:tc>
        <w:tc>
          <w:tcPr>
            <w:tcW w:w="964" w:type="dxa"/>
          </w:tcPr>
          <w:p w14:paraId="69B3C7B8" w14:textId="77777777" w:rsidR="00EF5B27" w:rsidRDefault="00EF5B27">
            <w:pPr>
              <w:pStyle w:val="TableParagraph"/>
              <w:spacing w:before="11"/>
              <w:rPr>
                <w:b/>
                <w:sz w:val="11"/>
              </w:rPr>
            </w:pPr>
          </w:p>
          <w:p w14:paraId="3101D129" w14:textId="77777777" w:rsidR="00EF5B27" w:rsidRDefault="00000000">
            <w:pPr>
              <w:pStyle w:val="TableParagraph"/>
              <w:ind w:left="318" w:right="323"/>
              <w:jc w:val="center"/>
              <w:rPr>
                <w:sz w:val="14"/>
              </w:rPr>
            </w:pPr>
            <w:r>
              <w:rPr>
                <w:color w:val="4D4D4F"/>
                <w:w w:val="105"/>
                <w:sz w:val="14"/>
              </w:rPr>
              <w:t>N/A</w:t>
            </w:r>
          </w:p>
        </w:tc>
        <w:tc>
          <w:tcPr>
            <w:tcW w:w="1489" w:type="dxa"/>
          </w:tcPr>
          <w:p w14:paraId="2DC1DA47" w14:textId="77777777" w:rsidR="00EF5B27" w:rsidRDefault="00EF5B27">
            <w:pPr>
              <w:pStyle w:val="TableParagraph"/>
              <w:spacing w:before="11"/>
              <w:rPr>
                <w:b/>
                <w:sz w:val="11"/>
              </w:rPr>
            </w:pPr>
          </w:p>
          <w:p w14:paraId="00DF9B1B" w14:textId="77777777" w:rsidR="00EF5B27" w:rsidRDefault="00000000">
            <w:pPr>
              <w:pStyle w:val="TableParagraph"/>
              <w:ind w:left="451" w:right="457"/>
              <w:jc w:val="center"/>
              <w:rPr>
                <w:sz w:val="14"/>
              </w:rPr>
            </w:pPr>
            <w:r>
              <w:rPr>
                <w:color w:val="4D4D4F"/>
                <w:w w:val="105"/>
                <w:sz w:val="14"/>
              </w:rPr>
              <w:t>N/A</w:t>
            </w:r>
          </w:p>
        </w:tc>
      </w:tr>
      <w:tr w:rsidR="00EF5B27" w14:paraId="7C81F4D0" w14:textId="77777777">
        <w:trPr>
          <w:trHeight w:val="448"/>
        </w:trPr>
        <w:tc>
          <w:tcPr>
            <w:tcW w:w="2980" w:type="dxa"/>
          </w:tcPr>
          <w:p w14:paraId="56A0B707" w14:textId="77777777" w:rsidR="00EF5B27" w:rsidRDefault="00EF5B27">
            <w:pPr>
              <w:pStyle w:val="TableParagraph"/>
              <w:spacing w:before="11"/>
              <w:rPr>
                <w:b/>
                <w:sz w:val="11"/>
              </w:rPr>
            </w:pPr>
          </w:p>
          <w:p w14:paraId="6E9A6DB5" w14:textId="77777777" w:rsidR="00EF5B27" w:rsidRDefault="00000000">
            <w:pPr>
              <w:pStyle w:val="TableParagraph"/>
              <w:ind w:left="79"/>
              <w:rPr>
                <w:sz w:val="14"/>
              </w:rPr>
            </w:pPr>
            <w:r>
              <w:rPr>
                <w:color w:val="4D4D4F"/>
                <w:w w:val="105"/>
                <w:sz w:val="14"/>
              </w:rPr>
              <w:t>De-rocked grassland</w:t>
            </w:r>
          </w:p>
        </w:tc>
        <w:tc>
          <w:tcPr>
            <w:tcW w:w="1078" w:type="dxa"/>
          </w:tcPr>
          <w:p w14:paraId="356F98F6" w14:textId="77777777" w:rsidR="00EF5B27" w:rsidRDefault="00EF5B27">
            <w:pPr>
              <w:pStyle w:val="TableParagraph"/>
              <w:spacing w:before="11"/>
              <w:rPr>
                <w:b/>
                <w:sz w:val="11"/>
              </w:rPr>
            </w:pPr>
          </w:p>
          <w:p w14:paraId="154BF7E7"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1E7206ED" w14:textId="77777777" w:rsidR="00EF5B27" w:rsidRDefault="00EF5B27">
            <w:pPr>
              <w:pStyle w:val="TableParagraph"/>
              <w:spacing w:before="11"/>
              <w:rPr>
                <w:b/>
                <w:sz w:val="11"/>
              </w:rPr>
            </w:pPr>
          </w:p>
          <w:p w14:paraId="178079CF" w14:textId="77777777" w:rsidR="00EF5B27" w:rsidRDefault="00000000">
            <w:pPr>
              <w:pStyle w:val="TableParagraph"/>
              <w:ind w:left="143" w:right="142"/>
              <w:jc w:val="center"/>
              <w:rPr>
                <w:sz w:val="14"/>
              </w:rPr>
            </w:pPr>
            <w:r>
              <w:rPr>
                <w:color w:val="4D4D4F"/>
                <w:w w:val="105"/>
                <w:sz w:val="14"/>
              </w:rPr>
              <w:t>Assessed every 5 years</w:t>
            </w:r>
          </w:p>
        </w:tc>
        <w:tc>
          <w:tcPr>
            <w:tcW w:w="964" w:type="dxa"/>
          </w:tcPr>
          <w:p w14:paraId="36CDA728" w14:textId="77777777" w:rsidR="00EF5B27" w:rsidRDefault="00EF5B27">
            <w:pPr>
              <w:pStyle w:val="TableParagraph"/>
              <w:spacing w:before="4"/>
              <w:rPr>
                <w:b/>
                <w:sz w:val="7"/>
              </w:rPr>
            </w:pPr>
          </w:p>
          <w:p w14:paraId="0A9282C6" w14:textId="77777777" w:rsidR="00EF5B27" w:rsidRDefault="00000000">
            <w:pPr>
              <w:pStyle w:val="TableParagraph"/>
              <w:spacing w:line="187" w:lineRule="exact"/>
              <w:ind w:left="400"/>
              <w:rPr>
                <w:sz w:val="18"/>
              </w:rPr>
            </w:pPr>
            <w:r>
              <w:rPr>
                <w:noProof/>
                <w:position w:val="-3"/>
                <w:sz w:val="18"/>
              </w:rPr>
              <w:drawing>
                <wp:inline distT="0" distB="0" distL="0" distR="0" wp14:anchorId="166457B6" wp14:editId="2285974B">
                  <wp:extent cx="100572" cy="119062"/>
                  <wp:effectExtent l="0" t="0" r="0" b="0"/>
                  <wp:docPr id="377"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140.png"/>
                          <pic:cNvPicPr/>
                        </pic:nvPicPr>
                        <pic:blipFill>
                          <a:blip r:embed="rId76" cstate="print"/>
                          <a:stretch>
                            <a:fillRect/>
                          </a:stretch>
                        </pic:blipFill>
                        <pic:spPr>
                          <a:xfrm>
                            <a:off x="0" y="0"/>
                            <a:ext cx="100572" cy="119062"/>
                          </a:xfrm>
                          <a:prstGeom prst="rect">
                            <a:avLst/>
                          </a:prstGeom>
                        </pic:spPr>
                      </pic:pic>
                    </a:graphicData>
                  </a:graphic>
                </wp:inline>
              </w:drawing>
            </w:r>
          </w:p>
          <w:p w14:paraId="31AFA638" w14:textId="77777777" w:rsidR="00EF5B27" w:rsidRDefault="00EF5B27">
            <w:pPr>
              <w:pStyle w:val="TableParagraph"/>
              <w:spacing w:before="8"/>
              <w:rPr>
                <w:b/>
                <w:sz w:val="2"/>
              </w:rPr>
            </w:pPr>
          </w:p>
          <w:p w14:paraId="3A888657" w14:textId="77777777" w:rsidR="00EF5B27" w:rsidRDefault="00000000">
            <w:pPr>
              <w:pStyle w:val="TableParagraph"/>
              <w:spacing w:line="48" w:lineRule="exact"/>
              <w:ind w:left="448"/>
              <w:rPr>
                <w:sz w:val="4"/>
              </w:rPr>
            </w:pPr>
            <w:r>
              <w:rPr>
                <w:sz w:val="4"/>
              </w:rPr>
            </w:r>
            <w:r>
              <w:rPr>
                <w:sz w:val="4"/>
              </w:rPr>
              <w:pict w14:anchorId="66B95448">
                <v:group id="_x0000_s3350" style="width:2.45pt;height:2.45pt;mso-position-horizontal-relative:char;mso-position-vertical-relative:line" coordsize="49,49">
                  <v:shape id="_x0000_s3351" style="position:absolute;width:49;height:49" coordsize="49,49" path="m31,l18,,12,2,2,12,,17,,31r2,6l12,46r6,3l31,49r6,-3l46,37r3,-6l49,17,46,12,37,2,31,xe" fillcolor="#808285" stroked="f">
                    <v:path arrowok="t"/>
                  </v:shape>
                  <w10:wrap type="none"/>
                  <w10:anchorlock/>
                </v:group>
              </w:pict>
            </w:r>
          </w:p>
        </w:tc>
        <w:tc>
          <w:tcPr>
            <w:tcW w:w="964" w:type="dxa"/>
          </w:tcPr>
          <w:p w14:paraId="229682D6" w14:textId="77777777" w:rsidR="00EF5B27" w:rsidRDefault="00EF5B27">
            <w:pPr>
              <w:pStyle w:val="TableParagraph"/>
              <w:spacing w:before="11"/>
              <w:rPr>
                <w:b/>
                <w:sz w:val="11"/>
              </w:rPr>
            </w:pPr>
          </w:p>
          <w:p w14:paraId="03260D4F" w14:textId="77777777" w:rsidR="00EF5B27" w:rsidRDefault="00000000">
            <w:pPr>
              <w:pStyle w:val="TableParagraph"/>
              <w:ind w:left="318" w:right="323"/>
              <w:jc w:val="center"/>
              <w:rPr>
                <w:sz w:val="14"/>
              </w:rPr>
            </w:pPr>
            <w:r>
              <w:rPr>
                <w:color w:val="4D4D4F"/>
                <w:w w:val="105"/>
                <w:sz w:val="14"/>
              </w:rPr>
              <w:t>N/A</w:t>
            </w:r>
          </w:p>
        </w:tc>
        <w:tc>
          <w:tcPr>
            <w:tcW w:w="1489" w:type="dxa"/>
          </w:tcPr>
          <w:p w14:paraId="65D940B3" w14:textId="77777777" w:rsidR="00EF5B27" w:rsidRDefault="00EF5B27">
            <w:pPr>
              <w:pStyle w:val="TableParagraph"/>
              <w:spacing w:before="11"/>
              <w:rPr>
                <w:b/>
                <w:sz w:val="11"/>
              </w:rPr>
            </w:pPr>
          </w:p>
          <w:p w14:paraId="5A940B4A" w14:textId="77777777" w:rsidR="00EF5B27" w:rsidRDefault="00000000">
            <w:pPr>
              <w:pStyle w:val="TableParagraph"/>
              <w:ind w:left="451" w:right="457"/>
              <w:jc w:val="center"/>
              <w:rPr>
                <w:sz w:val="14"/>
              </w:rPr>
            </w:pPr>
            <w:r>
              <w:rPr>
                <w:color w:val="4D4D4F"/>
                <w:w w:val="105"/>
                <w:sz w:val="14"/>
              </w:rPr>
              <w:t>N/A</w:t>
            </w:r>
          </w:p>
        </w:tc>
      </w:tr>
    </w:tbl>
    <w:p w14:paraId="2099D516" w14:textId="77777777" w:rsidR="00EF5B27" w:rsidRDefault="00EF5B27">
      <w:pPr>
        <w:pStyle w:val="BodyText"/>
        <w:rPr>
          <w:b/>
          <w:sz w:val="25"/>
        </w:rPr>
      </w:pPr>
    </w:p>
    <w:p w14:paraId="48907AD8" w14:textId="77777777" w:rsidR="00EF5B27" w:rsidRDefault="00000000">
      <w:pPr>
        <w:ind w:left="2608"/>
        <w:rPr>
          <w:b/>
          <w:sz w:val="20"/>
        </w:rPr>
      </w:pPr>
      <w:r>
        <w:rPr>
          <w:b/>
          <w:color w:val="4D4D4F"/>
          <w:sz w:val="20"/>
        </w:rPr>
        <w:t>KP2: Cover of native perennial forbs</w:t>
      </w:r>
    </w:p>
    <w:p w14:paraId="69C57FBE" w14:textId="77777777" w:rsidR="00EF5B27" w:rsidRDefault="00EF5B27">
      <w:pPr>
        <w:pStyle w:val="BodyText"/>
        <w:spacing w:before="2"/>
        <w:rPr>
          <w:b/>
          <w:sz w:val="14"/>
        </w:rPr>
      </w:pPr>
    </w:p>
    <w:tbl>
      <w:tblPr>
        <w:tblW w:w="0" w:type="auto"/>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4197BC1D" w14:textId="77777777">
        <w:trPr>
          <w:trHeight w:val="561"/>
        </w:trPr>
        <w:tc>
          <w:tcPr>
            <w:tcW w:w="2980" w:type="dxa"/>
            <w:shd w:val="clear" w:color="auto" w:fill="FECC91"/>
          </w:tcPr>
          <w:p w14:paraId="58C27C9B" w14:textId="77777777" w:rsidR="00EF5B27" w:rsidRDefault="00EF5B27">
            <w:pPr>
              <w:pStyle w:val="TableParagraph"/>
              <w:spacing w:before="7"/>
              <w:rPr>
                <w:b/>
                <w:sz w:val="15"/>
              </w:rPr>
            </w:pPr>
          </w:p>
          <w:p w14:paraId="38332552" w14:textId="77777777" w:rsidR="00EF5B27" w:rsidRDefault="00000000">
            <w:pPr>
              <w:pStyle w:val="TableParagraph"/>
              <w:spacing w:before="1"/>
              <w:ind w:left="80"/>
              <w:rPr>
                <w:b/>
                <w:sz w:val="16"/>
              </w:rPr>
            </w:pPr>
            <w:r>
              <w:rPr>
                <w:b/>
                <w:sz w:val="16"/>
              </w:rPr>
              <w:t>KPI 2: Cover of native perennial forbs</w:t>
            </w:r>
          </w:p>
        </w:tc>
        <w:tc>
          <w:tcPr>
            <w:tcW w:w="1078" w:type="dxa"/>
            <w:shd w:val="clear" w:color="auto" w:fill="FECC91"/>
          </w:tcPr>
          <w:p w14:paraId="1D2B7A8E"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2809632B" w14:textId="77777777" w:rsidR="00EF5B27" w:rsidRDefault="00EF5B27">
            <w:pPr>
              <w:pStyle w:val="TableParagraph"/>
              <w:spacing w:before="7"/>
              <w:rPr>
                <w:b/>
                <w:sz w:val="15"/>
              </w:rPr>
            </w:pPr>
          </w:p>
          <w:p w14:paraId="0B2E2A56"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051AE430" w14:textId="77777777" w:rsidR="00EF5B27" w:rsidRDefault="00EF5B27">
            <w:pPr>
              <w:pStyle w:val="TableParagraph"/>
              <w:spacing w:before="7"/>
              <w:rPr>
                <w:b/>
                <w:sz w:val="15"/>
              </w:rPr>
            </w:pPr>
          </w:p>
          <w:p w14:paraId="73B0A8BA"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5B45D69D"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2147265F"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352BAC48" w14:textId="77777777">
        <w:trPr>
          <w:trHeight w:val="448"/>
        </w:trPr>
        <w:tc>
          <w:tcPr>
            <w:tcW w:w="2980" w:type="dxa"/>
          </w:tcPr>
          <w:p w14:paraId="751887D0" w14:textId="77777777" w:rsidR="00EF5B27" w:rsidRDefault="00EF5B27">
            <w:pPr>
              <w:pStyle w:val="TableParagraph"/>
              <w:spacing w:before="11"/>
              <w:rPr>
                <w:b/>
                <w:sz w:val="11"/>
              </w:rPr>
            </w:pPr>
          </w:p>
          <w:p w14:paraId="491F2A40" w14:textId="77777777" w:rsidR="00EF5B27" w:rsidRDefault="00000000">
            <w:pPr>
              <w:pStyle w:val="TableParagraph"/>
              <w:ind w:left="80"/>
              <w:rPr>
                <w:sz w:val="14"/>
              </w:rPr>
            </w:pPr>
            <w:r>
              <w:rPr>
                <w:color w:val="4D4D4F"/>
                <w:w w:val="105"/>
                <w:sz w:val="14"/>
              </w:rPr>
              <w:t>Herb-rich grassland</w:t>
            </w:r>
          </w:p>
        </w:tc>
        <w:tc>
          <w:tcPr>
            <w:tcW w:w="1078" w:type="dxa"/>
          </w:tcPr>
          <w:p w14:paraId="4BA4C479" w14:textId="77777777" w:rsidR="00EF5B27" w:rsidRDefault="00EF5B27">
            <w:pPr>
              <w:pStyle w:val="TableParagraph"/>
              <w:spacing w:before="11"/>
              <w:rPr>
                <w:b/>
                <w:sz w:val="11"/>
              </w:rPr>
            </w:pPr>
          </w:p>
          <w:p w14:paraId="0B122D07"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53561B91" w14:textId="77777777" w:rsidR="00EF5B27" w:rsidRDefault="00EF5B27">
            <w:pPr>
              <w:pStyle w:val="TableParagraph"/>
              <w:spacing w:before="11"/>
              <w:rPr>
                <w:b/>
                <w:sz w:val="11"/>
              </w:rPr>
            </w:pPr>
          </w:p>
          <w:p w14:paraId="296C6218" w14:textId="77777777" w:rsidR="00EF5B27" w:rsidRDefault="00000000">
            <w:pPr>
              <w:pStyle w:val="TableParagraph"/>
              <w:ind w:left="143" w:right="142"/>
              <w:jc w:val="center"/>
              <w:rPr>
                <w:sz w:val="14"/>
              </w:rPr>
            </w:pPr>
            <w:r>
              <w:rPr>
                <w:color w:val="4D4D4F"/>
                <w:sz w:val="14"/>
              </w:rPr>
              <w:t>Baseline not yet set</w:t>
            </w:r>
          </w:p>
        </w:tc>
        <w:tc>
          <w:tcPr>
            <w:tcW w:w="964" w:type="dxa"/>
          </w:tcPr>
          <w:p w14:paraId="3DFBF315" w14:textId="77777777" w:rsidR="00EF5B27" w:rsidRDefault="00EF5B27">
            <w:pPr>
              <w:pStyle w:val="TableParagraph"/>
              <w:spacing w:before="4"/>
              <w:rPr>
                <w:b/>
                <w:sz w:val="7"/>
              </w:rPr>
            </w:pPr>
          </w:p>
          <w:p w14:paraId="05A94799" w14:textId="77777777" w:rsidR="00EF5B27" w:rsidRDefault="00000000">
            <w:pPr>
              <w:pStyle w:val="TableParagraph"/>
              <w:spacing w:line="187" w:lineRule="exact"/>
              <w:ind w:left="400"/>
              <w:rPr>
                <w:sz w:val="18"/>
              </w:rPr>
            </w:pPr>
            <w:r>
              <w:rPr>
                <w:noProof/>
                <w:position w:val="-3"/>
                <w:sz w:val="18"/>
              </w:rPr>
              <w:drawing>
                <wp:inline distT="0" distB="0" distL="0" distR="0" wp14:anchorId="6EE329F1" wp14:editId="1BCCEFF3">
                  <wp:extent cx="100572" cy="119062"/>
                  <wp:effectExtent l="0" t="0" r="0" b="0"/>
                  <wp:docPr id="379"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140.png"/>
                          <pic:cNvPicPr/>
                        </pic:nvPicPr>
                        <pic:blipFill>
                          <a:blip r:embed="rId76" cstate="print"/>
                          <a:stretch>
                            <a:fillRect/>
                          </a:stretch>
                        </pic:blipFill>
                        <pic:spPr>
                          <a:xfrm>
                            <a:off x="0" y="0"/>
                            <a:ext cx="100572" cy="119062"/>
                          </a:xfrm>
                          <a:prstGeom prst="rect">
                            <a:avLst/>
                          </a:prstGeom>
                        </pic:spPr>
                      </pic:pic>
                    </a:graphicData>
                  </a:graphic>
                </wp:inline>
              </w:drawing>
            </w:r>
          </w:p>
          <w:p w14:paraId="4A2C5953" w14:textId="77777777" w:rsidR="00EF5B27" w:rsidRDefault="00EF5B27">
            <w:pPr>
              <w:pStyle w:val="TableParagraph"/>
              <w:spacing w:before="8"/>
              <w:rPr>
                <w:b/>
                <w:sz w:val="2"/>
              </w:rPr>
            </w:pPr>
          </w:p>
          <w:p w14:paraId="226BAD74" w14:textId="77777777" w:rsidR="00EF5B27" w:rsidRDefault="00000000">
            <w:pPr>
              <w:pStyle w:val="TableParagraph"/>
              <w:spacing w:line="48" w:lineRule="exact"/>
              <w:ind w:left="448"/>
              <w:rPr>
                <w:sz w:val="4"/>
              </w:rPr>
            </w:pPr>
            <w:r>
              <w:rPr>
                <w:sz w:val="4"/>
              </w:rPr>
            </w:r>
            <w:r>
              <w:rPr>
                <w:sz w:val="4"/>
              </w:rPr>
              <w:pict w14:anchorId="38C960DA">
                <v:group id="_x0000_s3348" style="width:2.45pt;height:2.45pt;mso-position-horizontal-relative:char;mso-position-vertical-relative:line" coordsize="49,49">
                  <v:shape id="_x0000_s3349" style="position:absolute;width:49;height:49" coordsize="49,49" path="m31,l18,,12,2,2,12,,17,,31r2,6l12,46r6,3l31,49r6,-3l46,37r3,-6l49,17,46,12,37,2,31,xe" fillcolor="#808285" stroked="f">
                    <v:path arrowok="t"/>
                  </v:shape>
                  <w10:wrap type="none"/>
                  <w10:anchorlock/>
                </v:group>
              </w:pict>
            </w:r>
          </w:p>
        </w:tc>
        <w:tc>
          <w:tcPr>
            <w:tcW w:w="964" w:type="dxa"/>
          </w:tcPr>
          <w:p w14:paraId="17EA0EFD" w14:textId="77777777" w:rsidR="00EF5B27" w:rsidRDefault="00EF5B27">
            <w:pPr>
              <w:pStyle w:val="TableParagraph"/>
              <w:spacing w:before="11"/>
              <w:rPr>
                <w:b/>
                <w:sz w:val="11"/>
              </w:rPr>
            </w:pPr>
          </w:p>
          <w:p w14:paraId="094DBD35" w14:textId="77777777" w:rsidR="00EF5B27" w:rsidRDefault="00000000">
            <w:pPr>
              <w:pStyle w:val="TableParagraph"/>
              <w:ind w:left="318" w:right="323"/>
              <w:jc w:val="center"/>
              <w:rPr>
                <w:sz w:val="14"/>
              </w:rPr>
            </w:pPr>
            <w:r>
              <w:rPr>
                <w:color w:val="4D4D4F"/>
                <w:w w:val="105"/>
                <w:sz w:val="14"/>
              </w:rPr>
              <w:t>N/A</w:t>
            </w:r>
          </w:p>
        </w:tc>
        <w:tc>
          <w:tcPr>
            <w:tcW w:w="1489" w:type="dxa"/>
          </w:tcPr>
          <w:p w14:paraId="06603DB3" w14:textId="77777777" w:rsidR="00EF5B27" w:rsidRDefault="00000000">
            <w:pPr>
              <w:pStyle w:val="TableParagraph"/>
              <w:spacing w:before="134"/>
              <w:ind w:left="581"/>
              <w:rPr>
                <w:sz w:val="16"/>
              </w:rPr>
            </w:pPr>
            <w:r>
              <w:rPr>
                <w:color w:val="4D4D4F"/>
                <w:sz w:val="16"/>
              </w:rPr>
              <w:t>2026</w:t>
            </w:r>
          </w:p>
        </w:tc>
      </w:tr>
      <w:tr w:rsidR="00EF5B27" w14:paraId="029B1F09" w14:textId="77777777">
        <w:trPr>
          <w:trHeight w:val="448"/>
        </w:trPr>
        <w:tc>
          <w:tcPr>
            <w:tcW w:w="2980" w:type="dxa"/>
          </w:tcPr>
          <w:p w14:paraId="677D1F18" w14:textId="77777777" w:rsidR="00EF5B27" w:rsidRDefault="00EF5B27">
            <w:pPr>
              <w:pStyle w:val="TableParagraph"/>
              <w:spacing w:before="11"/>
              <w:rPr>
                <w:b/>
                <w:sz w:val="11"/>
              </w:rPr>
            </w:pPr>
          </w:p>
          <w:p w14:paraId="461ECCDC" w14:textId="77777777" w:rsidR="00EF5B27" w:rsidRDefault="00000000">
            <w:pPr>
              <w:pStyle w:val="TableParagraph"/>
              <w:ind w:left="80"/>
              <w:rPr>
                <w:sz w:val="14"/>
              </w:rPr>
            </w:pPr>
            <w:r>
              <w:rPr>
                <w:rFonts w:ascii="Arial Narrow"/>
                <w:i/>
                <w:color w:val="4D4D4F"/>
                <w:w w:val="110"/>
                <w:sz w:val="14"/>
              </w:rPr>
              <w:t xml:space="preserve">Themeda </w:t>
            </w:r>
            <w:r>
              <w:rPr>
                <w:color w:val="4D4D4F"/>
                <w:w w:val="110"/>
                <w:sz w:val="14"/>
              </w:rPr>
              <w:t>grassland</w:t>
            </w:r>
          </w:p>
        </w:tc>
        <w:tc>
          <w:tcPr>
            <w:tcW w:w="1078" w:type="dxa"/>
          </w:tcPr>
          <w:p w14:paraId="26A5F867" w14:textId="77777777" w:rsidR="00EF5B27" w:rsidRDefault="00EF5B27">
            <w:pPr>
              <w:pStyle w:val="TableParagraph"/>
              <w:spacing w:before="11"/>
              <w:rPr>
                <w:b/>
                <w:sz w:val="11"/>
              </w:rPr>
            </w:pPr>
          </w:p>
          <w:p w14:paraId="48375126"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0D30EE75" w14:textId="77777777" w:rsidR="00EF5B27" w:rsidRDefault="00EF5B27">
            <w:pPr>
              <w:pStyle w:val="TableParagraph"/>
              <w:spacing w:before="11"/>
              <w:rPr>
                <w:b/>
                <w:sz w:val="11"/>
              </w:rPr>
            </w:pPr>
          </w:p>
          <w:p w14:paraId="2938B534" w14:textId="77777777" w:rsidR="00EF5B27" w:rsidRDefault="00000000">
            <w:pPr>
              <w:pStyle w:val="TableParagraph"/>
              <w:ind w:left="143" w:right="142"/>
              <w:jc w:val="center"/>
              <w:rPr>
                <w:sz w:val="14"/>
              </w:rPr>
            </w:pPr>
            <w:r>
              <w:rPr>
                <w:color w:val="4D4D4F"/>
                <w:sz w:val="14"/>
              </w:rPr>
              <w:t>Baseline not yet set</w:t>
            </w:r>
          </w:p>
        </w:tc>
        <w:tc>
          <w:tcPr>
            <w:tcW w:w="964" w:type="dxa"/>
          </w:tcPr>
          <w:p w14:paraId="7F8C564A" w14:textId="77777777" w:rsidR="00EF5B27" w:rsidRDefault="00EF5B27">
            <w:pPr>
              <w:pStyle w:val="TableParagraph"/>
              <w:spacing w:before="4"/>
              <w:rPr>
                <w:b/>
                <w:sz w:val="7"/>
              </w:rPr>
            </w:pPr>
          </w:p>
          <w:p w14:paraId="45D7633F" w14:textId="77777777" w:rsidR="00EF5B27" w:rsidRDefault="00000000">
            <w:pPr>
              <w:pStyle w:val="TableParagraph"/>
              <w:spacing w:line="187" w:lineRule="exact"/>
              <w:ind w:left="400"/>
              <w:rPr>
                <w:sz w:val="18"/>
              </w:rPr>
            </w:pPr>
            <w:r>
              <w:rPr>
                <w:noProof/>
                <w:position w:val="-3"/>
                <w:sz w:val="18"/>
              </w:rPr>
              <w:drawing>
                <wp:inline distT="0" distB="0" distL="0" distR="0" wp14:anchorId="20956E7A" wp14:editId="1FBC0BA6">
                  <wp:extent cx="100572" cy="119062"/>
                  <wp:effectExtent l="0" t="0" r="0" b="0"/>
                  <wp:docPr id="381"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141.png"/>
                          <pic:cNvPicPr/>
                        </pic:nvPicPr>
                        <pic:blipFill>
                          <a:blip r:embed="rId75" cstate="print"/>
                          <a:stretch>
                            <a:fillRect/>
                          </a:stretch>
                        </pic:blipFill>
                        <pic:spPr>
                          <a:xfrm>
                            <a:off x="0" y="0"/>
                            <a:ext cx="100572" cy="119062"/>
                          </a:xfrm>
                          <a:prstGeom prst="rect">
                            <a:avLst/>
                          </a:prstGeom>
                        </pic:spPr>
                      </pic:pic>
                    </a:graphicData>
                  </a:graphic>
                </wp:inline>
              </w:drawing>
            </w:r>
          </w:p>
          <w:p w14:paraId="73074638" w14:textId="77777777" w:rsidR="00EF5B27" w:rsidRDefault="00EF5B27">
            <w:pPr>
              <w:pStyle w:val="TableParagraph"/>
              <w:spacing w:before="8"/>
              <w:rPr>
                <w:b/>
                <w:sz w:val="2"/>
              </w:rPr>
            </w:pPr>
          </w:p>
          <w:p w14:paraId="791DC67B" w14:textId="77777777" w:rsidR="00EF5B27" w:rsidRDefault="00000000">
            <w:pPr>
              <w:pStyle w:val="TableParagraph"/>
              <w:spacing w:line="48" w:lineRule="exact"/>
              <w:ind w:left="448"/>
              <w:rPr>
                <w:sz w:val="4"/>
              </w:rPr>
            </w:pPr>
            <w:r>
              <w:rPr>
                <w:sz w:val="4"/>
              </w:rPr>
            </w:r>
            <w:r>
              <w:rPr>
                <w:sz w:val="4"/>
              </w:rPr>
              <w:pict w14:anchorId="0201B654">
                <v:group id="_x0000_s3346" style="width:2.45pt;height:2.45pt;mso-position-horizontal-relative:char;mso-position-vertical-relative:line" coordsize="49,49">
                  <v:shape id="_x0000_s3347" style="position:absolute;width:49;height:49" coordsize="49,49" path="m31,l18,,12,2,2,12,,17,,31r2,6l12,46r6,3l31,49r6,-3l46,37r3,-6l49,17,46,12,37,2,31,xe" fillcolor="#808285" stroked="f">
                    <v:path arrowok="t"/>
                  </v:shape>
                  <w10:wrap type="none"/>
                  <w10:anchorlock/>
                </v:group>
              </w:pict>
            </w:r>
          </w:p>
        </w:tc>
        <w:tc>
          <w:tcPr>
            <w:tcW w:w="964" w:type="dxa"/>
          </w:tcPr>
          <w:p w14:paraId="06544B82" w14:textId="77777777" w:rsidR="00EF5B27" w:rsidRDefault="00EF5B27">
            <w:pPr>
              <w:pStyle w:val="TableParagraph"/>
              <w:spacing w:before="11"/>
              <w:rPr>
                <w:b/>
                <w:sz w:val="11"/>
              </w:rPr>
            </w:pPr>
          </w:p>
          <w:p w14:paraId="6AE16037" w14:textId="77777777" w:rsidR="00EF5B27" w:rsidRDefault="00000000">
            <w:pPr>
              <w:pStyle w:val="TableParagraph"/>
              <w:ind w:left="318" w:right="323"/>
              <w:jc w:val="center"/>
              <w:rPr>
                <w:sz w:val="14"/>
              </w:rPr>
            </w:pPr>
            <w:r>
              <w:rPr>
                <w:color w:val="4D4D4F"/>
                <w:w w:val="105"/>
                <w:sz w:val="14"/>
              </w:rPr>
              <w:t>N/A</w:t>
            </w:r>
          </w:p>
        </w:tc>
        <w:tc>
          <w:tcPr>
            <w:tcW w:w="1489" w:type="dxa"/>
          </w:tcPr>
          <w:p w14:paraId="6334FB57" w14:textId="77777777" w:rsidR="00EF5B27" w:rsidRDefault="00000000">
            <w:pPr>
              <w:pStyle w:val="TableParagraph"/>
              <w:spacing w:before="134"/>
              <w:ind w:left="581"/>
              <w:rPr>
                <w:sz w:val="16"/>
              </w:rPr>
            </w:pPr>
            <w:r>
              <w:rPr>
                <w:color w:val="4D4D4F"/>
                <w:sz w:val="16"/>
              </w:rPr>
              <w:t>2026</w:t>
            </w:r>
          </w:p>
        </w:tc>
      </w:tr>
      <w:tr w:rsidR="00EF5B27" w14:paraId="030FBB69" w14:textId="77777777">
        <w:trPr>
          <w:trHeight w:val="448"/>
        </w:trPr>
        <w:tc>
          <w:tcPr>
            <w:tcW w:w="2980" w:type="dxa"/>
          </w:tcPr>
          <w:p w14:paraId="14025B5D" w14:textId="77777777" w:rsidR="00EF5B27" w:rsidRDefault="00EF5B27">
            <w:pPr>
              <w:pStyle w:val="TableParagraph"/>
              <w:spacing w:before="11"/>
              <w:rPr>
                <w:b/>
                <w:sz w:val="11"/>
              </w:rPr>
            </w:pPr>
          </w:p>
          <w:p w14:paraId="3977B004" w14:textId="77777777" w:rsidR="00EF5B27" w:rsidRDefault="00000000">
            <w:pPr>
              <w:pStyle w:val="TableParagraph"/>
              <w:ind w:left="80"/>
              <w:rPr>
                <w:sz w:val="14"/>
              </w:rPr>
            </w:pPr>
            <w:r>
              <w:rPr>
                <w:color w:val="4D4D4F"/>
                <w:w w:val="105"/>
                <w:sz w:val="14"/>
              </w:rPr>
              <w:t>C3 grassland</w:t>
            </w:r>
          </w:p>
        </w:tc>
        <w:tc>
          <w:tcPr>
            <w:tcW w:w="1078" w:type="dxa"/>
          </w:tcPr>
          <w:p w14:paraId="3FA860E5" w14:textId="77777777" w:rsidR="00EF5B27" w:rsidRDefault="00EF5B27">
            <w:pPr>
              <w:pStyle w:val="TableParagraph"/>
              <w:spacing w:before="11"/>
              <w:rPr>
                <w:b/>
                <w:sz w:val="11"/>
              </w:rPr>
            </w:pPr>
          </w:p>
          <w:p w14:paraId="399A0A0F"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6580A542" w14:textId="77777777" w:rsidR="00EF5B27" w:rsidRDefault="00EF5B27">
            <w:pPr>
              <w:pStyle w:val="TableParagraph"/>
              <w:spacing w:before="11"/>
              <w:rPr>
                <w:b/>
                <w:sz w:val="11"/>
              </w:rPr>
            </w:pPr>
          </w:p>
          <w:p w14:paraId="1350BD94" w14:textId="77777777" w:rsidR="00EF5B27" w:rsidRDefault="00000000">
            <w:pPr>
              <w:pStyle w:val="TableParagraph"/>
              <w:ind w:left="143" w:right="142"/>
              <w:jc w:val="center"/>
              <w:rPr>
                <w:sz w:val="14"/>
              </w:rPr>
            </w:pPr>
            <w:r>
              <w:rPr>
                <w:color w:val="4D4D4F"/>
                <w:sz w:val="14"/>
              </w:rPr>
              <w:t>Baseline not yet set</w:t>
            </w:r>
          </w:p>
        </w:tc>
        <w:tc>
          <w:tcPr>
            <w:tcW w:w="964" w:type="dxa"/>
          </w:tcPr>
          <w:p w14:paraId="1B85A01F" w14:textId="77777777" w:rsidR="00EF5B27" w:rsidRDefault="00EF5B27">
            <w:pPr>
              <w:pStyle w:val="TableParagraph"/>
              <w:spacing w:before="4"/>
              <w:rPr>
                <w:b/>
                <w:sz w:val="7"/>
              </w:rPr>
            </w:pPr>
          </w:p>
          <w:p w14:paraId="705C986E" w14:textId="77777777" w:rsidR="00EF5B27" w:rsidRDefault="00000000">
            <w:pPr>
              <w:pStyle w:val="TableParagraph"/>
              <w:spacing w:line="187" w:lineRule="exact"/>
              <w:ind w:left="400"/>
              <w:rPr>
                <w:sz w:val="18"/>
              </w:rPr>
            </w:pPr>
            <w:r>
              <w:rPr>
                <w:noProof/>
                <w:position w:val="-3"/>
                <w:sz w:val="18"/>
              </w:rPr>
              <w:drawing>
                <wp:inline distT="0" distB="0" distL="0" distR="0" wp14:anchorId="16BC6A8B" wp14:editId="5550088D">
                  <wp:extent cx="100572" cy="119062"/>
                  <wp:effectExtent l="0" t="0" r="0" b="0"/>
                  <wp:docPr id="383"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142.png"/>
                          <pic:cNvPicPr/>
                        </pic:nvPicPr>
                        <pic:blipFill>
                          <a:blip r:embed="rId76" cstate="print"/>
                          <a:stretch>
                            <a:fillRect/>
                          </a:stretch>
                        </pic:blipFill>
                        <pic:spPr>
                          <a:xfrm>
                            <a:off x="0" y="0"/>
                            <a:ext cx="100572" cy="119062"/>
                          </a:xfrm>
                          <a:prstGeom prst="rect">
                            <a:avLst/>
                          </a:prstGeom>
                        </pic:spPr>
                      </pic:pic>
                    </a:graphicData>
                  </a:graphic>
                </wp:inline>
              </w:drawing>
            </w:r>
          </w:p>
          <w:p w14:paraId="2B50A5A1" w14:textId="77777777" w:rsidR="00EF5B27" w:rsidRDefault="00EF5B27">
            <w:pPr>
              <w:pStyle w:val="TableParagraph"/>
              <w:spacing w:before="8"/>
              <w:rPr>
                <w:b/>
                <w:sz w:val="2"/>
              </w:rPr>
            </w:pPr>
          </w:p>
          <w:p w14:paraId="4FEEDA18" w14:textId="77777777" w:rsidR="00EF5B27" w:rsidRDefault="00000000">
            <w:pPr>
              <w:pStyle w:val="TableParagraph"/>
              <w:spacing w:line="48" w:lineRule="exact"/>
              <w:ind w:left="448"/>
              <w:rPr>
                <w:sz w:val="4"/>
              </w:rPr>
            </w:pPr>
            <w:r>
              <w:rPr>
                <w:sz w:val="4"/>
              </w:rPr>
            </w:r>
            <w:r>
              <w:rPr>
                <w:sz w:val="4"/>
              </w:rPr>
              <w:pict w14:anchorId="0B08D2C1">
                <v:group id="_x0000_s3344" style="width:2.45pt;height:2.45pt;mso-position-horizontal-relative:char;mso-position-vertical-relative:line" coordsize="49,49">
                  <v:shape id="_x0000_s3345" style="position:absolute;width:49;height:49" coordsize="49,49" path="m31,l18,,12,2,2,12,,17,,31r2,6l12,46r6,3l31,49r6,-3l46,37r3,-6l49,17,46,12,37,2,31,xe" fillcolor="#808285" stroked="f">
                    <v:path arrowok="t"/>
                  </v:shape>
                  <w10:wrap type="none"/>
                  <w10:anchorlock/>
                </v:group>
              </w:pict>
            </w:r>
          </w:p>
        </w:tc>
        <w:tc>
          <w:tcPr>
            <w:tcW w:w="964" w:type="dxa"/>
          </w:tcPr>
          <w:p w14:paraId="1931A4EF" w14:textId="77777777" w:rsidR="00EF5B27" w:rsidRDefault="00EF5B27">
            <w:pPr>
              <w:pStyle w:val="TableParagraph"/>
              <w:spacing w:before="11"/>
              <w:rPr>
                <w:b/>
                <w:sz w:val="11"/>
              </w:rPr>
            </w:pPr>
          </w:p>
          <w:p w14:paraId="209132FA" w14:textId="77777777" w:rsidR="00EF5B27" w:rsidRDefault="00000000">
            <w:pPr>
              <w:pStyle w:val="TableParagraph"/>
              <w:ind w:left="318" w:right="323"/>
              <w:jc w:val="center"/>
              <w:rPr>
                <w:sz w:val="14"/>
              </w:rPr>
            </w:pPr>
            <w:r>
              <w:rPr>
                <w:color w:val="4D4D4F"/>
                <w:w w:val="105"/>
                <w:sz w:val="14"/>
              </w:rPr>
              <w:t>N/A</w:t>
            </w:r>
          </w:p>
        </w:tc>
        <w:tc>
          <w:tcPr>
            <w:tcW w:w="1489" w:type="dxa"/>
          </w:tcPr>
          <w:p w14:paraId="7D5D659A" w14:textId="77777777" w:rsidR="00EF5B27" w:rsidRDefault="00000000">
            <w:pPr>
              <w:pStyle w:val="TableParagraph"/>
              <w:spacing w:before="134"/>
              <w:ind w:left="581"/>
              <w:rPr>
                <w:sz w:val="16"/>
              </w:rPr>
            </w:pPr>
            <w:r>
              <w:rPr>
                <w:color w:val="4D4D4F"/>
                <w:sz w:val="16"/>
              </w:rPr>
              <w:t>2026</w:t>
            </w:r>
          </w:p>
        </w:tc>
      </w:tr>
      <w:tr w:rsidR="00EF5B27" w14:paraId="676F4233" w14:textId="77777777">
        <w:trPr>
          <w:trHeight w:val="448"/>
        </w:trPr>
        <w:tc>
          <w:tcPr>
            <w:tcW w:w="2980" w:type="dxa"/>
          </w:tcPr>
          <w:p w14:paraId="0D95655E" w14:textId="77777777" w:rsidR="00EF5B27" w:rsidRDefault="00EF5B27">
            <w:pPr>
              <w:pStyle w:val="TableParagraph"/>
              <w:spacing w:before="11"/>
              <w:rPr>
                <w:b/>
                <w:sz w:val="11"/>
              </w:rPr>
            </w:pPr>
          </w:p>
          <w:p w14:paraId="375E7FCC" w14:textId="77777777" w:rsidR="00EF5B27" w:rsidRDefault="00000000">
            <w:pPr>
              <w:pStyle w:val="TableParagraph"/>
              <w:ind w:left="80"/>
              <w:rPr>
                <w:sz w:val="14"/>
              </w:rPr>
            </w:pPr>
            <w:r>
              <w:rPr>
                <w:color w:val="4D4D4F"/>
                <w:w w:val="105"/>
                <w:sz w:val="14"/>
              </w:rPr>
              <w:t>Nutrient-enriched grassland</w:t>
            </w:r>
          </w:p>
        </w:tc>
        <w:tc>
          <w:tcPr>
            <w:tcW w:w="1078" w:type="dxa"/>
          </w:tcPr>
          <w:p w14:paraId="3F598BE0" w14:textId="77777777" w:rsidR="00EF5B27" w:rsidRDefault="00EF5B27">
            <w:pPr>
              <w:pStyle w:val="TableParagraph"/>
              <w:spacing w:before="11"/>
              <w:rPr>
                <w:b/>
                <w:sz w:val="11"/>
              </w:rPr>
            </w:pPr>
          </w:p>
          <w:p w14:paraId="6957F740"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6EB53B26" w14:textId="77777777" w:rsidR="00EF5B27" w:rsidRDefault="00EF5B27">
            <w:pPr>
              <w:pStyle w:val="TableParagraph"/>
              <w:spacing w:before="11"/>
              <w:rPr>
                <w:b/>
                <w:sz w:val="11"/>
              </w:rPr>
            </w:pPr>
          </w:p>
          <w:p w14:paraId="39AB0609" w14:textId="77777777" w:rsidR="00EF5B27" w:rsidRDefault="00000000">
            <w:pPr>
              <w:pStyle w:val="TableParagraph"/>
              <w:ind w:left="143" w:right="142"/>
              <w:jc w:val="center"/>
              <w:rPr>
                <w:sz w:val="14"/>
              </w:rPr>
            </w:pPr>
            <w:r>
              <w:rPr>
                <w:color w:val="4D4D4F"/>
                <w:sz w:val="14"/>
              </w:rPr>
              <w:t>Baseline not yet set</w:t>
            </w:r>
          </w:p>
        </w:tc>
        <w:tc>
          <w:tcPr>
            <w:tcW w:w="964" w:type="dxa"/>
          </w:tcPr>
          <w:p w14:paraId="71134A07" w14:textId="77777777" w:rsidR="00EF5B27" w:rsidRDefault="00EF5B27">
            <w:pPr>
              <w:pStyle w:val="TableParagraph"/>
              <w:spacing w:before="5"/>
              <w:rPr>
                <w:b/>
                <w:sz w:val="7"/>
              </w:rPr>
            </w:pPr>
          </w:p>
          <w:p w14:paraId="0C0BE8AE" w14:textId="77777777" w:rsidR="00EF5B27" w:rsidRDefault="00000000">
            <w:pPr>
              <w:pStyle w:val="TableParagraph"/>
              <w:spacing w:line="187" w:lineRule="exact"/>
              <w:ind w:left="400"/>
              <w:rPr>
                <w:sz w:val="18"/>
              </w:rPr>
            </w:pPr>
            <w:r>
              <w:rPr>
                <w:noProof/>
                <w:position w:val="-3"/>
                <w:sz w:val="18"/>
              </w:rPr>
              <w:drawing>
                <wp:inline distT="0" distB="0" distL="0" distR="0" wp14:anchorId="6C89FE1E" wp14:editId="04E6B419">
                  <wp:extent cx="100572" cy="119062"/>
                  <wp:effectExtent l="0" t="0" r="0" b="0"/>
                  <wp:docPr id="385"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143.png"/>
                          <pic:cNvPicPr/>
                        </pic:nvPicPr>
                        <pic:blipFill>
                          <a:blip r:embed="rId75" cstate="print"/>
                          <a:stretch>
                            <a:fillRect/>
                          </a:stretch>
                        </pic:blipFill>
                        <pic:spPr>
                          <a:xfrm>
                            <a:off x="0" y="0"/>
                            <a:ext cx="100572" cy="119062"/>
                          </a:xfrm>
                          <a:prstGeom prst="rect">
                            <a:avLst/>
                          </a:prstGeom>
                        </pic:spPr>
                      </pic:pic>
                    </a:graphicData>
                  </a:graphic>
                </wp:inline>
              </w:drawing>
            </w:r>
          </w:p>
          <w:p w14:paraId="3FEA11AF" w14:textId="77777777" w:rsidR="00EF5B27" w:rsidRDefault="00EF5B27">
            <w:pPr>
              <w:pStyle w:val="TableParagraph"/>
              <w:spacing w:before="7"/>
              <w:rPr>
                <w:b/>
                <w:sz w:val="2"/>
              </w:rPr>
            </w:pPr>
          </w:p>
          <w:p w14:paraId="11B54271" w14:textId="77777777" w:rsidR="00EF5B27" w:rsidRDefault="00000000">
            <w:pPr>
              <w:pStyle w:val="TableParagraph"/>
              <w:spacing w:line="48" w:lineRule="exact"/>
              <w:ind w:left="448"/>
              <w:rPr>
                <w:sz w:val="4"/>
              </w:rPr>
            </w:pPr>
            <w:r>
              <w:rPr>
                <w:sz w:val="4"/>
              </w:rPr>
            </w:r>
            <w:r>
              <w:rPr>
                <w:sz w:val="4"/>
              </w:rPr>
              <w:pict w14:anchorId="567F9B1B">
                <v:group id="_x0000_s3342" style="width:2.45pt;height:2.45pt;mso-position-horizontal-relative:char;mso-position-vertical-relative:line" coordsize="49,49">
                  <v:shape id="_x0000_s3343" style="position:absolute;width:49;height:49" coordsize="49,49" path="m31,l18,,12,2,2,12,,17,,31r2,6l12,46r6,3l31,49r6,-3l46,37r3,-6l49,17,46,12,37,2,31,xe" fillcolor="#808285" stroked="f">
                    <v:path arrowok="t"/>
                  </v:shape>
                  <w10:wrap type="none"/>
                  <w10:anchorlock/>
                </v:group>
              </w:pict>
            </w:r>
          </w:p>
        </w:tc>
        <w:tc>
          <w:tcPr>
            <w:tcW w:w="964" w:type="dxa"/>
          </w:tcPr>
          <w:p w14:paraId="71C290AF" w14:textId="77777777" w:rsidR="00EF5B27" w:rsidRDefault="00EF5B27">
            <w:pPr>
              <w:pStyle w:val="TableParagraph"/>
              <w:spacing w:before="11"/>
              <w:rPr>
                <w:b/>
                <w:sz w:val="11"/>
              </w:rPr>
            </w:pPr>
          </w:p>
          <w:p w14:paraId="50358D26" w14:textId="77777777" w:rsidR="00EF5B27" w:rsidRDefault="00000000">
            <w:pPr>
              <w:pStyle w:val="TableParagraph"/>
              <w:ind w:left="318" w:right="323"/>
              <w:jc w:val="center"/>
              <w:rPr>
                <w:sz w:val="14"/>
              </w:rPr>
            </w:pPr>
            <w:r>
              <w:rPr>
                <w:color w:val="4D4D4F"/>
                <w:w w:val="105"/>
                <w:sz w:val="14"/>
              </w:rPr>
              <w:t>N/A</w:t>
            </w:r>
          </w:p>
        </w:tc>
        <w:tc>
          <w:tcPr>
            <w:tcW w:w="1489" w:type="dxa"/>
          </w:tcPr>
          <w:p w14:paraId="3174C325" w14:textId="77777777" w:rsidR="00EF5B27" w:rsidRDefault="00000000">
            <w:pPr>
              <w:pStyle w:val="TableParagraph"/>
              <w:spacing w:before="134"/>
              <w:ind w:left="581"/>
              <w:rPr>
                <w:sz w:val="16"/>
              </w:rPr>
            </w:pPr>
            <w:r>
              <w:rPr>
                <w:color w:val="4D4D4F"/>
                <w:sz w:val="16"/>
              </w:rPr>
              <w:t>2026</w:t>
            </w:r>
          </w:p>
        </w:tc>
      </w:tr>
      <w:tr w:rsidR="00EF5B27" w14:paraId="05254AE7" w14:textId="77777777">
        <w:trPr>
          <w:trHeight w:val="448"/>
        </w:trPr>
        <w:tc>
          <w:tcPr>
            <w:tcW w:w="2980" w:type="dxa"/>
          </w:tcPr>
          <w:p w14:paraId="324B7D9D" w14:textId="77777777" w:rsidR="00EF5B27" w:rsidRDefault="00EF5B27">
            <w:pPr>
              <w:pStyle w:val="TableParagraph"/>
              <w:spacing w:before="11"/>
              <w:rPr>
                <w:b/>
                <w:sz w:val="11"/>
              </w:rPr>
            </w:pPr>
          </w:p>
          <w:p w14:paraId="151EB6C5" w14:textId="77777777" w:rsidR="00EF5B27" w:rsidRDefault="00000000">
            <w:pPr>
              <w:pStyle w:val="TableParagraph"/>
              <w:ind w:left="80"/>
              <w:rPr>
                <w:sz w:val="14"/>
              </w:rPr>
            </w:pPr>
            <w:r>
              <w:rPr>
                <w:color w:val="4D4D4F"/>
                <w:w w:val="105"/>
                <w:sz w:val="14"/>
              </w:rPr>
              <w:t>De-rocked grassland</w:t>
            </w:r>
          </w:p>
        </w:tc>
        <w:tc>
          <w:tcPr>
            <w:tcW w:w="1078" w:type="dxa"/>
          </w:tcPr>
          <w:p w14:paraId="56566906" w14:textId="77777777" w:rsidR="00EF5B27" w:rsidRDefault="00EF5B27">
            <w:pPr>
              <w:pStyle w:val="TableParagraph"/>
              <w:spacing w:before="11"/>
              <w:rPr>
                <w:b/>
                <w:sz w:val="11"/>
              </w:rPr>
            </w:pPr>
          </w:p>
          <w:p w14:paraId="4C07F3A1"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681A4945" w14:textId="77777777" w:rsidR="00EF5B27" w:rsidRDefault="00EF5B27">
            <w:pPr>
              <w:pStyle w:val="TableParagraph"/>
              <w:spacing w:before="11"/>
              <w:rPr>
                <w:b/>
                <w:sz w:val="11"/>
              </w:rPr>
            </w:pPr>
          </w:p>
          <w:p w14:paraId="5379B77A" w14:textId="77777777" w:rsidR="00EF5B27" w:rsidRDefault="00000000">
            <w:pPr>
              <w:pStyle w:val="TableParagraph"/>
              <w:ind w:left="143" w:right="142"/>
              <w:jc w:val="center"/>
              <w:rPr>
                <w:sz w:val="14"/>
              </w:rPr>
            </w:pPr>
            <w:r>
              <w:rPr>
                <w:color w:val="4D4D4F"/>
                <w:sz w:val="14"/>
              </w:rPr>
              <w:t>Baseline not yet set</w:t>
            </w:r>
          </w:p>
        </w:tc>
        <w:tc>
          <w:tcPr>
            <w:tcW w:w="964" w:type="dxa"/>
          </w:tcPr>
          <w:p w14:paraId="7F80B43C" w14:textId="77777777" w:rsidR="00EF5B27" w:rsidRDefault="00EF5B27">
            <w:pPr>
              <w:pStyle w:val="TableParagraph"/>
              <w:spacing w:before="4"/>
              <w:rPr>
                <w:b/>
                <w:sz w:val="7"/>
              </w:rPr>
            </w:pPr>
          </w:p>
          <w:p w14:paraId="078F57BD" w14:textId="77777777" w:rsidR="00EF5B27" w:rsidRDefault="00000000">
            <w:pPr>
              <w:pStyle w:val="TableParagraph"/>
              <w:spacing w:line="187" w:lineRule="exact"/>
              <w:ind w:left="400"/>
              <w:rPr>
                <w:sz w:val="18"/>
              </w:rPr>
            </w:pPr>
            <w:r>
              <w:rPr>
                <w:noProof/>
                <w:position w:val="-3"/>
                <w:sz w:val="18"/>
              </w:rPr>
              <w:drawing>
                <wp:inline distT="0" distB="0" distL="0" distR="0" wp14:anchorId="786E4714" wp14:editId="39A9B62A">
                  <wp:extent cx="100572" cy="119062"/>
                  <wp:effectExtent l="0" t="0" r="0" b="0"/>
                  <wp:docPr id="387"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144.png"/>
                          <pic:cNvPicPr/>
                        </pic:nvPicPr>
                        <pic:blipFill>
                          <a:blip r:embed="rId76" cstate="print"/>
                          <a:stretch>
                            <a:fillRect/>
                          </a:stretch>
                        </pic:blipFill>
                        <pic:spPr>
                          <a:xfrm>
                            <a:off x="0" y="0"/>
                            <a:ext cx="100572" cy="119062"/>
                          </a:xfrm>
                          <a:prstGeom prst="rect">
                            <a:avLst/>
                          </a:prstGeom>
                        </pic:spPr>
                      </pic:pic>
                    </a:graphicData>
                  </a:graphic>
                </wp:inline>
              </w:drawing>
            </w:r>
          </w:p>
          <w:p w14:paraId="21259D8B" w14:textId="77777777" w:rsidR="00EF5B27" w:rsidRDefault="00EF5B27">
            <w:pPr>
              <w:pStyle w:val="TableParagraph"/>
              <w:spacing w:before="8"/>
              <w:rPr>
                <w:b/>
                <w:sz w:val="2"/>
              </w:rPr>
            </w:pPr>
          </w:p>
          <w:p w14:paraId="3B199398" w14:textId="77777777" w:rsidR="00EF5B27" w:rsidRDefault="00000000">
            <w:pPr>
              <w:pStyle w:val="TableParagraph"/>
              <w:spacing w:line="48" w:lineRule="exact"/>
              <w:ind w:left="448"/>
              <w:rPr>
                <w:sz w:val="4"/>
              </w:rPr>
            </w:pPr>
            <w:r>
              <w:rPr>
                <w:sz w:val="4"/>
              </w:rPr>
            </w:r>
            <w:r>
              <w:rPr>
                <w:sz w:val="4"/>
              </w:rPr>
              <w:pict w14:anchorId="219D04BA">
                <v:group id="_x0000_s3340" style="width:2.45pt;height:2.45pt;mso-position-horizontal-relative:char;mso-position-vertical-relative:line" coordsize="49,49">
                  <v:shape id="_x0000_s3341" style="position:absolute;width:49;height:49" coordsize="49,49" path="m31,l18,,12,2,2,12,,17,,31r2,6l12,46r6,3l31,49r6,-3l46,37r3,-6l49,17,46,12,37,2,31,xe" fillcolor="#808285" stroked="f">
                    <v:path arrowok="t"/>
                  </v:shape>
                  <w10:wrap type="none"/>
                  <w10:anchorlock/>
                </v:group>
              </w:pict>
            </w:r>
          </w:p>
        </w:tc>
        <w:tc>
          <w:tcPr>
            <w:tcW w:w="964" w:type="dxa"/>
          </w:tcPr>
          <w:p w14:paraId="5F400D9A" w14:textId="77777777" w:rsidR="00EF5B27" w:rsidRDefault="00EF5B27">
            <w:pPr>
              <w:pStyle w:val="TableParagraph"/>
              <w:spacing w:before="11"/>
              <w:rPr>
                <w:b/>
                <w:sz w:val="11"/>
              </w:rPr>
            </w:pPr>
          </w:p>
          <w:p w14:paraId="3756AF8D" w14:textId="77777777" w:rsidR="00EF5B27" w:rsidRDefault="00000000">
            <w:pPr>
              <w:pStyle w:val="TableParagraph"/>
              <w:ind w:left="318" w:right="323"/>
              <w:jc w:val="center"/>
              <w:rPr>
                <w:sz w:val="14"/>
              </w:rPr>
            </w:pPr>
            <w:r>
              <w:rPr>
                <w:color w:val="4D4D4F"/>
                <w:w w:val="105"/>
                <w:sz w:val="14"/>
              </w:rPr>
              <w:t>N/A</w:t>
            </w:r>
          </w:p>
        </w:tc>
        <w:tc>
          <w:tcPr>
            <w:tcW w:w="1489" w:type="dxa"/>
          </w:tcPr>
          <w:p w14:paraId="13998F90" w14:textId="77777777" w:rsidR="00EF5B27" w:rsidRDefault="00000000">
            <w:pPr>
              <w:pStyle w:val="TableParagraph"/>
              <w:spacing w:before="134"/>
              <w:ind w:left="581"/>
              <w:rPr>
                <w:sz w:val="16"/>
              </w:rPr>
            </w:pPr>
            <w:r>
              <w:rPr>
                <w:color w:val="4D4D4F"/>
                <w:sz w:val="16"/>
              </w:rPr>
              <w:t>2026</w:t>
            </w:r>
          </w:p>
        </w:tc>
      </w:tr>
    </w:tbl>
    <w:p w14:paraId="02B72D41" w14:textId="77777777" w:rsidR="00EF5B27" w:rsidRDefault="00EF5B27">
      <w:pPr>
        <w:pStyle w:val="BodyText"/>
        <w:rPr>
          <w:b/>
          <w:sz w:val="25"/>
        </w:rPr>
      </w:pPr>
    </w:p>
    <w:p w14:paraId="484FC5F8" w14:textId="77777777" w:rsidR="00EF5B27" w:rsidRDefault="00000000">
      <w:pPr>
        <w:ind w:left="2608"/>
        <w:rPr>
          <w:b/>
          <w:sz w:val="20"/>
        </w:rPr>
      </w:pPr>
      <w:r>
        <w:rPr>
          <w:b/>
          <w:color w:val="4D4D4F"/>
          <w:sz w:val="20"/>
        </w:rPr>
        <w:t>KP3: Richness of native perennial forbs</w:t>
      </w:r>
    </w:p>
    <w:p w14:paraId="376A8D25" w14:textId="77777777" w:rsidR="00EF5B27" w:rsidRDefault="00EF5B27">
      <w:pPr>
        <w:pStyle w:val="BodyText"/>
        <w:spacing w:before="2"/>
        <w:rPr>
          <w:b/>
          <w:sz w:val="14"/>
        </w:rPr>
      </w:pPr>
    </w:p>
    <w:tbl>
      <w:tblPr>
        <w:tblW w:w="0" w:type="auto"/>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15F73A34" w14:textId="77777777">
        <w:trPr>
          <w:trHeight w:val="561"/>
        </w:trPr>
        <w:tc>
          <w:tcPr>
            <w:tcW w:w="2980" w:type="dxa"/>
            <w:shd w:val="clear" w:color="auto" w:fill="FECC91"/>
          </w:tcPr>
          <w:p w14:paraId="0DB58AF4" w14:textId="77777777" w:rsidR="00EF5B27" w:rsidRDefault="00EF5B27">
            <w:pPr>
              <w:pStyle w:val="TableParagraph"/>
              <w:spacing w:before="7"/>
              <w:rPr>
                <w:b/>
                <w:sz w:val="15"/>
              </w:rPr>
            </w:pPr>
          </w:p>
          <w:p w14:paraId="08A06333" w14:textId="77777777" w:rsidR="00EF5B27" w:rsidRDefault="00000000">
            <w:pPr>
              <w:pStyle w:val="TableParagraph"/>
              <w:spacing w:before="1"/>
              <w:ind w:left="80"/>
              <w:rPr>
                <w:b/>
                <w:sz w:val="16"/>
              </w:rPr>
            </w:pPr>
            <w:r>
              <w:rPr>
                <w:b/>
                <w:sz w:val="16"/>
              </w:rPr>
              <w:t>KPI 3: Richness of native perennial forbs</w:t>
            </w:r>
          </w:p>
        </w:tc>
        <w:tc>
          <w:tcPr>
            <w:tcW w:w="1078" w:type="dxa"/>
            <w:shd w:val="clear" w:color="auto" w:fill="FECC91"/>
          </w:tcPr>
          <w:p w14:paraId="0C0A439E"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00D0BEB2" w14:textId="77777777" w:rsidR="00EF5B27" w:rsidRDefault="00EF5B27">
            <w:pPr>
              <w:pStyle w:val="TableParagraph"/>
              <w:spacing w:before="7"/>
              <w:rPr>
                <w:b/>
                <w:sz w:val="15"/>
              </w:rPr>
            </w:pPr>
          </w:p>
          <w:p w14:paraId="63307247"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549CEFCD" w14:textId="77777777" w:rsidR="00EF5B27" w:rsidRDefault="00EF5B27">
            <w:pPr>
              <w:pStyle w:val="TableParagraph"/>
              <w:spacing w:before="7"/>
              <w:rPr>
                <w:b/>
                <w:sz w:val="15"/>
              </w:rPr>
            </w:pPr>
          </w:p>
          <w:p w14:paraId="23A860E5"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0D99E75E"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644DC123"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0148AFA6" w14:textId="77777777">
        <w:trPr>
          <w:trHeight w:val="448"/>
        </w:trPr>
        <w:tc>
          <w:tcPr>
            <w:tcW w:w="2980" w:type="dxa"/>
          </w:tcPr>
          <w:p w14:paraId="4880923D" w14:textId="77777777" w:rsidR="00EF5B27" w:rsidRDefault="00EF5B27">
            <w:pPr>
              <w:pStyle w:val="TableParagraph"/>
              <w:spacing w:before="11"/>
              <w:rPr>
                <w:b/>
                <w:sz w:val="11"/>
              </w:rPr>
            </w:pPr>
          </w:p>
          <w:p w14:paraId="07771497" w14:textId="77777777" w:rsidR="00EF5B27" w:rsidRDefault="00000000">
            <w:pPr>
              <w:pStyle w:val="TableParagraph"/>
              <w:ind w:left="80"/>
              <w:rPr>
                <w:sz w:val="14"/>
              </w:rPr>
            </w:pPr>
            <w:r>
              <w:rPr>
                <w:color w:val="4D4D4F"/>
                <w:w w:val="105"/>
                <w:sz w:val="14"/>
              </w:rPr>
              <w:t>Herb-rich grassland</w:t>
            </w:r>
          </w:p>
        </w:tc>
        <w:tc>
          <w:tcPr>
            <w:tcW w:w="1078" w:type="dxa"/>
          </w:tcPr>
          <w:p w14:paraId="7E5DA3F1" w14:textId="77777777" w:rsidR="00EF5B27" w:rsidRDefault="00EF5B27">
            <w:pPr>
              <w:pStyle w:val="TableParagraph"/>
              <w:spacing w:before="11"/>
              <w:rPr>
                <w:b/>
                <w:sz w:val="11"/>
              </w:rPr>
            </w:pPr>
          </w:p>
          <w:p w14:paraId="69675281"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3BD505BE" w14:textId="77777777" w:rsidR="00EF5B27" w:rsidRDefault="00EF5B27">
            <w:pPr>
              <w:pStyle w:val="TableParagraph"/>
              <w:spacing w:before="11"/>
              <w:rPr>
                <w:b/>
                <w:sz w:val="11"/>
              </w:rPr>
            </w:pPr>
          </w:p>
          <w:p w14:paraId="764A0C8F" w14:textId="77777777" w:rsidR="00EF5B27" w:rsidRDefault="00000000">
            <w:pPr>
              <w:pStyle w:val="TableParagraph"/>
              <w:ind w:left="143" w:right="142"/>
              <w:jc w:val="center"/>
              <w:rPr>
                <w:sz w:val="14"/>
              </w:rPr>
            </w:pPr>
            <w:r>
              <w:rPr>
                <w:color w:val="4D4D4F"/>
                <w:sz w:val="14"/>
              </w:rPr>
              <w:t>Baseline not yet set</w:t>
            </w:r>
          </w:p>
        </w:tc>
        <w:tc>
          <w:tcPr>
            <w:tcW w:w="964" w:type="dxa"/>
          </w:tcPr>
          <w:p w14:paraId="11D0AF2E" w14:textId="77777777" w:rsidR="00EF5B27" w:rsidRDefault="00EF5B27">
            <w:pPr>
              <w:pStyle w:val="TableParagraph"/>
              <w:spacing w:before="4"/>
              <w:rPr>
                <w:b/>
                <w:sz w:val="7"/>
              </w:rPr>
            </w:pPr>
          </w:p>
          <w:p w14:paraId="0DDD3A7A" w14:textId="77777777" w:rsidR="00EF5B27" w:rsidRDefault="00000000">
            <w:pPr>
              <w:pStyle w:val="TableParagraph"/>
              <w:spacing w:line="187" w:lineRule="exact"/>
              <w:ind w:left="400"/>
              <w:rPr>
                <w:sz w:val="18"/>
              </w:rPr>
            </w:pPr>
            <w:r>
              <w:rPr>
                <w:noProof/>
                <w:position w:val="-3"/>
                <w:sz w:val="18"/>
              </w:rPr>
              <w:drawing>
                <wp:inline distT="0" distB="0" distL="0" distR="0" wp14:anchorId="1FCB08FF" wp14:editId="4B24E5AB">
                  <wp:extent cx="100572" cy="119062"/>
                  <wp:effectExtent l="0" t="0" r="0" b="0"/>
                  <wp:docPr id="389"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144.png"/>
                          <pic:cNvPicPr/>
                        </pic:nvPicPr>
                        <pic:blipFill>
                          <a:blip r:embed="rId76" cstate="print"/>
                          <a:stretch>
                            <a:fillRect/>
                          </a:stretch>
                        </pic:blipFill>
                        <pic:spPr>
                          <a:xfrm>
                            <a:off x="0" y="0"/>
                            <a:ext cx="100572" cy="119062"/>
                          </a:xfrm>
                          <a:prstGeom prst="rect">
                            <a:avLst/>
                          </a:prstGeom>
                        </pic:spPr>
                      </pic:pic>
                    </a:graphicData>
                  </a:graphic>
                </wp:inline>
              </w:drawing>
            </w:r>
          </w:p>
          <w:p w14:paraId="7B1907B9" w14:textId="77777777" w:rsidR="00EF5B27" w:rsidRDefault="00EF5B27">
            <w:pPr>
              <w:pStyle w:val="TableParagraph"/>
              <w:spacing w:before="8"/>
              <w:rPr>
                <w:b/>
                <w:sz w:val="2"/>
              </w:rPr>
            </w:pPr>
          </w:p>
          <w:p w14:paraId="0A4A4743" w14:textId="77777777" w:rsidR="00EF5B27" w:rsidRDefault="00000000">
            <w:pPr>
              <w:pStyle w:val="TableParagraph"/>
              <w:spacing w:line="48" w:lineRule="exact"/>
              <w:ind w:left="448"/>
              <w:rPr>
                <w:sz w:val="4"/>
              </w:rPr>
            </w:pPr>
            <w:r>
              <w:rPr>
                <w:sz w:val="4"/>
              </w:rPr>
            </w:r>
            <w:r>
              <w:rPr>
                <w:sz w:val="4"/>
              </w:rPr>
              <w:pict w14:anchorId="4749E41B">
                <v:group id="_x0000_s3338" style="width:2.45pt;height:2.45pt;mso-position-horizontal-relative:char;mso-position-vertical-relative:line" coordsize="49,49">
                  <v:shape id="_x0000_s3339" style="position:absolute;width:49;height:49" coordsize="49,49" path="m31,l18,,12,2,2,12,,17,,31r2,6l12,46r6,3l31,49r6,-3l46,37r3,-6l49,17,46,12,37,2,31,xe" fillcolor="#808285" stroked="f">
                    <v:path arrowok="t"/>
                  </v:shape>
                  <w10:wrap type="none"/>
                  <w10:anchorlock/>
                </v:group>
              </w:pict>
            </w:r>
          </w:p>
        </w:tc>
        <w:tc>
          <w:tcPr>
            <w:tcW w:w="964" w:type="dxa"/>
          </w:tcPr>
          <w:p w14:paraId="5E9C7CFA" w14:textId="77777777" w:rsidR="00EF5B27" w:rsidRDefault="00EF5B27">
            <w:pPr>
              <w:pStyle w:val="TableParagraph"/>
              <w:spacing w:before="11"/>
              <w:rPr>
                <w:b/>
                <w:sz w:val="11"/>
              </w:rPr>
            </w:pPr>
          </w:p>
          <w:p w14:paraId="34736008" w14:textId="77777777" w:rsidR="00EF5B27" w:rsidRDefault="00000000">
            <w:pPr>
              <w:pStyle w:val="TableParagraph"/>
              <w:ind w:left="318" w:right="323"/>
              <w:jc w:val="center"/>
              <w:rPr>
                <w:sz w:val="14"/>
              </w:rPr>
            </w:pPr>
            <w:r>
              <w:rPr>
                <w:color w:val="4D4D4F"/>
                <w:w w:val="105"/>
                <w:sz w:val="14"/>
              </w:rPr>
              <w:t>N/A</w:t>
            </w:r>
          </w:p>
        </w:tc>
        <w:tc>
          <w:tcPr>
            <w:tcW w:w="1489" w:type="dxa"/>
          </w:tcPr>
          <w:p w14:paraId="4937EB3F" w14:textId="77777777" w:rsidR="00EF5B27" w:rsidRDefault="00000000">
            <w:pPr>
              <w:pStyle w:val="TableParagraph"/>
              <w:spacing w:before="134"/>
              <w:ind w:left="581"/>
              <w:rPr>
                <w:sz w:val="16"/>
              </w:rPr>
            </w:pPr>
            <w:r>
              <w:rPr>
                <w:color w:val="4D4D4F"/>
                <w:sz w:val="16"/>
              </w:rPr>
              <w:t>2026</w:t>
            </w:r>
          </w:p>
        </w:tc>
      </w:tr>
      <w:tr w:rsidR="00EF5B27" w14:paraId="13C45F7B" w14:textId="77777777">
        <w:trPr>
          <w:trHeight w:val="448"/>
        </w:trPr>
        <w:tc>
          <w:tcPr>
            <w:tcW w:w="2980" w:type="dxa"/>
          </w:tcPr>
          <w:p w14:paraId="5C872C06" w14:textId="77777777" w:rsidR="00EF5B27" w:rsidRDefault="00EF5B27">
            <w:pPr>
              <w:pStyle w:val="TableParagraph"/>
              <w:spacing w:before="11"/>
              <w:rPr>
                <w:b/>
                <w:sz w:val="11"/>
              </w:rPr>
            </w:pPr>
          </w:p>
          <w:p w14:paraId="48B0CF47" w14:textId="77777777" w:rsidR="00EF5B27" w:rsidRDefault="00000000">
            <w:pPr>
              <w:pStyle w:val="TableParagraph"/>
              <w:ind w:left="80"/>
              <w:rPr>
                <w:sz w:val="14"/>
              </w:rPr>
            </w:pPr>
            <w:r>
              <w:rPr>
                <w:rFonts w:ascii="Arial Narrow"/>
                <w:i/>
                <w:color w:val="4D4D4F"/>
                <w:w w:val="110"/>
                <w:sz w:val="14"/>
              </w:rPr>
              <w:t xml:space="preserve">Themeda </w:t>
            </w:r>
            <w:r>
              <w:rPr>
                <w:color w:val="4D4D4F"/>
                <w:w w:val="110"/>
                <w:sz w:val="14"/>
              </w:rPr>
              <w:t>grassland</w:t>
            </w:r>
          </w:p>
        </w:tc>
        <w:tc>
          <w:tcPr>
            <w:tcW w:w="1078" w:type="dxa"/>
          </w:tcPr>
          <w:p w14:paraId="420CA7B7" w14:textId="77777777" w:rsidR="00EF5B27" w:rsidRDefault="00EF5B27">
            <w:pPr>
              <w:pStyle w:val="TableParagraph"/>
              <w:spacing w:before="11"/>
              <w:rPr>
                <w:b/>
                <w:sz w:val="11"/>
              </w:rPr>
            </w:pPr>
          </w:p>
          <w:p w14:paraId="7A8AF7E9"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40559D15" w14:textId="77777777" w:rsidR="00EF5B27" w:rsidRDefault="00EF5B27">
            <w:pPr>
              <w:pStyle w:val="TableParagraph"/>
              <w:spacing w:before="11"/>
              <w:rPr>
                <w:b/>
                <w:sz w:val="11"/>
              </w:rPr>
            </w:pPr>
          </w:p>
          <w:p w14:paraId="2F77F6C9" w14:textId="77777777" w:rsidR="00EF5B27" w:rsidRDefault="00000000">
            <w:pPr>
              <w:pStyle w:val="TableParagraph"/>
              <w:ind w:left="143" w:right="142"/>
              <w:jc w:val="center"/>
              <w:rPr>
                <w:sz w:val="14"/>
              </w:rPr>
            </w:pPr>
            <w:r>
              <w:rPr>
                <w:color w:val="4D4D4F"/>
                <w:sz w:val="14"/>
              </w:rPr>
              <w:t>Baseline not yet set</w:t>
            </w:r>
          </w:p>
        </w:tc>
        <w:tc>
          <w:tcPr>
            <w:tcW w:w="964" w:type="dxa"/>
          </w:tcPr>
          <w:p w14:paraId="284353CA" w14:textId="77777777" w:rsidR="00EF5B27" w:rsidRDefault="00EF5B27">
            <w:pPr>
              <w:pStyle w:val="TableParagraph"/>
              <w:spacing w:before="4"/>
              <w:rPr>
                <w:b/>
                <w:sz w:val="7"/>
              </w:rPr>
            </w:pPr>
          </w:p>
          <w:p w14:paraId="39F22CE6" w14:textId="77777777" w:rsidR="00EF5B27" w:rsidRDefault="00000000">
            <w:pPr>
              <w:pStyle w:val="TableParagraph"/>
              <w:spacing w:line="187" w:lineRule="exact"/>
              <w:ind w:left="400"/>
              <w:rPr>
                <w:sz w:val="18"/>
              </w:rPr>
            </w:pPr>
            <w:r>
              <w:rPr>
                <w:noProof/>
                <w:position w:val="-3"/>
                <w:sz w:val="18"/>
              </w:rPr>
              <w:drawing>
                <wp:inline distT="0" distB="0" distL="0" distR="0" wp14:anchorId="78C0C316" wp14:editId="160916AF">
                  <wp:extent cx="100572" cy="119062"/>
                  <wp:effectExtent l="0" t="0" r="0" b="0"/>
                  <wp:docPr id="391"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145.png"/>
                          <pic:cNvPicPr/>
                        </pic:nvPicPr>
                        <pic:blipFill>
                          <a:blip r:embed="rId75" cstate="print"/>
                          <a:stretch>
                            <a:fillRect/>
                          </a:stretch>
                        </pic:blipFill>
                        <pic:spPr>
                          <a:xfrm>
                            <a:off x="0" y="0"/>
                            <a:ext cx="100572" cy="119062"/>
                          </a:xfrm>
                          <a:prstGeom prst="rect">
                            <a:avLst/>
                          </a:prstGeom>
                        </pic:spPr>
                      </pic:pic>
                    </a:graphicData>
                  </a:graphic>
                </wp:inline>
              </w:drawing>
            </w:r>
          </w:p>
          <w:p w14:paraId="1AB13618" w14:textId="77777777" w:rsidR="00EF5B27" w:rsidRDefault="00EF5B27">
            <w:pPr>
              <w:pStyle w:val="TableParagraph"/>
              <w:spacing w:before="8"/>
              <w:rPr>
                <w:b/>
                <w:sz w:val="2"/>
              </w:rPr>
            </w:pPr>
          </w:p>
          <w:p w14:paraId="1B74F596" w14:textId="77777777" w:rsidR="00EF5B27" w:rsidRDefault="00000000">
            <w:pPr>
              <w:pStyle w:val="TableParagraph"/>
              <w:spacing w:line="48" w:lineRule="exact"/>
              <w:ind w:left="448"/>
              <w:rPr>
                <w:sz w:val="4"/>
              </w:rPr>
            </w:pPr>
            <w:r>
              <w:rPr>
                <w:sz w:val="4"/>
              </w:rPr>
            </w:r>
            <w:r>
              <w:rPr>
                <w:sz w:val="4"/>
              </w:rPr>
              <w:pict w14:anchorId="2E5C0564">
                <v:group id="_x0000_s3336" style="width:2.45pt;height:2.45pt;mso-position-horizontal-relative:char;mso-position-vertical-relative:line" coordsize="49,49">
                  <v:shape id="_x0000_s3337" style="position:absolute;width:49;height:49" coordsize="49,49" path="m31,l18,,12,2,2,12,,17,,31r2,6l12,46r6,3l31,49r6,-3l46,37r3,-6l49,17,46,12,37,2,31,xe" fillcolor="#808285" stroked="f">
                    <v:path arrowok="t"/>
                  </v:shape>
                  <w10:wrap type="none"/>
                  <w10:anchorlock/>
                </v:group>
              </w:pict>
            </w:r>
          </w:p>
        </w:tc>
        <w:tc>
          <w:tcPr>
            <w:tcW w:w="964" w:type="dxa"/>
          </w:tcPr>
          <w:p w14:paraId="70FE3E2D" w14:textId="77777777" w:rsidR="00EF5B27" w:rsidRDefault="00EF5B27">
            <w:pPr>
              <w:pStyle w:val="TableParagraph"/>
              <w:spacing w:before="11"/>
              <w:rPr>
                <w:b/>
                <w:sz w:val="11"/>
              </w:rPr>
            </w:pPr>
          </w:p>
          <w:p w14:paraId="64A43783" w14:textId="77777777" w:rsidR="00EF5B27" w:rsidRDefault="00000000">
            <w:pPr>
              <w:pStyle w:val="TableParagraph"/>
              <w:ind w:left="318" w:right="323"/>
              <w:jc w:val="center"/>
              <w:rPr>
                <w:sz w:val="14"/>
              </w:rPr>
            </w:pPr>
            <w:r>
              <w:rPr>
                <w:color w:val="4D4D4F"/>
                <w:w w:val="105"/>
                <w:sz w:val="14"/>
              </w:rPr>
              <w:t>N/A</w:t>
            </w:r>
          </w:p>
        </w:tc>
        <w:tc>
          <w:tcPr>
            <w:tcW w:w="1489" w:type="dxa"/>
          </w:tcPr>
          <w:p w14:paraId="0AF27D7A" w14:textId="77777777" w:rsidR="00EF5B27" w:rsidRDefault="00000000">
            <w:pPr>
              <w:pStyle w:val="TableParagraph"/>
              <w:spacing w:before="134"/>
              <w:ind w:left="581"/>
              <w:rPr>
                <w:sz w:val="16"/>
              </w:rPr>
            </w:pPr>
            <w:r>
              <w:rPr>
                <w:color w:val="4D4D4F"/>
                <w:sz w:val="16"/>
              </w:rPr>
              <w:t>2026</w:t>
            </w:r>
          </w:p>
        </w:tc>
      </w:tr>
      <w:tr w:rsidR="00EF5B27" w14:paraId="52744726" w14:textId="77777777">
        <w:trPr>
          <w:trHeight w:val="448"/>
        </w:trPr>
        <w:tc>
          <w:tcPr>
            <w:tcW w:w="2980" w:type="dxa"/>
          </w:tcPr>
          <w:p w14:paraId="6F8FA0F6" w14:textId="77777777" w:rsidR="00EF5B27" w:rsidRDefault="00EF5B27">
            <w:pPr>
              <w:pStyle w:val="TableParagraph"/>
              <w:spacing w:before="11"/>
              <w:rPr>
                <w:b/>
                <w:sz w:val="11"/>
              </w:rPr>
            </w:pPr>
          </w:p>
          <w:p w14:paraId="741EEECE" w14:textId="77777777" w:rsidR="00EF5B27" w:rsidRDefault="00000000">
            <w:pPr>
              <w:pStyle w:val="TableParagraph"/>
              <w:ind w:left="80"/>
              <w:rPr>
                <w:sz w:val="14"/>
              </w:rPr>
            </w:pPr>
            <w:r>
              <w:rPr>
                <w:color w:val="4D4D4F"/>
                <w:w w:val="105"/>
                <w:sz w:val="14"/>
              </w:rPr>
              <w:t>C3 grassland</w:t>
            </w:r>
          </w:p>
        </w:tc>
        <w:tc>
          <w:tcPr>
            <w:tcW w:w="1078" w:type="dxa"/>
          </w:tcPr>
          <w:p w14:paraId="61BC5556" w14:textId="77777777" w:rsidR="00EF5B27" w:rsidRDefault="00EF5B27">
            <w:pPr>
              <w:pStyle w:val="TableParagraph"/>
              <w:spacing w:before="11"/>
              <w:rPr>
                <w:b/>
                <w:sz w:val="11"/>
              </w:rPr>
            </w:pPr>
          </w:p>
          <w:p w14:paraId="1122B1DE"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7B0E3B28" w14:textId="77777777" w:rsidR="00EF5B27" w:rsidRDefault="00EF5B27">
            <w:pPr>
              <w:pStyle w:val="TableParagraph"/>
              <w:spacing w:before="11"/>
              <w:rPr>
                <w:b/>
                <w:sz w:val="11"/>
              </w:rPr>
            </w:pPr>
          </w:p>
          <w:p w14:paraId="6C005F7F" w14:textId="77777777" w:rsidR="00EF5B27" w:rsidRDefault="00000000">
            <w:pPr>
              <w:pStyle w:val="TableParagraph"/>
              <w:ind w:left="143" w:right="142"/>
              <w:jc w:val="center"/>
              <w:rPr>
                <w:sz w:val="14"/>
              </w:rPr>
            </w:pPr>
            <w:r>
              <w:rPr>
                <w:color w:val="4D4D4F"/>
                <w:sz w:val="14"/>
              </w:rPr>
              <w:t>Baseline not yet set</w:t>
            </w:r>
          </w:p>
        </w:tc>
        <w:tc>
          <w:tcPr>
            <w:tcW w:w="964" w:type="dxa"/>
          </w:tcPr>
          <w:p w14:paraId="655C6F9D" w14:textId="77777777" w:rsidR="00EF5B27" w:rsidRDefault="00EF5B27">
            <w:pPr>
              <w:pStyle w:val="TableParagraph"/>
              <w:spacing w:before="4"/>
              <w:rPr>
                <w:b/>
                <w:sz w:val="7"/>
              </w:rPr>
            </w:pPr>
          </w:p>
          <w:p w14:paraId="2632CA34" w14:textId="77777777" w:rsidR="00EF5B27" w:rsidRDefault="00000000">
            <w:pPr>
              <w:pStyle w:val="TableParagraph"/>
              <w:spacing w:line="187" w:lineRule="exact"/>
              <w:ind w:left="400"/>
              <w:rPr>
                <w:sz w:val="18"/>
              </w:rPr>
            </w:pPr>
            <w:r>
              <w:rPr>
                <w:noProof/>
                <w:position w:val="-3"/>
                <w:sz w:val="18"/>
              </w:rPr>
              <w:drawing>
                <wp:inline distT="0" distB="0" distL="0" distR="0" wp14:anchorId="1B47A9DE" wp14:editId="274C69A4">
                  <wp:extent cx="100572" cy="119062"/>
                  <wp:effectExtent l="0" t="0" r="0" b="0"/>
                  <wp:docPr id="393"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146.png"/>
                          <pic:cNvPicPr/>
                        </pic:nvPicPr>
                        <pic:blipFill>
                          <a:blip r:embed="rId76" cstate="print"/>
                          <a:stretch>
                            <a:fillRect/>
                          </a:stretch>
                        </pic:blipFill>
                        <pic:spPr>
                          <a:xfrm>
                            <a:off x="0" y="0"/>
                            <a:ext cx="100572" cy="119062"/>
                          </a:xfrm>
                          <a:prstGeom prst="rect">
                            <a:avLst/>
                          </a:prstGeom>
                        </pic:spPr>
                      </pic:pic>
                    </a:graphicData>
                  </a:graphic>
                </wp:inline>
              </w:drawing>
            </w:r>
          </w:p>
          <w:p w14:paraId="05840383" w14:textId="77777777" w:rsidR="00EF5B27" w:rsidRDefault="00EF5B27">
            <w:pPr>
              <w:pStyle w:val="TableParagraph"/>
              <w:spacing w:before="8"/>
              <w:rPr>
                <w:b/>
                <w:sz w:val="2"/>
              </w:rPr>
            </w:pPr>
          </w:p>
          <w:p w14:paraId="34876B2B" w14:textId="77777777" w:rsidR="00EF5B27" w:rsidRDefault="00000000">
            <w:pPr>
              <w:pStyle w:val="TableParagraph"/>
              <w:spacing w:line="48" w:lineRule="exact"/>
              <w:ind w:left="448"/>
              <w:rPr>
                <w:sz w:val="4"/>
              </w:rPr>
            </w:pPr>
            <w:r>
              <w:rPr>
                <w:sz w:val="4"/>
              </w:rPr>
            </w:r>
            <w:r>
              <w:rPr>
                <w:sz w:val="4"/>
              </w:rPr>
              <w:pict w14:anchorId="1C595EBE">
                <v:group id="_x0000_s3334" style="width:2.45pt;height:2.45pt;mso-position-horizontal-relative:char;mso-position-vertical-relative:line" coordsize="49,49">
                  <v:shape id="_x0000_s3335" style="position:absolute;width:49;height:49" coordsize="49,49" path="m31,l18,,12,2,2,12,,17,,31r2,6l12,46r6,3l31,49r6,-3l46,37r3,-6l49,17,46,12,37,2,31,xe" fillcolor="#808285" stroked="f">
                    <v:path arrowok="t"/>
                  </v:shape>
                  <w10:wrap type="none"/>
                  <w10:anchorlock/>
                </v:group>
              </w:pict>
            </w:r>
          </w:p>
        </w:tc>
        <w:tc>
          <w:tcPr>
            <w:tcW w:w="964" w:type="dxa"/>
          </w:tcPr>
          <w:p w14:paraId="4A271B66" w14:textId="77777777" w:rsidR="00EF5B27" w:rsidRDefault="00EF5B27">
            <w:pPr>
              <w:pStyle w:val="TableParagraph"/>
              <w:spacing w:before="11"/>
              <w:rPr>
                <w:b/>
                <w:sz w:val="11"/>
              </w:rPr>
            </w:pPr>
          </w:p>
          <w:p w14:paraId="5952FC88" w14:textId="77777777" w:rsidR="00EF5B27" w:rsidRDefault="00000000">
            <w:pPr>
              <w:pStyle w:val="TableParagraph"/>
              <w:ind w:left="318" w:right="323"/>
              <w:jc w:val="center"/>
              <w:rPr>
                <w:sz w:val="14"/>
              </w:rPr>
            </w:pPr>
            <w:r>
              <w:rPr>
                <w:color w:val="4D4D4F"/>
                <w:w w:val="105"/>
                <w:sz w:val="14"/>
              </w:rPr>
              <w:t>N/A</w:t>
            </w:r>
          </w:p>
        </w:tc>
        <w:tc>
          <w:tcPr>
            <w:tcW w:w="1489" w:type="dxa"/>
          </w:tcPr>
          <w:p w14:paraId="5FAEDD7F" w14:textId="77777777" w:rsidR="00EF5B27" w:rsidRDefault="00000000">
            <w:pPr>
              <w:pStyle w:val="TableParagraph"/>
              <w:spacing w:before="134"/>
              <w:ind w:left="581"/>
              <w:rPr>
                <w:sz w:val="16"/>
              </w:rPr>
            </w:pPr>
            <w:r>
              <w:rPr>
                <w:color w:val="4D4D4F"/>
                <w:sz w:val="16"/>
              </w:rPr>
              <w:t>2026</w:t>
            </w:r>
          </w:p>
        </w:tc>
      </w:tr>
      <w:tr w:rsidR="00EF5B27" w14:paraId="04828148" w14:textId="77777777">
        <w:trPr>
          <w:trHeight w:val="448"/>
        </w:trPr>
        <w:tc>
          <w:tcPr>
            <w:tcW w:w="2980" w:type="dxa"/>
          </w:tcPr>
          <w:p w14:paraId="51DA59DD" w14:textId="77777777" w:rsidR="00EF5B27" w:rsidRDefault="00EF5B27">
            <w:pPr>
              <w:pStyle w:val="TableParagraph"/>
              <w:spacing w:before="11"/>
              <w:rPr>
                <w:b/>
                <w:sz w:val="11"/>
              </w:rPr>
            </w:pPr>
          </w:p>
          <w:p w14:paraId="40B6640D" w14:textId="77777777" w:rsidR="00EF5B27" w:rsidRDefault="00000000">
            <w:pPr>
              <w:pStyle w:val="TableParagraph"/>
              <w:ind w:left="80"/>
              <w:rPr>
                <w:sz w:val="14"/>
              </w:rPr>
            </w:pPr>
            <w:r>
              <w:rPr>
                <w:color w:val="4D4D4F"/>
                <w:w w:val="105"/>
                <w:sz w:val="14"/>
              </w:rPr>
              <w:t>Nutrient-enriched grassland</w:t>
            </w:r>
          </w:p>
        </w:tc>
        <w:tc>
          <w:tcPr>
            <w:tcW w:w="1078" w:type="dxa"/>
          </w:tcPr>
          <w:p w14:paraId="30292EB9" w14:textId="77777777" w:rsidR="00EF5B27" w:rsidRDefault="00EF5B27">
            <w:pPr>
              <w:pStyle w:val="TableParagraph"/>
              <w:spacing w:before="11"/>
              <w:rPr>
                <w:b/>
                <w:sz w:val="11"/>
              </w:rPr>
            </w:pPr>
          </w:p>
          <w:p w14:paraId="36F24D8B"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08959B46" w14:textId="77777777" w:rsidR="00EF5B27" w:rsidRDefault="00EF5B27">
            <w:pPr>
              <w:pStyle w:val="TableParagraph"/>
              <w:spacing w:before="11"/>
              <w:rPr>
                <w:b/>
                <w:sz w:val="11"/>
              </w:rPr>
            </w:pPr>
          </w:p>
          <w:p w14:paraId="6E7294BC" w14:textId="77777777" w:rsidR="00EF5B27" w:rsidRDefault="00000000">
            <w:pPr>
              <w:pStyle w:val="TableParagraph"/>
              <w:ind w:left="143" w:right="142"/>
              <w:jc w:val="center"/>
              <w:rPr>
                <w:sz w:val="14"/>
              </w:rPr>
            </w:pPr>
            <w:r>
              <w:rPr>
                <w:color w:val="4D4D4F"/>
                <w:sz w:val="14"/>
              </w:rPr>
              <w:t>Baseline not yet set</w:t>
            </w:r>
          </w:p>
        </w:tc>
        <w:tc>
          <w:tcPr>
            <w:tcW w:w="964" w:type="dxa"/>
          </w:tcPr>
          <w:p w14:paraId="3CC0D500" w14:textId="77777777" w:rsidR="00EF5B27" w:rsidRDefault="00EF5B27">
            <w:pPr>
              <w:pStyle w:val="TableParagraph"/>
              <w:spacing w:before="5"/>
              <w:rPr>
                <w:b/>
                <w:sz w:val="7"/>
              </w:rPr>
            </w:pPr>
          </w:p>
          <w:p w14:paraId="4CB83FA2" w14:textId="77777777" w:rsidR="00EF5B27" w:rsidRDefault="00000000">
            <w:pPr>
              <w:pStyle w:val="TableParagraph"/>
              <w:spacing w:line="187" w:lineRule="exact"/>
              <w:ind w:left="400"/>
              <w:rPr>
                <w:sz w:val="18"/>
              </w:rPr>
            </w:pPr>
            <w:r>
              <w:rPr>
                <w:noProof/>
                <w:position w:val="-3"/>
                <w:sz w:val="18"/>
              </w:rPr>
              <w:drawing>
                <wp:inline distT="0" distB="0" distL="0" distR="0" wp14:anchorId="2B945F17" wp14:editId="7610B471">
                  <wp:extent cx="100572" cy="119062"/>
                  <wp:effectExtent l="0" t="0" r="0" b="0"/>
                  <wp:docPr id="395"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147.png"/>
                          <pic:cNvPicPr/>
                        </pic:nvPicPr>
                        <pic:blipFill>
                          <a:blip r:embed="rId75" cstate="print"/>
                          <a:stretch>
                            <a:fillRect/>
                          </a:stretch>
                        </pic:blipFill>
                        <pic:spPr>
                          <a:xfrm>
                            <a:off x="0" y="0"/>
                            <a:ext cx="100572" cy="119062"/>
                          </a:xfrm>
                          <a:prstGeom prst="rect">
                            <a:avLst/>
                          </a:prstGeom>
                        </pic:spPr>
                      </pic:pic>
                    </a:graphicData>
                  </a:graphic>
                </wp:inline>
              </w:drawing>
            </w:r>
          </w:p>
          <w:p w14:paraId="536E1380" w14:textId="77777777" w:rsidR="00EF5B27" w:rsidRDefault="00EF5B27">
            <w:pPr>
              <w:pStyle w:val="TableParagraph"/>
              <w:spacing w:before="7"/>
              <w:rPr>
                <w:b/>
                <w:sz w:val="2"/>
              </w:rPr>
            </w:pPr>
          </w:p>
          <w:p w14:paraId="40EEF3AF" w14:textId="77777777" w:rsidR="00EF5B27" w:rsidRDefault="00000000">
            <w:pPr>
              <w:pStyle w:val="TableParagraph"/>
              <w:spacing w:line="48" w:lineRule="exact"/>
              <w:ind w:left="448"/>
              <w:rPr>
                <w:sz w:val="4"/>
              </w:rPr>
            </w:pPr>
            <w:r>
              <w:rPr>
                <w:sz w:val="4"/>
              </w:rPr>
            </w:r>
            <w:r>
              <w:rPr>
                <w:sz w:val="4"/>
              </w:rPr>
              <w:pict w14:anchorId="3A1B7A3E">
                <v:group id="_x0000_s3332" style="width:2.45pt;height:2.45pt;mso-position-horizontal-relative:char;mso-position-vertical-relative:line" coordsize="49,49">
                  <v:shape id="_x0000_s3333" style="position:absolute;width:49;height:49" coordsize="49,49" path="m31,l18,,12,2,2,12,,17,,31r2,6l12,46r6,3l31,49r6,-3l46,37r3,-6l49,17,46,12,37,2,31,xe" fillcolor="#808285" stroked="f">
                    <v:path arrowok="t"/>
                  </v:shape>
                  <w10:wrap type="none"/>
                  <w10:anchorlock/>
                </v:group>
              </w:pict>
            </w:r>
          </w:p>
        </w:tc>
        <w:tc>
          <w:tcPr>
            <w:tcW w:w="964" w:type="dxa"/>
          </w:tcPr>
          <w:p w14:paraId="2A0766C7" w14:textId="77777777" w:rsidR="00EF5B27" w:rsidRDefault="00EF5B27">
            <w:pPr>
              <w:pStyle w:val="TableParagraph"/>
              <w:spacing w:before="11"/>
              <w:rPr>
                <w:b/>
                <w:sz w:val="11"/>
              </w:rPr>
            </w:pPr>
          </w:p>
          <w:p w14:paraId="78FEB0D6" w14:textId="77777777" w:rsidR="00EF5B27" w:rsidRDefault="00000000">
            <w:pPr>
              <w:pStyle w:val="TableParagraph"/>
              <w:ind w:left="318" w:right="323"/>
              <w:jc w:val="center"/>
              <w:rPr>
                <w:sz w:val="14"/>
              </w:rPr>
            </w:pPr>
            <w:r>
              <w:rPr>
                <w:color w:val="4D4D4F"/>
                <w:w w:val="105"/>
                <w:sz w:val="14"/>
              </w:rPr>
              <w:t>N/A</w:t>
            </w:r>
          </w:p>
        </w:tc>
        <w:tc>
          <w:tcPr>
            <w:tcW w:w="1489" w:type="dxa"/>
          </w:tcPr>
          <w:p w14:paraId="5DD30C0F" w14:textId="77777777" w:rsidR="00EF5B27" w:rsidRDefault="00000000">
            <w:pPr>
              <w:pStyle w:val="TableParagraph"/>
              <w:spacing w:before="134"/>
              <w:ind w:left="581"/>
              <w:rPr>
                <w:sz w:val="16"/>
              </w:rPr>
            </w:pPr>
            <w:r>
              <w:rPr>
                <w:color w:val="4D4D4F"/>
                <w:sz w:val="16"/>
              </w:rPr>
              <w:t>2026</w:t>
            </w:r>
          </w:p>
        </w:tc>
      </w:tr>
      <w:tr w:rsidR="00EF5B27" w14:paraId="77AF93E9" w14:textId="77777777">
        <w:trPr>
          <w:trHeight w:val="448"/>
        </w:trPr>
        <w:tc>
          <w:tcPr>
            <w:tcW w:w="2980" w:type="dxa"/>
          </w:tcPr>
          <w:p w14:paraId="1DA654DD" w14:textId="77777777" w:rsidR="00EF5B27" w:rsidRDefault="00EF5B27">
            <w:pPr>
              <w:pStyle w:val="TableParagraph"/>
              <w:spacing w:before="11"/>
              <w:rPr>
                <w:b/>
                <w:sz w:val="11"/>
              </w:rPr>
            </w:pPr>
          </w:p>
          <w:p w14:paraId="1112747C" w14:textId="77777777" w:rsidR="00EF5B27" w:rsidRDefault="00000000">
            <w:pPr>
              <w:pStyle w:val="TableParagraph"/>
              <w:ind w:left="80"/>
              <w:rPr>
                <w:sz w:val="14"/>
              </w:rPr>
            </w:pPr>
            <w:r>
              <w:rPr>
                <w:color w:val="4D4D4F"/>
                <w:w w:val="105"/>
                <w:sz w:val="14"/>
              </w:rPr>
              <w:t>De-rocked grassland</w:t>
            </w:r>
          </w:p>
        </w:tc>
        <w:tc>
          <w:tcPr>
            <w:tcW w:w="1078" w:type="dxa"/>
          </w:tcPr>
          <w:p w14:paraId="0C0B767E" w14:textId="77777777" w:rsidR="00EF5B27" w:rsidRDefault="00EF5B27">
            <w:pPr>
              <w:pStyle w:val="TableParagraph"/>
              <w:spacing w:before="11"/>
              <w:rPr>
                <w:b/>
                <w:sz w:val="11"/>
              </w:rPr>
            </w:pPr>
          </w:p>
          <w:p w14:paraId="2ECD7127"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1A7AB38C" w14:textId="77777777" w:rsidR="00EF5B27" w:rsidRDefault="00EF5B27">
            <w:pPr>
              <w:pStyle w:val="TableParagraph"/>
              <w:spacing w:before="11"/>
              <w:rPr>
                <w:b/>
                <w:sz w:val="11"/>
              </w:rPr>
            </w:pPr>
          </w:p>
          <w:p w14:paraId="7046B52F" w14:textId="77777777" w:rsidR="00EF5B27" w:rsidRDefault="00000000">
            <w:pPr>
              <w:pStyle w:val="TableParagraph"/>
              <w:ind w:left="143" w:right="142"/>
              <w:jc w:val="center"/>
              <w:rPr>
                <w:sz w:val="14"/>
              </w:rPr>
            </w:pPr>
            <w:r>
              <w:rPr>
                <w:color w:val="4D4D4F"/>
                <w:sz w:val="14"/>
              </w:rPr>
              <w:t>Baseline not yet set</w:t>
            </w:r>
          </w:p>
        </w:tc>
        <w:tc>
          <w:tcPr>
            <w:tcW w:w="964" w:type="dxa"/>
          </w:tcPr>
          <w:p w14:paraId="63A1B62C" w14:textId="77777777" w:rsidR="00EF5B27" w:rsidRDefault="00EF5B27">
            <w:pPr>
              <w:pStyle w:val="TableParagraph"/>
              <w:spacing w:before="4"/>
              <w:rPr>
                <w:b/>
                <w:sz w:val="7"/>
              </w:rPr>
            </w:pPr>
          </w:p>
          <w:p w14:paraId="4DD6979E" w14:textId="77777777" w:rsidR="00EF5B27" w:rsidRDefault="00000000">
            <w:pPr>
              <w:pStyle w:val="TableParagraph"/>
              <w:spacing w:line="187" w:lineRule="exact"/>
              <w:ind w:left="400"/>
              <w:rPr>
                <w:sz w:val="18"/>
              </w:rPr>
            </w:pPr>
            <w:r>
              <w:rPr>
                <w:noProof/>
                <w:position w:val="-3"/>
                <w:sz w:val="18"/>
              </w:rPr>
              <w:drawing>
                <wp:inline distT="0" distB="0" distL="0" distR="0" wp14:anchorId="4B2D5F22" wp14:editId="26A7878D">
                  <wp:extent cx="100572" cy="119062"/>
                  <wp:effectExtent l="0" t="0" r="0" b="0"/>
                  <wp:docPr id="397"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147.png"/>
                          <pic:cNvPicPr/>
                        </pic:nvPicPr>
                        <pic:blipFill>
                          <a:blip r:embed="rId75" cstate="print"/>
                          <a:stretch>
                            <a:fillRect/>
                          </a:stretch>
                        </pic:blipFill>
                        <pic:spPr>
                          <a:xfrm>
                            <a:off x="0" y="0"/>
                            <a:ext cx="100572" cy="119062"/>
                          </a:xfrm>
                          <a:prstGeom prst="rect">
                            <a:avLst/>
                          </a:prstGeom>
                        </pic:spPr>
                      </pic:pic>
                    </a:graphicData>
                  </a:graphic>
                </wp:inline>
              </w:drawing>
            </w:r>
          </w:p>
          <w:p w14:paraId="3C8355E0" w14:textId="77777777" w:rsidR="00EF5B27" w:rsidRDefault="00EF5B27">
            <w:pPr>
              <w:pStyle w:val="TableParagraph"/>
              <w:spacing w:before="8"/>
              <w:rPr>
                <w:b/>
                <w:sz w:val="2"/>
              </w:rPr>
            </w:pPr>
          </w:p>
          <w:p w14:paraId="1582452C" w14:textId="77777777" w:rsidR="00EF5B27" w:rsidRDefault="00000000">
            <w:pPr>
              <w:pStyle w:val="TableParagraph"/>
              <w:spacing w:line="48" w:lineRule="exact"/>
              <w:ind w:left="448"/>
              <w:rPr>
                <w:sz w:val="4"/>
              </w:rPr>
            </w:pPr>
            <w:r>
              <w:rPr>
                <w:sz w:val="4"/>
              </w:rPr>
            </w:r>
            <w:r>
              <w:rPr>
                <w:sz w:val="4"/>
              </w:rPr>
              <w:pict w14:anchorId="3EC7148F">
                <v:group id="_x0000_s3330" style="width:2.45pt;height:2.45pt;mso-position-horizontal-relative:char;mso-position-vertical-relative:line" coordsize="49,49">
                  <v:shape id="_x0000_s3331" style="position:absolute;width:49;height:49" coordsize="49,49" path="m31,l18,,12,2,2,12,,17,,31r2,6l12,46r6,3l31,49r6,-3l46,37r3,-6l49,17,46,12,37,2,31,xe" fillcolor="#808285" stroked="f">
                    <v:path arrowok="t"/>
                  </v:shape>
                  <w10:wrap type="none"/>
                  <w10:anchorlock/>
                </v:group>
              </w:pict>
            </w:r>
          </w:p>
        </w:tc>
        <w:tc>
          <w:tcPr>
            <w:tcW w:w="964" w:type="dxa"/>
          </w:tcPr>
          <w:p w14:paraId="41A477CF" w14:textId="77777777" w:rsidR="00EF5B27" w:rsidRDefault="00EF5B27">
            <w:pPr>
              <w:pStyle w:val="TableParagraph"/>
              <w:spacing w:before="11"/>
              <w:rPr>
                <w:b/>
                <w:sz w:val="11"/>
              </w:rPr>
            </w:pPr>
          </w:p>
          <w:p w14:paraId="5D951D55" w14:textId="77777777" w:rsidR="00EF5B27" w:rsidRDefault="00000000">
            <w:pPr>
              <w:pStyle w:val="TableParagraph"/>
              <w:ind w:left="318" w:right="323"/>
              <w:jc w:val="center"/>
              <w:rPr>
                <w:sz w:val="14"/>
              </w:rPr>
            </w:pPr>
            <w:r>
              <w:rPr>
                <w:color w:val="4D4D4F"/>
                <w:w w:val="105"/>
                <w:sz w:val="14"/>
              </w:rPr>
              <w:t>N/A</w:t>
            </w:r>
          </w:p>
        </w:tc>
        <w:tc>
          <w:tcPr>
            <w:tcW w:w="1489" w:type="dxa"/>
          </w:tcPr>
          <w:p w14:paraId="3C933D9D" w14:textId="77777777" w:rsidR="00EF5B27" w:rsidRDefault="00000000">
            <w:pPr>
              <w:pStyle w:val="TableParagraph"/>
              <w:spacing w:before="134"/>
              <w:ind w:left="581"/>
              <w:rPr>
                <w:sz w:val="16"/>
              </w:rPr>
            </w:pPr>
            <w:r>
              <w:rPr>
                <w:color w:val="4D4D4F"/>
                <w:sz w:val="16"/>
              </w:rPr>
              <w:t>2026</w:t>
            </w:r>
          </w:p>
        </w:tc>
      </w:tr>
    </w:tbl>
    <w:p w14:paraId="25CA56B8" w14:textId="77777777" w:rsidR="00EF5B27" w:rsidRDefault="00EF5B27">
      <w:pPr>
        <w:rPr>
          <w:sz w:val="16"/>
        </w:rPr>
        <w:sectPr w:rsidR="00EF5B27">
          <w:pgSz w:w="11910" w:h="16840"/>
          <w:pgMar w:top="1080" w:right="1020" w:bottom="860" w:left="1020" w:header="537" w:footer="678" w:gutter="0"/>
          <w:cols w:space="720"/>
        </w:sectPr>
      </w:pPr>
    </w:p>
    <w:p w14:paraId="5E6D9B19" w14:textId="77777777" w:rsidR="00EF5B27" w:rsidRDefault="00000000">
      <w:pPr>
        <w:spacing w:before="101"/>
        <w:ind w:left="2608"/>
        <w:rPr>
          <w:b/>
          <w:sz w:val="20"/>
        </w:rPr>
      </w:pPr>
      <w:r>
        <w:lastRenderedPageBreak/>
        <w:pict w14:anchorId="766C8F3B">
          <v:group id="_x0000_s3322" style="position:absolute;left:0;text-align:left;margin-left:587.05pt;margin-top:183.4pt;width:8.25pt;height:153.1pt;z-index:251601408;mso-position-horizontal-relative:page;mso-position-vertical-relative:page" coordorigin="11741,3668" coordsize="165,3062">
            <v:shape id="_x0000_s3329" style="position:absolute;left:11741;top:3668;width:165;height:561" coordorigin="11741,3668" coordsize="165,561" path="m11906,3668r-165,l11741,4228r165,-18l11906,3668xe" fillcolor="#00aed9" stroked="f">
              <v:path arrowok="t"/>
            </v:shape>
            <v:shape id="_x0000_s3328" style="position:absolute;left:11741;top:4118;width:165;height:425" coordorigin="11741,4118" coordsize="165,425" path="m11906,4118r-165,14l11741,4531r165,12l11906,4118xe" fillcolor="#047ebc" stroked="f">
              <v:path arrowok="t"/>
            </v:shape>
            <v:shape id="_x0000_s3327" type="#_x0000_t75" style="position:absolute;left:11741;top:4355;width:165;height:587">
              <v:imagedata r:id="rId42" o:title=""/>
            </v:shape>
            <v:shape id="_x0000_s3326" style="position:absolute;left:11741;top:5343;width:165;height:536" coordorigin="11741,5343" coordsize="165,536" path="m11741,5343r,535l11906,5872r,-525l11741,5343xe" fillcolor="#f36a2e" stroked="f">
              <v:path arrowok="t"/>
            </v:shape>
            <v:shape id="_x0000_s3325" style="position:absolute;left:11741;top:4925;width:165;height:501" coordorigin="11741,4926" coordsize="165,501" path="m11741,4926r,500l11906,5426r,-485l11741,4926xe" fillcolor="#49783f" stroked="f">
              <v:path arrowok="t"/>
            </v:shape>
            <v:shape id="_x0000_s3324" style="position:absolute;left:11741;top:5781;width:165;height:268" coordorigin="11741,5782" coordsize="165,268" path="m11906,5782r-165,8l11741,6039r165,10l11906,5782xe" fillcolor="#f99f2a" stroked="f">
              <v:path arrowok="t"/>
            </v:shape>
            <v:shape id="_x0000_s3323" style="position:absolute;left:11741;top:6023;width:165;height:707" coordorigin="11741,6023" coordsize="165,707" path="m11741,6023r,706l11906,6729r,-690l11741,6023xe" fillcolor="#ef412c" stroked="f">
              <v:path arrowok="t"/>
            </v:shape>
            <w10:wrap anchorx="page" anchory="page"/>
          </v:group>
        </w:pict>
      </w:r>
      <w:r>
        <w:rPr>
          <w:b/>
          <w:color w:val="4D4D4F"/>
          <w:sz w:val="20"/>
        </w:rPr>
        <w:t>KP4: Cover of native grass (</w:t>
      </w:r>
      <w:r>
        <w:rPr>
          <w:b/>
          <w:i/>
          <w:color w:val="4D4D4F"/>
          <w:sz w:val="20"/>
        </w:rPr>
        <w:t xml:space="preserve">Themeda triandra </w:t>
      </w:r>
      <w:r>
        <w:rPr>
          <w:b/>
          <w:color w:val="4D4D4F"/>
          <w:sz w:val="20"/>
        </w:rPr>
        <w:t>and Poa)</w:t>
      </w:r>
    </w:p>
    <w:p w14:paraId="2DE3E826" w14:textId="77777777" w:rsidR="00EF5B27" w:rsidRDefault="00EF5B27">
      <w:pPr>
        <w:pStyle w:val="BodyText"/>
        <w:spacing w:before="2"/>
        <w:rPr>
          <w:b/>
          <w:sz w:val="14"/>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4B1E688A" w14:textId="77777777">
        <w:trPr>
          <w:trHeight w:val="561"/>
        </w:trPr>
        <w:tc>
          <w:tcPr>
            <w:tcW w:w="2980" w:type="dxa"/>
            <w:shd w:val="clear" w:color="auto" w:fill="FECC91"/>
          </w:tcPr>
          <w:p w14:paraId="1B4DBA05" w14:textId="77777777" w:rsidR="00EF5B27" w:rsidRDefault="00000000">
            <w:pPr>
              <w:pStyle w:val="TableParagraph"/>
              <w:spacing w:before="91" w:line="244" w:lineRule="auto"/>
              <w:ind w:left="80" w:right="540"/>
              <w:rPr>
                <w:b/>
                <w:sz w:val="16"/>
              </w:rPr>
            </w:pPr>
            <w:r>
              <w:rPr>
                <w:b/>
                <w:sz w:val="16"/>
              </w:rPr>
              <w:t>KPI 4: Cover of native grass (</w:t>
            </w:r>
            <w:r>
              <w:rPr>
                <w:b/>
                <w:i/>
                <w:sz w:val="16"/>
              </w:rPr>
              <w:t xml:space="preserve">Themeda triandra </w:t>
            </w:r>
            <w:r>
              <w:rPr>
                <w:b/>
                <w:sz w:val="16"/>
              </w:rPr>
              <w:t>and Poa)</w:t>
            </w:r>
          </w:p>
        </w:tc>
        <w:tc>
          <w:tcPr>
            <w:tcW w:w="1078" w:type="dxa"/>
            <w:shd w:val="clear" w:color="auto" w:fill="FECC91"/>
          </w:tcPr>
          <w:p w14:paraId="0FE61ED9"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0A3A13D2" w14:textId="77777777" w:rsidR="00EF5B27" w:rsidRDefault="00EF5B27">
            <w:pPr>
              <w:pStyle w:val="TableParagraph"/>
              <w:spacing w:before="7"/>
              <w:rPr>
                <w:b/>
                <w:sz w:val="15"/>
              </w:rPr>
            </w:pPr>
          </w:p>
          <w:p w14:paraId="71172079"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1F45C336" w14:textId="77777777" w:rsidR="00EF5B27" w:rsidRDefault="00EF5B27">
            <w:pPr>
              <w:pStyle w:val="TableParagraph"/>
              <w:spacing w:before="7"/>
              <w:rPr>
                <w:b/>
                <w:sz w:val="15"/>
              </w:rPr>
            </w:pPr>
          </w:p>
          <w:p w14:paraId="525EAED4"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1565EE68"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0277DB22" w14:textId="77777777" w:rsidR="00EF5B27" w:rsidRDefault="00000000">
            <w:pPr>
              <w:pStyle w:val="TableParagraph"/>
              <w:spacing w:before="91" w:line="244" w:lineRule="auto"/>
              <w:ind w:left="219" w:hanging="92"/>
              <w:rPr>
                <w:b/>
                <w:sz w:val="16"/>
              </w:rPr>
            </w:pPr>
            <w:r>
              <w:rPr>
                <w:b/>
                <w:sz w:val="16"/>
              </w:rPr>
              <w:t>Year that baseline was/will be set</w:t>
            </w:r>
          </w:p>
        </w:tc>
      </w:tr>
      <w:tr w:rsidR="00EF5B27" w14:paraId="5F1BDCD9" w14:textId="77777777">
        <w:trPr>
          <w:trHeight w:val="448"/>
        </w:trPr>
        <w:tc>
          <w:tcPr>
            <w:tcW w:w="2980" w:type="dxa"/>
          </w:tcPr>
          <w:p w14:paraId="689D5105" w14:textId="77777777" w:rsidR="00EF5B27" w:rsidRDefault="00EF5B27">
            <w:pPr>
              <w:pStyle w:val="TableParagraph"/>
              <w:spacing w:before="11"/>
              <w:rPr>
                <w:b/>
                <w:sz w:val="11"/>
              </w:rPr>
            </w:pPr>
          </w:p>
          <w:p w14:paraId="763A2A51" w14:textId="77777777" w:rsidR="00EF5B27" w:rsidRDefault="00000000">
            <w:pPr>
              <w:pStyle w:val="TableParagraph"/>
              <w:ind w:left="80"/>
              <w:rPr>
                <w:sz w:val="14"/>
              </w:rPr>
            </w:pPr>
            <w:r>
              <w:rPr>
                <w:color w:val="4D4D4F"/>
                <w:w w:val="105"/>
                <w:sz w:val="14"/>
              </w:rPr>
              <w:t>Herb-rich grassland</w:t>
            </w:r>
          </w:p>
        </w:tc>
        <w:tc>
          <w:tcPr>
            <w:tcW w:w="1078" w:type="dxa"/>
          </w:tcPr>
          <w:p w14:paraId="30766F25" w14:textId="77777777" w:rsidR="00EF5B27" w:rsidRDefault="00EF5B27">
            <w:pPr>
              <w:pStyle w:val="TableParagraph"/>
              <w:spacing w:before="11"/>
              <w:rPr>
                <w:b/>
                <w:sz w:val="11"/>
              </w:rPr>
            </w:pPr>
          </w:p>
          <w:p w14:paraId="4A92B2E3" w14:textId="77777777" w:rsidR="00EF5B27" w:rsidRDefault="00000000">
            <w:pPr>
              <w:pStyle w:val="TableParagraph"/>
              <w:ind w:left="142"/>
              <w:rPr>
                <w:sz w:val="14"/>
              </w:rPr>
            </w:pPr>
            <w:r>
              <w:rPr>
                <w:color w:val="4D4D4F"/>
                <w:w w:val="105"/>
                <w:sz w:val="14"/>
              </w:rPr>
              <w:t>Not assessed</w:t>
            </w:r>
          </w:p>
        </w:tc>
        <w:tc>
          <w:tcPr>
            <w:tcW w:w="2155" w:type="dxa"/>
          </w:tcPr>
          <w:p w14:paraId="78E57D23" w14:textId="77777777" w:rsidR="00EF5B27" w:rsidRDefault="00EF5B27">
            <w:pPr>
              <w:pStyle w:val="TableParagraph"/>
              <w:spacing w:before="11"/>
              <w:rPr>
                <w:b/>
                <w:sz w:val="11"/>
              </w:rPr>
            </w:pPr>
          </w:p>
          <w:p w14:paraId="16FE9D48" w14:textId="77777777" w:rsidR="00EF5B27" w:rsidRDefault="00000000">
            <w:pPr>
              <w:pStyle w:val="TableParagraph"/>
              <w:ind w:left="143" w:right="142"/>
              <w:jc w:val="center"/>
              <w:rPr>
                <w:sz w:val="14"/>
              </w:rPr>
            </w:pPr>
            <w:r>
              <w:rPr>
                <w:color w:val="4D4D4F"/>
                <w:sz w:val="14"/>
              </w:rPr>
              <w:t>Baseline not yet set</w:t>
            </w:r>
          </w:p>
        </w:tc>
        <w:tc>
          <w:tcPr>
            <w:tcW w:w="964" w:type="dxa"/>
          </w:tcPr>
          <w:p w14:paraId="40E4867B" w14:textId="77777777" w:rsidR="00EF5B27" w:rsidRDefault="00EF5B27">
            <w:pPr>
              <w:pStyle w:val="TableParagraph"/>
              <w:spacing w:before="4"/>
              <w:rPr>
                <w:b/>
                <w:sz w:val="7"/>
              </w:rPr>
            </w:pPr>
          </w:p>
          <w:p w14:paraId="1A0806C9" w14:textId="77777777" w:rsidR="00EF5B27" w:rsidRDefault="00000000">
            <w:pPr>
              <w:pStyle w:val="TableParagraph"/>
              <w:spacing w:line="187" w:lineRule="exact"/>
              <w:ind w:left="400"/>
              <w:rPr>
                <w:sz w:val="18"/>
              </w:rPr>
            </w:pPr>
            <w:r>
              <w:rPr>
                <w:noProof/>
                <w:position w:val="-3"/>
                <w:sz w:val="18"/>
              </w:rPr>
              <w:drawing>
                <wp:inline distT="0" distB="0" distL="0" distR="0" wp14:anchorId="3DBFD01B" wp14:editId="029F7773">
                  <wp:extent cx="100572" cy="119062"/>
                  <wp:effectExtent l="0" t="0" r="0" b="0"/>
                  <wp:docPr id="399"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148.png"/>
                          <pic:cNvPicPr/>
                        </pic:nvPicPr>
                        <pic:blipFill>
                          <a:blip r:embed="rId83" cstate="print"/>
                          <a:stretch>
                            <a:fillRect/>
                          </a:stretch>
                        </pic:blipFill>
                        <pic:spPr>
                          <a:xfrm>
                            <a:off x="0" y="0"/>
                            <a:ext cx="100572" cy="119062"/>
                          </a:xfrm>
                          <a:prstGeom prst="rect">
                            <a:avLst/>
                          </a:prstGeom>
                        </pic:spPr>
                      </pic:pic>
                    </a:graphicData>
                  </a:graphic>
                </wp:inline>
              </w:drawing>
            </w:r>
          </w:p>
          <w:p w14:paraId="40F9084A" w14:textId="77777777" w:rsidR="00EF5B27" w:rsidRDefault="00EF5B27">
            <w:pPr>
              <w:pStyle w:val="TableParagraph"/>
              <w:spacing w:before="8"/>
              <w:rPr>
                <w:b/>
                <w:sz w:val="2"/>
              </w:rPr>
            </w:pPr>
          </w:p>
          <w:p w14:paraId="2CBFCC5C" w14:textId="77777777" w:rsidR="00EF5B27" w:rsidRDefault="00000000">
            <w:pPr>
              <w:pStyle w:val="TableParagraph"/>
              <w:spacing w:line="48" w:lineRule="exact"/>
              <w:ind w:left="448"/>
              <w:rPr>
                <w:sz w:val="4"/>
              </w:rPr>
            </w:pPr>
            <w:r>
              <w:rPr>
                <w:sz w:val="4"/>
              </w:rPr>
            </w:r>
            <w:r>
              <w:rPr>
                <w:sz w:val="4"/>
              </w:rPr>
              <w:pict w14:anchorId="7A576796">
                <v:group id="_x0000_s3320" style="width:2.45pt;height:2.45pt;mso-position-horizontal-relative:char;mso-position-vertical-relative:line" coordsize="49,49">
                  <v:shape id="_x0000_s3321" style="position:absolute;width:49;height:49" coordsize="49,49" path="m31,l18,,12,2,2,12,,17,,31r2,6l12,46r6,3l31,49r6,-3l46,37r3,-6l49,17,46,12,37,2,31,xe" fillcolor="#808285" stroked="f">
                    <v:path arrowok="t"/>
                  </v:shape>
                  <w10:wrap type="none"/>
                  <w10:anchorlock/>
                </v:group>
              </w:pict>
            </w:r>
          </w:p>
        </w:tc>
        <w:tc>
          <w:tcPr>
            <w:tcW w:w="964" w:type="dxa"/>
          </w:tcPr>
          <w:p w14:paraId="550FB837" w14:textId="77777777" w:rsidR="00EF5B27" w:rsidRDefault="00EF5B27">
            <w:pPr>
              <w:pStyle w:val="TableParagraph"/>
              <w:spacing w:before="11"/>
              <w:rPr>
                <w:b/>
                <w:sz w:val="11"/>
              </w:rPr>
            </w:pPr>
          </w:p>
          <w:p w14:paraId="571B0B2B" w14:textId="77777777" w:rsidR="00EF5B27" w:rsidRDefault="00000000">
            <w:pPr>
              <w:pStyle w:val="TableParagraph"/>
              <w:ind w:left="318" w:right="323"/>
              <w:jc w:val="center"/>
              <w:rPr>
                <w:sz w:val="14"/>
              </w:rPr>
            </w:pPr>
            <w:r>
              <w:rPr>
                <w:color w:val="4D4D4F"/>
                <w:w w:val="105"/>
                <w:sz w:val="14"/>
              </w:rPr>
              <w:t>N/A</w:t>
            </w:r>
          </w:p>
        </w:tc>
        <w:tc>
          <w:tcPr>
            <w:tcW w:w="1489" w:type="dxa"/>
          </w:tcPr>
          <w:p w14:paraId="43884DC2" w14:textId="77777777" w:rsidR="00EF5B27" w:rsidRDefault="00000000">
            <w:pPr>
              <w:pStyle w:val="TableParagraph"/>
              <w:spacing w:before="134"/>
              <w:ind w:left="581"/>
              <w:rPr>
                <w:sz w:val="16"/>
              </w:rPr>
            </w:pPr>
            <w:r>
              <w:rPr>
                <w:color w:val="4D4D4F"/>
                <w:sz w:val="16"/>
              </w:rPr>
              <w:t>2026</w:t>
            </w:r>
          </w:p>
        </w:tc>
      </w:tr>
      <w:tr w:rsidR="00EF5B27" w14:paraId="3E85048C" w14:textId="77777777">
        <w:trPr>
          <w:trHeight w:val="448"/>
        </w:trPr>
        <w:tc>
          <w:tcPr>
            <w:tcW w:w="2980" w:type="dxa"/>
          </w:tcPr>
          <w:p w14:paraId="4AF454B6" w14:textId="77777777" w:rsidR="00EF5B27" w:rsidRDefault="00EF5B27">
            <w:pPr>
              <w:pStyle w:val="TableParagraph"/>
              <w:spacing w:before="11"/>
              <w:rPr>
                <w:b/>
                <w:sz w:val="11"/>
              </w:rPr>
            </w:pPr>
          </w:p>
          <w:p w14:paraId="1A62A8D4" w14:textId="77777777" w:rsidR="00EF5B27" w:rsidRDefault="00000000">
            <w:pPr>
              <w:pStyle w:val="TableParagraph"/>
              <w:ind w:left="80"/>
              <w:rPr>
                <w:sz w:val="14"/>
              </w:rPr>
            </w:pPr>
            <w:r>
              <w:rPr>
                <w:rFonts w:ascii="Arial Narrow"/>
                <w:i/>
                <w:color w:val="4D4D4F"/>
                <w:w w:val="110"/>
                <w:sz w:val="14"/>
              </w:rPr>
              <w:t xml:space="preserve">Themeda </w:t>
            </w:r>
            <w:r>
              <w:rPr>
                <w:color w:val="4D4D4F"/>
                <w:w w:val="110"/>
                <w:sz w:val="14"/>
              </w:rPr>
              <w:t>grassland</w:t>
            </w:r>
          </w:p>
        </w:tc>
        <w:tc>
          <w:tcPr>
            <w:tcW w:w="1078" w:type="dxa"/>
          </w:tcPr>
          <w:p w14:paraId="55F39745" w14:textId="77777777" w:rsidR="00EF5B27" w:rsidRDefault="00EF5B27">
            <w:pPr>
              <w:pStyle w:val="TableParagraph"/>
              <w:spacing w:before="11"/>
              <w:rPr>
                <w:b/>
                <w:sz w:val="11"/>
              </w:rPr>
            </w:pPr>
          </w:p>
          <w:p w14:paraId="7CFF0C20" w14:textId="77777777" w:rsidR="00EF5B27" w:rsidRDefault="00000000">
            <w:pPr>
              <w:pStyle w:val="TableParagraph"/>
              <w:ind w:left="142"/>
              <w:rPr>
                <w:sz w:val="14"/>
              </w:rPr>
            </w:pPr>
            <w:r>
              <w:rPr>
                <w:color w:val="4D4D4F"/>
                <w:w w:val="105"/>
                <w:sz w:val="14"/>
              </w:rPr>
              <w:t>Not assessed</w:t>
            </w:r>
          </w:p>
        </w:tc>
        <w:tc>
          <w:tcPr>
            <w:tcW w:w="2155" w:type="dxa"/>
          </w:tcPr>
          <w:p w14:paraId="5F813490" w14:textId="77777777" w:rsidR="00EF5B27" w:rsidRDefault="00EF5B27">
            <w:pPr>
              <w:pStyle w:val="TableParagraph"/>
              <w:spacing w:before="11"/>
              <w:rPr>
                <w:b/>
                <w:sz w:val="11"/>
              </w:rPr>
            </w:pPr>
          </w:p>
          <w:p w14:paraId="7ACA6BC6" w14:textId="77777777" w:rsidR="00EF5B27" w:rsidRDefault="00000000">
            <w:pPr>
              <w:pStyle w:val="TableParagraph"/>
              <w:ind w:left="143" w:right="142"/>
              <w:jc w:val="center"/>
              <w:rPr>
                <w:sz w:val="14"/>
              </w:rPr>
            </w:pPr>
            <w:r>
              <w:rPr>
                <w:color w:val="4D4D4F"/>
                <w:sz w:val="14"/>
              </w:rPr>
              <w:t>Baseline not yet set</w:t>
            </w:r>
          </w:p>
        </w:tc>
        <w:tc>
          <w:tcPr>
            <w:tcW w:w="964" w:type="dxa"/>
          </w:tcPr>
          <w:p w14:paraId="4295879C" w14:textId="77777777" w:rsidR="00EF5B27" w:rsidRDefault="00EF5B27">
            <w:pPr>
              <w:pStyle w:val="TableParagraph"/>
              <w:spacing w:before="4"/>
              <w:rPr>
                <w:b/>
                <w:sz w:val="7"/>
              </w:rPr>
            </w:pPr>
          </w:p>
          <w:p w14:paraId="7D804F19" w14:textId="77777777" w:rsidR="00EF5B27" w:rsidRDefault="00000000">
            <w:pPr>
              <w:pStyle w:val="TableParagraph"/>
              <w:spacing w:line="187" w:lineRule="exact"/>
              <w:ind w:left="400"/>
              <w:rPr>
                <w:sz w:val="18"/>
              </w:rPr>
            </w:pPr>
            <w:r>
              <w:rPr>
                <w:noProof/>
                <w:position w:val="-3"/>
                <w:sz w:val="18"/>
              </w:rPr>
              <w:drawing>
                <wp:inline distT="0" distB="0" distL="0" distR="0" wp14:anchorId="062DD3B7" wp14:editId="271FCE73">
                  <wp:extent cx="100572" cy="119062"/>
                  <wp:effectExtent l="0" t="0" r="0" b="0"/>
                  <wp:docPr id="401"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149.png"/>
                          <pic:cNvPicPr/>
                        </pic:nvPicPr>
                        <pic:blipFill>
                          <a:blip r:embed="rId84" cstate="print"/>
                          <a:stretch>
                            <a:fillRect/>
                          </a:stretch>
                        </pic:blipFill>
                        <pic:spPr>
                          <a:xfrm>
                            <a:off x="0" y="0"/>
                            <a:ext cx="100572" cy="119062"/>
                          </a:xfrm>
                          <a:prstGeom prst="rect">
                            <a:avLst/>
                          </a:prstGeom>
                        </pic:spPr>
                      </pic:pic>
                    </a:graphicData>
                  </a:graphic>
                </wp:inline>
              </w:drawing>
            </w:r>
          </w:p>
          <w:p w14:paraId="3E6773B5" w14:textId="77777777" w:rsidR="00EF5B27" w:rsidRDefault="00EF5B27">
            <w:pPr>
              <w:pStyle w:val="TableParagraph"/>
              <w:spacing w:before="8"/>
              <w:rPr>
                <w:b/>
                <w:sz w:val="2"/>
              </w:rPr>
            </w:pPr>
          </w:p>
          <w:p w14:paraId="21CEC9E3" w14:textId="77777777" w:rsidR="00EF5B27" w:rsidRDefault="00000000">
            <w:pPr>
              <w:pStyle w:val="TableParagraph"/>
              <w:spacing w:line="48" w:lineRule="exact"/>
              <w:ind w:left="448"/>
              <w:rPr>
                <w:sz w:val="4"/>
              </w:rPr>
            </w:pPr>
            <w:r>
              <w:rPr>
                <w:sz w:val="4"/>
              </w:rPr>
            </w:r>
            <w:r>
              <w:rPr>
                <w:sz w:val="4"/>
              </w:rPr>
              <w:pict w14:anchorId="50F7014D">
                <v:group id="_x0000_s3318" style="width:2.45pt;height:2.45pt;mso-position-horizontal-relative:char;mso-position-vertical-relative:line" coordsize="49,49">
                  <v:shape id="_x0000_s3319" style="position:absolute;width:49;height:49" coordsize="49,49" path="m31,l18,,12,2,2,12,,17,,31r2,6l12,46r6,3l31,49r6,-3l46,37r3,-6l49,17,46,12,37,2,31,xe" fillcolor="#808285" stroked="f">
                    <v:path arrowok="t"/>
                  </v:shape>
                  <w10:wrap type="none"/>
                  <w10:anchorlock/>
                </v:group>
              </w:pict>
            </w:r>
          </w:p>
        </w:tc>
        <w:tc>
          <w:tcPr>
            <w:tcW w:w="964" w:type="dxa"/>
          </w:tcPr>
          <w:p w14:paraId="1523C8DB" w14:textId="77777777" w:rsidR="00EF5B27" w:rsidRDefault="00EF5B27">
            <w:pPr>
              <w:pStyle w:val="TableParagraph"/>
              <w:spacing w:before="11"/>
              <w:rPr>
                <w:b/>
                <w:sz w:val="11"/>
              </w:rPr>
            </w:pPr>
          </w:p>
          <w:p w14:paraId="18DD46AA" w14:textId="77777777" w:rsidR="00EF5B27" w:rsidRDefault="00000000">
            <w:pPr>
              <w:pStyle w:val="TableParagraph"/>
              <w:ind w:left="318" w:right="323"/>
              <w:jc w:val="center"/>
              <w:rPr>
                <w:sz w:val="14"/>
              </w:rPr>
            </w:pPr>
            <w:r>
              <w:rPr>
                <w:color w:val="4D4D4F"/>
                <w:w w:val="105"/>
                <w:sz w:val="14"/>
              </w:rPr>
              <w:t>N/A</w:t>
            </w:r>
          </w:p>
        </w:tc>
        <w:tc>
          <w:tcPr>
            <w:tcW w:w="1489" w:type="dxa"/>
          </w:tcPr>
          <w:p w14:paraId="7BEC97B5" w14:textId="77777777" w:rsidR="00EF5B27" w:rsidRDefault="00000000">
            <w:pPr>
              <w:pStyle w:val="TableParagraph"/>
              <w:spacing w:before="134"/>
              <w:ind w:left="581"/>
              <w:rPr>
                <w:sz w:val="16"/>
              </w:rPr>
            </w:pPr>
            <w:r>
              <w:rPr>
                <w:color w:val="4D4D4F"/>
                <w:sz w:val="16"/>
              </w:rPr>
              <w:t>2026</w:t>
            </w:r>
          </w:p>
        </w:tc>
      </w:tr>
      <w:tr w:rsidR="00EF5B27" w14:paraId="72E15935" w14:textId="77777777">
        <w:trPr>
          <w:trHeight w:val="448"/>
        </w:trPr>
        <w:tc>
          <w:tcPr>
            <w:tcW w:w="2980" w:type="dxa"/>
          </w:tcPr>
          <w:p w14:paraId="100C4A33" w14:textId="77777777" w:rsidR="00EF5B27" w:rsidRDefault="00EF5B27">
            <w:pPr>
              <w:pStyle w:val="TableParagraph"/>
              <w:spacing w:before="11"/>
              <w:rPr>
                <w:b/>
                <w:sz w:val="11"/>
              </w:rPr>
            </w:pPr>
          </w:p>
          <w:p w14:paraId="42874A1D" w14:textId="77777777" w:rsidR="00EF5B27" w:rsidRDefault="00000000">
            <w:pPr>
              <w:pStyle w:val="TableParagraph"/>
              <w:ind w:left="80"/>
              <w:rPr>
                <w:sz w:val="14"/>
              </w:rPr>
            </w:pPr>
            <w:r>
              <w:rPr>
                <w:color w:val="4D4D4F"/>
                <w:w w:val="105"/>
                <w:sz w:val="14"/>
              </w:rPr>
              <w:t>C3 grassland</w:t>
            </w:r>
          </w:p>
        </w:tc>
        <w:tc>
          <w:tcPr>
            <w:tcW w:w="1078" w:type="dxa"/>
          </w:tcPr>
          <w:p w14:paraId="5B330E3B" w14:textId="77777777" w:rsidR="00EF5B27" w:rsidRDefault="00EF5B27">
            <w:pPr>
              <w:pStyle w:val="TableParagraph"/>
              <w:spacing w:before="11"/>
              <w:rPr>
                <w:b/>
                <w:sz w:val="11"/>
              </w:rPr>
            </w:pPr>
          </w:p>
          <w:p w14:paraId="50B5C327" w14:textId="77777777" w:rsidR="00EF5B27" w:rsidRDefault="00000000">
            <w:pPr>
              <w:pStyle w:val="TableParagraph"/>
              <w:ind w:left="142"/>
              <w:rPr>
                <w:sz w:val="14"/>
              </w:rPr>
            </w:pPr>
            <w:r>
              <w:rPr>
                <w:color w:val="4D4D4F"/>
                <w:w w:val="105"/>
                <w:sz w:val="14"/>
              </w:rPr>
              <w:t>Not assessed</w:t>
            </w:r>
          </w:p>
        </w:tc>
        <w:tc>
          <w:tcPr>
            <w:tcW w:w="2155" w:type="dxa"/>
          </w:tcPr>
          <w:p w14:paraId="680C8136" w14:textId="77777777" w:rsidR="00EF5B27" w:rsidRDefault="00EF5B27">
            <w:pPr>
              <w:pStyle w:val="TableParagraph"/>
              <w:spacing w:before="11"/>
              <w:rPr>
                <w:b/>
                <w:sz w:val="11"/>
              </w:rPr>
            </w:pPr>
          </w:p>
          <w:p w14:paraId="42C5F0D9" w14:textId="77777777" w:rsidR="00EF5B27" w:rsidRDefault="00000000">
            <w:pPr>
              <w:pStyle w:val="TableParagraph"/>
              <w:ind w:left="143" w:right="142"/>
              <w:jc w:val="center"/>
              <w:rPr>
                <w:sz w:val="14"/>
              </w:rPr>
            </w:pPr>
            <w:r>
              <w:rPr>
                <w:color w:val="4D4D4F"/>
                <w:sz w:val="14"/>
              </w:rPr>
              <w:t>Baseline not yet set</w:t>
            </w:r>
          </w:p>
        </w:tc>
        <w:tc>
          <w:tcPr>
            <w:tcW w:w="964" w:type="dxa"/>
          </w:tcPr>
          <w:p w14:paraId="3EB594D1" w14:textId="77777777" w:rsidR="00EF5B27" w:rsidRDefault="00EF5B27">
            <w:pPr>
              <w:pStyle w:val="TableParagraph"/>
              <w:spacing w:before="4"/>
              <w:rPr>
                <w:b/>
                <w:sz w:val="7"/>
              </w:rPr>
            </w:pPr>
          </w:p>
          <w:p w14:paraId="571AE38D" w14:textId="77777777" w:rsidR="00EF5B27" w:rsidRDefault="00000000">
            <w:pPr>
              <w:pStyle w:val="TableParagraph"/>
              <w:spacing w:line="187" w:lineRule="exact"/>
              <w:ind w:left="400"/>
              <w:rPr>
                <w:sz w:val="18"/>
              </w:rPr>
            </w:pPr>
            <w:r>
              <w:rPr>
                <w:noProof/>
                <w:position w:val="-3"/>
                <w:sz w:val="18"/>
              </w:rPr>
              <w:drawing>
                <wp:inline distT="0" distB="0" distL="0" distR="0" wp14:anchorId="2EF9DAAA" wp14:editId="4246709E">
                  <wp:extent cx="100572" cy="119062"/>
                  <wp:effectExtent l="0" t="0" r="0" b="0"/>
                  <wp:docPr id="403"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150.png"/>
                          <pic:cNvPicPr/>
                        </pic:nvPicPr>
                        <pic:blipFill>
                          <a:blip r:embed="rId95" cstate="print"/>
                          <a:stretch>
                            <a:fillRect/>
                          </a:stretch>
                        </pic:blipFill>
                        <pic:spPr>
                          <a:xfrm>
                            <a:off x="0" y="0"/>
                            <a:ext cx="100572" cy="119062"/>
                          </a:xfrm>
                          <a:prstGeom prst="rect">
                            <a:avLst/>
                          </a:prstGeom>
                        </pic:spPr>
                      </pic:pic>
                    </a:graphicData>
                  </a:graphic>
                </wp:inline>
              </w:drawing>
            </w:r>
          </w:p>
          <w:p w14:paraId="3D9878F5" w14:textId="77777777" w:rsidR="00EF5B27" w:rsidRDefault="00EF5B27">
            <w:pPr>
              <w:pStyle w:val="TableParagraph"/>
              <w:spacing w:before="8"/>
              <w:rPr>
                <w:b/>
                <w:sz w:val="2"/>
              </w:rPr>
            </w:pPr>
          </w:p>
          <w:p w14:paraId="1D651597" w14:textId="77777777" w:rsidR="00EF5B27" w:rsidRDefault="00000000">
            <w:pPr>
              <w:pStyle w:val="TableParagraph"/>
              <w:spacing w:line="48" w:lineRule="exact"/>
              <w:ind w:left="448"/>
              <w:rPr>
                <w:sz w:val="4"/>
              </w:rPr>
            </w:pPr>
            <w:r>
              <w:rPr>
                <w:sz w:val="4"/>
              </w:rPr>
            </w:r>
            <w:r>
              <w:rPr>
                <w:sz w:val="4"/>
              </w:rPr>
              <w:pict w14:anchorId="7CF8959D">
                <v:group id="_x0000_s3316" style="width:2.45pt;height:2.45pt;mso-position-horizontal-relative:char;mso-position-vertical-relative:line" coordsize="49,49">
                  <v:shape id="_x0000_s3317" style="position:absolute;width:49;height:49" coordsize="49,49" path="m31,l18,,12,2,2,12,,17,,31r2,6l12,46r6,3l31,49r6,-3l46,37r3,-6l49,17,46,12,37,2,31,xe" fillcolor="#808285" stroked="f">
                    <v:path arrowok="t"/>
                  </v:shape>
                  <w10:wrap type="none"/>
                  <w10:anchorlock/>
                </v:group>
              </w:pict>
            </w:r>
          </w:p>
        </w:tc>
        <w:tc>
          <w:tcPr>
            <w:tcW w:w="964" w:type="dxa"/>
          </w:tcPr>
          <w:p w14:paraId="49F9F961" w14:textId="77777777" w:rsidR="00EF5B27" w:rsidRDefault="00EF5B27">
            <w:pPr>
              <w:pStyle w:val="TableParagraph"/>
              <w:spacing w:before="11"/>
              <w:rPr>
                <w:b/>
                <w:sz w:val="11"/>
              </w:rPr>
            </w:pPr>
          </w:p>
          <w:p w14:paraId="15E0C892" w14:textId="77777777" w:rsidR="00EF5B27" w:rsidRDefault="00000000">
            <w:pPr>
              <w:pStyle w:val="TableParagraph"/>
              <w:ind w:left="318" w:right="323"/>
              <w:jc w:val="center"/>
              <w:rPr>
                <w:sz w:val="14"/>
              </w:rPr>
            </w:pPr>
            <w:r>
              <w:rPr>
                <w:color w:val="4D4D4F"/>
                <w:w w:val="105"/>
                <w:sz w:val="14"/>
              </w:rPr>
              <w:t>N/A</w:t>
            </w:r>
          </w:p>
        </w:tc>
        <w:tc>
          <w:tcPr>
            <w:tcW w:w="1489" w:type="dxa"/>
          </w:tcPr>
          <w:p w14:paraId="6B7B43B5" w14:textId="77777777" w:rsidR="00EF5B27" w:rsidRDefault="00000000">
            <w:pPr>
              <w:pStyle w:val="TableParagraph"/>
              <w:spacing w:before="134"/>
              <w:ind w:left="581"/>
              <w:rPr>
                <w:sz w:val="16"/>
              </w:rPr>
            </w:pPr>
            <w:r>
              <w:rPr>
                <w:color w:val="4D4D4F"/>
                <w:sz w:val="16"/>
              </w:rPr>
              <w:t>2026</w:t>
            </w:r>
          </w:p>
        </w:tc>
      </w:tr>
      <w:tr w:rsidR="00EF5B27" w14:paraId="58BA4BD1" w14:textId="77777777">
        <w:trPr>
          <w:trHeight w:val="448"/>
        </w:trPr>
        <w:tc>
          <w:tcPr>
            <w:tcW w:w="2980" w:type="dxa"/>
          </w:tcPr>
          <w:p w14:paraId="4A283A2B" w14:textId="77777777" w:rsidR="00EF5B27" w:rsidRDefault="00EF5B27">
            <w:pPr>
              <w:pStyle w:val="TableParagraph"/>
              <w:spacing w:before="11"/>
              <w:rPr>
                <w:b/>
                <w:sz w:val="11"/>
              </w:rPr>
            </w:pPr>
          </w:p>
          <w:p w14:paraId="044C5D77" w14:textId="77777777" w:rsidR="00EF5B27" w:rsidRDefault="00000000">
            <w:pPr>
              <w:pStyle w:val="TableParagraph"/>
              <w:ind w:left="80"/>
              <w:rPr>
                <w:sz w:val="14"/>
              </w:rPr>
            </w:pPr>
            <w:r>
              <w:rPr>
                <w:color w:val="4D4D4F"/>
                <w:w w:val="105"/>
                <w:sz w:val="14"/>
              </w:rPr>
              <w:t>Nutrient-enriched grassland</w:t>
            </w:r>
          </w:p>
        </w:tc>
        <w:tc>
          <w:tcPr>
            <w:tcW w:w="1078" w:type="dxa"/>
          </w:tcPr>
          <w:p w14:paraId="00AA498B" w14:textId="77777777" w:rsidR="00EF5B27" w:rsidRDefault="00EF5B27">
            <w:pPr>
              <w:pStyle w:val="TableParagraph"/>
              <w:spacing w:before="11"/>
              <w:rPr>
                <w:b/>
                <w:sz w:val="11"/>
              </w:rPr>
            </w:pPr>
          </w:p>
          <w:p w14:paraId="1FD40C86" w14:textId="77777777" w:rsidR="00EF5B27" w:rsidRDefault="00000000">
            <w:pPr>
              <w:pStyle w:val="TableParagraph"/>
              <w:ind w:left="142"/>
              <w:rPr>
                <w:sz w:val="14"/>
              </w:rPr>
            </w:pPr>
            <w:r>
              <w:rPr>
                <w:color w:val="4D4D4F"/>
                <w:w w:val="105"/>
                <w:sz w:val="14"/>
              </w:rPr>
              <w:t>Not assessed</w:t>
            </w:r>
          </w:p>
        </w:tc>
        <w:tc>
          <w:tcPr>
            <w:tcW w:w="2155" w:type="dxa"/>
          </w:tcPr>
          <w:p w14:paraId="24F13EE8" w14:textId="77777777" w:rsidR="00EF5B27" w:rsidRDefault="00EF5B27">
            <w:pPr>
              <w:pStyle w:val="TableParagraph"/>
              <w:spacing w:before="11"/>
              <w:rPr>
                <w:b/>
                <w:sz w:val="11"/>
              </w:rPr>
            </w:pPr>
          </w:p>
          <w:p w14:paraId="56072189" w14:textId="77777777" w:rsidR="00EF5B27" w:rsidRDefault="00000000">
            <w:pPr>
              <w:pStyle w:val="TableParagraph"/>
              <w:ind w:left="143" w:right="142"/>
              <w:jc w:val="center"/>
              <w:rPr>
                <w:sz w:val="14"/>
              </w:rPr>
            </w:pPr>
            <w:r>
              <w:rPr>
                <w:color w:val="4D4D4F"/>
                <w:sz w:val="14"/>
              </w:rPr>
              <w:t>Baseline not yet set</w:t>
            </w:r>
          </w:p>
        </w:tc>
        <w:tc>
          <w:tcPr>
            <w:tcW w:w="964" w:type="dxa"/>
          </w:tcPr>
          <w:p w14:paraId="6A9E5F65" w14:textId="77777777" w:rsidR="00EF5B27" w:rsidRDefault="00EF5B27">
            <w:pPr>
              <w:pStyle w:val="TableParagraph"/>
              <w:spacing w:before="5"/>
              <w:rPr>
                <w:b/>
                <w:sz w:val="7"/>
              </w:rPr>
            </w:pPr>
          </w:p>
          <w:p w14:paraId="58BE86F2" w14:textId="77777777" w:rsidR="00EF5B27" w:rsidRDefault="00000000">
            <w:pPr>
              <w:pStyle w:val="TableParagraph"/>
              <w:spacing w:line="187" w:lineRule="exact"/>
              <w:ind w:left="400"/>
              <w:rPr>
                <w:sz w:val="18"/>
              </w:rPr>
            </w:pPr>
            <w:r>
              <w:rPr>
                <w:noProof/>
                <w:position w:val="-3"/>
                <w:sz w:val="18"/>
              </w:rPr>
              <w:drawing>
                <wp:inline distT="0" distB="0" distL="0" distR="0" wp14:anchorId="6790A6D0" wp14:editId="335C604A">
                  <wp:extent cx="100572" cy="119062"/>
                  <wp:effectExtent l="0" t="0" r="0" b="0"/>
                  <wp:docPr id="405"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151.png"/>
                          <pic:cNvPicPr/>
                        </pic:nvPicPr>
                        <pic:blipFill>
                          <a:blip r:embed="rId84" cstate="print"/>
                          <a:stretch>
                            <a:fillRect/>
                          </a:stretch>
                        </pic:blipFill>
                        <pic:spPr>
                          <a:xfrm>
                            <a:off x="0" y="0"/>
                            <a:ext cx="100572" cy="119062"/>
                          </a:xfrm>
                          <a:prstGeom prst="rect">
                            <a:avLst/>
                          </a:prstGeom>
                        </pic:spPr>
                      </pic:pic>
                    </a:graphicData>
                  </a:graphic>
                </wp:inline>
              </w:drawing>
            </w:r>
          </w:p>
          <w:p w14:paraId="204BE947" w14:textId="77777777" w:rsidR="00EF5B27" w:rsidRDefault="00EF5B27">
            <w:pPr>
              <w:pStyle w:val="TableParagraph"/>
              <w:spacing w:before="7"/>
              <w:rPr>
                <w:b/>
                <w:sz w:val="2"/>
              </w:rPr>
            </w:pPr>
          </w:p>
          <w:p w14:paraId="1B4109D5" w14:textId="77777777" w:rsidR="00EF5B27" w:rsidRDefault="00000000">
            <w:pPr>
              <w:pStyle w:val="TableParagraph"/>
              <w:spacing w:line="48" w:lineRule="exact"/>
              <w:ind w:left="448"/>
              <w:rPr>
                <w:sz w:val="4"/>
              </w:rPr>
            </w:pPr>
            <w:r>
              <w:rPr>
                <w:sz w:val="4"/>
              </w:rPr>
            </w:r>
            <w:r>
              <w:rPr>
                <w:sz w:val="4"/>
              </w:rPr>
              <w:pict w14:anchorId="270D38F1">
                <v:group id="_x0000_s3314" style="width:2.45pt;height:2.45pt;mso-position-horizontal-relative:char;mso-position-vertical-relative:line" coordsize="49,49">
                  <v:shape id="_x0000_s3315" style="position:absolute;width:49;height:49" coordsize="49,49" path="m31,l18,,12,2,2,12,,17,,31r2,6l12,46r6,3l31,49r6,-3l46,37r3,-6l49,17,46,12,37,2,31,xe" fillcolor="#808285" stroked="f">
                    <v:path arrowok="t"/>
                  </v:shape>
                  <w10:wrap type="none"/>
                  <w10:anchorlock/>
                </v:group>
              </w:pict>
            </w:r>
          </w:p>
        </w:tc>
        <w:tc>
          <w:tcPr>
            <w:tcW w:w="964" w:type="dxa"/>
          </w:tcPr>
          <w:p w14:paraId="2922FD55" w14:textId="77777777" w:rsidR="00EF5B27" w:rsidRDefault="00EF5B27">
            <w:pPr>
              <w:pStyle w:val="TableParagraph"/>
              <w:spacing w:before="11"/>
              <w:rPr>
                <w:b/>
                <w:sz w:val="11"/>
              </w:rPr>
            </w:pPr>
          </w:p>
          <w:p w14:paraId="3E5D6E43" w14:textId="77777777" w:rsidR="00EF5B27" w:rsidRDefault="00000000">
            <w:pPr>
              <w:pStyle w:val="TableParagraph"/>
              <w:ind w:left="318" w:right="323"/>
              <w:jc w:val="center"/>
              <w:rPr>
                <w:sz w:val="14"/>
              </w:rPr>
            </w:pPr>
            <w:r>
              <w:rPr>
                <w:color w:val="4D4D4F"/>
                <w:w w:val="105"/>
                <w:sz w:val="14"/>
              </w:rPr>
              <w:t>N/A</w:t>
            </w:r>
          </w:p>
        </w:tc>
        <w:tc>
          <w:tcPr>
            <w:tcW w:w="1489" w:type="dxa"/>
          </w:tcPr>
          <w:p w14:paraId="215BC5A7" w14:textId="77777777" w:rsidR="00EF5B27" w:rsidRDefault="00000000">
            <w:pPr>
              <w:pStyle w:val="TableParagraph"/>
              <w:spacing w:before="134"/>
              <w:ind w:left="581"/>
              <w:rPr>
                <w:sz w:val="16"/>
              </w:rPr>
            </w:pPr>
            <w:r>
              <w:rPr>
                <w:color w:val="4D4D4F"/>
                <w:sz w:val="16"/>
              </w:rPr>
              <w:t>2026</w:t>
            </w:r>
          </w:p>
        </w:tc>
      </w:tr>
      <w:tr w:rsidR="00EF5B27" w14:paraId="1D7D5FC8" w14:textId="77777777">
        <w:trPr>
          <w:trHeight w:val="448"/>
        </w:trPr>
        <w:tc>
          <w:tcPr>
            <w:tcW w:w="2980" w:type="dxa"/>
          </w:tcPr>
          <w:p w14:paraId="7DFB7AF2" w14:textId="77777777" w:rsidR="00EF5B27" w:rsidRDefault="00EF5B27">
            <w:pPr>
              <w:pStyle w:val="TableParagraph"/>
              <w:spacing w:before="11"/>
              <w:rPr>
                <w:b/>
                <w:sz w:val="11"/>
              </w:rPr>
            </w:pPr>
          </w:p>
          <w:p w14:paraId="33A896F1" w14:textId="77777777" w:rsidR="00EF5B27" w:rsidRDefault="00000000">
            <w:pPr>
              <w:pStyle w:val="TableParagraph"/>
              <w:ind w:left="80"/>
              <w:rPr>
                <w:sz w:val="14"/>
              </w:rPr>
            </w:pPr>
            <w:r>
              <w:rPr>
                <w:color w:val="4D4D4F"/>
                <w:w w:val="105"/>
                <w:sz w:val="14"/>
              </w:rPr>
              <w:t>De-rocked grassland</w:t>
            </w:r>
          </w:p>
        </w:tc>
        <w:tc>
          <w:tcPr>
            <w:tcW w:w="1078" w:type="dxa"/>
          </w:tcPr>
          <w:p w14:paraId="65B36D4C" w14:textId="77777777" w:rsidR="00EF5B27" w:rsidRDefault="00EF5B27">
            <w:pPr>
              <w:pStyle w:val="TableParagraph"/>
              <w:spacing w:before="11"/>
              <w:rPr>
                <w:b/>
                <w:sz w:val="11"/>
              </w:rPr>
            </w:pPr>
          </w:p>
          <w:p w14:paraId="2F74DCF8" w14:textId="77777777" w:rsidR="00EF5B27" w:rsidRDefault="00000000">
            <w:pPr>
              <w:pStyle w:val="TableParagraph"/>
              <w:ind w:left="142"/>
              <w:rPr>
                <w:sz w:val="14"/>
              </w:rPr>
            </w:pPr>
            <w:r>
              <w:rPr>
                <w:color w:val="4D4D4F"/>
                <w:w w:val="105"/>
                <w:sz w:val="14"/>
              </w:rPr>
              <w:t>Not assessed</w:t>
            </w:r>
          </w:p>
        </w:tc>
        <w:tc>
          <w:tcPr>
            <w:tcW w:w="2155" w:type="dxa"/>
          </w:tcPr>
          <w:p w14:paraId="314DE033" w14:textId="77777777" w:rsidR="00EF5B27" w:rsidRDefault="00EF5B27">
            <w:pPr>
              <w:pStyle w:val="TableParagraph"/>
              <w:spacing w:before="11"/>
              <w:rPr>
                <w:b/>
                <w:sz w:val="11"/>
              </w:rPr>
            </w:pPr>
          </w:p>
          <w:p w14:paraId="139ED0A8" w14:textId="77777777" w:rsidR="00EF5B27" w:rsidRDefault="00000000">
            <w:pPr>
              <w:pStyle w:val="TableParagraph"/>
              <w:ind w:left="143" w:right="142"/>
              <w:jc w:val="center"/>
              <w:rPr>
                <w:sz w:val="14"/>
              </w:rPr>
            </w:pPr>
            <w:r>
              <w:rPr>
                <w:color w:val="4D4D4F"/>
                <w:sz w:val="14"/>
              </w:rPr>
              <w:t>Baseline not yet set</w:t>
            </w:r>
          </w:p>
        </w:tc>
        <w:tc>
          <w:tcPr>
            <w:tcW w:w="964" w:type="dxa"/>
          </w:tcPr>
          <w:p w14:paraId="4EB7857D" w14:textId="77777777" w:rsidR="00EF5B27" w:rsidRDefault="00EF5B27">
            <w:pPr>
              <w:pStyle w:val="TableParagraph"/>
              <w:spacing w:before="4"/>
              <w:rPr>
                <w:b/>
                <w:sz w:val="7"/>
              </w:rPr>
            </w:pPr>
          </w:p>
          <w:p w14:paraId="7188D8AF" w14:textId="77777777" w:rsidR="00EF5B27" w:rsidRDefault="00000000">
            <w:pPr>
              <w:pStyle w:val="TableParagraph"/>
              <w:spacing w:line="187" w:lineRule="exact"/>
              <w:ind w:left="400"/>
              <w:rPr>
                <w:sz w:val="18"/>
              </w:rPr>
            </w:pPr>
            <w:r>
              <w:rPr>
                <w:noProof/>
                <w:position w:val="-3"/>
                <w:sz w:val="18"/>
              </w:rPr>
              <w:drawing>
                <wp:inline distT="0" distB="0" distL="0" distR="0" wp14:anchorId="414E3790" wp14:editId="70B66A1F">
                  <wp:extent cx="100572" cy="119062"/>
                  <wp:effectExtent l="0" t="0" r="0" b="0"/>
                  <wp:docPr id="407"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152.png"/>
                          <pic:cNvPicPr/>
                        </pic:nvPicPr>
                        <pic:blipFill>
                          <a:blip r:embed="rId91" cstate="print"/>
                          <a:stretch>
                            <a:fillRect/>
                          </a:stretch>
                        </pic:blipFill>
                        <pic:spPr>
                          <a:xfrm>
                            <a:off x="0" y="0"/>
                            <a:ext cx="100572" cy="119062"/>
                          </a:xfrm>
                          <a:prstGeom prst="rect">
                            <a:avLst/>
                          </a:prstGeom>
                        </pic:spPr>
                      </pic:pic>
                    </a:graphicData>
                  </a:graphic>
                </wp:inline>
              </w:drawing>
            </w:r>
          </w:p>
          <w:p w14:paraId="29EDAE55" w14:textId="77777777" w:rsidR="00EF5B27" w:rsidRDefault="00EF5B27">
            <w:pPr>
              <w:pStyle w:val="TableParagraph"/>
              <w:spacing w:before="8"/>
              <w:rPr>
                <w:b/>
                <w:sz w:val="2"/>
              </w:rPr>
            </w:pPr>
          </w:p>
          <w:p w14:paraId="1E45B6FE" w14:textId="77777777" w:rsidR="00EF5B27" w:rsidRDefault="00000000">
            <w:pPr>
              <w:pStyle w:val="TableParagraph"/>
              <w:spacing w:line="48" w:lineRule="exact"/>
              <w:ind w:left="448"/>
              <w:rPr>
                <w:sz w:val="4"/>
              </w:rPr>
            </w:pPr>
            <w:r>
              <w:rPr>
                <w:sz w:val="4"/>
              </w:rPr>
            </w:r>
            <w:r>
              <w:rPr>
                <w:sz w:val="4"/>
              </w:rPr>
              <w:pict w14:anchorId="515B4826">
                <v:group id="_x0000_s3312" style="width:2.45pt;height:2.45pt;mso-position-horizontal-relative:char;mso-position-vertical-relative:line" coordsize="49,49">
                  <v:shape id="_x0000_s3313" style="position:absolute;width:49;height:49" coordsize="49,49" path="m31,l18,,12,2,2,12,,17,,31r2,6l12,46r6,3l31,49r6,-3l46,37r3,-6l49,17,46,12,37,2,31,xe" fillcolor="#808285" stroked="f">
                    <v:path arrowok="t"/>
                  </v:shape>
                  <w10:wrap type="none"/>
                  <w10:anchorlock/>
                </v:group>
              </w:pict>
            </w:r>
          </w:p>
        </w:tc>
        <w:tc>
          <w:tcPr>
            <w:tcW w:w="964" w:type="dxa"/>
          </w:tcPr>
          <w:p w14:paraId="7389E604" w14:textId="77777777" w:rsidR="00EF5B27" w:rsidRDefault="00EF5B27">
            <w:pPr>
              <w:pStyle w:val="TableParagraph"/>
              <w:spacing w:before="11"/>
              <w:rPr>
                <w:b/>
                <w:sz w:val="11"/>
              </w:rPr>
            </w:pPr>
          </w:p>
          <w:p w14:paraId="0C4A2D0E" w14:textId="77777777" w:rsidR="00EF5B27" w:rsidRDefault="00000000">
            <w:pPr>
              <w:pStyle w:val="TableParagraph"/>
              <w:ind w:left="318" w:right="323"/>
              <w:jc w:val="center"/>
              <w:rPr>
                <w:sz w:val="14"/>
              </w:rPr>
            </w:pPr>
            <w:r>
              <w:rPr>
                <w:color w:val="4D4D4F"/>
                <w:w w:val="105"/>
                <w:sz w:val="14"/>
              </w:rPr>
              <w:t>N/A</w:t>
            </w:r>
          </w:p>
        </w:tc>
        <w:tc>
          <w:tcPr>
            <w:tcW w:w="1489" w:type="dxa"/>
          </w:tcPr>
          <w:p w14:paraId="14AF2078" w14:textId="77777777" w:rsidR="00EF5B27" w:rsidRDefault="00000000">
            <w:pPr>
              <w:pStyle w:val="TableParagraph"/>
              <w:spacing w:before="134"/>
              <w:ind w:left="581"/>
              <w:rPr>
                <w:sz w:val="16"/>
              </w:rPr>
            </w:pPr>
            <w:r>
              <w:rPr>
                <w:color w:val="4D4D4F"/>
                <w:sz w:val="16"/>
              </w:rPr>
              <w:t>2026</w:t>
            </w:r>
          </w:p>
        </w:tc>
      </w:tr>
    </w:tbl>
    <w:p w14:paraId="6DD03A5E" w14:textId="77777777" w:rsidR="00EF5B27" w:rsidRDefault="00EF5B27">
      <w:pPr>
        <w:pStyle w:val="BodyText"/>
        <w:rPr>
          <w:b/>
          <w:sz w:val="25"/>
        </w:rPr>
      </w:pPr>
    </w:p>
    <w:p w14:paraId="685C299F" w14:textId="77777777" w:rsidR="00EF5B27" w:rsidRDefault="00000000">
      <w:pPr>
        <w:pStyle w:val="Heading6"/>
      </w:pPr>
      <w:r>
        <w:rPr>
          <w:color w:val="4D4D4F"/>
          <w:w w:val="105"/>
        </w:rPr>
        <w:t>KPI 5: Structural heterogeneity</w:t>
      </w:r>
    </w:p>
    <w:p w14:paraId="32B5B42B" w14:textId="77777777" w:rsidR="00EF5B27" w:rsidRDefault="00EF5B27">
      <w:pPr>
        <w:pStyle w:val="BodyText"/>
        <w:spacing w:before="2"/>
        <w:rPr>
          <w:b/>
          <w:sz w:val="14"/>
        </w:rPr>
      </w:pPr>
    </w:p>
    <w:tbl>
      <w:tblPr>
        <w:tblW w:w="0" w:type="auto"/>
        <w:tblInd w:w="12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5C4D9510" w14:textId="77777777">
        <w:trPr>
          <w:trHeight w:val="561"/>
        </w:trPr>
        <w:tc>
          <w:tcPr>
            <w:tcW w:w="2980" w:type="dxa"/>
            <w:shd w:val="clear" w:color="auto" w:fill="FECC91"/>
          </w:tcPr>
          <w:p w14:paraId="7FCDB5AD" w14:textId="77777777" w:rsidR="00EF5B27" w:rsidRDefault="00EF5B27">
            <w:pPr>
              <w:pStyle w:val="TableParagraph"/>
              <w:spacing w:before="7"/>
              <w:rPr>
                <w:b/>
                <w:sz w:val="15"/>
              </w:rPr>
            </w:pPr>
          </w:p>
          <w:p w14:paraId="11BFA8CF" w14:textId="77777777" w:rsidR="00EF5B27" w:rsidRDefault="00000000">
            <w:pPr>
              <w:pStyle w:val="TableParagraph"/>
              <w:spacing w:before="1"/>
              <w:ind w:left="80"/>
              <w:rPr>
                <w:b/>
                <w:sz w:val="16"/>
              </w:rPr>
            </w:pPr>
            <w:r>
              <w:rPr>
                <w:b/>
                <w:w w:val="105"/>
                <w:sz w:val="16"/>
              </w:rPr>
              <w:t>KPI 5: Structural heterogeneity</w:t>
            </w:r>
          </w:p>
        </w:tc>
        <w:tc>
          <w:tcPr>
            <w:tcW w:w="1078" w:type="dxa"/>
            <w:shd w:val="clear" w:color="auto" w:fill="FECC91"/>
          </w:tcPr>
          <w:p w14:paraId="00BBC387"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3E48B99B" w14:textId="77777777" w:rsidR="00EF5B27" w:rsidRDefault="00EF5B27">
            <w:pPr>
              <w:pStyle w:val="TableParagraph"/>
              <w:spacing w:before="7"/>
              <w:rPr>
                <w:b/>
                <w:sz w:val="15"/>
              </w:rPr>
            </w:pPr>
          </w:p>
          <w:p w14:paraId="0705458E"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704A1A25" w14:textId="77777777" w:rsidR="00EF5B27" w:rsidRDefault="00EF5B27">
            <w:pPr>
              <w:pStyle w:val="TableParagraph"/>
              <w:spacing w:before="7"/>
              <w:rPr>
                <w:b/>
                <w:sz w:val="15"/>
              </w:rPr>
            </w:pPr>
          </w:p>
          <w:p w14:paraId="65D9FB2B"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76859907"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7E4C9DC5"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0E8A6A6E" w14:textId="77777777">
        <w:trPr>
          <w:trHeight w:val="448"/>
        </w:trPr>
        <w:tc>
          <w:tcPr>
            <w:tcW w:w="2980" w:type="dxa"/>
          </w:tcPr>
          <w:p w14:paraId="275C6274" w14:textId="77777777" w:rsidR="00EF5B27" w:rsidRDefault="00EF5B27">
            <w:pPr>
              <w:pStyle w:val="TableParagraph"/>
              <w:spacing w:before="11"/>
              <w:rPr>
                <w:b/>
                <w:sz w:val="11"/>
              </w:rPr>
            </w:pPr>
          </w:p>
          <w:p w14:paraId="1E39B53D" w14:textId="77777777" w:rsidR="00EF5B27" w:rsidRDefault="00000000">
            <w:pPr>
              <w:pStyle w:val="TableParagraph"/>
              <w:ind w:left="80"/>
              <w:rPr>
                <w:sz w:val="14"/>
              </w:rPr>
            </w:pPr>
            <w:r>
              <w:rPr>
                <w:color w:val="4D4D4F"/>
                <w:w w:val="105"/>
                <w:sz w:val="14"/>
              </w:rPr>
              <w:t>Herb-rich grassland</w:t>
            </w:r>
          </w:p>
        </w:tc>
        <w:tc>
          <w:tcPr>
            <w:tcW w:w="1078" w:type="dxa"/>
          </w:tcPr>
          <w:p w14:paraId="26EAA85F" w14:textId="77777777" w:rsidR="00EF5B27" w:rsidRDefault="00EF5B27">
            <w:pPr>
              <w:pStyle w:val="TableParagraph"/>
              <w:spacing w:before="11"/>
              <w:rPr>
                <w:b/>
                <w:sz w:val="11"/>
              </w:rPr>
            </w:pPr>
          </w:p>
          <w:p w14:paraId="134A1BBB"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1D1698E5" w14:textId="77777777" w:rsidR="00EF5B27" w:rsidRDefault="00EF5B27">
            <w:pPr>
              <w:pStyle w:val="TableParagraph"/>
              <w:spacing w:before="11"/>
              <w:rPr>
                <w:b/>
                <w:sz w:val="11"/>
              </w:rPr>
            </w:pPr>
          </w:p>
          <w:p w14:paraId="06F4595E" w14:textId="77777777" w:rsidR="00EF5B27" w:rsidRDefault="00000000">
            <w:pPr>
              <w:pStyle w:val="TableParagraph"/>
              <w:ind w:left="143" w:right="139"/>
              <w:jc w:val="center"/>
              <w:rPr>
                <w:sz w:val="14"/>
              </w:rPr>
            </w:pPr>
            <w:r>
              <w:rPr>
                <w:color w:val="4D4D4F"/>
                <w:sz w:val="14"/>
              </w:rPr>
              <w:t>Data not provided</w:t>
            </w:r>
          </w:p>
        </w:tc>
        <w:tc>
          <w:tcPr>
            <w:tcW w:w="964" w:type="dxa"/>
          </w:tcPr>
          <w:p w14:paraId="67152C42" w14:textId="77777777" w:rsidR="00EF5B27" w:rsidRDefault="00EF5B27">
            <w:pPr>
              <w:pStyle w:val="TableParagraph"/>
              <w:spacing w:before="4"/>
              <w:rPr>
                <w:b/>
                <w:sz w:val="7"/>
              </w:rPr>
            </w:pPr>
          </w:p>
          <w:p w14:paraId="324FDA43" w14:textId="77777777" w:rsidR="00EF5B27" w:rsidRDefault="00000000">
            <w:pPr>
              <w:pStyle w:val="TableParagraph"/>
              <w:spacing w:line="187" w:lineRule="exact"/>
              <w:ind w:left="400"/>
              <w:rPr>
                <w:sz w:val="18"/>
              </w:rPr>
            </w:pPr>
            <w:r>
              <w:rPr>
                <w:noProof/>
                <w:position w:val="-3"/>
                <w:sz w:val="18"/>
              </w:rPr>
              <w:drawing>
                <wp:inline distT="0" distB="0" distL="0" distR="0" wp14:anchorId="35EBB3DF" wp14:editId="2E60323A">
                  <wp:extent cx="100572" cy="119062"/>
                  <wp:effectExtent l="0" t="0" r="0" b="0"/>
                  <wp:docPr id="409"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153.png"/>
                          <pic:cNvPicPr/>
                        </pic:nvPicPr>
                        <pic:blipFill>
                          <a:blip r:embed="rId94" cstate="print"/>
                          <a:stretch>
                            <a:fillRect/>
                          </a:stretch>
                        </pic:blipFill>
                        <pic:spPr>
                          <a:xfrm>
                            <a:off x="0" y="0"/>
                            <a:ext cx="100572" cy="119062"/>
                          </a:xfrm>
                          <a:prstGeom prst="rect">
                            <a:avLst/>
                          </a:prstGeom>
                        </pic:spPr>
                      </pic:pic>
                    </a:graphicData>
                  </a:graphic>
                </wp:inline>
              </w:drawing>
            </w:r>
          </w:p>
          <w:p w14:paraId="3C75009A" w14:textId="77777777" w:rsidR="00EF5B27" w:rsidRDefault="00EF5B27">
            <w:pPr>
              <w:pStyle w:val="TableParagraph"/>
              <w:spacing w:before="8"/>
              <w:rPr>
                <w:b/>
                <w:sz w:val="2"/>
              </w:rPr>
            </w:pPr>
          </w:p>
          <w:p w14:paraId="6FA4D9A0" w14:textId="77777777" w:rsidR="00EF5B27" w:rsidRDefault="00000000">
            <w:pPr>
              <w:pStyle w:val="TableParagraph"/>
              <w:spacing w:line="48" w:lineRule="exact"/>
              <w:ind w:left="448"/>
              <w:rPr>
                <w:sz w:val="4"/>
              </w:rPr>
            </w:pPr>
            <w:r>
              <w:rPr>
                <w:sz w:val="4"/>
              </w:rPr>
            </w:r>
            <w:r>
              <w:rPr>
                <w:sz w:val="4"/>
              </w:rPr>
              <w:pict w14:anchorId="5F04966E">
                <v:group id="_x0000_s3310" style="width:2.45pt;height:2.45pt;mso-position-horizontal-relative:char;mso-position-vertical-relative:line" coordsize="49,49">
                  <v:shape id="_x0000_s3311" style="position:absolute;width:49;height:49" coordsize="49,49" path="m31,l18,,12,2,2,12,,17,,31r2,6l12,46r6,3l31,49r6,-3l46,37r3,-6l49,17,46,12,37,2,31,xe" fillcolor="#808285" stroked="f">
                    <v:path arrowok="t"/>
                  </v:shape>
                  <w10:wrap type="none"/>
                  <w10:anchorlock/>
                </v:group>
              </w:pict>
            </w:r>
          </w:p>
        </w:tc>
        <w:tc>
          <w:tcPr>
            <w:tcW w:w="964" w:type="dxa"/>
          </w:tcPr>
          <w:p w14:paraId="223DCC7B" w14:textId="77777777" w:rsidR="00EF5B27" w:rsidRDefault="00EF5B27">
            <w:pPr>
              <w:pStyle w:val="TableParagraph"/>
              <w:spacing w:before="11"/>
              <w:rPr>
                <w:b/>
                <w:sz w:val="11"/>
              </w:rPr>
            </w:pPr>
          </w:p>
          <w:p w14:paraId="37DA602D" w14:textId="77777777" w:rsidR="00EF5B27" w:rsidRDefault="00000000">
            <w:pPr>
              <w:pStyle w:val="TableParagraph"/>
              <w:ind w:left="318" w:right="323"/>
              <w:jc w:val="center"/>
              <w:rPr>
                <w:sz w:val="14"/>
              </w:rPr>
            </w:pPr>
            <w:r>
              <w:rPr>
                <w:color w:val="4D4D4F"/>
                <w:w w:val="105"/>
                <w:sz w:val="14"/>
              </w:rPr>
              <w:t>N/A</w:t>
            </w:r>
          </w:p>
        </w:tc>
        <w:tc>
          <w:tcPr>
            <w:tcW w:w="1489" w:type="dxa"/>
          </w:tcPr>
          <w:p w14:paraId="4FA881DA" w14:textId="77777777" w:rsidR="00EF5B27" w:rsidRDefault="00000000">
            <w:pPr>
              <w:pStyle w:val="TableParagraph"/>
              <w:spacing w:before="134"/>
              <w:ind w:left="449" w:right="457"/>
              <w:jc w:val="center"/>
              <w:rPr>
                <w:sz w:val="16"/>
              </w:rPr>
            </w:pPr>
            <w:r>
              <w:rPr>
                <w:color w:val="4D4D4F"/>
                <w:w w:val="105"/>
                <w:sz w:val="16"/>
              </w:rPr>
              <w:t>N/A</w:t>
            </w:r>
          </w:p>
        </w:tc>
      </w:tr>
      <w:tr w:rsidR="00EF5B27" w14:paraId="3916AE30" w14:textId="77777777">
        <w:trPr>
          <w:trHeight w:val="448"/>
        </w:trPr>
        <w:tc>
          <w:tcPr>
            <w:tcW w:w="2980" w:type="dxa"/>
          </w:tcPr>
          <w:p w14:paraId="6F21B674" w14:textId="77777777" w:rsidR="00EF5B27" w:rsidRDefault="00EF5B27">
            <w:pPr>
              <w:pStyle w:val="TableParagraph"/>
              <w:spacing w:before="11"/>
              <w:rPr>
                <w:b/>
                <w:sz w:val="11"/>
              </w:rPr>
            </w:pPr>
          </w:p>
          <w:p w14:paraId="7B617EB1" w14:textId="77777777" w:rsidR="00EF5B27" w:rsidRDefault="00000000">
            <w:pPr>
              <w:pStyle w:val="TableParagraph"/>
              <w:ind w:left="80"/>
              <w:rPr>
                <w:sz w:val="14"/>
              </w:rPr>
            </w:pPr>
            <w:r>
              <w:rPr>
                <w:rFonts w:ascii="Arial Narrow"/>
                <w:i/>
                <w:color w:val="4D4D4F"/>
                <w:w w:val="110"/>
                <w:sz w:val="14"/>
              </w:rPr>
              <w:t xml:space="preserve">Themeda </w:t>
            </w:r>
            <w:r>
              <w:rPr>
                <w:color w:val="4D4D4F"/>
                <w:w w:val="110"/>
                <w:sz w:val="14"/>
              </w:rPr>
              <w:t>grassland</w:t>
            </w:r>
          </w:p>
        </w:tc>
        <w:tc>
          <w:tcPr>
            <w:tcW w:w="1078" w:type="dxa"/>
          </w:tcPr>
          <w:p w14:paraId="6646448F" w14:textId="77777777" w:rsidR="00EF5B27" w:rsidRDefault="00EF5B27">
            <w:pPr>
              <w:pStyle w:val="TableParagraph"/>
              <w:spacing w:before="11"/>
              <w:rPr>
                <w:b/>
                <w:sz w:val="11"/>
              </w:rPr>
            </w:pPr>
          </w:p>
          <w:p w14:paraId="30C11052"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799BE29E" w14:textId="77777777" w:rsidR="00EF5B27" w:rsidRDefault="00EF5B27">
            <w:pPr>
              <w:pStyle w:val="TableParagraph"/>
              <w:spacing w:before="11"/>
              <w:rPr>
                <w:b/>
                <w:sz w:val="11"/>
              </w:rPr>
            </w:pPr>
          </w:p>
          <w:p w14:paraId="6C51B684" w14:textId="77777777" w:rsidR="00EF5B27" w:rsidRDefault="00000000">
            <w:pPr>
              <w:pStyle w:val="TableParagraph"/>
              <w:ind w:left="143" w:right="139"/>
              <w:jc w:val="center"/>
              <w:rPr>
                <w:sz w:val="14"/>
              </w:rPr>
            </w:pPr>
            <w:r>
              <w:rPr>
                <w:color w:val="4D4D4F"/>
                <w:sz w:val="14"/>
              </w:rPr>
              <w:t>Data not provided</w:t>
            </w:r>
          </w:p>
        </w:tc>
        <w:tc>
          <w:tcPr>
            <w:tcW w:w="964" w:type="dxa"/>
          </w:tcPr>
          <w:p w14:paraId="15D3CE2E" w14:textId="77777777" w:rsidR="00EF5B27" w:rsidRDefault="00EF5B27">
            <w:pPr>
              <w:pStyle w:val="TableParagraph"/>
              <w:spacing w:before="4"/>
              <w:rPr>
                <w:b/>
                <w:sz w:val="7"/>
              </w:rPr>
            </w:pPr>
          </w:p>
          <w:p w14:paraId="799987A9" w14:textId="77777777" w:rsidR="00EF5B27" w:rsidRDefault="00000000">
            <w:pPr>
              <w:pStyle w:val="TableParagraph"/>
              <w:spacing w:line="187" w:lineRule="exact"/>
              <w:ind w:left="400"/>
              <w:rPr>
                <w:sz w:val="18"/>
              </w:rPr>
            </w:pPr>
            <w:r>
              <w:rPr>
                <w:noProof/>
                <w:position w:val="-3"/>
                <w:sz w:val="18"/>
              </w:rPr>
              <w:drawing>
                <wp:inline distT="0" distB="0" distL="0" distR="0" wp14:anchorId="4E0BE183" wp14:editId="38D7397B">
                  <wp:extent cx="100572" cy="119062"/>
                  <wp:effectExtent l="0" t="0" r="0" b="0"/>
                  <wp:docPr id="411"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154.png"/>
                          <pic:cNvPicPr/>
                        </pic:nvPicPr>
                        <pic:blipFill>
                          <a:blip r:embed="rId93" cstate="print"/>
                          <a:stretch>
                            <a:fillRect/>
                          </a:stretch>
                        </pic:blipFill>
                        <pic:spPr>
                          <a:xfrm>
                            <a:off x="0" y="0"/>
                            <a:ext cx="100572" cy="119062"/>
                          </a:xfrm>
                          <a:prstGeom prst="rect">
                            <a:avLst/>
                          </a:prstGeom>
                        </pic:spPr>
                      </pic:pic>
                    </a:graphicData>
                  </a:graphic>
                </wp:inline>
              </w:drawing>
            </w:r>
          </w:p>
          <w:p w14:paraId="11F64D24" w14:textId="77777777" w:rsidR="00EF5B27" w:rsidRDefault="00EF5B27">
            <w:pPr>
              <w:pStyle w:val="TableParagraph"/>
              <w:spacing w:before="8"/>
              <w:rPr>
                <w:b/>
                <w:sz w:val="2"/>
              </w:rPr>
            </w:pPr>
          </w:p>
          <w:p w14:paraId="30FA238A" w14:textId="77777777" w:rsidR="00EF5B27" w:rsidRDefault="00000000">
            <w:pPr>
              <w:pStyle w:val="TableParagraph"/>
              <w:spacing w:line="48" w:lineRule="exact"/>
              <w:ind w:left="448"/>
              <w:rPr>
                <w:sz w:val="4"/>
              </w:rPr>
            </w:pPr>
            <w:r>
              <w:rPr>
                <w:sz w:val="4"/>
              </w:rPr>
            </w:r>
            <w:r>
              <w:rPr>
                <w:sz w:val="4"/>
              </w:rPr>
              <w:pict w14:anchorId="2364DBB6">
                <v:group id="_x0000_s3308" style="width:2.45pt;height:2.45pt;mso-position-horizontal-relative:char;mso-position-vertical-relative:line" coordsize="49,49">
                  <v:shape id="_x0000_s3309" style="position:absolute;width:49;height:49" coordsize="49,49" path="m31,l18,,12,2,2,12,,17,,31r2,6l12,46r6,3l31,49r6,-3l46,37r3,-6l49,17,46,12,37,2,31,xe" fillcolor="#808285" stroked="f">
                    <v:path arrowok="t"/>
                  </v:shape>
                  <w10:wrap type="none"/>
                  <w10:anchorlock/>
                </v:group>
              </w:pict>
            </w:r>
          </w:p>
        </w:tc>
        <w:tc>
          <w:tcPr>
            <w:tcW w:w="964" w:type="dxa"/>
          </w:tcPr>
          <w:p w14:paraId="07322739" w14:textId="77777777" w:rsidR="00EF5B27" w:rsidRDefault="00EF5B27">
            <w:pPr>
              <w:pStyle w:val="TableParagraph"/>
              <w:spacing w:before="11"/>
              <w:rPr>
                <w:b/>
                <w:sz w:val="11"/>
              </w:rPr>
            </w:pPr>
          </w:p>
          <w:p w14:paraId="2A177120" w14:textId="77777777" w:rsidR="00EF5B27" w:rsidRDefault="00000000">
            <w:pPr>
              <w:pStyle w:val="TableParagraph"/>
              <w:ind w:left="318" w:right="323"/>
              <w:jc w:val="center"/>
              <w:rPr>
                <w:sz w:val="14"/>
              </w:rPr>
            </w:pPr>
            <w:r>
              <w:rPr>
                <w:color w:val="4D4D4F"/>
                <w:w w:val="105"/>
                <w:sz w:val="14"/>
              </w:rPr>
              <w:t>N/A</w:t>
            </w:r>
          </w:p>
        </w:tc>
        <w:tc>
          <w:tcPr>
            <w:tcW w:w="1489" w:type="dxa"/>
          </w:tcPr>
          <w:p w14:paraId="605BB409" w14:textId="77777777" w:rsidR="00EF5B27" w:rsidRDefault="00000000">
            <w:pPr>
              <w:pStyle w:val="TableParagraph"/>
              <w:spacing w:before="134"/>
              <w:ind w:left="449" w:right="457"/>
              <w:jc w:val="center"/>
              <w:rPr>
                <w:sz w:val="16"/>
              </w:rPr>
            </w:pPr>
            <w:r>
              <w:rPr>
                <w:color w:val="4D4D4F"/>
                <w:w w:val="105"/>
                <w:sz w:val="16"/>
              </w:rPr>
              <w:t>N/A</w:t>
            </w:r>
          </w:p>
        </w:tc>
      </w:tr>
      <w:tr w:rsidR="00EF5B27" w14:paraId="3FBCEEC7" w14:textId="77777777">
        <w:trPr>
          <w:trHeight w:val="448"/>
        </w:trPr>
        <w:tc>
          <w:tcPr>
            <w:tcW w:w="2980" w:type="dxa"/>
          </w:tcPr>
          <w:p w14:paraId="36253703" w14:textId="77777777" w:rsidR="00EF5B27" w:rsidRDefault="00EF5B27">
            <w:pPr>
              <w:pStyle w:val="TableParagraph"/>
              <w:spacing w:before="11"/>
              <w:rPr>
                <w:b/>
                <w:sz w:val="11"/>
              </w:rPr>
            </w:pPr>
          </w:p>
          <w:p w14:paraId="4CBC442F" w14:textId="77777777" w:rsidR="00EF5B27" w:rsidRDefault="00000000">
            <w:pPr>
              <w:pStyle w:val="TableParagraph"/>
              <w:ind w:left="80"/>
              <w:rPr>
                <w:sz w:val="14"/>
              </w:rPr>
            </w:pPr>
            <w:r>
              <w:rPr>
                <w:color w:val="4D4D4F"/>
                <w:w w:val="105"/>
                <w:sz w:val="14"/>
              </w:rPr>
              <w:t>C3 grassland</w:t>
            </w:r>
          </w:p>
        </w:tc>
        <w:tc>
          <w:tcPr>
            <w:tcW w:w="1078" w:type="dxa"/>
          </w:tcPr>
          <w:p w14:paraId="6D908D99" w14:textId="77777777" w:rsidR="00EF5B27" w:rsidRDefault="00EF5B27">
            <w:pPr>
              <w:pStyle w:val="TableParagraph"/>
              <w:spacing w:before="11"/>
              <w:rPr>
                <w:b/>
                <w:sz w:val="11"/>
              </w:rPr>
            </w:pPr>
          </w:p>
          <w:p w14:paraId="5D950E35"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3A4EE930" w14:textId="77777777" w:rsidR="00EF5B27" w:rsidRDefault="00EF5B27">
            <w:pPr>
              <w:pStyle w:val="TableParagraph"/>
              <w:spacing w:before="11"/>
              <w:rPr>
                <w:b/>
                <w:sz w:val="11"/>
              </w:rPr>
            </w:pPr>
          </w:p>
          <w:p w14:paraId="0054996D" w14:textId="77777777" w:rsidR="00EF5B27" w:rsidRDefault="00000000">
            <w:pPr>
              <w:pStyle w:val="TableParagraph"/>
              <w:ind w:left="143" w:right="139"/>
              <w:jc w:val="center"/>
              <w:rPr>
                <w:sz w:val="14"/>
              </w:rPr>
            </w:pPr>
            <w:r>
              <w:rPr>
                <w:color w:val="4D4D4F"/>
                <w:sz w:val="14"/>
              </w:rPr>
              <w:t>Data not provided</w:t>
            </w:r>
          </w:p>
        </w:tc>
        <w:tc>
          <w:tcPr>
            <w:tcW w:w="964" w:type="dxa"/>
          </w:tcPr>
          <w:p w14:paraId="488EACE9" w14:textId="77777777" w:rsidR="00EF5B27" w:rsidRDefault="00EF5B27">
            <w:pPr>
              <w:pStyle w:val="TableParagraph"/>
              <w:spacing w:before="4"/>
              <w:rPr>
                <w:b/>
                <w:sz w:val="7"/>
              </w:rPr>
            </w:pPr>
          </w:p>
          <w:p w14:paraId="248C36F9" w14:textId="77777777" w:rsidR="00EF5B27" w:rsidRDefault="00000000">
            <w:pPr>
              <w:pStyle w:val="TableParagraph"/>
              <w:spacing w:line="187" w:lineRule="exact"/>
              <w:ind w:left="400"/>
              <w:rPr>
                <w:sz w:val="18"/>
              </w:rPr>
            </w:pPr>
            <w:r>
              <w:rPr>
                <w:noProof/>
                <w:position w:val="-3"/>
                <w:sz w:val="18"/>
              </w:rPr>
              <w:drawing>
                <wp:inline distT="0" distB="0" distL="0" distR="0" wp14:anchorId="6F4DA896" wp14:editId="114969AC">
                  <wp:extent cx="100572" cy="119062"/>
                  <wp:effectExtent l="0" t="0" r="0" b="0"/>
                  <wp:docPr id="413"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155.png"/>
                          <pic:cNvPicPr/>
                        </pic:nvPicPr>
                        <pic:blipFill>
                          <a:blip r:embed="rId75" cstate="print"/>
                          <a:stretch>
                            <a:fillRect/>
                          </a:stretch>
                        </pic:blipFill>
                        <pic:spPr>
                          <a:xfrm>
                            <a:off x="0" y="0"/>
                            <a:ext cx="100572" cy="119062"/>
                          </a:xfrm>
                          <a:prstGeom prst="rect">
                            <a:avLst/>
                          </a:prstGeom>
                        </pic:spPr>
                      </pic:pic>
                    </a:graphicData>
                  </a:graphic>
                </wp:inline>
              </w:drawing>
            </w:r>
          </w:p>
          <w:p w14:paraId="3225A588" w14:textId="77777777" w:rsidR="00EF5B27" w:rsidRDefault="00EF5B27">
            <w:pPr>
              <w:pStyle w:val="TableParagraph"/>
              <w:spacing w:before="8"/>
              <w:rPr>
                <w:b/>
                <w:sz w:val="2"/>
              </w:rPr>
            </w:pPr>
          </w:p>
          <w:p w14:paraId="694C1949" w14:textId="77777777" w:rsidR="00EF5B27" w:rsidRDefault="00000000">
            <w:pPr>
              <w:pStyle w:val="TableParagraph"/>
              <w:spacing w:line="48" w:lineRule="exact"/>
              <w:ind w:left="448"/>
              <w:rPr>
                <w:sz w:val="4"/>
              </w:rPr>
            </w:pPr>
            <w:r>
              <w:rPr>
                <w:sz w:val="4"/>
              </w:rPr>
            </w:r>
            <w:r>
              <w:rPr>
                <w:sz w:val="4"/>
              </w:rPr>
              <w:pict w14:anchorId="4AFC4D05">
                <v:group id="_x0000_s3306" style="width:2.45pt;height:2.45pt;mso-position-horizontal-relative:char;mso-position-vertical-relative:line" coordsize="49,49">
                  <v:shape id="_x0000_s3307" style="position:absolute;width:49;height:49" coordsize="49,49" path="m31,l18,,12,2,2,12,,17,,31r2,6l12,46r6,3l31,49r6,-3l46,37r3,-6l49,17,46,12,37,2,31,xe" fillcolor="#808285" stroked="f">
                    <v:path arrowok="t"/>
                  </v:shape>
                  <w10:wrap type="none"/>
                  <w10:anchorlock/>
                </v:group>
              </w:pict>
            </w:r>
          </w:p>
        </w:tc>
        <w:tc>
          <w:tcPr>
            <w:tcW w:w="964" w:type="dxa"/>
          </w:tcPr>
          <w:p w14:paraId="2772FF48" w14:textId="77777777" w:rsidR="00EF5B27" w:rsidRDefault="00EF5B27">
            <w:pPr>
              <w:pStyle w:val="TableParagraph"/>
              <w:spacing w:before="11"/>
              <w:rPr>
                <w:b/>
                <w:sz w:val="11"/>
              </w:rPr>
            </w:pPr>
          </w:p>
          <w:p w14:paraId="01B82701" w14:textId="77777777" w:rsidR="00EF5B27" w:rsidRDefault="00000000">
            <w:pPr>
              <w:pStyle w:val="TableParagraph"/>
              <w:ind w:left="318" w:right="323"/>
              <w:jc w:val="center"/>
              <w:rPr>
                <w:sz w:val="14"/>
              </w:rPr>
            </w:pPr>
            <w:r>
              <w:rPr>
                <w:color w:val="4D4D4F"/>
                <w:w w:val="105"/>
                <w:sz w:val="14"/>
              </w:rPr>
              <w:t>N/A</w:t>
            </w:r>
          </w:p>
        </w:tc>
        <w:tc>
          <w:tcPr>
            <w:tcW w:w="1489" w:type="dxa"/>
          </w:tcPr>
          <w:p w14:paraId="10BD0D89" w14:textId="77777777" w:rsidR="00EF5B27" w:rsidRDefault="00000000">
            <w:pPr>
              <w:pStyle w:val="TableParagraph"/>
              <w:spacing w:before="134"/>
              <w:ind w:left="449" w:right="457"/>
              <w:jc w:val="center"/>
              <w:rPr>
                <w:sz w:val="16"/>
              </w:rPr>
            </w:pPr>
            <w:r>
              <w:rPr>
                <w:color w:val="4D4D4F"/>
                <w:w w:val="105"/>
                <w:sz w:val="16"/>
              </w:rPr>
              <w:t>N/A</w:t>
            </w:r>
          </w:p>
        </w:tc>
      </w:tr>
      <w:tr w:rsidR="00EF5B27" w14:paraId="084E620C" w14:textId="77777777">
        <w:trPr>
          <w:trHeight w:val="448"/>
        </w:trPr>
        <w:tc>
          <w:tcPr>
            <w:tcW w:w="2980" w:type="dxa"/>
          </w:tcPr>
          <w:p w14:paraId="4E212700" w14:textId="77777777" w:rsidR="00EF5B27" w:rsidRDefault="00EF5B27">
            <w:pPr>
              <w:pStyle w:val="TableParagraph"/>
              <w:spacing w:before="11"/>
              <w:rPr>
                <w:b/>
                <w:sz w:val="11"/>
              </w:rPr>
            </w:pPr>
          </w:p>
          <w:p w14:paraId="68E21B9D" w14:textId="77777777" w:rsidR="00EF5B27" w:rsidRDefault="00000000">
            <w:pPr>
              <w:pStyle w:val="TableParagraph"/>
              <w:ind w:left="80"/>
              <w:rPr>
                <w:sz w:val="14"/>
              </w:rPr>
            </w:pPr>
            <w:r>
              <w:rPr>
                <w:color w:val="4D4D4F"/>
                <w:w w:val="105"/>
                <w:sz w:val="14"/>
              </w:rPr>
              <w:t>Nutrient-enriched grassland</w:t>
            </w:r>
          </w:p>
        </w:tc>
        <w:tc>
          <w:tcPr>
            <w:tcW w:w="1078" w:type="dxa"/>
          </w:tcPr>
          <w:p w14:paraId="454A5676" w14:textId="77777777" w:rsidR="00EF5B27" w:rsidRDefault="00EF5B27">
            <w:pPr>
              <w:pStyle w:val="TableParagraph"/>
              <w:spacing w:before="11"/>
              <w:rPr>
                <w:b/>
                <w:sz w:val="11"/>
              </w:rPr>
            </w:pPr>
          </w:p>
          <w:p w14:paraId="4FE3D372"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72338970" w14:textId="77777777" w:rsidR="00EF5B27" w:rsidRDefault="00EF5B27">
            <w:pPr>
              <w:pStyle w:val="TableParagraph"/>
              <w:spacing w:before="11"/>
              <w:rPr>
                <w:b/>
                <w:sz w:val="11"/>
              </w:rPr>
            </w:pPr>
          </w:p>
          <w:p w14:paraId="3E2C8366" w14:textId="77777777" w:rsidR="00EF5B27" w:rsidRDefault="00000000">
            <w:pPr>
              <w:pStyle w:val="TableParagraph"/>
              <w:ind w:left="143" w:right="139"/>
              <w:jc w:val="center"/>
              <w:rPr>
                <w:sz w:val="14"/>
              </w:rPr>
            </w:pPr>
            <w:r>
              <w:rPr>
                <w:color w:val="4D4D4F"/>
                <w:sz w:val="14"/>
              </w:rPr>
              <w:t>Data not provided</w:t>
            </w:r>
          </w:p>
        </w:tc>
        <w:tc>
          <w:tcPr>
            <w:tcW w:w="964" w:type="dxa"/>
          </w:tcPr>
          <w:p w14:paraId="4CB9C7AE" w14:textId="77777777" w:rsidR="00EF5B27" w:rsidRDefault="00EF5B27">
            <w:pPr>
              <w:pStyle w:val="TableParagraph"/>
              <w:spacing w:before="5"/>
              <w:rPr>
                <w:b/>
                <w:sz w:val="7"/>
              </w:rPr>
            </w:pPr>
          </w:p>
          <w:p w14:paraId="0E2E4012" w14:textId="77777777" w:rsidR="00EF5B27" w:rsidRDefault="00000000">
            <w:pPr>
              <w:pStyle w:val="TableParagraph"/>
              <w:spacing w:line="187" w:lineRule="exact"/>
              <w:ind w:left="400"/>
              <w:rPr>
                <w:sz w:val="18"/>
              </w:rPr>
            </w:pPr>
            <w:r>
              <w:rPr>
                <w:noProof/>
                <w:position w:val="-3"/>
                <w:sz w:val="18"/>
              </w:rPr>
              <w:drawing>
                <wp:inline distT="0" distB="0" distL="0" distR="0" wp14:anchorId="4C239F3E" wp14:editId="0DA0F2FB">
                  <wp:extent cx="100572" cy="119062"/>
                  <wp:effectExtent l="0" t="0" r="0" b="0"/>
                  <wp:docPr id="415"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156.png"/>
                          <pic:cNvPicPr/>
                        </pic:nvPicPr>
                        <pic:blipFill>
                          <a:blip r:embed="rId76" cstate="print"/>
                          <a:stretch>
                            <a:fillRect/>
                          </a:stretch>
                        </pic:blipFill>
                        <pic:spPr>
                          <a:xfrm>
                            <a:off x="0" y="0"/>
                            <a:ext cx="100572" cy="119062"/>
                          </a:xfrm>
                          <a:prstGeom prst="rect">
                            <a:avLst/>
                          </a:prstGeom>
                        </pic:spPr>
                      </pic:pic>
                    </a:graphicData>
                  </a:graphic>
                </wp:inline>
              </w:drawing>
            </w:r>
          </w:p>
          <w:p w14:paraId="1F5CAE8F" w14:textId="77777777" w:rsidR="00EF5B27" w:rsidRDefault="00EF5B27">
            <w:pPr>
              <w:pStyle w:val="TableParagraph"/>
              <w:spacing w:before="7"/>
              <w:rPr>
                <w:b/>
                <w:sz w:val="2"/>
              </w:rPr>
            </w:pPr>
          </w:p>
          <w:p w14:paraId="41A16A62" w14:textId="77777777" w:rsidR="00EF5B27" w:rsidRDefault="00000000">
            <w:pPr>
              <w:pStyle w:val="TableParagraph"/>
              <w:spacing w:line="48" w:lineRule="exact"/>
              <w:ind w:left="448"/>
              <w:rPr>
                <w:sz w:val="4"/>
              </w:rPr>
            </w:pPr>
            <w:r>
              <w:rPr>
                <w:sz w:val="4"/>
              </w:rPr>
            </w:r>
            <w:r>
              <w:rPr>
                <w:sz w:val="4"/>
              </w:rPr>
              <w:pict w14:anchorId="07FEFAF3">
                <v:group id="_x0000_s3304" style="width:2.45pt;height:2.45pt;mso-position-horizontal-relative:char;mso-position-vertical-relative:line" coordsize="49,49">
                  <v:shape id="_x0000_s3305" style="position:absolute;width:49;height:49" coordsize="49,49" path="m31,l18,,12,2,2,12,,17,,31r2,6l12,46r6,3l31,49r6,-3l46,37r3,-6l49,17,46,12,37,2,31,xe" fillcolor="#808285" stroked="f">
                    <v:path arrowok="t"/>
                  </v:shape>
                  <w10:wrap type="none"/>
                  <w10:anchorlock/>
                </v:group>
              </w:pict>
            </w:r>
          </w:p>
        </w:tc>
        <w:tc>
          <w:tcPr>
            <w:tcW w:w="964" w:type="dxa"/>
          </w:tcPr>
          <w:p w14:paraId="687B018C" w14:textId="77777777" w:rsidR="00EF5B27" w:rsidRDefault="00EF5B27">
            <w:pPr>
              <w:pStyle w:val="TableParagraph"/>
              <w:spacing w:before="11"/>
              <w:rPr>
                <w:b/>
                <w:sz w:val="11"/>
              </w:rPr>
            </w:pPr>
          </w:p>
          <w:p w14:paraId="51F750CB" w14:textId="77777777" w:rsidR="00EF5B27" w:rsidRDefault="00000000">
            <w:pPr>
              <w:pStyle w:val="TableParagraph"/>
              <w:ind w:left="318" w:right="323"/>
              <w:jc w:val="center"/>
              <w:rPr>
                <w:sz w:val="14"/>
              </w:rPr>
            </w:pPr>
            <w:r>
              <w:rPr>
                <w:color w:val="4D4D4F"/>
                <w:w w:val="105"/>
                <w:sz w:val="14"/>
              </w:rPr>
              <w:t>N/A</w:t>
            </w:r>
          </w:p>
        </w:tc>
        <w:tc>
          <w:tcPr>
            <w:tcW w:w="1489" w:type="dxa"/>
          </w:tcPr>
          <w:p w14:paraId="17E35C08" w14:textId="77777777" w:rsidR="00EF5B27" w:rsidRDefault="00000000">
            <w:pPr>
              <w:pStyle w:val="TableParagraph"/>
              <w:spacing w:before="134"/>
              <w:ind w:left="449" w:right="457"/>
              <w:jc w:val="center"/>
              <w:rPr>
                <w:sz w:val="16"/>
              </w:rPr>
            </w:pPr>
            <w:r>
              <w:rPr>
                <w:color w:val="4D4D4F"/>
                <w:w w:val="105"/>
                <w:sz w:val="16"/>
              </w:rPr>
              <w:t>N/A</w:t>
            </w:r>
          </w:p>
        </w:tc>
      </w:tr>
      <w:tr w:rsidR="00EF5B27" w14:paraId="019508C7" w14:textId="77777777">
        <w:trPr>
          <w:trHeight w:val="448"/>
        </w:trPr>
        <w:tc>
          <w:tcPr>
            <w:tcW w:w="2980" w:type="dxa"/>
          </w:tcPr>
          <w:p w14:paraId="4214103F" w14:textId="77777777" w:rsidR="00EF5B27" w:rsidRDefault="00EF5B27">
            <w:pPr>
              <w:pStyle w:val="TableParagraph"/>
              <w:spacing w:before="11"/>
              <w:rPr>
                <w:b/>
                <w:sz w:val="11"/>
              </w:rPr>
            </w:pPr>
          </w:p>
          <w:p w14:paraId="16C008F8" w14:textId="77777777" w:rsidR="00EF5B27" w:rsidRDefault="00000000">
            <w:pPr>
              <w:pStyle w:val="TableParagraph"/>
              <w:ind w:left="80"/>
              <w:rPr>
                <w:sz w:val="14"/>
              </w:rPr>
            </w:pPr>
            <w:r>
              <w:rPr>
                <w:color w:val="4D4D4F"/>
                <w:w w:val="105"/>
                <w:sz w:val="14"/>
              </w:rPr>
              <w:t>De-rocked grassland</w:t>
            </w:r>
          </w:p>
        </w:tc>
        <w:tc>
          <w:tcPr>
            <w:tcW w:w="1078" w:type="dxa"/>
          </w:tcPr>
          <w:p w14:paraId="6024E1E4" w14:textId="77777777" w:rsidR="00EF5B27" w:rsidRDefault="00EF5B27">
            <w:pPr>
              <w:pStyle w:val="TableParagraph"/>
              <w:spacing w:before="11"/>
              <w:rPr>
                <w:b/>
                <w:sz w:val="11"/>
              </w:rPr>
            </w:pPr>
          </w:p>
          <w:p w14:paraId="01FAD2D4"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0E76D12E" w14:textId="77777777" w:rsidR="00EF5B27" w:rsidRDefault="00EF5B27">
            <w:pPr>
              <w:pStyle w:val="TableParagraph"/>
              <w:spacing w:before="11"/>
              <w:rPr>
                <w:b/>
                <w:sz w:val="11"/>
              </w:rPr>
            </w:pPr>
          </w:p>
          <w:p w14:paraId="7F439419" w14:textId="77777777" w:rsidR="00EF5B27" w:rsidRDefault="00000000">
            <w:pPr>
              <w:pStyle w:val="TableParagraph"/>
              <w:ind w:left="143" w:right="139"/>
              <w:jc w:val="center"/>
              <w:rPr>
                <w:sz w:val="14"/>
              </w:rPr>
            </w:pPr>
            <w:r>
              <w:rPr>
                <w:color w:val="4D4D4F"/>
                <w:sz w:val="14"/>
              </w:rPr>
              <w:t>Data not provided</w:t>
            </w:r>
          </w:p>
        </w:tc>
        <w:tc>
          <w:tcPr>
            <w:tcW w:w="964" w:type="dxa"/>
          </w:tcPr>
          <w:p w14:paraId="5E957160" w14:textId="77777777" w:rsidR="00EF5B27" w:rsidRDefault="00EF5B27">
            <w:pPr>
              <w:pStyle w:val="TableParagraph"/>
              <w:spacing w:before="4"/>
              <w:rPr>
                <w:b/>
                <w:sz w:val="7"/>
              </w:rPr>
            </w:pPr>
          </w:p>
          <w:p w14:paraId="262B581A" w14:textId="77777777" w:rsidR="00EF5B27" w:rsidRDefault="00000000">
            <w:pPr>
              <w:pStyle w:val="TableParagraph"/>
              <w:spacing w:line="187" w:lineRule="exact"/>
              <w:ind w:left="400"/>
              <w:rPr>
                <w:sz w:val="18"/>
              </w:rPr>
            </w:pPr>
            <w:r>
              <w:rPr>
                <w:noProof/>
                <w:position w:val="-3"/>
                <w:sz w:val="18"/>
              </w:rPr>
              <w:drawing>
                <wp:inline distT="0" distB="0" distL="0" distR="0" wp14:anchorId="5BEDF7D8" wp14:editId="534A02D1">
                  <wp:extent cx="100572" cy="119062"/>
                  <wp:effectExtent l="0" t="0" r="0" b="0"/>
                  <wp:docPr id="417"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156.png"/>
                          <pic:cNvPicPr/>
                        </pic:nvPicPr>
                        <pic:blipFill>
                          <a:blip r:embed="rId76" cstate="print"/>
                          <a:stretch>
                            <a:fillRect/>
                          </a:stretch>
                        </pic:blipFill>
                        <pic:spPr>
                          <a:xfrm>
                            <a:off x="0" y="0"/>
                            <a:ext cx="100572" cy="119062"/>
                          </a:xfrm>
                          <a:prstGeom prst="rect">
                            <a:avLst/>
                          </a:prstGeom>
                        </pic:spPr>
                      </pic:pic>
                    </a:graphicData>
                  </a:graphic>
                </wp:inline>
              </w:drawing>
            </w:r>
          </w:p>
          <w:p w14:paraId="67DFAA52" w14:textId="77777777" w:rsidR="00EF5B27" w:rsidRDefault="00EF5B27">
            <w:pPr>
              <w:pStyle w:val="TableParagraph"/>
              <w:spacing w:before="8"/>
              <w:rPr>
                <w:b/>
                <w:sz w:val="2"/>
              </w:rPr>
            </w:pPr>
          </w:p>
          <w:p w14:paraId="0A95F391" w14:textId="77777777" w:rsidR="00EF5B27" w:rsidRDefault="00000000">
            <w:pPr>
              <w:pStyle w:val="TableParagraph"/>
              <w:spacing w:line="48" w:lineRule="exact"/>
              <w:ind w:left="448"/>
              <w:rPr>
                <w:sz w:val="4"/>
              </w:rPr>
            </w:pPr>
            <w:r>
              <w:rPr>
                <w:sz w:val="4"/>
              </w:rPr>
            </w:r>
            <w:r>
              <w:rPr>
                <w:sz w:val="4"/>
              </w:rPr>
              <w:pict w14:anchorId="11668846">
                <v:group id="_x0000_s3302" style="width:2.45pt;height:2.45pt;mso-position-horizontal-relative:char;mso-position-vertical-relative:line" coordsize="49,49">
                  <v:shape id="_x0000_s3303" style="position:absolute;width:49;height:49" coordsize="49,49" path="m31,l18,,12,2,2,12,,17,,31r2,6l12,46r6,3l31,49r6,-3l46,37r3,-6l49,17,46,12,37,2,31,xe" fillcolor="#808285" stroked="f">
                    <v:path arrowok="t"/>
                  </v:shape>
                  <w10:wrap type="none"/>
                  <w10:anchorlock/>
                </v:group>
              </w:pict>
            </w:r>
          </w:p>
        </w:tc>
        <w:tc>
          <w:tcPr>
            <w:tcW w:w="964" w:type="dxa"/>
          </w:tcPr>
          <w:p w14:paraId="35ADCB1B" w14:textId="77777777" w:rsidR="00EF5B27" w:rsidRDefault="00EF5B27">
            <w:pPr>
              <w:pStyle w:val="TableParagraph"/>
              <w:spacing w:before="11"/>
              <w:rPr>
                <w:b/>
                <w:sz w:val="11"/>
              </w:rPr>
            </w:pPr>
          </w:p>
          <w:p w14:paraId="6755A4F2" w14:textId="77777777" w:rsidR="00EF5B27" w:rsidRDefault="00000000">
            <w:pPr>
              <w:pStyle w:val="TableParagraph"/>
              <w:ind w:left="318" w:right="323"/>
              <w:jc w:val="center"/>
              <w:rPr>
                <w:sz w:val="14"/>
              </w:rPr>
            </w:pPr>
            <w:r>
              <w:rPr>
                <w:color w:val="4D4D4F"/>
                <w:w w:val="105"/>
                <w:sz w:val="14"/>
              </w:rPr>
              <w:t>N/A</w:t>
            </w:r>
          </w:p>
        </w:tc>
        <w:tc>
          <w:tcPr>
            <w:tcW w:w="1489" w:type="dxa"/>
          </w:tcPr>
          <w:p w14:paraId="5BA5C575" w14:textId="77777777" w:rsidR="00EF5B27" w:rsidRDefault="00000000">
            <w:pPr>
              <w:pStyle w:val="TableParagraph"/>
              <w:spacing w:before="134"/>
              <w:ind w:left="449" w:right="457"/>
              <w:jc w:val="center"/>
              <w:rPr>
                <w:sz w:val="16"/>
              </w:rPr>
            </w:pPr>
            <w:r>
              <w:rPr>
                <w:color w:val="4D4D4F"/>
                <w:w w:val="105"/>
                <w:sz w:val="16"/>
              </w:rPr>
              <w:t>N/A</w:t>
            </w:r>
          </w:p>
        </w:tc>
      </w:tr>
    </w:tbl>
    <w:p w14:paraId="4D7E63A7" w14:textId="77777777" w:rsidR="00EF5B27" w:rsidRDefault="00EF5B27">
      <w:pPr>
        <w:pStyle w:val="BodyText"/>
        <w:rPr>
          <w:b/>
          <w:sz w:val="25"/>
        </w:rPr>
      </w:pPr>
    </w:p>
    <w:p w14:paraId="04C1E1B4" w14:textId="77777777" w:rsidR="00EF5B27" w:rsidRDefault="00000000">
      <w:pPr>
        <w:ind w:left="2608"/>
        <w:rPr>
          <w:b/>
          <w:sz w:val="20"/>
        </w:rPr>
      </w:pPr>
      <w:r>
        <w:rPr>
          <w:b/>
          <w:color w:val="4D4D4F"/>
          <w:sz w:val="20"/>
        </w:rPr>
        <w:t>KPI 6: Percentage of plots between 25–75% with Eucalyptus recruits</w:t>
      </w:r>
    </w:p>
    <w:p w14:paraId="1CFC61C7" w14:textId="77777777" w:rsidR="00EF5B27" w:rsidRDefault="00EF5B27">
      <w:pPr>
        <w:pStyle w:val="BodyText"/>
        <w:spacing w:before="2"/>
        <w:rPr>
          <w:b/>
          <w:sz w:val="14"/>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748992CD" w14:textId="77777777">
        <w:trPr>
          <w:trHeight w:val="561"/>
        </w:trPr>
        <w:tc>
          <w:tcPr>
            <w:tcW w:w="2980" w:type="dxa"/>
            <w:shd w:val="clear" w:color="auto" w:fill="FECC91"/>
          </w:tcPr>
          <w:p w14:paraId="193FC94A" w14:textId="77777777" w:rsidR="00EF5B27" w:rsidRDefault="00000000">
            <w:pPr>
              <w:pStyle w:val="TableParagraph"/>
              <w:spacing w:before="91" w:line="244" w:lineRule="auto"/>
              <w:ind w:left="80" w:right="540"/>
              <w:rPr>
                <w:b/>
                <w:sz w:val="16"/>
              </w:rPr>
            </w:pPr>
            <w:r>
              <w:rPr>
                <w:b/>
                <w:w w:val="105"/>
                <w:sz w:val="16"/>
              </w:rPr>
              <w:t>KPI 6: Percent of plots between 25 – 75% with Eucalyptus recruits</w:t>
            </w:r>
          </w:p>
        </w:tc>
        <w:tc>
          <w:tcPr>
            <w:tcW w:w="1078" w:type="dxa"/>
            <w:shd w:val="clear" w:color="auto" w:fill="FECC91"/>
          </w:tcPr>
          <w:p w14:paraId="3F19E5FD"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5F98E709" w14:textId="77777777" w:rsidR="00EF5B27" w:rsidRDefault="00EF5B27">
            <w:pPr>
              <w:pStyle w:val="TableParagraph"/>
              <w:spacing w:before="7"/>
              <w:rPr>
                <w:b/>
                <w:sz w:val="15"/>
              </w:rPr>
            </w:pPr>
          </w:p>
          <w:p w14:paraId="07E43318"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5888C5A2" w14:textId="77777777" w:rsidR="00EF5B27" w:rsidRDefault="00EF5B27">
            <w:pPr>
              <w:pStyle w:val="TableParagraph"/>
              <w:spacing w:before="7"/>
              <w:rPr>
                <w:b/>
                <w:sz w:val="15"/>
              </w:rPr>
            </w:pPr>
          </w:p>
          <w:p w14:paraId="1212AE3F"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71B36AEB"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0B19B6E1"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101A81B9" w14:textId="77777777">
        <w:trPr>
          <w:trHeight w:val="448"/>
        </w:trPr>
        <w:tc>
          <w:tcPr>
            <w:tcW w:w="2980" w:type="dxa"/>
          </w:tcPr>
          <w:p w14:paraId="5CD1C419" w14:textId="77777777" w:rsidR="00EF5B27" w:rsidRDefault="00EF5B27">
            <w:pPr>
              <w:pStyle w:val="TableParagraph"/>
              <w:spacing w:before="11"/>
              <w:rPr>
                <w:b/>
                <w:sz w:val="11"/>
              </w:rPr>
            </w:pPr>
          </w:p>
          <w:p w14:paraId="765CD636" w14:textId="77777777" w:rsidR="00EF5B27" w:rsidRDefault="00000000">
            <w:pPr>
              <w:pStyle w:val="TableParagraph"/>
              <w:ind w:left="80"/>
              <w:rPr>
                <w:sz w:val="14"/>
              </w:rPr>
            </w:pPr>
            <w:r>
              <w:rPr>
                <w:color w:val="4D4D4F"/>
                <w:w w:val="105"/>
                <w:sz w:val="14"/>
              </w:rPr>
              <w:t>Herb-rich grassland</w:t>
            </w:r>
          </w:p>
        </w:tc>
        <w:tc>
          <w:tcPr>
            <w:tcW w:w="1078" w:type="dxa"/>
          </w:tcPr>
          <w:p w14:paraId="6292BB5E" w14:textId="77777777" w:rsidR="00EF5B27" w:rsidRDefault="00EF5B27">
            <w:pPr>
              <w:pStyle w:val="TableParagraph"/>
              <w:spacing w:before="11"/>
              <w:rPr>
                <w:b/>
                <w:sz w:val="11"/>
              </w:rPr>
            </w:pPr>
          </w:p>
          <w:p w14:paraId="322AF8C4" w14:textId="77777777" w:rsidR="00EF5B27" w:rsidRDefault="00000000">
            <w:pPr>
              <w:pStyle w:val="TableParagraph"/>
              <w:ind w:left="142"/>
              <w:rPr>
                <w:sz w:val="14"/>
              </w:rPr>
            </w:pPr>
            <w:r>
              <w:rPr>
                <w:color w:val="4D4D4F"/>
                <w:w w:val="105"/>
                <w:sz w:val="14"/>
              </w:rPr>
              <w:t>Not assessed</w:t>
            </w:r>
          </w:p>
        </w:tc>
        <w:tc>
          <w:tcPr>
            <w:tcW w:w="2155" w:type="dxa"/>
          </w:tcPr>
          <w:p w14:paraId="35963518" w14:textId="77777777" w:rsidR="00EF5B27" w:rsidRDefault="00EF5B27">
            <w:pPr>
              <w:pStyle w:val="TableParagraph"/>
              <w:spacing w:before="11"/>
              <w:rPr>
                <w:b/>
                <w:sz w:val="11"/>
              </w:rPr>
            </w:pPr>
          </w:p>
          <w:p w14:paraId="5E7FB4E8" w14:textId="77777777" w:rsidR="00EF5B27" w:rsidRDefault="00000000">
            <w:pPr>
              <w:pStyle w:val="TableParagraph"/>
              <w:ind w:left="143" w:right="139"/>
              <w:jc w:val="center"/>
              <w:rPr>
                <w:sz w:val="14"/>
              </w:rPr>
            </w:pPr>
            <w:r>
              <w:rPr>
                <w:color w:val="4D4D4F"/>
                <w:sz w:val="14"/>
              </w:rPr>
              <w:t>Data not provided</w:t>
            </w:r>
          </w:p>
        </w:tc>
        <w:tc>
          <w:tcPr>
            <w:tcW w:w="964" w:type="dxa"/>
          </w:tcPr>
          <w:p w14:paraId="644C044B" w14:textId="77777777" w:rsidR="00EF5B27" w:rsidRDefault="00EF5B27">
            <w:pPr>
              <w:pStyle w:val="TableParagraph"/>
              <w:spacing w:before="4"/>
              <w:rPr>
                <w:b/>
                <w:sz w:val="7"/>
              </w:rPr>
            </w:pPr>
          </w:p>
          <w:p w14:paraId="534D8D2F" w14:textId="77777777" w:rsidR="00EF5B27" w:rsidRDefault="00000000">
            <w:pPr>
              <w:pStyle w:val="TableParagraph"/>
              <w:spacing w:line="187" w:lineRule="exact"/>
              <w:ind w:left="400"/>
              <w:rPr>
                <w:sz w:val="18"/>
              </w:rPr>
            </w:pPr>
            <w:r>
              <w:rPr>
                <w:noProof/>
                <w:position w:val="-3"/>
                <w:sz w:val="18"/>
              </w:rPr>
              <w:drawing>
                <wp:inline distT="0" distB="0" distL="0" distR="0" wp14:anchorId="25868E1E" wp14:editId="3606E094">
                  <wp:extent cx="100572" cy="119062"/>
                  <wp:effectExtent l="0" t="0" r="0" b="0"/>
                  <wp:docPr id="419"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157.png"/>
                          <pic:cNvPicPr/>
                        </pic:nvPicPr>
                        <pic:blipFill>
                          <a:blip r:embed="rId92" cstate="print"/>
                          <a:stretch>
                            <a:fillRect/>
                          </a:stretch>
                        </pic:blipFill>
                        <pic:spPr>
                          <a:xfrm>
                            <a:off x="0" y="0"/>
                            <a:ext cx="100572" cy="119062"/>
                          </a:xfrm>
                          <a:prstGeom prst="rect">
                            <a:avLst/>
                          </a:prstGeom>
                        </pic:spPr>
                      </pic:pic>
                    </a:graphicData>
                  </a:graphic>
                </wp:inline>
              </w:drawing>
            </w:r>
          </w:p>
          <w:p w14:paraId="612E190B" w14:textId="77777777" w:rsidR="00EF5B27" w:rsidRDefault="00EF5B27">
            <w:pPr>
              <w:pStyle w:val="TableParagraph"/>
              <w:spacing w:before="8"/>
              <w:rPr>
                <w:b/>
                <w:sz w:val="2"/>
              </w:rPr>
            </w:pPr>
          </w:p>
          <w:p w14:paraId="40839416" w14:textId="77777777" w:rsidR="00EF5B27" w:rsidRDefault="00000000">
            <w:pPr>
              <w:pStyle w:val="TableParagraph"/>
              <w:spacing w:line="48" w:lineRule="exact"/>
              <w:ind w:left="448"/>
              <w:rPr>
                <w:sz w:val="4"/>
              </w:rPr>
            </w:pPr>
            <w:r>
              <w:rPr>
                <w:sz w:val="4"/>
              </w:rPr>
            </w:r>
            <w:r>
              <w:rPr>
                <w:sz w:val="4"/>
              </w:rPr>
              <w:pict w14:anchorId="458E5AEF">
                <v:group id="_x0000_s3300" style="width:2.45pt;height:2.45pt;mso-position-horizontal-relative:char;mso-position-vertical-relative:line" coordsize="49,49">
                  <v:shape id="_x0000_s3301" style="position:absolute;width:49;height:49" coordsize="49,49" path="m31,l18,,12,2,2,12,,17,,31r2,6l12,46r6,3l31,49r6,-3l46,37r3,-6l49,17,46,12,37,2,31,xe" fillcolor="#808285" stroked="f">
                    <v:path arrowok="t"/>
                  </v:shape>
                  <w10:wrap type="none"/>
                  <w10:anchorlock/>
                </v:group>
              </w:pict>
            </w:r>
          </w:p>
        </w:tc>
        <w:tc>
          <w:tcPr>
            <w:tcW w:w="964" w:type="dxa"/>
          </w:tcPr>
          <w:p w14:paraId="12D4E8B6" w14:textId="77777777" w:rsidR="00EF5B27" w:rsidRDefault="00EF5B27">
            <w:pPr>
              <w:pStyle w:val="TableParagraph"/>
              <w:spacing w:before="11"/>
              <w:rPr>
                <w:b/>
                <w:sz w:val="11"/>
              </w:rPr>
            </w:pPr>
          </w:p>
          <w:p w14:paraId="0CF043FE" w14:textId="77777777" w:rsidR="00EF5B27" w:rsidRDefault="00000000">
            <w:pPr>
              <w:pStyle w:val="TableParagraph"/>
              <w:ind w:left="318" w:right="323"/>
              <w:jc w:val="center"/>
              <w:rPr>
                <w:sz w:val="14"/>
              </w:rPr>
            </w:pPr>
            <w:r>
              <w:rPr>
                <w:color w:val="4D4D4F"/>
                <w:w w:val="105"/>
                <w:sz w:val="14"/>
              </w:rPr>
              <w:t>N/A</w:t>
            </w:r>
          </w:p>
        </w:tc>
        <w:tc>
          <w:tcPr>
            <w:tcW w:w="1489" w:type="dxa"/>
          </w:tcPr>
          <w:p w14:paraId="786D31C0" w14:textId="77777777" w:rsidR="00EF5B27" w:rsidRDefault="00000000">
            <w:pPr>
              <w:pStyle w:val="TableParagraph"/>
              <w:spacing w:before="134"/>
              <w:ind w:left="449" w:right="457"/>
              <w:jc w:val="center"/>
              <w:rPr>
                <w:sz w:val="16"/>
              </w:rPr>
            </w:pPr>
            <w:r>
              <w:rPr>
                <w:color w:val="4D4D4F"/>
                <w:w w:val="105"/>
                <w:sz w:val="16"/>
              </w:rPr>
              <w:t>N/A</w:t>
            </w:r>
          </w:p>
        </w:tc>
      </w:tr>
      <w:tr w:rsidR="00EF5B27" w14:paraId="6F2565B6" w14:textId="77777777">
        <w:trPr>
          <w:trHeight w:val="448"/>
        </w:trPr>
        <w:tc>
          <w:tcPr>
            <w:tcW w:w="2980" w:type="dxa"/>
          </w:tcPr>
          <w:p w14:paraId="63EF4A21" w14:textId="77777777" w:rsidR="00EF5B27" w:rsidRDefault="00EF5B27">
            <w:pPr>
              <w:pStyle w:val="TableParagraph"/>
              <w:spacing w:before="11"/>
              <w:rPr>
                <w:b/>
                <w:sz w:val="11"/>
              </w:rPr>
            </w:pPr>
          </w:p>
          <w:p w14:paraId="6DFBCF78" w14:textId="77777777" w:rsidR="00EF5B27" w:rsidRDefault="00000000">
            <w:pPr>
              <w:pStyle w:val="TableParagraph"/>
              <w:ind w:left="80"/>
              <w:rPr>
                <w:sz w:val="14"/>
              </w:rPr>
            </w:pPr>
            <w:r>
              <w:rPr>
                <w:rFonts w:ascii="Arial Narrow"/>
                <w:i/>
                <w:color w:val="4D4D4F"/>
                <w:w w:val="110"/>
                <w:sz w:val="14"/>
              </w:rPr>
              <w:t xml:space="preserve">Themeda </w:t>
            </w:r>
            <w:r>
              <w:rPr>
                <w:color w:val="4D4D4F"/>
                <w:w w:val="110"/>
                <w:sz w:val="14"/>
              </w:rPr>
              <w:t>grassland</w:t>
            </w:r>
          </w:p>
        </w:tc>
        <w:tc>
          <w:tcPr>
            <w:tcW w:w="1078" w:type="dxa"/>
          </w:tcPr>
          <w:p w14:paraId="7053159E" w14:textId="77777777" w:rsidR="00EF5B27" w:rsidRDefault="00EF5B27">
            <w:pPr>
              <w:pStyle w:val="TableParagraph"/>
              <w:spacing w:before="11"/>
              <w:rPr>
                <w:b/>
                <w:sz w:val="11"/>
              </w:rPr>
            </w:pPr>
          </w:p>
          <w:p w14:paraId="3E71454F" w14:textId="77777777" w:rsidR="00EF5B27" w:rsidRDefault="00000000">
            <w:pPr>
              <w:pStyle w:val="TableParagraph"/>
              <w:ind w:left="142"/>
              <w:rPr>
                <w:sz w:val="14"/>
              </w:rPr>
            </w:pPr>
            <w:r>
              <w:rPr>
                <w:color w:val="4D4D4F"/>
                <w:w w:val="105"/>
                <w:sz w:val="14"/>
              </w:rPr>
              <w:t>Not assessed</w:t>
            </w:r>
          </w:p>
        </w:tc>
        <w:tc>
          <w:tcPr>
            <w:tcW w:w="2155" w:type="dxa"/>
          </w:tcPr>
          <w:p w14:paraId="1A7CCBBB" w14:textId="77777777" w:rsidR="00EF5B27" w:rsidRDefault="00EF5B27">
            <w:pPr>
              <w:pStyle w:val="TableParagraph"/>
              <w:spacing w:before="11"/>
              <w:rPr>
                <w:b/>
                <w:sz w:val="11"/>
              </w:rPr>
            </w:pPr>
          </w:p>
          <w:p w14:paraId="40A08B37" w14:textId="77777777" w:rsidR="00EF5B27" w:rsidRDefault="00000000">
            <w:pPr>
              <w:pStyle w:val="TableParagraph"/>
              <w:ind w:left="143" w:right="139"/>
              <w:jc w:val="center"/>
              <w:rPr>
                <w:sz w:val="14"/>
              </w:rPr>
            </w:pPr>
            <w:r>
              <w:rPr>
                <w:color w:val="4D4D4F"/>
                <w:sz w:val="14"/>
              </w:rPr>
              <w:t>Data not provided</w:t>
            </w:r>
          </w:p>
        </w:tc>
        <w:tc>
          <w:tcPr>
            <w:tcW w:w="964" w:type="dxa"/>
          </w:tcPr>
          <w:p w14:paraId="6A09A55A" w14:textId="77777777" w:rsidR="00EF5B27" w:rsidRDefault="00EF5B27">
            <w:pPr>
              <w:pStyle w:val="TableParagraph"/>
              <w:spacing w:before="4"/>
              <w:rPr>
                <w:b/>
                <w:sz w:val="7"/>
              </w:rPr>
            </w:pPr>
          </w:p>
          <w:p w14:paraId="0F196EE0" w14:textId="77777777" w:rsidR="00EF5B27" w:rsidRDefault="00000000">
            <w:pPr>
              <w:pStyle w:val="TableParagraph"/>
              <w:spacing w:line="187" w:lineRule="exact"/>
              <w:ind w:left="400"/>
              <w:rPr>
                <w:sz w:val="18"/>
              </w:rPr>
            </w:pPr>
            <w:r>
              <w:rPr>
                <w:noProof/>
                <w:position w:val="-3"/>
                <w:sz w:val="18"/>
              </w:rPr>
              <w:drawing>
                <wp:inline distT="0" distB="0" distL="0" distR="0" wp14:anchorId="014356F9" wp14:editId="0F6C4143">
                  <wp:extent cx="100572" cy="119062"/>
                  <wp:effectExtent l="0" t="0" r="0" b="0"/>
                  <wp:docPr id="421"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158.png"/>
                          <pic:cNvPicPr/>
                        </pic:nvPicPr>
                        <pic:blipFill>
                          <a:blip r:embed="rId84" cstate="print"/>
                          <a:stretch>
                            <a:fillRect/>
                          </a:stretch>
                        </pic:blipFill>
                        <pic:spPr>
                          <a:xfrm>
                            <a:off x="0" y="0"/>
                            <a:ext cx="100572" cy="119062"/>
                          </a:xfrm>
                          <a:prstGeom prst="rect">
                            <a:avLst/>
                          </a:prstGeom>
                        </pic:spPr>
                      </pic:pic>
                    </a:graphicData>
                  </a:graphic>
                </wp:inline>
              </w:drawing>
            </w:r>
          </w:p>
          <w:p w14:paraId="5DBF408B" w14:textId="77777777" w:rsidR="00EF5B27" w:rsidRDefault="00EF5B27">
            <w:pPr>
              <w:pStyle w:val="TableParagraph"/>
              <w:spacing w:before="8"/>
              <w:rPr>
                <w:b/>
                <w:sz w:val="2"/>
              </w:rPr>
            </w:pPr>
          </w:p>
          <w:p w14:paraId="0D1C050B" w14:textId="77777777" w:rsidR="00EF5B27" w:rsidRDefault="00000000">
            <w:pPr>
              <w:pStyle w:val="TableParagraph"/>
              <w:spacing w:line="48" w:lineRule="exact"/>
              <w:ind w:left="448"/>
              <w:rPr>
                <w:sz w:val="4"/>
              </w:rPr>
            </w:pPr>
            <w:r>
              <w:rPr>
                <w:sz w:val="4"/>
              </w:rPr>
            </w:r>
            <w:r>
              <w:rPr>
                <w:sz w:val="4"/>
              </w:rPr>
              <w:pict w14:anchorId="5A591703">
                <v:group id="_x0000_s3298" style="width:2.45pt;height:2.45pt;mso-position-horizontal-relative:char;mso-position-vertical-relative:line" coordsize="49,49">
                  <v:shape id="_x0000_s3299" style="position:absolute;width:49;height:49" coordsize="49,49" path="m31,l18,,12,2,2,12,,17,,31r2,6l12,46r6,3l31,49r6,-3l46,37r3,-6l49,17,46,12,37,2,31,xe" fillcolor="#808285" stroked="f">
                    <v:path arrowok="t"/>
                  </v:shape>
                  <w10:wrap type="none"/>
                  <w10:anchorlock/>
                </v:group>
              </w:pict>
            </w:r>
          </w:p>
        </w:tc>
        <w:tc>
          <w:tcPr>
            <w:tcW w:w="964" w:type="dxa"/>
          </w:tcPr>
          <w:p w14:paraId="06FA23BB" w14:textId="77777777" w:rsidR="00EF5B27" w:rsidRDefault="00EF5B27">
            <w:pPr>
              <w:pStyle w:val="TableParagraph"/>
              <w:spacing w:before="11"/>
              <w:rPr>
                <w:b/>
                <w:sz w:val="11"/>
              </w:rPr>
            </w:pPr>
          </w:p>
          <w:p w14:paraId="45398145" w14:textId="77777777" w:rsidR="00EF5B27" w:rsidRDefault="00000000">
            <w:pPr>
              <w:pStyle w:val="TableParagraph"/>
              <w:ind w:left="318" w:right="323"/>
              <w:jc w:val="center"/>
              <w:rPr>
                <w:sz w:val="14"/>
              </w:rPr>
            </w:pPr>
            <w:r>
              <w:rPr>
                <w:color w:val="4D4D4F"/>
                <w:w w:val="105"/>
                <w:sz w:val="14"/>
              </w:rPr>
              <w:t>N/A</w:t>
            </w:r>
          </w:p>
        </w:tc>
        <w:tc>
          <w:tcPr>
            <w:tcW w:w="1489" w:type="dxa"/>
          </w:tcPr>
          <w:p w14:paraId="4A2100B8" w14:textId="77777777" w:rsidR="00EF5B27" w:rsidRDefault="00000000">
            <w:pPr>
              <w:pStyle w:val="TableParagraph"/>
              <w:spacing w:before="134"/>
              <w:ind w:left="449" w:right="457"/>
              <w:jc w:val="center"/>
              <w:rPr>
                <w:sz w:val="16"/>
              </w:rPr>
            </w:pPr>
            <w:r>
              <w:rPr>
                <w:color w:val="4D4D4F"/>
                <w:w w:val="105"/>
                <w:sz w:val="16"/>
              </w:rPr>
              <w:t>N/A</w:t>
            </w:r>
          </w:p>
        </w:tc>
      </w:tr>
      <w:tr w:rsidR="00EF5B27" w14:paraId="24740260" w14:textId="77777777">
        <w:trPr>
          <w:trHeight w:val="448"/>
        </w:trPr>
        <w:tc>
          <w:tcPr>
            <w:tcW w:w="2980" w:type="dxa"/>
          </w:tcPr>
          <w:p w14:paraId="08BBF347" w14:textId="77777777" w:rsidR="00EF5B27" w:rsidRDefault="00EF5B27">
            <w:pPr>
              <w:pStyle w:val="TableParagraph"/>
              <w:spacing w:before="11"/>
              <w:rPr>
                <w:b/>
                <w:sz w:val="11"/>
              </w:rPr>
            </w:pPr>
          </w:p>
          <w:p w14:paraId="2D709D85" w14:textId="77777777" w:rsidR="00EF5B27" w:rsidRDefault="00000000">
            <w:pPr>
              <w:pStyle w:val="TableParagraph"/>
              <w:ind w:left="80"/>
              <w:rPr>
                <w:sz w:val="14"/>
              </w:rPr>
            </w:pPr>
            <w:r>
              <w:rPr>
                <w:color w:val="4D4D4F"/>
                <w:w w:val="105"/>
                <w:sz w:val="14"/>
              </w:rPr>
              <w:t>C3 grassland</w:t>
            </w:r>
          </w:p>
        </w:tc>
        <w:tc>
          <w:tcPr>
            <w:tcW w:w="1078" w:type="dxa"/>
          </w:tcPr>
          <w:p w14:paraId="5457D008" w14:textId="77777777" w:rsidR="00EF5B27" w:rsidRDefault="00EF5B27">
            <w:pPr>
              <w:pStyle w:val="TableParagraph"/>
              <w:spacing w:before="11"/>
              <w:rPr>
                <w:b/>
                <w:sz w:val="11"/>
              </w:rPr>
            </w:pPr>
          </w:p>
          <w:p w14:paraId="47D49F25" w14:textId="77777777" w:rsidR="00EF5B27" w:rsidRDefault="00000000">
            <w:pPr>
              <w:pStyle w:val="TableParagraph"/>
              <w:ind w:left="142"/>
              <w:rPr>
                <w:sz w:val="14"/>
              </w:rPr>
            </w:pPr>
            <w:r>
              <w:rPr>
                <w:color w:val="4D4D4F"/>
                <w:w w:val="105"/>
                <w:sz w:val="14"/>
              </w:rPr>
              <w:t>Not assessed</w:t>
            </w:r>
          </w:p>
        </w:tc>
        <w:tc>
          <w:tcPr>
            <w:tcW w:w="2155" w:type="dxa"/>
          </w:tcPr>
          <w:p w14:paraId="42EA18EC" w14:textId="77777777" w:rsidR="00EF5B27" w:rsidRDefault="00EF5B27">
            <w:pPr>
              <w:pStyle w:val="TableParagraph"/>
              <w:spacing w:before="11"/>
              <w:rPr>
                <w:b/>
                <w:sz w:val="11"/>
              </w:rPr>
            </w:pPr>
          </w:p>
          <w:p w14:paraId="29CADE57" w14:textId="77777777" w:rsidR="00EF5B27" w:rsidRDefault="00000000">
            <w:pPr>
              <w:pStyle w:val="TableParagraph"/>
              <w:ind w:left="143" w:right="139"/>
              <w:jc w:val="center"/>
              <w:rPr>
                <w:sz w:val="14"/>
              </w:rPr>
            </w:pPr>
            <w:r>
              <w:rPr>
                <w:color w:val="4D4D4F"/>
                <w:sz w:val="14"/>
              </w:rPr>
              <w:t>Data not provided</w:t>
            </w:r>
          </w:p>
        </w:tc>
        <w:tc>
          <w:tcPr>
            <w:tcW w:w="964" w:type="dxa"/>
          </w:tcPr>
          <w:p w14:paraId="66C089D1" w14:textId="77777777" w:rsidR="00EF5B27" w:rsidRDefault="00EF5B27">
            <w:pPr>
              <w:pStyle w:val="TableParagraph"/>
              <w:spacing w:before="4"/>
              <w:rPr>
                <w:b/>
                <w:sz w:val="7"/>
              </w:rPr>
            </w:pPr>
          </w:p>
          <w:p w14:paraId="03740B71" w14:textId="77777777" w:rsidR="00EF5B27" w:rsidRDefault="00000000">
            <w:pPr>
              <w:pStyle w:val="TableParagraph"/>
              <w:spacing w:line="187" w:lineRule="exact"/>
              <w:ind w:left="400"/>
              <w:rPr>
                <w:sz w:val="18"/>
              </w:rPr>
            </w:pPr>
            <w:r>
              <w:rPr>
                <w:noProof/>
                <w:position w:val="-3"/>
                <w:sz w:val="18"/>
              </w:rPr>
              <w:drawing>
                <wp:inline distT="0" distB="0" distL="0" distR="0" wp14:anchorId="26D4A78E" wp14:editId="472CC7C7">
                  <wp:extent cx="100572" cy="119062"/>
                  <wp:effectExtent l="0" t="0" r="0" b="0"/>
                  <wp:docPr id="423"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159.png"/>
                          <pic:cNvPicPr/>
                        </pic:nvPicPr>
                        <pic:blipFill>
                          <a:blip r:embed="rId92" cstate="print"/>
                          <a:stretch>
                            <a:fillRect/>
                          </a:stretch>
                        </pic:blipFill>
                        <pic:spPr>
                          <a:xfrm>
                            <a:off x="0" y="0"/>
                            <a:ext cx="100572" cy="119062"/>
                          </a:xfrm>
                          <a:prstGeom prst="rect">
                            <a:avLst/>
                          </a:prstGeom>
                        </pic:spPr>
                      </pic:pic>
                    </a:graphicData>
                  </a:graphic>
                </wp:inline>
              </w:drawing>
            </w:r>
          </w:p>
          <w:p w14:paraId="15E7B2D6" w14:textId="77777777" w:rsidR="00EF5B27" w:rsidRDefault="00EF5B27">
            <w:pPr>
              <w:pStyle w:val="TableParagraph"/>
              <w:spacing w:before="8"/>
              <w:rPr>
                <w:b/>
                <w:sz w:val="2"/>
              </w:rPr>
            </w:pPr>
          </w:p>
          <w:p w14:paraId="74C48BD6" w14:textId="77777777" w:rsidR="00EF5B27" w:rsidRDefault="00000000">
            <w:pPr>
              <w:pStyle w:val="TableParagraph"/>
              <w:spacing w:line="48" w:lineRule="exact"/>
              <w:ind w:left="448"/>
              <w:rPr>
                <w:sz w:val="4"/>
              </w:rPr>
            </w:pPr>
            <w:r>
              <w:rPr>
                <w:sz w:val="4"/>
              </w:rPr>
            </w:r>
            <w:r>
              <w:rPr>
                <w:sz w:val="4"/>
              </w:rPr>
              <w:pict w14:anchorId="3C32E23C">
                <v:group id="_x0000_s3296" style="width:2.45pt;height:2.45pt;mso-position-horizontal-relative:char;mso-position-vertical-relative:line" coordsize="49,49">
                  <v:shape id="_x0000_s3297" style="position:absolute;width:49;height:49" coordsize="49,49" path="m31,l18,,12,2,2,12,,17,,31r2,6l12,46r6,3l31,49r6,-3l46,37r3,-6l49,17,46,12,37,2,31,xe" fillcolor="#808285" stroked="f">
                    <v:path arrowok="t"/>
                  </v:shape>
                  <w10:wrap type="none"/>
                  <w10:anchorlock/>
                </v:group>
              </w:pict>
            </w:r>
          </w:p>
        </w:tc>
        <w:tc>
          <w:tcPr>
            <w:tcW w:w="964" w:type="dxa"/>
          </w:tcPr>
          <w:p w14:paraId="3335979D" w14:textId="77777777" w:rsidR="00EF5B27" w:rsidRDefault="00EF5B27">
            <w:pPr>
              <w:pStyle w:val="TableParagraph"/>
              <w:spacing w:before="11"/>
              <w:rPr>
                <w:b/>
                <w:sz w:val="11"/>
              </w:rPr>
            </w:pPr>
          </w:p>
          <w:p w14:paraId="2A063A14" w14:textId="77777777" w:rsidR="00EF5B27" w:rsidRDefault="00000000">
            <w:pPr>
              <w:pStyle w:val="TableParagraph"/>
              <w:ind w:left="318" w:right="323"/>
              <w:jc w:val="center"/>
              <w:rPr>
                <w:sz w:val="14"/>
              </w:rPr>
            </w:pPr>
            <w:r>
              <w:rPr>
                <w:color w:val="4D4D4F"/>
                <w:w w:val="105"/>
                <w:sz w:val="14"/>
              </w:rPr>
              <w:t>N/A</w:t>
            </w:r>
          </w:p>
        </w:tc>
        <w:tc>
          <w:tcPr>
            <w:tcW w:w="1489" w:type="dxa"/>
          </w:tcPr>
          <w:p w14:paraId="4BEED526" w14:textId="77777777" w:rsidR="00EF5B27" w:rsidRDefault="00000000">
            <w:pPr>
              <w:pStyle w:val="TableParagraph"/>
              <w:spacing w:before="134"/>
              <w:ind w:left="449" w:right="457"/>
              <w:jc w:val="center"/>
              <w:rPr>
                <w:sz w:val="16"/>
              </w:rPr>
            </w:pPr>
            <w:r>
              <w:rPr>
                <w:color w:val="4D4D4F"/>
                <w:w w:val="105"/>
                <w:sz w:val="16"/>
              </w:rPr>
              <w:t>N/A</w:t>
            </w:r>
          </w:p>
        </w:tc>
      </w:tr>
      <w:tr w:rsidR="00EF5B27" w14:paraId="6BFA241A" w14:textId="77777777">
        <w:trPr>
          <w:trHeight w:val="448"/>
        </w:trPr>
        <w:tc>
          <w:tcPr>
            <w:tcW w:w="2980" w:type="dxa"/>
          </w:tcPr>
          <w:p w14:paraId="118BE21D" w14:textId="77777777" w:rsidR="00EF5B27" w:rsidRDefault="00EF5B27">
            <w:pPr>
              <w:pStyle w:val="TableParagraph"/>
              <w:spacing w:before="11"/>
              <w:rPr>
                <w:b/>
                <w:sz w:val="11"/>
              </w:rPr>
            </w:pPr>
          </w:p>
          <w:p w14:paraId="3E6E1FB8" w14:textId="77777777" w:rsidR="00EF5B27" w:rsidRDefault="00000000">
            <w:pPr>
              <w:pStyle w:val="TableParagraph"/>
              <w:ind w:left="80"/>
              <w:rPr>
                <w:sz w:val="14"/>
              </w:rPr>
            </w:pPr>
            <w:r>
              <w:rPr>
                <w:color w:val="4D4D4F"/>
                <w:w w:val="105"/>
                <w:sz w:val="14"/>
              </w:rPr>
              <w:t>Nutrient-enriched grassland</w:t>
            </w:r>
          </w:p>
        </w:tc>
        <w:tc>
          <w:tcPr>
            <w:tcW w:w="1078" w:type="dxa"/>
          </w:tcPr>
          <w:p w14:paraId="21C39DA1" w14:textId="77777777" w:rsidR="00EF5B27" w:rsidRDefault="00EF5B27">
            <w:pPr>
              <w:pStyle w:val="TableParagraph"/>
              <w:spacing w:before="11"/>
              <w:rPr>
                <w:b/>
                <w:sz w:val="11"/>
              </w:rPr>
            </w:pPr>
          </w:p>
          <w:p w14:paraId="6882DD69" w14:textId="77777777" w:rsidR="00EF5B27" w:rsidRDefault="00000000">
            <w:pPr>
              <w:pStyle w:val="TableParagraph"/>
              <w:ind w:left="142"/>
              <w:rPr>
                <w:sz w:val="14"/>
              </w:rPr>
            </w:pPr>
            <w:r>
              <w:rPr>
                <w:color w:val="4D4D4F"/>
                <w:w w:val="105"/>
                <w:sz w:val="14"/>
              </w:rPr>
              <w:t>Not assessed</w:t>
            </w:r>
          </w:p>
        </w:tc>
        <w:tc>
          <w:tcPr>
            <w:tcW w:w="2155" w:type="dxa"/>
          </w:tcPr>
          <w:p w14:paraId="7F75009F" w14:textId="77777777" w:rsidR="00EF5B27" w:rsidRDefault="00EF5B27">
            <w:pPr>
              <w:pStyle w:val="TableParagraph"/>
              <w:spacing w:before="11"/>
              <w:rPr>
                <w:b/>
                <w:sz w:val="11"/>
              </w:rPr>
            </w:pPr>
          </w:p>
          <w:p w14:paraId="46A5E127" w14:textId="77777777" w:rsidR="00EF5B27" w:rsidRDefault="00000000">
            <w:pPr>
              <w:pStyle w:val="TableParagraph"/>
              <w:ind w:left="143" w:right="139"/>
              <w:jc w:val="center"/>
              <w:rPr>
                <w:sz w:val="14"/>
              </w:rPr>
            </w:pPr>
            <w:r>
              <w:rPr>
                <w:color w:val="4D4D4F"/>
                <w:sz w:val="14"/>
              </w:rPr>
              <w:t>Data not provided</w:t>
            </w:r>
          </w:p>
        </w:tc>
        <w:tc>
          <w:tcPr>
            <w:tcW w:w="964" w:type="dxa"/>
          </w:tcPr>
          <w:p w14:paraId="64BB65B7" w14:textId="77777777" w:rsidR="00EF5B27" w:rsidRDefault="00EF5B27">
            <w:pPr>
              <w:pStyle w:val="TableParagraph"/>
              <w:spacing w:before="5"/>
              <w:rPr>
                <w:b/>
                <w:sz w:val="7"/>
              </w:rPr>
            </w:pPr>
          </w:p>
          <w:p w14:paraId="043A0170" w14:textId="77777777" w:rsidR="00EF5B27" w:rsidRDefault="00000000">
            <w:pPr>
              <w:pStyle w:val="TableParagraph"/>
              <w:spacing w:line="187" w:lineRule="exact"/>
              <w:ind w:left="400"/>
              <w:rPr>
                <w:sz w:val="18"/>
              </w:rPr>
            </w:pPr>
            <w:r>
              <w:rPr>
                <w:noProof/>
                <w:position w:val="-3"/>
                <w:sz w:val="18"/>
              </w:rPr>
              <w:drawing>
                <wp:inline distT="0" distB="0" distL="0" distR="0" wp14:anchorId="071DF529" wp14:editId="2352E5CF">
                  <wp:extent cx="100572" cy="119062"/>
                  <wp:effectExtent l="0" t="0" r="0" b="0"/>
                  <wp:docPr id="425"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160.png"/>
                          <pic:cNvPicPr/>
                        </pic:nvPicPr>
                        <pic:blipFill>
                          <a:blip r:embed="rId84" cstate="print"/>
                          <a:stretch>
                            <a:fillRect/>
                          </a:stretch>
                        </pic:blipFill>
                        <pic:spPr>
                          <a:xfrm>
                            <a:off x="0" y="0"/>
                            <a:ext cx="100572" cy="119062"/>
                          </a:xfrm>
                          <a:prstGeom prst="rect">
                            <a:avLst/>
                          </a:prstGeom>
                        </pic:spPr>
                      </pic:pic>
                    </a:graphicData>
                  </a:graphic>
                </wp:inline>
              </w:drawing>
            </w:r>
          </w:p>
          <w:p w14:paraId="4055E501" w14:textId="77777777" w:rsidR="00EF5B27" w:rsidRDefault="00EF5B27">
            <w:pPr>
              <w:pStyle w:val="TableParagraph"/>
              <w:spacing w:before="7"/>
              <w:rPr>
                <w:b/>
                <w:sz w:val="2"/>
              </w:rPr>
            </w:pPr>
          </w:p>
          <w:p w14:paraId="3A3F1D7F" w14:textId="77777777" w:rsidR="00EF5B27" w:rsidRDefault="00000000">
            <w:pPr>
              <w:pStyle w:val="TableParagraph"/>
              <w:spacing w:line="48" w:lineRule="exact"/>
              <w:ind w:left="448"/>
              <w:rPr>
                <w:sz w:val="4"/>
              </w:rPr>
            </w:pPr>
            <w:r>
              <w:rPr>
                <w:sz w:val="4"/>
              </w:rPr>
            </w:r>
            <w:r>
              <w:rPr>
                <w:sz w:val="4"/>
              </w:rPr>
              <w:pict w14:anchorId="46E60550">
                <v:group id="_x0000_s3294" style="width:2.45pt;height:2.45pt;mso-position-horizontal-relative:char;mso-position-vertical-relative:line" coordsize="49,49">
                  <v:shape id="_x0000_s3295" style="position:absolute;width:49;height:49" coordsize="49,49" path="m31,l18,,12,2,2,12,,17,,31r2,6l12,46r6,3l31,49r6,-3l46,37r3,-6l49,17,46,12,37,2,31,xe" fillcolor="#808285" stroked="f">
                    <v:path arrowok="t"/>
                  </v:shape>
                  <w10:wrap type="none"/>
                  <w10:anchorlock/>
                </v:group>
              </w:pict>
            </w:r>
          </w:p>
        </w:tc>
        <w:tc>
          <w:tcPr>
            <w:tcW w:w="964" w:type="dxa"/>
          </w:tcPr>
          <w:p w14:paraId="225B6B94" w14:textId="77777777" w:rsidR="00EF5B27" w:rsidRDefault="00EF5B27">
            <w:pPr>
              <w:pStyle w:val="TableParagraph"/>
              <w:spacing w:before="11"/>
              <w:rPr>
                <w:b/>
                <w:sz w:val="11"/>
              </w:rPr>
            </w:pPr>
          </w:p>
          <w:p w14:paraId="283AC976" w14:textId="77777777" w:rsidR="00EF5B27" w:rsidRDefault="00000000">
            <w:pPr>
              <w:pStyle w:val="TableParagraph"/>
              <w:ind w:left="318" w:right="323"/>
              <w:jc w:val="center"/>
              <w:rPr>
                <w:sz w:val="14"/>
              </w:rPr>
            </w:pPr>
            <w:r>
              <w:rPr>
                <w:color w:val="4D4D4F"/>
                <w:w w:val="105"/>
                <w:sz w:val="14"/>
              </w:rPr>
              <w:t>N/A</w:t>
            </w:r>
          </w:p>
        </w:tc>
        <w:tc>
          <w:tcPr>
            <w:tcW w:w="1489" w:type="dxa"/>
          </w:tcPr>
          <w:p w14:paraId="724F6C49" w14:textId="77777777" w:rsidR="00EF5B27" w:rsidRDefault="00000000">
            <w:pPr>
              <w:pStyle w:val="TableParagraph"/>
              <w:spacing w:before="134"/>
              <w:ind w:left="449" w:right="457"/>
              <w:jc w:val="center"/>
              <w:rPr>
                <w:sz w:val="16"/>
              </w:rPr>
            </w:pPr>
            <w:r>
              <w:rPr>
                <w:color w:val="4D4D4F"/>
                <w:w w:val="105"/>
                <w:sz w:val="16"/>
              </w:rPr>
              <w:t>N/A</w:t>
            </w:r>
          </w:p>
        </w:tc>
      </w:tr>
      <w:tr w:rsidR="00EF5B27" w14:paraId="0EF4ACE1" w14:textId="77777777">
        <w:trPr>
          <w:trHeight w:val="448"/>
        </w:trPr>
        <w:tc>
          <w:tcPr>
            <w:tcW w:w="2980" w:type="dxa"/>
          </w:tcPr>
          <w:p w14:paraId="7647F5C0" w14:textId="77777777" w:rsidR="00EF5B27" w:rsidRDefault="00EF5B27">
            <w:pPr>
              <w:pStyle w:val="TableParagraph"/>
              <w:spacing w:before="11"/>
              <w:rPr>
                <w:b/>
                <w:sz w:val="11"/>
              </w:rPr>
            </w:pPr>
          </w:p>
          <w:p w14:paraId="41ABADC7" w14:textId="77777777" w:rsidR="00EF5B27" w:rsidRDefault="00000000">
            <w:pPr>
              <w:pStyle w:val="TableParagraph"/>
              <w:ind w:left="80"/>
              <w:rPr>
                <w:sz w:val="14"/>
              </w:rPr>
            </w:pPr>
            <w:r>
              <w:rPr>
                <w:color w:val="4D4D4F"/>
                <w:w w:val="105"/>
                <w:sz w:val="14"/>
              </w:rPr>
              <w:t>De-rocked grassland</w:t>
            </w:r>
          </w:p>
        </w:tc>
        <w:tc>
          <w:tcPr>
            <w:tcW w:w="1078" w:type="dxa"/>
          </w:tcPr>
          <w:p w14:paraId="72367BD7" w14:textId="77777777" w:rsidR="00EF5B27" w:rsidRDefault="00EF5B27">
            <w:pPr>
              <w:pStyle w:val="TableParagraph"/>
              <w:spacing w:before="11"/>
              <w:rPr>
                <w:b/>
                <w:sz w:val="11"/>
              </w:rPr>
            </w:pPr>
          </w:p>
          <w:p w14:paraId="2F39CB10" w14:textId="77777777" w:rsidR="00EF5B27" w:rsidRDefault="00000000">
            <w:pPr>
              <w:pStyle w:val="TableParagraph"/>
              <w:ind w:left="142"/>
              <w:rPr>
                <w:sz w:val="14"/>
              </w:rPr>
            </w:pPr>
            <w:r>
              <w:rPr>
                <w:color w:val="4D4D4F"/>
                <w:w w:val="105"/>
                <w:sz w:val="14"/>
              </w:rPr>
              <w:t>Not assessed</w:t>
            </w:r>
          </w:p>
        </w:tc>
        <w:tc>
          <w:tcPr>
            <w:tcW w:w="2155" w:type="dxa"/>
          </w:tcPr>
          <w:p w14:paraId="572FE447" w14:textId="77777777" w:rsidR="00EF5B27" w:rsidRDefault="00EF5B27">
            <w:pPr>
              <w:pStyle w:val="TableParagraph"/>
              <w:spacing w:before="11"/>
              <w:rPr>
                <w:b/>
                <w:sz w:val="11"/>
              </w:rPr>
            </w:pPr>
          </w:p>
          <w:p w14:paraId="63554BDC" w14:textId="77777777" w:rsidR="00EF5B27" w:rsidRDefault="00000000">
            <w:pPr>
              <w:pStyle w:val="TableParagraph"/>
              <w:ind w:left="143" w:right="139"/>
              <w:jc w:val="center"/>
              <w:rPr>
                <w:sz w:val="14"/>
              </w:rPr>
            </w:pPr>
            <w:r>
              <w:rPr>
                <w:color w:val="4D4D4F"/>
                <w:sz w:val="14"/>
              </w:rPr>
              <w:t>Data not provided</w:t>
            </w:r>
          </w:p>
        </w:tc>
        <w:tc>
          <w:tcPr>
            <w:tcW w:w="964" w:type="dxa"/>
          </w:tcPr>
          <w:p w14:paraId="5A4C2F7B" w14:textId="77777777" w:rsidR="00EF5B27" w:rsidRDefault="00EF5B27">
            <w:pPr>
              <w:pStyle w:val="TableParagraph"/>
              <w:spacing w:before="4"/>
              <w:rPr>
                <w:b/>
                <w:sz w:val="7"/>
              </w:rPr>
            </w:pPr>
          </w:p>
          <w:p w14:paraId="37C6657D" w14:textId="77777777" w:rsidR="00EF5B27" w:rsidRDefault="00000000">
            <w:pPr>
              <w:pStyle w:val="TableParagraph"/>
              <w:spacing w:line="187" w:lineRule="exact"/>
              <w:ind w:left="400"/>
              <w:rPr>
                <w:sz w:val="18"/>
              </w:rPr>
            </w:pPr>
            <w:r>
              <w:rPr>
                <w:noProof/>
                <w:position w:val="-3"/>
                <w:sz w:val="18"/>
              </w:rPr>
              <w:drawing>
                <wp:inline distT="0" distB="0" distL="0" distR="0" wp14:anchorId="0166B41E" wp14:editId="5C18A582">
                  <wp:extent cx="100572" cy="119062"/>
                  <wp:effectExtent l="0" t="0" r="0" b="0"/>
                  <wp:docPr id="427"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160.png"/>
                          <pic:cNvPicPr/>
                        </pic:nvPicPr>
                        <pic:blipFill>
                          <a:blip r:embed="rId84" cstate="print"/>
                          <a:stretch>
                            <a:fillRect/>
                          </a:stretch>
                        </pic:blipFill>
                        <pic:spPr>
                          <a:xfrm>
                            <a:off x="0" y="0"/>
                            <a:ext cx="100572" cy="119062"/>
                          </a:xfrm>
                          <a:prstGeom prst="rect">
                            <a:avLst/>
                          </a:prstGeom>
                        </pic:spPr>
                      </pic:pic>
                    </a:graphicData>
                  </a:graphic>
                </wp:inline>
              </w:drawing>
            </w:r>
          </w:p>
          <w:p w14:paraId="51304427" w14:textId="77777777" w:rsidR="00EF5B27" w:rsidRDefault="00EF5B27">
            <w:pPr>
              <w:pStyle w:val="TableParagraph"/>
              <w:spacing w:before="8"/>
              <w:rPr>
                <w:b/>
                <w:sz w:val="2"/>
              </w:rPr>
            </w:pPr>
          </w:p>
          <w:p w14:paraId="43B35A8B" w14:textId="77777777" w:rsidR="00EF5B27" w:rsidRDefault="00000000">
            <w:pPr>
              <w:pStyle w:val="TableParagraph"/>
              <w:spacing w:line="48" w:lineRule="exact"/>
              <w:ind w:left="448"/>
              <w:rPr>
                <w:sz w:val="4"/>
              </w:rPr>
            </w:pPr>
            <w:r>
              <w:rPr>
                <w:sz w:val="4"/>
              </w:rPr>
            </w:r>
            <w:r>
              <w:rPr>
                <w:sz w:val="4"/>
              </w:rPr>
              <w:pict w14:anchorId="615717A0">
                <v:group id="_x0000_s3292" style="width:2.45pt;height:2.45pt;mso-position-horizontal-relative:char;mso-position-vertical-relative:line" coordsize="49,49">
                  <v:shape id="_x0000_s3293" style="position:absolute;width:49;height:49" coordsize="49,49" path="m31,l18,,12,2,2,12,,17,,31r2,6l12,46r6,3l31,49r6,-3l46,37r3,-6l49,17,46,12,37,2,31,xe" fillcolor="#808285" stroked="f">
                    <v:path arrowok="t"/>
                  </v:shape>
                  <w10:wrap type="none"/>
                  <w10:anchorlock/>
                </v:group>
              </w:pict>
            </w:r>
          </w:p>
        </w:tc>
        <w:tc>
          <w:tcPr>
            <w:tcW w:w="964" w:type="dxa"/>
          </w:tcPr>
          <w:p w14:paraId="52A5602F" w14:textId="77777777" w:rsidR="00EF5B27" w:rsidRDefault="00EF5B27">
            <w:pPr>
              <w:pStyle w:val="TableParagraph"/>
              <w:spacing w:before="11"/>
              <w:rPr>
                <w:b/>
                <w:sz w:val="11"/>
              </w:rPr>
            </w:pPr>
          </w:p>
          <w:p w14:paraId="2D67D52D" w14:textId="77777777" w:rsidR="00EF5B27" w:rsidRDefault="00000000">
            <w:pPr>
              <w:pStyle w:val="TableParagraph"/>
              <w:ind w:left="318" w:right="323"/>
              <w:jc w:val="center"/>
              <w:rPr>
                <w:sz w:val="14"/>
              </w:rPr>
            </w:pPr>
            <w:r>
              <w:rPr>
                <w:color w:val="4D4D4F"/>
                <w:w w:val="105"/>
                <w:sz w:val="14"/>
              </w:rPr>
              <w:t>N/A</w:t>
            </w:r>
          </w:p>
        </w:tc>
        <w:tc>
          <w:tcPr>
            <w:tcW w:w="1489" w:type="dxa"/>
          </w:tcPr>
          <w:p w14:paraId="0369DA9F" w14:textId="77777777" w:rsidR="00EF5B27" w:rsidRDefault="00000000">
            <w:pPr>
              <w:pStyle w:val="TableParagraph"/>
              <w:spacing w:before="134"/>
              <w:ind w:left="449" w:right="457"/>
              <w:jc w:val="center"/>
              <w:rPr>
                <w:sz w:val="16"/>
              </w:rPr>
            </w:pPr>
            <w:r>
              <w:rPr>
                <w:color w:val="4D4D4F"/>
                <w:w w:val="105"/>
                <w:sz w:val="16"/>
              </w:rPr>
              <w:t>N/A</w:t>
            </w:r>
          </w:p>
        </w:tc>
      </w:tr>
    </w:tbl>
    <w:p w14:paraId="5B98E02B" w14:textId="77777777" w:rsidR="00EF5B27" w:rsidRDefault="00EF5B27">
      <w:pPr>
        <w:pStyle w:val="BodyText"/>
        <w:rPr>
          <w:b/>
          <w:sz w:val="25"/>
        </w:rPr>
      </w:pPr>
    </w:p>
    <w:p w14:paraId="12DCC6D0" w14:textId="77777777" w:rsidR="00EF5B27" w:rsidRDefault="00000000">
      <w:pPr>
        <w:ind w:left="2613"/>
        <w:rPr>
          <w:b/>
          <w:sz w:val="20"/>
        </w:rPr>
      </w:pPr>
      <w:r>
        <w:rPr>
          <w:b/>
          <w:color w:val="4D4D4F"/>
          <w:sz w:val="20"/>
        </w:rPr>
        <w:t>KPI 7: Percentage cover of all perennial vegetation comprised of weeds</w:t>
      </w:r>
    </w:p>
    <w:p w14:paraId="3AC3D056" w14:textId="77777777" w:rsidR="00EF5B27" w:rsidRDefault="00EF5B27">
      <w:pPr>
        <w:pStyle w:val="BodyText"/>
        <w:spacing w:before="2"/>
        <w:rPr>
          <w:b/>
          <w:sz w:val="14"/>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22CD5ED9" w14:textId="77777777">
        <w:trPr>
          <w:trHeight w:val="561"/>
        </w:trPr>
        <w:tc>
          <w:tcPr>
            <w:tcW w:w="2980" w:type="dxa"/>
            <w:shd w:val="clear" w:color="auto" w:fill="FECC91"/>
          </w:tcPr>
          <w:p w14:paraId="051C449E" w14:textId="77777777" w:rsidR="00EF5B27" w:rsidRDefault="00000000">
            <w:pPr>
              <w:pStyle w:val="TableParagraph"/>
              <w:spacing w:before="91" w:line="244" w:lineRule="auto"/>
              <w:ind w:left="80" w:right="244"/>
              <w:rPr>
                <w:b/>
                <w:sz w:val="16"/>
              </w:rPr>
            </w:pPr>
            <w:r>
              <w:rPr>
                <w:b/>
                <w:sz w:val="16"/>
              </w:rPr>
              <w:t>KPI 7: Percentage cover of all perennial vegetation comprised of weeds</w:t>
            </w:r>
          </w:p>
        </w:tc>
        <w:tc>
          <w:tcPr>
            <w:tcW w:w="1078" w:type="dxa"/>
            <w:shd w:val="clear" w:color="auto" w:fill="FECC91"/>
          </w:tcPr>
          <w:p w14:paraId="28811EEB"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7C8BD5B7" w14:textId="77777777" w:rsidR="00EF5B27" w:rsidRDefault="00EF5B27">
            <w:pPr>
              <w:pStyle w:val="TableParagraph"/>
              <w:spacing w:before="7"/>
              <w:rPr>
                <w:b/>
                <w:sz w:val="15"/>
              </w:rPr>
            </w:pPr>
          </w:p>
          <w:p w14:paraId="1B92BE1A"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67939F38" w14:textId="77777777" w:rsidR="00EF5B27" w:rsidRDefault="00EF5B27">
            <w:pPr>
              <w:pStyle w:val="TableParagraph"/>
              <w:spacing w:before="7"/>
              <w:rPr>
                <w:b/>
                <w:sz w:val="15"/>
              </w:rPr>
            </w:pPr>
          </w:p>
          <w:p w14:paraId="255014E4"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0C3E37BD"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49ECF705"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35900B8C" w14:textId="77777777">
        <w:trPr>
          <w:trHeight w:val="448"/>
        </w:trPr>
        <w:tc>
          <w:tcPr>
            <w:tcW w:w="2980" w:type="dxa"/>
          </w:tcPr>
          <w:p w14:paraId="3BBC711E" w14:textId="77777777" w:rsidR="00EF5B27" w:rsidRDefault="00EF5B27">
            <w:pPr>
              <w:pStyle w:val="TableParagraph"/>
              <w:spacing w:before="11"/>
              <w:rPr>
                <w:b/>
                <w:sz w:val="11"/>
              </w:rPr>
            </w:pPr>
          </w:p>
          <w:p w14:paraId="474C4DE9" w14:textId="77777777" w:rsidR="00EF5B27" w:rsidRDefault="00000000">
            <w:pPr>
              <w:pStyle w:val="TableParagraph"/>
              <w:ind w:left="80"/>
              <w:rPr>
                <w:sz w:val="14"/>
              </w:rPr>
            </w:pPr>
            <w:r>
              <w:rPr>
                <w:color w:val="4D4D4F"/>
                <w:w w:val="105"/>
                <w:sz w:val="14"/>
              </w:rPr>
              <w:t>Herb-rich grassland</w:t>
            </w:r>
          </w:p>
        </w:tc>
        <w:tc>
          <w:tcPr>
            <w:tcW w:w="1078" w:type="dxa"/>
          </w:tcPr>
          <w:p w14:paraId="5555BE75" w14:textId="77777777" w:rsidR="00EF5B27" w:rsidRDefault="00EF5B27">
            <w:pPr>
              <w:pStyle w:val="TableParagraph"/>
              <w:spacing w:before="11"/>
              <w:rPr>
                <w:b/>
                <w:sz w:val="11"/>
              </w:rPr>
            </w:pPr>
          </w:p>
          <w:p w14:paraId="55786E09" w14:textId="77777777" w:rsidR="00EF5B27" w:rsidRDefault="00000000">
            <w:pPr>
              <w:pStyle w:val="TableParagraph"/>
              <w:ind w:left="142"/>
              <w:rPr>
                <w:sz w:val="14"/>
              </w:rPr>
            </w:pPr>
            <w:r>
              <w:rPr>
                <w:color w:val="4D4D4F"/>
                <w:w w:val="105"/>
                <w:sz w:val="14"/>
              </w:rPr>
              <w:t>Not assessed</w:t>
            </w:r>
          </w:p>
        </w:tc>
        <w:tc>
          <w:tcPr>
            <w:tcW w:w="2155" w:type="dxa"/>
          </w:tcPr>
          <w:p w14:paraId="08223FD1" w14:textId="77777777" w:rsidR="00EF5B27" w:rsidRDefault="00EF5B27">
            <w:pPr>
              <w:pStyle w:val="TableParagraph"/>
              <w:spacing w:before="11"/>
              <w:rPr>
                <w:b/>
                <w:sz w:val="11"/>
              </w:rPr>
            </w:pPr>
          </w:p>
          <w:p w14:paraId="24F6E1A9" w14:textId="77777777" w:rsidR="00EF5B27" w:rsidRDefault="00000000">
            <w:pPr>
              <w:pStyle w:val="TableParagraph"/>
              <w:ind w:left="143" w:right="142"/>
              <w:jc w:val="center"/>
              <w:rPr>
                <w:sz w:val="14"/>
              </w:rPr>
            </w:pPr>
            <w:r>
              <w:rPr>
                <w:color w:val="4D4D4F"/>
                <w:sz w:val="14"/>
              </w:rPr>
              <w:t>Baseline not yet set</w:t>
            </w:r>
          </w:p>
        </w:tc>
        <w:tc>
          <w:tcPr>
            <w:tcW w:w="964" w:type="dxa"/>
          </w:tcPr>
          <w:p w14:paraId="2E3BD4BB" w14:textId="77777777" w:rsidR="00EF5B27" w:rsidRDefault="00EF5B27">
            <w:pPr>
              <w:pStyle w:val="TableParagraph"/>
              <w:spacing w:before="4"/>
              <w:rPr>
                <w:b/>
                <w:sz w:val="7"/>
              </w:rPr>
            </w:pPr>
          </w:p>
          <w:p w14:paraId="485CD696" w14:textId="77777777" w:rsidR="00EF5B27" w:rsidRDefault="00000000">
            <w:pPr>
              <w:pStyle w:val="TableParagraph"/>
              <w:spacing w:line="187" w:lineRule="exact"/>
              <w:ind w:left="400"/>
              <w:rPr>
                <w:sz w:val="18"/>
              </w:rPr>
            </w:pPr>
            <w:r>
              <w:rPr>
                <w:noProof/>
                <w:position w:val="-3"/>
                <w:sz w:val="18"/>
              </w:rPr>
              <w:drawing>
                <wp:inline distT="0" distB="0" distL="0" distR="0" wp14:anchorId="653240A5" wp14:editId="53E6ECE1">
                  <wp:extent cx="100572" cy="119062"/>
                  <wp:effectExtent l="0" t="0" r="0" b="0"/>
                  <wp:docPr id="429"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160.png"/>
                          <pic:cNvPicPr/>
                        </pic:nvPicPr>
                        <pic:blipFill>
                          <a:blip r:embed="rId84" cstate="print"/>
                          <a:stretch>
                            <a:fillRect/>
                          </a:stretch>
                        </pic:blipFill>
                        <pic:spPr>
                          <a:xfrm>
                            <a:off x="0" y="0"/>
                            <a:ext cx="100572" cy="119062"/>
                          </a:xfrm>
                          <a:prstGeom prst="rect">
                            <a:avLst/>
                          </a:prstGeom>
                        </pic:spPr>
                      </pic:pic>
                    </a:graphicData>
                  </a:graphic>
                </wp:inline>
              </w:drawing>
            </w:r>
          </w:p>
          <w:p w14:paraId="2CA10B5D" w14:textId="77777777" w:rsidR="00EF5B27" w:rsidRDefault="00EF5B27">
            <w:pPr>
              <w:pStyle w:val="TableParagraph"/>
              <w:spacing w:before="8"/>
              <w:rPr>
                <w:b/>
                <w:sz w:val="2"/>
              </w:rPr>
            </w:pPr>
          </w:p>
          <w:p w14:paraId="393DC494" w14:textId="77777777" w:rsidR="00EF5B27" w:rsidRDefault="00000000">
            <w:pPr>
              <w:pStyle w:val="TableParagraph"/>
              <w:spacing w:line="48" w:lineRule="exact"/>
              <w:ind w:left="448"/>
              <w:rPr>
                <w:sz w:val="4"/>
              </w:rPr>
            </w:pPr>
            <w:r>
              <w:rPr>
                <w:sz w:val="4"/>
              </w:rPr>
            </w:r>
            <w:r>
              <w:rPr>
                <w:sz w:val="4"/>
              </w:rPr>
              <w:pict w14:anchorId="58C80E47">
                <v:group id="_x0000_s3290" style="width:2.45pt;height:2.45pt;mso-position-horizontal-relative:char;mso-position-vertical-relative:line" coordsize="49,49">
                  <v:shape id="_x0000_s3291" style="position:absolute;width:49;height:49" coordsize="49,49" path="m31,l18,,12,2,2,12,,17,,31r2,6l12,46r6,3l31,49r6,-3l46,37r3,-6l49,17,46,12,37,2,31,xe" fillcolor="#808285" stroked="f">
                    <v:path arrowok="t"/>
                  </v:shape>
                  <w10:wrap type="none"/>
                  <w10:anchorlock/>
                </v:group>
              </w:pict>
            </w:r>
          </w:p>
        </w:tc>
        <w:tc>
          <w:tcPr>
            <w:tcW w:w="964" w:type="dxa"/>
          </w:tcPr>
          <w:p w14:paraId="11AB3AC9" w14:textId="77777777" w:rsidR="00EF5B27" w:rsidRDefault="00EF5B27">
            <w:pPr>
              <w:pStyle w:val="TableParagraph"/>
              <w:spacing w:before="11"/>
              <w:rPr>
                <w:b/>
                <w:sz w:val="11"/>
              </w:rPr>
            </w:pPr>
          </w:p>
          <w:p w14:paraId="70FADC66" w14:textId="77777777" w:rsidR="00EF5B27" w:rsidRDefault="00000000">
            <w:pPr>
              <w:pStyle w:val="TableParagraph"/>
              <w:ind w:left="318" w:right="323"/>
              <w:jc w:val="center"/>
              <w:rPr>
                <w:sz w:val="14"/>
              </w:rPr>
            </w:pPr>
            <w:r>
              <w:rPr>
                <w:color w:val="4D4D4F"/>
                <w:w w:val="105"/>
                <w:sz w:val="14"/>
              </w:rPr>
              <w:t>N/A</w:t>
            </w:r>
          </w:p>
        </w:tc>
        <w:tc>
          <w:tcPr>
            <w:tcW w:w="1489" w:type="dxa"/>
          </w:tcPr>
          <w:p w14:paraId="62E63BC6" w14:textId="77777777" w:rsidR="00EF5B27" w:rsidRDefault="00000000">
            <w:pPr>
              <w:pStyle w:val="TableParagraph"/>
              <w:spacing w:before="134"/>
              <w:ind w:left="581"/>
              <w:rPr>
                <w:sz w:val="16"/>
              </w:rPr>
            </w:pPr>
            <w:r>
              <w:rPr>
                <w:color w:val="4D4D4F"/>
                <w:sz w:val="16"/>
              </w:rPr>
              <w:t>2026</w:t>
            </w:r>
          </w:p>
        </w:tc>
      </w:tr>
      <w:tr w:rsidR="00EF5B27" w14:paraId="0E2168CD" w14:textId="77777777">
        <w:trPr>
          <w:trHeight w:val="448"/>
        </w:trPr>
        <w:tc>
          <w:tcPr>
            <w:tcW w:w="2980" w:type="dxa"/>
          </w:tcPr>
          <w:p w14:paraId="7217D3EC" w14:textId="77777777" w:rsidR="00EF5B27" w:rsidRDefault="00EF5B27">
            <w:pPr>
              <w:pStyle w:val="TableParagraph"/>
              <w:spacing w:before="11"/>
              <w:rPr>
                <w:b/>
                <w:sz w:val="11"/>
              </w:rPr>
            </w:pPr>
          </w:p>
          <w:p w14:paraId="1729EB50" w14:textId="77777777" w:rsidR="00EF5B27" w:rsidRDefault="00000000">
            <w:pPr>
              <w:pStyle w:val="TableParagraph"/>
              <w:ind w:left="80"/>
              <w:rPr>
                <w:sz w:val="14"/>
              </w:rPr>
            </w:pPr>
            <w:r>
              <w:rPr>
                <w:rFonts w:ascii="Arial Narrow"/>
                <w:i/>
                <w:color w:val="4D4D4F"/>
                <w:w w:val="110"/>
                <w:sz w:val="14"/>
              </w:rPr>
              <w:t xml:space="preserve">Themeda </w:t>
            </w:r>
            <w:r>
              <w:rPr>
                <w:color w:val="4D4D4F"/>
                <w:w w:val="110"/>
                <w:sz w:val="14"/>
              </w:rPr>
              <w:t>grassland</w:t>
            </w:r>
          </w:p>
        </w:tc>
        <w:tc>
          <w:tcPr>
            <w:tcW w:w="1078" w:type="dxa"/>
          </w:tcPr>
          <w:p w14:paraId="3E35292A" w14:textId="77777777" w:rsidR="00EF5B27" w:rsidRDefault="00EF5B27">
            <w:pPr>
              <w:pStyle w:val="TableParagraph"/>
              <w:spacing w:before="11"/>
              <w:rPr>
                <w:b/>
                <w:sz w:val="11"/>
              </w:rPr>
            </w:pPr>
          </w:p>
          <w:p w14:paraId="18790694" w14:textId="77777777" w:rsidR="00EF5B27" w:rsidRDefault="00000000">
            <w:pPr>
              <w:pStyle w:val="TableParagraph"/>
              <w:ind w:left="142"/>
              <w:rPr>
                <w:sz w:val="14"/>
              </w:rPr>
            </w:pPr>
            <w:r>
              <w:rPr>
                <w:color w:val="4D4D4F"/>
                <w:w w:val="105"/>
                <w:sz w:val="14"/>
              </w:rPr>
              <w:t>Not assessed</w:t>
            </w:r>
          </w:p>
        </w:tc>
        <w:tc>
          <w:tcPr>
            <w:tcW w:w="2155" w:type="dxa"/>
          </w:tcPr>
          <w:p w14:paraId="75FE18D4" w14:textId="77777777" w:rsidR="00EF5B27" w:rsidRDefault="00EF5B27">
            <w:pPr>
              <w:pStyle w:val="TableParagraph"/>
              <w:spacing w:before="11"/>
              <w:rPr>
                <w:b/>
                <w:sz w:val="11"/>
              </w:rPr>
            </w:pPr>
          </w:p>
          <w:p w14:paraId="300B7EA5" w14:textId="77777777" w:rsidR="00EF5B27" w:rsidRDefault="00000000">
            <w:pPr>
              <w:pStyle w:val="TableParagraph"/>
              <w:ind w:left="143" w:right="142"/>
              <w:jc w:val="center"/>
              <w:rPr>
                <w:sz w:val="14"/>
              </w:rPr>
            </w:pPr>
            <w:r>
              <w:rPr>
                <w:color w:val="4D4D4F"/>
                <w:sz w:val="14"/>
              </w:rPr>
              <w:t>Baseline not yet set</w:t>
            </w:r>
          </w:p>
        </w:tc>
        <w:tc>
          <w:tcPr>
            <w:tcW w:w="964" w:type="dxa"/>
          </w:tcPr>
          <w:p w14:paraId="44063CB5" w14:textId="77777777" w:rsidR="00EF5B27" w:rsidRDefault="00EF5B27">
            <w:pPr>
              <w:pStyle w:val="TableParagraph"/>
              <w:spacing w:before="4"/>
              <w:rPr>
                <w:b/>
                <w:sz w:val="7"/>
              </w:rPr>
            </w:pPr>
          </w:p>
          <w:p w14:paraId="3E53D182" w14:textId="77777777" w:rsidR="00EF5B27" w:rsidRDefault="00000000">
            <w:pPr>
              <w:pStyle w:val="TableParagraph"/>
              <w:spacing w:line="187" w:lineRule="exact"/>
              <w:ind w:left="400"/>
              <w:rPr>
                <w:sz w:val="18"/>
              </w:rPr>
            </w:pPr>
            <w:r>
              <w:rPr>
                <w:noProof/>
                <w:position w:val="-3"/>
                <w:sz w:val="18"/>
              </w:rPr>
              <w:drawing>
                <wp:inline distT="0" distB="0" distL="0" distR="0" wp14:anchorId="0DD89270" wp14:editId="48768198">
                  <wp:extent cx="100572" cy="119062"/>
                  <wp:effectExtent l="0" t="0" r="0" b="0"/>
                  <wp:docPr id="431"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160.png"/>
                          <pic:cNvPicPr/>
                        </pic:nvPicPr>
                        <pic:blipFill>
                          <a:blip r:embed="rId84" cstate="print"/>
                          <a:stretch>
                            <a:fillRect/>
                          </a:stretch>
                        </pic:blipFill>
                        <pic:spPr>
                          <a:xfrm>
                            <a:off x="0" y="0"/>
                            <a:ext cx="100572" cy="119062"/>
                          </a:xfrm>
                          <a:prstGeom prst="rect">
                            <a:avLst/>
                          </a:prstGeom>
                        </pic:spPr>
                      </pic:pic>
                    </a:graphicData>
                  </a:graphic>
                </wp:inline>
              </w:drawing>
            </w:r>
          </w:p>
          <w:p w14:paraId="30993554" w14:textId="77777777" w:rsidR="00EF5B27" w:rsidRDefault="00EF5B27">
            <w:pPr>
              <w:pStyle w:val="TableParagraph"/>
              <w:spacing w:before="8"/>
              <w:rPr>
                <w:b/>
                <w:sz w:val="2"/>
              </w:rPr>
            </w:pPr>
          </w:p>
          <w:p w14:paraId="009FADD6" w14:textId="77777777" w:rsidR="00EF5B27" w:rsidRDefault="00000000">
            <w:pPr>
              <w:pStyle w:val="TableParagraph"/>
              <w:spacing w:line="48" w:lineRule="exact"/>
              <w:ind w:left="448"/>
              <w:rPr>
                <w:sz w:val="4"/>
              </w:rPr>
            </w:pPr>
            <w:r>
              <w:rPr>
                <w:sz w:val="4"/>
              </w:rPr>
            </w:r>
            <w:r>
              <w:rPr>
                <w:sz w:val="4"/>
              </w:rPr>
              <w:pict w14:anchorId="607FAA85">
                <v:group id="_x0000_s3288" style="width:2.45pt;height:2.45pt;mso-position-horizontal-relative:char;mso-position-vertical-relative:line" coordsize="49,49">
                  <v:shape id="_x0000_s3289" style="position:absolute;width:49;height:49" coordsize="49,49" path="m31,l18,,12,2,2,12,,17,,31r2,6l12,46r6,3l31,49r6,-3l46,37r3,-6l49,17,46,12,37,2,31,xe" fillcolor="#808285" stroked="f">
                    <v:path arrowok="t"/>
                  </v:shape>
                  <w10:wrap type="none"/>
                  <w10:anchorlock/>
                </v:group>
              </w:pict>
            </w:r>
          </w:p>
        </w:tc>
        <w:tc>
          <w:tcPr>
            <w:tcW w:w="964" w:type="dxa"/>
          </w:tcPr>
          <w:p w14:paraId="08DCA7D0" w14:textId="77777777" w:rsidR="00EF5B27" w:rsidRDefault="00EF5B27">
            <w:pPr>
              <w:pStyle w:val="TableParagraph"/>
              <w:spacing w:before="11"/>
              <w:rPr>
                <w:b/>
                <w:sz w:val="11"/>
              </w:rPr>
            </w:pPr>
          </w:p>
          <w:p w14:paraId="141E8B77" w14:textId="77777777" w:rsidR="00EF5B27" w:rsidRDefault="00000000">
            <w:pPr>
              <w:pStyle w:val="TableParagraph"/>
              <w:ind w:left="318" w:right="323"/>
              <w:jc w:val="center"/>
              <w:rPr>
                <w:sz w:val="14"/>
              </w:rPr>
            </w:pPr>
            <w:r>
              <w:rPr>
                <w:color w:val="4D4D4F"/>
                <w:w w:val="105"/>
                <w:sz w:val="14"/>
              </w:rPr>
              <w:t>N/A</w:t>
            </w:r>
          </w:p>
        </w:tc>
        <w:tc>
          <w:tcPr>
            <w:tcW w:w="1489" w:type="dxa"/>
          </w:tcPr>
          <w:p w14:paraId="72D91C59" w14:textId="77777777" w:rsidR="00EF5B27" w:rsidRDefault="00000000">
            <w:pPr>
              <w:pStyle w:val="TableParagraph"/>
              <w:spacing w:before="134"/>
              <w:ind w:left="581"/>
              <w:rPr>
                <w:sz w:val="16"/>
              </w:rPr>
            </w:pPr>
            <w:r>
              <w:rPr>
                <w:color w:val="4D4D4F"/>
                <w:sz w:val="16"/>
              </w:rPr>
              <w:t>2026</w:t>
            </w:r>
          </w:p>
        </w:tc>
      </w:tr>
      <w:tr w:rsidR="00EF5B27" w14:paraId="35D93961" w14:textId="77777777">
        <w:trPr>
          <w:trHeight w:val="448"/>
        </w:trPr>
        <w:tc>
          <w:tcPr>
            <w:tcW w:w="2980" w:type="dxa"/>
          </w:tcPr>
          <w:p w14:paraId="32BE2FE7" w14:textId="77777777" w:rsidR="00EF5B27" w:rsidRDefault="00EF5B27">
            <w:pPr>
              <w:pStyle w:val="TableParagraph"/>
              <w:spacing w:before="11"/>
              <w:rPr>
                <w:b/>
                <w:sz w:val="11"/>
              </w:rPr>
            </w:pPr>
          </w:p>
          <w:p w14:paraId="454089EF" w14:textId="77777777" w:rsidR="00EF5B27" w:rsidRDefault="00000000">
            <w:pPr>
              <w:pStyle w:val="TableParagraph"/>
              <w:ind w:left="80"/>
              <w:rPr>
                <w:sz w:val="14"/>
              </w:rPr>
            </w:pPr>
            <w:r>
              <w:rPr>
                <w:color w:val="4D4D4F"/>
                <w:w w:val="105"/>
                <w:sz w:val="14"/>
              </w:rPr>
              <w:t>C3 grassland</w:t>
            </w:r>
          </w:p>
        </w:tc>
        <w:tc>
          <w:tcPr>
            <w:tcW w:w="1078" w:type="dxa"/>
          </w:tcPr>
          <w:p w14:paraId="57F86792" w14:textId="77777777" w:rsidR="00EF5B27" w:rsidRDefault="00EF5B27">
            <w:pPr>
              <w:pStyle w:val="TableParagraph"/>
              <w:spacing w:before="11"/>
              <w:rPr>
                <w:b/>
                <w:sz w:val="11"/>
              </w:rPr>
            </w:pPr>
          </w:p>
          <w:p w14:paraId="6FAA2C65" w14:textId="77777777" w:rsidR="00EF5B27" w:rsidRDefault="00000000">
            <w:pPr>
              <w:pStyle w:val="TableParagraph"/>
              <w:ind w:left="142"/>
              <w:rPr>
                <w:sz w:val="14"/>
              </w:rPr>
            </w:pPr>
            <w:r>
              <w:rPr>
                <w:color w:val="4D4D4F"/>
                <w:w w:val="105"/>
                <w:sz w:val="14"/>
              </w:rPr>
              <w:t>Not assessed</w:t>
            </w:r>
          </w:p>
        </w:tc>
        <w:tc>
          <w:tcPr>
            <w:tcW w:w="2155" w:type="dxa"/>
          </w:tcPr>
          <w:p w14:paraId="6E760F28" w14:textId="77777777" w:rsidR="00EF5B27" w:rsidRDefault="00EF5B27">
            <w:pPr>
              <w:pStyle w:val="TableParagraph"/>
              <w:spacing w:before="11"/>
              <w:rPr>
                <w:b/>
                <w:sz w:val="11"/>
              </w:rPr>
            </w:pPr>
          </w:p>
          <w:p w14:paraId="42306419" w14:textId="77777777" w:rsidR="00EF5B27" w:rsidRDefault="00000000">
            <w:pPr>
              <w:pStyle w:val="TableParagraph"/>
              <w:ind w:left="143" w:right="142"/>
              <w:jc w:val="center"/>
              <w:rPr>
                <w:sz w:val="14"/>
              </w:rPr>
            </w:pPr>
            <w:r>
              <w:rPr>
                <w:color w:val="4D4D4F"/>
                <w:sz w:val="14"/>
              </w:rPr>
              <w:t>Baseline not yet set</w:t>
            </w:r>
          </w:p>
        </w:tc>
        <w:tc>
          <w:tcPr>
            <w:tcW w:w="964" w:type="dxa"/>
          </w:tcPr>
          <w:p w14:paraId="557CE294" w14:textId="77777777" w:rsidR="00EF5B27" w:rsidRDefault="00EF5B27">
            <w:pPr>
              <w:pStyle w:val="TableParagraph"/>
              <w:spacing w:before="4"/>
              <w:rPr>
                <w:b/>
                <w:sz w:val="7"/>
              </w:rPr>
            </w:pPr>
          </w:p>
          <w:p w14:paraId="330D3D41" w14:textId="77777777" w:rsidR="00EF5B27" w:rsidRDefault="00000000">
            <w:pPr>
              <w:pStyle w:val="TableParagraph"/>
              <w:spacing w:line="187" w:lineRule="exact"/>
              <w:ind w:left="400"/>
              <w:rPr>
                <w:sz w:val="18"/>
              </w:rPr>
            </w:pPr>
            <w:r>
              <w:rPr>
                <w:noProof/>
                <w:position w:val="-3"/>
                <w:sz w:val="18"/>
              </w:rPr>
              <w:drawing>
                <wp:inline distT="0" distB="0" distL="0" distR="0" wp14:anchorId="1CBD8E0E" wp14:editId="2EFF6B7B">
                  <wp:extent cx="100572" cy="119062"/>
                  <wp:effectExtent l="0" t="0" r="0" b="0"/>
                  <wp:docPr id="433"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161.png"/>
                          <pic:cNvPicPr/>
                        </pic:nvPicPr>
                        <pic:blipFill>
                          <a:blip r:embed="rId92" cstate="print"/>
                          <a:stretch>
                            <a:fillRect/>
                          </a:stretch>
                        </pic:blipFill>
                        <pic:spPr>
                          <a:xfrm>
                            <a:off x="0" y="0"/>
                            <a:ext cx="100572" cy="119062"/>
                          </a:xfrm>
                          <a:prstGeom prst="rect">
                            <a:avLst/>
                          </a:prstGeom>
                        </pic:spPr>
                      </pic:pic>
                    </a:graphicData>
                  </a:graphic>
                </wp:inline>
              </w:drawing>
            </w:r>
          </w:p>
          <w:p w14:paraId="1DF3B943" w14:textId="77777777" w:rsidR="00EF5B27" w:rsidRDefault="00EF5B27">
            <w:pPr>
              <w:pStyle w:val="TableParagraph"/>
              <w:spacing w:before="8"/>
              <w:rPr>
                <w:b/>
                <w:sz w:val="2"/>
              </w:rPr>
            </w:pPr>
          </w:p>
          <w:p w14:paraId="2A17003B" w14:textId="77777777" w:rsidR="00EF5B27" w:rsidRDefault="00000000">
            <w:pPr>
              <w:pStyle w:val="TableParagraph"/>
              <w:spacing w:line="48" w:lineRule="exact"/>
              <w:ind w:left="448"/>
              <w:rPr>
                <w:sz w:val="4"/>
              </w:rPr>
            </w:pPr>
            <w:r>
              <w:rPr>
                <w:sz w:val="4"/>
              </w:rPr>
            </w:r>
            <w:r>
              <w:rPr>
                <w:sz w:val="4"/>
              </w:rPr>
              <w:pict w14:anchorId="644878EC">
                <v:group id="_x0000_s3286" style="width:2.45pt;height:2.45pt;mso-position-horizontal-relative:char;mso-position-vertical-relative:line" coordsize="49,49">
                  <v:shape id="_x0000_s3287" style="position:absolute;width:49;height:49" coordsize="49,49" path="m31,l18,,12,2,2,12,,17,,31r2,6l12,46r6,3l31,49r6,-3l46,37r3,-6l49,17,46,12,37,2,31,xe" fillcolor="#808285" stroked="f">
                    <v:path arrowok="t"/>
                  </v:shape>
                  <w10:wrap type="none"/>
                  <w10:anchorlock/>
                </v:group>
              </w:pict>
            </w:r>
          </w:p>
        </w:tc>
        <w:tc>
          <w:tcPr>
            <w:tcW w:w="964" w:type="dxa"/>
          </w:tcPr>
          <w:p w14:paraId="4F709673" w14:textId="77777777" w:rsidR="00EF5B27" w:rsidRDefault="00EF5B27">
            <w:pPr>
              <w:pStyle w:val="TableParagraph"/>
              <w:spacing w:before="11"/>
              <w:rPr>
                <w:b/>
                <w:sz w:val="11"/>
              </w:rPr>
            </w:pPr>
          </w:p>
          <w:p w14:paraId="2D488A67" w14:textId="77777777" w:rsidR="00EF5B27" w:rsidRDefault="00000000">
            <w:pPr>
              <w:pStyle w:val="TableParagraph"/>
              <w:ind w:left="318" w:right="323"/>
              <w:jc w:val="center"/>
              <w:rPr>
                <w:sz w:val="14"/>
              </w:rPr>
            </w:pPr>
            <w:r>
              <w:rPr>
                <w:color w:val="4D4D4F"/>
                <w:w w:val="105"/>
                <w:sz w:val="14"/>
              </w:rPr>
              <w:t>N/A</w:t>
            </w:r>
          </w:p>
        </w:tc>
        <w:tc>
          <w:tcPr>
            <w:tcW w:w="1489" w:type="dxa"/>
          </w:tcPr>
          <w:p w14:paraId="52F255FA" w14:textId="77777777" w:rsidR="00EF5B27" w:rsidRDefault="00000000">
            <w:pPr>
              <w:pStyle w:val="TableParagraph"/>
              <w:spacing w:before="134"/>
              <w:ind w:left="581"/>
              <w:rPr>
                <w:sz w:val="16"/>
              </w:rPr>
            </w:pPr>
            <w:r>
              <w:rPr>
                <w:color w:val="4D4D4F"/>
                <w:sz w:val="16"/>
              </w:rPr>
              <w:t>2026</w:t>
            </w:r>
          </w:p>
        </w:tc>
      </w:tr>
      <w:tr w:rsidR="00EF5B27" w14:paraId="232CAED6" w14:textId="77777777">
        <w:trPr>
          <w:trHeight w:val="448"/>
        </w:trPr>
        <w:tc>
          <w:tcPr>
            <w:tcW w:w="2980" w:type="dxa"/>
          </w:tcPr>
          <w:p w14:paraId="697B04BE" w14:textId="77777777" w:rsidR="00EF5B27" w:rsidRDefault="00EF5B27">
            <w:pPr>
              <w:pStyle w:val="TableParagraph"/>
              <w:spacing w:before="11"/>
              <w:rPr>
                <w:b/>
                <w:sz w:val="11"/>
              </w:rPr>
            </w:pPr>
          </w:p>
          <w:p w14:paraId="2F71EA4E" w14:textId="77777777" w:rsidR="00EF5B27" w:rsidRDefault="00000000">
            <w:pPr>
              <w:pStyle w:val="TableParagraph"/>
              <w:ind w:left="80"/>
              <w:rPr>
                <w:sz w:val="14"/>
              </w:rPr>
            </w:pPr>
            <w:r>
              <w:rPr>
                <w:color w:val="4D4D4F"/>
                <w:w w:val="105"/>
                <w:sz w:val="14"/>
              </w:rPr>
              <w:t>Nutrient-enriched grassland</w:t>
            </w:r>
          </w:p>
        </w:tc>
        <w:tc>
          <w:tcPr>
            <w:tcW w:w="1078" w:type="dxa"/>
          </w:tcPr>
          <w:p w14:paraId="403680C9" w14:textId="77777777" w:rsidR="00EF5B27" w:rsidRDefault="00EF5B27">
            <w:pPr>
              <w:pStyle w:val="TableParagraph"/>
              <w:spacing w:before="11"/>
              <w:rPr>
                <w:b/>
                <w:sz w:val="11"/>
              </w:rPr>
            </w:pPr>
          </w:p>
          <w:p w14:paraId="05F77FAE" w14:textId="77777777" w:rsidR="00EF5B27" w:rsidRDefault="00000000">
            <w:pPr>
              <w:pStyle w:val="TableParagraph"/>
              <w:ind w:left="142"/>
              <w:rPr>
                <w:sz w:val="14"/>
              </w:rPr>
            </w:pPr>
            <w:r>
              <w:rPr>
                <w:color w:val="4D4D4F"/>
                <w:w w:val="105"/>
                <w:sz w:val="14"/>
              </w:rPr>
              <w:t>Not assessed</w:t>
            </w:r>
          </w:p>
        </w:tc>
        <w:tc>
          <w:tcPr>
            <w:tcW w:w="2155" w:type="dxa"/>
          </w:tcPr>
          <w:p w14:paraId="02E9F5D4" w14:textId="77777777" w:rsidR="00EF5B27" w:rsidRDefault="00EF5B27">
            <w:pPr>
              <w:pStyle w:val="TableParagraph"/>
              <w:spacing w:before="11"/>
              <w:rPr>
                <w:b/>
                <w:sz w:val="11"/>
              </w:rPr>
            </w:pPr>
          </w:p>
          <w:p w14:paraId="648881A8" w14:textId="77777777" w:rsidR="00EF5B27" w:rsidRDefault="00000000">
            <w:pPr>
              <w:pStyle w:val="TableParagraph"/>
              <w:ind w:left="143" w:right="142"/>
              <w:jc w:val="center"/>
              <w:rPr>
                <w:sz w:val="14"/>
              </w:rPr>
            </w:pPr>
            <w:r>
              <w:rPr>
                <w:color w:val="4D4D4F"/>
                <w:sz w:val="14"/>
              </w:rPr>
              <w:t>Baseline not yet set</w:t>
            </w:r>
          </w:p>
        </w:tc>
        <w:tc>
          <w:tcPr>
            <w:tcW w:w="964" w:type="dxa"/>
          </w:tcPr>
          <w:p w14:paraId="63E2FA59" w14:textId="77777777" w:rsidR="00EF5B27" w:rsidRDefault="00EF5B27">
            <w:pPr>
              <w:pStyle w:val="TableParagraph"/>
              <w:spacing w:before="5"/>
              <w:rPr>
                <w:b/>
                <w:sz w:val="7"/>
              </w:rPr>
            </w:pPr>
          </w:p>
          <w:p w14:paraId="15AB23E4" w14:textId="77777777" w:rsidR="00EF5B27" w:rsidRDefault="00000000">
            <w:pPr>
              <w:pStyle w:val="TableParagraph"/>
              <w:spacing w:line="187" w:lineRule="exact"/>
              <w:ind w:left="400"/>
              <w:rPr>
                <w:sz w:val="18"/>
              </w:rPr>
            </w:pPr>
            <w:r>
              <w:rPr>
                <w:noProof/>
                <w:position w:val="-3"/>
                <w:sz w:val="18"/>
              </w:rPr>
              <w:drawing>
                <wp:inline distT="0" distB="0" distL="0" distR="0" wp14:anchorId="4B53F08B" wp14:editId="6E3FD32B">
                  <wp:extent cx="100572" cy="119062"/>
                  <wp:effectExtent l="0" t="0" r="0" b="0"/>
                  <wp:docPr id="435"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162.png"/>
                          <pic:cNvPicPr/>
                        </pic:nvPicPr>
                        <pic:blipFill>
                          <a:blip r:embed="rId84" cstate="print"/>
                          <a:stretch>
                            <a:fillRect/>
                          </a:stretch>
                        </pic:blipFill>
                        <pic:spPr>
                          <a:xfrm>
                            <a:off x="0" y="0"/>
                            <a:ext cx="100572" cy="119062"/>
                          </a:xfrm>
                          <a:prstGeom prst="rect">
                            <a:avLst/>
                          </a:prstGeom>
                        </pic:spPr>
                      </pic:pic>
                    </a:graphicData>
                  </a:graphic>
                </wp:inline>
              </w:drawing>
            </w:r>
          </w:p>
          <w:p w14:paraId="618CA975" w14:textId="77777777" w:rsidR="00EF5B27" w:rsidRDefault="00EF5B27">
            <w:pPr>
              <w:pStyle w:val="TableParagraph"/>
              <w:spacing w:before="7"/>
              <w:rPr>
                <w:b/>
                <w:sz w:val="2"/>
              </w:rPr>
            </w:pPr>
          </w:p>
          <w:p w14:paraId="6C4DE037" w14:textId="77777777" w:rsidR="00EF5B27" w:rsidRDefault="00000000">
            <w:pPr>
              <w:pStyle w:val="TableParagraph"/>
              <w:spacing w:line="48" w:lineRule="exact"/>
              <w:ind w:left="448"/>
              <w:rPr>
                <w:sz w:val="4"/>
              </w:rPr>
            </w:pPr>
            <w:r>
              <w:rPr>
                <w:sz w:val="4"/>
              </w:rPr>
            </w:r>
            <w:r>
              <w:rPr>
                <w:sz w:val="4"/>
              </w:rPr>
              <w:pict w14:anchorId="6E4DFAC3">
                <v:group id="_x0000_s3284" style="width:2.45pt;height:2.45pt;mso-position-horizontal-relative:char;mso-position-vertical-relative:line" coordsize="49,49">
                  <v:shape id="_x0000_s3285" style="position:absolute;width:49;height:49" coordsize="49,49" path="m31,l18,,12,2,2,12,,17,,31r2,6l12,46r6,3l31,49r6,-3l46,37r3,-6l49,17,46,12,37,2,31,xe" fillcolor="#808285" stroked="f">
                    <v:path arrowok="t"/>
                  </v:shape>
                  <w10:wrap type="none"/>
                  <w10:anchorlock/>
                </v:group>
              </w:pict>
            </w:r>
          </w:p>
        </w:tc>
        <w:tc>
          <w:tcPr>
            <w:tcW w:w="964" w:type="dxa"/>
          </w:tcPr>
          <w:p w14:paraId="029FA1B5" w14:textId="77777777" w:rsidR="00EF5B27" w:rsidRDefault="00EF5B27">
            <w:pPr>
              <w:pStyle w:val="TableParagraph"/>
              <w:spacing w:before="11"/>
              <w:rPr>
                <w:b/>
                <w:sz w:val="11"/>
              </w:rPr>
            </w:pPr>
          </w:p>
          <w:p w14:paraId="410B5CD1" w14:textId="77777777" w:rsidR="00EF5B27" w:rsidRDefault="00000000">
            <w:pPr>
              <w:pStyle w:val="TableParagraph"/>
              <w:ind w:left="318" w:right="323"/>
              <w:jc w:val="center"/>
              <w:rPr>
                <w:sz w:val="14"/>
              </w:rPr>
            </w:pPr>
            <w:r>
              <w:rPr>
                <w:color w:val="4D4D4F"/>
                <w:w w:val="105"/>
                <w:sz w:val="14"/>
              </w:rPr>
              <w:t>N/A</w:t>
            </w:r>
          </w:p>
        </w:tc>
        <w:tc>
          <w:tcPr>
            <w:tcW w:w="1489" w:type="dxa"/>
          </w:tcPr>
          <w:p w14:paraId="6BF4A361" w14:textId="77777777" w:rsidR="00EF5B27" w:rsidRDefault="00000000">
            <w:pPr>
              <w:pStyle w:val="TableParagraph"/>
              <w:spacing w:before="134"/>
              <w:ind w:left="581"/>
              <w:rPr>
                <w:sz w:val="16"/>
              </w:rPr>
            </w:pPr>
            <w:r>
              <w:rPr>
                <w:color w:val="4D4D4F"/>
                <w:sz w:val="16"/>
              </w:rPr>
              <w:t>2026</w:t>
            </w:r>
          </w:p>
        </w:tc>
      </w:tr>
      <w:tr w:rsidR="00EF5B27" w14:paraId="6EEC35A1" w14:textId="77777777">
        <w:trPr>
          <w:trHeight w:val="448"/>
        </w:trPr>
        <w:tc>
          <w:tcPr>
            <w:tcW w:w="2980" w:type="dxa"/>
          </w:tcPr>
          <w:p w14:paraId="043BFF1E" w14:textId="77777777" w:rsidR="00EF5B27" w:rsidRDefault="00EF5B27">
            <w:pPr>
              <w:pStyle w:val="TableParagraph"/>
              <w:spacing w:before="11"/>
              <w:rPr>
                <w:b/>
                <w:sz w:val="11"/>
              </w:rPr>
            </w:pPr>
          </w:p>
          <w:p w14:paraId="0CB6DE4B" w14:textId="77777777" w:rsidR="00EF5B27" w:rsidRDefault="00000000">
            <w:pPr>
              <w:pStyle w:val="TableParagraph"/>
              <w:ind w:left="80"/>
              <w:rPr>
                <w:sz w:val="14"/>
              </w:rPr>
            </w:pPr>
            <w:r>
              <w:rPr>
                <w:color w:val="4D4D4F"/>
                <w:w w:val="105"/>
                <w:sz w:val="14"/>
              </w:rPr>
              <w:t>De-rocked grassland</w:t>
            </w:r>
          </w:p>
        </w:tc>
        <w:tc>
          <w:tcPr>
            <w:tcW w:w="1078" w:type="dxa"/>
          </w:tcPr>
          <w:p w14:paraId="5E7AA628" w14:textId="77777777" w:rsidR="00EF5B27" w:rsidRDefault="00EF5B27">
            <w:pPr>
              <w:pStyle w:val="TableParagraph"/>
              <w:spacing w:before="11"/>
              <w:rPr>
                <w:b/>
                <w:sz w:val="11"/>
              </w:rPr>
            </w:pPr>
          </w:p>
          <w:p w14:paraId="22452E3D" w14:textId="77777777" w:rsidR="00EF5B27" w:rsidRDefault="00000000">
            <w:pPr>
              <w:pStyle w:val="TableParagraph"/>
              <w:ind w:left="142"/>
              <w:rPr>
                <w:sz w:val="14"/>
              </w:rPr>
            </w:pPr>
            <w:r>
              <w:rPr>
                <w:color w:val="4D4D4F"/>
                <w:w w:val="105"/>
                <w:sz w:val="14"/>
              </w:rPr>
              <w:t>Not assessed</w:t>
            </w:r>
          </w:p>
        </w:tc>
        <w:tc>
          <w:tcPr>
            <w:tcW w:w="2155" w:type="dxa"/>
          </w:tcPr>
          <w:p w14:paraId="530BAE9A" w14:textId="77777777" w:rsidR="00EF5B27" w:rsidRDefault="00EF5B27">
            <w:pPr>
              <w:pStyle w:val="TableParagraph"/>
              <w:spacing w:before="11"/>
              <w:rPr>
                <w:b/>
                <w:sz w:val="11"/>
              </w:rPr>
            </w:pPr>
          </w:p>
          <w:p w14:paraId="02363EFD" w14:textId="77777777" w:rsidR="00EF5B27" w:rsidRDefault="00000000">
            <w:pPr>
              <w:pStyle w:val="TableParagraph"/>
              <w:ind w:left="143" w:right="142"/>
              <w:jc w:val="center"/>
              <w:rPr>
                <w:sz w:val="14"/>
              </w:rPr>
            </w:pPr>
            <w:r>
              <w:rPr>
                <w:color w:val="4D4D4F"/>
                <w:sz w:val="14"/>
              </w:rPr>
              <w:t>Baseline not yet set</w:t>
            </w:r>
          </w:p>
        </w:tc>
        <w:tc>
          <w:tcPr>
            <w:tcW w:w="964" w:type="dxa"/>
          </w:tcPr>
          <w:p w14:paraId="761B18BE" w14:textId="77777777" w:rsidR="00EF5B27" w:rsidRDefault="00EF5B27">
            <w:pPr>
              <w:pStyle w:val="TableParagraph"/>
              <w:spacing w:before="4"/>
              <w:rPr>
                <w:b/>
                <w:sz w:val="7"/>
              </w:rPr>
            </w:pPr>
          </w:p>
          <w:p w14:paraId="08913102" w14:textId="77777777" w:rsidR="00EF5B27" w:rsidRDefault="00000000">
            <w:pPr>
              <w:pStyle w:val="TableParagraph"/>
              <w:spacing w:line="187" w:lineRule="exact"/>
              <w:ind w:left="400"/>
              <w:rPr>
                <w:sz w:val="18"/>
              </w:rPr>
            </w:pPr>
            <w:r>
              <w:rPr>
                <w:noProof/>
                <w:position w:val="-3"/>
                <w:sz w:val="18"/>
              </w:rPr>
              <w:drawing>
                <wp:inline distT="0" distB="0" distL="0" distR="0" wp14:anchorId="4099F4F0" wp14:editId="6D567CD1">
                  <wp:extent cx="100572" cy="119062"/>
                  <wp:effectExtent l="0" t="0" r="0" b="0"/>
                  <wp:docPr id="437"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162.png"/>
                          <pic:cNvPicPr/>
                        </pic:nvPicPr>
                        <pic:blipFill>
                          <a:blip r:embed="rId84" cstate="print"/>
                          <a:stretch>
                            <a:fillRect/>
                          </a:stretch>
                        </pic:blipFill>
                        <pic:spPr>
                          <a:xfrm>
                            <a:off x="0" y="0"/>
                            <a:ext cx="100572" cy="119062"/>
                          </a:xfrm>
                          <a:prstGeom prst="rect">
                            <a:avLst/>
                          </a:prstGeom>
                        </pic:spPr>
                      </pic:pic>
                    </a:graphicData>
                  </a:graphic>
                </wp:inline>
              </w:drawing>
            </w:r>
          </w:p>
          <w:p w14:paraId="4511C735" w14:textId="77777777" w:rsidR="00EF5B27" w:rsidRDefault="00EF5B27">
            <w:pPr>
              <w:pStyle w:val="TableParagraph"/>
              <w:spacing w:before="8"/>
              <w:rPr>
                <w:b/>
                <w:sz w:val="2"/>
              </w:rPr>
            </w:pPr>
          </w:p>
          <w:p w14:paraId="56141FE8" w14:textId="77777777" w:rsidR="00EF5B27" w:rsidRDefault="00000000">
            <w:pPr>
              <w:pStyle w:val="TableParagraph"/>
              <w:spacing w:line="48" w:lineRule="exact"/>
              <w:ind w:left="448"/>
              <w:rPr>
                <w:sz w:val="4"/>
              </w:rPr>
            </w:pPr>
            <w:r>
              <w:rPr>
                <w:sz w:val="4"/>
              </w:rPr>
            </w:r>
            <w:r>
              <w:rPr>
                <w:sz w:val="4"/>
              </w:rPr>
              <w:pict w14:anchorId="42F09F26">
                <v:group id="_x0000_s3282" style="width:2.45pt;height:2.45pt;mso-position-horizontal-relative:char;mso-position-vertical-relative:line" coordsize="49,49">
                  <v:shape id="_x0000_s3283" style="position:absolute;width:49;height:49" coordsize="49,49" path="m31,l18,,12,2,2,12,,17,,31r2,6l12,46r6,3l31,49r6,-3l46,37r3,-6l49,17,46,12,37,2,31,xe" fillcolor="#808285" stroked="f">
                    <v:path arrowok="t"/>
                  </v:shape>
                  <w10:wrap type="none"/>
                  <w10:anchorlock/>
                </v:group>
              </w:pict>
            </w:r>
          </w:p>
        </w:tc>
        <w:tc>
          <w:tcPr>
            <w:tcW w:w="964" w:type="dxa"/>
          </w:tcPr>
          <w:p w14:paraId="5D18F773" w14:textId="77777777" w:rsidR="00EF5B27" w:rsidRDefault="00EF5B27">
            <w:pPr>
              <w:pStyle w:val="TableParagraph"/>
              <w:spacing w:before="11"/>
              <w:rPr>
                <w:b/>
                <w:sz w:val="11"/>
              </w:rPr>
            </w:pPr>
          </w:p>
          <w:p w14:paraId="21D9CD66" w14:textId="77777777" w:rsidR="00EF5B27" w:rsidRDefault="00000000">
            <w:pPr>
              <w:pStyle w:val="TableParagraph"/>
              <w:ind w:left="318" w:right="323"/>
              <w:jc w:val="center"/>
              <w:rPr>
                <w:sz w:val="14"/>
              </w:rPr>
            </w:pPr>
            <w:r>
              <w:rPr>
                <w:color w:val="4D4D4F"/>
                <w:w w:val="105"/>
                <w:sz w:val="14"/>
              </w:rPr>
              <w:t>N/A</w:t>
            </w:r>
          </w:p>
        </w:tc>
        <w:tc>
          <w:tcPr>
            <w:tcW w:w="1489" w:type="dxa"/>
          </w:tcPr>
          <w:p w14:paraId="3BA974A2" w14:textId="77777777" w:rsidR="00EF5B27" w:rsidRDefault="00000000">
            <w:pPr>
              <w:pStyle w:val="TableParagraph"/>
              <w:spacing w:before="134"/>
              <w:ind w:left="581"/>
              <w:rPr>
                <w:sz w:val="16"/>
              </w:rPr>
            </w:pPr>
            <w:r>
              <w:rPr>
                <w:color w:val="4D4D4F"/>
                <w:sz w:val="16"/>
              </w:rPr>
              <w:t>2026</w:t>
            </w:r>
          </w:p>
        </w:tc>
      </w:tr>
    </w:tbl>
    <w:p w14:paraId="76D245F7" w14:textId="77777777" w:rsidR="00EF5B27" w:rsidRDefault="00EF5B27">
      <w:pPr>
        <w:rPr>
          <w:sz w:val="16"/>
        </w:rPr>
        <w:sectPr w:rsidR="00EF5B27">
          <w:pgSz w:w="11910" w:h="16840"/>
          <w:pgMar w:top="1080" w:right="1020" w:bottom="860" w:left="1020" w:header="537" w:footer="678" w:gutter="0"/>
          <w:cols w:space="720"/>
        </w:sectPr>
      </w:pPr>
    </w:p>
    <w:p w14:paraId="7BD304E5" w14:textId="77777777" w:rsidR="00EF5B27" w:rsidRDefault="00000000">
      <w:pPr>
        <w:pStyle w:val="BodyText"/>
        <w:rPr>
          <w:b/>
        </w:rPr>
      </w:pPr>
      <w:r>
        <w:lastRenderedPageBreak/>
        <w:pict w14:anchorId="24165191">
          <v:group id="_x0000_s3274" style="position:absolute;margin-left:587.05pt;margin-top:183.4pt;width:8.25pt;height:153.1pt;z-index:251602432;mso-position-horizontal-relative:page;mso-position-vertical-relative:page" coordorigin="11741,3668" coordsize="165,3062">
            <v:shape id="_x0000_s3281" style="position:absolute;left:11741;top:3668;width:165;height:561" coordorigin="11741,3668" coordsize="165,561" path="m11906,3668r-165,l11741,4228r165,-18l11906,3668xe" fillcolor="#00aed9" stroked="f">
              <v:path arrowok="t"/>
            </v:shape>
            <v:shape id="_x0000_s3280" style="position:absolute;left:11741;top:4118;width:165;height:425" coordorigin="11741,4118" coordsize="165,425" path="m11906,4118r-165,14l11741,4531r165,12l11906,4118xe" fillcolor="#047ebc" stroked="f">
              <v:path arrowok="t"/>
            </v:shape>
            <v:shape id="_x0000_s3279" type="#_x0000_t75" style="position:absolute;left:11741;top:4355;width:165;height:587">
              <v:imagedata r:id="rId42" o:title=""/>
            </v:shape>
            <v:shape id="_x0000_s3278" style="position:absolute;left:11741;top:5343;width:165;height:536" coordorigin="11741,5343" coordsize="165,536" path="m11741,5343r,535l11906,5872r,-525l11741,5343xe" fillcolor="#f36a2e" stroked="f">
              <v:path arrowok="t"/>
            </v:shape>
            <v:shape id="_x0000_s3277" style="position:absolute;left:11741;top:4925;width:165;height:501" coordorigin="11741,4926" coordsize="165,501" path="m11741,4926r,500l11906,5426r,-485l11741,4926xe" fillcolor="#49783f" stroked="f">
              <v:path arrowok="t"/>
            </v:shape>
            <v:shape id="_x0000_s3276" style="position:absolute;left:11741;top:5781;width:165;height:268" coordorigin="11741,5782" coordsize="165,268" path="m11906,5782r-165,8l11741,6039r165,10l11906,5782xe" fillcolor="#f99f2a" stroked="f">
              <v:path arrowok="t"/>
            </v:shape>
            <v:shape id="_x0000_s3275" style="position:absolute;left:11741;top:6023;width:165;height:707" coordorigin="11741,6023" coordsize="165,707" path="m11741,6023r,706l11906,6729r,-690l11741,6023xe" fillcolor="#ef412c" stroked="f">
              <v:path arrowok="t"/>
            </v:shape>
            <w10:wrap anchorx="page" anchory="page"/>
          </v:group>
        </w:pict>
      </w:r>
    </w:p>
    <w:p w14:paraId="696FC23F" w14:textId="77777777" w:rsidR="00EF5B27" w:rsidRDefault="00EF5B27">
      <w:pPr>
        <w:pStyle w:val="BodyText"/>
        <w:rPr>
          <w:b/>
        </w:rPr>
      </w:pPr>
    </w:p>
    <w:p w14:paraId="7F7BCADE" w14:textId="77777777" w:rsidR="00EF5B27" w:rsidRDefault="00EF5B27">
      <w:pPr>
        <w:pStyle w:val="BodyText"/>
        <w:rPr>
          <w:b/>
        </w:rPr>
      </w:pPr>
    </w:p>
    <w:p w14:paraId="4B229AA3" w14:textId="77777777" w:rsidR="00EF5B27" w:rsidRDefault="00EF5B27">
      <w:pPr>
        <w:pStyle w:val="BodyText"/>
        <w:spacing w:before="12"/>
        <w:rPr>
          <w:b/>
          <w:sz w:val="22"/>
        </w:rPr>
      </w:pPr>
    </w:p>
    <w:p w14:paraId="09933FF3" w14:textId="77777777" w:rsidR="00EF5B27" w:rsidRDefault="00000000">
      <w:pPr>
        <w:spacing w:before="115"/>
        <w:ind w:left="2608"/>
        <w:rPr>
          <w:b/>
          <w:sz w:val="28"/>
        </w:rPr>
      </w:pPr>
      <w:r>
        <w:rPr>
          <w:b/>
          <w:color w:val="F99F2A"/>
          <w:sz w:val="28"/>
        </w:rPr>
        <w:t>Results interpretation</w:t>
      </w:r>
    </w:p>
    <w:p w14:paraId="710913DB" w14:textId="77777777" w:rsidR="00EF5B27" w:rsidRDefault="00000000">
      <w:pPr>
        <w:pStyle w:val="BodyText"/>
        <w:spacing w:before="221" w:line="254" w:lineRule="auto"/>
        <w:ind w:left="2608" w:right="151"/>
      </w:pPr>
      <w:r>
        <w:rPr>
          <w:color w:val="4D4D4F"/>
        </w:rPr>
        <w:t xml:space="preserve">2021 was the first year of data collection, at a single site. Baselines are not yet set for KPIs </w:t>
      </w:r>
      <w:r>
        <w:rPr>
          <w:color w:val="4D4D4F"/>
          <w:spacing w:val="-5"/>
        </w:rPr>
        <w:t xml:space="preserve">1, </w:t>
      </w:r>
      <w:r>
        <w:rPr>
          <w:color w:val="4D4D4F"/>
        </w:rPr>
        <w:t xml:space="preserve">2, 3, 4 and 7 – these will be set in the fifth year after the commencement of </w:t>
      </w:r>
      <w:r>
        <w:rPr>
          <w:color w:val="4D4D4F"/>
          <w:spacing w:val="-4"/>
        </w:rPr>
        <w:t xml:space="preserve">monitoring. </w:t>
      </w:r>
      <w:r>
        <w:rPr>
          <w:color w:val="4D4D4F"/>
        </w:rPr>
        <w:t xml:space="preserve">For </w:t>
      </w:r>
      <w:r>
        <w:rPr>
          <w:color w:val="4D4D4F"/>
          <w:spacing w:val="-3"/>
        </w:rPr>
        <w:t xml:space="preserve">KPIs </w:t>
      </w:r>
      <w:r>
        <w:rPr>
          <w:color w:val="4D4D4F"/>
        </w:rPr>
        <w:t xml:space="preserve">5 </w:t>
      </w:r>
      <w:r>
        <w:rPr>
          <w:color w:val="4D4D4F"/>
          <w:spacing w:val="-3"/>
        </w:rPr>
        <w:t xml:space="preserve">and </w:t>
      </w:r>
      <w:r>
        <w:rPr>
          <w:color w:val="4D4D4F"/>
        </w:rPr>
        <w:t xml:space="preserve">6, </w:t>
      </w:r>
      <w:r>
        <w:rPr>
          <w:color w:val="4D4D4F"/>
          <w:spacing w:val="-4"/>
        </w:rPr>
        <w:t xml:space="preserve">results </w:t>
      </w:r>
      <w:r>
        <w:rPr>
          <w:color w:val="4D4D4F"/>
          <w:spacing w:val="-3"/>
        </w:rPr>
        <w:t xml:space="preserve">data </w:t>
      </w:r>
      <w:r>
        <w:rPr>
          <w:color w:val="4D4D4F"/>
        </w:rPr>
        <w:t xml:space="preserve">were </w:t>
      </w:r>
      <w:r>
        <w:rPr>
          <w:color w:val="4D4D4F"/>
          <w:spacing w:val="-3"/>
        </w:rPr>
        <w:t xml:space="preserve">not provided. </w:t>
      </w:r>
      <w:r>
        <w:rPr>
          <w:color w:val="4D4D4F"/>
        </w:rPr>
        <w:t xml:space="preserve">No </w:t>
      </w:r>
      <w:r>
        <w:rPr>
          <w:color w:val="4D4D4F"/>
          <w:spacing w:val="-3"/>
        </w:rPr>
        <w:t xml:space="preserve">trends </w:t>
      </w:r>
      <w:r>
        <w:rPr>
          <w:color w:val="4D4D4F"/>
        </w:rPr>
        <w:t xml:space="preserve">are </w:t>
      </w:r>
      <w:r>
        <w:rPr>
          <w:color w:val="4D4D4F"/>
          <w:spacing w:val="-3"/>
        </w:rPr>
        <w:t>apparent yet.</w:t>
      </w:r>
    </w:p>
    <w:p w14:paraId="044BBCD0" w14:textId="77777777" w:rsidR="00EF5B27" w:rsidRDefault="00000000">
      <w:pPr>
        <w:pStyle w:val="Heading3"/>
        <w:spacing w:before="121"/>
      </w:pPr>
      <w:r>
        <w:rPr>
          <w:color w:val="F99F2A"/>
        </w:rPr>
        <w:t>Key insights and management implications</w:t>
      </w:r>
    </w:p>
    <w:p w14:paraId="68971B9A" w14:textId="77777777" w:rsidR="00EF5B27" w:rsidRDefault="00000000">
      <w:pPr>
        <w:pStyle w:val="BodyText"/>
        <w:spacing w:before="108" w:line="254" w:lineRule="auto"/>
        <w:ind w:left="2608" w:right="197"/>
      </w:pPr>
      <w:r>
        <w:rPr>
          <w:color w:val="4D4D4F"/>
        </w:rPr>
        <w:t xml:space="preserve">As 2021 was the first year under the MSA program that Grassy Eucalypt have been protected and was the first year that this community was able to be monitored, there </w:t>
      </w:r>
      <w:r>
        <w:rPr>
          <w:color w:val="4D4D4F"/>
          <w:spacing w:val="-3"/>
        </w:rPr>
        <w:t>is</w:t>
      </w:r>
      <w:r>
        <w:rPr>
          <w:color w:val="4D4D4F"/>
          <w:spacing w:val="6"/>
        </w:rPr>
        <w:t xml:space="preserve"> </w:t>
      </w:r>
      <w:r>
        <w:rPr>
          <w:color w:val="4D4D4F"/>
          <w:spacing w:val="-3"/>
        </w:rPr>
        <w:t>not</w:t>
      </w:r>
      <w:r>
        <w:rPr>
          <w:color w:val="4D4D4F"/>
          <w:spacing w:val="7"/>
        </w:rPr>
        <w:t xml:space="preserve"> </w:t>
      </w:r>
      <w:r>
        <w:rPr>
          <w:color w:val="4D4D4F"/>
          <w:spacing w:val="-3"/>
        </w:rPr>
        <w:t>enough</w:t>
      </w:r>
      <w:r>
        <w:rPr>
          <w:color w:val="4D4D4F"/>
          <w:spacing w:val="6"/>
        </w:rPr>
        <w:t xml:space="preserve"> </w:t>
      </w:r>
      <w:r>
        <w:rPr>
          <w:color w:val="4D4D4F"/>
          <w:spacing w:val="-3"/>
        </w:rPr>
        <w:t>data</w:t>
      </w:r>
      <w:r>
        <w:rPr>
          <w:color w:val="4D4D4F"/>
          <w:spacing w:val="7"/>
        </w:rPr>
        <w:t xml:space="preserve"> </w:t>
      </w:r>
      <w:r>
        <w:rPr>
          <w:color w:val="4D4D4F"/>
          <w:spacing w:val="-3"/>
        </w:rPr>
        <w:t>to</w:t>
      </w:r>
      <w:r>
        <w:rPr>
          <w:color w:val="4D4D4F"/>
          <w:spacing w:val="6"/>
        </w:rPr>
        <w:t xml:space="preserve"> </w:t>
      </w:r>
      <w:r>
        <w:rPr>
          <w:color w:val="4D4D4F"/>
          <w:spacing w:val="-4"/>
        </w:rPr>
        <w:t>establish</w:t>
      </w:r>
      <w:r>
        <w:rPr>
          <w:color w:val="4D4D4F"/>
          <w:spacing w:val="7"/>
        </w:rPr>
        <w:t xml:space="preserve"> </w:t>
      </w:r>
      <w:r>
        <w:rPr>
          <w:color w:val="4D4D4F"/>
        </w:rPr>
        <w:t>a</w:t>
      </w:r>
      <w:r>
        <w:rPr>
          <w:color w:val="4D4D4F"/>
          <w:spacing w:val="6"/>
        </w:rPr>
        <w:t xml:space="preserve"> </w:t>
      </w:r>
      <w:r>
        <w:rPr>
          <w:color w:val="4D4D4F"/>
          <w:spacing w:val="-4"/>
        </w:rPr>
        <w:t>baseline</w:t>
      </w:r>
      <w:r>
        <w:rPr>
          <w:color w:val="4D4D4F"/>
          <w:spacing w:val="7"/>
        </w:rPr>
        <w:t xml:space="preserve"> </w:t>
      </w:r>
      <w:r>
        <w:rPr>
          <w:color w:val="4D4D4F"/>
          <w:spacing w:val="-3"/>
        </w:rPr>
        <w:t>measure</w:t>
      </w:r>
      <w:r>
        <w:rPr>
          <w:color w:val="4D4D4F"/>
          <w:spacing w:val="7"/>
        </w:rPr>
        <w:t xml:space="preserve"> </w:t>
      </w:r>
      <w:r>
        <w:rPr>
          <w:color w:val="4D4D4F"/>
          <w:spacing w:val="-3"/>
        </w:rPr>
        <w:t>to</w:t>
      </w:r>
      <w:r>
        <w:rPr>
          <w:color w:val="4D4D4F"/>
          <w:spacing w:val="6"/>
        </w:rPr>
        <w:t xml:space="preserve"> </w:t>
      </w:r>
      <w:r>
        <w:rPr>
          <w:color w:val="4D4D4F"/>
        </w:rPr>
        <w:t>report</w:t>
      </w:r>
      <w:r>
        <w:rPr>
          <w:color w:val="4D4D4F"/>
          <w:spacing w:val="7"/>
        </w:rPr>
        <w:t xml:space="preserve"> </w:t>
      </w:r>
      <w:r>
        <w:rPr>
          <w:color w:val="4D4D4F"/>
          <w:spacing w:val="-4"/>
        </w:rPr>
        <w:t>against</w:t>
      </w:r>
      <w:r>
        <w:rPr>
          <w:color w:val="4D4D4F"/>
          <w:spacing w:val="6"/>
        </w:rPr>
        <w:t xml:space="preserve"> </w:t>
      </w:r>
      <w:r>
        <w:rPr>
          <w:color w:val="4D4D4F"/>
          <w:spacing w:val="-3"/>
        </w:rPr>
        <w:t>the</w:t>
      </w:r>
      <w:r>
        <w:rPr>
          <w:color w:val="4D4D4F"/>
          <w:spacing w:val="7"/>
        </w:rPr>
        <w:t xml:space="preserve"> </w:t>
      </w:r>
      <w:r>
        <w:rPr>
          <w:color w:val="4D4D4F"/>
          <w:spacing w:val="-4"/>
        </w:rPr>
        <w:t>associated</w:t>
      </w:r>
      <w:r>
        <w:rPr>
          <w:color w:val="4D4D4F"/>
          <w:spacing w:val="6"/>
        </w:rPr>
        <w:t xml:space="preserve"> </w:t>
      </w:r>
      <w:r>
        <w:rPr>
          <w:color w:val="4D4D4F"/>
          <w:spacing w:val="-3"/>
        </w:rPr>
        <w:t>KPIs.</w:t>
      </w:r>
    </w:p>
    <w:p w14:paraId="080ACAF3" w14:textId="77777777" w:rsidR="00EF5B27" w:rsidRDefault="00000000">
      <w:pPr>
        <w:spacing w:before="117" w:line="254" w:lineRule="auto"/>
        <w:ind w:left="2608" w:right="127"/>
        <w:rPr>
          <w:sz w:val="20"/>
        </w:rPr>
      </w:pPr>
      <w:r>
        <w:rPr>
          <w:color w:val="4D4D4F"/>
          <w:w w:val="105"/>
          <w:sz w:val="20"/>
        </w:rPr>
        <w:t>DELWP</w:t>
      </w:r>
      <w:r>
        <w:rPr>
          <w:color w:val="4D4D4F"/>
          <w:spacing w:val="-22"/>
          <w:w w:val="105"/>
          <w:sz w:val="20"/>
        </w:rPr>
        <w:t xml:space="preserve"> </w:t>
      </w:r>
      <w:r>
        <w:rPr>
          <w:color w:val="4D4D4F"/>
          <w:w w:val="105"/>
          <w:sz w:val="20"/>
        </w:rPr>
        <w:t>has</w:t>
      </w:r>
      <w:r>
        <w:rPr>
          <w:color w:val="4D4D4F"/>
          <w:spacing w:val="-22"/>
          <w:w w:val="105"/>
          <w:sz w:val="20"/>
        </w:rPr>
        <w:t xml:space="preserve"> </w:t>
      </w:r>
      <w:r>
        <w:rPr>
          <w:color w:val="4D4D4F"/>
          <w:w w:val="105"/>
          <w:sz w:val="20"/>
        </w:rPr>
        <w:t>undertaken</w:t>
      </w:r>
      <w:r>
        <w:rPr>
          <w:color w:val="4D4D4F"/>
          <w:spacing w:val="-22"/>
          <w:w w:val="105"/>
          <w:sz w:val="20"/>
        </w:rPr>
        <w:t xml:space="preserve"> </w:t>
      </w:r>
      <w:r>
        <w:rPr>
          <w:color w:val="4D4D4F"/>
          <w:w w:val="105"/>
          <w:sz w:val="20"/>
        </w:rPr>
        <w:t>some</w:t>
      </w:r>
      <w:r>
        <w:rPr>
          <w:color w:val="4D4D4F"/>
          <w:spacing w:val="-21"/>
          <w:w w:val="105"/>
          <w:sz w:val="20"/>
        </w:rPr>
        <w:t xml:space="preserve"> </w:t>
      </w:r>
      <w:r>
        <w:rPr>
          <w:color w:val="4D4D4F"/>
          <w:w w:val="105"/>
          <w:sz w:val="20"/>
        </w:rPr>
        <w:t>encouraging</w:t>
      </w:r>
      <w:r>
        <w:rPr>
          <w:color w:val="4D4D4F"/>
          <w:spacing w:val="-22"/>
          <w:w w:val="105"/>
          <w:sz w:val="20"/>
        </w:rPr>
        <w:t xml:space="preserve"> </w:t>
      </w:r>
      <w:r>
        <w:rPr>
          <w:color w:val="4D4D4F"/>
          <w:w w:val="105"/>
          <w:sz w:val="20"/>
        </w:rPr>
        <w:t>recent</w:t>
      </w:r>
      <w:r>
        <w:rPr>
          <w:color w:val="4D4D4F"/>
          <w:spacing w:val="-22"/>
          <w:w w:val="105"/>
          <w:sz w:val="20"/>
        </w:rPr>
        <w:t xml:space="preserve"> </w:t>
      </w:r>
      <w:r>
        <w:rPr>
          <w:color w:val="4D4D4F"/>
          <w:w w:val="105"/>
          <w:sz w:val="20"/>
        </w:rPr>
        <w:t>work</w:t>
      </w:r>
      <w:r>
        <w:rPr>
          <w:color w:val="4D4D4F"/>
          <w:spacing w:val="-21"/>
          <w:w w:val="105"/>
          <w:sz w:val="20"/>
        </w:rPr>
        <w:t xml:space="preserve"> </w:t>
      </w:r>
      <w:r>
        <w:rPr>
          <w:color w:val="4D4D4F"/>
          <w:w w:val="105"/>
          <w:sz w:val="20"/>
        </w:rPr>
        <w:t>in</w:t>
      </w:r>
      <w:r>
        <w:rPr>
          <w:color w:val="4D4D4F"/>
          <w:spacing w:val="-22"/>
          <w:w w:val="105"/>
          <w:sz w:val="20"/>
        </w:rPr>
        <w:t xml:space="preserve"> </w:t>
      </w:r>
      <w:r>
        <w:rPr>
          <w:color w:val="4D4D4F"/>
          <w:w w:val="105"/>
          <w:sz w:val="20"/>
        </w:rPr>
        <w:t>partnership</w:t>
      </w:r>
      <w:r>
        <w:rPr>
          <w:color w:val="4D4D4F"/>
          <w:spacing w:val="-22"/>
          <w:w w:val="105"/>
          <w:sz w:val="20"/>
        </w:rPr>
        <w:t xml:space="preserve"> </w:t>
      </w:r>
      <w:r>
        <w:rPr>
          <w:color w:val="4D4D4F"/>
          <w:w w:val="105"/>
          <w:sz w:val="20"/>
        </w:rPr>
        <w:t>with</w:t>
      </w:r>
      <w:r>
        <w:rPr>
          <w:color w:val="4D4D4F"/>
          <w:spacing w:val="-22"/>
          <w:w w:val="105"/>
          <w:sz w:val="20"/>
        </w:rPr>
        <w:t xml:space="preserve"> </w:t>
      </w:r>
      <w:r>
        <w:rPr>
          <w:color w:val="4D4D4F"/>
          <w:w w:val="105"/>
          <w:sz w:val="20"/>
        </w:rPr>
        <w:t xml:space="preserve">Traditional Owners; the </w:t>
      </w:r>
      <w:r>
        <w:rPr>
          <w:rFonts w:ascii="Arial Narrow"/>
          <w:i/>
          <w:color w:val="4D4D4F"/>
          <w:spacing w:val="-3"/>
          <w:w w:val="105"/>
          <w:sz w:val="20"/>
        </w:rPr>
        <w:t xml:space="preserve">Strategy  </w:t>
      </w:r>
      <w:r>
        <w:rPr>
          <w:rFonts w:ascii="Arial Narrow"/>
          <w:i/>
          <w:color w:val="4D4D4F"/>
          <w:w w:val="105"/>
          <w:sz w:val="20"/>
        </w:rPr>
        <w:t xml:space="preserve">for  </w:t>
      </w:r>
      <w:r>
        <w:rPr>
          <w:rFonts w:ascii="Arial Narrow"/>
          <w:i/>
          <w:color w:val="4D4D4F"/>
          <w:spacing w:val="-3"/>
          <w:w w:val="105"/>
          <w:sz w:val="20"/>
        </w:rPr>
        <w:t xml:space="preserve">establishing  </w:t>
      </w:r>
      <w:r>
        <w:rPr>
          <w:rFonts w:ascii="Arial Narrow"/>
          <w:i/>
          <w:color w:val="4D4D4F"/>
          <w:w w:val="105"/>
          <w:sz w:val="20"/>
        </w:rPr>
        <w:t xml:space="preserve">a  </w:t>
      </w:r>
      <w:r>
        <w:rPr>
          <w:rFonts w:ascii="Arial Narrow"/>
          <w:i/>
          <w:color w:val="4D4D4F"/>
          <w:spacing w:val="-3"/>
          <w:w w:val="105"/>
          <w:sz w:val="20"/>
        </w:rPr>
        <w:t xml:space="preserve">Grassy  </w:t>
      </w:r>
      <w:r>
        <w:rPr>
          <w:rFonts w:ascii="Arial Narrow"/>
          <w:i/>
          <w:color w:val="4D4D4F"/>
          <w:spacing w:val="-4"/>
          <w:w w:val="105"/>
          <w:sz w:val="20"/>
        </w:rPr>
        <w:t xml:space="preserve">Eucalypt  </w:t>
      </w:r>
      <w:r>
        <w:rPr>
          <w:rFonts w:ascii="Arial Narrow"/>
          <w:i/>
          <w:color w:val="4D4D4F"/>
          <w:w w:val="105"/>
          <w:sz w:val="20"/>
        </w:rPr>
        <w:t xml:space="preserve">Woodland  </w:t>
      </w:r>
      <w:r>
        <w:rPr>
          <w:rFonts w:ascii="Arial Narrow"/>
          <w:i/>
          <w:color w:val="4D4D4F"/>
          <w:spacing w:val="-3"/>
          <w:w w:val="105"/>
          <w:sz w:val="20"/>
        </w:rPr>
        <w:t xml:space="preserve">Protected  </w:t>
      </w:r>
      <w:r>
        <w:rPr>
          <w:rFonts w:ascii="Arial Narrow"/>
          <w:i/>
          <w:color w:val="4D4D4F"/>
          <w:w w:val="105"/>
          <w:sz w:val="20"/>
        </w:rPr>
        <w:t>Area</w:t>
      </w:r>
      <w:r>
        <w:rPr>
          <w:color w:val="4D4D4F"/>
          <w:w w:val="105"/>
          <w:position w:val="7"/>
          <w:sz w:val="11"/>
        </w:rPr>
        <w:t>150</w:t>
      </w:r>
      <w:r>
        <w:rPr>
          <w:color w:val="4D4D4F"/>
          <w:w w:val="105"/>
          <w:sz w:val="11"/>
        </w:rPr>
        <w:t xml:space="preserve"> </w:t>
      </w:r>
      <w:r>
        <w:rPr>
          <w:color w:val="4D4D4F"/>
          <w:w w:val="105"/>
          <w:sz w:val="20"/>
        </w:rPr>
        <w:t>was</w:t>
      </w:r>
      <w:r>
        <w:rPr>
          <w:color w:val="4D4D4F"/>
          <w:spacing w:val="-13"/>
          <w:w w:val="105"/>
          <w:sz w:val="20"/>
        </w:rPr>
        <w:t xml:space="preserve"> </w:t>
      </w:r>
      <w:r>
        <w:rPr>
          <w:color w:val="4D4D4F"/>
          <w:w w:val="105"/>
          <w:sz w:val="20"/>
        </w:rPr>
        <w:t>released</w:t>
      </w:r>
      <w:r>
        <w:rPr>
          <w:color w:val="4D4D4F"/>
          <w:spacing w:val="-13"/>
          <w:w w:val="105"/>
          <w:sz w:val="20"/>
        </w:rPr>
        <w:t xml:space="preserve"> </w:t>
      </w:r>
      <w:r>
        <w:rPr>
          <w:color w:val="4D4D4F"/>
          <w:w w:val="105"/>
          <w:sz w:val="20"/>
        </w:rPr>
        <w:t>by</w:t>
      </w:r>
      <w:r>
        <w:rPr>
          <w:color w:val="4D4D4F"/>
          <w:spacing w:val="-13"/>
          <w:w w:val="105"/>
          <w:sz w:val="20"/>
        </w:rPr>
        <w:t xml:space="preserve"> </w:t>
      </w:r>
      <w:r>
        <w:rPr>
          <w:color w:val="4D4D4F"/>
          <w:w w:val="105"/>
          <w:sz w:val="20"/>
        </w:rPr>
        <w:t>DELWP</w:t>
      </w:r>
      <w:r>
        <w:rPr>
          <w:color w:val="4D4D4F"/>
          <w:spacing w:val="-13"/>
          <w:w w:val="105"/>
          <w:sz w:val="20"/>
        </w:rPr>
        <w:t xml:space="preserve"> </w:t>
      </w:r>
      <w:r>
        <w:rPr>
          <w:color w:val="4D4D4F"/>
          <w:w w:val="105"/>
          <w:sz w:val="20"/>
        </w:rPr>
        <w:t>in</w:t>
      </w:r>
      <w:r>
        <w:rPr>
          <w:color w:val="4D4D4F"/>
          <w:spacing w:val="-13"/>
          <w:w w:val="105"/>
          <w:sz w:val="20"/>
        </w:rPr>
        <w:t xml:space="preserve"> </w:t>
      </w:r>
      <w:r>
        <w:rPr>
          <w:color w:val="4D4D4F"/>
          <w:w w:val="105"/>
          <w:sz w:val="20"/>
        </w:rPr>
        <w:t>June</w:t>
      </w:r>
      <w:r>
        <w:rPr>
          <w:color w:val="4D4D4F"/>
          <w:spacing w:val="-13"/>
          <w:w w:val="105"/>
          <w:sz w:val="20"/>
        </w:rPr>
        <w:t xml:space="preserve"> </w:t>
      </w:r>
      <w:r>
        <w:rPr>
          <w:color w:val="4D4D4F"/>
          <w:spacing w:val="-3"/>
          <w:w w:val="105"/>
          <w:sz w:val="20"/>
        </w:rPr>
        <w:t>2021,</w:t>
      </w:r>
      <w:r>
        <w:rPr>
          <w:color w:val="4D4D4F"/>
          <w:spacing w:val="-12"/>
          <w:w w:val="105"/>
          <w:sz w:val="20"/>
        </w:rPr>
        <w:t xml:space="preserve"> </w:t>
      </w:r>
      <w:r>
        <w:rPr>
          <w:color w:val="4D4D4F"/>
          <w:w w:val="105"/>
          <w:sz w:val="20"/>
        </w:rPr>
        <w:t>which</w:t>
      </w:r>
      <w:r>
        <w:rPr>
          <w:color w:val="4D4D4F"/>
          <w:spacing w:val="-13"/>
          <w:w w:val="105"/>
          <w:sz w:val="20"/>
        </w:rPr>
        <w:t xml:space="preserve"> </w:t>
      </w:r>
      <w:r>
        <w:rPr>
          <w:color w:val="4D4D4F"/>
          <w:w w:val="105"/>
          <w:sz w:val="20"/>
        </w:rPr>
        <w:t>outlines</w:t>
      </w:r>
      <w:r>
        <w:rPr>
          <w:color w:val="4D4D4F"/>
          <w:spacing w:val="-13"/>
          <w:w w:val="105"/>
          <w:sz w:val="20"/>
        </w:rPr>
        <w:t xml:space="preserve"> </w:t>
      </w:r>
      <w:r>
        <w:rPr>
          <w:color w:val="4D4D4F"/>
          <w:w w:val="105"/>
          <w:sz w:val="20"/>
        </w:rPr>
        <w:t>an</w:t>
      </w:r>
      <w:r>
        <w:rPr>
          <w:color w:val="4D4D4F"/>
          <w:spacing w:val="-13"/>
          <w:w w:val="105"/>
          <w:sz w:val="20"/>
        </w:rPr>
        <w:t xml:space="preserve"> </w:t>
      </w:r>
      <w:r>
        <w:rPr>
          <w:color w:val="4D4D4F"/>
          <w:w w:val="105"/>
          <w:sz w:val="20"/>
        </w:rPr>
        <w:t>approach</w:t>
      </w:r>
      <w:r>
        <w:rPr>
          <w:color w:val="4D4D4F"/>
          <w:spacing w:val="-13"/>
          <w:w w:val="105"/>
          <w:sz w:val="20"/>
        </w:rPr>
        <w:t xml:space="preserve"> </w:t>
      </w:r>
      <w:r>
        <w:rPr>
          <w:color w:val="4D4D4F"/>
          <w:w w:val="105"/>
          <w:sz w:val="20"/>
        </w:rPr>
        <w:t>to</w:t>
      </w:r>
      <w:r>
        <w:rPr>
          <w:color w:val="4D4D4F"/>
          <w:spacing w:val="-13"/>
          <w:w w:val="105"/>
          <w:sz w:val="20"/>
        </w:rPr>
        <w:t xml:space="preserve"> </w:t>
      </w:r>
      <w:r>
        <w:rPr>
          <w:color w:val="4D4D4F"/>
          <w:w w:val="105"/>
          <w:sz w:val="20"/>
        </w:rPr>
        <w:t>the</w:t>
      </w:r>
      <w:r>
        <w:rPr>
          <w:color w:val="4D4D4F"/>
          <w:spacing w:val="-12"/>
          <w:w w:val="105"/>
          <w:sz w:val="20"/>
        </w:rPr>
        <w:t xml:space="preserve"> </w:t>
      </w:r>
      <w:r>
        <w:rPr>
          <w:color w:val="4D4D4F"/>
          <w:w w:val="105"/>
          <w:sz w:val="20"/>
        </w:rPr>
        <w:t>protection</w:t>
      </w:r>
    </w:p>
    <w:p w14:paraId="21188440" w14:textId="77777777" w:rsidR="00EF5B27" w:rsidRDefault="00000000">
      <w:pPr>
        <w:pStyle w:val="BodyText"/>
        <w:spacing w:before="4" w:line="254" w:lineRule="auto"/>
        <w:ind w:left="2608" w:right="112"/>
      </w:pPr>
      <w:r>
        <w:rPr>
          <w:color w:val="4D4D4F"/>
        </w:rPr>
        <w:t xml:space="preserve">of this area with the help of </w:t>
      </w:r>
      <w:r>
        <w:rPr>
          <w:color w:val="4D4D4F"/>
          <w:spacing w:val="-3"/>
        </w:rPr>
        <w:t xml:space="preserve">Trust </w:t>
      </w:r>
      <w:r>
        <w:rPr>
          <w:color w:val="4D4D4F"/>
        </w:rPr>
        <w:t xml:space="preserve">for Nature, Hume City Council and informed by Traditional Owner knowledge and values. The strategy details high-level objectives for management that were co-developed with Traditional Owners. DELWP applied a multi- tenure approach to land protection through either Crown land reserves or negotiated on-title land management agreements on private land. A 4.9-ha reserve containing Grassy </w:t>
      </w:r>
      <w:r>
        <w:rPr>
          <w:color w:val="4D4D4F"/>
          <w:spacing w:val="-4"/>
        </w:rPr>
        <w:t xml:space="preserve">Eucalypt </w:t>
      </w:r>
      <w:r>
        <w:rPr>
          <w:color w:val="4D4D4F"/>
          <w:spacing w:val="-3"/>
        </w:rPr>
        <w:t xml:space="preserve">Woodland </w:t>
      </w:r>
      <w:r>
        <w:rPr>
          <w:color w:val="4D4D4F"/>
          <w:spacing w:val="-2"/>
        </w:rPr>
        <w:t xml:space="preserve">was </w:t>
      </w:r>
      <w:r>
        <w:rPr>
          <w:color w:val="4D4D4F"/>
          <w:spacing w:val="-3"/>
        </w:rPr>
        <w:t xml:space="preserve">secured in 2021 and </w:t>
      </w:r>
      <w:r>
        <w:rPr>
          <w:color w:val="4D4D4F"/>
          <w:spacing w:val="-4"/>
        </w:rPr>
        <w:t xml:space="preserve">monitoring </w:t>
      </w:r>
      <w:r>
        <w:rPr>
          <w:color w:val="4D4D4F"/>
          <w:spacing w:val="-3"/>
        </w:rPr>
        <w:t xml:space="preserve">has </w:t>
      </w:r>
      <w:r>
        <w:rPr>
          <w:color w:val="4D4D4F"/>
        </w:rPr>
        <w:t xml:space="preserve">now </w:t>
      </w:r>
      <w:r>
        <w:rPr>
          <w:color w:val="4D4D4F"/>
          <w:spacing w:val="-3"/>
        </w:rPr>
        <w:t xml:space="preserve">commenced in </w:t>
      </w:r>
      <w:r>
        <w:rPr>
          <w:color w:val="4D4D4F"/>
          <w:spacing w:val="-4"/>
        </w:rPr>
        <w:t xml:space="preserve">this </w:t>
      </w:r>
      <w:r>
        <w:rPr>
          <w:color w:val="4D4D4F"/>
          <w:spacing w:val="-3"/>
        </w:rPr>
        <w:t xml:space="preserve">area. However </w:t>
      </w:r>
      <w:r>
        <w:rPr>
          <w:color w:val="4D4D4F"/>
          <w:spacing w:val="-5"/>
        </w:rPr>
        <w:t xml:space="preserve">Traditional </w:t>
      </w:r>
      <w:r>
        <w:rPr>
          <w:color w:val="4D4D4F"/>
        </w:rPr>
        <w:t xml:space="preserve">Owners were </w:t>
      </w:r>
      <w:r>
        <w:rPr>
          <w:color w:val="4D4D4F"/>
          <w:spacing w:val="-3"/>
        </w:rPr>
        <w:t xml:space="preserve">not </w:t>
      </w:r>
      <w:r>
        <w:rPr>
          <w:color w:val="4D4D4F"/>
          <w:spacing w:val="-4"/>
        </w:rPr>
        <w:t xml:space="preserve">included </w:t>
      </w:r>
      <w:r>
        <w:rPr>
          <w:color w:val="4D4D4F"/>
          <w:spacing w:val="-3"/>
        </w:rPr>
        <w:t xml:space="preserve">in the </w:t>
      </w:r>
      <w:r>
        <w:rPr>
          <w:color w:val="4D4D4F"/>
          <w:spacing w:val="-4"/>
        </w:rPr>
        <w:t xml:space="preserve">design </w:t>
      </w:r>
      <w:r>
        <w:rPr>
          <w:color w:val="4D4D4F"/>
        </w:rPr>
        <w:t xml:space="preserve">of </w:t>
      </w:r>
      <w:r>
        <w:rPr>
          <w:color w:val="4D4D4F"/>
          <w:spacing w:val="-4"/>
        </w:rPr>
        <w:t xml:space="preserve">associated </w:t>
      </w:r>
      <w:r>
        <w:rPr>
          <w:color w:val="4D4D4F"/>
          <w:spacing w:val="-3"/>
        </w:rPr>
        <w:t>KPIs.</w:t>
      </w:r>
    </w:p>
    <w:p w14:paraId="44965907" w14:textId="77777777" w:rsidR="00EF5B27" w:rsidRDefault="00000000">
      <w:pPr>
        <w:pStyle w:val="BodyText"/>
        <w:spacing w:before="122" w:line="254" w:lineRule="auto"/>
        <w:ind w:left="2608" w:right="151"/>
      </w:pPr>
      <w:r>
        <w:rPr>
          <w:color w:val="4D4D4F"/>
        </w:rPr>
        <w:t>As for Natural Temperate Grassland, it is possible that KPIs for Grassy Eucalypt Woodland could be organised by management unit as well as by states (i.e. stratify results by parcel of land). State monitoring may highlight variation in the different land use histories, while monitoring by parcel may reveal information on the efficacy of</w:t>
      </w:r>
    </w:p>
    <w:p w14:paraId="56E229D9" w14:textId="77777777" w:rsidR="00EF5B27" w:rsidRDefault="00000000">
      <w:pPr>
        <w:pStyle w:val="BodyText"/>
        <w:spacing w:before="4" w:line="254" w:lineRule="auto"/>
        <w:ind w:left="2608" w:right="308"/>
      </w:pPr>
      <w:r>
        <w:rPr>
          <w:color w:val="4D4D4F"/>
        </w:rPr>
        <w:t>and management regimes across the landscape. Time since acquisition would seem an important variable, as this is the period within which DELWP has had the ability to have any direct management impact. This gets lost in DELWP’s attempt to dampen the effect of the addition of new properties. It would be good to be able to explore variation in grassland condition as a function of time since acquisition. This may help to inform a clearer picture of whether interim management actions are required or have been effective if</w:t>
      </w:r>
      <w:r>
        <w:rPr>
          <w:color w:val="4D4D4F"/>
          <w:spacing w:val="14"/>
        </w:rPr>
        <w:t xml:space="preserve"> </w:t>
      </w:r>
      <w:r>
        <w:rPr>
          <w:color w:val="4D4D4F"/>
        </w:rPr>
        <w:t>applied.</w:t>
      </w:r>
    </w:p>
    <w:p w14:paraId="3D6C4E89" w14:textId="77777777" w:rsidR="00EF5B27" w:rsidRDefault="00000000">
      <w:pPr>
        <w:pStyle w:val="BodyText"/>
        <w:spacing w:before="122" w:line="254" w:lineRule="auto"/>
        <w:ind w:left="2608" w:right="151"/>
      </w:pPr>
      <w:r>
        <w:rPr>
          <w:color w:val="4D4D4F"/>
        </w:rPr>
        <w:t>Further (and as for all MNES monitored under the MSA program), the introduction of counterfactual controls in the form of monitored areas on private land – outside the MSA sphere of influence – in conjunction with data from remote sensing across all tenures would improve an understanding of the efficacy of interim land management.</w:t>
      </w:r>
    </w:p>
    <w:p w14:paraId="7F0DBC67" w14:textId="77777777" w:rsidR="00EF5B27" w:rsidRDefault="00EF5B27">
      <w:pPr>
        <w:pStyle w:val="BodyText"/>
      </w:pPr>
    </w:p>
    <w:p w14:paraId="4D01A511" w14:textId="77777777" w:rsidR="00EF5B27" w:rsidRDefault="00EF5B27">
      <w:pPr>
        <w:pStyle w:val="BodyText"/>
      </w:pPr>
    </w:p>
    <w:p w14:paraId="53265B82" w14:textId="77777777" w:rsidR="00EF5B27" w:rsidRDefault="00EF5B27">
      <w:pPr>
        <w:pStyle w:val="BodyText"/>
      </w:pPr>
    </w:p>
    <w:p w14:paraId="01917E5F" w14:textId="77777777" w:rsidR="00EF5B27" w:rsidRDefault="00EF5B27">
      <w:pPr>
        <w:pStyle w:val="BodyText"/>
      </w:pPr>
    </w:p>
    <w:p w14:paraId="45A9A474" w14:textId="77777777" w:rsidR="00EF5B27" w:rsidRDefault="00EF5B27">
      <w:pPr>
        <w:pStyle w:val="BodyText"/>
      </w:pPr>
    </w:p>
    <w:p w14:paraId="1816DAD9" w14:textId="77777777" w:rsidR="00EF5B27" w:rsidRDefault="00EF5B27">
      <w:pPr>
        <w:pStyle w:val="BodyText"/>
      </w:pPr>
    </w:p>
    <w:p w14:paraId="3FD67A91" w14:textId="77777777" w:rsidR="00EF5B27" w:rsidRDefault="00EF5B27">
      <w:pPr>
        <w:pStyle w:val="BodyText"/>
      </w:pPr>
    </w:p>
    <w:p w14:paraId="2228EE4F" w14:textId="77777777" w:rsidR="00EF5B27" w:rsidRDefault="00EF5B27">
      <w:pPr>
        <w:pStyle w:val="BodyText"/>
      </w:pPr>
    </w:p>
    <w:p w14:paraId="174B1A2E" w14:textId="77777777" w:rsidR="00EF5B27" w:rsidRDefault="00EF5B27">
      <w:pPr>
        <w:pStyle w:val="BodyText"/>
      </w:pPr>
    </w:p>
    <w:p w14:paraId="37380325" w14:textId="77777777" w:rsidR="00EF5B27" w:rsidRDefault="00EF5B27">
      <w:pPr>
        <w:pStyle w:val="BodyText"/>
      </w:pPr>
    </w:p>
    <w:p w14:paraId="7ADD7143" w14:textId="77777777" w:rsidR="00EF5B27" w:rsidRDefault="00EF5B27">
      <w:pPr>
        <w:pStyle w:val="BodyText"/>
      </w:pPr>
    </w:p>
    <w:p w14:paraId="1C4F1AD7" w14:textId="77777777" w:rsidR="00EF5B27" w:rsidRDefault="00EF5B27">
      <w:pPr>
        <w:pStyle w:val="BodyText"/>
      </w:pPr>
    </w:p>
    <w:p w14:paraId="21C57B8E" w14:textId="77777777" w:rsidR="00EF5B27" w:rsidRDefault="00000000">
      <w:pPr>
        <w:pStyle w:val="BodyText"/>
        <w:spacing w:before="4"/>
        <w:rPr>
          <w:sz w:val="14"/>
        </w:rPr>
      </w:pPr>
      <w:r>
        <w:pict w14:anchorId="0743FC93">
          <v:line id="_x0000_s3273" style="position:absolute;z-index:251553280;mso-wrap-distance-left:0;mso-wrap-distance-right:0;mso-position-horizontal-relative:page" from="181.4pt,10.95pt" to="538.6pt,10.95pt" strokecolor="#4d4d4f" strokeweight=".5pt">
            <w10:wrap type="topAndBottom" anchorx="page"/>
          </v:line>
        </w:pict>
      </w:r>
    </w:p>
    <w:p w14:paraId="3021BB12" w14:textId="77777777" w:rsidR="00EF5B27" w:rsidRDefault="00000000">
      <w:pPr>
        <w:pStyle w:val="ListParagraph"/>
        <w:numPr>
          <w:ilvl w:val="1"/>
          <w:numId w:val="40"/>
        </w:numPr>
        <w:tabs>
          <w:tab w:val="left" w:pos="2836"/>
        </w:tabs>
        <w:spacing w:before="83"/>
        <w:rPr>
          <w:sz w:val="12"/>
        </w:rPr>
      </w:pPr>
      <w:r>
        <w:rPr>
          <w:color w:val="4D4D4F"/>
          <w:sz w:val="12"/>
        </w:rPr>
        <w:t>DELWP</w:t>
      </w:r>
      <w:r>
        <w:rPr>
          <w:color w:val="4D4D4F"/>
          <w:spacing w:val="-12"/>
          <w:sz w:val="12"/>
        </w:rPr>
        <w:t xml:space="preserve"> </w:t>
      </w:r>
      <w:r>
        <w:rPr>
          <w:color w:val="4D4D4F"/>
          <w:spacing w:val="-3"/>
          <w:sz w:val="12"/>
        </w:rPr>
        <w:t>2021,</w:t>
      </w:r>
      <w:r>
        <w:rPr>
          <w:color w:val="4D4D4F"/>
          <w:spacing w:val="-12"/>
          <w:sz w:val="12"/>
        </w:rPr>
        <w:t xml:space="preserve"> </w:t>
      </w:r>
      <w:r>
        <w:rPr>
          <w:color w:val="4D4D4F"/>
          <w:sz w:val="12"/>
        </w:rPr>
        <w:t>‘Strategy</w:t>
      </w:r>
      <w:r>
        <w:rPr>
          <w:color w:val="4D4D4F"/>
          <w:spacing w:val="-12"/>
          <w:sz w:val="12"/>
        </w:rPr>
        <w:t xml:space="preserve"> </w:t>
      </w:r>
      <w:r>
        <w:rPr>
          <w:color w:val="4D4D4F"/>
          <w:sz w:val="12"/>
        </w:rPr>
        <w:t>for</w:t>
      </w:r>
      <w:r>
        <w:rPr>
          <w:color w:val="4D4D4F"/>
          <w:spacing w:val="-12"/>
          <w:sz w:val="12"/>
        </w:rPr>
        <w:t xml:space="preserve"> </w:t>
      </w:r>
      <w:r>
        <w:rPr>
          <w:color w:val="4D4D4F"/>
          <w:sz w:val="12"/>
        </w:rPr>
        <w:t>establishing</w:t>
      </w:r>
      <w:r>
        <w:rPr>
          <w:color w:val="4D4D4F"/>
          <w:spacing w:val="-11"/>
          <w:sz w:val="12"/>
        </w:rPr>
        <w:t xml:space="preserve"> </w:t>
      </w:r>
      <w:r>
        <w:rPr>
          <w:color w:val="4D4D4F"/>
          <w:sz w:val="12"/>
        </w:rPr>
        <w:t>a</w:t>
      </w:r>
      <w:r>
        <w:rPr>
          <w:color w:val="4D4D4F"/>
          <w:spacing w:val="-12"/>
          <w:sz w:val="12"/>
        </w:rPr>
        <w:t xml:space="preserve"> </w:t>
      </w:r>
      <w:r>
        <w:rPr>
          <w:color w:val="4D4D4F"/>
          <w:sz w:val="12"/>
        </w:rPr>
        <w:t>Grassy</w:t>
      </w:r>
      <w:r>
        <w:rPr>
          <w:color w:val="4D4D4F"/>
          <w:spacing w:val="-12"/>
          <w:sz w:val="12"/>
        </w:rPr>
        <w:t xml:space="preserve"> </w:t>
      </w:r>
      <w:r>
        <w:rPr>
          <w:color w:val="4D4D4F"/>
          <w:sz w:val="12"/>
        </w:rPr>
        <w:t>Eucalypt</w:t>
      </w:r>
      <w:r>
        <w:rPr>
          <w:color w:val="4D4D4F"/>
          <w:spacing w:val="-12"/>
          <w:sz w:val="12"/>
        </w:rPr>
        <w:t xml:space="preserve"> </w:t>
      </w:r>
      <w:r>
        <w:rPr>
          <w:color w:val="4D4D4F"/>
          <w:sz w:val="12"/>
        </w:rPr>
        <w:t>Woodland</w:t>
      </w:r>
      <w:r>
        <w:rPr>
          <w:color w:val="4D4D4F"/>
          <w:spacing w:val="-12"/>
          <w:sz w:val="12"/>
        </w:rPr>
        <w:t xml:space="preserve"> </w:t>
      </w:r>
      <w:r>
        <w:rPr>
          <w:color w:val="4D4D4F"/>
          <w:sz w:val="12"/>
        </w:rPr>
        <w:t>Protected</w:t>
      </w:r>
      <w:r>
        <w:rPr>
          <w:color w:val="4D4D4F"/>
          <w:spacing w:val="-11"/>
          <w:sz w:val="12"/>
        </w:rPr>
        <w:t xml:space="preserve"> </w:t>
      </w:r>
      <w:r>
        <w:rPr>
          <w:color w:val="4D4D4F"/>
          <w:sz w:val="12"/>
        </w:rPr>
        <w:t>Area</w:t>
      </w:r>
      <w:r>
        <w:rPr>
          <w:color w:val="4D4D4F"/>
          <w:spacing w:val="-12"/>
          <w:sz w:val="12"/>
        </w:rPr>
        <w:t xml:space="preserve"> </w:t>
      </w:r>
      <w:r>
        <w:rPr>
          <w:color w:val="4D4D4F"/>
          <w:sz w:val="12"/>
        </w:rPr>
        <w:t>–</w:t>
      </w:r>
      <w:r>
        <w:rPr>
          <w:color w:val="4D4D4F"/>
          <w:spacing w:val="-12"/>
          <w:sz w:val="12"/>
        </w:rPr>
        <w:t xml:space="preserve"> </w:t>
      </w:r>
      <w:r>
        <w:rPr>
          <w:color w:val="4D4D4F"/>
          <w:sz w:val="12"/>
        </w:rPr>
        <w:t>Melbourne</w:t>
      </w:r>
      <w:r>
        <w:rPr>
          <w:color w:val="4D4D4F"/>
          <w:spacing w:val="-12"/>
          <w:sz w:val="12"/>
        </w:rPr>
        <w:t xml:space="preserve"> </w:t>
      </w:r>
      <w:r>
        <w:rPr>
          <w:color w:val="4D4D4F"/>
          <w:sz w:val="12"/>
        </w:rPr>
        <w:t>Strategic</w:t>
      </w:r>
      <w:r>
        <w:rPr>
          <w:color w:val="4D4D4F"/>
          <w:spacing w:val="-12"/>
          <w:sz w:val="12"/>
        </w:rPr>
        <w:t xml:space="preserve"> </w:t>
      </w:r>
      <w:r>
        <w:rPr>
          <w:color w:val="4D4D4F"/>
          <w:sz w:val="12"/>
        </w:rPr>
        <w:t>Assessment’,</w:t>
      </w:r>
      <w:r>
        <w:rPr>
          <w:color w:val="4D4D4F"/>
          <w:spacing w:val="-11"/>
          <w:sz w:val="12"/>
        </w:rPr>
        <w:t xml:space="preserve"> </w:t>
      </w:r>
      <w:r>
        <w:rPr>
          <w:color w:val="4D4D4F"/>
          <w:sz w:val="12"/>
        </w:rPr>
        <w:t>East</w:t>
      </w:r>
      <w:r>
        <w:rPr>
          <w:color w:val="4D4D4F"/>
          <w:spacing w:val="-12"/>
          <w:sz w:val="12"/>
        </w:rPr>
        <w:t xml:space="preserve"> </w:t>
      </w:r>
      <w:r>
        <w:rPr>
          <w:color w:val="4D4D4F"/>
          <w:sz w:val="12"/>
        </w:rPr>
        <w:t>Melbourne,</w:t>
      </w:r>
      <w:r>
        <w:rPr>
          <w:color w:val="4D4D4F"/>
          <w:spacing w:val="-12"/>
          <w:sz w:val="12"/>
        </w:rPr>
        <w:t xml:space="preserve"> </w:t>
      </w:r>
      <w:r>
        <w:rPr>
          <w:color w:val="4D4D4F"/>
          <w:sz w:val="12"/>
        </w:rPr>
        <w:t>Victoria.</w:t>
      </w:r>
    </w:p>
    <w:p w14:paraId="19127C21" w14:textId="77777777" w:rsidR="00EF5B27" w:rsidRDefault="00EF5B27">
      <w:pPr>
        <w:rPr>
          <w:sz w:val="12"/>
        </w:rPr>
        <w:sectPr w:rsidR="00EF5B27">
          <w:pgSz w:w="11910" w:h="16840"/>
          <w:pgMar w:top="1080" w:right="1020" w:bottom="860" w:left="1020" w:header="537" w:footer="678" w:gutter="0"/>
          <w:cols w:space="720"/>
        </w:sectPr>
      </w:pPr>
    </w:p>
    <w:p w14:paraId="7530C89D" w14:textId="77777777" w:rsidR="00EF5B27" w:rsidRDefault="00000000">
      <w:pPr>
        <w:pStyle w:val="BodyText"/>
      </w:pPr>
      <w:r>
        <w:lastRenderedPageBreak/>
        <w:pict w14:anchorId="563D3F29">
          <v:group id="_x0000_s3265" style="position:absolute;margin-left:587.05pt;margin-top:183.4pt;width:8.25pt;height:153.1pt;z-index:251604480;mso-position-horizontal-relative:page;mso-position-vertical-relative:page" coordorigin="11741,3668" coordsize="165,3062">
            <v:shape id="_x0000_s3272" style="position:absolute;left:11741;top:3668;width:165;height:561" coordorigin="11741,3668" coordsize="165,561" path="m11906,3668r-165,l11741,4228r165,-18l11906,3668xe" fillcolor="#00aed9" stroked="f">
              <v:path arrowok="t"/>
            </v:shape>
            <v:shape id="_x0000_s3271" style="position:absolute;left:11741;top:4118;width:165;height:425" coordorigin="11741,4118" coordsize="165,425" path="m11906,4118r-165,14l11741,4531r165,12l11906,4118xe" fillcolor="#047ebc" stroked="f">
              <v:path arrowok="t"/>
            </v:shape>
            <v:shape id="_x0000_s3270" type="#_x0000_t75" style="position:absolute;left:11741;top:4355;width:165;height:587">
              <v:imagedata r:id="rId42" o:title=""/>
            </v:shape>
            <v:shape id="_x0000_s3269" style="position:absolute;left:11741;top:5343;width:165;height:536" coordorigin="11741,5343" coordsize="165,536" path="m11741,5343r,535l11906,5872r,-525l11741,5343xe" fillcolor="#f36a2e" stroked="f">
              <v:path arrowok="t"/>
            </v:shape>
            <v:shape id="_x0000_s3268" style="position:absolute;left:11741;top:4925;width:165;height:501" coordorigin="11741,4926" coordsize="165,501" path="m11741,4926r,500l11906,5426r,-485l11741,4926xe" fillcolor="#49783f" stroked="f">
              <v:path arrowok="t"/>
            </v:shape>
            <v:shape id="_x0000_s3267" style="position:absolute;left:11741;top:5781;width:165;height:268" coordorigin="11741,5782" coordsize="165,268" path="m11906,5782r-165,8l11741,6039r165,10l11906,5782xe" fillcolor="#f99f2a" stroked="f">
              <v:path arrowok="t"/>
            </v:shape>
            <v:shape id="_x0000_s3266" style="position:absolute;left:11741;top:6023;width:165;height:707" coordorigin="11741,6023" coordsize="165,707" path="m11741,6023r,706l11906,6729r,-690l11741,6023xe" fillcolor="#ef412c" stroked="f">
              <v:path arrowok="t"/>
            </v:shape>
            <w10:wrap anchorx="page" anchory="page"/>
          </v:group>
        </w:pict>
      </w:r>
    </w:p>
    <w:p w14:paraId="6B8D2BF0" w14:textId="77777777" w:rsidR="00EF5B27" w:rsidRDefault="00EF5B27">
      <w:pPr>
        <w:pStyle w:val="BodyText"/>
      </w:pPr>
    </w:p>
    <w:p w14:paraId="21DB8E99" w14:textId="77777777" w:rsidR="00EF5B27" w:rsidRDefault="00EF5B27">
      <w:pPr>
        <w:pStyle w:val="BodyText"/>
      </w:pPr>
    </w:p>
    <w:p w14:paraId="7EFA5985" w14:textId="77777777" w:rsidR="00EF5B27" w:rsidRDefault="00EF5B27">
      <w:pPr>
        <w:pStyle w:val="BodyText"/>
        <w:spacing w:before="8"/>
      </w:pPr>
    </w:p>
    <w:p w14:paraId="654950A1" w14:textId="77777777" w:rsidR="00EF5B27" w:rsidRDefault="00000000">
      <w:pPr>
        <w:pStyle w:val="Heading2"/>
      </w:pPr>
      <w:bookmarkStart w:id="52" w:name="_bookmark39"/>
      <w:bookmarkEnd w:id="52"/>
      <w:r>
        <w:rPr>
          <w:color w:val="F99F2A"/>
        </w:rPr>
        <w:t>MNES 3: Seasonal Herbaceous Wetlands</w:t>
      </w:r>
    </w:p>
    <w:p w14:paraId="48A72082" w14:textId="77777777" w:rsidR="00EF5B27" w:rsidRDefault="00EF5B27">
      <w:pPr>
        <w:pStyle w:val="BodyText"/>
        <w:spacing w:before="5"/>
        <w:rPr>
          <w:b/>
          <w:sz w:val="76"/>
        </w:rPr>
      </w:pPr>
    </w:p>
    <w:p w14:paraId="4E96E3E8" w14:textId="77777777" w:rsidR="00EF5B27" w:rsidRDefault="00000000">
      <w:pPr>
        <w:pStyle w:val="Heading3"/>
      </w:pPr>
      <w:r>
        <w:rPr>
          <w:color w:val="F99F2A"/>
        </w:rPr>
        <w:t>Background</w:t>
      </w:r>
    </w:p>
    <w:p w14:paraId="0DB21C77" w14:textId="77777777" w:rsidR="00EF5B27" w:rsidRDefault="00EF5B27">
      <w:pPr>
        <w:pStyle w:val="BodyText"/>
        <w:spacing w:before="5"/>
        <w:rPr>
          <w:b/>
          <w:sz w:val="27"/>
        </w:rPr>
      </w:pPr>
    </w:p>
    <w:p w14:paraId="04FACB43" w14:textId="77777777" w:rsidR="00EF5B27" w:rsidRDefault="00000000">
      <w:pPr>
        <w:pStyle w:val="Heading6"/>
        <w:spacing w:line="254" w:lineRule="auto"/>
        <w:ind w:right="143"/>
        <w:rPr>
          <w:sz w:val="11"/>
        </w:rPr>
      </w:pPr>
      <w:r>
        <w:rPr>
          <w:color w:val="4D4D4F"/>
        </w:rPr>
        <w:t xml:space="preserve">Seasonal Herbaceous Wetlands of the Temperate Lowland Plains (hereafter Seasonal </w:t>
      </w:r>
      <w:r>
        <w:rPr>
          <w:color w:val="4D4D4F"/>
          <w:spacing w:val="-3"/>
        </w:rPr>
        <w:t xml:space="preserve">Herbaceous </w:t>
      </w:r>
      <w:r>
        <w:rPr>
          <w:color w:val="4D4D4F"/>
          <w:spacing w:val="-4"/>
        </w:rPr>
        <w:t xml:space="preserve">Wetlands) </w:t>
      </w:r>
      <w:r>
        <w:rPr>
          <w:color w:val="4D4D4F"/>
        </w:rPr>
        <w:t xml:space="preserve">are a </w:t>
      </w:r>
      <w:r>
        <w:rPr>
          <w:color w:val="4D4D4F"/>
          <w:spacing w:val="-3"/>
        </w:rPr>
        <w:t xml:space="preserve">class </w:t>
      </w:r>
      <w:r>
        <w:rPr>
          <w:color w:val="4D4D4F"/>
        </w:rPr>
        <w:t xml:space="preserve">of </w:t>
      </w:r>
      <w:r>
        <w:rPr>
          <w:color w:val="4D4D4F"/>
          <w:spacing w:val="-3"/>
        </w:rPr>
        <w:t xml:space="preserve">wetlands </w:t>
      </w:r>
      <w:r>
        <w:rPr>
          <w:color w:val="4D4D4F"/>
          <w:spacing w:val="-4"/>
        </w:rPr>
        <w:t xml:space="preserve">listed </w:t>
      </w:r>
      <w:r>
        <w:rPr>
          <w:color w:val="4D4D4F"/>
        </w:rPr>
        <w:t xml:space="preserve">as </w:t>
      </w:r>
      <w:r>
        <w:rPr>
          <w:color w:val="4D4D4F"/>
          <w:spacing w:val="-4"/>
        </w:rPr>
        <w:t xml:space="preserve">Critically </w:t>
      </w:r>
      <w:r>
        <w:rPr>
          <w:color w:val="4D4D4F"/>
          <w:spacing w:val="-3"/>
        </w:rPr>
        <w:t xml:space="preserve">Endangered under </w:t>
      </w:r>
      <w:r>
        <w:rPr>
          <w:color w:val="4D4D4F"/>
        </w:rPr>
        <w:t>the EPBC Act.</w:t>
      </w:r>
      <w:r>
        <w:rPr>
          <w:color w:val="4D4D4F"/>
          <w:position w:val="7"/>
          <w:sz w:val="11"/>
        </w:rPr>
        <w:t xml:space="preserve">151 </w:t>
      </w:r>
      <w:r>
        <w:rPr>
          <w:color w:val="4D4D4F"/>
        </w:rPr>
        <w:t xml:space="preserve">These wetlands occur on fertile clay soils and are inundated after rains but may remain dry for long periods. Vegetation occurring in the wetlands is typically low and open, composed mostly of grasses, sedges, herbs and ferns. This community was formerly scattered in large and small patches across the lowland plains of south-eastern Australia – </w:t>
      </w:r>
      <w:r>
        <w:rPr>
          <w:color w:val="4D4D4F"/>
          <w:spacing w:val="-3"/>
        </w:rPr>
        <w:t xml:space="preserve">however, </w:t>
      </w:r>
      <w:r>
        <w:rPr>
          <w:color w:val="4D4D4F"/>
        </w:rPr>
        <w:t>it is now restricted to small, scattered remnants throughout its former range.</w:t>
      </w:r>
      <w:r>
        <w:rPr>
          <w:color w:val="4D4D4F"/>
          <w:position w:val="7"/>
          <w:sz w:val="11"/>
        </w:rPr>
        <w:t>152</w:t>
      </w:r>
    </w:p>
    <w:p w14:paraId="24548E80" w14:textId="77777777" w:rsidR="00EF5B27" w:rsidRDefault="00EF5B27">
      <w:pPr>
        <w:pStyle w:val="BodyText"/>
        <w:spacing w:before="4"/>
        <w:rPr>
          <w:b/>
          <w:sz w:val="19"/>
        </w:rPr>
      </w:pPr>
    </w:p>
    <w:p w14:paraId="5AEB9113" w14:textId="77777777" w:rsidR="00EF5B27" w:rsidRDefault="00000000">
      <w:pPr>
        <w:pStyle w:val="BodyText"/>
        <w:ind w:left="2608"/>
      </w:pPr>
      <w:r>
        <w:rPr>
          <w:color w:val="4D4D4F"/>
          <w:w w:val="105"/>
        </w:rPr>
        <w:t>EPBC listing status: Critically Endangered</w:t>
      </w:r>
    </w:p>
    <w:p w14:paraId="1A29782C" w14:textId="77777777" w:rsidR="00EF5B27" w:rsidRDefault="00000000">
      <w:pPr>
        <w:pStyle w:val="BodyText"/>
        <w:spacing w:before="7"/>
        <w:rPr>
          <w:sz w:val="29"/>
        </w:rPr>
      </w:pPr>
      <w:r>
        <w:rPr>
          <w:noProof/>
        </w:rPr>
        <w:drawing>
          <wp:anchor distT="0" distB="0" distL="0" distR="0" simplePos="0" relativeHeight="251293184" behindDoc="0" locked="0" layoutInCell="1" allowOverlap="1" wp14:anchorId="06ACE4BC" wp14:editId="31CFB5CC">
            <wp:simplePos x="0" y="0"/>
            <wp:positionH relativeFrom="page">
              <wp:posOffset>2304000</wp:posOffset>
            </wp:positionH>
            <wp:positionV relativeFrom="paragraph">
              <wp:posOffset>254340</wp:posOffset>
            </wp:positionV>
            <wp:extent cx="4535423" cy="2551176"/>
            <wp:effectExtent l="0" t="0" r="0" b="0"/>
            <wp:wrapTopAndBottom/>
            <wp:docPr id="439"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163.jpeg"/>
                    <pic:cNvPicPr/>
                  </pic:nvPicPr>
                  <pic:blipFill>
                    <a:blip r:embed="rId130" cstate="print"/>
                    <a:stretch>
                      <a:fillRect/>
                    </a:stretch>
                  </pic:blipFill>
                  <pic:spPr>
                    <a:xfrm>
                      <a:off x="0" y="0"/>
                      <a:ext cx="4535423" cy="2551176"/>
                    </a:xfrm>
                    <a:prstGeom prst="rect">
                      <a:avLst/>
                    </a:prstGeom>
                  </pic:spPr>
                </pic:pic>
              </a:graphicData>
            </a:graphic>
          </wp:anchor>
        </w:drawing>
      </w:r>
    </w:p>
    <w:p w14:paraId="43F3E389" w14:textId="77777777" w:rsidR="00EF5B27" w:rsidRDefault="00000000">
      <w:pPr>
        <w:tabs>
          <w:tab w:val="left" w:pos="8977"/>
        </w:tabs>
        <w:spacing w:before="113"/>
        <w:ind w:left="2608"/>
        <w:rPr>
          <w:rFonts w:ascii="Century Gothic"/>
          <w:i/>
          <w:sz w:val="12"/>
        </w:rPr>
      </w:pPr>
      <w:r>
        <w:rPr>
          <w:color w:val="4D4D4F"/>
          <w:sz w:val="16"/>
        </w:rPr>
        <w:t>Figure</w:t>
      </w:r>
      <w:r>
        <w:rPr>
          <w:color w:val="4D4D4F"/>
          <w:spacing w:val="13"/>
          <w:sz w:val="16"/>
        </w:rPr>
        <w:t xml:space="preserve"> </w:t>
      </w:r>
      <w:r>
        <w:rPr>
          <w:color w:val="4D4D4F"/>
          <w:spacing w:val="-3"/>
          <w:sz w:val="16"/>
        </w:rPr>
        <w:t>15:</w:t>
      </w:r>
      <w:r>
        <w:rPr>
          <w:color w:val="4D4D4F"/>
          <w:spacing w:val="14"/>
          <w:sz w:val="16"/>
        </w:rPr>
        <w:t xml:space="preserve"> </w:t>
      </w:r>
      <w:r>
        <w:rPr>
          <w:color w:val="4D4D4F"/>
          <w:sz w:val="16"/>
        </w:rPr>
        <w:t>Example</w:t>
      </w:r>
      <w:r>
        <w:rPr>
          <w:color w:val="4D4D4F"/>
          <w:spacing w:val="14"/>
          <w:sz w:val="16"/>
        </w:rPr>
        <w:t xml:space="preserve"> </w:t>
      </w:r>
      <w:r>
        <w:rPr>
          <w:color w:val="4D4D4F"/>
          <w:sz w:val="16"/>
        </w:rPr>
        <w:t>of</w:t>
      </w:r>
      <w:r>
        <w:rPr>
          <w:color w:val="4D4D4F"/>
          <w:spacing w:val="14"/>
          <w:sz w:val="16"/>
        </w:rPr>
        <w:t xml:space="preserve"> </w:t>
      </w:r>
      <w:r>
        <w:rPr>
          <w:color w:val="4D4D4F"/>
          <w:sz w:val="16"/>
        </w:rPr>
        <w:t>Seasonal</w:t>
      </w:r>
      <w:r>
        <w:rPr>
          <w:color w:val="4D4D4F"/>
          <w:spacing w:val="13"/>
          <w:sz w:val="16"/>
        </w:rPr>
        <w:t xml:space="preserve"> </w:t>
      </w:r>
      <w:r>
        <w:rPr>
          <w:color w:val="4D4D4F"/>
          <w:sz w:val="16"/>
        </w:rPr>
        <w:t>Herbaceous</w:t>
      </w:r>
      <w:r>
        <w:rPr>
          <w:color w:val="4D4D4F"/>
          <w:spacing w:val="14"/>
          <w:sz w:val="16"/>
        </w:rPr>
        <w:t xml:space="preserve"> </w:t>
      </w:r>
      <w:r>
        <w:rPr>
          <w:color w:val="4D4D4F"/>
          <w:sz w:val="16"/>
        </w:rPr>
        <w:t>Wetlands</w:t>
      </w:r>
      <w:r>
        <w:rPr>
          <w:color w:val="4D4D4F"/>
          <w:spacing w:val="14"/>
          <w:sz w:val="16"/>
        </w:rPr>
        <w:t xml:space="preserve"> </w:t>
      </w:r>
      <w:r>
        <w:rPr>
          <w:color w:val="4D4D4F"/>
          <w:sz w:val="16"/>
        </w:rPr>
        <w:t>after</w:t>
      </w:r>
      <w:r>
        <w:rPr>
          <w:color w:val="4D4D4F"/>
          <w:spacing w:val="14"/>
          <w:sz w:val="16"/>
        </w:rPr>
        <w:t xml:space="preserve"> </w:t>
      </w:r>
      <w:r>
        <w:rPr>
          <w:color w:val="4D4D4F"/>
          <w:sz w:val="16"/>
        </w:rPr>
        <w:t>filling</w:t>
      </w:r>
      <w:r>
        <w:rPr>
          <w:color w:val="4D4D4F"/>
          <w:sz w:val="16"/>
        </w:rPr>
        <w:tab/>
      </w:r>
      <w:r>
        <w:rPr>
          <w:rFonts w:ascii="Century Gothic"/>
          <w:i/>
          <w:color w:val="4D4D4F"/>
          <w:sz w:val="12"/>
        </w:rPr>
        <w:t>Source:</w:t>
      </w:r>
      <w:r>
        <w:rPr>
          <w:rFonts w:ascii="Century Gothic"/>
          <w:i/>
          <w:color w:val="4D4D4F"/>
          <w:spacing w:val="-22"/>
          <w:sz w:val="12"/>
        </w:rPr>
        <w:t xml:space="preserve"> </w:t>
      </w:r>
      <w:r>
        <w:rPr>
          <w:rFonts w:ascii="Century Gothic"/>
          <w:i/>
          <w:color w:val="4D4D4F"/>
          <w:sz w:val="12"/>
        </w:rPr>
        <w:t>DELWP</w:t>
      </w:r>
    </w:p>
    <w:p w14:paraId="7E6CD768" w14:textId="77777777" w:rsidR="00EF5B27" w:rsidRDefault="00EF5B27">
      <w:pPr>
        <w:pStyle w:val="BodyText"/>
        <w:rPr>
          <w:rFonts w:ascii="Century Gothic"/>
          <w:i/>
        </w:rPr>
      </w:pPr>
    </w:p>
    <w:p w14:paraId="3090AC6A" w14:textId="77777777" w:rsidR="00EF5B27" w:rsidRDefault="00EF5B27">
      <w:pPr>
        <w:pStyle w:val="BodyText"/>
        <w:rPr>
          <w:rFonts w:ascii="Century Gothic"/>
          <w:i/>
        </w:rPr>
      </w:pPr>
    </w:p>
    <w:p w14:paraId="39332D42" w14:textId="77777777" w:rsidR="00EF5B27" w:rsidRDefault="00EF5B27">
      <w:pPr>
        <w:pStyle w:val="BodyText"/>
        <w:rPr>
          <w:rFonts w:ascii="Century Gothic"/>
          <w:i/>
        </w:rPr>
      </w:pPr>
    </w:p>
    <w:p w14:paraId="7B5C1324" w14:textId="77777777" w:rsidR="00EF5B27" w:rsidRDefault="00EF5B27">
      <w:pPr>
        <w:pStyle w:val="BodyText"/>
        <w:rPr>
          <w:rFonts w:ascii="Century Gothic"/>
          <w:i/>
        </w:rPr>
      </w:pPr>
    </w:p>
    <w:p w14:paraId="165747F0" w14:textId="77777777" w:rsidR="00EF5B27" w:rsidRDefault="00EF5B27">
      <w:pPr>
        <w:pStyle w:val="BodyText"/>
        <w:rPr>
          <w:rFonts w:ascii="Century Gothic"/>
          <w:i/>
        </w:rPr>
      </w:pPr>
    </w:p>
    <w:p w14:paraId="2D6F7F68" w14:textId="77777777" w:rsidR="00EF5B27" w:rsidRDefault="00EF5B27">
      <w:pPr>
        <w:pStyle w:val="BodyText"/>
        <w:rPr>
          <w:rFonts w:ascii="Century Gothic"/>
          <w:i/>
        </w:rPr>
      </w:pPr>
    </w:p>
    <w:p w14:paraId="29777B9E" w14:textId="77777777" w:rsidR="00EF5B27" w:rsidRDefault="00EF5B27">
      <w:pPr>
        <w:pStyle w:val="BodyText"/>
        <w:rPr>
          <w:rFonts w:ascii="Century Gothic"/>
          <w:i/>
        </w:rPr>
      </w:pPr>
    </w:p>
    <w:p w14:paraId="67CE3722" w14:textId="77777777" w:rsidR="00EF5B27" w:rsidRDefault="00EF5B27">
      <w:pPr>
        <w:pStyle w:val="BodyText"/>
        <w:rPr>
          <w:rFonts w:ascii="Century Gothic"/>
          <w:i/>
        </w:rPr>
      </w:pPr>
    </w:p>
    <w:p w14:paraId="6D261247" w14:textId="77777777" w:rsidR="00EF5B27" w:rsidRDefault="00000000">
      <w:pPr>
        <w:pStyle w:val="BodyText"/>
        <w:spacing w:before="7"/>
        <w:rPr>
          <w:rFonts w:ascii="Century Gothic"/>
          <w:i/>
          <w:sz w:val="25"/>
        </w:rPr>
      </w:pPr>
      <w:r>
        <w:pict w14:anchorId="087E211D">
          <v:line id="_x0000_s3264" style="position:absolute;z-index:251554304;mso-wrap-distance-left:0;mso-wrap-distance-right:0;mso-position-horizontal-relative:page" from="181.4pt,17.9pt" to="538.6pt,17.9pt" strokecolor="#4d4d4f" strokeweight=".5pt">
            <w10:wrap type="topAndBottom" anchorx="page"/>
          </v:line>
        </w:pict>
      </w:r>
    </w:p>
    <w:p w14:paraId="68982274" w14:textId="77777777" w:rsidR="00EF5B27" w:rsidRDefault="00000000">
      <w:pPr>
        <w:pStyle w:val="ListParagraph"/>
        <w:numPr>
          <w:ilvl w:val="1"/>
          <w:numId w:val="40"/>
        </w:numPr>
        <w:tabs>
          <w:tab w:val="left" w:pos="2836"/>
        </w:tabs>
        <w:spacing w:before="88" w:line="230" w:lineRule="auto"/>
        <w:ind w:right="111"/>
        <w:jc w:val="both"/>
        <w:rPr>
          <w:sz w:val="12"/>
        </w:rPr>
      </w:pPr>
      <w:r>
        <w:rPr>
          <w:color w:val="4D4D4F"/>
          <w:spacing w:val="2"/>
          <w:sz w:val="12"/>
        </w:rPr>
        <w:t xml:space="preserve">TSSC </w:t>
      </w:r>
      <w:r>
        <w:rPr>
          <w:color w:val="4D4D4F"/>
          <w:sz w:val="12"/>
        </w:rPr>
        <w:t xml:space="preserve">2012, ‘Advice to the Minister for the Environment, Heritage and the </w:t>
      </w:r>
      <w:r>
        <w:rPr>
          <w:color w:val="4D4D4F"/>
          <w:spacing w:val="3"/>
          <w:sz w:val="12"/>
        </w:rPr>
        <w:t xml:space="preserve">Arts </w:t>
      </w:r>
      <w:r>
        <w:rPr>
          <w:color w:val="4D4D4F"/>
          <w:sz w:val="12"/>
        </w:rPr>
        <w:t xml:space="preserve">from the Threatened Species Scientific Committee (the Committee) on Amendment to the list of Threatened Ecological Communities under the Environment Protection and Biodiversity </w:t>
      </w:r>
      <w:r>
        <w:rPr>
          <w:color w:val="4D4D4F"/>
          <w:spacing w:val="2"/>
          <w:sz w:val="12"/>
        </w:rPr>
        <w:t xml:space="preserve">Conservation Act </w:t>
      </w:r>
      <w:r>
        <w:rPr>
          <w:color w:val="4D4D4F"/>
          <w:sz w:val="12"/>
        </w:rPr>
        <w:t xml:space="preserve">1999 (EPBC Act): Seasonal </w:t>
      </w:r>
      <w:r>
        <w:rPr>
          <w:color w:val="4D4D4F"/>
          <w:spacing w:val="2"/>
          <w:sz w:val="12"/>
        </w:rPr>
        <w:t xml:space="preserve">Herbaceous </w:t>
      </w:r>
      <w:r>
        <w:rPr>
          <w:color w:val="4D4D4F"/>
          <w:sz w:val="12"/>
        </w:rPr>
        <w:t xml:space="preserve">Wetlands of the Temperate Lowland Plains.’ Threatened Species Scientific Committee. </w:t>
      </w:r>
      <w:r>
        <w:rPr>
          <w:color w:val="4D4D4F"/>
          <w:spacing w:val="2"/>
          <w:sz w:val="12"/>
        </w:rPr>
        <w:t>Canberra,</w:t>
      </w:r>
      <w:r>
        <w:rPr>
          <w:color w:val="4D4D4F"/>
          <w:spacing w:val="4"/>
          <w:sz w:val="12"/>
        </w:rPr>
        <w:t xml:space="preserve"> </w:t>
      </w:r>
      <w:r>
        <w:rPr>
          <w:color w:val="4D4D4F"/>
          <w:sz w:val="12"/>
        </w:rPr>
        <w:t>ACT.</w:t>
      </w:r>
    </w:p>
    <w:p w14:paraId="2F6EB54D" w14:textId="77777777" w:rsidR="00EF5B27" w:rsidRDefault="00000000">
      <w:pPr>
        <w:pStyle w:val="ListParagraph"/>
        <w:numPr>
          <w:ilvl w:val="1"/>
          <w:numId w:val="40"/>
        </w:numPr>
        <w:tabs>
          <w:tab w:val="left" w:pos="2836"/>
        </w:tabs>
        <w:spacing w:line="230" w:lineRule="auto"/>
        <w:ind w:right="111"/>
        <w:jc w:val="both"/>
        <w:rPr>
          <w:sz w:val="12"/>
        </w:rPr>
      </w:pPr>
      <w:r>
        <w:rPr>
          <w:color w:val="4D4D4F"/>
          <w:spacing w:val="2"/>
          <w:sz w:val="12"/>
        </w:rPr>
        <w:t xml:space="preserve">TSSC </w:t>
      </w:r>
      <w:r>
        <w:rPr>
          <w:color w:val="4D4D4F"/>
          <w:sz w:val="12"/>
        </w:rPr>
        <w:t xml:space="preserve">2012, ‘Advice  to  the  Minister  for  the  Environment,  Heritage  and  the  </w:t>
      </w:r>
      <w:r>
        <w:rPr>
          <w:color w:val="4D4D4F"/>
          <w:spacing w:val="3"/>
          <w:sz w:val="12"/>
        </w:rPr>
        <w:t xml:space="preserve">Arts  </w:t>
      </w:r>
      <w:r>
        <w:rPr>
          <w:color w:val="4D4D4F"/>
          <w:sz w:val="12"/>
        </w:rPr>
        <w:t xml:space="preserve">from  the  Threatened  Species  Scientific  Committee (the Committee) on Amendment to the list of Threatened Ecological Communities under the Environment Protection and Biodiversity </w:t>
      </w:r>
      <w:r>
        <w:rPr>
          <w:color w:val="4D4D4F"/>
          <w:spacing w:val="2"/>
          <w:sz w:val="12"/>
        </w:rPr>
        <w:t xml:space="preserve">Conservation Act </w:t>
      </w:r>
      <w:r>
        <w:rPr>
          <w:color w:val="4D4D4F"/>
          <w:sz w:val="12"/>
        </w:rPr>
        <w:t xml:space="preserve">1999 (EPBC Act): Seasonal </w:t>
      </w:r>
      <w:r>
        <w:rPr>
          <w:color w:val="4D4D4F"/>
          <w:spacing w:val="2"/>
          <w:sz w:val="12"/>
        </w:rPr>
        <w:t xml:space="preserve">Herbaceous </w:t>
      </w:r>
      <w:r>
        <w:rPr>
          <w:color w:val="4D4D4F"/>
          <w:sz w:val="12"/>
        </w:rPr>
        <w:t xml:space="preserve">Wetlands of the Temperate Lowland Plains.’ Threatened Species Scientific Committee. </w:t>
      </w:r>
      <w:r>
        <w:rPr>
          <w:color w:val="4D4D4F"/>
          <w:spacing w:val="2"/>
          <w:sz w:val="12"/>
        </w:rPr>
        <w:t>Canberra,</w:t>
      </w:r>
      <w:r>
        <w:rPr>
          <w:color w:val="4D4D4F"/>
          <w:spacing w:val="4"/>
          <w:sz w:val="12"/>
        </w:rPr>
        <w:t xml:space="preserve"> </w:t>
      </w:r>
      <w:r>
        <w:rPr>
          <w:color w:val="4D4D4F"/>
          <w:sz w:val="12"/>
        </w:rPr>
        <w:t>ACT.</w:t>
      </w:r>
    </w:p>
    <w:p w14:paraId="452E19CC" w14:textId="77777777" w:rsidR="00EF5B27" w:rsidRDefault="00EF5B27">
      <w:pPr>
        <w:spacing w:line="230" w:lineRule="auto"/>
        <w:jc w:val="both"/>
        <w:rPr>
          <w:sz w:val="12"/>
        </w:rPr>
        <w:sectPr w:rsidR="00EF5B27">
          <w:pgSz w:w="11910" w:h="16840"/>
          <w:pgMar w:top="1080" w:right="1020" w:bottom="860" w:left="1020" w:header="537" w:footer="678" w:gutter="0"/>
          <w:cols w:space="720"/>
        </w:sectPr>
      </w:pPr>
    </w:p>
    <w:p w14:paraId="14A08440" w14:textId="77777777" w:rsidR="00EF5B27" w:rsidRDefault="00000000">
      <w:pPr>
        <w:pStyle w:val="BodyText"/>
      </w:pPr>
      <w:r>
        <w:lastRenderedPageBreak/>
        <w:pict w14:anchorId="69C90C61">
          <v:group id="_x0000_s3256" style="position:absolute;margin-left:587.05pt;margin-top:183.4pt;width:8.25pt;height:153.1pt;z-index:251606528;mso-position-horizontal-relative:page;mso-position-vertical-relative:page" coordorigin="11741,3668" coordsize="165,3062">
            <v:shape id="_x0000_s3263" style="position:absolute;left:11741;top:3668;width:165;height:561" coordorigin="11741,3668" coordsize="165,561" path="m11906,3668r-165,l11741,4228r165,-18l11906,3668xe" fillcolor="#00aed9" stroked="f">
              <v:path arrowok="t"/>
            </v:shape>
            <v:shape id="_x0000_s3262" style="position:absolute;left:11741;top:4118;width:165;height:425" coordorigin="11741,4118" coordsize="165,425" path="m11906,4118r-165,14l11741,4531r165,12l11906,4118xe" fillcolor="#047ebc" stroked="f">
              <v:path arrowok="t"/>
            </v:shape>
            <v:shape id="_x0000_s3261" type="#_x0000_t75" style="position:absolute;left:11741;top:4355;width:165;height:587">
              <v:imagedata r:id="rId42" o:title=""/>
            </v:shape>
            <v:shape id="_x0000_s3260" style="position:absolute;left:11741;top:5343;width:165;height:536" coordorigin="11741,5343" coordsize="165,536" path="m11741,5343r,535l11906,5872r,-525l11741,5343xe" fillcolor="#f36a2e" stroked="f">
              <v:path arrowok="t"/>
            </v:shape>
            <v:shape id="_x0000_s3259" style="position:absolute;left:11741;top:4925;width:165;height:501" coordorigin="11741,4926" coordsize="165,501" path="m11741,4926r,500l11906,5426r,-485l11741,4926xe" fillcolor="#49783f" stroked="f">
              <v:path arrowok="t"/>
            </v:shape>
            <v:shape id="_x0000_s3258" style="position:absolute;left:11741;top:5781;width:165;height:268" coordorigin="11741,5782" coordsize="165,268" path="m11906,5782r-165,8l11741,6039r165,10l11906,5782xe" fillcolor="#f99f2a" stroked="f">
              <v:path arrowok="t"/>
            </v:shape>
            <v:shape id="_x0000_s3257" style="position:absolute;left:11741;top:6023;width:165;height:707" coordorigin="11741,6023" coordsize="165,707" path="m11741,6023r,706l11906,6729r,-690l11741,6023xe" fillcolor="#ef412c" stroked="f">
              <v:path arrowok="t"/>
            </v:shape>
            <w10:wrap anchorx="page" anchory="page"/>
          </v:group>
        </w:pict>
      </w:r>
    </w:p>
    <w:p w14:paraId="6CFE3642" w14:textId="77777777" w:rsidR="00EF5B27" w:rsidRDefault="00EF5B27">
      <w:pPr>
        <w:pStyle w:val="BodyText"/>
      </w:pPr>
    </w:p>
    <w:p w14:paraId="6F7465DA" w14:textId="77777777" w:rsidR="00EF5B27" w:rsidRDefault="00EF5B27">
      <w:pPr>
        <w:pStyle w:val="BodyText"/>
      </w:pPr>
    </w:p>
    <w:p w14:paraId="5F746157" w14:textId="77777777" w:rsidR="00EF5B27" w:rsidRDefault="00EF5B27">
      <w:pPr>
        <w:pStyle w:val="BodyText"/>
        <w:spacing w:before="12"/>
        <w:rPr>
          <w:sz w:val="22"/>
        </w:rPr>
      </w:pPr>
    </w:p>
    <w:p w14:paraId="0EC73E45" w14:textId="77777777" w:rsidR="00EF5B27" w:rsidRDefault="00000000">
      <w:pPr>
        <w:pStyle w:val="Heading3"/>
        <w:spacing w:before="115"/>
      </w:pPr>
      <w:r>
        <w:rPr>
          <w:color w:val="F99F2A"/>
        </w:rPr>
        <w:t>DELWP’s conservation commitments</w:t>
      </w:r>
    </w:p>
    <w:p w14:paraId="0CAC939E" w14:textId="77777777" w:rsidR="00EF5B27" w:rsidRDefault="00000000">
      <w:pPr>
        <w:pStyle w:val="BodyText"/>
        <w:spacing w:before="221" w:line="254" w:lineRule="auto"/>
        <w:ind w:left="2608"/>
      </w:pPr>
      <w:r>
        <w:rPr>
          <w:color w:val="4D4D4F"/>
        </w:rPr>
        <w:t>DELWP published the following statements as conservation outcomes for Seasonal Herbaceous Wetlands by notice in the Victorian Government Gazette:</w:t>
      </w:r>
    </w:p>
    <w:p w14:paraId="53A7D0DD" w14:textId="77777777" w:rsidR="00EF5B27" w:rsidRDefault="00000000">
      <w:pPr>
        <w:pStyle w:val="BodyText"/>
        <w:spacing w:before="6"/>
        <w:rPr>
          <w:sz w:val="28"/>
        </w:rPr>
      </w:pPr>
      <w:r>
        <w:pict w14:anchorId="60ECE3F1">
          <v:shape id="_x0000_s3255" type="#_x0000_t202" style="position:absolute;margin-left:181.65pt;margin-top:19.6pt;width:356.7pt;height:113pt;z-index:251555328;mso-wrap-distance-left:0;mso-wrap-distance-right:0;mso-position-horizontal-relative:page" filled="f" strokecolor="#4d4d4f" strokeweight=".5pt">
            <v:textbox inset="0,0,0,0">
              <w:txbxContent>
                <w:p w14:paraId="74D63FEC" w14:textId="77777777" w:rsidR="00EF5B27" w:rsidRDefault="00000000">
                  <w:pPr>
                    <w:spacing w:before="192"/>
                    <w:ind w:left="226"/>
                    <w:rPr>
                      <w:b/>
                      <w:i/>
                      <w:sz w:val="20"/>
                    </w:rPr>
                  </w:pPr>
                  <w:r>
                    <w:rPr>
                      <w:b/>
                      <w:i/>
                      <w:color w:val="4D4D4F"/>
                      <w:sz w:val="20"/>
                    </w:rPr>
                    <w:t>‘The permanent protection of Seasonal Herbaceous Wetlands in:</w:t>
                  </w:r>
                </w:p>
                <w:p w14:paraId="5A5F4129" w14:textId="77777777" w:rsidR="00EF5B27" w:rsidRDefault="00000000">
                  <w:pPr>
                    <w:numPr>
                      <w:ilvl w:val="0"/>
                      <w:numId w:val="38"/>
                    </w:numPr>
                    <w:tabs>
                      <w:tab w:val="left" w:pos="341"/>
                    </w:tabs>
                    <w:spacing w:before="129"/>
                    <w:rPr>
                      <w:b/>
                      <w:i/>
                      <w:sz w:val="20"/>
                    </w:rPr>
                  </w:pPr>
                  <w:r>
                    <w:rPr>
                      <w:b/>
                      <w:i/>
                      <w:color w:val="4D4D4F"/>
                      <w:w w:val="105"/>
                      <w:sz w:val="20"/>
                    </w:rPr>
                    <w:t>the Western Grassland</w:t>
                  </w:r>
                  <w:r>
                    <w:rPr>
                      <w:b/>
                      <w:i/>
                      <w:color w:val="4D4D4F"/>
                      <w:spacing w:val="2"/>
                      <w:w w:val="105"/>
                      <w:sz w:val="20"/>
                    </w:rPr>
                    <w:t xml:space="preserve"> </w:t>
                  </w:r>
                  <w:r>
                    <w:rPr>
                      <w:b/>
                      <w:i/>
                      <w:color w:val="4D4D4F"/>
                      <w:w w:val="105"/>
                      <w:sz w:val="20"/>
                    </w:rPr>
                    <w:t>Reserve</w:t>
                  </w:r>
                </w:p>
                <w:p w14:paraId="1353A8A0" w14:textId="77777777" w:rsidR="00EF5B27" w:rsidRDefault="00000000">
                  <w:pPr>
                    <w:numPr>
                      <w:ilvl w:val="0"/>
                      <w:numId w:val="38"/>
                    </w:numPr>
                    <w:tabs>
                      <w:tab w:val="left" w:pos="341"/>
                    </w:tabs>
                    <w:spacing w:before="129" w:line="254" w:lineRule="auto"/>
                    <w:ind w:right="3138"/>
                    <w:rPr>
                      <w:b/>
                      <w:i/>
                      <w:sz w:val="20"/>
                    </w:rPr>
                  </w:pPr>
                  <w:r>
                    <w:rPr>
                      <w:b/>
                      <w:i/>
                      <w:color w:val="4D4D4F"/>
                      <w:sz w:val="20"/>
                    </w:rPr>
                    <w:t>the conservation areas identified in the BCS and the Conservation Areas</w:t>
                  </w:r>
                  <w:r>
                    <w:rPr>
                      <w:b/>
                      <w:i/>
                      <w:color w:val="4D4D4F"/>
                      <w:spacing w:val="-1"/>
                      <w:sz w:val="20"/>
                    </w:rPr>
                    <w:t xml:space="preserve"> </w:t>
                  </w:r>
                  <w:r>
                    <w:rPr>
                      <w:b/>
                      <w:i/>
                      <w:color w:val="4D4D4F"/>
                      <w:sz w:val="20"/>
                    </w:rPr>
                    <w:t>Declaration.’</w:t>
                  </w:r>
                </w:p>
                <w:p w14:paraId="0B78B6BA" w14:textId="77777777" w:rsidR="00EF5B27" w:rsidRDefault="00000000">
                  <w:pPr>
                    <w:spacing w:before="116" w:line="254" w:lineRule="auto"/>
                    <w:ind w:left="274" w:right="74" w:hanging="48"/>
                    <w:rPr>
                      <w:b/>
                      <w:i/>
                      <w:sz w:val="20"/>
                    </w:rPr>
                  </w:pPr>
                  <w:r>
                    <w:rPr>
                      <w:b/>
                      <w:i/>
                      <w:color w:val="4D4D4F"/>
                      <w:sz w:val="20"/>
                    </w:rPr>
                    <w:t>‘Improved composition, structure, quality and ecological function of protected Seasonal Herbaceous Wetlands that are greater than three hectare (sic) in size.’</w:t>
                  </w:r>
                </w:p>
              </w:txbxContent>
            </v:textbox>
            <w10:wrap type="topAndBottom" anchorx="page"/>
          </v:shape>
        </w:pict>
      </w:r>
    </w:p>
    <w:p w14:paraId="68049E87" w14:textId="77777777" w:rsidR="00EF5B27" w:rsidRDefault="00EF5B27">
      <w:pPr>
        <w:pStyle w:val="BodyText"/>
        <w:spacing w:before="4"/>
        <w:rPr>
          <w:sz w:val="21"/>
        </w:rPr>
      </w:pPr>
    </w:p>
    <w:p w14:paraId="14427EA2" w14:textId="77777777" w:rsidR="00EF5B27" w:rsidRDefault="00000000">
      <w:pPr>
        <w:pStyle w:val="Heading3"/>
        <w:spacing w:before="115"/>
      </w:pPr>
      <w:r>
        <w:rPr>
          <w:color w:val="F99F2A"/>
          <w:w w:val="110"/>
        </w:rPr>
        <w:t>KPIs assessed</w:t>
      </w:r>
    </w:p>
    <w:p w14:paraId="5600BB4E" w14:textId="77777777" w:rsidR="00EF5B27" w:rsidRDefault="00000000">
      <w:pPr>
        <w:pStyle w:val="BodyText"/>
        <w:spacing w:before="222" w:line="254" w:lineRule="auto"/>
        <w:ind w:left="2608" w:right="151"/>
        <w:rPr>
          <w:sz w:val="11"/>
        </w:rPr>
      </w:pPr>
      <w:r>
        <w:rPr>
          <w:color w:val="4D4D4F"/>
        </w:rPr>
        <w:t>DELWP’s MSA MRF also summarises the conservation outcome for Seasonal Herbaceous Wetlands as a single goal statement: ‘the composition, structure and function of Seasonal Herbaceous Wetlands of the Temperate Lowland Plains improves in all areas where it is protected’.</w:t>
      </w:r>
      <w:r>
        <w:rPr>
          <w:color w:val="4D4D4F"/>
          <w:position w:val="7"/>
          <w:sz w:val="11"/>
        </w:rPr>
        <w:t>153</w:t>
      </w:r>
    </w:p>
    <w:p w14:paraId="751E90D9" w14:textId="77777777" w:rsidR="00EF5B27" w:rsidRDefault="00000000">
      <w:pPr>
        <w:pStyle w:val="BodyText"/>
        <w:spacing w:before="118"/>
        <w:ind w:left="2608"/>
      </w:pPr>
      <w:r>
        <w:rPr>
          <w:color w:val="4D4D4F"/>
        </w:rPr>
        <w:t>Four KPIs have been designed by DELWP to measure progress towards this goal:</w:t>
      </w:r>
    </w:p>
    <w:p w14:paraId="30A7DC27" w14:textId="77777777" w:rsidR="00EF5B27" w:rsidRDefault="00000000">
      <w:pPr>
        <w:pStyle w:val="ListParagraph"/>
        <w:numPr>
          <w:ilvl w:val="0"/>
          <w:numId w:val="37"/>
        </w:numPr>
        <w:tabs>
          <w:tab w:val="left" w:pos="2779"/>
        </w:tabs>
        <w:spacing w:before="129" w:line="254" w:lineRule="auto"/>
        <w:ind w:right="382"/>
        <w:rPr>
          <w:sz w:val="20"/>
        </w:rPr>
      </w:pPr>
      <w:r>
        <w:rPr>
          <w:color w:val="4D4D4F"/>
          <w:sz w:val="20"/>
        </w:rPr>
        <w:t>R</w:t>
      </w:r>
      <w:bookmarkStart w:id="53" w:name="_heading=h.2r0uhxc"/>
      <w:bookmarkEnd w:id="53"/>
      <w:r>
        <w:rPr>
          <w:color w:val="4D4D4F"/>
          <w:sz w:val="20"/>
        </w:rPr>
        <w:t>ichness of native perennial forbs during spring/summer must remain above the baseline, set as the mean of the first five years of</w:t>
      </w:r>
      <w:r>
        <w:rPr>
          <w:color w:val="4D4D4F"/>
          <w:spacing w:val="37"/>
          <w:sz w:val="20"/>
        </w:rPr>
        <w:t xml:space="preserve"> </w:t>
      </w:r>
      <w:r>
        <w:rPr>
          <w:color w:val="4D4D4F"/>
          <w:sz w:val="20"/>
        </w:rPr>
        <w:t>monitoring.</w:t>
      </w:r>
    </w:p>
    <w:p w14:paraId="32B59FCE" w14:textId="77777777" w:rsidR="00EF5B27" w:rsidRDefault="00000000">
      <w:pPr>
        <w:pStyle w:val="ListParagraph"/>
        <w:numPr>
          <w:ilvl w:val="0"/>
          <w:numId w:val="37"/>
        </w:numPr>
        <w:tabs>
          <w:tab w:val="left" w:pos="2779"/>
        </w:tabs>
        <w:spacing w:before="116" w:line="254" w:lineRule="auto"/>
        <w:ind w:right="302"/>
        <w:rPr>
          <w:sz w:val="20"/>
        </w:rPr>
      </w:pPr>
      <w:r>
        <w:rPr>
          <w:color w:val="4D4D4F"/>
          <w:sz w:val="20"/>
        </w:rPr>
        <w:t>Richness of all native forbs during drawdown must remain above the baseline, set as the mean of the first five years of</w:t>
      </w:r>
      <w:r>
        <w:rPr>
          <w:color w:val="4D4D4F"/>
          <w:spacing w:val="32"/>
          <w:sz w:val="20"/>
        </w:rPr>
        <w:t xml:space="preserve"> </w:t>
      </w:r>
      <w:r>
        <w:rPr>
          <w:color w:val="4D4D4F"/>
          <w:sz w:val="20"/>
        </w:rPr>
        <w:t>monitoring.</w:t>
      </w:r>
    </w:p>
    <w:p w14:paraId="7CC0814B" w14:textId="77777777" w:rsidR="00EF5B27" w:rsidRDefault="00000000">
      <w:pPr>
        <w:pStyle w:val="ListParagraph"/>
        <w:numPr>
          <w:ilvl w:val="0"/>
          <w:numId w:val="37"/>
        </w:numPr>
        <w:tabs>
          <w:tab w:val="left" w:pos="2779"/>
        </w:tabs>
        <w:spacing w:before="116" w:line="254" w:lineRule="auto"/>
        <w:ind w:right="189"/>
        <w:rPr>
          <w:sz w:val="20"/>
        </w:rPr>
      </w:pPr>
      <w:r>
        <w:rPr>
          <w:color w:val="4D4D4F"/>
          <w:w w:val="105"/>
          <w:sz w:val="20"/>
        </w:rPr>
        <w:t>Percentage</w:t>
      </w:r>
      <w:r>
        <w:rPr>
          <w:color w:val="4D4D4F"/>
          <w:spacing w:val="-24"/>
          <w:w w:val="105"/>
          <w:sz w:val="20"/>
        </w:rPr>
        <w:t xml:space="preserve"> </w:t>
      </w:r>
      <w:r>
        <w:rPr>
          <w:color w:val="4D4D4F"/>
          <w:w w:val="105"/>
          <w:sz w:val="20"/>
        </w:rPr>
        <w:t>of</w:t>
      </w:r>
      <w:r>
        <w:rPr>
          <w:color w:val="4D4D4F"/>
          <w:spacing w:val="-23"/>
          <w:w w:val="105"/>
          <w:sz w:val="20"/>
        </w:rPr>
        <w:t xml:space="preserve"> </w:t>
      </w:r>
      <w:r>
        <w:rPr>
          <w:color w:val="4D4D4F"/>
          <w:w w:val="105"/>
          <w:sz w:val="20"/>
        </w:rPr>
        <w:t>all</w:t>
      </w:r>
      <w:r>
        <w:rPr>
          <w:color w:val="4D4D4F"/>
          <w:spacing w:val="-23"/>
          <w:w w:val="105"/>
          <w:sz w:val="20"/>
        </w:rPr>
        <w:t xml:space="preserve"> </w:t>
      </w:r>
      <w:r>
        <w:rPr>
          <w:color w:val="4D4D4F"/>
          <w:w w:val="105"/>
          <w:sz w:val="20"/>
        </w:rPr>
        <w:t>perennial</w:t>
      </w:r>
      <w:r>
        <w:rPr>
          <w:color w:val="4D4D4F"/>
          <w:spacing w:val="-23"/>
          <w:w w:val="105"/>
          <w:sz w:val="20"/>
        </w:rPr>
        <w:t xml:space="preserve"> </w:t>
      </w:r>
      <w:r>
        <w:rPr>
          <w:color w:val="4D4D4F"/>
          <w:w w:val="105"/>
          <w:sz w:val="20"/>
        </w:rPr>
        <w:t>vegetation</w:t>
      </w:r>
      <w:r>
        <w:rPr>
          <w:color w:val="4D4D4F"/>
          <w:spacing w:val="-23"/>
          <w:w w:val="105"/>
          <w:sz w:val="20"/>
        </w:rPr>
        <w:t xml:space="preserve"> </w:t>
      </w:r>
      <w:r>
        <w:rPr>
          <w:color w:val="4D4D4F"/>
          <w:w w:val="105"/>
          <w:sz w:val="20"/>
        </w:rPr>
        <w:t>(during</w:t>
      </w:r>
      <w:r>
        <w:rPr>
          <w:color w:val="4D4D4F"/>
          <w:spacing w:val="-23"/>
          <w:w w:val="105"/>
          <w:sz w:val="20"/>
        </w:rPr>
        <w:t xml:space="preserve"> </w:t>
      </w:r>
      <w:r>
        <w:rPr>
          <w:color w:val="4D4D4F"/>
          <w:w w:val="105"/>
          <w:sz w:val="20"/>
        </w:rPr>
        <w:t>spring-summer)</w:t>
      </w:r>
      <w:r>
        <w:rPr>
          <w:color w:val="4D4D4F"/>
          <w:spacing w:val="-23"/>
          <w:w w:val="105"/>
          <w:sz w:val="20"/>
        </w:rPr>
        <w:t xml:space="preserve"> </w:t>
      </w:r>
      <w:r>
        <w:rPr>
          <w:color w:val="4D4D4F"/>
          <w:w w:val="105"/>
          <w:sz w:val="20"/>
        </w:rPr>
        <w:t>composed</w:t>
      </w:r>
      <w:r>
        <w:rPr>
          <w:color w:val="4D4D4F"/>
          <w:spacing w:val="-23"/>
          <w:w w:val="105"/>
          <w:sz w:val="20"/>
        </w:rPr>
        <w:t xml:space="preserve"> </w:t>
      </w:r>
      <w:r>
        <w:rPr>
          <w:color w:val="4D4D4F"/>
          <w:w w:val="105"/>
          <w:sz w:val="20"/>
        </w:rPr>
        <w:t>of</w:t>
      </w:r>
      <w:r>
        <w:rPr>
          <w:color w:val="4D4D4F"/>
          <w:spacing w:val="-24"/>
          <w:w w:val="105"/>
          <w:sz w:val="20"/>
        </w:rPr>
        <w:t xml:space="preserve"> </w:t>
      </w:r>
      <w:r>
        <w:rPr>
          <w:color w:val="4D4D4F"/>
          <w:w w:val="105"/>
          <w:sz w:val="20"/>
        </w:rPr>
        <w:t>weeds must</w:t>
      </w:r>
      <w:r>
        <w:rPr>
          <w:color w:val="4D4D4F"/>
          <w:spacing w:val="-23"/>
          <w:w w:val="105"/>
          <w:sz w:val="20"/>
        </w:rPr>
        <w:t xml:space="preserve"> </w:t>
      </w:r>
      <w:r>
        <w:rPr>
          <w:color w:val="4D4D4F"/>
          <w:w w:val="105"/>
          <w:sz w:val="20"/>
        </w:rPr>
        <w:t>remain</w:t>
      </w:r>
      <w:r>
        <w:rPr>
          <w:color w:val="4D4D4F"/>
          <w:spacing w:val="-23"/>
          <w:w w:val="105"/>
          <w:sz w:val="20"/>
        </w:rPr>
        <w:t xml:space="preserve"> </w:t>
      </w:r>
      <w:r>
        <w:rPr>
          <w:color w:val="4D4D4F"/>
          <w:w w:val="105"/>
          <w:sz w:val="20"/>
        </w:rPr>
        <w:t>below</w:t>
      </w:r>
      <w:r>
        <w:rPr>
          <w:color w:val="4D4D4F"/>
          <w:spacing w:val="-22"/>
          <w:w w:val="105"/>
          <w:sz w:val="20"/>
        </w:rPr>
        <w:t xml:space="preserve"> </w:t>
      </w:r>
      <w:r>
        <w:rPr>
          <w:color w:val="4D4D4F"/>
          <w:w w:val="105"/>
          <w:sz w:val="20"/>
        </w:rPr>
        <w:t>the</w:t>
      </w:r>
      <w:r>
        <w:rPr>
          <w:color w:val="4D4D4F"/>
          <w:spacing w:val="-23"/>
          <w:w w:val="105"/>
          <w:sz w:val="20"/>
        </w:rPr>
        <w:t xml:space="preserve"> </w:t>
      </w:r>
      <w:r>
        <w:rPr>
          <w:color w:val="4D4D4F"/>
          <w:w w:val="105"/>
          <w:sz w:val="20"/>
        </w:rPr>
        <w:t>baseline</w:t>
      </w:r>
      <w:r>
        <w:rPr>
          <w:color w:val="4D4D4F"/>
          <w:spacing w:val="-23"/>
          <w:w w:val="105"/>
          <w:sz w:val="20"/>
        </w:rPr>
        <w:t xml:space="preserve"> </w:t>
      </w:r>
      <w:r>
        <w:rPr>
          <w:color w:val="4D4D4F"/>
          <w:spacing w:val="-3"/>
          <w:w w:val="105"/>
          <w:sz w:val="20"/>
        </w:rPr>
        <w:t>(set</w:t>
      </w:r>
      <w:r>
        <w:rPr>
          <w:color w:val="4D4D4F"/>
          <w:spacing w:val="-22"/>
          <w:w w:val="105"/>
          <w:sz w:val="20"/>
        </w:rPr>
        <w:t xml:space="preserve"> </w:t>
      </w:r>
      <w:r>
        <w:rPr>
          <w:color w:val="4D4D4F"/>
          <w:w w:val="105"/>
          <w:sz w:val="20"/>
        </w:rPr>
        <w:t>by</w:t>
      </w:r>
      <w:r>
        <w:rPr>
          <w:color w:val="4D4D4F"/>
          <w:spacing w:val="-23"/>
          <w:w w:val="105"/>
          <w:sz w:val="20"/>
        </w:rPr>
        <w:t xml:space="preserve"> </w:t>
      </w:r>
      <w:r>
        <w:rPr>
          <w:color w:val="4D4D4F"/>
          <w:w w:val="105"/>
          <w:sz w:val="20"/>
        </w:rPr>
        <w:t>the</w:t>
      </w:r>
      <w:r>
        <w:rPr>
          <w:color w:val="4D4D4F"/>
          <w:spacing w:val="-22"/>
          <w:w w:val="105"/>
          <w:sz w:val="20"/>
        </w:rPr>
        <w:t xml:space="preserve"> </w:t>
      </w:r>
      <w:r>
        <w:rPr>
          <w:color w:val="4D4D4F"/>
          <w:w w:val="105"/>
          <w:sz w:val="20"/>
        </w:rPr>
        <w:t>first</w:t>
      </w:r>
      <w:r>
        <w:rPr>
          <w:color w:val="4D4D4F"/>
          <w:spacing w:val="-23"/>
          <w:w w:val="105"/>
          <w:sz w:val="20"/>
        </w:rPr>
        <w:t xml:space="preserve"> </w:t>
      </w:r>
      <w:r>
        <w:rPr>
          <w:color w:val="4D4D4F"/>
          <w:w w:val="105"/>
          <w:sz w:val="20"/>
        </w:rPr>
        <w:t>year</w:t>
      </w:r>
      <w:r>
        <w:rPr>
          <w:color w:val="4D4D4F"/>
          <w:spacing w:val="-23"/>
          <w:w w:val="105"/>
          <w:sz w:val="20"/>
        </w:rPr>
        <w:t xml:space="preserve"> </w:t>
      </w:r>
      <w:r>
        <w:rPr>
          <w:color w:val="4D4D4F"/>
          <w:w w:val="105"/>
          <w:sz w:val="20"/>
        </w:rPr>
        <w:t>of</w:t>
      </w:r>
      <w:r>
        <w:rPr>
          <w:color w:val="4D4D4F"/>
          <w:spacing w:val="-22"/>
          <w:w w:val="105"/>
          <w:sz w:val="20"/>
        </w:rPr>
        <w:t xml:space="preserve"> </w:t>
      </w:r>
      <w:r>
        <w:rPr>
          <w:color w:val="4D4D4F"/>
          <w:w w:val="105"/>
          <w:sz w:val="20"/>
        </w:rPr>
        <w:t>monitoring</w:t>
      </w:r>
      <w:r>
        <w:rPr>
          <w:color w:val="4D4D4F"/>
          <w:spacing w:val="-23"/>
          <w:w w:val="105"/>
          <w:sz w:val="20"/>
        </w:rPr>
        <w:t xml:space="preserve"> </w:t>
      </w:r>
      <w:r>
        <w:rPr>
          <w:color w:val="4D4D4F"/>
          <w:w w:val="105"/>
          <w:sz w:val="20"/>
        </w:rPr>
        <w:t>for</w:t>
      </w:r>
      <w:r>
        <w:rPr>
          <w:color w:val="4D4D4F"/>
          <w:spacing w:val="-23"/>
          <w:w w:val="105"/>
          <w:sz w:val="20"/>
        </w:rPr>
        <w:t xml:space="preserve"> </w:t>
      </w:r>
      <w:r>
        <w:rPr>
          <w:color w:val="4D4D4F"/>
          <w:w w:val="105"/>
          <w:sz w:val="20"/>
        </w:rPr>
        <w:t>the</w:t>
      </w:r>
      <w:r>
        <w:rPr>
          <w:color w:val="4D4D4F"/>
          <w:spacing w:val="-22"/>
          <w:w w:val="105"/>
          <w:sz w:val="20"/>
        </w:rPr>
        <w:t xml:space="preserve"> </w:t>
      </w:r>
      <w:r>
        <w:rPr>
          <w:color w:val="4D4D4F"/>
          <w:w w:val="105"/>
          <w:sz w:val="20"/>
        </w:rPr>
        <w:t>wetland).</w:t>
      </w:r>
    </w:p>
    <w:p w14:paraId="002D03D3" w14:textId="77777777" w:rsidR="00EF5B27" w:rsidRDefault="00000000">
      <w:pPr>
        <w:pStyle w:val="ListParagraph"/>
        <w:numPr>
          <w:ilvl w:val="0"/>
          <w:numId w:val="37"/>
        </w:numPr>
        <w:tabs>
          <w:tab w:val="left" w:pos="2779"/>
        </w:tabs>
        <w:spacing w:before="116" w:line="254" w:lineRule="auto"/>
        <w:ind w:right="168"/>
        <w:rPr>
          <w:sz w:val="20"/>
        </w:rPr>
      </w:pPr>
      <w:r>
        <w:rPr>
          <w:color w:val="4D4D4F"/>
          <w:sz w:val="20"/>
        </w:rPr>
        <w:t xml:space="preserve">Percentage of all perennial vegetation (during drawdown) composed of weeds must remain below the baseline </w:t>
      </w:r>
      <w:r>
        <w:rPr>
          <w:color w:val="4D4D4F"/>
          <w:spacing w:val="-3"/>
          <w:sz w:val="20"/>
        </w:rPr>
        <w:t xml:space="preserve">(set </w:t>
      </w:r>
      <w:r>
        <w:rPr>
          <w:color w:val="4D4D4F"/>
          <w:sz w:val="20"/>
        </w:rPr>
        <w:t>by the first year of monitoring for the</w:t>
      </w:r>
      <w:r>
        <w:rPr>
          <w:color w:val="4D4D4F"/>
          <w:spacing w:val="22"/>
          <w:sz w:val="20"/>
        </w:rPr>
        <w:t xml:space="preserve"> </w:t>
      </w:r>
      <w:r>
        <w:rPr>
          <w:color w:val="4D4D4F"/>
          <w:sz w:val="20"/>
        </w:rPr>
        <w:t>wetland).</w:t>
      </w:r>
    </w:p>
    <w:p w14:paraId="59F86694" w14:textId="77777777" w:rsidR="00EF5B27" w:rsidRDefault="00000000">
      <w:pPr>
        <w:pStyle w:val="BodyText"/>
        <w:spacing w:before="115" w:line="254" w:lineRule="auto"/>
        <w:ind w:left="2608" w:right="308"/>
      </w:pPr>
      <w:r>
        <w:rPr>
          <w:color w:val="4D4D4F"/>
        </w:rPr>
        <w:t>KPIs 1 and 2 are assessed using a continuous improvement approach, where any increase over the baseline in any wetland in a five-year reporting period will lead to the calculation of a new baseline for that wetland for subsequent reporting periods.</w:t>
      </w:r>
    </w:p>
    <w:p w14:paraId="29842D0F" w14:textId="77777777" w:rsidR="00EF5B27" w:rsidRDefault="00000000">
      <w:pPr>
        <w:pStyle w:val="BodyText"/>
        <w:spacing w:before="117" w:line="254" w:lineRule="auto"/>
        <w:ind w:left="2608" w:right="151"/>
      </w:pPr>
      <w:r>
        <w:rPr>
          <w:color w:val="4D4D4F"/>
        </w:rPr>
        <w:t>KPIs 3 and 4 are assessed using a continuous improvement approach, where any decrease below the baseline in any wetland in a five-year reporting period will lead to the calculation of a new baseline for that wetland for subsequent reporting periods.</w:t>
      </w:r>
    </w:p>
    <w:p w14:paraId="4EC172E3" w14:textId="77777777" w:rsidR="00EF5B27" w:rsidRDefault="00EF5B27">
      <w:pPr>
        <w:pStyle w:val="BodyText"/>
      </w:pPr>
    </w:p>
    <w:p w14:paraId="6E615184" w14:textId="77777777" w:rsidR="00EF5B27" w:rsidRDefault="00EF5B27">
      <w:pPr>
        <w:pStyle w:val="BodyText"/>
      </w:pPr>
    </w:p>
    <w:p w14:paraId="26813A1A" w14:textId="77777777" w:rsidR="00EF5B27" w:rsidRDefault="00EF5B27">
      <w:pPr>
        <w:pStyle w:val="BodyText"/>
      </w:pPr>
    </w:p>
    <w:p w14:paraId="469EC8BE" w14:textId="77777777" w:rsidR="00EF5B27" w:rsidRDefault="00EF5B27">
      <w:pPr>
        <w:pStyle w:val="BodyText"/>
      </w:pPr>
    </w:p>
    <w:p w14:paraId="5487FDEF" w14:textId="77777777" w:rsidR="00EF5B27" w:rsidRDefault="00EF5B27">
      <w:pPr>
        <w:pStyle w:val="BodyText"/>
      </w:pPr>
    </w:p>
    <w:p w14:paraId="00259CA9" w14:textId="77777777" w:rsidR="00EF5B27" w:rsidRDefault="00EF5B27">
      <w:pPr>
        <w:pStyle w:val="BodyText"/>
      </w:pPr>
    </w:p>
    <w:p w14:paraId="3DF7A2E9" w14:textId="77777777" w:rsidR="00EF5B27" w:rsidRDefault="00EF5B27">
      <w:pPr>
        <w:pStyle w:val="BodyText"/>
      </w:pPr>
    </w:p>
    <w:p w14:paraId="6031A23B" w14:textId="77777777" w:rsidR="00EF5B27" w:rsidRDefault="00EF5B27">
      <w:pPr>
        <w:pStyle w:val="BodyText"/>
      </w:pPr>
    </w:p>
    <w:p w14:paraId="6B2994A3" w14:textId="77777777" w:rsidR="00EF5B27" w:rsidRDefault="00000000">
      <w:pPr>
        <w:pStyle w:val="BodyText"/>
        <w:spacing w:before="2"/>
      </w:pPr>
      <w:r>
        <w:pict w14:anchorId="7AF1744E">
          <v:line id="_x0000_s3254" style="position:absolute;z-index:251556352;mso-wrap-distance-left:0;mso-wrap-distance-right:0;mso-position-horizontal-relative:page" from="181.4pt,14.5pt" to="538.6pt,14.5pt" strokecolor="#4d4d4f" strokeweight=".5pt">
            <w10:wrap type="topAndBottom" anchorx="page"/>
          </v:line>
        </w:pict>
      </w:r>
    </w:p>
    <w:p w14:paraId="35381DF0" w14:textId="77777777" w:rsidR="00EF5B27" w:rsidRDefault="00000000">
      <w:pPr>
        <w:pStyle w:val="ListParagraph"/>
        <w:numPr>
          <w:ilvl w:val="0"/>
          <w:numId w:val="36"/>
        </w:numPr>
        <w:tabs>
          <w:tab w:val="left" w:pos="2836"/>
        </w:tabs>
        <w:spacing w:before="83"/>
        <w:rPr>
          <w:sz w:val="12"/>
        </w:rPr>
      </w:pPr>
      <w:r>
        <w:rPr>
          <w:color w:val="4D4D4F"/>
          <w:sz w:val="12"/>
        </w:rPr>
        <w:t>DELWP</w:t>
      </w:r>
      <w:r>
        <w:rPr>
          <w:color w:val="4D4D4F"/>
          <w:spacing w:val="4"/>
          <w:sz w:val="12"/>
        </w:rPr>
        <w:t xml:space="preserve"> </w:t>
      </w:r>
      <w:r>
        <w:rPr>
          <w:color w:val="4D4D4F"/>
          <w:sz w:val="12"/>
        </w:rPr>
        <w:t>2015,</w:t>
      </w:r>
      <w:r>
        <w:rPr>
          <w:color w:val="4D4D4F"/>
          <w:spacing w:val="5"/>
          <w:sz w:val="12"/>
        </w:rPr>
        <w:t xml:space="preserve"> </w:t>
      </w:r>
      <w:r>
        <w:rPr>
          <w:color w:val="4D4D4F"/>
          <w:sz w:val="12"/>
        </w:rPr>
        <w:t>‘Monitoring</w:t>
      </w:r>
      <w:r>
        <w:rPr>
          <w:color w:val="4D4D4F"/>
          <w:spacing w:val="5"/>
          <w:sz w:val="12"/>
        </w:rPr>
        <w:t xml:space="preserve"> </w:t>
      </w:r>
      <w:r>
        <w:rPr>
          <w:color w:val="4D4D4F"/>
          <w:sz w:val="12"/>
        </w:rPr>
        <w:t>and</w:t>
      </w:r>
      <w:r>
        <w:rPr>
          <w:color w:val="4D4D4F"/>
          <w:spacing w:val="5"/>
          <w:sz w:val="12"/>
        </w:rPr>
        <w:t xml:space="preserve"> </w:t>
      </w:r>
      <w:r>
        <w:rPr>
          <w:color w:val="4D4D4F"/>
          <w:sz w:val="12"/>
        </w:rPr>
        <w:t>Reporting</w:t>
      </w:r>
      <w:r>
        <w:rPr>
          <w:color w:val="4D4D4F"/>
          <w:spacing w:val="5"/>
          <w:sz w:val="12"/>
        </w:rPr>
        <w:t xml:space="preserve"> </w:t>
      </w:r>
      <w:r>
        <w:rPr>
          <w:color w:val="4D4D4F"/>
          <w:sz w:val="12"/>
        </w:rPr>
        <w:t>Framework</w:t>
      </w:r>
      <w:r>
        <w:rPr>
          <w:color w:val="4D4D4F"/>
          <w:spacing w:val="5"/>
          <w:sz w:val="12"/>
        </w:rPr>
        <w:t xml:space="preserve"> </w:t>
      </w:r>
      <w:r>
        <w:rPr>
          <w:color w:val="4D4D4F"/>
          <w:sz w:val="12"/>
        </w:rPr>
        <w:t>–</w:t>
      </w:r>
      <w:r>
        <w:rPr>
          <w:color w:val="4D4D4F"/>
          <w:spacing w:val="5"/>
          <w:sz w:val="12"/>
        </w:rPr>
        <w:t xml:space="preserve"> </w:t>
      </w:r>
      <w:r>
        <w:rPr>
          <w:color w:val="4D4D4F"/>
          <w:sz w:val="12"/>
        </w:rPr>
        <w:t>Melbourne</w:t>
      </w:r>
      <w:r>
        <w:rPr>
          <w:color w:val="4D4D4F"/>
          <w:spacing w:val="5"/>
          <w:sz w:val="12"/>
        </w:rPr>
        <w:t xml:space="preserve"> </w:t>
      </w:r>
      <w:r>
        <w:rPr>
          <w:color w:val="4D4D4F"/>
          <w:sz w:val="12"/>
        </w:rPr>
        <w:t>Strategic</w:t>
      </w:r>
      <w:r>
        <w:rPr>
          <w:color w:val="4D4D4F"/>
          <w:spacing w:val="5"/>
          <w:sz w:val="12"/>
        </w:rPr>
        <w:t xml:space="preserve"> </w:t>
      </w:r>
      <w:r>
        <w:rPr>
          <w:color w:val="4D4D4F"/>
          <w:sz w:val="12"/>
        </w:rPr>
        <w:t>Assessment’,</w:t>
      </w:r>
      <w:r>
        <w:rPr>
          <w:color w:val="4D4D4F"/>
          <w:spacing w:val="5"/>
          <w:sz w:val="12"/>
        </w:rPr>
        <w:t xml:space="preserve"> </w:t>
      </w:r>
      <w:r>
        <w:rPr>
          <w:color w:val="4D4D4F"/>
          <w:sz w:val="12"/>
        </w:rPr>
        <w:t>East</w:t>
      </w:r>
      <w:r>
        <w:rPr>
          <w:color w:val="4D4D4F"/>
          <w:spacing w:val="5"/>
          <w:sz w:val="12"/>
        </w:rPr>
        <w:t xml:space="preserve"> </w:t>
      </w:r>
      <w:r>
        <w:rPr>
          <w:color w:val="4D4D4F"/>
          <w:sz w:val="12"/>
        </w:rPr>
        <w:t>Melbourne,</w:t>
      </w:r>
      <w:r>
        <w:rPr>
          <w:color w:val="4D4D4F"/>
          <w:spacing w:val="5"/>
          <w:sz w:val="12"/>
        </w:rPr>
        <w:t xml:space="preserve"> </w:t>
      </w:r>
      <w:r>
        <w:rPr>
          <w:color w:val="4D4D4F"/>
          <w:sz w:val="12"/>
        </w:rPr>
        <w:t>Victoria.</w:t>
      </w:r>
    </w:p>
    <w:p w14:paraId="44E1493E" w14:textId="77777777" w:rsidR="00EF5B27" w:rsidRDefault="00EF5B27">
      <w:pPr>
        <w:rPr>
          <w:sz w:val="12"/>
        </w:rPr>
        <w:sectPr w:rsidR="00EF5B27">
          <w:pgSz w:w="11910" w:h="16840"/>
          <w:pgMar w:top="1080" w:right="1020" w:bottom="860" w:left="1020" w:header="537" w:footer="678" w:gutter="0"/>
          <w:cols w:space="720"/>
        </w:sectPr>
      </w:pPr>
    </w:p>
    <w:p w14:paraId="11C3AD30" w14:textId="77777777" w:rsidR="00EF5B27" w:rsidRDefault="00000000">
      <w:pPr>
        <w:pStyle w:val="BodyText"/>
      </w:pPr>
      <w:r>
        <w:lastRenderedPageBreak/>
        <w:pict w14:anchorId="1C07D9C9">
          <v:group id="_x0000_s3246" style="position:absolute;margin-left:587.05pt;margin-top:183.4pt;width:8.25pt;height:153.1pt;z-index:251608576;mso-position-horizontal-relative:page;mso-position-vertical-relative:page" coordorigin="11741,3668" coordsize="165,3062">
            <v:shape id="_x0000_s3253" style="position:absolute;left:11741;top:3668;width:165;height:561" coordorigin="11741,3668" coordsize="165,561" path="m11906,3668r-165,l11741,4228r165,-18l11906,3668xe" fillcolor="#00aed9" stroked="f">
              <v:path arrowok="t"/>
            </v:shape>
            <v:shape id="_x0000_s3252" style="position:absolute;left:11741;top:4118;width:165;height:425" coordorigin="11741,4118" coordsize="165,425" path="m11906,4118r-165,14l11741,4531r165,12l11906,4118xe" fillcolor="#047ebc" stroked="f">
              <v:path arrowok="t"/>
            </v:shape>
            <v:shape id="_x0000_s3251" type="#_x0000_t75" style="position:absolute;left:11741;top:4355;width:165;height:587">
              <v:imagedata r:id="rId42" o:title=""/>
            </v:shape>
            <v:shape id="_x0000_s3250" style="position:absolute;left:11741;top:5343;width:165;height:536" coordorigin="11741,5343" coordsize="165,536" path="m11741,5343r,535l11906,5872r,-525l11741,5343xe" fillcolor="#f36a2e" stroked="f">
              <v:path arrowok="t"/>
            </v:shape>
            <v:shape id="_x0000_s3249" style="position:absolute;left:11741;top:4925;width:165;height:501" coordorigin="11741,4926" coordsize="165,501" path="m11741,4926r,500l11906,5426r,-485l11741,4926xe" fillcolor="#49783f" stroked="f">
              <v:path arrowok="t"/>
            </v:shape>
            <v:shape id="_x0000_s3248" style="position:absolute;left:11741;top:5781;width:165;height:268" coordorigin="11741,5782" coordsize="165,268" path="m11906,5782r-165,8l11741,6039r165,10l11906,5782xe" fillcolor="#f99f2a" stroked="f">
              <v:path arrowok="t"/>
            </v:shape>
            <v:shape id="_x0000_s3247" style="position:absolute;left:11741;top:6023;width:165;height:707" coordorigin="11741,6023" coordsize="165,707" path="m11741,6023r,706l11906,6729r,-690l11741,6023xe" fillcolor="#ef412c" stroked="f">
              <v:path arrowok="t"/>
            </v:shape>
            <w10:wrap anchorx="page" anchory="page"/>
          </v:group>
        </w:pict>
      </w:r>
    </w:p>
    <w:p w14:paraId="1AD7BFDD" w14:textId="77777777" w:rsidR="00EF5B27" w:rsidRDefault="00EF5B27">
      <w:pPr>
        <w:pStyle w:val="BodyText"/>
      </w:pPr>
    </w:p>
    <w:p w14:paraId="61E84851" w14:textId="77777777" w:rsidR="00EF5B27" w:rsidRDefault="00EF5B27">
      <w:pPr>
        <w:pStyle w:val="BodyText"/>
      </w:pPr>
    </w:p>
    <w:p w14:paraId="272B2CC2" w14:textId="77777777" w:rsidR="00EF5B27" w:rsidRDefault="00EF5B27">
      <w:pPr>
        <w:pStyle w:val="BodyText"/>
      </w:pPr>
    </w:p>
    <w:p w14:paraId="3E60E671" w14:textId="77777777" w:rsidR="00EF5B27" w:rsidRDefault="00EF5B27">
      <w:pPr>
        <w:pStyle w:val="BodyText"/>
        <w:spacing w:before="5"/>
        <w:rPr>
          <w:sz w:val="16"/>
        </w:rPr>
      </w:pPr>
    </w:p>
    <w:tbl>
      <w:tblPr>
        <w:tblW w:w="0" w:type="auto"/>
        <w:tblInd w:w="261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152"/>
        <w:gridCol w:w="4989"/>
      </w:tblGrid>
      <w:tr w:rsidR="00EF5B27" w14:paraId="37E0381D" w14:textId="77777777">
        <w:trPr>
          <w:trHeight w:val="459"/>
        </w:trPr>
        <w:tc>
          <w:tcPr>
            <w:tcW w:w="2152" w:type="dxa"/>
            <w:shd w:val="clear" w:color="auto" w:fill="FECC91"/>
          </w:tcPr>
          <w:p w14:paraId="26756055" w14:textId="77777777" w:rsidR="00EF5B27" w:rsidRDefault="00000000">
            <w:pPr>
              <w:pStyle w:val="TableParagraph"/>
              <w:spacing w:before="140"/>
              <w:ind w:left="113"/>
              <w:rPr>
                <w:b/>
                <w:sz w:val="16"/>
              </w:rPr>
            </w:pPr>
            <w:r>
              <w:rPr>
                <w:b/>
                <w:w w:val="105"/>
                <w:sz w:val="16"/>
              </w:rPr>
              <w:t>MNES</w:t>
            </w:r>
          </w:p>
        </w:tc>
        <w:tc>
          <w:tcPr>
            <w:tcW w:w="4989" w:type="dxa"/>
          </w:tcPr>
          <w:p w14:paraId="7FFD6A34" w14:textId="77777777" w:rsidR="00EF5B27" w:rsidRDefault="00000000">
            <w:pPr>
              <w:pStyle w:val="TableParagraph"/>
              <w:spacing w:before="140"/>
              <w:ind w:left="113"/>
              <w:rPr>
                <w:sz w:val="16"/>
              </w:rPr>
            </w:pPr>
            <w:r>
              <w:rPr>
                <w:color w:val="4D4D4F"/>
                <w:sz w:val="16"/>
              </w:rPr>
              <w:t>3. Seasonal Herbaceous Wetlands</w:t>
            </w:r>
          </w:p>
        </w:tc>
      </w:tr>
      <w:tr w:rsidR="00EF5B27" w14:paraId="2FD8A82D" w14:textId="77777777">
        <w:trPr>
          <w:trHeight w:val="859"/>
        </w:trPr>
        <w:tc>
          <w:tcPr>
            <w:tcW w:w="2152" w:type="dxa"/>
            <w:shd w:val="clear" w:color="auto" w:fill="FECC91"/>
          </w:tcPr>
          <w:p w14:paraId="2FD587AE" w14:textId="77777777" w:rsidR="00EF5B27" w:rsidRDefault="00000000">
            <w:pPr>
              <w:pStyle w:val="TableParagraph"/>
              <w:spacing w:before="140" w:line="244" w:lineRule="auto"/>
              <w:ind w:left="113" w:right="279"/>
              <w:rPr>
                <w:b/>
                <w:sz w:val="16"/>
              </w:rPr>
            </w:pPr>
            <w:r>
              <w:rPr>
                <w:b/>
                <w:sz w:val="16"/>
              </w:rPr>
              <w:t>Commonwealth approved 2015 MSA MRF single outcome statement</w:t>
            </w:r>
          </w:p>
        </w:tc>
        <w:tc>
          <w:tcPr>
            <w:tcW w:w="4989" w:type="dxa"/>
          </w:tcPr>
          <w:p w14:paraId="2DC2DB34" w14:textId="77777777" w:rsidR="00EF5B27" w:rsidRDefault="00EF5B27">
            <w:pPr>
              <w:pStyle w:val="TableParagraph"/>
              <w:spacing w:before="10"/>
              <w:rPr>
                <w:sz w:val="18"/>
              </w:rPr>
            </w:pPr>
          </w:p>
          <w:p w14:paraId="27602E30" w14:textId="77777777" w:rsidR="00EF5B27" w:rsidRDefault="00000000">
            <w:pPr>
              <w:pStyle w:val="TableParagraph"/>
              <w:spacing w:line="271" w:lineRule="auto"/>
              <w:ind w:left="113" w:right="469"/>
              <w:rPr>
                <w:sz w:val="16"/>
              </w:rPr>
            </w:pPr>
            <w:r>
              <w:rPr>
                <w:color w:val="4D4D4F"/>
                <w:sz w:val="16"/>
              </w:rPr>
              <w:t>The composition, structure and function of Seasonal Herbaceous Wetlands (freshwater) improves.</w:t>
            </w:r>
          </w:p>
        </w:tc>
      </w:tr>
      <w:tr w:rsidR="00EF5B27" w14:paraId="2DF3D60D" w14:textId="77777777">
        <w:trPr>
          <w:trHeight w:val="859"/>
        </w:trPr>
        <w:tc>
          <w:tcPr>
            <w:tcW w:w="2152" w:type="dxa"/>
            <w:shd w:val="clear" w:color="auto" w:fill="FECC91"/>
          </w:tcPr>
          <w:p w14:paraId="25B89DCA" w14:textId="77777777" w:rsidR="00EF5B27" w:rsidRDefault="00000000">
            <w:pPr>
              <w:pStyle w:val="TableParagraph"/>
              <w:spacing w:before="140" w:line="244" w:lineRule="auto"/>
              <w:ind w:left="113"/>
              <w:rPr>
                <w:b/>
                <w:sz w:val="16"/>
              </w:rPr>
            </w:pPr>
            <w:r>
              <w:rPr>
                <w:b/>
                <w:sz w:val="16"/>
              </w:rPr>
              <w:t>2014–2020 Ecological Outcomes Report single outcome statement</w:t>
            </w:r>
          </w:p>
        </w:tc>
        <w:tc>
          <w:tcPr>
            <w:tcW w:w="4989" w:type="dxa"/>
          </w:tcPr>
          <w:p w14:paraId="368A2740" w14:textId="77777777" w:rsidR="00EF5B27" w:rsidRDefault="00EF5B27">
            <w:pPr>
              <w:pStyle w:val="TableParagraph"/>
              <w:spacing w:before="10"/>
              <w:rPr>
                <w:sz w:val="18"/>
              </w:rPr>
            </w:pPr>
          </w:p>
          <w:p w14:paraId="6D10860F" w14:textId="77777777" w:rsidR="00EF5B27" w:rsidRDefault="00000000">
            <w:pPr>
              <w:pStyle w:val="TableParagraph"/>
              <w:spacing w:line="271" w:lineRule="auto"/>
              <w:ind w:left="113" w:right="469"/>
              <w:rPr>
                <w:sz w:val="16"/>
              </w:rPr>
            </w:pPr>
            <w:r>
              <w:rPr>
                <w:color w:val="4D4D4F"/>
                <w:sz w:val="16"/>
              </w:rPr>
              <w:t>The composition, structure and function of Seasonal Herbaceous Wetlands of the Temperate Lowland Plains improves.</w:t>
            </w:r>
          </w:p>
        </w:tc>
      </w:tr>
      <w:tr w:rsidR="00EF5B27" w14:paraId="15710DF3" w14:textId="77777777">
        <w:trPr>
          <w:trHeight w:val="2257"/>
        </w:trPr>
        <w:tc>
          <w:tcPr>
            <w:tcW w:w="2152" w:type="dxa"/>
            <w:shd w:val="clear" w:color="auto" w:fill="FECC91"/>
          </w:tcPr>
          <w:p w14:paraId="7E677A13" w14:textId="77777777" w:rsidR="00EF5B27" w:rsidRDefault="00EF5B27">
            <w:pPr>
              <w:pStyle w:val="TableParagraph"/>
              <w:rPr>
                <w:sz w:val="20"/>
              </w:rPr>
            </w:pPr>
          </w:p>
          <w:p w14:paraId="62C3246F" w14:textId="77777777" w:rsidR="00EF5B27" w:rsidRDefault="00EF5B27">
            <w:pPr>
              <w:pStyle w:val="TableParagraph"/>
              <w:rPr>
                <w:sz w:val="20"/>
              </w:rPr>
            </w:pPr>
          </w:p>
          <w:p w14:paraId="7359A823" w14:textId="77777777" w:rsidR="00EF5B27" w:rsidRDefault="00EF5B27">
            <w:pPr>
              <w:pStyle w:val="TableParagraph"/>
              <w:spacing w:before="6"/>
              <w:rPr>
                <w:sz w:val="20"/>
              </w:rPr>
            </w:pPr>
          </w:p>
          <w:p w14:paraId="5194438B" w14:textId="77777777" w:rsidR="00EF5B27" w:rsidRDefault="00000000">
            <w:pPr>
              <w:pStyle w:val="TableParagraph"/>
              <w:spacing w:line="244" w:lineRule="auto"/>
              <w:ind w:left="113"/>
              <w:rPr>
                <w:b/>
                <w:sz w:val="16"/>
              </w:rPr>
            </w:pPr>
            <w:r>
              <w:rPr>
                <w:b/>
                <w:sz w:val="16"/>
              </w:rPr>
              <w:t>Conservation Outcomes published in the Victorian Government Gazette – Issue G4, 27 January 2022</w:t>
            </w:r>
          </w:p>
        </w:tc>
        <w:tc>
          <w:tcPr>
            <w:tcW w:w="4989" w:type="dxa"/>
          </w:tcPr>
          <w:p w14:paraId="3FF01D03" w14:textId="77777777" w:rsidR="00EF5B27" w:rsidRDefault="00EF5B27">
            <w:pPr>
              <w:pStyle w:val="TableParagraph"/>
              <w:rPr>
                <w:sz w:val="15"/>
              </w:rPr>
            </w:pPr>
          </w:p>
          <w:p w14:paraId="7995DD0B" w14:textId="77777777" w:rsidR="00EF5B27" w:rsidRDefault="00000000">
            <w:pPr>
              <w:pStyle w:val="TableParagraph"/>
              <w:spacing w:line="271" w:lineRule="auto"/>
              <w:ind w:left="113" w:right="469"/>
              <w:rPr>
                <w:sz w:val="16"/>
              </w:rPr>
            </w:pPr>
            <w:r>
              <w:rPr>
                <w:color w:val="4D4D4F"/>
                <w:sz w:val="16"/>
              </w:rPr>
              <w:t>The permanent protection of Seasonal Herbaceous Wetlands (freshwater) in:</w:t>
            </w:r>
          </w:p>
          <w:p w14:paraId="054DF0DA" w14:textId="77777777" w:rsidR="00EF5B27" w:rsidRDefault="00000000">
            <w:pPr>
              <w:pStyle w:val="TableParagraph"/>
              <w:numPr>
                <w:ilvl w:val="0"/>
                <w:numId w:val="35"/>
              </w:numPr>
              <w:tabs>
                <w:tab w:val="left" w:pos="227"/>
              </w:tabs>
              <w:spacing w:before="56"/>
              <w:ind w:hanging="113"/>
              <w:rPr>
                <w:sz w:val="16"/>
              </w:rPr>
            </w:pPr>
            <w:r>
              <w:rPr>
                <w:color w:val="4D4D4F"/>
                <w:sz w:val="16"/>
              </w:rPr>
              <w:t>the Western Grassland</w:t>
            </w:r>
            <w:r>
              <w:rPr>
                <w:color w:val="4D4D4F"/>
                <w:spacing w:val="12"/>
                <w:sz w:val="16"/>
              </w:rPr>
              <w:t xml:space="preserve"> </w:t>
            </w:r>
            <w:r>
              <w:rPr>
                <w:color w:val="4D4D4F"/>
                <w:sz w:val="16"/>
              </w:rPr>
              <w:t>Reserve</w:t>
            </w:r>
          </w:p>
          <w:p w14:paraId="1A1D866E" w14:textId="77777777" w:rsidR="00EF5B27" w:rsidRDefault="00000000">
            <w:pPr>
              <w:pStyle w:val="TableParagraph"/>
              <w:numPr>
                <w:ilvl w:val="0"/>
                <w:numId w:val="35"/>
              </w:numPr>
              <w:tabs>
                <w:tab w:val="left" w:pos="227"/>
              </w:tabs>
              <w:spacing w:before="81" w:line="271" w:lineRule="auto"/>
              <w:ind w:right="1535" w:hanging="113"/>
              <w:rPr>
                <w:sz w:val="16"/>
              </w:rPr>
            </w:pPr>
            <w:r>
              <w:rPr>
                <w:color w:val="4D4D4F"/>
                <w:sz w:val="16"/>
              </w:rPr>
              <w:t>the conservation areas identified in the BCS and the Conservation Areas</w:t>
            </w:r>
            <w:r>
              <w:rPr>
                <w:color w:val="4D4D4F"/>
                <w:spacing w:val="17"/>
                <w:sz w:val="16"/>
              </w:rPr>
              <w:t xml:space="preserve"> </w:t>
            </w:r>
            <w:r>
              <w:rPr>
                <w:color w:val="4D4D4F"/>
                <w:sz w:val="16"/>
              </w:rPr>
              <w:t>Declaration</w:t>
            </w:r>
          </w:p>
          <w:p w14:paraId="79BAFC61" w14:textId="77777777" w:rsidR="00EF5B27" w:rsidRDefault="00000000">
            <w:pPr>
              <w:pStyle w:val="TableParagraph"/>
              <w:spacing w:before="55" w:line="271" w:lineRule="auto"/>
              <w:ind w:left="113" w:right="469"/>
              <w:rPr>
                <w:sz w:val="16"/>
              </w:rPr>
            </w:pPr>
            <w:r>
              <w:rPr>
                <w:color w:val="4D4D4F"/>
                <w:sz w:val="16"/>
              </w:rPr>
              <w:t xml:space="preserve">Improved composition, </w:t>
            </w:r>
            <w:r>
              <w:rPr>
                <w:color w:val="4D4D4F"/>
                <w:spacing w:val="2"/>
                <w:sz w:val="16"/>
              </w:rPr>
              <w:t xml:space="preserve">structure, </w:t>
            </w:r>
            <w:r>
              <w:rPr>
                <w:color w:val="4D4D4F"/>
                <w:sz w:val="16"/>
              </w:rPr>
              <w:t>quality, and ecological function of protected Seasonal Herbaceous Wetlands (freshwater) that are greater than three ha in</w:t>
            </w:r>
            <w:r>
              <w:rPr>
                <w:color w:val="4D4D4F"/>
                <w:spacing w:val="17"/>
                <w:sz w:val="16"/>
              </w:rPr>
              <w:t xml:space="preserve"> </w:t>
            </w:r>
            <w:r>
              <w:rPr>
                <w:color w:val="4D4D4F"/>
                <w:sz w:val="16"/>
              </w:rPr>
              <w:t>size</w:t>
            </w:r>
          </w:p>
        </w:tc>
      </w:tr>
    </w:tbl>
    <w:p w14:paraId="2D30EEBB" w14:textId="77777777" w:rsidR="00EF5B27" w:rsidRDefault="00EF5B27">
      <w:pPr>
        <w:pStyle w:val="BodyText"/>
        <w:spacing w:before="8"/>
        <w:rPr>
          <w:sz w:val="23"/>
        </w:rPr>
      </w:pPr>
    </w:p>
    <w:p w14:paraId="49435267" w14:textId="77777777" w:rsidR="00EF5B27" w:rsidRDefault="00000000">
      <w:pPr>
        <w:pStyle w:val="Heading3"/>
        <w:spacing w:before="116"/>
        <w:ind w:left="2610"/>
      </w:pPr>
      <w:r>
        <w:rPr>
          <w:color w:val="F99F2A"/>
        </w:rPr>
        <w:t>Monitored areas</w:t>
      </w:r>
    </w:p>
    <w:p w14:paraId="36BD046C" w14:textId="77777777" w:rsidR="00EF5B27" w:rsidRDefault="00000000">
      <w:pPr>
        <w:pStyle w:val="BodyText"/>
        <w:spacing w:before="221" w:line="254" w:lineRule="auto"/>
        <w:ind w:left="2610" w:right="382"/>
        <w:jc w:val="both"/>
      </w:pPr>
      <w:r>
        <w:rPr>
          <w:color w:val="4D4D4F"/>
        </w:rPr>
        <w:t>Seasonal Herbaceous Wetlands are monitored as discrete wetlands. Each wetland is reported separately. All Seasonal Herbaceous Wetlands sites exceeding 3 ha in area are monitored.</w:t>
      </w:r>
    </w:p>
    <w:p w14:paraId="0C5F7642" w14:textId="77777777" w:rsidR="00EF5B27" w:rsidRDefault="00000000">
      <w:pPr>
        <w:pStyle w:val="BodyText"/>
        <w:spacing w:before="117" w:line="254" w:lineRule="auto"/>
        <w:ind w:left="2610"/>
      </w:pPr>
      <w:r>
        <w:rPr>
          <w:color w:val="4D4D4F"/>
        </w:rPr>
        <w:t>The first parcels of land supporting Seasonal Herbaceous Wetlands were acquired in 2012. These areas contained three wetlands greater than 3 ha. As of 2019, no further examples of Seasonal Herbaceous Wetlands have been protected which meet this criterion. All monitored wetlands are in the Western Grassland Reserve. They are:</w:t>
      </w:r>
    </w:p>
    <w:p w14:paraId="45487F58" w14:textId="77777777" w:rsidR="00EF5B27" w:rsidRDefault="00000000">
      <w:pPr>
        <w:pStyle w:val="ListParagraph"/>
        <w:numPr>
          <w:ilvl w:val="0"/>
          <w:numId w:val="34"/>
        </w:numPr>
        <w:tabs>
          <w:tab w:val="left" w:pos="2781"/>
        </w:tabs>
        <w:spacing w:before="118"/>
        <w:ind w:hanging="168"/>
        <w:rPr>
          <w:sz w:val="11"/>
        </w:rPr>
      </w:pPr>
      <w:r>
        <w:rPr>
          <w:color w:val="4D4D4F"/>
          <w:spacing w:val="-5"/>
          <w:sz w:val="20"/>
        </w:rPr>
        <w:t xml:space="preserve">Cobbledicks Rise </w:t>
      </w:r>
      <w:r>
        <w:rPr>
          <w:color w:val="4D4D4F"/>
          <w:spacing w:val="-6"/>
          <w:sz w:val="20"/>
        </w:rPr>
        <w:t xml:space="preserve">Wetland </w:t>
      </w:r>
      <w:r>
        <w:rPr>
          <w:color w:val="4D4D4F"/>
          <w:spacing w:val="-9"/>
          <w:sz w:val="20"/>
        </w:rPr>
        <w:t xml:space="preserve">(5.1 </w:t>
      </w:r>
      <w:r>
        <w:rPr>
          <w:color w:val="4D4D4F"/>
          <w:spacing w:val="-4"/>
          <w:sz w:val="20"/>
        </w:rPr>
        <w:t xml:space="preserve">ha, </w:t>
      </w:r>
      <w:r>
        <w:rPr>
          <w:color w:val="4D4D4F"/>
          <w:sz w:val="20"/>
        </w:rPr>
        <w:t xml:space="preserve">part </w:t>
      </w:r>
      <w:r>
        <w:rPr>
          <w:color w:val="4D4D4F"/>
          <w:spacing w:val="-3"/>
          <w:sz w:val="20"/>
        </w:rPr>
        <w:t xml:space="preserve">of </w:t>
      </w:r>
      <w:r>
        <w:rPr>
          <w:color w:val="4D4D4F"/>
          <w:spacing w:val="-4"/>
          <w:sz w:val="20"/>
        </w:rPr>
        <w:t xml:space="preserve">the </w:t>
      </w:r>
      <w:r>
        <w:rPr>
          <w:color w:val="4D4D4F"/>
          <w:spacing w:val="-5"/>
          <w:sz w:val="20"/>
        </w:rPr>
        <w:t xml:space="preserve">Cobbledicks </w:t>
      </w:r>
      <w:r>
        <w:rPr>
          <w:color w:val="4D4D4F"/>
          <w:spacing w:val="-6"/>
          <w:sz w:val="20"/>
        </w:rPr>
        <w:t xml:space="preserve">cluster </w:t>
      </w:r>
      <w:r>
        <w:rPr>
          <w:color w:val="4D4D4F"/>
          <w:spacing w:val="-5"/>
          <w:sz w:val="20"/>
        </w:rPr>
        <w:t xml:space="preserve">noted </w:t>
      </w:r>
      <w:r>
        <w:rPr>
          <w:color w:val="4D4D4F"/>
          <w:spacing w:val="-4"/>
          <w:sz w:val="20"/>
        </w:rPr>
        <w:t xml:space="preserve">in </w:t>
      </w:r>
      <w:r>
        <w:rPr>
          <w:color w:val="4D4D4F"/>
          <w:spacing w:val="-5"/>
          <w:sz w:val="20"/>
        </w:rPr>
        <w:t>DEPI</w:t>
      </w:r>
      <w:r>
        <w:rPr>
          <w:color w:val="4D4D4F"/>
          <w:spacing w:val="18"/>
          <w:sz w:val="20"/>
        </w:rPr>
        <w:t xml:space="preserve"> </w:t>
      </w:r>
      <w:r>
        <w:rPr>
          <w:color w:val="4D4D4F"/>
          <w:spacing w:val="-8"/>
          <w:sz w:val="20"/>
        </w:rPr>
        <w:t>(2013b)</w:t>
      </w:r>
      <w:r>
        <w:rPr>
          <w:color w:val="4D4D4F"/>
          <w:spacing w:val="-8"/>
          <w:position w:val="7"/>
          <w:sz w:val="11"/>
        </w:rPr>
        <w:t>154</w:t>
      </w:r>
    </w:p>
    <w:p w14:paraId="094A23BF" w14:textId="77777777" w:rsidR="00EF5B27" w:rsidRDefault="00000000">
      <w:pPr>
        <w:pStyle w:val="ListParagraph"/>
        <w:numPr>
          <w:ilvl w:val="0"/>
          <w:numId w:val="34"/>
        </w:numPr>
        <w:tabs>
          <w:tab w:val="left" w:pos="2781"/>
        </w:tabs>
        <w:spacing w:before="130"/>
        <w:ind w:hanging="168"/>
        <w:rPr>
          <w:sz w:val="20"/>
        </w:rPr>
      </w:pPr>
      <w:r>
        <w:rPr>
          <w:color w:val="4D4D4F"/>
          <w:sz w:val="20"/>
        </w:rPr>
        <w:t xml:space="preserve">One </w:t>
      </w:r>
      <w:r>
        <w:rPr>
          <w:color w:val="4D4D4F"/>
          <w:spacing w:val="-3"/>
          <w:sz w:val="20"/>
        </w:rPr>
        <w:t xml:space="preserve">Tree </w:t>
      </w:r>
      <w:r>
        <w:rPr>
          <w:color w:val="4D4D4F"/>
          <w:sz w:val="20"/>
        </w:rPr>
        <w:t xml:space="preserve">Rise Wetland </w:t>
      </w:r>
      <w:r>
        <w:rPr>
          <w:color w:val="4D4D4F"/>
          <w:spacing w:val="-6"/>
          <w:sz w:val="20"/>
        </w:rPr>
        <w:t>(3.1</w:t>
      </w:r>
      <w:r>
        <w:rPr>
          <w:color w:val="4D4D4F"/>
          <w:spacing w:val="22"/>
          <w:sz w:val="20"/>
        </w:rPr>
        <w:t xml:space="preserve"> </w:t>
      </w:r>
      <w:r>
        <w:rPr>
          <w:color w:val="4D4D4F"/>
          <w:spacing w:val="-3"/>
          <w:sz w:val="20"/>
        </w:rPr>
        <w:t>ha)</w:t>
      </w:r>
    </w:p>
    <w:p w14:paraId="7C4A0284" w14:textId="77777777" w:rsidR="00EF5B27" w:rsidRDefault="00000000">
      <w:pPr>
        <w:pStyle w:val="ListParagraph"/>
        <w:numPr>
          <w:ilvl w:val="0"/>
          <w:numId w:val="34"/>
        </w:numPr>
        <w:tabs>
          <w:tab w:val="left" w:pos="2781"/>
        </w:tabs>
        <w:spacing w:before="129"/>
        <w:ind w:hanging="168"/>
        <w:rPr>
          <w:sz w:val="11"/>
        </w:rPr>
      </w:pPr>
      <w:r>
        <w:rPr>
          <w:color w:val="4D4D4F"/>
          <w:sz w:val="20"/>
        </w:rPr>
        <w:t>Windmill Wetland (4.3 ha, part of the Cobbledicks cluster noted in DEPI</w:t>
      </w:r>
      <w:r>
        <w:rPr>
          <w:color w:val="4D4D4F"/>
          <w:spacing w:val="25"/>
          <w:sz w:val="20"/>
        </w:rPr>
        <w:t xml:space="preserve"> </w:t>
      </w:r>
      <w:r>
        <w:rPr>
          <w:color w:val="4D4D4F"/>
          <w:spacing w:val="-4"/>
          <w:sz w:val="20"/>
        </w:rPr>
        <w:t>(2013b)</w:t>
      </w:r>
      <w:r>
        <w:rPr>
          <w:color w:val="4D4D4F"/>
          <w:spacing w:val="-4"/>
          <w:position w:val="7"/>
          <w:sz w:val="11"/>
        </w:rPr>
        <w:t>155</w:t>
      </w:r>
    </w:p>
    <w:p w14:paraId="3E4F81A2" w14:textId="77777777" w:rsidR="00EF5B27" w:rsidRDefault="00000000">
      <w:pPr>
        <w:pStyle w:val="ListParagraph"/>
        <w:numPr>
          <w:ilvl w:val="0"/>
          <w:numId w:val="34"/>
        </w:numPr>
        <w:tabs>
          <w:tab w:val="left" w:pos="2781"/>
        </w:tabs>
        <w:spacing w:before="129"/>
        <w:ind w:hanging="168"/>
        <w:rPr>
          <w:sz w:val="20"/>
        </w:rPr>
      </w:pPr>
      <w:r>
        <w:rPr>
          <w:color w:val="4D4D4F"/>
          <w:spacing w:val="-5"/>
          <w:sz w:val="20"/>
        </w:rPr>
        <w:t xml:space="preserve">Monitoring </w:t>
      </w:r>
      <w:r>
        <w:rPr>
          <w:color w:val="4D4D4F"/>
          <w:spacing w:val="-4"/>
          <w:sz w:val="20"/>
        </w:rPr>
        <w:t xml:space="preserve">commenced for all </w:t>
      </w:r>
      <w:r>
        <w:rPr>
          <w:color w:val="4D4D4F"/>
          <w:spacing w:val="-3"/>
          <w:sz w:val="20"/>
        </w:rPr>
        <w:t xml:space="preserve">three </w:t>
      </w:r>
      <w:r>
        <w:rPr>
          <w:color w:val="4D4D4F"/>
          <w:spacing w:val="-5"/>
          <w:sz w:val="20"/>
        </w:rPr>
        <w:t xml:space="preserve">sites </w:t>
      </w:r>
      <w:r>
        <w:rPr>
          <w:color w:val="4D4D4F"/>
          <w:spacing w:val="-4"/>
          <w:sz w:val="20"/>
        </w:rPr>
        <w:t xml:space="preserve">in </w:t>
      </w:r>
      <w:r>
        <w:rPr>
          <w:color w:val="4D4D4F"/>
          <w:spacing w:val="-6"/>
          <w:sz w:val="20"/>
        </w:rPr>
        <w:t xml:space="preserve">2014. </w:t>
      </w:r>
      <w:r>
        <w:rPr>
          <w:color w:val="4D4D4F"/>
          <w:spacing w:val="-4"/>
          <w:sz w:val="20"/>
        </w:rPr>
        <w:t xml:space="preserve">Their </w:t>
      </w:r>
      <w:r>
        <w:rPr>
          <w:color w:val="4D4D4F"/>
          <w:spacing w:val="-5"/>
          <w:sz w:val="20"/>
        </w:rPr>
        <w:t xml:space="preserve">locations </w:t>
      </w:r>
      <w:r>
        <w:rPr>
          <w:color w:val="4D4D4F"/>
          <w:sz w:val="20"/>
        </w:rPr>
        <w:t xml:space="preserve">are </w:t>
      </w:r>
      <w:r>
        <w:rPr>
          <w:color w:val="4D4D4F"/>
          <w:spacing w:val="-3"/>
          <w:sz w:val="20"/>
        </w:rPr>
        <w:t xml:space="preserve">shown </w:t>
      </w:r>
      <w:r>
        <w:rPr>
          <w:color w:val="4D4D4F"/>
          <w:spacing w:val="-4"/>
          <w:sz w:val="20"/>
        </w:rPr>
        <w:t xml:space="preserve">in </w:t>
      </w:r>
      <w:hyperlink w:anchor="_bookmark40" w:history="1">
        <w:r>
          <w:rPr>
            <w:color w:val="4D4D4F"/>
            <w:spacing w:val="-4"/>
            <w:sz w:val="20"/>
          </w:rPr>
          <w:t>Figure</w:t>
        </w:r>
        <w:r>
          <w:rPr>
            <w:color w:val="4D4D4F"/>
            <w:spacing w:val="32"/>
            <w:sz w:val="20"/>
          </w:rPr>
          <w:t xml:space="preserve"> </w:t>
        </w:r>
        <w:r>
          <w:rPr>
            <w:color w:val="4D4D4F"/>
            <w:spacing w:val="-7"/>
            <w:sz w:val="20"/>
          </w:rPr>
          <w:t>16</w:t>
        </w:r>
      </w:hyperlink>
      <w:r>
        <w:rPr>
          <w:color w:val="4D4D4F"/>
          <w:spacing w:val="-7"/>
          <w:sz w:val="20"/>
        </w:rPr>
        <w:t>.</w:t>
      </w:r>
    </w:p>
    <w:p w14:paraId="0B2CEB1D" w14:textId="77777777" w:rsidR="00EF5B27" w:rsidRDefault="00EF5B27">
      <w:pPr>
        <w:pStyle w:val="BodyText"/>
      </w:pPr>
    </w:p>
    <w:p w14:paraId="5544610B" w14:textId="77777777" w:rsidR="00EF5B27" w:rsidRDefault="00EF5B27">
      <w:pPr>
        <w:pStyle w:val="BodyText"/>
      </w:pPr>
    </w:p>
    <w:p w14:paraId="3B4BD4F6" w14:textId="77777777" w:rsidR="00EF5B27" w:rsidRDefault="00EF5B27">
      <w:pPr>
        <w:pStyle w:val="BodyText"/>
      </w:pPr>
    </w:p>
    <w:p w14:paraId="6735C5C5" w14:textId="77777777" w:rsidR="00EF5B27" w:rsidRDefault="00EF5B27">
      <w:pPr>
        <w:pStyle w:val="BodyText"/>
      </w:pPr>
    </w:p>
    <w:p w14:paraId="14F0FFB2" w14:textId="77777777" w:rsidR="00EF5B27" w:rsidRDefault="00EF5B27">
      <w:pPr>
        <w:pStyle w:val="BodyText"/>
      </w:pPr>
    </w:p>
    <w:p w14:paraId="7C8DFD11" w14:textId="77777777" w:rsidR="00EF5B27" w:rsidRDefault="00EF5B27">
      <w:pPr>
        <w:pStyle w:val="BodyText"/>
      </w:pPr>
    </w:p>
    <w:p w14:paraId="6E327839" w14:textId="77777777" w:rsidR="00EF5B27" w:rsidRDefault="00EF5B27">
      <w:pPr>
        <w:pStyle w:val="BodyText"/>
      </w:pPr>
    </w:p>
    <w:p w14:paraId="213B1713" w14:textId="77777777" w:rsidR="00EF5B27" w:rsidRDefault="00EF5B27">
      <w:pPr>
        <w:pStyle w:val="BodyText"/>
      </w:pPr>
    </w:p>
    <w:p w14:paraId="72F0EAD2" w14:textId="77777777" w:rsidR="00EF5B27" w:rsidRDefault="00EF5B27">
      <w:pPr>
        <w:pStyle w:val="BodyText"/>
      </w:pPr>
    </w:p>
    <w:p w14:paraId="1F6D7FF7" w14:textId="77777777" w:rsidR="00EF5B27" w:rsidRDefault="00EF5B27">
      <w:pPr>
        <w:pStyle w:val="BodyText"/>
      </w:pPr>
    </w:p>
    <w:p w14:paraId="46D2DC01" w14:textId="77777777" w:rsidR="00EF5B27" w:rsidRDefault="00EF5B27">
      <w:pPr>
        <w:pStyle w:val="BodyText"/>
      </w:pPr>
    </w:p>
    <w:p w14:paraId="224EF1D3" w14:textId="77777777" w:rsidR="00EF5B27" w:rsidRDefault="00EF5B27">
      <w:pPr>
        <w:pStyle w:val="BodyText"/>
      </w:pPr>
    </w:p>
    <w:p w14:paraId="499FEEDD" w14:textId="77777777" w:rsidR="00EF5B27" w:rsidRDefault="00EF5B27">
      <w:pPr>
        <w:pStyle w:val="BodyText"/>
      </w:pPr>
    </w:p>
    <w:p w14:paraId="179B6B81" w14:textId="77777777" w:rsidR="00EF5B27" w:rsidRDefault="00EF5B27">
      <w:pPr>
        <w:pStyle w:val="BodyText"/>
      </w:pPr>
    </w:p>
    <w:p w14:paraId="4077F7D3" w14:textId="77777777" w:rsidR="00EF5B27" w:rsidRDefault="00000000">
      <w:pPr>
        <w:pStyle w:val="BodyText"/>
        <w:spacing w:before="7"/>
        <w:rPr>
          <w:sz w:val="15"/>
        </w:rPr>
      </w:pPr>
      <w:r>
        <w:pict w14:anchorId="743ABAD3">
          <v:line id="_x0000_s3245" style="position:absolute;z-index:251558400;mso-wrap-distance-left:0;mso-wrap-distance-right:0;mso-position-horizontal-relative:page" from="181.5pt,11.75pt" to="538.7pt,11.75pt" strokecolor="#4d4d4f" strokeweight=".5pt">
            <w10:wrap type="topAndBottom" anchorx="page"/>
          </v:line>
        </w:pict>
      </w:r>
    </w:p>
    <w:p w14:paraId="556B29D3" w14:textId="77777777" w:rsidR="00EF5B27" w:rsidRDefault="00000000">
      <w:pPr>
        <w:pStyle w:val="ListParagraph"/>
        <w:numPr>
          <w:ilvl w:val="0"/>
          <w:numId w:val="36"/>
        </w:numPr>
        <w:tabs>
          <w:tab w:val="left" w:pos="2838"/>
        </w:tabs>
        <w:spacing w:before="83" w:line="143" w:lineRule="exact"/>
        <w:ind w:left="2837"/>
        <w:rPr>
          <w:sz w:val="12"/>
        </w:rPr>
      </w:pPr>
      <w:r>
        <w:rPr>
          <w:color w:val="4D4D4F"/>
          <w:sz w:val="12"/>
        </w:rPr>
        <w:t xml:space="preserve">DEPI 2013b, </w:t>
      </w:r>
      <w:r>
        <w:rPr>
          <w:color w:val="4D4D4F"/>
          <w:spacing w:val="2"/>
          <w:sz w:val="12"/>
        </w:rPr>
        <w:t xml:space="preserve">‘The impact </w:t>
      </w:r>
      <w:r>
        <w:rPr>
          <w:color w:val="4D4D4F"/>
          <w:sz w:val="12"/>
        </w:rPr>
        <w:t xml:space="preserve">of Melbourne’s </w:t>
      </w:r>
      <w:r>
        <w:rPr>
          <w:color w:val="4D4D4F"/>
          <w:spacing w:val="2"/>
          <w:sz w:val="12"/>
        </w:rPr>
        <w:t xml:space="preserve">growth </w:t>
      </w:r>
      <w:r>
        <w:rPr>
          <w:color w:val="4D4D4F"/>
          <w:sz w:val="12"/>
        </w:rPr>
        <w:t xml:space="preserve">on ‘seasonal </w:t>
      </w:r>
      <w:r>
        <w:rPr>
          <w:color w:val="4D4D4F"/>
          <w:spacing w:val="2"/>
          <w:sz w:val="12"/>
        </w:rPr>
        <w:t xml:space="preserve">herbaceous </w:t>
      </w:r>
      <w:r>
        <w:rPr>
          <w:color w:val="4D4D4F"/>
          <w:sz w:val="12"/>
        </w:rPr>
        <w:t>wetlands of the temperate lowland plains’. DEPI, East</w:t>
      </w:r>
      <w:r>
        <w:rPr>
          <w:color w:val="4D4D4F"/>
          <w:spacing w:val="-17"/>
          <w:sz w:val="12"/>
        </w:rPr>
        <w:t xml:space="preserve"> </w:t>
      </w:r>
      <w:r>
        <w:rPr>
          <w:color w:val="4D4D4F"/>
          <w:spacing w:val="2"/>
          <w:sz w:val="12"/>
        </w:rPr>
        <w:t>Melbourne.</w:t>
      </w:r>
    </w:p>
    <w:p w14:paraId="0B306B22" w14:textId="77777777" w:rsidR="00EF5B27" w:rsidRDefault="00000000">
      <w:pPr>
        <w:pStyle w:val="ListParagraph"/>
        <w:numPr>
          <w:ilvl w:val="0"/>
          <w:numId w:val="36"/>
        </w:numPr>
        <w:tabs>
          <w:tab w:val="left" w:pos="2838"/>
        </w:tabs>
        <w:spacing w:line="143" w:lineRule="exact"/>
        <w:ind w:left="2837"/>
        <w:rPr>
          <w:sz w:val="12"/>
        </w:rPr>
      </w:pPr>
      <w:r>
        <w:rPr>
          <w:color w:val="4D4D4F"/>
          <w:sz w:val="12"/>
        </w:rPr>
        <w:t xml:space="preserve">DEPI 2013b, </w:t>
      </w:r>
      <w:r>
        <w:rPr>
          <w:color w:val="4D4D4F"/>
          <w:spacing w:val="2"/>
          <w:sz w:val="12"/>
        </w:rPr>
        <w:t xml:space="preserve">‘The impact </w:t>
      </w:r>
      <w:r>
        <w:rPr>
          <w:color w:val="4D4D4F"/>
          <w:sz w:val="12"/>
        </w:rPr>
        <w:t xml:space="preserve">of Melbourne’s </w:t>
      </w:r>
      <w:r>
        <w:rPr>
          <w:color w:val="4D4D4F"/>
          <w:spacing w:val="2"/>
          <w:sz w:val="12"/>
        </w:rPr>
        <w:t xml:space="preserve">growth </w:t>
      </w:r>
      <w:r>
        <w:rPr>
          <w:color w:val="4D4D4F"/>
          <w:sz w:val="12"/>
        </w:rPr>
        <w:t xml:space="preserve">on ‘seasonal </w:t>
      </w:r>
      <w:r>
        <w:rPr>
          <w:color w:val="4D4D4F"/>
          <w:spacing w:val="2"/>
          <w:sz w:val="12"/>
        </w:rPr>
        <w:t xml:space="preserve">herbaceous </w:t>
      </w:r>
      <w:r>
        <w:rPr>
          <w:color w:val="4D4D4F"/>
          <w:sz w:val="12"/>
        </w:rPr>
        <w:t>wetlands of the temperate lowland plains’. DEPI, East</w:t>
      </w:r>
      <w:r>
        <w:rPr>
          <w:color w:val="4D4D4F"/>
          <w:spacing w:val="-17"/>
          <w:sz w:val="12"/>
        </w:rPr>
        <w:t xml:space="preserve"> </w:t>
      </w:r>
      <w:r>
        <w:rPr>
          <w:color w:val="4D4D4F"/>
          <w:spacing w:val="2"/>
          <w:sz w:val="12"/>
        </w:rPr>
        <w:t>Melbourne.</w:t>
      </w:r>
    </w:p>
    <w:p w14:paraId="5B8AA4E8"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70E542E7" w14:textId="77777777" w:rsidR="00EF5B27" w:rsidRDefault="00000000">
      <w:pPr>
        <w:pStyle w:val="BodyText"/>
      </w:pPr>
      <w:r>
        <w:lastRenderedPageBreak/>
        <w:pict w14:anchorId="0C1E2372">
          <v:group id="_x0000_s3237" style="position:absolute;margin-left:587.05pt;margin-top:183.4pt;width:8.25pt;height:153.1pt;z-index:251610624;mso-position-horizontal-relative:page;mso-position-vertical-relative:page" coordorigin="11741,3668" coordsize="165,3062">
            <v:shape id="_x0000_s3244" style="position:absolute;left:11741;top:3668;width:165;height:561" coordorigin="11741,3668" coordsize="165,561" path="m11906,3668r-165,l11741,4228r165,-18l11906,3668xe" fillcolor="#00aed9" stroked="f">
              <v:path arrowok="t"/>
            </v:shape>
            <v:shape id="_x0000_s3243" style="position:absolute;left:11741;top:4118;width:165;height:425" coordorigin="11741,4118" coordsize="165,425" path="m11906,4118r-165,14l11741,4531r165,12l11906,4118xe" fillcolor="#047ebc" stroked="f">
              <v:path arrowok="t"/>
            </v:shape>
            <v:shape id="_x0000_s3242" type="#_x0000_t75" style="position:absolute;left:11741;top:4355;width:165;height:587">
              <v:imagedata r:id="rId42" o:title=""/>
            </v:shape>
            <v:shape id="_x0000_s3241" style="position:absolute;left:11741;top:5343;width:165;height:536" coordorigin="11741,5343" coordsize="165,536" path="m11741,5343r,535l11906,5872r,-525l11741,5343xe" fillcolor="#f36a2e" stroked="f">
              <v:path arrowok="t"/>
            </v:shape>
            <v:shape id="_x0000_s3240" style="position:absolute;left:11741;top:4925;width:165;height:501" coordorigin="11741,4926" coordsize="165,501" path="m11741,4926r,500l11906,5426r,-485l11741,4926xe" fillcolor="#49783f" stroked="f">
              <v:path arrowok="t"/>
            </v:shape>
            <v:shape id="_x0000_s3239" style="position:absolute;left:11741;top:5781;width:165;height:268" coordorigin="11741,5782" coordsize="165,268" path="m11906,5782r-165,8l11741,6039r165,10l11906,5782xe" fillcolor="#f99f2a" stroked="f">
              <v:path arrowok="t"/>
            </v:shape>
            <v:shape id="_x0000_s3238" style="position:absolute;left:11741;top:6023;width:165;height:707" coordorigin="11741,6023" coordsize="165,707" path="m11741,6023r,706l11906,6729r,-690l11741,6023xe" fillcolor="#ef412c" stroked="f">
              <v:path arrowok="t"/>
            </v:shape>
            <w10:wrap anchorx="page" anchory="page"/>
          </v:group>
        </w:pict>
      </w:r>
    </w:p>
    <w:p w14:paraId="264483F7" w14:textId="77777777" w:rsidR="00EF5B27" w:rsidRDefault="00EF5B27">
      <w:pPr>
        <w:pStyle w:val="BodyText"/>
      </w:pPr>
    </w:p>
    <w:p w14:paraId="2D8771E0" w14:textId="77777777" w:rsidR="00EF5B27" w:rsidRDefault="00EF5B27">
      <w:pPr>
        <w:pStyle w:val="BodyText"/>
      </w:pPr>
    </w:p>
    <w:p w14:paraId="40285B5E" w14:textId="77777777" w:rsidR="00EF5B27" w:rsidRDefault="00EF5B27">
      <w:pPr>
        <w:pStyle w:val="BodyText"/>
      </w:pPr>
    </w:p>
    <w:p w14:paraId="6745F971" w14:textId="77777777" w:rsidR="00EF5B27" w:rsidRDefault="00EF5B27">
      <w:pPr>
        <w:pStyle w:val="BodyText"/>
        <w:spacing w:before="9" w:after="1"/>
        <w:rPr>
          <w:sz w:val="15"/>
        </w:rPr>
      </w:pPr>
    </w:p>
    <w:bookmarkStart w:id="54" w:name="_bookmark41"/>
    <w:bookmarkEnd w:id="54"/>
    <w:p w14:paraId="027F4B28" w14:textId="77777777" w:rsidR="00EF5B27" w:rsidRDefault="00000000">
      <w:pPr>
        <w:pStyle w:val="BodyText"/>
        <w:ind w:left="2598"/>
      </w:pPr>
      <w:r>
        <w:pict w14:anchorId="42C38D65">
          <v:group id="_x0000_s3234" style="width:357.4pt;height:235pt;mso-position-horizontal-relative:char;mso-position-vertical-relative:line" coordsize="7148,4700">
            <v:shape id="_x0000_s3236" type="#_x0000_t75" style="position:absolute;left:2;top:2;width:7143;height:4695">
              <v:imagedata r:id="rId131" o:title=""/>
            </v:shape>
            <v:rect id="_x0000_s3235" style="position:absolute;left:2;top:2;width:7143;height:4695" filled="f" strokeweight=".25pt"/>
            <w10:anchorlock/>
          </v:group>
        </w:pict>
      </w:r>
    </w:p>
    <w:p w14:paraId="6872EE9B" w14:textId="77777777" w:rsidR="00EF5B27" w:rsidRDefault="00000000">
      <w:pPr>
        <w:spacing w:before="94"/>
        <w:ind w:left="2610"/>
        <w:rPr>
          <w:rFonts w:ascii="Century Gothic"/>
          <w:i/>
          <w:sz w:val="12"/>
        </w:rPr>
      </w:pPr>
      <w:bookmarkStart w:id="55" w:name="_Ref112869468"/>
      <w:bookmarkStart w:id="56" w:name="_bookmark40"/>
      <w:bookmarkEnd w:id="55"/>
      <w:bookmarkEnd w:id="56"/>
      <w:r>
        <w:rPr>
          <w:color w:val="4D4D4F"/>
          <w:sz w:val="16"/>
        </w:rPr>
        <w:t xml:space="preserve">Figure 16: The locations of the subject wetlands within the protected Western Grassland Reserve </w:t>
      </w:r>
      <w:r>
        <w:rPr>
          <w:rFonts w:ascii="Century Gothic"/>
          <w:i/>
          <w:color w:val="4D4D4F"/>
          <w:sz w:val="12"/>
        </w:rPr>
        <w:t>Source: DELWP</w:t>
      </w:r>
    </w:p>
    <w:p w14:paraId="1C38AF8B" w14:textId="77777777" w:rsidR="00EF5B27" w:rsidRDefault="00EF5B27">
      <w:pPr>
        <w:pStyle w:val="BodyText"/>
        <w:rPr>
          <w:rFonts w:ascii="Century Gothic"/>
          <w:i/>
        </w:rPr>
      </w:pPr>
    </w:p>
    <w:p w14:paraId="45B31BF2" w14:textId="77777777" w:rsidR="00EF5B27" w:rsidRDefault="00EF5B27">
      <w:pPr>
        <w:pStyle w:val="BodyText"/>
        <w:spacing w:before="3"/>
        <w:rPr>
          <w:rFonts w:ascii="Century Gothic"/>
          <w:i/>
          <w:sz w:val="15"/>
        </w:rPr>
      </w:pPr>
    </w:p>
    <w:p w14:paraId="0343F274" w14:textId="77777777" w:rsidR="00EF5B27" w:rsidRDefault="00000000">
      <w:pPr>
        <w:pStyle w:val="Heading3"/>
        <w:spacing w:before="116"/>
      </w:pPr>
      <w:r>
        <w:rPr>
          <w:color w:val="F99F2A"/>
          <w:w w:val="105"/>
        </w:rPr>
        <w:t>Results</w:t>
      </w:r>
    </w:p>
    <w:p w14:paraId="60B8EFF4" w14:textId="77777777" w:rsidR="00EF5B27" w:rsidRDefault="00EF5B27">
      <w:pPr>
        <w:pStyle w:val="BodyText"/>
        <w:spacing w:before="5"/>
        <w:rPr>
          <w:b/>
          <w:sz w:val="27"/>
        </w:rPr>
      </w:pPr>
    </w:p>
    <w:p w14:paraId="31DA5D1A" w14:textId="77777777" w:rsidR="00EF5B27" w:rsidRDefault="00000000">
      <w:pPr>
        <w:pStyle w:val="Heading6"/>
      </w:pPr>
      <w:bookmarkStart w:id="57" w:name="_heading=h.kgcv8k"/>
      <w:bookmarkEnd w:id="57"/>
      <w:r>
        <w:rPr>
          <w:color w:val="4D4D4F"/>
          <w:w w:val="105"/>
        </w:rPr>
        <w:t>KPI 1: Richness of native perennial forbs during spring-summer</w:t>
      </w:r>
    </w:p>
    <w:p w14:paraId="213289C9" w14:textId="77777777" w:rsidR="00EF5B27" w:rsidRDefault="00EF5B27">
      <w:pPr>
        <w:pStyle w:val="BodyText"/>
        <w:spacing w:before="2"/>
        <w:rPr>
          <w:b/>
          <w:sz w:val="14"/>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0B660933" w14:textId="77777777">
        <w:trPr>
          <w:trHeight w:val="559"/>
        </w:trPr>
        <w:tc>
          <w:tcPr>
            <w:tcW w:w="2980" w:type="dxa"/>
            <w:shd w:val="clear" w:color="auto" w:fill="FECC91"/>
          </w:tcPr>
          <w:p w14:paraId="2ADCA79B" w14:textId="77777777" w:rsidR="00EF5B27" w:rsidRDefault="00000000">
            <w:pPr>
              <w:pStyle w:val="TableParagraph"/>
              <w:spacing w:before="89" w:line="244" w:lineRule="auto"/>
              <w:ind w:left="80" w:right="244"/>
              <w:rPr>
                <w:b/>
                <w:sz w:val="16"/>
              </w:rPr>
            </w:pPr>
            <w:r>
              <w:rPr>
                <w:b/>
                <w:w w:val="105"/>
                <w:sz w:val="16"/>
              </w:rPr>
              <w:t>KPI 1: Richness of native perennial forbs during spring-summer</w:t>
            </w:r>
          </w:p>
        </w:tc>
        <w:tc>
          <w:tcPr>
            <w:tcW w:w="1078" w:type="dxa"/>
            <w:shd w:val="clear" w:color="auto" w:fill="FECC91"/>
          </w:tcPr>
          <w:p w14:paraId="6E16B900" w14:textId="77777777" w:rsidR="00EF5B27" w:rsidRDefault="00000000">
            <w:pPr>
              <w:pStyle w:val="TableParagraph"/>
              <w:spacing w:before="89" w:line="244" w:lineRule="auto"/>
              <w:ind w:left="169" w:right="164" w:firstLine="148"/>
              <w:rPr>
                <w:b/>
                <w:sz w:val="16"/>
              </w:rPr>
            </w:pPr>
            <w:r>
              <w:rPr>
                <w:b/>
                <w:w w:val="105"/>
                <w:sz w:val="16"/>
              </w:rPr>
              <w:t>Status 2020-2022</w:t>
            </w:r>
          </w:p>
        </w:tc>
        <w:tc>
          <w:tcPr>
            <w:tcW w:w="2155" w:type="dxa"/>
            <w:shd w:val="clear" w:color="auto" w:fill="FECC91"/>
          </w:tcPr>
          <w:p w14:paraId="78C43114" w14:textId="77777777" w:rsidR="00EF5B27" w:rsidRDefault="00EF5B27">
            <w:pPr>
              <w:pStyle w:val="TableParagraph"/>
              <w:spacing w:before="6"/>
              <w:rPr>
                <w:b/>
                <w:sz w:val="15"/>
              </w:rPr>
            </w:pPr>
          </w:p>
          <w:p w14:paraId="199BC4AE" w14:textId="77777777" w:rsidR="00EF5B27" w:rsidRDefault="00000000">
            <w:pPr>
              <w:pStyle w:val="TableParagraph"/>
              <w:ind w:left="143" w:right="142"/>
              <w:jc w:val="center"/>
              <w:rPr>
                <w:b/>
                <w:sz w:val="16"/>
              </w:rPr>
            </w:pPr>
            <w:r>
              <w:rPr>
                <w:b/>
                <w:sz w:val="16"/>
              </w:rPr>
              <w:t>Reason for non-assessment</w:t>
            </w:r>
          </w:p>
        </w:tc>
        <w:tc>
          <w:tcPr>
            <w:tcW w:w="964" w:type="dxa"/>
            <w:shd w:val="clear" w:color="auto" w:fill="FECC91"/>
          </w:tcPr>
          <w:p w14:paraId="07D4F6CB" w14:textId="77777777" w:rsidR="00EF5B27" w:rsidRDefault="00EF5B27">
            <w:pPr>
              <w:pStyle w:val="TableParagraph"/>
              <w:spacing w:before="6"/>
              <w:rPr>
                <w:b/>
                <w:sz w:val="15"/>
              </w:rPr>
            </w:pPr>
          </w:p>
          <w:p w14:paraId="100C8A56" w14:textId="77777777" w:rsidR="00EF5B27" w:rsidRDefault="00000000">
            <w:pPr>
              <w:pStyle w:val="TableParagraph"/>
              <w:ind w:left="283"/>
              <w:rPr>
                <w:b/>
                <w:sz w:val="16"/>
              </w:rPr>
            </w:pPr>
            <w:r>
              <w:rPr>
                <w:b/>
                <w:sz w:val="16"/>
              </w:rPr>
              <w:t>Trend</w:t>
            </w:r>
          </w:p>
        </w:tc>
        <w:tc>
          <w:tcPr>
            <w:tcW w:w="964" w:type="dxa"/>
            <w:shd w:val="clear" w:color="auto" w:fill="FECC91"/>
          </w:tcPr>
          <w:p w14:paraId="4C23CEBF" w14:textId="77777777" w:rsidR="00EF5B27" w:rsidRDefault="00000000">
            <w:pPr>
              <w:pStyle w:val="TableParagraph"/>
              <w:spacing w:before="89" w:line="244" w:lineRule="auto"/>
              <w:ind w:left="105" w:right="87" w:firstLine="217"/>
              <w:rPr>
                <w:b/>
                <w:sz w:val="16"/>
              </w:rPr>
            </w:pPr>
            <w:r>
              <w:rPr>
                <w:b/>
                <w:sz w:val="16"/>
              </w:rPr>
              <w:t>Data Confidence</w:t>
            </w:r>
          </w:p>
        </w:tc>
        <w:tc>
          <w:tcPr>
            <w:tcW w:w="1489" w:type="dxa"/>
            <w:shd w:val="clear" w:color="auto" w:fill="FECC91"/>
          </w:tcPr>
          <w:p w14:paraId="14BF567F" w14:textId="77777777" w:rsidR="00EF5B27" w:rsidRDefault="00000000">
            <w:pPr>
              <w:pStyle w:val="TableParagraph"/>
              <w:spacing w:before="89" w:line="244" w:lineRule="auto"/>
              <w:ind w:left="220" w:hanging="92"/>
              <w:rPr>
                <w:b/>
                <w:sz w:val="16"/>
              </w:rPr>
            </w:pPr>
            <w:r>
              <w:rPr>
                <w:b/>
                <w:sz w:val="16"/>
              </w:rPr>
              <w:t>Year that baseline was/will be set</w:t>
            </w:r>
          </w:p>
        </w:tc>
      </w:tr>
      <w:tr w:rsidR="00EF5B27" w14:paraId="68FF5A36" w14:textId="77777777">
        <w:trPr>
          <w:trHeight w:val="448"/>
        </w:trPr>
        <w:tc>
          <w:tcPr>
            <w:tcW w:w="2980" w:type="dxa"/>
          </w:tcPr>
          <w:p w14:paraId="647BB2CE" w14:textId="77777777" w:rsidR="00EF5B27" w:rsidRDefault="00EF5B27">
            <w:pPr>
              <w:pStyle w:val="TableParagraph"/>
              <w:spacing w:before="11"/>
              <w:rPr>
                <w:b/>
                <w:sz w:val="11"/>
              </w:rPr>
            </w:pPr>
          </w:p>
          <w:p w14:paraId="78877B66" w14:textId="77777777" w:rsidR="00EF5B27" w:rsidRDefault="00000000">
            <w:pPr>
              <w:pStyle w:val="TableParagraph"/>
              <w:ind w:left="80"/>
              <w:rPr>
                <w:sz w:val="14"/>
              </w:rPr>
            </w:pPr>
            <w:r>
              <w:rPr>
                <w:color w:val="4D4D4F"/>
                <w:w w:val="105"/>
                <w:sz w:val="14"/>
              </w:rPr>
              <w:t>Cobbledicks Rise</w:t>
            </w:r>
          </w:p>
        </w:tc>
        <w:tc>
          <w:tcPr>
            <w:tcW w:w="1078" w:type="dxa"/>
          </w:tcPr>
          <w:p w14:paraId="0095EDD9" w14:textId="77777777" w:rsidR="00EF5B27" w:rsidRDefault="00EF5B27">
            <w:pPr>
              <w:pStyle w:val="TableParagraph"/>
              <w:spacing w:before="11"/>
              <w:rPr>
                <w:b/>
                <w:sz w:val="11"/>
              </w:rPr>
            </w:pPr>
          </w:p>
          <w:p w14:paraId="12D23FA1" w14:textId="77777777" w:rsidR="00EF5B27" w:rsidRDefault="00000000">
            <w:pPr>
              <w:pStyle w:val="TableParagraph"/>
              <w:ind w:left="128" w:right="124"/>
              <w:jc w:val="center"/>
              <w:rPr>
                <w:sz w:val="14"/>
              </w:rPr>
            </w:pPr>
            <w:r>
              <w:rPr>
                <w:color w:val="4D4D4F"/>
                <w:sz w:val="14"/>
              </w:rPr>
              <w:t>Met</w:t>
            </w:r>
          </w:p>
        </w:tc>
        <w:tc>
          <w:tcPr>
            <w:tcW w:w="2155" w:type="dxa"/>
          </w:tcPr>
          <w:p w14:paraId="26DFB3E5" w14:textId="77777777" w:rsidR="00EF5B27" w:rsidRDefault="00EF5B27">
            <w:pPr>
              <w:pStyle w:val="TableParagraph"/>
              <w:spacing w:before="11"/>
              <w:rPr>
                <w:b/>
                <w:sz w:val="11"/>
              </w:rPr>
            </w:pPr>
          </w:p>
          <w:p w14:paraId="6F052434" w14:textId="77777777" w:rsidR="00EF5B27" w:rsidRDefault="00000000">
            <w:pPr>
              <w:pStyle w:val="TableParagraph"/>
              <w:ind w:left="139" w:right="142"/>
              <w:jc w:val="center"/>
              <w:rPr>
                <w:sz w:val="14"/>
              </w:rPr>
            </w:pPr>
            <w:r>
              <w:rPr>
                <w:color w:val="4D4D4F"/>
                <w:w w:val="105"/>
                <w:sz w:val="14"/>
              </w:rPr>
              <w:t>N/A</w:t>
            </w:r>
          </w:p>
        </w:tc>
        <w:tc>
          <w:tcPr>
            <w:tcW w:w="964" w:type="dxa"/>
          </w:tcPr>
          <w:p w14:paraId="334AD671" w14:textId="77777777" w:rsidR="00EF5B27" w:rsidRDefault="00EF5B27">
            <w:pPr>
              <w:pStyle w:val="TableParagraph"/>
              <w:spacing w:before="8"/>
              <w:rPr>
                <w:b/>
                <w:sz w:val="8"/>
              </w:rPr>
            </w:pPr>
          </w:p>
          <w:p w14:paraId="59116C5D" w14:textId="77777777" w:rsidR="00EF5B27" w:rsidRDefault="00000000">
            <w:pPr>
              <w:pStyle w:val="TableParagraph"/>
              <w:spacing w:line="232" w:lineRule="exact"/>
              <w:ind w:left="427"/>
              <w:rPr>
                <w:sz w:val="20"/>
              </w:rPr>
            </w:pPr>
            <w:r>
              <w:rPr>
                <w:noProof/>
                <w:position w:val="-4"/>
                <w:sz w:val="20"/>
              </w:rPr>
              <w:drawing>
                <wp:inline distT="0" distB="0" distL="0" distR="0" wp14:anchorId="631433BB" wp14:editId="1911772F">
                  <wp:extent cx="64988" cy="147637"/>
                  <wp:effectExtent l="0" t="0" r="0" b="0"/>
                  <wp:docPr id="44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46.png"/>
                          <pic:cNvPicPr/>
                        </pic:nvPicPr>
                        <pic:blipFill>
                          <a:blip r:embed="rId77" cstate="print"/>
                          <a:stretch>
                            <a:fillRect/>
                          </a:stretch>
                        </pic:blipFill>
                        <pic:spPr>
                          <a:xfrm>
                            <a:off x="0" y="0"/>
                            <a:ext cx="64988" cy="147637"/>
                          </a:xfrm>
                          <a:prstGeom prst="rect">
                            <a:avLst/>
                          </a:prstGeom>
                        </pic:spPr>
                      </pic:pic>
                    </a:graphicData>
                  </a:graphic>
                </wp:inline>
              </w:drawing>
            </w:r>
          </w:p>
        </w:tc>
        <w:tc>
          <w:tcPr>
            <w:tcW w:w="964" w:type="dxa"/>
          </w:tcPr>
          <w:p w14:paraId="0C771849" w14:textId="77777777" w:rsidR="00EF5B27" w:rsidRDefault="00EF5B27">
            <w:pPr>
              <w:pStyle w:val="TableParagraph"/>
              <w:spacing w:before="11"/>
              <w:rPr>
                <w:b/>
                <w:sz w:val="11"/>
              </w:rPr>
            </w:pPr>
          </w:p>
          <w:p w14:paraId="4FEB5C98" w14:textId="77777777" w:rsidR="00EF5B27" w:rsidRDefault="00000000">
            <w:pPr>
              <w:pStyle w:val="TableParagraph"/>
              <w:ind w:left="323" w:right="323"/>
              <w:jc w:val="center"/>
              <w:rPr>
                <w:sz w:val="14"/>
              </w:rPr>
            </w:pPr>
            <w:r>
              <w:rPr>
                <w:color w:val="4D4D4F"/>
                <w:w w:val="105"/>
                <w:sz w:val="14"/>
              </w:rPr>
              <w:t>High</w:t>
            </w:r>
          </w:p>
        </w:tc>
        <w:tc>
          <w:tcPr>
            <w:tcW w:w="1489" w:type="dxa"/>
          </w:tcPr>
          <w:p w14:paraId="134C1647" w14:textId="77777777" w:rsidR="00EF5B27" w:rsidRDefault="00000000">
            <w:pPr>
              <w:pStyle w:val="TableParagraph"/>
              <w:spacing w:before="134"/>
              <w:ind w:left="587"/>
              <w:rPr>
                <w:sz w:val="16"/>
              </w:rPr>
            </w:pPr>
            <w:r>
              <w:rPr>
                <w:color w:val="4D4D4F"/>
                <w:sz w:val="16"/>
              </w:rPr>
              <w:t>2018</w:t>
            </w:r>
          </w:p>
        </w:tc>
      </w:tr>
      <w:tr w:rsidR="00EF5B27" w14:paraId="10F52D38" w14:textId="77777777">
        <w:trPr>
          <w:trHeight w:val="448"/>
        </w:trPr>
        <w:tc>
          <w:tcPr>
            <w:tcW w:w="2980" w:type="dxa"/>
          </w:tcPr>
          <w:p w14:paraId="2734C134" w14:textId="77777777" w:rsidR="00EF5B27" w:rsidRDefault="00EF5B27">
            <w:pPr>
              <w:pStyle w:val="TableParagraph"/>
              <w:spacing w:before="11"/>
              <w:rPr>
                <w:b/>
                <w:sz w:val="11"/>
              </w:rPr>
            </w:pPr>
          </w:p>
          <w:p w14:paraId="2DE4BDD6" w14:textId="77777777" w:rsidR="00EF5B27" w:rsidRDefault="00000000">
            <w:pPr>
              <w:pStyle w:val="TableParagraph"/>
              <w:ind w:left="80"/>
              <w:rPr>
                <w:sz w:val="14"/>
              </w:rPr>
            </w:pPr>
            <w:r>
              <w:rPr>
                <w:color w:val="4D4D4F"/>
                <w:w w:val="105"/>
                <w:sz w:val="14"/>
              </w:rPr>
              <w:t>One Tree Rise</w:t>
            </w:r>
          </w:p>
        </w:tc>
        <w:tc>
          <w:tcPr>
            <w:tcW w:w="1078" w:type="dxa"/>
          </w:tcPr>
          <w:p w14:paraId="3B537B55" w14:textId="77777777" w:rsidR="00EF5B27" w:rsidRDefault="00EF5B27">
            <w:pPr>
              <w:pStyle w:val="TableParagraph"/>
              <w:spacing w:before="11"/>
              <w:rPr>
                <w:b/>
                <w:sz w:val="11"/>
              </w:rPr>
            </w:pPr>
          </w:p>
          <w:p w14:paraId="0CAF3563" w14:textId="77777777" w:rsidR="00EF5B27" w:rsidRDefault="00000000">
            <w:pPr>
              <w:pStyle w:val="TableParagraph"/>
              <w:ind w:left="128" w:right="124"/>
              <w:jc w:val="center"/>
              <w:rPr>
                <w:sz w:val="14"/>
              </w:rPr>
            </w:pPr>
            <w:r>
              <w:rPr>
                <w:color w:val="4D4D4F"/>
                <w:sz w:val="14"/>
              </w:rPr>
              <w:t>Met</w:t>
            </w:r>
          </w:p>
        </w:tc>
        <w:tc>
          <w:tcPr>
            <w:tcW w:w="2155" w:type="dxa"/>
          </w:tcPr>
          <w:p w14:paraId="389FD1B6" w14:textId="77777777" w:rsidR="00EF5B27" w:rsidRDefault="00EF5B27">
            <w:pPr>
              <w:pStyle w:val="TableParagraph"/>
              <w:spacing w:before="11"/>
              <w:rPr>
                <w:b/>
                <w:sz w:val="11"/>
              </w:rPr>
            </w:pPr>
          </w:p>
          <w:p w14:paraId="663CF62D" w14:textId="77777777" w:rsidR="00EF5B27" w:rsidRDefault="00000000">
            <w:pPr>
              <w:pStyle w:val="TableParagraph"/>
              <w:ind w:left="139" w:right="142"/>
              <w:jc w:val="center"/>
              <w:rPr>
                <w:sz w:val="14"/>
              </w:rPr>
            </w:pPr>
            <w:r>
              <w:rPr>
                <w:color w:val="4D4D4F"/>
                <w:w w:val="105"/>
                <w:sz w:val="14"/>
              </w:rPr>
              <w:t>N/A</w:t>
            </w:r>
          </w:p>
        </w:tc>
        <w:tc>
          <w:tcPr>
            <w:tcW w:w="964" w:type="dxa"/>
          </w:tcPr>
          <w:p w14:paraId="4BBD0BFE" w14:textId="77777777" w:rsidR="00EF5B27" w:rsidRDefault="00EF5B27">
            <w:pPr>
              <w:pStyle w:val="TableParagraph"/>
              <w:spacing w:before="8"/>
              <w:rPr>
                <w:b/>
                <w:sz w:val="8"/>
              </w:rPr>
            </w:pPr>
          </w:p>
          <w:p w14:paraId="2E81DB7A" w14:textId="77777777" w:rsidR="00EF5B27" w:rsidRDefault="00000000">
            <w:pPr>
              <w:pStyle w:val="TableParagraph"/>
              <w:spacing w:line="235" w:lineRule="exact"/>
              <w:ind w:left="427"/>
              <w:rPr>
                <w:sz w:val="20"/>
              </w:rPr>
            </w:pPr>
            <w:r>
              <w:rPr>
                <w:noProof/>
                <w:position w:val="-4"/>
                <w:sz w:val="20"/>
              </w:rPr>
              <w:drawing>
                <wp:inline distT="0" distB="0" distL="0" distR="0" wp14:anchorId="4E160F47" wp14:editId="3F550264">
                  <wp:extent cx="65743" cy="149351"/>
                  <wp:effectExtent l="0" t="0" r="0" b="0"/>
                  <wp:docPr id="443"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90.png"/>
                          <pic:cNvPicPr/>
                        </pic:nvPicPr>
                        <pic:blipFill>
                          <a:blip r:embed="rId82" cstate="print"/>
                          <a:stretch>
                            <a:fillRect/>
                          </a:stretch>
                        </pic:blipFill>
                        <pic:spPr>
                          <a:xfrm>
                            <a:off x="0" y="0"/>
                            <a:ext cx="65743" cy="149351"/>
                          </a:xfrm>
                          <a:prstGeom prst="rect">
                            <a:avLst/>
                          </a:prstGeom>
                        </pic:spPr>
                      </pic:pic>
                    </a:graphicData>
                  </a:graphic>
                </wp:inline>
              </w:drawing>
            </w:r>
          </w:p>
        </w:tc>
        <w:tc>
          <w:tcPr>
            <w:tcW w:w="964" w:type="dxa"/>
          </w:tcPr>
          <w:p w14:paraId="46CDA6BF" w14:textId="77777777" w:rsidR="00EF5B27" w:rsidRDefault="00EF5B27">
            <w:pPr>
              <w:pStyle w:val="TableParagraph"/>
              <w:spacing w:before="11"/>
              <w:rPr>
                <w:b/>
                <w:sz w:val="11"/>
              </w:rPr>
            </w:pPr>
          </w:p>
          <w:p w14:paraId="5A82B58B" w14:textId="77777777" w:rsidR="00EF5B27" w:rsidRDefault="00000000">
            <w:pPr>
              <w:pStyle w:val="TableParagraph"/>
              <w:ind w:left="323" w:right="323"/>
              <w:jc w:val="center"/>
              <w:rPr>
                <w:sz w:val="14"/>
              </w:rPr>
            </w:pPr>
            <w:r>
              <w:rPr>
                <w:color w:val="4D4D4F"/>
                <w:w w:val="105"/>
                <w:sz w:val="14"/>
              </w:rPr>
              <w:t>High</w:t>
            </w:r>
          </w:p>
        </w:tc>
        <w:tc>
          <w:tcPr>
            <w:tcW w:w="1489" w:type="dxa"/>
          </w:tcPr>
          <w:p w14:paraId="637B6C43" w14:textId="77777777" w:rsidR="00EF5B27" w:rsidRDefault="00000000">
            <w:pPr>
              <w:pStyle w:val="TableParagraph"/>
              <w:spacing w:before="134"/>
              <w:ind w:left="587"/>
              <w:rPr>
                <w:sz w:val="16"/>
              </w:rPr>
            </w:pPr>
            <w:r>
              <w:rPr>
                <w:color w:val="4D4D4F"/>
                <w:sz w:val="16"/>
              </w:rPr>
              <w:t>2018</w:t>
            </w:r>
          </w:p>
        </w:tc>
      </w:tr>
      <w:tr w:rsidR="00EF5B27" w14:paraId="1C367C12" w14:textId="77777777">
        <w:trPr>
          <w:trHeight w:val="448"/>
        </w:trPr>
        <w:tc>
          <w:tcPr>
            <w:tcW w:w="2980" w:type="dxa"/>
          </w:tcPr>
          <w:p w14:paraId="28D47FE2" w14:textId="77777777" w:rsidR="00EF5B27" w:rsidRDefault="00EF5B27">
            <w:pPr>
              <w:pStyle w:val="TableParagraph"/>
              <w:spacing w:before="11"/>
              <w:rPr>
                <w:b/>
                <w:sz w:val="11"/>
              </w:rPr>
            </w:pPr>
          </w:p>
          <w:p w14:paraId="7B3ABFF7" w14:textId="77777777" w:rsidR="00EF5B27" w:rsidRDefault="00000000">
            <w:pPr>
              <w:pStyle w:val="TableParagraph"/>
              <w:ind w:left="80"/>
              <w:rPr>
                <w:sz w:val="14"/>
              </w:rPr>
            </w:pPr>
            <w:r>
              <w:rPr>
                <w:color w:val="4D4D4F"/>
                <w:sz w:val="14"/>
              </w:rPr>
              <w:t>Windmill</w:t>
            </w:r>
          </w:p>
        </w:tc>
        <w:tc>
          <w:tcPr>
            <w:tcW w:w="1078" w:type="dxa"/>
          </w:tcPr>
          <w:p w14:paraId="17E34FC8" w14:textId="77777777" w:rsidR="00EF5B27" w:rsidRDefault="00EF5B27">
            <w:pPr>
              <w:pStyle w:val="TableParagraph"/>
              <w:spacing w:before="11"/>
              <w:rPr>
                <w:b/>
                <w:sz w:val="11"/>
              </w:rPr>
            </w:pPr>
          </w:p>
          <w:p w14:paraId="0678789D" w14:textId="77777777" w:rsidR="00EF5B27" w:rsidRDefault="00000000">
            <w:pPr>
              <w:pStyle w:val="TableParagraph"/>
              <w:ind w:left="128" w:right="124"/>
              <w:jc w:val="center"/>
              <w:rPr>
                <w:sz w:val="14"/>
              </w:rPr>
            </w:pPr>
            <w:r>
              <w:rPr>
                <w:color w:val="4D4D4F"/>
                <w:sz w:val="14"/>
              </w:rPr>
              <w:t>Met</w:t>
            </w:r>
          </w:p>
        </w:tc>
        <w:tc>
          <w:tcPr>
            <w:tcW w:w="2155" w:type="dxa"/>
          </w:tcPr>
          <w:p w14:paraId="56B7C10D" w14:textId="77777777" w:rsidR="00EF5B27" w:rsidRDefault="00EF5B27">
            <w:pPr>
              <w:pStyle w:val="TableParagraph"/>
              <w:spacing w:before="11"/>
              <w:rPr>
                <w:b/>
                <w:sz w:val="11"/>
              </w:rPr>
            </w:pPr>
          </w:p>
          <w:p w14:paraId="6275FB65" w14:textId="77777777" w:rsidR="00EF5B27" w:rsidRDefault="00000000">
            <w:pPr>
              <w:pStyle w:val="TableParagraph"/>
              <w:ind w:left="139" w:right="142"/>
              <w:jc w:val="center"/>
              <w:rPr>
                <w:sz w:val="14"/>
              </w:rPr>
            </w:pPr>
            <w:r>
              <w:rPr>
                <w:color w:val="4D4D4F"/>
                <w:w w:val="105"/>
                <w:sz w:val="14"/>
              </w:rPr>
              <w:t>N/A</w:t>
            </w:r>
          </w:p>
        </w:tc>
        <w:tc>
          <w:tcPr>
            <w:tcW w:w="964" w:type="dxa"/>
          </w:tcPr>
          <w:p w14:paraId="633A2C34" w14:textId="77777777" w:rsidR="00EF5B27" w:rsidRDefault="00EF5B27">
            <w:pPr>
              <w:pStyle w:val="TableParagraph"/>
              <w:spacing w:before="8"/>
              <w:rPr>
                <w:b/>
                <w:sz w:val="8"/>
              </w:rPr>
            </w:pPr>
          </w:p>
          <w:p w14:paraId="49BEB0EA" w14:textId="77777777" w:rsidR="00EF5B27" w:rsidRDefault="00000000">
            <w:pPr>
              <w:pStyle w:val="TableParagraph"/>
              <w:spacing w:line="232" w:lineRule="exact"/>
              <w:ind w:left="427"/>
              <w:rPr>
                <w:sz w:val="20"/>
              </w:rPr>
            </w:pPr>
            <w:r>
              <w:rPr>
                <w:noProof/>
                <w:position w:val="-4"/>
                <w:sz w:val="20"/>
              </w:rPr>
              <w:drawing>
                <wp:inline distT="0" distB="0" distL="0" distR="0" wp14:anchorId="3B4989E0" wp14:editId="0F3B1E29">
                  <wp:extent cx="64988" cy="147637"/>
                  <wp:effectExtent l="0" t="0" r="0" b="0"/>
                  <wp:docPr id="44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46.png"/>
                          <pic:cNvPicPr/>
                        </pic:nvPicPr>
                        <pic:blipFill>
                          <a:blip r:embed="rId77" cstate="print"/>
                          <a:stretch>
                            <a:fillRect/>
                          </a:stretch>
                        </pic:blipFill>
                        <pic:spPr>
                          <a:xfrm>
                            <a:off x="0" y="0"/>
                            <a:ext cx="64988" cy="147637"/>
                          </a:xfrm>
                          <a:prstGeom prst="rect">
                            <a:avLst/>
                          </a:prstGeom>
                        </pic:spPr>
                      </pic:pic>
                    </a:graphicData>
                  </a:graphic>
                </wp:inline>
              </w:drawing>
            </w:r>
          </w:p>
        </w:tc>
        <w:tc>
          <w:tcPr>
            <w:tcW w:w="964" w:type="dxa"/>
          </w:tcPr>
          <w:p w14:paraId="3395DBAC" w14:textId="77777777" w:rsidR="00EF5B27" w:rsidRDefault="00EF5B27">
            <w:pPr>
              <w:pStyle w:val="TableParagraph"/>
              <w:spacing w:before="11"/>
              <w:rPr>
                <w:b/>
                <w:sz w:val="11"/>
              </w:rPr>
            </w:pPr>
          </w:p>
          <w:p w14:paraId="17192716" w14:textId="77777777" w:rsidR="00EF5B27" w:rsidRDefault="00000000">
            <w:pPr>
              <w:pStyle w:val="TableParagraph"/>
              <w:ind w:left="323" w:right="323"/>
              <w:jc w:val="center"/>
              <w:rPr>
                <w:sz w:val="14"/>
              </w:rPr>
            </w:pPr>
            <w:r>
              <w:rPr>
                <w:color w:val="4D4D4F"/>
                <w:w w:val="105"/>
                <w:sz w:val="14"/>
              </w:rPr>
              <w:t>High</w:t>
            </w:r>
          </w:p>
        </w:tc>
        <w:tc>
          <w:tcPr>
            <w:tcW w:w="1489" w:type="dxa"/>
          </w:tcPr>
          <w:p w14:paraId="3AFD230D" w14:textId="77777777" w:rsidR="00EF5B27" w:rsidRDefault="00000000">
            <w:pPr>
              <w:pStyle w:val="TableParagraph"/>
              <w:spacing w:before="134"/>
              <w:ind w:left="587"/>
              <w:rPr>
                <w:sz w:val="16"/>
              </w:rPr>
            </w:pPr>
            <w:r>
              <w:rPr>
                <w:color w:val="4D4D4F"/>
                <w:sz w:val="16"/>
              </w:rPr>
              <w:t>2018</w:t>
            </w:r>
          </w:p>
        </w:tc>
      </w:tr>
    </w:tbl>
    <w:p w14:paraId="714289EA" w14:textId="77777777" w:rsidR="00EF5B27" w:rsidRDefault="00EF5B27">
      <w:pPr>
        <w:pStyle w:val="BodyText"/>
        <w:spacing w:before="3"/>
        <w:rPr>
          <w:b/>
          <w:sz w:val="34"/>
        </w:rPr>
      </w:pPr>
    </w:p>
    <w:p w14:paraId="20B1CBDF" w14:textId="77777777" w:rsidR="00EF5B27" w:rsidRDefault="00000000">
      <w:pPr>
        <w:pStyle w:val="BodyText"/>
        <w:spacing w:before="1" w:line="254" w:lineRule="auto"/>
        <w:ind w:left="2608" w:right="112"/>
      </w:pPr>
      <w:r>
        <w:rPr>
          <w:color w:val="4D4D4F"/>
          <w:w w:val="105"/>
        </w:rPr>
        <w:t xml:space="preserve">This KPI measures the richness of the valuable native perennial forb component </w:t>
      </w:r>
      <w:r>
        <w:rPr>
          <w:color w:val="4D4D4F"/>
          <w:spacing w:val="-4"/>
          <w:w w:val="105"/>
        </w:rPr>
        <w:t>(explicitly</w:t>
      </w:r>
      <w:r>
        <w:rPr>
          <w:color w:val="4D4D4F"/>
          <w:spacing w:val="-17"/>
          <w:w w:val="105"/>
        </w:rPr>
        <w:t xml:space="preserve"> </w:t>
      </w:r>
      <w:r>
        <w:rPr>
          <w:color w:val="4D4D4F"/>
          <w:w w:val="105"/>
        </w:rPr>
        <w:t>at</w:t>
      </w:r>
      <w:r>
        <w:rPr>
          <w:color w:val="4D4D4F"/>
          <w:spacing w:val="-17"/>
          <w:w w:val="105"/>
        </w:rPr>
        <w:t xml:space="preserve"> </w:t>
      </w:r>
      <w:r>
        <w:rPr>
          <w:color w:val="4D4D4F"/>
          <w:w w:val="105"/>
        </w:rPr>
        <w:t>the</w:t>
      </w:r>
      <w:r>
        <w:rPr>
          <w:color w:val="4D4D4F"/>
          <w:spacing w:val="-17"/>
          <w:w w:val="105"/>
        </w:rPr>
        <w:t xml:space="preserve"> </w:t>
      </w:r>
      <w:r>
        <w:rPr>
          <w:color w:val="4D4D4F"/>
          <w:spacing w:val="-3"/>
          <w:w w:val="105"/>
        </w:rPr>
        <w:t>individual</w:t>
      </w:r>
      <w:r>
        <w:rPr>
          <w:color w:val="4D4D4F"/>
          <w:spacing w:val="-17"/>
          <w:w w:val="105"/>
        </w:rPr>
        <w:t xml:space="preserve"> </w:t>
      </w:r>
      <w:r>
        <w:rPr>
          <w:color w:val="4D4D4F"/>
          <w:spacing w:val="-3"/>
          <w:w w:val="105"/>
        </w:rPr>
        <w:t>wetland</w:t>
      </w:r>
      <w:r>
        <w:rPr>
          <w:color w:val="4D4D4F"/>
          <w:spacing w:val="-17"/>
          <w:w w:val="105"/>
        </w:rPr>
        <w:t xml:space="preserve"> </w:t>
      </w:r>
      <w:r>
        <w:rPr>
          <w:color w:val="4D4D4F"/>
          <w:spacing w:val="-4"/>
          <w:w w:val="105"/>
        </w:rPr>
        <w:t>scale).</w:t>
      </w:r>
      <w:r>
        <w:rPr>
          <w:color w:val="4D4D4F"/>
          <w:spacing w:val="-17"/>
          <w:w w:val="105"/>
        </w:rPr>
        <w:t xml:space="preserve"> </w:t>
      </w:r>
      <w:r>
        <w:rPr>
          <w:color w:val="4D4D4F"/>
          <w:spacing w:val="-3"/>
          <w:w w:val="105"/>
        </w:rPr>
        <w:t>This</w:t>
      </w:r>
      <w:r>
        <w:rPr>
          <w:color w:val="4D4D4F"/>
          <w:spacing w:val="-17"/>
          <w:w w:val="105"/>
        </w:rPr>
        <w:t xml:space="preserve"> </w:t>
      </w:r>
      <w:r>
        <w:rPr>
          <w:color w:val="4D4D4F"/>
          <w:w w:val="105"/>
        </w:rPr>
        <w:t>KPI</w:t>
      </w:r>
      <w:r>
        <w:rPr>
          <w:color w:val="4D4D4F"/>
          <w:spacing w:val="-17"/>
          <w:w w:val="105"/>
        </w:rPr>
        <w:t xml:space="preserve"> </w:t>
      </w:r>
      <w:r>
        <w:rPr>
          <w:color w:val="4D4D4F"/>
          <w:w w:val="105"/>
        </w:rPr>
        <w:t>measures</w:t>
      </w:r>
      <w:r>
        <w:rPr>
          <w:color w:val="4D4D4F"/>
          <w:spacing w:val="-17"/>
          <w:w w:val="105"/>
        </w:rPr>
        <w:t xml:space="preserve"> </w:t>
      </w:r>
      <w:r>
        <w:rPr>
          <w:color w:val="4D4D4F"/>
          <w:w w:val="105"/>
        </w:rPr>
        <w:t>forb</w:t>
      </w:r>
      <w:r>
        <w:rPr>
          <w:color w:val="4D4D4F"/>
          <w:spacing w:val="-17"/>
          <w:w w:val="105"/>
        </w:rPr>
        <w:t xml:space="preserve"> </w:t>
      </w:r>
      <w:r>
        <w:rPr>
          <w:color w:val="4D4D4F"/>
          <w:w w:val="105"/>
        </w:rPr>
        <w:t>richness</w:t>
      </w:r>
      <w:r>
        <w:rPr>
          <w:color w:val="4D4D4F"/>
          <w:spacing w:val="-17"/>
          <w:w w:val="105"/>
        </w:rPr>
        <w:t xml:space="preserve"> </w:t>
      </w:r>
      <w:r>
        <w:rPr>
          <w:color w:val="4D4D4F"/>
          <w:spacing w:val="-3"/>
          <w:w w:val="105"/>
        </w:rPr>
        <w:t>in</w:t>
      </w:r>
      <w:r>
        <w:rPr>
          <w:color w:val="4D4D4F"/>
          <w:spacing w:val="-17"/>
          <w:w w:val="105"/>
        </w:rPr>
        <w:t xml:space="preserve"> </w:t>
      </w:r>
      <w:r>
        <w:rPr>
          <w:color w:val="4D4D4F"/>
          <w:w w:val="105"/>
        </w:rPr>
        <w:t>every</w:t>
      </w:r>
      <w:r>
        <w:rPr>
          <w:color w:val="4D4D4F"/>
          <w:spacing w:val="-16"/>
          <w:w w:val="105"/>
        </w:rPr>
        <w:t xml:space="preserve"> </w:t>
      </w:r>
      <w:r>
        <w:rPr>
          <w:color w:val="4D4D4F"/>
          <w:spacing w:val="-6"/>
          <w:w w:val="105"/>
        </w:rPr>
        <w:t xml:space="preserve">year, </w:t>
      </w:r>
      <w:r>
        <w:rPr>
          <w:color w:val="4D4D4F"/>
          <w:w w:val="105"/>
        </w:rPr>
        <w:t>regardless</w:t>
      </w:r>
      <w:r>
        <w:rPr>
          <w:color w:val="4D4D4F"/>
          <w:spacing w:val="-18"/>
          <w:w w:val="105"/>
        </w:rPr>
        <w:t xml:space="preserve"> </w:t>
      </w:r>
      <w:r>
        <w:rPr>
          <w:color w:val="4D4D4F"/>
          <w:w w:val="105"/>
        </w:rPr>
        <w:t>of</w:t>
      </w:r>
      <w:r>
        <w:rPr>
          <w:color w:val="4D4D4F"/>
          <w:spacing w:val="-18"/>
          <w:w w:val="105"/>
        </w:rPr>
        <w:t xml:space="preserve"> </w:t>
      </w:r>
      <w:r>
        <w:rPr>
          <w:color w:val="4D4D4F"/>
          <w:spacing w:val="-3"/>
          <w:w w:val="105"/>
        </w:rPr>
        <w:t>hydrological</w:t>
      </w:r>
      <w:r>
        <w:rPr>
          <w:color w:val="4D4D4F"/>
          <w:spacing w:val="-18"/>
          <w:w w:val="105"/>
        </w:rPr>
        <w:t xml:space="preserve"> </w:t>
      </w:r>
      <w:r>
        <w:rPr>
          <w:color w:val="4D4D4F"/>
          <w:spacing w:val="-3"/>
          <w:w w:val="105"/>
        </w:rPr>
        <w:t>phase.</w:t>
      </w:r>
      <w:r>
        <w:rPr>
          <w:color w:val="4D4D4F"/>
          <w:spacing w:val="-17"/>
          <w:w w:val="105"/>
        </w:rPr>
        <w:t xml:space="preserve"> </w:t>
      </w:r>
      <w:r>
        <w:rPr>
          <w:color w:val="4D4D4F"/>
          <w:spacing w:val="-3"/>
          <w:w w:val="105"/>
        </w:rPr>
        <w:t>Given</w:t>
      </w:r>
      <w:r>
        <w:rPr>
          <w:color w:val="4D4D4F"/>
          <w:spacing w:val="-18"/>
          <w:w w:val="105"/>
        </w:rPr>
        <w:t xml:space="preserve"> </w:t>
      </w:r>
      <w:r>
        <w:rPr>
          <w:color w:val="4D4D4F"/>
          <w:spacing w:val="-4"/>
          <w:w w:val="105"/>
        </w:rPr>
        <w:t>this</w:t>
      </w:r>
      <w:r>
        <w:rPr>
          <w:color w:val="4D4D4F"/>
          <w:spacing w:val="-18"/>
          <w:w w:val="105"/>
        </w:rPr>
        <w:t xml:space="preserve"> </w:t>
      </w:r>
      <w:r>
        <w:rPr>
          <w:color w:val="4D4D4F"/>
          <w:spacing w:val="-3"/>
          <w:w w:val="105"/>
        </w:rPr>
        <w:t>will</w:t>
      </w:r>
      <w:r>
        <w:rPr>
          <w:color w:val="4D4D4F"/>
          <w:spacing w:val="-18"/>
          <w:w w:val="105"/>
        </w:rPr>
        <w:t xml:space="preserve"> </w:t>
      </w:r>
      <w:r>
        <w:rPr>
          <w:color w:val="4D4D4F"/>
          <w:spacing w:val="-3"/>
          <w:w w:val="105"/>
        </w:rPr>
        <w:t>include</w:t>
      </w:r>
      <w:r>
        <w:rPr>
          <w:color w:val="4D4D4F"/>
          <w:spacing w:val="-17"/>
          <w:w w:val="105"/>
        </w:rPr>
        <w:t xml:space="preserve"> </w:t>
      </w:r>
      <w:r>
        <w:rPr>
          <w:color w:val="4D4D4F"/>
          <w:w w:val="105"/>
        </w:rPr>
        <w:t>wet</w:t>
      </w:r>
      <w:r>
        <w:rPr>
          <w:color w:val="4D4D4F"/>
          <w:spacing w:val="-18"/>
          <w:w w:val="105"/>
        </w:rPr>
        <w:t xml:space="preserve"> </w:t>
      </w:r>
      <w:r>
        <w:rPr>
          <w:color w:val="4D4D4F"/>
          <w:w w:val="105"/>
        </w:rPr>
        <w:t>and</w:t>
      </w:r>
      <w:r>
        <w:rPr>
          <w:color w:val="4D4D4F"/>
          <w:spacing w:val="-18"/>
          <w:w w:val="105"/>
        </w:rPr>
        <w:t xml:space="preserve"> </w:t>
      </w:r>
      <w:r>
        <w:rPr>
          <w:color w:val="4D4D4F"/>
          <w:w w:val="105"/>
        </w:rPr>
        <w:t>dry</w:t>
      </w:r>
      <w:r>
        <w:rPr>
          <w:color w:val="4D4D4F"/>
          <w:spacing w:val="-18"/>
          <w:w w:val="105"/>
        </w:rPr>
        <w:t xml:space="preserve"> </w:t>
      </w:r>
      <w:r>
        <w:rPr>
          <w:color w:val="4D4D4F"/>
          <w:w w:val="105"/>
        </w:rPr>
        <w:t>years,</w:t>
      </w:r>
      <w:r>
        <w:rPr>
          <w:color w:val="4D4D4F"/>
          <w:spacing w:val="-17"/>
          <w:w w:val="105"/>
        </w:rPr>
        <w:t xml:space="preserve"> </w:t>
      </w:r>
      <w:r>
        <w:rPr>
          <w:color w:val="4D4D4F"/>
          <w:spacing w:val="-4"/>
          <w:w w:val="105"/>
        </w:rPr>
        <w:t>this</w:t>
      </w:r>
      <w:r>
        <w:rPr>
          <w:color w:val="4D4D4F"/>
          <w:spacing w:val="-18"/>
          <w:w w:val="105"/>
        </w:rPr>
        <w:t xml:space="preserve"> </w:t>
      </w:r>
      <w:r>
        <w:rPr>
          <w:color w:val="4D4D4F"/>
          <w:w w:val="105"/>
        </w:rPr>
        <w:t>measure is</w:t>
      </w:r>
      <w:r>
        <w:rPr>
          <w:color w:val="4D4D4F"/>
          <w:spacing w:val="-13"/>
          <w:w w:val="105"/>
        </w:rPr>
        <w:t xml:space="preserve"> </w:t>
      </w:r>
      <w:r>
        <w:rPr>
          <w:color w:val="4D4D4F"/>
          <w:w w:val="105"/>
        </w:rPr>
        <w:t>expected</w:t>
      </w:r>
      <w:r>
        <w:rPr>
          <w:color w:val="4D4D4F"/>
          <w:spacing w:val="-12"/>
          <w:w w:val="105"/>
        </w:rPr>
        <w:t xml:space="preserve"> </w:t>
      </w:r>
      <w:r>
        <w:rPr>
          <w:color w:val="4D4D4F"/>
          <w:w w:val="105"/>
        </w:rPr>
        <w:t>to</w:t>
      </w:r>
      <w:r>
        <w:rPr>
          <w:color w:val="4D4D4F"/>
          <w:spacing w:val="-12"/>
          <w:w w:val="105"/>
        </w:rPr>
        <w:t xml:space="preserve"> </w:t>
      </w:r>
      <w:r>
        <w:rPr>
          <w:color w:val="4D4D4F"/>
          <w:w w:val="105"/>
        </w:rPr>
        <w:t>fluctuate</w:t>
      </w:r>
      <w:r>
        <w:rPr>
          <w:color w:val="4D4D4F"/>
          <w:spacing w:val="-13"/>
          <w:w w:val="105"/>
        </w:rPr>
        <w:t xml:space="preserve"> </w:t>
      </w:r>
      <w:r>
        <w:rPr>
          <w:color w:val="4D4D4F"/>
          <w:w w:val="105"/>
        </w:rPr>
        <w:t>over</w:t>
      </w:r>
      <w:r>
        <w:rPr>
          <w:color w:val="4D4D4F"/>
          <w:spacing w:val="-12"/>
          <w:w w:val="105"/>
        </w:rPr>
        <w:t xml:space="preserve"> </w:t>
      </w:r>
      <w:r>
        <w:rPr>
          <w:color w:val="4D4D4F"/>
          <w:w w:val="105"/>
        </w:rPr>
        <w:t>time.</w:t>
      </w:r>
      <w:r>
        <w:rPr>
          <w:color w:val="4D4D4F"/>
          <w:spacing w:val="-12"/>
          <w:w w:val="105"/>
        </w:rPr>
        <w:t xml:space="preserve"> </w:t>
      </w:r>
      <w:r>
        <w:rPr>
          <w:color w:val="4D4D4F"/>
          <w:w w:val="105"/>
        </w:rPr>
        <w:t>This</w:t>
      </w:r>
      <w:r>
        <w:rPr>
          <w:color w:val="4D4D4F"/>
          <w:spacing w:val="-12"/>
          <w:w w:val="105"/>
        </w:rPr>
        <w:t xml:space="preserve"> </w:t>
      </w:r>
      <w:r>
        <w:rPr>
          <w:color w:val="4D4D4F"/>
          <w:w w:val="105"/>
        </w:rPr>
        <w:t>KPI</w:t>
      </w:r>
      <w:r>
        <w:rPr>
          <w:color w:val="4D4D4F"/>
          <w:spacing w:val="-13"/>
          <w:w w:val="105"/>
        </w:rPr>
        <w:t xml:space="preserve"> </w:t>
      </w:r>
      <w:r>
        <w:rPr>
          <w:color w:val="4D4D4F"/>
          <w:w w:val="105"/>
        </w:rPr>
        <w:t>was</w:t>
      </w:r>
      <w:r>
        <w:rPr>
          <w:color w:val="4D4D4F"/>
          <w:spacing w:val="-12"/>
          <w:w w:val="105"/>
        </w:rPr>
        <w:t xml:space="preserve"> </w:t>
      </w:r>
      <w:r>
        <w:rPr>
          <w:color w:val="4D4D4F"/>
          <w:w w:val="105"/>
        </w:rPr>
        <w:t>met</w:t>
      </w:r>
      <w:r>
        <w:rPr>
          <w:color w:val="4D4D4F"/>
          <w:spacing w:val="-12"/>
          <w:w w:val="105"/>
        </w:rPr>
        <w:t xml:space="preserve"> </w:t>
      </w:r>
      <w:r>
        <w:rPr>
          <w:color w:val="4D4D4F"/>
          <w:w w:val="105"/>
        </w:rPr>
        <w:t>for</w:t>
      </w:r>
      <w:r>
        <w:rPr>
          <w:color w:val="4D4D4F"/>
          <w:spacing w:val="-12"/>
          <w:w w:val="105"/>
        </w:rPr>
        <w:t xml:space="preserve"> </w:t>
      </w:r>
      <w:r>
        <w:rPr>
          <w:color w:val="4D4D4F"/>
          <w:w w:val="105"/>
        </w:rPr>
        <w:t>all</w:t>
      </w:r>
      <w:r>
        <w:rPr>
          <w:color w:val="4D4D4F"/>
          <w:spacing w:val="-13"/>
          <w:w w:val="105"/>
        </w:rPr>
        <w:t xml:space="preserve"> </w:t>
      </w:r>
      <w:r>
        <w:rPr>
          <w:color w:val="4D4D4F"/>
          <w:w w:val="105"/>
        </w:rPr>
        <w:t>wetlands</w:t>
      </w:r>
      <w:r>
        <w:rPr>
          <w:color w:val="4D4D4F"/>
          <w:spacing w:val="-12"/>
          <w:w w:val="105"/>
        </w:rPr>
        <w:t xml:space="preserve"> </w:t>
      </w:r>
      <w:r>
        <w:rPr>
          <w:color w:val="4D4D4F"/>
          <w:w w:val="105"/>
        </w:rPr>
        <w:t>in</w:t>
      </w:r>
      <w:r>
        <w:rPr>
          <w:color w:val="4D4D4F"/>
          <w:spacing w:val="-12"/>
          <w:w w:val="105"/>
        </w:rPr>
        <w:t xml:space="preserve"> </w:t>
      </w:r>
      <w:r>
        <w:rPr>
          <w:color w:val="4D4D4F"/>
          <w:w w:val="105"/>
        </w:rPr>
        <w:t>2020–2022.</w:t>
      </w:r>
    </w:p>
    <w:p w14:paraId="5FE6F936" w14:textId="77777777" w:rsidR="00EF5B27" w:rsidRDefault="00EF5B27">
      <w:pPr>
        <w:spacing w:line="254" w:lineRule="auto"/>
        <w:sectPr w:rsidR="00EF5B27">
          <w:pgSz w:w="11910" w:h="16840"/>
          <w:pgMar w:top="1080" w:right="1020" w:bottom="860" w:left="1020" w:header="537" w:footer="678" w:gutter="0"/>
          <w:cols w:space="720"/>
        </w:sectPr>
      </w:pPr>
    </w:p>
    <w:p w14:paraId="3AF3663B" w14:textId="77777777" w:rsidR="00EF5B27" w:rsidRDefault="00000000">
      <w:pPr>
        <w:pStyle w:val="BodyText"/>
      </w:pPr>
      <w:r>
        <w:lastRenderedPageBreak/>
        <w:pict w14:anchorId="6A00BED1">
          <v:group id="_x0000_s3226" style="position:absolute;margin-left:587.05pt;margin-top:183.4pt;width:8.25pt;height:153.1pt;z-index:251612672;mso-position-horizontal-relative:page;mso-position-vertical-relative:page" coordorigin="11741,3668" coordsize="165,3062">
            <v:shape id="_x0000_s3233" style="position:absolute;left:11741;top:3668;width:165;height:561" coordorigin="11741,3668" coordsize="165,561" path="m11906,3668r-165,l11741,4228r165,-18l11906,3668xe" fillcolor="#00aed9" stroked="f">
              <v:path arrowok="t"/>
            </v:shape>
            <v:shape id="_x0000_s3232" style="position:absolute;left:11741;top:4118;width:165;height:425" coordorigin="11741,4118" coordsize="165,425" path="m11906,4118r-165,14l11741,4531r165,12l11906,4118xe" fillcolor="#047ebc" stroked="f">
              <v:path arrowok="t"/>
            </v:shape>
            <v:shape id="_x0000_s3231" type="#_x0000_t75" style="position:absolute;left:11741;top:4355;width:165;height:587">
              <v:imagedata r:id="rId42" o:title=""/>
            </v:shape>
            <v:shape id="_x0000_s3230" style="position:absolute;left:11741;top:5343;width:165;height:536" coordorigin="11741,5343" coordsize="165,536" path="m11741,5343r,535l11906,5872r,-525l11741,5343xe" fillcolor="#f36a2e" stroked="f">
              <v:path arrowok="t"/>
            </v:shape>
            <v:shape id="_x0000_s3229" style="position:absolute;left:11741;top:4925;width:165;height:501" coordorigin="11741,4926" coordsize="165,501" path="m11741,4926r,500l11906,5426r,-485l11741,4926xe" fillcolor="#49783f" stroked="f">
              <v:path arrowok="t"/>
            </v:shape>
            <v:shape id="_x0000_s3228" style="position:absolute;left:11741;top:5781;width:165;height:268" coordorigin="11741,5782" coordsize="165,268" path="m11906,5782r-165,8l11741,6039r165,10l11906,5782xe" fillcolor="#f99f2a" stroked="f">
              <v:path arrowok="t"/>
            </v:shape>
            <v:shape id="_x0000_s3227" style="position:absolute;left:11741;top:6023;width:165;height:707" coordorigin="11741,6023" coordsize="165,707" path="m11741,6023r,706l11906,6729r,-690l11741,6023xe" fillcolor="#ef412c" stroked="f">
              <v:path arrowok="t"/>
            </v:shape>
            <w10:wrap anchorx="page" anchory="page"/>
          </v:group>
        </w:pict>
      </w:r>
    </w:p>
    <w:p w14:paraId="26A5C891" w14:textId="77777777" w:rsidR="00EF5B27" w:rsidRDefault="00EF5B27">
      <w:pPr>
        <w:pStyle w:val="BodyText"/>
      </w:pPr>
    </w:p>
    <w:p w14:paraId="410C2211" w14:textId="77777777" w:rsidR="00EF5B27" w:rsidRDefault="00EF5B27">
      <w:pPr>
        <w:pStyle w:val="BodyText"/>
      </w:pPr>
    </w:p>
    <w:p w14:paraId="0983B348" w14:textId="77777777" w:rsidR="00EF5B27" w:rsidRDefault="00EF5B27">
      <w:pPr>
        <w:pStyle w:val="BodyText"/>
        <w:spacing w:before="6"/>
        <w:rPr>
          <w:sz w:val="24"/>
        </w:rPr>
      </w:pPr>
    </w:p>
    <w:p w14:paraId="1C81811D" w14:textId="77777777" w:rsidR="00EF5B27" w:rsidRDefault="00000000">
      <w:pPr>
        <w:pStyle w:val="Heading6"/>
        <w:spacing w:before="111"/>
      </w:pPr>
      <w:bookmarkStart w:id="58" w:name="_bookmark42"/>
      <w:bookmarkStart w:id="59" w:name="_heading=h.34g0dwd"/>
      <w:bookmarkEnd w:id="58"/>
      <w:bookmarkEnd w:id="59"/>
      <w:r>
        <w:rPr>
          <w:color w:val="4D4D4F"/>
        </w:rPr>
        <w:t>KPI 2: Richness of all native forbs during drawdown</w:t>
      </w:r>
    </w:p>
    <w:p w14:paraId="2F42F29A" w14:textId="77777777" w:rsidR="00EF5B27" w:rsidRDefault="00EF5B27">
      <w:pPr>
        <w:pStyle w:val="BodyText"/>
        <w:spacing w:before="2"/>
        <w:rPr>
          <w:b/>
          <w:sz w:val="14"/>
        </w:rPr>
      </w:pPr>
    </w:p>
    <w:tbl>
      <w:tblPr>
        <w:tblW w:w="0" w:type="auto"/>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5A6B1FFE" w14:textId="77777777">
        <w:trPr>
          <w:trHeight w:val="559"/>
        </w:trPr>
        <w:tc>
          <w:tcPr>
            <w:tcW w:w="2980" w:type="dxa"/>
            <w:shd w:val="clear" w:color="auto" w:fill="FECC91"/>
          </w:tcPr>
          <w:p w14:paraId="3661D935" w14:textId="77777777" w:rsidR="00EF5B27" w:rsidRDefault="00000000">
            <w:pPr>
              <w:pStyle w:val="TableParagraph"/>
              <w:spacing w:before="89" w:line="244" w:lineRule="auto"/>
              <w:ind w:left="80" w:right="764"/>
              <w:rPr>
                <w:b/>
                <w:sz w:val="16"/>
              </w:rPr>
            </w:pPr>
            <w:r>
              <w:rPr>
                <w:b/>
                <w:sz w:val="16"/>
              </w:rPr>
              <w:t>KPI 2: Richness of all native forbs during drawdown</w:t>
            </w:r>
          </w:p>
        </w:tc>
        <w:tc>
          <w:tcPr>
            <w:tcW w:w="1078" w:type="dxa"/>
            <w:shd w:val="clear" w:color="auto" w:fill="FECC91"/>
          </w:tcPr>
          <w:p w14:paraId="62D6A93B" w14:textId="77777777" w:rsidR="00EF5B27" w:rsidRDefault="00000000">
            <w:pPr>
              <w:pStyle w:val="TableParagraph"/>
              <w:spacing w:before="89" w:line="244" w:lineRule="auto"/>
              <w:ind w:left="169" w:right="164" w:firstLine="148"/>
              <w:rPr>
                <w:b/>
                <w:sz w:val="16"/>
              </w:rPr>
            </w:pPr>
            <w:r>
              <w:rPr>
                <w:b/>
                <w:w w:val="105"/>
                <w:sz w:val="16"/>
              </w:rPr>
              <w:t>Status 2020-2022</w:t>
            </w:r>
          </w:p>
        </w:tc>
        <w:tc>
          <w:tcPr>
            <w:tcW w:w="2155" w:type="dxa"/>
            <w:shd w:val="clear" w:color="auto" w:fill="FECC91"/>
          </w:tcPr>
          <w:p w14:paraId="60273A9C" w14:textId="77777777" w:rsidR="00EF5B27" w:rsidRDefault="00EF5B27">
            <w:pPr>
              <w:pStyle w:val="TableParagraph"/>
              <w:spacing w:before="6"/>
              <w:rPr>
                <w:b/>
                <w:sz w:val="15"/>
              </w:rPr>
            </w:pPr>
          </w:p>
          <w:p w14:paraId="5C006E61" w14:textId="77777777" w:rsidR="00EF5B27" w:rsidRDefault="00000000">
            <w:pPr>
              <w:pStyle w:val="TableParagraph"/>
              <w:ind w:left="143" w:right="142"/>
              <w:jc w:val="center"/>
              <w:rPr>
                <w:b/>
                <w:sz w:val="16"/>
              </w:rPr>
            </w:pPr>
            <w:r>
              <w:rPr>
                <w:b/>
                <w:sz w:val="16"/>
              </w:rPr>
              <w:t>Reason for non-assessment</w:t>
            </w:r>
          </w:p>
        </w:tc>
        <w:tc>
          <w:tcPr>
            <w:tcW w:w="964" w:type="dxa"/>
            <w:shd w:val="clear" w:color="auto" w:fill="FECC91"/>
          </w:tcPr>
          <w:p w14:paraId="179754CF" w14:textId="77777777" w:rsidR="00EF5B27" w:rsidRDefault="00EF5B27">
            <w:pPr>
              <w:pStyle w:val="TableParagraph"/>
              <w:spacing w:before="6"/>
              <w:rPr>
                <w:b/>
                <w:sz w:val="15"/>
              </w:rPr>
            </w:pPr>
          </w:p>
          <w:p w14:paraId="239D4D50" w14:textId="77777777" w:rsidR="00EF5B27" w:rsidRDefault="00000000">
            <w:pPr>
              <w:pStyle w:val="TableParagraph"/>
              <w:ind w:left="283"/>
              <w:rPr>
                <w:b/>
                <w:sz w:val="16"/>
              </w:rPr>
            </w:pPr>
            <w:r>
              <w:rPr>
                <w:b/>
                <w:sz w:val="16"/>
              </w:rPr>
              <w:t>Trend</w:t>
            </w:r>
          </w:p>
        </w:tc>
        <w:tc>
          <w:tcPr>
            <w:tcW w:w="964" w:type="dxa"/>
            <w:shd w:val="clear" w:color="auto" w:fill="FECC91"/>
          </w:tcPr>
          <w:p w14:paraId="64ABADCF" w14:textId="77777777" w:rsidR="00EF5B27" w:rsidRDefault="00000000">
            <w:pPr>
              <w:pStyle w:val="TableParagraph"/>
              <w:spacing w:before="89" w:line="244" w:lineRule="auto"/>
              <w:ind w:left="105" w:right="87" w:firstLine="217"/>
              <w:rPr>
                <w:b/>
                <w:sz w:val="16"/>
              </w:rPr>
            </w:pPr>
            <w:r>
              <w:rPr>
                <w:b/>
                <w:sz w:val="16"/>
              </w:rPr>
              <w:t>Data Confidence</w:t>
            </w:r>
          </w:p>
        </w:tc>
        <w:tc>
          <w:tcPr>
            <w:tcW w:w="1489" w:type="dxa"/>
            <w:shd w:val="clear" w:color="auto" w:fill="FECC91"/>
          </w:tcPr>
          <w:p w14:paraId="2937BD6F" w14:textId="77777777" w:rsidR="00EF5B27" w:rsidRDefault="00000000">
            <w:pPr>
              <w:pStyle w:val="TableParagraph"/>
              <w:spacing w:before="89" w:line="244" w:lineRule="auto"/>
              <w:ind w:left="220" w:hanging="92"/>
              <w:rPr>
                <w:b/>
                <w:sz w:val="16"/>
              </w:rPr>
            </w:pPr>
            <w:r>
              <w:rPr>
                <w:b/>
                <w:sz w:val="16"/>
              </w:rPr>
              <w:t>Year that baseline was/will be set</w:t>
            </w:r>
          </w:p>
        </w:tc>
      </w:tr>
      <w:tr w:rsidR="00EF5B27" w14:paraId="4145B29D" w14:textId="77777777">
        <w:trPr>
          <w:trHeight w:val="448"/>
        </w:trPr>
        <w:tc>
          <w:tcPr>
            <w:tcW w:w="2980" w:type="dxa"/>
          </w:tcPr>
          <w:p w14:paraId="5AB736DA" w14:textId="77777777" w:rsidR="00EF5B27" w:rsidRDefault="00EF5B27">
            <w:pPr>
              <w:pStyle w:val="TableParagraph"/>
              <w:spacing w:before="11"/>
              <w:rPr>
                <w:b/>
                <w:sz w:val="11"/>
              </w:rPr>
            </w:pPr>
          </w:p>
          <w:p w14:paraId="41C03265" w14:textId="77777777" w:rsidR="00EF5B27" w:rsidRDefault="00000000">
            <w:pPr>
              <w:pStyle w:val="TableParagraph"/>
              <w:ind w:left="80"/>
              <w:rPr>
                <w:sz w:val="14"/>
              </w:rPr>
            </w:pPr>
            <w:r>
              <w:rPr>
                <w:color w:val="4D4D4F"/>
                <w:w w:val="105"/>
                <w:sz w:val="14"/>
              </w:rPr>
              <w:t>Cobbledicks Rise</w:t>
            </w:r>
          </w:p>
        </w:tc>
        <w:tc>
          <w:tcPr>
            <w:tcW w:w="1078" w:type="dxa"/>
          </w:tcPr>
          <w:p w14:paraId="055A276F" w14:textId="77777777" w:rsidR="00EF5B27" w:rsidRDefault="00EF5B27">
            <w:pPr>
              <w:pStyle w:val="TableParagraph"/>
              <w:spacing w:before="11"/>
              <w:rPr>
                <w:b/>
                <w:sz w:val="11"/>
              </w:rPr>
            </w:pPr>
          </w:p>
          <w:p w14:paraId="6EA77F86"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2AD42C58" w14:textId="77777777" w:rsidR="00EF5B27" w:rsidRDefault="00EF5B27">
            <w:pPr>
              <w:pStyle w:val="TableParagraph"/>
              <w:spacing w:before="11"/>
              <w:rPr>
                <w:b/>
                <w:sz w:val="11"/>
              </w:rPr>
            </w:pPr>
          </w:p>
          <w:p w14:paraId="28B5FEC4" w14:textId="77777777" w:rsidR="00EF5B27" w:rsidRDefault="00000000">
            <w:pPr>
              <w:pStyle w:val="TableParagraph"/>
              <w:ind w:left="143" w:right="142"/>
              <w:jc w:val="center"/>
              <w:rPr>
                <w:sz w:val="14"/>
              </w:rPr>
            </w:pPr>
            <w:r>
              <w:rPr>
                <w:color w:val="4D4D4F"/>
                <w:sz w:val="14"/>
              </w:rPr>
              <w:t>Lack of drawdown event</w:t>
            </w:r>
          </w:p>
        </w:tc>
        <w:tc>
          <w:tcPr>
            <w:tcW w:w="964" w:type="dxa"/>
          </w:tcPr>
          <w:p w14:paraId="68FB7407" w14:textId="77777777" w:rsidR="00EF5B27" w:rsidRDefault="00EF5B27">
            <w:pPr>
              <w:pStyle w:val="TableParagraph"/>
              <w:spacing w:before="4"/>
              <w:rPr>
                <w:b/>
                <w:sz w:val="7"/>
              </w:rPr>
            </w:pPr>
          </w:p>
          <w:p w14:paraId="119F0DAF" w14:textId="77777777" w:rsidR="00EF5B27" w:rsidRDefault="00000000">
            <w:pPr>
              <w:pStyle w:val="TableParagraph"/>
              <w:spacing w:line="187" w:lineRule="exact"/>
              <w:ind w:left="400"/>
              <w:rPr>
                <w:sz w:val="18"/>
              </w:rPr>
            </w:pPr>
            <w:r>
              <w:rPr>
                <w:noProof/>
                <w:position w:val="-3"/>
                <w:sz w:val="18"/>
              </w:rPr>
              <w:drawing>
                <wp:inline distT="0" distB="0" distL="0" distR="0" wp14:anchorId="39A55369" wp14:editId="167DA3CF">
                  <wp:extent cx="100572" cy="119062"/>
                  <wp:effectExtent l="0" t="0" r="0" b="0"/>
                  <wp:docPr id="447"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165.png"/>
                          <pic:cNvPicPr/>
                        </pic:nvPicPr>
                        <pic:blipFill>
                          <a:blip r:embed="rId76" cstate="print"/>
                          <a:stretch>
                            <a:fillRect/>
                          </a:stretch>
                        </pic:blipFill>
                        <pic:spPr>
                          <a:xfrm>
                            <a:off x="0" y="0"/>
                            <a:ext cx="100572" cy="119062"/>
                          </a:xfrm>
                          <a:prstGeom prst="rect">
                            <a:avLst/>
                          </a:prstGeom>
                        </pic:spPr>
                      </pic:pic>
                    </a:graphicData>
                  </a:graphic>
                </wp:inline>
              </w:drawing>
            </w:r>
          </w:p>
          <w:p w14:paraId="1DDC9D96" w14:textId="77777777" w:rsidR="00EF5B27" w:rsidRDefault="00EF5B27">
            <w:pPr>
              <w:pStyle w:val="TableParagraph"/>
              <w:spacing w:before="8"/>
              <w:rPr>
                <w:b/>
                <w:sz w:val="2"/>
              </w:rPr>
            </w:pPr>
          </w:p>
          <w:p w14:paraId="33964102" w14:textId="77777777" w:rsidR="00EF5B27" w:rsidRDefault="00000000">
            <w:pPr>
              <w:pStyle w:val="TableParagraph"/>
              <w:spacing w:line="48" w:lineRule="exact"/>
              <w:ind w:left="448"/>
              <w:rPr>
                <w:sz w:val="4"/>
              </w:rPr>
            </w:pPr>
            <w:r>
              <w:rPr>
                <w:sz w:val="4"/>
              </w:rPr>
            </w:r>
            <w:r>
              <w:rPr>
                <w:sz w:val="4"/>
              </w:rPr>
              <w:pict w14:anchorId="02ACFF79">
                <v:group id="_x0000_s3224" style="width:2.45pt;height:2.45pt;mso-position-horizontal-relative:char;mso-position-vertical-relative:line" coordsize="49,49">
                  <v:shape id="_x0000_s3225" style="position:absolute;width:49;height:49" coordsize="49,49" path="m31,l18,,12,2,2,12,,17,,31r2,6l12,46r6,3l31,49r6,-3l46,37r3,-6l49,17,46,12,37,2,31,xe" fillcolor="#808285" stroked="f">
                    <v:path arrowok="t"/>
                  </v:shape>
                  <w10:wrap type="none"/>
                  <w10:anchorlock/>
                </v:group>
              </w:pict>
            </w:r>
          </w:p>
        </w:tc>
        <w:tc>
          <w:tcPr>
            <w:tcW w:w="964" w:type="dxa"/>
          </w:tcPr>
          <w:p w14:paraId="2648C870" w14:textId="77777777" w:rsidR="00EF5B27" w:rsidRDefault="00EF5B27">
            <w:pPr>
              <w:pStyle w:val="TableParagraph"/>
              <w:spacing w:before="11"/>
              <w:rPr>
                <w:b/>
                <w:sz w:val="11"/>
              </w:rPr>
            </w:pPr>
          </w:p>
          <w:p w14:paraId="513E3AF1" w14:textId="77777777" w:rsidR="00EF5B27" w:rsidRDefault="00000000">
            <w:pPr>
              <w:pStyle w:val="TableParagraph"/>
              <w:ind w:left="318" w:right="323"/>
              <w:jc w:val="center"/>
              <w:rPr>
                <w:sz w:val="14"/>
              </w:rPr>
            </w:pPr>
            <w:r>
              <w:rPr>
                <w:color w:val="4D4D4F"/>
                <w:w w:val="105"/>
                <w:sz w:val="14"/>
              </w:rPr>
              <w:t>N/A</w:t>
            </w:r>
          </w:p>
        </w:tc>
        <w:tc>
          <w:tcPr>
            <w:tcW w:w="1489" w:type="dxa"/>
          </w:tcPr>
          <w:p w14:paraId="5B68099D" w14:textId="77777777" w:rsidR="00EF5B27" w:rsidRDefault="00000000">
            <w:pPr>
              <w:pStyle w:val="TableParagraph"/>
              <w:spacing w:before="134"/>
              <w:ind w:left="451" w:right="457"/>
              <w:jc w:val="center"/>
              <w:rPr>
                <w:sz w:val="16"/>
              </w:rPr>
            </w:pPr>
            <w:r>
              <w:rPr>
                <w:color w:val="4D4D4F"/>
                <w:sz w:val="16"/>
              </w:rPr>
              <w:t>2017</w:t>
            </w:r>
          </w:p>
        </w:tc>
      </w:tr>
      <w:tr w:rsidR="00EF5B27" w14:paraId="7D241051" w14:textId="77777777">
        <w:trPr>
          <w:trHeight w:val="448"/>
        </w:trPr>
        <w:tc>
          <w:tcPr>
            <w:tcW w:w="2980" w:type="dxa"/>
          </w:tcPr>
          <w:p w14:paraId="29E1FE10" w14:textId="77777777" w:rsidR="00EF5B27" w:rsidRDefault="00EF5B27">
            <w:pPr>
              <w:pStyle w:val="TableParagraph"/>
              <w:spacing w:before="11"/>
              <w:rPr>
                <w:b/>
                <w:sz w:val="11"/>
              </w:rPr>
            </w:pPr>
          </w:p>
          <w:p w14:paraId="5DDC7B29" w14:textId="77777777" w:rsidR="00EF5B27" w:rsidRDefault="00000000">
            <w:pPr>
              <w:pStyle w:val="TableParagraph"/>
              <w:ind w:left="80"/>
              <w:rPr>
                <w:sz w:val="14"/>
              </w:rPr>
            </w:pPr>
            <w:r>
              <w:rPr>
                <w:color w:val="4D4D4F"/>
                <w:w w:val="105"/>
                <w:sz w:val="14"/>
              </w:rPr>
              <w:t>One Tree Rise</w:t>
            </w:r>
          </w:p>
        </w:tc>
        <w:tc>
          <w:tcPr>
            <w:tcW w:w="1078" w:type="dxa"/>
          </w:tcPr>
          <w:p w14:paraId="6E6DBB71" w14:textId="77777777" w:rsidR="00EF5B27" w:rsidRDefault="00EF5B27">
            <w:pPr>
              <w:pStyle w:val="TableParagraph"/>
              <w:spacing w:before="11"/>
              <w:rPr>
                <w:b/>
                <w:sz w:val="11"/>
              </w:rPr>
            </w:pPr>
          </w:p>
          <w:p w14:paraId="02BCDF4E"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22CF738D" w14:textId="77777777" w:rsidR="00EF5B27" w:rsidRDefault="00EF5B27">
            <w:pPr>
              <w:pStyle w:val="TableParagraph"/>
              <w:spacing w:before="11"/>
              <w:rPr>
                <w:b/>
                <w:sz w:val="11"/>
              </w:rPr>
            </w:pPr>
          </w:p>
          <w:p w14:paraId="0B90B541" w14:textId="77777777" w:rsidR="00EF5B27" w:rsidRDefault="00000000">
            <w:pPr>
              <w:pStyle w:val="TableParagraph"/>
              <w:ind w:left="143" w:right="142"/>
              <w:jc w:val="center"/>
              <w:rPr>
                <w:sz w:val="14"/>
              </w:rPr>
            </w:pPr>
            <w:r>
              <w:rPr>
                <w:color w:val="4D4D4F"/>
                <w:sz w:val="14"/>
              </w:rPr>
              <w:t>Lack of drawdown event</w:t>
            </w:r>
          </w:p>
        </w:tc>
        <w:tc>
          <w:tcPr>
            <w:tcW w:w="964" w:type="dxa"/>
          </w:tcPr>
          <w:p w14:paraId="49863E9A" w14:textId="77777777" w:rsidR="00EF5B27" w:rsidRDefault="00EF5B27">
            <w:pPr>
              <w:pStyle w:val="TableParagraph"/>
              <w:spacing w:before="4"/>
              <w:rPr>
                <w:b/>
                <w:sz w:val="7"/>
              </w:rPr>
            </w:pPr>
          </w:p>
          <w:p w14:paraId="3E1C786E" w14:textId="77777777" w:rsidR="00EF5B27" w:rsidRDefault="00000000">
            <w:pPr>
              <w:pStyle w:val="TableParagraph"/>
              <w:spacing w:line="187" w:lineRule="exact"/>
              <w:ind w:left="400"/>
              <w:rPr>
                <w:sz w:val="18"/>
              </w:rPr>
            </w:pPr>
            <w:r>
              <w:rPr>
                <w:noProof/>
                <w:position w:val="-3"/>
                <w:sz w:val="18"/>
              </w:rPr>
              <w:drawing>
                <wp:inline distT="0" distB="0" distL="0" distR="0" wp14:anchorId="41D18878" wp14:editId="1E6D3053">
                  <wp:extent cx="100572" cy="119062"/>
                  <wp:effectExtent l="0" t="0" r="0" b="0"/>
                  <wp:docPr id="449"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166.png"/>
                          <pic:cNvPicPr/>
                        </pic:nvPicPr>
                        <pic:blipFill>
                          <a:blip r:embed="rId93" cstate="print"/>
                          <a:stretch>
                            <a:fillRect/>
                          </a:stretch>
                        </pic:blipFill>
                        <pic:spPr>
                          <a:xfrm>
                            <a:off x="0" y="0"/>
                            <a:ext cx="100572" cy="119062"/>
                          </a:xfrm>
                          <a:prstGeom prst="rect">
                            <a:avLst/>
                          </a:prstGeom>
                        </pic:spPr>
                      </pic:pic>
                    </a:graphicData>
                  </a:graphic>
                </wp:inline>
              </w:drawing>
            </w:r>
          </w:p>
          <w:p w14:paraId="6544EFAC" w14:textId="77777777" w:rsidR="00EF5B27" w:rsidRDefault="00EF5B27">
            <w:pPr>
              <w:pStyle w:val="TableParagraph"/>
              <w:spacing w:before="8"/>
              <w:rPr>
                <w:b/>
                <w:sz w:val="2"/>
              </w:rPr>
            </w:pPr>
          </w:p>
          <w:p w14:paraId="20AB7FEA" w14:textId="77777777" w:rsidR="00EF5B27" w:rsidRDefault="00000000">
            <w:pPr>
              <w:pStyle w:val="TableParagraph"/>
              <w:spacing w:line="48" w:lineRule="exact"/>
              <w:ind w:left="448"/>
              <w:rPr>
                <w:sz w:val="4"/>
              </w:rPr>
            </w:pPr>
            <w:r>
              <w:rPr>
                <w:sz w:val="4"/>
              </w:rPr>
            </w:r>
            <w:r>
              <w:rPr>
                <w:sz w:val="4"/>
              </w:rPr>
              <w:pict w14:anchorId="0215D176">
                <v:group id="_x0000_s3222" style="width:2.45pt;height:2.45pt;mso-position-horizontal-relative:char;mso-position-vertical-relative:line" coordsize="49,49">
                  <v:shape id="_x0000_s3223" style="position:absolute;width:49;height:49" coordsize="49,49" path="m31,l18,,12,2,2,12,,17,,31r2,6l12,46r6,3l31,49r6,-3l46,37r3,-6l49,17,46,12,37,2,31,xe" fillcolor="#808285" stroked="f">
                    <v:path arrowok="t"/>
                  </v:shape>
                  <w10:wrap type="none"/>
                  <w10:anchorlock/>
                </v:group>
              </w:pict>
            </w:r>
          </w:p>
        </w:tc>
        <w:tc>
          <w:tcPr>
            <w:tcW w:w="964" w:type="dxa"/>
          </w:tcPr>
          <w:p w14:paraId="6E56F318" w14:textId="77777777" w:rsidR="00EF5B27" w:rsidRDefault="00EF5B27">
            <w:pPr>
              <w:pStyle w:val="TableParagraph"/>
              <w:spacing w:before="11"/>
              <w:rPr>
                <w:b/>
                <w:sz w:val="11"/>
              </w:rPr>
            </w:pPr>
          </w:p>
          <w:p w14:paraId="18B8DDAD" w14:textId="77777777" w:rsidR="00EF5B27" w:rsidRDefault="00000000">
            <w:pPr>
              <w:pStyle w:val="TableParagraph"/>
              <w:ind w:left="318" w:right="323"/>
              <w:jc w:val="center"/>
              <w:rPr>
                <w:sz w:val="14"/>
              </w:rPr>
            </w:pPr>
            <w:r>
              <w:rPr>
                <w:color w:val="4D4D4F"/>
                <w:w w:val="105"/>
                <w:sz w:val="14"/>
              </w:rPr>
              <w:t>N/A</w:t>
            </w:r>
          </w:p>
        </w:tc>
        <w:tc>
          <w:tcPr>
            <w:tcW w:w="1489" w:type="dxa"/>
          </w:tcPr>
          <w:p w14:paraId="071CF65D" w14:textId="77777777" w:rsidR="00EF5B27" w:rsidRDefault="00000000">
            <w:pPr>
              <w:pStyle w:val="TableParagraph"/>
              <w:spacing w:before="134"/>
              <w:ind w:left="457" w:right="457"/>
              <w:jc w:val="center"/>
              <w:rPr>
                <w:sz w:val="16"/>
              </w:rPr>
            </w:pPr>
            <w:r>
              <w:rPr>
                <w:color w:val="4D4D4F"/>
                <w:w w:val="105"/>
                <w:sz w:val="16"/>
              </w:rPr>
              <w:t>Unclear</w:t>
            </w:r>
          </w:p>
        </w:tc>
      </w:tr>
      <w:tr w:rsidR="00EF5B27" w14:paraId="794F5FF2" w14:textId="77777777">
        <w:trPr>
          <w:trHeight w:val="448"/>
        </w:trPr>
        <w:tc>
          <w:tcPr>
            <w:tcW w:w="2980" w:type="dxa"/>
          </w:tcPr>
          <w:p w14:paraId="6B92FF04" w14:textId="77777777" w:rsidR="00EF5B27" w:rsidRDefault="00EF5B27">
            <w:pPr>
              <w:pStyle w:val="TableParagraph"/>
              <w:spacing w:before="11"/>
              <w:rPr>
                <w:b/>
                <w:sz w:val="11"/>
              </w:rPr>
            </w:pPr>
          </w:p>
          <w:p w14:paraId="014E2595" w14:textId="77777777" w:rsidR="00EF5B27" w:rsidRDefault="00000000">
            <w:pPr>
              <w:pStyle w:val="TableParagraph"/>
              <w:ind w:left="80"/>
              <w:rPr>
                <w:sz w:val="14"/>
              </w:rPr>
            </w:pPr>
            <w:r>
              <w:rPr>
                <w:color w:val="4D4D4F"/>
                <w:sz w:val="14"/>
              </w:rPr>
              <w:t>Windmill</w:t>
            </w:r>
          </w:p>
        </w:tc>
        <w:tc>
          <w:tcPr>
            <w:tcW w:w="1078" w:type="dxa"/>
          </w:tcPr>
          <w:p w14:paraId="2E04729D" w14:textId="77777777" w:rsidR="00EF5B27" w:rsidRDefault="00EF5B27">
            <w:pPr>
              <w:pStyle w:val="TableParagraph"/>
              <w:spacing w:before="11"/>
              <w:rPr>
                <w:b/>
                <w:sz w:val="11"/>
              </w:rPr>
            </w:pPr>
          </w:p>
          <w:p w14:paraId="7BADAE53"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5105A1D2" w14:textId="77777777" w:rsidR="00EF5B27" w:rsidRDefault="00EF5B27">
            <w:pPr>
              <w:pStyle w:val="TableParagraph"/>
              <w:spacing w:before="11"/>
              <w:rPr>
                <w:b/>
                <w:sz w:val="11"/>
              </w:rPr>
            </w:pPr>
          </w:p>
          <w:p w14:paraId="601DDAAA" w14:textId="77777777" w:rsidR="00EF5B27" w:rsidRDefault="00000000">
            <w:pPr>
              <w:pStyle w:val="TableParagraph"/>
              <w:ind w:left="143" w:right="142"/>
              <w:jc w:val="center"/>
              <w:rPr>
                <w:sz w:val="14"/>
              </w:rPr>
            </w:pPr>
            <w:r>
              <w:rPr>
                <w:color w:val="4D4D4F"/>
                <w:sz w:val="14"/>
              </w:rPr>
              <w:t>Lack of drawdown event</w:t>
            </w:r>
          </w:p>
        </w:tc>
        <w:tc>
          <w:tcPr>
            <w:tcW w:w="964" w:type="dxa"/>
          </w:tcPr>
          <w:p w14:paraId="745AA2BE" w14:textId="77777777" w:rsidR="00EF5B27" w:rsidRDefault="00EF5B27">
            <w:pPr>
              <w:pStyle w:val="TableParagraph"/>
              <w:spacing w:before="4"/>
              <w:rPr>
                <w:b/>
                <w:sz w:val="7"/>
              </w:rPr>
            </w:pPr>
          </w:p>
          <w:p w14:paraId="54223DF2" w14:textId="77777777" w:rsidR="00EF5B27" w:rsidRDefault="00000000">
            <w:pPr>
              <w:pStyle w:val="TableParagraph"/>
              <w:spacing w:line="187" w:lineRule="exact"/>
              <w:ind w:left="400"/>
              <w:rPr>
                <w:sz w:val="18"/>
              </w:rPr>
            </w:pPr>
            <w:r>
              <w:rPr>
                <w:noProof/>
                <w:position w:val="-3"/>
                <w:sz w:val="18"/>
              </w:rPr>
              <w:drawing>
                <wp:inline distT="0" distB="0" distL="0" distR="0" wp14:anchorId="1A114FB8" wp14:editId="252C1400">
                  <wp:extent cx="100572" cy="119062"/>
                  <wp:effectExtent l="0" t="0" r="0" b="0"/>
                  <wp:docPr id="451"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167.png"/>
                          <pic:cNvPicPr/>
                        </pic:nvPicPr>
                        <pic:blipFill>
                          <a:blip r:embed="rId76" cstate="print"/>
                          <a:stretch>
                            <a:fillRect/>
                          </a:stretch>
                        </pic:blipFill>
                        <pic:spPr>
                          <a:xfrm>
                            <a:off x="0" y="0"/>
                            <a:ext cx="100572" cy="119062"/>
                          </a:xfrm>
                          <a:prstGeom prst="rect">
                            <a:avLst/>
                          </a:prstGeom>
                        </pic:spPr>
                      </pic:pic>
                    </a:graphicData>
                  </a:graphic>
                </wp:inline>
              </w:drawing>
            </w:r>
          </w:p>
          <w:p w14:paraId="40AF4E8C" w14:textId="77777777" w:rsidR="00EF5B27" w:rsidRDefault="00EF5B27">
            <w:pPr>
              <w:pStyle w:val="TableParagraph"/>
              <w:spacing w:before="8"/>
              <w:rPr>
                <w:b/>
                <w:sz w:val="2"/>
              </w:rPr>
            </w:pPr>
          </w:p>
          <w:p w14:paraId="20651E56" w14:textId="77777777" w:rsidR="00EF5B27" w:rsidRDefault="00000000">
            <w:pPr>
              <w:pStyle w:val="TableParagraph"/>
              <w:spacing w:line="48" w:lineRule="exact"/>
              <w:ind w:left="448"/>
              <w:rPr>
                <w:sz w:val="4"/>
              </w:rPr>
            </w:pPr>
            <w:r>
              <w:rPr>
                <w:sz w:val="4"/>
              </w:rPr>
            </w:r>
            <w:r>
              <w:rPr>
                <w:sz w:val="4"/>
              </w:rPr>
              <w:pict w14:anchorId="77F891A0">
                <v:group id="_x0000_s3220" style="width:2.45pt;height:2.45pt;mso-position-horizontal-relative:char;mso-position-vertical-relative:line" coordsize="49,49">
                  <v:shape id="_x0000_s3221" style="position:absolute;width:49;height:49" coordsize="49,49" path="m31,l18,,12,2,2,12,,17,,31r2,6l12,46r6,3l31,49r6,-3l46,37r3,-6l49,17,46,12,37,2,31,xe" fillcolor="#808285" stroked="f">
                    <v:path arrowok="t"/>
                  </v:shape>
                  <w10:wrap type="none"/>
                  <w10:anchorlock/>
                </v:group>
              </w:pict>
            </w:r>
          </w:p>
        </w:tc>
        <w:tc>
          <w:tcPr>
            <w:tcW w:w="964" w:type="dxa"/>
          </w:tcPr>
          <w:p w14:paraId="62499C09" w14:textId="77777777" w:rsidR="00EF5B27" w:rsidRDefault="00EF5B27">
            <w:pPr>
              <w:pStyle w:val="TableParagraph"/>
              <w:spacing w:before="11"/>
              <w:rPr>
                <w:b/>
                <w:sz w:val="11"/>
              </w:rPr>
            </w:pPr>
          </w:p>
          <w:p w14:paraId="3CF3FA75" w14:textId="77777777" w:rsidR="00EF5B27" w:rsidRDefault="00000000">
            <w:pPr>
              <w:pStyle w:val="TableParagraph"/>
              <w:ind w:left="318" w:right="323"/>
              <w:jc w:val="center"/>
              <w:rPr>
                <w:sz w:val="14"/>
              </w:rPr>
            </w:pPr>
            <w:r>
              <w:rPr>
                <w:color w:val="4D4D4F"/>
                <w:w w:val="105"/>
                <w:sz w:val="14"/>
              </w:rPr>
              <w:t>N/A</w:t>
            </w:r>
          </w:p>
        </w:tc>
        <w:tc>
          <w:tcPr>
            <w:tcW w:w="1489" w:type="dxa"/>
          </w:tcPr>
          <w:p w14:paraId="76DC37A3" w14:textId="77777777" w:rsidR="00EF5B27" w:rsidRDefault="00000000">
            <w:pPr>
              <w:pStyle w:val="TableParagraph"/>
              <w:spacing w:before="134"/>
              <w:ind w:left="451" w:right="457"/>
              <w:jc w:val="center"/>
              <w:rPr>
                <w:sz w:val="16"/>
              </w:rPr>
            </w:pPr>
            <w:r>
              <w:rPr>
                <w:color w:val="4D4D4F"/>
                <w:sz w:val="16"/>
              </w:rPr>
              <w:t>2017</w:t>
            </w:r>
          </w:p>
        </w:tc>
      </w:tr>
    </w:tbl>
    <w:p w14:paraId="7520D14E" w14:textId="77777777" w:rsidR="00EF5B27" w:rsidRDefault="00EF5B27">
      <w:pPr>
        <w:pStyle w:val="BodyText"/>
        <w:spacing w:before="3"/>
        <w:rPr>
          <w:b/>
          <w:sz w:val="34"/>
        </w:rPr>
      </w:pPr>
    </w:p>
    <w:p w14:paraId="070A8A10" w14:textId="77777777" w:rsidR="00EF5B27" w:rsidRDefault="00000000">
      <w:pPr>
        <w:pStyle w:val="BodyText"/>
        <w:spacing w:before="1" w:line="254" w:lineRule="auto"/>
        <w:ind w:left="2613" w:right="312"/>
      </w:pPr>
      <w:r>
        <w:rPr>
          <w:color w:val="4D4D4F"/>
        </w:rPr>
        <w:t>This KPI measures the richness of all native forbs, including both perennial and   annual species (explicitly at the individual wetland scale). It is measured only at times when a given wetland is drawing down after filling, and the maximum expression of species richness is expected. This may only happen every few years, such that this    KPI will remain unassessed in many</w:t>
      </w:r>
      <w:r>
        <w:rPr>
          <w:color w:val="4D4D4F"/>
          <w:spacing w:val="32"/>
        </w:rPr>
        <w:t xml:space="preserve"> </w:t>
      </w:r>
      <w:r>
        <w:rPr>
          <w:color w:val="4D4D4F"/>
        </w:rPr>
        <w:t>years.</w:t>
      </w:r>
    </w:p>
    <w:p w14:paraId="3A5F2A81" w14:textId="77777777" w:rsidR="00EF5B27" w:rsidRDefault="00000000">
      <w:pPr>
        <w:pStyle w:val="BodyText"/>
        <w:spacing w:before="119" w:line="254" w:lineRule="auto"/>
        <w:ind w:left="2613" w:right="140"/>
      </w:pPr>
      <w:r>
        <w:rPr>
          <w:color w:val="4D4D4F"/>
          <w:spacing w:val="-3"/>
          <w:w w:val="105"/>
        </w:rPr>
        <w:t>This</w:t>
      </w:r>
      <w:r>
        <w:rPr>
          <w:color w:val="4D4D4F"/>
          <w:spacing w:val="-17"/>
          <w:w w:val="105"/>
        </w:rPr>
        <w:t xml:space="preserve"> </w:t>
      </w:r>
      <w:r>
        <w:rPr>
          <w:color w:val="4D4D4F"/>
          <w:w w:val="105"/>
        </w:rPr>
        <w:t>KPI</w:t>
      </w:r>
      <w:r>
        <w:rPr>
          <w:color w:val="4D4D4F"/>
          <w:spacing w:val="-16"/>
          <w:w w:val="105"/>
        </w:rPr>
        <w:t xml:space="preserve"> </w:t>
      </w:r>
      <w:r>
        <w:rPr>
          <w:color w:val="4D4D4F"/>
          <w:spacing w:val="-3"/>
          <w:w w:val="105"/>
        </w:rPr>
        <w:t>is</w:t>
      </w:r>
      <w:r>
        <w:rPr>
          <w:color w:val="4D4D4F"/>
          <w:spacing w:val="-16"/>
          <w:w w:val="105"/>
        </w:rPr>
        <w:t xml:space="preserve"> </w:t>
      </w:r>
      <w:r>
        <w:rPr>
          <w:color w:val="4D4D4F"/>
          <w:w w:val="105"/>
        </w:rPr>
        <w:t>assessed</w:t>
      </w:r>
      <w:r>
        <w:rPr>
          <w:color w:val="4D4D4F"/>
          <w:spacing w:val="-16"/>
          <w:w w:val="105"/>
        </w:rPr>
        <w:t xml:space="preserve"> </w:t>
      </w:r>
      <w:r>
        <w:rPr>
          <w:color w:val="4D4D4F"/>
          <w:spacing w:val="-3"/>
          <w:w w:val="105"/>
        </w:rPr>
        <w:t>against</w:t>
      </w:r>
      <w:r>
        <w:rPr>
          <w:color w:val="4D4D4F"/>
          <w:spacing w:val="-16"/>
          <w:w w:val="105"/>
        </w:rPr>
        <w:t xml:space="preserve"> </w:t>
      </w:r>
      <w:r>
        <w:rPr>
          <w:color w:val="4D4D4F"/>
          <w:w w:val="105"/>
        </w:rPr>
        <w:t>a</w:t>
      </w:r>
      <w:r>
        <w:rPr>
          <w:color w:val="4D4D4F"/>
          <w:spacing w:val="-17"/>
          <w:w w:val="105"/>
        </w:rPr>
        <w:t xml:space="preserve"> </w:t>
      </w:r>
      <w:r>
        <w:rPr>
          <w:color w:val="4D4D4F"/>
          <w:spacing w:val="-3"/>
          <w:w w:val="105"/>
        </w:rPr>
        <w:t>baseline,</w:t>
      </w:r>
      <w:r>
        <w:rPr>
          <w:color w:val="4D4D4F"/>
          <w:spacing w:val="-16"/>
          <w:w w:val="105"/>
        </w:rPr>
        <w:t xml:space="preserve"> </w:t>
      </w:r>
      <w:r>
        <w:rPr>
          <w:color w:val="4D4D4F"/>
          <w:spacing w:val="-2"/>
          <w:w w:val="105"/>
        </w:rPr>
        <w:t>set</w:t>
      </w:r>
      <w:r>
        <w:rPr>
          <w:color w:val="4D4D4F"/>
          <w:spacing w:val="-16"/>
          <w:w w:val="105"/>
        </w:rPr>
        <w:t xml:space="preserve"> </w:t>
      </w:r>
      <w:r>
        <w:rPr>
          <w:color w:val="4D4D4F"/>
          <w:w w:val="105"/>
        </w:rPr>
        <w:t>by</w:t>
      </w:r>
      <w:r>
        <w:rPr>
          <w:color w:val="4D4D4F"/>
          <w:spacing w:val="-16"/>
          <w:w w:val="105"/>
        </w:rPr>
        <w:t xml:space="preserve"> </w:t>
      </w:r>
      <w:r>
        <w:rPr>
          <w:color w:val="4D4D4F"/>
          <w:w w:val="105"/>
        </w:rPr>
        <w:t>the</w:t>
      </w:r>
      <w:r>
        <w:rPr>
          <w:color w:val="4D4D4F"/>
          <w:spacing w:val="-16"/>
          <w:w w:val="105"/>
        </w:rPr>
        <w:t xml:space="preserve"> </w:t>
      </w:r>
      <w:r>
        <w:rPr>
          <w:color w:val="4D4D4F"/>
          <w:w w:val="105"/>
        </w:rPr>
        <w:t>first</w:t>
      </w:r>
      <w:r>
        <w:rPr>
          <w:color w:val="4D4D4F"/>
          <w:spacing w:val="-17"/>
          <w:w w:val="105"/>
        </w:rPr>
        <w:t xml:space="preserve"> </w:t>
      </w:r>
      <w:r>
        <w:rPr>
          <w:color w:val="4D4D4F"/>
          <w:w w:val="105"/>
        </w:rPr>
        <w:t>year</w:t>
      </w:r>
      <w:r>
        <w:rPr>
          <w:color w:val="4D4D4F"/>
          <w:spacing w:val="-16"/>
          <w:w w:val="105"/>
        </w:rPr>
        <w:t xml:space="preserve"> </w:t>
      </w:r>
      <w:r>
        <w:rPr>
          <w:color w:val="4D4D4F"/>
          <w:w w:val="105"/>
        </w:rPr>
        <w:t>of</w:t>
      </w:r>
      <w:r>
        <w:rPr>
          <w:color w:val="4D4D4F"/>
          <w:spacing w:val="-16"/>
          <w:w w:val="105"/>
        </w:rPr>
        <w:t xml:space="preserve"> </w:t>
      </w:r>
      <w:r>
        <w:rPr>
          <w:color w:val="4D4D4F"/>
          <w:spacing w:val="-3"/>
          <w:w w:val="105"/>
        </w:rPr>
        <w:t>monitoring</w:t>
      </w:r>
      <w:r>
        <w:rPr>
          <w:color w:val="4D4D4F"/>
          <w:spacing w:val="-16"/>
          <w:w w:val="105"/>
        </w:rPr>
        <w:t xml:space="preserve"> </w:t>
      </w:r>
      <w:r>
        <w:rPr>
          <w:color w:val="4D4D4F"/>
          <w:w w:val="105"/>
        </w:rPr>
        <w:t>at</w:t>
      </w:r>
      <w:r>
        <w:rPr>
          <w:color w:val="4D4D4F"/>
          <w:spacing w:val="-16"/>
          <w:w w:val="105"/>
        </w:rPr>
        <w:t xml:space="preserve"> </w:t>
      </w:r>
      <w:r>
        <w:rPr>
          <w:color w:val="4D4D4F"/>
          <w:w w:val="105"/>
        </w:rPr>
        <w:t>drawdown, with</w:t>
      </w:r>
      <w:r>
        <w:rPr>
          <w:color w:val="4D4D4F"/>
          <w:spacing w:val="-18"/>
          <w:w w:val="105"/>
        </w:rPr>
        <w:t xml:space="preserve"> </w:t>
      </w:r>
      <w:r>
        <w:rPr>
          <w:color w:val="4D4D4F"/>
          <w:w w:val="105"/>
        </w:rPr>
        <w:t>a</w:t>
      </w:r>
      <w:r>
        <w:rPr>
          <w:color w:val="4D4D4F"/>
          <w:spacing w:val="-17"/>
          <w:w w:val="105"/>
        </w:rPr>
        <w:t xml:space="preserve"> </w:t>
      </w:r>
      <w:r>
        <w:rPr>
          <w:color w:val="4D4D4F"/>
          <w:w w:val="105"/>
        </w:rPr>
        <w:t>unique</w:t>
      </w:r>
      <w:r>
        <w:rPr>
          <w:color w:val="4D4D4F"/>
          <w:spacing w:val="-18"/>
          <w:w w:val="105"/>
        </w:rPr>
        <w:t xml:space="preserve"> </w:t>
      </w:r>
      <w:r>
        <w:rPr>
          <w:color w:val="4D4D4F"/>
          <w:w w:val="105"/>
        </w:rPr>
        <w:t>benchmark</w:t>
      </w:r>
      <w:r>
        <w:rPr>
          <w:color w:val="4D4D4F"/>
          <w:spacing w:val="-17"/>
          <w:w w:val="105"/>
        </w:rPr>
        <w:t xml:space="preserve"> </w:t>
      </w:r>
      <w:r>
        <w:rPr>
          <w:color w:val="4D4D4F"/>
          <w:w w:val="105"/>
        </w:rPr>
        <w:t>for</w:t>
      </w:r>
      <w:r>
        <w:rPr>
          <w:color w:val="4D4D4F"/>
          <w:spacing w:val="-17"/>
          <w:w w:val="105"/>
        </w:rPr>
        <w:t xml:space="preserve"> </w:t>
      </w:r>
      <w:r>
        <w:rPr>
          <w:color w:val="4D4D4F"/>
          <w:w w:val="105"/>
        </w:rPr>
        <w:t>each</w:t>
      </w:r>
      <w:r>
        <w:rPr>
          <w:color w:val="4D4D4F"/>
          <w:spacing w:val="-18"/>
          <w:w w:val="105"/>
        </w:rPr>
        <w:t xml:space="preserve"> </w:t>
      </w:r>
      <w:r>
        <w:rPr>
          <w:color w:val="4D4D4F"/>
          <w:w w:val="105"/>
        </w:rPr>
        <w:t>wetland.</w:t>
      </w:r>
      <w:r>
        <w:rPr>
          <w:color w:val="4D4D4F"/>
          <w:spacing w:val="-17"/>
          <w:w w:val="105"/>
        </w:rPr>
        <w:t xml:space="preserve"> </w:t>
      </w:r>
      <w:r>
        <w:rPr>
          <w:color w:val="4D4D4F"/>
          <w:w w:val="105"/>
        </w:rPr>
        <w:t>Since</w:t>
      </w:r>
      <w:r>
        <w:rPr>
          <w:color w:val="4D4D4F"/>
          <w:spacing w:val="-17"/>
          <w:w w:val="105"/>
        </w:rPr>
        <w:t xml:space="preserve"> </w:t>
      </w:r>
      <w:r>
        <w:rPr>
          <w:color w:val="4D4D4F"/>
          <w:w w:val="105"/>
        </w:rPr>
        <w:t>monitoring</w:t>
      </w:r>
      <w:r>
        <w:rPr>
          <w:color w:val="4D4D4F"/>
          <w:spacing w:val="-18"/>
          <w:w w:val="105"/>
        </w:rPr>
        <w:t xml:space="preserve"> </w:t>
      </w:r>
      <w:r>
        <w:rPr>
          <w:color w:val="4D4D4F"/>
          <w:w w:val="105"/>
        </w:rPr>
        <w:t>began,</w:t>
      </w:r>
      <w:r>
        <w:rPr>
          <w:color w:val="4D4D4F"/>
          <w:spacing w:val="-17"/>
          <w:w w:val="105"/>
        </w:rPr>
        <w:t xml:space="preserve"> </w:t>
      </w:r>
      <w:r>
        <w:rPr>
          <w:color w:val="4D4D4F"/>
          <w:w w:val="105"/>
        </w:rPr>
        <w:t>drawdown</w:t>
      </w:r>
      <w:r>
        <w:rPr>
          <w:color w:val="4D4D4F"/>
          <w:spacing w:val="-17"/>
          <w:w w:val="105"/>
        </w:rPr>
        <w:t xml:space="preserve"> </w:t>
      </w:r>
      <w:r>
        <w:rPr>
          <w:color w:val="4D4D4F"/>
          <w:w w:val="105"/>
        </w:rPr>
        <w:t>has only</w:t>
      </w:r>
      <w:r>
        <w:rPr>
          <w:color w:val="4D4D4F"/>
          <w:spacing w:val="-21"/>
          <w:w w:val="105"/>
        </w:rPr>
        <w:t xml:space="preserve"> </w:t>
      </w:r>
      <w:r>
        <w:rPr>
          <w:color w:val="4D4D4F"/>
          <w:w w:val="105"/>
        </w:rPr>
        <w:t>occurred</w:t>
      </w:r>
      <w:r>
        <w:rPr>
          <w:color w:val="4D4D4F"/>
          <w:spacing w:val="-21"/>
          <w:w w:val="105"/>
        </w:rPr>
        <w:t xml:space="preserve"> </w:t>
      </w:r>
      <w:r>
        <w:rPr>
          <w:color w:val="4D4D4F"/>
          <w:w w:val="105"/>
        </w:rPr>
        <w:t>in</w:t>
      </w:r>
      <w:r>
        <w:rPr>
          <w:color w:val="4D4D4F"/>
          <w:spacing w:val="-21"/>
          <w:w w:val="105"/>
        </w:rPr>
        <w:t xml:space="preserve"> </w:t>
      </w:r>
      <w:r>
        <w:rPr>
          <w:color w:val="4D4D4F"/>
          <w:spacing w:val="-7"/>
          <w:w w:val="105"/>
        </w:rPr>
        <w:t>2017,</w:t>
      </w:r>
      <w:r>
        <w:rPr>
          <w:color w:val="4D4D4F"/>
          <w:spacing w:val="-20"/>
          <w:w w:val="105"/>
        </w:rPr>
        <w:t xml:space="preserve"> </w:t>
      </w:r>
      <w:r>
        <w:rPr>
          <w:color w:val="4D4D4F"/>
          <w:w w:val="105"/>
        </w:rPr>
        <w:t>for</w:t>
      </w:r>
      <w:r>
        <w:rPr>
          <w:color w:val="4D4D4F"/>
          <w:spacing w:val="-21"/>
          <w:w w:val="105"/>
        </w:rPr>
        <w:t xml:space="preserve"> </w:t>
      </w:r>
      <w:r>
        <w:rPr>
          <w:color w:val="4D4D4F"/>
          <w:w w:val="105"/>
        </w:rPr>
        <w:t>Windmill</w:t>
      </w:r>
      <w:r>
        <w:rPr>
          <w:color w:val="4D4D4F"/>
          <w:spacing w:val="-21"/>
          <w:w w:val="105"/>
        </w:rPr>
        <w:t xml:space="preserve"> </w:t>
      </w:r>
      <w:r>
        <w:rPr>
          <w:color w:val="4D4D4F"/>
          <w:w w:val="105"/>
        </w:rPr>
        <w:t>Wetland</w:t>
      </w:r>
      <w:r>
        <w:rPr>
          <w:color w:val="4D4D4F"/>
          <w:spacing w:val="-20"/>
          <w:w w:val="105"/>
        </w:rPr>
        <w:t xml:space="preserve"> </w:t>
      </w:r>
      <w:r>
        <w:rPr>
          <w:color w:val="4D4D4F"/>
          <w:w w:val="105"/>
        </w:rPr>
        <w:t>and</w:t>
      </w:r>
      <w:r>
        <w:rPr>
          <w:color w:val="4D4D4F"/>
          <w:spacing w:val="-21"/>
          <w:w w:val="105"/>
        </w:rPr>
        <w:t xml:space="preserve"> </w:t>
      </w:r>
      <w:r>
        <w:rPr>
          <w:color w:val="4D4D4F"/>
          <w:w w:val="105"/>
        </w:rPr>
        <w:t>Cobbledicks</w:t>
      </w:r>
      <w:r>
        <w:rPr>
          <w:color w:val="4D4D4F"/>
          <w:spacing w:val="-21"/>
          <w:w w:val="105"/>
        </w:rPr>
        <w:t xml:space="preserve"> </w:t>
      </w:r>
      <w:r>
        <w:rPr>
          <w:color w:val="4D4D4F"/>
          <w:w w:val="105"/>
        </w:rPr>
        <w:t>Rise</w:t>
      </w:r>
      <w:r>
        <w:rPr>
          <w:color w:val="4D4D4F"/>
          <w:spacing w:val="-20"/>
          <w:w w:val="105"/>
        </w:rPr>
        <w:t xml:space="preserve"> </w:t>
      </w:r>
      <w:r>
        <w:rPr>
          <w:color w:val="4D4D4F"/>
          <w:w w:val="105"/>
        </w:rPr>
        <w:t>Wetland</w:t>
      </w:r>
      <w:r>
        <w:rPr>
          <w:color w:val="4D4D4F"/>
          <w:spacing w:val="-21"/>
          <w:w w:val="105"/>
        </w:rPr>
        <w:t xml:space="preserve"> </w:t>
      </w:r>
      <w:r>
        <w:rPr>
          <w:color w:val="4D4D4F"/>
          <w:w w:val="105"/>
        </w:rPr>
        <w:t>(One</w:t>
      </w:r>
      <w:r>
        <w:rPr>
          <w:color w:val="4D4D4F"/>
          <w:spacing w:val="-21"/>
          <w:w w:val="105"/>
        </w:rPr>
        <w:t xml:space="preserve"> </w:t>
      </w:r>
      <w:r>
        <w:rPr>
          <w:color w:val="4D4D4F"/>
          <w:spacing w:val="-3"/>
          <w:w w:val="105"/>
        </w:rPr>
        <w:t xml:space="preserve">Tree </w:t>
      </w:r>
      <w:r>
        <w:rPr>
          <w:color w:val="4D4D4F"/>
          <w:w w:val="105"/>
        </w:rPr>
        <w:t>Rise</w:t>
      </w:r>
      <w:r>
        <w:rPr>
          <w:color w:val="4D4D4F"/>
          <w:spacing w:val="-15"/>
          <w:w w:val="105"/>
        </w:rPr>
        <w:t xml:space="preserve"> </w:t>
      </w:r>
      <w:r>
        <w:rPr>
          <w:color w:val="4D4D4F"/>
          <w:w w:val="105"/>
        </w:rPr>
        <w:t>has</w:t>
      </w:r>
      <w:r>
        <w:rPr>
          <w:color w:val="4D4D4F"/>
          <w:spacing w:val="-15"/>
          <w:w w:val="105"/>
        </w:rPr>
        <w:t xml:space="preserve"> </w:t>
      </w:r>
      <w:r>
        <w:rPr>
          <w:color w:val="4D4D4F"/>
          <w:w w:val="105"/>
        </w:rPr>
        <w:t>a</w:t>
      </w:r>
      <w:r>
        <w:rPr>
          <w:color w:val="4D4D4F"/>
          <w:spacing w:val="-15"/>
          <w:w w:val="105"/>
        </w:rPr>
        <w:t xml:space="preserve"> </w:t>
      </w:r>
      <w:r>
        <w:rPr>
          <w:color w:val="4D4D4F"/>
          <w:w w:val="105"/>
        </w:rPr>
        <w:t>smaller</w:t>
      </w:r>
      <w:r>
        <w:rPr>
          <w:color w:val="4D4D4F"/>
          <w:spacing w:val="-15"/>
          <w:w w:val="105"/>
        </w:rPr>
        <w:t xml:space="preserve"> </w:t>
      </w:r>
      <w:r>
        <w:rPr>
          <w:color w:val="4D4D4F"/>
          <w:w w:val="105"/>
        </w:rPr>
        <w:t>catchment</w:t>
      </w:r>
      <w:r>
        <w:rPr>
          <w:color w:val="4D4D4F"/>
          <w:spacing w:val="-15"/>
          <w:w w:val="105"/>
        </w:rPr>
        <w:t xml:space="preserve"> </w:t>
      </w:r>
      <w:r>
        <w:rPr>
          <w:color w:val="4D4D4F"/>
          <w:w w:val="105"/>
        </w:rPr>
        <w:t>and</w:t>
      </w:r>
      <w:r>
        <w:rPr>
          <w:color w:val="4D4D4F"/>
          <w:spacing w:val="-15"/>
          <w:w w:val="105"/>
        </w:rPr>
        <w:t xml:space="preserve"> </w:t>
      </w:r>
      <w:r>
        <w:rPr>
          <w:color w:val="4D4D4F"/>
          <w:w w:val="105"/>
        </w:rPr>
        <w:t>did</w:t>
      </w:r>
      <w:r>
        <w:rPr>
          <w:color w:val="4D4D4F"/>
          <w:spacing w:val="-14"/>
          <w:w w:val="105"/>
        </w:rPr>
        <w:t xml:space="preserve"> </w:t>
      </w:r>
      <w:r>
        <w:rPr>
          <w:color w:val="4D4D4F"/>
          <w:w w:val="105"/>
        </w:rPr>
        <w:t>not</w:t>
      </w:r>
      <w:r>
        <w:rPr>
          <w:color w:val="4D4D4F"/>
          <w:spacing w:val="-15"/>
          <w:w w:val="105"/>
        </w:rPr>
        <w:t xml:space="preserve"> </w:t>
      </w:r>
      <w:r>
        <w:rPr>
          <w:color w:val="4D4D4F"/>
          <w:w w:val="105"/>
        </w:rPr>
        <w:t>fill</w:t>
      </w:r>
      <w:r>
        <w:rPr>
          <w:color w:val="4D4D4F"/>
          <w:spacing w:val="-15"/>
          <w:w w:val="105"/>
        </w:rPr>
        <w:t xml:space="preserve"> </w:t>
      </w:r>
      <w:r>
        <w:rPr>
          <w:color w:val="4D4D4F"/>
          <w:w w:val="105"/>
        </w:rPr>
        <w:t>in</w:t>
      </w:r>
      <w:r>
        <w:rPr>
          <w:color w:val="4D4D4F"/>
          <w:spacing w:val="-15"/>
          <w:w w:val="105"/>
        </w:rPr>
        <w:t xml:space="preserve"> </w:t>
      </w:r>
      <w:r>
        <w:rPr>
          <w:color w:val="4D4D4F"/>
          <w:spacing w:val="-4"/>
          <w:w w:val="105"/>
        </w:rPr>
        <w:t>2017).</w:t>
      </w:r>
      <w:r>
        <w:rPr>
          <w:color w:val="4D4D4F"/>
          <w:spacing w:val="-15"/>
          <w:w w:val="105"/>
        </w:rPr>
        <w:t xml:space="preserve"> </w:t>
      </w:r>
      <w:r>
        <w:rPr>
          <w:color w:val="4D4D4F"/>
          <w:w w:val="105"/>
        </w:rPr>
        <w:t>This</w:t>
      </w:r>
      <w:r>
        <w:rPr>
          <w:color w:val="4D4D4F"/>
          <w:spacing w:val="-15"/>
          <w:w w:val="105"/>
        </w:rPr>
        <w:t xml:space="preserve"> </w:t>
      </w:r>
      <w:r>
        <w:rPr>
          <w:color w:val="4D4D4F"/>
          <w:w w:val="105"/>
        </w:rPr>
        <w:t>occurred</w:t>
      </w:r>
      <w:r>
        <w:rPr>
          <w:color w:val="4D4D4F"/>
          <w:spacing w:val="-14"/>
          <w:w w:val="105"/>
        </w:rPr>
        <w:t xml:space="preserve"> </w:t>
      </w:r>
      <w:r>
        <w:rPr>
          <w:color w:val="4D4D4F"/>
          <w:w w:val="105"/>
        </w:rPr>
        <w:t>during</w:t>
      </w:r>
      <w:r>
        <w:rPr>
          <w:color w:val="4D4D4F"/>
          <w:spacing w:val="-15"/>
          <w:w w:val="105"/>
        </w:rPr>
        <w:t xml:space="preserve"> </w:t>
      </w:r>
      <w:r>
        <w:rPr>
          <w:color w:val="4D4D4F"/>
          <w:w w:val="105"/>
        </w:rPr>
        <w:t>the</w:t>
      </w:r>
      <w:r>
        <w:rPr>
          <w:color w:val="4D4D4F"/>
          <w:spacing w:val="-15"/>
          <w:w w:val="105"/>
        </w:rPr>
        <w:t xml:space="preserve"> </w:t>
      </w:r>
      <w:r>
        <w:rPr>
          <w:color w:val="4D4D4F"/>
          <w:w w:val="105"/>
        </w:rPr>
        <w:t>normal spring-summer</w:t>
      </w:r>
      <w:r>
        <w:rPr>
          <w:color w:val="4D4D4F"/>
          <w:spacing w:val="-17"/>
          <w:w w:val="105"/>
        </w:rPr>
        <w:t xml:space="preserve"> </w:t>
      </w:r>
      <w:r>
        <w:rPr>
          <w:color w:val="4D4D4F"/>
          <w:w w:val="105"/>
        </w:rPr>
        <w:t>monitoring</w:t>
      </w:r>
      <w:r>
        <w:rPr>
          <w:color w:val="4D4D4F"/>
          <w:spacing w:val="-17"/>
          <w:w w:val="105"/>
        </w:rPr>
        <w:t xml:space="preserve"> </w:t>
      </w:r>
      <w:r>
        <w:rPr>
          <w:color w:val="4D4D4F"/>
          <w:w w:val="105"/>
        </w:rPr>
        <w:t>period,</w:t>
      </w:r>
      <w:r>
        <w:rPr>
          <w:color w:val="4D4D4F"/>
          <w:spacing w:val="-17"/>
          <w:w w:val="105"/>
        </w:rPr>
        <w:t xml:space="preserve"> </w:t>
      </w:r>
      <w:r>
        <w:rPr>
          <w:color w:val="4D4D4F"/>
          <w:w w:val="105"/>
        </w:rPr>
        <w:t>so</w:t>
      </w:r>
      <w:r>
        <w:rPr>
          <w:color w:val="4D4D4F"/>
          <w:spacing w:val="-16"/>
          <w:w w:val="105"/>
        </w:rPr>
        <w:t xml:space="preserve"> </w:t>
      </w:r>
      <w:r>
        <w:rPr>
          <w:color w:val="4D4D4F"/>
          <w:w w:val="105"/>
        </w:rPr>
        <w:t>a</w:t>
      </w:r>
      <w:r>
        <w:rPr>
          <w:color w:val="4D4D4F"/>
          <w:spacing w:val="-17"/>
          <w:w w:val="105"/>
        </w:rPr>
        <w:t xml:space="preserve"> </w:t>
      </w:r>
      <w:r>
        <w:rPr>
          <w:color w:val="4D4D4F"/>
          <w:w w:val="105"/>
        </w:rPr>
        <w:t>single</w:t>
      </w:r>
      <w:r>
        <w:rPr>
          <w:color w:val="4D4D4F"/>
          <w:spacing w:val="-17"/>
          <w:w w:val="105"/>
        </w:rPr>
        <w:t xml:space="preserve"> </w:t>
      </w:r>
      <w:r>
        <w:rPr>
          <w:color w:val="4D4D4F"/>
          <w:w w:val="105"/>
        </w:rPr>
        <w:t>monitoring</w:t>
      </w:r>
      <w:r>
        <w:rPr>
          <w:color w:val="4D4D4F"/>
          <w:spacing w:val="-16"/>
          <w:w w:val="105"/>
        </w:rPr>
        <w:t xml:space="preserve"> </w:t>
      </w:r>
      <w:r>
        <w:rPr>
          <w:color w:val="4D4D4F"/>
          <w:w w:val="105"/>
        </w:rPr>
        <w:t>event</w:t>
      </w:r>
      <w:r>
        <w:rPr>
          <w:color w:val="4D4D4F"/>
          <w:spacing w:val="-17"/>
          <w:w w:val="105"/>
        </w:rPr>
        <w:t xml:space="preserve"> </w:t>
      </w:r>
      <w:r>
        <w:rPr>
          <w:color w:val="4D4D4F"/>
          <w:w w:val="105"/>
        </w:rPr>
        <w:t>covered</w:t>
      </w:r>
      <w:r>
        <w:rPr>
          <w:color w:val="4D4D4F"/>
          <w:spacing w:val="-17"/>
          <w:w w:val="105"/>
        </w:rPr>
        <w:t xml:space="preserve"> </w:t>
      </w:r>
      <w:r>
        <w:rPr>
          <w:color w:val="4D4D4F"/>
          <w:w w:val="105"/>
        </w:rPr>
        <w:t>KPIs</w:t>
      </w:r>
      <w:r>
        <w:rPr>
          <w:color w:val="4D4D4F"/>
          <w:spacing w:val="-16"/>
          <w:w w:val="105"/>
        </w:rPr>
        <w:t xml:space="preserve"> </w:t>
      </w:r>
      <w:r>
        <w:rPr>
          <w:color w:val="4D4D4F"/>
          <w:w w:val="105"/>
        </w:rPr>
        <w:t>1</w:t>
      </w:r>
      <w:r>
        <w:rPr>
          <w:color w:val="4D4D4F"/>
          <w:spacing w:val="-17"/>
          <w:w w:val="105"/>
        </w:rPr>
        <w:t xml:space="preserve"> </w:t>
      </w:r>
      <w:r>
        <w:rPr>
          <w:color w:val="4D4D4F"/>
          <w:w w:val="105"/>
        </w:rPr>
        <w:t>and</w:t>
      </w:r>
      <w:r>
        <w:rPr>
          <w:color w:val="4D4D4F"/>
          <w:spacing w:val="-17"/>
          <w:w w:val="105"/>
        </w:rPr>
        <w:t xml:space="preserve"> </w:t>
      </w:r>
      <w:r>
        <w:rPr>
          <w:color w:val="4D4D4F"/>
          <w:w w:val="105"/>
        </w:rPr>
        <w:t>2. Drawdown</w:t>
      </w:r>
      <w:r>
        <w:rPr>
          <w:color w:val="4D4D4F"/>
          <w:spacing w:val="-10"/>
          <w:w w:val="105"/>
        </w:rPr>
        <w:t xml:space="preserve"> </w:t>
      </w:r>
      <w:r>
        <w:rPr>
          <w:color w:val="4D4D4F"/>
          <w:w w:val="105"/>
        </w:rPr>
        <w:t>did</w:t>
      </w:r>
      <w:r>
        <w:rPr>
          <w:color w:val="4D4D4F"/>
          <w:spacing w:val="-9"/>
          <w:w w:val="105"/>
        </w:rPr>
        <w:t xml:space="preserve"> </w:t>
      </w:r>
      <w:r>
        <w:rPr>
          <w:color w:val="4D4D4F"/>
          <w:w w:val="105"/>
        </w:rPr>
        <w:t>not</w:t>
      </w:r>
      <w:r>
        <w:rPr>
          <w:color w:val="4D4D4F"/>
          <w:spacing w:val="-9"/>
          <w:w w:val="105"/>
        </w:rPr>
        <w:t xml:space="preserve"> </w:t>
      </w:r>
      <w:r>
        <w:rPr>
          <w:color w:val="4D4D4F"/>
          <w:w w:val="105"/>
        </w:rPr>
        <w:t>occur</w:t>
      </w:r>
      <w:r>
        <w:rPr>
          <w:color w:val="4D4D4F"/>
          <w:spacing w:val="-9"/>
          <w:w w:val="105"/>
        </w:rPr>
        <w:t xml:space="preserve"> </w:t>
      </w:r>
      <w:r>
        <w:rPr>
          <w:color w:val="4D4D4F"/>
          <w:w w:val="105"/>
        </w:rPr>
        <w:t>during</w:t>
      </w:r>
      <w:r>
        <w:rPr>
          <w:color w:val="4D4D4F"/>
          <w:spacing w:val="-10"/>
          <w:w w:val="105"/>
        </w:rPr>
        <w:t xml:space="preserve"> </w:t>
      </w:r>
      <w:r>
        <w:rPr>
          <w:color w:val="4D4D4F"/>
          <w:w w:val="105"/>
        </w:rPr>
        <w:t>2020–2022</w:t>
      </w:r>
      <w:r>
        <w:rPr>
          <w:color w:val="4D4D4F"/>
          <w:spacing w:val="-9"/>
          <w:w w:val="105"/>
        </w:rPr>
        <w:t xml:space="preserve"> </w:t>
      </w:r>
      <w:r>
        <w:rPr>
          <w:color w:val="4D4D4F"/>
          <w:w w:val="105"/>
        </w:rPr>
        <w:t>so</w:t>
      </w:r>
      <w:r>
        <w:rPr>
          <w:color w:val="4D4D4F"/>
          <w:spacing w:val="-9"/>
          <w:w w:val="105"/>
        </w:rPr>
        <w:t xml:space="preserve"> </w:t>
      </w:r>
      <w:r>
        <w:rPr>
          <w:color w:val="4D4D4F"/>
          <w:w w:val="105"/>
        </w:rPr>
        <w:t>this</w:t>
      </w:r>
      <w:r>
        <w:rPr>
          <w:color w:val="4D4D4F"/>
          <w:spacing w:val="-9"/>
          <w:w w:val="105"/>
        </w:rPr>
        <w:t xml:space="preserve"> </w:t>
      </w:r>
      <w:r>
        <w:rPr>
          <w:color w:val="4D4D4F"/>
          <w:w w:val="105"/>
        </w:rPr>
        <w:t>KPI</w:t>
      </w:r>
      <w:r>
        <w:rPr>
          <w:color w:val="4D4D4F"/>
          <w:spacing w:val="-9"/>
          <w:w w:val="105"/>
        </w:rPr>
        <w:t xml:space="preserve"> </w:t>
      </w:r>
      <w:r>
        <w:rPr>
          <w:color w:val="4D4D4F"/>
          <w:w w:val="105"/>
        </w:rPr>
        <w:t>was</w:t>
      </w:r>
      <w:r>
        <w:rPr>
          <w:color w:val="4D4D4F"/>
          <w:spacing w:val="-10"/>
          <w:w w:val="105"/>
        </w:rPr>
        <w:t xml:space="preserve"> </w:t>
      </w:r>
      <w:r>
        <w:rPr>
          <w:color w:val="4D4D4F"/>
          <w:w w:val="105"/>
        </w:rPr>
        <w:t>not</w:t>
      </w:r>
      <w:r>
        <w:rPr>
          <w:color w:val="4D4D4F"/>
          <w:spacing w:val="-9"/>
          <w:w w:val="105"/>
        </w:rPr>
        <w:t xml:space="preserve"> </w:t>
      </w:r>
      <w:r>
        <w:rPr>
          <w:color w:val="4D4D4F"/>
          <w:w w:val="105"/>
        </w:rPr>
        <w:t>assessed</w:t>
      </w:r>
      <w:r>
        <w:rPr>
          <w:color w:val="4D4D4F"/>
          <w:spacing w:val="-9"/>
          <w:w w:val="105"/>
        </w:rPr>
        <w:t xml:space="preserve"> </w:t>
      </w:r>
      <w:r>
        <w:rPr>
          <w:color w:val="4D4D4F"/>
          <w:w w:val="105"/>
        </w:rPr>
        <w:t>this</w:t>
      </w:r>
      <w:r>
        <w:rPr>
          <w:color w:val="4D4D4F"/>
          <w:spacing w:val="-9"/>
          <w:w w:val="105"/>
        </w:rPr>
        <w:t xml:space="preserve"> </w:t>
      </w:r>
      <w:r>
        <w:rPr>
          <w:color w:val="4D4D4F"/>
          <w:spacing w:val="-4"/>
          <w:w w:val="105"/>
        </w:rPr>
        <w:t>year.</w:t>
      </w:r>
    </w:p>
    <w:p w14:paraId="6FEE7485" w14:textId="77777777" w:rsidR="00EF5B27" w:rsidRDefault="00000000">
      <w:pPr>
        <w:pStyle w:val="BodyText"/>
        <w:spacing w:before="121" w:line="254" w:lineRule="auto"/>
        <w:ind w:left="2613" w:right="119"/>
      </w:pPr>
      <w:r>
        <w:rPr>
          <w:color w:val="4D4D4F"/>
          <w:w w:val="105"/>
        </w:rPr>
        <w:t>For</w:t>
      </w:r>
      <w:r>
        <w:rPr>
          <w:color w:val="4D4D4F"/>
          <w:spacing w:val="-17"/>
          <w:w w:val="105"/>
        </w:rPr>
        <w:t xml:space="preserve"> </w:t>
      </w:r>
      <w:r>
        <w:rPr>
          <w:color w:val="4D4D4F"/>
          <w:w w:val="105"/>
        </w:rPr>
        <w:t>Cobbledicks</w:t>
      </w:r>
      <w:r>
        <w:rPr>
          <w:color w:val="4D4D4F"/>
          <w:spacing w:val="-16"/>
          <w:w w:val="105"/>
        </w:rPr>
        <w:t xml:space="preserve"> </w:t>
      </w:r>
      <w:r>
        <w:rPr>
          <w:color w:val="4D4D4F"/>
          <w:w w:val="105"/>
        </w:rPr>
        <w:t>Rise</w:t>
      </w:r>
      <w:r>
        <w:rPr>
          <w:color w:val="4D4D4F"/>
          <w:spacing w:val="-16"/>
          <w:w w:val="105"/>
        </w:rPr>
        <w:t xml:space="preserve"> </w:t>
      </w:r>
      <w:r>
        <w:rPr>
          <w:color w:val="4D4D4F"/>
          <w:w w:val="105"/>
        </w:rPr>
        <w:t>Wetland,</w:t>
      </w:r>
      <w:r>
        <w:rPr>
          <w:color w:val="4D4D4F"/>
          <w:spacing w:val="-16"/>
          <w:w w:val="105"/>
        </w:rPr>
        <w:t xml:space="preserve"> </w:t>
      </w:r>
      <w:r>
        <w:rPr>
          <w:color w:val="4D4D4F"/>
          <w:w w:val="105"/>
        </w:rPr>
        <w:t>the</w:t>
      </w:r>
      <w:r>
        <w:rPr>
          <w:color w:val="4D4D4F"/>
          <w:spacing w:val="-16"/>
          <w:w w:val="105"/>
        </w:rPr>
        <w:t xml:space="preserve"> </w:t>
      </w:r>
      <w:r>
        <w:rPr>
          <w:color w:val="4D4D4F"/>
          <w:w w:val="105"/>
        </w:rPr>
        <w:t>count</w:t>
      </w:r>
      <w:r>
        <w:rPr>
          <w:color w:val="4D4D4F"/>
          <w:spacing w:val="-16"/>
          <w:w w:val="105"/>
        </w:rPr>
        <w:t xml:space="preserve"> </w:t>
      </w:r>
      <w:r>
        <w:rPr>
          <w:color w:val="4D4D4F"/>
          <w:w w:val="105"/>
        </w:rPr>
        <w:t>of</w:t>
      </w:r>
      <w:r>
        <w:rPr>
          <w:color w:val="4D4D4F"/>
          <w:spacing w:val="-16"/>
          <w:w w:val="105"/>
        </w:rPr>
        <w:t xml:space="preserve"> </w:t>
      </w:r>
      <w:r>
        <w:rPr>
          <w:color w:val="4D4D4F"/>
          <w:w w:val="105"/>
        </w:rPr>
        <w:t>native</w:t>
      </w:r>
      <w:r>
        <w:rPr>
          <w:color w:val="4D4D4F"/>
          <w:spacing w:val="-16"/>
          <w:w w:val="105"/>
        </w:rPr>
        <w:t xml:space="preserve"> </w:t>
      </w:r>
      <w:r>
        <w:rPr>
          <w:color w:val="4D4D4F"/>
          <w:w w:val="105"/>
        </w:rPr>
        <w:t>forbs</w:t>
      </w:r>
      <w:r>
        <w:rPr>
          <w:color w:val="4D4D4F"/>
          <w:spacing w:val="-16"/>
          <w:w w:val="105"/>
        </w:rPr>
        <w:t xml:space="preserve"> </w:t>
      </w:r>
      <w:r>
        <w:rPr>
          <w:color w:val="4D4D4F"/>
          <w:w w:val="105"/>
        </w:rPr>
        <w:t>at</w:t>
      </w:r>
      <w:r>
        <w:rPr>
          <w:color w:val="4D4D4F"/>
          <w:spacing w:val="-16"/>
          <w:w w:val="105"/>
        </w:rPr>
        <w:t xml:space="preserve"> </w:t>
      </w:r>
      <w:r>
        <w:rPr>
          <w:color w:val="4D4D4F"/>
          <w:w w:val="105"/>
        </w:rPr>
        <w:t>drawdown</w:t>
      </w:r>
      <w:r>
        <w:rPr>
          <w:color w:val="4D4D4F"/>
          <w:spacing w:val="-16"/>
          <w:w w:val="105"/>
        </w:rPr>
        <w:t xml:space="preserve"> </w:t>
      </w:r>
      <w:r>
        <w:rPr>
          <w:color w:val="4D4D4F"/>
          <w:w w:val="105"/>
        </w:rPr>
        <w:t>in</w:t>
      </w:r>
      <w:r>
        <w:rPr>
          <w:color w:val="4D4D4F"/>
          <w:spacing w:val="-16"/>
          <w:w w:val="105"/>
        </w:rPr>
        <w:t xml:space="preserve"> </w:t>
      </w:r>
      <w:r>
        <w:rPr>
          <w:color w:val="4D4D4F"/>
          <w:spacing w:val="-5"/>
          <w:w w:val="105"/>
        </w:rPr>
        <w:t>2017</w:t>
      </w:r>
      <w:r>
        <w:rPr>
          <w:color w:val="4D4D4F"/>
          <w:spacing w:val="-16"/>
          <w:w w:val="105"/>
        </w:rPr>
        <w:t xml:space="preserve"> </w:t>
      </w:r>
      <w:r>
        <w:rPr>
          <w:color w:val="4D4D4F"/>
          <w:w w:val="105"/>
        </w:rPr>
        <w:t>was</w:t>
      </w:r>
      <w:r>
        <w:rPr>
          <w:color w:val="4D4D4F"/>
          <w:spacing w:val="-16"/>
          <w:w w:val="105"/>
        </w:rPr>
        <w:t xml:space="preserve"> </w:t>
      </w:r>
      <w:r>
        <w:rPr>
          <w:color w:val="4D4D4F"/>
          <w:spacing w:val="-6"/>
          <w:w w:val="105"/>
        </w:rPr>
        <w:t xml:space="preserve">12 </w:t>
      </w:r>
      <w:r>
        <w:rPr>
          <w:color w:val="4D4D4F"/>
          <w:w w:val="105"/>
        </w:rPr>
        <w:t>species.</w:t>
      </w:r>
      <w:r>
        <w:rPr>
          <w:color w:val="4D4D4F"/>
          <w:spacing w:val="-16"/>
          <w:w w:val="105"/>
        </w:rPr>
        <w:t xml:space="preserve"> </w:t>
      </w:r>
      <w:r>
        <w:rPr>
          <w:color w:val="4D4D4F"/>
          <w:w w:val="105"/>
        </w:rPr>
        <w:t>All</w:t>
      </w:r>
      <w:r>
        <w:rPr>
          <w:color w:val="4D4D4F"/>
          <w:spacing w:val="-15"/>
          <w:w w:val="105"/>
        </w:rPr>
        <w:t xml:space="preserve"> </w:t>
      </w:r>
      <w:r>
        <w:rPr>
          <w:color w:val="4D4D4F"/>
          <w:w w:val="105"/>
        </w:rPr>
        <w:t>were</w:t>
      </w:r>
      <w:r>
        <w:rPr>
          <w:color w:val="4D4D4F"/>
          <w:spacing w:val="-15"/>
          <w:w w:val="105"/>
        </w:rPr>
        <w:t xml:space="preserve"> </w:t>
      </w:r>
      <w:r>
        <w:rPr>
          <w:color w:val="4D4D4F"/>
          <w:w w:val="105"/>
        </w:rPr>
        <w:t>perennial,</w:t>
      </w:r>
      <w:r>
        <w:rPr>
          <w:color w:val="4D4D4F"/>
          <w:spacing w:val="-15"/>
          <w:w w:val="105"/>
        </w:rPr>
        <w:t xml:space="preserve"> </w:t>
      </w:r>
      <w:r>
        <w:rPr>
          <w:color w:val="4D4D4F"/>
          <w:w w:val="105"/>
        </w:rPr>
        <w:t>so</w:t>
      </w:r>
      <w:r>
        <w:rPr>
          <w:color w:val="4D4D4F"/>
          <w:spacing w:val="-15"/>
          <w:w w:val="105"/>
        </w:rPr>
        <w:t xml:space="preserve"> </w:t>
      </w:r>
      <w:r>
        <w:rPr>
          <w:color w:val="4D4D4F"/>
          <w:w w:val="105"/>
        </w:rPr>
        <w:t>this</w:t>
      </w:r>
      <w:r>
        <w:rPr>
          <w:color w:val="4D4D4F"/>
          <w:spacing w:val="-15"/>
          <w:w w:val="105"/>
        </w:rPr>
        <w:t xml:space="preserve"> </w:t>
      </w:r>
      <w:r>
        <w:rPr>
          <w:color w:val="4D4D4F"/>
          <w:w w:val="105"/>
        </w:rPr>
        <w:t>value</w:t>
      </w:r>
      <w:r>
        <w:rPr>
          <w:color w:val="4D4D4F"/>
          <w:spacing w:val="-15"/>
          <w:w w:val="105"/>
        </w:rPr>
        <w:t xml:space="preserve"> </w:t>
      </w:r>
      <w:r>
        <w:rPr>
          <w:color w:val="4D4D4F"/>
          <w:w w:val="105"/>
        </w:rPr>
        <w:t>is</w:t>
      </w:r>
      <w:r>
        <w:rPr>
          <w:color w:val="4D4D4F"/>
          <w:spacing w:val="-15"/>
          <w:w w:val="105"/>
        </w:rPr>
        <w:t xml:space="preserve"> </w:t>
      </w:r>
      <w:r>
        <w:rPr>
          <w:color w:val="4D4D4F"/>
          <w:w w:val="105"/>
        </w:rPr>
        <w:t>identical</w:t>
      </w:r>
      <w:r>
        <w:rPr>
          <w:color w:val="4D4D4F"/>
          <w:spacing w:val="-15"/>
          <w:w w:val="105"/>
        </w:rPr>
        <w:t xml:space="preserve"> </w:t>
      </w:r>
      <w:r>
        <w:rPr>
          <w:color w:val="4D4D4F"/>
          <w:w w:val="105"/>
        </w:rPr>
        <w:t>to</w:t>
      </w:r>
      <w:r>
        <w:rPr>
          <w:color w:val="4D4D4F"/>
          <w:spacing w:val="-15"/>
          <w:w w:val="105"/>
        </w:rPr>
        <w:t xml:space="preserve"> </w:t>
      </w:r>
      <w:r>
        <w:rPr>
          <w:color w:val="4D4D4F"/>
          <w:w w:val="105"/>
        </w:rPr>
        <w:t>that</w:t>
      </w:r>
      <w:r>
        <w:rPr>
          <w:color w:val="4D4D4F"/>
          <w:spacing w:val="-15"/>
          <w:w w:val="105"/>
        </w:rPr>
        <w:t xml:space="preserve"> </w:t>
      </w:r>
      <w:r>
        <w:rPr>
          <w:color w:val="4D4D4F"/>
          <w:w w:val="105"/>
        </w:rPr>
        <w:t>measured</w:t>
      </w:r>
      <w:r>
        <w:rPr>
          <w:color w:val="4D4D4F"/>
          <w:spacing w:val="-15"/>
          <w:w w:val="105"/>
        </w:rPr>
        <w:t xml:space="preserve"> </w:t>
      </w:r>
      <w:r>
        <w:rPr>
          <w:color w:val="4D4D4F"/>
          <w:w w:val="105"/>
        </w:rPr>
        <w:t>for</w:t>
      </w:r>
      <w:r>
        <w:rPr>
          <w:color w:val="4D4D4F"/>
          <w:spacing w:val="-15"/>
          <w:w w:val="105"/>
        </w:rPr>
        <w:t xml:space="preserve"> </w:t>
      </w:r>
      <w:r>
        <w:rPr>
          <w:color w:val="4D4D4F"/>
          <w:w w:val="105"/>
        </w:rPr>
        <w:t>KPI</w:t>
      </w:r>
      <w:r>
        <w:rPr>
          <w:color w:val="4D4D4F"/>
          <w:spacing w:val="-15"/>
          <w:w w:val="105"/>
        </w:rPr>
        <w:t xml:space="preserve"> </w:t>
      </w:r>
      <w:r>
        <w:rPr>
          <w:color w:val="4D4D4F"/>
          <w:w w:val="105"/>
        </w:rPr>
        <w:t>1</w:t>
      </w:r>
      <w:r>
        <w:rPr>
          <w:color w:val="4D4D4F"/>
          <w:spacing w:val="-15"/>
          <w:w w:val="105"/>
        </w:rPr>
        <w:t xml:space="preserve"> </w:t>
      </w:r>
      <w:r>
        <w:rPr>
          <w:color w:val="4D4D4F"/>
          <w:w w:val="105"/>
        </w:rPr>
        <w:t>(which only</w:t>
      </w:r>
      <w:r>
        <w:rPr>
          <w:color w:val="4D4D4F"/>
          <w:spacing w:val="-21"/>
          <w:w w:val="105"/>
        </w:rPr>
        <w:t xml:space="preserve"> </w:t>
      </w:r>
      <w:r>
        <w:rPr>
          <w:color w:val="4D4D4F"/>
          <w:w w:val="105"/>
        </w:rPr>
        <w:t>assesses</w:t>
      </w:r>
      <w:r>
        <w:rPr>
          <w:color w:val="4D4D4F"/>
          <w:spacing w:val="-20"/>
          <w:w w:val="105"/>
        </w:rPr>
        <w:t xml:space="preserve"> </w:t>
      </w:r>
      <w:r>
        <w:rPr>
          <w:color w:val="4D4D4F"/>
          <w:w w:val="105"/>
        </w:rPr>
        <w:t>perennial</w:t>
      </w:r>
      <w:r>
        <w:rPr>
          <w:color w:val="4D4D4F"/>
          <w:spacing w:val="-21"/>
          <w:w w:val="105"/>
        </w:rPr>
        <w:t xml:space="preserve"> </w:t>
      </w:r>
      <w:r>
        <w:rPr>
          <w:color w:val="4D4D4F"/>
          <w:w w:val="105"/>
        </w:rPr>
        <w:t>forb</w:t>
      </w:r>
      <w:r>
        <w:rPr>
          <w:color w:val="4D4D4F"/>
          <w:spacing w:val="-20"/>
          <w:w w:val="105"/>
        </w:rPr>
        <w:t xml:space="preserve"> </w:t>
      </w:r>
      <w:r>
        <w:rPr>
          <w:color w:val="4D4D4F"/>
          <w:w w:val="105"/>
        </w:rPr>
        <w:t>species).</w:t>
      </w:r>
      <w:r>
        <w:rPr>
          <w:color w:val="4D4D4F"/>
          <w:spacing w:val="-21"/>
          <w:w w:val="105"/>
        </w:rPr>
        <w:t xml:space="preserve"> </w:t>
      </w:r>
      <w:r>
        <w:rPr>
          <w:color w:val="4D4D4F"/>
          <w:w w:val="105"/>
        </w:rPr>
        <w:t>For</w:t>
      </w:r>
      <w:r>
        <w:rPr>
          <w:color w:val="4D4D4F"/>
          <w:spacing w:val="-21"/>
          <w:w w:val="105"/>
        </w:rPr>
        <w:t xml:space="preserve"> </w:t>
      </w:r>
      <w:r>
        <w:rPr>
          <w:color w:val="4D4D4F"/>
          <w:w w:val="105"/>
        </w:rPr>
        <w:t>Windmill</w:t>
      </w:r>
      <w:r>
        <w:rPr>
          <w:color w:val="4D4D4F"/>
          <w:spacing w:val="-20"/>
          <w:w w:val="105"/>
        </w:rPr>
        <w:t xml:space="preserve"> </w:t>
      </w:r>
      <w:r>
        <w:rPr>
          <w:color w:val="4D4D4F"/>
          <w:w w:val="105"/>
        </w:rPr>
        <w:t>Wetland,</w:t>
      </w:r>
      <w:r>
        <w:rPr>
          <w:color w:val="4D4D4F"/>
          <w:spacing w:val="-21"/>
          <w:w w:val="105"/>
        </w:rPr>
        <w:t xml:space="preserve"> </w:t>
      </w:r>
      <w:r>
        <w:rPr>
          <w:color w:val="4D4D4F"/>
          <w:w w:val="105"/>
        </w:rPr>
        <w:t>the</w:t>
      </w:r>
      <w:r>
        <w:rPr>
          <w:color w:val="4D4D4F"/>
          <w:spacing w:val="-20"/>
          <w:w w:val="105"/>
        </w:rPr>
        <w:t xml:space="preserve"> </w:t>
      </w:r>
      <w:r>
        <w:rPr>
          <w:color w:val="4D4D4F"/>
          <w:w w:val="105"/>
        </w:rPr>
        <w:t>count</w:t>
      </w:r>
      <w:r>
        <w:rPr>
          <w:color w:val="4D4D4F"/>
          <w:spacing w:val="-21"/>
          <w:w w:val="105"/>
        </w:rPr>
        <w:t xml:space="preserve"> </w:t>
      </w:r>
      <w:r>
        <w:rPr>
          <w:color w:val="4D4D4F"/>
          <w:w w:val="105"/>
        </w:rPr>
        <w:t>of</w:t>
      </w:r>
      <w:r>
        <w:rPr>
          <w:color w:val="4D4D4F"/>
          <w:spacing w:val="-20"/>
          <w:w w:val="105"/>
        </w:rPr>
        <w:t xml:space="preserve"> </w:t>
      </w:r>
      <w:r>
        <w:rPr>
          <w:color w:val="4D4D4F"/>
          <w:w w:val="105"/>
        </w:rPr>
        <w:t>native</w:t>
      </w:r>
      <w:r>
        <w:rPr>
          <w:color w:val="4D4D4F"/>
          <w:spacing w:val="-21"/>
          <w:w w:val="105"/>
        </w:rPr>
        <w:t xml:space="preserve"> </w:t>
      </w:r>
      <w:r>
        <w:rPr>
          <w:color w:val="4D4D4F"/>
          <w:w w:val="105"/>
        </w:rPr>
        <w:t>forbs at</w:t>
      </w:r>
      <w:r>
        <w:rPr>
          <w:color w:val="4D4D4F"/>
          <w:spacing w:val="-14"/>
          <w:w w:val="105"/>
        </w:rPr>
        <w:t xml:space="preserve"> </w:t>
      </w:r>
      <w:r>
        <w:rPr>
          <w:color w:val="4D4D4F"/>
          <w:w w:val="105"/>
        </w:rPr>
        <w:t>drawdown</w:t>
      </w:r>
      <w:r>
        <w:rPr>
          <w:color w:val="4D4D4F"/>
          <w:spacing w:val="-13"/>
          <w:w w:val="105"/>
        </w:rPr>
        <w:t xml:space="preserve"> </w:t>
      </w:r>
      <w:r>
        <w:rPr>
          <w:color w:val="4D4D4F"/>
          <w:w w:val="105"/>
        </w:rPr>
        <w:t>in</w:t>
      </w:r>
      <w:r>
        <w:rPr>
          <w:color w:val="4D4D4F"/>
          <w:spacing w:val="-13"/>
          <w:w w:val="105"/>
        </w:rPr>
        <w:t xml:space="preserve"> </w:t>
      </w:r>
      <w:r>
        <w:rPr>
          <w:color w:val="4D4D4F"/>
          <w:spacing w:val="-5"/>
          <w:w w:val="105"/>
        </w:rPr>
        <w:t>2017</w:t>
      </w:r>
      <w:r>
        <w:rPr>
          <w:color w:val="4D4D4F"/>
          <w:spacing w:val="-13"/>
          <w:w w:val="105"/>
        </w:rPr>
        <w:t xml:space="preserve"> </w:t>
      </w:r>
      <w:r>
        <w:rPr>
          <w:color w:val="4D4D4F"/>
          <w:w w:val="105"/>
        </w:rPr>
        <w:t>was</w:t>
      </w:r>
      <w:r>
        <w:rPr>
          <w:color w:val="4D4D4F"/>
          <w:spacing w:val="-13"/>
          <w:w w:val="105"/>
        </w:rPr>
        <w:t xml:space="preserve"> </w:t>
      </w:r>
      <w:r>
        <w:rPr>
          <w:color w:val="4D4D4F"/>
          <w:spacing w:val="-7"/>
          <w:w w:val="105"/>
        </w:rPr>
        <w:t>17</w:t>
      </w:r>
      <w:r>
        <w:rPr>
          <w:color w:val="4D4D4F"/>
          <w:spacing w:val="-14"/>
          <w:w w:val="105"/>
        </w:rPr>
        <w:t xml:space="preserve"> </w:t>
      </w:r>
      <w:r>
        <w:rPr>
          <w:color w:val="4D4D4F"/>
          <w:w w:val="105"/>
        </w:rPr>
        <w:t>species.</w:t>
      </w:r>
      <w:r>
        <w:rPr>
          <w:color w:val="4D4D4F"/>
          <w:spacing w:val="-13"/>
          <w:w w:val="105"/>
        </w:rPr>
        <w:t xml:space="preserve"> </w:t>
      </w:r>
      <w:r>
        <w:rPr>
          <w:color w:val="4D4D4F"/>
          <w:w w:val="105"/>
        </w:rPr>
        <w:t>Three</w:t>
      </w:r>
      <w:r>
        <w:rPr>
          <w:color w:val="4D4D4F"/>
          <w:spacing w:val="-13"/>
          <w:w w:val="105"/>
        </w:rPr>
        <w:t xml:space="preserve"> </w:t>
      </w:r>
      <w:r>
        <w:rPr>
          <w:color w:val="4D4D4F"/>
          <w:w w:val="105"/>
        </w:rPr>
        <w:t>were</w:t>
      </w:r>
      <w:r>
        <w:rPr>
          <w:color w:val="4D4D4F"/>
          <w:spacing w:val="-13"/>
          <w:w w:val="105"/>
        </w:rPr>
        <w:t xml:space="preserve"> </w:t>
      </w:r>
      <w:r>
        <w:rPr>
          <w:color w:val="4D4D4F"/>
          <w:w w:val="105"/>
        </w:rPr>
        <w:t>annual,</w:t>
      </w:r>
      <w:r>
        <w:rPr>
          <w:color w:val="4D4D4F"/>
          <w:spacing w:val="-13"/>
          <w:w w:val="105"/>
        </w:rPr>
        <w:t xml:space="preserve"> </w:t>
      </w:r>
      <w:r>
        <w:rPr>
          <w:color w:val="4D4D4F"/>
          <w:w w:val="105"/>
        </w:rPr>
        <w:t>so</w:t>
      </w:r>
      <w:r>
        <w:rPr>
          <w:color w:val="4D4D4F"/>
          <w:spacing w:val="-14"/>
          <w:w w:val="105"/>
        </w:rPr>
        <w:t xml:space="preserve"> </w:t>
      </w:r>
      <w:r>
        <w:rPr>
          <w:color w:val="4D4D4F"/>
          <w:w w:val="105"/>
        </w:rPr>
        <w:t>that</w:t>
      </w:r>
      <w:r>
        <w:rPr>
          <w:color w:val="4D4D4F"/>
          <w:spacing w:val="-13"/>
          <w:w w:val="105"/>
        </w:rPr>
        <w:t xml:space="preserve"> </w:t>
      </w:r>
      <w:r>
        <w:rPr>
          <w:color w:val="4D4D4F"/>
          <w:w w:val="105"/>
        </w:rPr>
        <w:t>this</w:t>
      </w:r>
      <w:r>
        <w:rPr>
          <w:color w:val="4D4D4F"/>
          <w:spacing w:val="-13"/>
          <w:w w:val="105"/>
        </w:rPr>
        <w:t xml:space="preserve"> </w:t>
      </w:r>
      <w:r>
        <w:rPr>
          <w:color w:val="4D4D4F"/>
          <w:w w:val="105"/>
        </w:rPr>
        <w:t>count</w:t>
      </w:r>
      <w:r>
        <w:rPr>
          <w:color w:val="4D4D4F"/>
          <w:spacing w:val="-13"/>
          <w:w w:val="105"/>
        </w:rPr>
        <w:t xml:space="preserve"> </w:t>
      </w:r>
      <w:r>
        <w:rPr>
          <w:color w:val="4D4D4F"/>
          <w:w w:val="105"/>
        </w:rPr>
        <w:t>is</w:t>
      </w:r>
      <w:r>
        <w:rPr>
          <w:color w:val="4D4D4F"/>
          <w:spacing w:val="-13"/>
          <w:w w:val="105"/>
        </w:rPr>
        <w:t xml:space="preserve"> </w:t>
      </w:r>
      <w:r>
        <w:rPr>
          <w:color w:val="4D4D4F"/>
          <w:w w:val="105"/>
        </w:rPr>
        <w:t>higher than KPI 1 measured at the same time for this</w:t>
      </w:r>
      <w:r>
        <w:rPr>
          <w:color w:val="4D4D4F"/>
          <w:spacing w:val="-14"/>
          <w:w w:val="105"/>
        </w:rPr>
        <w:t xml:space="preserve"> </w:t>
      </w:r>
      <w:r>
        <w:rPr>
          <w:color w:val="4D4D4F"/>
          <w:w w:val="105"/>
        </w:rPr>
        <w:t>wetland.</w:t>
      </w:r>
    </w:p>
    <w:p w14:paraId="29F91478" w14:textId="77777777" w:rsidR="00EF5B27" w:rsidRDefault="00000000">
      <w:pPr>
        <w:pStyle w:val="BodyText"/>
        <w:spacing w:before="11"/>
        <w:rPr>
          <w:sz w:val="27"/>
        </w:rPr>
      </w:pPr>
      <w:r>
        <w:pict w14:anchorId="15F7AED3">
          <v:group id="_x0000_s3217" style="position:absolute;margin-left:181.3pt;margin-top:19.35pt;width:357.4pt;height:201.15pt;z-index:251560448;mso-wrap-distance-left:0;mso-wrap-distance-right:0;mso-position-horizontal-relative:page" coordorigin="3626,387" coordsize="7148,4023">
            <v:shape id="_x0000_s3219" type="#_x0000_t75" style="position:absolute;left:3628;top:390;width:7143;height:4018">
              <v:imagedata r:id="rId132" o:title=""/>
            </v:shape>
            <v:rect id="_x0000_s3218" style="position:absolute;left:3628;top:389;width:7143;height:4018" filled="f" strokeweight=".25pt"/>
            <w10:wrap type="topAndBottom" anchorx="page"/>
          </v:group>
        </w:pict>
      </w:r>
    </w:p>
    <w:p w14:paraId="539306B3" w14:textId="77777777" w:rsidR="00EF5B27" w:rsidRDefault="00000000">
      <w:pPr>
        <w:spacing w:before="103" w:line="244" w:lineRule="auto"/>
        <w:ind w:left="2608" w:right="110"/>
        <w:jc w:val="both"/>
        <w:rPr>
          <w:sz w:val="16"/>
        </w:rPr>
      </w:pPr>
      <w:r>
        <w:rPr>
          <w:color w:val="4D4D4F"/>
          <w:sz w:val="16"/>
        </w:rPr>
        <w:t xml:space="preserve">Figure </w:t>
      </w:r>
      <w:r>
        <w:rPr>
          <w:color w:val="4D4D4F"/>
          <w:spacing w:val="-4"/>
          <w:sz w:val="16"/>
        </w:rPr>
        <w:t xml:space="preserve">17: </w:t>
      </w:r>
      <w:r>
        <w:rPr>
          <w:color w:val="4D4D4F"/>
          <w:sz w:val="16"/>
        </w:rPr>
        <w:t xml:space="preserve">The richness of native forbs for each wetland. The solid lines show the five-year rolling mean </w:t>
      </w:r>
      <w:r>
        <w:rPr>
          <w:color w:val="4D4D4F"/>
          <w:spacing w:val="-3"/>
          <w:sz w:val="16"/>
        </w:rPr>
        <w:t xml:space="preserve">(±  </w:t>
      </w:r>
      <w:r>
        <w:rPr>
          <w:color w:val="4D4D4F"/>
          <w:sz w:val="16"/>
        </w:rPr>
        <w:t xml:space="preserve">95% CI) and the faded lines show the annual data. The dashed line is the baseline, calculated after the first five years of monitoring. </w:t>
      </w:r>
      <w:r>
        <w:rPr>
          <w:color w:val="4D4D4F"/>
          <w:spacing w:val="2"/>
          <w:sz w:val="16"/>
        </w:rPr>
        <w:t xml:space="preserve">Larger </w:t>
      </w:r>
      <w:r>
        <w:rPr>
          <w:color w:val="4D4D4F"/>
          <w:sz w:val="16"/>
        </w:rPr>
        <w:t>points indicate that the wetland was monitored during drawdown in that year. The horizontal bars indicate the period over which each wetland was full. The location of the points on the</w:t>
      </w:r>
      <w:r>
        <w:rPr>
          <w:color w:val="4D4D4F"/>
          <w:spacing w:val="2"/>
          <w:sz w:val="16"/>
        </w:rPr>
        <w:t xml:space="preserve"> </w:t>
      </w:r>
      <w:r>
        <w:rPr>
          <w:color w:val="4D4D4F"/>
          <w:sz w:val="16"/>
        </w:rPr>
        <w:t>x-axis</w:t>
      </w:r>
      <w:r>
        <w:rPr>
          <w:color w:val="4D4D4F"/>
          <w:spacing w:val="2"/>
          <w:sz w:val="16"/>
        </w:rPr>
        <w:t xml:space="preserve"> </w:t>
      </w:r>
      <w:r>
        <w:rPr>
          <w:color w:val="4D4D4F"/>
          <w:sz w:val="16"/>
        </w:rPr>
        <w:t>indicates</w:t>
      </w:r>
      <w:r>
        <w:rPr>
          <w:color w:val="4D4D4F"/>
          <w:spacing w:val="3"/>
          <w:sz w:val="16"/>
        </w:rPr>
        <w:t xml:space="preserve"> </w:t>
      </w:r>
      <w:r>
        <w:rPr>
          <w:color w:val="4D4D4F"/>
          <w:sz w:val="16"/>
        </w:rPr>
        <w:t>the</w:t>
      </w:r>
      <w:r>
        <w:rPr>
          <w:color w:val="4D4D4F"/>
          <w:spacing w:val="2"/>
          <w:sz w:val="16"/>
        </w:rPr>
        <w:t xml:space="preserve"> </w:t>
      </w:r>
      <w:r>
        <w:rPr>
          <w:color w:val="4D4D4F"/>
          <w:sz w:val="16"/>
        </w:rPr>
        <w:t>date</w:t>
      </w:r>
      <w:r>
        <w:rPr>
          <w:color w:val="4D4D4F"/>
          <w:spacing w:val="2"/>
          <w:sz w:val="16"/>
        </w:rPr>
        <w:t xml:space="preserve"> </w:t>
      </w:r>
      <w:r>
        <w:rPr>
          <w:color w:val="4D4D4F"/>
          <w:sz w:val="16"/>
        </w:rPr>
        <w:t>of</w:t>
      </w:r>
      <w:r>
        <w:rPr>
          <w:color w:val="4D4D4F"/>
          <w:spacing w:val="3"/>
          <w:sz w:val="16"/>
        </w:rPr>
        <w:t xml:space="preserve"> </w:t>
      </w:r>
      <w:r>
        <w:rPr>
          <w:color w:val="4D4D4F"/>
          <w:sz w:val="16"/>
        </w:rPr>
        <w:t>sampling,</w:t>
      </w:r>
      <w:r>
        <w:rPr>
          <w:color w:val="4D4D4F"/>
          <w:spacing w:val="2"/>
          <w:sz w:val="16"/>
        </w:rPr>
        <w:t xml:space="preserve"> </w:t>
      </w:r>
      <w:r>
        <w:rPr>
          <w:color w:val="4D4D4F"/>
          <w:sz w:val="16"/>
        </w:rPr>
        <w:t>with</w:t>
      </w:r>
      <w:r>
        <w:rPr>
          <w:color w:val="4D4D4F"/>
          <w:spacing w:val="2"/>
          <w:sz w:val="16"/>
        </w:rPr>
        <w:t xml:space="preserve"> </w:t>
      </w:r>
      <w:r>
        <w:rPr>
          <w:color w:val="4D4D4F"/>
          <w:sz w:val="16"/>
        </w:rPr>
        <w:t>a</w:t>
      </w:r>
      <w:r>
        <w:rPr>
          <w:color w:val="4D4D4F"/>
          <w:spacing w:val="3"/>
          <w:sz w:val="16"/>
        </w:rPr>
        <w:t xml:space="preserve"> </w:t>
      </w:r>
      <w:r>
        <w:rPr>
          <w:color w:val="4D4D4F"/>
          <w:sz w:val="16"/>
        </w:rPr>
        <w:t>sampling</w:t>
      </w:r>
      <w:r>
        <w:rPr>
          <w:color w:val="4D4D4F"/>
          <w:spacing w:val="2"/>
          <w:sz w:val="16"/>
        </w:rPr>
        <w:t xml:space="preserve"> </w:t>
      </w:r>
      <w:r>
        <w:rPr>
          <w:color w:val="4D4D4F"/>
          <w:sz w:val="16"/>
        </w:rPr>
        <w:t>year</w:t>
      </w:r>
      <w:r>
        <w:rPr>
          <w:color w:val="4D4D4F"/>
          <w:spacing w:val="2"/>
          <w:sz w:val="16"/>
        </w:rPr>
        <w:t xml:space="preserve"> </w:t>
      </w:r>
      <w:r>
        <w:rPr>
          <w:color w:val="4D4D4F"/>
          <w:sz w:val="16"/>
        </w:rPr>
        <w:t>(i.e.</w:t>
      </w:r>
      <w:r>
        <w:rPr>
          <w:color w:val="4D4D4F"/>
          <w:spacing w:val="3"/>
          <w:sz w:val="16"/>
        </w:rPr>
        <w:t xml:space="preserve"> </w:t>
      </w:r>
      <w:r>
        <w:rPr>
          <w:color w:val="4D4D4F"/>
          <w:sz w:val="16"/>
        </w:rPr>
        <w:t>the</w:t>
      </w:r>
      <w:r>
        <w:rPr>
          <w:color w:val="4D4D4F"/>
          <w:spacing w:val="2"/>
          <w:sz w:val="16"/>
        </w:rPr>
        <w:t xml:space="preserve"> </w:t>
      </w:r>
      <w:r>
        <w:rPr>
          <w:color w:val="4D4D4F"/>
          <w:sz w:val="16"/>
        </w:rPr>
        <w:t>axis</w:t>
      </w:r>
      <w:r>
        <w:rPr>
          <w:color w:val="4D4D4F"/>
          <w:spacing w:val="3"/>
          <w:sz w:val="16"/>
        </w:rPr>
        <w:t xml:space="preserve"> </w:t>
      </w:r>
      <w:r>
        <w:rPr>
          <w:color w:val="4D4D4F"/>
          <w:sz w:val="16"/>
        </w:rPr>
        <w:t>marks)</w:t>
      </w:r>
      <w:r>
        <w:rPr>
          <w:color w:val="4D4D4F"/>
          <w:spacing w:val="2"/>
          <w:sz w:val="16"/>
        </w:rPr>
        <w:t xml:space="preserve"> </w:t>
      </w:r>
      <w:r>
        <w:rPr>
          <w:color w:val="4D4D4F"/>
          <w:sz w:val="16"/>
        </w:rPr>
        <w:t>beginning</w:t>
      </w:r>
      <w:r>
        <w:rPr>
          <w:color w:val="4D4D4F"/>
          <w:spacing w:val="2"/>
          <w:sz w:val="16"/>
        </w:rPr>
        <w:t xml:space="preserve"> </w:t>
      </w:r>
      <w:r>
        <w:rPr>
          <w:color w:val="4D4D4F"/>
          <w:sz w:val="16"/>
        </w:rPr>
        <w:t>on</w:t>
      </w:r>
      <w:r>
        <w:rPr>
          <w:color w:val="4D4D4F"/>
          <w:spacing w:val="3"/>
          <w:sz w:val="16"/>
        </w:rPr>
        <w:t xml:space="preserve"> </w:t>
      </w:r>
      <w:r>
        <w:rPr>
          <w:color w:val="4D4D4F"/>
          <w:sz w:val="16"/>
        </w:rPr>
        <w:t>September</w:t>
      </w:r>
      <w:r>
        <w:rPr>
          <w:color w:val="4D4D4F"/>
          <w:spacing w:val="2"/>
          <w:sz w:val="16"/>
        </w:rPr>
        <w:t xml:space="preserve"> </w:t>
      </w:r>
      <w:r>
        <w:rPr>
          <w:color w:val="4D4D4F"/>
          <w:sz w:val="16"/>
        </w:rPr>
        <w:t>1</w:t>
      </w:r>
    </w:p>
    <w:p w14:paraId="4A74E954" w14:textId="77777777" w:rsidR="00EF5B27" w:rsidRDefault="00000000">
      <w:pPr>
        <w:spacing w:before="36"/>
        <w:ind w:left="2038" w:right="111"/>
        <w:jc w:val="right"/>
        <w:rPr>
          <w:rFonts w:ascii="Century Gothic"/>
          <w:i/>
          <w:sz w:val="12"/>
        </w:rPr>
      </w:pPr>
      <w:r>
        <w:rPr>
          <w:rFonts w:ascii="Century Gothic"/>
          <w:i/>
          <w:color w:val="4D4D4F"/>
          <w:spacing w:val="-1"/>
          <w:w w:val="90"/>
          <w:sz w:val="12"/>
        </w:rPr>
        <w:t>Source:</w:t>
      </w:r>
      <w:r>
        <w:rPr>
          <w:rFonts w:ascii="Century Gothic"/>
          <w:i/>
          <w:color w:val="4D4D4F"/>
          <w:spacing w:val="-4"/>
          <w:w w:val="90"/>
          <w:sz w:val="12"/>
        </w:rPr>
        <w:t xml:space="preserve"> </w:t>
      </w:r>
      <w:r>
        <w:rPr>
          <w:rFonts w:ascii="Century Gothic"/>
          <w:i/>
          <w:color w:val="4D4D4F"/>
          <w:w w:val="90"/>
          <w:sz w:val="12"/>
        </w:rPr>
        <w:t>DELWP</w:t>
      </w:r>
    </w:p>
    <w:p w14:paraId="02280F5D" w14:textId="77777777" w:rsidR="00EF5B27" w:rsidRDefault="00EF5B27">
      <w:pPr>
        <w:jc w:val="right"/>
        <w:rPr>
          <w:rFonts w:ascii="Century Gothic"/>
          <w:sz w:val="12"/>
        </w:rPr>
        <w:sectPr w:rsidR="00EF5B27">
          <w:pgSz w:w="11910" w:h="16840"/>
          <w:pgMar w:top="1080" w:right="1020" w:bottom="860" w:left="1020" w:header="537" w:footer="678" w:gutter="0"/>
          <w:cols w:space="720"/>
        </w:sectPr>
      </w:pPr>
    </w:p>
    <w:p w14:paraId="55E22013" w14:textId="77777777" w:rsidR="00EF5B27" w:rsidRDefault="00000000">
      <w:pPr>
        <w:pStyle w:val="BodyText"/>
        <w:rPr>
          <w:rFonts w:ascii="Century Gothic"/>
          <w:i/>
        </w:rPr>
      </w:pPr>
      <w:r>
        <w:lastRenderedPageBreak/>
        <w:pict w14:anchorId="59FA8654">
          <v:group id="_x0000_s3209" style="position:absolute;margin-left:587.05pt;margin-top:183.4pt;width:8.25pt;height:153.1pt;z-index:251615744;mso-position-horizontal-relative:page;mso-position-vertical-relative:page" coordorigin="11741,3668" coordsize="165,3062">
            <v:shape id="_x0000_s3216" style="position:absolute;left:11741;top:3668;width:165;height:561" coordorigin="11741,3668" coordsize="165,561" path="m11906,3668r-165,l11741,4228r165,-18l11906,3668xe" fillcolor="#00aed9" stroked="f">
              <v:path arrowok="t"/>
            </v:shape>
            <v:shape id="_x0000_s3215" style="position:absolute;left:11741;top:4118;width:165;height:425" coordorigin="11741,4118" coordsize="165,425" path="m11906,4118r-165,14l11741,4531r165,12l11906,4118xe" fillcolor="#047ebc" stroked="f">
              <v:path arrowok="t"/>
            </v:shape>
            <v:shape id="_x0000_s3214" type="#_x0000_t75" style="position:absolute;left:11741;top:4355;width:165;height:587">
              <v:imagedata r:id="rId42" o:title=""/>
            </v:shape>
            <v:shape id="_x0000_s3213" style="position:absolute;left:11741;top:5343;width:165;height:536" coordorigin="11741,5343" coordsize="165,536" path="m11741,5343r,535l11906,5872r,-525l11741,5343xe" fillcolor="#f36a2e" stroked="f">
              <v:path arrowok="t"/>
            </v:shape>
            <v:shape id="_x0000_s3212" style="position:absolute;left:11741;top:4925;width:165;height:501" coordorigin="11741,4926" coordsize="165,501" path="m11741,4926r,500l11906,5426r,-485l11741,4926xe" fillcolor="#49783f" stroked="f">
              <v:path arrowok="t"/>
            </v:shape>
            <v:shape id="_x0000_s3211" style="position:absolute;left:11741;top:5781;width:165;height:268" coordorigin="11741,5782" coordsize="165,268" path="m11906,5782r-165,8l11741,6039r165,10l11906,5782xe" fillcolor="#f99f2a" stroked="f">
              <v:path arrowok="t"/>
            </v:shape>
            <v:shape id="_x0000_s3210" style="position:absolute;left:11741;top:6023;width:165;height:707" coordorigin="11741,6023" coordsize="165,707" path="m11741,6023r,706l11906,6729r,-690l11741,6023xe" fillcolor="#ef412c" stroked="f">
              <v:path arrowok="t"/>
            </v:shape>
            <w10:wrap anchorx="page" anchory="page"/>
          </v:group>
        </w:pict>
      </w:r>
    </w:p>
    <w:p w14:paraId="5EF56912" w14:textId="77777777" w:rsidR="00EF5B27" w:rsidRDefault="00EF5B27">
      <w:pPr>
        <w:pStyle w:val="BodyText"/>
        <w:rPr>
          <w:rFonts w:ascii="Century Gothic"/>
          <w:i/>
        </w:rPr>
      </w:pPr>
    </w:p>
    <w:p w14:paraId="07CCC52A" w14:textId="77777777" w:rsidR="00EF5B27" w:rsidRDefault="00EF5B27">
      <w:pPr>
        <w:pStyle w:val="BodyText"/>
        <w:rPr>
          <w:rFonts w:ascii="Century Gothic"/>
          <w:i/>
        </w:rPr>
      </w:pPr>
    </w:p>
    <w:p w14:paraId="55B485C4" w14:textId="77777777" w:rsidR="00EF5B27" w:rsidRDefault="00EF5B27">
      <w:pPr>
        <w:pStyle w:val="BodyText"/>
        <w:spacing w:before="1"/>
        <w:rPr>
          <w:rFonts w:ascii="Century Gothic"/>
          <w:i/>
          <w:sz w:val="24"/>
        </w:rPr>
      </w:pPr>
    </w:p>
    <w:p w14:paraId="097CA22C" w14:textId="77777777" w:rsidR="00EF5B27" w:rsidRDefault="00000000">
      <w:pPr>
        <w:pStyle w:val="Heading6"/>
        <w:spacing w:before="111"/>
        <w:ind w:left="1772"/>
      </w:pPr>
      <w:bookmarkStart w:id="60" w:name="_bookmark44"/>
      <w:bookmarkStart w:id="61" w:name="_heading=h.43ky6rz"/>
      <w:bookmarkEnd w:id="60"/>
      <w:bookmarkEnd w:id="61"/>
      <w:r>
        <w:rPr>
          <w:color w:val="4D4D4F"/>
          <w:w w:val="105"/>
        </w:rPr>
        <w:t>KPI</w:t>
      </w:r>
      <w:r>
        <w:rPr>
          <w:color w:val="4D4D4F"/>
          <w:spacing w:val="-16"/>
          <w:w w:val="105"/>
        </w:rPr>
        <w:t xml:space="preserve"> </w:t>
      </w:r>
      <w:r>
        <w:rPr>
          <w:color w:val="4D4D4F"/>
          <w:w w:val="105"/>
        </w:rPr>
        <w:t>3:</w:t>
      </w:r>
      <w:r>
        <w:rPr>
          <w:color w:val="4D4D4F"/>
          <w:spacing w:val="-16"/>
          <w:w w:val="105"/>
        </w:rPr>
        <w:t xml:space="preserve"> </w:t>
      </w:r>
      <w:r>
        <w:rPr>
          <w:color w:val="4D4D4F"/>
          <w:w w:val="105"/>
        </w:rPr>
        <w:t>Percentage</w:t>
      </w:r>
      <w:r>
        <w:rPr>
          <w:color w:val="4D4D4F"/>
          <w:spacing w:val="-15"/>
          <w:w w:val="105"/>
        </w:rPr>
        <w:t xml:space="preserve"> </w:t>
      </w:r>
      <w:r>
        <w:rPr>
          <w:color w:val="4D4D4F"/>
          <w:w w:val="105"/>
        </w:rPr>
        <w:t>cover</w:t>
      </w:r>
      <w:r>
        <w:rPr>
          <w:color w:val="4D4D4F"/>
          <w:spacing w:val="-16"/>
          <w:w w:val="105"/>
        </w:rPr>
        <w:t xml:space="preserve"> </w:t>
      </w:r>
      <w:r>
        <w:rPr>
          <w:color w:val="4D4D4F"/>
          <w:w w:val="105"/>
        </w:rPr>
        <w:t>of</w:t>
      </w:r>
      <w:r>
        <w:rPr>
          <w:color w:val="4D4D4F"/>
          <w:spacing w:val="-16"/>
          <w:w w:val="105"/>
        </w:rPr>
        <w:t xml:space="preserve"> </w:t>
      </w:r>
      <w:r>
        <w:rPr>
          <w:color w:val="4D4D4F"/>
          <w:w w:val="105"/>
        </w:rPr>
        <w:t>all</w:t>
      </w:r>
      <w:r>
        <w:rPr>
          <w:color w:val="4D4D4F"/>
          <w:spacing w:val="-15"/>
          <w:w w:val="105"/>
        </w:rPr>
        <w:t xml:space="preserve"> </w:t>
      </w:r>
      <w:r>
        <w:rPr>
          <w:color w:val="4D4D4F"/>
          <w:w w:val="105"/>
        </w:rPr>
        <w:t>perennial</w:t>
      </w:r>
      <w:r>
        <w:rPr>
          <w:color w:val="4D4D4F"/>
          <w:spacing w:val="-16"/>
          <w:w w:val="105"/>
        </w:rPr>
        <w:t xml:space="preserve"> </w:t>
      </w:r>
      <w:r>
        <w:rPr>
          <w:color w:val="4D4D4F"/>
          <w:w w:val="105"/>
        </w:rPr>
        <w:t>vegetation</w:t>
      </w:r>
      <w:r>
        <w:rPr>
          <w:color w:val="4D4D4F"/>
          <w:spacing w:val="-15"/>
          <w:w w:val="105"/>
        </w:rPr>
        <w:t xml:space="preserve"> </w:t>
      </w:r>
      <w:r>
        <w:rPr>
          <w:color w:val="4D4D4F"/>
          <w:w w:val="105"/>
        </w:rPr>
        <w:t>comprised</w:t>
      </w:r>
      <w:r>
        <w:rPr>
          <w:color w:val="4D4D4F"/>
          <w:spacing w:val="-16"/>
          <w:w w:val="105"/>
        </w:rPr>
        <w:t xml:space="preserve"> </w:t>
      </w:r>
      <w:r>
        <w:rPr>
          <w:color w:val="4D4D4F"/>
          <w:w w:val="105"/>
        </w:rPr>
        <w:t>of</w:t>
      </w:r>
      <w:r>
        <w:rPr>
          <w:color w:val="4D4D4F"/>
          <w:spacing w:val="-16"/>
          <w:w w:val="105"/>
        </w:rPr>
        <w:t xml:space="preserve"> </w:t>
      </w:r>
      <w:r>
        <w:rPr>
          <w:color w:val="4D4D4F"/>
          <w:w w:val="105"/>
        </w:rPr>
        <w:t>weeds</w:t>
      </w:r>
      <w:r>
        <w:rPr>
          <w:color w:val="4D4D4F"/>
          <w:spacing w:val="-15"/>
          <w:w w:val="105"/>
        </w:rPr>
        <w:t xml:space="preserve"> </w:t>
      </w:r>
      <w:r>
        <w:rPr>
          <w:color w:val="4D4D4F"/>
          <w:w w:val="105"/>
        </w:rPr>
        <w:t>during</w:t>
      </w:r>
      <w:r>
        <w:rPr>
          <w:color w:val="4D4D4F"/>
          <w:spacing w:val="-16"/>
          <w:w w:val="105"/>
        </w:rPr>
        <w:t xml:space="preserve"> </w:t>
      </w:r>
      <w:r>
        <w:rPr>
          <w:color w:val="4D4D4F"/>
          <w:w w:val="105"/>
        </w:rPr>
        <w:t>spring-summer</w:t>
      </w:r>
    </w:p>
    <w:p w14:paraId="0D663007" w14:textId="77777777" w:rsidR="00EF5B27" w:rsidRDefault="00EF5B27">
      <w:pPr>
        <w:pStyle w:val="BodyText"/>
        <w:spacing w:before="2"/>
        <w:rPr>
          <w:b/>
          <w:sz w:val="14"/>
        </w:rPr>
      </w:pPr>
    </w:p>
    <w:tbl>
      <w:tblPr>
        <w:tblW w:w="0" w:type="auto"/>
        <w:tblInd w:w="12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083C9FCD" w14:textId="77777777">
        <w:trPr>
          <w:trHeight w:val="788"/>
        </w:trPr>
        <w:tc>
          <w:tcPr>
            <w:tcW w:w="2980" w:type="dxa"/>
            <w:shd w:val="clear" w:color="auto" w:fill="FECC91"/>
          </w:tcPr>
          <w:p w14:paraId="244D3F4E" w14:textId="77777777" w:rsidR="00EF5B27" w:rsidRDefault="00000000">
            <w:pPr>
              <w:pStyle w:val="TableParagraph"/>
              <w:spacing w:before="104" w:line="244" w:lineRule="auto"/>
              <w:ind w:left="80" w:right="132"/>
              <w:rPr>
                <w:b/>
                <w:sz w:val="16"/>
              </w:rPr>
            </w:pPr>
            <w:r>
              <w:rPr>
                <w:b/>
                <w:w w:val="105"/>
                <w:sz w:val="16"/>
              </w:rPr>
              <w:t>KPI 3: Percentage cover of all perennial vegetation comprised of weeds during spring-summer</w:t>
            </w:r>
          </w:p>
        </w:tc>
        <w:tc>
          <w:tcPr>
            <w:tcW w:w="1078" w:type="dxa"/>
            <w:shd w:val="clear" w:color="auto" w:fill="FECC91"/>
          </w:tcPr>
          <w:p w14:paraId="4282671B" w14:textId="77777777" w:rsidR="00EF5B27" w:rsidRDefault="00EF5B27">
            <w:pPr>
              <w:pStyle w:val="TableParagraph"/>
              <w:spacing w:before="9"/>
              <w:rPr>
                <w:b/>
                <w:sz w:val="16"/>
              </w:rPr>
            </w:pPr>
          </w:p>
          <w:p w14:paraId="1FBA537F" w14:textId="77777777" w:rsidR="00EF5B27" w:rsidRDefault="00000000">
            <w:pPr>
              <w:pStyle w:val="TableParagraph"/>
              <w:spacing w:line="244" w:lineRule="auto"/>
              <w:ind w:left="169" w:right="164" w:firstLine="148"/>
              <w:rPr>
                <w:b/>
                <w:sz w:val="16"/>
              </w:rPr>
            </w:pPr>
            <w:r>
              <w:rPr>
                <w:b/>
                <w:w w:val="105"/>
                <w:sz w:val="16"/>
              </w:rPr>
              <w:t>Status 2020-2022</w:t>
            </w:r>
          </w:p>
        </w:tc>
        <w:tc>
          <w:tcPr>
            <w:tcW w:w="2155" w:type="dxa"/>
            <w:shd w:val="clear" w:color="auto" w:fill="FECC91"/>
          </w:tcPr>
          <w:p w14:paraId="4A21FD10" w14:textId="77777777" w:rsidR="00EF5B27" w:rsidRDefault="00EF5B27">
            <w:pPr>
              <w:pStyle w:val="TableParagraph"/>
              <w:spacing w:before="11"/>
              <w:rPr>
                <w:b/>
                <w:sz w:val="24"/>
              </w:rPr>
            </w:pPr>
          </w:p>
          <w:p w14:paraId="14F6250F" w14:textId="77777777" w:rsidR="00EF5B27" w:rsidRDefault="00000000">
            <w:pPr>
              <w:pStyle w:val="TableParagraph"/>
              <w:ind w:left="143" w:right="142"/>
              <w:jc w:val="center"/>
              <w:rPr>
                <w:b/>
                <w:sz w:val="16"/>
              </w:rPr>
            </w:pPr>
            <w:r>
              <w:rPr>
                <w:b/>
                <w:sz w:val="16"/>
              </w:rPr>
              <w:t>Reason for non-assessment</w:t>
            </w:r>
          </w:p>
        </w:tc>
        <w:tc>
          <w:tcPr>
            <w:tcW w:w="964" w:type="dxa"/>
            <w:shd w:val="clear" w:color="auto" w:fill="FECC91"/>
          </w:tcPr>
          <w:p w14:paraId="41F8668C" w14:textId="77777777" w:rsidR="00EF5B27" w:rsidRDefault="00EF5B27">
            <w:pPr>
              <w:pStyle w:val="TableParagraph"/>
              <w:spacing w:before="11"/>
              <w:rPr>
                <w:b/>
                <w:sz w:val="24"/>
              </w:rPr>
            </w:pPr>
          </w:p>
          <w:p w14:paraId="7182E83E" w14:textId="77777777" w:rsidR="00EF5B27" w:rsidRDefault="00000000">
            <w:pPr>
              <w:pStyle w:val="TableParagraph"/>
              <w:ind w:left="283"/>
              <w:rPr>
                <w:b/>
                <w:sz w:val="16"/>
              </w:rPr>
            </w:pPr>
            <w:r>
              <w:rPr>
                <w:b/>
                <w:sz w:val="16"/>
              </w:rPr>
              <w:t>Trend</w:t>
            </w:r>
          </w:p>
        </w:tc>
        <w:tc>
          <w:tcPr>
            <w:tcW w:w="964" w:type="dxa"/>
            <w:shd w:val="clear" w:color="auto" w:fill="FECC91"/>
          </w:tcPr>
          <w:p w14:paraId="46147521" w14:textId="77777777" w:rsidR="00EF5B27" w:rsidRDefault="00EF5B27">
            <w:pPr>
              <w:pStyle w:val="TableParagraph"/>
              <w:spacing w:before="9"/>
              <w:rPr>
                <w:b/>
                <w:sz w:val="16"/>
              </w:rPr>
            </w:pPr>
          </w:p>
          <w:p w14:paraId="19DE4E54" w14:textId="77777777" w:rsidR="00EF5B27" w:rsidRDefault="00000000">
            <w:pPr>
              <w:pStyle w:val="TableParagraph"/>
              <w:spacing w:line="244" w:lineRule="auto"/>
              <w:ind w:left="105" w:right="87" w:firstLine="217"/>
              <w:rPr>
                <w:b/>
                <w:sz w:val="16"/>
              </w:rPr>
            </w:pPr>
            <w:r>
              <w:rPr>
                <w:b/>
                <w:sz w:val="16"/>
              </w:rPr>
              <w:t>Data Confidence</w:t>
            </w:r>
          </w:p>
        </w:tc>
        <w:tc>
          <w:tcPr>
            <w:tcW w:w="1489" w:type="dxa"/>
            <w:shd w:val="clear" w:color="auto" w:fill="FECC91"/>
          </w:tcPr>
          <w:p w14:paraId="006FB01B" w14:textId="77777777" w:rsidR="00EF5B27" w:rsidRDefault="00EF5B27">
            <w:pPr>
              <w:pStyle w:val="TableParagraph"/>
              <w:spacing w:before="9"/>
              <w:rPr>
                <w:b/>
                <w:sz w:val="16"/>
              </w:rPr>
            </w:pPr>
          </w:p>
          <w:p w14:paraId="57C3A924" w14:textId="77777777" w:rsidR="00EF5B27" w:rsidRDefault="00000000">
            <w:pPr>
              <w:pStyle w:val="TableParagraph"/>
              <w:spacing w:line="244" w:lineRule="auto"/>
              <w:ind w:left="220" w:hanging="92"/>
              <w:rPr>
                <w:b/>
                <w:sz w:val="16"/>
              </w:rPr>
            </w:pPr>
            <w:r>
              <w:rPr>
                <w:b/>
                <w:sz w:val="16"/>
              </w:rPr>
              <w:t>Year that baseline was/will be set</w:t>
            </w:r>
          </w:p>
        </w:tc>
      </w:tr>
      <w:tr w:rsidR="00EF5B27" w14:paraId="2D4763AC" w14:textId="77777777">
        <w:trPr>
          <w:trHeight w:val="448"/>
        </w:trPr>
        <w:tc>
          <w:tcPr>
            <w:tcW w:w="2980" w:type="dxa"/>
          </w:tcPr>
          <w:p w14:paraId="18CB329F" w14:textId="77777777" w:rsidR="00EF5B27" w:rsidRDefault="00EF5B27">
            <w:pPr>
              <w:pStyle w:val="TableParagraph"/>
              <w:spacing w:before="11"/>
              <w:rPr>
                <w:b/>
                <w:sz w:val="11"/>
              </w:rPr>
            </w:pPr>
          </w:p>
          <w:p w14:paraId="4661CB9D" w14:textId="77777777" w:rsidR="00EF5B27" w:rsidRDefault="00000000">
            <w:pPr>
              <w:pStyle w:val="TableParagraph"/>
              <w:ind w:left="80"/>
              <w:rPr>
                <w:sz w:val="14"/>
              </w:rPr>
            </w:pPr>
            <w:r>
              <w:rPr>
                <w:color w:val="4D4D4F"/>
                <w:w w:val="105"/>
                <w:sz w:val="14"/>
              </w:rPr>
              <w:t>Cobbledicks Rise</w:t>
            </w:r>
          </w:p>
        </w:tc>
        <w:tc>
          <w:tcPr>
            <w:tcW w:w="1078" w:type="dxa"/>
          </w:tcPr>
          <w:p w14:paraId="30CD154F" w14:textId="77777777" w:rsidR="00EF5B27" w:rsidRDefault="00EF5B27">
            <w:pPr>
              <w:pStyle w:val="TableParagraph"/>
              <w:spacing w:before="11"/>
              <w:rPr>
                <w:b/>
                <w:sz w:val="11"/>
              </w:rPr>
            </w:pPr>
          </w:p>
          <w:p w14:paraId="46B75848" w14:textId="77777777" w:rsidR="00EF5B27" w:rsidRDefault="00000000">
            <w:pPr>
              <w:pStyle w:val="TableParagraph"/>
              <w:ind w:right="421"/>
              <w:jc w:val="right"/>
              <w:rPr>
                <w:sz w:val="14"/>
              </w:rPr>
            </w:pPr>
            <w:r>
              <w:rPr>
                <w:color w:val="4D4D4F"/>
                <w:w w:val="90"/>
                <w:sz w:val="14"/>
              </w:rPr>
              <w:t>Met</w:t>
            </w:r>
          </w:p>
        </w:tc>
        <w:tc>
          <w:tcPr>
            <w:tcW w:w="2155" w:type="dxa"/>
          </w:tcPr>
          <w:p w14:paraId="02C2A12B" w14:textId="77777777" w:rsidR="00EF5B27" w:rsidRDefault="00EF5B27">
            <w:pPr>
              <w:pStyle w:val="TableParagraph"/>
              <w:spacing w:before="11"/>
              <w:rPr>
                <w:b/>
                <w:sz w:val="11"/>
              </w:rPr>
            </w:pPr>
          </w:p>
          <w:p w14:paraId="7FADAE62" w14:textId="77777777" w:rsidR="00EF5B27" w:rsidRDefault="00000000">
            <w:pPr>
              <w:pStyle w:val="TableParagraph"/>
              <w:ind w:left="139" w:right="142"/>
              <w:jc w:val="center"/>
              <w:rPr>
                <w:sz w:val="14"/>
              </w:rPr>
            </w:pPr>
            <w:r>
              <w:rPr>
                <w:color w:val="4D4D4F"/>
                <w:w w:val="105"/>
                <w:sz w:val="14"/>
              </w:rPr>
              <w:t>N/A</w:t>
            </w:r>
          </w:p>
        </w:tc>
        <w:tc>
          <w:tcPr>
            <w:tcW w:w="964" w:type="dxa"/>
          </w:tcPr>
          <w:p w14:paraId="4507D58C" w14:textId="77777777" w:rsidR="00EF5B27" w:rsidRDefault="00EF5B27">
            <w:pPr>
              <w:pStyle w:val="TableParagraph"/>
              <w:spacing w:before="1"/>
              <w:rPr>
                <w:b/>
                <w:sz w:val="15"/>
              </w:rPr>
            </w:pPr>
          </w:p>
          <w:p w14:paraId="589834A6" w14:textId="77777777" w:rsidR="00EF5B27" w:rsidRDefault="00000000">
            <w:pPr>
              <w:pStyle w:val="TableParagraph"/>
              <w:spacing w:line="102" w:lineRule="exact"/>
              <w:ind w:left="361"/>
              <w:rPr>
                <w:sz w:val="10"/>
              </w:rPr>
            </w:pPr>
            <w:r>
              <w:rPr>
                <w:noProof/>
                <w:position w:val="-1"/>
                <w:sz w:val="10"/>
              </w:rPr>
              <w:drawing>
                <wp:inline distT="0" distB="0" distL="0" distR="0" wp14:anchorId="7B002EC3" wp14:editId="510EDE68">
                  <wp:extent cx="151464" cy="65341"/>
                  <wp:effectExtent l="0" t="0" r="0" b="0"/>
                  <wp:docPr id="453"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63.png"/>
                          <pic:cNvPicPr/>
                        </pic:nvPicPr>
                        <pic:blipFill>
                          <a:blip r:embed="rId89" cstate="print"/>
                          <a:stretch>
                            <a:fillRect/>
                          </a:stretch>
                        </pic:blipFill>
                        <pic:spPr>
                          <a:xfrm>
                            <a:off x="0" y="0"/>
                            <a:ext cx="151464" cy="65341"/>
                          </a:xfrm>
                          <a:prstGeom prst="rect">
                            <a:avLst/>
                          </a:prstGeom>
                        </pic:spPr>
                      </pic:pic>
                    </a:graphicData>
                  </a:graphic>
                </wp:inline>
              </w:drawing>
            </w:r>
          </w:p>
        </w:tc>
        <w:tc>
          <w:tcPr>
            <w:tcW w:w="964" w:type="dxa"/>
          </w:tcPr>
          <w:p w14:paraId="6228A782" w14:textId="77777777" w:rsidR="00EF5B27" w:rsidRDefault="00EF5B27">
            <w:pPr>
              <w:pStyle w:val="TableParagraph"/>
              <w:spacing w:before="11"/>
              <w:rPr>
                <w:b/>
                <w:sz w:val="11"/>
              </w:rPr>
            </w:pPr>
          </w:p>
          <w:p w14:paraId="4CAF12F2" w14:textId="77777777" w:rsidR="00EF5B27" w:rsidRDefault="00000000">
            <w:pPr>
              <w:pStyle w:val="TableParagraph"/>
              <w:ind w:left="323" w:right="323"/>
              <w:jc w:val="center"/>
              <w:rPr>
                <w:sz w:val="14"/>
              </w:rPr>
            </w:pPr>
            <w:r>
              <w:rPr>
                <w:color w:val="4D4D4F"/>
                <w:w w:val="105"/>
                <w:sz w:val="14"/>
              </w:rPr>
              <w:t>High</w:t>
            </w:r>
          </w:p>
        </w:tc>
        <w:tc>
          <w:tcPr>
            <w:tcW w:w="1489" w:type="dxa"/>
          </w:tcPr>
          <w:p w14:paraId="7376BD41" w14:textId="77777777" w:rsidR="00EF5B27" w:rsidRDefault="00000000">
            <w:pPr>
              <w:pStyle w:val="TableParagraph"/>
              <w:spacing w:before="134"/>
              <w:ind w:left="587"/>
              <w:rPr>
                <w:sz w:val="16"/>
              </w:rPr>
            </w:pPr>
            <w:r>
              <w:rPr>
                <w:color w:val="4D4D4F"/>
                <w:sz w:val="16"/>
              </w:rPr>
              <w:t>2018</w:t>
            </w:r>
          </w:p>
        </w:tc>
      </w:tr>
      <w:tr w:rsidR="00EF5B27" w14:paraId="056D34FB" w14:textId="77777777">
        <w:trPr>
          <w:trHeight w:val="448"/>
        </w:trPr>
        <w:tc>
          <w:tcPr>
            <w:tcW w:w="2980" w:type="dxa"/>
          </w:tcPr>
          <w:p w14:paraId="26C7771B" w14:textId="77777777" w:rsidR="00EF5B27" w:rsidRDefault="00EF5B27">
            <w:pPr>
              <w:pStyle w:val="TableParagraph"/>
              <w:spacing w:before="11"/>
              <w:rPr>
                <w:b/>
                <w:sz w:val="11"/>
              </w:rPr>
            </w:pPr>
          </w:p>
          <w:p w14:paraId="4D31146F" w14:textId="77777777" w:rsidR="00EF5B27" w:rsidRDefault="00000000">
            <w:pPr>
              <w:pStyle w:val="TableParagraph"/>
              <w:ind w:left="80"/>
              <w:rPr>
                <w:sz w:val="14"/>
              </w:rPr>
            </w:pPr>
            <w:r>
              <w:rPr>
                <w:color w:val="4D4D4F"/>
                <w:w w:val="105"/>
                <w:sz w:val="14"/>
              </w:rPr>
              <w:t>One Tree Rise</w:t>
            </w:r>
          </w:p>
        </w:tc>
        <w:tc>
          <w:tcPr>
            <w:tcW w:w="1078" w:type="dxa"/>
          </w:tcPr>
          <w:p w14:paraId="6EE9C70E" w14:textId="77777777" w:rsidR="00EF5B27" w:rsidRDefault="00EF5B27">
            <w:pPr>
              <w:pStyle w:val="TableParagraph"/>
              <w:spacing w:before="11"/>
              <w:rPr>
                <w:b/>
                <w:sz w:val="11"/>
              </w:rPr>
            </w:pPr>
          </w:p>
          <w:p w14:paraId="19865109" w14:textId="77777777" w:rsidR="00EF5B27" w:rsidRDefault="00000000">
            <w:pPr>
              <w:pStyle w:val="TableParagraph"/>
              <w:ind w:right="421"/>
              <w:jc w:val="right"/>
              <w:rPr>
                <w:sz w:val="14"/>
              </w:rPr>
            </w:pPr>
            <w:r>
              <w:rPr>
                <w:color w:val="4D4D4F"/>
                <w:w w:val="90"/>
                <w:sz w:val="14"/>
              </w:rPr>
              <w:t>Met</w:t>
            </w:r>
          </w:p>
        </w:tc>
        <w:tc>
          <w:tcPr>
            <w:tcW w:w="2155" w:type="dxa"/>
          </w:tcPr>
          <w:p w14:paraId="50DF7DF1" w14:textId="77777777" w:rsidR="00EF5B27" w:rsidRDefault="00EF5B27">
            <w:pPr>
              <w:pStyle w:val="TableParagraph"/>
              <w:spacing w:before="11"/>
              <w:rPr>
                <w:b/>
                <w:sz w:val="11"/>
              </w:rPr>
            </w:pPr>
          </w:p>
          <w:p w14:paraId="28EF5ED1" w14:textId="77777777" w:rsidR="00EF5B27" w:rsidRDefault="00000000">
            <w:pPr>
              <w:pStyle w:val="TableParagraph"/>
              <w:ind w:left="139" w:right="142"/>
              <w:jc w:val="center"/>
              <w:rPr>
                <w:sz w:val="14"/>
              </w:rPr>
            </w:pPr>
            <w:r>
              <w:rPr>
                <w:color w:val="4D4D4F"/>
                <w:w w:val="105"/>
                <w:sz w:val="14"/>
              </w:rPr>
              <w:t>N/A</w:t>
            </w:r>
          </w:p>
        </w:tc>
        <w:tc>
          <w:tcPr>
            <w:tcW w:w="964" w:type="dxa"/>
          </w:tcPr>
          <w:p w14:paraId="021550B8" w14:textId="77777777" w:rsidR="00EF5B27" w:rsidRDefault="00EF5B27">
            <w:pPr>
              <w:pStyle w:val="TableParagraph"/>
              <w:spacing w:before="1"/>
              <w:rPr>
                <w:b/>
                <w:sz w:val="15"/>
              </w:rPr>
            </w:pPr>
          </w:p>
          <w:p w14:paraId="06C65FB0" w14:textId="77777777" w:rsidR="00EF5B27" w:rsidRDefault="00000000">
            <w:pPr>
              <w:pStyle w:val="TableParagraph"/>
              <w:spacing w:line="102" w:lineRule="exact"/>
              <w:ind w:left="361"/>
              <w:rPr>
                <w:sz w:val="10"/>
              </w:rPr>
            </w:pPr>
            <w:r>
              <w:rPr>
                <w:noProof/>
                <w:position w:val="-1"/>
                <w:sz w:val="10"/>
              </w:rPr>
              <w:drawing>
                <wp:inline distT="0" distB="0" distL="0" distR="0" wp14:anchorId="42772774" wp14:editId="703167A7">
                  <wp:extent cx="151464" cy="65341"/>
                  <wp:effectExtent l="0" t="0" r="0" b="0"/>
                  <wp:docPr id="455"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63.png"/>
                          <pic:cNvPicPr/>
                        </pic:nvPicPr>
                        <pic:blipFill>
                          <a:blip r:embed="rId89" cstate="print"/>
                          <a:stretch>
                            <a:fillRect/>
                          </a:stretch>
                        </pic:blipFill>
                        <pic:spPr>
                          <a:xfrm>
                            <a:off x="0" y="0"/>
                            <a:ext cx="151464" cy="65341"/>
                          </a:xfrm>
                          <a:prstGeom prst="rect">
                            <a:avLst/>
                          </a:prstGeom>
                        </pic:spPr>
                      </pic:pic>
                    </a:graphicData>
                  </a:graphic>
                </wp:inline>
              </w:drawing>
            </w:r>
          </w:p>
        </w:tc>
        <w:tc>
          <w:tcPr>
            <w:tcW w:w="964" w:type="dxa"/>
          </w:tcPr>
          <w:p w14:paraId="0351A94D" w14:textId="77777777" w:rsidR="00EF5B27" w:rsidRDefault="00EF5B27">
            <w:pPr>
              <w:pStyle w:val="TableParagraph"/>
              <w:spacing w:before="11"/>
              <w:rPr>
                <w:b/>
                <w:sz w:val="11"/>
              </w:rPr>
            </w:pPr>
          </w:p>
          <w:p w14:paraId="6ED8A895" w14:textId="77777777" w:rsidR="00EF5B27" w:rsidRDefault="00000000">
            <w:pPr>
              <w:pStyle w:val="TableParagraph"/>
              <w:ind w:left="323" w:right="323"/>
              <w:jc w:val="center"/>
              <w:rPr>
                <w:sz w:val="14"/>
              </w:rPr>
            </w:pPr>
            <w:r>
              <w:rPr>
                <w:color w:val="4D4D4F"/>
                <w:w w:val="105"/>
                <w:sz w:val="14"/>
              </w:rPr>
              <w:t>High</w:t>
            </w:r>
          </w:p>
        </w:tc>
        <w:tc>
          <w:tcPr>
            <w:tcW w:w="1489" w:type="dxa"/>
          </w:tcPr>
          <w:p w14:paraId="08C840DE" w14:textId="77777777" w:rsidR="00EF5B27" w:rsidRDefault="00000000">
            <w:pPr>
              <w:pStyle w:val="TableParagraph"/>
              <w:spacing w:before="134"/>
              <w:ind w:left="587"/>
              <w:rPr>
                <w:sz w:val="16"/>
              </w:rPr>
            </w:pPr>
            <w:r>
              <w:rPr>
                <w:color w:val="4D4D4F"/>
                <w:sz w:val="16"/>
              </w:rPr>
              <w:t>2018</w:t>
            </w:r>
          </w:p>
        </w:tc>
      </w:tr>
      <w:tr w:rsidR="00EF5B27" w14:paraId="48F61576" w14:textId="77777777">
        <w:trPr>
          <w:trHeight w:val="448"/>
        </w:trPr>
        <w:tc>
          <w:tcPr>
            <w:tcW w:w="2980" w:type="dxa"/>
          </w:tcPr>
          <w:p w14:paraId="49963ABA" w14:textId="77777777" w:rsidR="00EF5B27" w:rsidRDefault="00EF5B27">
            <w:pPr>
              <w:pStyle w:val="TableParagraph"/>
              <w:spacing w:before="11"/>
              <w:rPr>
                <w:b/>
                <w:sz w:val="11"/>
              </w:rPr>
            </w:pPr>
          </w:p>
          <w:p w14:paraId="2357DE98" w14:textId="77777777" w:rsidR="00EF5B27" w:rsidRDefault="00000000">
            <w:pPr>
              <w:pStyle w:val="TableParagraph"/>
              <w:ind w:left="80"/>
              <w:rPr>
                <w:sz w:val="14"/>
              </w:rPr>
            </w:pPr>
            <w:r>
              <w:rPr>
                <w:color w:val="4D4D4F"/>
                <w:sz w:val="14"/>
              </w:rPr>
              <w:t>Windmill</w:t>
            </w:r>
          </w:p>
        </w:tc>
        <w:tc>
          <w:tcPr>
            <w:tcW w:w="1078" w:type="dxa"/>
          </w:tcPr>
          <w:p w14:paraId="7D032BB5" w14:textId="77777777" w:rsidR="00EF5B27" w:rsidRDefault="00EF5B27">
            <w:pPr>
              <w:pStyle w:val="TableParagraph"/>
              <w:spacing w:before="11"/>
              <w:rPr>
                <w:b/>
                <w:sz w:val="11"/>
              </w:rPr>
            </w:pPr>
          </w:p>
          <w:p w14:paraId="7DB0AB52" w14:textId="77777777" w:rsidR="00EF5B27" w:rsidRDefault="00000000">
            <w:pPr>
              <w:pStyle w:val="TableParagraph"/>
              <w:ind w:right="421"/>
              <w:jc w:val="right"/>
              <w:rPr>
                <w:sz w:val="14"/>
              </w:rPr>
            </w:pPr>
            <w:r>
              <w:rPr>
                <w:color w:val="4D4D4F"/>
                <w:w w:val="90"/>
                <w:sz w:val="14"/>
              </w:rPr>
              <w:t>Met</w:t>
            </w:r>
          </w:p>
        </w:tc>
        <w:tc>
          <w:tcPr>
            <w:tcW w:w="2155" w:type="dxa"/>
          </w:tcPr>
          <w:p w14:paraId="7DA970A1" w14:textId="77777777" w:rsidR="00EF5B27" w:rsidRDefault="00EF5B27">
            <w:pPr>
              <w:pStyle w:val="TableParagraph"/>
              <w:spacing w:before="11"/>
              <w:rPr>
                <w:b/>
                <w:sz w:val="11"/>
              </w:rPr>
            </w:pPr>
          </w:p>
          <w:p w14:paraId="6852DCD4" w14:textId="77777777" w:rsidR="00EF5B27" w:rsidRDefault="00000000">
            <w:pPr>
              <w:pStyle w:val="TableParagraph"/>
              <w:ind w:left="139" w:right="142"/>
              <w:jc w:val="center"/>
              <w:rPr>
                <w:sz w:val="14"/>
              </w:rPr>
            </w:pPr>
            <w:r>
              <w:rPr>
                <w:color w:val="4D4D4F"/>
                <w:w w:val="105"/>
                <w:sz w:val="14"/>
              </w:rPr>
              <w:t>N/A</w:t>
            </w:r>
          </w:p>
        </w:tc>
        <w:tc>
          <w:tcPr>
            <w:tcW w:w="964" w:type="dxa"/>
          </w:tcPr>
          <w:p w14:paraId="4DEE9319" w14:textId="77777777" w:rsidR="00EF5B27" w:rsidRDefault="00EF5B27">
            <w:pPr>
              <w:pStyle w:val="TableParagraph"/>
              <w:spacing w:before="1"/>
              <w:rPr>
                <w:b/>
                <w:sz w:val="15"/>
              </w:rPr>
            </w:pPr>
          </w:p>
          <w:p w14:paraId="548DF701" w14:textId="77777777" w:rsidR="00EF5B27" w:rsidRDefault="00000000">
            <w:pPr>
              <w:pStyle w:val="TableParagraph"/>
              <w:spacing w:line="102" w:lineRule="exact"/>
              <w:ind w:left="361"/>
              <w:rPr>
                <w:sz w:val="10"/>
              </w:rPr>
            </w:pPr>
            <w:r>
              <w:rPr>
                <w:noProof/>
                <w:position w:val="-1"/>
                <w:sz w:val="10"/>
              </w:rPr>
              <w:drawing>
                <wp:inline distT="0" distB="0" distL="0" distR="0" wp14:anchorId="32625BB1" wp14:editId="0264700B">
                  <wp:extent cx="151464" cy="65341"/>
                  <wp:effectExtent l="0" t="0" r="0" b="0"/>
                  <wp:docPr id="457"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63.png"/>
                          <pic:cNvPicPr/>
                        </pic:nvPicPr>
                        <pic:blipFill>
                          <a:blip r:embed="rId89" cstate="print"/>
                          <a:stretch>
                            <a:fillRect/>
                          </a:stretch>
                        </pic:blipFill>
                        <pic:spPr>
                          <a:xfrm>
                            <a:off x="0" y="0"/>
                            <a:ext cx="151464" cy="65341"/>
                          </a:xfrm>
                          <a:prstGeom prst="rect">
                            <a:avLst/>
                          </a:prstGeom>
                        </pic:spPr>
                      </pic:pic>
                    </a:graphicData>
                  </a:graphic>
                </wp:inline>
              </w:drawing>
            </w:r>
          </w:p>
        </w:tc>
        <w:tc>
          <w:tcPr>
            <w:tcW w:w="964" w:type="dxa"/>
          </w:tcPr>
          <w:p w14:paraId="6549C1CB" w14:textId="77777777" w:rsidR="00EF5B27" w:rsidRDefault="00EF5B27">
            <w:pPr>
              <w:pStyle w:val="TableParagraph"/>
              <w:spacing w:before="11"/>
              <w:rPr>
                <w:b/>
                <w:sz w:val="11"/>
              </w:rPr>
            </w:pPr>
          </w:p>
          <w:p w14:paraId="599C802E" w14:textId="77777777" w:rsidR="00EF5B27" w:rsidRDefault="00000000">
            <w:pPr>
              <w:pStyle w:val="TableParagraph"/>
              <w:ind w:left="323" w:right="323"/>
              <w:jc w:val="center"/>
              <w:rPr>
                <w:sz w:val="14"/>
              </w:rPr>
            </w:pPr>
            <w:r>
              <w:rPr>
                <w:color w:val="4D4D4F"/>
                <w:w w:val="105"/>
                <w:sz w:val="14"/>
              </w:rPr>
              <w:t>High</w:t>
            </w:r>
          </w:p>
        </w:tc>
        <w:tc>
          <w:tcPr>
            <w:tcW w:w="1489" w:type="dxa"/>
          </w:tcPr>
          <w:p w14:paraId="63EE5314" w14:textId="77777777" w:rsidR="00EF5B27" w:rsidRDefault="00000000">
            <w:pPr>
              <w:pStyle w:val="TableParagraph"/>
              <w:spacing w:before="134"/>
              <w:ind w:left="587"/>
              <w:rPr>
                <w:sz w:val="16"/>
              </w:rPr>
            </w:pPr>
            <w:r>
              <w:rPr>
                <w:color w:val="4D4D4F"/>
                <w:sz w:val="16"/>
              </w:rPr>
              <w:t>2018</w:t>
            </w:r>
          </w:p>
        </w:tc>
      </w:tr>
    </w:tbl>
    <w:p w14:paraId="23A218A0" w14:textId="77777777" w:rsidR="00EF5B27" w:rsidRDefault="00EF5B27">
      <w:pPr>
        <w:pStyle w:val="BodyText"/>
        <w:spacing w:before="3"/>
        <w:rPr>
          <w:b/>
          <w:sz w:val="34"/>
        </w:rPr>
      </w:pPr>
    </w:p>
    <w:p w14:paraId="1C9773EA" w14:textId="77777777" w:rsidR="00EF5B27" w:rsidRDefault="00000000">
      <w:pPr>
        <w:pStyle w:val="BodyText"/>
        <w:spacing w:before="1" w:line="254" w:lineRule="auto"/>
        <w:ind w:left="2608" w:right="151"/>
      </w:pPr>
      <w:r>
        <w:rPr>
          <w:color w:val="4D4D4F"/>
          <w:w w:val="105"/>
        </w:rPr>
        <w:t>This</w:t>
      </w:r>
      <w:r>
        <w:rPr>
          <w:color w:val="4D4D4F"/>
          <w:spacing w:val="-16"/>
          <w:w w:val="105"/>
        </w:rPr>
        <w:t xml:space="preserve"> </w:t>
      </w:r>
      <w:r>
        <w:rPr>
          <w:color w:val="4D4D4F"/>
          <w:w w:val="105"/>
        </w:rPr>
        <w:t>KPI</w:t>
      </w:r>
      <w:r>
        <w:rPr>
          <w:color w:val="4D4D4F"/>
          <w:spacing w:val="-16"/>
          <w:w w:val="105"/>
        </w:rPr>
        <w:t xml:space="preserve"> </w:t>
      </w:r>
      <w:r>
        <w:rPr>
          <w:color w:val="4D4D4F"/>
          <w:w w:val="105"/>
        </w:rPr>
        <w:t>measures</w:t>
      </w:r>
      <w:r>
        <w:rPr>
          <w:color w:val="4D4D4F"/>
          <w:spacing w:val="-16"/>
          <w:w w:val="105"/>
        </w:rPr>
        <w:t xml:space="preserve"> </w:t>
      </w:r>
      <w:r>
        <w:rPr>
          <w:color w:val="4D4D4F"/>
          <w:w w:val="105"/>
        </w:rPr>
        <w:t>the</w:t>
      </w:r>
      <w:r>
        <w:rPr>
          <w:color w:val="4D4D4F"/>
          <w:spacing w:val="-16"/>
          <w:w w:val="105"/>
        </w:rPr>
        <w:t xml:space="preserve"> </w:t>
      </w:r>
      <w:r>
        <w:rPr>
          <w:color w:val="4D4D4F"/>
          <w:w w:val="105"/>
        </w:rPr>
        <w:t>percentage</w:t>
      </w:r>
      <w:r>
        <w:rPr>
          <w:color w:val="4D4D4F"/>
          <w:spacing w:val="-16"/>
          <w:w w:val="105"/>
        </w:rPr>
        <w:t xml:space="preserve"> </w:t>
      </w:r>
      <w:r>
        <w:rPr>
          <w:color w:val="4D4D4F"/>
          <w:w w:val="105"/>
        </w:rPr>
        <w:t>of</w:t>
      </w:r>
      <w:r>
        <w:rPr>
          <w:color w:val="4D4D4F"/>
          <w:spacing w:val="-16"/>
          <w:w w:val="105"/>
        </w:rPr>
        <w:t xml:space="preserve"> </w:t>
      </w:r>
      <w:r>
        <w:rPr>
          <w:color w:val="4D4D4F"/>
          <w:w w:val="105"/>
        </w:rPr>
        <w:t>all</w:t>
      </w:r>
      <w:r>
        <w:rPr>
          <w:color w:val="4D4D4F"/>
          <w:spacing w:val="-15"/>
          <w:w w:val="105"/>
        </w:rPr>
        <w:t xml:space="preserve"> </w:t>
      </w:r>
      <w:r>
        <w:rPr>
          <w:color w:val="4D4D4F"/>
          <w:w w:val="105"/>
        </w:rPr>
        <w:t>perennial</w:t>
      </w:r>
      <w:r>
        <w:rPr>
          <w:color w:val="4D4D4F"/>
          <w:spacing w:val="-16"/>
          <w:w w:val="105"/>
        </w:rPr>
        <w:t xml:space="preserve"> </w:t>
      </w:r>
      <w:r>
        <w:rPr>
          <w:color w:val="4D4D4F"/>
          <w:w w:val="105"/>
        </w:rPr>
        <w:t>vegetation</w:t>
      </w:r>
      <w:r>
        <w:rPr>
          <w:color w:val="4D4D4F"/>
          <w:spacing w:val="-16"/>
          <w:w w:val="105"/>
        </w:rPr>
        <w:t xml:space="preserve"> </w:t>
      </w:r>
      <w:r>
        <w:rPr>
          <w:color w:val="4D4D4F"/>
          <w:w w:val="105"/>
        </w:rPr>
        <w:t>cover</w:t>
      </w:r>
      <w:r>
        <w:rPr>
          <w:color w:val="4D4D4F"/>
          <w:spacing w:val="-16"/>
          <w:w w:val="105"/>
        </w:rPr>
        <w:t xml:space="preserve"> </w:t>
      </w:r>
      <w:r>
        <w:rPr>
          <w:color w:val="4D4D4F"/>
          <w:w w:val="105"/>
        </w:rPr>
        <w:t>that</w:t>
      </w:r>
      <w:r>
        <w:rPr>
          <w:color w:val="4D4D4F"/>
          <w:spacing w:val="-16"/>
          <w:w w:val="105"/>
        </w:rPr>
        <w:t xml:space="preserve"> </w:t>
      </w:r>
      <w:r>
        <w:rPr>
          <w:color w:val="4D4D4F"/>
          <w:w w:val="105"/>
        </w:rPr>
        <w:t>is</w:t>
      </w:r>
      <w:r>
        <w:rPr>
          <w:color w:val="4D4D4F"/>
          <w:spacing w:val="-16"/>
          <w:w w:val="105"/>
        </w:rPr>
        <w:t xml:space="preserve"> </w:t>
      </w:r>
      <w:r>
        <w:rPr>
          <w:color w:val="4D4D4F"/>
          <w:w w:val="105"/>
        </w:rPr>
        <w:t>comprised of weeds (introduced species). Weeds are considered undesirable as they are in grasslands. This KPI is assessed against a baseline set by the first five years of monitoring. This KPI was met for all wetlands in</w:t>
      </w:r>
      <w:r>
        <w:rPr>
          <w:color w:val="4D4D4F"/>
          <w:spacing w:val="-20"/>
          <w:w w:val="105"/>
        </w:rPr>
        <w:t xml:space="preserve"> </w:t>
      </w:r>
      <w:r>
        <w:rPr>
          <w:color w:val="4D4D4F"/>
          <w:w w:val="105"/>
        </w:rPr>
        <w:t>2020–2022.</w:t>
      </w:r>
    </w:p>
    <w:p w14:paraId="79469DEA" w14:textId="77777777" w:rsidR="00EF5B27" w:rsidRDefault="00EF5B27">
      <w:pPr>
        <w:pStyle w:val="BodyText"/>
      </w:pPr>
    </w:p>
    <w:p w14:paraId="252505E8" w14:textId="77777777" w:rsidR="00EF5B27" w:rsidRDefault="00000000">
      <w:pPr>
        <w:pStyle w:val="BodyText"/>
        <w:rPr>
          <w:sz w:val="10"/>
        </w:rPr>
      </w:pPr>
      <w:r>
        <w:pict w14:anchorId="622B0832">
          <v:group id="_x0000_s3206" style="position:absolute;margin-left:181.15pt;margin-top:8.45pt;width:357.4pt;height:201.15pt;z-index:251562496;mso-wrap-distance-left:0;mso-wrap-distance-right:0;mso-position-horizontal-relative:page" coordorigin="3623,169" coordsize="7148,4023">
            <v:shape id="_x0000_s3208" type="#_x0000_t75" style="position:absolute;left:3625;top:171;width:7143;height:4018">
              <v:imagedata r:id="rId133" o:title=""/>
            </v:shape>
            <v:rect id="_x0000_s3207" style="position:absolute;left:3625;top:171;width:7143;height:4018" filled="f" strokeweight=".25pt"/>
            <w10:wrap type="topAndBottom" anchorx="page"/>
          </v:group>
        </w:pict>
      </w:r>
    </w:p>
    <w:p w14:paraId="18605E57" w14:textId="77777777" w:rsidR="00EF5B27" w:rsidRDefault="00000000">
      <w:pPr>
        <w:tabs>
          <w:tab w:val="left" w:pos="8977"/>
        </w:tabs>
        <w:spacing w:before="103" w:line="244" w:lineRule="auto"/>
        <w:ind w:left="2608" w:right="110"/>
        <w:jc w:val="both"/>
        <w:rPr>
          <w:rFonts w:ascii="Century Gothic" w:hAnsi="Century Gothic"/>
          <w:i/>
          <w:sz w:val="12"/>
        </w:rPr>
      </w:pPr>
      <w:bookmarkStart w:id="62" w:name="_Ref112869405"/>
      <w:bookmarkStart w:id="63" w:name="_bookmark43"/>
      <w:bookmarkEnd w:id="62"/>
      <w:bookmarkEnd w:id="63"/>
      <w:r>
        <w:rPr>
          <w:color w:val="4D4D4F"/>
          <w:sz w:val="16"/>
        </w:rPr>
        <w:t xml:space="preserve">Figure 18: The percentage of all perennial vegetation comprised of weeds for each wetland. The solid lines show the five-year rolling average </w:t>
      </w:r>
      <w:r>
        <w:rPr>
          <w:color w:val="4D4D4F"/>
          <w:spacing w:val="-3"/>
          <w:sz w:val="16"/>
        </w:rPr>
        <w:t xml:space="preserve">(± </w:t>
      </w:r>
      <w:r>
        <w:rPr>
          <w:color w:val="4D4D4F"/>
          <w:sz w:val="16"/>
        </w:rPr>
        <w:t xml:space="preserve">95% CI) and the faded lines show the annual data. The dashed line is the baseline, calculated after the first five years of monitoring. </w:t>
      </w:r>
      <w:r>
        <w:rPr>
          <w:color w:val="4D4D4F"/>
          <w:spacing w:val="2"/>
          <w:sz w:val="16"/>
        </w:rPr>
        <w:t xml:space="preserve">Larger </w:t>
      </w:r>
      <w:r>
        <w:rPr>
          <w:color w:val="4D4D4F"/>
          <w:sz w:val="16"/>
        </w:rPr>
        <w:t xml:space="preserve">points indicate wetland was monitored during drawdown in that year. The horizontal bars indicate the period over which a wetland was considered filled. The location of the points on the x-axis indicates the date of sampling, with a sampling year (i.e. the  axis marks) beginning on </w:t>
      </w:r>
      <w:r>
        <w:rPr>
          <w:color w:val="4D4D4F"/>
          <w:spacing w:val="13"/>
          <w:sz w:val="16"/>
        </w:rPr>
        <w:t xml:space="preserve"> </w:t>
      </w:r>
      <w:r>
        <w:rPr>
          <w:color w:val="4D4D4F"/>
          <w:sz w:val="16"/>
        </w:rPr>
        <w:t>September</w:t>
      </w:r>
      <w:r>
        <w:rPr>
          <w:color w:val="4D4D4F"/>
          <w:spacing w:val="12"/>
          <w:sz w:val="16"/>
        </w:rPr>
        <w:t xml:space="preserve"> </w:t>
      </w:r>
      <w:r>
        <w:rPr>
          <w:color w:val="4D4D4F"/>
          <w:sz w:val="16"/>
        </w:rPr>
        <w:t>1</w:t>
      </w:r>
      <w:r>
        <w:rPr>
          <w:color w:val="4D4D4F"/>
          <w:sz w:val="16"/>
        </w:rPr>
        <w:tab/>
      </w:r>
      <w:r>
        <w:rPr>
          <w:rFonts w:ascii="Century Gothic" w:hAnsi="Century Gothic"/>
          <w:i/>
          <w:color w:val="4D4D4F"/>
          <w:w w:val="90"/>
          <w:sz w:val="12"/>
        </w:rPr>
        <w:t>Source:</w:t>
      </w:r>
      <w:r>
        <w:rPr>
          <w:rFonts w:ascii="Century Gothic" w:hAnsi="Century Gothic"/>
          <w:i/>
          <w:color w:val="4D4D4F"/>
          <w:spacing w:val="-7"/>
          <w:w w:val="90"/>
          <w:sz w:val="12"/>
        </w:rPr>
        <w:t xml:space="preserve"> </w:t>
      </w:r>
      <w:r>
        <w:rPr>
          <w:rFonts w:ascii="Century Gothic" w:hAnsi="Century Gothic"/>
          <w:i/>
          <w:color w:val="4D4D4F"/>
          <w:w w:val="90"/>
          <w:sz w:val="12"/>
        </w:rPr>
        <w:t>DELWP</w:t>
      </w:r>
    </w:p>
    <w:p w14:paraId="440FE6E7" w14:textId="77777777" w:rsidR="00EF5B27" w:rsidRDefault="00EF5B27">
      <w:pPr>
        <w:pStyle w:val="BodyText"/>
        <w:rPr>
          <w:rFonts w:ascii="Century Gothic"/>
          <w:i/>
        </w:rPr>
      </w:pPr>
    </w:p>
    <w:p w14:paraId="311A07B5" w14:textId="77777777" w:rsidR="00EF5B27" w:rsidRDefault="00EF5B27">
      <w:pPr>
        <w:pStyle w:val="BodyText"/>
        <w:spacing w:before="11"/>
        <w:rPr>
          <w:rFonts w:ascii="Century Gothic"/>
          <w:i/>
          <w:sz w:val="22"/>
        </w:rPr>
      </w:pPr>
    </w:p>
    <w:p w14:paraId="4EA671C9" w14:textId="77777777" w:rsidR="00EF5B27" w:rsidRDefault="00000000">
      <w:pPr>
        <w:pStyle w:val="Heading6"/>
      </w:pPr>
      <w:bookmarkStart w:id="64" w:name="_heading=h.xvir7l"/>
      <w:bookmarkEnd w:id="64"/>
      <w:r>
        <w:rPr>
          <w:color w:val="4D4D4F"/>
          <w:spacing w:val="-3"/>
        </w:rPr>
        <w:t xml:space="preserve">KPI </w:t>
      </w:r>
      <w:r>
        <w:rPr>
          <w:color w:val="4D4D4F"/>
        </w:rPr>
        <w:t xml:space="preserve">4: </w:t>
      </w:r>
      <w:r>
        <w:rPr>
          <w:color w:val="4D4D4F"/>
          <w:spacing w:val="-5"/>
        </w:rPr>
        <w:t xml:space="preserve">Percentage cover </w:t>
      </w:r>
      <w:r>
        <w:rPr>
          <w:color w:val="4D4D4F"/>
        </w:rPr>
        <w:t xml:space="preserve">of </w:t>
      </w:r>
      <w:r>
        <w:rPr>
          <w:color w:val="4D4D4F"/>
          <w:spacing w:val="-5"/>
        </w:rPr>
        <w:t xml:space="preserve">all perennial vegetation comprised </w:t>
      </w:r>
      <w:r>
        <w:rPr>
          <w:color w:val="4D4D4F"/>
        </w:rPr>
        <w:t xml:space="preserve">of </w:t>
      </w:r>
      <w:r>
        <w:rPr>
          <w:color w:val="4D4D4F"/>
          <w:spacing w:val="-5"/>
        </w:rPr>
        <w:t xml:space="preserve">weeds during </w:t>
      </w:r>
      <w:r>
        <w:rPr>
          <w:color w:val="4D4D4F"/>
          <w:spacing w:val="-4"/>
        </w:rPr>
        <w:t>drawdown</w:t>
      </w:r>
    </w:p>
    <w:p w14:paraId="62680D59" w14:textId="77777777" w:rsidR="00EF5B27" w:rsidRDefault="00EF5B27">
      <w:pPr>
        <w:pStyle w:val="BodyText"/>
        <w:spacing w:before="2"/>
        <w:rPr>
          <w:b/>
          <w:sz w:val="14"/>
        </w:rPr>
      </w:pPr>
    </w:p>
    <w:tbl>
      <w:tblPr>
        <w:tblW w:w="0" w:type="auto"/>
        <w:tblInd w:w="12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4D884F5C" w14:textId="77777777">
        <w:trPr>
          <w:trHeight w:val="788"/>
        </w:trPr>
        <w:tc>
          <w:tcPr>
            <w:tcW w:w="2980" w:type="dxa"/>
            <w:shd w:val="clear" w:color="auto" w:fill="FECC91"/>
          </w:tcPr>
          <w:p w14:paraId="4CD50DA9" w14:textId="77777777" w:rsidR="00EF5B27" w:rsidRDefault="00000000">
            <w:pPr>
              <w:pStyle w:val="TableParagraph"/>
              <w:spacing w:before="104" w:line="244" w:lineRule="auto"/>
              <w:ind w:left="80" w:right="244"/>
              <w:rPr>
                <w:b/>
                <w:sz w:val="16"/>
              </w:rPr>
            </w:pPr>
            <w:r>
              <w:rPr>
                <w:b/>
                <w:sz w:val="16"/>
              </w:rPr>
              <w:t>KPI 4: Percentage cover of all perennial vegetation comprised of weeds during drawdown</w:t>
            </w:r>
          </w:p>
        </w:tc>
        <w:tc>
          <w:tcPr>
            <w:tcW w:w="1078" w:type="dxa"/>
            <w:shd w:val="clear" w:color="auto" w:fill="FECC91"/>
          </w:tcPr>
          <w:p w14:paraId="2479EFAD" w14:textId="77777777" w:rsidR="00EF5B27" w:rsidRDefault="00EF5B27">
            <w:pPr>
              <w:pStyle w:val="TableParagraph"/>
              <w:spacing w:before="9"/>
              <w:rPr>
                <w:b/>
                <w:sz w:val="16"/>
              </w:rPr>
            </w:pPr>
          </w:p>
          <w:p w14:paraId="74EC8D2C" w14:textId="77777777" w:rsidR="00EF5B27" w:rsidRDefault="00000000">
            <w:pPr>
              <w:pStyle w:val="TableParagraph"/>
              <w:spacing w:line="244" w:lineRule="auto"/>
              <w:ind w:left="169" w:right="164" w:firstLine="148"/>
              <w:rPr>
                <w:b/>
                <w:sz w:val="16"/>
              </w:rPr>
            </w:pPr>
            <w:r>
              <w:rPr>
                <w:b/>
                <w:w w:val="105"/>
                <w:sz w:val="16"/>
              </w:rPr>
              <w:t>Status 2020-2022</w:t>
            </w:r>
          </w:p>
        </w:tc>
        <w:tc>
          <w:tcPr>
            <w:tcW w:w="2155" w:type="dxa"/>
            <w:shd w:val="clear" w:color="auto" w:fill="FECC91"/>
          </w:tcPr>
          <w:p w14:paraId="31F0BC35" w14:textId="77777777" w:rsidR="00EF5B27" w:rsidRDefault="00EF5B27">
            <w:pPr>
              <w:pStyle w:val="TableParagraph"/>
              <w:spacing w:before="11"/>
              <w:rPr>
                <w:b/>
                <w:sz w:val="24"/>
              </w:rPr>
            </w:pPr>
          </w:p>
          <w:p w14:paraId="7B711464" w14:textId="77777777" w:rsidR="00EF5B27" w:rsidRDefault="00000000">
            <w:pPr>
              <w:pStyle w:val="TableParagraph"/>
              <w:ind w:left="143" w:right="142"/>
              <w:jc w:val="center"/>
              <w:rPr>
                <w:b/>
                <w:sz w:val="16"/>
              </w:rPr>
            </w:pPr>
            <w:r>
              <w:rPr>
                <w:b/>
                <w:sz w:val="16"/>
              </w:rPr>
              <w:t>Reason for non-assessment</w:t>
            </w:r>
          </w:p>
        </w:tc>
        <w:tc>
          <w:tcPr>
            <w:tcW w:w="964" w:type="dxa"/>
            <w:shd w:val="clear" w:color="auto" w:fill="FECC91"/>
          </w:tcPr>
          <w:p w14:paraId="3C284A0C" w14:textId="77777777" w:rsidR="00EF5B27" w:rsidRDefault="00EF5B27">
            <w:pPr>
              <w:pStyle w:val="TableParagraph"/>
              <w:spacing w:before="11"/>
              <w:rPr>
                <w:b/>
                <w:sz w:val="24"/>
              </w:rPr>
            </w:pPr>
          </w:p>
          <w:p w14:paraId="70AD82CD" w14:textId="77777777" w:rsidR="00EF5B27" w:rsidRDefault="00000000">
            <w:pPr>
              <w:pStyle w:val="TableParagraph"/>
              <w:ind w:left="283"/>
              <w:rPr>
                <w:b/>
                <w:sz w:val="16"/>
              </w:rPr>
            </w:pPr>
            <w:r>
              <w:rPr>
                <w:b/>
                <w:sz w:val="16"/>
              </w:rPr>
              <w:t>Trend</w:t>
            </w:r>
          </w:p>
        </w:tc>
        <w:tc>
          <w:tcPr>
            <w:tcW w:w="964" w:type="dxa"/>
            <w:shd w:val="clear" w:color="auto" w:fill="FECC91"/>
          </w:tcPr>
          <w:p w14:paraId="4B7FE783" w14:textId="77777777" w:rsidR="00EF5B27" w:rsidRDefault="00EF5B27">
            <w:pPr>
              <w:pStyle w:val="TableParagraph"/>
              <w:spacing w:before="9"/>
              <w:rPr>
                <w:b/>
                <w:sz w:val="16"/>
              </w:rPr>
            </w:pPr>
          </w:p>
          <w:p w14:paraId="04E15BF1" w14:textId="77777777" w:rsidR="00EF5B27" w:rsidRDefault="00000000">
            <w:pPr>
              <w:pStyle w:val="TableParagraph"/>
              <w:spacing w:line="244" w:lineRule="auto"/>
              <w:ind w:left="105" w:right="87" w:firstLine="217"/>
              <w:rPr>
                <w:b/>
                <w:sz w:val="16"/>
              </w:rPr>
            </w:pPr>
            <w:r>
              <w:rPr>
                <w:b/>
                <w:sz w:val="16"/>
              </w:rPr>
              <w:t>Data Confidence</w:t>
            </w:r>
          </w:p>
        </w:tc>
        <w:tc>
          <w:tcPr>
            <w:tcW w:w="1489" w:type="dxa"/>
            <w:shd w:val="clear" w:color="auto" w:fill="FECC91"/>
          </w:tcPr>
          <w:p w14:paraId="5490EDBD" w14:textId="77777777" w:rsidR="00EF5B27" w:rsidRDefault="00EF5B27">
            <w:pPr>
              <w:pStyle w:val="TableParagraph"/>
              <w:spacing w:before="9"/>
              <w:rPr>
                <w:b/>
                <w:sz w:val="16"/>
              </w:rPr>
            </w:pPr>
          </w:p>
          <w:p w14:paraId="56FD468C" w14:textId="77777777" w:rsidR="00EF5B27" w:rsidRDefault="00000000">
            <w:pPr>
              <w:pStyle w:val="TableParagraph"/>
              <w:spacing w:line="244" w:lineRule="auto"/>
              <w:ind w:left="220" w:hanging="92"/>
              <w:rPr>
                <w:b/>
                <w:sz w:val="16"/>
              </w:rPr>
            </w:pPr>
            <w:r>
              <w:rPr>
                <w:b/>
                <w:sz w:val="16"/>
              </w:rPr>
              <w:t>Year that baseline was/will be set</w:t>
            </w:r>
          </w:p>
        </w:tc>
      </w:tr>
      <w:tr w:rsidR="00EF5B27" w14:paraId="68797FF6" w14:textId="77777777">
        <w:trPr>
          <w:trHeight w:val="448"/>
        </w:trPr>
        <w:tc>
          <w:tcPr>
            <w:tcW w:w="2980" w:type="dxa"/>
          </w:tcPr>
          <w:p w14:paraId="015968D9" w14:textId="77777777" w:rsidR="00EF5B27" w:rsidRDefault="00EF5B27">
            <w:pPr>
              <w:pStyle w:val="TableParagraph"/>
              <w:spacing w:before="11"/>
              <w:rPr>
                <w:b/>
                <w:sz w:val="11"/>
              </w:rPr>
            </w:pPr>
          </w:p>
          <w:p w14:paraId="5E17F9F0" w14:textId="77777777" w:rsidR="00EF5B27" w:rsidRDefault="00000000">
            <w:pPr>
              <w:pStyle w:val="TableParagraph"/>
              <w:ind w:left="80"/>
              <w:rPr>
                <w:sz w:val="14"/>
              </w:rPr>
            </w:pPr>
            <w:r>
              <w:rPr>
                <w:color w:val="4D4D4F"/>
                <w:w w:val="105"/>
                <w:sz w:val="14"/>
              </w:rPr>
              <w:t>Cobbledicks Rise</w:t>
            </w:r>
          </w:p>
        </w:tc>
        <w:tc>
          <w:tcPr>
            <w:tcW w:w="1078" w:type="dxa"/>
          </w:tcPr>
          <w:p w14:paraId="58DC535D" w14:textId="77777777" w:rsidR="00EF5B27" w:rsidRDefault="00EF5B27">
            <w:pPr>
              <w:pStyle w:val="TableParagraph"/>
              <w:spacing w:before="11"/>
              <w:rPr>
                <w:b/>
                <w:sz w:val="11"/>
              </w:rPr>
            </w:pPr>
          </w:p>
          <w:p w14:paraId="177700A9"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4B61201F" w14:textId="77777777" w:rsidR="00EF5B27" w:rsidRDefault="00EF5B27">
            <w:pPr>
              <w:pStyle w:val="TableParagraph"/>
              <w:spacing w:before="11"/>
              <w:rPr>
                <w:b/>
                <w:sz w:val="11"/>
              </w:rPr>
            </w:pPr>
          </w:p>
          <w:p w14:paraId="681A1F19" w14:textId="77777777" w:rsidR="00EF5B27" w:rsidRDefault="00000000">
            <w:pPr>
              <w:pStyle w:val="TableParagraph"/>
              <w:ind w:left="143" w:right="142"/>
              <w:jc w:val="center"/>
              <w:rPr>
                <w:sz w:val="14"/>
              </w:rPr>
            </w:pPr>
            <w:r>
              <w:rPr>
                <w:color w:val="4D4D4F"/>
                <w:sz w:val="14"/>
              </w:rPr>
              <w:t>Lack of drawdown event</w:t>
            </w:r>
          </w:p>
        </w:tc>
        <w:tc>
          <w:tcPr>
            <w:tcW w:w="964" w:type="dxa"/>
          </w:tcPr>
          <w:p w14:paraId="4D27FA1E" w14:textId="77777777" w:rsidR="00EF5B27" w:rsidRDefault="00EF5B27">
            <w:pPr>
              <w:pStyle w:val="TableParagraph"/>
              <w:spacing w:before="4"/>
              <w:rPr>
                <w:b/>
                <w:sz w:val="7"/>
              </w:rPr>
            </w:pPr>
          </w:p>
          <w:p w14:paraId="11B32A4B" w14:textId="77777777" w:rsidR="00EF5B27" w:rsidRDefault="00000000">
            <w:pPr>
              <w:pStyle w:val="TableParagraph"/>
              <w:spacing w:line="187" w:lineRule="exact"/>
              <w:ind w:left="400"/>
              <w:rPr>
                <w:sz w:val="18"/>
              </w:rPr>
            </w:pPr>
            <w:r>
              <w:rPr>
                <w:noProof/>
                <w:position w:val="-3"/>
                <w:sz w:val="18"/>
              </w:rPr>
              <w:drawing>
                <wp:inline distT="0" distB="0" distL="0" distR="0" wp14:anchorId="27E65AD5" wp14:editId="4B3760BD">
                  <wp:extent cx="100572" cy="119062"/>
                  <wp:effectExtent l="0" t="0" r="0" b="0"/>
                  <wp:docPr id="459"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170.png"/>
                          <pic:cNvPicPr/>
                        </pic:nvPicPr>
                        <pic:blipFill>
                          <a:blip r:embed="rId134" cstate="print"/>
                          <a:stretch>
                            <a:fillRect/>
                          </a:stretch>
                        </pic:blipFill>
                        <pic:spPr>
                          <a:xfrm>
                            <a:off x="0" y="0"/>
                            <a:ext cx="100572" cy="119062"/>
                          </a:xfrm>
                          <a:prstGeom prst="rect">
                            <a:avLst/>
                          </a:prstGeom>
                        </pic:spPr>
                      </pic:pic>
                    </a:graphicData>
                  </a:graphic>
                </wp:inline>
              </w:drawing>
            </w:r>
          </w:p>
          <w:p w14:paraId="216A271C" w14:textId="77777777" w:rsidR="00EF5B27" w:rsidRDefault="00EF5B27">
            <w:pPr>
              <w:pStyle w:val="TableParagraph"/>
              <w:spacing w:before="8"/>
              <w:rPr>
                <w:b/>
                <w:sz w:val="2"/>
              </w:rPr>
            </w:pPr>
          </w:p>
          <w:p w14:paraId="006B28EE" w14:textId="77777777" w:rsidR="00EF5B27" w:rsidRDefault="00000000">
            <w:pPr>
              <w:pStyle w:val="TableParagraph"/>
              <w:spacing w:line="48" w:lineRule="exact"/>
              <w:ind w:left="448"/>
              <w:rPr>
                <w:sz w:val="4"/>
              </w:rPr>
            </w:pPr>
            <w:r>
              <w:rPr>
                <w:sz w:val="4"/>
              </w:rPr>
            </w:r>
            <w:r>
              <w:rPr>
                <w:sz w:val="4"/>
              </w:rPr>
              <w:pict w14:anchorId="27A968A5">
                <v:group id="_x0000_s3204" style="width:2.45pt;height:2.45pt;mso-position-horizontal-relative:char;mso-position-vertical-relative:line" coordsize="49,49">
                  <v:shape id="_x0000_s3205" style="position:absolute;width:49;height:49" coordsize="49,49" path="m31,l18,,12,2,2,12,,17,,31r2,6l12,46r6,3l31,49r6,-3l46,37r3,-6l49,17,46,12,37,2,31,xe" fillcolor="black" stroked="f">
                    <v:path arrowok="t"/>
                  </v:shape>
                  <w10:wrap type="none"/>
                  <w10:anchorlock/>
                </v:group>
              </w:pict>
            </w:r>
          </w:p>
        </w:tc>
        <w:tc>
          <w:tcPr>
            <w:tcW w:w="964" w:type="dxa"/>
          </w:tcPr>
          <w:p w14:paraId="2A0DD814" w14:textId="77777777" w:rsidR="00EF5B27" w:rsidRDefault="00EF5B27">
            <w:pPr>
              <w:pStyle w:val="TableParagraph"/>
              <w:spacing w:before="11"/>
              <w:rPr>
                <w:b/>
                <w:sz w:val="11"/>
              </w:rPr>
            </w:pPr>
          </w:p>
          <w:p w14:paraId="702731C8" w14:textId="77777777" w:rsidR="00EF5B27" w:rsidRDefault="00000000">
            <w:pPr>
              <w:pStyle w:val="TableParagraph"/>
              <w:ind w:left="318" w:right="323"/>
              <w:jc w:val="center"/>
              <w:rPr>
                <w:sz w:val="14"/>
              </w:rPr>
            </w:pPr>
            <w:r>
              <w:rPr>
                <w:color w:val="4D4D4F"/>
                <w:w w:val="105"/>
                <w:sz w:val="14"/>
              </w:rPr>
              <w:t>N/A</w:t>
            </w:r>
          </w:p>
        </w:tc>
        <w:tc>
          <w:tcPr>
            <w:tcW w:w="1489" w:type="dxa"/>
          </w:tcPr>
          <w:p w14:paraId="2AADCC0B" w14:textId="77777777" w:rsidR="00EF5B27" w:rsidRDefault="00000000">
            <w:pPr>
              <w:pStyle w:val="TableParagraph"/>
              <w:spacing w:before="134"/>
              <w:ind w:left="451" w:right="457"/>
              <w:jc w:val="center"/>
              <w:rPr>
                <w:sz w:val="16"/>
              </w:rPr>
            </w:pPr>
            <w:r>
              <w:rPr>
                <w:color w:val="4D4D4F"/>
                <w:sz w:val="16"/>
              </w:rPr>
              <w:t>2017</w:t>
            </w:r>
          </w:p>
        </w:tc>
      </w:tr>
      <w:tr w:rsidR="00EF5B27" w14:paraId="2A62AED6" w14:textId="77777777">
        <w:trPr>
          <w:trHeight w:val="448"/>
        </w:trPr>
        <w:tc>
          <w:tcPr>
            <w:tcW w:w="2980" w:type="dxa"/>
          </w:tcPr>
          <w:p w14:paraId="182EE287" w14:textId="77777777" w:rsidR="00EF5B27" w:rsidRDefault="00EF5B27">
            <w:pPr>
              <w:pStyle w:val="TableParagraph"/>
              <w:spacing w:before="11"/>
              <w:rPr>
                <w:b/>
                <w:sz w:val="11"/>
              </w:rPr>
            </w:pPr>
          </w:p>
          <w:p w14:paraId="59B50692" w14:textId="77777777" w:rsidR="00EF5B27" w:rsidRDefault="00000000">
            <w:pPr>
              <w:pStyle w:val="TableParagraph"/>
              <w:ind w:left="80"/>
              <w:rPr>
                <w:sz w:val="14"/>
              </w:rPr>
            </w:pPr>
            <w:r>
              <w:rPr>
                <w:color w:val="4D4D4F"/>
                <w:w w:val="105"/>
                <w:sz w:val="14"/>
              </w:rPr>
              <w:t>One Tree Rise</w:t>
            </w:r>
          </w:p>
        </w:tc>
        <w:tc>
          <w:tcPr>
            <w:tcW w:w="1078" w:type="dxa"/>
          </w:tcPr>
          <w:p w14:paraId="10C9EB5B" w14:textId="77777777" w:rsidR="00EF5B27" w:rsidRDefault="00EF5B27">
            <w:pPr>
              <w:pStyle w:val="TableParagraph"/>
              <w:spacing w:before="11"/>
              <w:rPr>
                <w:b/>
                <w:sz w:val="11"/>
              </w:rPr>
            </w:pPr>
          </w:p>
          <w:p w14:paraId="2D56AD25"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713D28EC" w14:textId="77777777" w:rsidR="00EF5B27" w:rsidRDefault="00EF5B27">
            <w:pPr>
              <w:pStyle w:val="TableParagraph"/>
              <w:spacing w:before="11"/>
              <w:rPr>
                <w:b/>
                <w:sz w:val="11"/>
              </w:rPr>
            </w:pPr>
          </w:p>
          <w:p w14:paraId="5257E6AF" w14:textId="77777777" w:rsidR="00EF5B27" w:rsidRDefault="00000000">
            <w:pPr>
              <w:pStyle w:val="TableParagraph"/>
              <w:ind w:left="143" w:right="142"/>
              <w:jc w:val="center"/>
              <w:rPr>
                <w:sz w:val="14"/>
              </w:rPr>
            </w:pPr>
            <w:r>
              <w:rPr>
                <w:color w:val="4D4D4F"/>
                <w:sz w:val="14"/>
              </w:rPr>
              <w:t>Lack of drawdown event</w:t>
            </w:r>
          </w:p>
        </w:tc>
        <w:tc>
          <w:tcPr>
            <w:tcW w:w="964" w:type="dxa"/>
          </w:tcPr>
          <w:p w14:paraId="1139B8A5" w14:textId="77777777" w:rsidR="00EF5B27" w:rsidRDefault="00EF5B27">
            <w:pPr>
              <w:pStyle w:val="TableParagraph"/>
              <w:spacing w:before="4"/>
              <w:rPr>
                <w:b/>
                <w:sz w:val="7"/>
              </w:rPr>
            </w:pPr>
          </w:p>
          <w:p w14:paraId="6E6D4916" w14:textId="77777777" w:rsidR="00EF5B27" w:rsidRDefault="00000000">
            <w:pPr>
              <w:pStyle w:val="TableParagraph"/>
              <w:spacing w:line="187" w:lineRule="exact"/>
              <w:ind w:left="400"/>
              <w:rPr>
                <w:sz w:val="18"/>
              </w:rPr>
            </w:pPr>
            <w:r>
              <w:rPr>
                <w:noProof/>
                <w:position w:val="-3"/>
                <w:sz w:val="18"/>
              </w:rPr>
              <w:drawing>
                <wp:inline distT="0" distB="0" distL="0" distR="0" wp14:anchorId="292052DE" wp14:editId="5817C8B7">
                  <wp:extent cx="100572" cy="119062"/>
                  <wp:effectExtent l="0" t="0" r="0" b="0"/>
                  <wp:docPr id="461"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171.png"/>
                          <pic:cNvPicPr/>
                        </pic:nvPicPr>
                        <pic:blipFill>
                          <a:blip r:embed="rId135" cstate="print"/>
                          <a:stretch>
                            <a:fillRect/>
                          </a:stretch>
                        </pic:blipFill>
                        <pic:spPr>
                          <a:xfrm>
                            <a:off x="0" y="0"/>
                            <a:ext cx="100572" cy="119062"/>
                          </a:xfrm>
                          <a:prstGeom prst="rect">
                            <a:avLst/>
                          </a:prstGeom>
                        </pic:spPr>
                      </pic:pic>
                    </a:graphicData>
                  </a:graphic>
                </wp:inline>
              </w:drawing>
            </w:r>
          </w:p>
          <w:p w14:paraId="7199C534" w14:textId="77777777" w:rsidR="00EF5B27" w:rsidRDefault="00EF5B27">
            <w:pPr>
              <w:pStyle w:val="TableParagraph"/>
              <w:spacing w:before="8"/>
              <w:rPr>
                <w:b/>
                <w:sz w:val="2"/>
              </w:rPr>
            </w:pPr>
          </w:p>
          <w:p w14:paraId="332F519B" w14:textId="77777777" w:rsidR="00EF5B27" w:rsidRDefault="00000000">
            <w:pPr>
              <w:pStyle w:val="TableParagraph"/>
              <w:spacing w:line="48" w:lineRule="exact"/>
              <w:ind w:left="448"/>
              <w:rPr>
                <w:sz w:val="4"/>
              </w:rPr>
            </w:pPr>
            <w:r>
              <w:rPr>
                <w:sz w:val="4"/>
              </w:rPr>
            </w:r>
            <w:r>
              <w:rPr>
                <w:sz w:val="4"/>
              </w:rPr>
              <w:pict w14:anchorId="68E1FE60">
                <v:group id="_x0000_s3202" style="width:2.45pt;height:2.45pt;mso-position-horizontal-relative:char;mso-position-vertical-relative:line" coordsize="49,49">
                  <v:shape id="_x0000_s3203" style="position:absolute;width:49;height:49" coordsize="49,49" path="m31,l18,,12,2,2,12,,17,,31r2,6l12,46r6,3l31,49r6,-3l46,37r3,-6l49,17,46,12,37,2,31,xe" fillcolor="black" stroked="f">
                    <v:path arrowok="t"/>
                  </v:shape>
                  <w10:wrap type="none"/>
                  <w10:anchorlock/>
                </v:group>
              </w:pict>
            </w:r>
          </w:p>
        </w:tc>
        <w:tc>
          <w:tcPr>
            <w:tcW w:w="964" w:type="dxa"/>
          </w:tcPr>
          <w:p w14:paraId="395A6892" w14:textId="77777777" w:rsidR="00EF5B27" w:rsidRDefault="00EF5B27">
            <w:pPr>
              <w:pStyle w:val="TableParagraph"/>
              <w:spacing w:before="11"/>
              <w:rPr>
                <w:b/>
                <w:sz w:val="11"/>
              </w:rPr>
            </w:pPr>
          </w:p>
          <w:p w14:paraId="5C6A8AE5" w14:textId="77777777" w:rsidR="00EF5B27" w:rsidRDefault="00000000">
            <w:pPr>
              <w:pStyle w:val="TableParagraph"/>
              <w:ind w:left="318" w:right="323"/>
              <w:jc w:val="center"/>
              <w:rPr>
                <w:sz w:val="14"/>
              </w:rPr>
            </w:pPr>
            <w:r>
              <w:rPr>
                <w:color w:val="4D4D4F"/>
                <w:w w:val="105"/>
                <w:sz w:val="14"/>
              </w:rPr>
              <w:t>N/A</w:t>
            </w:r>
          </w:p>
        </w:tc>
        <w:tc>
          <w:tcPr>
            <w:tcW w:w="1489" w:type="dxa"/>
          </w:tcPr>
          <w:p w14:paraId="7E5F5592" w14:textId="77777777" w:rsidR="00EF5B27" w:rsidRDefault="00000000">
            <w:pPr>
              <w:pStyle w:val="TableParagraph"/>
              <w:spacing w:before="134"/>
              <w:ind w:left="457" w:right="457"/>
              <w:jc w:val="center"/>
              <w:rPr>
                <w:sz w:val="16"/>
              </w:rPr>
            </w:pPr>
            <w:r>
              <w:rPr>
                <w:color w:val="4D4D4F"/>
                <w:w w:val="105"/>
                <w:sz w:val="16"/>
              </w:rPr>
              <w:t>Unclear</w:t>
            </w:r>
          </w:p>
        </w:tc>
      </w:tr>
      <w:tr w:rsidR="00EF5B27" w14:paraId="2FFB8751" w14:textId="77777777">
        <w:trPr>
          <w:trHeight w:val="448"/>
        </w:trPr>
        <w:tc>
          <w:tcPr>
            <w:tcW w:w="2980" w:type="dxa"/>
          </w:tcPr>
          <w:p w14:paraId="26DA17B1" w14:textId="77777777" w:rsidR="00EF5B27" w:rsidRDefault="00EF5B27">
            <w:pPr>
              <w:pStyle w:val="TableParagraph"/>
              <w:spacing w:before="11"/>
              <w:rPr>
                <w:b/>
                <w:sz w:val="11"/>
              </w:rPr>
            </w:pPr>
          </w:p>
          <w:p w14:paraId="17CBB3E0" w14:textId="77777777" w:rsidR="00EF5B27" w:rsidRDefault="00000000">
            <w:pPr>
              <w:pStyle w:val="TableParagraph"/>
              <w:ind w:left="80"/>
              <w:rPr>
                <w:sz w:val="14"/>
              </w:rPr>
            </w:pPr>
            <w:r>
              <w:rPr>
                <w:color w:val="4D4D4F"/>
                <w:sz w:val="14"/>
              </w:rPr>
              <w:t>Windmill</w:t>
            </w:r>
          </w:p>
        </w:tc>
        <w:tc>
          <w:tcPr>
            <w:tcW w:w="1078" w:type="dxa"/>
          </w:tcPr>
          <w:p w14:paraId="7CC0524B" w14:textId="77777777" w:rsidR="00EF5B27" w:rsidRDefault="00EF5B27">
            <w:pPr>
              <w:pStyle w:val="TableParagraph"/>
              <w:spacing w:before="11"/>
              <w:rPr>
                <w:b/>
                <w:sz w:val="11"/>
              </w:rPr>
            </w:pPr>
          </w:p>
          <w:p w14:paraId="7921F0BE"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261D9FA3" w14:textId="77777777" w:rsidR="00EF5B27" w:rsidRDefault="00EF5B27">
            <w:pPr>
              <w:pStyle w:val="TableParagraph"/>
              <w:spacing w:before="11"/>
              <w:rPr>
                <w:b/>
                <w:sz w:val="11"/>
              </w:rPr>
            </w:pPr>
          </w:p>
          <w:p w14:paraId="5981F85F" w14:textId="77777777" w:rsidR="00EF5B27" w:rsidRDefault="00000000">
            <w:pPr>
              <w:pStyle w:val="TableParagraph"/>
              <w:ind w:left="143" w:right="142"/>
              <w:jc w:val="center"/>
              <w:rPr>
                <w:sz w:val="14"/>
              </w:rPr>
            </w:pPr>
            <w:r>
              <w:rPr>
                <w:color w:val="4D4D4F"/>
                <w:sz w:val="14"/>
              </w:rPr>
              <w:t>Lack of drawdown event</w:t>
            </w:r>
          </w:p>
        </w:tc>
        <w:tc>
          <w:tcPr>
            <w:tcW w:w="964" w:type="dxa"/>
          </w:tcPr>
          <w:p w14:paraId="6A222B47" w14:textId="77777777" w:rsidR="00EF5B27" w:rsidRDefault="00EF5B27">
            <w:pPr>
              <w:pStyle w:val="TableParagraph"/>
              <w:spacing w:before="4"/>
              <w:rPr>
                <w:b/>
                <w:sz w:val="7"/>
              </w:rPr>
            </w:pPr>
          </w:p>
          <w:p w14:paraId="3BE329AC" w14:textId="77777777" w:rsidR="00EF5B27" w:rsidRDefault="00000000">
            <w:pPr>
              <w:pStyle w:val="TableParagraph"/>
              <w:spacing w:line="187" w:lineRule="exact"/>
              <w:ind w:left="400"/>
              <w:rPr>
                <w:sz w:val="18"/>
              </w:rPr>
            </w:pPr>
            <w:r>
              <w:rPr>
                <w:noProof/>
                <w:position w:val="-3"/>
                <w:sz w:val="18"/>
              </w:rPr>
              <w:drawing>
                <wp:inline distT="0" distB="0" distL="0" distR="0" wp14:anchorId="40E89812" wp14:editId="361EB34C">
                  <wp:extent cx="100572" cy="119062"/>
                  <wp:effectExtent l="0" t="0" r="0" b="0"/>
                  <wp:docPr id="463"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171.png"/>
                          <pic:cNvPicPr/>
                        </pic:nvPicPr>
                        <pic:blipFill>
                          <a:blip r:embed="rId135" cstate="print"/>
                          <a:stretch>
                            <a:fillRect/>
                          </a:stretch>
                        </pic:blipFill>
                        <pic:spPr>
                          <a:xfrm>
                            <a:off x="0" y="0"/>
                            <a:ext cx="100572" cy="119062"/>
                          </a:xfrm>
                          <a:prstGeom prst="rect">
                            <a:avLst/>
                          </a:prstGeom>
                        </pic:spPr>
                      </pic:pic>
                    </a:graphicData>
                  </a:graphic>
                </wp:inline>
              </w:drawing>
            </w:r>
          </w:p>
          <w:p w14:paraId="14C26E06" w14:textId="77777777" w:rsidR="00EF5B27" w:rsidRDefault="00EF5B27">
            <w:pPr>
              <w:pStyle w:val="TableParagraph"/>
              <w:spacing w:before="8"/>
              <w:rPr>
                <w:b/>
                <w:sz w:val="2"/>
              </w:rPr>
            </w:pPr>
          </w:p>
          <w:p w14:paraId="02039B0C" w14:textId="77777777" w:rsidR="00EF5B27" w:rsidRDefault="00000000">
            <w:pPr>
              <w:pStyle w:val="TableParagraph"/>
              <w:spacing w:line="48" w:lineRule="exact"/>
              <w:ind w:left="448"/>
              <w:rPr>
                <w:sz w:val="4"/>
              </w:rPr>
            </w:pPr>
            <w:r>
              <w:rPr>
                <w:sz w:val="4"/>
              </w:rPr>
            </w:r>
            <w:r>
              <w:rPr>
                <w:sz w:val="4"/>
              </w:rPr>
              <w:pict w14:anchorId="3DA10AF7">
                <v:group id="_x0000_s3200" style="width:2.45pt;height:2.45pt;mso-position-horizontal-relative:char;mso-position-vertical-relative:line" coordsize="49,49">
                  <v:shape id="_x0000_s3201" style="position:absolute;width:49;height:49" coordsize="49,49" path="m31,l18,,12,2,2,12,,17,,31r2,6l12,46r6,3l31,49r6,-3l46,37r3,-6l49,17,46,12,37,2,31,xe" fillcolor="black" stroked="f">
                    <v:path arrowok="t"/>
                  </v:shape>
                  <w10:wrap type="none"/>
                  <w10:anchorlock/>
                </v:group>
              </w:pict>
            </w:r>
          </w:p>
        </w:tc>
        <w:tc>
          <w:tcPr>
            <w:tcW w:w="964" w:type="dxa"/>
          </w:tcPr>
          <w:p w14:paraId="5F5FDE0B" w14:textId="77777777" w:rsidR="00EF5B27" w:rsidRDefault="00EF5B27">
            <w:pPr>
              <w:pStyle w:val="TableParagraph"/>
              <w:spacing w:before="11"/>
              <w:rPr>
                <w:b/>
                <w:sz w:val="11"/>
              </w:rPr>
            </w:pPr>
          </w:p>
          <w:p w14:paraId="7BD63F29" w14:textId="77777777" w:rsidR="00EF5B27" w:rsidRDefault="00000000">
            <w:pPr>
              <w:pStyle w:val="TableParagraph"/>
              <w:ind w:left="318" w:right="323"/>
              <w:jc w:val="center"/>
              <w:rPr>
                <w:sz w:val="14"/>
              </w:rPr>
            </w:pPr>
            <w:r>
              <w:rPr>
                <w:color w:val="4D4D4F"/>
                <w:w w:val="105"/>
                <w:sz w:val="14"/>
              </w:rPr>
              <w:t>N/A</w:t>
            </w:r>
          </w:p>
        </w:tc>
        <w:tc>
          <w:tcPr>
            <w:tcW w:w="1489" w:type="dxa"/>
          </w:tcPr>
          <w:p w14:paraId="6541FFB4" w14:textId="77777777" w:rsidR="00EF5B27" w:rsidRDefault="00000000">
            <w:pPr>
              <w:pStyle w:val="TableParagraph"/>
              <w:spacing w:before="134"/>
              <w:ind w:left="451" w:right="457"/>
              <w:jc w:val="center"/>
              <w:rPr>
                <w:sz w:val="16"/>
              </w:rPr>
            </w:pPr>
            <w:r>
              <w:rPr>
                <w:color w:val="4D4D4F"/>
                <w:sz w:val="16"/>
              </w:rPr>
              <w:t>2017</w:t>
            </w:r>
          </w:p>
        </w:tc>
      </w:tr>
    </w:tbl>
    <w:p w14:paraId="5F82E99E" w14:textId="77777777" w:rsidR="00EF5B27" w:rsidRDefault="00EF5B27">
      <w:pPr>
        <w:jc w:val="center"/>
        <w:rPr>
          <w:sz w:val="16"/>
        </w:rPr>
        <w:sectPr w:rsidR="00EF5B27">
          <w:pgSz w:w="11910" w:h="16840"/>
          <w:pgMar w:top="1080" w:right="1020" w:bottom="860" w:left="1020" w:header="537" w:footer="678" w:gutter="0"/>
          <w:cols w:space="720"/>
        </w:sectPr>
      </w:pPr>
    </w:p>
    <w:p w14:paraId="3C493F45" w14:textId="77777777" w:rsidR="00EF5B27" w:rsidRDefault="00000000">
      <w:pPr>
        <w:pStyle w:val="BodyText"/>
        <w:rPr>
          <w:b/>
        </w:rPr>
      </w:pPr>
      <w:r>
        <w:lastRenderedPageBreak/>
        <w:pict w14:anchorId="662E6B43">
          <v:group id="_x0000_s3192" style="position:absolute;margin-left:587.05pt;margin-top:183.4pt;width:8.25pt;height:153.1pt;z-index:251617792;mso-position-horizontal-relative:page;mso-position-vertical-relative:page" coordorigin="11741,3668" coordsize="165,3062">
            <v:shape id="_x0000_s3199" style="position:absolute;left:11741;top:3668;width:165;height:561" coordorigin="11741,3668" coordsize="165,561" path="m11906,3668r-165,l11741,4228r165,-18l11906,3668xe" fillcolor="#00aed9" stroked="f">
              <v:path arrowok="t"/>
            </v:shape>
            <v:shape id="_x0000_s3198" style="position:absolute;left:11741;top:4118;width:165;height:425" coordorigin="11741,4118" coordsize="165,425" path="m11906,4118r-165,14l11741,4531r165,12l11906,4118xe" fillcolor="#047ebc" stroked="f">
              <v:path arrowok="t"/>
            </v:shape>
            <v:shape id="_x0000_s3197" type="#_x0000_t75" style="position:absolute;left:11741;top:4355;width:165;height:587">
              <v:imagedata r:id="rId42" o:title=""/>
            </v:shape>
            <v:shape id="_x0000_s3196" style="position:absolute;left:11741;top:5343;width:165;height:536" coordorigin="11741,5343" coordsize="165,536" path="m11741,5343r,535l11906,5872r,-525l11741,5343xe" fillcolor="#f36a2e" stroked="f">
              <v:path arrowok="t"/>
            </v:shape>
            <v:shape id="_x0000_s3195" style="position:absolute;left:11741;top:4925;width:165;height:501" coordorigin="11741,4926" coordsize="165,501" path="m11741,4926r,500l11906,5426r,-485l11741,4926xe" fillcolor="#49783f" stroked="f">
              <v:path arrowok="t"/>
            </v:shape>
            <v:shape id="_x0000_s3194" style="position:absolute;left:11741;top:5781;width:165;height:268" coordorigin="11741,5782" coordsize="165,268" path="m11906,5782r-165,8l11741,6039r165,10l11906,5782xe" fillcolor="#f99f2a" stroked="f">
              <v:path arrowok="t"/>
            </v:shape>
            <v:shape id="_x0000_s3193" style="position:absolute;left:11741;top:6023;width:165;height:707" coordorigin="11741,6023" coordsize="165,707" path="m11741,6023r,706l11906,6729r,-690l11741,6023xe" fillcolor="#ef412c" stroked="f">
              <v:path arrowok="t"/>
            </v:shape>
            <w10:wrap anchorx="page" anchory="page"/>
          </v:group>
        </w:pict>
      </w:r>
    </w:p>
    <w:p w14:paraId="610D10FB" w14:textId="77777777" w:rsidR="00EF5B27" w:rsidRDefault="00EF5B27">
      <w:pPr>
        <w:pStyle w:val="BodyText"/>
        <w:rPr>
          <w:b/>
        </w:rPr>
      </w:pPr>
    </w:p>
    <w:p w14:paraId="4D5161FF" w14:textId="77777777" w:rsidR="00EF5B27" w:rsidRDefault="00EF5B27">
      <w:pPr>
        <w:pStyle w:val="BodyText"/>
        <w:rPr>
          <w:b/>
        </w:rPr>
      </w:pPr>
    </w:p>
    <w:p w14:paraId="4629544B" w14:textId="77777777" w:rsidR="00EF5B27" w:rsidRDefault="00EF5B27">
      <w:pPr>
        <w:pStyle w:val="BodyText"/>
        <w:spacing w:before="4"/>
        <w:rPr>
          <w:b/>
          <w:sz w:val="25"/>
        </w:rPr>
      </w:pPr>
    </w:p>
    <w:p w14:paraId="3A93A739" w14:textId="77777777" w:rsidR="00EF5B27" w:rsidRDefault="00000000">
      <w:pPr>
        <w:pStyle w:val="BodyText"/>
        <w:spacing w:before="100" w:line="254" w:lineRule="auto"/>
        <w:ind w:left="2608"/>
      </w:pPr>
      <w:r>
        <w:rPr>
          <w:color w:val="4D4D4F"/>
        </w:rPr>
        <w:t>Like KPI 3, this KPI measures the percentage of all perennial vegetation cover that is comprised of weeds (introduced species). In this case, the KPI only applies when a wetland is drawing down, having been filled.</w:t>
      </w:r>
    </w:p>
    <w:p w14:paraId="4D8317B6" w14:textId="77777777" w:rsidR="00EF5B27" w:rsidRDefault="00000000">
      <w:pPr>
        <w:pStyle w:val="BodyText"/>
        <w:spacing w:before="117" w:line="254" w:lineRule="auto"/>
        <w:ind w:left="2608" w:right="111"/>
      </w:pPr>
      <w:r>
        <w:rPr>
          <w:color w:val="4D4D4F"/>
          <w:w w:val="105"/>
        </w:rPr>
        <w:t>This</w:t>
      </w:r>
      <w:r>
        <w:rPr>
          <w:color w:val="4D4D4F"/>
          <w:spacing w:val="-19"/>
          <w:w w:val="105"/>
        </w:rPr>
        <w:t xml:space="preserve"> </w:t>
      </w:r>
      <w:r>
        <w:rPr>
          <w:color w:val="4D4D4F"/>
          <w:w w:val="105"/>
        </w:rPr>
        <w:t>KPI</w:t>
      </w:r>
      <w:r>
        <w:rPr>
          <w:color w:val="4D4D4F"/>
          <w:spacing w:val="-19"/>
          <w:w w:val="105"/>
        </w:rPr>
        <w:t xml:space="preserve"> </w:t>
      </w:r>
      <w:r>
        <w:rPr>
          <w:color w:val="4D4D4F"/>
          <w:w w:val="105"/>
        </w:rPr>
        <w:t>is</w:t>
      </w:r>
      <w:r>
        <w:rPr>
          <w:color w:val="4D4D4F"/>
          <w:spacing w:val="-19"/>
          <w:w w:val="105"/>
        </w:rPr>
        <w:t xml:space="preserve"> </w:t>
      </w:r>
      <w:r>
        <w:rPr>
          <w:color w:val="4D4D4F"/>
          <w:w w:val="105"/>
        </w:rPr>
        <w:t>assessed</w:t>
      </w:r>
      <w:r>
        <w:rPr>
          <w:color w:val="4D4D4F"/>
          <w:spacing w:val="-18"/>
          <w:w w:val="105"/>
        </w:rPr>
        <w:t xml:space="preserve"> </w:t>
      </w:r>
      <w:r>
        <w:rPr>
          <w:color w:val="4D4D4F"/>
          <w:w w:val="105"/>
        </w:rPr>
        <w:t>against</w:t>
      </w:r>
      <w:r>
        <w:rPr>
          <w:color w:val="4D4D4F"/>
          <w:spacing w:val="-19"/>
          <w:w w:val="105"/>
        </w:rPr>
        <w:t xml:space="preserve"> </w:t>
      </w:r>
      <w:r>
        <w:rPr>
          <w:color w:val="4D4D4F"/>
          <w:w w:val="105"/>
        </w:rPr>
        <w:t>a</w:t>
      </w:r>
      <w:r>
        <w:rPr>
          <w:color w:val="4D4D4F"/>
          <w:spacing w:val="-19"/>
          <w:w w:val="105"/>
        </w:rPr>
        <w:t xml:space="preserve"> </w:t>
      </w:r>
      <w:r>
        <w:rPr>
          <w:color w:val="4D4D4F"/>
          <w:w w:val="105"/>
        </w:rPr>
        <w:t>baseline,</w:t>
      </w:r>
      <w:r>
        <w:rPr>
          <w:color w:val="4D4D4F"/>
          <w:spacing w:val="-19"/>
          <w:w w:val="105"/>
        </w:rPr>
        <w:t xml:space="preserve"> </w:t>
      </w:r>
      <w:r>
        <w:rPr>
          <w:color w:val="4D4D4F"/>
          <w:w w:val="105"/>
        </w:rPr>
        <w:t>set</w:t>
      </w:r>
      <w:r>
        <w:rPr>
          <w:color w:val="4D4D4F"/>
          <w:spacing w:val="-18"/>
          <w:w w:val="105"/>
        </w:rPr>
        <w:t xml:space="preserve"> </w:t>
      </w:r>
      <w:r>
        <w:rPr>
          <w:color w:val="4D4D4F"/>
          <w:w w:val="105"/>
        </w:rPr>
        <w:t>by</w:t>
      </w:r>
      <w:r>
        <w:rPr>
          <w:color w:val="4D4D4F"/>
          <w:spacing w:val="-19"/>
          <w:w w:val="105"/>
        </w:rPr>
        <w:t xml:space="preserve"> </w:t>
      </w:r>
      <w:r>
        <w:rPr>
          <w:color w:val="4D4D4F"/>
          <w:w w:val="105"/>
        </w:rPr>
        <w:t>the</w:t>
      </w:r>
      <w:r>
        <w:rPr>
          <w:color w:val="4D4D4F"/>
          <w:spacing w:val="-19"/>
          <w:w w:val="105"/>
        </w:rPr>
        <w:t xml:space="preserve"> </w:t>
      </w:r>
      <w:r>
        <w:rPr>
          <w:color w:val="4D4D4F"/>
          <w:w w:val="105"/>
        </w:rPr>
        <w:t>first</w:t>
      </w:r>
      <w:r>
        <w:rPr>
          <w:color w:val="4D4D4F"/>
          <w:spacing w:val="-19"/>
          <w:w w:val="105"/>
        </w:rPr>
        <w:t xml:space="preserve"> </w:t>
      </w:r>
      <w:r>
        <w:rPr>
          <w:color w:val="4D4D4F"/>
          <w:w w:val="105"/>
        </w:rPr>
        <w:t>year</w:t>
      </w:r>
      <w:r>
        <w:rPr>
          <w:color w:val="4D4D4F"/>
          <w:spacing w:val="-18"/>
          <w:w w:val="105"/>
        </w:rPr>
        <w:t xml:space="preserve"> </w:t>
      </w:r>
      <w:r>
        <w:rPr>
          <w:color w:val="4D4D4F"/>
          <w:w w:val="105"/>
        </w:rPr>
        <w:t>of</w:t>
      </w:r>
      <w:r>
        <w:rPr>
          <w:color w:val="4D4D4F"/>
          <w:spacing w:val="-19"/>
          <w:w w:val="105"/>
        </w:rPr>
        <w:t xml:space="preserve"> </w:t>
      </w:r>
      <w:r>
        <w:rPr>
          <w:color w:val="4D4D4F"/>
          <w:w w:val="105"/>
        </w:rPr>
        <w:t>monitoring</w:t>
      </w:r>
      <w:r>
        <w:rPr>
          <w:color w:val="4D4D4F"/>
          <w:spacing w:val="-19"/>
          <w:w w:val="105"/>
        </w:rPr>
        <w:t xml:space="preserve"> </w:t>
      </w:r>
      <w:r>
        <w:rPr>
          <w:color w:val="4D4D4F"/>
          <w:w w:val="105"/>
        </w:rPr>
        <w:t>at</w:t>
      </w:r>
      <w:r>
        <w:rPr>
          <w:color w:val="4D4D4F"/>
          <w:spacing w:val="-18"/>
          <w:w w:val="105"/>
        </w:rPr>
        <w:t xml:space="preserve"> </w:t>
      </w:r>
      <w:r>
        <w:rPr>
          <w:color w:val="4D4D4F"/>
          <w:w w:val="105"/>
        </w:rPr>
        <w:t>drawdown, with a unique benchmark for each wetland. Since monitoring began, drawdown has only</w:t>
      </w:r>
      <w:r>
        <w:rPr>
          <w:color w:val="4D4D4F"/>
          <w:spacing w:val="-20"/>
          <w:w w:val="105"/>
        </w:rPr>
        <w:t xml:space="preserve"> </w:t>
      </w:r>
      <w:r>
        <w:rPr>
          <w:color w:val="4D4D4F"/>
          <w:w w:val="105"/>
        </w:rPr>
        <w:t>occurred</w:t>
      </w:r>
      <w:r>
        <w:rPr>
          <w:color w:val="4D4D4F"/>
          <w:spacing w:val="-20"/>
          <w:w w:val="105"/>
        </w:rPr>
        <w:t xml:space="preserve"> </w:t>
      </w:r>
      <w:r>
        <w:rPr>
          <w:color w:val="4D4D4F"/>
          <w:w w:val="105"/>
        </w:rPr>
        <w:t>in</w:t>
      </w:r>
      <w:r>
        <w:rPr>
          <w:color w:val="4D4D4F"/>
          <w:spacing w:val="-20"/>
          <w:w w:val="105"/>
        </w:rPr>
        <w:t xml:space="preserve"> </w:t>
      </w:r>
      <w:r>
        <w:rPr>
          <w:color w:val="4D4D4F"/>
          <w:spacing w:val="-7"/>
          <w:w w:val="105"/>
        </w:rPr>
        <w:t>2017,</w:t>
      </w:r>
      <w:r>
        <w:rPr>
          <w:color w:val="4D4D4F"/>
          <w:spacing w:val="-20"/>
          <w:w w:val="105"/>
        </w:rPr>
        <w:t xml:space="preserve"> </w:t>
      </w:r>
      <w:r>
        <w:rPr>
          <w:color w:val="4D4D4F"/>
          <w:w w:val="105"/>
        </w:rPr>
        <w:t>for</w:t>
      </w:r>
      <w:r>
        <w:rPr>
          <w:color w:val="4D4D4F"/>
          <w:spacing w:val="-19"/>
          <w:w w:val="105"/>
        </w:rPr>
        <w:t xml:space="preserve"> </w:t>
      </w:r>
      <w:r>
        <w:rPr>
          <w:color w:val="4D4D4F"/>
          <w:w w:val="105"/>
        </w:rPr>
        <w:t>Windmill</w:t>
      </w:r>
      <w:r>
        <w:rPr>
          <w:color w:val="4D4D4F"/>
          <w:spacing w:val="-20"/>
          <w:w w:val="105"/>
        </w:rPr>
        <w:t xml:space="preserve"> </w:t>
      </w:r>
      <w:r>
        <w:rPr>
          <w:color w:val="4D4D4F"/>
          <w:w w:val="105"/>
        </w:rPr>
        <w:t>Wetland</w:t>
      </w:r>
      <w:r>
        <w:rPr>
          <w:color w:val="4D4D4F"/>
          <w:spacing w:val="-20"/>
          <w:w w:val="105"/>
        </w:rPr>
        <w:t xml:space="preserve"> </w:t>
      </w:r>
      <w:r>
        <w:rPr>
          <w:color w:val="4D4D4F"/>
          <w:w w:val="105"/>
        </w:rPr>
        <w:t>and</w:t>
      </w:r>
      <w:r>
        <w:rPr>
          <w:color w:val="4D4D4F"/>
          <w:spacing w:val="-20"/>
          <w:w w:val="105"/>
        </w:rPr>
        <w:t xml:space="preserve"> </w:t>
      </w:r>
      <w:r>
        <w:rPr>
          <w:color w:val="4D4D4F"/>
          <w:w w:val="105"/>
        </w:rPr>
        <w:t>Cobbledicks</w:t>
      </w:r>
      <w:r>
        <w:rPr>
          <w:color w:val="4D4D4F"/>
          <w:spacing w:val="-19"/>
          <w:w w:val="105"/>
        </w:rPr>
        <w:t xml:space="preserve"> </w:t>
      </w:r>
      <w:r>
        <w:rPr>
          <w:color w:val="4D4D4F"/>
          <w:w w:val="105"/>
        </w:rPr>
        <w:t>Rise</w:t>
      </w:r>
      <w:r>
        <w:rPr>
          <w:color w:val="4D4D4F"/>
          <w:spacing w:val="-20"/>
          <w:w w:val="105"/>
        </w:rPr>
        <w:t xml:space="preserve"> </w:t>
      </w:r>
      <w:r>
        <w:rPr>
          <w:color w:val="4D4D4F"/>
          <w:w w:val="105"/>
        </w:rPr>
        <w:t>Wetland</w:t>
      </w:r>
      <w:r>
        <w:rPr>
          <w:color w:val="4D4D4F"/>
          <w:spacing w:val="-20"/>
          <w:w w:val="105"/>
        </w:rPr>
        <w:t xml:space="preserve"> </w:t>
      </w:r>
      <w:r>
        <w:rPr>
          <w:color w:val="4D4D4F"/>
          <w:w w:val="105"/>
        </w:rPr>
        <w:t>(One</w:t>
      </w:r>
      <w:r>
        <w:rPr>
          <w:color w:val="4D4D4F"/>
          <w:spacing w:val="-20"/>
          <w:w w:val="105"/>
        </w:rPr>
        <w:t xml:space="preserve"> </w:t>
      </w:r>
      <w:r>
        <w:rPr>
          <w:color w:val="4D4D4F"/>
          <w:spacing w:val="-3"/>
          <w:w w:val="105"/>
        </w:rPr>
        <w:t xml:space="preserve">Tree </w:t>
      </w:r>
      <w:r>
        <w:rPr>
          <w:color w:val="4D4D4F"/>
          <w:w w:val="105"/>
        </w:rPr>
        <w:t>Rise</w:t>
      </w:r>
      <w:r>
        <w:rPr>
          <w:color w:val="4D4D4F"/>
          <w:spacing w:val="-15"/>
          <w:w w:val="105"/>
        </w:rPr>
        <w:t xml:space="preserve"> </w:t>
      </w:r>
      <w:r>
        <w:rPr>
          <w:color w:val="4D4D4F"/>
          <w:w w:val="105"/>
        </w:rPr>
        <w:t>has</w:t>
      </w:r>
      <w:r>
        <w:rPr>
          <w:color w:val="4D4D4F"/>
          <w:spacing w:val="-14"/>
          <w:w w:val="105"/>
        </w:rPr>
        <w:t xml:space="preserve"> </w:t>
      </w:r>
      <w:r>
        <w:rPr>
          <w:color w:val="4D4D4F"/>
          <w:w w:val="105"/>
        </w:rPr>
        <w:t>a</w:t>
      </w:r>
      <w:r>
        <w:rPr>
          <w:color w:val="4D4D4F"/>
          <w:spacing w:val="-14"/>
          <w:w w:val="105"/>
        </w:rPr>
        <w:t xml:space="preserve"> </w:t>
      </w:r>
      <w:r>
        <w:rPr>
          <w:color w:val="4D4D4F"/>
          <w:w w:val="105"/>
        </w:rPr>
        <w:t>smaller</w:t>
      </w:r>
      <w:r>
        <w:rPr>
          <w:color w:val="4D4D4F"/>
          <w:spacing w:val="-14"/>
          <w:w w:val="105"/>
        </w:rPr>
        <w:t xml:space="preserve"> </w:t>
      </w:r>
      <w:r>
        <w:rPr>
          <w:color w:val="4D4D4F"/>
          <w:w w:val="105"/>
        </w:rPr>
        <w:t>catchment</w:t>
      </w:r>
      <w:r>
        <w:rPr>
          <w:color w:val="4D4D4F"/>
          <w:spacing w:val="-14"/>
          <w:w w:val="105"/>
        </w:rPr>
        <w:t xml:space="preserve"> </w:t>
      </w:r>
      <w:r>
        <w:rPr>
          <w:color w:val="4D4D4F"/>
          <w:w w:val="105"/>
        </w:rPr>
        <w:t>and</w:t>
      </w:r>
      <w:r>
        <w:rPr>
          <w:color w:val="4D4D4F"/>
          <w:spacing w:val="-14"/>
          <w:w w:val="105"/>
        </w:rPr>
        <w:t xml:space="preserve"> </w:t>
      </w:r>
      <w:r>
        <w:rPr>
          <w:color w:val="4D4D4F"/>
          <w:w w:val="105"/>
        </w:rPr>
        <w:t>did</w:t>
      </w:r>
      <w:r>
        <w:rPr>
          <w:color w:val="4D4D4F"/>
          <w:spacing w:val="-15"/>
          <w:w w:val="105"/>
        </w:rPr>
        <w:t xml:space="preserve"> </w:t>
      </w:r>
      <w:r>
        <w:rPr>
          <w:color w:val="4D4D4F"/>
          <w:w w:val="105"/>
        </w:rPr>
        <w:t>not</w:t>
      </w:r>
      <w:r>
        <w:rPr>
          <w:color w:val="4D4D4F"/>
          <w:spacing w:val="-14"/>
          <w:w w:val="105"/>
        </w:rPr>
        <w:t xml:space="preserve"> </w:t>
      </w:r>
      <w:r>
        <w:rPr>
          <w:color w:val="4D4D4F"/>
          <w:w w:val="105"/>
        </w:rPr>
        <w:t>fill</w:t>
      </w:r>
      <w:r>
        <w:rPr>
          <w:color w:val="4D4D4F"/>
          <w:spacing w:val="-14"/>
          <w:w w:val="105"/>
        </w:rPr>
        <w:t xml:space="preserve"> </w:t>
      </w:r>
      <w:r>
        <w:rPr>
          <w:color w:val="4D4D4F"/>
          <w:w w:val="105"/>
        </w:rPr>
        <w:t>in</w:t>
      </w:r>
      <w:r>
        <w:rPr>
          <w:color w:val="4D4D4F"/>
          <w:spacing w:val="-14"/>
          <w:w w:val="105"/>
        </w:rPr>
        <w:t xml:space="preserve"> </w:t>
      </w:r>
      <w:r>
        <w:rPr>
          <w:color w:val="4D4D4F"/>
          <w:spacing w:val="-4"/>
          <w:w w:val="105"/>
        </w:rPr>
        <w:t>2017).</w:t>
      </w:r>
      <w:r>
        <w:rPr>
          <w:color w:val="4D4D4F"/>
          <w:spacing w:val="-14"/>
          <w:w w:val="105"/>
        </w:rPr>
        <w:t xml:space="preserve"> </w:t>
      </w:r>
      <w:r>
        <w:rPr>
          <w:color w:val="4D4D4F"/>
          <w:w w:val="105"/>
        </w:rPr>
        <w:t>This</w:t>
      </w:r>
      <w:r>
        <w:rPr>
          <w:color w:val="4D4D4F"/>
          <w:spacing w:val="-14"/>
          <w:w w:val="105"/>
        </w:rPr>
        <w:t xml:space="preserve"> </w:t>
      </w:r>
      <w:r>
        <w:rPr>
          <w:color w:val="4D4D4F"/>
          <w:w w:val="105"/>
        </w:rPr>
        <w:t>occurred</w:t>
      </w:r>
      <w:r>
        <w:rPr>
          <w:color w:val="4D4D4F"/>
          <w:spacing w:val="-14"/>
          <w:w w:val="105"/>
        </w:rPr>
        <w:t xml:space="preserve"> </w:t>
      </w:r>
      <w:r>
        <w:rPr>
          <w:color w:val="4D4D4F"/>
          <w:w w:val="105"/>
        </w:rPr>
        <w:t>during</w:t>
      </w:r>
      <w:r>
        <w:rPr>
          <w:color w:val="4D4D4F"/>
          <w:spacing w:val="-15"/>
          <w:w w:val="105"/>
        </w:rPr>
        <w:t xml:space="preserve"> </w:t>
      </w:r>
      <w:r>
        <w:rPr>
          <w:color w:val="4D4D4F"/>
          <w:w w:val="105"/>
        </w:rPr>
        <w:t>the</w:t>
      </w:r>
      <w:r>
        <w:rPr>
          <w:color w:val="4D4D4F"/>
          <w:spacing w:val="-14"/>
          <w:w w:val="105"/>
        </w:rPr>
        <w:t xml:space="preserve"> </w:t>
      </w:r>
      <w:r>
        <w:rPr>
          <w:color w:val="4D4D4F"/>
          <w:w w:val="105"/>
        </w:rPr>
        <w:t>normal spring-summer</w:t>
      </w:r>
      <w:r>
        <w:rPr>
          <w:color w:val="4D4D4F"/>
          <w:spacing w:val="-16"/>
          <w:w w:val="105"/>
        </w:rPr>
        <w:t xml:space="preserve"> </w:t>
      </w:r>
      <w:r>
        <w:rPr>
          <w:color w:val="4D4D4F"/>
          <w:w w:val="105"/>
        </w:rPr>
        <w:t>monitoring</w:t>
      </w:r>
      <w:r>
        <w:rPr>
          <w:color w:val="4D4D4F"/>
          <w:spacing w:val="-16"/>
          <w:w w:val="105"/>
        </w:rPr>
        <w:t xml:space="preserve"> </w:t>
      </w:r>
      <w:r>
        <w:rPr>
          <w:color w:val="4D4D4F"/>
          <w:w w:val="105"/>
        </w:rPr>
        <w:t>period,</w:t>
      </w:r>
      <w:r>
        <w:rPr>
          <w:color w:val="4D4D4F"/>
          <w:spacing w:val="-16"/>
          <w:w w:val="105"/>
        </w:rPr>
        <w:t xml:space="preserve"> </w:t>
      </w:r>
      <w:r>
        <w:rPr>
          <w:color w:val="4D4D4F"/>
          <w:w w:val="105"/>
        </w:rPr>
        <w:t>so</w:t>
      </w:r>
      <w:r>
        <w:rPr>
          <w:color w:val="4D4D4F"/>
          <w:spacing w:val="-16"/>
          <w:w w:val="105"/>
        </w:rPr>
        <w:t xml:space="preserve"> </w:t>
      </w:r>
      <w:r>
        <w:rPr>
          <w:color w:val="4D4D4F"/>
          <w:w w:val="105"/>
        </w:rPr>
        <w:t>a</w:t>
      </w:r>
      <w:r>
        <w:rPr>
          <w:color w:val="4D4D4F"/>
          <w:spacing w:val="-15"/>
          <w:w w:val="105"/>
        </w:rPr>
        <w:t xml:space="preserve"> </w:t>
      </w:r>
      <w:r>
        <w:rPr>
          <w:color w:val="4D4D4F"/>
          <w:w w:val="105"/>
        </w:rPr>
        <w:t>single</w:t>
      </w:r>
      <w:r>
        <w:rPr>
          <w:color w:val="4D4D4F"/>
          <w:spacing w:val="-16"/>
          <w:w w:val="105"/>
        </w:rPr>
        <w:t xml:space="preserve"> </w:t>
      </w:r>
      <w:r>
        <w:rPr>
          <w:color w:val="4D4D4F"/>
          <w:w w:val="105"/>
        </w:rPr>
        <w:t>monitoring</w:t>
      </w:r>
      <w:r>
        <w:rPr>
          <w:color w:val="4D4D4F"/>
          <w:spacing w:val="-16"/>
          <w:w w:val="105"/>
        </w:rPr>
        <w:t xml:space="preserve"> </w:t>
      </w:r>
      <w:r>
        <w:rPr>
          <w:color w:val="4D4D4F"/>
          <w:w w:val="105"/>
        </w:rPr>
        <w:t>event</w:t>
      </w:r>
      <w:r>
        <w:rPr>
          <w:color w:val="4D4D4F"/>
          <w:spacing w:val="-16"/>
          <w:w w:val="105"/>
        </w:rPr>
        <w:t xml:space="preserve"> </w:t>
      </w:r>
      <w:r>
        <w:rPr>
          <w:color w:val="4D4D4F"/>
          <w:w w:val="105"/>
        </w:rPr>
        <w:t>covered</w:t>
      </w:r>
      <w:r>
        <w:rPr>
          <w:color w:val="4D4D4F"/>
          <w:spacing w:val="-16"/>
          <w:w w:val="105"/>
        </w:rPr>
        <w:t xml:space="preserve"> </w:t>
      </w:r>
      <w:r>
        <w:rPr>
          <w:color w:val="4D4D4F"/>
          <w:w w:val="105"/>
        </w:rPr>
        <w:t>KPIs</w:t>
      </w:r>
      <w:r>
        <w:rPr>
          <w:color w:val="4D4D4F"/>
          <w:spacing w:val="-15"/>
          <w:w w:val="105"/>
        </w:rPr>
        <w:t xml:space="preserve"> </w:t>
      </w:r>
      <w:r>
        <w:rPr>
          <w:color w:val="4D4D4F"/>
          <w:w w:val="105"/>
        </w:rPr>
        <w:t>3</w:t>
      </w:r>
      <w:r>
        <w:rPr>
          <w:color w:val="4D4D4F"/>
          <w:spacing w:val="-16"/>
          <w:w w:val="105"/>
        </w:rPr>
        <w:t xml:space="preserve"> </w:t>
      </w:r>
      <w:r>
        <w:rPr>
          <w:color w:val="4D4D4F"/>
          <w:w w:val="105"/>
        </w:rPr>
        <w:t>and</w:t>
      </w:r>
      <w:r>
        <w:rPr>
          <w:color w:val="4D4D4F"/>
          <w:spacing w:val="-16"/>
          <w:w w:val="105"/>
        </w:rPr>
        <w:t xml:space="preserve"> </w:t>
      </w:r>
      <w:r>
        <w:rPr>
          <w:color w:val="4D4D4F"/>
          <w:w w:val="105"/>
        </w:rPr>
        <w:t>4, and the data for KPI 3 also cover KPI 4. Drawdown has not occurred and so this KPI was not assessed in</w:t>
      </w:r>
      <w:r>
        <w:rPr>
          <w:color w:val="4D4D4F"/>
          <w:spacing w:val="2"/>
          <w:w w:val="105"/>
        </w:rPr>
        <w:t xml:space="preserve"> </w:t>
      </w:r>
      <w:r>
        <w:rPr>
          <w:color w:val="4D4D4F"/>
          <w:w w:val="105"/>
        </w:rPr>
        <w:t>2020–2022.</w:t>
      </w:r>
    </w:p>
    <w:p w14:paraId="3931916F" w14:textId="77777777" w:rsidR="00EF5B27" w:rsidRDefault="00000000">
      <w:pPr>
        <w:pStyle w:val="BodyText"/>
        <w:spacing w:before="122" w:line="254" w:lineRule="auto"/>
        <w:ind w:left="2608" w:right="151"/>
      </w:pPr>
      <w:r>
        <w:rPr>
          <w:color w:val="4D4D4F"/>
          <w:w w:val="105"/>
        </w:rPr>
        <w:t>The</w:t>
      </w:r>
      <w:r>
        <w:rPr>
          <w:color w:val="4D4D4F"/>
          <w:spacing w:val="-19"/>
          <w:w w:val="105"/>
        </w:rPr>
        <w:t xml:space="preserve"> </w:t>
      </w:r>
      <w:r>
        <w:rPr>
          <w:color w:val="4D4D4F"/>
          <w:w w:val="105"/>
        </w:rPr>
        <w:t>baseline</w:t>
      </w:r>
      <w:r>
        <w:rPr>
          <w:color w:val="4D4D4F"/>
          <w:spacing w:val="-19"/>
          <w:w w:val="105"/>
        </w:rPr>
        <w:t xml:space="preserve"> </w:t>
      </w:r>
      <w:r>
        <w:rPr>
          <w:color w:val="4D4D4F"/>
          <w:w w:val="105"/>
        </w:rPr>
        <w:t>for</w:t>
      </w:r>
      <w:r>
        <w:rPr>
          <w:color w:val="4D4D4F"/>
          <w:spacing w:val="-19"/>
          <w:w w:val="105"/>
        </w:rPr>
        <w:t xml:space="preserve"> </w:t>
      </w:r>
      <w:r>
        <w:rPr>
          <w:color w:val="4D4D4F"/>
          <w:w w:val="105"/>
        </w:rPr>
        <w:t>Cobbledicks</w:t>
      </w:r>
      <w:r>
        <w:rPr>
          <w:color w:val="4D4D4F"/>
          <w:spacing w:val="-18"/>
          <w:w w:val="105"/>
        </w:rPr>
        <w:t xml:space="preserve"> </w:t>
      </w:r>
      <w:r>
        <w:rPr>
          <w:color w:val="4D4D4F"/>
          <w:w w:val="105"/>
        </w:rPr>
        <w:t>Rise</w:t>
      </w:r>
      <w:r>
        <w:rPr>
          <w:color w:val="4D4D4F"/>
          <w:spacing w:val="-19"/>
          <w:w w:val="105"/>
        </w:rPr>
        <w:t xml:space="preserve"> </w:t>
      </w:r>
      <w:r>
        <w:rPr>
          <w:color w:val="4D4D4F"/>
          <w:w w:val="105"/>
        </w:rPr>
        <w:t>Wetland</w:t>
      </w:r>
      <w:r>
        <w:rPr>
          <w:color w:val="4D4D4F"/>
          <w:spacing w:val="-19"/>
          <w:w w:val="105"/>
        </w:rPr>
        <w:t xml:space="preserve"> </w:t>
      </w:r>
      <w:r>
        <w:rPr>
          <w:color w:val="4D4D4F"/>
          <w:w w:val="105"/>
        </w:rPr>
        <w:t>is</w:t>
      </w:r>
      <w:r>
        <w:rPr>
          <w:color w:val="4D4D4F"/>
          <w:spacing w:val="-18"/>
          <w:w w:val="105"/>
        </w:rPr>
        <w:t xml:space="preserve"> </w:t>
      </w:r>
      <w:r>
        <w:rPr>
          <w:color w:val="4D4D4F"/>
          <w:w w:val="105"/>
        </w:rPr>
        <w:t>set</w:t>
      </w:r>
      <w:r>
        <w:rPr>
          <w:color w:val="4D4D4F"/>
          <w:spacing w:val="-19"/>
          <w:w w:val="105"/>
        </w:rPr>
        <w:t xml:space="preserve"> </w:t>
      </w:r>
      <w:r>
        <w:rPr>
          <w:color w:val="4D4D4F"/>
          <w:w w:val="105"/>
        </w:rPr>
        <w:t>at</w:t>
      </w:r>
      <w:r>
        <w:rPr>
          <w:color w:val="4D4D4F"/>
          <w:spacing w:val="-19"/>
          <w:w w:val="105"/>
        </w:rPr>
        <w:t xml:space="preserve"> </w:t>
      </w:r>
      <w:r>
        <w:rPr>
          <w:color w:val="4D4D4F"/>
          <w:w w:val="105"/>
        </w:rPr>
        <w:t>17%,</w:t>
      </w:r>
      <w:r>
        <w:rPr>
          <w:color w:val="4D4D4F"/>
          <w:spacing w:val="-18"/>
          <w:w w:val="105"/>
        </w:rPr>
        <w:t xml:space="preserve"> </w:t>
      </w:r>
      <w:r>
        <w:rPr>
          <w:color w:val="4D4D4F"/>
          <w:w w:val="105"/>
        </w:rPr>
        <w:t>for</w:t>
      </w:r>
      <w:r>
        <w:rPr>
          <w:color w:val="4D4D4F"/>
          <w:spacing w:val="-19"/>
          <w:w w:val="105"/>
        </w:rPr>
        <w:t xml:space="preserve"> </w:t>
      </w:r>
      <w:r>
        <w:rPr>
          <w:color w:val="4D4D4F"/>
          <w:w w:val="105"/>
        </w:rPr>
        <w:t>Windmill</w:t>
      </w:r>
      <w:r>
        <w:rPr>
          <w:color w:val="4D4D4F"/>
          <w:spacing w:val="-19"/>
          <w:w w:val="105"/>
        </w:rPr>
        <w:t xml:space="preserve"> </w:t>
      </w:r>
      <w:r>
        <w:rPr>
          <w:color w:val="4D4D4F"/>
          <w:w w:val="105"/>
        </w:rPr>
        <w:t>Wetland</w:t>
      </w:r>
      <w:r>
        <w:rPr>
          <w:color w:val="4D4D4F"/>
          <w:spacing w:val="-19"/>
          <w:w w:val="105"/>
        </w:rPr>
        <w:t xml:space="preserve"> </w:t>
      </w:r>
      <w:r>
        <w:rPr>
          <w:color w:val="4D4D4F"/>
          <w:w w:val="105"/>
        </w:rPr>
        <w:t>it</w:t>
      </w:r>
      <w:r>
        <w:rPr>
          <w:color w:val="4D4D4F"/>
          <w:spacing w:val="-18"/>
          <w:w w:val="105"/>
        </w:rPr>
        <w:t xml:space="preserve"> </w:t>
      </w:r>
      <w:r>
        <w:rPr>
          <w:color w:val="4D4D4F"/>
          <w:w w:val="105"/>
        </w:rPr>
        <w:t>is</w:t>
      </w:r>
      <w:r>
        <w:rPr>
          <w:color w:val="4D4D4F"/>
          <w:spacing w:val="-19"/>
          <w:w w:val="105"/>
        </w:rPr>
        <w:t xml:space="preserve"> </w:t>
      </w:r>
      <w:r>
        <w:rPr>
          <w:color w:val="4D4D4F"/>
          <w:w w:val="105"/>
        </w:rPr>
        <w:t xml:space="preserve">set at 5%. These values are shown as large points on </w:t>
      </w:r>
      <w:hyperlink w:anchor="_bookmark43" w:history="1">
        <w:r>
          <w:rPr>
            <w:color w:val="4D4D4F"/>
            <w:w w:val="105"/>
          </w:rPr>
          <w:t>Figure</w:t>
        </w:r>
        <w:r>
          <w:rPr>
            <w:color w:val="4D4D4F"/>
            <w:spacing w:val="-8"/>
            <w:w w:val="105"/>
          </w:rPr>
          <w:t xml:space="preserve"> </w:t>
        </w:r>
        <w:r>
          <w:rPr>
            <w:color w:val="4D4D4F"/>
            <w:spacing w:val="-4"/>
            <w:w w:val="105"/>
          </w:rPr>
          <w:t>18</w:t>
        </w:r>
      </w:hyperlink>
      <w:r>
        <w:rPr>
          <w:color w:val="4D4D4F"/>
          <w:spacing w:val="-4"/>
          <w:w w:val="105"/>
        </w:rPr>
        <w:t>.</w:t>
      </w:r>
    </w:p>
    <w:p w14:paraId="3DA533E1" w14:textId="77777777" w:rsidR="00EF5B27" w:rsidRDefault="00EF5B27">
      <w:pPr>
        <w:pStyle w:val="BodyText"/>
        <w:spacing w:before="1"/>
        <w:rPr>
          <w:sz w:val="19"/>
        </w:rPr>
      </w:pPr>
    </w:p>
    <w:p w14:paraId="05C40F71" w14:textId="77777777" w:rsidR="00EF5B27" w:rsidRDefault="00000000">
      <w:pPr>
        <w:pStyle w:val="Heading3"/>
      </w:pPr>
      <w:r>
        <w:rPr>
          <w:color w:val="F99F2A"/>
        </w:rPr>
        <w:t>Results interpretation</w:t>
      </w:r>
    </w:p>
    <w:p w14:paraId="4D910737" w14:textId="77777777" w:rsidR="00EF5B27" w:rsidRDefault="00000000">
      <w:pPr>
        <w:pStyle w:val="BodyText"/>
        <w:spacing w:before="222" w:line="254" w:lineRule="auto"/>
        <w:ind w:left="2608"/>
      </w:pPr>
      <w:r>
        <w:rPr>
          <w:color w:val="4D4D4F"/>
          <w:spacing w:val="-5"/>
        </w:rPr>
        <w:t xml:space="preserve">Results indicate </w:t>
      </w:r>
      <w:r>
        <w:rPr>
          <w:color w:val="4D4D4F"/>
          <w:spacing w:val="-4"/>
        </w:rPr>
        <w:t xml:space="preserve">that native </w:t>
      </w:r>
      <w:r>
        <w:rPr>
          <w:color w:val="4D4D4F"/>
          <w:spacing w:val="-3"/>
        </w:rPr>
        <w:t xml:space="preserve">forb </w:t>
      </w:r>
      <w:r>
        <w:rPr>
          <w:color w:val="4D4D4F"/>
          <w:spacing w:val="-4"/>
        </w:rPr>
        <w:t xml:space="preserve">richness </w:t>
      </w:r>
      <w:r>
        <w:rPr>
          <w:color w:val="4D4D4F"/>
          <w:spacing w:val="-5"/>
        </w:rPr>
        <w:t xml:space="preserve">remains </w:t>
      </w:r>
      <w:r>
        <w:rPr>
          <w:color w:val="4D4D4F"/>
          <w:spacing w:val="-4"/>
        </w:rPr>
        <w:t xml:space="preserve">stable </w:t>
      </w:r>
      <w:r>
        <w:rPr>
          <w:color w:val="4D4D4F"/>
          <w:spacing w:val="-3"/>
        </w:rPr>
        <w:t xml:space="preserve">across </w:t>
      </w:r>
      <w:r>
        <w:rPr>
          <w:color w:val="4D4D4F"/>
          <w:spacing w:val="-4"/>
        </w:rPr>
        <w:t xml:space="preserve">all wetland </w:t>
      </w:r>
      <w:r>
        <w:rPr>
          <w:color w:val="4D4D4F"/>
          <w:spacing w:val="-5"/>
        </w:rPr>
        <w:t xml:space="preserve">sites. </w:t>
      </w:r>
      <w:r>
        <w:rPr>
          <w:color w:val="4D4D4F"/>
          <w:spacing w:val="-6"/>
        </w:rPr>
        <w:t xml:space="preserve">However, </w:t>
      </w:r>
      <w:r>
        <w:rPr>
          <w:color w:val="4D4D4F"/>
        </w:rPr>
        <w:t>weeds would appear to be increasing across the same monitored sites, despite levels remaining within the 95% CI tolerance of the defined baseline in each case.</w:t>
      </w:r>
    </w:p>
    <w:p w14:paraId="4FCEA66A" w14:textId="77777777" w:rsidR="00EF5B27" w:rsidRDefault="00000000">
      <w:pPr>
        <w:pStyle w:val="BodyText"/>
        <w:spacing w:before="117" w:line="254" w:lineRule="auto"/>
        <w:ind w:left="2608" w:right="221"/>
      </w:pPr>
      <w:r>
        <w:rPr>
          <w:color w:val="4D4D4F"/>
        </w:rPr>
        <w:t>It should be noted that this ecosystem was not monitored in 2020 due to the impacts of COVID-19.</w:t>
      </w:r>
    </w:p>
    <w:p w14:paraId="45D31DC1" w14:textId="77777777" w:rsidR="00EF5B27" w:rsidRDefault="00000000">
      <w:pPr>
        <w:pStyle w:val="BodyText"/>
        <w:spacing w:before="115" w:line="254" w:lineRule="auto"/>
        <w:ind w:left="2608" w:right="177"/>
        <w:rPr>
          <w:sz w:val="11"/>
        </w:rPr>
      </w:pPr>
      <w:r>
        <w:rPr>
          <w:color w:val="4D4D4F"/>
        </w:rPr>
        <w:t>None</w:t>
      </w:r>
      <w:r>
        <w:rPr>
          <w:color w:val="4D4D4F"/>
          <w:spacing w:val="-5"/>
        </w:rPr>
        <w:t xml:space="preserve"> </w:t>
      </w:r>
      <w:r>
        <w:rPr>
          <w:color w:val="4D4D4F"/>
        </w:rPr>
        <w:t>of</w:t>
      </w:r>
      <w:r>
        <w:rPr>
          <w:color w:val="4D4D4F"/>
          <w:spacing w:val="-5"/>
        </w:rPr>
        <w:t xml:space="preserve"> </w:t>
      </w:r>
      <w:r>
        <w:rPr>
          <w:color w:val="4D4D4F"/>
        </w:rPr>
        <w:t>the</w:t>
      </w:r>
      <w:r>
        <w:rPr>
          <w:color w:val="4D4D4F"/>
          <w:spacing w:val="-5"/>
        </w:rPr>
        <w:t xml:space="preserve"> </w:t>
      </w:r>
      <w:r>
        <w:rPr>
          <w:color w:val="4D4D4F"/>
        </w:rPr>
        <w:t>monitored</w:t>
      </w:r>
      <w:r>
        <w:rPr>
          <w:color w:val="4D4D4F"/>
          <w:spacing w:val="-4"/>
        </w:rPr>
        <w:t xml:space="preserve"> </w:t>
      </w:r>
      <w:r>
        <w:rPr>
          <w:color w:val="4D4D4F"/>
        </w:rPr>
        <w:t>wetlands</w:t>
      </w:r>
      <w:r>
        <w:rPr>
          <w:color w:val="4D4D4F"/>
          <w:spacing w:val="-5"/>
        </w:rPr>
        <w:t xml:space="preserve"> </w:t>
      </w:r>
      <w:r>
        <w:rPr>
          <w:color w:val="4D4D4F"/>
        </w:rPr>
        <w:t>filled</w:t>
      </w:r>
      <w:r>
        <w:rPr>
          <w:color w:val="4D4D4F"/>
          <w:spacing w:val="-5"/>
        </w:rPr>
        <w:t xml:space="preserve"> </w:t>
      </w:r>
      <w:r>
        <w:rPr>
          <w:color w:val="4D4D4F"/>
        </w:rPr>
        <w:t>in</w:t>
      </w:r>
      <w:r>
        <w:rPr>
          <w:color w:val="4D4D4F"/>
          <w:spacing w:val="-4"/>
        </w:rPr>
        <w:t xml:space="preserve"> </w:t>
      </w:r>
      <w:r>
        <w:rPr>
          <w:color w:val="4D4D4F"/>
        </w:rPr>
        <w:t>2021</w:t>
      </w:r>
      <w:r>
        <w:rPr>
          <w:color w:val="4D4D4F"/>
          <w:spacing w:val="-5"/>
        </w:rPr>
        <w:t xml:space="preserve"> </w:t>
      </w:r>
      <w:r>
        <w:rPr>
          <w:color w:val="4D4D4F"/>
          <w:spacing w:val="-3"/>
        </w:rPr>
        <w:t>(and</w:t>
      </w:r>
      <w:r>
        <w:rPr>
          <w:color w:val="4D4D4F"/>
          <w:spacing w:val="-5"/>
        </w:rPr>
        <w:t xml:space="preserve"> </w:t>
      </w:r>
      <w:r>
        <w:rPr>
          <w:color w:val="4D4D4F"/>
        </w:rPr>
        <w:t>neither</w:t>
      </w:r>
      <w:r>
        <w:rPr>
          <w:color w:val="4D4D4F"/>
          <w:spacing w:val="-5"/>
        </w:rPr>
        <w:t xml:space="preserve"> </w:t>
      </w:r>
      <w:r>
        <w:rPr>
          <w:color w:val="4D4D4F"/>
        </w:rPr>
        <w:t>in</w:t>
      </w:r>
      <w:r>
        <w:rPr>
          <w:color w:val="4D4D4F"/>
          <w:spacing w:val="-4"/>
        </w:rPr>
        <w:t xml:space="preserve"> </w:t>
      </w:r>
      <w:r>
        <w:rPr>
          <w:color w:val="4D4D4F"/>
        </w:rPr>
        <w:t>2020);</w:t>
      </w:r>
      <w:r>
        <w:rPr>
          <w:color w:val="4D4D4F"/>
          <w:spacing w:val="-5"/>
        </w:rPr>
        <w:t xml:space="preserve"> </w:t>
      </w:r>
      <w:r>
        <w:rPr>
          <w:color w:val="4D4D4F"/>
          <w:spacing w:val="-3"/>
        </w:rPr>
        <w:t>however,</w:t>
      </w:r>
      <w:r>
        <w:rPr>
          <w:color w:val="4D4D4F"/>
          <w:spacing w:val="-5"/>
        </w:rPr>
        <w:t xml:space="preserve"> </w:t>
      </w:r>
      <w:r>
        <w:rPr>
          <w:color w:val="4D4D4F"/>
        </w:rPr>
        <w:t>One</w:t>
      </w:r>
      <w:r>
        <w:rPr>
          <w:color w:val="4D4D4F"/>
          <w:spacing w:val="-4"/>
        </w:rPr>
        <w:t xml:space="preserve"> </w:t>
      </w:r>
      <w:r>
        <w:rPr>
          <w:color w:val="4D4D4F"/>
          <w:spacing w:val="-3"/>
        </w:rPr>
        <w:t xml:space="preserve">Tree </w:t>
      </w:r>
      <w:r>
        <w:rPr>
          <w:color w:val="4D4D4F"/>
        </w:rPr>
        <w:t>Rise held a few centimetres of water in its centre, which was just enough to allow some aquatic species to be</w:t>
      </w:r>
      <w:r>
        <w:rPr>
          <w:color w:val="4D4D4F"/>
          <w:spacing w:val="18"/>
        </w:rPr>
        <w:t xml:space="preserve"> </w:t>
      </w:r>
      <w:r>
        <w:rPr>
          <w:color w:val="4D4D4F"/>
        </w:rPr>
        <w:t>detectable.</w:t>
      </w:r>
      <w:r>
        <w:rPr>
          <w:color w:val="4D4D4F"/>
          <w:position w:val="7"/>
          <w:sz w:val="11"/>
        </w:rPr>
        <w:t>156</w:t>
      </w:r>
    </w:p>
    <w:p w14:paraId="4F294882" w14:textId="77777777" w:rsidR="00EF5B27" w:rsidRDefault="00000000">
      <w:pPr>
        <w:pStyle w:val="BodyText"/>
        <w:spacing w:before="117" w:line="254" w:lineRule="auto"/>
        <w:ind w:left="2608"/>
      </w:pPr>
      <w:r>
        <w:rPr>
          <w:color w:val="4D4D4F"/>
        </w:rPr>
        <w:t>Results for this community convey a wide degree of variation, as the appearance of vegetation within this system is often very dynamic due to its rapid wetting and drying cycles. Large fluctuations in vegetation cover sometimes occur year-to-year.</w:t>
      </w:r>
    </w:p>
    <w:p w14:paraId="7DCF836E" w14:textId="77777777" w:rsidR="00EF5B27" w:rsidRDefault="00000000">
      <w:pPr>
        <w:pStyle w:val="BodyText"/>
        <w:spacing w:before="117" w:line="254" w:lineRule="auto"/>
        <w:ind w:left="2608" w:right="715"/>
      </w:pPr>
      <w:r>
        <w:rPr>
          <w:color w:val="4D4D4F"/>
        </w:rPr>
        <w:t>Exotic perennial species have increased steadily over  the  last  few  years.</w:t>
      </w:r>
      <w:r>
        <w:rPr>
          <w:color w:val="4D4D4F"/>
          <w:position w:val="7"/>
          <w:sz w:val="11"/>
        </w:rPr>
        <w:t>157</w:t>
      </w:r>
      <w:r>
        <w:rPr>
          <w:color w:val="4D4D4F"/>
          <w:sz w:val="11"/>
        </w:rPr>
        <w:t xml:space="preserve"> </w:t>
      </w:r>
      <w:r>
        <w:rPr>
          <w:color w:val="4D4D4F"/>
        </w:rPr>
        <w:t>Each</w:t>
      </w:r>
      <w:r>
        <w:rPr>
          <w:color w:val="4D4D4F"/>
          <w:spacing w:val="5"/>
        </w:rPr>
        <w:t xml:space="preserve"> </w:t>
      </w:r>
      <w:r>
        <w:rPr>
          <w:color w:val="4D4D4F"/>
        </w:rPr>
        <w:t>wetland</w:t>
      </w:r>
      <w:r>
        <w:rPr>
          <w:color w:val="4D4D4F"/>
          <w:spacing w:val="5"/>
        </w:rPr>
        <w:t xml:space="preserve"> </w:t>
      </w:r>
      <w:r>
        <w:rPr>
          <w:color w:val="4D4D4F"/>
        </w:rPr>
        <w:t>has</w:t>
      </w:r>
      <w:r>
        <w:rPr>
          <w:color w:val="4D4D4F"/>
          <w:spacing w:val="5"/>
        </w:rPr>
        <w:t xml:space="preserve"> </w:t>
      </w:r>
      <w:r>
        <w:rPr>
          <w:color w:val="4D4D4F"/>
        </w:rPr>
        <w:t>experienced</w:t>
      </w:r>
      <w:r>
        <w:rPr>
          <w:color w:val="4D4D4F"/>
          <w:spacing w:val="5"/>
        </w:rPr>
        <w:t xml:space="preserve"> </w:t>
      </w:r>
      <w:r>
        <w:rPr>
          <w:color w:val="4D4D4F"/>
        </w:rPr>
        <w:t>invasion</w:t>
      </w:r>
      <w:r>
        <w:rPr>
          <w:color w:val="4D4D4F"/>
          <w:spacing w:val="5"/>
        </w:rPr>
        <w:t xml:space="preserve"> </w:t>
      </w:r>
      <w:r>
        <w:rPr>
          <w:color w:val="4D4D4F"/>
        </w:rPr>
        <w:t>from</w:t>
      </w:r>
      <w:r>
        <w:rPr>
          <w:color w:val="4D4D4F"/>
          <w:spacing w:val="5"/>
        </w:rPr>
        <w:t xml:space="preserve"> </w:t>
      </w:r>
      <w:r>
        <w:rPr>
          <w:color w:val="4D4D4F"/>
        </w:rPr>
        <w:t>a</w:t>
      </w:r>
      <w:r>
        <w:rPr>
          <w:color w:val="4D4D4F"/>
          <w:spacing w:val="6"/>
        </w:rPr>
        <w:t xml:space="preserve"> </w:t>
      </w:r>
      <w:r>
        <w:rPr>
          <w:color w:val="4D4D4F"/>
        </w:rPr>
        <w:t>different</w:t>
      </w:r>
      <w:r>
        <w:rPr>
          <w:color w:val="4D4D4F"/>
          <w:spacing w:val="5"/>
        </w:rPr>
        <w:t xml:space="preserve"> </w:t>
      </w:r>
      <w:r>
        <w:rPr>
          <w:color w:val="4D4D4F"/>
        </w:rPr>
        <w:t>mix</w:t>
      </w:r>
      <w:r>
        <w:rPr>
          <w:color w:val="4D4D4F"/>
          <w:spacing w:val="5"/>
        </w:rPr>
        <w:t xml:space="preserve"> </w:t>
      </w:r>
      <w:r>
        <w:rPr>
          <w:color w:val="4D4D4F"/>
        </w:rPr>
        <w:t>of</w:t>
      </w:r>
      <w:r>
        <w:rPr>
          <w:color w:val="4D4D4F"/>
          <w:spacing w:val="5"/>
        </w:rPr>
        <w:t xml:space="preserve"> </w:t>
      </w:r>
      <w:r>
        <w:rPr>
          <w:color w:val="4D4D4F"/>
        </w:rPr>
        <w:t>weed</w:t>
      </w:r>
      <w:r>
        <w:rPr>
          <w:color w:val="4D4D4F"/>
          <w:spacing w:val="5"/>
        </w:rPr>
        <w:t xml:space="preserve"> </w:t>
      </w:r>
      <w:r>
        <w:rPr>
          <w:color w:val="4D4D4F"/>
        </w:rPr>
        <w:t>species</w:t>
      </w:r>
      <w:r>
        <w:rPr>
          <w:color w:val="4D4D4F"/>
          <w:spacing w:val="5"/>
        </w:rPr>
        <w:t xml:space="preserve"> </w:t>
      </w:r>
      <w:r>
        <w:rPr>
          <w:color w:val="4D4D4F"/>
          <w:spacing w:val="-4"/>
        </w:rPr>
        <w:t>(in</w:t>
      </w:r>
    </w:p>
    <w:p w14:paraId="1CF21BDB" w14:textId="77777777" w:rsidR="00EF5B27" w:rsidRDefault="00000000">
      <w:pPr>
        <w:spacing w:before="3" w:line="254" w:lineRule="auto"/>
        <w:ind w:left="2608" w:right="432"/>
        <w:rPr>
          <w:sz w:val="20"/>
        </w:rPr>
      </w:pPr>
      <w:r>
        <w:rPr>
          <w:color w:val="4D4D4F"/>
          <w:w w:val="110"/>
          <w:sz w:val="20"/>
        </w:rPr>
        <w:t>descending</w:t>
      </w:r>
      <w:r>
        <w:rPr>
          <w:color w:val="4D4D4F"/>
          <w:spacing w:val="-31"/>
          <w:w w:val="110"/>
          <w:sz w:val="20"/>
        </w:rPr>
        <w:t xml:space="preserve"> </w:t>
      </w:r>
      <w:r>
        <w:rPr>
          <w:color w:val="4D4D4F"/>
          <w:w w:val="110"/>
          <w:sz w:val="20"/>
        </w:rPr>
        <w:t>order</w:t>
      </w:r>
      <w:r>
        <w:rPr>
          <w:color w:val="4D4D4F"/>
          <w:spacing w:val="-31"/>
          <w:w w:val="110"/>
          <w:sz w:val="20"/>
        </w:rPr>
        <w:t xml:space="preserve"> </w:t>
      </w:r>
      <w:r>
        <w:rPr>
          <w:color w:val="4D4D4F"/>
          <w:w w:val="110"/>
          <w:sz w:val="20"/>
        </w:rPr>
        <w:t>of</w:t>
      </w:r>
      <w:r>
        <w:rPr>
          <w:color w:val="4D4D4F"/>
          <w:spacing w:val="-30"/>
          <w:w w:val="110"/>
          <w:sz w:val="20"/>
        </w:rPr>
        <w:t xml:space="preserve"> </w:t>
      </w:r>
      <w:r>
        <w:rPr>
          <w:color w:val="4D4D4F"/>
          <w:w w:val="110"/>
          <w:sz w:val="20"/>
        </w:rPr>
        <w:t>cover:</w:t>
      </w:r>
      <w:r>
        <w:rPr>
          <w:color w:val="4D4D4F"/>
          <w:spacing w:val="-31"/>
          <w:w w:val="110"/>
          <w:sz w:val="20"/>
        </w:rPr>
        <w:t xml:space="preserve"> </w:t>
      </w:r>
      <w:r>
        <w:rPr>
          <w:color w:val="4D4D4F"/>
          <w:w w:val="110"/>
          <w:sz w:val="20"/>
        </w:rPr>
        <w:t>Windmill:</w:t>
      </w:r>
      <w:r>
        <w:rPr>
          <w:color w:val="4D4D4F"/>
          <w:spacing w:val="-31"/>
          <w:w w:val="110"/>
          <w:sz w:val="20"/>
        </w:rPr>
        <w:t xml:space="preserve"> </w:t>
      </w:r>
      <w:r>
        <w:rPr>
          <w:rFonts w:ascii="Arial Narrow"/>
          <w:i/>
          <w:color w:val="4D4D4F"/>
          <w:spacing w:val="-3"/>
          <w:w w:val="110"/>
          <w:sz w:val="20"/>
        </w:rPr>
        <w:t>Helminthotheca</w:t>
      </w:r>
      <w:r>
        <w:rPr>
          <w:rFonts w:ascii="Arial Narrow"/>
          <w:i/>
          <w:color w:val="4D4D4F"/>
          <w:spacing w:val="-31"/>
          <w:w w:val="110"/>
          <w:sz w:val="20"/>
        </w:rPr>
        <w:t xml:space="preserve"> </w:t>
      </w:r>
      <w:r>
        <w:rPr>
          <w:rFonts w:ascii="Arial Narrow"/>
          <w:i/>
          <w:color w:val="4D4D4F"/>
          <w:w w:val="110"/>
          <w:sz w:val="20"/>
        </w:rPr>
        <w:t>echioides,</w:t>
      </w:r>
      <w:r>
        <w:rPr>
          <w:rFonts w:ascii="Arial Narrow"/>
          <w:i/>
          <w:color w:val="4D4D4F"/>
          <w:spacing w:val="-30"/>
          <w:w w:val="110"/>
          <w:sz w:val="20"/>
        </w:rPr>
        <w:t xml:space="preserve"> </w:t>
      </w:r>
      <w:r>
        <w:rPr>
          <w:rFonts w:ascii="Arial Narrow"/>
          <w:i/>
          <w:color w:val="4D4D4F"/>
          <w:spacing w:val="-3"/>
          <w:w w:val="110"/>
          <w:sz w:val="20"/>
        </w:rPr>
        <w:t>Galenia</w:t>
      </w:r>
      <w:r>
        <w:rPr>
          <w:rFonts w:ascii="Arial Narrow"/>
          <w:i/>
          <w:color w:val="4D4D4F"/>
          <w:spacing w:val="-31"/>
          <w:w w:val="110"/>
          <w:sz w:val="20"/>
        </w:rPr>
        <w:t xml:space="preserve"> </w:t>
      </w:r>
      <w:r>
        <w:rPr>
          <w:rFonts w:ascii="Arial Narrow"/>
          <w:i/>
          <w:color w:val="4D4D4F"/>
          <w:w w:val="110"/>
          <w:sz w:val="20"/>
        </w:rPr>
        <w:t xml:space="preserve">pubescens, </w:t>
      </w:r>
      <w:r>
        <w:rPr>
          <w:rFonts w:ascii="Arial Narrow"/>
          <w:i/>
          <w:color w:val="4D4D4F"/>
          <w:spacing w:val="-3"/>
          <w:w w:val="110"/>
          <w:sz w:val="20"/>
        </w:rPr>
        <w:t xml:space="preserve">Nassella trichotoma, </w:t>
      </w:r>
      <w:r>
        <w:rPr>
          <w:rFonts w:ascii="Arial Narrow"/>
          <w:i/>
          <w:color w:val="4D4D4F"/>
          <w:w w:val="110"/>
          <w:sz w:val="20"/>
        </w:rPr>
        <w:t>Cynara cardunculus</w:t>
      </w:r>
      <w:r>
        <w:rPr>
          <w:color w:val="4D4D4F"/>
          <w:w w:val="110"/>
          <w:sz w:val="20"/>
        </w:rPr>
        <w:t xml:space="preserve">; Cobbledicks Rise: </w:t>
      </w:r>
      <w:r>
        <w:rPr>
          <w:rFonts w:ascii="Arial Narrow"/>
          <w:i/>
          <w:color w:val="4D4D4F"/>
          <w:w w:val="110"/>
          <w:sz w:val="20"/>
        </w:rPr>
        <w:t xml:space="preserve">Hypochaeris </w:t>
      </w:r>
      <w:r>
        <w:rPr>
          <w:rFonts w:ascii="Arial Narrow"/>
          <w:i/>
          <w:color w:val="4D4D4F"/>
          <w:spacing w:val="-3"/>
          <w:w w:val="110"/>
          <w:sz w:val="20"/>
        </w:rPr>
        <w:t xml:space="preserve">radicata, Helminthotheca </w:t>
      </w:r>
      <w:r>
        <w:rPr>
          <w:rFonts w:ascii="Arial Narrow"/>
          <w:i/>
          <w:color w:val="4D4D4F"/>
          <w:w w:val="110"/>
          <w:sz w:val="20"/>
        </w:rPr>
        <w:t xml:space="preserve">echioides, Cynara cardunculus, </w:t>
      </w:r>
      <w:r>
        <w:rPr>
          <w:rFonts w:ascii="Arial Narrow"/>
          <w:i/>
          <w:color w:val="4D4D4F"/>
          <w:spacing w:val="-3"/>
          <w:w w:val="110"/>
          <w:sz w:val="20"/>
        </w:rPr>
        <w:t xml:space="preserve">Nassella </w:t>
      </w:r>
      <w:r>
        <w:rPr>
          <w:rFonts w:ascii="Arial Narrow"/>
          <w:i/>
          <w:color w:val="4D4D4F"/>
          <w:w w:val="110"/>
          <w:sz w:val="20"/>
        </w:rPr>
        <w:t>trichotoma</w:t>
      </w:r>
      <w:r>
        <w:rPr>
          <w:color w:val="4D4D4F"/>
          <w:w w:val="110"/>
          <w:sz w:val="20"/>
        </w:rPr>
        <w:t xml:space="preserve">; One </w:t>
      </w:r>
      <w:r>
        <w:rPr>
          <w:color w:val="4D4D4F"/>
          <w:spacing w:val="-3"/>
          <w:w w:val="110"/>
          <w:sz w:val="20"/>
        </w:rPr>
        <w:t xml:space="preserve">Tree </w:t>
      </w:r>
      <w:r>
        <w:rPr>
          <w:color w:val="4D4D4F"/>
          <w:w w:val="110"/>
          <w:sz w:val="20"/>
        </w:rPr>
        <w:t xml:space="preserve">Rise: </w:t>
      </w:r>
      <w:r>
        <w:rPr>
          <w:rFonts w:ascii="Arial Narrow"/>
          <w:i/>
          <w:color w:val="4D4D4F"/>
          <w:spacing w:val="-3"/>
          <w:w w:val="110"/>
          <w:sz w:val="20"/>
        </w:rPr>
        <w:t xml:space="preserve">Galenia </w:t>
      </w:r>
      <w:r>
        <w:rPr>
          <w:rFonts w:ascii="Arial Narrow"/>
          <w:i/>
          <w:color w:val="4D4D4F"/>
          <w:w w:val="110"/>
          <w:sz w:val="20"/>
        </w:rPr>
        <w:t xml:space="preserve">pubescens, </w:t>
      </w:r>
      <w:r>
        <w:rPr>
          <w:rFonts w:ascii="Arial Narrow"/>
          <w:i/>
          <w:color w:val="4D4D4F"/>
          <w:spacing w:val="-3"/>
          <w:w w:val="110"/>
          <w:sz w:val="20"/>
        </w:rPr>
        <w:t>Phalaris aquatica, Helminthotheca</w:t>
      </w:r>
      <w:r>
        <w:rPr>
          <w:rFonts w:ascii="Arial Narrow"/>
          <w:i/>
          <w:color w:val="4D4D4F"/>
          <w:spacing w:val="14"/>
          <w:w w:val="110"/>
          <w:sz w:val="20"/>
        </w:rPr>
        <w:t xml:space="preserve"> </w:t>
      </w:r>
      <w:r>
        <w:rPr>
          <w:rFonts w:ascii="Arial Narrow"/>
          <w:i/>
          <w:color w:val="4D4D4F"/>
          <w:w w:val="110"/>
          <w:sz w:val="20"/>
        </w:rPr>
        <w:t>echioides</w:t>
      </w:r>
      <w:r>
        <w:rPr>
          <w:color w:val="4D4D4F"/>
          <w:w w:val="110"/>
          <w:sz w:val="20"/>
        </w:rPr>
        <w:t>).</w:t>
      </w:r>
    </w:p>
    <w:p w14:paraId="0F237502" w14:textId="77777777" w:rsidR="00EF5B27" w:rsidRDefault="00000000">
      <w:pPr>
        <w:pStyle w:val="BodyText"/>
        <w:spacing w:before="118" w:line="254" w:lineRule="auto"/>
        <w:ind w:left="2608" w:right="151"/>
      </w:pPr>
      <w:r>
        <w:rPr>
          <w:color w:val="4D4D4F"/>
          <w:spacing w:val="-5"/>
        </w:rPr>
        <w:t xml:space="preserve">Native perennial </w:t>
      </w:r>
      <w:r>
        <w:rPr>
          <w:color w:val="4D4D4F"/>
          <w:spacing w:val="-4"/>
        </w:rPr>
        <w:t xml:space="preserve">species </w:t>
      </w:r>
      <w:r>
        <w:rPr>
          <w:color w:val="4D4D4F"/>
          <w:spacing w:val="-5"/>
        </w:rPr>
        <w:t xml:space="preserve">remain stable, suggesting </w:t>
      </w:r>
      <w:r>
        <w:rPr>
          <w:color w:val="4D4D4F"/>
          <w:spacing w:val="-4"/>
        </w:rPr>
        <w:t xml:space="preserve">that </w:t>
      </w:r>
      <w:r>
        <w:rPr>
          <w:color w:val="4D4D4F"/>
          <w:spacing w:val="-3"/>
        </w:rPr>
        <w:t xml:space="preserve">weed </w:t>
      </w:r>
      <w:r>
        <w:rPr>
          <w:color w:val="4D4D4F"/>
        </w:rPr>
        <w:t xml:space="preserve">growth </w:t>
      </w:r>
      <w:r>
        <w:rPr>
          <w:color w:val="4D4D4F"/>
          <w:spacing w:val="-4"/>
        </w:rPr>
        <w:t xml:space="preserve">is outstripping </w:t>
      </w:r>
      <w:r>
        <w:rPr>
          <w:color w:val="4D4D4F"/>
          <w:spacing w:val="-5"/>
        </w:rPr>
        <w:t xml:space="preserve">native </w:t>
      </w:r>
      <w:r>
        <w:rPr>
          <w:color w:val="4D4D4F"/>
        </w:rPr>
        <w:t xml:space="preserve">growth. It </w:t>
      </w:r>
      <w:r>
        <w:rPr>
          <w:color w:val="4D4D4F"/>
          <w:spacing w:val="-3"/>
        </w:rPr>
        <w:t xml:space="preserve">is </w:t>
      </w:r>
      <w:r>
        <w:rPr>
          <w:color w:val="4D4D4F"/>
          <w:spacing w:val="-5"/>
        </w:rPr>
        <w:t xml:space="preserve">likely </w:t>
      </w:r>
      <w:r>
        <w:rPr>
          <w:color w:val="4D4D4F"/>
          <w:spacing w:val="-3"/>
        </w:rPr>
        <w:t xml:space="preserve">that </w:t>
      </w:r>
      <w:r>
        <w:rPr>
          <w:color w:val="4D4D4F"/>
        </w:rPr>
        <w:t xml:space="preserve">more </w:t>
      </w:r>
      <w:r>
        <w:rPr>
          <w:color w:val="4D4D4F"/>
          <w:spacing w:val="-4"/>
        </w:rPr>
        <w:t xml:space="preserve">intensive </w:t>
      </w:r>
      <w:r>
        <w:rPr>
          <w:color w:val="4D4D4F"/>
        </w:rPr>
        <w:t xml:space="preserve">weed control may have </w:t>
      </w:r>
      <w:r>
        <w:rPr>
          <w:color w:val="4D4D4F"/>
          <w:spacing w:val="-3"/>
        </w:rPr>
        <w:t xml:space="preserve">prevented </w:t>
      </w:r>
      <w:r>
        <w:rPr>
          <w:color w:val="4D4D4F"/>
          <w:spacing w:val="-4"/>
        </w:rPr>
        <w:t>this situation.</w:t>
      </w:r>
      <w:r>
        <w:rPr>
          <w:color w:val="4D4D4F"/>
          <w:spacing w:val="-4"/>
          <w:position w:val="7"/>
          <w:sz w:val="11"/>
        </w:rPr>
        <w:t xml:space="preserve">158 </w:t>
      </w:r>
      <w:r>
        <w:rPr>
          <w:color w:val="4D4D4F"/>
        </w:rPr>
        <w:t xml:space="preserve">It </w:t>
      </w:r>
      <w:r>
        <w:rPr>
          <w:color w:val="4D4D4F"/>
          <w:spacing w:val="-3"/>
        </w:rPr>
        <w:t xml:space="preserve">is </w:t>
      </w:r>
      <w:r>
        <w:rPr>
          <w:color w:val="4D4D4F"/>
          <w:spacing w:val="-5"/>
        </w:rPr>
        <w:t xml:space="preserve">likely </w:t>
      </w:r>
      <w:r>
        <w:rPr>
          <w:color w:val="4D4D4F"/>
          <w:spacing w:val="-3"/>
        </w:rPr>
        <w:t xml:space="preserve">that </w:t>
      </w:r>
      <w:r>
        <w:rPr>
          <w:color w:val="4D4D4F"/>
        </w:rPr>
        <w:t xml:space="preserve">the increase </w:t>
      </w:r>
      <w:r>
        <w:rPr>
          <w:color w:val="4D4D4F"/>
          <w:spacing w:val="-3"/>
        </w:rPr>
        <w:t xml:space="preserve">in </w:t>
      </w:r>
      <w:r>
        <w:rPr>
          <w:color w:val="4D4D4F"/>
        </w:rPr>
        <w:t xml:space="preserve">weed cover has been exacerbated by two successive and </w:t>
      </w:r>
      <w:r>
        <w:rPr>
          <w:color w:val="4D4D4F"/>
          <w:spacing w:val="-3"/>
        </w:rPr>
        <w:t xml:space="preserve">relatively </w:t>
      </w:r>
      <w:r>
        <w:rPr>
          <w:color w:val="4D4D4F"/>
        </w:rPr>
        <w:t xml:space="preserve">wet years </w:t>
      </w:r>
      <w:r>
        <w:rPr>
          <w:color w:val="4D4D4F"/>
          <w:spacing w:val="-3"/>
        </w:rPr>
        <w:t xml:space="preserve">that </w:t>
      </w:r>
      <w:r>
        <w:rPr>
          <w:color w:val="4D4D4F"/>
        </w:rPr>
        <w:t xml:space="preserve">have caused rapid growth but no </w:t>
      </w:r>
      <w:r>
        <w:rPr>
          <w:color w:val="4D4D4F"/>
          <w:spacing w:val="-3"/>
        </w:rPr>
        <w:t xml:space="preserve">substantial inundation </w:t>
      </w:r>
      <w:r>
        <w:rPr>
          <w:color w:val="4D4D4F"/>
        </w:rPr>
        <w:t xml:space="preserve">which would </w:t>
      </w:r>
      <w:r>
        <w:rPr>
          <w:color w:val="4D4D4F"/>
          <w:spacing w:val="-3"/>
        </w:rPr>
        <w:t xml:space="preserve">likely </w:t>
      </w:r>
      <w:r>
        <w:rPr>
          <w:color w:val="4D4D4F"/>
        </w:rPr>
        <w:t>drown the weeds. Inundation does not appear to kill the weed seed bank.</w:t>
      </w:r>
    </w:p>
    <w:p w14:paraId="5E4C7609" w14:textId="77777777" w:rsidR="00EF5B27" w:rsidRDefault="00000000">
      <w:pPr>
        <w:pStyle w:val="BodyText"/>
        <w:spacing w:before="120" w:line="254" w:lineRule="auto"/>
        <w:ind w:left="2608" w:right="465"/>
      </w:pPr>
      <w:r>
        <w:rPr>
          <w:color w:val="4D4D4F"/>
        </w:rPr>
        <w:t>The native forbs which persist in the wetlands are doing well. They remain as abundant and as rich as they were when first monitored in 2014.</w:t>
      </w:r>
    </w:p>
    <w:p w14:paraId="36592CD5" w14:textId="77777777" w:rsidR="00EF5B27" w:rsidRDefault="00000000">
      <w:pPr>
        <w:pStyle w:val="BodyText"/>
        <w:spacing w:before="115" w:line="254" w:lineRule="auto"/>
        <w:ind w:left="2608" w:right="221"/>
      </w:pPr>
      <w:r>
        <w:rPr>
          <w:color w:val="4D4D4F"/>
        </w:rPr>
        <w:t>According to the definition in the listing advice, based on the presence of indicator herb species, Windmill and Cobbledicks Rise qualify as ‘high quality sites’. One Tree Rise does not (which has been the case most years since monitoring began).</w:t>
      </w:r>
    </w:p>
    <w:p w14:paraId="1619C0FF" w14:textId="77777777" w:rsidR="00EF5B27" w:rsidRDefault="00EF5B27">
      <w:pPr>
        <w:pStyle w:val="BodyText"/>
      </w:pPr>
    </w:p>
    <w:p w14:paraId="750DB367" w14:textId="77777777" w:rsidR="00EF5B27" w:rsidRDefault="00000000">
      <w:pPr>
        <w:pStyle w:val="BodyText"/>
        <w:spacing w:before="8"/>
        <w:rPr>
          <w:sz w:val="10"/>
        </w:rPr>
      </w:pPr>
      <w:r>
        <w:pict w14:anchorId="1DD5D8C3">
          <v:line id="_x0000_s3191" style="position:absolute;z-index:251564544;mso-wrap-distance-left:0;mso-wrap-distance-right:0;mso-position-horizontal-relative:page" from="181.4pt,8.75pt" to="538.6pt,8.75pt" strokecolor="#4d4d4f" strokeweight=".5pt">
            <w10:wrap type="topAndBottom" anchorx="page"/>
          </v:line>
        </w:pict>
      </w:r>
    </w:p>
    <w:p w14:paraId="29A85C2C" w14:textId="77777777" w:rsidR="00EF5B27" w:rsidRDefault="00000000">
      <w:pPr>
        <w:pStyle w:val="ListParagraph"/>
        <w:numPr>
          <w:ilvl w:val="0"/>
          <w:numId w:val="36"/>
        </w:numPr>
        <w:tabs>
          <w:tab w:val="left" w:pos="2836"/>
        </w:tabs>
        <w:spacing w:before="83" w:line="143" w:lineRule="exact"/>
        <w:rPr>
          <w:sz w:val="12"/>
        </w:rPr>
      </w:pPr>
      <w:r>
        <w:rPr>
          <w:color w:val="4D4D4F"/>
          <w:sz w:val="12"/>
        </w:rPr>
        <w:t>DELWP,</w:t>
      </w:r>
      <w:r>
        <w:rPr>
          <w:color w:val="4D4D4F"/>
          <w:spacing w:val="9"/>
          <w:sz w:val="12"/>
        </w:rPr>
        <w:t xml:space="preserve"> </w:t>
      </w:r>
      <w:r>
        <w:rPr>
          <w:color w:val="4D4D4F"/>
          <w:sz w:val="12"/>
        </w:rPr>
        <w:t>internal</w:t>
      </w:r>
      <w:r>
        <w:rPr>
          <w:color w:val="4D4D4F"/>
          <w:spacing w:val="9"/>
          <w:sz w:val="12"/>
        </w:rPr>
        <w:t xml:space="preserve"> </w:t>
      </w:r>
      <w:r>
        <w:rPr>
          <w:color w:val="4D4D4F"/>
          <w:sz w:val="12"/>
        </w:rPr>
        <w:t>document,</w:t>
      </w:r>
      <w:r>
        <w:rPr>
          <w:color w:val="4D4D4F"/>
          <w:spacing w:val="10"/>
          <w:sz w:val="12"/>
        </w:rPr>
        <w:t xml:space="preserve"> </w:t>
      </w:r>
      <w:r>
        <w:rPr>
          <w:color w:val="4D4D4F"/>
          <w:sz w:val="12"/>
        </w:rPr>
        <w:t>provided</w:t>
      </w:r>
      <w:r>
        <w:rPr>
          <w:color w:val="4D4D4F"/>
          <w:spacing w:val="9"/>
          <w:sz w:val="12"/>
        </w:rPr>
        <w:t xml:space="preserve"> </w:t>
      </w:r>
      <w:r>
        <w:rPr>
          <w:color w:val="4D4D4F"/>
          <w:sz w:val="12"/>
        </w:rPr>
        <w:t>7</w:t>
      </w:r>
      <w:r>
        <w:rPr>
          <w:color w:val="4D4D4F"/>
          <w:spacing w:val="10"/>
          <w:sz w:val="12"/>
        </w:rPr>
        <w:t xml:space="preserve"> </w:t>
      </w:r>
      <w:r>
        <w:rPr>
          <w:color w:val="4D4D4F"/>
          <w:spacing w:val="2"/>
          <w:sz w:val="12"/>
        </w:rPr>
        <w:t>February</w:t>
      </w:r>
      <w:r>
        <w:rPr>
          <w:color w:val="4D4D4F"/>
          <w:spacing w:val="9"/>
          <w:sz w:val="12"/>
        </w:rPr>
        <w:t xml:space="preserve"> </w:t>
      </w:r>
      <w:r>
        <w:rPr>
          <w:color w:val="4D4D4F"/>
          <w:spacing w:val="2"/>
          <w:sz w:val="12"/>
        </w:rPr>
        <w:t>2022.</w:t>
      </w:r>
    </w:p>
    <w:p w14:paraId="3AE4D13C" w14:textId="77777777" w:rsidR="00EF5B27" w:rsidRDefault="00000000">
      <w:pPr>
        <w:pStyle w:val="ListParagraph"/>
        <w:numPr>
          <w:ilvl w:val="0"/>
          <w:numId w:val="36"/>
        </w:numPr>
        <w:tabs>
          <w:tab w:val="left" w:pos="2836"/>
        </w:tabs>
        <w:spacing w:line="140" w:lineRule="exact"/>
        <w:rPr>
          <w:sz w:val="12"/>
        </w:rPr>
      </w:pPr>
      <w:r>
        <w:rPr>
          <w:color w:val="4D4D4F"/>
          <w:sz w:val="12"/>
        </w:rPr>
        <w:t>DELWP,</w:t>
      </w:r>
      <w:r>
        <w:rPr>
          <w:color w:val="4D4D4F"/>
          <w:spacing w:val="9"/>
          <w:sz w:val="12"/>
        </w:rPr>
        <w:t xml:space="preserve"> </w:t>
      </w:r>
      <w:r>
        <w:rPr>
          <w:color w:val="4D4D4F"/>
          <w:sz w:val="12"/>
        </w:rPr>
        <w:t>internal</w:t>
      </w:r>
      <w:r>
        <w:rPr>
          <w:color w:val="4D4D4F"/>
          <w:spacing w:val="9"/>
          <w:sz w:val="12"/>
        </w:rPr>
        <w:t xml:space="preserve"> </w:t>
      </w:r>
      <w:r>
        <w:rPr>
          <w:color w:val="4D4D4F"/>
          <w:sz w:val="12"/>
        </w:rPr>
        <w:t>document,</w:t>
      </w:r>
      <w:r>
        <w:rPr>
          <w:color w:val="4D4D4F"/>
          <w:spacing w:val="10"/>
          <w:sz w:val="12"/>
        </w:rPr>
        <w:t xml:space="preserve"> </w:t>
      </w:r>
      <w:r>
        <w:rPr>
          <w:color w:val="4D4D4F"/>
          <w:sz w:val="12"/>
        </w:rPr>
        <w:t>provided</w:t>
      </w:r>
      <w:r>
        <w:rPr>
          <w:color w:val="4D4D4F"/>
          <w:spacing w:val="9"/>
          <w:sz w:val="12"/>
        </w:rPr>
        <w:t xml:space="preserve"> </w:t>
      </w:r>
      <w:r>
        <w:rPr>
          <w:color w:val="4D4D4F"/>
          <w:sz w:val="12"/>
        </w:rPr>
        <w:t>7</w:t>
      </w:r>
      <w:r>
        <w:rPr>
          <w:color w:val="4D4D4F"/>
          <w:spacing w:val="10"/>
          <w:sz w:val="12"/>
        </w:rPr>
        <w:t xml:space="preserve"> </w:t>
      </w:r>
      <w:r>
        <w:rPr>
          <w:color w:val="4D4D4F"/>
          <w:spacing w:val="2"/>
          <w:sz w:val="12"/>
        </w:rPr>
        <w:t>February</w:t>
      </w:r>
      <w:r>
        <w:rPr>
          <w:color w:val="4D4D4F"/>
          <w:spacing w:val="9"/>
          <w:sz w:val="12"/>
        </w:rPr>
        <w:t xml:space="preserve"> </w:t>
      </w:r>
      <w:r>
        <w:rPr>
          <w:color w:val="4D4D4F"/>
          <w:spacing w:val="2"/>
          <w:sz w:val="12"/>
        </w:rPr>
        <w:t>2022.</w:t>
      </w:r>
    </w:p>
    <w:p w14:paraId="773BCF0C" w14:textId="77777777" w:rsidR="00EF5B27" w:rsidRDefault="00000000">
      <w:pPr>
        <w:pStyle w:val="ListParagraph"/>
        <w:numPr>
          <w:ilvl w:val="0"/>
          <w:numId w:val="36"/>
        </w:numPr>
        <w:tabs>
          <w:tab w:val="left" w:pos="2836"/>
        </w:tabs>
        <w:spacing w:line="143" w:lineRule="exact"/>
        <w:rPr>
          <w:sz w:val="12"/>
        </w:rPr>
      </w:pPr>
      <w:r>
        <w:rPr>
          <w:color w:val="4D4D4F"/>
          <w:sz w:val="12"/>
        </w:rPr>
        <w:t xml:space="preserve">DELWP Officer, personal communication, 15 </w:t>
      </w:r>
      <w:r>
        <w:rPr>
          <w:color w:val="4D4D4F"/>
          <w:spacing w:val="2"/>
          <w:sz w:val="12"/>
        </w:rPr>
        <w:t>February</w:t>
      </w:r>
      <w:r>
        <w:rPr>
          <w:color w:val="4D4D4F"/>
          <w:spacing w:val="14"/>
          <w:sz w:val="12"/>
        </w:rPr>
        <w:t xml:space="preserve"> </w:t>
      </w:r>
      <w:r>
        <w:rPr>
          <w:color w:val="4D4D4F"/>
          <w:spacing w:val="2"/>
          <w:sz w:val="12"/>
        </w:rPr>
        <w:t>2022.</w:t>
      </w:r>
    </w:p>
    <w:p w14:paraId="4C8300E9"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58C6C6BB" w14:textId="77777777" w:rsidR="00EF5B27" w:rsidRDefault="00000000">
      <w:pPr>
        <w:pStyle w:val="BodyText"/>
      </w:pPr>
      <w:r>
        <w:lastRenderedPageBreak/>
        <w:pict w14:anchorId="2FE96823">
          <v:group id="_x0000_s3183" style="position:absolute;margin-left:587.05pt;margin-top:183.4pt;width:8.25pt;height:153.1pt;z-index:251619840;mso-position-horizontal-relative:page;mso-position-vertical-relative:page" coordorigin="11741,3668" coordsize="165,3062">
            <v:shape id="_x0000_s3190" style="position:absolute;left:11741;top:3668;width:165;height:561" coordorigin="11741,3668" coordsize="165,561" path="m11906,3668r-165,l11741,4228r165,-18l11906,3668xe" fillcolor="#00aed9" stroked="f">
              <v:path arrowok="t"/>
            </v:shape>
            <v:shape id="_x0000_s3189" style="position:absolute;left:11741;top:4118;width:165;height:425" coordorigin="11741,4118" coordsize="165,425" path="m11906,4118r-165,14l11741,4531r165,12l11906,4118xe" fillcolor="#047ebc" stroked="f">
              <v:path arrowok="t"/>
            </v:shape>
            <v:shape id="_x0000_s3188" type="#_x0000_t75" style="position:absolute;left:11741;top:4355;width:165;height:587">
              <v:imagedata r:id="rId42" o:title=""/>
            </v:shape>
            <v:shape id="_x0000_s3187" style="position:absolute;left:11741;top:5343;width:165;height:536" coordorigin="11741,5343" coordsize="165,536" path="m11741,5343r,535l11906,5872r,-525l11741,5343xe" fillcolor="#f36a2e" stroked="f">
              <v:path arrowok="t"/>
            </v:shape>
            <v:shape id="_x0000_s3186" style="position:absolute;left:11741;top:4925;width:165;height:501" coordorigin="11741,4926" coordsize="165,501" path="m11741,4926r,500l11906,5426r,-485l11741,4926xe" fillcolor="#49783f" stroked="f">
              <v:path arrowok="t"/>
            </v:shape>
            <v:shape id="_x0000_s3185" style="position:absolute;left:11741;top:5781;width:165;height:268" coordorigin="11741,5782" coordsize="165,268" path="m11906,5782r-165,8l11741,6039r165,10l11906,5782xe" fillcolor="#f99f2a" stroked="f">
              <v:path arrowok="t"/>
            </v:shape>
            <v:shape id="_x0000_s3184" style="position:absolute;left:11741;top:6023;width:165;height:707" coordorigin="11741,6023" coordsize="165,707" path="m11741,6023r,706l11906,6729r,-690l11741,6023xe" fillcolor="#ef412c" stroked="f">
              <v:path arrowok="t"/>
            </v:shape>
            <w10:wrap anchorx="page" anchory="page"/>
          </v:group>
        </w:pict>
      </w:r>
    </w:p>
    <w:p w14:paraId="5CC2D6D6" w14:textId="77777777" w:rsidR="00EF5B27" w:rsidRDefault="00EF5B27">
      <w:pPr>
        <w:pStyle w:val="BodyText"/>
      </w:pPr>
    </w:p>
    <w:p w14:paraId="39B8C6F4" w14:textId="77777777" w:rsidR="00EF5B27" w:rsidRDefault="00EF5B27">
      <w:pPr>
        <w:pStyle w:val="BodyText"/>
      </w:pPr>
    </w:p>
    <w:p w14:paraId="00B5581C" w14:textId="77777777" w:rsidR="00EF5B27" w:rsidRDefault="00EF5B27">
      <w:pPr>
        <w:pStyle w:val="BodyText"/>
        <w:spacing w:before="4"/>
        <w:rPr>
          <w:sz w:val="25"/>
        </w:rPr>
      </w:pPr>
    </w:p>
    <w:p w14:paraId="4801D900" w14:textId="77777777" w:rsidR="00EF5B27" w:rsidRDefault="00000000">
      <w:pPr>
        <w:pStyle w:val="BodyText"/>
        <w:spacing w:before="100" w:line="254" w:lineRule="auto"/>
        <w:ind w:left="2608"/>
      </w:pPr>
      <w:r>
        <w:rPr>
          <w:color w:val="4D4D4F"/>
        </w:rPr>
        <w:t xml:space="preserve">New </w:t>
      </w:r>
      <w:r>
        <w:rPr>
          <w:color w:val="4D4D4F"/>
          <w:spacing w:val="-4"/>
        </w:rPr>
        <w:t xml:space="preserve">sites </w:t>
      </w:r>
      <w:r>
        <w:rPr>
          <w:color w:val="4D4D4F"/>
        </w:rPr>
        <w:t xml:space="preserve">are expected </w:t>
      </w:r>
      <w:r>
        <w:rPr>
          <w:color w:val="4D4D4F"/>
          <w:spacing w:val="-3"/>
        </w:rPr>
        <w:t xml:space="preserve">to </w:t>
      </w:r>
      <w:r>
        <w:rPr>
          <w:color w:val="4D4D4F"/>
        </w:rPr>
        <w:t xml:space="preserve">be </w:t>
      </w:r>
      <w:r>
        <w:rPr>
          <w:color w:val="4D4D4F"/>
          <w:spacing w:val="-4"/>
        </w:rPr>
        <w:t>coming</w:t>
      </w:r>
      <w:r>
        <w:rPr>
          <w:color w:val="4D4D4F"/>
          <w:spacing w:val="-5"/>
        </w:rPr>
        <w:t xml:space="preserve"> into </w:t>
      </w:r>
      <w:r>
        <w:rPr>
          <w:color w:val="4D4D4F"/>
        </w:rPr>
        <w:t xml:space="preserve">MSA </w:t>
      </w:r>
      <w:r>
        <w:rPr>
          <w:color w:val="4D4D4F"/>
          <w:spacing w:val="-4"/>
        </w:rPr>
        <w:t xml:space="preserve">management </w:t>
      </w:r>
      <w:r>
        <w:rPr>
          <w:color w:val="4D4D4F"/>
          <w:spacing w:val="-3"/>
        </w:rPr>
        <w:t xml:space="preserve">over the </w:t>
      </w:r>
      <w:r>
        <w:rPr>
          <w:color w:val="4D4D4F"/>
        </w:rPr>
        <w:t xml:space="preserve">next </w:t>
      </w:r>
      <w:r>
        <w:rPr>
          <w:color w:val="4D4D4F"/>
          <w:spacing w:val="-3"/>
        </w:rPr>
        <w:t xml:space="preserve">few </w:t>
      </w:r>
      <w:r>
        <w:rPr>
          <w:color w:val="4D4D4F"/>
        </w:rPr>
        <w:t xml:space="preserve">years, </w:t>
      </w:r>
      <w:r>
        <w:rPr>
          <w:color w:val="4D4D4F"/>
          <w:spacing w:val="-3"/>
        </w:rPr>
        <w:t xml:space="preserve">with </w:t>
      </w:r>
      <w:r>
        <w:rPr>
          <w:color w:val="4D4D4F"/>
        </w:rPr>
        <w:t>inventory survey work having already commenced on one of the new ones this spring.</w:t>
      </w:r>
    </w:p>
    <w:p w14:paraId="09EEC300" w14:textId="77777777" w:rsidR="00EF5B27" w:rsidRDefault="00000000">
      <w:pPr>
        <w:pStyle w:val="BodyText"/>
        <w:spacing w:before="116" w:line="254" w:lineRule="auto"/>
        <w:ind w:left="2608" w:right="221"/>
        <w:rPr>
          <w:sz w:val="11"/>
        </w:rPr>
      </w:pPr>
      <w:r>
        <w:rPr>
          <w:color w:val="4D4D4F"/>
        </w:rPr>
        <w:t>The overall outlook for the wetlands is stable, according to DELWP, with this confidence in part due to the knowledge of these wetland vegetation communities as being highly resilient to short- to medium-term droughts.</w:t>
      </w:r>
      <w:r>
        <w:rPr>
          <w:color w:val="4D4D4F"/>
          <w:position w:val="7"/>
          <w:sz w:val="11"/>
        </w:rPr>
        <w:t>159</w:t>
      </w:r>
    </w:p>
    <w:p w14:paraId="27BB8874" w14:textId="77777777" w:rsidR="00EF5B27" w:rsidRDefault="00EF5B27">
      <w:pPr>
        <w:pStyle w:val="BodyText"/>
        <w:spacing w:before="4"/>
        <w:rPr>
          <w:sz w:val="22"/>
        </w:rPr>
      </w:pPr>
    </w:p>
    <w:p w14:paraId="606E9F7B" w14:textId="77777777" w:rsidR="00EF5B27" w:rsidRDefault="00000000">
      <w:pPr>
        <w:ind w:left="2608"/>
        <w:rPr>
          <w:b/>
          <w:sz w:val="24"/>
        </w:rPr>
      </w:pPr>
      <w:bookmarkStart w:id="65" w:name="_heading=h.1x0gk37"/>
      <w:bookmarkEnd w:id="65"/>
      <w:r>
        <w:rPr>
          <w:b/>
          <w:color w:val="F99F2A"/>
          <w:sz w:val="24"/>
        </w:rPr>
        <w:t>Key insights and management implications</w:t>
      </w:r>
    </w:p>
    <w:p w14:paraId="0EE92D9E" w14:textId="77777777" w:rsidR="00EF5B27" w:rsidRDefault="00000000">
      <w:pPr>
        <w:pStyle w:val="BodyText"/>
        <w:spacing w:before="232" w:line="254" w:lineRule="auto"/>
        <w:ind w:left="2608" w:right="465"/>
      </w:pPr>
      <w:r>
        <w:rPr>
          <w:color w:val="4D4D4F"/>
        </w:rPr>
        <w:t xml:space="preserve">DELWP’s monitoring and reporting protocol for the Seasonal Herbaceous Wetlands would appear scientifically robust and informed by available research. The KPIs appear to be adequate for capturing variation in the current system and providing an appropriate measure of its trajectory. </w:t>
      </w:r>
      <w:r>
        <w:rPr>
          <w:color w:val="4D4D4F"/>
          <w:spacing w:val="-3"/>
        </w:rPr>
        <w:t xml:space="preserve">However, </w:t>
      </w:r>
      <w:r>
        <w:rPr>
          <w:color w:val="4D4D4F"/>
        </w:rPr>
        <w:t>linkages between KPIs and management outputs remain</w:t>
      </w:r>
      <w:r>
        <w:rPr>
          <w:color w:val="4D4D4F"/>
          <w:spacing w:val="12"/>
        </w:rPr>
        <w:t xml:space="preserve"> </w:t>
      </w:r>
      <w:r>
        <w:rPr>
          <w:color w:val="4D4D4F"/>
          <w:spacing w:val="-3"/>
        </w:rPr>
        <w:t>unclear.</w:t>
      </w:r>
    </w:p>
    <w:p w14:paraId="2287CA83" w14:textId="77777777" w:rsidR="00EF5B27" w:rsidRDefault="00000000">
      <w:pPr>
        <w:pStyle w:val="BodyText"/>
        <w:spacing w:before="119" w:line="254" w:lineRule="auto"/>
        <w:ind w:left="2608" w:right="352"/>
        <w:rPr>
          <w:sz w:val="11"/>
        </w:rPr>
      </w:pPr>
      <w:r>
        <w:rPr>
          <w:color w:val="4D4D4F"/>
        </w:rPr>
        <w:t xml:space="preserve">Due to seasonal variability and the ephemeral nature of the wetlands, assigning measures that indicate a change in wetland condition is difficult. Further, wetland species are highly resilient, with some having the ability to survive in </w:t>
      </w:r>
      <w:r>
        <w:rPr>
          <w:color w:val="4D4D4F"/>
          <w:spacing w:val="2"/>
        </w:rPr>
        <w:t xml:space="preserve">dry </w:t>
      </w:r>
      <w:r>
        <w:rPr>
          <w:color w:val="4D4D4F"/>
        </w:rPr>
        <w:t>periods for several years before re-emerging.</w:t>
      </w:r>
      <w:r>
        <w:rPr>
          <w:color w:val="4D4D4F"/>
          <w:position w:val="7"/>
          <w:sz w:val="11"/>
        </w:rPr>
        <w:t xml:space="preserve">160 </w:t>
      </w:r>
      <w:r>
        <w:rPr>
          <w:color w:val="4D4D4F"/>
        </w:rPr>
        <w:t xml:space="preserve">According to </w:t>
      </w:r>
      <w:r>
        <w:rPr>
          <w:color w:val="4D4D4F"/>
          <w:spacing w:val="-4"/>
        </w:rPr>
        <w:t xml:space="preserve">DELWP, </w:t>
      </w:r>
      <w:r>
        <w:rPr>
          <w:color w:val="4D4D4F"/>
        </w:rPr>
        <w:t xml:space="preserve">the monitoring protocol was challenging to develop, due to there being ‘no single obvious thing to measure’, and due to this community being highly dynamic – changing from one state in a wet season to ‘virtually bare ground’ in a </w:t>
      </w:r>
      <w:r>
        <w:rPr>
          <w:color w:val="4D4D4F"/>
          <w:spacing w:val="2"/>
        </w:rPr>
        <w:t>dry</w:t>
      </w:r>
      <w:r>
        <w:rPr>
          <w:color w:val="4D4D4F"/>
          <w:spacing w:val="38"/>
        </w:rPr>
        <w:t xml:space="preserve"> </w:t>
      </w:r>
      <w:r>
        <w:rPr>
          <w:color w:val="4D4D4F"/>
          <w:spacing w:val="-4"/>
        </w:rPr>
        <w:t>season.</w:t>
      </w:r>
      <w:r>
        <w:rPr>
          <w:color w:val="4D4D4F"/>
          <w:spacing w:val="-4"/>
          <w:position w:val="7"/>
          <w:sz w:val="11"/>
        </w:rPr>
        <w:t>161</w:t>
      </w:r>
    </w:p>
    <w:p w14:paraId="4E70BB56" w14:textId="77777777" w:rsidR="00EF5B27" w:rsidRDefault="00000000">
      <w:pPr>
        <w:pStyle w:val="BodyText"/>
        <w:spacing w:before="122" w:line="254" w:lineRule="auto"/>
        <w:ind w:left="2608" w:right="352"/>
      </w:pPr>
      <w:r>
        <w:rPr>
          <w:color w:val="4D4D4F"/>
        </w:rPr>
        <w:t xml:space="preserve">The four KPIs for Seasonal Herbaceous Wetlands are technically two KPIs measured across two scenarios. It is DELWP’s intention to monitor the wetlands </w:t>
      </w:r>
      <w:r>
        <w:rPr>
          <w:color w:val="4D4D4F"/>
          <w:spacing w:val="-3"/>
        </w:rPr>
        <w:t xml:space="preserve">annually, </w:t>
      </w:r>
      <w:r>
        <w:rPr>
          <w:color w:val="4D4D4F"/>
        </w:rPr>
        <w:t xml:space="preserve">however sites can only be monitored at their full expression after they’ve been filled and they’re in a state of drawing down – as it is at this point that most vegetation   and flowering plants appear and are able to be detected. A drawdown event is rare, having only occurred twice in eight years since MSA monitoring commenced. These communities are </w:t>
      </w:r>
      <w:r>
        <w:rPr>
          <w:color w:val="4D4D4F"/>
          <w:spacing w:val="-3"/>
        </w:rPr>
        <w:t xml:space="preserve">likely </w:t>
      </w:r>
      <w:r>
        <w:rPr>
          <w:color w:val="4D4D4F"/>
        </w:rPr>
        <w:t>to go approximately seven to eight years (based roughly on current data) without drawing down, which limits DELWP’s ability to monitor them and gather sufficient data. This will only become more challenging, with</w:t>
      </w:r>
      <w:r>
        <w:rPr>
          <w:color w:val="4D4D4F"/>
          <w:spacing w:val="9"/>
        </w:rPr>
        <w:t xml:space="preserve"> </w:t>
      </w:r>
      <w:r>
        <w:rPr>
          <w:color w:val="4D4D4F"/>
        </w:rPr>
        <w:t>experts</w:t>
      </w:r>
    </w:p>
    <w:p w14:paraId="55CFB17A" w14:textId="77777777" w:rsidR="00EF5B27" w:rsidRDefault="00000000">
      <w:pPr>
        <w:pStyle w:val="BodyText"/>
        <w:spacing w:before="11" w:line="254" w:lineRule="auto"/>
        <w:ind w:left="2608" w:right="151"/>
      </w:pPr>
      <w:r>
        <w:rPr>
          <w:color w:val="4D4D4F"/>
        </w:rPr>
        <w:t>postulating that filling events will get further and further apart with increasing climate change.</w:t>
      </w:r>
      <w:r>
        <w:rPr>
          <w:color w:val="4D4D4F"/>
          <w:position w:val="7"/>
          <w:sz w:val="11"/>
        </w:rPr>
        <w:t xml:space="preserve">162 </w:t>
      </w:r>
      <w:r>
        <w:rPr>
          <w:color w:val="4D4D4F"/>
        </w:rPr>
        <w:t>Therefore it may be worth undertaking actions to ensure that monitoring design is robust and sensitive enough to factor in change over time. It is possible that methods may be adapted to accommodate for future change with potential to impact on the dynamics of the system.</w:t>
      </w:r>
    </w:p>
    <w:p w14:paraId="1BD869FE" w14:textId="77777777" w:rsidR="00EF5B27" w:rsidRDefault="00000000">
      <w:pPr>
        <w:pStyle w:val="BodyText"/>
        <w:spacing w:before="120" w:line="254" w:lineRule="auto"/>
        <w:ind w:left="2608"/>
        <w:rPr>
          <w:sz w:val="11"/>
        </w:rPr>
      </w:pPr>
      <w:r>
        <w:rPr>
          <w:color w:val="4D4D4F"/>
        </w:rPr>
        <w:t>DELWP previously monitored other smaller wetlands to obtain data that fed into their predictive model for the wetlands. ARI indicates the model is highly variable and is not currently in use.</w:t>
      </w:r>
      <w:r>
        <w:rPr>
          <w:color w:val="4D4D4F"/>
          <w:position w:val="7"/>
          <w:sz w:val="11"/>
        </w:rPr>
        <w:t>163</w:t>
      </w:r>
    </w:p>
    <w:p w14:paraId="5866F27D" w14:textId="77777777" w:rsidR="00EF5B27" w:rsidRDefault="00000000">
      <w:pPr>
        <w:pStyle w:val="BodyText"/>
        <w:spacing w:before="117" w:line="254" w:lineRule="auto"/>
        <w:ind w:left="2608" w:right="187"/>
      </w:pPr>
      <w:r>
        <w:rPr>
          <w:color w:val="4D4D4F"/>
        </w:rPr>
        <w:t xml:space="preserve">The increase in weeds may have implications for the persistence of native forbs,  though DELWP is uncertain about the extent to which this is a problem for the wetland community. With respect to the count of native forbs – some are detectable all the time when it's very </w:t>
      </w:r>
      <w:r>
        <w:rPr>
          <w:color w:val="4D4D4F"/>
          <w:spacing w:val="2"/>
        </w:rPr>
        <w:t xml:space="preserve">dry </w:t>
      </w:r>
      <w:r>
        <w:rPr>
          <w:color w:val="4D4D4F"/>
        </w:rPr>
        <w:t>and some species are cryptic and go underground. DELWP     has observed lots of species disappearing and reappearing, and it is possible that the variation observed may be explained by the issue of</w:t>
      </w:r>
      <w:r>
        <w:rPr>
          <w:color w:val="4D4D4F"/>
          <w:spacing w:val="31"/>
        </w:rPr>
        <w:t xml:space="preserve"> </w:t>
      </w:r>
      <w:r>
        <w:rPr>
          <w:color w:val="4D4D4F"/>
        </w:rPr>
        <w:t>detectability.</w:t>
      </w:r>
    </w:p>
    <w:p w14:paraId="00718E9D" w14:textId="77777777" w:rsidR="00EF5B27" w:rsidRDefault="00000000">
      <w:pPr>
        <w:pStyle w:val="BodyText"/>
        <w:spacing w:before="7"/>
        <w:rPr>
          <w:sz w:val="23"/>
        </w:rPr>
      </w:pPr>
      <w:r>
        <w:pict w14:anchorId="284CE281">
          <v:line id="_x0000_s3182" style="position:absolute;z-index:251565568;mso-wrap-distance-left:0;mso-wrap-distance-right:0;mso-position-horizontal-relative:page" from="181.4pt,16.6pt" to="538.6pt,16.6pt" strokecolor="#4d4d4f" strokeweight=".5pt">
            <w10:wrap type="topAndBottom" anchorx="page"/>
          </v:line>
        </w:pict>
      </w:r>
    </w:p>
    <w:p w14:paraId="1F78D16A" w14:textId="77777777" w:rsidR="00EF5B27" w:rsidRDefault="00000000">
      <w:pPr>
        <w:pStyle w:val="ListParagraph"/>
        <w:numPr>
          <w:ilvl w:val="0"/>
          <w:numId w:val="36"/>
        </w:numPr>
        <w:tabs>
          <w:tab w:val="left" w:pos="2836"/>
        </w:tabs>
        <w:spacing w:before="88" w:line="230" w:lineRule="auto"/>
        <w:ind w:left="2608" w:right="3991" w:firstLine="0"/>
        <w:rPr>
          <w:sz w:val="12"/>
        </w:rPr>
      </w:pPr>
      <w:r>
        <w:rPr>
          <w:color w:val="4D4D4F"/>
          <w:sz w:val="12"/>
        </w:rPr>
        <w:t xml:space="preserve">DELWP Officer, personal communication, 15 </w:t>
      </w:r>
      <w:r>
        <w:rPr>
          <w:color w:val="4D4D4F"/>
          <w:spacing w:val="2"/>
          <w:sz w:val="12"/>
        </w:rPr>
        <w:t xml:space="preserve">February 2022. </w:t>
      </w:r>
      <w:r>
        <w:rPr>
          <w:color w:val="4D4D4F"/>
          <w:sz w:val="12"/>
        </w:rPr>
        <w:t xml:space="preserve">160. DELWP Officer, personal communication, 15 </w:t>
      </w:r>
      <w:r>
        <w:rPr>
          <w:color w:val="4D4D4F"/>
          <w:spacing w:val="2"/>
          <w:sz w:val="12"/>
        </w:rPr>
        <w:t>February</w:t>
      </w:r>
      <w:r>
        <w:rPr>
          <w:color w:val="4D4D4F"/>
          <w:spacing w:val="11"/>
          <w:sz w:val="12"/>
        </w:rPr>
        <w:t xml:space="preserve"> </w:t>
      </w:r>
      <w:r>
        <w:rPr>
          <w:color w:val="4D4D4F"/>
          <w:spacing w:val="2"/>
          <w:sz w:val="12"/>
        </w:rPr>
        <w:t>2022.</w:t>
      </w:r>
    </w:p>
    <w:p w14:paraId="790681B5" w14:textId="77777777" w:rsidR="00EF5B27" w:rsidRDefault="00000000">
      <w:pPr>
        <w:spacing w:line="138" w:lineRule="exact"/>
        <w:ind w:left="2608"/>
        <w:rPr>
          <w:sz w:val="12"/>
        </w:rPr>
      </w:pPr>
      <w:r>
        <w:rPr>
          <w:color w:val="4D4D4F"/>
          <w:spacing w:val="-4"/>
          <w:sz w:val="12"/>
        </w:rPr>
        <w:t xml:space="preserve">161. </w:t>
      </w:r>
      <w:r>
        <w:rPr>
          <w:color w:val="4D4D4F"/>
          <w:spacing w:val="-3"/>
          <w:sz w:val="12"/>
        </w:rPr>
        <w:t xml:space="preserve"> </w:t>
      </w:r>
      <w:r>
        <w:rPr>
          <w:color w:val="4D4D4F"/>
          <w:sz w:val="12"/>
        </w:rPr>
        <w:t>DELWP</w:t>
      </w:r>
      <w:r>
        <w:rPr>
          <w:color w:val="4D4D4F"/>
          <w:spacing w:val="9"/>
          <w:sz w:val="12"/>
        </w:rPr>
        <w:t xml:space="preserve"> </w:t>
      </w:r>
      <w:r>
        <w:rPr>
          <w:color w:val="4D4D4F"/>
          <w:sz w:val="12"/>
        </w:rPr>
        <w:t>Officer,</w:t>
      </w:r>
      <w:r>
        <w:rPr>
          <w:color w:val="4D4D4F"/>
          <w:spacing w:val="9"/>
          <w:sz w:val="12"/>
        </w:rPr>
        <w:t xml:space="preserve"> </w:t>
      </w:r>
      <w:r>
        <w:rPr>
          <w:color w:val="4D4D4F"/>
          <w:sz w:val="12"/>
        </w:rPr>
        <w:t>personal</w:t>
      </w:r>
      <w:r>
        <w:rPr>
          <w:color w:val="4D4D4F"/>
          <w:spacing w:val="8"/>
          <w:sz w:val="12"/>
        </w:rPr>
        <w:t xml:space="preserve"> </w:t>
      </w:r>
      <w:r>
        <w:rPr>
          <w:color w:val="4D4D4F"/>
          <w:sz w:val="12"/>
        </w:rPr>
        <w:t>communication,</w:t>
      </w:r>
      <w:r>
        <w:rPr>
          <w:color w:val="4D4D4F"/>
          <w:spacing w:val="9"/>
          <w:sz w:val="12"/>
        </w:rPr>
        <w:t xml:space="preserve"> </w:t>
      </w:r>
      <w:r>
        <w:rPr>
          <w:color w:val="4D4D4F"/>
          <w:sz w:val="12"/>
        </w:rPr>
        <w:t>21</w:t>
      </w:r>
      <w:r>
        <w:rPr>
          <w:color w:val="4D4D4F"/>
          <w:spacing w:val="9"/>
          <w:sz w:val="12"/>
        </w:rPr>
        <w:t xml:space="preserve"> </w:t>
      </w:r>
      <w:r>
        <w:rPr>
          <w:color w:val="4D4D4F"/>
          <w:sz w:val="12"/>
        </w:rPr>
        <w:t>July</w:t>
      </w:r>
      <w:r>
        <w:rPr>
          <w:color w:val="4D4D4F"/>
          <w:spacing w:val="9"/>
          <w:sz w:val="12"/>
        </w:rPr>
        <w:t xml:space="preserve"> </w:t>
      </w:r>
      <w:r>
        <w:rPr>
          <w:color w:val="4D4D4F"/>
          <w:sz w:val="12"/>
        </w:rPr>
        <w:t>2021.</w:t>
      </w:r>
    </w:p>
    <w:p w14:paraId="09AAFCEC" w14:textId="77777777" w:rsidR="00EF5B27" w:rsidRDefault="00000000">
      <w:pPr>
        <w:spacing w:before="1" w:line="230" w:lineRule="auto"/>
        <w:ind w:left="2607" w:right="4160"/>
        <w:rPr>
          <w:sz w:val="12"/>
        </w:rPr>
      </w:pPr>
      <w:r>
        <w:rPr>
          <w:color w:val="4D4D4F"/>
          <w:sz w:val="12"/>
        </w:rPr>
        <w:t>162. DELWP Officer, personal communication, 21 July 2021. 163.</w:t>
      </w:r>
      <w:r>
        <w:rPr>
          <w:color w:val="4D4D4F"/>
          <w:spacing w:val="-1"/>
          <w:sz w:val="12"/>
        </w:rPr>
        <w:t xml:space="preserve"> </w:t>
      </w: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9"/>
          <w:sz w:val="12"/>
        </w:rPr>
        <w:t xml:space="preserve"> </w:t>
      </w:r>
      <w:r>
        <w:rPr>
          <w:color w:val="4D4D4F"/>
          <w:sz w:val="12"/>
        </w:rPr>
        <w:t>communication,</w:t>
      </w:r>
      <w:r>
        <w:rPr>
          <w:color w:val="4D4D4F"/>
          <w:spacing w:val="10"/>
          <w:sz w:val="12"/>
        </w:rPr>
        <w:t xml:space="preserve"> </w:t>
      </w:r>
      <w:r>
        <w:rPr>
          <w:color w:val="4D4D4F"/>
          <w:sz w:val="12"/>
        </w:rPr>
        <w:t>21</w:t>
      </w:r>
      <w:r>
        <w:rPr>
          <w:color w:val="4D4D4F"/>
          <w:spacing w:val="10"/>
          <w:sz w:val="12"/>
        </w:rPr>
        <w:t xml:space="preserve"> </w:t>
      </w:r>
      <w:r>
        <w:rPr>
          <w:color w:val="4D4D4F"/>
          <w:sz w:val="12"/>
        </w:rPr>
        <w:t>July</w:t>
      </w:r>
      <w:r>
        <w:rPr>
          <w:color w:val="4D4D4F"/>
          <w:spacing w:val="10"/>
          <w:sz w:val="12"/>
        </w:rPr>
        <w:t xml:space="preserve"> </w:t>
      </w:r>
      <w:r>
        <w:rPr>
          <w:color w:val="4D4D4F"/>
          <w:sz w:val="12"/>
        </w:rPr>
        <w:t>2021.</w:t>
      </w:r>
    </w:p>
    <w:p w14:paraId="7FB5A4D9"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76822518" w14:textId="77777777" w:rsidR="00EF5B27" w:rsidRDefault="00000000">
      <w:pPr>
        <w:pStyle w:val="BodyText"/>
      </w:pPr>
      <w:r>
        <w:lastRenderedPageBreak/>
        <w:pict w14:anchorId="289A35E6">
          <v:group id="_x0000_s3174" style="position:absolute;margin-left:587.05pt;margin-top:183.4pt;width:8.25pt;height:153.1pt;z-index:251621888;mso-position-horizontal-relative:page;mso-position-vertical-relative:page" coordorigin="11741,3668" coordsize="165,3062">
            <v:shape id="_x0000_s3181" style="position:absolute;left:11741;top:3668;width:165;height:561" coordorigin="11741,3668" coordsize="165,561" path="m11906,3668r-165,l11741,4228r165,-18l11906,3668xe" fillcolor="#00aed9" stroked="f">
              <v:path arrowok="t"/>
            </v:shape>
            <v:shape id="_x0000_s3180" style="position:absolute;left:11741;top:4118;width:165;height:425" coordorigin="11741,4118" coordsize="165,425" path="m11906,4118r-165,14l11741,4531r165,12l11906,4118xe" fillcolor="#047ebc" stroked="f">
              <v:path arrowok="t"/>
            </v:shape>
            <v:shape id="_x0000_s3179" type="#_x0000_t75" style="position:absolute;left:11741;top:4355;width:165;height:587">
              <v:imagedata r:id="rId42" o:title=""/>
            </v:shape>
            <v:shape id="_x0000_s3178" style="position:absolute;left:11741;top:5343;width:165;height:536" coordorigin="11741,5343" coordsize="165,536" path="m11741,5343r,535l11906,5872r,-525l11741,5343xe" fillcolor="#f36a2e" stroked="f">
              <v:path arrowok="t"/>
            </v:shape>
            <v:shape id="_x0000_s3177" style="position:absolute;left:11741;top:4925;width:165;height:501" coordorigin="11741,4926" coordsize="165,501" path="m11741,4926r,500l11906,5426r,-485l11741,4926xe" fillcolor="#49783f" stroked="f">
              <v:path arrowok="t"/>
            </v:shape>
            <v:shape id="_x0000_s3176" style="position:absolute;left:11741;top:5781;width:165;height:268" coordorigin="11741,5782" coordsize="165,268" path="m11906,5782r-165,8l11741,6039r165,10l11906,5782xe" fillcolor="#f99f2a" stroked="f">
              <v:path arrowok="t"/>
            </v:shape>
            <v:shape id="_x0000_s3175" style="position:absolute;left:11741;top:6023;width:165;height:707" coordorigin="11741,6023" coordsize="165,707" path="m11741,6023r,706l11906,6729r,-690l11741,6023xe" fillcolor="#ef412c" stroked="f">
              <v:path arrowok="t"/>
            </v:shape>
            <w10:wrap anchorx="page" anchory="page"/>
          </v:group>
        </w:pict>
      </w:r>
    </w:p>
    <w:p w14:paraId="79D60B1E" w14:textId="77777777" w:rsidR="00EF5B27" w:rsidRDefault="00EF5B27">
      <w:pPr>
        <w:pStyle w:val="BodyText"/>
      </w:pPr>
    </w:p>
    <w:p w14:paraId="2375726A" w14:textId="77777777" w:rsidR="00EF5B27" w:rsidRDefault="00EF5B27">
      <w:pPr>
        <w:pStyle w:val="BodyText"/>
      </w:pPr>
    </w:p>
    <w:p w14:paraId="6BB3115D" w14:textId="77777777" w:rsidR="00EF5B27" w:rsidRDefault="00EF5B27">
      <w:pPr>
        <w:pStyle w:val="BodyText"/>
        <w:spacing w:before="4"/>
        <w:rPr>
          <w:sz w:val="25"/>
        </w:rPr>
      </w:pPr>
    </w:p>
    <w:p w14:paraId="4FAE1A37" w14:textId="77777777" w:rsidR="00EF5B27" w:rsidRDefault="00000000">
      <w:pPr>
        <w:pStyle w:val="BodyText"/>
        <w:spacing w:before="100" w:line="254" w:lineRule="auto"/>
        <w:ind w:left="2608" w:right="166"/>
      </w:pPr>
      <w:r>
        <w:rPr>
          <w:color w:val="4D4D4F"/>
          <w:spacing w:val="-3"/>
        </w:rPr>
        <w:t xml:space="preserve">However, </w:t>
      </w:r>
      <w:r>
        <w:rPr>
          <w:color w:val="4D4D4F"/>
        </w:rPr>
        <w:t xml:space="preserve">data would suggest that these fluctuations correlate </w:t>
      </w:r>
      <w:r>
        <w:rPr>
          <w:color w:val="4D4D4F"/>
          <w:spacing w:val="-3"/>
        </w:rPr>
        <w:t xml:space="preserve">mainly </w:t>
      </w:r>
      <w:r>
        <w:rPr>
          <w:color w:val="4D4D4F"/>
        </w:rPr>
        <w:t xml:space="preserve">with wet hydrological phases and </w:t>
      </w:r>
      <w:r>
        <w:rPr>
          <w:color w:val="4D4D4F"/>
          <w:spacing w:val="-4"/>
        </w:rPr>
        <w:t xml:space="preserve">(to </w:t>
      </w:r>
      <w:r>
        <w:rPr>
          <w:color w:val="4D4D4F"/>
        </w:rPr>
        <w:t xml:space="preserve">some extent) with weed management </w:t>
      </w:r>
      <w:r>
        <w:rPr>
          <w:color w:val="4D4D4F"/>
          <w:position w:val="7"/>
          <w:sz w:val="11"/>
        </w:rPr>
        <w:t xml:space="preserve">164 </w:t>
      </w:r>
      <w:r>
        <w:rPr>
          <w:color w:val="4D4D4F"/>
        </w:rPr>
        <w:t xml:space="preserve">– therefore there may be potential management explanations for the variability. Weed management has not been prioritised at these sites over the last few years which </w:t>
      </w:r>
      <w:r>
        <w:rPr>
          <w:color w:val="4D4D4F"/>
          <w:spacing w:val="-3"/>
        </w:rPr>
        <w:t xml:space="preserve">likely </w:t>
      </w:r>
      <w:r>
        <w:rPr>
          <w:color w:val="4D4D4F"/>
        </w:rPr>
        <w:t xml:space="preserve">explains the increase in weed </w:t>
      </w:r>
      <w:r>
        <w:rPr>
          <w:color w:val="4D4D4F"/>
          <w:spacing w:val="-4"/>
        </w:rPr>
        <w:t xml:space="preserve">cover. </w:t>
      </w:r>
      <w:r>
        <w:rPr>
          <w:color w:val="4D4D4F"/>
        </w:rPr>
        <w:t xml:space="preserve">Lack of weed control and recent restrictions to grazing in the surrounding Wetland Grassland Reserve is also a </w:t>
      </w:r>
      <w:r>
        <w:rPr>
          <w:color w:val="4D4D4F"/>
          <w:spacing w:val="-3"/>
        </w:rPr>
        <w:t xml:space="preserve">likely </w:t>
      </w:r>
      <w:r>
        <w:rPr>
          <w:color w:val="4D4D4F"/>
        </w:rPr>
        <w:t xml:space="preserve">factor in the increase in weed </w:t>
      </w:r>
      <w:r>
        <w:rPr>
          <w:color w:val="4D4D4F"/>
          <w:spacing w:val="-4"/>
        </w:rPr>
        <w:t xml:space="preserve">cover. </w:t>
      </w:r>
      <w:r>
        <w:rPr>
          <w:color w:val="4D4D4F"/>
        </w:rPr>
        <w:t>DELWP has indicated that previous weed control programs at the same wetland sites have been highly successful, and relatively easy to implement given the small  scale of the issue – therefore it would be advisable to prioritise the reinstatement of these measures along with the appropriate funding for land managers.</w:t>
      </w:r>
    </w:p>
    <w:p w14:paraId="65308C84" w14:textId="77777777" w:rsidR="00EF5B27" w:rsidRDefault="00000000">
      <w:pPr>
        <w:pStyle w:val="BodyText"/>
        <w:spacing w:before="126" w:line="254" w:lineRule="auto"/>
        <w:ind w:left="2608" w:right="206"/>
      </w:pPr>
      <w:r>
        <w:rPr>
          <w:color w:val="4D4D4F"/>
        </w:rPr>
        <w:t xml:space="preserve">Other management explanations to explore include the removal of grazing (long-  term grazing eventually strips many of the forbs out) and hydrological modification including dams in the catchment </w:t>
      </w:r>
      <w:r>
        <w:rPr>
          <w:color w:val="4D4D4F"/>
          <w:spacing w:val="-3"/>
        </w:rPr>
        <w:t xml:space="preserve">(dams  </w:t>
      </w:r>
      <w:r>
        <w:rPr>
          <w:color w:val="4D4D4F"/>
        </w:rPr>
        <w:t xml:space="preserve">within wetlands or in wetland catchments   can delay filling, starving the wetlands of water); the supplementary planting of forbs, shrubs and sedges </w:t>
      </w:r>
      <w:r>
        <w:rPr>
          <w:color w:val="4D4D4F"/>
          <w:spacing w:val="-4"/>
        </w:rPr>
        <w:t xml:space="preserve">(to </w:t>
      </w:r>
      <w:r>
        <w:rPr>
          <w:color w:val="4D4D4F"/>
        </w:rPr>
        <w:t>competitively disadvantage non-native species and</w:t>
      </w:r>
      <w:r>
        <w:rPr>
          <w:color w:val="4D4D4F"/>
          <w:spacing w:val="38"/>
        </w:rPr>
        <w:t xml:space="preserve"> </w:t>
      </w:r>
      <w:r>
        <w:rPr>
          <w:color w:val="4D4D4F"/>
        </w:rPr>
        <w:t>directly</w:t>
      </w:r>
    </w:p>
    <w:p w14:paraId="128B8A4F" w14:textId="77777777" w:rsidR="00EF5B27" w:rsidRDefault="00000000">
      <w:pPr>
        <w:pStyle w:val="BodyText"/>
        <w:spacing w:before="6"/>
        <w:ind w:left="2608"/>
      </w:pPr>
      <w:r>
        <w:rPr>
          <w:color w:val="4D4D4F"/>
        </w:rPr>
        <w:t>increase species richness, once established); and the impact of different burning regimes.</w:t>
      </w:r>
    </w:p>
    <w:p w14:paraId="0E45B0D3" w14:textId="77777777" w:rsidR="00EF5B27" w:rsidRDefault="00000000">
      <w:pPr>
        <w:pStyle w:val="BodyText"/>
        <w:spacing w:before="129" w:line="254" w:lineRule="auto"/>
        <w:ind w:left="2608" w:right="352"/>
        <w:rPr>
          <w:sz w:val="11"/>
        </w:rPr>
      </w:pPr>
      <w:r>
        <w:rPr>
          <w:color w:val="4D4D4F"/>
          <w:spacing w:val="-7"/>
        </w:rPr>
        <w:t xml:space="preserve">To </w:t>
      </w:r>
      <w:r>
        <w:rPr>
          <w:color w:val="4D4D4F"/>
        </w:rPr>
        <w:t xml:space="preserve">support outcomes for Seasonal Herbaceous Wetland, efforts may be made to restore land to a more diverse and native state, including supplementary planting    and reintroduction of native co-habitants where it is possible to do so and with environmental constraints in mind. DELWP has indicated that it may be possible to undertake some level of supplementary planting of the rarer  species,  as  well  as other restoration actions including reintroducing other species known to naturally occur in and support this ecosystem, including redgums and </w:t>
      </w:r>
      <w:r>
        <w:rPr>
          <w:color w:val="4D4D4F"/>
          <w:spacing w:val="-3"/>
        </w:rPr>
        <w:t>lignums.</w:t>
      </w:r>
      <w:r>
        <w:rPr>
          <w:color w:val="4D4D4F"/>
          <w:spacing w:val="-3"/>
          <w:position w:val="7"/>
          <w:sz w:val="11"/>
        </w:rPr>
        <w:t xml:space="preserve">165 </w:t>
      </w:r>
      <w:r>
        <w:rPr>
          <w:color w:val="4D4D4F"/>
          <w:spacing w:val="-3"/>
        </w:rPr>
        <w:t xml:space="preserve">Targeted </w:t>
      </w:r>
      <w:r>
        <w:rPr>
          <w:color w:val="4D4D4F"/>
        </w:rPr>
        <w:t>spot spraying is known to be an effective control of specific weeds and may be effectively implemented to support the persistence of the</w:t>
      </w:r>
      <w:r>
        <w:rPr>
          <w:color w:val="4D4D4F"/>
          <w:spacing w:val="21"/>
        </w:rPr>
        <w:t xml:space="preserve"> </w:t>
      </w:r>
      <w:r>
        <w:rPr>
          <w:color w:val="4D4D4F"/>
        </w:rPr>
        <w:t>wetlands.</w:t>
      </w:r>
      <w:r>
        <w:rPr>
          <w:color w:val="4D4D4F"/>
          <w:position w:val="7"/>
          <w:sz w:val="11"/>
        </w:rPr>
        <w:t>166</w:t>
      </w:r>
    </w:p>
    <w:p w14:paraId="229D4401" w14:textId="77777777" w:rsidR="00EF5B27" w:rsidRDefault="00000000">
      <w:pPr>
        <w:pStyle w:val="BodyText"/>
        <w:spacing w:before="125" w:line="254" w:lineRule="auto"/>
        <w:ind w:left="2608" w:right="428"/>
      </w:pPr>
      <w:r>
        <w:rPr>
          <w:color w:val="4D4D4F"/>
        </w:rPr>
        <w:t xml:space="preserve">It may be worth noting that if too many weed species (greater than 50%) and  woody species (greater than </w:t>
      </w:r>
      <w:r>
        <w:rPr>
          <w:color w:val="4D4D4F"/>
          <w:spacing w:val="-3"/>
        </w:rPr>
        <w:t xml:space="preserve">10%) </w:t>
      </w:r>
      <w:r>
        <w:rPr>
          <w:color w:val="4D4D4F"/>
        </w:rPr>
        <w:t>are present in a wetland community, it no</w:t>
      </w:r>
      <w:r>
        <w:rPr>
          <w:color w:val="4D4D4F"/>
          <w:spacing w:val="39"/>
        </w:rPr>
        <w:t xml:space="preserve"> </w:t>
      </w:r>
      <w:r>
        <w:rPr>
          <w:color w:val="4D4D4F"/>
        </w:rPr>
        <w:t>longer</w:t>
      </w:r>
    </w:p>
    <w:p w14:paraId="06469A6E" w14:textId="77777777" w:rsidR="00EF5B27" w:rsidRDefault="00000000">
      <w:pPr>
        <w:pStyle w:val="BodyText"/>
        <w:spacing w:before="2"/>
        <w:ind w:left="2608"/>
        <w:rPr>
          <w:sz w:val="11"/>
        </w:rPr>
      </w:pPr>
      <w:r>
        <w:rPr>
          <w:color w:val="4D4D4F"/>
        </w:rPr>
        <w:t>constitutes a wetland under the Commonwealth listing’s definition of this community</w:t>
      </w:r>
      <w:r>
        <w:rPr>
          <w:color w:val="4D4D4F"/>
          <w:position w:val="7"/>
          <w:sz w:val="11"/>
        </w:rPr>
        <w:t>167</w:t>
      </w:r>
    </w:p>
    <w:p w14:paraId="5D9F2D0D" w14:textId="77777777" w:rsidR="00EF5B27" w:rsidRDefault="00000000">
      <w:pPr>
        <w:pStyle w:val="BodyText"/>
        <w:spacing w:before="16"/>
        <w:ind w:left="2608"/>
      </w:pPr>
      <w:r>
        <w:rPr>
          <w:color w:val="4D4D4F"/>
        </w:rPr>
        <w:t>– which is a potential limitation as these variables experience annual fluctuations.</w:t>
      </w:r>
    </w:p>
    <w:p w14:paraId="3E902350" w14:textId="77777777" w:rsidR="00EF5B27" w:rsidRDefault="00000000">
      <w:pPr>
        <w:pStyle w:val="BodyText"/>
        <w:spacing w:before="129" w:line="254" w:lineRule="auto"/>
        <w:ind w:left="2608" w:right="308"/>
      </w:pPr>
      <w:r>
        <w:rPr>
          <w:color w:val="4D4D4F"/>
        </w:rPr>
        <w:t>Further, DELWP has focused on the monitoring of floristics in the design of KPIs for the wetlands because the community description’s condition thresholds under the national listing focus largely on vegetation. There is potential for monitoring of other correlates of wetland condition, including the presence of certain fauna including invertebrates, macroinvertebrates, birds and</w:t>
      </w:r>
      <w:r>
        <w:rPr>
          <w:color w:val="4D4D4F"/>
          <w:spacing w:val="19"/>
        </w:rPr>
        <w:t xml:space="preserve"> </w:t>
      </w:r>
      <w:r>
        <w:rPr>
          <w:color w:val="4D4D4F"/>
        </w:rPr>
        <w:t>frogs.</w:t>
      </w:r>
    </w:p>
    <w:p w14:paraId="3AA79ADD" w14:textId="77777777" w:rsidR="00EF5B27" w:rsidRDefault="00000000">
      <w:pPr>
        <w:pStyle w:val="BodyText"/>
        <w:spacing w:before="120" w:line="254" w:lineRule="auto"/>
        <w:ind w:left="2608" w:right="132" w:hanging="1"/>
        <w:rPr>
          <w:sz w:val="11"/>
        </w:rPr>
      </w:pPr>
      <w:r>
        <w:rPr>
          <w:color w:val="4D4D4F"/>
        </w:rPr>
        <w:t>Wetlands are not technically part of the MSA offset equation,</w:t>
      </w:r>
      <w:r>
        <w:rPr>
          <w:color w:val="4D4D4F"/>
          <w:position w:val="7"/>
          <w:sz w:val="11"/>
        </w:rPr>
        <w:t xml:space="preserve">168 </w:t>
      </w:r>
      <w:r>
        <w:rPr>
          <w:color w:val="4D4D4F"/>
        </w:rPr>
        <w:t xml:space="preserve">and not part of specific funding agreements (from levies). One of the main reasons the community was listed  is due to the threat from cropping. The community was </w:t>
      </w:r>
      <w:r>
        <w:rPr>
          <w:color w:val="4D4D4F"/>
          <w:spacing w:val="-3"/>
        </w:rPr>
        <w:t xml:space="preserve">listed </w:t>
      </w:r>
      <w:r>
        <w:rPr>
          <w:color w:val="4D4D4F"/>
        </w:rPr>
        <w:t xml:space="preserve">after the MSA agreement was signed off in </w:t>
      </w:r>
      <w:r>
        <w:rPr>
          <w:color w:val="4D4D4F"/>
          <w:spacing w:val="-3"/>
        </w:rPr>
        <w:t xml:space="preserve">2012. </w:t>
      </w:r>
      <w:r>
        <w:rPr>
          <w:color w:val="4D4D4F"/>
        </w:rPr>
        <w:t>The Commonwealth asked DELWP to do an assessment of impacts of urban development and was satisfied that the existing MSA program extent captured the extent of this community</w:t>
      </w:r>
      <w:r>
        <w:rPr>
          <w:color w:val="4D4D4F"/>
          <w:spacing w:val="20"/>
        </w:rPr>
        <w:t xml:space="preserve"> </w:t>
      </w:r>
      <w:r>
        <w:rPr>
          <w:color w:val="4D4D4F"/>
          <w:spacing w:val="-3"/>
        </w:rPr>
        <w:t>sufficiently.</w:t>
      </w:r>
      <w:r>
        <w:rPr>
          <w:color w:val="4D4D4F"/>
          <w:spacing w:val="-3"/>
          <w:position w:val="7"/>
          <w:sz w:val="11"/>
        </w:rPr>
        <w:t>169</w:t>
      </w:r>
    </w:p>
    <w:p w14:paraId="4AECF237" w14:textId="77777777" w:rsidR="00EF5B27" w:rsidRDefault="00EF5B27">
      <w:pPr>
        <w:pStyle w:val="BodyText"/>
      </w:pPr>
    </w:p>
    <w:p w14:paraId="7F151153" w14:textId="77777777" w:rsidR="00EF5B27" w:rsidRDefault="00000000">
      <w:pPr>
        <w:pStyle w:val="BodyText"/>
        <w:rPr>
          <w:sz w:val="24"/>
        </w:rPr>
      </w:pPr>
      <w:r>
        <w:pict w14:anchorId="3F127386">
          <v:line id="_x0000_s3173" style="position:absolute;z-index:251568640;mso-wrap-distance-left:0;mso-wrap-distance-right:0;mso-position-horizontal-relative:page" from="181.4pt,16.85pt" to="538.6pt,16.85pt" strokecolor="#4d4d4f" strokeweight=".5pt">
            <w10:wrap type="topAndBottom" anchorx="page"/>
          </v:line>
        </w:pict>
      </w:r>
    </w:p>
    <w:p w14:paraId="6646AC30" w14:textId="77777777" w:rsidR="00EF5B27" w:rsidRDefault="00000000">
      <w:pPr>
        <w:pStyle w:val="ListParagraph"/>
        <w:numPr>
          <w:ilvl w:val="0"/>
          <w:numId w:val="33"/>
        </w:numPr>
        <w:tabs>
          <w:tab w:val="left" w:pos="2836"/>
        </w:tabs>
        <w:spacing w:before="83" w:line="143" w:lineRule="exact"/>
        <w:jc w:val="left"/>
        <w:rPr>
          <w:sz w:val="12"/>
        </w:rPr>
      </w:pPr>
      <w:r>
        <w:rPr>
          <w:color w:val="4D4D4F"/>
          <w:sz w:val="12"/>
        </w:rPr>
        <w:t xml:space="preserve">DELWP Officer, personal communication, 15 </w:t>
      </w:r>
      <w:r>
        <w:rPr>
          <w:color w:val="4D4D4F"/>
          <w:spacing w:val="2"/>
          <w:sz w:val="12"/>
        </w:rPr>
        <w:t>February</w:t>
      </w:r>
      <w:r>
        <w:rPr>
          <w:color w:val="4D4D4F"/>
          <w:spacing w:val="14"/>
          <w:sz w:val="12"/>
        </w:rPr>
        <w:t xml:space="preserve"> </w:t>
      </w:r>
      <w:r>
        <w:rPr>
          <w:color w:val="4D4D4F"/>
          <w:spacing w:val="2"/>
          <w:sz w:val="12"/>
        </w:rPr>
        <w:t>2022.</w:t>
      </w:r>
    </w:p>
    <w:p w14:paraId="4048A433" w14:textId="77777777" w:rsidR="00EF5B27" w:rsidRDefault="00000000">
      <w:pPr>
        <w:pStyle w:val="ListParagraph"/>
        <w:numPr>
          <w:ilvl w:val="0"/>
          <w:numId w:val="33"/>
        </w:numPr>
        <w:tabs>
          <w:tab w:val="left" w:pos="2836"/>
        </w:tabs>
        <w:spacing w:line="140" w:lineRule="exact"/>
        <w:jc w:val="left"/>
        <w:rPr>
          <w:sz w:val="12"/>
        </w:rPr>
      </w:pPr>
      <w:r>
        <w:rPr>
          <w:color w:val="4D4D4F"/>
          <w:sz w:val="12"/>
        </w:rPr>
        <w:t>DELWP</w:t>
      </w:r>
      <w:r>
        <w:rPr>
          <w:color w:val="4D4D4F"/>
          <w:spacing w:val="12"/>
          <w:sz w:val="12"/>
        </w:rPr>
        <w:t xml:space="preserve"> </w:t>
      </w:r>
      <w:r>
        <w:rPr>
          <w:color w:val="4D4D4F"/>
          <w:sz w:val="12"/>
        </w:rPr>
        <w:t>Officer,</w:t>
      </w:r>
      <w:r>
        <w:rPr>
          <w:color w:val="4D4D4F"/>
          <w:spacing w:val="12"/>
          <w:sz w:val="12"/>
        </w:rPr>
        <w:t xml:space="preserve"> </w:t>
      </w:r>
      <w:r>
        <w:rPr>
          <w:color w:val="4D4D4F"/>
          <w:sz w:val="12"/>
        </w:rPr>
        <w:t>personal</w:t>
      </w:r>
      <w:r>
        <w:rPr>
          <w:color w:val="4D4D4F"/>
          <w:spacing w:val="12"/>
          <w:sz w:val="12"/>
        </w:rPr>
        <w:t xml:space="preserve"> </w:t>
      </w:r>
      <w:r>
        <w:rPr>
          <w:color w:val="4D4D4F"/>
          <w:sz w:val="12"/>
        </w:rPr>
        <w:t>communication,</w:t>
      </w:r>
      <w:r>
        <w:rPr>
          <w:color w:val="4D4D4F"/>
          <w:spacing w:val="12"/>
          <w:sz w:val="12"/>
        </w:rPr>
        <w:t xml:space="preserve"> </w:t>
      </w:r>
      <w:r>
        <w:rPr>
          <w:color w:val="4D4D4F"/>
          <w:sz w:val="12"/>
        </w:rPr>
        <w:t>21</w:t>
      </w:r>
      <w:r>
        <w:rPr>
          <w:color w:val="4D4D4F"/>
          <w:spacing w:val="12"/>
          <w:sz w:val="12"/>
        </w:rPr>
        <w:t xml:space="preserve"> </w:t>
      </w:r>
      <w:r>
        <w:rPr>
          <w:color w:val="4D4D4F"/>
          <w:sz w:val="12"/>
        </w:rPr>
        <w:t>July</w:t>
      </w:r>
      <w:r>
        <w:rPr>
          <w:color w:val="4D4D4F"/>
          <w:spacing w:val="13"/>
          <w:sz w:val="12"/>
        </w:rPr>
        <w:t xml:space="preserve"> </w:t>
      </w:r>
      <w:r>
        <w:rPr>
          <w:color w:val="4D4D4F"/>
          <w:sz w:val="12"/>
        </w:rPr>
        <w:t>2021.</w:t>
      </w:r>
    </w:p>
    <w:p w14:paraId="3DD00E8C" w14:textId="77777777" w:rsidR="00EF5B27" w:rsidRDefault="00000000">
      <w:pPr>
        <w:pStyle w:val="ListParagraph"/>
        <w:numPr>
          <w:ilvl w:val="0"/>
          <w:numId w:val="33"/>
        </w:numPr>
        <w:tabs>
          <w:tab w:val="left" w:pos="2835"/>
        </w:tabs>
        <w:spacing w:line="140" w:lineRule="exact"/>
        <w:ind w:left="2834" w:hanging="226"/>
        <w:jc w:val="left"/>
        <w:rPr>
          <w:sz w:val="12"/>
        </w:rPr>
      </w:pPr>
      <w:r>
        <w:rPr>
          <w:color w:val="4D4D4F"/>
          <w:sz w:val="12"/>
        </w:rPr>
        <w:t>DELWP</w:t>
      </w:r>
      <w:r>
        <w:rPr>
          <w:color w:val="4D4D4F"/>
          <w:spacing w:val="12"/>
          <w:sz w:val="12"/>
        </w:rPr>
        <w:t xml:space="preserve"> </w:t>
      </w:r>
      <w:r>
        <w:rPr>
          <w:color w:val="4D4D4F"/>
          <w:sz w:val="12"/>
        </w:rPr>
        <w:t>Officer,</w:t>
      </w:r>
      <w:r>
        <w:rPr>
          <w:color w:val="4D4D4F"/>
          <w:spacing w:val="12"/>
          <w:sz w:val="12"/>
        </w:rPr>
        <w:t xml:space="preserve"> </w:t>
      </w:r>
      <w:r>
        <w:rPr>
          <w:color w:val="4D4D4F"/>
          <w:sz w:val="12"/>
        </w:rPr>
        <w:t>personal</w:t>
      </w:r>
      <w:r>
        <w:rPr>
          <w:color w:val="4D4D4F"/>
          <w:spacing w:val="12"/>
          <w:sz w:val="12"/>
        </w:rPr>
        <w:t xml:space="preserve"> </w:t>
      </w:r>
      <w:r>
        <w:rPr>
          <w:color w:val="4D4D4F"/>
          <w:sz w:val="12"/>
        </w:rPr>
        <w:t>communication,</w:t>
      </w:r>
      <w:r>
        <w:rPr>
          <w:color w:val="4D4D4F"/>
          <w:spacing w:val="12"/>
          <w:sz w:val="12"/>
        </w:rPr>
        <w:t xml:space="preserve"> </w:t>
      </w:r>
      <w:r>
        <w:rPr>
          <w:color w:val="4D4D4F"/>
          <w:sz w:val="12"/>
        </w:rPr>
        <w:t>21</w:t>
      </w:r>
      <w:r>
        <w:rPr>
          <w:color w:val="4D4D4F"/>
          <w:spacing w:val="12"/>
          <w:sz w:val="12"/>
        </w:rPr>
        <w:t xml:space="preserve"> </w:t>
      </w:r>
      <w:r>
        <w:rPr>
          <w:color w:val="4D4D4F"/>
          <w:sz w:val="12"/>
        </w:rPr>
        <w:t>July</w:t>
      </w:r>
      <w:r>
        <w:rPr>
          <w:color w:val="4D4D4F"/>
          <w:spacing w:val="13"/>
          <w:sz w:val="12"/>
        </w:rPr>
        <w:t xml:space="preserve"> </w:t>
      </w:r>
      <w:r>
        <w:rPr>
          <w:color w:val="4D4D4F"/>
          <w:sz w:val="12"/>
        </w:rPr>
        <w:t>2021.</w:t>
      </w:r>
    </w:p>
    <w:p w14:paraId="71CAD86A" w14:textId="77777777" w:rsidR="00EF5B27" w:rsidRDefault="00000000">
      <w:pPr>
        <w:pStyle w:val="ListParagraph"/>
        <w:numPr>
          <w:ilvl w:val="0"/>
          <w:numId w:val="33"/>
        </w:numPr>
        <w:tabs>
          <w:tab w:val="left" w:pos="2835"/>
        </w:tabs>
        <w:spacing w:before="2" w:line="230" w:lineRule="auto"/>
        <w:ind w:left="2834" w:right="111" w:hanging="226"/>
        <w:jc w:val="both"/>
        <w:rPr>
          <w:sz w:val="12"/>
        </w:rPr>
      </w:pPr>
      <w:r>
        <w:rPr>
          <w:color w:val="4D4D4F"/>
          <w:spacing w:val="2"/>
          <w:sz w:val="12"/>
        </w:rPr>
        <w:t xml:space="preserve">TSSC </w:t>
      </w:r>
      <w:r>
        <w:rPr>
          <w:color w:val="4D4D4F"/>
          <w:sz w:val="12"/>
        </w:rPr>
        <w:t xml:space="preserve">2012, ‘Advice to the Minister for the Environment, Heritage and the </w:t>
      </w:r>
      <w:r>
        <w:rPr>
          <w:color w:val="4D4D4F"/>
          <w:spacing w:val="3"/>
          <w:sz w:val="12"/>
        </w:rPr>
        <w:t xml:space="preserve">Arts </w:t>
      </w:r>
      <w:r>
        <w:rPr>
          <w:color w:val="4D4D4F"/>
          <w:sz w:val="12"/>
        </w:rPr>
        <w:t xml:space="preserve">from the Threatened Species Scientific Committee (the Committee) on Amendment to the list of Threatened Ecological Communities under the Environment Protection and Biodiversity </w:t>
      </w:r>
      <w:r>
        <w:rPr>
          <w:color w:val="4D4D4F"/>
          <w:spacing w:val="2"/>
          <w:sz w:val="12"/>
        </w:rPr>
        <w:t xml:space="preserve">Conservation Act </w:t>
      </w:r>
      <w:r>
        <w:rPr>
          <w:color w:val="4D4D4F"/>
          <w:sz w:val="12"/>
        </w:rPr>
        <w:t xml:space="preserve">1999 (EPBC Act): Seasonal </w:t>
      </w:r>
      <w:r>
        <w:rPr>
          <w:color w:val="4D4D4F"/>
          <w:spacing w:val="2"/>
          <w:sz w:val="12"/>
        </w:rPr>
        <w:t xml:space="preserve">Herbaceous </w:t>
      </w:r>
      <w:r>
        <w:rPr>
          <w:color w:val="4D4D4F"/>
          <w:sz w:val="12"/>
        </w:rPr>
        <w:t xml:space="preserve">Wetlands of the Temperate Lowland Plains.’ Threatened Species Scientific Committee. </w:t>
      </w:r>
      <w:r>
        <w:rPr>
          <w:color w:val="4D4D4F"/>
          <w:spacing w:val="2"/>
          <w:sz w:val="12"/>
        </w:rPr>
        <w:t>Canberra,</w:t>
      </w:r>
      <w:r>
        <w:rPr>
          <w:color w:val="4D4D4F"/>
          <w:spacing w:val="4"/>
          <w:sz w:val="12"/>
        </w:rPr>
        <w:t xml:space="preserve"> </w:t>
      </w:r>
      <w:r>
        <w:rPr>
          <w:color w:val="4D4D4F"/>
          <w:sz w:val="12"/>
        </w:rPr>
        <w:t>ACT.</w:t>
      </w:r>
    </w:p>
    <w:p w14:paraId="0DDD4642" w14:textId="77777777" w:rsidR="00EF5B27" w:rsidRDefault="00000000">
      <w:pPr>
        <w:pStyle w:val="ListParagraph"/>
        <w:numPr>
          <w:ilvl w:val="0"/>
          <w:numId w:val="33"/>
        </w:numPr>
        <w:tabs>
          <w:tab w:val="left" w:pos="2835"/>
        </w:tabs>
        <w:spacing w:line="136" w:lineRule="exact"/>
        <w:ind w:left="2834"/>
        <w:jc w:val="left"/>
        <w:rPr>
          <w:sz w:val="12"/>
        </w:rPr>
      </w:pPr>
      <w:r>
        <w:rPr>
          <w:color w:val="4D4D4F"/>
          <w:sz w:val="12"/>
        </w:rPr>
        <w:t xml:space="preserve">DELWP Officer, personal communication, 6 </w:t>
      </w:r>
      <w:r>
        <w:rPr>
          <w:color w:val="4D4D4F"/>
          <w:spacing w:val="2"/>
          <w:sz w:val="12"/>
        </w:rPr>
        <w:t xml:space="preserve">October </w:t>
      </w:r>
      <w:r>
        <w:rPr>
          <w:color w:val="4D4D4F"/>
          <w:spacing w:val="8"/>
          <w:sz w:val="12"/>
        </w:rPr>
        <w:t xml:space="preserve"> </w:t>
      </w:r>
      <w:r>
        <w:rPr>
          <w:color w:val="4D4D4F"/>
          <w:sz w:val="12"/>
        </w:rPr>
        <w:t>2021.</w:t>
      </w:r>
    </w:p>
    <w:p w14:paraId="7CDD0D3E" w14:textId="77777777" w:rsidR="00EF5B27" w:rsidRDefault="00000000">
      <w:pPr>
        <w:pStyle w:val="ListParagraph"/>
        <w:numPr>
          <w:ilvl w:val="0"/>
          <w:numId w:val="33"/>
        </w:numPr>
        <w:tabs>
          <w:tab w:val="left" w:pos="2835"/>
        </w:tabs>
        <w:spacing w:line="143" w:lineRule="exact"/>
        <w:ind w:left="2834"/>
        <w:jc w:val="left"/>
        <w:rPr>
          <w:sz w:val="12"/>
        </w:rPr>
      </w:pPr>
      <w:r>
        <w:rPr>
          <w:color w:val="4D4D4F"/>
          <w:sz w:val="12"/>
        </w:rPr>
        <w:t xml:space="preserve">DELWP Officer, personal communication, 6 </w:t>
      </w:r>
      <w:r>
        <w:rPr>
          <w:color w:val="4D4D4F"/>
          <w:spacing w:val="2"/>
          <w:sz w:val="12"/>
        </w:rPr>
        <w:t xml:space="preserve">October </w:t>
      </w:r>
      <w:r>
        <w:rPr>
          <w:color w:val="4D4D4F"/>
          <w:spacing w:val="8"/>
          <w:sz w:val="12"/>
        </w:rPr>
        <w:t xml:space="preserve"> </w:t>
      </w:r>
      <w:r>
        <w:rPr>
          <w:color w:val="4D4D4F"/>
          <w:sz w:val="12"/>
        </w:rPr>
        <w:t>2021.</w:t>
      </w:r>
    </w:p>
    <w:p w14:paraId="4751F75D"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2E8B7DBB" w14:textId="77777777" w:rsidR="00EF5B27" w:rsidRDefault="00000000">
      <w:pPr>
        <w:pStyle w:val="BodyText"/>
      </w:pPr>
      <w:r>
        <w:lastRenderedPageBreak/>
        <w:pict w14:anchorId="41E6B3A5">
          <v:group id="_x0000_s3165" style="position:absolute;margin-left:587.05pt;margin-top:183.4pt;width:8.25pt;height:153.1pt;z-index:251623936;mso-position-horizontal-relative:page;mso-position-vertical-relative:page" coordorigin="11741,3668" coordsize="165,3062">
            <v:shape id="_x0000_s3172" style="position:absolute;left:11741;top:3668;width:165;height:561" coordorigin="11741,3668" coordsize="165,561" path="m11906,3668r-165,l11741,4228r165,-18l11906,3668xe" fillcolor="#00aed9" stroked="f">
              <v:path arrowok="t"/>
            </v:shape>
            <v:shape id="_x0000_s3171" style="position:absolute;left:11741;top:4118;width:165;height:425" coordorigin="11741,4118" coordsize="165,425" path="m11906,4118r-165,14l11741,4531r165,12l11906,4118xe" fillcolor="#047ebc" stroked="f">
              <v:path arrowok="t"/>
            </v:shape>
            <v:shape id="_x0000_s3170" type="#_x0000_t75" style="position:absolute;left:11741;top:4355;width:165;height:587">
              <v:imagedata r:id="rId42" o:title=""/>
            </v:shape>
            <v:shape id="_x0000_s3169" style="position:absolute;left:11741;top:5343;width:165;height:536" coordorigin="11741,5343" coordsize="165,536" path="m11741,5343r,535l11906,5872r,-525l11741,5343xe" fillcolor="#f36a2e" stroked="f">
              <v:path arrowok="t"/>
            </v:shape>
            <v:shape id="_x0000_s3168" style="position:absolute;left:11741;top:4925;width:165;height:501" coordorigin="11741,4926" coordsize="165,501" path="m11741,4926r,500l11906,5426r,-485l11741,4926xe" fillcolor="#49783f" stroked="f">
              <v:path arrowok="t"/>
            </v:shape>
            <v:shape id="_x0000_s3167" style="position:absolute;left:11741;top:5781;width:165;height:268" coordorigin="11741,5782" coordsize="165,268" path="m11906,5782r-165,8l11741,6039r165,10l11906,5782xe" fillcolor="#f99f2a" stroked="f">
              <v:path arrowok="t"/>
            </v:shape>
            <v:shape id="_x0000_s3166" style="position:absolute;left:11741;top:6023;width:165;height:707" coordorigin="11741,6023" coordsize="165,707" path="m11741,6023r,706l11906,6729r,-690l11741,6023xe" fillcolor="#ef412c" stroked="f">
              <v:path arrowok="t"/>
            </v:shape>
            <w10:wrap anchorx="page" anchory="page"/>
          </v:group>
        </w:pict>
      </w:r>
    </w:p>
    <w:p w14:paraId="38634BB2" w14:textId="77777777" w:rsidR="00EF5B27" w:rsidRDefault="00EF5B27">
      <w:pPr>
        <w:pStyle w:val="BodyText"/>
      </w:pPr>
    </w:p>
    <w:p w14:paraId="545BC08F" w14:textId="77777777" w:rsidR="00EF5B27" w:rsidRDefault="00EF5B27">
      <w:pPr>
        <w:pStyle w:val="BodyText"/>
      </w:pPr>
    </w:p>
    <w:p w14:paraId="5EF70012" w14:textId="77777777" w:rsidR="00EF5B27" w:rsidRDefault="00EF5B27">
      <w:pPr>
        <w:pStyle w:val="BodyText"/>
        <w:spacing w:before="8"/>
      </w:pPr>
    </w:p>
    <w:p w14:paraId="44CA8F60" w14:textId="77777777" w:rsidR="00EF5B27" w:rsidRDefault="00000000">
      <w:pPr>
        <w:pStyle w:val="Heading2"/>
      </w:pPr>
      <w:bookmarkStart w:id="66" w:name="_bookmark45"/>
      <w:bookmarkEnd w:id="66"/>
      <w:r>
        <w:rPr>
          <w:color w:val="F99F2A"/>
        </w:rPr>
        <w:t>MNES 4: Golden Sun Moth</w:t>
      </w:r>
    </w:p>
    <w:p w14:paraId="29EB31BD" w14:textId="77777777" w:rsidR="00EF5B27" w:rsidRDefault="00000000">
      <w:pPr>
        <w:pStyle w:val="Heading3"/>
        <w:spacing w:before="382"/>
      </w:pPr>
      <w:r>
        <w:rPr>
          <w:color w:val="F99F2A"/>
        </w:rPr>
        <w:t>Background</w:t>
      </w:r>
    </w:p>
    <w:p w14:paraId="3EDFEDA9" w14:textId="77777777" w:rsidR="00EF5B27" w:rsidRDefault="00000000">
      <w:pPr>
        <w:pStyle w:val="Heading6"/>
        <w:spacing w:before="221" w:line="254" w:lineRule="auto"/>
        <w:ind w:right="111"/>
        <w:jc w:val="both"/>
        <w:rPr>
          <w:sz w:val="11"/>
        </w:rPr>
      </w:pPr>
      <w:r>
        <w:rPr>
          <w:color w:val="4D4D4F"/>
        </w:rPr>
        <w:t>Golden</w:t>
      </w:r>
      <w:r>
        <w:rPr>
          <w:color w:val="4D4D4F"/>
          <w:spacing w:val="-7"/>
        </w:rPr>
        <w:t xml:space="preserve"> </w:t>
      </w:r>
      <w:r>
        <w:rPr>
          <w:color w:val="4D4D4F"/>
        </w:rPr>
        <w:t>Sun</w:t>
      </w:r>
      <w:r>
        <w:rPr>
          <w:color w:val="4D4D4F"/>
          <w:spacing w:val="-6"/>
        </w:rPr>
        <w:t xml:space="preserve"> </w:t>
      </w:r>
      <w:r>
        <w:rPr>
          <w:color w:val="4D4D4F"/>
        </w:rPr>
        <w:t>Moth</w:t>
      </w:r>
      <w:r>
        <w:rPr>
          <w:color w:val="4D4D4F"/>
          <w:spacing w:val="-6"/>
        </w:rPr>
        <w:t xml:space="preserve"> </w:t>
      </w:r>
      <w:r>
        <w:rPr>
          <w:color w:val="4D4D4F"/>
        </w:rPr>
        <w:t>(Synemon</w:t>
      </w:r>
      <w:r>
        <w:rPr>
          <w:color w:val="4D4D4F"/>
          <w:spacing w:val="-6"/>
        </w:rPr>
        <w:t xml:space="preserve"> </w:t>
      </w:r>
      <w:r>
        <w:rPr>
          <w:color w:val="4D4D4F"/>
        </w:rPr>
        <w:t>plana)</w:t>
      </w:r>
      <w:r>
        <w:rPr>
          <w:color w:val="4D4D4F"/>
          <w:spacing w:val="-6"/>
        </w:rPr>
        <w:t xml:space="preserve"> </w:t>
      </w:r>
      <w:r>
        <w:rPr>
          <w:color w:val="4D4D4F"/>
        </w:rPr>
        <w:t>is</w:t>
      </w:r>
      <w:r>
        <w:rPr>
          <w:color w:val="4D4D4F"/>
          <w:spacing w:val="-7"/>
        </w:rPr>
        <w:t xml:space="preserve"> </w:t>
      </w:r>
      <w:r>
        <w:rPr>
          <w:color w:val="4D4D4F"/>
        </w:rPr>
        <w:t>a</w:t>
      </w:r>
      <w:r>
        <w:rPr>
          <w:color w:val="4D4D4F"/>
          <w:spacing w:val="-6"/>
        </w:rPr>
        <w:t xml:space="preserve"> </w:t>
      </w:r>
      <w:r>
        <w:rPr>
          <w:color w:val="4D4D4F"/>
        </w:rPr>
        <w:t>day</w:t>
      </w:r>
      <w:r>
        <w:rPr>
          <w:color w:val="4D4D4F"/>
          <w:spacing w:val="-6"/>
        </w:rPr>
        <w:t xml:space="preserve"> </w:t>
      </w:r>
      <w:r>
        <w:rPr>
          <w:color w:val="4D4D4F"/>
        </w:rPr>
        <w:t>flying</w:t>
      </w:r>
      <w:r>
        <w:rPr>
          <w:color w:val="4D4D4F"/>
          <w:spacing w:val="-6"/>
        </w:rPr>
        <w:t xml:space="preserve"> </w:t>
      </w:r>
      <w:r>
        <w:rPr>
          <w:color w:val="4D4D4F"/>
        </w:rPr>
        <w:t>moth</w:t>
      </w:r>
      <w:r>
        <w:rPr>
          <w:color w:val="4D4D4F"/>
          <w:spacing w:val="-6"/>
        </w:rPr>
        <w:t xml:space="preserve"> </w:t>
      </w:r>
      <w:r>
        <w:rPr>
          <w:color w:val="4D4D4F"/>
        </w:rPr>
        <w:t>with</w:t>
      </w:r>
      <w:r>
        <w:rPr>
          <w:color w:val="4D4D4F"/>
          <w:spacing w:val="-6"/>
        </w:rPr>
        <w:t xml:space="preserve"> </w:t>
      </w:r>
      <w:r>
        <w:rPr>
          <w:color w:val="4D4D4F"/>
        </w:rPr>
        <w:t>a</w:t>
      </w:r>
      <w:r>
        <w:rPr>
          <w:color w:val="4D4D4F"/>
          <w:spacing w:val="-7"/>
        </w:rPr>
        <w:t xml:space="preserve"> </w:t>
      </w:r>
      <w:r>
        <w:rPr>
          <w:color w:val="4D4D4F"/>
        </w:rPr>
        <w:t>wingspan</w:t>
      </w:r>
      <w:r>
        <w:rPr>
          <w:color w:val="4D4D4F"/>
          <w:spacing w:val="-6"/>
        </w:rPr>
        <w:t xml:space="preserve"> </w:t>
      </w:r>
      <w:r>
        <w:rPr>
          <w:color w:val="4D4D4F"/>
        </w:rPr>
        <w:t>of</w:t>
      </w:r>
      <w:r>
        <w:rPr>
          <w:color w:val="4D4D4F"/>
          <w:spacing w:val="-6"/>
        </w:rPr>
        <w:t xml:space="preserve"> </w:t>
      </w:r>
      <w:r>
        <w:rPr>
          <w:color w:val="4D4D4F"/>
        </w:rPr>
        <w:t>about</w:t>
      </w:r>
      <w:r>
        <w:rPr>
          <w:color w:val="4D4D4F"/>
          <w:spacing w:val="-6"/>
        </w:rPr>
        <w:t xml:space="preserve"> </w:t>
      </w:r>
      <w:r>
        <w:rPr>
          <w:color w:val="4D4D4F"/>
        </w:rPr>
        <w:t>3</w:t>
      </w:r>
      <w:r>
        <w:rPr>
          <w:color w:val="4D4D4F"/>
          <w:spacing w:val="-6"/>
        </w:rPr>
        <w:t xml:space="preserve"> </w:t>
      </w:r>
      <w:r>
        <w:rPr>
          <w:color w:val="4D4D4F"/>
        </w:rPr>
        <w:t xml:space="preserve">cm. </w:t>
      </w:r>
      <w:r>
        <w:rPr>
          <w:color w:val="4D4D4F"/>
          <w:spacing w:val="-2"/>
        </w:rPr>
        <w:t>Golden</w:t>
      </w:r>
      <w:r>
        <w:rPr>
          <w:color w:val="4D4D4F"/>
          <w:spacing w:val="-7"/>
        </w:rPr>
        <w:t xml:space="preserve"> </w:t>
      </w:r>
      <w:r>
        <w:rPr>
          <w:color w:val="4D4D4F"/>
        </w:rPr>
        <w:t>Sun</w:t>
      </w:r>
      <w:r>
        <w:rPr>
          <w:color w:val="4D4D4F"/>
          <w:spacing w:val="-7"/>
        </w:rPr>
        <w:t xml:space="preserve"> </w:t>
      </w:r>
      <w:r>
        <w:rPr>
          <w:color w:val="4D4D4F"/>
        </w:rPr>
        <w:t>Moth</w:t>
      </w:r>
      <w:r>
        <w:rPr>
          <w:color w:val="4D4D4F"/>
          <w:spacing w:val="-7"/>
        </w:rPr>
        <w:t xml:space="preserve"> </w:t>
      </w:r>
      <w:r>
        <w:rPr>
          <w:color w:val="4D4D4F"/>
          <w:spacing w:val="-3"/>
        </w:rPr>
        <w:t>is</w:t>
      </w:r>
      <w:r>
        <w:rPr>
          <w:color w:val="4D4D4F"/>
          <w:spacing w:val="-7"/>
        </w:rPr>
        <w:t xml:space="preserve"> </w:t>
      </w:r>
      <w:r>
        <w:rPr>
          <w:color w:val="4D4D4F"/>
        </w:rPr>
        <w:t>found</w:t>
      </w:r>
      <w:r>
        <w:rPr>
          <w:color w:val="4D4D4F"/>
          <w:spacing w:val="-6"/>
        </w:rPr>
        <w:t xml:space="preserve"> </w:t>
      </w:r>
      <w:r>
        <w:rPr>
          <w:color w:val="4D4D4F"/>
        </w:rPr>
        <w:t>in</w:t>
      </w:r>
      <w:r>
        <w:rPr>
          <w:color w:val="4D4D4F"/>
          <w:spacing w:val="-7"/>
        </w:rPr>
        <w:t xml:space="preserve"> </w:t>
      </w:r>
      <w:r>
        <w:rPr>
          <w:color w:val="4D4D4F"/>
        </w:rPr>
        <w:t>Victoria,</w:t>
      </w:r>
      <w:r>
        <w:rPr>
          <w:color w:val="4D4D4F"/>
          <w:spacing w:val="-7"/>
        </w:rPr>
        <w:t xml:space="preserve"> </w:t>
      </w:r>
      <w:r>
        <w:rPr>
          <w:color w:val="4D4D4F"/>
        </w:rPr>
        <w:t>South</w:t>
      </w:r>
      <w:r>
        <w:rPr>
          <w:color w:val="4D4D4F"/>
          <w:spacing w:val="-7"/>
        </w:rPr>
        <w:t xml:space="preserve"> </w:t>
      </w:r>
      <w:r>
        <w:rPr>
          <w:color w:val="4D4D4F"/>
          <w:spacing w:val="-3"/>
        </w:rPr>
        <w:t>Australia</w:t>
      </w:r>
      <w:r>
        <w:rPr>
          <w:color w:val="4D4D4F"/>
          <w:spacing w:val="-6"/>
        </w:rPr>
        <w:t xml:space="preserve"> </w:t>
      </w:r>
      <w:r>
        <w:rPr>
          <w:color w:val="4D4D4F"/>
        </w:rPr>
        <w:t>and</w:t>
      </w:r>
      <w:r>
        <w:rPr>
          <w:color w:val="4D4D4F"/>
          <w:spacing w:val="-7"/>
        </w:rPr>
        <w:t xml:space="preserve"> </w:t>
      </w:r>
      <w:r>
        <w:rPr>
          <w:color w:val="4D4D4F"/>
        </w:rPr>
        <w:t>New</w:t>
      </w:r>
      <w:r>
        <w:rPr>
          <w:color w:val="4D4D4F"/>
          <w:spacing w:val="-7"/>
        </w:rPr>
        <w:t xml:space="preserve"> </w:t>
      </w:r>
      <w:r>
        <w:rPr>
          <w:color w:val="4D4D4F"/>
        </w:rPr>
        <w:t>South</w:t>
      </w:r>
      <w:r>
        <w:rPr>
          <w:color w:val="4D4D4F"/>
          <w:spacing w:val="-7"/>
        </w:rPr>
        <w:t xml:space="preserve"> </w:t>
      </w:r>
      <w:r>
        <w:rPr>
          <w:color w:val="4D4D4F"/>
          <w:spacing w:val="-3"/>
        </w:rPr>
        <w:t>Wales.</w:t>
      </w:r>
      <w:r>
        <w:rPr>
          <w:color w:val="4D4D4F"/>
          <w:spacing w:val="-7"/>
        </w:rPr>
        <w:t xml:space="preserve"> </w:t>
      </w:r>
      <w:r>
        <w:rPr>
          <w:color w:val="4D4D4F"/>
        </w:rPr>
        <w:t>In</w:t>
      </w:r>
      <w:r>
        <w:rPr>
          <w:color w:val="4D4D4F"/>
          <w:spacing w:val="-6"/>
        </w:rPr>
        <w:t xml:space="preserve"> </w:t>
      </w:r>
      <w:r>
        <w:rPr>
          <w:color w:val="4D4D4F"/>
        </w:rPr>
        <w:t xml:space="preserve">Victoria </w:t>
      </w:r>
      <w:r>
        <w:rPr>
          <w:color w:val="4D4D4F"/>
          <w:spacing w:val="-3"/>
        </w:rPr>
        <w:t xml:space="preserve">it </w:t>
      </w:r>
      <w:r>
        <w:rPr>
          <w:color w:val="4D4D4F"/>
          <w:spacing w:val="-4"/>
        </w:rPr>
        <w:t xml:space="preserve">is found </w:t>
      </w:r>
      <w:r>
        <w:rPr>
          <w:color w:val="4D4D4F"/>
          <w:spacing w:val="-6"/>
        </w:rPr>
        <w:t xml:space="preserve">extensively </w:t>
      </w:r>
      <w:r>
        <w:rPr>
          <w:color w:val="4D4D4F"/>
          <w:spacing w:val="-3"/>
        </w:rPr>
        <w:t xml:space="preserve">on </w:t>
      </w:r>
      <w:r>
        <w:rPr>
          <w:color w:val="4D4D4F"/>
          <w:spacing w:val="-4"/>
        </w:rPr>
        <w:t xml:space="preserve">the Victorian </w:t>
      </w:r>
      <w:r>
        <w:rPr>
          <w:color w:val="4D4D4F"/>
          <w:spacing w:val="-6"/>
        </w:rPr>
        <w:t xml:space="preserve">Volcanic </w:t>
      </w:r>
      <w:r>
        <w:rPr>
          <w:color w:val="4D4D4F"/>
          <w:spacing w:val="-5"/>
        </w:rPr>
        <w:t xml:space="preserve">Plain, </w:t>
      </w:r>
      <w:r>
        <w:rPr>
          <w:color w:val="4D4D4F"/>
          <w:spacing w:val="-6"/>
        </w:rPr>
        <w:t xml:space="preserve">including </w:t>
      </w:r>
      <w:r>
        <w:rPr>
          <w:color w:val="4D4D4F"/>
          <w:spacing w:val="-4"/>
        </w:rPr>
        <w:t xml:space="preserve">the </w:t>
      </w:r>
      <w:r>
        <w:rPr>
          <w:color w:val="4D4D4F"/>
          <w:spacing w:val="-5"/>
        </w:rPr>
        <w:t xml:space="preserve">Werribee </w:t>
      </w:r>
      <w:r>
        <w:rPr>
          <w:color w:val="4D4D4F"/>
          <w:spacing w:val="-6"/>
        </w:rPr>
        <w:t xml:space="preserve">Keilor </w:t>
      </w:r>
      <w:r>
        <w:rPr>
          <w:color w:val="4D4D4F"/>
          <w:spacing w:val="-5"/>
        </w:rPr>
        <w:t xml:space="preserve">plains </w:t>
      </w:r>
      <w:r>
        <w:rPr>
          <w:color w:val="4D4D4F"/>
        </w:rPr>
        <w:t>to the west of</w:t>
      </w:r>
      <w:r>
        <w:rPr>
          <w:color w:val="4D4D4F"/>
          <w:spacing w:val="13"/>
        </w:rPr>
        <w:t xml:space="preserve"> </w:t>
      </w:r>
      <w:r>
        <w:rPr>
          <w:color w:val="4D4D4F"/>
        </w:rPr>
        <w:t>Melbourne.</w:t>
      </w:r>
      <w:r>
        <w:rPr>
          <w:color w:val="4D4D4F"/>
          <w:position w:val="7"/>
          <w:sz w:val="11"/>
        </w:rPr>
        <w:t>170</w:t>
      </w:r>
    </w:p>
    <w:p w14:paraId="2FAD499B" w14:textId="77777777" w:rsidR="00EF5B27" w:rsidRDefault="00000000">
      <w:pPr>
        <w:pStyle w:val="BodyText"/>
        <w:spacing w:before="118"/>
        <w:ind w:left="2608"/>
      </w:pPr>
      <w:r>
        <w:rPr>
          <w:color w:val="4D4D4F"/>
          <w:w w:val="105"/>
        </w:rPr>
        <w:t>EPBC listing status: Critically Endangered</w:t>
      </w:r>
    </w:p>
    <w:p w14:paraId="25ED97A7" w14:textId="77777777" w:rsidR="00EF5B27" w:rsidRDefault="00000000">
      <w:pPr>
        <w:pStyle w:val="BodyText"/>
        <w:spacing w:before="11"/>
        <w:rPr>
          <w:sz w:val="10"/>
        </w:rPr>
      </w:pPr>
      <w:r>
        <w:rPr>
          <w:noProof/>
        </w:rPr>
        <w:drawing>
          <wp:anchor distT="0" distB="0" distL="0" distR="0" simplePos="0" relativeHeight="251294208" behindDoc="0" locked="0" layoutInCell="1" allowOverlap="1" wp14:anchorId="4A86A439" wp14:editId="2A56EC09">
            <wp:simplePos x="0" y="0"/>
            <wp:positionH relativeFrom="page">
              <wp:posOffset>2304008</wp:posOffset>
            </wp:positionH>
            <wp:positionV relativeFrom="paragraph">
              <wp:posOffset>109807</wp:posOffset>
            </wp:positionV>
            <wp:extent cx="4535433" cy="2551176"/>
            <wp:effectExtent l="0" t="0" r="0" b="0"/>
            <wp:wrapTopAndBottom/>
            <wp:docPr id="465"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172.jpeg"/>
                    <pic:cNvPicPr/>
                  </pic:nvPicPr>
                  <pic:blipFill>
                    <a:blip r:embed="rId136" cstate="print"/>
                    <a:stretch>
                      <a:fillRect/>
                    </a:stretch>
                  </pic:blipFill>
                  <pic:spPr>
                    <a:xfrm>
                      <a:off x="0" y="0"/>
                      <a:ext cx="4535433" cy="2551176"/>
                    </a:xfrm>
                    <a:prstGeom prst="rect">
                      <a:avLst/>
                    </a:prstGeom>
                  </pic:spPr>
                </pic:pic>
              </a:graphicData>
            </a:graphic>
          </wp:anchor>
        </w:drawing>
      </w:r>
    </w:p>
    <w:p w14:paraId="26DF9B11" w14:textId="77777777" w:rsidR="00EF5B27" w:rsidRDefault="00000000">
      <w:pPr>
        <w:tabs>
          <w:tab w:val="left" w:pos="8977"/>
        </w:tabs>
        <w:spacing w:before="113"/>
        <w:ind w:left="2608"/>
        <w:rPr>
          <w:rFonts w:ascii="Century Gothic"/>
          <w:i/>
          <w:sz w:val="12"/>
        </w:rPr>
      </w:pPr>
      <w:r>
        <w:rPr>
          <w:color w:val="4D4D4F"/>
          <w:sz w:val="16"/>
        </w:rPr>
        <w:t xml:space="preserve">Figure </w:t>
      </w:r>
      <w:r>
        <w:rPr>
          <w:color w:val="4D4D4F"/>
          <w:spacing w:val="-2"/>
          <w:sz w:val="16"/>
        </w:rPr>
        <w:t xml:space="preserve">19:  </w:t>
      </w:r>
      <w:r>
        <w:rPr>
          <w:color w:val="4D4D4F"/>
          <w:sz w:val="16"/>
        </w:rPr>
        <w:t xml:space="preserve">Male Golden Sun Moth in the Western </w:t>
      </w:r>
      <w:r>
        <w:rPr>
          <w:color w:val="4D4D4F"/>
          <w:spacing w:val="14"/>
          <w:sz w:val="16"/>
        </w:rPr>
        <w:t xml:space="preserve"> </w:t>
      </w:r>
      <w:r>
        <w:rPr>
          <w:color w:val="4D4D4F"/>
          <w:sz w:val="16"/>
        </w:rPr>
        <w:t>Grassland</w:t>
      </w:r>
      <w:r>
        <w:rPr>
          <w:color w:val="4D4D4F"/>
          <w:spacing w:val="9"/>
          <w:sz w:val="16"/>
        </w:rPr>
        <w:t xml:space="preserve"> </w:t>
      </w:r>
      <w:r>
        <w:rPr>
          <w:color w:val="4D4D4F"/>
          <w:sz w:val="16"/>
        </w:rPr>
        <w:t>Reserve</w:t>
      </w:r>
      <w:r>
        <w:rPr>
          <w:color w:val="4D4D4F"/>
          <w:sz w:val="16"/>
        </w:rPr>
        <w:tab/>
      </w:r>
      <w:r>
        <w:rPr>
          <w:rFonts w:ascii="Century Gothic"/>
          <w:i/>
          <w:color w:val="4D4D4F"/>
          <w:sz w:val="12"/>
        </w:rPr>
        <w:t>Source:</w:t>
      </w:r>
      <w:r>
        <w:rPr>
          <w:rFonts w:ascii="Century Gothic"/>
          <w:i/>
          <w:color w:val="4D4D4F"/>
          <w:spacing w:val="-22"/>
          <w:sz w:val="12"/>
        </w:rPr>
        <w:t xml:space="preserve"> </w:t>
      </w:r>
      <w:r>
        <w:rPr>
          <w:rFonts w:ascii="Century Gothic"/>
          <w:i/>
          <w:color w:val="4D4D4F"/>
          <w:sz w:val="12"/>
        </w:rPr>
        <w:t>DELWP</w:t>
      </w:r>
    </w:p>
    <w:p w14:paraId="6B4C93E5" w14:textId="77777777" w:rsidR="00EF5B27" w:rsidRDefault="00EF5B27">
      <w:pPr>
        <w:pStyle w:val="BodyText"/>
        <w:rPr>
          <w:rFonts w:ascii="Century Gothic"/>
          <w:i/>
          <w:sz w:val="21"/>
        </w:rPr>
      </w:pPr>
    </w:p>
    <w:p w14:paraId="73D2A549" w14:textId="77777777" w:rsidR="00EF5B27" w:rsidRDefault="00000000">
      <w:pPr>
        <w:pStyle w:val="Heading3"/>
      </w:pPr>
      <w:r>
        <w:rPr>
          <w:color w:val="F99F2A"/>
        </w:rPr>
        <w:t>DELWP’s conservation commitment</w:t>
      </w:r>
    </w:p>
    <w:p w14:paraId="731BCD57" w14:textId="77777777" w:rsidR="00EF5B27" w:rsidRDefault="00000000">
      <w:pPr>
        <w:pStyle w:val="BodyText"/>
        <w:spacing w:before="221" w:line="254" w:lineRule="auto"/>
        <w:ind w:left="2608" w:right="151"/>
      </w:pPr>
      <w:r>
        <w:rPr>
          <w:color w:val="4D4D4F"/>
        </w:rPr>
        <w:t>DELWP published the following statements as conservation outcomes for the Golden Sun Moth by notice in the Victorian Government Gazette:</w:t>
      </w:r>
    </w:p>
    <w:p w14:paraId="0CA16B22" w14:textId="77777777" w:rsidR="00EF5B27" w:rsidRDefault="00000000">
      <w:pPr>
        <w:pStyle w:val="BodyText"/>
        <w:spacing w:before="2"/>
        <w:rPr>
          <w:sz w:val="19"/>
        </w:rPr>
      </w:pPr>
      <w:r>
        <w:pict w14:anchorId="63A9DA20">
          <v:shape id="_x0000_s3164" type="#_x0000_t202" style="position:absolute;margin-left:56.95pt;margin-top:13.9pt;width:481.4pt;height:165pt;z-index:251569664;mso-wrap-distance-left:0;mso-wrap-distance-right:0;mso-position-horizontal-relative:page" filled="f" strokecolor="#4d4d4f" strokeweight=".5pt">
            <v:textbox inset="0,0,0,0">
              <w:txbxContent>
                <w:p w14:paraId="6BB40925" w14:textId="77777777" w:rsidR="00EF5B27" w:rsidRDefault="00000000">
                  <w:pPr>
                    <w:spacing w:before="192" w:line="254" w:lineRule="auto"/>
                    <w:ind w:left="271" w:right="344" w:hanging="46"/>
                    <w:jc w:val="both"/>
                    <w:rPr>
                      <w:b/>
                      <w:i/>
                      <w:sz w:val="20"/>
                    </w:rPr>
                  </w:pPr>
                  <w:r>
                    <w:rPr>
                      <w:b/>
                      <w:i/>
                      <w:color w:val="4D4D4F"/>
                      <w:spacing w:val="-4"/>
                      <w:sz w:val="20"/>
                    </w:rPr>
                    <w:t xml:space="preserve">‘Permanent protection </w:t>
                  </w:r>
                  <w:r>
                    <w:rPr>
                      <w:b/>
                      <w:i/>
                      <w:color w:val="4D4D4F"/>
                      <w:sz w:val="20"/>
                    </w:rPr>
                    <w:t xml:space="preserve">of </w:t>
                  </w:r>
                  <w:r>
                    <w:rPr>
                      <w:b/>
                      <w:i/>
                      <w:color w:val="4D4D4F"/>
                      <w:spacing w:val="-4"/>
                      <w:sz w:val="20"/>
                    </w:rPr>
                    <w:t xml:space="preserve">occupied habitat </w:t>
                  </w:r>
                  <w:r>
                    <w:rPr>
                      <w:b/>
                      <w:i/>
                      <w:color w:val="4D4D4F"/>
                      <w:spacing w:val="-3"/>
                      <w:sz w:val="20"/>
                    </w:rPr>
                    <w:t xml:space="preserve">for Golden </w:t>
                  </w:r>
                  <w:r>
                    <w:rPr>
                      <w:b/>
                      <w:i/>
                      <w:color w:val="4D4D4F"/>
                      <w:spacing w:val="-2"/>
                      <w:sz w:val="20"/>
                    </w:rPr>
                    <w:t xml:space="preserve">Sun </w:t>
                  </w:r>
                  <w:r>
                    <w:rPr>
                      <w:b/>
                      <w:i/>
                      <w:color w:val="4D4D4F"/>
                      <w:spacing w:val="-3"/>
                      <w:sz w:val="20"/>
                    </w:rPr>
                    <w:t xml:space="preserve">Moth </w:t>
                  </w:r>
                  <w:r>
                    <w:rPr>
                      <w:b/>
                      <w:i/>
                      <w:color w:val="4D4D4F"/>
                      <w:spacing w:val="-4"/>
                      <w:sz w:val="20"/>
                    </w:rPr>
                    <w:t xml:space="preserve">with </w:t>
                  </w:r>
                  <w:r>
                    <w:rPr>
                      <w:b/>
                      <w:i/>
                      <w:color w:val="4D4D4F"/>
                      <w:spacing w:val="-5"/>
                      <w:sz w:val="20"/>
                    </w:rPr>
                    <w:t xml:space="preserve">viable </w:t>
                  </w:r>
                  <w:r>
                    <w:rPr>
                      <w:b/>
                      <w:i/>
                      <w:color w:val="4D4D4F"/>
                      <w:spacing w:val="-4"/>
                      <w:sz w:val="20"/>
                    </w:rPr>
                    <w:t xml:space="preserve">populations, </w:t>
                  </w:r>
                  <w:r>
                    <w:rPr>
                      <w:b/>
                      <w:i/>
                      <w:color w:val="4D4D4F"/>
                      <w:sz w:val="20"/>
                    </w:rPr>
                    <w:t xml:space="preserve">as </w:t>
                  </w:r>
                  <w:r>
                    <w:rPr>
                      <w:b/>
                      <w:i/>
                      <w:color w:val="4D4D4F"/>
                      <w:spacing w:val="-3"/>
                      <w:sz w:val="20"/>
                    </w:rPr>
                    <w:t xml:space="preserve">defined by </w:t>
                  </w:r>
                  <w:r>
                    <w:rPr>
                      <w:b/>
                      <w:i/>
                      <w:color w:val="4D4D4F"/>
                      <w:spacing w:val="-4"/>
                      <w:sz w:val="20"/>
                    </w:rPr>
                    <w:t xml:space="preserve">Population </w:t>
                  </w:r>
                  <w:r>
                    <w:rPr>
                      <w:b/>
                      <w:i/>
                      <w:color w:val="4D4D4F"/>
                      <w:spacing w:val="-3"/>
                      <w:sz w:val="20"/>
                    </w:rPr>
                    <w:t xml:space="preserve">Viability Analysis </w:t>
                  </w:r>
                  <w:r>
                    <w:rPr>
                      <w:b/>
                      <w:i/>
                      <w:color w:val="4D4D4F"/>
                      <w:spacing w:val="-6"/>
                      <w:sz w:val="20"/>
                    </w:rPr>
                    <w:t xml:space="preserve">(PVA) </w:t>
                  </w:r>
                  <w:r>
                    <w:rPr>
                      <w:b/>
                      <w:i/>
                      <w:color w:val="4D4D4F"/>
                      <w:sz w:val="20"/>
                    </w:rPr>
                    <w:t xml:space="preserve">models. </w:t>
                  </w:r>
                  <w:r>
                    <w:rPr>
                      <w:b/>
                      <w:i/>
                      <w:color w:val="4D4D4F"/>
                      <w:spacing w:val="-3"/>
                      <w:sz w:val="20"/>
                    </w:rPr>
                    <w:t xml:space="preserve">The </w:t>
                  </w:r>
                  <w:r>
                    <w:rPr>
                      <w:b/>
                      <w:i/>
                      <w:color w:val="4D4D4F"/>
                      <w:sz w:val="20"/>
                    </w:rPr>
                    <w:t xml:space="preserve">amount of habitat required outside the UGB to meet this target, </w:t>
                  </w:r>
                  <w:r>
                    <w:rPr>
                      <w:b/>
                      <w:i/>
                      <w:color w:val="4D4D4F"/>
                      <w:spacing w:val="-3"/>
                      <w:sz w:val="20"/>
                    </w:rPr>
                    <w:t xml:space="preserve">over </w:t>
                  </w:r>
                  <w:r>
                    <w:rPr>
                      <w:b/>
                      <w:i/>
                      <w:color w:val="4D4D4F"/>
                      <w:sz w:val="20"/>
                    </w:rPr>
                    <w:t xml:space="preserve">and above the </w:t>
                  </w:r>
                  <w:r>
                    <w:rPr>
                      <w:b/>
                      <w:i/>
                      <w:color w:val="4D4D4F"/>
                      <w:spacing w:val="-3"/>
                      <w:sz w:val="20"/>
                    </w:rPr>
                    <w:t xml:space="preserve">conservation </w:t>
                  </w:r>
                  <w:r>
                    <w:rPr>
                      <w:b/>
                      <w:i/>
                      <w:color w:val="4D4D4F"/>
                      <w:sz w:val="20"/>
                    </w:rPr>
                    <w:t xml:space="preserve">areas </w:t>
                  </w:r>
                  <w:r>
                    <w:rPr>
                      <w:b/>
                      <w:i/>
                      <w:color w:val="4D4D4F"/>
                      <w:spacing w:val="-3"/>
                      <w:sz w:val="20"/>
                    </w:rPr>
                    <w:t xml:space="preserve">within </w:t>
                  </w:r>
                  <w:r>
                    <w:rPr>
                      <w:b/>
                      <w:i/>
                      <w:color w:val="4D4D4F"/>
                      <w:sz w:val="20"/>
                    </w:rPr>
                    <w:t xml:space="preserve">the UGB and the </w:t>
                  </w:r>
                  <w:r>
                    <w:rPr>
                      <w:b/>
                      <w:i/>
                      <w:color w:val="4D4D4F"/>
                      <w:spacing w:val="-3"/>
                      <w:sz w:val="20"/>
                    </w:rPr>
                    <w:t xml:space="preserve">Western Grassland </w:t>
                  </w:r>
                  <w:r>
                    <w:rPr>
                      <w:b/>
                      <w:i/>
                      <w:color w:val="4D4D4F"/>
                      <w:sz w:val="20"/>
                    </w:rPr>
                    <w:t xml:space="preserve">Reserve, is 680 </w:t>
                  </w:r>
                  <w:r>
                    <w:rPr>
                      <w:b/>
                      <w:i/>
                      <w:color w:val="4D4D4F"/>
                      <w:spacing w:val="-5"/>
                      <w:sz w:val="20"/>
                    </w:rPr>
                    <w:t>ha.’</w:t>
                  </w:r>
                </w:p>
                <w:p w14:paraId="74CFCAA6" w14:textId="77777777" w:rsidR="00EF5B27" w:rsidRDefault="00000000">
                  <w:pPr>
                    <w:spacing w:before="117" w:line="254" w:lineRule="auto"/>
                    <w:ind w:left="271" w:right="527" w:hanging="45"/>
                    <w:rPr>
                      <w:b/>
                      <w:i/>
                      <w:sz w:val="20"/>
                    </w:rPr>
                  </w:pPr>
                  <w:r>
                    <w:rPr>
                      <w:b/>
                      <w:i/>
                      <w:color w:val="4D4D4F"/>
                      <w:sz w:val="20"/>
                    </w:rPr>
                    <w:t>‘Golden Sun Moth populations in the Western Grassland Reserve are sustained in the long-term. Sustained means that the five-year mean proportion of sites occupied remains above the baseline.’</w:t>
                  </w:r>
                </w:p>
                <w:p w14:paraId="629E2608" w14:textId="77777777" w:rsidR="00EF5B27" w:rsidRDefault="00000000">
                  <w:pPr>
                    <w:spacing w:before="116" w:line="254" w:lineRule="auto"/>
                    <w:ind w:left="271" w:right="527" w:hanging="45"/>
                    <w:rPr>
                      <w:b/>
                      <w:i/>
                      <w:sz w:val="20"/>
                    </w:rPr>
                  </w:pPr>
                  <w:r>
                    <w:rPr>
                      <w:b/>
                      <w:i/>
                      <w:color w:val="4D4D4F"/>
                      <w:sz w:val="20"/>
                    </w:rPr>
                    <w:t xml:space="preserve">‘Golden Sun Moth populations in the </w:t>
                  </w:r>
                  <w:r>
                    <w:rPr>
                      <w:b/>
                      <w:i/>
                      <w:color w:val="4D4D4F"/>
                      <w:spacing w:val="-3"/>
                      <w:sz w:val="20"/>
                    </w:rPr>
                    <w:t xml:space="preserve">conservation </w:t>
                  </w:r>
                  <w:r>
                    <w:rPr>
                      <w:b/>
                      <w:i/>
                      <w:color w:val="4D4D4F"/>
                      <w:sz w:val="20"/>
                    </w:rPr>
                    <w:t xml:space="preserve">areas identified in the BCS and the Conservation Areas Declaration, and those outside the UGB are </w:t>
                  </w:r>
                  <w:r>
                    <w:rPr>
                      <w:b/>
                      <w:i/>
                      <w:color w:val="4D4D4F"/>
                      <w:spacing w:val="-2"/>
                      <w:sz w:val="20"/>
                    </w:rPr>
                    <w:t xml:space="preserve">sustained </w:t>
                  </w:r>
                  <w:r>
                    <w:rPr>
                      <w:b/>
                      <w:i/>
                      <w:color w:val="4D4D4F"/>
                      <w:sz w:val="20"/>
                    </w:rPr>
                    <w:t xml:space="preserve">in the long-term. Sustained means that the five-year mean proportion of </w:t>
                  </w:r>
                  <w:r>
                    <w:rPr>
                      <w:b/>
                      <w:i/>
                      <w:color w:val="4D4D4F"/>
                      <w:spacing w:val="-3"/>
                      <w:sz w:val="20"/>
                    </w:rPr>
                    <w:t xml:space="preserve">sites </w:t>
                  </w:r>
                  <w:r>
                    <w:rPr>
                      <w:b/>
                      <w:i/>
                      <w:color w:val="4D4D4F"/>
                      <w:sz w:val="20"/>
                    </w:rPr>
                    <w:t xml:space="preserve">occupied remains above the </w:t>
                  </w:r>
                  <w:r>
                    <w:rPr>
                      <w:b/>
                      <w:i/>
                      <w:color w:val="4D4D4F"/>
                      <w:spacing w:val="-4"/>
                      <w:sz w:val="20"/>
                    </w:rPr>
                    <w:t>baseline.’</w:t>
                  </w:r>
                </w:p>
                <w:p w14:paraId="6825F81D" w14:textId="77777777" w:rsidR="00EF5B27" w:rsidRDefault="00000000">
                  <w:pPr>
                    <w:spacing w:before="117" w:line="254" w:lineRule="auto"/>
                    <w:ind w:left="271" w:right="271" w:hanging="45"/>
                    <w:rPr>
                      <w:b/>
                      <w:i/>
                      <w:sz w:val="20"/>
                    </w:rPr>
                  </w:pPr>
                  <w:r>
                    <w:rPr>
                      <w:b/>
                      <w:i/>
                      <w:color w:val="4D4D4F"/>
                      <w:sz w:val="20"/>
                    </w:rPr>
                    <w:t xml:space="preserve">‘Golden Sun Moth populations in the </w:t>
                  </w:r>
                  <w:r>
                    <w:rPr>
                      <w:b/>
                      <w:i/>
                      <w:color w:val="4D4D4F"/>
                      <w:spacing w:val="-3"/>
                      <w:sz w:val="20"/>
                    </w:rPr>
                    <w:t xml:space="preserve">Grassy Eucalypt </w:t>
                  </w:r>
                  <w:r>
                    <w:rPr>
                      <w:b/>
                      <w:i/>
                      <w:color w:val="4D4D4F"/>
                      <w:sz w:val="20"/>
                    </w:rPr>
                    <w:t xml:space="preserve">Woodland </w:t>
                  </w:r>
                  <w:r>
                    <w:rPr>
                      <w:b/>
                      <w:i/>
                      <w:color w:val="4D4D4F"/>
                      <w:spacing w:val="-3"/>
                      <w:sz w:val="20"/>
                    </w:rPr>
                    <w:t xml:space="preserve">Protected </w:t>
                  </w:r>
                  <w:r>
                    <w:rPr>
                      <w:b/>
                      <w:i/>
                      <w:color w:val="4D4D4F"/>
                      <w:sz w:val="20"/>
                    </w:rPr>
                    <w:t xml:space="preserve">Area are </w:t>
                  </w:r>
                  <w:r>
                    <w:rPr>
                      <w:b/>
                      <w:i/>
                      <w:color w:val="4D4D4F"/>
                      <w:spacing w:val="-2"/>
                      <w:sz w:val="20"/>
                    </w:rPr>
                    <w:t xml:space="preserve">sustained </w:t>
                  </w:r>
                  <w:r>
                    <w:rPr>
                      <w:b/>
                      <w:i/>
                      <w:color w:val="4D4D4F"/>
                      <w:sz w:val="20"/>
                    </w:rPr>
                    <w:t xml:space="preserve">in the long-term. Sustained means that the five-year mean proportion of </w:t>
                  </w:r>
                  <w:r>
                    <w:rPr>
                      <w:b/>
                      <w:i/>
                      <w:color w:val="4D4D4F"/>
                      <w:spacing w:val="-3"/>
                      <w:sz w:val="20"/>
                    </w:rPr>
                    <w:t xml:space="preserve">sites </w:t>
                  </w:r>
                  <w:r>
                    <w:rPr>
                      <w:b/>
                      <w:i/>
                      <w:color w:val="4D4D4F"/>
                      <w:sz w:val="20"/>
                    </w:rPr>
                    <w:t xml:space="preserve">occupied remains above the </w:t>
                  </w:r>
                  <w:r>
                    <w:rPr>
                      <w:b/>
                      <w:i/>
                      <w:color w:val="4D4D4F"/>
                      <w:spacing w:val="-4"/>
                      <w:sz w:val="20"/>
                    </w:rPr>
                    <w:t>baseline.’</w:t>
                  </w:r>
                </w:p>
              </w:txbxContent>
            </v:textbox>
            <w10:wrap type="topAndBottom" anchorx="page"/>
          </v:shape>
        </w:pict>
      </w:r>
      <w:r>
        <w:pict w14:anchorId="0621FB0F">
          <v:line id="_x0000_s3163" style="position:absolute;z-index:251570688;mso-wrap-distance-left:0;mso-wrap-distance-right:0;mso-position-horizontal-relative:page" from="56.7pt,200.1pt" to="538.55pt,200.1pt" strokecolor="#4d4d4f" strokeweight=".5pt">
            <w10:wrap type="topAndBottom" anchorx="page"/>
          </v:line>
        </w:pict>
      </w:r>
    </w:p>
    <w:p w14:paraId="2797B9D1" w14:textId="77777777" w:rsidR="00EF5B27" w:rsidRDefault="00EF5B27">
      <w:pPr>
        <w:pStyle w:val="BodyText"/>
        <w:spacing w:before="4"/>
        <w:rPr>
          <w:sz w:val="28"/>
        </w:rPr>
      </w:pPr>
    </w:p>
    <w:p w14:paraId="02C03ED4" w14:textId="77777777" w:rsidR="00EF5B27" w:rsidRDefault="00000000">
      <w:pPr>
        <w:pStyle w:val="ListParagraph"/>
        <w:numPr>
          <w:ilvl w:val="0"/>
          <w:numId w:val="33"/>
        </w:numPr>
        <w:tabs>
          <w:tab w:val="left" w:pos="341"/>
        </w:tabs>
        <w:spacing w:before="83"/>
        <w:ind w:left="340"/>
        <w:jc w:val="left"/>
        <w:rPr>
          <w:sz w:val="12"/>
        </w:rPr>
      </w:pPr>
      <w:r>
        <w:rPr>
          <w:color w:val="4D4D4F"/>
          <w:sz w:val="12"/>
        </w:rPr>
        <w:t>Brown</w:t>
      </w:r>
      <w:r>
        <w:rPr>
          <w:color w:val="4D4D4F"/>
          <w:spacing w:val="-9"/>
          <w:sz w:val="12"/>
        </w:rPr>
        <w:t xml:space="preserve"> </w:t>
      </w:r>
      <w:r>
        <w:rPr>
          <w:color w:val="4D4D4F"/>
          <w:sz w:val="12"/>
        </w:rPr>
        <w:t>G,</w:t>
      </w:r>
      <w:r>
        <w:rPr>
          <w:color w:val="4D4D4F"/>
          <w:spacing w:val="-8"/>
          <w:sz w:val="12"/>
        </w:rPr>
        <w:t xml:space="preserve"> </w:t>
      </w:r>
      <w:r>
        <w:rPr>
          <w:color w:val="4D4D4F"/>
          <w:spacing w:val="-3"/>
          <w:sz w:val="12"/>
        </w:rPr>
        <w:t>Tolsma</w:t>
      </w:r>
      <w:r>
        <w:rPr>
          <w:color w:val="4D4D4F"/>
          <w:spacing w:val="-8"/>
          <w:sz w:val="12"/>
        </w:rPr>
        <w:t xml:space="preserve"> </w:t>
      </w:r>
      <w:r>
        <w:rPr>
          <w:color w:val="4D4D4F"/>
          <w:sz w:val="12"/>
        </w:rPr>
        <w:t>A,</w:t>
      </w:r>
      <w:r>
        <w:rPr>
          <w:color w:val="4D4D4F"/>
          <w:spacing w:val="-8"/>
          <w:sz w:val="12"/>
        </w:rPr>
        <w:t xml:space="preserve"> </w:t>
      </w:r>
      <w:r>
        <w:rPr>
          <w:color w:val="4D4D4F"/>
          <w:sz w:val="12"/>
        </w:rPr>
        <w:t>and</w:t>
      </w:r>
      <w:r>
        <w:rPr>
          <w:color w:val="4D4D4F"/>
          <w:spacing w:val="-9"/>
          <w:sz w:val="12"/>
        </w:rPr>
        <w:t xml:space="preserve"> </w:t>
      </w:r>
      <w:r>
        <w:rPr>
          <w:color w:val="4D4D4F"/>
          <w:sz w:val="12"/>
        </w:rPr>
        <w:t>McNabb</w:t>
      </w:r>
      <w:r>
        <w:rPr>
          <w:color w:val="4D4D4F"/>
          <w:spacing w:val="-8"/>
          <w:sz w:val="12"/>
        </w:rPr>
        <w:t xml:space="preserve"> </w:t>
      </w:r>
      <w:r>
        <w:rPr>
          <w:color w:val="4D4D4F"/>
          <w:sz w:val="12"/>
        </w:rPr>
        <w:t>E</w:t>
      </w:r>
      <w:r>
        <w:rPr>
          <w:color w:val="4D4D4F"/>
          <w:spacing w:val="-8"/>
          <w:sz w:val="12"/>
        </w:rPr>
        <w:t xml:space="preserve"> </w:t>
      </w:r>
      <w:r>
        <w:rPr>
          <w:color w:val="4D4D4F"/>
          <w:spacing w:val="-3"/>
          <w:sz w:val="12"/>
        </w:rPr>
        <w:t>2012,</w:t>
      </w:r>
      <w:r>
        <w:rPr>
          <w:color w:val="4D4D4F"/>
          <w:spacing w:val="-8"/>
          <w:sz w:val="12"/>
        </w:rPr>
        <w:t xml:space="preserve"> </w:t>
      </w:r>
      <w:r>
        <w:rPr>
          <w:color w:val="4D4D4F"/>
          <w:sz w:val="12"/>
        </w:rPr>
        <w:t>‘Ecological</w:t>
      </w:r>
      <w:r>
        <w:rPr>
          <w:color w:val="4D4D4F"/>
          <w:spacing w:val="-8"/>
          <w:sz w:val="12"/>
        </w:rPr>
        <w:t xml:space="preserve"> </w:t>
      </w:r>
      <w:r>
        <w:rPr>
          <w:color w:val="4D4D4F"/>
          <w:sz w:val="12"/>
        </w:rPr>
        <w:t>aspects</w:t>
      </w:r>
      <w:r>
        <w:rPr>
          <w:color w:val="4D4D4F"/>
          <w:spacing w:val="-9"/>
          <w:sz w:val="12"/>
        </w:rPr>
        <w:t xml:space="preserve"> </w:t>
      </w:r>
      <w:r>
        <w:rPr>
          <w:color w:val="4D4D4F"/>
          <w:sz w:val="12"/>
        </w:rPr>
        <w:t>of</w:t>
      </w:r>
      <w:r>
        <w:rPr>
          <w:color w:val="4D4D4F"/>
          <w:spacing w:val="-8"/>
          <w:sz w:val="12"/>
        </w:rPr>
        <w:t xml:space="preserve"> </w:t>
      </w:r>
      <w:r>
        <w:rPr>
          <w:color w:val="4D4D4F"/>
          <w:sz w:val="12"/>
        </w:rPr>
        <w:t>new</w:t>
      </w:r>
      <w:r>
        <w:rPr>
          <w:color w:val="4D4D4F"/>
          <w:spacing w:val="-8"/>
          <w:sz w:val="12"/>
        </w:rPr>
        <w:t xml:space="preserve"> </w:t>
      </w:r>
      <w:r>
        <w:rPr>
          <w:color w:val="4D4D4F"/>
          <w:sz w:val="12"/>
        </w:rPr>
        <w:t>populations</w:t>
      </w:r>
      <w:r>
        <w:rPr>
          <w:color w:val="4D4D4F"/>
          <w:spacing w:val="-8"/>
          <w:sz w:val="12"/>
        </w:rPr>
        <w:t xml:space="preserve"> </w:t>
      </w:r>
      <w:r>
        <w:rPr>
          <w:color w:val="4D4D4F"/>
          <w:sz w:val="12"/>
        </w:rPr>
        <w:t>of</w:t>
      </w:r>
      <w:r>
        <w:rPr>
          <w:color w:val="4D4D4F"/>
          <w:spacing w:val="-8"/>
          <w:sz w:val="12"/>
        </w:rPr>
        <w:t xml:space="preserve"> </w:t>
      </w:r>
      <w:r>
        <w:rPr>
          <w:color w:val="4D4D4F"/>
          <w:sz w:val="12"/>
        </w:rPr>
        <w:t>the</w:t>
      </w:r>
      <w:r>
        <w:rPr>
          <w:color w:val="4D4D4F"/>
          <w:spacing w:val="-9"/>
          <w:sz w:val="12"/>
        </w:rPr>
        <w:t xml:space="preserve"> </w:t>
      </w:r>
      <w:r>
        <w:rPr>
          <w:color w:val="4D4D4F"/>
          <w:sz w:val="12"/>
        </w:rPr>
        <w:t>threatened</w:t>
      </w:r>
      <w:r>
        <w:rPr>
          <w:color w:val="4D4D4F"/>
          <w:spacing w:val="-8"/>
          <w:sz w:val="12"/>
        </w:rPr>
        <w:t xml:space="preserve"> </w:t>
      </w:r>
      <w:r>
        <w:rPr>
          <w:color w:val="4D4D4F"/>
          <w:sz w:val="12"/>
        </w:rPr>
        <w:t>Golden</w:t>
      </w:r>
      <w:r>
        <w:rPr>
          <w:color w:val="4D4D4F"/>
          <w:spacing w:val="-8"/>
          <w:sz w:val="12"/>
        </w:rPr>
        <w:t xml:space="preserve"> </w:t>
      </w:r>
      <w:r>
        <w:rPr>
          <w:color w:val="4D4D4F"/>
          <w:sz w:val="12"/>
        </w:rPr>
        <w:t>sun</w:t>
      </w:r>
      <w:r>
        <w:rPr>
          <w:color w:val="4D4D4F"/>
          <w:spacing w:val="-8"/>
          <w:sz w:val="12"/>
        </w:rPr>
        <w:t xml:space="preserve"> </w:t>
      </w:r>
      <w:r>
        <w:rPr>
          <w:color w:val="4D4D4F"/>
          <w:sz w:val="12"/>
        </w:rPr>
        <w:t>moth</w:t>
      </w:r>
      <w:r>
        <w:rPr>
          <w:color w:val="4D4D4F"/>
          <w:spacing w:val="-9"/>
          <w:sz w:val="12"/>
        </w:rPr>
        <w:t xml:space="preserve"> </w:t>
      </w:r>
      <w:r>
        <w:rPr>
          <w:rFonts w:ascii="Arial Narrow" w:hAnsi="Arial Narrow"/>
          <w:i/>
          <w:color w:val="4D4D4F"/>
          <w:spacing w:val="-3"/>
          <w:sz w:val="12"/>
        </w:rPr>
        <w:t>Synemon</w:t>
      </w:r>
      <w:r>
        <w:rPr>
          <w:rFonts w:ascii="Arial Narrow" w:hAnsi="Arial Narrow"/>
          <w:i/>
          <w:color w:val="4D4D4F"/>
          <w:spacing w:val="-9"/>
          <w:sz w:val="12"/>
        </w:rPr>
        <w:t xml:space="preserve"> </w:t>
      </w:r>
      <w:r>
        <w:rPr>
          <w:rFonts w:ascii="Arial Narrow" w:hAnsi="Arial Narrow"/>
          <w:i/>
          <w:color w:val="4D4D4F"/>
          <w:spacing w:val="-3"/>
          <w:sz w:val="12"/>
        </w:rPr>
        <w:t>plana</w:t>
      </w:r>
      <w:r>
        <w:rPr>
          <w:rFonts w:ascii="Arial Narrow" w:hAnsi="Arial Narrow"/>
          <w:i/>
          <w:color w:val="4D4D4F"/>
          <w:spacing w:val="-9"/>
          <w:sz w:val="12"/>
        </w:rPr>
        <w:t xml:space="preserve"> </w:t>
      </w:r>
      <w:r>
        <w:rPr>
          <w:color w:val="4D4D4F"/>
          <w:sz w:val="12"/>
        </w:rPr>
        <w:t>on</w:t>
      </w:r>
      <w:r>
        <w:rPr>
          <w:color w:val="4D4D4F"/>
          <w:spacing w:val="-8"/>
          <w:sz w:val="12"/>
        </w:rPr>
        <w:t xml:space="preserve"> </w:t>
      </w:r>
      <w:r>
        <w:rPr>
          <w:color w:val="4D4D4F"/>
          <w:sz w:val="12"/>
        </w:rPr>
        <w:t>the</w:t>
      </w:r>
      <w:r>
        <w:rPr>
          <w:color w:val="4D4D4F"/>
          <w:spacing w:val="-8"/>
          <w:sz w:val="12"/>
        </w:rPr>
        <w:t xml:space="preserve"> </w:t>
      </w:r>
      <w:r>
        <w:rPr>
          <w:color w:val="4D4D4F"/>
          <w:sz w:val="12"/>
        </w:rPr>
        <w:t>Victorian</w:t>
      </w:r>
      <w:r>
        <w:rPr>
          <w:color w:val="4D4D4F"/>
          <w:spacing w:val="-8"/>
          <w:sz w:val="12"/>
        </w:rPr>
        <w:t xml:space="preserve"> </w:t>
      </w:r>
      <w:r>
        <w:rPr>
          <w:color w:val="4D4D4F"/>
          <w:spacing w:val="-3"/>
          <w:sz w:val="12"/>
        </w:rPr>
        <w:t>Volcanic</w:t>
      </w:r>
      <w:r>
        <w:rPr>
          <w:color w:val="4D4D4F"/>
          <w:spacing w:val="-9"/>
          <w:sz w:val="12"/>
        </w:rPr>
        <w:t xml:space="preserve"> </w:t>
      </w:r>
      <w:r>
        <w:rPr>
          <w:color w:val="4D4D4F"/>
          <w:spacing w:val="-3"/>
          <w:sz w:val="12"/>
        </w:rPr>
        <w:t>Plains.’</w:t>
      </w:r>
      <w:r>
        <w:rPr>
          <w:color w:val="4D4D4F"/>
          <w:spacing w:val="-8"/>
          <w:sz w:val="12"/>
        </w:rPr>
        <w:t xml:space="preserve"> </w:t>
      </w:r>
      <w:r>
        <w:rPr>
          <w:color w:val="4D4D4F"/>
          <w:sz w:val="12"/>
        </w:rPr>
        <w:t>The</w:t>
      </w:r>
      <w:r>
        <w:rPr>
          <w:color w:val="4D4D4F"/>
          <w:spacing w:val="-8"/>
          <w:sz w:val="12"/>
        </w:rPr>
        <w:t xml:space="preserve"> </w:t>
      </w:r>
      <w:r>
        <w:rPr>
          <w:color w:val="4D4D4F"/>
          <w:sz w:val="12"/>
        </w:rPr>
        <w:t>Victorian</w:t>
      </w:r>
      <w:r>
        <w:rPr>
          <w:color w:val="4D4D4F"/>
          <w:spacing w:val="-8"/>
          <w:sz w:val="12"/>
        </w:rPr>
        <w:t xml:space="preserve"> </w:t>
      </w:r>
      <w:r>
        <w:rPr>
          <w:color w:val="4D4D4F"/>
          <w:sz w:val="12"/>
        </w:rPr>
        <w:t>Naturalist</w:t>
      </w:r>
      <w:r>
        <w:rPr>
          <w:color w:val="4D4D4F"/>
          <w:spacing w:val="-8"/>
          <w:sz w:val="12"/>
        </w:rPr>
        <w:t xml:space="preserve"> </w:t>
      </w:r>
      <w:r>
        <w:rPr>
          <w:color w:val="4D4D4F"/>
          <w:spacing w:val="-4"/>
          <w:sz w:val="12"/>
        </w:rPr>
        <w:t>129,</w:t>
      </w:r>
      <w:r>
        <w:rPr>
          <w:color w:val="4D4D4F"/>
          <w:spacing w:val="-9"/>
          <w:sz w:val="12"/>
        </w:rPr>
        <w:t xml:space="preserve"> </w:t>
      </w:r>
      <w:r>
        <w:rPr>
          <w:color w:val="4D4D4F"/>
          <w:sz w:val="12"/>
        </w:rPr>
        <w:t>77-85.</w:t>
      </w:r>
    </w:p>
    <w:p w14:paraId="2436EB76" w14:textId="77777777" w:rsidR="00EF5B27" w:rsidRDefault="00EF5B27">
      <w:pPr>
        <w:rPr>
          <w:sz w:val="12"/>
        </w:rPr>
        <w:sectPr w:rsidR="00EF5B27">
          <w:pgSz w:w="11910" w:h="16840"/>
          <w:pgMar w:top="1080" w:right="1020" w:bottom="860" w:left="1020" w:header="537" w:footer="678" w:gutter="0"/>
          <w:cols w:space="720"/>
        </w:sectPr>
      </w:pPr>
    </w:p>
    <w:p w14:paraId="69F3DA4B" w14:textId="77777777" w:rsidR="00EF5B27" w:rsidRDefault="00000000">
      <w:pPr>
        <w:pStyle w:val="BodyText"/>
      </w:pPr>
      <w:r>
        <w:lastRenderedPageBreak/>
        <w:pict w14:anchorId="60A92479">
          <v:group id="_x0000_s3155" style="position:absolute;margin-left:587.05pt;margin-top:183.4pt;width:8.25pt;height:153.1pt;z-index:251625984;mso-position-horizontal-relative:page;mso-position-vertical-relative:page" coordorigin="11741,3668" coordsize="165,3062">
            <v:shape id="_x0000_s3162" style="position:absolute;left:11741;top:3668;width:165;height:561" coordorigin="11741,3668" coordsize="165,561" path="m11906,3668r-165,l11741,4228r165,-18l11906,3668xe" fillcolor="#00aed9" stroked="f">
              <v:path arrowok="t"/>
            </v:shape>
            <v:shape id="_x0000_s3161" style="position:absolute;left:11741;top:4118;width:165;height:425" coordorigin="11741,4118" coordsize="165,425" path="m11906,4118r-165,14l11741,4531r165,12l11906,4118xe" fillcolor="#047ebc" stroked="f">
              <v:path arrowok="t"/>
            </v:shape>
            <v:shape id="_x0000_s3160" type="#_x0000_t75" style="position:absolute;left:11741;top:4355;width:165;height:587">
              <v:imagedata r:id="rId42" o:title=""/>
            </v:shape>
            <v:shape id="_x0000_s3159" style="position:absolute;left:11741;top:5343;width:165;height:536" coordorigin="11741,5343" coordsize="165,536" path="m11741,5343r,535l11906,5872r,-525l11741,5343xe" fillcolor="#f36a2e" stroked="f">
              <v:path arrowok="t"/>
            </v:shape>
            <v:shape id="_x0000_s3158" style="position:absolute;left:11741;top:4925;width:165;height:501" coordorigin="11741,4926" coordsize="165,501" path="m11741,4926r,500l11906,5426r,-485l11741,4926xe" fillcolor="#49783f" stroked="f">
              <v:path arrowok="t"/>
            </v:shape>
            <v:shape id="_x0000_s3157" style="position:absolute;left:11741;top:5781;width:165;height:268" coordorigin="11741,5782" coordsize="165,268" path="m11906,5782r-165,8l11741,6039r165,10l11906,5782xe" fillcolor="#f99f2a" stroked="f">
              <v:path arrowok="t"/>
            </v:shape>
            <v:shape id="_x0000_s3156" style="position:absolute;left:11741;top:6023;width:165;height:707" coordorigin="11741,6023" coordsize="165,707" path="m11741,6023r,706l11906,6729r,-690l11741,6023xe" fillcolor="#ef412c" stroked="f">
              <v:path arrowok="t"/>
            </v:shape>
            <w10:wrap anchorx="page" anchory="page"/>
          </v:group>
        </w:pict>
      </w:r>
    </w:p>
    <w:p w14:paraId="4B0A6A94" w14:textId="77777777" w:rsidR="00EF5B27" w:rsidRDefault="00EF5B27">
      <w:pPr>
        <w:pStyle w:val="BodyText"/>
      </w:pPr>
    </w:p>
    <w:p w14:paraId="69A788DA" w14:textId="77777777" w:rsidR="00EF5B27" w:rsidRDefault="00EF5B27">
      <w:pPr>
        <w:pStyle w:val="BodyText"/>
      </w:pPr>
    </w:p>
    <w:p w14:paraId="5B3A1246" w14:textId="77777777" w:rsidR="00EF5B27" w:rsidRDefault="00EF5B27">
      <w:pPr>
        <w:pStyle w:val="BodyText"/>
        <w:spacing w:before="4"/>
        <w:rPr>
          <w:sz w:val="25"/>
        </w:rPr>
      </w:pPr>
    </w:p>
    <w:p w14:paraId="5DDBE3AA" w14:textId="77777777" w:rsidR="00EF5B27" w:rsidRDefault="00000000">
      <w:pPr>
        <w:pStyle w:val="BodyText"/>
        <w:spacing w:before="100" w:line="254" w:lineRule="auto"/>
        <w:ind w:left="2608" w:right="151"/>
      </w:pPr>
      <w:r>
        <w:rPr>
          <w:color w:val="4D4D4F"/>
        </w:rPr>
        <w:t>DELWP’s MSA MRF also summarises the conservation outcomes for the Golden Sun Moth as a single goal statement: ‘the Golden Sun Moth persists’.</w:t>
      </w:r>
    </w:p>
    <w:p w14:paraId="57B9E199" w14:textId="77777777" w:rsidR="00EF5B27" w:rsidRDefault="00EF5B27">
      <w:pPr>
        <w:pStyle w:val="BodyText"/>
        <w:spacing w:before="1"/>
        <w:rPr>
          <w:sz w:val="19"/>
        </w:rPr>
      </w:pPr>
    </w:p>
    <w:p w14:paraId="1110998E" w14:textId="77777777" w:rsidR="00EF5B27" w:rsidRDefault="00000000">
      <w:pPr>
        <w:pStyle w:val="Heading3"/>
        <w:spacing w:before="1"/>
      </w:pPr>
      <w:r>
        <w:rPr>
          <w:color w:val="F99F2A"/>
          <w:w w:val="110"/>
        </w:rPr>
        <w:t>KPIs assessed</w:t>
      </w:r>
    </w:p>
    <w:p w14:paraId="44DF9070" w14:textId="77777777" w:rsidR="00EF5B27" w:rsidRDefault="00000000">
      <w:pPr>
        <w:pStyle w:val="BodyText"/>
        <w:spacing w:before="221"/>
        <w:ind w:left="2608"/>
      </w:pPr>
      <w:r>
        <w:rPr>
          <w:color w:val="4D4D4F"/>
          <w:w w:val="105"/>
        </w:rPr>
        <w:t>DELWP measures progress towards this goal using the following KPI:</w:t>
      </w:r>
    </w:p>
    <w:p w14:paraId="4FB4E6D6" w14:textId="77777777" w:rsidR="00EF5B27" w:rsidRDefault="00000000">
      <w:pPr>
        <w:pStyle w:val="ListParagraph"/>
        <w:numPr>
          <w:ilvl w:val="1"/>
          <w:numId w:val="33"/>
        </w:numPr>
        <w:tabs>
          <w:tab w:val="left" w:pos="2779"/>
        </w:tabs>
        <w:spacing w:before="129" w:line="254" w:lineRule="auto"/>
        <w:ind w:right="407"/>
        <w:rPr>
          <w:sz w:val="20"/>
        </w:rPr>
      </w:pPr>
      <w:r>
        <w:rPr>
          <w:color w:val="4D4D4F"/>
          <w:sz w:val="20"/>
        </w:rPr>
        <w:t>The five-year mean proportion of monitoring sites occupied must remain above a baseline set by the first five years of</w:t>
      </w:r>
      <w:r>
        <w:rPr>
          <w:color w:val="4D4D4F"/>
          <w:spacing w:val="34"/>
          <w:sz w:val="20"/>
        </w:rPr>
        <w:t xml:space="preserve"> </w:t>
      </w:r>
      <w:r>
        <w:rPr>
          <w:color w:val="4D4D4F"/>
          <w:sz w:val="20"/>
        </w:rPr>
        <w:t>survey.</w:t>
      </w:r>
    </w:p>
    <w:p w14:paraId="6A088AE3" w14:textId="77777777" w:rsidR="00EF5B27" w:rsidRDefault="00000000">
      <w:pPr>
        <w:pStyle w:val="BodyText"/>
        <w:spacing w:before="116" w:line="254" w:lineRule="auto"/>
        <w:ind w:left="2608" w:right="308"/>
      </w:pPr>
      <w:bookmarkStart w:id="67" w:name="_heading=h.3vac5uf"/>
      <w:bookmarkEnd w:id="67"/>
      <w:r>
        <w:rPr>
          <w:color w:val="4D4D4F"/>
        </w:rPr>
        <w:t>The baseline for this KPI is static at 89% of sites occupied, calculated as the mean of the first five years of data for all sites monitored within the first five years.</w:t>
      </w:r>
    </w:p>
    <w:p w14:paraId="64C51CED" w14:textId="77777777" w:rsidR="00EF5B27" w:rsidRDefault="00EF5B27">
      <w:pPr>
        <w:pStyle w:val="BodyText"/>
      </w:pPr>
    </w:p>
    <w:p w14:paraId="78F3909A" w14:textId="77777777" w:rsidR="00EF5B27" w:rsidRDefault="00EF5B27">
      <w:pPr>
        <w:pStyle w:val="BodyText"/>
        <w:spacing w:before="8"/>
        <w:rPr>
          <w:sz w:val="11"/>
        </w:rPr>
      </w:pPr>
    </w:p>
    <w:tbl>
      <w:tblPr>
        <w:tblW w:w="0" w:type="auto"/>
        <w:tblInd w:w="261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152"/>
        <w:gridCol w:w="4989"/>
      </w:tblGrid>
      <w:tr w:rsidR="00EF5B27" w14:paraId="0D0D2F35" w14:textId="77777777">
        <w:trPr>
          <w:trHeight w:val="459"/>
        </w:trPr>
        <w:tc>
          <w:tcPr>
            <w:tcW w:w="2152" w:type="dxa"/>
            <w:shd w:val="clear" w:color="auto" w:fill="FECC91"/>
          </w:tcPr>
          <w:p w14:paraId="32FF625A" w14:textId="77777777" w:rsidR="00EF5B27" w:rsidRDefault="00000000">
            <w:pPr>
              <w:pStyle w:val="TableParagraph"/>
              <w:spacing w:before="140"/>
              <w:ind w:left="113"/>
              <w:rPr>
                <w:b/>
                <w:sz w:val="16"/>
              </w:rPr>
            </w:pPr>
            <w:r>
              <w:rPr>
                <w:b/>
                <w:w w:val="105"/>
                <w:sz w:val="16"/>
              </w:rPr>
              <w:t>MNES</w:t>
            </w:r>
          </w:p>
        </w:tc>
        <w:tc>
          <w:tcPr>
            <w:tcW w:w="4989" w:type="dxa"/>
          </w:tcPr>
          <w:p w14:paraId="0A6CDAA9" w14:textId="77777777" w:rsidR="00EF5B27" w:rsidRDefault="00000000">
            <w:pPr>
              <w:pStyle w:val="TableParagraph"/>
              <w:spacing w:before="140"/>
              <w:ind w:left="113"/>
              <w:rPr>
                <w:sz w:val="16"/>
              </w:rPr>
            </w:pPr>
            <w:r>
              <w:rPr>
                <w:color w:val="4D4D4F"/>
                <w:sz w:val="16"/>
              </w:rPr>
              <w:t>4. Golden Sun Moth</w:t>
            </w:r>
          </w:p>
        </w:tc>
      </w:tr>
      <w:tr w:rsidR="00EF5B27" w14:paraId="3654EF28" w14:textId="77777777">
        <w:trPr>
          <w:trHeight w:val="859"/>
        </w:trPr>
        <w:tc>
          <w:tcPr>
            <w:tcW w:w="2152" w:type="dxa"/>
            <w:shd w:val="clear" w:color="auto" w:fill="FECC91"/>
          </w:tcPr>
          <w:p w14:paraId="4DD8C55E" w14:textId="77777777" w:rsidR="00EF5B27" w:rsidRDefault="00000000">
            <w:pPr>
              <w:pStyle w:val="TableParagraph"/>
              <w:spacing w:before="140" w:line="244" w:lineRule="auto"/>
              <w:ind w:left="113" w:right="279"/>
              <w:rPr>
                <w:b/>
                <w:sz w:val="16"/>
              </w:rPr>
            </w:pPr>
            <w:r>
              <w:rPr>
                <w:b/>
                <w:sz w:val="16"/>
              </w:rPr>
              <w:t>Commonwealth approved 2015 MSA MRF single outcome statement</w:t>
            </w:r>
          </w:p>
        </w:tc>
        <w:tc>
          <w:tcPr>
            <w:tcW w:w="4989" w:type="dxa"/>
          </w:tcPr>
          <w:p w14:paraId="10187B12" w14:textId="77777777" w:rsidR="00EF5B27" w:rsidRDefault="00EF5B27">
            <w:pPr>
              <w:pStyle w:val="TableParagraph"/>
              <w:spacing w:before="10"/>
              <w:rPr>
                <w:sz w:val="27"/>
              </w:rPr>
            </w:pPr>
          </w:p>
          <w:p w14:paraId="163625CD" w14:textId="77777777" w:rsidR="00EF5B27" w:rsidRDefault="00000000">
            <w:pPr>
              <w:pStyle w:val="TableParagraph"/>
              <w:ind w:left="113"/>
              <w:rPr>
                <w:sz w:val="16"/>
              </w:rPr>
            </w:pPr>
            <w:r>
              <w:rPr>
                <w:color w:val="4D4D4F"/>
                <w:w w:val="105"/>
                <w:sz w:val="16"/>
              </w:rPr>
              <w:t>Golden Sun Moth persists.</w:t>
            </w:r>
          </w:p>
        </w:tc>
      </w:tr>
      <w:tr w:rsidR="00EF5B27" w14:paraId="4B0EE4C0" w14:textId="77777777">
        <w:trPr>
          <w:trHeight w:val="859"/>
        </w:trPr>
        <w:tc>
          <w:tcPr>
            <w:tcW w:w="2152" w:type="dxa"/>
            <w:shd w:val="clear" w:color="auto" w:fill="FECC91"/>
          </w:tcPr>
          <w:p w14:paraId="7367A885" w14:textId="77777777" w:rsidR="00EF5B27" w:rsidRDefault="00000000">
            <w:pPr>
              <w:pStyle w:val="TableParagraph"/>
              <w:spacing w:before="140" w:line="244" w:lineRule="auto"/>
              <w:ind w:left="113"/>
              <w:rPr>
                <w:b/>
                <w:sz w:val="16"/>
              </w:rPr>
            </w:pPr>
            <w:r>
              <w:rPr>
                <w:b/>
                <w:sz w:val="16"/>
              </w:rPr>
              <w:t>2014–2020 Ecological Outcomes Report single outcome statement</w:t>
            </w:r>
          </w:p>
        </w:tc>
        <w:tc>
          <w:tcPr>
            <w:tcW w:w="4989" w:type="dxa"/>
          </w:tcPr>
          <w:p w14:paraId="6AB8F218" w14:textId="77777777" w:rsidR="00EF5B27" w:rsidRDefault="00EF5B27">
            <w:pPr>
              <w:pStyle w:val="TableParagraph"/>
              <w:spacing w:before="10"/>
              <w:rPr>
                <w:sz w:val="27"/>
              </w:rPr>
            </w:pPr>
          </w:p>
          <w:p w14:paraId="542C859E" w14:textId="77777777" w:rsidR="00EF5B27" w:rsidRDefault="00000000">
            <w:pPr>
              <w:pStyle w:val="TableParagraph"/>
              <w:ind w:left="113"/>
              <w:rPr>
                <w:sz w:val="16"/>
              </w:rPr>
            </w:pPr>
            <w:r>
              <w:rPr>
                <w:color w:val="4D4D4F"/>
                <w:w w:val="105"/>
                <w:sz w:val="16"/>
              </w:rPr>
              <w:t>Golden Sun Moth persists.</w:t>
            </w:r>
          </w:p>
        </w:tc>
      </w:tr>
      <w:tr w:rsidR="00EF5B27" w14:paraId="640511C9" w14:textId="77777777">
        <w:trPr>
          <w:trHeight w:val="4532"/>
        </w:trPr>
        <w:tc>
          <w:tcPr>
            <w:tcW w:w="2152" w:type="dxa"/>
            <w:shd w:val="clear" w:color="auto" w:fill="FECC91"/>
          </w:tcPr>
          <w:p w14:paraId="156A783D" w14:textId="77777777" w:rsidR="00EF5B27" w:rsidRDefault="00EF5B27">
            <w:pPr>
              <w:pStyle w:val="TableParagraph"/>
              <w:rPr>
                <w:sz w:val="20"/>
              </w:rPr>
            </w:pPr>
          </w:p>
          <w:p w14:paraId="30937183" w14:textId="77777777" w:rsidR="00EF5B27" w:rsidRDefault="00EF5B27">
            <w:pPr>
              <w:pStyle w:val="TableParagraph"/>
              <w:rPr>
                <w:sz w:val="20"/>
              </w:rPr>
            </w:pPr>
          </w:p>
          <w:p w14:paraId="23766EA8" w14:textId="77777777" w:rsidR="00EF5B27" w:rsidRDefault="00EF5B27">
            <w:pPr>
              <w:pStyle w:val="TableParagraph"/>
              <w:rPr>
                <w:sz w:val="20"/>
              </w:rPr>
            </w:pPr>
          </w:p>
          <w:p w14:paraId="117FE220" w14:textId="77777777" w:rsidR="00EF5B27" w:rsidRDefault="00EF5B27">
            <w:pPr>
              <w:pStyle w:val="TableParagraph"/>
              <w:rPr>
                <w:sz w:val="20"/>
              </w:rPr>
            </w:pPr>
          </w:p>
          <w:p w14:paraId="721296DA" w14:textId="77777777" w:rsidR="00EF5B27" w:rsidRDefault="00EF5B27">
            <w:pPr>
              <w:pStyle w:val="TableParagraph"/>
              <w:rPr>
                <w:sz w:val="20"/>
              </w:rPr>
            </w:pPr>
          </w:p>
          <w:p w14:paraId="4E320FFF" w14:textId="77777777" w:rsidR="00EF5B27" w:rsidRDefault="00EF5B27">
            <w:pPr>
              <w:pStyle w:val="TableParagraph"/>
              <w:rPr>
                <w:sz w:val="20"/>
              </w:rPr>
            </w:pPr>
          </w:p>
          <w:p w14:paraId="719C8B91" w14:textId="77777777" w:rsidR="00EF5B27" w:rsidRDefault="00EF5B27">
            <w:pPr>
              <w:pStyle w:val="TableParagraph"/>
              <w:rPr>
                <w:sz w:val="20"/>
              </w:rPr>
            </w:pPr>
          </w:p>
          <w:p w14:paraId="1DA32307" w14:textId="77777777" w:rsidR="00EF5B27" w:rsidRDefault="00000000">
            <w:pPr>
              <w:pStyle w:val="TableParagraph"/>
              <w:spacing w:before="167" w:line="244" w:lineRule="auto"/>
              <w:ind w:left="113"/>
              <w:rPr>
                <w:b/>
                <w:sz w:val="16"/>
              </w:rPr>
            </w:pPr>
            <w:r>
              <w:rPr>
                <w:b/>
                <w:sz w:val="16"/>
              </w:rPr>
              <w:t>Conservation Outcomes published in the Victorian Government Gazette – Issue G4, 27 January 2022</w:t>
            </w:r>
          </w:p>
        </w:tc>
        <w:tc>
          <w:tcPr>
            <w:tcW w:w="4989" w:type="dxa"/>
          </w:tcPr>
          <w:p w14:paraId="16838602" w14:textId="77777777" w:rsidR="00EF5B27" w:rsidRDefault="00EF5B27">
            <w:pPr>
              <w:pStyle w:val="TableParagraph"/>
              <w:spacing w:before="2"/>
              <w:rPr>
                <w:sz w:val="20"/>
              </w:rPr>
            </w:pPr>
          </w:p>
          <w:p w14:paraId="4EB8B29F" w14:textId="77777777" w:rsidR="00EF5B27" w:rsidRDefault="00000000">
            <w:pPr>
              <w:pStyle w:val="TableParagraph"/>
              <w:ind w:left="113"/>
              <w:rPr>
                <w:sz w:val="16"/>
              </w:rPr>
            </w:pPr>
            <w:r>
              <w:rPr>
                <w:color w:val="4D4D4F"/>
                <w:sz w:val="16"/>
              </w:rPr>
              <w:t>The permanent protection of occupied habitat for Golden Sun Moth in:</w:t>
            </w:r>
          </w:p>
          <w:p w14:paraId="1EA96AEF" w14:textId="77777777" w:rsidR="00EF5B27" w:rsidRDefault="00000000">
            <w:pPr>
              <w:pStyle w:val="TableParagraph"/>
              <w:numPr>
                <w:ilvl w:val="0"/>
                <w:numId w:val="32"/>
              </w:numPr>
              <w:tabs>
                <w:tab w:val="left" w:pos="227"/>
              </w:tabs>
              <w:spacing w:before="81"/>
              <w:ind w:hanging="113"/>
              <w:rPr>
                <w:sz w:val="16"/>
              </w:rPr>
            </w:pPr>
            <w:r>
              <w:rPr>
                <w:color w:val="4D4D4F"/>
                <w:sz w:val="16"/>
              </w:rPr>
              <w:t>the Western Grassland</w:t>
            </w:r>
            <w:r>
              <w:rPr>
                <w:color w:val="4D4D4F"/>
                <w:spacing w:val="12"/>
                <w:sz w:val="16"/>
              </w:rPr>
              <w:t xml:space="preserve"> </w:t>
            </w:r>
            <w:r>
              <w:rPr>
                <w:color w:val="4D4D4F"/>
                <w:sz w:val="16"/>
              </w:rPr>
              <w:t>Reserve</w:t>
            </w:r>
          </w:p>
          <w:p w14:paraId="64781F40" w14:textId="77777777" w:rsidR="00EF5B27" w:rsidRDefault="00000000">
            <w:pPr>
              <w:pStyle w:val="TableParagraph"/>
              <w:numPr>
                <w:ilvl w:val="0"/>
                <w:numId w:val="32"/>
              </w:numPr>
              <w:tabs>
                <w:tab w:val="left" w:pos="227"/>
              </w:tabs>
              <w:spacing w:before="81" w:line="271" w:lineRule="auto"/>
              <w:ind w:right="345" w:hanging="113"/>
              <w:rPr>
                <w:sz w:val="16"/>
              </w:rPr>
            </w:pPr>
            <w:r>
              <w:rPr>
                <w:color w:val="4D4D4F"/>
                <w:sz w:val="16"/>
              </w:rPr>
              <w:t>the conservation areas identified in the BCS and the Conservation Areas</w:t>
            </w:r>
            <w:r>
              <w:rPr>
                <w:color w:val="4D4D4F"/>
                <w:spacing w:val="3"/>
                <w:sz w:val="16"/>
              </w:rPr>
              <w:t xml:space="preserve"> </w:t>
            </w:r>
            <w:r>
              <w:rPr>
                <w:color w:val="4D4D4F"/>
                <w:sz w:val="16"/>
              </w:rPr>
              <w:t>Declaration</w:t>
            </w:r>
          </w:p>
          <w:p w14:paraId="6F53BE94" w14:textId="77777777" w:rsidR="00EF5B27" w:rsidRDefault="00000000">
            <w:pPr>
              <w:pStyle w:val="TableParagraph"/>
              <w:numPr>
                <w:ilvl w:val="0"/>
                <w:numId w:val="32"/>
              </w:numPr>
              <w:tabs>
                <w:tab w:val="left" w:pos="227"/>
              </w:tabs>
              <w:spacing w:before="56" w:line="271" w:lineRule="auto"/>
              <w:ind w:right="346" w:hanging="113"/>
              <w:rPr>
                <w:sz w:val="16"/>
              </w:rPr>
            </w:pPr>
            <w:r>
              <w:rPr>
                <w:color w:val="4D4D4F"/>
                <w:sz w:val="16"/>
              </w:rPr>
              <w:t xml:space="preserve">680 ha of conservation areas identified outside the UGB that can include land within the Grassy Eucalypt Woodland Protected </w:t>
            </w:r>
            <w:r>
              <w:rPr>
                <w:color w:val="4D4D4F"/>
                <w:spacing w:val="2"/>
                <w:sz w:val="16"/>
              </w:rPr>
              <w:t xml:space="preserve">Area </w:t>
            </w:r>
            <w:r>
              <w:rPr>
                <w:color w:val="4D4D4F"/>
                <w:sz w:val="16"/>
              </w:rPr>
              <w:t>(where occupied habitat is</w:t>
            </w:r>
            <w:r>
              <w:rPr>
                <w:color w:val="4D4D4F"/>
                <w:spacing w:val="11"/>
                <w:sz w:val="16"/>
              </w:rPr>
              <w:t xml:space="preserve"> </w:t>
            </w:r>
            <w:r>
              <w:rPr>
                <w:color w:val="4D4D4F"/>
                <w:sz w:val="16"/>
              </w:rPr>
              <w:t>found).</w:t>
            </w:r>
          </w:p>
          <w:p w14:paraId="7AC315EB" w14:textId="77777777" w:rsidR="00EF5B27" w:rsidRDefault="00000000">
            <w:pPr>
              <w:pStyle w:val="TableParagraph"/>
              <w:spacing w:before="54" w:line="271" w:lineRule="auto"/>
              <w:ind w:left="113" w:right="275"/>
              <w:jc w:val="both"/>
              <w:rPr>
                <w:sz w:val="16"/>
              </w:rPr>
            </w:pPr>
            <w:r>
              <w:rPr>
                <w:color w:val="4D4D4F"/>
                <w:sz w:val="16"/>
              </w:rPr>
              <w:t>Golden Sun Moth populations in the Western Grassland Reserve are sustained in the long-term. Sustained means that the five-year mean proportion of sites occupied remains above the baseline.</w:t>
            </w:r>
          </w:p>
          <w:p w14:paraId="292CD6C7" w14:textId="77777777" w:rsidR="00EF5B27" w:rsidRDefault="00000000">
            <w:pPr>
              <w:pStyle w:val="TableParagraph"/>
              <w:spacing w:before="55" w:line="271" w:lineRule="auto"/>
              <w:ind w:left="113" w:right="210"/>
              <w:rPr>
                <w:sz w:val="16"/>
              </w:rPr>
            </w:pPr>
            <w:r>
              <w:rPr>
                <w:color w:val="4D4D4F"/>
                <w:sz w:val="16"/>
              </w:rPr>
              <w:t>Golden Sun Moth populations in the conservation areas identified in   the BCS and the Conservation Areas  Declaration,  and  those  outside the UGB are sustained in the long-term. Sustained means that the five- year</w:t>
            </w:r>
            <w:r>
              <w:rPr>
                <w:color w:val="4D4D4F"/>
                <w:spacing w:val="5"/>
                <w:sz w:val="16"/>
              </w:rPr>
              <w:t xml:space="preserve"> </w:t>
            </w:r>
            <w:r>
              <w:rPr>
                <w:color w:val="4D4D4F"/>
                <w:sz w:val="16"/>
              </w:rPr>
              <w:t>mean</w:t>
            </w:r>
            <w:r>
              <w:rPr>
                <w:color w:val="4D4D4F"/>
                <w:spacing w:val="6"/>
                <w:sz w:val="16"/>
              </w:rPr>
              <w:t xml:space="preserve"> </w:t>
            </w:r>
            <w:r>
              <w:rPr>
                <w:color w:val="4D4D4F"/>
                <w:spacing w:val="2"/>
                <w:sz w:val="16"/>
              </w:rPr>
              <w:t>proportion</w:t>
            </w:r>
            <w:r>
              <w:rPr>
                <w:color w:val="4D4D4F"/>
                <w:spacing w:val="6"/>
                <w:sz w:val="16"/>
              </w:rPr>
              <w:t xml:space="preserve"> </w:t>
            </w:r>
            <w:r>
              <w:rPr>
                <w:color w:val="4D4D4F"/>
                <w:sz w:val="16"/>
              </w:rPr>
              <w:t>of</w:t>
            </w:r>
            <w:r>
              <w:rPr>
                <w:color w:val="4D4D4F"/>
                <w:spacing w:val="6"/>
                <w:sz w:val="16"/>
              </w:rPr>
              <w:t xml:space="preserve"> </w:t>
            </w:r>
            <w:r>
              <w:rPr>
                <w:color w:val="4D4D4F"/>
                <w:sz w:val="16"/>
              </w:rPr>
              <w:t>sites</w:t>
            </w:r>
            <w:r>
              <w:rPr>
                <w:color w:val="4D4D4F"/>
                <w:spacing w:val="6"/>
                <w:sz w:val="16"/>
              </w:rPr>
              <w:t xml:space="preserve"> </w:t>
            </w:r>
            <w:r>
              <w:rPr>
                <w:color w:val="4D4D4F"/>
                <w:sz w:val="16"/>
              </w:rPr>
              <w:t>occupied</w:t>
            </w:r>
            <w:r>
              <w:rPr>
                <w:color w:val="4D4D4F"/>
                <w:spacing w:val="6"/>
                <w:sz w:val="16"/>
              </w:rPr>
              <w:t xml:space="preserve"> </w:t>
            </w:r>
            <w:r>
              <w:rPr>
                <w:color w:val="4D4D4F"/>
                <w:sz w:val="16"/>
              </w:rPr>
              <w:t>remains</w:t>
            </w:r>
            <w:r>
              <w:rPr>
                <w:color w:val="4D4D4F"/>
                <w:spacing w:val="6"/>
                <w:sz w:val="16"/>
              </w:rPr>
              <w:t xml:space="preserve"> </w:t>
            </w:r>
            <w:r>
              <w:rPr>
                <w:color w:val="4D4D4F"/>
                <w:sz w:val="16"/>
              </w:rPr>
              <w:t>above</w:t>
            </w:r>
            <w:r>
              <w:rPr>
                <w:color w:val="4D4D4F"/>
                <w:spacing w:val="6"/>
                <w:sz w:val="16"/>
              </w:rPr>
              <w:t xml:space="preserve"> </w:t>
            </w:r>
            <w:r>
              <w:rPr>
                <w:color w:val="4D4D4F"/>
                <w:sz w:val="16"/>
              </w:rPr>
              <w:t>the</w:t>
            </w:r>
            <w:r>
              <w:rPr>
                <w:color w:val="4D4D4F"/>
                <w:spacing w:val="6"/>
                <w:sz w:val="16"/>
              </w:rPr>
              <w:t xml:space="preserve"> </w:t>
            </w:r>
            <w:r>
              <w:rPr>
                <w:color w:val="4D4D4F"/>
                <w:sz w:val="16"/>
              </w:rPr>
              <w:t>baseline.</w:t>
            </w:r>
          </w:p>
          <w:p w14:paraId="38385441" w14:textId="77777777" w:rsidR="00EF5B27" w:rsidRDefault="00000000">
            <w:pPr>
              <w:pStyle w:val="TableParagraph"/>
              <w:spacing w:before="54" w:line="271" w:lineRule="auto"/>
              <w:ind w:left="113" w:right="179"/>
              <w:jc w:val="both"/>
              <w:rPr>
                <w:sz w:val="16"/>
              </w:rPr>
            </w:pPr>
            <w:r>
              <w:rPr>
                <w:color w:val="4D4D4F"/>
                <w:spacing w:val="-3"/>
                <w:sz w:val="16"/>
              </w:rPr>
              <w:t xml:space="preserve">Golden </w:t>
            </w:r>
            <w:r>
              <w:rPr>
                <w:color w:val="4D4D4F"/>
                <w:sz w:val="16"/>
              </w:rPr>
              <w:t xml:space="preserve">Sun </w:t>
            </w:r>
            <w:r>
              <w:rPr>
                <w:color w:val="4D4D4F"/>
                <w:spacing w:val="-3"/>
                <w:sz w:val="16"/>
              </w:rPr>
              <w:t xml:space="preserve">Moth populations in </w:t>
            </w:r>
            <w:r>
              <w:rPr>
                <w:color w:val="4D4D4F"/>
                <w:sz w:val="16"/>
              </w:rPr>
              <w:t xml:space="preserve">the Grassy </w:t>
            </w:r>
            <w:r>
              <w:rPr>
                <w:color w:val="4D4D4F"/>
                <w:spacing w:val="-3"/>
                <w:sz w:val="16"/>
              </w:rPr>
              <w:t xml:space="preserve">Eucalypt Woodland </w:t>
            </w:r>
            <w:r>
              <w:rPr>
                <w:color w:val="4D4D4F"/>
                <w:sz w:val="16"/>
              </w:rPr>
              <w:t>Protected Area are sustained in the long-term. Sustained means that the five-year mean proportion of sites occupied remains above the baseline.</w:t>
            </w:r>
          </w:p>
        </w:tc>
      </w:tr>
    </w:tbl>
    <w:p w14:paraId="3188337F" w14:textId="77777777" w:rsidR="00EF5B27" w:rsidRDefault="00EF5B27">
      <w:pPr>
        <w:spacing w:line="271" w:lineRule="auto"/>
        <w:jc w:val="both"/>
        <w:rPr>
          <w:sz w:val="16"/>
        </w:rPr>
        <w:sectPr w:rsidR="00EF5B27">
          <w:pgSz w:w="11910" w:h="16840"/>
          <w:pgMar w:top="1080" w:right="1020" w:bottom="860" w:left="1020" w:header="537" w:footer="678" w:gutter="0"/>
          <w:cols w:space="720"/>
        </w:sectPr>
      </w:pPr>
    </w:p>
    <w:p w14:paraId="512C630E" w14:textId="77777777" w:rsidR="00EF5B27" w:rsidRDefault="00000000">
      <w:pPr>
        <w:pStyle w:val="BodyText"/>
      </w:pPr>
      <w:r>
        <w:lastRenderedPageBreak/>
        <w:pict w14:anchorId="53E90E5F">
          <v:group id="_x0000_s3147" style="position:absolute;margin-left:587.05pt;margin-top:183.4pt;width:8.25pt;height:153.1pt;z-index:251629056;mso-position-horizontal-relative:page;mso-position-vertical-relative:page" coordorigin="11741,3668" coordsize="165,3062">
            <v:shape id="_x0000_s3154" style="position:absolute;left:11741;top:3668;width:165;height:561" coordorigin="11741,3668" coordsize="165,561" path="m11906,3668r-165,l11741,4228r165,-18l11906,3668xe" fillcolor="#00aed9" stroked="f">
              <v:path arrowok="t"/>
            </v:shape>
            <v:shape id="_x0000_s3153" style="position:absolute;left:11741;top:4118;width:165;height:425" coordorigin="11741,4118" coordsize="165,425" path="m11906,4118r-165,14l11741,4531r165,12l11906,4118xe" fillcolor="#047ebc" stroked="f">
              <v:path arrowok="t"/>
            </v:shape>
            <v:shape id="_x0000_s3152" type="#_x0000_t75" style="position:absolute;left:11741;top:4355;width:165;height:587">
              <v:imagedata r:id="rId42" o:title=""/>
            </v:shape>
            <v:shape id="_x0000_s3151" style="position:absolute;left:11741;top:5343;width:165;height:536" coordorigin="11741,5343" coordsize="165,536" path="m11741,5343r,535l11906,5872r,-525l11741,5343xe" fillcolor="#f36a2e" stroked="f">
              <v:path arrowok="t"/>
            </v:shape>
            <v:shape id="_x0000_s3150" style="position:absolute;left:11741;top:4925;width:165;height:501" coordorigin="11741,4926" coordsize="165,501" path="m11741,4926r,500l11906,5426r,-485l11741,4926xe" fillcolor="#49783f" stroked="f">
              <v:path arrowok="t"/>
            </v:shape>
            <v:shape id="_x0000_s3149" style="position:absolute;left:11741;top:5781;width:165;height:268" coordorigin="11741,5782" coordsize="165,268" path="m11906,5782r-165,8l11741,6039r165,10l11906,5782xe" fillcolor="#f99f2a" stroked="f">
              <v:path arrowok="t"/>
            </v:shape>
            <v:shape id="_x0000_s3148" style="position:absolute;left:11741;top:6023;width:165;height:707" coordorigin="11741,6023" coordsize="165,707" path="m11741,6023r,706l11906,6729r,-690l11741,6023xe" fillcolor="#ef412c" stroked="f">
              <v:path arrowok="t"/>
            </v:shape>
            <w10:wrap anchorx="page" anchory="page"/>
          </v:group>
        </w:pict>
      </w:r>
    </w:p>
    <w:p w14:paraId="2EE0FAB6" w14:textId="77777777" w:rsidR="00EF5B27" w:rsidRDefault="00EF5B27">
      <w:pPr>
        <w:pStyle w:val="BodyText"/>
      </w:pPr>
    </w:p>
    <w:p w14:paraId="07FEDDCE" w14:textId="77777777" w:rsidR="00EF5B27" w:rsidRDefault="00EF5B27">
      <w:pPr>
        <w:pStyle w:val="BodyText"/>
      </w:pPr>
    </w:p>
    <w:p w14:paraId="578FD877" w14:textId="77777777" w:rsidR="00EF5B27" w:rsidRDefault="00EF5B27">
      <w:pPr>
        <w:pStyle w:val="BodyText"/>
        <w:spacing w:before="12"/>
        <w:rPr>
          <w:sz w:val="22"/>
        </w:rPr>
      </w:pPr>
    </w:p>
    <w:p w14:paraId="447022A6" w14:textId="77777777" w:rsidR="00EF5B27" w:rsidRDefault="00000000">
      <w:pPr>
        <w:pStyle w:val="Heading3"/>
        <w:spacing w:before="115"/>
      </w:pPr>
      <w:bookmarkStart w:id="68" w:name="_bookmark46"/>
      <w:bookmarkEnd w:id="68"/>
      <w:r>
        <w:rPr>
          <w:color w:val="F99F2A"/>
        </w:rPr>
        <w:t>Monitored areas</w:t>
      </w:r>
    </w:p>
    <w:p w14:paraId="1CEE16D8" w14:textId="77777777" w:rsidR="00EF5B27" w:rsidRDefault="00EF5B27">
      <w:pPr>
        <w:pStyle w:val="BodyText"/>
        <w:spacing w:before="5"/>
        <w:rPr>
          <w:b/>
          <w:sz w:val="27"/>
        </w:rPr>
      </w:pPr>
    </w:p>
    <w:p w14:paraId="74EF1C74" w14:textId="77777777" w:rsidR="00EF5B27" w:rsidRDefault="00000000">
      <w:pPr>
        <w:pStyle w:val="BodyText"/>
        <w:spacing w:line="254" w:lineRule="auto"/>
        <w:ind w:left="2608"/>
      </w:pPr>
      <w:r>
        <w:rPr>
          <w:color w:val="4D4D4F"/>
        </w:rPr>
        <w:t>Golden Sun Moth occurs in numerous conservation areas within the MSA area.</w:t>
      </w:r>
      <w:r>
        <w:rPr>
          <w:color w:val="4D4D4F"/>
          <w:position w:val="7"/>
          <w:sz w:val="11"/>
        </w:rPr>
        <w:t xml:space="preserve">171 </w:t>
      </w:r>
      <w:r>
        <w:rPr>
          <w:color w:val="4D4D4F"/>
        </w:rPr>
        <w:t>Monitoring currently occurs at 11 permanent plots at these locations:</w:t>
      </w:r>
    </w:p>
    <w:p w14:paraId="142392FE" w14:textId="77777777" w:rsidR="00EF5B27" w:rsidRDefault="00EF5B27">
      <w:pPr>
        <w:pStyle w:val="BodyText"/>
        <w:spacing w:before="9"/>
        <w:rPr>
          <w:sz w:val="18"/>
        </w:rPr>
      </w:pPr>
    </w:p>
    <w:p w14:paraId="33CACFB3" w14:textId="77777777" w:rsidR="00EF5B27" w:rsidRDefault="00000000">
      <w:pPr>
        <w:pStyle w:val="ListParagraph"/>
        <w:numPr>
          <w:ilvl w:val="0"/>
          <w:numId w:val="34"/>
        </w:numPr>
        <w:tabs>
          <w:tab w:val="left" w:pos="2779"/>
        </w:tabs>
        <w:spacing w:before="1"/>
        <w:rPr>
          <w:sz w:val="20"/>
        </w:rPr>
      </w:pPr>
      <w:r>
        <w:rPr>
          <w:color w:val="4D4D4F"/>
          <w:spacing w:val="-3"/>
          <w:w w:val="105"/>
          <w:sz w:val="20"/>
        </w:rPr>
        <w:t xml:space="preserve">Truganina </w:t>
      </w:r>
      <w:r>
        <w:rPr>
          <w:color w:val="4D4D4F"/>
          <w:w w:val="105"/>
          <w:sz w:val="20"/>
        </w:rPr>
        <w:t>South Nature Conservation Reserve</w:t>
      </w:r>
      <w:r>
        <w:rPr>
          <w:color w:val="4D4D4F"/>
          <w:spacing w:val="4"/>
          <w:w w:val="105"/>
          <w:sz w:val="20"/>
        </w:rPr>
        <w:t xml:space="preserve"> </w:t>
      </w:r>
      <w:r>
        <w:rPr>
          <w:color w:val="4D4D4F"/>
          <w:w w:val="105"/>
          <w:sz w:val="20"/>
        </w:rPr>
        <w:t>(NCR)</w:t>
      </w:r>
    </w:p>
    <w:p w14:paraId="068ECD10" w14:textId="77777777" w:rsidR="00EF5B27" w:rsidRDefault="00000000">
      <w:pPr>
        <w:pStyle w:val="ListParagraph"/>
        <w:numPr>
          <w:ilvl w:val="0"/>
          <w:numId w:val="34"/>
        </w:numPr>
        <w:tabs>
          <w:tab w:val="left" w:pos="2779"/>
        </w:tabs>
        <w:spacing w:before="129"/>
        <w:rPr>
          <w:sz w:val="20"/>
        </w:rPr>
      </w:pPr>
      <w:r>
        <w:rPr>
          <w:color w:val="4D4D4F"/>
          <w:sz w:val="20"/>
        </w:rPr>
        <w:t>Western Grassland Reserve, Mount Cottrell NCR (eastern</w:t>
      </w:r>
      <w:r>
        <w:rPr>
          <w:color w:val="4D4D4F"/>
          <w:spacing w:val="36"/>
          <w:sz w:val="20"/>
        </w:rPr>
        <w:t xml:space="preserve"> </w:t>
      </w:r>
      <w:r>
        <w:rPr>
          <w:color w:val="4D4D4F"/>
          <w:sz w:val="20"/>
        </w:rPr>
        <w:t>half)</w:t>
      </w:r>
    </w:p>
    <w:p w14:paraId="2F5D99C8" w14:textId="77777777" w:rsidR="00EF5B27" w:rsidRDefault="00000000">
      <w:pPr>
        <w:pStyle w:val="ListParagraph"/>
        <w:numPr>
          <w:ilvl w:val="0"/>
          <w:numId w:val="34"/>
        </w:numPr>
        <w:tabs>
          <w:tab w:val="left" w:pos="2779"/>
        </w:tabs>
        <w:spacing w:before="129"/>
        <w:rPr>
          <w:sz w:val="20"/>
        </w:rPr>
      </w:pPr>
      <w:r>
        <w:rPr>
          <w:color w:val="4D4D4F"/>
          <w:sz w:val="20"/>
        </w:rPr>
        <w:t>Western</w:t>
      </w:r>
      <w:r>
        <w:rPr>
          <w:color w:val="4D4D4F"/>
          <w:spacing w:val="6"/>
          <w:sz w:val="20"/>
        </w:rPr>
        <w:t xml:space="preserve"> </w:t>
      </w:r>
      <w:r>
        <w:rPr>
          <w:color w:val="4D4D4F"/>
          <w:sz w:val="20"/>
        </w:rPr>
        <w:t>Grassland</w:t>
      </w:r>
      <w:r>
        <w:rPr>
          <w:color w:val="4D4D4F"/>
          <w:spacing w:val="7"/>
          <w:sz w:val="20"/>
        </w:rPr>
        <w:t xml:space="preserve"> </w:t>
      </w:r>
      <w:r>
        <w:rPr>
          <w:color w:val="4D4D4F"/>
          <w:sz w:val="20"/>
        </w:rPr>
        <w:t>Reserve,</w:t>
      </w:r>
      <w:r>
        <w:rPr>
          <w:color w:val="4D4D4F"/>
          <w:spacing w:val="6"/>
          <w:sz w:val="20"/>
        </w:rPr>
        <w:t xml:space="preserve"> </w:t>
      </w:r>
      <w:r>
        <w:rPr>
          <w:color w:val="4D4D4F"/>
          <w:sz w:val="20"/>
        </w:rPr>
        <w:t>One</w:t>
      </w:r>
      <w:r>
        <w:rPr>
          <w:color w:val="4D4D4F"/>
          <w:spacing w:val="7"/>
          <w:sz w:val="20"/>
        </w:rPr>
        <w:t xml:space="preserve"> </w:t>
      </w:r>
      <w:r>
        <w:rPr>
          <w:color w:val="4D4D4F"/>
          <w:spacing w:val="-3"/>
          <w:sz w:val="20"/>
        </w:rPr>
        <w:t>Tree</w:t>
      </w:r>
      <w:r>
        <w:rPr>
          <w:color w:val="4D4D4F"/>
          <w:spacing w:val="7"/>
          <w:sz w:val="20"/>
        </w:rPr>
        <w:t xml:space="preserve"> </w:t>
      </w:r>
      <w:r>
        <w:rPr>
          <w:color w:val="4D4D4F"/>
          <w:sz w:val="20"/>
        </w:rPr>
        <w:t>East</w:t>
      </w:r>
      <w:r>
        <w:rPr>
          <w:color w:val="4D4D4F"/>
          <w:spacing w:val="6"/>
          <w:sz w:val="20"/>
        </w:rPr>
        <w:t xml:space="preserve"> </w:t>
      </w:r>
      <w:r>
        <w:rPr>
          <w:color w:val="4D4D4F"/>
          <w:sz w:val="20"/>
        </w:rPr>
        <w:t>(Paddock</w:t>
      </w:r>
      <w:r>
        <w:rPr>
          <w:color w:val="4D4D4F"/>
          <w:spacing w:val="7"/>
          <w:sz w:val="20"/>
        </w:rPr>
        <w:t xml:space="preserve"> </w:t>
      </w:r>
      <w:r>
        <w:rPr>
          <w:color w:val="4D4D4F"/>
          <w:sz w:val="20"/>
        </w:rPr>
        <w:t>1</w:t>
      </w:r>
      <w:r>
        <w:rPr>
          <w:color w:val="4D4D4F"/>
          <w:spacing w:val="6"/>
          <w:sz w:val="20"/>
        </w:rPr>
        <w:t xml:space="preserve"> </w:t>
      </w:r>
      <w:r>
        <w:rPr>
          <w:color w:val="4D4D4F"/>
          <w:sz w:val="20"/>
        </w:rPr>
        <w:t>and</w:t>
      </w:r>
      <w:r>
        <w:rPr>
          <w:color w:val="4D4D4F"/>
          <w:spacing w:val="7"/>
          <w:sz w:val="20"/>
        </w:rPr>
        <w:t xml:space="preserve"> </w:t>
      </w:r>
      <w:r>
        <w:rPr>
          <w:color w:val="4D4D4F"/>
          <w:sz w:val="20"/>
        </w:rPr>
        <w:t>Paddock</w:t>
      </w:r>
      <w:r>
        <w:rPr>
          <w:color w:val="4D4D4F"/>
          <w:spacing w:val="7"/>
          <w:sz w:val="20"/>
        </w:rPr>
        <w:t xml:space="preserve"> </w:t>
      </w:r>
      <w:r>
        <w:rPr>
          <w:color w:val="4D4D4F"/>
          <w:sz w:val="20"/>
        </w:rPr>
        <w:t>2)</w:t>
      </w:r>
    </w:p>
    <w:p w14:paraId="34E165A0" w14:textId="77777777" w:rsidR="00EF5B27" w:rsidRDefault="00000000">
      <w:pPr>
        <w:pStyle w:val="ListParagraph"/>
        <w:numPr>
          <w:ilvl w:val="0"/>
          <w:numId w:val="34"/>
        </w:numPr>
        <w:tabs>
          <w:tab w:val="left" w:pos="2779"/>
        </w:tabs>
        <w:spacing w:before="129"/>
        <w:rPr>
          <w:sz w:val="20"/>
        </w:rPr>
      </w:pPr>
      <w:r>
        <w:rPr>
          <w:color w:val="4D4D4F"/>
          <w:w w:val="105"/>
          <w:sz w:val="20"/>
        </w:rPr>
        <w:t>Western</w:t>
      </w:r>
      <w:r>
        <w:rPr>
          <w:color w:val="4D4D4F"/>
          <w:spacing w:val="-7"/>
          <w:w w:val="105"/>
          <w:sz w:val="20"/>
        </w:rPr>
        <w:t xml:space="preserve"> </w:t>
      </w:r>
      <w:r>
        <w:rPr>
          <w:color w:val="4D4D4F"/>
          <w:w w:val="105"/>
          <w:sz w:val="20"/>
        </w:rPr>
        <w:t>Grassland</w:t>
      </w:r>
      <w:r>
        <w:rPr>
          <w:color w:val="4D4D4F"/>
          <w:spacing w:val="-6"/>
          <w:w w:val="105"/>
          <w:sz w:val="20"/>
        </w:rPr>
        <w:t xml:space="preserve"> </w:t>
      </w:r>
      <w:r>
        <w:rPr>
          <w:color w:val="4D4D4F"/>
          <w:w w:val="105"/>
          <w:sz w:val="20"/>
        </w:rPr>
        <w:t>Reserve,</w:t>
      </w:r>
      <w:r>
        <w:rPr>
          <w:color w:val="4D4D4F"/>
          <w:spacing w:val="-6"/>
          <w:w w:val="105"/>
          <w:sz w:val="20"/>
        </w:rPr>
        <w:t xml:space="preserve"> </w:t>
      </w:r>
      <w:r>
        <w:rPr>
          <w:color w:val="4D4D4F"/>
          <w:w w:val="105"/>
          <w:sz w:val="20"/>
        </w:rPr>
        <w:t>Wilsons</w:t>
      </w:r>
      <w:r>
        <w:rPr>
          <w:color w:val="4D4D4F"/>
          <w:spacing w:val="-6"/>
          <w:w w:val="105"/>
          <w:sz w:val="20"/>
        </w:rPr>
        <w:t xml:space="preserve"> </w:t>
      </w:r>
      <w:r>
        <w:rPr>
          <w:color w:val="4D4D4F"/>
          <w:w w:val="105"/>
          <w:sz w:val="20"/>
        </w:rPr>
        <w:t>Block</w:t>
      </w:r>
      <w:r>
        <w:rPr>
          <w:color w:val="4D4D4F"/>
          <w:spacing w:val="-6"/>
          <w:w w:val="105"/>
          <w:sz w:val="20"/>
        </w:rPr>
        <w:t xml:space="preserve"> </w:t>
      </w:r>
      <w:r>
        <w:rPr>
          <w:color w:val="4D4D4F"/>
          <w:w w:val="105"/>
          <w:sz w:val="20"/>
        </w:rPr>
        <w:t>(Wilsons</w:t>
      </w:r>
      <w:r>
        <w:rPr>
          <w:color w:val="4D4D4F"/>
          <w:spacing w:val="-6"/>
          <w:w w:val="105"/>
          <w:sz w:val="20"/>
        </w:rPr>
        <w:t xml:space="preserve"> </w:t>
      </w:r>
      <w:r>
        <w:rPr>
          <w:color w:val="4D4D4F"/>
          <w:w w:val="105"/>
          <w:sz w:val="20"/>
        </w:rPr>
        <w:t>North</w:t>
      </w:r>
      <w:r>
        <w:rPr>
          <w:color w:val="4D4D4F"/>
          <w:spacing w:val="-6"/>
          <w:w w:val="105"/>
          <w:sz w:val="20"/>
        </w:rPr>
        <w:t xml:space="preserve"> </w:t>
      </w:r>
      <w:r>
        <w:rPr>
          <w:color w:val="4D4D4F"/>
          <w:w w:val="105"/>
          <w:sz w:val="20"/>
        </w:rPr>
        <w:t>and</w:t>
      </w:r>
      <w:r>
        <w:rPr>
          <w:color w:val="4D4D4F"/>
          <w:spacing w:val="-6"/>
          <w:w w:val="105"/>
          <w:sz w:val="20"/>
        </w:rPr>
        <w:t xml:space="preserve"> </w:t>
      </w:r>
      <w:r>
        <w:rPr>
          <w:color w:val="4D4D4F"/>
          <w:w w:val="105"/>
          <w:sz w:val="20"/>
        </w:rPr>
        <w:t>Wilsons</w:t>
      </w:r>
      <w:r>
        <w:rPr>
          <w:color w:val="4D4D4F"/>
          <w:spacing w:val="-6"/>
          <w:w w:val="105"/>
          <w:sz w:val="20"/>
        </w:rPr>
        <w:t xml:space="preserve"> </w:t>
      </w:r>
      <w:r>
        <w:rPr>
          <w:color w:val="4D4D4F"/>
          <w:w w:val="105"/>
          <w:sz w:val="20"/>
        </w:rPr>
        <w:t>South)</w:t>
      </w:r>
    </w:p>
    <w:p w14:paraId="4604680B" w14:textId="77777777" w:rsidR="00EF5B27" w:rsidRDefault="00000000">
      <w:pPr>
        <w:pStyle w:val="ListParagraph"/>
        <w:numPr>
          <w:ilvl w:val="0"/>
          <w:numId w:val="34"/>
        </w:numPr>
        <w:tabs>
          <w:tab w:val="left" w:pos="2779"/>
        </w:tabs>
        <w:spacing w:before="130"/>
        <w:rPr>
          <w:sz w:val="20"/>
        </w:rPr>
      </w:pPr>
      <w:r>
        <w:rPr>
          <w:color w:val="4D4D4F"/>
          <w:w w:val="105"/>
          <w:sz w:val="20"/>
        </w:rPr>
        <w:t>Western Grassland Reserve, Radio</w:t>
      </w:r>
      <w:r>
        <w:rPr>
          <w:color w:val="4D4D4F"/>
          <w:spacing w:val="2"/>
          <w:w w:val="105"/>
          <w:sz w:val="20"/>
        </w:rPr>
        <w:t xml:space="preserve"> </w:t>
      </w:r>
      <w:r>
        <w:rPr>
          <w:color w:val="4D4D4F"/>
          <w:w w:val="105"/>
          <w:sz w:val="20"/>
        </w:rPr>
        <w:t>Block.</w:t>
      </w:r>
    </w:p>
    <w:p w14:paraId="32183B53" w14:textId="77777777" w:rsidR="00EF5B27" w:rsidRDefault="00000000">
      <w:pPr>
        <w:pStyle w:val="BodyText"/>
        <w:spacing w:before="8"/>
        <w:rPr>
          <w:sz w:val="28"/>
        </w:rPr>
      </w:pPr>
      <w:r>
        <w:pict w14:anchorId="2ED9393D">
          <v:group id="_x0000_s3144" style="position:absolute;margin-left:181.3pt;margin-top:19.85pt;width:357.4pt;height:229pt;z-index:251573760;mso-wrap-distance-left:0;mso-wrap-distance-right:0;mso-position-horizontal-relative:page" coordorigin="3626,397" coordsize="7148,4580">
            <v:shape id="_x0000_s3146" type="#_x0000_t75" style="position:absolute;left:3628;top:399;width:7143;height:4575">
              <v:imagedata r:id="rId137" o:title=""/>
            </v:shape>
            <v:rect id="_x0000_s3145" style="position:absolute;left:3628;top:399;width:7143;height:4575" filled="f" strokeweight=".25pt"/>
            <w10:wrap type="topAndBottom" anchorx="page"/>
          </v:group>
        </w:pict>
      </w:r>
    </w:p>
    <w:p w14:paraId="66A8A402" w14:textId="77777777" w:rsidR="00EF5B27" w:rsidRDefault="00000000">
      <w:pPr>
        <w:tabs>
          <w:tab w:val="left" w:pos="8977"/>
        </w:tabs>
        <w:spacing w:before="103"/>
        <w:ind w:left="2608"/>
        <w:rPr>
          <w:rFonts w:ascii="Century Gothic"/>
          <w:i/>
          <w:sz w:val="12"/>
        </w:rPr>
      </w:pPr>
      <w:r>
        <w:rPr>
          <w:color w:val="4D4D4F"/>
          <w:sz w:val="16"/>
        </w:rPr>
        <w:t>Figure 20: Map of monitored areas for the Golden</w:t>
      </w:r>
      <w:r>
        <w:rPr>
          <w:color w:val="4D4D4F"/>
          <w:spacing w:val="30"/>
          <w:sz w:val="16"/>
        </w:rPr>
        <w:t xml:space="preserve"> </w:t>
      </w:r>
      <w:r>
        <w:rPr>
          <w:color w:val="4D4D4F"/>
          <w:sz w:val="16"/>
        </w:rPr>
        <w:t>Sun</w:t>
      </w:r>
      <w:r>
        <w:rPr>
          <w:color w:val="4D4D4F"/>
          <w:spacing w:val="3"/>
          <w:sz w:val="16"/>
        </w:rPr>
        <w:t xml:space="preserve"> </w:t>
      </w:r>
      <w:r>
        <w:rPr>
          <w:color w:val="4D4D4F"/>
          <w:sz w:val="16"/>
        </w:rPr>
        <w:t>Moth</w:t>
      </w:r>
      <w:r>
        <w:rPr>
          <w:color w:val="4D4D4F"/>
          <w:sz w:val="16"/>
        </w:rPr>
        <w:tab/>
      </w:r>
      <w:r>
        <w:rPr>
          <w:rFonts w:ascii="Century Gothic"/>
          <w:i/>
          <w:color w:val="4D4D4F"/>
          <w:sz w:val="12"/>
        </w:rPr>
        <w:t>Source:</w:t>
      </w:r>
      <w:r>
        <w:rPr>
          <w:rFonts w:ascii="Century Gothic"/>
          <w:i/>
          <w:color w:val="4D4D4F"/>
          <w:spacing w:val="-21"/>
          <w:sz w:val="12"/>
        </w:rPr>
        <w:t xml:space="preserve"> </w:t>
      </w:r>
      <w:r>
        <w:rPr>
          <w:rFonts w:ascii="Century Gothic"/>
          <w:i/>
          <w:color w:val="4D4D4F"/>
          <w:sz w:val="12"/>
        </w:rPr>
        <w:t>DELWP</w:t>
      </w:r>
    </w:p>
    <w:p w14:paraId="6EA8DE27" w14:textId="77777777" w:rsidR="00EF5B27" w:rsidRDefault="00EF5B27">
      <w:pPr>
        <w:pStyle w:val="BodyText"/>
        <w:spacing w:before="6"/>
        <w:rPr>
          <w:rFonts w:ascii="Century Gothic"/>
          <w:i/>
          <w:sz w:val="29"/>
        </w:rPr>
      </w:pPr>
    </w:p>
    <w:p w14:paraId="5F5F80EB" w14:textId="77777777" w:rsidR="00EF5B27" w:rsidRDefault="00000000">
      <w:pPr>
        <w:pStyle w:val="Heading3"/>
        <w:spacing w:before="1"/>
      </w:pPr>
      <w:r>
        <w:rPr>
          <w:color w:val="F99F2A"/>
          <w:w w:val="105"/>
        </w:rPr>
        <w:t>Results</w:t>
      </w:r>
    </w:p>
    <w:p w14:paraId="6DE18FDC" w14:textId="77777777" w:rsidR="00EF5B27" w:rsidRDefault="00EF5B27">
      <w:pPr>
        <w:pStyle w:val="BodyText"/>
        <w:spacing w:before="4"/>
        <w:rPr>
          <w:b/>
          <w:sz w:val="27"/>
        </w:rPr>
      </w:pPr>
    </w:p>
    <w:p w14:paraId="0158D89F" w14:textId="77777777" w:rsidR="00EF5B27" w:rsidRDefault="00000000">
      <w:pPr>
        <w:pStyle w:val="Heading6"/>
        <w:spacing w:before="1"/>
      </w:pPr>
      <w:r>
        <w:rPr>
          <w:color w:val="4D4D4F"/>
        </w:rPr>
        <w:t>KPI 1: Proportion of monitoring sites that are occupied</w:t>
      </w:r>
    </w:p>
    <w:p w14:paraId="487AFC3D" w14:textId="77777777" w:rsidR="00EF5B27" w:rsidRDefault="00EF5B27">
      <w:pPr>
        <w:pStyle w:val="BodyText"/>
        <w:rPr>
          <w:b/>
          <w:sz w:val="15"/>
        </w:rPr>
      </w:pPr>
    </w:p>
    <w:tbl>
      <w:tblPr>
        <w:tblW w:w="0" w:type="auto"/>
        <w:tblInd w:w="12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0CCB407B" w14:textId="77777777">
        <w:trPr>
          <w:trHeight w:val="561"/>
        </w:trPr>
        <w:tc>
          <w:tcPr>
            <w:tcW w:w="2980" w:type="dxa"/>
            <w:shd w:val="clear" w:color="auto" w:fill="FECC91"/>
          </w:tcPr>
          <w:p w14:paraId="312B9E02" w14:textId="77777777" w:rsidR="00EF5B27" w:rsidRDefault="00000000">
            <w:pPr>
              <w:pStyle w:val="TableParagraph"/>
              <w:spacing w:before="91" w:line="244" w:lineRule="auto"/>
              <w:ind w:left="80"/>
              <w:rPr>
                <w:b/>
                <w:sz w:val="16"/>
              </w:rPr>
            </w:pPr>
            <w:r>
              <w:rPr>
                <w:b/>
                <w:sz w:val="16"/>
              </w:rPr>
              <w:t>KPI 1: Proportion of monitoring sites that are occupied</w:t>
            </w:r>
          </w:p>
        </w:tc>
        <w:tc>
          <w:tcPr>
            <w:tcW w:w="1078" w:type="dxa"/>
            <w:shd w:val="clear" w:color="auto" w:fill="FECC91"/>
          </w:tcPr>
          <w:p w14:paraId="71597C9A"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110E23E6" w14:textId="77777777" w:rsidR="00EF5B27" w:rsidRDefault="00EF5B27">
            <w:pPr>
              <w:pStyle w:val="TableParagraph"/>
              <w:spacing w:before="7"/>
              <w:rPr>
                <w:b/>
                <w:sz w:val="15"/>
              </w:rPr>
            </w:pPr>
          </w:p>
          <w:p w14:paraId="6683DD15"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6BC5671C" w14:textId="77777777" w:rsidR="00EF5B27" w:rsidRDefault="00EF5B27">
            <w:pPr>
              <w:pStyle w:val="TableParagraph"/>
              <w:spacing w:before="7"/>
              <w:rPr>
                <w:b/>
                <w:sz w:val="15"/>
              </w:rPr>
            </w:pPr>
          </w:p>
          <w:p w14:paraId="0F11A060"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32423873"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317C68BF"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6E57ACCA" w14:textId="77777777">
        <w:trPr>
          <w:trHeight w:val="448"/>
        </w:trPr>
        <w:tc>
          <w:tcPr>
            <w:tcW w:w="2980" w:type="dxa"/>
          </w:tcPr>
          <w:p w14:paraId="6C756108" w14:textId="77777777" w:rsidR="00EF5B27" w:rsidRDefault="00EF5B27">
            <w:pPr>
              <w:pStyle w:val="TableParagraph"/>
              <w:spacing w:before="11"/>
              <w:rPr>
                <w:b/>
                <w:sz w:val="11"/>
              </w:rPr>
            </w:pPr>
          </w:p>
          <w:p w14:paraId="6E187281" w14:textId="77777777" w:rsidR="00EF5B27" w:rsidRDefault="00000000">
            <w:pPr>
              <w:pStyle w:val="TableParagraph"/>
              <w:ind w:left="80"/>
              <w:rPr>
                <w:sz w:val="14"/>
              </w:rPr>
            </w:pPr>
            <w:r>
              <w:rPr>
                <w:color w:val="4D4D4F"/>
                <w:w w:val="105"/>
                <w:sz w:val="14"/>
              </w:rPr>
              <w:t>All locations</w:t>
            </w:r>
          </w:p>
        </w:tc>
        <w:tc>
          <w:tcPr>
            <w:tcW w:w="1078" w:type="dxa"/>
          </w:tcPr>
          <w:p w14:paraId="3AEDAFC8" w14:textId="77777777" w:rsidR="00EF5B27" w:rsidRDefault="00EF5B27">
            <w:pPr>
              <w:pStyle w:val="TableParagraph"/>
              <w:spacing w:before="11"/>
              <w:rPr>
                <w:b/>
                <w:sz w:val="11"/>
              </w:rPr>
            </w:pPr>
          </w:p>
          <w:p w14:paraId="4B7D5B4E" w14:textId="77777777" w:rsidR="00EF5B27" w:rsidRDefault="00000000">
            <w:pPr>
              <w:pStyle w:val="TableParagraph"/>
              <w:ind w:left="304"/>
              <w:rPr>
                <w:sz w:val="14"/>
              </w:rPr>
            </w:pPr>
            <w:r>
              <w:rPr>
                <w:color w:val="4D4D4F"/>
                <w:sz w:val="14"/>
              </w:rPr>
              <w:t>Not met</w:t>
            </w:r>
          </w:p>
        </w:tc>
        <w:tc>
          <w:tcPr>
            <w:tcW w:w="2155" w:type="dxa"/>
          </w:tcPr>
          <w:p w14:paraId="23249C66" w14:textId="77777777" w:rsidR="00EF5B27" w:rsidRDefault="00EF5B27">
            <w:pPr>
              <w:pStyle w:val="TableParagraph"/>
              <w:spacing w:before="11"/>
              <w:rPr>
                <w:b/>
                <w:sz w:val="11"/>
              </w:rPr>
            </w:pPr>
          </w:p>
          <w:p w14:paraId="4E90BF75" w14:textId="77777777" w:rsidR="00EF5B27" w:rsidRDefault="00000000">
            <w:pPr>
              <w:pStyle w:val="TableParagraph"/>
              <w:ind w:left="138" w:right="142"/>
              <w:jc w:val="center"/>
              <w:rPr>
                <w:sz w:val="14"/>
              </w:rPr>
            </w:pPr>
            <w:r>
              <w:rPr>
                <w:color w:val="4D4D4F"/>
                <w:w w:val="105"/>
                <w:sz w:val="14"/>
              </w:rPr>
              <w:t>N/A</w:t>
            </w:r>
          </w:p>
        </w:tc>
        <w:tc>
          <w:tcPr>
            <w:tcW w:w="964" w:type="dxa"/>
          </w:tcPr>
          <w:p w14:paraId="220DD382" w14:textId="77777777" w:rsidR="00EF5B27" w:rsidRDefault="00EF5B27">
            <w:pPr>
              <w:pStyle w:val="TableParagraph"/>
              <w:spacing w:before="1"/>
              <w:rPr>
                <w:b/>
                <w:sz w:val="15"/>
              </w:rPr>
            </w:pPr>
          </w:p>
          <w:p w14:paraId="0777DA34" w14:textId="77777777" w:rsidR="00EF5B27" w:rsidRDefault="00000000">
            <w:pPr>
              <w:pStyle w:val="TableParagraph"/>
              <w:spacing w:line="102" w:lineRule="exact"/>
              <w:ind w:left="361"/>
              <w:rPr>
                <w:sz w:val="10"/>
              </w:rPr>
            </w:pPr>
            <w:r>
              <w:rPr>
                <w:noProof/>
                <w:position w:val="-1"/>
                <w:sz w:val="10"/>
              </w:rPr>
              <w:drawing>
                <wp:inline distT="0" distB="0" distL="0" distR="0" wp14:anchorId="5E75B41F" wp14:editId="648BF6BB">
                  <wp:extent cx="151464" cy="65341"/>
                  <wp:effectExtent l="0" t="0" r="0" b="0"/>
                  <wp:docPr id="467"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63.png"/>
                          <pic:cNvPicPr/>
                        </pic:nvPicPr>
                        <pic:blipFill>
                          <a:blip r:embed="rId89" cstate="print"/>
                          <a:stretch>
                            <a:fillRect/>
                          </a:stretch>
                        </pic:blipFill>
                        <pic:spPr>
                          <a:xfrm>
                            <a:off x="0" y="0"/>
                            <a:ext cx="151464" cy="65341"/>
                          </a:xfrm>
                          <a:prstGeom prst="rect">
                            <a:avLst/>
                          </a:prstGeom>
                        </pic:spPr>
                      </pic:pic>
                    </a:graphicData>
                  </a:graphic>
                </wp:inline>
              </w:drawing>
            </w:r>
          </w:p>
        </w:tc>
        <w:tc>
          <w:tcPr>
            <w:tcW w:w="964" w:type="dxa"/>
          </w:tcPr>
          <w:p w14:paraId="1BFAA44E" w14:textId="77777777" w:rsidR="00EF5B27" w:rsidRDefault="00EF5B27">
            <w:pPr>
              <w:pStyle w:val="TableParagraph"/>
              <w:spacing w:before="11"/>
              <w:rPr>
                <w:b/>
                <w:sz w:val="11"/>
              </w:rPr>
            </w:pPr>
          </w:p>
          <w:p w14:paraId="797E0CA3" w14:textId="77777777" w:rsidR="00EF5B27" w:rsidRDefault="00000000">
            <w:pPr>
              <w:pStyle w:val="TableParagraph"/>
              <w:ind w:left="197"/>
              <w:rPr>
                <w:sz w:val="14"/>
              </w:rPr>
            </w:pPr>
            <w:r>
              <w:rPr>
                <w:color w:val="4D4D4F"/>
                <w:sz w:val="14"/>
              </w:rPr>
              <w:t>Moderate</w:t>
            </w:r>
          </w:p>
        </w:tc>
        <w:tc>
          <w:tcPr>
            <w:tcW w:w="1489" w:type="dxa"/>
          </w:tcPr>
          <w:p w14:paraId="73B7D447" w14:textId="77777777" w:rsidR="00EF5B27" w:rsidRDefault="00000000">
            <w:pPr>
              <w:pStyle w:val="TableParagraph"/>
              <w:spacing w:before="134"/>
              <w:ind w:left="453" w:right="457"/>
              <w:jc w:val="center"/>
              <w:rPr>
                <w:sz w:val="16"/>
              </w:rPr>
            </w:pPr>
            <w:r>
              <w:rPr>
                <w:color w:val="4D4D4F"/>
                <w:sz w:val="16"/>
              </w:rPr>
              <w:t>2018</w:t>
            </w:r>
          </w:p>
        </w:tc>
      </w:tr>
    </w:tbl>
    <w:p w14:paraId="348CAB1C" w14:textId="77777777" w:rsidR="00EF5B27" w:rsidRDefault="00EF5B27">
      <w:pPr>
        <w:pStyle w:val="BodyText"/>
        <w:rPr>
          <w:b/>
        </w:rPr>
      </w:pPr>
    </w:p>
    <w:p w14:paraId="138D100A" w14:textId="77777777" w:rsidR="00EF5B27" w:rsidRDefault="00EF5B27">
      <w:pPr>
        <w:pStyle w:val="BodyText"/>
        <w:rPr>
          <w:b/>
        </w:rPr>
      </w:pPr>
    </w:p>
    <w:p w14:paraId="25AD1252" w14:textId="77777777" w:rsidR="00EF5B27" w:rsidRDefault="00EF5B27">
      <w:pPr>
        <w:pStyle w:val="BodyText"/>
        <w:rPr>
          <w:b/>
        </w:rPr>
      </w:pPr>
    </w:p>
    <w:p w14:paraId="7BA4A096" w14:textId="77777777" w:rsidR="00EF5B27" w:rsidRDefault="00EF5B27">
      <w:pPr>
        <w:pStyle w:val="BodyText"/>
        <w:rPr>
          <w:b/>
        </w:rPr>
      </w:pPr>
    </w:p>
    <w:p w14:paraId="75B1A1A9" w14:textId="77777777" w:rsidR="00EF5B27" w:rsidRDefault="00EF5B27">
      <w:pPr>
        <w:pStyle w:val="BodyText"/>
        <w:rPr>
          <w:b/>
        </w:rPr>
      </w:pPr>
    </w:p>
    <w:p w14:paraId="3A93C44F" w14:textId="77777777" w:rsidR="00EF5B27" w:rsidRDefault="00EF5B27">
      <w:pPr>
        <w:pStyle w:val="BodyText"/>
        <w:rPr>
          <w:b/>
        </w:rPr>
      </w:pPr>
    </w:p>
    <w:p w14:paraId="51DEE48A" w14:textId="77777777" w:rsidR="00EF5B27" w:rsidRDefault="00000000">
      <w:pPr>
        <w:pStyle w:val="BodyText"/>
        <w:spacing w:before="8"/>
        <w:rPr>
          <w:b/>
          <w:sz w:val="16"/>
        </w:rPr>
      </w:pPr>
      <w:r>
        <w:pict w14:anchorId="68854C3B">
          <v:line id="_x0000_s3143" style="position:absolute;z-index:251574784;mso-wrap-distance-left:0;mso-wrap-distance-right:0;mso-position-horizontal-relative:page" from="181.4pt,12.4pt" to="538.45pt,12.4pt" strokecolor="#4d4d4f" strokeweight=".5pt">
            <w10:wrap type="topAndBottom" anchorx="page"/>
          </v:line>
        </w:pict>
      </w:r>
    </w:p>
    <w:p w14:paraId="6EF253CD" w14:textId="77777777" w:rsidR="00EF5B27" w:rsidRDefault="00000000">
      <w:pPr>
        <w:pStyle w:val="ListParagraph"/>
        <w:numPr>
          <w:ilvl w:val="0"/>
          <w:numId w:val="31"/>
        </w:numPr>
        <w:tabs>
          <w:tab w:val="left" w:pos="2836"/>
        </w:tabs>
        <w:spacing w:before="83"/>
        <w:rPr>
          <w:sz w:val="12"/>
        </w:rPr>
      </w:pPr>
      <w:r>
        <w:rPr>
          <w:color w:val="4D4D4F"/>
          <w:sz w:val="12"/>
        </w:rPr>
        <w:t>DELWP</w:t>
      </w:r>
      <w:r>
        <w:rPr>
          <w:color w:val="4D4D4F"/>
          <w:spacing w:val="4"/>
          <w:sz w:val="12"/>
        </w:rPr>
        <w:t xml:space="preserve"> </w:t>
      </w:r>
      <w:r>
        <w:rPr>
          <w:color w:val="4D4D4F"/>
          <w:sz w:val="12"/>
        </w:rPr>
        <w:t>2015,</w:t>
      </w:r>
      <w:r>
        <w:rPr>
          <w:color w:val="4D4D4F"/>
          <w:spacing w:val="5"/>
          <w:sz w:val="12"/>
        </w:rPr>
        <w:t xml:space="preserve"> </w:t>
      </w:r>
      <w:r>
        <w:rPr>
          <w:color w:val="4D4D4F"/>
          <w:sz w:val="12"/>
        </w:rPr>
        <w:t>‘Monitoring</w:t>
      </w:r>
      <w:r>
        <w:rPr>
          <w:color w:val="4D4D4F"/>
          <w:spacing w:val="5"/>
          <w:sz w:val="12"/>
        </w:rPr>
        <w:t xml:space="preserve"> </w:t>
      </w:r>
      <w:r>
        <w:rPr>
          <w:color w:val="4D4D4F"/>
          <w:sz w:val="12"/>
        </w:rPr>
        <w:t>and</w:t>
      </w:r>
      <w:r>
        <w:rPr>
          <w:color w:val="4D4D4F"/>
          <w:spacing w:val="5"/>
          <w:sz w:val="12"/>
        </w:rPr>
        <w:t xml:space="preserve"> </w:t>
      </w:r>
      <w:r>
        <w:rPr>
          <w:color w:val="4D4D4F"/>
          <w:sz w:val="12"/>
        </w:rPr>
        <w:t>Reporting</w:t>
      </w:r>
      <w:r>
        <w:rPr>
          <w:color w:val="4D4D4F"/>
          <w:spacing w:val="5"/>
          <w:sz w:val="12"/>
        </w:rPr>
        <w:t xml:space="preserve"> </w:t>
      </w:r>
      <w:r>
        <w:rPr>
          <w:color w:val="4D4D4F"/>
          <w:sz w:val="12"/>
        </w:rPr>
        <w:t>Framework</w:t>
      </w:r>
      <w:r>
        <w:rPr>
          <w:color w:val="4D4D4F"/>
          <w:spacing w:val="5"/>
          <w:sz w:val="12"/>
        </w:rPr>
        <w:t xml:space="preserve"> </w:t>
      </w:r>
      <w:r>
        <w:rPr>
          <w:color w:val="4D4D4F"/>
          <w:sz w:val="12"/>
        </w:rPr>
        <w:t>–</w:t>
      </w:r>
      <w:r>
        <w:rPr>
          <w:color w:val="4D4D4F"/>
          <w:spacing w:val="5"/>
          <w:sz w:val="12"/>
        </w:rPr>
        <w:t xml:space="preserve"> </w:t>
      </w:r>
      <w:r>
        <w:rPr>
          <w:color w:val="4D4D4F"/>
          <w:sz w:val="12"/>
        </w:rPr>
        <w:t>Melbourne</w:t>
      </w:r>
      <w:r>
        <w:rPr>
          <w:color w:val="4D4D4F"/>
          <w:spacing w:val="5"/>
          <w:sz w:val="12"/>
        </w:rPr>
        <w:t xml:space="preserve"> </w:t>
      </w:r>
      <w:r>
        <w:rPr>
          <w:color w:val="4D4D4F"/>
          <w:sz w:val="12"/>
        </w:rPr>
        <w:t>Strategic</w:t>
      </w:r>
      <w:r>
        <w:rPr>
          <w:color w:val="4D4D4F"/>
          <w:spacing w:val="5"/>
          <w:sz w:val="12"/>
        </w:rPr>
        <w:t xml:space="preserve"> </w:t>
      </w:r>
      <w:r>
        <w:rPr>
          <w:color w:val="4D4D4F"/>
          <w:sz w:val="12"/>
        </w:rPr>
        <w:t>Assessment’,</w:t>
      </w:r>
      <w:r>
        <w:rPr>
          <w:color w:val="4D4D4F"/>
          <w:spacing w:val="5"/>
          <w:sz w:val="12"/>
        </w:rPr>
        <w:t xml:space="preserve"> </w:t>
      </w:r>
      <w:r>
        <w:rPr>
          <w:color w:val="4D4D4F"/>
          <w:sz w:val="12"/>
        </w:rPr>
        <w:t>East</w:t>
      </w:r>
      <w:r>
        <w:rPr>
          <w:color w:val="4D4D4F"/>
          <w:spacing w:val="5"/>
          <w:sz w:val="12"/>
        </w:rPr>
        <w:t xml:space="preserve"> </w:t>
      </w:r>
      <w:r>
        <w:rPr>
          <w:color w:val="4D4D4F"/>
          <w:sz w:val="12"/>
        </w:rPr>
        <w:t>Melbourne,</w:t>
      </w:r>
      <w:r>
        <w:rPr>
          <w:color w:val="4D4D4F"/>
          <w:spacing w:val="5"/>
          <w:sz w:val="12"/>
        </w:rPr>
        <w:t xml:space="preserve"> </w:t>
      </w:r>
      <w:r>
        <w:rPr>
          <w:color w:val="4D4D4F"/>
          <w:sz w:val="12"/>
        </w:rPr>
        <w:t>Victoria.</w:t>
      </w:r>
    </w:p>
    <w:p w14:paraId="6185DF39" w14:textId="77777777" w:rsidR="00EF5B27" w:rsidRDefault="00EF5B27">
      <w:pPr>
        <w:rPr>
          <w:sz w:val="12"/>
        </w:rPr>
        <w:sectPr w:rsidR="00EF5B27">
          <w:pgSz w:w="11910" w:h="16840"/>
          <w:pgMar w:top="1080" w:right="1020" w:bottom="860" w:left="1020" w:header="537" w:footer="678" w:gutter="0"/>
          <w:cols w:space="720"/>
        </w:sectPr>
      </w:pPr>
    </w:p>
    <w:p w14:paraId="67D1825E" w14:textId="77777777" w:rsidR="00EF5B27" w:rsidRDefault="00000000">
      <w:pPr>
        <w:pStyle w:val="BodyText"/>
      </w:pPr>
      <w:r>
        <w:lastRenderedPageBreak/>
        <w:pict w14:anchorId="5CCA6DA4">
          <v:group id="_x0000_s3135" style="position:absolute;margin-left:587.05pt;margin-top:183.4pt;width:8.25pt;height:153.1pt;z-index:251630080;mso-position-horizontal-relative:page;mso-position-vertical-relative:page" coordorigin="11741,3668" coordsize="165,3062">
            <v:shape id="_x0000_s3142" style="position:absolute;left:11741;top:3668;width:165;height:561" coordorigin="11741,3668" coordsize="165,561" path="m11906,3668r-165,l11741,4228r165,-18l11906,3668xe" fillcolor="#00aed9" stroked="f">
              <v:path arrowok="t"/>
            </v:shape>
            <v:shape id="_x0000_s3141" style="position:absolute;left:11741;top:4118;width:165;height:425" coordorigin="11741,4118" coordsize="165,425" path="m11906,4118r-165,14l11741,4531r165,12l11906,4118xe" fillcolor="#047ebc" stroked="f">
              <v:path arrowok="t"/>
            </v:shape>
            <v:shape id="_x0000_s3140" type="#_x0000_t75" style="position:absolute;left:11741;top:4355;width:165;height:587">
              <v:imagedata r:id="rId42" o:title=""/>
            </v:shape>
            <v:shape id="_x0000_s3139" style="position:absolute;left:11741;top:5343;width:165;height:536" coordorigin="11741,5343" coordsize="165,536" path="m11741,5343r,535l11906,5872r,-525l11741,5343xe" fillcolor="#f36a2e" stroked="f">
              <v:path arrowok="t"/>
            </v:shape>
            <v:shape id="_x0000_s3138" style="position:absolute;left:11741;top:4925;width:165;height:501" coordorigin="11741,4926" coordsize="165,501" path="m11741,4926r,500l11906,5426r,-485l11741,4926xe" fillcolor="#49783f" stroked="f">
              <v:path arrowok="t"/>
            </v:shape>
            <v:shape id="_x0000_s3137" style="position:absolute;left:11741;top:5781;width:165;height:268" coordorigin="11741,5782" coordsize="165,268" path="m11906,5782r-165,8l11741,6039r165,10l11906,5782xe" fillcolor="#f99f2a" stroked="f">
              <v:path arrowok="t"/>
            </v:shape>
            <v:shape id="_x0000_s3136" style="position:absolute;left:11741;top:6023;width:165;height:707" coordorigin="11741,6023" coordsize="165,707" path="m11741,6023r,706l11906,6729r,-690l11741,6023xe" fillcolor="#ef412c" stroked="f">
              <v:path arrowok="t"/>
            </v:shape>
            <w10:wrap anchorx="page" anchory="page"/>
          </v:group>
        </w:pict>
      </w:r>
    </w:p>
    <w:p w14:paraId="6B83493B" w14:textId="77777777" w:rsidR="00EF5B27" w:rsidRDefault="00EF5B27">
      <w:pPr>
        <w:pStyle w:val="BodyText"/>
      </w:pPr>
    </w:p>
    <w:p w14:paraId="269D4AA8" w14:textId="77777777" w:rsidR="00EF5B27" w:rsidRDefault="00EF5B27">
      <w:pPr>
        <w:pStyle w:val="BodyText"/>
      </w:pPr>
    </w:p>
    <w:p w14:paraId="7B45C9FF" w14:textId="77777777" w:rsidR="00EF5B27" w:rsidRDefault="00EF5B27">
      <w:pPr>
        <w:pStyle w:val="BodyText"/>
      </w:pPr>
    </w:p>
    <w:p w14:paraId="3F6339F7" w14:textId="77777777" w:rsidR="00EF5B27" w:rsidRDefault="00EF5B27">
      <w:pPr>
        <w:pStyle w:val="BodyText"/>
        <w:spacing w:before="7"/>
        <w:rPr>
          <w:sz w:val="15"/>
        </w:rPr>
      </w:pPr>
    </w:p>
    <w:bookmarkStart w:id="69" w:name="_bookmark47"/>
    <w:bookmarkEnd w:id="69"/>
    <w:p w14:paraId="5CB39C29" w14:textId="77777777" w:rsidR="00EF5B27" w:rsidRDefault="00000000">
      <w:pPr>
        <w:pStyle w:val="BodyText"/>
        <w:ind w:left="2598"/>
      </w:pPr>
      <w:r>
        <w:pict w14:anchorId="27C4979A">
          <v:group id="_x0000_s3132" style="width:357.4pt;height:201.15pt;mso-position-horizontal-relative:char;mso-position-vertical-relative:line" coordsize="7148,4023">
            <v:shape id="_x0000_s3134" type="#_x0000_t75" style="position:absolute;left:2;top:2;width:7143;height:4018">
              <v:imagedata r:id="rId138" o:title=""/>
            </v:shape>
            <v:rect id="_x0000_s3133" style="position:absolute;left:2;top:2;width:7143;height:4018" filled="f" strokeweight=".25pt"/>
            <w10:anchorlock/>
          </v:group>
        </w:pict>
      </w:r>
    </w:p>
    <w:p w14:paraId="717AAC28" w14:textId="77777777" w:rsidR="00EF5B27" w:rsidRDefault="00000000">
      <w:pPr>
        <w:tabs>
          <w:tab w:val="left" w:pos="8977"/>
        </w:tabs>
        <w:spacing w:before="90" w:line="244" w:lineRule="auto"/>
        <w:ind w:left="2608" w:right="111"/>
        <w:jc w:val="both"/>
        <w:rPr>
          <w:rFonts w:ascii="Century Gothic"/>
          <w:i/>
          <w:sz w:val="12"/>
        </w:rPr>
      </w:pPr>
      <w:r>
        <w:rPr>
          <w:color w:val="4D4D4F"/>
          <w:sz w:val="16"/>
        </w:rPr>
        <w:t xml:space="preserve">Figure </w:t>
      </w:r>
      <w:r>
        <w:rPr>
          <w:color w:val="4D4D4F"/>
          <w:spacing w:val="-4"/>
          <w:sz w:val="16"/>
        </w:rPr>
        <w:t xml:space="preserve">21: </w:t>
      </w:r>
      <w:r>
        <w:rPr>
          <w:color w:val="4D4D4F"/>
          <w:sz w:val="16"/>
        </w:rPr>
        <w:t xml:space="preserve">The </w:t>
      </w:r>
      <w:r>
        <w:rPr>
          <w:color w:val="4D4D4F"/>
          <w:spacing w:val="2"/>
          <w:sz w:val="16"/>
        </w:rPr>
        <w:t xml:space="preserve">proportion </w:t>
      </w:r>
      <w:r>
        <w:rPr>
          <w:color w:val="4D4D4F"/>
          <w:sz w:val="16"/>
        </w:rPr>
        <w:t xml:space="preserve">of plots in which Golden Sun Moth was detected. The five-year mean is shown in </w:t>
      </w:r>
      <w:r>
        <w:rPr>
          <w:color w:val="4D4D4F"/>
          <w:spacing w:val="2"/>
          <w:sz w:val="16"/>
        </w:rPr>
        <w:t xml:space="preserve">red </w:t>
      </w:r>
      <w:r>
        <w:rPr>
          <w:color w:val="4D4D4F"/>
          <w:sz w:val="16"/>
        </w:rPr>
        <w:t xml:space="preserve">with </w:t>
      </w:r>
      <w:r>
        <w:rPr>
          <w:color w:val="4D4D4F"/>
          <w:spacing w:val="2"/>
          <w:sz w:val="16"/>
        </w:rPr>
        <w:t xml:space="preserve">error </w:t>
      </w:r>
      <w:r>
        <w:rPr>
          <w:color w:val="4D4D4F"/>
          <w:sz w:val="16"/>
        </w:rPr>
        <w:t>bars depicting 95% confidence intervals. The baseline, set after the first five years, is shown   as an</w:t>
      </w:r>
      <w:r>
        <w:rPr>
          <w:color w:val="4D4D4F"/>
          <w:spacing w:val="17"/>
          <w:sz w:val="16"/>
        </w:rPr>
        <w:t xml:space="preserve"> </w:t>
      </w:r>
      <w:r>
        <w:rPr>
          <w:color w:val="4D4D4F"/>
          <w:sz w:val="16"/>
        </w:rPr>
        <w:t>orange</w:t>
      </w:r>
      <w:r>
        <w:rPr>
          <w:color w:val="4D4D4F"/>
          <w:spacing w:val="8"/>
          <w:sz w:val="16"/>
        </w:rPr>
        <w:t xml:space="preserve"> </w:t>
      </w:r>
      <w:r>
        <w:rPr>
          <w:color w:val="4D4D4F"/>
          <w:sz w:val="16"/>
        </w:rPr>
        <w:t>line.</w:t>
      </w:r>
      <w:r>
        <w:rPr>
          <w:color w:val="4D4D4F"/>
          <w:sz w:val="16"/>
        </w:rPr>
        <w:tab/>
      </w:r>
      <w:r>
        <w:rPr>
          <w:rFonts w:ascii="Century Gothic"/>
          <w:i/>
          <w:color w:val="4D4D4F"/>
          <w:w w:val="90"/>
          <w:sz w:val="12"/>
        </w:rPr>
        <w:t>Source:</w:t>
      </w:r>
      <w:r>
        <w:rPr>
          <w:rFonts w:ascii="Century Gothic"/>
          <w:i/>
          <w:color w:val="4D4D4F"/>
          <w:spacing w:val="1"/>
          <w:w w:val="90"/>
          <w:sz w:val="12"/>
        </w:rPr>
        <w:t xml:space="preserve"> </w:t>
      </w:r>
      <w:r>
        <w:rPr>
          <w:rFonts w:ascii="Century Gothic"/>
          <w:i/>
          <w:color w:val="4D4D4F"/>
          <w:spacing w:val="-5"/>
          <w:w w:val="90"/>
          <w:sz w:val="12"/>
        </w:rPr>
        <w:t>DELWP</w:t>
      </w:r>
    </w:p>
    <w:p w14:paraId="0A2B5D84" w14:textId="77777777" w:rsidR="00EF5B27" w:rsidRDefault="00EF5B27">
      <w:pPr>
        <w:pStyle w:val="BodyText"/>
        <w:rPr>
          <w:rFonts w:ascii="Century Gothic"/>
          <w:i/>
        </w:rPr>
      </w:pPr>
    </w:p>
    <w:p w14:paraId="3CAF427B" w14:textId="77777777" w:rsidR="00EF5B27" w:rsidRDefault="00000000">
      <w:pPr>
        <w:pStyle w:val="Heading3"/>
        <w:spacing w:before="164"/>
      </w:pPr>
      <w:r>
        <w:rPr>
          <w:color w:val="F99F2A"/>
        </w:rPr>
        <w:t>Results interpretation</w:t>
      </w:r>
    </w:p>
    <w:p w14:paraId="2A9644FF" w14:textId="77777777" w:rsidR="00EF5B27" w:rsidRDefault="00000000">
      <w:pPr>
        <w:pStyle w:val="BodyText"/>
        <w:spacing w:before="221" w:line="254" w:lineRule="auto"/>
        <w:ind w:left="2608" w:right="99"/>
      </w:pPr>
      <w:r>
        <w:rPr>
          <w:color w:val="4D4D4F"/>
        </w:rPr>
        <w:t>The Golden Sun Moth was detected at four of 11 plots (0.36) in the 2021/22 season. With the inclusion of this data, the upper 95% confidence interval (0.84) of the five-year mean has fallen below the baseline of 0.89, which may suggest an overall decline in population numbers.</w:t>
      </w:r>
    </w:p>
    <w:p w14:paraId="61E1BC15" w14:textId="77777777" w:rsidR="00EF5B27" w:rsidRDefault="00000000">
      <w:pPr>
        <w:pStyle w:val="BodyText"/>
        <w:spacing w:before="118" w:line="254" w:lineRule="auto"/>
        <w:ind w:left="2608" w:right="425"/>
        <w:jc w:val="both"/>
      </w:pPr>
      <w:r>
        <w:rPr>
          <w:color w:val="4D4D4F"/>
        </w:rPr>
        <w:t>This is the first year that the KPI has been in breach of the baseline for Golden Sun Moth and occupancy is the lowest recorded in eight years of monitoring. This likely reflects a general decline in detections since the first three years of monitoring.</w:t>
      </w:r>
    </w:p>
    <w:p w14:paraId="2BF95C7A" w14:textId="77777777" w:rsidR="00EF5B27" w:rsidRDefault="00000000">
      <w:pPr>
        <w:pStyle w:val="BodyText"/>
        <w:spacing w:before="118" w:line="254" w:lineRule="auto"/>
        <w:ind w:left="2608" w:right="179"/>
      </w:pPr>
      <w:r>
        <w:rPr>
          <w:color w:val="4D4D4F"/>
        </w:rPr>
        <w:t>DELWP has noted</w:t>
      </w:r>
      <w:r>
        <w:rPr>
          <w:color w:val="4D4D4F"/>
          <w:position w:val="7"/>
          <w:sz w:val="11"/>
        </w:rPr>
        <w:t xml:space="preserve">172  </w:t>
      </w:r>
      <w:r>
        <w:rPr>
          <w:color w:val="4D4D4F"/>
        </w:rPr>
        <w:t xml:space="preserve">that monitoring for the Golden Sun Moth started later this year  </w:t>
      </w:r>
      <w:r>
        <w:rPr>
          <w:color w:val="4D4D4F"/>
          <w:spacing w:val="-4"/>
        </w:rPr>
        <w:t xml:space="preserve">(in </w:t>
      </w:r>
      <w:r>
        <w:rPr>
          <w:color w:val="4D4D4F"/>
        </w:rPr>
        <w:t xml:space="preserve">January 2022) than in previous years (typically November or December) due to suboptimal weather conditions for moth flying (detection relies on this behaviour) </w:t>
      </w:r>
      <w:r>
        <w:rPr>
          <w:color w:val="4D4D4F"/>
          <w:spacing w:val="-3"/>
        </w:rPr>
        <w:t xml:space="preserve">during that </w:t>
      </w:r>
      <w:r>
        <w:rPr>
          <w:color w:val="4D4D4F"/>
        </w:rPr>
        <w:t xml:space="preserve">period. </w:t>
      </w:r>
      <w:r>
        <w:rPr>
          <w:color w:val="4D4D4F"/>
          <w:spacing w:val="-3"/>
        </w:rPr>
        <w:t xml:space="preserve">This may account for the lower apparent </w:t>
      </w:r>
      <w:r>
        <w:rPr>
          <w:color w:val="4D4D4F"/>
        </w:rPr>
        <w:t xml:space="preserve">occupancy </w:t>
      </w:r>
      <w:r>
        <w:rPr>
          <w:color w:val="4D4D4F"/>
          <w:spacing w:val="-3"/>
        </w:rPr>
        <w:t xml:space="preserve">than in previous </w:t>
      </w:r>
      <w:r>
        <w:rPr>
          <w:color w:val="4D4D4F"/>
        </w:rPr>
        <w:t xml:space="preserve">years. </w:t>
      </w:r>
      <w:r>
        <w:rPr>
          <w:color w:val="4D4D4F"/>
          <w:spacing w:val="-3"/>
        </w:rPr>
        <w:t xml:space="preserve">In general, </w:t>
      </w:r>
      <w:r>
        <w:rPr>
          <w:color w:val="4D4D4F"/>
        </w:rPr>
        <w:t xml:space="preserve">it </w:t>
      </w:r>
      <w:r>
        <w:rPr>
          <w:color w:val="4D4D4F"/>
          <w:spacing w:val="-3"/>
        </w:rPr>
        <w:t xml:space="preserve">is </w:t>
      </w:r>
      <w:r>
        <w:rPr>
          <w:color w:val="4D4D4F"/>
        </w:rPr>
        <w:t xml:space="preserve">expected </w:t>
      </w:r>
      <w:r>
        <w:rPr>
          <w:color w:val="4D4D4F"/>
          <w:spacing w:val="-3"/>
        </w:rPr>
        <w:t xml:space="preserve">that the </w:t>
      </w:r>
      <w:r>
        <w:rPr>
          <w:color w:val="4D4D4F"/>
          <w:spacing w:val="-4"/>
        </w:rPr>
        <w:t xml:space="preserve">addition </w:t>
      </w:r>
      <w:r>
        <w:rPr>
          <w:color w:val="4D4D4F"/>
        </w:rPr>
        <w:t xml:space="preserve">of new </w:t>
      </w:r>
      <w:r>
        <w:rPr>
          <w:color w:val="4D4D4F"/>
          <w:spacing w:val="-4"/>
        </w:rPr>
        <w:t xml:space="preserve">locations </w:t>
      </w:r>
      <w:r>
        <w:rPr>
          <w:color w:val="4D4D4F"/>
          <w:spacing w:val="-3"/>
        </w:rPr>
        <w:t xml:space="preserve">may </w:t>
      </w:r>
      <w:r>
        <w:rPr>
          <w:color w:val="4D4D4F"/>
        </w:rPr>
        <w:t xml:space="preserve">add </w:t>
      </w:r>
      <w:r>
        <w:rPr>
          <w:color w:val="4D4D4F"/>
          <w:spacing w:val="-3"/>
        </w:rPr>
        <w:t xml:space="preserve">noise to the data, </w:t>
      </w:r>
      <w:r>
        <w:rPr>
          <w:color w:val="4D4D4F"/>
        </w:rPr>
        <w:t xml:space="preserve">but </w:t>
      </w:r>
      <w:r>
        <w:rPr>
          <w:color w:val="4D4D4F"/>
          <w:spacing w:val="-4"/>
        </w:rPr>
        <w:t xml:space="preserve">this </w:t>
      </w:r>
      <w:r>
        <w:rPr>
          <w:color w:val="4D4D4F"/>
          <w:spacing w:val="-3"/>
        </w:rPr>
        <w:t xml:space="preserve">is somewhat </w:t>
      </w:r>
      <w:r>
        <w:rPr>
          <w:color w:val="4D4D4F"/>
          <w:spacing w:val="-4"/>
        </w:rPr>
        <w:t xml:space="preserve">controlled </w:t>
      </w:r>
      <w:r>
        <w:rPr>
          <w:color w:val="4D4D4F"/>
          <w:spacing w:val="-3"/>
        </w:rPr>
        <w:t xml:space="preserve">for </w:t>
      </w:r>
      <w:r>
        <w:rPr>
          <w:color w:val="4D4D4F"/>
        </w:rPr>
        <w:t xml:space="preserve">by </w:t>
      </w:r>
      <w:r>
        <w:rPr>
          <w:color w:val="4D4D4F"/>
          <w:spacing w:val="-3"/>
        </w:rPr>
        <w:t xml:space="preserve">taking the </w:t>
      </w:r>
      <w:r>
        <w:rPr>
          <w:color w:val="4D4D4F"/>
        </w:rPr>
        <w:t xml:space="preserve">five-year </w:t>
      </w:r>
      <w:r>
        <w:rPr>
          <w:color w:val="4D4D4F"/>
          <w:spacing w:val="-3"/>
        </w:rPr>
        <w:t xml:space="preserve">mean </w:t>
      </w:r>
      <w:r>
        <w:rPr>
          <w:color w:val="4D4D4F"/>
        </w:rPr>
        <w:t xml:space="preserve">as </w:t>
      </w:r>
      <w:r>
        <w:rPr>
          <w:color w:val="4D4D4F"/>
          <w:spacing w:val="-3"/>
        </w:rPr>
        <w:t xml:space="preserve">the measure for the </w:t>
      </w:r>
      <w:r>
        <w:rPr>
          <w:color w:val="4D4D4F"/>
          <w:spacing w:val="-4"/>
        </w:rPr>
        <w:t xml:space="preserve">baseline. </w:t>
      </w:r>
      <w:r>
        <w:rPr>
          <w:color w:val="4D4D4F"/>
          <w:spacing w:val="-5"/>
        </w:rPr>
        <w:t xml:space="preserve">Further, </w:t>
      </w:r>
      <w:r>
        <w:rPr>
          <w:color w:val="4D4D4F"/>
        </w:rPr>
        <w:t xml:space="preserve">as no new </w:t>
      </w:r>
      <w:r>
        <w:rPr>
          <w:color w:val="4D4D4F"/>
          <w:spacing w:val="-4"/>
        </w:rPr>
        <w:t xml:space="preserve">monitoring locations </w:t>
      </w:r>
      <w:r>
        <w:rPr>
          <w:color w:val="4D4D4F"/>
        </w:rPr>
        <w:t xml:space="preserve">were </w:t>
      </w:r>
      <w:r>
        <w:rPr>
          <w:color w:val="4D4D4F"/>
          <w:spacing w:val="-3"/>
        </w:rPr>
        <w:t xml:space="preserve">added </w:t>
      </w:r>
      <w:r>
        <w:rPr>
          <w:color w:val="4D4D4F"/>
          <w:spacing w:val="-4"/>
        </w:rPr>
        <w:t xml:space="preserve">this </w:t>
      </w:r>
      <w:r>
        <w:rPr>
          <w:color w:val="4D4D4F"/>
          <w:spacing w:val="-7"/>
        </w:rPr>
        <w:t xml:space="preserve">year, </w:t>
      </w:r>
      <w:r>
        <w:rPr>
          <w:color w:val="4D4D4F"/>
          <w:spacing w:val="-4"/>
        </w:rPr>
        <w:t xml:space="preserve">this </w:t>
      </w:r>
      <w:r>
        <w:rPr>
          <w:color w:val="4D4D4F"/>
          <w:spacing w:val="-3"/>
        </w:rPr>
        <w:t xml:space="preserve">cannot </w:t>
      </w:r>
      <w:r>
        <w:rPr>
          <w:color w:val="4D4D4F"/>
        </w:rPr>
        <w:t>explain the</w:t>
      </w:r>
      <w:r>
        <w:rPr>
          <w:color w:val="4D4D4F"/>
          <w:spacing w:val="7"/>
        </w:rPr>
        <w:t xml:space="preserve"> </w:t>
      </w:r>
      <w:r>
        <w:rPr>
          <w:color w:val="4D4D4F"/>
        </w:rPr>
        <w:t>variation.</w:t>
      </w:r>
    </w:p>
    <w:p w14:paraId="185D8EE9" w14:textId="77777777" w:rsidR="00EF5B27" w:rsidRDefault="00000000">
      <w:pPr>
        <w:pStyle w:val="BodyText"/>
        <w:spacing w:before="123" w:line="254" w:lineRule="auto"/>
        <w:ind w:left="2608"/>
        <w:rPr>
          <w:sz w:val="11"/>
        </w:rPr>
      </w:pPr>
      <w:r>
        <w:rPr>
          <w:color w:val="4D4D4F"/>
        </w:rPr>
        <w:t>Factors thought to influence Golden Sun Moth flying behaviour – such as temperature, wind speed and cloud cover – were not significantly different this year compared to previous years.</w:t>
      </w:r>
      <w:r>
        <w:rPr>
          <w:color w:val="4D4D4F"/>
          <w:position w:val="7"/>
          <w:sz w:val="11"/>
        </w:rPr>
        <w:t>173</w:t>
      </w:r>
    </w:p>
    <w:p w14:paraId="58404B46" w14:textId="77777777" w:rsidR="00EF5B27" w:rsidRDefault="00000000">
      <w:pPr>
        <w:pStyle w:val="BodyText"/>
        <w:spacing w:before="117" w:line="254" w:lineRule="auto"/>
        <w:ind w:left="2608" w:right="308"/>
        <w:rPr>
          <w:sz w:val="11"/>
        </w:rPr>
      </w:pPr>
      <w:r>
        <w:rPr>
          <w:color w:val="4D4D4F"/>
        </w:rPr>
        <w:t xml:space="preserve">Monitoring data show generally high grassland biomass levels </w:t>
      </w:r>
      <w:r>
        <w:rPr>
          <w:color w:val="4D4D4F"/>
          <w:spacing w:val="-3"/>
        </w:rPr>
        <w:t xml:space="preserve">(and </w:t>
      </w:r>
      <w:r>
        <w:rPr>
          <w:color w:val="4D4D4F"/>
        </w:rPr>
        <w:t xml:space="preserve">correspondingly less bare ground) in </w:t>
      </w:r>
      <w:r>
        <w:rPr>
          <w:color w:val="4D4D4F"/>
          <w:spacing w:val="-3"/>
        </w:rPr>
        <w:t xml:space="preserve">2021, </w:t>
      </w:r>
      <w:r>
        <w:rPr>
          <w:color w:val="4D4D4F"/>
        </w:rPr>
        <w:t xml:space="preserve">compared with previous </w:t>
      </w:r>
      <w:r>
        <w:rPr>
          <w:color w:val="4D4D4F"/>
          <w:spacing w:val="-3"/>
        </w:rPr>
        <w:t>years.</w:t>
      </w:r>
      <w:r>
        <w:rPr>
          <w:color w:val="4D4D4F"/>
          <w:spacing w:val="-3"/>
          <w:position w:val="7"/>
          <w:sz w:val="11"/>
        </w:rPr>
        <w:t xml:space="preserve">174 </w:t>
      </w:r>
      <w:r>
        <w:rPr>
          <w:color w:val="4D4D4F"/>
        </w:rPr>
        <w:t>DELWP speculates that this factor may have had a detrimental effect on moth emergence/detectability but are unable to conclusively demonstrate this from the data they had</w:t>
      </w:r>
      <w:r>
        <w:rPr>
          <w:color w:val="4D4D4F"/>
          <w:spacing w:val="27"/>
        </w:rPr>
        <w:t xml:space="preserve"> </w:t>
      </w:r>
      <w:r>
        <w:rPr>
          <w:color w:val="4D4D4F"/>
        </w:rPr>
        <w:t>collected.</w:t>
      </w:r>
      <w:r>
        <w:rPr>
          <w:color w:val="4D4D4F"/>
          <w:position w:val="7"/>
          <w:sz w:val="11"/>
        </w:rPr>
        <w:t>175</w:t>
      </w:r>
    </w:p>
    <w:p w14:paraId="359492F9" w14:textId="77777777" w:rsidR="00EF5B27" w:rsidRDefault="00000000">
      <w:pPr>
        <w:pStyle w:val="BodyText"/>
        <w:spacing w:before="10"/>
        <w:rPr>
          <w:sz w:val="21"/>
        </w:rPr>
      </w:pPr>
      <w:r>
        <w:pict w14:anchorId="3BF8C590">
          <v:line id="_x0000_s3131" style="position:absolute;z-index:251577856;mso-wrap-distance-left:0;mso-wrap-distance-right:0;mso-position-horizontal-relative:page" from="181.4pt,15.5pt" to="538.6pt,15.5pt" strokecolor="#4d4d4f" strokeweight=".5pt">
            <w10:wrap type="topAndBottom" anchorx="page"/>
          </v:line>
        </w:pict>
      </w:r>
    </w:p>
    <w:p w14:paraId="1FD72C6E" w14:textId="77777777" w:rsidR="00EF5B27" w:rsidRDefault="00000000">
      <w:pPr>
        <w:pStyle w:val="ListParagraph"/>
        <w:numPr>
          <w:ilvl w:val="0"/>
          <w:numId w:val="31"/>
        </w:numPr>
        <w:tabs>
          <w:tab w:val="left" w:pos="2836"/>
        </w:tabs>
        <w:spacing w:before="83" w:line="143" w:lineRule="exact"/>
        <w:rPr>
          <w:sz w:val="12"/>
        </w:rPr>
      </w:pPr>
      <w:r>
        <w:rPr>
          <w:color w:val="4D4D4F"/>
          <w:sz w:val="12"/>
        </w:rPr>
        <w:t xml:space="preserve">DELWP, internal document, provided </w:t>
      </w:r>
      <w:r>
        <w:rPr>
          <w:color w:val="4D4D4F"/>
          <w:spacing w:val="-3"/>
          <w:sz w:val="12"/>
        </w:rPr>
        <w:t xml:space="preserve">16  </w:t>
      </w:r>
      <w:r>
        <w:rPr>
          <w:color w:val="4D4D4F"/>
          <w:spacing w:val="2"/>
          <w:sz w:val="12"/>
        </w:rPr>
        <w:t xml:space="preserve">February </w:t>
      </w:r>
      <w:r>
        <w:rPr>
          <w:color w:val="4D4D4F"/>
          <w:spacing w:val="5"/>
          <w:sz w:val="12"/>
        </w:rPr>
        <w:t xml:space="preserve"> </w:t>
      </w:r>
      <w:r>
        <w:rPr>
          <w:color w:val="4D4D4F"/>
          <w:spacing w:val="2"/>
          <w:sz w:val="12"/>
        </w:rPr>
        <w:t>2022.</w:t>
      </w:r>
    </w:p>
    <w:p w14:paraId="1CD046DD" w14:textId="77777777" w:rsidR="00EF5B27" w:rsidRDefault="00000000">
      <w:pPr>
        <w:pStyle w:val="ListParagraph"/>
        <w:numPr>
          <w:ilvl w:val="0"/>
          <w:numId w:val="31"/>
        </w:numPr>
        <w:tabs>
          <w:tab w:val="left" w:pos="2836"/>
        </w:tabs>
        <w:spacing w:line="140" w:lineRule="exact"/>
        <w:rPr>
          <w:sz w:val="12"/>
        </w:rPr>
      </w:pPr>
      <w:r>
        <w:rPr>
          <w:color w:val="4D4D4F"/>
          <w:sz w:val="12"/>
        </w:rPr>
        <w:t xml:space="preserve">DELWP, internal document, provided </w:t>
      </w:r>
      <w:r>
        <w:rPr>
          <w:color w:val="4D4D4F"/>
          <w:spacing w:val="-3"/>
          <w:sz w:val="12"/>
        </w:rPr>
        <w:t xml:space="preserve">16  </w:t>
      </w:r>
      <w:r>
        <w:rPr>
          <w:color w:val="4D4D4F"/>
          <w:spacing w:val="2"/>
          <w:sz w:val="12"/>
        </w:rPr>
        <w:t xml:space="preserve">February </w:t>
      </w:r>
      <w:r>
        <w:rPr>
          <w:color w:val="4D4D4F"/>
          <w:spacing w:val="5"/>
          <w:sz w:val="12"/>
        </w:rPr>
        <w:t xml:space="preserve"> </w:t>
      </w:r>
      <w:r>
        <w:rPr>
          <w:color w:val="4D4D4F"/>
          <w:spacing w:val="2"/>
          <w:sz w:val="12"/>
        </w:rPr>
        <w:t>2022.</w:t>
      </w:r>
    </w:p>
    <w:p w14:paraId="7D3B4A06" w14:textId="77777777" w:rsidR="00EF5B27" w:rsidRDefault="00000000">
      <w:pPr>
        <w:pStyle w:val="ListParagraph"/>
        <w:numPr>
          <w:ilvl w:val="0"/>
          <w:numId w:val="31"/>
        </w:numPr>
        <w:tabs>
          <w:tab w:val="left" w:pos="2836"/>
        </w:tabs>
        <w:spacing w:line="140" w:lineRule="exac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6693BBCB" w14:textId="77777777" w:rsidR="00EF5B27" w:rsidRDefault="00000000">
      <w:pPr>
        <w:pStyle w:val="ListParagraph"/>
        <w:numPr>
          <w:ilvl w:val="0"/>
          <w:numId w:val="31"/>
        </w:numPr>
        <w:tabs>
          <w:tab w:val="left" w:pos="2836"/>
        </w:tabs>
        <w:spacing w:line="143" w:lineRule="exac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4C983F13"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07B89E10" w14:textId="77777777" w:rsidR="00EF5B27" w:rsidRDefault="00000000">
      <w:pPr>
        <w:pStyle w:val="BodyText"/>
      </w:pPr>
      <w:r>
        <w:lastRenderedPageBreak/>
        <w:pict w14:anchorId="51BFFE40">
          <v:group id="_x0000_s3123" style="position:absolute;margin-left:587.05pt;margin-top:183.4pt;width:8.25pt;height:153.1pt;z-index:251631104;mso-position-horizontal-relative:page;mso-position-vertical-relative:page" coordorigin="11741,3668" coordsize="165,3062">
            <v:shape id="_x0000_s3130" style="position:absolute;left:11741;top:3668;width:165;height:561" coordorigin="11741,3668" coordsize="165,561" path="m11906,3668r-165,l11741,4228r165,-18l11906,3668xe" fillcolor="#00aed9" stroked="f">
              <v:path arrowok="t"/>
            </v:shape>
            <v:shape id="_x0000_s3129" style="position:absolute;left:11741;top:4118;width:165;height:425" coordorigin="11741,4118" coordsize="165,425" path="m11906,4118r-165,14l11741,4531r165,12l11906,4118xe" fillcolor="#047ebc" stroked="f">
              <v:path arrowok="t"/>
            </v:shape>
            <v:shape id="_x0000_s3128" type="#_x0000_t75" style="position:absolute;left:11741;top:4355;width:165;height:587">
              <v:imagedata r:id="rId42" o:title=""/>
            </v:shape>
            <v:shape id="_x0000_s3127" style="position:absolute;left:11741;top:5343;width:165;height:536" coordorigin="11741,5343" coordsize="165,536" path="m11741,5343r,535l11906,5872r,-525l11741,5343xe" fillcolor="#f36a2e" stroked="f">
              <v:path arrowok="t"/>
            </v:shape>
            <v:shape id="_x0000_s3126" style="position:absolute;left:11741;top:4925;width:165;height:501" coordorigin="11741,4926" coordsize="165,501" path="m11741,4926r,500l11906,5426r,-485l11741,4926xe" fillcolor="#49783f" stroked="f">
              <v:path arrowok="t"/>
            </v:shape>
            <v:shape id="_x0000_s3125" style="position:absolute;left:11741;top:5781;width:165;height:268" coordorigin="11741,5782" coordsize="165,268" path="m11906,5782r-165,8l11741,6039r165,10l11906,5782xe" fillcolor="#f99f2a" stroked="f">
              <v:path arrowok="t"/>
            </v:shape>
            <v:shape id="_x0000_s3124" style="position:absolute;left:11741;top:6023;width:165;height:707" coordorigin="11741,6023" coordsize="165,707" path="m11741,6023r,706l11906,6729r,-690l11741,6023xe" fillcolor="#ef412c" stroked="f">
              <v:path arrowok="t"/>
            </v:shape>
            <w10:wrap anchorx="page" anchory="page"/>
          </v:group>
        </w:pict>
      </w:r>
    </w:p>
    <w:p w14:paraId="50947D57" w14:textId="77777777" w:rsidR="00EF5B27" w:rsidRDefault="00EF5B27">
      <w:pPr>
        <w:pStyle w:val="BodyText"/>
      </w:pPr>
    </w:p>
    <w:p w14:paraId="6B994EEA" w14:textId="77777777" w:rsidR="00EF5B27" w:rsidRDefault="00EF5B27">
      <w:pPr>
        <w:pStyle w:val="BodyText"/>
      </w:pPr>
    </w:p>
    <w:p w14:paraId="73755ED1" w14:textId="77777777" w:rsidR="00EF5B27" w:rsidRDefault="00EF5B27">
      <w:pPr>
        <w:pStyle w:val="BodyText"/>
        <w:spacing w:before="4"/>
        <w:rPr>
          <w:sz w:val="25"/>
        </w:rPr>
      </w:pPr>
    </w:p>
    <w:p w14:paraId="78C362D8" w14:textId="77777777" w:rsidR="00EF5B27" w:rsidRDefault="00000000">
      <w:pPr>
        <w:pStyle w:val="BodyText"/>
        <w:spacing w:before="100" w:line="254" w:lineRule="auto"/>
        <w:ind w:left="2608"/>
      </w:pPr>
      <w:r>
        <w:rPr>
          <w:color w:val="4D4D4F"/>
        </w:rPr>
        <w:t>The spring of 2021 was relatively wet and humid – this may also have had a detrimental effect on moth emergence, however there is no evidence to support this idea.</w:t>
      </w:r>
    </w:p>
    <w:p w14:paraId="7AB40076" w14:textId="77777777" w:rsidR="00EF5B27" w:rsidRDefault="00EF5B27">
      <w:pPr>
        <w:pStyle w:val="BodyText"/>
        <w:spacing w:before="1"/>
        <w:rPr>
          <w:sz w:val="19"/>
        </w:rPr>
      </w:pPr>
    </w:p>
    <w:p w14:paraId="6682A2C7" w14:textId="77777777" w:rsidR="00EF5B27" w:rsidRDefault="00000000">
      <w:pPr>
        <w:pStyle w:val="Heading3"/>
        <w:spacing w:before="1"/>
      </w:pPr>
      <w:r>
        <w:rPr>
          <w:color w:val="F99F2A"/>
        </w:rPr>
        <w:t>Key insights and management implications</w:t>
      </w:r>
    </w:p>
    <w:p w14:paraId="3CABAC7F" w14:textId="77777777" w:rsidR="00EF5B27" w:rsidRDefault="00000000">
      <w:pPr>
        <w:pStyle w:val="BodyText"/>
        <w:spacing w:before="221" w:line="254" w:lineRule="auto"/>
        <w:ind w:left="2608" w:right="151"/>
      </w:pPr>
      <w:r>
        <w:rPr>
          <w:color w:val="4D4D4F"/>
        </w:rPr>
        <w:t>It is unclear if the apparent trend of a decline in Golden Sun Moth numbers represents a genuine population decline, is an issue of detectability, or rather represents natural annual</w:t>
      </w:r>
      <w:r>
        <w:rPr>
          <w:color w:val="4D4D4F"/>
          <w:spacing w:val="8"/>
        </w:rPr>
        <w:t xml:space="preserve"> </w:t>
      </w:r>
      <w:r>
        <w:rPr>
          <w:color w:val="4D4D4F"/>
        </w:rPr>
        <w:t>variability.</w:t>
      </w:r>
      <w:r>
        <w:rPr>
          <w:color w:val="4D4D4F"/>
          <w:spacing w:val="8"/>
        </w:rPr>
        <w:t xml:space="preserve"> </w:t>
      </w:r>
      <w:r>
        <w:rPr>
          <w:color w:val="4D4D4F"/>
        </w:rPr>
        <w:t>DELWP</w:t>
      </w:r>
      <w:r>
        <w:rPr>
          <w:color w:val="4D4D4F"/>
          <w:spacing w:val="8"/>
        </w:rPr>
        <w:t xml:space="preserve"> </w:t>
      </w:r>
      <w:r>
        <w:rPr>
          <w:color w:val="4D4D4F"/>
        </w:rPr>
        <w:t>indicates</w:t>
      </w:r>
      <w:r>
        <w:rPr>
          <w:color w:val="4D4D4F"/>
          <w:spacing w:val="8"/>
        </w:rPr>
        <w:t xml:space="preserve"> </w:t>
      </w:r>
      <w:r>
        <w:rPr>
          <w:color w:val="4D4D4F"/>
        </w:rPr>
        <w:t>results</w:t>
      </w:r>
      <w:r>
        <w:rPr>
          <w:color w:val="4D4D4F"/>
          <w:spacing w:val="8"/>
        </w:rPr>
        <w:t xml:space="preserve"> </w:t>
      </w:r>
      <w:r>
        <w:rPr>
          <w:color w:val="4D4D4F"/>
        </w:rPr>
        <w:t>are</w:t>
      </w:r>
      <w:r>
        <w:rPr>
          <w:color w:val="4D4D4F"/>
          <w:spacing w:val="8"/>
        </w:rPr>
        <w:t xml:space="preserve"> </w:t>
      </w:r>
      <w:r>
        <w:rPr>
          <w:color w:val="4D4D4F"/>
        </w:rPr>
        <w:t>somewhat</w:t>
      </w:r>
      <w:r>
        <w:rPr>
          <w:color w:val="4D4D4F"/>
          <w:spacing w:val="8"/>
        </w:rPr>
        <w:t xml:space="preserve"> </w:t>
      </w:r>
      <w:r>
        <w:rPr>
          <w:color w:val="4D4D4F"/>
        </w:rPr>
        <w:t>a</w:t>
      </w:r>
      <w:r>
        <w:rPr>
          <w:color w:val="4D4D4F"/>
          <w:spacing w:val="8"/>
        </w:rPr>
        <w:t xml:space="preserve"> </w:t>
      </w:r>
      <w:r>
        <w:rPr>
          <w:color w:val="4D4D4F"/>
        </w:rPr>
        <w:t>cause</w:t>
      </w:r>
      <w:r>
        <w:rPr>
          <w:color w:val="4D4D4F"/>
          <w:spacing w:val="8"/>
        </w:rPr>
        <w:t xml:space="preserve"> </w:t>
      </w:r>
      <w:r>
        <w:rPr>
          <w:color w:val="4D4D4F"/>
        </w:rPr>
        <w:t>for</w:t>
      </w:r>
      <w:r>
        <w:rPr>
          <w:color w:val="4D4D4F"/>
          <w:spacing w:val="8"/>
        </w:rPr>
        <w:t xml:space="preserve"> </w:t>
      </w:r>
      <w:r>
        <w:rPr>
          <w:color w:val="4D4D4F"/>
        </w:rPr>
        <w:t>concern</w:t>
      </w:r>
      <w:r>
        <w:rPr>
          <w:color w:val="4D4D4F"/>
          <w:spacing w:val="8"/>
        </w:rPr>
        <w:t xml:space="preserve"> </w:t>
      </w:r>
      <w:r>
        <w:rPr>
          <w:color w:val="4D4D4F"/>
        </w:rPr>
        <w:t>but</w:t>
      </w:r>
    </w:p>
    <w:p w14:paraId="210555D0" w14:textId="77777777" w:rsidR="00EF5B27" w:rsidRDefault="00000000">
      <w:pPr>
        <w:pStyle w:val="BodyText"/>
        <w:spacing w:before="3" w:line="254" w:lineRule="auto"/>
        <w:ind w:left="2608" w:right="287"/>
      </w:pPr>
      <w:r>
        <w:rPr>
          <w:color w:val="4D4D4F"/>
        </w:rPr>
        <w:t xml:space="preserve">not an immediate </w:t>
      </w:r>
      <w:r>
        <w:rPr>
          <w:color w:val="4D4D4F"/>
          <w:spacing w:val="-4"/>
        </w:rPr>
        <w:t>issue</w:t>
      </w:r>
      <w:r>
        <w:rPr>
          <w:color w:val="4D4D4F"/>
          <w:spacing w:val="-4"/>
          <w:position w:val="7"/>
          <w:sz w:val="11"/>
        </w:rPr>
        <w:t xml:space="preserve">176 </w:t>
      </w:r>
      <w:r>
        <w:rPr>
          <w:color w:val="4D4D4F"/>
        </w:rPr>
        <w:t>– despite the sharp decrease in numbers between 2020 and 2021 – and is hopeful that the result can be explained by seasonal weather patterns  as more data is collected over</w:t>
      </w:r>
      <w:r>
        <w:rPr>
          <w:color w:val="4D4D4F"/>
          <w:spacing w:val="24"/>
        </w:rPr>
        <w:t xml:space="preserve"> </w:t>
      </w:r>
      <w:r>
        <w:rPr>
          <w:color w:val="4D4D4F"/>
        </w:rPr>
        <w:t>time.</w:t>
      </w:r>
    </w:p>
    <w:p w14:paraId="64B9BF96" w14:textId="77777777" w:rsidR="00EF5B27" w:rsidRDefault="00000000">
      <w:pPr>
        <w:pStyle w:val="BodyText"/>
        <w:spacing w:before="117" w:line="254" w:lineRule="auto"/>
        <w:ind w:left="2608" w:right="151"/>
      </w:pPr>
      <w:r>
        <w:rPr>
          <w:color w:val="4D4D4F"/>
        </w:rPr>
        <w:t>Cover of vegetation inhibiting the moth’s reproductive behaviour is known to be an issue for both moth emergence and detection, and DELWP has indicated that a recent lack of grazing in the moth’s known MSA extent, coupled with a relatively wet season, has led to a build-up of biomass.</w:t>
      </w:r>
      <w:r>
        <w:rPr>
          <w:color w:val="4D4D4F"/>
          <w:position w:val="7"/>
          <w:sz w:val="11"/>
        </w:rPr>
        <w:t xml:space="preserve">177 </w:t>
      </w:r>
      <w:r>
        <w:rPr>
          <w:color w:val="4D4D4F"/>
        </w:rPr>
        <w:t>DELWP has indicated that many large areas of Golden Sun Moth habitat have also not had the optimal grazing and burning regimes applied to them in recent years.</w:t>
      </w:r>
    </w:p>
    <w:p w14:paraId="44F7D215" w14:textId="77777777" w:rsidR="00EF5B27" w:rsidRDefault="00000000">
      <w:pPr>
        <w:pStyle w:val="BodyText"/>
        <w:spacing w:before="121" w:line="254" w:lineRule="auto"/>
        <w:ind w:left="2608" w:right="58"/>
      </w:pPr>
      <w:r>
        <w:rPr>
          <w:color w:val="4D4D4F"/>
        </w:rPr>
        <w:t>Although unlikely, it is possible that detectability in the current monitoring methodology may not be fully capturing the population dynamics and trajectory of the species.</w:t>
      </w:r>
    </w:p>
    <w:p w14:paraId="72433B61" w14:textId="77777777" w:rsidR="00EF5B27" w:rsidRDefault="00000000">
      <w:pPr>
        <w:pStyle w:val="BodyText"/>
        <w:spacing w:before="2" w:line="254" w:lineRule="auto"/>
        <w:ind w:left="2608" w:right="240"/>
      </w:pPr>
      <w:r>
        <w:rPr>
          <w:color w:val="4D4D4F"/>
        </w:rPr>
        <w:t xml:space="preserve">DELWP is currently using the standard method for monitoring of this species, in accordance with scientific literature. They have in previous years, </w:t>
      </w:r>
      <w:r>
        <w:rPr>
          <w:color w:val="4D4D4F"/>
          <w:spacing w:val="-3"/>
        </w:rPr>
        <w:t xml:space="preserve">however, </w:t>
      </w:r>
      <w:r>
        <w:rPr>
          <w:color w:val="4D4D4F"/>
        </w:rPr>
        <w:t xml:space="preserve">trialled other ways of monitoring the species </w:t>
      </w:r>
      <w:r>
        <w:rPr>
          <w:color w:val="4D4D4F"/>
          <w:spacing w:val="-4"/>
        </w:rPr>
        <w:t xml:space="preserve">(to </w:t>
      </w:r>
      <w:r>
        <w:rPr>
          <w:color w:val="4D4D4F"/>
        </w:rPr>
        <w:t>see if it could obtain better estimates of some</w:t>
      </w:r>
      <w:r>
        <w:rPr>
          <w:color w:val="4D4D4F"/>
          <w:spacing w:val="7"/>
        </w:rPr>
        <w:t xml:space="preserve"> </w:t>
      </w:r>
      <w:r>
        <w:rPr>
          <w:color w:val="4D4D4F"/>
        </w:rPr>
        <w:t>parameters</w:t>
      </w:r>
      <w:r>
        <w:rPr>
          <w:color w:val="4D4D4F"/>
          <w:spacing w:val="7"/>
        </w:rPr>
        <w:t xml:space="preserve"> </w:t>
      </w:r>
      <w:r>
        <w:rPr>
          <w:color w:val="4D4D4F"/>
        </w:rPr>
        <w:t>for</w:t>
      </w:r>
      <w:r>
        <w:rPr>
          <w:color w:val="4D4D4F"/>
          <w:spacing w:val="7"/>
        </w:rPr>
        <w:t xml:space="preserve"> </w:t>
      </w:r>
      <w:r>
        <w:rPr>
          <w:color w:val="4D4D4F"/>
          <w:spacing w:val="-3"/>
        </w:rPr>
        <w:t>PVA</w:t>
      </w:r>
      <w:r>
        <w:rPr>
          <w:color w:val="4D4D4F"/>
          <w:spacing w:val="7"/>
        </w:rPr>
        <w:t xml:space="preserve"> </w:t>
      </w:r>
      <w:r>
        <w:rPr>
          <w:color w:val="4D4D4F"/>
        </w:rPr>
        <w:t>modelling)</w:t>
      </w:r>
      <w:r>
        <w:rPr>
          <w:color w:val="4D4D4F"/>
          <w:spacing w:val="7"/>
        </w:rPr>
        <w:t xml:space="preserve"> </w:t>
      </w:r>
      <w:r>
        <w:rPr>
          <w:color w:val="4D4D4F"/>
        </w:rPr>
        <w:t>that</w:t>
      </w:r>
      <w:r>
        <w:rPr>
          <w:color w:val="4D4D4F"/>
          <w:spacing w:val="8"/>
        </w:rPr>
        <w:t xml:space="preserve"> </w:t>
      </w:r>
      <w:r>
        <w:rPr>
          <w:color w:val="4D4D4F"/>
        </w:rPr>
        <w:t>could</w:t>
      </w:r>
      <w:r>
        <w:rPr>
          <w:color w:val="4D4D4F"/>
          <w:spacing w:val="7"/>
        </w:rPr>
        <w:t xml:space="preserve"> </w:t>
      </w:r>
      <w:r>
        <w:rPr>
          <w:color w:val="4D4D4F"/>
        </w:rPr>
        <w:t>have</w:t>
      </w:r>
      <w:r>
        <w:rPr>
          <w:color w:val="4D4D4F"/>
          <w:spacing w:val="7"/>
        </w:rPr>
        <w:t xml:space="preserve"> </w:t>
      </w:r>
      <w:r>
        <w:rPr>
          <w:color w:val="4D4D4F"/>
        </w:rPr>
        <w:t>provided</w:t>
      </w:r>
      <w:r>
        <w:rPr>
          <w:color w:val="4D4D4F"/>
          <w:spacing w:val="7"/>
        </w:rPr>
        <w:t xml:space="preserve"> </w:t>
      </w:r>
      <w:r>
        <w:rPr>
          <w:color w:val="4D4D4F"/>
        </w:rPr>
        <w:t>alternate</w:t>
      </w:r>
      <w:r>
        <w:rPr>
          <w:color w:val="4D4D4F"/>
          <w:spacing w:val="7"/>
        </w:rPr>
        <w:t xml:space="preserve"> </w:t>
      </w:r>
      <w:r>
        <w:rPr>
          <w:color w:val="4D4D4F"/>
        </w:rPr>
        <w:t>measures</w:t>
      </w:r>
      <w:r>
        <w:rPr>
          <w:color w:val="4D4D4F"/>
          <w:spacing w:val="7"/>
        </w:rPr>
        <w:t xml:space="preserve"> </w:t>
      </w:r>
      <w:r>
        <w:rPr>
          <w:color w:val="4D4D4F"/>
        </w:rPr>
        <w:t>of</w:t>
      </w:r>
    </w:p>
    <w:p w14:paraId="1849EA95" w14:textId="77777777" w:rsidR="00EF5B27" w:rsidRDefault="00000000">
      <w:pPr>
        <w:pStyle w:val="BodyText"/>
        <w:spacing w:before="5" w:line="254" w:lineRule="auto"/>
        <w:ind w:left="2608"/>
      </w:pPr>
      <w:r>
        <w:rPr>
          <w:color w:val="4D4D4F"/>
        </w:rPr>
        <w:t>species persistence, including surveys of larvae and the trapping of moths using tents. These methods failed to be reliable – even in years where there was relatively good detectability – and were subsequently abandoned.</w:t>
      </w:r>
    </w:p>
    <w:p w14:paraId="66B910CC" w14:textId="77777777" w:rsidR="00EF5B27" w:rsidRDefault="00000000">
      <w:pPr>
        <w:pStyle w:val="BodyText"/>
        <w:spacing w:before="117" w:line="254" w:lineRule="auto"/>
        <w:ind w:left="2608" w:right="151"/>
      </w:pPr>
      <w:r>
        <w:rPr>
          <w:color w:val="4D4D4F"/>
        </w:rPr>
        <w:t>Local environmental covariates may help to explain some of the variation in the data. For example, grassland data does indicate that biomass has been high this year.</w:t>
      </w:r>
    </w:p>
    <w:p w14:paraId="64C64490" w14:textId="77777777" w:rsidR="00EF5B27" w:rsidRDefault="00000000">
      <w:pPr>
        <w:pStyle w:val="BodyText"/>
        <w:spacing w:before="3" w:line="254" w:lineRule="auto"/>
        <w:ind w:left="2608" w:right="205"/>
      </w:pPr>
      <w:r>
        <w:rPr>
          <w:color w:val="4D4D4F"/>
        </w:rPr>
        <w:t xml:space="preserve">As DELWP has remarked that it’s been an unusual spring (wet and </w:t>
      </w:r>
      <w:r>
        <w:rPr>
          <w:color w:val="4D4D4F"/>
          <w:spacing w:val="-3"/>
        </w:rPr>
        <w:t xml:space="preserve">humid), </w:t>
      </w:r>
      <w:r>
        <w:rPr>
          <w:color w:val="4D4D4F"/>
        </w:rPr>
        <w:t>it would potentially be worth analysing the effects of certain weather variables to build a   more</w:t>
      </w:r>
      <w:r>
        <w:rPr>
          <w:color w:val="4D4D4F"/>
          <w:spacing w:val="9"/>
        </w:rPr>
        <w:t xml:space="preserve"> </w:t>
      </w:r>
      <w:r>
        <w:rPr>
          <w:color w:val="4D4D4F"/>
        </w:rPr>
        <w:t>comprehensive</w:t>
      </w:r>
      <w:r>
        <w:rPr>
          <w:color w:val="4D4D4F"/>
          <w:spacing w:val="10"/>
        </w:rPr>
        <w:t xml:space="preserve"> </w:t>
      </w:r>
      <w:r>
        <w:rPr>
          <w:color w:val="4D4D4F"/>
        </w:rPr>
        <w:t>understanding</w:t>
      </w:r>
      <w:r>
        <w:rPr>
          <w:color w:val="4D4D4F"/>
          <w:spacing w:val="10"/>
        </w:rPr>
        <w:t xml:space="preserve"> </w:t>
      </w:r>
      <w:r>
        <w:rPr>
          <w:color w:val="4D4D4F"/>
        </w:rPr>
        <w:t>of</w:t>
      </w:r>
      <w:r>
        <w:rPr>
          <w:color w:val="4D4D4F"/>
          <w:spacing w:val="9"/>
        </w:rPr>
        <w:t xml:space="preserve"> </w:t>
      </w:r>
      <w:r>
        <w:rPr>
          <w:color w:val="4D4D4F"/>
        </w:rPr>
        <w:t>the</w:t>
      </w:r>
      <w:r>
        <w:rPr>
          <w:color w:val="4D4D4F"/>
          <w:spacing w:val="10"/>
        </w:rPr>
        <w:t xml:space="preserve"> </w:t>
      </w:r>
      <w:r>
        <w:rPr>
          <w:color w:val="4D4D4F"/>
        </w:rPr>
        <w:t>dynamics</w:t>
      </w:r>
      <w:r>
        <w:rPr>
          <w:color w:val="4D4D4F"/>
          <w:spacing w:val="9"/>
        </w:rPr>
        <w:t xml:space="preserve"> </w:t>
      </w:r>
      <w:r>
        <w:rPr>
          <w:color w:val="4D4D4F"/>
        </w:rPr>
        <w:t>at</w:t>
      </w:r>
      <w:r>
        <w:rPr>
          <w:color w:val="4D4D4F"/>
          <w:spacing w:val="10"/>
        </w:rPr>
        <w:t xml:space="preserve"> </w:t>
      </w:r>
      <w:r>
        <w:rPr>
          <w:color w:val="4D4D4F"/>
          <w:spacing w:val="-4"/>
        </w:rPr>
        <w:t>play.</w:t>
      </w:r>
      <w:r>
        <w:rPr>
          <w:color w:val="4D4D4F"/>
          <w:spacing w:val="-4"/>
          <w:position w:val="7"/>
          <w:sz w:val="11"/>
        </w:rPr>
        <w:t>178</w:t>
      </w:r>
      <w:r>
        <w:rPr>
          <w:color w:val="4D4D4F"/>
          <w:spacing w:val="10"/>
          <w:position w:val="7"/>
          <w:sz w:val="11"/>
        </w:rPr>
        <w:t xml:space="preserve"> </w:t>
      </w:r>
      <w:r>
        <w:rPr>
          <w:color w:val="4D4D4F"/>
        </w:rPr>
        <w:t>DELWP</w:t>
      </w:r>
      <w:r>
        <w:rPr>
          <w:color w:val="4D4D4F"/>
          <w:spacing w:val="10"/>
        </w:rPr>
        <w:t xml:space="preserve"> </w:t>
      </w:r>
      <w:r>
        <w:rPr>
          <w:color w:val="4D4D4F"/>
        </w:rPr>
        <w:t>commissioned</w:t>
      </w:r>
    </w:p>
    <w:p w14:paraId="25413C14" w14:textId="77777777" w:rsidR="00EF5B27" w:rsidRDefault="00000000">
      <w:pPr>
        <w:pStyle w:val="BodyText"/>
        <w:spacing w:before="3" w:line="254" w:lineRule="auto"/>
        <w:ind w:left="2608"/>
      </w:pPr>
      <w:r>
        <w:rPr>
          <w:color w:val="4D4D4F"/>
        </w:rPr>
        <w:t>research on this topic three years ago looking at moth emergence and its relationship with vegetation structures. Preliminary results for this were inconclusive.</w:t>
      </w:r>
    </w:p>
    <w:p w14:paraId="52AA9718" w14:textId="77777777" w:rsidR="00EF5B27" w:rsidRDefault="00000000">
      <w:pPr>
        <w:pStyle w:val="BodyText"/>
        <w:spacing w:before="116" w:line="254" w:lineRule="auto"/>
        <w:ind w:left="2608"/>
      </w:pPr>
      <w:r>
        <w:rPr>
          <w:color w:val="4D4D4F"/>
          <w:spacing w:val="-3"/>
        </w:rPr>
        <w:t xml:space="preserve">Another important </w:t>
      </w:r>
      <w:r>
        <w:rPr>
          <w:color w:val="4D4D4F"/>
          <w:spacing w:val="-4"/>
        </w:rPr>
        <w:t xml:space="preserve">covariate </w:t>
      </w:r>
      <w:r>
        <w:rPr>
          <w:color w:val="4D4D4F"/>
          <w:spacing w:val="-3"/>
        </w:rPr>
        <w:t xml:space="preserve">is the </w:t>
      </w:r>
      <w:r>
        <w:rPr>
          <w:color w:val="4D4D4F"/>
        </w:rPr>
        <w:t xml:space="preserve">type of </w:t>
      </w:r>
      <w:r>
        <w:rPr>
          <w:color w:val="4D4D4F"/>
          <w:spacing w:val="-4"/>
        </w:rPr>
        <w:t xml:space="preserve">vegetation </w:t>
      </w:r>
      <w:r>
        <w:rPr>
          <w:color w:val="4D4D4F"/>
          <w:spacing w:val="-3"/>
        </w:rPr>
        <w:t xml:space="preserve">cover </w:t>
      </w:r>
      <w:r>
        <w:rPr>
          <w:color w:val="4D4D4F"/>
        </w:rPr>
        <w:t xml:space="preserve">– </w:t>
      </w:r>
      <w:r>
        <w:rPr>
          <w:color w:val="4D4D4F"/>
          <w:spacing w:val="-3"/>
        </w:rPr>
        <w:t xml:space="preserve">the moths </w:t>
      </w:r>
      <w:r>
        <w:rPr>
          <w:color w:val="4D4D4F"/>
        </w:rPr>
        <w:t xml:space="preserve">are </w:t>
      </w:r>
      <w:r>
        <w:rPr>
          <w:color w:val="4D4D4F"/>
          <w:spacing w:val="-3"/>
        </w:rPr>
        <w:t xml:space="preserve">presumed to </w:t>
      </w:r>
      <w:r>
        <w:rPr>
          <w:color w:val="4D4D4F"/>
        </w:rPr>
        <w:t>eat C3 grasses, not Kangaroo Grass. It is for this reason that DELWP has previously reported the cover of different grass types.</w:t>
      </w:r>
      <w:r>
        <w:rPr>
          <w:color w:val="4D4D4F"/>
          <w:position w:val="7"/>
          <w:sz w:val="11"/>
        </w:rPr>
        <w:t xml:space="preserve">179 </w:t>
      </w:r>
      <w:r>
        <w:rPr>
          <w:color w:val="4D4D4F"/>
        </w:rPr>
        <w:t>This has interesting implications for management – the moths tolerate grazed areas, but heavy grazing is not ideal.</w:t>
      </w:r>
    </w:p>
    <w:p w14:paraId="757346A9" w14:textId="77777777" w:rsidR="00EF5B27" w:rsidRDefault="00000000">
      <w:pPr>
        <w:pStyle w:val="BodyText"/>
        <w:spacing w:before="5" w:line="254" w:lineRule="auto"/>
        <w:ind w:left="2608" w:right="161"/>
      </w:pPr>
      <w:r>
        <w:rPr>
          <w:color w:val="4D4D4F"/>
        </w:rPr>
        <w:t>Kangaroo Grass-dominated ecosystems are viewed to be more desirable from a vegetation management perspective,</w:t>
      </w:r>
      <w:r>
        <w:rPr>
          <w:color w:val="4D4D4F"/>
          <w:position w:val="7"/>
          <w:sz w:val="11"/>
        </w:rPr>
        <w:t xml:space="preserve">180  </w:t>
      </w:r>
      <w:r>
        <w:rPr>
          <w:color w:val="4D4D4F"/>
        </w:rPr>
        <w:t xml:space="preserve">but the moth preferences C3 grasses – and  this poses a potentially difficult management trade-off. DELWP’s </w:t>
      </w:r>
      <w:r>
        <w:rPr>
          <w:color w:val="4D4D4F"/>
          <w:spacing w:val="-3"/>
        </w:rPr>
        <w:t xml:space="preserve">PVA </w:t>
      </w:r>
      <w:r>
        <w:rPr>
          <w:color w:val="4D4D4F"/>
        </w:rPr>
        <w:t xml:space="preserve">modelling highlighted the importance of bare ground and C3 dominance grasses – and these outputs were incorporated into a structured decision-making exercise to assess the trade-off. The </w:t>
      </w:r>
      <w:r>
        <w:rPr>
          <w:color w:val="4D4D4F"/>
          <w:spacing w:val="-3"/>
        </w:rPr>
        <w:t xml:space="preserve">exercise revealed that </w:t>
      </w:r>
      <w:r>
        <w:rPr>
          <w:color w:val="4D4D4F"/>
        </w:rPr>
        <w:t xml:space="preserve">the </w:t>
      </w:r>
      <w:r>
        <w:rPr>
          <w:color w:val="4D4D4F"/>
          <w:spacing w:val="-3"/>
        </w:rPr>
        <w:t xml:space="preserve">status </w:t>
      </w:r>
      <w:r>
        <w:rPr>
          <w:color w:val="4D4D4F"/>
        </w:rPr>
        <w:t xml:space="preserve">quo scenario </w:t>
      </w:r>
      <w:r>
        <w:rPr>
          <w:color w:val="4D4D4F"/>
          <w:spacing w:val="-2"/>
        </w:rPr>
        <w:t xml:space="preserve">for </w:t>
      </w:r>
      <w:r>
        <w:rPr>
          <w:color w:val="4D4D4F"/>
        </w:rPr>
        <w:t xml:space="preserve">the </w:t>
      </w:r>
      <w:r>
        <w:rPr>
          <w:color w:val="4D4D4F"/>
          <w:spacing w:val="-3"/>
        </w:rPr>
        <w:t xml:space="preserve">management </w:t>
      </w:r>
      <w:r>
        <w:rPr>
          <w:color w:val="4D4D4F"/>
        </w:rPr>
        <w:t xml:space="preserve">of the </w:t>
      </w:r>
      <w:r>
        <w:rPr>
          <w:color w:val="4D4D4F"/>
          <w:spacing w:val="-3"/>
        </w:rPr>
        <w:t xml:space="preserve">Golden </w:t>
      </w:r>
      <w:r>
        <w:rPr>
          <w:color w:val="4D4D4F"/>
        </w:rPr>
        <w:t xml:space="preserve">Sun Moth </w:t>
      </w:r>
      <w:r>
        <w:rPr>
          <w:color w:val="4D4D4F"/>
          <w:spacing w:val="-3"/>
        </w:rPr>
        <w:t xml:space="preserve">is currently </w:t>
      </w:r>
      <w:r>
        <w:rPr>
          <w:color w:val="4D4D4F"/>
        </w:rPr>
        <w:t xml:space="preserve">near-best </w:t>
      </w:r>
      <w:r>
        <w:rPr>
          <w:color w:val="4D4D4F"/>
          <w:spacing w:val="-3"/>
        </w:rPr>
        <w:t xml:space="preserve">in </w:t>
      </w:r>
      <w:r>
        <w:rPr>
          <w:color w:val="4D4D4F"/>
        </w:rPr>
        <w:t xml:space="preserve">terms of </w:t>
      </w:r>
      <w:r>
        <w:rPr>
          <w:color w:val="4D4D4F"/>
          <w:spacing w:val="-4"/>
        </w:rPr>
        <w:t xml:space="preserve">optimising </w:t>
      </w:r>
      <w:r>
        <w:rPr>
          <w:color w:val="4D4D4F"/>
        </w:rPr>
        <w:t xml:space="preserve">outcomes </w:t>
      </w:r>
      <w:r>
        <w:rPr>
          <w:color w:val="4D4D4F"/>
          <w:spacing w:val="-2"/>
        </w:rPr>
        <w:t xml:space="preserve">for </w:t>
      </w:r>
      <w:r>
        <w:rPr>
          <w:color w:val="4D4D4F"/>
        </w:rPr>
        <w:t>the</w:t>
      </w:r>
      <w:r>
        <w:rPr>
          <w:color w:val="4D4D4F"/>
          <w:spacing w:val="5"/>
        </w:rPr>
        <w:t xml:space="preserve"> </w:t>
      </w:r>
      <w:r>
        <w:rPr>
          <w:color w:val="4D4D4F"/>
        </w:rPr>
        <w:t>species.</w:t>
      </w:r>
    </w:p>
    <w:p w14:paraId="626AC484" w14:textId="77777777" w:rsidR="00EF5B27" w:rsidRDefault="00000000">
      <w:pPr>
        <w:pStyle w:val="BodyText"/>
        <w:spacing w:before="7"/>
        <w:rPr>
          <w:sz w:val="13"/>
        </w:rPr>
      </w:pPr>
      <w:r>
        <w:pict w14:anchorId="4D89CE64">
          <v:line id="_x0000_s3122" style="position:absolute;z-index:251579904;mso-wrap-distance-left:0;mso-wrap-distance-right:0;mso-position-horizontal-relative:page" from="181.4pt,10.5pt" to="538.6pt,10.5pt" strokecolor="#4d4d4f" strokeweight=".5pt">
            <w10:wrap type="topAndBottom" anchorx="page"/>
          </v:line>
        </w:pict>
      </w:r>
    </w:p>
    <w:p w14:paraId="3501F75C" w14:textId="77777777" w:rsidR="00EF5B27" w:rsidRDefault="00000000">
      <w:pPr>
        <w:pStyle w:val="ListParagraph"/>
        <w:numPr>
          <w:ilvl w:val="0"/>
          <w:numId w:val="31"/>
        </w:numPr>
        <w:tabs>
          <w:tab w:val="left" w:pos="2836"/>
        </w:tabs>
        <w:spacing w:before="83" w:line="143" w:lineRule="exac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277B647B" w14:textId="77777777" w:rsidR="00EF5B27" w:rsidRDefault="00000000">
      <w:pPr>
        <w:pStyle w:val="ListParagraph"/>
        <w:numPr>
          <w:ilvl w:val="0"/>
          <w:numId w:val="31"/>
        </w:numPr>
        <w:tabs>
          <w:tab w:val="left" w:pos="2835"/>
        </w:tabs>
        <w:spacing w:line="140" w:lineRule="exact"/>
        <w:ind w:left="2834" w:hanging="226"/>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43CA9747" w14:textId="77777777" w:rsidR="00EF5B27" w:rsidRDefault="00000000">
      <w:pPr>
        <w:pStyle w:val="ListParagraph"/>
        <w:numPr>
          <w:ilvl w:val="0"/>
          <w:numId w:val="31"/>
        </w:numPr>
        <w:tabs>
          <w:tab w:val="left" w:pos="2835"/>
        </w:tabs>
        <w:spacing w:line="140" w:lineRule="exact"/>
        <w:ind w:left="2834" w:hanging="226"/>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4E1A5B67" w14:textId="77777777" w:rsidR="00EF5B27" w:rsidRDefault="00000000">
      <w:pPr>
        <w:pStyle w:val="ListParagraph"/>
        <w:numPr>
          <w:ilvl w:val="0"/>
          <w:numId w:val="31"/>
        </w:numPr>
        <w:tabs>
          <w:tab w:val="left" w:pos="2835"/>
        </w:tabs>
        <w:spacing w:before="2" w:line="230" w:lineRule="auto"/>
        <w:ind w:left="2834" w:right="112"/>
        <w:rPr>
          <w:sz w:val="12"/>
        </w:rPr>
      </w:pPr>
      <w:r>
        <w:rPr>
          <w:color w:val="4D4D4F"/>
          <w:sz w:val="12"/>
        </w:rPr>
        <w:t xml:space="preserve">M </w:t>
      </w:r>
      <w:r>
        <w:rPr>
          <w:color w:val="4D4D4F"/>
          <w:spacing w:val="2"/>
          <w:sz w:val="12"/>
        </w:rPr>
        <w:t xml:space="preserve">Bruce, </w:t>
      </w:r>
      <w:r>
        <w:rPr>
          <w:color w:val="4D4D4F"/>
          <w:sz w:val="12"/>
        </w:rPr>
        <w:t xml:space="preserve">K Batpurev, D Bryant. S Sinclair and M Kohout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DELWP, Heidelberg,</w:t>
      </w:r>
      <w:r>
        <w:rPr>
          <w:color w:val="4D4D4F"/>
          <w:spacing w:val="8"/>
          <w:sz w:val="12"/>
        </w:rPr>
        <w:t xml:space="preserve"> </w:t>
      </w:r>
      <w:r>
        <w:rPr>
          <w:color w:val="4D4D4F"/>
          <w:sz w:val="12"/>
        </w:rPr>
        <w:t>Victoria.</w:t>
      </w:r>
    </w:p>
    <w:p w14:paraId="64316BBD" w14:textId="77777777" w:rsidR="00EF5B27" w:rsidRDefault="00000000">
      <w:pPr>
        <w:pStyle w:val="ListParagraph"/>
        <w:numPr>
          <w:ilvl w:val="0"/>
          <w:numId w:val="31"/>
        </w:numPr>
        <w:tabs>
          <w:tab w:val="left" w:pos="2835"/>
        </w:tabs>
        <w:spacing w:line="230" w:lineRule="auto"/>
        <w:ind w:left="2834" w:right="112"/>
        <w:rPr>
          <w:sz w:val="12"/>
        </w:rPr>
      </w:pPr>
      <w:r>
        <w:rPr>
          <w:color w:val="4D4D4F"/>
          <w:sz w:val="12"/>
        </w:rPr>
        <w:t xml:space="preserve">Sinclair </w:t>
      </w:r>
      <w:r>
        <w:rPr>
          <w:color w:val="4D4D4F"/>
          <w:w w:val="110"/>
          <w:sz w:val="12"/>
        </w:rPr>
        <w:t xml:space="preserve">SJ, </w:t>
      </w:r>
      <w:r>
        <w:rPr>
          <w:color w:val="4D4D4F"/>
          <w:sz w:val="12"/>
        </w:rPr>
        <w:t xml:space="preserve">Zamin </w:t>
      </w:r>
      <w:r>
        <w:rPr>
          <w:color w:val="4D4D4F"/>
          <w:spacing w:val="-3"/>
          <w:sz w:val="12"/>
        </w:rPr>
        <w:t xml:space="preserve">T, </w:t>
      </w:r>
      <w:r>
        <w:rPr>
          <w:color w:val="4D4D4F"/>
          <w:sz w:val="12"/>
        </w:rPr>
        <w:t xml:space="preserve">Gibson-Roy </w:t>
      </w:r>
      <w:r>
        <w:rPr>
          <w:color w:val="4D4D4F"/>
          <w:spacing w:val="-5"/>
          <w:sz w:val="12"/>
        </w:rPr>
        <w:t xml:space="preserve">P, </w:t>
      </w:r>
      <w:r>
        <w:rPr>
          <w:color w:val="4D4D4F"/>
          <w:spacing w:val="2"/>
          <w:sz w:val="12"/>
        </w:rPr>
        <w:t xml:space="preserve">Dorrough </w:t>
      </w:r>
      <w:r>
        <w:rPr>
          <w:color w:val="4D4D4F"/>
          <w:w w:val="110"/>
          <w:sz w:val="12"/>
        </w:rPr>
        <w:t xml:space="preserve">J, </w:t>
      </w:r>
      <w:r>
        <w:rPr>
          <w:color w:val="4D4D4F"/>
          <w:sz w:val="12"/>
        </w:rPr>
        <w:t xml:space="preserve">Wong N, Craigie </w:t>
      </w:r>
      <w:r>
        <w:rPr>
          <w:color w:val="4D4D4F"/>
          <w:spacing w:val="-3"/>
          <w:sz w:val="12"/>
        </w:rPr>
        <w:t xml:space="preserve">V, </w:t>
      </w:r>
      <w:r>
        <w:rPr>
          <w:color w:val="4D4D4F"/>
          <w:spacing w:val="2"/>
          <w:sz w:val="12"/>
        </w:rPr>
        <w:t xml:space="preserve">Garrard </w:t>
      </w:r>
      <w:r>
        <w:rPr>
          <w:color w:val="4D4D4F"/>
          <w:sz w:val="12"/>
        </w:rPr>
        <w:t xml:space="preserve">GE and </w:t>
      </w:r>
      <w:r>
        <w:rPr>
          <w:color w:val="4D4D4F"/>
          <w:spacing w:val="2"/>
          <w:sz w:val="12"/>
        </w:rPr>
        <w:t xml:space="preserve">Moore </w:t>
      </w:r>
      <w:r>
        <w:rPr>
          <w:color w:val="4D4D4F"/>
          <w:w w:val="110"/>
          <w:sz w:val="12"/>
        </w:rPr>
        <w:t xml:space="preserve">JL </w:t>
      </w:r>
      <w:r>
        <w:rPr>
          <w:color w:val="4D4D4F"/>
          <w:sz w:val="12"/>
        </w:rPr>
        <w:t xml:space="preserve">2019b, ‘A state-and-transition model to guide grassland management.’ Australian Journal of Botany </w:t>
      </w:r>
      <w:r>
        <w:rPr>
          <w:color w:val="4D4D4F"/>
          <w:spacing w:val="-4"/>
          <w:sz w:val="12"/>
        </w:rPr>
        <w:t xml:space="preserve">67, </w:t>
      </w:r>
      <w:r>
        <w:rPr>
          <w:color w:val="4D4D4F"/>
          <w:spacing w:val="2"/>
          <w:sz w:val="12"/>
        </w:rPr>
        <w:t>437-453.</w:t>
      </w:r>
    </w:p>
    <w:p w14:paraId="56FF0C06"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117D1E45" w14:textId="77777777" w:rsidR="00EF5B27" w:rsidRDefault="00000000">
      <w:pPr>
        <w:pStyle w:val="BodyText"/>
      </w:pPr>
      <w:r>
        <w:lastRenderedPageBreak/>
        <w:pict w14:anchorId="3ABFB6CF">
          <v:group id="_x0000_s3114" style="position:absolute;margin-left:587.05pt;margin-top:183.4pt;width:8.25pt;height:153.1pt;z-index:251633152;mso-position-horizontal-relative:page;mso-position-vertical-relative:page" coordorigin="11741,3668" coordsize="165,3062">
            <v:shape id="_x0000_s3121" style="position:absolute;left:11741;top:3668;width:165;height:561" coordorigin="11741,3668" coordsize="165,561" path="m11906,3668r-165,l11741,4228r165,-18l11906,3668xe" fillcolor="#00aed9" stroked="f">
              <v:path arrowok="t"/>
            </v:shape>
            <v:shape id="_x0000_s3120" style="position:absolute;left:11741;top:4118;width:165;height:425" coordorigin="11741,4118" coordsize="165,425" path="m11906,4118r-165,14l11741,4531r165,12l11906,4118xe" fillcolor="#047ebc" stroked="f">
              <v:path arrowok="t"/>
            </v:shape>
            <v:shape id="_x0000_s3119" type="#_x0000_t75" style="position:absolute;left:11741;top:4355;width:165;height:587">
              <v:imagedata r:id="rId42" o:title=""/>
            </v:shape>
            <v:shape id="_x0000_s3118" style="position:absolute;left:11741;top:5343;width:165;height:536" coordorigin="11741,5343" coordsize="165,536" path="m11741,5343r,535l11906,5872r,-525l11741,5343xe" fillcolor="#f36a2e" stroked="f">
              <v:path arrowok="t"/>
            </v:shape>
            <v:shape id="_x0000_s3117" style="position:absolute;left:11741;top:4925;width:165;height:501" coordorigin="11741,4926" coordsize="165,501" path="m11741,4926r,500l11906,5426r,-485l11741,4926xe" fillcolor="#49783f" stroked="f">
              <v:path arrowok="t"/>
            </v:shape>
            <v:shape id="_x0000_s3116" style="position:absolute;left:11741;top:5781;width:165;height:268" coordorigin="11741,5782" coordsize="165,268" path="m11906,5782r-165,8l11741,6039r165,10l11906,5782xe" fillcolor="#f99f2a" stroked="f">
              <v:path arrowok="t"/>
            </v:shape>
            <v:shape id="_x0000_s3115" style="position:absolute;left:11741;top:6023;width:165;height:707" coordorigin="11741,6023" coordsize="165,707" path="m11741,6023r,706l11906,6729r,-690l11741,6023xe" fillcolor="#ef412c" stroked="f">
              <v:path arrowok="t"/>
            </v:shape>
            <w10:wrap anchorx="page" anchory="page"/>
          </v:group>
        </w:pict>
      </w:r>
    </w:p>
    <w:p w14:paraId="07FEF99D" w14:textId="77777777" w:rsidR="00EF5B27" w:rsidRDefault="00EF5B27">
      <w:pPr>
        <w:pStyle w:val="BodyText"/>
      </w:pPr>
    </w:p>
    <w:p w14:paraId="5BBAA685" w14:textId="77777777" w:rsidR="00EF5B27" w:rsidRDefault="00EF5B27">
      <w:pPr>
        <w:pStyle w:val="BodyText"/>
      </w:pPr>
    </w:p>
    <w:p w14:paraId="229315C8" w14:textId="77777777" w:rsidR="00EF5B27" w:rsidRDefault="00EF5B27">
      <w:pPr>
        <w:pStyle w:val="BodyText"/>
        <w:spacing w:before="4"/>
        <w:rPr>
          <w:sz w:val="25"/>
        </w:rPr>
      </w:pPr>
    </w:p>
    <w:p w14:paraId="7FB76ED9" w14:textId="77777777" w:rsidR="00EF5B27" w:rsidRDefault="00000000">
      <w:pPr>
        <w:pStyle w:val="BodyText"/>
        <w:spacing w:before="100" w:line="254" w:lineRule="auto"/>
        <w:ind w:left="2608" w:right="116"/>
      </w:pPr>
      <w:r>
        <w:rPr>
          <w:color w:val="4D4D4F"/>
        </w:rPr>
        <w:t>Weed</w:t>
      </w:r>
      <w:r>
        <w:rPr>
          <w:color w:val="4D4D4F"/>
          <w:spacing w:val="-7"/>
        </w:rPr>
        <w:t xml:space="preserve"> </w:t>
      </w:r>
      <w:r>
        <w:rPr>
          <w:color w:val="4D4D4F"/>
        </w:rPr>
        <w:t>control</w:t>
      </w:r>
      <w:r>
        <w:rPr>
          <w:color w:val="4D4D4F"/>
          <w:spacing w:val="-6"/>
        </w:rPr>
        <w:t xml:space="preserve"> </w:t>
      </w:r>
      <w:r>
        <w:rPr>
          <w:color w:val="4D4D4F"/>
        </w:rPr>
        <w:t>may</w:t>
      </w:r>
      <w:r>
        <w:rPr>
          <w:color w:val="4D4D4F"/>
          <w:spacing w:val="-6"/>
        </w:rPr>
        <w:t xml:space="preserve"> </w:t>
      </w:r>
      <w:r>
        <w:rPr>
          <w:color w:val="4D4D4F"/>
        </w:rPr>
        <w:t>be</w:t>
      </w:r>
      <w:r>
        <w:rPr>
          <w:color w:val="4D4D4F"/>
          <w:spacing w:val="-6"/>
        </w:rPr>
        <w:t xml:space="preserve"> </w:t>
      </w:r>
      <w:r>
        <w:rPr>
          <w:color w:val="4D4D4F"/>
        </w:rPr>
        <w:t>important</w:t>
      </w:r>
      <w:r>
        <w:rPr>
          <w:color w:val="4D4D4F"/>
          <w:spacing w:val="-7"/>
        </w:rPr>
        <w:t xml:space="preserve"> </w:t>
      </w:r>
      <w:r>
        <w:rPr>
          <w:color w:val="4D4D4F"/>
        </w:rPr>
        <w:t>to</w:t>
      </w:r>
      <w:r>
        <w:rPr>
          <w:color w:val="4D4D4F"/>
          <w:spacing w:val="-6"/>
        </w:rPr>
        <w:t xml:space="preserve"> </w:t>
      </w:r>
      <w:r>
        <w:rPr>
          <w:color w:val="4D4D4F"/>
        </w:rPr>
        <w:t>the</w:t>
      </w:r>
      <w:r>
        <w:rPr>
          <w:color w:val="4D4D4F"/>
          <w:spacing w:val="-6"/>
        </w:rPr>
        <w:t xml:space="preserve"> </w:t>
      </w:r>
      <w:r>
        <w:rPr>
          <w:color w:val="4D4D4F"/>
        </w:rPr>
        <w:t>Golden</w:t>
      </w:r>
      <w:r>
        <w:rPr>
          <w:color w:val="4D4D4F"/>
          <w:spacing w:val="-6"/>
        </w:rPr>
        <w:t xml:space="preserve"> </w:t>
      </w:r>
      <w:r>
        <w:rPr>
          <w:color w:val="4D4D4F"/>
        </w:rPr>
        <w:t>Sun</w:t>
      </w:r>
      <w:r>
        <w:rPr>
          <w:color w:val="4D4D4F"/>
          <w:spacing w:val="-7"/>
        </w:rPr>
        <w:t xml:space="preserve"> </w:t>
      </w:r>
      <w:r>
        <w:rPr>
          <w:color w:val="4D4D4F"/>
          <w:spacing w:val="-4"/>
        </w:rPr>
        <w:t>Moth’s</w:t>
      </w:r>
      <w:r>
        <w:rPr>
          <w:color w:val="4D4D4F"/>
          <w:spacing w:val="-6"/>
        </w:rPr>
        <w:t xml:space="preserve"> </w:t>
      </w:r>
      <w:r>
        <w:rPr>
          <w:color w:val="4D4D4F"/>
        </w:rPr>
        <w:t>persistence;</w:t>
      </w:r>
      <w:r>
        <w:rPr>
          <w:color w:val="4D4D4F"/>
          <w:spacing w:val="-6"/>
        </w:rPr>
        <w:t xml:space="preserve"> </w:t>
      </w:r>
      <w:r>
        <w:rPr>
          <w:color w:val="4D4D4F"/>
        </w:rPr>
        <w:t>there</w:t>
      </w:r>
      <w:r>
        <w:rPr>
          <w:color w:val="4D4D4F"/>
          <w:spacing w:val="-6"/>
        </w:rPr>
        <w:t xml:space="preserve"> </w:t>
      </w:r>
      <w:r>
        <w:rPr>
          <w:color w:val="4D4D4F"/>
        </w:rPr>
        <w:t>is</w:t>
      </w:r>
      <w:r>
        <w:rPr>
          <w:color w:val="4D4D4F"/>
          <w:spacing w:val="-7"/>
        </w:rPr>
        <w:t xml:space="preserve"> </w:t>
      </w:r>
      <w:r>
        <w:rPr>
          <w:color w:val="4D4D4F"/>
        </w:rPr>
        <w:t xml:space="preserve">evidence of association with Chilean Needle Grass </w:t>
      </w:r>
      <w:r>
        <w:rPr>
          <w:color w:val="4D4D4F"/>
          <w:spacing w:val="-4"/>
        </w:rPr>
        <w:t>(</w:t>
      </w:r>
      <w:r>
        <w:rPr>
          <w:rFonts w:ascii="Arial Narrow" w:hAnsi="Arial Narrow"/>
          <w:i/>
          <w:color w:val="4D4D4F"/>
          <w:spacing w:val="-4"/>
        </w:rPr>
        <w:t xml:space="preserve">Nassella </w:t>
      </w:r>
      <w:r>
        <w:rPr>
          <w:rFonts w:ascii="Arial Narrow" w:hAnsi="Arial Narrow"/>
          <w:i/>
          <w:color w:val="4D4D4F"/>
          <w:spacing w:val="-3"/>
        </w:rPr>
        <w:t xml:space="preserve">neesiana) </w:t>
      </w:r>
      <w:r>
        <w:rPr>
          <w:color w:val="4D4D4F"/>
        </w:rPr>
        <w:t xml:space="preserve">(Richter et al.) and with native C3 grasses i.e. Wallaby  and  Spear  grasses  </w:t>
      </w:r>
      <w:r>
        <w:rPr>
          <w:color w:val="4D4D4F"/>
          <w:spacing w:val="-3"/>
        </w:rPr>
        <w:t>(</w:t>
      </w:r>
      <w:r>
        <w:rPr>
          <w:rFonts w:ascii="Arial Narrow" w:hAnsi="Arial Narrow"/>
          <w:i/>
          <w:color w:val="4D4D4F"/>
          <w:spacing w:val="-3"/>
        </w:rPr>
        <w:t xml:space="preserve">Rytidosperma  </w:t>
      </w:r>
      <w:r>
        <w:rPr>
          <w:color w:val="4D4D4F"/>
        </w:rPr>
        <w:t xml:space="preserve">spp.  &amp;  </w:t>
      </w:r>
      <w:r>
        <w:rPr>
          <w:rFonts w:ascii="Arial Narrow" w:hAnsi="Arial Narrow"/>
          <w:i/>
          <w:color w:val="4D4D4F"/>
          <w:spacing w:val="-3"/>
        </w:rPr>
        <w:t xml:space="preserve">Austrostipa </w:t>
      </w:r>
      <w:r>
        <w:rPr>
          <w:color w:val="4D4D4F"/>
        </w:rPr>
        <w:t xml:space="preserve">spp.). A major assumption is that the main food plants for larvae of the Golden Sun Moth are perennial C3 grasses, both native and </w:t>
      </w:r>
      <w:r>
        <w:rPr>
          <w:color w:val="4D4D4F"/>
          <w:spacing w:val="-3"/>
        </w:rPr>
        <w:t>exotic.</w:t>
      </w:r>
      <w:r>
        <w:rPr>
          <w:color w:val="4D4D4F"/>
          <w:spacing w:val="-3"/>
          <w:position w:val="7"/>
          <w:sz w:val="11"/>
        </w:rPr>
        <w:t xml:space="preserve">181 </w:t>
      </w:r>
      <w:r>
        <w:rPr>
          <w:color w:val="4D4D4F"/>
        </w:rPr>
        <w:t xml:space="preserve">While this is based on observations of moths in exotic grasslands (Brown et al. </w:t>
      </w:r>
      <w:r>
        <w:rPr>
          <w:color w:val="4D4D4F"/>
          <w:spacing w:val="-5"/>
        </w:rPr>
        <w:t>2012),</w:t>
      </w:r>
      <w:r>
        <w:rPr>
          <w:color w:val="4D4D4F"/>
          <w:spacing w:val="-5"/>
          <w:position w:val="7"/>
          <w:sz w:val="11"/>
        </w:rPr>
        <w:t xml:space="preserve">182 </w:t>
      </w:r>
      <w:r>
        <w:rPr>
          <w:color w:val="4D4D4F"/>
        </w:rPr>
        <w:t>the extent to which they</w:t>
      </w:r>
      <w:r>
        <w:rPr>
          <w:color w:val="4D4D4F"/>
          <w:spacing w:val="6"/>
        </w:rPr>
        <w:t xml:space="preserve"> </w:t>
      </w:r>
      <w:r>
        <w:rPr>
          <w:color w:val="4D4D4F"/>
        </w:rPr>
        <w:t>eat</w:t>
      </w:r>
      <w:r>
        <w:rPr>
          <w:color w:val="4D4D4F"/>
          <w:spacing w:val="6"/>
        </w:rPr>
        <w:t xml:space="preserve"> </w:t>
      </w:r>
      <w:r>
        <w:rPr>
          <w:color w:val="4D4D4F"/>
        </w:rPr>
        <w:t>exotic</w:t>
      </w:r>
      <w:r>
        <w:rPr>
          <w:color w:val="4D4D4F"/>
          <w:spacing w:val="6"/>
        </w:rPr>
        <w:t xml:space="preserve"> </w:t>
      </w:r>
      <w:r>
        <w:rPr>
          <w:color w:val="4D4D4F"/>
        </w:rPr>
        <w:t>grasses</w:t>
      </w:r>
      <w:r>
        <w:rPr>
          <w:color w:val="4D4D4F"/>
          <w:spacing w:val="7"/>
        </w:rPr>
        <w:t xml:space="preserve"> </w:t>
      </w:r>
      <w:r>
        <w:rPr>
          <w:color w:val="4D4D4F"/>
        </w:rPr>
        <w:t>is</w:t>
      </w:r>
      <w:r>
        <w:rPr>
          <w:color w:val="4D4D4F"/>
          <w:spacing w:val="6"/>
        </w:rPr>
        <w:t xml:space="preserve"> </w:t>
      </w:r>
      <w:r>
        <w:rPr>
          <w:color w:val="4D4D4F"/>
          <w:spacing w:val="-3"/>
        </w:rPr>
        <w:t>unclear.</w:t>
      </w:r>
      <w:r>
        <w:rPr>
          <w:color w:val="4D4D4F"/>
          <w:spacing w:val="6"/>
        </w:rPr>
        <w:t xml:space="preserve"> </w:t>
      </w:r>
      <w:r>
        <w:rPr>
          <w:color w:val="4D4D4F"/>
        </w:rPr>
        <w:t>Therefore,</w:t>
      </w:r>
      <w:r>
        <w:rPr>
          <w:color w:val="4D4D4F"/>
          <w:spacing w:val="6"/>
        </w:rPr>
        <w:t xml:space="preserve"> </w:t>
      </w:r>
      <w:r>
        <w:rPr>
          <w:color w:val="4D4D4F"/>
        </w:rPr>
        <w:t>there</w:t>
      </w:r>
      <w:r>
        <w:rPr>
          <w:color w:val="4D4D4F"/>
          <w:spacing w:val="7"/>
        </w:rPr>
        <w:t xml:space="preserve"> </w:t>
      </w:r>
      <w:r>
        <w:rPr>
          <w:color w:val="4D4D4F"/>
        </w:rPr>
        <w:t>are</w:t>
      </w:r>
      <w:r>
        <w:rPr>
          <w:color w:val="4D4D4F"/>
          <w:spacing w:val="6"/>
        </w:rPr>
        <w:t xml:space="preserve"> </w:t>
      </w:r>
      <w:r>
        <w:rPr>
          <w:color w:val="4D4D4F"/>
        </w:rPr>
        <w:t>potentially</w:t>
      </w:r>
      <w:r>
        <w:rPr>
          <w:color w:val="4D4D4F"/>
          <w:spacing w:val="6"/>
        </w:rPr>
        <w:t xml:space="preserve"> </w:t>
      </w:r>
      <w:r>
        <w:rPr>
          <w:color w:val="4D4D4F"/>
        </w:rPr>
        <w:t>negative</w:t>
      </w:r>
      <w:r>
        <w:rPr>
          <w:color w:val="4D4D4F"/>
          <w:spacing w:val="7"/>
        </w:rPr>
        <w:t xml:space="preserve"> </w:t>
      </w:r>
      <w:r>
        <w:rPr>
          <w:color w:val="4D4D4F"/>
        </w:rPr>
        <w:t>impacts</w:t>
      </w:r>
    </w:p>
    <w:p w14:paraId="3B2468D4" w14:textId="77777777" w:rsidR="00EF5B27" w:rsidRDefault="00000000">
      <w:pPr>
        <w:pStyle w:val="BodyText"/>
        <w:spacing w:before="9" w:line="254" w:lineRule="auto"/>
        <w:ind w:left="2608" w:right="465"/>
      </w:pPr>
      <w:r>
        <w:rPr>
          <w:color w:val="4D4D4F"/>
        </w:rPr>
        <w:t xml:space="preserve">of weed control in areas with high levels of exotic C3 grasses such as </w:t>
      </w:r>
      <w:r>
        <w:rPr>
          <w:rFonts w:ascii="Arial Narrow" w:hAnsi="Arial Narrow"/>
          <w:i/>
          <w:color w:val="4D4D4F"/>
        </w:rPr>
        <w:t>Nassella trichotoma</w:t>
      </w:r>
      <w:r>
        <w:rPr>
          <w:color w:val="4D4D4F"/>
        </w:rPr>
        <w:t>. DELWP has not yet looked at studies assessing the relationship between biomass control regimes and persistence of the Golden Sun Moth – and there is potential to further explore this.</w:t>
      </w:r>
    </w:p>
    <w:p w14:paraId="7ED6595D" w14:textId="77777777" w:rsidR="00EF5B27" w:rsidRDefault="00000000">
      <w:pPr>
        <w:pStyle w:val="BodyText"/>
        <w:spacing w:before="118" w:line="254" w:lineRule="auto"/>
        <w:ind w:left="2608" w:right="121"/>
        <w:jc w:val="both"/>
        <w:rPr>
          <w:sz w:val="11"/>
        </w:rPr>
      </w:pPr>
      <w:r>
        <w:rPr>
          <w:color w:val="4D4D4F"/>
        </w:rPr>
        <w:t>With additional Golden Sun Moth sites expected to come under MSA management over the next 18 months, DELWP indicates that some changes to the design may occur, and that comparison against a counterfactual control would assist to assess changes linked to MSA management.</w:t>
      </w:r>
      <w:r>
        <w:rPr>
          <w:color w:val="4D4D4F"/>
          <w:position w:val="7"/>
          <w:sz w:val="11"/>
        </w:rPr>
        <w:t>183</w:t>
      </w:r>
    </w:p>
    <w:p w14:paraId="002F4883" w14:textId="77777777" w:rsidR="00EF5B27" w:rsidRDefault="00000000">
      <w:pPr>
        <w:pStyle w:val="BodyText"/>
        <w:spacing w:before="118" w:line="254" w:lineRule="auto"/>
        <w:ind w:left="2608" w:right="126"/>
      </w:pPr>
      <w:r>
        <w:rPr>
          <w:color w:val="4D4D4F"/>
        </w:rPr>
        <w:t xml:space="preserve">New plots being added over time could be </w:t>
      </w:r>
      <w:r>
        <w:rPr>
          <w:color w:val="4D4D4F"/>
          <w:spacing w:val="-3"/>
        </w:rPr>
        <w:t xml:space="preserve">explaining </w:t>
      </w:r>
      <w:r>
        <w:rPr>
          <w:color w:val="4D4D4F"/>
        </w:rPr>
        <w:t xml:space="preserve">some of the variation. </w:t>
      </w:r>
      <w:r>
        <w:rPr>
          <w:color w:val="4D4D4F"/>
          <w:spacing w:val="-2"/>
        </w:rPr>
        <w:t xml:space="preserve">Acquisitions </w:t>
      </w:r>
      <w:r>
        <w:rPr>
          <w:color w:val="4D4D4F"/>
        </w:rPr>
        <w:t xml:space="preserve">have been slow and </w:t>
      </w:r>
      <w:r>
        <w:rPr>
          <w:color w:val="4D4D4F"/>
          <w:spacing w:val="-3"/>
        </w:rPr>
        <w:t xml:space="preserve">limited </w:t>
      </w:r>
      <w:r>
        <w:rPr>
          <w:color w:val="4D4D4F"/>
        </w:rPr>
        <w:t xml:space="preserve">the data, causing large fluctuations over time. As the five- year rolling mean is </w:t>
      </w:r>
      <w:r>
        <w:rPr>
          <w:color w:val="4D4D4F"/>
          <w:spacing w:val="-3"/>
        </w:rPr>
        <w:t xml:space="preserve">technically </w:t>
      </w:r>
      <w:r>
        <w:rPr>
          <w:color w:val="4D4D4F"/>
        </w:rPr>
        <w:t>not independent from the baseline, therefore there is  no way of calculating error bars with annual data. Therefore what is presented is, in fact, the error around the five-year</w:t>
      </w:r>
      <w:r>
        <w:rPr>
          <w:color w:val="4D4D4F"/>
          <w:spacing w:val="9"/>
        </w:rPr>
        <w:t xml:space="preserve"> </w:t>
      </w:r>
      <w:r>
        <w:rPr>
          <w:color w:val="4D4D4F"/>
        </w:rPr>
        <w:t>mean.</w:t>
      </w:r>
    </w:p>
    <w:p w14:paraId="30FD89A8" w14:textId="77777777" w:rsidR="00EF5B27" w:rsidRDefault="00000000">
      <w:pPr>
        <w:pStyle w:val="BodyText"/>
        <w:spacing w:before="120" w:line="254" w:lineRule="auto"/>
        <w:ind w:left="2608" w:right="218"/>
        <w:jc w:val="both"/>
      </w:pPr>
      <w:r>
        <w:rPr>
          <w:color w:val="4D4D4F"/>
        </w:rPr>
        <w:t>It has been difficult for DELWP to implement appropriate management responses for this species.</w:t>
      </w:r>
      <w:r>
        <w:rPr>
          <w:color w:val="4D4D4F"/>
          <w:position w:val="7"/>
          <w:sz w:val="11"/>
        </w:rPr>
        <w:t xml:space="preserve">184 </w:t>
      </w:r>
      <w:r>
        <w:rPr>
          <w:color w:val="4D4D4F"/>
        </w:rPr>
        <w:t>DELWP has only had access to parcels on the public land estate where there is limited data for the Golden Sun Moth, with monitoring only commencing</w:t>
      </w:r>
    </w:p>
    <w:p w14:paraId="0996B120" w14:textId="77777777" w:rsidR="00EF5B27" w:rsidRDefault="00000000">
      <w:pPr>
        <w:pStyle w:val="BodyText"/>
        <w:spacing w:before="3" w:line="254" w:lineRule="auto"/>
        <w:ind w:left="2608" w:right="308"/>
      </w:pPr>
      <w:r>
        <w:rPr>
          <w:color w:val="4D4D4F"/>
        </w:rPr>
        <w:t>in an area when land becomes available to manage under the MSA program.</w:t>
      </w:r>
      <w:r>
        <w:rPr>
          <w:color w:val="4D4D4F"/>
          <w:position w:val="7"/>
          <w:sz w:val="11"/>
        </w:rPr>
        <w:t xml:space="preserve">185 </w:t>
      </w:r>
      <w:r>
        <w:rPr>
          <w:color w:val="4D4D4F"/>
        </w:rPr>
        <w:t>Nevertheless, the Golden Sun Moth is assumed to be quite widespread and common in non-MSA areas where it is known to occur.</w:t>
      </w:r>
    </w:p>
    <w:p w14:paraId="7515D83C" w14:textId="77777777" w:rsidR="00EF5B27" w:rsidRDefault="00EF5B27">
      <w:pPr>
        <w:pStyle w:val="BodyText"/>
      </w:pPr>
    </w:p>
    <w:p w14:paraId="62157E2A" w14:textId="77777777" w:rsidR="00EF5B27" w:rsidRDefault="00EF5B27">
      <w:pPr>
        <w:pStyle w:val="BodyText"/>
      </w:pPr>
    </w:p>
    <w:p w14:paraId="6D960193" w14:textId="77777777" w:rsidR="00EF5B27" w:rsidRDefault="00EF5B27">
      <w:pPr>
        <w:pStyle w:val="BodyText"/>
      </w:pPr>
    </w:p>
    <w:p w14:paraId="2EC748F5" w14:textId="77777777" w:rsidR="00EF5B27" w:rsidRDefault="00EF5B27">
      <w:pPr>
        <w:pStyle w:val="BodyText"/>
      </w:pPr>
    </w:p>
    <w:p w14:paraId="2E46AFDA" w14:textId="77777777" w:rsidR="00EF5B27" w:rsidRDefault="00EF5B27">
      <w:pPr>
        <w:pStyle w:val="BodyText"/>
      </w:pPr>
    </w:p>
    <w:p w14:paraId="68D517A8" w14:textId="77777777" w:rsidR="00EF5B27" w:rsidRDefault="00EF5B27">
      <w:pPr>
        <w:pStyle w:val="BodyText"/>
      </w:pPr>
    </w:p>
    <w:p w14:paraId="51F98396" w14:textId="77777777" w:rsidR="00EF5B27" w:rsidRDefault="00EF5B27">
      <w:pPr>
        <w:pStyle w:val="BodyText"/>
      </w:pPr>
    </w:p>
    <w:p w14:paraId="6C39FF7C" w14:textId="77777777" w:rsidR="00EF5B27" w:rsidRDefault="00EF5B27">
      <w:pPr>
        <w:pStyle w:val="BodyText"/>
      </w:pPr>
    </w:p>
    <w:p w14:paraId="080B2AC4" w14:textId="77777777" w:rsidR="00EF5B27" w:rsidRDefault="00EF5B27">
      <w:pPr>
        <w:pStyle w:val="BodyText"/>
      </w:pPr>
    </w:p>
    <w:p w14:paraId="2F745847" w14:textId="77777777" w:rsidR="00EF5B27" w:rsidRDefault="00EF5B27">
      <w:pPr>
        <w:pStyle w:val="BodyText"/>
      </w:pPr>
    </w:p>
    <w:p w14:paraId="1D6B62AD" w14:textId="77777777" w:rsidR="00EF5B27" w:rsidRDefault="00EF5B27">
      <w:pPr>
        <w:pStyle w:val="BodyText"/>
      </w:pPr>
    </w:p>
    <w:p w14:paraId="3BB55A3E" w14:textId="77777777" w:rsidR="00EF5B27" w:rsidRDefault="00EF5B27">
      <w:pPr>
        <w:pStyle w:val="BodyText"/>
      </w:pPr>
    </w:p>
    <w:p w14:paraId="3753DCBB" w14:textId="77777777" w:rsidR="00EF5B27" w:rsidRDefault="00EF5B27">
      <w:pPr>
        <w:pStyle w:val="BodyText"/>
      </w:pPr>
    </w:p>
    <w:p w14:paraId="2747D477" w14:textId="77777777" w:rsidR="00EF5B27" w:rsidRDefault="00EF5B27">
      <w:pPr>
        <w:pStyle w:val="BodyText"/>
      </w:pPr>
    </w:p>
    <w:p w14:paraId="09AEAD9A" w14:textId="77777777" w:rsidR="00EF5B27" w:rsidRDefault="00EF5B27">
      <w:pPr>
        <w:pStyle w:val="BodyText"/>
      </w:pPr>
    </w:p>
    <w:p w14:paraId="0D46B4A8" w14:textId="77777777" w:rsidR="00EF5B27" w:rsidRDefault="00EF5B27">
      <w:pPr>
        <w:pStyle w:val="BodyText"/>
      </w:pPr>
    </w:p>
    <w:p w14:paraId="6C8D3DFC" w14:textId="77777777" w:rsidR="00EF5B27" w:rsidRDefault="00EF5B27">
      <w:pPr>
        <w:pStyle w:val="BodyText"/>
      </w:pPr>
    </w:p>
    <w:p w14:paraId="018FEC27" w14:textId="77777777" w:rsidR="00EF5B27" w:rsidRDefault="00EF5B27">
      <w:pPr>
        <w:pStyle w:val="BodyText"/>
      </w:pPr>
    </w:p>
    <w:p w14:paraId="09635489" w14:textId="77777777" w:rsidR="00EF5B27" w:rsidRDefault="00EF5B27">
      <w:pPr>
        <w:pStyle w:val="BodyText"/>
      </w:pPr>
    </w:p>
    <w:p w14:paraId="42AEC05F" w14:textId="77777777" w:rsidR="00EF5B27" w:rsidRDefault="00000000">
      <w:pPr>
        <w:pStyle w:val="BodyText"/>
        <w:spacing w:before="5"/>
        <w:rPr>
          <w:sz w:val="14"/>
        </w:rPr>
      </w:pPr>
      <w:r>
        <w:pict w14:anchorId="67D4ECED">
          <v:line id="_x0000_s3113" style="position:absolute;z-index:251581952;mso-wrap-distance-left:0;mso-wrap-distance-right:0;mso-position-horizontal-relative:page" from="181.4pt,11pt" to="538.6pt,11pt" strokecolor="#4d4d4f" strokeweight=".5pt">
            <w10:wrap type="topAndBottom" anchorx="page"/>
          </v:line>
        </w:pict>
      </w:r>
    </w:p>
    <w:p w14:paraId="4516CF1F" w14:textId="77777777" w:rsidR="00EF5B27" w:rsidRDefault="00000000">
      <w:pPr>
        <w:pStyle w:val="ListParagraph"/>
        <w:numPr>
          <w:ilvl w:val="0"/>
          <w:numId w:val="31"/>
        </w:numPr>
        <w:tabs>
          <w:tab w:val="left" w:pos="2836"/>
        </w:tabs>
        <w:spacing w:before="83" w:line="143" w:lineRule="exact"/>
        <w:rPr>
          <w:sz w:val="12"/>
        </w:rPr>
      </w:pPr>
      <w:r>
        <w:rPr>
          <w:color w:val="4D4D4F"/>
          <w:sz w:val="12"/>
        </w:rPr>
        <w:t>Regan</w:t>
      </w:r>
      <w:r>
        <w:rPr>
          <w:color w:val="4D4D4F"/>
          <w:spacing w:val="5"/>
          <w:sz w:val="12"/>
        </w:rPr>
        <w:t xml:space="preserve"> </w:t>
      </w:r>
      <w:r>
        <w:rPr>
          <w:color w:val="4D4D4F"/>
          <w:spacing w:val="-3"/>
          <w:sz w:val="12"/>
        </w:rPr>
        <w:t>T.</w:t>
      </w:r>
      <w:r>
        <w:rPr>
          <w:color w:val="4D4D4F"/>
          <w:spacing w:val="6"/>
          <w:sz w:val="12"/>
        </w:rPr>
        <w:t xml:space="preserve"> </w:t>
      </w:r>
      <w:r>
        <w:rPr>
          <w:color w:val="4D4D4F"/>
          <w:sz w:val="12"/>
        </w:rPr>
        <w:t>et</w:t>
      </w:r>
      <w:r>
        <w:rPr>
          <w:color w:val="4D4D4F"/>
          <w:spacing w:val="5"/>
          <w:sz w:val="12"/>
        </w:rPr>
        <w:t xml:space="preserve"> </w:t>
      </w:r>
      <w:r>
        <w:rPr>
          <w:color w:val="4D4D4F"/>
          <w:sz w:val="12"/>
        </w:rPr>
        <w:t>al.,</w:t>
      </w:r>
      <w:r>
        <w:rPr>
          <w:color w:val="4D4D4F"/>
          <w:spacing w:val="6"/>
          <w:sz w:val="12"/>
        </w:rPr>
        <w:t xml:space="preserve"> </w:t>
      </w:r>
      <w:r>
        <w:rPr>
          <w:color w:val="4D4D4F"/>
          <w:spacing w:val="2"/>
          <w:sz w:val="12"/>
        </w:rPr>
        <w:t>Arthur</w:t>
      </w:r>
      <w:r>
        <w:rPr>
          <w:color w:val="4D4D4F"/>
          <w:spacing w:val="6"/>
          <w:sz w:val="12"/>
        </w:rPr>
        <w:t xml:space="preserve"> </w:t>
      </w:r>
      <w:r>
        <w:rPr>
          <w:color w:val="4D4D4F"/>
          <w:spacing w:val="2"/>
          <w:sz w:val="12"/>
        </w:rPr>
        <w:t>Rylah</w:t>
      </w:r>
      <w:r>
        <w:rPr>
          <w:color w:val="4D4D4F"/>
          <w:spacing w:val="5"/>
          <w:sz w:val="12"/>
        </w:rPr>
        <w:t xml:space="preserve"> </w:t>
      </w:r>
      <w:r>
        <w:rPr>
          <w:color w:val="4D4D4F"/>
          <w:sz w:val="12"/>
        </w:rPr>
        <w:t>Institute</w:t>
      </w:r>
      <w:r>
        <w:rPr>
          <w:color w:val="4D4D4F"/>
          <w:spacing w:val="6"/>
          <w:sz w:val="12"/>
        </w:rPr>
        <w:t xml:space="preserve"> </w:t>
      </w:r>
      <w:r>
        <w:rPr>
          <w:color w:val="4D4D4F"/>
          <w:sz w:val="12"/>
        </w:rPr>
        <w:t>2012,</w:t>
      </w:r>
      <w:r>
        <w:rPr>
          <w:color w:val="4D4D4F"/>
          <w:spacing w:val="5"/>
          <w:sz w:val="12"/>
        </w:rPr>
        <w:t xml:space="preserve"> </w:t>
      </w:r>
      <w:r>
        <w:rPr>
          <w:color w:val="4D4D4F"/>
          <w:sz w:val="12"/>
        </w:rPr>
        <w:t>‘Melbourne</w:t>
      </w:r>
      <w:r>
        <w:rPr>
          <w:color w:val="4D4D4F"/>
          <w:spacing w:val="6"/>
          <w:sz w:val="12"/>
        </w:rPr>
        <w:t xml:space="preserve"> </w:t>
      </w:r>
      <w:r>
        <w:rPr>
          <w:color w:val="4D4D4F"/>
          <w:sz w:val="12"/>
        </w:rPr>
        <w:t>Strategic</w:t>
      </w:r>
      <w:r>
        <w:rPr>
          <w:color w:val="4D4D4F"/>
          <w:spacing w:val="6"/>
          <w:sz w:val="12"/>
        </w:rPr>
        <w:t xml:space="preserve"> </w:t>
      </w:r>
      <w:r>
        <w:rPr>
          <w:color w:val="4D4D4F"/>
          <w:sz w:val="12"/>
        </w:rPr>
        <w:t>Assessment:</w:t>
      </w:r>
      <w:r>
        <w:rPr>
          <w:color w:val="4D4D4F"/>
          <w:spacing w:val="5"/>
          <w:sz w:val="12"/>
        </w:rPr>
        <w:t xml:space="preserve"> </w:t>
      </w:r>
      <w:r>
        <w:rPr>
          <w:color w:val="4D4D4F"/>
          <w:sz w:val="12"/>
        </w:rPr>
        <w:t>Population</w:t>
      </w:r>
      <w:r>
        <w:rPr>
          <w:color w:val="4D4D4F"/>
          <w:spacing w:val="6"/>
          <w:sz w:val="12"/>
        </w:rPr>
        <w:t xml:space="preserve"> </w:t>
      </w:r>
      <w:r>
        <w:rPr>
          <w:color w:val="4D4D4F"/>
          <w:sz w:val="12"/>
        </w:rPr>
        <w:t>Viability</w:t>
      </w:r>
      <w:r>
        <w:rPr>
          <w:color w:val="4D4D4F"/>
          <w:spacing w:val="5"/>
          <w:sz w:val="12"/>
        </w:rPr>
        <w:t xml:space="preserve"> </w:t>
      </w:r>
      <w:r>
        <w:rPr>
          <w:color w:val="4D4D4F"/>
          <w:sz w:val="12"/>
        </w:rPr>
        <w:t>Analysis</w:t>
      </w:r>
      <w:r>
        <w:rPr>
          <w:color w:val="4D4D4F"/>
          <w:spacing w:val="6"/>
          <w:sz w:val="12"/>
        </w:rPr>
        <w:t xml:space="preserve"> </w:t>
      </w:r>
      <w:r>
        <w:rPr>
          <w:color w:val="4D4D4F"/>
          <w:sz w:val="12"/>
        </w:rPr>
        <w:t>model</w:t>
      </w:r>
      <w:r>
        <w:rPr>
          <w:color w:val="4D4D4F"/>
          <w:spacing w:val="6"/>
          <w:sz w:val="12"/>
        </w:rPr>
        <w:t xml:space="preserve"> </w:t>
      </w:r>
      <w:r>
        <w:rPr>
          <w:color w:val="4D4D4F"/>
          <w:sz w:val="12"/>
        </w:rPr>
        <w:t>for</w:t>
      </w:r>
      <w:r>
        <w:rPr>
          <w:color w:val="4D4D4F"/>
          <w:spacing w:val="5"/>
          <w:sz w:val="12"/>
        </w:rPr>
        <w:t xml:space="preserve"> </w:t>
      </w:r>
      <w:r>
        <w:rPr>
          <w:color w:val="4D4D4F"/>
          <w:sz w:val="12"/>
        </w:rPr>
        <w:t>threatened</w:t>
      </w:r>
      <w:r>
        <w:rPr>
          <w:color w:val="4D4D4F"/>
          <w:spacing w:val="6"/>
          <w:sz w:val="12"/>
        </w:rPr>
        <w:t xml:space="preserve"> </w:t>
      </w:r>
      <w:r>
        <w:rPr>
          <w:color w:val="4D4D4F"/>
          <w:sz w:val="12"/>
        </w:rPr>
        <w:t>species’</w:t>
      </w:r>
    </w:p>
    <w:p w14:paraId="1714A8E3" w14:textId="77777777" w:rsidR="00EF5B27" w:rsidRDefault="00000000">
      <w:pPr>
        <w:pStyle w:val="ListParagraph"/>
        <w:numPr>
          <w:ilvl w:val="0"/>
          <w:numId w:val="31"/>
        </w:numPr>
        <w:tabs>
          <w:tab w:val="left" w:pos="2836"/>
        </w:tabs>
        <w:spacing w:before="2" w:line="230" w:lineRule="auto"/>
        <w:ind w:right="111"/>
        <w:rPr>
          <w:sz w:val="12"/>
        </w:rPr>
      </w:pPr>
      <w:r>
        <w:rPr>
          <w:color w:val="4D4D4F"/>
          <w:spacing w:val="2"/>
          <w:sz w:val="12"/>
        </w:rPr>
        <w:t xml:space="preserve">Brown, </w:t>
      </w:r>
      <w:r>
        <w:rPr>
          <w:color w:val="4D4D4F"/>
          <w:sz w:val="12"/>
        </w:rPr>
        <w:t xml:space="preserve">G., Tolsma, </w:t>
      </w:r>
      <w:r>
        <w:rPr>
          <w:color w:val="4D4D4F"/>
          <w:spacing w:val="2"/>
          <w:sz w:val="12"/>
        </w:rPr>
        <w:t xml:space="preserve">A. </w:t>
      </w:r>
      <w:r>
        <w:rPr>
          <w:color w:val="4D4D4F"/>
          <w:sz w:val="12"/>
        </w:rPr>
        <w:t xml:space="preserve">and McNabb, E., 2012. Ecological </w:t>
      </w:r>
      <w:r>
        <w:rPr>
          <w:color w:val="4D4D4F"/>
          <w:spacing w:val="2"/>
          <w:sz w:val="12"/>
        </w:rPr>
        <w:t xml:space="preserve">aspects </w:t>
      </w:r>
      <w:r>
        <w:rPr>
          <w:color w:val="4D4D4F"/>
          <w:sz w:val="12"/>
        </w:rPr>
        <w:t xml:space="preserve">of new populations of the threatened Golden sun moth 'Synemon plana'     on the Victorian Volcanic plains. </w:t>
      </w:r>
      <w:r>
        <w:rPr>
          <w:color w:val="4D4D4F"/>
          <w:spacing w:val="2"/>
          <w:sz w:val="12"/>
        </w:rPr>
        <w:t xml:space="preserve">The </w:t>
      </w:r>
      <w:r>
        <w:rPr>
          <w:color w:val="4D4D4F"/>
          <w:sz w:val="12"/>
        </w:rPr>
        <w:t>Victorian Naturalist, 129(3),</w:t>
      </w:r>
      <w:r>
        <w:rPr>
          <w:color w:val="4D4D4F"/>
          <w:spacing w:val="20"/>
          <w:sz w:val="12"/>
        </w:rPr>
        <w:t xml:space="preserve"> </w:t>
      </w:r>
      <w:r>
        <w:rPr>
          <w:color w:val="4D4D4F"/>
          <w:sz w:val="12"/>
        </w:rPr>
        <w:t>pp.77-85.</w:t>
      </w:r>
    </w:p>
    <w:p w14:paraId="0E9FD107" w14:textId="77777777" w:rsidR="00EF5B27" w:rsidRDefault="00000000">
      <w:pPr>
        <w:pStyle w:val="ListParagraph"/>
        <w:numPr>
          <w:ilvl w:val="0"/>
          <w:numId w:val="31"/>
        </w:numPr>
        <w:tabs>
          <w:tab w:val="left" w:pos="2836"/>
        </w:tabs>
        <w:spacing w:line="138" w:lineRule="exac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2422B4BD" w14:textId="77777777" w:rsidR="00EF5B27" w:rsidRDefault="00000000">
      <w:pPr>
        <w:pStyle w:val="ListParagraph"/>
        <w:numPr>
          <w:ilvl w:val="0"/>
          <w:numId w:val="31"/>
        </w:numPr>
        <w:tabs>
          <w:tab w:val="left" w:pos="2836"/>
        </w:tabs>
        <w:spacing w:line="140" w:lineRule="exac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627C7D2A" w14:textId="77777777" w:rsidR="00EF5B27" w:rsidRDefault="00000000">
      <w:pPr>
        <w:pStyle w:val="ListParagraph"/>
        <w:numPr>
          <w:ilvl w:val="0"/>
          <w:numId w:val="31"/>
        </w:numPr>
        <w:tabs>
          <w:tab w:val="left" w:pos="2836"/>
        </w:tabs>
        <w:spacing w:line="143" w:lineRule="exac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5CDAB189"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4CD9C995" w14:textId="77777777" w:rsidR="00EF5B27" w:rsidRDefault="00000000">
      <w:pPr>
        <w:pStyle w:val="BodyText"/>
      </w:pPr>
      <w:r>
        <w:lastRenderedPageBreak/>
        <w:pict w14:anchorId="6E92361B">
          <v:group id="_x0000_s3105" style="position:absolute;margin-left:587.05pt;margin-top:183.4pt;width:8.25pt;height:153.1pt;z-index:251636224;mso-position-horizontal-relative:page;mso-position-vertical-relative:page" coordorigin="11741,3668" coordsize="165,3062">
            <v:shape id="_x0000_s3112" style="position:absolute;left:11741;top:3668;width:165;height:561" coordorigin="11741,3668" coordsize="165,561" path="m11906,3668r-165,l11741,4228r165,-18l11906,3668xe" fillcolor="#00aed9" stroked="f">
              <v:path arrowok="t"/>
            </v:shape>
            <v:shape id="_x0000_s3111" style="position:absolute;left:11741;top:4118;width:165;height:425" coordorigin="11741,4118" coordsize="165,425" path="m11906,4118r-165,14l11741,4531r165,12l11906,4118xe" fillcolor="#047ebc" stroked="f">
              <v:path arrowok="t"/>
            </v:shape>
            <v:shape id="_x0000_s3110" type="#_x0000_t75" style="position:absolute;left:11741;top:4355;width:165;height:587">
              <v:imagedata r:id="rId42" o:title=""/>
            </v:shape>
            <v:shape id="_x0000_s3109" style="position:absolute;left:11741;top:5343;width:165;height:536" coordorigin="11741,5343" coordsize="165,536" path="m11741,5343r,535l11906,5872r,-525l11741,5343xe" fillcolor="#f36a2e" stroked="f">
              <v:path arrowok="t"/>
            </v:shape>
            <v:shape id="_x0000_s3108" style="position:absolute;left:11741;top:4925;width:165;height:501" coordorigin="11741,4926" coordsize="165,501" path="m11741,4926r,500l11906,5426r,-485l11741,4926xe" fillcolor="#49783f" stroked="f">
              <v:path arrowok="t"/>
            </v:shape>
            <v:shape id="_x0000_s3107" style="position:absolute;left:11741;top:5781;width:165;height:268" coordorigin="11741,5782" coordsize="165,268" path="m11906,5782r-165,8l11741,6039r165,10l11906,5782xe" fillcolor="#f99f2a" stroked="f">
              <v:path arrowok="t"/>
            </v:shape>
            <v:shape id="_x0000_s3106" style="position:absolute;left:11741;top:6023;width:165;height:707" coordorigin="11741,6023" coordsize="165,707" path="m11741,6023r,706l11906,6729r,-690l11741,6023xe" fillcolor="#ef412c" stroked="f">
              <v:path arrowok="t"/>
            </v:shape>
            <w10:wrap anchorx="page" anchory="page"/>
          </v:group>
        </w:pict>
      </w:r>
    </w:p>
    <w:p w14:paraId="5A1739C9" w14:textId="77777777" w:rsidR="00EF5B27" w:rsidRDefault="00EF5B27">
      <w:pPr>
        <w:pStyle w:val="BodyText"/>
      </w:pPr>
    </w:p>
    <w:p w14:paraId="4810B9FF" w14:textId="77777777" w:rsidR="00EF5B27" w:rsidRDefault="00EF5B27">
      <w:pPr>
        <w:pStyle w:val="BodyText"/>
      </w:pPr>
    </w:p>
    <w:p w14:paraId="44BC4DA5" w14:textId="77777777" w:rsidR="00EF5B27" w:rsidRDefault="00EF5B27">
      <w:pPr>
        <w:pStyle w:val="BodyText"/>
        <w:spacing w:before="8"/>
      </w:pPr>
    </w:p>
    <w:p w14:paraId="06FB7CE6" w14:textId="77777777" w:rsidR="00EF5B27" w:rsidRDefault="00000000">
      <w:pPr>
        <w:pStyle w:val="Heading2"/>
      </w:pPr>
      <w:bookmarkStart w:id="70" w:name="_bookmark48"/>
      <w:bookmarkEnd w:id="70"/>
      <w:r>
        <w:rPr>
          <w:color w:val="F99F2A"/>
          <w:w w:val="105"/>
        </w:rPr>
        <w:t>MNES 5: Matted Flax-lily</w:t>
      </w:r>
    </w:p>
    <w:p w14:paraId="78F341BE" w14:textId="77777777" w:rsidR="00EF5B27" w:rsidRDefault="00EF5B27">
      <w:pPr>
        <w:pStyle w:val="BodyText"/>
        <w:spacing w:before="5"/>
        <w:rPr>
          <w:b/>
          <w:sz w:val="76"/>
        </w:rPr>
      </w:pPr>
    </w:p>
    <w:p w14:paraId="272E0D16" w14:textId="77777777" w:rsidR="00EF5B27" w:rsidRDefault="00000000">
      <w:pPr>
        <w:pStyle w:val="Heading3"/>
      </w:pPr>
      <w:r>
        <w:rPr>
          <w:color w:val="F99F2A"/>
        </w:rPr>
        <w:t>Background</w:t>
      </w:r>
    </w:p>
    <w:p w14:paraId="2CB8D099" w14:textId="77777777" w:rsidR="00EF5B27" w:rsidRDefault="00000000">
      <w:pPr>
        <w:pStyle w:val="Heading6"/>
        <w:spacing w:before="221"/>
      </w:pPr>
      <w:r>
        <w:rPr>
          <w:color w:val="4D4D4F"/>
        </w:rPr>
        <w:t>Matted Flax-lily (Dianella amoena) is a perennial lily that forms mats often exceeding</w:t>
      </w:r>
    </w:p>
    <w:p w14:paraId="49273B9F" w14:textId="77777777" w:rsidR="00EF5B27" w:rsidRDefault="00000000">
      <w:pPr>
        <w:spacing w:before="16" w:line="254" w:lineRule="auto"/>
        <w:ind w:left="2608" w:right="113"/>
        <w:jc w:val="both"/>
        <w:rPr>
          <w:b/>
          <w:sz w:val="20"/>
        </w:rPr>
      </w:pPr>
      <w:r>
        <w:rPr>
          <w:b/>
          <w:color w:val="4D4D4F"/>
          <w:sz w:val="20"/>
        </w:rPr>
        <w:t xml:space="preserve">~5 m </w:t>
      </w:r>
      <w:r>
        <w:rPr>
          <w:b/>
          <w:color w:val="4D4D4F"/>
          <w:spacing w:val="-3"/>
          <w:sz w:val="20"/>
        </w:rPr>
        <w:t xml:space="preserve">in </w:t>
      </w:r>
      <w:r>
        <w:rPr>
          <w:b/>
          <w:color w:val="4D4D4F"/>
          <w:spacing w:val="-6"/>
          <w:sz w:val="20"/>
        </w:rPr>
        <w:t xml:space="preserve">diameter. </w:t>
      </w:r>
      <w:r>
        <w:rPr>
          <w:b/>
          <w:color w:val="4D4D4F"/>
          <w:spacing w:val="-3"/>
          <w:sz w:val="20"/>
        </w:rPr>
        <w:t xml:space="preserve">It </w:t>
      </w:r>
      <w:r>
        <w:rPr>
          <w:b/>
          <w:color w:val="4D4D4F"/>
          <w:spacing w:val="-4"/>
          <w:sz w:val="20"/>
        </w:rPr>
        <w:t xml:space="preserve">has </w:t>
      </w:r>
      <w:r>
        <w:rPr>
          <w:b/>
          <w:color w:val="4D4D4F"/>
          <w:spacing w:val="-5"/>
          <w:sz w:val="20"/>
        </w:rPr>
        <w:t xml:space="preserve">linear </w:t>
      </w:r>
      <w:r>
        <w:rPr>
          <w:b/>
          <w:color w:val="4D4D4F"/>
          <w:spacing w:val="-3"/>
          <w:sz w:val="20"/>
        </w:rPr>
        <w:t xml:space="preserve">grey-green </w:t>
      </w:r>
      <w:r>
        <w:rPr>
          <w:b/>
          <w:color w:val="4D4D4F"/>
          <w:spacing w:val="-5"/>
          <w:sz w:val="20"/>
        </w:rPr>
        <w:t xml:space="preserve">leaves </w:t>
      </w:r>
      <w:r>
        <w:rPr>
          <w:b/>
          <w:color w:val="4D4D4F"/>
          <w:spacing w:val="-3"/>
          <w:sz w:val="20"/>
        </w:rPr>
        <w:t xml:space="preserve">and produces </w:t>
      </w:r>
      <w:r>
        <w:rPr>
          <w:b/>
          <w:color w:val="4D4D4F"/>
          <w:spacing w:val="-4"/>
          <w:sz w:val="20"/>
        </w:rPr>
        <w:t xml:space="preserve">blue </w:t>
      </w:r>
      <w:r>
        <w:rPr>
          <w:b/>
          <w:color w:val="4D4D4F"/>
          <w:sz w:val="20"/>
        </w:rPr>
        <w:t xml:space="preserve">or </w:t>
      </w:r>
      <w:r>
        <w:rPr>
          <w:b/>
          <w:color w:val="4D4D4F"/>
          <w:spacing w:val="-4"/>
          <w:sz w:val="20"/>
        </w:rPr>
        <w:t xml:space="preserve">violet star-shaped flowers, </w:t>
      </w:r>
      <w:r>
        <w:rPr>
          <w:b/>
          <w:color w:val="4D4D4F"/>
          <w:spacing w:val="-5"/>
          <w:sz w:val="20"/>
        </w:rPr>
        <w:t xml:space="preserve">followed </w:t>
      </w:r>
      <w:r>
        <w:rPr>
          <w:b/>
          <w:color w:val="4D4D4F"/>
          <w:spacing w:val="-3"/>
          <w:sz w:val="20"/>
        </w:rPr>
        <w:t xml:space="preserve">by </w:t>
      </w:r>
      <w:r>
        <w:rPr>
          <w:b/>
          <w:color w:val="4D4D4F"/>
          <w:spacing w:val="-4"/>
          <w:sz w:val="20"/>
        </w:rPr>
        <w:t xml:space="preserve">purple </w:t>
      </w:r>
      <w:r>
        <w:rPr>
          <w:b/>
          <w:color w:val="4D4D4F"/>
          <w:spacing w:val="-5"/>
          <w:sz w:val="20"/>
        </w:rPr>
        <w:t>berries.</w:t>
      </w:r>
      <w:r>
        <w:rPr>
          <w:b/>
          <w:color w:val="4D4D4F"/>
          <w:spacing w:val="-5"/>
          <w:position w:val="7"/>
          <w:sz w:val="11"/>
        </w:rPr>
        <w:t xml:space="preserve">186 </w:t>
      </w:r>
      <w:r>
        <w:rPr>
          <w:b/>
          <w:color w:val="4D4D4F"/>
          <w:spacing w:val="-3"/>
          <w:sz w:val="20"/>
        </w:rPr>
        <w:t xml:space="preserve">It </w:t>
      </w:r>
      <w:r>
        <w:rPr>
          <w:b/>
          <w:color w:val="4D4D4F"/>
          <w:spacing w:val="-4"/>
          <w:sz w:val="20"/>
        </w:rPr>
        <w:t xml:space="preserve">retreats </w:t>
      </w:r>
      <w:r>
        <w:rPr>
          <w:b/>
          <w:color w:val="4D4D4F"/>
          <w:spacing w:val="-5"/>
          <w:sz w:val="20"/>
        </w:rPr>
        <w:t xml:space="preserve">underground during </w:t>
      </w:r>
      <w:r>
        <w:rPr>
          <w:b/>
          <w:color w:val="4D4D4F"/>
          <w:sz w:val="20"/>
        </w:rPr>
        <w:t xml:space="preserve">dry </w:t>
      </w:r>
      <w:r>
        <w:rPr>
          <w:b/>
          <w:color w:val="4D4D4F"/>
          <w:spacing w:val="-5"/>
          <w:sz w:val="20"/>
        </w:rPr>
        <w:t xml:space="preserve">periods, making </w:t>
      </w:r>
      <w:r>
        <w:rPr>
          <w:b/>
          <w:color w:val="4D4D4F"/>
          <w:sz w:val="20"/>
        </w:rPr>
        <w:t>detection</w:t>
      </w:r>
      <w:r>
        <w:rPr>
          <w:b/>
          <w:color w:val="4D4D4F"/>
          <w:spacing w:val="-7"/>
          <w:sz w:val="20"/>
        </w:rPr>
        <w:t xml:space="preserve"> </w:t>
      </w:r>
      <w:r>
        <w:rPr>
          <w:b/>
          <w:color w:val="4D4D4F"/>
          <w:sz w:val="20"/>
        </w:rPr>
        <w:t>problematic.</w:t>
      </w:r>
      <w:r>
        <w:rPr>
          <w:b/>
          <w:color w:val="4D4D4F"/>
          <w:spacing w:val="-7"/>
          <w:sz w:val="20"/>
        </w:rPr>
        <w:t xml:space="preserve"> </w:t>
      </w:r>
      <w:r>
        <w:rPr>
          <w:b/>
          <w:color w:val="4D4D4F"/>
          <w:sz w:val="20"/>
        </w:rPr>
        <w:t>Matted</w:t>
      </w:r>
      <w:r>
        <w:rPr>
          <w:b/>
          <w:color w:val="4D4D4F"/>
          <w:spacing w:val="-7"/>
          <w:sz w:val="20"/>
        </w:rPr>
        <w:t xml:space="preserve"> </w:t>
      </w:r>
      <w:r>
        <w:rPr>
          <w:b/>
          <w:color w:val="4D4D4F"/>
          <w:spacing w:val="-3"/>
          <w:sz w:val="20"/>
        </w:rPr>
        <w:t>Flax-lily</w:t>
      </w:r>
      <w:r>
        <w:rPr>
          <w:b/>
          <w:color w:val="4D4D4F"/>
          <w:spacing w:val="-7"/>
          <w:sz w:val="20"/>
        </w:rPr>
        <w:t xml:space="preserve"> </w:t>
      </w:r>
      <w:r>
        <w:rPr>
          <w:b/>
          <w:color w:val="4D4D4F"/>
          <w:sz w:val="20"/>
        </w:rPr>
        <w:t>is</w:t>
      </w:r>
      <w:r>
        <w:rPr>
          <w:b/>
          <w:color w:val="4D4D4F"/>
          <w:spacing w:val="-6"/>
          <w:sz w:val="20"/>
        </w:rPr>
        <w:t xml:space="preserve"> </w:t>
      </w:r>
      <w:r>
        <w:rPr>
          <w:b/>
          <w:color w:val="4D4D4F"/>
          <w:sz w:val="20"/>
        </w:rPr>
        <w:t>scattered</w:t>
      </w:r>
      <w:r>
        <w:rPr>
          <w:b/>
          <w:color w:val="4D4D4F"/>
          <w:spacing w:val="-7"/>
          <w:sz w:val="20"/>
        </w:rPr>
        <w:t xml:space="preserve"> </w:t>
      </w:r>
      <w:r>
        <w:rPr>
          <w:b/>
          <w:color w:val="4D4D4F"/>
          <w:sz w:val="20"/>
        </w:rPr>
        <w:t>across</w:t>
      </w:r>
      <w:r>
        <w:rPr>
          <w:b/>
          <w:color w:val="4D4D4F"/>
          <w:spacing w:val="-7"/>
          <w:sz w:val="20"/>
        </w:rPr>
        <w:t xml:space="preserve"> </w:t>
      </w:r>
      <w:r>
        <w:rPr>
          <w:b/>
          <w:color w:val="4D4D4F"/>
          <w:sz w:val="20"/>
        </w:rPr>
        <w:t>Victoria,</w:t>
      </w:r>
      <w:r>
        <w:rPr>
          <w:b/>
          <w:color w:val="4D4D4F"/>
          <w:spacing w:val="-7"/>
          <w:sz w:val="20"/>
        </w:rPr>
        <w:t xml:space="preserve"> </w:t>
      </w:r>
      <w:r>
        <w:rPr>
          <w:b/>
          <w:color w:val="4D4D4F"/>
          <w:sz w:val="20"/>
        </w:rPr>
        <w:t>with</w:t>
      </w:r>
      <w:r>
        <w:rPr>
          <w:b/>
          <w:color w:val="4D4D4F"/>
          <w:spacing w:val="-6"/>
          <w:sz w:val="20"/>
        </w:rPr>
        <w:t xml:space="preserve"> </w:t>
      </w:r>
      <w:r>
        <w:rPr>
          <w:b/>
          <w:color w:val="4D4D4F"/>
          <w:sz w:val="20"/>
        </w:rPr>
        <w:t>a</w:t>
      </w:r>
      <w:r>
        <w:rPr>
          <w:b/>
          <w:color w:val="4D4D4F"/>
          <w:spacing w:val="-7"/>
          <w:sz w:val="20"/>
        </w:rPr>
        <w:t xml:space="preserve"> </w:t>
      </w:r>
      <w:r>
        <w:rPr>
          <w:b/>
          <w:color w:val="4D4D4F"/>
          <w:sz w:val="20"/>
        </w:rPr>
        <w:t>few</w:t>
      </w:r>
      <w:r>
        <w:rPr>
          <w:b/>
          <w:color w:val="4D4D4F"/>
          <w:spacing w:val="-7"/>
          <w:sz w:val="20"/>
        </w:rPr>
        <w:t xml:space="preserve"> </w:t>
      </w:r>
      <w:r>
        <w:rPr>
          <w:b/>
          <w:color w:val="4D4D4F"/>
          <w:sz w:val="20"/>
        </w:rPr>
        <w:t>recently discovered populations in the Canberra</w:t>
      </w:r>
      <w:r>
        <w:rPr>
          <w:b/>
          <w:color w:val="4D4D4F"/>
          <w:spacing w:val="21"/>
          <w:sz w:val="20"/>
        </w:rPr>
        <w:t xml:space="preserve"> </w:t>
      </w:r>
      <w:r>
        <w:rPr>
          <w:b/>
          <w:color w:val="4D4D4F"/>
          <w:sz w:val="20"/>
        </w:rPr>
        <w:t>region.</w:t>
      </w:r>
    </w:p>
    <w:p w14:paraId="01272BE4" w14:textId="77777777" w:rsidR="00EF5B27" w:rsidRDefault="00000000">
      <w:pPr>
        <w:pStyle w:val="BodyText"/>
        <w:spacing w:before="118"/>
        <w:ind w:left="2608"/>
        <w:jc w:val="both"/>
      </w:pPr>
      <w:r>
        <w:rPr>
          <w:color w:val="4D4D4F"/>
          <w:w w:val="105"/>
        </w:rPr>
        <w:t>EPBC listing status: Endangered</w:t>
      </w:r>
    </w:p>
    <w:p w14:paraId="56CB773C" w14:textId="77777777" w:rsidR="00EF5B27" w:rsidRDefault="00000000">
      <w:pPr>
        <w:pStyle w:val="BodyText"/>
        <w:spacing w:before="3"/>
      </w:pPr>
      <w:r>
        <w:rPr>
          <w:noProof/>
        </w:rPr>
        <w:drawing>
          <wp:anchor distT="0" distB="0" distL="0" distR="0" simplePos="0" relativeHeight="251295232" behindDoc="0" locked="0" layoutInCell="1" allowOverlap="1" wp14:anchorId="7A32AD3B" wp14:editId="052CA15B">
            <wp:simplePos x="0" y="0"/>
            <wp:positionH relativeFrom="page">
              <wp:posOffset>2304000</wp:posOffset>
            </wp:positionH>
            <wp:positionV relativeFrom="paragraph">
              <wp:posOffset>182193</wp:posOffset>
            </wp:positionV>
            <wp:extent cx="4535423" cy="2551176"/>
            <wp:effectExtent l="0" t="0" r="0" b="0"/>
            <wp:wrapTopAndBottom/>
            <wp:docPr id="469"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175.jpeg"/>
                    <pic:cNvPicPr/>
                  </pic:nvPicPr>
                  <pic:blipFill>
                    <a:blip r:embed="rId139" cstate="print"/>
                    <a:stretch>
                      <a:fillRect/>
                    </a:stretch>
                  </pic:blipFill>
                  <pic:spPr>
                    <a:xfrm>
                      <a:off x="0" y="0"/>
                      <a:ext cx="4535423" cy="2551176"/>
                    </a:xfrm>
                    <a:prstGeom prst="rect">
                      <a:avLst/>
                    </a:prstGeom>
                  </pic:spPr>
                </pic:pic>
              </a:graphicData>
            </a:graphic>
          </wp:anchor>
        </w:drawing>
      </w:r>
    </w:p>
    <w:p w14:paraId="56AA157C" w14:textId="77777777" w:rsidR="00EF5B27" w:rsidRDefault="00000000">
      <w:pPr>
        <w:tabs>
          <w:tab w:val="left" w:pos="8977"/>
        </w:tabs>
        <w:spacing w:before="113"/>
        <w:ind w:left="2608"/>
        <w:jc w:val="both"/>
        <w:rPr>
          <w:rFonts w:ascii="Century Gothic"/>
          <w:i/>
          <w:sz w:val="12"/>
        </w:rPr>
      </w:pPr>
      <w:r>
        <w:rPr>
          <w:color w:val="4D4D4F"/>
          <w:sz w:val="16"/>
        </w:rPr>
        <w:t xml:space="preserve">Figure </w:t>
      </w:r>
      <w:r>
        <w:rPr>
          <w:color w:val="4D4D4F"/>
          <w:spacing w:val="2"/>
          <w:sz w:val="16"/>
        </w:rPr>
        <w:t xml:space="preserve">22: </w:t>
      </w:r>
      <w:r>
        <w:rPr>
          <w:color w:val="4D4D4F"/>
          <w:sz w:val="16"/>
        </w:rPr>
        <w:t>A flowering</w:t>
      </w:r>
      <w:r>
        <w:rPr>
          <w:color w:val="4D4D4F"/>
          <w:spacing w:val="29"/>
          <w:sz w:val="16"/>
        </w:rPr>
        <w:t xml:space="preserve"> </w:t>
      </w:r>
      <w:r>
        <w:rPr>
          <w:color w:val="4D4D4F"/>
          <w:sz w:val="16"/>
        </w:rPr>
        <w:t>Matted</w:t>
      </w:r>
      <w:r>
        <w:rPr>
          <w:color w:val="4D4D4F"/>
          <w:spacing w:val="8"/>
          <w:sz w:val="16"/>
        </w:rPr>
        <w:t xml:space="preserve"> </w:t>
      </w:r>
      <w:r>
        <w:rPr>
          <w:color w:val="4D4D4F"/>
          <w:sz w:val="16"/>
        </w:rPr>
        <w:t>Flax-lily</w:t>
      </w:r>
      <w:r>
        <w:rPr>
          <w:color w:val="4D4D4F"/>
          <w:sz w:val="16"/>
        </w:rPr>
        <w:tab/>
      </w:r>
      <w:r>
        <w:rPr>
          <w:rFonts w:ascii="Century Gothic"/>
          <w:i/>
          <w:color w:val="4D4D4F"/>
          <w:spacing w:val="-1"/>
          <w:w w:val="90"/>
          <w:sz w:val="12"/>
        </w:rPr>
        <w:t>Source:</w:t>
      </w:r>
      <w:r>
        <w:rPr>
          <w:rFonts w:ascii="Century Gothic"/>
          <w:i/>
          <w:color w:val="4D4D4F"/>
          <w:spacing w:val="-3"/>
          <w:w w:val="90"/>
          <w:sz w:val="12"/>
        </w:rPr>
        <w:t xml:space="preserve"> </w:t>
      </w:r>
      <w:r>
        <w:rPr>
          <w:rFonts w:ascii="Century Gothic"/>
          <w:i/>
          <w:color w:val="4D4D4F"/>
          <w:w w:val="90"/>
          <w:sz w:val="12"/>
        </w:rPr>
        <w:t>DELWP</w:t>
      </w:r>
    </w:p>
    <w:p w14:paraId="56070F6F" w14:textId="77777777" w:rsidR="00EF5B27" w:rsidRDefault="00000000">
      <w:pPr>
        <w:pStyle w:val="BodyText"/>
        <w:spacing w:before="1"/>
        <w:rPr>
          <w:rFonts w:ascii="Century Gothic"/>
          <w:i/>
          <w:sz w:val="21"/>
        </w:rPr>
      </w:pPr>
      <w:r>
        <w:rPr>
          <w:noProof/>
        </w:rPr>
        <w:drawing>
          <wp:anchor distT="0" distB="0" distL="0" distR="0" simplePos="0" relativeHeight="251296256" behindDoc="0" locked="0" layoutInCell="1" allowOverlap="1" wp14:anchorId="1C36C959" wp14:editId="7CD71207">
            <wp:simplePos x="0" y="0"/>
            <wp:positionH relativeFrom="page">
              <wp:posOffset>2304000</wp:posOffset>
            </wp:positionH>
            <wp:positionV relativeFrom="paragraph">
              <wp:posOffset>188951</wp:posOffset>
            </wp:positionV>
            <wp:extent cx="4535423" cy="2551176"/>
            <wp:effectExtent l="0" t="0" r="0" b="0"/>
            <wp:wrapTopAndBottom/>
            <wp:docPr id="471"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176.png"/>
                    <pic:cNvPicPr/>
                  </pic:nvPicPr>
                  <pic:blipFill>
                    <a:blip r:embed="rId140" cstate="print"/>
                    <a:stretch>
                      <a:fillRect/>
                    </a:stretch>
                  </pic:blipFill>
                  <pic:spPr>
                    <a:xfrm>
                      <a:off x="0" y="0"/>
                      <a:ext cx="4535423" cy="2551176"/>
                    </a:xfrm>
                    <a:prstGeom prst="rect">
                      <a:avLst/>
                    </a:prstGeom>
                  </pic:spPr>
                </pic:pic>
              </a:graphicData>
            </a:graphic>
          </wp:anchor>
        </w:drawing>
      </w:r>
    </w:p>
    <w:p w14:paraId="67E809E9" w14:textId="77777777" w:rsidR="00EF5B27" w:rsidRDefault="00000000">
      <w:pPr>
        <w:tabs>
          <w:tab w:val="left" w:pos="8977"/>
        </w:tabs>
        <w:spacing w:before="113"/>
        <w:ind w:left="2608"/>
        <w:jc w:val="both"/>
        <w:rPr>
          <w:rFonts w:ascii="Century Gothic"/>
          <w:i/>
          <w:sz w:val="12"/>
        </w:rPr>
      </w:pPr>
      <w:r>
        <w:rPr>
          <w:color w:val="4D4D4F"/>
          <w:sz w:val="16"/>
        </w:rPr>
        <w:t xml:space="preserve">Figure 23: A clump of Matted </w:t>
      </w:r>
      <w:r>
        <w:rPr>
          <w:color w:val="4D4D4F"/>
          <w:spacing w:val="9"/>
          <w:sz w:val="16"/>
        </w:rPr>
        <w:t xml:space="preserve"> </w:t>
      </w:r>
      <w:r>
        <w:rPr>
          <w:color w:val="4D4D4F"/>
          <w:sz w:val="16"/>
        </w:rPr>
        <w:t>Flax-lily</w:t>
      </w:r>
      <w:r>
        <w:rPr>
          <w:color w:val="4D4D4F"/>
          <w:spacing w:val="8"/>
          <w:sz w:val="16"/>
        </w:rPr>
        <w:t xml:space="preserve"> </w:t>
      </w:r>
      <w:r>
        <w:rPr>
          <w:color w:val="4D4D4F"/>
          <w:sz w:val="16"/>
        </w:rPr>
        <w:t>(foreground)</w:t>
      </w:r>
      <w:r>
        <w:rPr>
          <w:color w:val="4D4D4F"/>
          <w:sz w:val="16"/>
        </w:rPr>
        <w:tab/>
      </w:r>
      <w:r>
        <w:rPr>
          <w:rFonts w:ascii="Century Gothic"/>
          <w:i/>
          <w:color w:val="4D4D4F"/>
          <w:spacing w:val="-1"/>
          <w:w w:val="90"/>
          <w:sz w:val="12"/>
        </w:rPr>
        <w:t>Source:</w:t>
      </w:r>
      <w:r>
        <w:rPr>
          <w:rFonts w:ascii="Century Gothic"/>
          <w:i/>
          <w:color w:val="4D4D4F"/>
          <w:spacing w:val="-4"/>
          <w:w w:val="90"/>
          <w:sz w:val="12"/>
        </w:rPr>
        <w:t xml:space="preserve"> </w:t>
      </w:r>
      <w:r>
        <w:rPr>
          <w:rFonts w:ascii="Century Gothic"/>
          <w:i/>
          <w:color w:val="4D4D4F"/>
          <w:w w:val="90"/>
          <w:sz w:val="12"/>
        </w:rPr>
        <w:t>DELWP</w:t>
      </w:r>
    </w:p>
    <w:p w14:paraId="4BD121C3" w14:textId="77777777" w:rsidR="00EF5B27" w:rsidRDefault="00000000">
      <w:pPr>
        <w:pStyle w:val="BodyText"/>
        <w:spacing w:before="10"/>
        <w:rPr>
          <w:rFonts w:ascii="Century Gothic"/>
          <w:i/>
          <w:sz w:val="12"/>
        </w:rPr>
      </w:pPr>
      <w:r>
        <w:pict w14:anchorId="61DB874F">
          <v:line id="_x0000_s3104" style="position:absolute;z-index:251584000;mso-wrap-distance-left:0;mso-wrap-distance-right:0;mso-position-horizontal-relative:page" from="181.4pt,10.1pt" to="538.55pt,10.1pt" strokecolor="#4d4d4f" strokeweight=".5pt">
            <w10:wrap type="topAndBottom" anchorx="page"/>
          </v:line>
        </w:pict>
      </w:r>
    </w:p>
    <w:p w14:paraId="310901D2" w14:textId="77777777" w:rsidR="00EF5B27" w:rsidRDefault="00000000">
      <w:pPr>
        <w:pStyle w:val="ListParagraph"/>
        <w:numPr>
          <w:ilvl w:val="0"/>
          <w:numId w:val="31"/>
        </w:numPr>
        <w:tabs>
          <w:tab w:val="left" w:pos="2836"/>
        </w:tabs>
        <w:spacing w:before="83"/>
        <w:rPr>
          <w:sz w:val="12"/>
        </w:rPr>
      </w:pPr>
      <w:r>
        <w:rPr>
          <w:color w:val="4D4D4F"/>
          <w:sz w:val="12"/>
        </w:rPr>
        <w:t>Carr</w:t>
      </w:r>
      <w:r>
        <w:rPr>
          <w:color w:val="4D4D4F"/>
          <w:spacing w:val="-10"/>
          <w:sz w:val="12"/>
        </w:rPr>
        <w:t xml:space="preserve"> </w:t>
      </w:r>
      <w:r>
        <w:rPr>
          <w:color w:val="4D4D4F"/>
          <w:sz w:val="12"/>
        </w:rPr>
        <w:t>GW</w:t>
      </w:r>
      <w:r>
        <w:rPr>
          <w:color w:val="4D4D4F"/>
          <w:spacing w:val="-9"/>
          <w:sz w:val="12"/>
        </w:rPr>
        <w:t xml:space="preserve"> </w:t>
      </w:r>
      <w:r>
        <w:rPr>
          <w:color w:val="4D4D4F"/>
          <w:sz w:val="12"/>
        </w:rPr>
        <w:t>and</w:t>
      </w:r>
      <w:r>
        <w:rPr>
          <w:color w:val="4D4D4F"/>
          <w:spacing w:val="-9"/>
          <w:sz w:val="12"/>
        </w:rPr>
        <w:t xml:space="preserve"> </w:t>
      </w:r>
      <w:r>
        <w:rPr>
          <w:color w:val="4D4D4F"/>
          <w:sz w:val="12"/>
        </w:rPr>
        <w:t>Horsfall</w:t>
      </w:r>
      <w:r>
        <w:rPr>
          <w:color w:val="4D4D4F"/>
          <w:spacing w:val="-9"/>
          <w:sz w:val="12"/>
        </w:rPr>
        <w:t xml:space="preserve"> </w:t>
      </w:r>
      <w:r>
        <w:rPr>
          <w:color w:val="4D4D4F"/>
          <w:sz w:val="12"/>
        </w:rPr>
        <w:t>PF</w:t>
      </w:r>
      <w:r>
        <w:rPr>
          <w:color w:val="4D4D4F"/>
          <w:spacing w:val="-9"/>
          <w:sz w:val="12"/>
        </w:rPr>
        <w:t xml:space="preserve"> </w:t>
      </w:r>
      <w:r>
        <w:rPr>
          <w:color w:val="4D4D4F"/>
          <w:sz w:val="12"/>
        </w:rPr>
        <w:t>1995,</w:t>
      </w:r>
      <w:r>
        <w:rPr>
          <w:color w:val="4D4D4F"/>
          <w:spacing w:val="-10"/>
          <w:sz w:val="12"/>
        </w:rPr>
        <w:t xml:space="preserve"> </w:t>
      </w:r>
      <w:r>
        <w:rPr>
          <w:color w:val="4D4D4F"/>
          <w:sz w:val="12"/>
        </w:rPr>
        <w:t>‘Studies</w:t>
      </w:r>
      <w:r>
        <w:rPr>
          <w:color w:val="4D4D4F"/>
          <w:spacing w:val="-9"/>
          <w:sz w:val="12"/>
        </w:rPr>
        <w:t xml:space="preserve"> </w:t>
      </w:r>
      <w:r>
        <w:rPr>
          <w:color w:val="4D4D4F"/>
          <w:sz w:val="12"/>
        </w:rPr>
        <w:t>in</w:t>
      </w:r>
      <w:r>
        <w:rPr>
          <w:color w:val="4D4D4F"/>
          <w:spacing w:val="-9"/>
          <w:sz w:val="12"/>
        </w:rPr>
        <w:t xml:space="preserve"> </w:t>
      </w:r>
      <w:r>
        <w:rPr>
          <w:color w:val="4D4D4F"/>
          <w:sz w:val="12"/>
        </w:rPr>
        <w:t>Phormiaceae</w:t>
      </w:r>
      <w:r>
        <w:rPr>
          <w:color w:val="4D4D4F"/>
          <w:spacing w:val="-9"/>
          <w:sz w:val="12"/>
        </w:rPr>
        <w:t xml:space="preserve"> </w:t>
      </w:r>
      <w:r>
        <w:rPr>
          <w:color w:val="4D4D4F"/>
          <w:spacing w:val="-3"/>
          <w:sz w:val="12"/>
        </w:rPr>
        <w:t>(Liliaceae)</w:t>
      </w:r>
      <w:r>
        <w:rPr>
          <w:color w:val="4D4D4F"/>
          <w:spacing w:val="-9"/>
          <w:sz w:val="12"/>
        </w:rPr>
        <w:t xml:space="preserve"> </w:t>
      </w:r>
      <w:r>
        <w:rPr>
          <w:color w:val="4D4D4F"/>
          <w:spacing w:val="-4"/>
          <w:sz w:val="12"/>
        </w:rPr>
        <w:t>1:</w:t>
      </w:r>
      <w:r>
        <w:rPr>
          <w:color w:val="4D4D4F"/>
          <w:spacing w:val="-10"/>
          <w:sz w:val="12"/>
        </w:rPr>
        <w:t xml:space="preserve"> </w:t>
      </w:r>
      <w:r>
        <w:rPr>
          <w:color w:val="4D4D4F"/>
          <w:sz w:val="12"/>
        </w:rPr>
        <w:t>New</w:t>
      </w:r>
      <w:r>
        <w:rPr>
          <w:color w:val="4D4D4F"/>
          <w:spacing w:val="-9"/>
          <w:sz w:val="12"/>
        </w:rPr>
        <w:t xml:space="preserve"> </w:t>
      </w:r>
      <w:r>
        <w:rPr>
          <w:color w:val="4D4D4F"/>
          <w:sz w:val="12"/>
        </w:rPr>
        <w:t>species</w:t>
      </w:r>
      <w:r>
        <w:rPr>
          <w:color w:val="4D4D4F"/>
          <w:spacing w:val="-9"/>
          <w:sz w:val="12"/>
        </w:rPr>
        <w:t xml:space="preserve"> </w:t>
      </w:r>
      <w:r>
        <w:rPr>
          <w:color w:val="4D4D4F"/>
          <w:sz w:val="12"/>
        </w:rPr>
        <w:t>and</w:t>
      </w:r>
      <w:r>
        <w:rPr>
          <w:color w:val="4D4D4F"/>
          <w:spacing w:val="-9"/>
          <w:sz w:val="12"/>
        </w:rPr>
        <w:t xml:space="preserve"> </w:t>
      </w:r>
      <w:r>
        <w:rPr>
          <w:color w:val="4D4D4F"/>
          <w:sz w:val="12"/>
        </w:rPr>
        <w:t>combinations</w:t>
      </w:r>
      <w:r>
        <w:rPr>
          <w:color w:val="4D4D4F"/>
          <w:spacing w:val="-9"/>
          <w:sz w:val="12"/>
        </w:rPr>
        <w:t xml:space="preserve"> </w:t>
      </w:r>
      <w:r>
        <w:rPr>
          <w:color w:val="4D4D4F"/>
          <w:sz w:val="12"/>
        </w:rPr>
        <w:t>in</w:t>
      </w:r>
      <w:r>
        <w:rPr>
          <w:color w:val="4D4D4F"/>
          <w:spacing w:val="-10"/>
          <w:sz w:val="12"/>
        </w:rPr>
        <w:t xml:space="preserve"> </w:t>
      </w:r>
      <w:r>
        <w:rPr>
          <w:color w:val="4D4D4F"/>
          <w:sz w:val="12"/>
        </w:rPr>
        <w:t>Dianella</w:t>
      </w:r>
      <w:r>
        <w:rPr>
          <w:color w:val="4D4D4F"/>
          <w:spacing w:val="-9"/>
          <w:sz w:val="12"/>
        </w:rPr>
        <w:t xml:space="preserve"> </w:t>
      </w:r>
      <w:r>
        <w:rPr>
          <w:color w:val="4D4D4F"/>
          <w:sz w:val="12"/>
        </w:rPr>
        <w:t>Lam.’</w:t>
      </w:r>
      <w:r>
        <w:rPr>
          <w:color w:val="4D4D4F"/>
          <w:spacing w:val="-9"/>
          <w:sz w:val="12"/>
        </w:rPr>
        <w:t xml:space="preserve"> </w:t>
      </w:r>
      <w:r>
        <w:rPr>
          <w:color w:val="4D4D4F"/>
          <w:sz w:val="12"/>
        </w:rPr>
        <w:t>Ex</w:t>
      </w:r>
      <w:r>
        <w:rPr>
          <w:color w:val="4D4D4F"/>
          <w:spacing w:val="-9"/>
          <w:sz w:val="12"/>
        </w:rPr>
        <w:t xml:space="preserve"> </w:t>
      </w:r>
      <w:r>
        <w:rPr>
          <w:color w:val="4D4D4F"/>
          <w:sz w:val="12"/>
        </w:rPr>
        <w:t>Juss.</w:t>
      </w:r>
      <w:r>
        <w:rPr>
          <w:color w:val="4D4D4F"/>
          <w:spacing w:val="-9"/>
          <w:sz w:val="12"/>
        </w:rPr>
        <w:t xml:space="preserve"> </w:t>
      </w:r>
      <w:r>
        <w:rPr>
          <w:color w:val="4D4D4F"/>
          <w:sz w:val="12"/>
        </w:rPr>
        <w:t>Muelleria</w:t>
      </w:r>
      <w:r>
        <w:rPr>
          <w:color w:val="4D4D4F"/>
          <w:spacing w:val="-10"/>
          <w:sz w:val="12"/>
        </w:rPr>
        <w:t xml:space="preserve"> </w:t>
      </w:r>
      <w:r>
        <w:rPr>
          <w:color w:val="4D4D4F"/>
          <w:sz w:val="12"/>
        </w:rPr>
        <w:t>8,</w:t>
      </w:r>
      <w:r>
        <w:rPr>
          <w:color w:val="4D4D4F"/>
          <w:spacing w:val="-9"/>
          <w:sz w:val="12"/>
        </w:rPr>
        <w:t xml:space="preserve"> </w:t>
      </w:r>
      <w:r>
        <w:rPr>
          <w:color w:val="4D4D4F"/>
          <w:sz w:val="12"/>
        </w:rPr>
        <w:t>365-378.</w:t>
      </w:r>
    </w:p>
    <w:p w14:paraId="41978FCF" w14:textId="77777777" w:rsidR="00EF5B27" w:rsidRDefault="00EF5B27">
      <w:pPr>
        <w:rPr>
          <w:sz w:val="12"/>
        </w:rPr>
        <w:sectPr w:rsidR="00EF5B27">
          <w:pgSz w:w="11910" w:h="16840"/>
          <w:pgMar w:top="1080" w:right="1020" w:bottom="860" w:left="1020" w:header="537" w:footer="678" w:gutter="0"/>
          <w:cols w:space="720"/>
        </w:sectPr>
      </w:pPr>
    </w:p>
    <w:p w14:paraId="6E74CCB7" w14:textId="77777777" w:rsidR="00EF5B27" w:rsidRDefault="00000000">
      <w:pPr>
        <w:pStyle w:val="BodyText"/>
      </w:pPr>
      <w:r>
        <w:lastRenderedPageBreak/>
        <w:pict w14:anchorId="3DE2C9C6">
          <v:group id="_x0000_s3096" style="position:absolute;margin-left:587.05pt;margin-top:183.4pt;width:8.25pt;height:153.1pt;z-index:251637248;mso-position-horizontal-relative:page;mso-position-vertical-relative:page" coordorigin="11741,3668" coordsize="165,3062">
            <v:shape id="_x0000_s3103" style="position:absolute;left:11741;top:3668;width:165;height:561" coordorigin="11741,3668" coordsize="165,561" path="m11906,3668r-165,l11741,4228r165,-18l11906,3668xe" fillcolor="#00aed9" stroked="f">
              <v:path arrowok="t"/>
            </v:shape>
            <v:shape id="_x0000_s3102" style="position:absolute;left:11741;top:4118;width:165;height:425" coordorigin="11741,4118" coordsize="165,425" path="m11906,4118r-165,14l11741,4531r165,12l11906,4118xe" fillcolor="#047ebc" stroked="f">
              <v:path arrowok="t"/>
            </v:shape>
            <v:shape id="_x0000_s3101" type="#_x0000_t75" style="position:absolute;left:11741;top:4355;width:165;height:587">
              <v:imagedata r:id="rId42" o:title=""/>
            </v:shape>
            <v:shape id="_x0000_s3100" style="position:absolute;left:11741;top:5343;width:165;height:536" coordorigin="11741,5343" coordsize="165,536" path="m11741,5343r,535l11906,5872r,-525l11741,5343xe" fillcolor="#f36a2e" stroked="f">
              <v:path arrowok="t"/>
            </v:shape>
            <v:shape id="_x0000_s3099" style="position:absolute;left:11741;top:4925;width:165;height:501" coordorigin="11741,4926" coordsize="165,501" path="m11741,4926r,500l11906,5426r,-485l11741,4926xe" fillcolor="#49783f" stroked="f">
              <v:path arrowok="t"/>
            </v:shape>
            <v:shape id="_x0000_s3098" style="position:absolute;left:11741;top:5781;width:165;height:268" coordorigin="11741,5782" coordsize="165,268" path="m11906,5782r-165,8l11741,6039r165,10l11906,5782xe" fillcolor="#f99f2a" stroked="f">
              <v:path arrowok="t"/>
            </v:shape>
            <v:shape id="_x0000_s3097" style="position:absolute;left:11741;top:6023;width:165;height:707" coordorigin="11741,6023" coordsize="165,707" path="m11741,6023r,706l11906,6729r,-690l11741,6023xe" fillcolor="#ef412c" stroked="f">
              <v:path arrowok="t"/>
            </v:shape>
            <w10:wrap anchorx="page" anchory="page"/>
          </v:group>
        </w:pict>
      </w:r>
    </w:p>
    <w:p w14:paraId="11DE847D" w14:textId="77777777" w:rsidR="00EF5B27" w:rsidRDefault="00EF5B27">
      <w:pPr>
        <w:pStyle w:val="BodyText"/>
      </w:pPr>
    </w:p>
    <w:p w14:paraId="208D7A91" w14:textId="77777777" w:rsidR="00EF5B27" w:rsidRDefault="00EF5B27">
      <w:pPr>
        <w:pStyle w:val="BodyText"/>
      </w:pPr>
    </w:p>
    <w:p w14:paraId="6EA3C744" w14:textId="77777777" w:rsidR="00EF5B27" w:rsidRDefault="00EF5B27">
      <w:pPr>
        <w:pStyle w:val="BodyText"/>
        <w:spacing w:before="12"/>
        <w:rPr>
          <w:sz w:val="22"/>
        </w:rPr>
      </w:pPr>
    </w:p>
    <w:p w14:paraId="1C207D8E" w14:textId="77777777" w:rsidR="00EF5B27" w:rsidRDefault="00000000">
      <w:pPr>
        <w:pStyle w:val="Heading3"/>
        <w:spacing w:before="115"/>
      </w:pPr>
      <w:r>
        <w:rPr>
          <w:color w:val="F99F2A"/>
        </w:rPr>
        <w:t>DELWP’s conservation commitment</w:t>
      </w:r>
    </w:p>
    <w:p w14:paraId="257D822F" w14:textId="77777777" w:rsidR="00EF5B27" w:rsidRDefault="00000000">
      <w:pPr>
        <w:pStyle w:val="BodyText"/>
        <w:spacing w:before="221" w:line="254" w:lineRule="auto"/>
        <w:ind w:left="2608" w:right="272"/>
      </w:pPr>
      <w:r>
        <w:rPr>
          <w:color w:val="4D4D4F"/>
        </w:rPr>
        <w:t>DELWP published the following statements as conservation outcomes for the Matted Flax-lily by notice in the Victorian Government Gazette:</w:t>
      </w:r>
    </w:p>
    <w:p w14:paraId="5AF8177E" w14:textId="77777777" w:rsidR="00EF5B27" w:rsidRDefault="00000000">
      <w:pPr>
        <w:pStyle w:val="BodyText"/>
        <w:spacing w:before="6"/>
        <w:rPr>
          <w:sz w:val="28"/>
        </w:rPr>
      </w:pPr>
      <w:r>
        <w:pict w14:anchorId="4063963C">
          <v:shape id="_x0000_s3095" type="#_x0000_t202" style="position:absolute;margin-left:181.65pt;margin-top:19.6pt;width:356.8pt;height:196.65pt;z-index:251586048;mso-wrap-distance-left:0;mso-wrap-distance-right:0;mso-position-horizontal-relative:page" filled="f" strokecolor="#4d4d4f" strokeweight=".5pt">
            <v:textbox inset="0,0,0,0">
              <w:txbxContent>
                <w:p w14:paraId="595F74FA" w14:textId="77777777" w:rsidR="00EF5B27" w:rsidRDefault="00000000">
                  <w:pPr>
                    <w:spacing w:before="192"/>
                    <w:ind w:left="226"/>
                    <w:rPr>
                      <w:b/>
                      <w:i/>
                      <w:sz w:val="20"/>
                    </w:rPr>
                  </w:pPr>
                  <w:r>
                    <w:rPr>
                      <w:b/>
                      <w:i/>
                      <w:color w:val="4D4D4F"/>
                      <w:sz w:val="20"/>
                    </w:rPr>
                    <w:t>‘The permanent protection of occupied habitat for Matted Flax-lily in:</w:t>
                  </w:r>
                </w:p>
                <w:p w14:paraId="3E1788D1" w14:textId="77777777" w:rsidR="00EF5B27" w:rsidRDefault="00000000">
                  <w:pPr>
                    <w:numPr>
                      <w:ilvl w:val="0"/>
                      <w:numId w:val="30"/>
                    </w:numPr>
                    <w:tabs>
                      <w:tab w:val="left" w:pos="341"/>
                    </w:tabs>
                    <w:spacing w:before="129" w:line="254" w:lineRule="auto"/>
                    <w:ind w:right="306"/>
                    <w:rPr>
                      <w:b/>
                      <w:i/>
                      <w:sz w:val="20"/>
                    </w:rPr>
                  </w:pPr>
                  <w:r>
                    <w:rPr>
                      <w:b/>
                      <w:i/>
                      <w:color w:val="4D4D4F"/>
                      <w:spacing w:val="-3"/>
                      <w:sz w:val="20"/>
                    </w:rPr>
                    <w:t xml:space="preserve">the </w:t>
                  </w:r>
                  <w:r>
                    <w:rPr>
                      <w:b/>
                      <w:i/>
                      <w:color w:val="4D4D4F"/>
                      <w:spacing w:val="-4"/>
                      <w:sz w:val="20"/>
                    </w:rPr>
                    <w:t xml:space="preserve">conservation areas identified </w:t>
                  </w:r>
                  <w:r>
                    <w:rPr>
                      <w:b/>
                      <w:i/>
                      <w:color w:val="4D4D4F"/>
                      <w:sz w:val="20"/>
                    </w:rPr>
                    <w:t xml:space="preserve">in </w:t>
                  </w:r>
                  <w:r>
                    <w:rPr>
                      <w:b/>
                      <w:i/>
                      <w:color w:val="4D4D4F"/>
                      <w:spacing w:val="-3"/>
                      <w:sz w:val="20"/>
                    </w:rPr>
                    <w:t xml:space="preserve">the </w:t>
                  </w:r>
                  <w:r>
                    <w:rPr>
                      <w:b/>
                      <w:i/>
                      <w:color w:val="4D4D4F"/>
                      <w:spacing w:val="-5"/>
                      <w:sz w:val="20"/>
                    </w:rPr>
                    <w:t xml:space="preserve">Biodiversity </w:t>
                  </w:r>
                  <w:r>
                    <w:rPr>
                      <w:b/>
                      <w:i/>
                      <w:color w:val="4D4D4F"/>
                      <w:spacing w:val="-4"/>
                      <w:sz w:val="20"/>
                    </w:rPr>
                    <w:t xml:space="preserve">Conservation </w:t>
                  </w:r>
                  <w:r>
                    <w:rPr>
                      <w:b/>
                      <w:i/>
                      <w:color w:val="4D4D4F"/>
                      <w:spacing w:val="-5"/>
                      <w:sz w:val="20"/>
                    </w:rPr>
                    <w:t xml:space="preserve">Strategy (BCS) </w:t>
                  </w:r>
                  <w:r>
                    <w:rPr>
                      <w:b/>
                      <w:i/>
                      <w:color w:val="4D4D4F"/>
                      <w:sz w:val="20"/>
                    </w:rPr>
                    <w:t xml:space="preserve">and </w:t>
                  </w:r>
                  <w:r>
                    <w:rPr>
                      <w:b/>
                      <w:i/>
                      <w:color w:val="4D4D4F"/>
                      <w:spacing w:val="-3"/>
                      <w:sz w:val="20"/>
                    </w:rPr>
                    <w:t xml:space="preserve">the </w:t>
                  </w:r>
                  <w:r>
                    <w:rPr>
                      <w:b/>
                      <w:i/>
                      <w:color w:val="4D4D4F"/>
                      <w:spacing w:val="-4"/>
                      <w:sz w:val="20"/>
                    </w:rPr>
                    <w:t>Conservation Areas</w:t>
                  </w:r>
                  <w:r>
                    <w:rPr>
                      <w:b/>
                      <w:i/>
                      <w:color w:val="4D4D4F"/>
                      <w:spacing w:val="-1"/>
                      <w:sz w:val="20"/>
                    </w:rPr>
                    <w:t xml:space="preserve"> </w:t>
                  </w:r>
                  <w:r>
                    <w:rPr>
                      <w:b/>
                      <w:i/>
                      <w:color w:val="4D4D4F"/>
                      <w:spacing w:val="-4"/>
                      <w:sz w:val="20"/>
                    </w:rPr>
                    <w:t>Declaration</w:t>
                  </w:r>
                </w:p>
                <w:p w14:paraId="27E88648" w14:textId="77777777" w:rsidR="00EF5B27" w:rsidRDefault="00000000">
                  <w:pPr>
                    <w:numPr>
                      <w:ilvl w:val="0"/>
                      <w:numId w:val="30"/>
                    </w:numPr>
                    <w:tabs>
                      <w:tab w:val="left" w:pos="341"/>
                    </w:tabs>
                    <w:spacing w:before="116" w:line="254" w:lineRule="auto"/>
                    <w:ind w:right="227"/>
                    <w:rPr>
                      <w:b/>
                      <w:i/>
                      <w:sz w:val="20"/>
                    </w:rPr>
                  </w:pPr>
                  <w:r>
                    <w:rPr>
                      <w:b/>
                      <w:i/>
                      <w:color w:val="4D4D4F"/>
                      <w:spacing w:val="-6"/>
                      <w:sz w:val="20"/>
                    </w:rPr>
                    <w:t xml:space="preserve">529 </w:t>
                  </w:r>
                  <w:r>
                    <w:rPr>
                      <w:b/>
                      <w:i/>
                      <w:color w:val="4D4D4F"/>
                      <w:spacing w:val="-3"/>
                      <w:sz w:val="20"/>
                    </w:rPr>
                    <w:t xml:space="preserve">ha of </w:t>
                  </w:r>
                  <w:r>
                    <w:rPr>
                      <w:b/>
                      <w:i/>
                      <w:color w:val="4D4D4F"/>
                      <w:spacing w:val="-6"/>
                      <w:sz w:val="20"/>
                    </w:rPr>
                    <w:t xml:space="preserve">conservation </w:t>
                  </w:r>
                  <w:r>
                    <w:rPr>
                      <w:b/>
                      <w:i/>
                      <w:color w:val="4D4D4F"/>
                      <w:spacing w:val="-5"/>
                      <w:sz w:val="20"/>
                    </w:rPr>
                    <w:t xml:space="preserve">areas identified </w:t>
                  </w:r>
                  <w:r>
                    <w:rPr>
                      <w:b/>
                      <w:i/>
                      <w:color w:val="4D4D4F"/>
                      <w:spacing w:val="-6"/>
                      <w:sz w:val="20"/>
                    </w:rPr>
                    <w:t xml:space="preserve">outside </w:t>
                  </w:r>
                  <w:r>
                    <w:rPr>
                      <w:b/>
                      <w:i/>
                      <w:color w:val="4D4D4F"/>
                      <w:spacing w:val="-4"/>
                      <w:sz w:val="20"/>
                    </w:rPr>
                    <w:t xml:space="preserve">the UGB </w:t>
                  </w:r>
                  <w:r>
                    <w:rPr>
                      <w:b/>
                      <w:i/>
                      <w:color w:val="4D4D4F"/>
                      <w:spacing w:val="-5"/>
                      <w:sz w:val="20"/>
                    </w:rPr>
                    <w:t xml:space="preserve">that </w:t>
                  </w:r>
                  <w:r>
                    <w:rPr>
                      <w:b/>
                      <w:i/>
                      <w:color w:val="4D4D4F"/>
                      <w:spacing w:val="-4"/>
                      <w:sz w:val="20"/>
                    </w:rPr>
                    <w:t xml:space="preserve">can </w:t>
                  </w:r>
                  <w:r>
                    <w:rPr>
                      <w:b/>
                      <w:i/>
                      <w:color w:val="4D4D4F"/>
                      <w:spacing w:val="-6"/>
                      <w:sz w:val="20"/>
                    </w:rPr>
                    <w:t xml:space="preserve">include </w:t>
                  </w:r>
                  <w:r>
                    <w:rPr>
                      <w:b/>
                      <w:i/>
                      <w:color w:val="4D4D4F"/>
                      <w:spacing w:val="-5"/>
                      <w:sz w:val="20"/>
                    </w:rPr>
                    <w:t xml:space="preserve">land </w:t>
                  </w:r>
                  <w:r>
                    <w:rPr>
                      <w:b/>
                      <w:i/>
                      <w:color w:val="4D4D4F"/>
                      <w:spacing w:val="-6"/>
                      <w:sz w:val="20"/>
                    </w:rPr>
                    <w:t xml:space="preserve">within </w:t>
                  </w:r>
                  <w:r>
                    <w:rPr>
                      <w:b/>
                      <w:i/>
                      <w:color w:val="4D4D4F"/>
                      <w:spacing w:val="-4"/>
                      <w:sz w:val="20"/>
                    </w:rPr>
                    <w:t xml:space="preserve">the </w:t>
                  </w:r>
                  <w:r>
                    <w:rPr>
                      <w:b/>
                      <w:i/>
                      <w:color w:val="4D4D4F"/>
                      <w:spacing w:val="-6"/>
                      <w:sz w:val="20"/>
                    </w:rPr>
                    <w:t xml:space="preserve">Grassy </w:t>
                  </w:r>
                  <w:r>
                    <w:rPr>
                      <w:b/>
                      <w:i/>
                      <w:color w:val="4D4D4F"/>
                      <w:spacing w:val="-7"/>
                      <w:sz w:val="20"/>
                    </w:rPr>
                    <w:t xml:space="preserve">Eucalypt </w:t>
                  </w:r>
                  <w:r>
                    <w:rPr>
                      <w:b/>
                      <w:i/>
                      <w:color w:val="4D4D4F"/>
                      <w:spacing w:val="-5"/>
                      <w:sz w:val="20"/>
                    </w:rPr>
                    <w:t xml:space="preserve">Woodland </w:t>
                  </w:r>
                  <w:r>
                    <w:rPr>
                      <w:b/>
                      <w:i/>
                      <w:color w:val="4D4D4F"/>
                      <w:spacing w:val="-6"/>
                      <w:sz w:val="20"/>
                    </w:rPr>
                    <w:t xml:space="preserve">Protected </w:t>
                  </w:r>
                  <w:r>
                    <w:rPr>
                      <w:b/>
                      <w:i/>
                      <w:color w:val="4D4D4F"/>
                      <w:spacing w:val="-5"/>
                      <w:sz w:val="20"/>
                    </w:rPr>
                    <w:t xml:space="preserve">Area </w:t>
                  </w:r>
                  <w:r>
                    <w:rPr>
                      <w:b/>
                      <w:i/>
                      <w:color w:val="4D4D4F"/>
                      <w:spacing w:val="-7"/>
                      <w:sz w:val="20"/>
                    </w:rPr>
                    <w:t xml:space="preserve">(where </w:t>
                  </w:r>
                  <w:r>
                    <w:rPr>
                      <w:b/>
                      <w:i/>
                      <w:color w:val="4D4D4F"/>
                      <w:spacing w:val="-5"/>
                      <w:sz w:val="20"/>
                    </w:rPr>
                    <w:t xml:space="preserve">occupied </w:t>
                  </w:r>
                  <w:r>
                    <w:rPr>
                      <w:b/>
                      <w:i/>
                      <w:color w:val="4D4D4F"/>
                      <w:spacing w:val="-6"/>
                      <w:sz w:val="20"/>
                    </w:rPr>
                    <w:t xml:space="preserve">habitat </w:t>
                  </w:r>
                  <w:r>
                    <w:rPr>
                      <w:b/>
                      <w:i/>
                      <w:color w:val="4D4D4F"/>
                      <w:spacing w:val="-4"/>
                      <w:sz w:val="20"/>
                    </w:rPr>
                    <w:t>is</w:t>
                  </w:r>
                  <w:r>
                    <w:rPr>
                      <w:b/>
                      <w:i/>
                      <w:color w:val="4D4D4F"/>
                      <w:spacing w:val="-1"/>
                      <w:sz w:val="20"/>
                    </w:rPr>
                    <w:t xml:space="preserve"> </w:t>
                  </w:r>
                  <w:r>
                    <w:rPr>
                      <w:b/>
                      <w:i/>
                      <w:color w:val="4D4D4F"/>
                      <w:spacing w:val="-8"/>
                      <w:sz w:val="20"/>
                    </w:rPr>
                    <w:t>found).’</w:t>
                  </w:r>
                </w:p>
                <w:p w14:paraId="1E742F28" w14:textId="77777777" w:rsidR="00EF5B27" w:rsidRDefault="00000000">
                  <w:pPr>
                    <w:spacing w:before="116" w:line="254" w:lineRule="auto"/>
                    <w:ind w:left="272" w:right="227" w:hanging="46"/>
                    <w:rPr>
                      <w:b/>
                      <w:i/>
                      <w:sz w:val="20"/>
                    </w:rPr>
                  </w:pPr>
                  <w:r>
                    <w:rPr>
                      <w:b/>
                      <w:i/>
                      <w:color w:val="4D4D4F"/>
                      <w:spacing w:val="-4"/>
                      <w:sz w:val="20"/>
                    </w:rPr>
                    <w:t xml:space="preserve">‘Matted </w:t>
                  </w:r>
                  <w:r>
                    <w:rPr>
                      <w:b/>
                      <w:i/>
                      <w:color w:val="4D4D4F"/>
                      <w:spacing w:val="-7"/>
                      <w:sz w:val="20"/>
                    </w:rPr>
                    <w:t xml:space="preserve">Flax-lily </w:t>
                  </w:r>
                  <w:r>
                    <w:rPr>
                      <w:b/>
                      <w:i/>
                      <w:color w:val="4D4D4F"/>
                      <w:spacing w:val="-4"/>
                      <w:sz w:val="20"/>
                    </w:rPr>
                    <w:t xml:space="preserve">populations </w:t>
                  </w:r>
                  <w:r>
                    <w:rPr>
                      <w:b/>
                      <w:i/>
                      <w:color w:val="4D4D4F"/>
                      <w:sz w:val="20"/>
                    </w:rPr>
                    <w:t xml:space="preserve">in </w:t>
                  </w:r>
                  <w:r>
                    <w:rPr>
                      <w:b/>
                      <w:i/>
                      <w:color w:val="4D4D4F"/>
                      <w:spacing w:val="-3"/>
                      <w:sz w:val="20"/>
                    </w:rPr>
                    <w:t xml:space="preserve">the </w:t>
                  </w:r>
                  <w:r>
                    <w:rPr>
                      <w:b/>
                      <w:i/>
                      <w:color w:val="4D4D4F"/>
                      <w:spacing w:val="-4"/>
                      <w:sz w:val="20"/>
                    </w:rPr>
                    <w:t xml:space="preserve">conservation areas identified </w:t>
                  </w:r>
                  <w:r>
                    <w:rPr>
                      <w:b/>
                      <w:i/>
                      <w:color w:val="4D4D4F"/>
                      <w:sz w:val="20"/>
                    </w:rPr>
                    <w:t xml:space="preserve">in </w:t>
                  </w:r>
                  <w:r>
                    <w:rPr>
                      <w:b/>
                      <w:i/>
                      <w:color w:val="4D4D4F"/>
                      <w:spacing w:val="-3"/>
                      <w:sz w:val="20"/>
                    </w:rPr>
                    <w:t xml:space="preserve">the </w:t>
                  </w:r>
                  <w:r>
                    <w:rPr>
                      <w:b/>
                      <w:i/>
                      <w:color w:val="4D4D4F"/>
                      <w:spacing w:val="-2"/>
                      <w:sz w:val="20"/>
                    </w:rPr>
                    <w:t xml:space="preserve">BCS </w:t>
                  </w:r>
                  <w:r>
                    <w:rPr>
                      <w:b/>
                      <w:i/>
                      <w:color w:val="4D4D4F"/>
                      <w:sz w:val="20"/>
                    </w:rPr>
                    <w:t xml:space="preserve">and </w:t>
                  </w:r>
                  <w:r>
                    <w:rPr>
                      <w:b/>
                      <w:i/>
                      <w:color w:val="4D4D4F"/>
                      <w:spacing w:val="-3"/>
                      <w:sz w:val="20"/>
                    </w:rPr>
                    <w:t xml:space="preserve">the </w:t>
                  </w:r>
                  <w:r>
                    <w:rPr>
                      <w:b/>
                      <w:i/>
                      <w:color w:val="4D4D4F"/>
                      <w:spacing w:val="-4"/>
                      <w:sz w:val="20"/>
                    </w:rPr>
                    <w:t xml:space="preserve">Conservation Areas Declaration, </w:t>
                  </w:r>
                  <w:r>
                    <w:rPr>
                      <w:b/>
                      <w:i/>
                      <w:color w:val="4D4D4F"/>
                      <w:sz w:val="20"/>
                    </w:rPr>
                    <w:t xml:space="preserve">and </w:t>
                  </w:r>
                  <w:r>
                    <w:rPr>
                      <w:b/>
                      <w:i/>
                      <w:color w:val="4D4D4F"/>
                      <w:spacing w:val="-4"/>
                      <w:sz w:val="20"/>
                    </w:rPr>
                    <w:t xml:space="preserve">those outside </w:t>
                  </w:r>
                  <w:r>
                    <w:rPr>
                      <w:b/>
                      <w:i/>
                      <w:color w:val="4D4D4F"/>
                      <w:spacing w:val="-3"/>
                      <w:sz w:val="20"/>
                    </w:rPr>
                    <w:t xml:space="preserve">the UGB are </w:t>
                  </w:r>
                  <w:r>
                    <w:rPr>
                      <w:b/>
                      <w:i/>
                      <w:color w:val="4D4D4F"/>
                      <w:spacing w:val="-4"/>
                      <w:sz w:val="20"/>
                    </w:rPr>
                    <w:t xml:space="preserve">sustained </w:t>
                  </w:r>
                  <w:r>
                    <w:rPr>
                      <w:b/>
                      <w:i/>
                      <w:color w:val="4D4D4F"/>
                      <w:sz w:val="20"/>
                    </w:rPr>
                    <w:t xml:space="preserve">in </w:t>
                  </w:r>
                  <w:r>
                    <w:rPr>
                      <w:b/>
                      <w:i/>
                      <w:color w:val="4D4D4F"/>
                      <w:spacing w:val="-3"/>
                      <w:sz w:val="20"/>
                    </w:rPr>
                    <w:t xml:space="preserve">the </w:t>
                  </w:r>
                  <w:r>
                    <w:rPr>
                      <w:b/>
                      <w:i/>
                      <w:color w:val="4D4D4F"/>
                      <w:spacing w:val="-4"/>
                      <w:sz w:val="20"/>
                    </w:rPr>
                    <w:t xml:space="preserve">long-term. Sustained </w:t>
                  </w:r>
                  <w:r>
                    <w:rPr>
                      <w:b/>
                      <w:i/>
                      <w:color w:val="4D4D4F"/>
                      <w:spacing w:val="-3"/>
                      <w:sz w:val="20"/>
                    </w:rPr>
                    <w:t xml:space="preserve">means </w:t>
                  </w:r>
                  <w:r>
                    <w:rPr>
                      <w:b/>
                      <w:i/>
                      <w:color w:val="4D4D4F"/>
                      <w:spacing w:val="-4"/>
                      <w:sz w:val="20"/>
                    </w:rPr>
                    <w:t xml:space="preserve">that </w:t>
                  </w:r>
                  <w:r>
                    <w:rPr>
                      <w:b/>
                      <w:i/>
                      <w:color w:val="4D4D4F"/>
                      <w:spacing w:val="-3"/>
                      <w:sz w:val="20"/>
                    </w:rPr>
                    <w:t xml:space="preserve">the five year mean </w:t>
                  </w:r>
                  <w:r>
                    <w:rPr>
                      <w:b/>
                      <w:i/>
                      <w:color w:val="4D4D4F"/>
                      <w:spacing w:val="-4"/>
                      <w:sz w:val="20"/>
                    </w:rPr>
                    <w:t xml:space="preserve">detection rate </w:t>
                  </w:r>
                  <w:r>
                    <w:rPr>
                      <w:b/>
                      <w:i/>
                      <w:color w:val="4D4D4F"/>
                      <w:sz w:val="20"/>
                    </w:rPr>
                    <w:t xml:space="preserve">of </w:t>
                  </w:r>
                  <w:r>
                    <w:rPr>
                      <w:b/>
                      <w:i/>
                      <w:color w:val="4D4D4F"/>
                      <w:spacing w:val="-5"/>
                      <w:sz w:val="20"/>
                    </w:rPr>
                    <w:t xml:space="preserve">previously </w:t>
                  </w:r>
                  <w:r>
                    <w:rPr>
                      <w:b/>
                      <w:i/>
                      <w:color w:val="4D4D4F"/>
                      <w:spacing w:val="-4"/>
                      <w:sz w:val="20"/>
                    </w:rPr>
                    <w:t xml:space="preserve">known plants remains above </w:t>
                  </w:r>
                  <w:r>
                    <w:rPr>
                      <w:b/>
                      <w:i/>
                      <w:color w:val="4D4D4F"/>
                      <w:spacing w:val="-3"/>
                      <w:sz w:val="20"/>
                    </w:rPr>
                    <w:t xml:space="preserve">the </w:t>
                  </w:r>
                  <w:r>
                    <w:rPr>
                      <w:b/>
                      <w:i/>
                      <w:color w:val="4D4D4F"/>
                      <w:spacing w:val="-6"/>
                      <w:sz w:val="20"/>
                    </w:rPr>
                    <w:t>baseline.’</w:t>
                  </w:r>
                </w:p>
                <w:p w14:paraId="6A41D171" w14:textId="77777777" w:rsidR="00EF5B27" w:rsidRDefault="00000000">
                  <w:pPr>
                    <w:spacing w:before="118" w:line="254" w:lineRule="auto"/>
                    <w:ind w:left="272" w:right="313" w:hanging="46"/>
                    <w:rPr>
                      <w:b/>
                      <w:i/>
                      <w:sz w:val="20"/>
                    </w:rPr>
                  </w:pPr>
                  <w:r>
                    <w:rPr>
                      <w:b/>
                      <w:i/>
                      <w:color w:val="4D4D4F"/>
                      <w:spacing w:val="-4"/>
                      <w:sz w:val="20"/>
                    </w:rPr>
                    <w:t xml:space="preserve">‘Matted </w:t>
                  </w:r>
                  <w:r>
                    <w:rPr>
                      <w:b/>
                      <w:i/>
                      <w:color w:val="4D4D4F"/>
                      <w:spacing w:val="-7"/>
                      <w:sz w:val="20"/>
                    </w:rPr>
                    <w:t xml:space="preserve">Flax-lily </w:t>
                  </w:r>
                  <w:r>
                    <w:rPr>
                      <w:b/>
                      <w:i/>
                      <w:color w:val="4D4D4F"/>
                      <w:spacing w:val="-4"/>
                      <w:sz w:val="20"/>
                    </w:rPr>
                    <w:t xml:space="preserve">populations </w:t>
                  </w:r>
                  <w:r>
                    <w:rPr>
                      <w:b/>
                      <w:i/>
                      <w:color w:val="4D4D4F"/>
                      <w:sz w:val="20"/>
                    </w:rPr>
                    <w:t xml:space="preserve">in </w:t>
                  </w:r>
                  <w:r>
                    <w:rPr>
                      <w:b/>
                      <w:i/>
                      <w:color w:val="4D4D4F"/>
                      <w:spacing w:val="-3"/>
                      <w:sz w:val="20"/>
                    </w:rPr>
                    <w:t xml:space="preserve">the </w:t>
                  </w:r>
                  <w:r>
                    <w:rPr>
                      <w:b/>
                      <w:i/>
                      <w:color w:val="4D4D4F"/>
                      <w:spacing w:val="-5"/>
                      <w:sz w:val="20"/>
                    </w:rPr>
                    <w:t xml:space="preserve">Grassy Eucalypt </w:t>
                  </w:r>
                  <w:r>
                    <w:rPr>
                      <w:b/>
                      <w:i/>
                      <w:color w:val="4D4D4F"/>
                      <w:spacing w:val="-4"/>
                      <w:sz w:val="20"/>
                    </w:rPr>
                    <w:t xml:space="preserve">Woodland </w:t>
                  </w:r>
                  <w:r>
                    <w:rPr>
                      <w:b/>
                      <w:i/>
                      <w:color w:val="4D4D4F"/>
                      <w:spacing w:val="-5"/>
                      <w:sz w:val="20"/>
                    </w:rPr>
                    <w:t xml:space="preserve">Protected </w:t>
                  </w:r>
                  <w:r>
                    <w:rPr>
                      <w:b/>
                      <w:i/>
                      <w:color w:val="4D4D4F"/>
                      <w:spacing w:val="-4"/>
                      <w:sz w:val="20"/>
                    </w:rPr>
                    <w:t xml:space="preserve">Area </w:t>
                  </w:r>
                  <w:r>
                    <w:rPr>
                      <w:b/>
                      <w:i/>
                      <w:color w:val="4D4D4F"/>
                      <w:spacing w:val="-3"/>
                      <w:sz w:val="20"/>
                    </w:rPr>
                    <w:t xml:space="preserve">are </w:t>
                  </w:r>
                  <w:r>
                    <w:rPr>
                      <w:b/>
                      <w:i/>
                      <w:color w:val="4D4D4F"/>
                      <w:spacing w:val="-4"/>
                      <w:sz w:val="20"/>
                    </w:rPr>
                    <w:t xml:space="preserve">sustained </w:t>
                  </w:r>
                  <w:r>
                    <w:rPr>
                      <w:b/>
                      <w:i/>
                      <w:color w:val="4D4D4F"/>
                      <w:sz w:val="20"/>
                    </w:rPr>
                    <w:t xml:space="preserve">in </w:t>
                  </w:r>
                  <w:r>
                    <w:rPr>
                      <w:b/>
                      <w:i/>
                      <w:color w:val="4D4D4F"/>
                      <w:spacing w:val="-3"/>
                      <w:sz w:val="20"/>
                    </w:rPr>
                    <w:t xml:space="preserve">the </w:t>
                  </w:r>
                  <w:r>
                    <w:rPr>
                      <w:b/>
                      <w:i/>
                      <w:color w:val="4D4D4F"/>
                      <w:spacing w:val="-4"/>
                      <w:sz w:val="20"/>
                    </w:rPr>
                    <w:t xml:space="preserve">long-term. Sustained </w:t>
                  </w:r>
                  <w:r>
                    <w:rPr>
                      <w:b/>
                      <w:i/>
                      <w:color w:val="4D4D4F"/>
                      <w:spacing w:val="-3"/>
                      <w:sz w:val="20"/>
                    </w:rPr>
                    <w:t xml:space="preserve">means </w:t>
                  </w:r>
                  <w:r>
                    <w:rPr>
                      <w:b/>
                      <w:i/>
                      <w:color w:val="4D4D4F"/>
                      <w:spacing w:val="-4"/>
                      <w:sz w:val="20"/>
                    </w:rPr>
                    <w:t xml:space="preserve">that </w:t>
                  </w:r>
                  <w:r>
                    <w:rPr>
                      <w:b/>
                      <w:i/>
                      <w:color w:val="4D4D4F"/>
                      <w:spacing w:val="-3"/>
                      <w:sz w:val="20"/>
                    </w:rPr>
                    <w:t xml:space="preserve">the </w:t>
                  </w:r>
                  <w:r>
                    <w:rPr>
                      <w:b/>
                      <w:i/>
                      <w:color w:val="4D4D4F"/>
                      <w:spacing w:val="-4"/>
                      <w:sz w:val="20"/>
                    </w:rPr>
                    <w:t xml:space="preserve">five-year </w:t>
                  </w:r>
                  <w:r>
                    <w:rPr>
                      <w:b/>
                      <w:i/>
                      <w:color w:val="4D4D4F"/>
                      <w:spacing w:val="-3"/>
                      <w:sz w:val="20"/>
                    </w:rPr>
                    <w:t xml:space="preserve">mean </w:t>
                  </w:r>
                  <w:r>
                    <w:rPr>
                      <w:b/>
                      <w:i/>
                      <w:color w:val="4D4D4F"/>
                      <w:spacing w:val="-4"/>
                      <w:sz w:val="20"/>
                    </w:rPr>
                    <w:t xml:space="preserve">detection rate </w:t>
                  </w:r>
                  <w:r>
                    <w:rPr>
                      <w:b/>
                      <w:i/>
                      <w:color w:val="4D4D4F"/>
                      <w:sz w:val="20"/>
                    </w:rPr>
                    <w:t xml:space="preserve">of </w:t>
                  </w:r>
                  <w:r>
                    <w:rPr>
                      <w:b/>
                      <w:i/>
                      <w:color w:val="4D4D4F"/>
                      <w:spacing w:val="-5"/>
                      <w:sz w:val="20"/>
                    </w:rPr>
                    <w:t xml:space="preserve">previously </w:t>
                  </w:r>
                  <w:r>
                    <w:rPr>
                      <w:b/>
                      <w:i/>
                      <w:color w:val="4D4D4F"/>
                      <w:spacing w:val="-4"/>
                      <w:sz w:val="20"/>
                    </w:rPr>
                    <w:t xml:space="preserve">known plants remains above </w:t>
                  </w:r>
                  <w:r>
                    <w:rPr>
                      <w:b/>
                      <w:i/>
                      <w:color w:val="4D4D4F"/>
                      <w:spacing w:val="-3"/>
                      <w:sz w:val="20"/>
                    </w:rPr>
                    <w:t xml:space="preserve">the </w:t>
                  </w:r>
                  <w:r>
                    <w:rPr>
                      <w:b/>
                      <w:i/>
                      <w:color w:val="4D4D4F"/>
                      <w:spacing w:val="-6"/>
                      <w:sz w:val="20"/>
                    </w:rPr>
                    <w:t>baseline.’</w:t>
                  </w:r>
                </w:p>
              </w:txbxContent>
            </v:textbox>
            <w10:wrap type="topAndBottom" anchorx="page"/>
          </v:shape>
        </w:pict>
      </w:r>
    </w:p>
    <w:p w14:paraId="7AAA357B" w14:textId="77777777" w:rsidR="00EF5B27" w:rsidRDefault="00EF5B27">
      <w:pPr>
        <w:pStyle w:val="BodyText"/>
        <w:spacing w:before="8"/>
        <w:rPr>
          <w:sz w:val="23"/>
        </w:rPr>
      </w:pPr>
    </w:p>
    <w:p w14:paraId="6ED2A16C" w14:textId="77777777" w:rsidR="00EF5B27" w:rsidRDefault="00000000">
      <w:pPr>
        <w:pStyle w:val="BodyText"/>
        <w:spacing w:before="101" w:line="254" w:lineRule="auto"/>
        <w:ind w:left="2608" w:right="221"/>
      </w:pPr>
      <w:r>
        <w:rPr>
          <w:color w:val="4D4D4F"/>
        </w:rPr>
        <w:t>DELWP’s MSA MRF also summarises the conservation outcomes for the Matted Flax- lily as a single goal statement: ‘no substantial negative change to the population of Matted Flax-lily within the program area’.</w:t>
      </w:r>
    </w:p>
    <w:p w14:paraId="2187A240" w14:textId="77777777" w:rsidR="00EF5B27" w:rsidRDefault="00EF5B27">
      <w:pPr>
        <w:pStyle w:val="BodyText"/>
        <w:spacing w:before="2"/>
        <w:rPr>
          <w:sz w:val="19"/>
        </w:rPr>
      </w:pPr>
    </w:p>
    <w:p w14:paraId="6B682805" w14:textId="77777777" w:rsidR="00EF5B27" w:rsidRDefault="00000000">
      <w:pPr>
        <w:pStyle w:val="Heading3"/>
      </w:pPr>
      <w:r>
        <w:rPr>
          <w:color w:val="F99F2A"/>
          <w:w w:val="110"/>
        </w:rPr>
        <w:t>KPIs assessed</w:t>
      </w:r>
    </w:p>
    <w:p w14:paraId="15D43F8E" w14:textId="77777777" w:rsidR="00EF5B27" w:rsidRDefault="00000000">
      <w:pPr>
        <w:pStyle w:val="BodyText"/>
        <w:spacing w:before="221"/>
        <w:ind w:left="2608"/>
      </w:pPr>
      <w:r>
        <w:rPr>
          <w:color w:val="4D4D4F"/>
          <w:w w:val="105"/>
        </w:rPr>
        <w:t>Progress towards this goal is measured using a single KPI:</w:t>
      </w:r>
    </w:p>
    <w:p w14:paraId="0A96E841" w14:textId="77777777" w:rsidR="00EF5B27" w:rsidRDefault="00000000">
      <w:pPr>
        <w:pStyle w:val="BodyText"/>
        <w:spacing w:before="130" w:line="254" w:lineRule="auto"/>
        <w:ind w:left="2778" w:right="151" w:hanging="170"/>
      </w:pPr>
      <w:r>
        <w:rPr>
          <w:color w:val="4D4D4F"/>
        </w:rPr>
        <w:t>1. Annual detection rate of known plants, which must remain above a baseline, set in the first five years of monitoring.</w:t>
      </w:r>
    </w:p>
    <w:p w14:paraId="5A58CBE5" w14:textId="77777777" w:rsidR="00EF5B27" w:rsidRDefault="00000000">
      <w:pPr>
        <w:pStyle w:val="BodyText"/>
        <w:spacing w:before="115" w:line="254" w:lineRule="auto"/>
        <w:ind w:left="2608"/>
      </w:pPr>
      <w:r>
        <w:rPr>
          <w:color w:val="4D4D4F"/>
        </w:rPr>
        <w:t>Note this target is different from that included in the published MRF. The MRF will be updated as explained below.</w:t>
      </w:r>
    </w:p>
    <w:p w14:paraId="1B92F892" w14:textId="77777777" w:rsidR="00EF5B27" w:rsidRDefault="00000000">
      <w:pPr>
        <w:pStyle w:val="BodyText"/>
        <w:spacing w:before="116" w:line="254" w:lineRule="auto"/>
        <w:ind w:left="2608" w:right="127"/>
      </w:pPr>
      <w:r>
        <w:rPr>
          <w:color w:val="4D4D4F"/>
        </w:rPr>
        <w:t>The baseline detection rate will be set from the Kalkallo Common population in 2022, the fifth year of sampling. Currently, the mean detection rate is 0.92 (from the first four years of monitoring only).</w:t>
      </w:r>
    </w:p>
    <w:p w14:paraId="7056AD7C" w14:textId="77777777" w:rsidR="00EF5B27" w:rsidRDefault="00EF5B27">
      <w:pPr>
        <w:spacing w:line="254" w:lineRule="auto"/>
        <w:sectPr w:rsidR="00EF5B27">
          <w:pgSz w:w="11910" w:h="16840"/>
          <w:pgMar w:top="1080" w:right="1020" w:bottom="860" w:left="1020" w:header="537" w:footer="678" w:gutter="0"/>
          <w:cols w:space="720"/>
        </w:sectPr>
      </w:pPr>
    </w:p>
    <w:p w14:paraId="484A73F2" w14:textId="77777777" w:rsidR="00EF5B27" w:rsidRDefault="00000000">
      <w:pPr>
        <w:pStyle w:val="BodyText"/>
      </w:pPr>
      <w:r>
        <w:lastRenderedPageBreak/>
        <w:pict w14:anchorId="47874574">
          <v:group id="_x0000_s3087" style="position:absolute;margin-left:587.05pt;margin-top:183.4pt;width:8.25pt;height:153.1pt;z-index:251639296;mso-position-horizontal-relative:page;mso-position-vertical-relative:page" coordorigin="11741,3668" coordsize="165,3062">
            <v:shape id="_x0000_s3094" style="position:absolute;left:11741;top:3668;width:165;height:561" coordorigin="11741,3668" coordsize="165,561" path="m11906,3668r-165,l11741,4228r165,-18l11906,3668xe" fillcolor="#00aed9" stroked="f">
              <v:path arrowok="t"/>
            </v:shape>
            <v:shape id="_x0000_s3093" style="position:absolute;left:11741;top:4118;width:165;height:425" coordorigin="11741,4118" coordsize="165,425" path="m11906,4118r-165,14l11741,4531r165,12l11906,4118xe" fillcolor="#047ebc" stroked="f">
              <v:path arrowok="t"/>
            </v:shape>
            <v:shape id="_x0000_s3092" type="#_x0000_t75" style="position:absolute;left:11741;top:4355;width:165;height:587">
              <v:imagedata r:id="rId42" o:title=""/>
            </v:shape>
            <v:shape id="_x0000_s3091" style="position:absolute;left:11741;top:5343;width:165;height:536" coordorigin="11741,5343" coordsize="165,536" path="m11741,5343r,535l11906,5872r,-525l11741,5343xe" fillcolor="#f36a2e" stroked="f">
              <v:path arrowok="t"/>
            </v:shape>
            <v:shape id="_x0000_s3090" style="position:absolute;left:11741;top:4925;width:165;height:501" coordorigin="11741,4926" coordsize="165,501" path="m11741,4926r,500l11906,5426r,-485l11741,4926xe" fillcolor="#49783f" stroked="f">
              <v:path arrowok="t"/>
            </v:shape>
            <v:shape id="_x0000_s3089" style="position:absolute;left:11741;top:5781;width:165;height:268" coordorigin="11741,5782" coordsize="165,268" path="m11906,5782r-165,8l11741,6039r165,10l11906,5782xe" fillcolor="#f99f2a" stroked="f">
              <v:path arrowok="t"/>
            </v:shape>
            <v:shape id="_x0000_s3088" style="position:absolute;left:11741;top:6023;width:165;height:707" coordorigin="11741,6023" coordsize="165,707" path="m11741,6023r,706l11906,6729r,-690l11741,6023xe" fillcolor="#ef412c" stroked="f">
              <v:path arrowok="t"/>
            </v:shape>
            <w10:wrap anchorx="page" anchory="page"/>
          </v:group>
        </w:pict>
      </w:r>
    </w:p>
    <w:p w14:paraId="6B4ED52A" w14:textId="77777777" w:rsidR="00EF5B27" w:rsidRDefault="00EF5B27">
      <w:pPr>
        <w:pStyle w:val="BodyText"/>
      </w:pPr>
    </w:p>
    <w:p w14:paraId="4A54ACAF" w14:textId="77777777" w:rsidR="00EF5B27" w:rsidRDefault="00EF5B27">
      <w:pPr>
        <w:pStyle w:val="BodyText"/>
      </w:pPr>
    </w:p>
    <w:p w14:paraId="2D719C4D" w14:textId="77777777" w:rsidR="00EF5B27" w:rsidRDefault="00EF5B27">
      <w:pPr>
        <w:pStyle w:val="BodyText"/>
      </w:pPr>
    </w:p>
    <w:p w14:paraId="7A8610EF" w14:textId="77777777" w:rsidR="00EF5B27" w:rsidRDefault="00EF5B27">
      <w:pPr>
        <w:pStyle w:val="BodyText"/>
        <w:spacing w:before="5"/>
        <w:rPr>
          <w:sz w:val="16"/>
        </w:rPr>
      </w:pPr>
    </w:p>
    <w:tbl>
      <w:tblPr>
        <w:tblW w:w="0" w:type="auto"/>
        <w:tblInd w:w="261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152"/>
        <w:gridCol w:w="4989"/>
      </w:tblGrid>
      <w:tr w:rsidR="00EF5B27" w14:paraId="71119D92" w14:textId="77777777">
        <w:trPr>
          <w:trHeight w:val="459"/>
        </w:trPr>
        <w:tc>
          <w:tcPr>
            <w:tcW w:w="2152" w:type="dxa"/>
            <w:shd w:val="clear" w:color="auto" w:fill="FECC91"/>
          </w:tcPr>
          <w:p w14:paraId="04448E4C" w14:textId="77777777" w:rsidR="00EF5B27" w:rsidRDefault="00000000">
            <w:pPr>
              <w:pStyle w:val="TableParagraph"/>
              <w:spacing w:before="140"/>
              <w:ind w:left="113"/>
              <w:rPr>
                <w:b/>
                <w:sz w:val="16"/>
              </w:rPr>
            </w:pPr>
            <w:r>
              <w:rPr>
                <w:b/>
                <w:w w:val="105"/>
                <w:sz w:val="16"/>
              </w:rPr>
              <w:t>MNES</w:t>
            </w:r>
          </w:p>
        </w:tc>
        <w:tc>
          <w:tcPr>
            <w:tcW w:w="4989" w:type="dxa"/>
          </w:tcPr>
          <w:p w14:paraId="5513BB9F" w14:textId="77777777" w:rsidR="00EF5B27" w:rsidRDefault="00000000">
            <w:pPr>
              <w:pStyle w:val="TableParagraph"/>
              <w:spacing w:before="140"/>
              <w:ind w:left="113"/>
              <w:rPr>
                <w:sz w:val="16"/>
              </w:rPr>
            </w:pPr>
            <w:r>
              <w:rPr>
                <w:color w:val="4D4D4F"/>
                <w:sz w:val="16"/>
              </w:rPr>
              <w:t>5. Matted Flax-lily</w:t>
            </w:r>
          </w:p>
        </w:tc>
      </w:tr>
      <w:tr w:rsidR="00EF5B27" w14:paraId="1A68781D" w14:textId="77777777">
        <w:trPr>
          <w:trHeight w:val="859"/>
        </w:trPr>
        <w:tc>
          <w:tcPr>
            <w:tcW w:w="2152" w:type="dxa"/>
            <w:shd w:val="clear" w:color="auto" w:fill="FECC91"/>
          </w:tcPr>
          <w:p w14:paraId="4BD6EFEF" w14:textId="77777777" w:rsidR="00EF5B27" w:rsidRDefault="00000000">
            <w:pPr>
              <w:pStyle w:val="TableParagraph"/>
              <w:spacing w:before="140" w:line="244" w:lineRule="auto"/>
              <w:ind w:left="113" w:right="279"/>
              <w:rPr>
                <w:b/>
                <w:sz w:val="16"/>
              </w:rPr>
            </w:pPr>
            <w:r>
              <w:rPr>
                <w:b/>
                <w:sz w:val="16"/>
              </w:rPr>
              <w:t>Commonwealth approved 2015 MSA MRF single outcome statement</w:t>
            </w:r>
          </w:p>
        </w:tc>
        <w:tc>
          <w:tcPr>
            <w:tcW w:w="4989" w:type="dxa"/>
          </w:tcPr>
          <w:p w14:paraId="0FBF9472" w14:textId="77777777" w:rsidR="00EF5B27" w:rsidRDefault="00EF5B27">
            <w:pPr>
              <w:pStyle w:val="TableParagraph"/>
              <w:spacing w:before="10"/>
              <w:rPr>
                <w:sz w:val="27"/>
              </w:rPr>
            </w:pPr>
          </w:p>
          <w:p w14:paraId="43AE8D1D" w14:textId="77777777" w:rsidR="00EF5B27" w:rsidRDefault="00000000">
            <w:pPr>
              <w:pStyle w:val="TableParagraph"/>
              <w:ind w:left="113"/>
              <w:rPr>
                <w:sz w:val="16"/>
              </w:rPr>
            </w:pPr>
            <w:r>
              <w:rPr>
                <w:color w:val="4D4D4F"/>
                <w:sz w:val="16"/>
              </w:rPr>
              <w:t>No substantial negative change to populations of Matted Flax-lily.</w:t>
            </w:r>
          </w:p>
        </w:tc>
      </w:tr>
      <w:tr w:rsidR="00EF5B27" w14:paraId="35969CCE" w14:textId="77777777">
        <w:trPr>
          <w:trHeight w:val="859"/>
        </w:trPr>
        <w:tc>
          <w:tcPr>
            <w:tcW w:w="2152" w:type="dxa"/>
            <w:shd w:val="clear" w:color="auto" w:fill="FECC91"/>
          </w:tcPr>
          <w:p w14:paraId="34D4BD90" w14:textId="77777777" w:rsidR="00EF5B27" w:rsidRDefault="00000000">
            <w:pPr>
              <w:pStyle w:val="TableParagraph"/>
              <w:spacing w:before="140" w:line="244" w:lineRule="auto"/>
              <w:ind w:left="113"/>
              <w:rPr>
                <w:b/>
                <w:sz w:val="16"/>
              </w:rPr>
            </w:pPr>
            <w:r>
              <w:rPr>
                <w:b/>
                <w:sz w:val="16"/>
              </w:rPr>
              <w:t>2014–2020 Ecological Outcomes Report single outcome statement</w:t>
            </w:r>
          </w:p>
        </w:tc>
        <w:tc>
          <w:tcPr>
            <w:tcW w:w="4989" w:type="dxa"/>
          </w:tcPr>
          <w:p w14:paraId="60790CA9" w14:textId="77777777" w:rsidR="00EF5B27" w:rsidRDefault="00EF5B27">
            <w:pPr>
              <w:pStyle w:val="TableParagraph"/>
              <w:spacing w:before="10"/>
              <w:rPr>
                <w:sz w:val="27"/>
              </w:rPr>
            </w:pPr>
          </w:p>
          <w:p w14:paraId="1EE796F3" w14:textId="77777777" w:rsidR="00EF5B27" w:rsidRDefault="00000000">
            <w:pPr>
              <w:pStyle w:val="TableParagraph"/>
              <w:ind w:left="113"/>
              <w:rPr>
                <w:sz w:val="16"/>
              </w:rPr>
            </w:pPr>
            <w:r>
              <w:rPr>
                <w:color w:val="4D4D4F"/>
                <w:w w:val="105"/>
                <w:sz w:val="16"/>
              </w:rPr>
              <w:t>Matted Flax-lily persists.</w:t>
            </w:r>
          </w:p>
        </w:tc>
      </w:tr>
      <w:tr w:rsidR="00EF5B27" w14:paraId="3C489E06" w14:textId="77777777">
        <w:trPr>
          <w:trHeight w:val="3826"/>
        </w:trPr>
        <w:tc>
          <w:tcPr>
            <w:tcW w:w="2152" w:type="dxa"/>
            <w:shd w:val="clear" w:color="auto" w:fill="FECC91"/>
          </w:tcPr>
          <w:p w14:paraId="6E0A4AF9" w14:textId="77777777" w:rsidR="00EF5B27" w:rsidRDefault="00EF5B27">
            <w:pPr>
              <w:pStyle w:val="TableParagraph"/>
              <w:rPr>
                <w:sz w:val="20"/>
              </w:rPr>
            </w:pPr>
          </w:p>
          <w:p w14:paraId="1BEB1EE1" w14:textId="77777777" w:rsidR="00EF5B27" w:rsidRDefault="00EF5B27">
            <w:pPr>
              <w:pStyle w:val="TableParagraph"/>
              <w:rPr>
                <w:sz w:val="20"/>
              </w:rPr>
            </w:pPr>
          </w:p>
          <w:p w14:paraId="260C7149" w14:textId="77777777" w:rsidR="00EF5B27" w:rsidRDefault="00EF5B27">
            <w:pPr>
              <w:pStyle w:val="TableParagraph"/>
              <w:rPr>
                <w:sz w:val="20"/>
              </w:rPr>
            </w:pPr>
          </w:p>
          <w:p w14:paraId="4662C54D" w14:textId="77777777" w:rsidR="00EF5B27" w:rsidRDefault="00EF5B27">
            <w:pPr>
              <w:pStyle w:val="TableParagraph"/>
              <w:rPr>
                <w:sz w:val="20"/>
              </w:rPr>
            </w:pPr>
          </w:p>
          <w:p w14:paraId="5637F543" w14:textId="77777777" w:rsidR="00EF5B27" w:rsidRDefault="00EF5B27">
            <w:pPr>
              <w:pStyle w:val="TableParagraph"/>
              <w:rPr>
                <w:sz w:val="20"/>
              </w:rPr>
            </w:pPr>
          </w:p>
          <w:p w14:paraId="3BC8E075" w14:textId="77777777" w:rsidR="00EF5B27" w:rsidRDefault="00EF5B27">
            <w:pPr>
              <w:pStyle w:val="TableParagraph"/>
              <w:spacing w:before="9"/>
              <w:rPr>
                <w:sz w:val="24"/>
              </w:rPr>
            </w:pPr>
          </w:p>
          <w:p w14:paraId="2457CF88" w14:textId="77777777" w:rsidR="00EF5B27" w:rsidRDefault="00000000">
            <w:pPr>
              <w:pStyle w:val="TableParagraph"/>
              <w:spacing w:line="244" w:lineRule="auto"/>
              <w:ind w:left="113"/>
              <w:rPr>
                <w:b/>
                <w:sz w:val="16"/>
              </w:rPr>
            </w:pPr>
            <w:r>
              <w:rPr>
                <w:b/>
                <w:sz w:val="16"/>
              </w:rPr>
              <w:t>Conservation Outcomes published in the Victorian Government Gazette – Issue G4, 27 January 2022</w:t>
            </w:r>
          </w:p>
        </w:tc>
        <w:tc>
          <w:tcPr>
            <w:tcW w:w="4989" w:type="dxa"/>
          </w:tcPr>
          <w:p w14:paraId="57C164E1" w14:textId="77777777" w:rsidR="00EF5B27" w:rsidRDefault="00000000">
            <w:pPr>
              <w:pStyle w:val="TableParagraph"/>
              <w:spacing w:before="169"/>
              <w:ind w:left="113"/>
              <w:rPr>
                <w:sz w:val="16"/>
              </w:rPr>
            </w:pPr>
            <w:r>
              <w:rPr>
                <w:color w:val="4D4D4F"/>
                <w:sz w:val="16"/>
              </w:rPr>
              <w:t>The permanent protection of occupied habitat for Matted Flax-lily in:</w:t>
            </w:r>
          </w:p>
          <w:p w14:paraId="3147E8BA" w14:textId="77777777" w:rsidR="00EF5B27" w:rsidRDefault="00000000">
            <w:pPr>
              <w:pStyle w:val="TableParagraph"/>
              <w:numPr>
                <w:ilvl w:val="0"/>
                <w:numId w:val="29"/>
              </w:numPr>
              <w:tabs>
                <w:tab w:val="left" w:pos="227"/>
              </w:tabs>
              <w:spacing w:before="82" w:line="271" w:lineRule="auto"/>
              <w:ind w:right="345" w:hanging="113"/>
              <w:rPr>
                <w:sz w:val="16"/>
              </w:rPr>
            </w:pPr>
            <w:r>
              <w:rPr>
                <w:color w:val="4D4D4F"/>
                <w:sz w:val="16"/>
              </w:rPr>
              <w:t>the conservation areas identified in the BCS and the Conservation Areas</w:t>
            </w:r>
            <w:r>
              <w:rPr>
                <w:color w:val="4D4D4F"/>
                <w:spacing w:val="3"/>
                <w:sz w:val="16"/>
              </w:rPr>
              <w:t xml:space="preserve"> </w:t>
            </w:r>
            <w:r>
              <w:rPr>
                <w:color w:val="4D4D4F"/>
                <w:sz w:val="16"/>
              </w:rPr>
              <w:t>Declaration</w:t>
            </w:r>
          </w:p>
          <w:p w14:paraId="2EB7EB02" w14:textId="77777777" w:rsidR="00EF5B27" w:rsidRDefault="00000000">
            <w:pPr>
              <w:pStyle w:val="TableParagraph"/>
              <w:numPr>
                <w:ilvl w:val="0"/>
                <w:numId w:val="29"/>
              </w:numPr>
              <w:tabs>
                <w:tab w:val="left" w:pos="227"/>
              </w:tabs>
              <w:spacing w:before="55" w:line="271" w:lineRule="auto"/>
              <w:ind w:right="346" w:hanging="113"/>
              <w:rPr>
                <w:sz w:val="16"/>
              </w:rPr>
            </w:pPr>
            <w:r>
              <w:rPr>
                <w:color w:val="4D4D4F"/>
                <w:sz w:val="16"/>
              </w:rPr>
              <w:t xml:space="preserve">529 ha of conservation areas identified outside the UGB that can include land within the Grassy Eucalypt Woodland Protected </w:t>
            </w:r>
            <w:r>
              <w:rPr>
                <w:color w:val="4D4D4F"/>
                <w:spacing w:val="2"/>
                <w:sz w:val="16"/>
              </w:rPr>
              <w:t xml:space="preserve">Area </w:t>
            </w:r>
            <w:r>
              <w:rPr>
                <w:color w:val="4D4D4F"/>
                <w:sz w:val="16"/>
              </w:rPr>
              <w:t>(where occupied habitat is</w:t>
            </w:r>
            <w:r>
              <w:rPr>
                <w:color w:val="4D4D4F"/>
                <w:spacing w:val="11"/>
                <w:sz w:val="16"/>
              </w:rPr>
              <w:t xml:space="preserve"> </w:t>
            </w:r>
            <w:r>
              <w:rPr>
                <w:color w:val="4D4D4F"/>
                <w:sz w:val="16"/>
              </w:rPr>
              <w:t>found).</w:t>
            </w:r>
          </w:p>
          <w:p w14:paraId="60BF717C" w14:textId="77777777" w:rsidR="00EF5B27" w:rsidRDefault="00000000">
            <w:pPr>
              <w:pStyle w:val="TableParagraph"/>
              <w:spacing w:before="54" w:line="271" w:lineRule="auto"/>
              <w:ind w:left="113" w:right="260"/>
              <w:rPr>
                <w:sz w:val="16"/>
              </w:rPr>
            </w:pPr>
            <w:r>
              <w:rPr>
                <w:color w:val="4D4D4F"/>
                <w:sz w:val="16"/>
              </w:rPr>
              <w:t>Matted Flax-lily populations in the conservation areas identified in the BCS and the Conservation Areas Declaration, and those outside the UGB are sustained in the long-term. Sustained means that the five- year mean detection rate of previously known plants remains above the</w:t>
            </w:r>
            <w:r>
              <w:rPr>
                <w:color w:val="4D4D4F"/>
                <w:spacing w:val="3"/>
                <w:sz w:val="16"/>
              </w:rPr>
              <w:t xml:space="preserve"> </w:t>
            </w:r>
            <w:r>
              <w:rPr>
                <w:color w:val="4D4D4F"/>
                <w:sz w:val="16"/>
              </w:rPr>
              <w:t>baseline.</w:t>
            </w:r>
          </w:p>
          <w:p w14:paraId="2B718002" w14:textId="77777777" w:rsidR="00EF5B27" w:rsidRDefault="00000000">
            <w:pPr>
              <w:pStyle w:val="TableParagraph"/>
              <w:spacing w:before="54" w:line="271" w:lineRule="auto"/>
              <w:ind w:left="113" w:right="260"/>
              <w:rPr>
                <w:sz w:val="16"/>
              </w:rPr>
            </w:pPr>
            <w:r>
              <w:rPr>
                <w:color w:val="4D4D4F"/>
                <w:sz w:val="16"/>
              </w:rPr>
              <w:t xml:space="preserve">Matted Flax-lily populations in the Grassy Eucalypt Woodland Protected </w:t>
            </w:r>
            <w:r>
              <w:rPr>
                <w:color w:val="4D4D4F"/>
                <w:spacing w:val="2"/>
                <w:sz w:val="16"/>
              </w:rPr>
              <w:t xml:space="preserve">Area </w:t>
            </w:r>
            <w:r>
              <w:rPr>
                <w:color w:val="4D4D4F"/>
                <w:sz w:val="16"/>
              </w:rPr>
              <w:t>are sustained in the long-term. Sustained means that the five-year mean detection rate of previously known plants remains above the</w:t>
            </w:r>
            <w:r>
              <w:rPr>
                <w:color w:val="4D4D4F"/>
                <w:spacing w:val="6"/>
                <w:sz w:val="16"/>
              </w:rPr>
              <w:t xml:space="preserve"> </w:t>
            </w:r>
            <w:r>
              <w:rPr>
                <w:color w:val="4D4D4F"/>
                <w:sz w:val="16"/>
              </w:rPr>
              <w:t>baseline</w:t>
            </w:r>
          </w:p>
        </w:tc>
      </w:tr>
    </w:tbl>
    <w:p w14:paraId="48E32917" w14:textId="77777777" w:rsidR="00EF5B27" w:rsidRDefault="00EF5B27">
      <w:pPr>
        <w:pStyle w:val="BodyText"/>
        <w:spacing w:before="11"/>
        <w:rPr>
          <w:sz w:val="28"/>
        </w:rPr>
      </w:pPr>
    </w:p>
    <w:p w14:paraId="4DAC3A2F" w14:textId="77777777" w:rsidR="00EF5B27" w:rsidRDefault="00000000">
      <w:pPr>
        <w:spacing w:before="44"/>
        <w:ind w:left="2608"/>
        <w:rPr>
          <w:sz w:val="28"/>
        </w:rPr>
      </w:pPr>
      <w:r>
        <w:rPr>
          <w:color w:val="F99F2A"/>
          <w:sz w:val="28"/>
        </w:rPr>
        <w:t>Monitored areas</w:t>
      </w:r>
    </w:p>
    <w:p w14:paraId="63410D51" w14:textId="77777777" w:rsidR="00EF5B27" w:rsidRDefault="00000000">
      <w:pPr>
        <w:pStyle w:val="BodyText"/>
        <w:spacing w:before="221" w:line="254" w:lineRule="auto"/>
        <w:ind w:left="2608" w:right="30"/>
      </w:pPr>
      <w:r>
        <w:rPr>
          <w:color w:val="4D4D4F"/>
        </w:rPr>
        <w:t>Matted Flax-lily is known to occur in at least seven separate conservation areas within the MSA program area.</w:t>
      </w:r>
      <w:r>
        <w:rPr>
          <w:color w:val="4D4D4F"/>
          <w:position w:val="7"/>
          <w:sz w:val="11"/>
        </w:rPr>
        <w:t xml:space="preserve">187 </w:t>
      </w:r>
      <w:r>
        <w:rPr>
          <w:color w:val="4D4D4F"/>
        </w:rPr>
        <w:t xml:space="preserve">Only one of these sites has so far come under management within the MSA program before </w:t>
      </w:r>
      <w:r>
        <w:rPr>
          <w:color w:val="4D4D4F"/>
          <w:spacing w:val="-3"/>
        </w:rPr>
        <w:t xml:space="preserve">2021, </w:t>
      </w:r>
      <w:r>
        <w:rPr>
          <w:color w:val="4D4D4F"/>
        </w:rPr>
        <w:t xml:space="preserve">Conservation Area 24, the Kalkallo Common Grassland. This </w:t>
      </w:r>
      <w:r>
        <w:rPr>
          <w:color w:val="4D4D4F"/>
          <w:spacing w:val="-3"/>
        </w:rPr>
        <w:t xml:space="preserve">site </w:t>
      </w:r>
      <w:r>
        <w:rPr>
          <w:color w:val="4D4D4F"/>
        </w:rPr>
        <w:t xml:space="preserve">has been monitored under the MSA since </w:t>
      </w:r>
      <w:r>
        <w:rPr>
          <w:color w:val="4D4D4F"/>
          <w:spacing w:val="-4"/>
        </w:rPr>
        <w:t xml:space="preserve">2016, </w:t>
      </w:r>
      <w:r>
        <w:rPr>
          <w:color w:val="4D4D4F"/>
        </w:rPr>
        <w:t xml:space="preserve">following a </w:t>
      </w:r>
      <w:r>
        <w:rPr>
          <w:color w:val="4D4D4F"/>
          <w:spacing w:val="-3"/>
        </w:rPr>
        <w:t xml:space="preserve">site </w:t>
      </w:r>
      <w:r>
        <w:rPr>
          <w:color w:val="4D4D4F"/>
        </w:rPr>
        <w:t xml:space="preserve">inventory to locate known plants in </w:t>
      </w:r>
      <w:r>
        <w:rPr>
          <w:color w:val="4D4D4F"/>
          <w:spacing w:val="-4"/>
        </w:rPr>
        <w:t xml:space="preserve">2015. </w:t>
      </w:r>
      <w:r>
        <w:rPr>
          <w:color w:val="4D4D4F"/>
        </w:rPr>
        <w:t xml:space="preserve">It was not monitored in 2020 due to </w:t>
      </w:r>
      <w:r>
        <w:rPr>
          <w:color w:val="4D4D4F"/>
          <w:spacing w:val="-5"/>
        </w:rPr>
        <w:t>COVID-19.</w:t>
      </w:r>
    </w:p>
    <w:p w14:paraId="51A8BA03" w14:textId="77777777" w:rsidR="00EF5B27" w:rsidRDefault="00000000">
      <w:pPr>
        <w:pStyle w:val="BodyText"/>
        <w:spacing w:before="119" w:line="254" w:lineRule="auto"/>
        <w:ind w:left="2608" w:right="279"/>
      </w:pPr>
      <w:r>
        <w:rPr>
          <w:color w:val="4D4D4F"/>
        </w:rPr>
        <w:t>At Kalkallo Common Grassland, Matted Flax-lily plants have been translocated into the stony rises. These translocations pre-date the MSA, and these plants have been monitored under a different project, funded separately from the MSA. These plants are not included in MSA monitoring, although it is acknowledged that they form part of the Matted Flax-lily population in functional terms (i.e. they likely contribute pollen and seeds to the population).</w:t>
      </w:r>
    </w:p>
    <w:p w14:paraId="50F4D9E8" w14:textId="77777777" w:rsidR="00EF5B27" w:rsidRDefault="00000000">
      <w:pPr>
        <w:pStyle w:val="BodyText"/>
        <w:spacing w:before="121" w:line="254" w:lineRule="auto"/>
        <w:ind w:left="2608" w:right="151"/>
      </w:pPr>
      <w:r>
        <w:rPr>
          <w:color w:val="4D4D4F"/>
        </w:rPr>
        <w:t>A second population of at least 58 clumps has since been protected at Mount Ridley and will be monitored from 2021. In 2021 the site was searched and 58 plants found.</w:t>
      </w:r>
    </w:p>
    <w:p w14:paraId="5C588ACC" w14:textId="77777777" w:rsidR="00EF5B27" w:rsidRDefault="00EF5B27">
      <w:pPr>
        <w:pStyle w:val="BodyText"/>
      </w:pPr>
    </w:p>
    <w:p w14:paraId="4BD19511" w14:textId="77777777" w:rsidR="00EF5B27" w:rsidRDefault="00EF5B27">
      <w:pPr>
        <w:pStyle w:val="BodyText"/>
      </w:pPr>
    </w:p>
    <w:p w14:paraId="425088AA" w14:textId="77777777" w:rsidR="00EF5B27" w:rsidRDefault="00EF5B27">
      <w:pPr>
        <w:pStyle w:val="BodyText"/>
      </w:pPr>
    </w:p>
    <w:p w14:paraId="2697B348" w14:textId="77777777" w:rsidR="00EF5B27" w:rsidRDefault="00EF5B27">
      <w:pPr>
        <w:pStyle w:val="BodyText"/>
      </w:pPr>
    </w:p>
    <w:p w14:paraId="24C59C9C" w14:textId="77777777" w:rsidR="00EF5B27" w:rsidRDefault="00EF5B27">
      <w:pPr>
        <w:pStyle w:val="BodyText"/>
      </w:pPr>
    </w:p>
    <w:p w14:paraId="4C15E324" w14:textId="77777777" w:rsidR="00EF5B27" w:rsidRDefault="00EF5B27">
      <w:pPr>
        <w:pStyle w:val="BodyText"/>
      </w:pPr>
    </w:p>
    <w:p w14:paraId="7EB7A714" w14:textId="77777777" w:rsidR="00EF5B27" w:rsidRDefault="00EF5B27">
      <w:pPr>
        <w:pStyle w:val="BodyText"/>
      </w:pPr>
    </w:p>
    <w:p w14:paraId="6691A3A6" w14:textId="77777777" w:rsidR="00EF5B27" w:rsidRDefault="00000000">
      <w:pPr>
        <w:pStyle w:val="BodyText"/>
        <w:spacing w:before="9"/>
        <w:rPr>
          <w:sz w:val="23"/>
        </w:rPr>
      </w:pPr>
      <w:r>
        <w:pict w14:anchorId="2B803BD3">
          <v:line id="_x0000_s3086" style="position:absolute;z-index:251588096;mso-wrap-distance-left:0;mso-wrap-distance-right:0;mso-position-horizontal-relative:page" from="181.4pt,16.7pt" to="538.6pt,16.7pt" strokecolor="#4d4d4f" strokeweight=".5pt">
            <w10:wrap type="topAndBottom" anchorx="page"/>
          </v:line>
        </w:pict>
      </w:r>
    </w:p>
    <w:p w14:paraId="7C3FFB08" w14:textId="77777777" w:rsidR="00EF5B27" w:rsidRDefault="00000000">
      <w:pPr>
        <w:pStyle w:val="ListParagraph"/>
        <w:numPr>
          <w:ilvl w:val="0"/>
          <w:numId w:val="28"/>
        </w:numPr>
        <w:tabs>
          <w:tab w:val="left" w:pos="2836"/>
        </w:tabs>
        <w:spacing w:before="83"/>
        <w:rPr>
          <w:sz w:val="12"/>
        </w:rPr>
      </w:pPr>
      <w:r>
        <w:rPr>
          <w:color w:val="4D4D4F"/>
          <w:sz w:val="12"/>
        </w:rPr>
        <w:t>DELWP</w:t>
      </w:r>
      <w:r>
        <w:rPr>
          <w:color w:val="4D4D4F"/>
          <w:spacing w:val="4"/>
          <w:sz w:val="12"/>
        </w:rPr>
        <w:t xml:space="preserve"> </w:t>
      </w:r>
      <w:r>
        <w:rPr>
          <w:color w:val="4D4D4F"/>
          <w:sz w:val="12"/>
        </w:rPr>
        <w:t>2015,</w:t>
      </w:r>
      <w:r>
        <w:rPr>
          <w:color w:val="4D4D4F"/>
          <w:spacing w:val="5"/>
          <w:sz w:val="12"/>
        </w:rPr>
        <w:t xml:space="preserve"> </w:t>
      </w:r>
      <w:r>
        <w:rPr>
          <w:color w:val="4D4D4F"/>
          <w:sz w:val="12"/>
        </w:rPr>
        <w:t>‘Monitoring</w:t>
      </w:r>
      <w:r>
        <w:rPr>
          <w:color w:val="4D4D4F"/>
          <w:spacing w:val="5"/>
          <w:sz w:val="12"/>
        </w:rPr>
        <w:t xml:space="preserve"> </w:t>
      </w:r>
      <w:r>
        <w:rPr>
          <w:color w:val="4D4D4F"/>
          <w:sz w:val="12"/>
        </w:rPr>
        <w:t>and</w:t>
      </w:r>
      <w:r>
        <w:rPr>
          <w:color w:val="4D4D4F"/>
          <w:spacing w:val="5"/>
          <w:sz w:val="12"/>
        </w:rPr>
        <w:t xml:space="preserve"> </w:t>
      </w:r>
      <w:r>
        <w:rPr>
          <w:color w:val="4D4D4F"/>
          <w:sz w:val="12"/>
        </w:rPr>
        <w:t>Reporting</w:t>
      </w:r>
      <w:r>
        <w:rPr>
          <w:color w:val="4D4D4F"/>
          <w:spacing w:val="5"/>
          <w:sz w:val="12"/>
        </w:rPr>
        <w:t xml:space="preserve"> </w:t>
      </w:r>
      <w:r>
        <w:rPr>
          <w:color w:val="4D4D4F"/>
          <w:sz w:val="12"/>
        </w:rPr>
        <w:t>Framework</w:t>
      </w:r>
      <w:r>
        <w:rPr>
          <w:color w:val="4D4D4F"/>
          <w:spacing w:val="5"/>
          <w:sz w:val="12"/>
        </w:rPr>
        <w:t xml:space="preserve"> </w:t>
      </w:r>
      <w:r>
        <w:rPr>
          <w:color w:val="4D4D4F"/>
          <w:sz w:val="12"/>
        </w:rPr>
        <w:t>–</w:t>
      </w:r>
      <w:r>
        <w:rPr>
          <w:color w:val="4D4D4F"/>
          <w:spacing w:val="5"/>
          <w:sz w:val="12"/>
        </w:rPr>
        <w:t xml:space="preserve"> </w:t>
      </w:r>
      <w:r>
        <w:rPr>
          <w:color w:val="4D4D4F"/>
          <w:sz w:val="12"/>
        </w:rPr>
        <w:t>Melbourne</w:t>
      </w:r>
      <w:r>
        <w:rPr>
          <w:color w:val="4D4D4F"/>
          <w:spacing w:val="5"/>
          <w:sz w:val="12"/>
        </w:rPr>
        <w:t xml:space="preserve"> </w:t>
      </w:r>
      <w:r>
        <w:rPr>
          <w:color w:val="4D4D4F"/>
          <w:sz w:val="12"/>
        </w:rPr>
        <w:t>Strategic</w:t>
      </w:r>
      <w:r>
        <w:rPr>
          <w:color w:val="4D4D4F"/>
          <w:spacing w:val="5"/>
          <w:sz w:val="12"/>
        </w:rPr>
        <w:t xml:space="preserve"> </w:t>
      </w:r>
      <w:r>
        <w:rPr>
          <w:color w:val="4D4D4F"/>
          <w:sz w:val="12"/>
        </w:rPr>
        <w:t>Assessment’,</w:t>
      </w:r>
      <w:r>
        <w:rPr>
          <w:color w:val="4D4D4F"/>
          <w:spacing w:val="5"/>
          <w:sz w:val="12"/>
        </w:rPr>
        <w:t xml:space="preserve"> </w:t>
      </w:r>
      <w:r>
        <w:rPr>
          <w:color w:val="4D4D4F"/>
          <w:sz w:val="12"/>
        </w:rPr>
        <w:t>East</w:t>
      </w:r>
      <w:r>
        <w:rPr>
          <w:color w:val="4D4D4F"/>
          <w:spacing w:val="5"/>
          <w:sz w:val="12"/>
        </w:rPr>
        <w:t xml:space="preserve"> </w:t>
      </w:r>
      <w:r>
        <w:rPr>
          <w:color w:val="4D4D4F"/>
          <w:sz w:val="12"/>
        </w:rPr>
        <w:t>Melbourne,</w:t>
      </w:r>
      <w:r>
        <w:rPr>
          <w:color w:val="4D4D4F"/>
          <w:spacing w:val="5"/>
          <w:sz w:val="12"/>
        </w:rPr>
        <w:t xml:space="preserve"> </w:t>
      </w:r>
      <w:r>
        <w:rPr>
          <w:color w:val="4D4D4F"/>
          <w:sz w:val="12"/>
        </w:rPr>
        <w:t>Victoria.</w:t>
      </w:r>
    </w:p>
    <w:p w14:paraId="3D8E590B" w14:textId="77777777" w:rsidR="00EF5B27" w:rsidRDefault="00EF5B27">
      <w:pPr>
        <w:rPr>
          <w:sz w:val="12"/>
        </w:rPr>
        <w:sectPr w:rsidR="00EF5B27">
          <w:pgSz w:w="11910" w:h="16840"/>
          <w:pgMar w:top="1080" w:right="1020" w:bottom="860" w:left="1020" w:header="537" w:footer="678" w:gutter="0"/>
          <w:cols w:space="720"/>
        </w:sectPr>
      </w:pPr>
    </w:p>
    <w:p w14:paraId="18FACDA5" w14:textId="77777777" w:rsidR="00EF5B27" w:rsidRDefault="00000000">
      <w:pPr>
        <w:pStyle w:val="BodyText"/>
      </w:pPr>
      <w:r>
        <w:lastRenderedPageBreak/>
        <w:pict w14:anchorId="7183C878">
          <v:group id="_x0000_s3078" style="position:absolute;margin-left:587.05pt;margin-top:183.4pt;width:8.25pt;height:153.1pt;z-index:251641344;mso-position-horizontal-relative:page;mso-position-vertical-relative:page" coordorigin="11741,3668" coordsize="165,3062">
            <v:shape id="_x0000_s3085" style="position:absolute;left:11741;top:3668;width:165;height:561" coordorigin="11741,3668" coordsize="165,561" path="m11906,3668r-165,l11741,4228r165,-18l11906,3668xe" fillcolor="#00aed9" stroked="f">
              <v:path arrowok="t"/>
            </v:shape>
            <v:shape id="_x0000_s3084" style="position:absolute;left:11741;top:4118;width:165;height:425" coordorigin="11741,4118" coordsize="165,425" path="m11906,4118r-165,14l11741,4531r165,12l11906,4118xe" fillcolor="#047ebc" stroked="f">
              <v:path arrowok="t"/>
            </v:shape>
            <v:shape id="_x0000_s3083" type="#_x0000_t75" style="position:absolute;left:11741;top:4355;width:165;height:587">
              <v:imagedata r:id="rId42" o:title=""/>
            </v:shape>
            <v:shape id="_x0000_s3082" style="position:absolute;left:11741;top:5343;width:165;height:536" coordorigin="11741,5343" coordsize="165,536" path="m11741,5343r,535l11906,5872r,-525l11741,5343xe" fillcolor="#f36a2e" stroked="f">
              <v:path arrowok="t"/>
            </v:shape>
            <v:shape id="_x0000_s3081" style="position:absolute;left:11741;top:4925;width:165;height:501" coordorigin="11741,4926" coordsize="165,501" path="m11741,4926r,500l11906,5426r,-485l11741,4926xe" fillcolor="#49783f" stroked="f">
              <v:path arrowok="t"/>
            </v:shape>
            <v:shape id="_x0000_s3080" style="position:absolute;left:11741;top:5781;width:165;height:268" coordorigin="11741,5782" coordsize="165,268" path="m11906,5782r-165,8l11741,6039r165,10l11906,5782xe" fillcolor="#f99f2a" stroked="f">
              <v:path arrowok="t"/>
            </v:shape>
            <v:shape id="_x0000_s3079" style="position:absolute;left:11741;top:6023;width:165;height:707" coordorigin="11741,6023" coordsize="165,707" path="m11741,6023r,706l11906,6729r,-690l11741,6023xe" fillcolor="#ef412c" stroked="f">
              <v:path arrowok="t"/>
            </v:shape>
            <w10:wrap anchorx="page" anchory="page"/>
          </v:group>
        </w:pict>
      </w:r>
    </w:p>
    <w:p w14:paraId="68AFF3D4" w14:textId="77777777" w:rsidR="00EF5B27" w:rsidRDefault="00EF5B27">
      <w:pPr>
        <w:pStyle w:val="BodyText"/>
      </w:pPr>
    </w:p>
    <w:p w14:paraId="4129F165" w14:textId="77777777" w:rsidR="00EF5B27" w:rsidRDefault="00EF5B27">
      <w:pPr>
        <w:pStyle w:val="BodyText"/>
      </w:pPr>
    </w:p>
    <w:p w14:paraId="011E8052" w14:textId="77777777" w:rsidR="00EF5B27" w:rsidRDefault="00EF5B27">
      <w:pPr>
        <w:pStyle w:val="BodyText"/>
      </w:pPr>
    </w:p>
    <w:p w14:paraId="0A2D67FD" w14:textId="77777777" w:rsidR="00EF5B27" w:rsidRDefault="00EF5B27">
      <w:pPr>
        <w:pStyle w:val="BodyText"/>
        <w:spacing w:before="7"/>
        <w:rPr>
          <w:sz w:val="15"/>
        </w:rPr>
      </w:pPr>
    </w:p>
    <w:bookmarkStart w:id="71" w:name="_bookmark49"/>
    <w:bookmarkEnd w:id="71"/>
    <w:p w14:paraId="0AFB101C" w14:textId="77777777" w:rsidR="00EF5B27" w:rsidRDefault="00000000">
      <w:pPr>
        <w:pStyle w:val="BodyText"/>
        <w:ind w:left="2598"/>
      </w:pPr>
      <w:r>
        <w:pict w14:anchorId="2F701612">
          <v:group id="_x0000_s3075" style="width:357.4pt;height:229pt;mso-position-horizontal-relative:char;mso-position-vertical-relative:line" coordsize="7148,4580">
            <v:shape id="_x0000_s3077" type="#_x0000_t75" style="position:absolute;left:2;top:2;width:7143;height:4575">
              <v:imagedata r:id="rId141" o:title=""/>
            </v:shape>
            <v:rect id="_x0000_s3076" style="position:absolute;left:2;top:2;width:7143;height:4575" filled="f" strokeweight=".25pt"/>
            <w10:anchorlock/>
          </v:group>
        </w:pict>
      </w:r>
    </w:p>
    <w:p w14:paraId="5CA5ADD1" w14:textId="77777777" w:rsidR="00EF5B27" w:rsidRDefault="00000000">
      <w:pPr>
        <w:tabs>
          <w:tab w:val="left" w:pos="8977"/>
        </w:tabs>
        <w:spacing w:before="102"/>
        <w:ind w:left="2608"/>
        <w:rPr>
          <w:rFonts w:ascii="Century Gothic"/>
          <w:i/>
          <w:sz w:val="12"/>
        </w:rPr>
      </w:pPr>
      <w:r>
        <w:rPr>
          <w:color w:val="4D4D4F"/>
          <w:sz w:val="16"/>
        </w:rPr>
        <w:t xml:space="preserve">Figure 24: Map of monitored locations for the </w:t>
      </w:r>
      <w:r>
        <w:rPr>
          <w:color w:val="4D4D4F"/>
          <w:spacing w:val="2"/>
          <w:sz w:val="16"/>
        </w:rPr>
        <w:t xml:space="preserve"> </w:t>
      </w:r>
      <w:r>
        <w:rPr>
          <w:color w:val="4D4D4F"/>
          <w:sz w:val="16"/>
        </w:rPr>
        <w:t>Matted</w:t>
      </w:r>
      <w:r>
        <w:rPr>
          <w:color w:val="4D4D4F"/>
          <w:spacing w:val="4"/>
          <w:sz w:val="16"/>
        </w:rPr>
        <w:t xml:space="preserve"> </w:t>
      </w:r>
      <w:r>
        <w:rPr>
          <w:color w:val="4D4D4F"/>
          <w:sz w:val="16"/>
        </w:rPr>
        <w:t>Flax-lily</w:t>
      </w:r>
      <w:r>
        <w:rPr>
          <w:color w:val="4D4D4F"/>
          <w:sz w:val="16"/>
        </w:rPr>
        <w:tab/>
      </w:r>
      <w:r>
        <w:rPr>
          <w:rFonts w:ascii="Century Gothic"/>
          <w:i/>
          <w:color w:val="4D4D4F"/>
          <w:sz w:val="12"/>
        </w:rPr>
        <w:t>Source:</w:t>
      </w:r>
      <w:r>
        <w:rPr>
          <w:rFonts w:ascii="Century Gothic"/>
          <w:i/>
          <w:color w:val="4D4D4F"/>
          <w:spacing w:val="-21"/>
          <w:sz w:val="12"/>
        </w:rPr>
        <w:t xml:space="preserve"> </w:t>
      </w:r>
      <w:r>
        <w:rPr>
          <w:rFonts w:ascii="Century Gothic"/>
          <w:i/>
          <w:color w:val="4D4D4F"/>
          <w:sz w:val="12"/>
        </w:rPr>
        <w:t>DELWP</w:t>
      </w:r>
    </w:p>
    <w:p w14:paraId="5B0A107D" w14:textId="77777777" w:rsidR="00EF5B27" w:rsidRDefault="00EF5B27">
      <w:pPr>
        <w:pStyle w:val="BodyText"/>
        <w:spacing w:before="6"/>
        <w:rPr>
          <w:rFonts w:ascii="Century Gothic"/>
          <w:i/>
          <w:sz w:val="29"/>
        </w:rPr>
      </w:pPr>
    </w:p>
    <w:p w14:paraId="2C278099" w14:textId="77777777" w:rsidR="00EF5B27" w:rsidRDefault="00000000">
      <w:pPr>
        <w:pStyle w:val="Heading3"/>
      </w:pPr>
      <w:r>
        <w:rPr>
          <w:color w:val="F99F2A"/>
          <w:w w:val="105"/>
        </w:rPr>
        <w:t>Results: KPI</w:t>
      </w:r>
    </w:p>
    <w:p w14:paraId="027D4AB9" w14:textId="77777777" w:rsidR="00EF5B27" w:rsidRDefault="00000000">
      <w:pPr>
        <w:pStyle w:val="Heading6"/>
        <w:spacing w:before="222"/>
      </w:pPr>
      <w:r>
        <w:rPr>
          <w:color w:val="4D4D4F"/>
        </w:rPr>
        <w:t>KPI 1: Percentage of plants detected each year</w:t>
      </w:r>
    </w:p>
    <w:p w14:paraId="1BA84638" w14:textId="77777777" w:rsidR="00EF5B27" w:rsidRDefault="00EF5B27">
      <w:pPr>
        <w:pStyle w:val="BodyText"/>
        <w:spacing w:before="1" w:after="1"/>
        <w:rPr>
          <w:b/>
          <w:sz w:val="14"/>
        </w:rPr>
      </w:pPr>
    </w:p>
    <w:tbl>
      <w:tblPr>
        <w:tblW w:w="0" w:type="auto"/>
        <w:tblInd w:w="12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30319D2B" w14:textId="77777777">
        <w:trPr>
          <w:trHeight w:val="559"/>
        </w:trPr>
        <w:tc>
          <w:tcPr>
            <w:tcW w:w="2980" w:type="dxa"/>
            <w:shd w:val="clear" w:color="auto" w:fill="FECC91"/>
          </w:tcPr>
          <w:p w14:paraId="219A8FDD" w14:textId="77777777" w:rsidR="00EF5B27" w:rsidRDefault="00000000">
            <w:pPr>
              <w:pStyle w:val="TableParagraph"/>
              <w:spacing w:before="89" w:line="244" w:lineRule="auto"/>
              <w:ind w:left="80" w:right="764"/>
              <w:rPr>
                <w:b/>
                <w:sz w:val="16"/>
              </w:rPr>
            </w:pPr>
            <w:r>
              <w:rPr>
                <w:b/>
                <w:sz w:val="16"/>
              </w:rPr>
              <w:t>KPI 1: Percentage of plants detected each year</w:t>
            </w:r>
          </w:p>
        </w:tc>
        <w:tc>
          <w:tcPr>
            <w:tcW w:w="1078" w:type="dxa"/>
            <w:shd w:val="clear" w:color="auto" w:fill="FECC91"/>
          </w:tcPr>
          <w:p w14:paraId="418DE0A2" w14:textId="77777777" w:rsidR="00EF5B27" w:rsidRDefault="00000000">
            <w:pPr>
              <w:pStyle w:val="TableParagraph"/>
              <w:spacing w:before="89" w:line="244" w:lineRule="auto"/>
              <w:ind w:left="169" w:right="164" w:firstLine="148"/>
              <w:rPr>
                <w:b/>
                <w:sz w:val="16"/>
              </w:rPr>
            </w:pPr>
            <w:r>
              <w:rPr>
                <w:b/>
                <w:w w:val="105"/>
                <w:sz w:val="16"/>
              </w:rPr>
              <w:t>Status 2020-2022</w:t>
            </w:r>
          </w:p>
        </w:tc>
        <w:tc>
          <w:tcPr>
            <w:tcW w:w="2155" w:type="dxa"/>
            <w:shd w:val="clear" w:color="auto" w:fill="FECC91"/>
          </w:tcPr>
          <w:p w14:paraId="7AEF8E66" w14:textId="77777777" w:rsidR="00EF5B27" w:rsidRDefault="00EF5B27">
            <w:pPr>
              <w:pStyle w:val="TableParagraph"/>
              <w:spacing w:before="6"/>
              <w:rPr>
                <w:b/>
                <w:sz w:val="15"/>
              </w:rPr>
            </w:pPr>
          </w:p>
          <w:p w14:paraId="5336E04E" w14:textId="77777777" w:rsidR="00EF5B27" w:rsidRDefault="00000000">
            <w:pPr>
              <w:pStyle w:val="TableParagraph"/>
              <w:ind w:left="143" w:right="142"/>
              <w:jc w:val="center"/>
              <w:rPr>
                <w:b/>
                <w:sz w:val="16"/>
              </w:rPr>
            </w:pPr>
            <w:r>
              <w:rPr>
                <w:b/>
                <w:sz w:val="16"/>
              </w:rPr>
              <w:t>Reason for non-assessment</w:t>
            </w:r>
          </w:p>
        </w:tc>
        <w:tc>
          <w:tcPr>
            <w:tcW w:w="964" w:type="dxa"/>
            <w:shd w:val="clear" w:color="auto" w:fill="FECC91"/>
          </w:tcPr>
          <w:p w14:paraId="7B47F6E9" w14:textId="77777777" w:rsidR="00EF5B27" w:rsidRDefault="00EF5B27">
            <w:pPr>
              <w:pStyle w:val="TableParagraph"/>
              <w:spacing w:before="6"/>
              <w:rPr>
                <w:b/>
                <w:sz w:val="15"/>
              </w:rPr>
            </w:pPr>
          </w:p>
          <w:p w14:paraId="12D83C0A" w14:textId="77777777" w:rsidR="00EF5B27" w:rsidRDefault="00000000">
            <w:pPr>
              <w:pStyle w:val="TableParagraph"/>
              <w:ind w:left="283"/>
              <w:rPr>
                <w:b/>
                <w:sz w:val="16"/>
              </w:rPr>
            </w:pPr>
            <w:r>
              <w:rPr>
                <w:b/>
                <w:sz w:val="16"/>
              </w:rPr>
              <w:t>Trend</w:t>
            </w:r>
          </w:p>
        </w:tc>
        <w:tc>
          <w:tcPr>
            <w:tcW w:w="964" w:type="dxa"/>
            <w:shd w:val="clear" w:color="auto" w:fill="FECC91"/>
          </w:tcPr>
          <w:p w14:paraId="0C83F49F" w14:textId="77777777" w:rsidR="00EF5B27" w:rsidRDefault="00000000">
            <w:pPr>
              <w:pStyle w:val="TableParagraph"/>
              <w:spacing w:before="89" w:line="244" w:lineRule="auto"/>
              <w:ind w:left="105" w:right="87" w:firstLine="217"/>
              <w:rPr>
                <w:b/>
                <w:sz w:val="16"/>
              </w:rPr>
            </w:pPr>
            <w:r>
              <w:rPr>
                <w:b/>
                <w:sz w:val="16"/>
              </w:rPr>
              <w:t>Data Confidence</w:t>
            </w:r>
          </w:p>
        </w:tc>
        <w:tc>
          <w:tcPr>
            <w:tcW w:w="1489" w:type="dxa"/>
            <w:shd w:val="clear" w:color="auto" w:fill="FECC91"/>
          </w:tcPr>
          <w:p w14:paraId="3D4C38F3" w14:textId="77777777" w:rsidR="00EF5B27" w:rsidRDefault="00000000">
            <w:pPr>
              <w:pStyle w:val="TableParagraph"/>
              <w:spacing w:before="89" w:line="244" w:lineRule="auto"/>
              <w:ind w:left="220" w:hanging="92"/>
              <w:rPr>
                <w:b/>
                <w:sz w:val="16"/>
              </w:rPr>
            </w:pPr>
            <w:r>
              <w:rPr>
                <w:b/>
                <w:sz w:val="16"/>
              </w:rPr>
              <w:t>Year that baseline was/will be set</w:t>
            </w:r>
          </w:p>
        </w:tc>
      </w:tr>
      <w:tr w:rsidR="00EF5B27" w14:paraId="7DEDE773" w14:textId="77777777">
        <w:trPr>
          <w:trHeight w:val="448"/>
        </w:trPr>
        <w:tc>
          <w:tcPr>
            <w:tcW w:w="2980" w:type="dxa"/>
          </w:tcPr>
          <w:p w14:paraId="7A673AC2" w14:textId="77777777" w:rsidR="00EF5B27" w:rsidRDefault="00EF5B27">
            <w:pPr>
              <w:pStyle w:val="TableParagraph"/>
              <w:spacing w:before="11"/>
              <w:rPr>
                <w:b/>
                <w:sz w:val="11"/>
              </w:rPr>
            </w:pPr>
          </w:p>
          <w:p w14:paraId="654610E5" w14:textId="77777777" w:rsidR="00EF5B27" w:rsidRDefault="00000000">
            <w:pPr>
              <w:pStyle w:val="TableParagraph"/>
              <w:ind w:left="80"/>
              <w:rPr>
                <w:sz w:val="14"/>
              </w:rPr>
            </w:pPr>
            <w:r>
              <w:rPr>
                <w:color w:val="4D4D4F"/>
                <w:w w:val="105"/>
                <w:sz w:val="14"/>
              </w:rPr>
              <w:t>Kalkallo Common</w:t>
            </w:r>
          </w:p>
        </w:tc>
        <w:tc>
          <w:tcPr>
            <w:tcW w:w="1078" w:type="dxa"/>
          </w:tcPr>
          <w:p w14:paraId="4C031B19" w14:textId="77777777" w:rsidR="00EF5B27" w:rsidRDefault="00EF5B27">
            <w:pPr>
              <w:pStyle w:val="TableParagraph"/>
              <w:spacing w:before="11"/>
              <w:rPr>
                <w:b/>
                <w:sz w:val="11"/>
              </w:rPr>
            </w:pPr>
          </w:p>
          <w:p w14:paraId="2E337C3A"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0831975D" w14:textId="77777777" w:rsidR="00EF5B27" w:rsidRDefault="00EF5B27">
            <w:pPr>
              <w:pStyle w:val="TableParagraph"/>
              <w:spacing w:before="11"/>
              <w:rPr>
                <w:b/>
                <w:sz w:val="11"/>
              </w:rPr>
            </w:pPr>
          </w:p>
          <w:p w14:paraId="7188798A" w14:textId="77777777" w:rsidR="00EF5B27" w:rsidRDefault="00000000">
            <w:pPr>
              <w:pStyle w:val="TableParagraph"/>
              <w:ind w:left="143" w:right="142"/>
              <w:jc w:val="center"/>
              <w:rPr>
                <w:sz w:val="14"/>
              </w:rPr>
            </w:pPr>
            <w:r>
              <w:rPr>
                <w:color w:val="4D4D4F"/>
                <w:sz w:val="14"/>
              </w:rPr>
              <w:t>Baseline not yet set</w:t>
            </w:r>
          </w:p>
        </w:tc>
        <w:tc>
          <w:tcPr>
            <w:tcW w:w="964" w:type="dxa"/>
          </w:tcPr>
          <w:p w14:paraId="1BAB8A29" w14:textId="77777777" w:rsidR="00EF5B27" w:rsidRDefault="00EF5B27">
            <w:pPr>
              <w:pStyle w:val="TableParagraph"/>
              <w:spacing w:before="4"/>
              <w:rPr>
                <w:b/>
                <w:sz w:val="7"/>
              </w:rPr>
            </w:pPr>
          </w:p>
          <w:p w14:paraId="1EE01772" w14:textId="77777777" w:rsidR="00EF5B27" w:rsidRDefault="00000000">
            <w:pPr>
              <w:pStyle w:val="TableParagraph"/>
              <w:spacing w:line="187" w:lineRule="exact"/>
              <w:ind w:left="400"/>
              <w:rPr>
                <w:sz w:val="18"/>
              </w:rPr>
            </w:pPr>
            <w:r>
              <w:rPr>
                <w:noProof/>
                <w:position w:val="-3"/>
                <w:sz w:val="18"/>
              </w:rPr>
              <w:drawing>
                <wp:inline distT="0" distB="0" distL="0" distR="0" wp14:anchorId="7A0B7D1D" wp14:editId="25CBB3CD">
                  <wp:extent cx="100572" cy="119062"/>
                  <wp:effectExtent l="0" t="0" r="0" b="0"/>
                  <wp:docPr id="473"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178.png"/>
                          <pic:cNvPicPr/>
                        </pic:nvPicPr>
                        <pic:blipFill>
                          <a:blip r:embed="rId75" cstate="print"/>
                          <a:stretch>
                            <a:fillRect/>
                          </a:stretch>
                        </pic:blipFill>
                        <pic:spPr>
                          <a:xfrm>
                            <a:off x="0" y="0"/>
                            <a:ext cx="100572" cy="119062"/>
                          </a:xfrm>
                          <a:prstGeom prst="rect">
                            <a:avLst/>
                          </a:prstGeom>
                        </pic:spPr>
                      </pic:pic>
                    </a:graphicData>
                  </a:graphic>
                </wp:inline>
              </w:drawing>
            </w:r>
          </w:p>
          <w:p w14:paraId="15F02E02" w14:textId="77777777" w:rsidR="00EF5B27" w:rsidRDefault="00EF5B27">
            <w:pPr>
              <w:pStyle w:val="TableParagraph"/>
              <w:spacing w:before="8"/>
              <w:rPr>
                <w:b/>
                <w:sz w:val="2"/>
              </w:rPr>
            </w:pPr>
          </w:p>
          <w:p w14:paraId="3A21C20B" w14:textId="77777777" w:rsidR="00EF5B27" w:rsidRDefault="00000000">
            <w:pPr>
              <w:pStyle w:val="TableParagraph"/>
              <w:spacing w:line="48" w:lineRule="exact"/>
              <w:ind w:left="448"/>
              <w:rPr>
                <w:sz w:val="4"/>
              </w:rPr>
            </w:pPr>
            <w:r>
              <w:rPr>
                <w:sz w:val="4"/>
              </w:rPr>
            </w:r>
            <w:r>
              <w:rPr>
                <w:sz w:val="4"/>
              </w:rPr>
              <w:pict w14:anchorId="0EB5237B">
                <v:group id="_x0000_s3073" style="width:2.45pt;height:2.45pt;mso-position-horizontal-relative:char;mso-position-vertical-relative:line" coordsize="49,49">
                  <v:shape id="_x0000_s3074" style="position:absolute;width:49;height:49" coordsize="49,49" path="m31,l18,,12,2,2,12,,17,,31r2,6l12,46r6,3l31,49r6,-3l46,37r3,-6l49,17,46,12,37,2,31,xe" fillcolor="#808285" stroked="f">
                    <v:path arrowok="t"/>
                  </v:shape>
                  <w10:wrap type="none"/>
                  <w10:anchorlock/>
                </v:group>
              </w:pict>
            </w:r>
          </w:p>
        </w:tc>
        <w:tc>
          <w:tcPr>
            <w:tcW w:w="964" w:type="dxa"/>
          </w:tcPr>
          <w:p w14:paraId="3C1DE621" w14:textId="77777777" w:rsidR="00EF5B27" w:rsidRDefault="00EF5B27">
            <w:pPr>
              <w:pStyle w:val="TableParagraph"/>
              <w:spacing w:before="11"/>
              <w:rPr>
                <w:b/>
                <w:sz w:val="11"/>
              </w:rPr>
            </w:pPr>
          </w:p>
          <w:p w14:paraId="62125A6D" w14:textId="77777777" w:rsidR="00EF5B27" w:rsidRDefault="00000000">
            <w:pPr>
              <w:pStyle w:val="TableParagraph"/>
              <w:ind w:left="318" w:right="323"/>
              <w:jc w:val="center"/>
              <w:rPr>
                <w:sz w:val="14"/>
              </w:rPr>
            </w:pPr>
            <w:r>
              <w:rPr>
                <w:color w:val="4D4D4F"/>
                <w:w w:val="105"/>
                <w:sz w:val="14"/>
              </w:rPr>
              <w:t>N/A</w:t>
            </w:r>
          </w:p>
        </w:tc>
        <w:tc>
          <w:tcPr>
            <w:tcW w:w="1489" w:type="dxa"/>
          </w:tcPr>
          <w:p w14:paraId="7523EAA6" w14:textId="77777777" w:rsidR="00EF5B27" w:rsidRDefault="00000000">
            <w:pPr>
              <w:pStyle w:val="TableParagraph"/>
              <w:spacing w:before="134"/>
              <w:ind w:left="580"/>
              <w:rPr>
                <w:sz w:val="16"/>
              </w:rPr>
            </w:pPr>
            <w:r>
              <w:rPr>
                <w:color w:val="4D4D4F"/>
                <w:sz w:val="16"/>
              </w:rPr>
              <w:t>2025</w:t>
            </w:r>
          </w:p>
        </w:tc>
      </w:tr>
      <w:tr w:rsidR="00EF5B27" w14:paraId="13E152EE" w14:textId="77777777">
        <w:trPr>
          <w:trHeight w:val="448"/>
        </w:trPr>
        <w:tc>
          <w:tcPr>
            <w:tcW w:w="2980" w:type="dxa"/>
          </w:tcPr>
          <w:p w14:paraId="2AD51E70" w14:textId="77777777" w:rsidR="00EF5B27" w:rsidRDefault="00EF5B27">
            <w:pPr>
              <w:pStyle w:val="TableParagraph"/>
              <w:spacing w:before="11"/>
              <w:rPr>
                <w:b/>
                <w:sz w:val="11"/>
              </w:rPr>
            </w:pPr>
          </w:p>
          <w:p w14:paraId="4CFD8BAC" w14:textId="77777777" w:rsidR="00EF5B27" w:rsidRDefault="00000000">
            <w:pPr>
              <w:pStyle w:val="TableParagraph"/>
              <w:ind w:left="80"/>
              <w:rPr>
                <w:sz w:val="14"/>
              </w:rPr>
            </w:pPr>
            <w:r>
              <w:rPr>
                <w:color w:val="4D4D4F"/>
                <w:sz w:val="14"/>
              </w:rPr>
              <w:t>Mt Ridley</w:t>
            </w:r>
          </w:p>
        </w:tc>
        <w:tc>
          <w:tcPr>
            <w:tcW w:w="1078" w:type="dxa"/>
          </w:tcPr>
          <w:p w14:paraId="35E42F49" w14:textId="77777777" w:rsidR="00EF5B27" w:rsidRDefault="00EF5B27">
            <w:pPr>
              <w:pStyle w:val="TableParagraph"/>
              <w:spacing w:before="11"/>
              <w:rPr>
                <w:b/>
                <w:sz w:val="11"/>
              </w:rPr>
            </w:pPr>
          </w:p>
          <w:p w14:paraId="0DF6C948" w14:textId="77777777" w:rsidR="00EF5B27" w:rsidRDefault="00000000">
            <w:pPr>
              <w:pStyle w:val="TableParagraph"/>
              <w:ind w:left="128" w:right="125"/>
              <w:jc w:val="center"/>
              <w:rPr>
                <w:sz w:val="14"/>
              </w:rPr>
            </w:pPr>
            <w:r>
              <w:rPr>
                <w:color w:val="4D4D4F"/>
                <w:w w:val="105"/>
                <w:sz w:val="14"/>
              </w:rPr>
              <w:t>Not assessed</w:t>
            </w:r>
          </w:p>
        </w:tc>
        <w:tc>
          <w:tcPr>
            <w:tcW w:w="2155" w:type="dxa"/>
          </w:tcPr>
          <w:p w14:paraId="4F9486C1" w14:textId="77777777" w:rsidR="00EF5B27" w:rsidRDefault="00EF5B27">
            <w:pPr>
              <w:pStyle w:val="TableParagraph"/>
              <w:spacing w:before="11"/>
              <w:rPr>
                <w:b/>
                <w:sz w:val="11"/>
              </w:rPr>
            </w:pPr>
          </w:p>
          <w:p w14:paraId="10026B6A" w14:textId="77777777" w:rsidR="00EF5B27" w:rsidRDefault="00000000">
            <w:pPr>
              <w:pStyle w:val="TableParagraph"/>
              <w:ind w:left="143" w:right="142"/>
              <w:jc w:val="center"/>
              <w:rPr>
                <w:sz w:val="14"/>
              </w:rPr>
            </w:pPr>
            <w:r>
              <w:rPr>
                <w:color w:val="4D4D4F"/>
                <w:sz w:val="14"/>
              </w:rPr>
              <w:t>Baseline not yet set</w:t>
            </w:r>
          </w:p>
        </w:tc>
        <w:tc>
          <w:tcPr>
            <w:tcW w:w="964" w:type="dxa"/>
          </w:tcPr>
          <w:p w14:paraId="47DF780E" w14:textId="77777777" w:rsidR="00EF5B27" w:rsidRDefault="00EF5B27">
            <w:pPr>
              <w:pStyle w:val="TableParagraph"/>
              <w:spacing w:before="4"/>
              <w:rPr>
                <w:b/>
                <w:sz w:val="7"/>
              </w:rPr>
            </w:pPr>
          </w:p>
          <w:p w14:paraId="630D93EA" w14:textId="77777777" w:rsidR="00EF5B27" w:rsidRDefault="00000000">
            <w:pPr>
              <w:pStyle w:val="TableParagraph"/>
              <w:spacing w:line="187" w:lineRule="exact"/>
              <w:ind w:left="400"/>
              <w:rPr>
                <w:sz w:val="18"/>
              </w:rPr>
            </w:pPr>
            <w:r>
              <w:rPr>
                <w:noProof/>
                <w:position w:val="-3"/>
                <w:sz w:val="18"/>
              </w:rPr>
              <w:drawing>
                <wp:inline distT="0" distB="0" distL="0" distR="0" wp14:anchorId="561ED077" wp14:editId="77305A91">
                  <wp:extent cx="100572" cy="119062"/>
                  <wp:effectExtent l="0" t="0" r="0" b="0"/>
                  <wp:docPr id="475" name="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179.png"/>
                          <pic:cNvPicPr/>
                        </pic:nvPicPr>
                        <pic:blipFill>
                          <a:blip r:embed="rId76" cstate="print"/>
                          <a:stretch>
                            <a:fillRect/>
                          </a:stretch>
                        </pic:blipFill>
                        <pic:spPr>
                          <a:xfrm>
                            <a:off x="0" y="0"/>
                            <a:ext cx="100572" cy="119062"/>
                          </a:xfrm>
                          <a:prstGeom prst="rect">
                            <a:avLst/>
                          </a:prstGeom>
                        </pic:spPr>
                      </pic:pic>
                    </a:graphicData>
                  </a:graphic>
                </wp:inline>
              </w:drawing>
            </w:r>
          </w:p>
          <w:p w14:paraId="1AF06841" w14:textId="77777777" w:rsidR="00EF5B27" w:rsidRDefault="00EF5B27">
            <w:pPr>
              <w:pStyle w:val="TableParagraph"/>
              <w:spacing w:before="8"/>
              <w:rPr>
                <w:b/>
                <w:sz w:val="2"/>
              </w:rPr>
            </w:pPr>
          </w:p>
          <w:p w14:paraId="13DC3CD7" w14:textId="77777777" w:rsidR="00EF5B27" w:rsidRDefault="00000000">
            <w:pPr>
              <w:pStyle w:val="TableParagraph"/>
              <w:spacing w:line="48" w:lineRule="exact"/>
              <w:ind w:left="448"/>
              <w:rPr>
                <w:sz w:val="4"/>
              </w:rPr>
            </w:pPr>
            <w:r>
              <w:rPr>
                <w:sz w:val="4"/>
              </w:rPr>
            </w:r>
            <w:r>
              <w:rPr>
                <w:sz w:val="4"/>
              </w:rPr>
              <w:pict w14:anchorId="08A629F5">
                <v:group id="_x0000_s3071" style="width:2.45pt;height:2.45pt;mso-position-horizontal-relative:char;mso-position-vertical-relative:line" coordsize="49,49">
                  <v:shape id="_x0000_s3072" style="position:absolute;width:49;height:49" coordsize="49,49" path="m31,l18,,12,2,2,12,,17,,31r2,6l12,46r6,3l31,49r6,-3l46,37r3,-6l49,17,46,12,37,2,31,xe" fillcolor="#808285" stroked="f">
                    <v:path arrowok="t"/>
                  </v:shape>
                  <w10:wrap type="none"/>
                  <w10:anchorlock/>
                </v:group>
              </w:pict>
            </w:r>
          </w:p>
        </w:tc>
        <w:tc>
          <w:tcPr>
            <w:tcW w:w="964" w:type="dxa"/>
          </w:tcPr>
          <w:p w14:paraId="0316B291" w14:textId="77777777" w:rsidR="00EF5B27" w:rsidRDefault="00EF5B27">
            <w:pPr>
              <w:pStyle w:val="TableParagraph"/>
              <w:spacing w:before="11"/>
              <w:rPr>
                <w:b/>
                <w:sz w:val="11"/>
              </w:rPr>
            </w:pPr>
          </w:p>
          <w:p w14:paraId="18CD0978" w14:textId="77777777" w:rsidR="00EF5B27" w:rsidRDefault="00000000">
            <w:pPr>
              <w:pStyle w:val="TableParagraph"/>
              <w:ind w:left="318" w:right="323"/>
              <w:jc w:val="center"/>
              <w:rPr>
                <w:sz w:val="14"/>
              </w:rPr>
            </w:pPr>
            <w:r>
              <w:rPr>
                <w:color w:val="4D4D4F"/>
                <w:w w:val="105"/>
                <w:sz w:val="14"/>
              </w:rPr>
              <w:t>N/A</w:t>
            </w:r>
          </w:p>
        </w:tc>
        <w:tc>
          <w:tcPr>
            <w:tcW w:w="1489" w:type="dxa"/>
          </w:tcPr>
          <w:p w14:paraId="0CF0FB32" w14:textId="77777777" w:rsidR="00EF5B27" w:rsidRDefault="00000000">
            <w:pPr>
              <w:pStyle w:val="TableParagraph"/>
              <w:spacing w:before="134"/>
              <w:ind w:left="579"/>
              <w:rPr>
                <w:sz w:val="16"/>
              </w:rPr>
            </w:pPr>
            <w:r>
              <w:rPr>
                <w:color w:val="4D4D4F"/>
                <w:sz w:val="16"/>
              </w:rPr>
              <w:t>2022</w:t>
            </w:r>
          </w:p>
        </w:tc>
      </w:tr>
    </w:tbl>
    <w:p w14:paraId="46373CEB" w14:textId="77777777" w:rsidR="00EF5B27" w:rsidRDefault="00EF5B27">
      <w:pPr>
        <w:pStyle w:val="BodyText"/>
        <w:spacing w:before="5"/>
        <w:rPr>
          <w:b/>
          <w:sz w:val="33"/>
        </w:rPr>
      </w:pPr>
    </w:p>
    <w:p w14:paraId="5028CFA6" w14:textId="77777777" w:rsidR="00EF5B27" w:rsidRDefault="00000000">
      <w:pPr>
        <w:pStyle w:val="BodyText"/>
        <w:spacing w:line="254" w:lineRule="auto"/>
        <w:ind w:left="2608" w:right="151"/>
      </w:pPr>
      <w:r>
        <w:rPr>
          <w:color w:val="4D4D4F"/>
        </w:rPr>
        <w:t>In 2015, an initial database of known Matted Flax-lily locations (</w:t>
      </w:r>
      <w:r>
        <w:rPr>
          <w:rFonts w:ascii="Century Gothic"/>
          <w:i/>
          <w:color w:val="4D4D4F"/>
        </w:rPr>
        <w:t>n</w:t>
      </w:r>
      <w:r>
        <w:rPr>
          <w:color w:val="4D4D4F"/>
        </w:rPr>
        <w:t>=52) was compiled from field searches and the compilation of existing data from Hume City Council, Merri Creek Management Committee and Abzeco. Monitoring in these areas commenced</w:t>
      </w:r>
    </w:p>
    <w:p w14:paraId="48B2E9B2" w14:textId="77777777" w:rsidR="00EF5B27" w:rsidRDefault="00000000">
      <w:pPr>
        <w:pStyle w:val="BodyText"/>
        <w:spacing w:before="4" w:line="254" w:lineRule="auto"/>
        <w:ind w:left="2608"/>
      </w:pPr>
      <w:r>
        <w:rPr>
          <w:color w:val="4D4D4F"/>
        </w:rPr>
        <w:t>in 2016. Each year during monitoring, new plants have been discovered, until by 2019 there are 64 locations included in the database.</w:t>
      </w:r>
    </w:p>
    <w:p w14:paraId="12BC3C11" w14:textId="77777777" w:rsidR="00EF5B27" w:rsidRDefault="00000000">
      <w:pPr>
        <w:pStyle w:val="BodyText"/>
        <w:spacing w:before="115" w:line="254" w:lineRule="auto"/>
        <w:ind w:left="2608" w:right="465"/>
      </w:pPr>
      <w:r>
        <w:rPr>
          <w:color w:val="4D4D4F"/>
        </w:rPr>
        <w:t>It is not yet possible to state whether the KPI has been met, as the baseline has not yet been set. This KPI is assessed against a static benchmark, which will be set in 2022 for Mt Ridley and 2025 for Kalkallo Common.</w:t>
      </w:r>
    </w:p>
    <w:p w14:paraId="5A5908F4" w14:textId="77777777" w:rsidR="00EF5B27" w:rsidRDefault="00EF5B27">
      <w:pPr>
        <w:spacing w:line="254" w:lineRule="auto"/>
        <w:sectPr w:rsidR="00EF5B27">
          <w:pgSz w:w="11910" w:h="16840"/>
          <w:pgMar w:top="1080" w:right="1020" w:bottom="860" w:left="1020" w:header="537" w:footer="678" w:gutter="0"/>
          <w:cols w:space="720"/>
        </w:sectPr>
      </w:pPr>
    </w:p>
    <w:p w14:paraId="24B95BFF" w14:textId="77777777" w:rsidR="00EF5B27" w:rsidRDefault="00000000">
      <w:pPr>
        <w:pStyle w:val="BodyText"/>
      </w:pPr>
      <w:r>
        <w:lastRenderedPageBreak/>
        <w:pict w14:anchorId="69A4613C">
          <v:group id="_x0000_s3063" style="position:absolute;margin-left:587.05pt;margin-top:183.4pt;width:8.25pt;height:153.1pt;z-index:251644416;mso-position-horizontal-relative:page;mso-position-vertical-relative:page" coordorigin="11741,3668" coordsize="165,3062">
            <v:shape id="_x0000_s3070" style="position:absolute;left:11741;top:3668;width:165;height:561" coordorigin="11741,3668" coordsize="165,561" path="m11906,3668r-165,l11741,4228r165,-18l11906,3668xe" fillcolor="#00aed9" stroked="f">
              <v:path arrowok="t"/>
            </v:shape>
            <v:shape id="_x0000_s3069" style="position:absolute;left:11741;top:4118;width:165;height:425" coordorigin="11741,4118" coordsize="165,425" path="m11906,4118r-165,14l11741,4531r165,12l11906,4118xe" fillcolor="#047ebc" stroked="f">
              <v:path arrowok="t"/>
            </v:shape>
            <v:shape id="_x0000_s3068" type="#_x0000_t75" style="position:absolute;left:11741;top:4355;width:165;height:587">
              <v:imagedata r:id="rId42" o:title=""/>
            </v:shape>
            <v:shape id="_x0000_s3067" style="position:absolute;left:11741;top:5343;width:165;height:536" coordorigin="11741,5343" coordsize="165,536" path="m11741,5343r,535l11906,5872r,-525l11741,5343xe" fillcolor="#f36a2e" stroked="f">
              <v:path arrowok="t"/>
            </v:shape>
            <v:shape id="_x0000_s3066" style="position:absolute;left:11741;top:4925;width:165;height:501" coordorigin="11741,4926" coordsize="165,501" path="m11741,4926r,500l11906,5426r,-485l11741,4926xe" fillcolor="#49783f" stroked="f">
              <v:path arrowok="t"/>
            </v:shape>
            <v:shape id="_x0000_s3065" style="position:absolute;left:11741;top:5781;width:165;height:268" coordorigin="11741,5782" coordsize="165,268" path="m11906,5782r-165,8l11741,6039r165,10l11906,5782xe" fillcolor="#f99f2a" stroked="f">
              <v:path arrowok="t"/>
            </v:shape>
            <v:shape id="_x0000_s3064" style="position:absolute;left:11741;top:6023;width:165;height:707" coordorigin="11741,6023" coordsize="165,707" path="m11741,6023r,706l11906,6729r,-690l11741,6023xe" fillcolor="#ef412c" stroked="f">
              <v:path arrowok="t"/>
            </v:shape>
            <w10:wrap anchorx="page" anchory="page"/>
          </v:group>
        </w:pict>
      </w:r>
    </w:p>
    <w:p w14:paraId="760B19EE" w14:textId="77777777" w:rsidR="00EF5B27" w:rsidRDefault="00EF5B27">
      <w:pPr>
        <w:pStyle w:val="BodyText"/>
      </w:pPr>
    </w:p>
    <w:p w14:paraId="22EEA690" w14:textId="77777777" w:rsidR="00EF5B27" w:rsidRDefault="00EF5B27">
      <w:pPr>
        <w:pStyle w:val="BodyText"/>
      </w:pPr>
    </w:p>
    <w:p w14:paraId="3878B9C1" w14:textId="77777777" w:rsidR="00EF5B27" w:rsidRDefault="00EF5B27">
      <w:pPr>
        <w:pStyle w:val="BodyText"/>
      </w:pPr>
    </w:p>
    <w:p w14:paraId="0A7AF9FB" w14:textId="77777777" w:rsidR="00EF5B27" w:rsidRDefault="00EF5B27">
      <w:pPr>
        <w:pStyle w:val="BodyText"/>
        <w:spacing w:before="7"/>
        <w:rPr>
          <w:sz w:val="15"/>
        </w:rPr>
      </w:pPr>
    </w:p>
    <w:bookmarkStart w:id="72" w:name="_bookmark50"/>
    <w:bookmarkEnd w:id="72"/>
    <w:p w14:paraId="2AD4D5FF" w14:textId="77777777" w:rsidR="00EF5B27" w:rsidRDefault="00000000">
      <w:pPr>
        <w:pStyle w:val="BodyText"/>
        <w:ind w:left="2598"/>
      </w:pPr>
      <w:r>
        <w:pict w14:anchorId="6179CB89">
          <v:group id="_x0000_s3060" style="width:357.4pt;height:201.15pt;mso-position-horizontal-relative:char;mso-position-vertical-relative:line" coordsize="7148,4023">
            <v:shape id="_x0000_s3062" type="#_x0000_t75" style="position:absolute;left:2;top:2;width:7143;height:4018">
              <v:imagedata r:id="rId142" o:title=""/>
            </v:shape>
            <v:rect id="_x0000_s3061" style="position:absolute;left:2;top:2;width:7143;height:4018" filled="f" strokeweight=".25pt"/>
            <w10:anchorlock/>
          </v:group>
        </w:pict>
      </w:r>
    </w:p>
    <w:p w14:paraId="422259E0" w14:textId="77777777" w:rsidR="00EF5B27" w:rsidRDefault="00000000">
      <w:pPr>
        <w:tabs>
          <w:tab w:val="left" w:pos="8977"/>
        </w:tabs>
        <w:spacing w:before="90" w:line="244" w:lineRule="auto"/>
        <w:ind w:left="2608" w:right="111"/>
        <w:jc w:val="both"/>
        <w:rPr>
          <w:rFonts w:ascii="Century Gothic"/>
          <w:i/>
          <w:sz w:val="12"/>
        </w:rPr>
      </w:pPr>
      <w:r>
        <w:rPr>
          <w:color w:val="4D4D4F"/>
          <w:sz w:val="16"/>
        </w:rPr>
        <w:t xml:space="preserve">Figure 25: Matted Flax-lily plants detected in the first four years of monitoring at Kalkallo Common,  expressed as a percentage of the total number of plants known in each year. Year 1 </w:t>
      </w:r>
      <w:r>
        <w:rPr>
          <w:color w:val="4D4D4F"/>
          <w:spacing w:val="-3"/>
          <w:sz w:val="16"/>
        </w:rPr>
        <w:t xml:space="preserve">(2016) </w:t>
      </w:r>
      <w:r>
        <w:rPr>
          <w:color w:val="4D4D4F"/>
          <w:sz w:val="16"/>
        </w:rPr>
        <w:t>shows 100% detection</w:t>
      </w:r>
      <w:r>
        <w:rPr>
          <w:color w:val="4D4D4F"/>
          <w:spacing w:val="-5"/>
          <w:sz w:val="16"/>
        </w:rPr>
        <w:t xml:space="preserve"> </w:t>
      </w:r>
      <w:r>
        <w:rPr>
          <w:color w:val="4D4D4F"/>
          <w:sz w:val="16"/>
        </w:rPr>
        <w:t>by</w:t>
      </w:r>
      <w:r>
        <w:rPr>
          <w:color w:val="4D4D4F"/>
          <w:spacing w:val="-4"/>
          <w:sz w:val="16"/>
        </w:rPr>
        <w:t xml:space="preserve"> </w:t>
      </w:r>
      <w:r>
        <w:rPr>
          <w:color w:val="4D4D4F"/>
          <w:sz w:val="16"/>
        </w:rPr>
        <w:t>definition.</w:t>
      </w:r>
      <w:r>
        <w:rPr>
          <w:color w:val="4D4D4F"/>
          <w:sz w:val="16"/>
        </w:rPr>
        <w:tab/>
      </w:r>
      <w:r>
        <w:rPr>
          <w:rFonts w:ascii="Century Gothic"/>
          <w:i/>
          <w:color w:val="4D4D4F"/>
          <w:w w:val="90"/>
          <w:sz w:val="12"/>
        </w:rPr>
        <w:t>Source:</w:t>
      </w:r>
      <w:r>
        <w:rPr>
          <w:rFonts w:ascii="Century Gothic"/>
          <w:i/>
          <w:color w:val="4D4D4F"/>
          <w:spacing w:val="1"/>
          <w:w w:val="90"/>
          <w:sz w:val="12"/>
        </w:rPr>
        <w:t xml:space="preserve"> </w:t>
      </w:r>
      <w:r>
        <w:rPr>
          <w:rFonts w:ascii="Century Gothic"/>
          <w:i/>
          <w:color w:val="4D4D4F"/>
          <w:spacing w:val="-5"/>
          <w:w w:val="90"/>
          <w:sz w:val="12"/>
        </w:rPr>
        <w:t>DELWP</w:t>
      </w:r>
    </w:p>
    <w:p w14:paraId="3ADEAFBB" w14:textId="77777777" w:rsidR="00EF5B27" w:rsidRDefault="00EF5B27">
      <w:pPr>
        <w:pStyle w:val="BodyText"/>
        <w:spacing w:before="4"/>
        <w:rPr>
          <w:rFonts w:ascii="Century Gothic"/>
          <w:i/>
          <w:sz w:val="29"/>
        </w:rPr>
      </w:pPr>
    </w:p>
    <w:p w14:paraId="0C086C1C" w14:textId="77777777" w:rsidR="00EF5B27" w:rsidRDefault="00000000">
      <w:pPr>
        <w:pStyle w:val="Heading3"/>
      </w:pPr>
      <w:r>
        <w:rPr>
          <w:color w:val="F99F2A"/>
        </w:rPr>
        <w:t>Results interpretation</w:t>
      </w:r>
    </w:p>
    <w:p w14:paraId="3A28131D" w14:textId="77777777" w:rsidR="00EF5B27" w:rsidRDefault="00000000">
      <w:pPr>
        <w:pStyle w:val="BodyText"/>
        <w:spacing w:before="221" w:line="254" w:lineRule="auto"/>
        <w:ind w:left="2608" w:right="118"/>
        <w:rPr>
          <w:sz w:val="11"/>
        </w:rPr>
      </w:pPr>
      <w:r>
        <w:rPr>
          <w:color w:val="4D4D4F"/>
        </w:rPr>
        <w:t>Baseline results would indicate that the population of Matted Flax-lily at Kalkallo Common (65 clumps in 2021) is ‘apparently stable, or nearly so’, according to DELWP,</w:t>
      </w:r>
      <w:r>
        <w:rPr>
          <w:color w:val="4D4D4F"/>
          <w:position w:val="7"/>
          <w:sz w:val="11"/>
        </w:rPr>
        <w:t xml:space="preserve">188 </w:t>
      </w:r>
      <w:r>
        <w:rPr>
          <w:color w:val="4D4D4F"/>
        </w:rPr>
        <w:t>with the current trajectory indicating no trends of concern. Because individual plants are accounted for with georeferenced data, DELWP reports these results with a high level of confidence.</w:t>
      </w:r>
      <w:r>
        <w:rPr>
          <w:color w:val="4D4D4F"/>
          <w:position w:val="7"/>
          <w:sz w:val="11"/>
        </w:rPr>
        <w:t>189</w:t>
      </w:r>
    </w:p>
    <w:p w14:paraId="2E720811" w14:textId="77777777" w:rsidR="00EF5B27" w:rsidRDefault="00000000">
      <w:pPr>
        <w:pStyle w:val="BodyText"/>
        <w:spacing w:before="119" w:line="254" w:lineRule="auto"/>
        <w:ind w:left="2608"/>
      </w:pPr>
      <w:bookmarkStart w:id="73" w:name="_heading=h.upglbi"/>
      <w:bookmarkEnd w:id="73"/>
      <w:r>
        <w:rPr>
          <w:color w:val="4D4D4F"/>
        </w:rPr>
        <w:t xml:space="preserve">Three plants that were not detected in 2021 are located near graves in Donnybrook </w:t>
      </w:r>
      <w:r>
        <w:rPr>
          <w:color w:val="4D4D4F"/>
          <w:spacing w:val="-3"/>
        </w:rPr>
        <w:t xml:space="preserve">Cemetery </w:t>
      </w:r>
      <w:r>
        <w:rPr>
          <w:color w:val="4D4D4F"/>
          <w:spacing w:val="-6"/>
        </w:rPr>
        <w:t xml:space="preserve">(within </w:t>
      </w:r>
      <w:r>
        <w:rPr>
          <w:color w:val="4D4D4F"/>
          <w:spacing w:val="-4"/>
        </w:rPr>
        <w:t xml:space="preserve">Conservation </w:t>
      </w:r>
      <w:r>
        <w:rPr>
          <w:color w:val="4D4D4F"/>
        </w:rPr>
        <w:t xml:space="preserve">Area </w:t>
      </w:r>
      <w:r>
        <w:rPr>
          <w:color w:val="4D4D4F"/>
          <w:spacing w:val="-6"/>
        </w:rPr>
        <w:t xml:space="preserve">24), </w:t>
      </w:r>
      <w:r>
        <w:rPr>
          <w:color w:val="4D4D4F"/>
          <w:spacing w:val="-4"/>
        </w:rPr>
        <w:t xml:space="preserve">in areas which </w:t>
      </w:r>
      <w:r>
        <w:rPr>
          <w:color w:val="4D4D4F"/>
        </w:rPr>
        <w:t xml:space="preserve">are </w:t>
      </w:r>
      <w:r>
        <w:rPr>
          <w:color w:val="4D4D4F"/>
          <w:spacing w:val="-3"/>
        </w:rPr>
        <w:t xml:space="preserve">now mown </w:t>
      </w:r>
      <w:r>
        <w:rPr>
          <w:color w:val="4D4D4F"/>
          <w:spacing w:val="-4"/>
        </w:rPr>
        <w:t xml:space="preserve">regularly </w:t>
      </w:r>
      <w:r>
        <w:rPr>
          <w:color w:val="4D4D4F"/>
          <w:spacing w:val="-3"/>
        </w:rPr>
        <w:t xml:space="preserve">to </w:t>
      </w:r>
      <w:r>
        <w:rPr>
          <w:color w:val="4D4D4F"/>
        </w:rPr>
        <w:t>&lt;2 cm.</w:t>
      </w:r>
    </w:p>
    <w:p w14:paraId="67AC476B" w14:textId="77777777" w:rsidR="00EF5B27" w:rsidRDefault="00EF5B27">
      <w:pPr>
        <w:pStyle w:val="BodyText"/>
        <w:spacing w:before="1"/>
        <w:rPr>
          <w:sz w:val="19"/>
        </w:rPr>
      </w:pPr>
    </w:p>
    <w:p w14:paraId="573CCC81" w14:textId="77777777" w:rsidR="00EF5B27" w:rsidRDefault="00000000">
      <w:pPr>
        <w:pStyle w:val="Heading3"/>
        <w:spacing w:before="1"/>
      </w:pPr>
      <w:r>
        <w:rPr>
          <w:color w:val="F99F2A"/>
        </w:rPr>
        <w:t>Key insights and management implications</w:t>
      </w:r>
    </w:p>
    <w:p w14:paraId="527E5BA3" w14:textId="77777777" w:rsidR="00EF5B27" w:rsidRDefault="00000000">
      <w:pPr>
        <w:pStyle w:val="BodyText"/>
        <w:spacing w:before="221" w:line="254" w:lineRule="auto"/>
        <w:ind w:left="2608" w:right="221"/>
      </w:pPr>
      <w:r>
        <w:rPr>
          <w:color w:val="4D4D4F"/>
        </w:rPr>
        <w:t>At the commencement of the MSA program, only a small amount of data on the Matted Flax-lily was available to guide management or monitoring. As such, DELWP’s assumptions about how things would work and how they worked out in practice</w:t>
      </w:r>
    </w:p>
    <w:p w14:paraId="548E4FD5" w14:textId="77777777" w:rsidR="00EF5B27" w:rsidRDefault="00000000">
      <w:pPr>
        <w:pStyle w:val="BodyText"/>
        <w:spacing w:before="3" w:line="254" w:lineRule="auto"/>
        <w:ind w:left="2608" w:right="64"/>
        <w:rPr>
          <w:sz w:val="11"/>
        </w:rPr>
      </w:pPr>
      <w:r>
        <w:rPr>
          <w:color w:val="4D4D4F"/>
        </w:rPr>
        <w:t>with respect to the monitoring of this species, have changed over time.</w:t>
      </w:r>
      <w:r>
        <w:rPr>
          <w:color w:val="4D4D4F"/>
          <w:position w:val="7"/>
          <w:sz w:val="11"/>
        </w:rPr>
        <w:t xml:space="preserve">190 </w:t>
      </w:r>
      <w:r>
        <w:rPr>
          <w:color w:val="4D4D4F"/>
        </w:rPr>
        <w:t>Monitoring protocol now includes an annual broader formal search for new plants. This last occurred in 2019, but not in 2020 due to COVID-19 lockdowns and restrictions. Detected and undetected proportion of plants is now measured, and newly detected plants are added to the existing dataset. In this way, the denominator grows every year.</w:t>
      </w:r>
      <w:r>
        <w:rPr>
          <w:color w:val="4D4D4F"/>
          <w:position w:val="7"/>
          <w:sz w:val="11"/>
        </w:rPr>
        <w:t>191</w:t>
      </w:r>
    </w:p>
    <w:p w14:paraId="7299937D" w14:textId="77777777" w:rsidR="00EF5B27" w:rsidRDefault="00000000">
      <w:pPr>
        <w:pStyle w:val="BodyText"/>
        <w:spacing w:before="120" w:line="254" w:lineRule="auto"/>
        <w:ind w:left="2608" w:right="582"/>
      </w:pPr>
      <w:r>
        <w:rPr>
          <w:color w:val="4D4D4F"/>
        </w:rPr>
        <w:t>Expert elicitation data collected for PVA models suggest that Matted Flax-lily is long lived and hardy. An individual forms a clump, with shoots emerging from an</w:t>
      </w:r>
    </w:p>
    <w:p w14:paraId="08BC1EF2" w14:textId="77777777" w:rsidR="00EF5B27" w:rsidRDefault="00000000">
      <w:pPr>
        <w:pStyle w:val="BodyText"/>
        <w:spacing w:before="2" w:line="254" w:lineRule="auto"/>
        <w:ind w:left="2608"/>
      </w:pPr>
      <w:r>
        <w:rPr>
          <w:color w:val="4D4D4F"/>
        </w:rPr>
        <w:t>underground rootstock. These clumps may measure from 20 cm to &gt;10 m in diameter. The species rarely produces observable young plants.</w:t>
      </w:r>
    </w:p>
    <w:p w14:paraId="33FBD932" w14:textId="77777777" w:rsidR="00EF5B27" w:rsidRDefault="00EF5B27">
      <w:pPr>
        <w:pStyle w:val="BodyText"/>
      </w:pPr>
    </w:p>
    <w:p w14:paraId="5FC81E3E" w14:textId="77777777" w:rsidR="00EF5B27" w:rsidRDefault="00000000">
      <w:pPr>
        <w:pStyle w:val="BodyText"/>
        <w:spacing w:before="2"/>
        <w:rPr>
          <w:sz w:val="23"/>
        </w:rPr>
      </w:pPr>
      <w:r>
        <w:pict w14:anchorId="18822110">
          <v:line id="_x0000_s3059" style="position:absolute;z-index:251589120;mso-wrap-distance-left:0;mso-wrap-distance-right:0;mso-position-horizontal-relative:page" from="181.4pt,16.4pt" to="538.55pt,16.4pt" strokecolor="#4d4d4f" strokeweight=".5pt">
            <w10:wrap type="topAndBottom" anchorx="page"/>
          </v:line>
        </w:pict>
      </w:r>
    </w:p>
    <w:p w14:paraId="1B3D0A84" w14:textId="77777777" w:rsidR="00EF5B27" w:rsidRDefault="00000000">
      <w:pPr>
        <w:pStyle w:val="ListParagraph"/>
        <w:numPr>
          <w:ilvl w:val="0"/>
          <w:numId w:val="28"/>
        </w:numPr>
        <w:tabs>
          <w:tab w:val="left" w:pos="2836"/>
        </w:tabs>
        <w:spacing w:before="83" w:line="143" w:lineRule="exact"/>
        <w:rPr>
          <w:sz w:val="12"/>
        </w:rPr>
      </w:pPr>
      <w:r>
        <w:rPr>
          <w:color w:val="4D4D4F"/>
          <w:sz w:val="12"/>
        </w:rPr>
        <w:t xml:space="preserve">DELWP Officer, personal communication, 15 </w:t>
      </w:r>
      <w:r>
        <w:rPr>
          <w:color w:val="4D4D4F"/>
          <w:spacing w:val="2"/>
          <w:sz w:val="12"/>
        </w:rPr>
        <w:t>February</w:t>
      </w:r>
      <w:r>
        <w:rPr>
          <w:color w:val="4D4D4F"/>
          <w:spacing w:val="14"/>
          <w:sz w:val="12"/>
        </w:rPr>
        <w:t xml:space="preserve"> </w:t>
      </w:r>
      <w:r>
        <w:rPr>
          <w:color w:val="4D4D4F"/>
          <w:spacing w:val="2"/>
          <w:sz w:val="12"/>
        </w:rPr>
        <w:t>2022.</w:t>
      </w:r>
    </w:p>
    <w:p w14:paraId="0FC92334" w14:textId="77777777" w:rsidR="00EF5B27" w:rsidRDefault="00000000">
      <w:pPr>
        <w:pStyle w:val="ListParagraph"/>
        <w:numPr>
          <w:ilvl w:val="0"/>
          <w:numId w:val="28"/>
        </w:numPr>
        <w:tabs>
          <w:tab w:val="left" w:pos="2836"/>
        </w:tabs>
        <w:spacing w:before="2" w:line="230" w:lineRule="auto"/>
        <w:ind w:left="2608" w:right="4320" w:firstLine="0"/>
        <w:rPr>
          <w:sz w:val="12"/>
        </w:rPr>
      </w:pPr>
      <w:r>
        <w:rPr>
          <w:color w:val="4D4D4F"/>
          <w:sz w:val="12"/>
        </w:rPr>
        <w:t>DELWP Officer, personal communication, 6 July 2021. 190. DELWP</w:t>
      </w:r>
      <w:r>
        <w:rPr>
          <w:color w:val="4D4D4F"/>
          <w:spacing w:val="9"/>
          <w:sz w:val="12"/>
        </w:rPr>
        <w:t xml:space="preserve"> </w:t>
      </w:r>
      <w:r>
        <w:rPr>
          <w:color w:val="4D4D4F"/>
          <w:sz w:val="12"/>
        </w:rPr>
        <w:t>Officer,</w:t>
      </w:r>
      <w:r>
        <w:rPr>
          <w:color w:val="4D4D4F"/>
          <w:spacing w:val="8"/>
          <w:sz w:val="12"/>
        </w:rPr>
        <w:t xml:space="preserve"> </w:t>
      </w:r>
      <w:r>
        <w:rPr>
          <w:color w:val="4D4D4F"/>
          <w:sz w:val="12"/>
        </w:rPr>
        <w:t>personal</w:t>
      </w:r>
      <w:r>
        <w:rPr>
          <w:color w:val="4D4D4F"/>
          <w:spacing w:val="9"/>
          <w:sz w:val="12"/>
        </w:rPr>
        <w:t xml:space="preserve"> </w:t>
      </w:r>
      <w:r>
        <w:rPr>
          <w:color w:val="4D4D4F"/>
          <w:sz w:val="12"/>
        </w:rPr>
        <w:t>communication,</w:t>
      </w:r>
      <w:r>
        <w:rPr>
          <w:color w:val="4D4D4F"/>
          <w:spacing w:val="9"/>
          <w:sz w:val="12"/>
        </w:rPr>
        <w:t xml:space="preserve"> </w:t>
      </w:r>
      <w:r>
        <w:rPr>
          <w:color w:val="4D4D4F"/>
          <w:sz w:val="12"/>
        </w:rPr>
        <w:t>6</w:t>
      </w:r>
      <w:r>
        <w:rPr>
          <w:color w:val="4D4D4F"/>
          <w:spacing w:val="9"/>
          <w:sz w:val="12"/>
        </w:rPr>
        <w:t xml:space="preserve"> </w:t>
      </w:r>
      <w:r>
        <w:rPr>
          <w:color w:val="4D4D4F"/>
          <w:sz w:val="12"/>
        </w:rPr>
        <w:t>July</w:t>
      </w:r>
      <w:r>
        <w:rPr>
          <w:color w:val="4D4D4F"/>
          <w:spacing w:val="9"/>
          <w:sz w:val="12"/>
        </w:rPr>
        <w:t xml:space="preserve"> </w:t>
      </w:r>
      <w:r>
        <w:rPr>
          <w:color w:val="4D4D4F"/>
          <w:sz w:val="12"/>
        </w:rPr>
        <w:t>2021.</w:t>
      </w:r>
    </w:p>
    <w:p w14:paraId="32582CAD" w14:textId="77777777" w:rsidR="00EF5B27" w:rsidRDefault="00000000">
      <w:pPr>
        <w:pStyle w:val="ListParagraph"/>
        <w:numPr>
          <w:ilvl w:val="0"/>
          <w:numId w:val="27"/>
        </w:numPr>
        <w:tabs>
          <w:tab w:val="left" w:pos="2835"/>
        </w:tabs>
        <w:spacing w:line="141" w:lineRule="exact"/>
        <w:ind w:hanging="226"/>
        <w:jc w:val="left"/>
        <w:rPr>
          <w:sz w:val="12"/>
        </w:rPr>
      </w:pPr>
      <w:r>
        <w:rPr>
          <w:color w:val="4D4D4F"/>
          <w:sz w:val="12"/>
        </w:rPr>
        <w:t>DELWP Officer, personal communication, 6 July</w:t>
      </w:r>
      <w:r>
        <w:rPr>
          <w:color w:val="4D4D4F"/>
          <w:spacing w:val="14"/>
          <w:sz w:val="12"/>
        </w:rPr>
        <w:t xml:space="preserve"> </w:t>
      </w:r>
      <w:r>
        <w:rPr>
          <w:color w:val="4D4D4F"/>
          <w:sz w:val="12"/>
        </w:rPr>
        <w:t>2021.</w:t>
      </w:r>
    </w:p>
    <w:p w14:paraId="7BB6B7D2" w14:textId="77777777" w:rsidR="00EF5B27" w:rsidRDefault="00EF5B27">
      <w:pPr>
        <w:spacing w:line="141" w:lineRule="exact"/>
        <w:rPr>
          <w:sz w:val="12"/>
        </w:rPr>
        <w:sectPr w:rsidR="00EF5B27">
          <w:pgSz w:w="11910" w:h="16840"/>
          <w:pgMar w:top="1080" w:right="1020" w:bottom="860" w:left="1020" w:header="537" w:footer="678" w:gutter="0"/>
          <w:cols w:space="720"/>
        </w:sectPr>
      </w:pPr>
    </w:p>
    <w:p w14:paraId="2BB6DE5D" w14:textId="77777777" w:rsidR="00EF5B27" w:rsidRDefault="00000000">
      <w:pPr>
        <w:pStyle w:val="BodyText"/>
      </w:pPr>
      <w:r>
        <w:lastRenderedPageBreak/>
        <w:pict w14:anchorId="533B1191">
          <v:group id="_x0000_s3051" style="position:absolute;margin-left:587.05pt;margin-top:183.4pt;width:8.25pt;height:153.1pt;z-index:251646464;mso-position-horizontal-relative:page;mso-position-vertical-relative:page" coordorigin="11741,3668" coordsize="165,3062">
            <v:shape id="_x0000_s3058" style="position:absolute;left:11741;top:3668;width:165;height:561" coordorigin="11741,3668" coordsize="165,561" path="m11906,3668r-165,l11741,4228r165,-18l11906,3668xe" fillcolor="#00aed9" stroked="f">
              <v:path arrowok="t"/>
            </v:shape>
            <v:shape id="_x0000_s3057" style="position:absolute;left:11741;top:4118;width:165;height:425" coordorigin="11741,4118" coordsize="165,425" path="m11906,4118r-165,14l11741,4531r165,12l11906,4118xe" fillcolor="#047ebc" stroked="f">
              <v:path arrowok="t"/>
            </v:shape>
            <v:shape id="_x0000_s3056" type="#_x0000_t75" style="position:absolute;left:11741;top:4355;width:165;height:587">
              <v:imagedata r:id="rId42" o:title=""/>
            </v:shape>
            <v:shape id="_x0000_s3055" style="position:absolute;left:11741;top:5343;width:165;height:536" coordorigin="11741,5343" coordsize="165,536" path="m11741,5343r,535l11906,5872r,-525l11741,5343xe" fillcolor="#f36a2e" stroked="f">
              <v:path arrowok="t"/>
            </v:shape>
            <v:shape id="_x0000_s3054" style="position:absolute;left:11741;top:4925;width:165;height:501" coordorigin="11741,4926" coordsize="165,501" path="m11741,4926r,500l11906,5426r,-485l11741,4926xe" fillcolor="#49783f" stroked="f">
              <v:path arrowok="t"/>
            </v:shape>
            <v:shape id="_x0000_s3053" style="position:absolute;left:11741;top:5781;width:165;height:268" coordorigin="11741,5782" coordsize="165,268" path="m11906,5782r-165,8l11741,6039r165,10l11906,5782xe" fillcolor="#f99f2a" stroked="f">
              <v:path arrowok="t"/>
            </v:shape>
            <v:shape id="_x0000_s3052" style="position:absolute;left:11741;top:6023;width:165;height:707" coordorigin="11741,6023" coordsize="165,707" path="m11741,6023r,706l11906,6729r,-690l11741,6023xe" fillcolor="#ef412c" stroked="f">
              <v:path arrowok="t"/>
            </v:shape>
            <w10:wrap anchorx="page" anchory="page"/>
          </v:group>
        </w:pict>
      </w:r>
    </w:p>
    <w:p w14:paraId="217D5EFE" w14:textId="77777777" w:rsidR="00EF5B27" w:rsidRDefault="00EF5B27">
      <w:pPr>
        <w:pStyle w:val="BodyText"/>
      </w:pPr>
    </w:p>
    <w:p w14:paraId="61B1FB81" w14:textId="77777777" w:rsidR="00EF5B27" w:rsidRDefault="00EF5B27">
      <w:pPr>
        <w:pStyle w:val="BodyText"/>
      </w:pPr>
    </w:p>
    <w:p w14:paraId="040A7DC7" w14:textId="77777777" w:rsidR="00EF5B27" w:rsidRDefault="00EF5B27">
      <w:pPr>
        <w:pStyle w:val="BodyText"/>
        <w:spacing w:before="4"/>
        <w:rPr>
          <w:sz w:val="25"/>
        </w:rPr>
      </w:pPr>
    </w:p>
    <w:p w14:paraId="2187DCB7" w14:textId="77777777" w:rsidR="00EF5B27" w:rsidRDefault="00000000">
      <w:pPr>
        <w:pStyle w:val="BodyText"/>
        <w:spacing w:before="100" w:line="254" w:lineRule="auto"/>
        <w:ind w:left="2608" w:right="257"/>
      </w:pPr>
      <w:r>
        <w:rPr>
          <w:color w:val="4D4D4F"/>
        </w:rPr>
        <w:t>Matted Flax-lily is somewhat unique compared with the other flora species under   MSA management, in terms of monitoring. Matted Flax-lily often loses its foliage and retreats underground in summer and autumn but may retain foliage if conditions remain moist. This means that plants are unreliably detectable, and that a healthy plant may remain undetected when searched one year and be clearly present the  next. Sites with this species are very large, but have a sparse and patchy distribution, with detection described as ‘like finding needle in a haystack’.</w:t>
      </w:r>
      <w:r>
        <w:rPr>
          <w:color w:val="4D4D4F"/>
          <w:position w:val="7"/>
          <w:sz w:val="11"/>
        </w:rPr>
        <w:t xml:space="preserve">192 </w:t>
      </w:r>
      <w:r>
        <w:rPr>
          <w:color w:val="4D4D4F"/>
        </w:rPr>
        <w:t>Consequently, this is reflected in historical records – with new data on plants (not a recruit) appearing with the discovery of new plants that have been there undetected for quite some</w:t>
      </w:r>
      <w:r>
        <w:rPr>
          <w:color w:val="4D4D4F"/>
          <w:spacing w:val="10"/>
        </w:rPr>
        <w:t xml:space="preserve"> </w:t>
      </w:r>
      <w:r>
        <w:rPr>
          <w:color w:val="4D4D4F"/>
        </w:rPr>
        <w:t>time.</w:t>
      </w:r>
    </w:p>
    <w:p w14:paraId="742B0C67" w14:textId="77777777" w:rsidR="00EF5B27" w:rsidRDefault="00000000">
      <w:pPr>
        <w:pStyle w:val="BodyText"/>
        <w:spacing w:before="125" w:line="254" w:lineRule="auto"/>
        <w:ind w:left="2608"/>
      </w:pPr>
      <w:r>
        <w:rPr>
          <w:color w:val="4D4D4F"/>
        </w:rPr>
        <w:t>Detectability is also thought to be affected by the length of surrounding grass. In wet years, the grass may be long, and Matted Flax-lily more difficult to see even if it has emerged. This was the case in 2021, with the season being wetter than average.</w:t>
      </w:r>
    </w:p>
    <w:p w14:paraId="3287C6E7" w14:textId="77777777" w:rsidR="00EF5B27" w:rsidRDefault="00000000">
      <w:pPr>
        <w:pStyle w:val="BodyText"/>
        <w:spacing w:before="117" w:line="254" w:lineRule="auto"/>
        <w:ind w:left="2608" w:right="228"/>
      </w:pPr>
      <w:r>
        <w:rPr>
          <w:color w:val="4D4D4F"/>
        </w:rPr>
        <w:t>It is unclear how many years of non-detection should be taken as evidence of death. DELWP’s current data indicate that many plants have gone undetected for two years, before being found again in the third. Two plants have been undetected for three years and have not yet been found again. It remains to be seen whether these plants are in fact dead or if they will be detected again in future. DELWP believes that a rule defining the temporal pattern of non-detection accounting for actual plant deaths will emerge as more data is collected in the coming years.</w:t>
      </w:r>
    </w:p>
    <w:p w14:paraId="1DE64C95" w14:textId="77777777" w:rsidR="00EF5B27" w:rsidRDefault="00000000">
      <w:pPr>
        <w:pStyle w:val="BodyText"/>
        <w:spacing w:before="122" w:line="254" w:lineRule="auto"/>
        <w:ind w:left="2608" w:right="352"/>
      </w:pPr>
      <w:r>
        <w:rPr>
          <w:color w:val="4D4D4F"/>
        </w:rPr>
        <w:t>DELWP has funded genetic research for the species led by La Trobe University in 2021, which revealed the MSA population is genetically ‘normal’, with similar levels of genetic diversity compared to other populations. The research also explored the</w:t>
      </w:r>
    </w:p>
    <w:p w14:paraId="2714C09B" w14:textId="77777777" w:rsidR="00EF5B27" w:rsidRDefault="00000000">
      <w:pPr>
        <w:pStyle w:val="BodyText"/>
        <w:spacing w:before="3" w:line="254" w:lineRule="auto"/>
        <w:ind w:left="2608" w:right="151"/>
      </w:pPr>
      <w:r>
        <w:rPr>
          <w:color w:val="4D4D4F"/>
        </w:rPr>
        <w:t>nature of clonality within the population’s genetics – specifically, if the genetic makeup of a clump of plants comprises one individual (a clump of genetic clones) or multiple individuals, and how this may impact the number of individuals found in a clump.</w:t>
      </w:r>
    </w:p>
    <w:p w14:paraId="622DB0EE" w14:textId="77777777" w:rsidR="00EF5B27" w:rsidRDefault="00000000">
      <w:pPr>
        <w:pStyle w:val="BodyText"/>
        <w:spacing w:before="4" w:line="254" w:lineRule="auto"/>
        <w:ind w:left="2608" w:right="206"/>
      </w:pPr>
      <w:r>
        <w:rPr>
          <w:color w:val="4D4D4F"/>
        </w:rPr>
        <w:t>Results of this research indicate that it is not possible to differentiate. The research also uncovered that three plants forming a clump within the current MSA population were genetic clones, and DELWP has adjusted its dataset to account for this (three plants become one plant). DELWP accepts that there is some level of error in the counting of plants, at low levels, due to clonality.</w:t>
      </w:r>
      <w:r>
        <w:rPr>
          <w:color w:val="4D4D4F"/>
          <w:position w:val="7"/>
          <w:sz w:val="11"/>
        </w:rPr>
        <w:t xml:space="preserve">193 </w:t>
      </w:r>
      <w:r>
        <w:rPr>
          <w:color w:val="4D4D4F"/>
        </w:rPr>
        <w:t>Periodic genetic sampling of future populations will be important to account for clonality.</w:t>
      </w:r>
    </w:p>
    <w:p w14:paraId="0DE98443" w14:textId="77777777" w:rsidR="00EF5B27" w:rsidRDefault="00000000">
      <w:pPr>
        <w:pStyle w:val="BodyText"/>
        <w:spacing w:before="121" w:line="254" w:lineRule="auto"/>
        <w:ind w:left="2608" w:right="564"/>
        <w:rPr>
          <w:rFonts w:ascii="Calibri Light"/>
          <w:sz w:val="11"/>
        </w:rPr>
      </w:pPr>
      <w:r>
        <w:rPr>
          <w:rFonts w:ascii="Calibri Light"/>
          <w:color w:val="4D4D4F"/>
        </w:rPr>
        <w:t>Biomass control will be a necessary management intervention going forward for the species,</w:t>
      </w:r>
      <w:r>
        <w:rPr>
          <w:rFonts w:ascii="Calibri Light"/>
          <w:color w:val="4D4D4F"/>
          <w:position w:val="7"/>
          <w:sz w:val="11"/>
        </w:rPr>
        <w:t xml:space="preserve">194 </w:t>
      </w:r>
      <w:r>
        <w:rPr>
          <w:rFonts w:ascii="Calibri Light"/>
          <w:color w:val="4D4D4F"/>
        </w:rPr>
        <w:t>as the species risks decline if it is shaded out. The preferred biomass reduction regime is the application of planned burning every seven to 10 years; the species responds negatively to</w:t>
      </w:r>
      <w:r>
        <w:rPr>
          <w:rFonts w:ascii="Calibri Light"/>
          <w:color w:val="4D4D4F"/>
          <w:spacing w:val="-1"/>
        </w:rPr>
        <w:t xml:space="preserve"> </w:t>
      </w:r>
      <w:r>
        <w:rPr>
          <w:rFonts w:ascii="Calibri Light"/>
          <w:color w:val="4D4D4F"/>
        </w:rPr>
        <w:t>grazing.</w:t>
      </w:r>
      <w:r>
        <w:rPr>
          <w:rFonts w:ascii="Calibri Light"/>
          <w:color w:val="4D4D4F"/>
          <w:position w:val="7"/>
          <w:sz w:val="11"/>
        </w:rPr>
        <w:t>195</w:t>
      </w:r>
    </w:p>
    <w:p w14:paraId="5283C419" w14:textId="77777777" w:rsidR="00EF5B27" w:rsidRDefault="00000000">
      <w:pPr>
        <w:pStyle w:val="BodyText"/>
        <w:spacing w:before="118" w:line="254" w:lineRule="auto"/>
        <w:ind w:left="2608" w:right="189"/>
        <w:rPr>
          <w:rFonts w:ascii="Calibri Light"/>
        </w:rPr>
      </w:pPr>
      <w:r>
        <w:rPr>
          <w:rFonts w:ascii="Calibri Light"/>
          <w:color w:val="4D4D4F"/>
        </w:rPr>
        <w:t>DELWP is confident the species will persist in the medium-long term.</w:t>
      </w:r>
      <w:r>
        <w:rPr>
          <w:rFonts w:ascii="Calibri Light"/>
          <w:color w:val="4D4D4F"/>
          <w:position w:val="7"/>
          <w:sz w:val="11"/>
        </w:rPr>
        <w:t xml:space="preserve">196 </w:t>
      </w:r>
      <w:r>
        <w:rPr>
          <w:rFonts w:ascii="Calibri Light"/>
          <w:color w:val="4D4D4F"/>
        </w:rPr>
        <w:t>DELWP indicates that if declines are detected in the dataset over time, they would be easy to rectify,</w:t>
      </w:r>
    </w:p>
    <w:p w14:paraId="2406D10B" w14:textId="77777777" w:rsidR="00EF5B27" w:rsidRDefault="00000000">
      <w:pPr>
        <w:pStyle w:val="BodyText"/>
        <w:spacing w:before="2" w:line="254" w:lineRule="auto"/>
        <w:ind w:left="2608" w:right="335"/>
        <w:rPr>
          <w:rFonts w:ascii="Calibri Light"/>
        </w:rPr>
      </w:pPr>
      <w:r>
        <w:rPr>
          <w:rFonts w:ascii="Calibri Light"/>
          <w:color w:val="4D4D4F"/>
        </w:rPr>
        <w:t>as there is ample tube stock for planting, and the plants can be grown from a cutting of a rhizome. Response planning to manage potential species decline may be required given the current risk. Given the ease of intervention, supplementary planting may be</w:t>
      </w:r>
    </w:p>
    <w:p w14:paraId="348E644B" w14:textId="77777777" w:rsidR="00EF5B27" w:rsidRDefault="00000000">
      <w:pPr>
        <w:pStyle w:val="BodyText"/>
        <w:spacing w:before="4"/>
        <w:ind w:left="2608"/>
        <w:rPr>
          <w:rFonts w:ascii="Calibri Light"/>
        </w:rPr>
      </w:pPr>
      <w:r>
        <w:rPr>
          <w:rFonts w:ascii="Calibri Light"/>
          <w:color w:val="4D4D4F"/>
        </w:rPr>
        <w:t>undertaken to address any immediate declines, with opportunity to involve community.</w:t>
      </w:r>
    </w:p>
    <w:p w14:paraId="55AA6E28" w14:textId="77777777" w:rsidR="00EF5B27" w:rsidRDefault="00EF5B27">
      <w:pPr>
        <w:pStyle w:val="BodyText"/>
        <w:rPr>
          <w:rFonts w:ascii="Calibri Light"/>
        </w:rPr>
      </w:pPr>
    </w:p>
    <w:p w14:paraId="0650D75E" w14:textId="77777777" w:rsidR="00EF5B27" w:rsidRDefault="00EF5B27">
      <w:pPr>
        <w:pStyle w:val="BodyText"/>
        <w:rPr>
          <w:rFonts w:ascii="Calibri Light"/>
        </w:rPr>
      </w:pPr>
    </w:p>
    <w:p w14:paraId="6662D4AA" w14:textId="77777777" w:rsidR="00EF5B27" w:rsidRDefault="00000000">
      <w:pPr>
        <w:pStyle w:val="BodyText"/>
        <w:spacing w:before="1"/>
        <w:rPr>
          <w:rFonts w:ascii="Calibri Light"/>
          <w:sz w:val="27"/>
        </w:rPr>
      </w:pPr>
      <w:r>
        <w:pict w14:anchorId="1C1DCEB4">
          <v:line id="_x0000_s3050" style="position:absolute;z-index:251590144;mso-wrap-distance-left:0;mso-wrap-distance-right:0;mso-position-horizontal-relative:page" from="181.4pt,18.75pt" to="538.6pt,18.75pt" strokecolor="#4d4d4f" strokeweight=".5pt">
            <w10:wrap type="topAndBottom" anchorx="page"/>
          </v:line>
        </w:pict>
      </w:r>
    </w:p>
    <w:p w14:paraId="78855B57" w14:textId="77777777" w:rsidR="00EF5B27" w:rsidRDefault="00000000">
      <w:pPr>
        <w:pStyle w:val="ListParagraph"/>
        <w:numPr>
          <w:ilvl w:val="0"/>
          <w:numId w:val="27"/>
        </w:numPr>
        <w:tabs>
          <w:tab w:val="left" w:pos="2836"/>
        </w:tabs>
        <w:spacing w:before="83" w:line="143" w:lineRule="exact"/>
        <w:ind w:left="2835"/>
        <w:jc w:val="left"/>
        <w:rPr>
          <w:sz w:val="12"/>
        </w:rPr>
      </w:pPr>
      <w:r>
        <w:rPr>
          <w:color w:val="4D4D4F"/>
          <w:sz w:val="12"/>
        </w:rPr>
        <w:t>DELWP Officer, personal communication, 6 July</w:t>
      </w:r>
      <w:r>
        <w:rPr>
          <w:color w:val="4D4D4F"/>
          <w:spacing w:val="14"/>
          <w:sz w:val="12"/>
        </w:rPr>
        <w:t xml:space="preserve"> </w:t>
      </w:r>
      <w:r>
        <w:rPr>
          <w:color w:val="4D4D4F"/>
          <w:sz w:val="12"/>
        </w:rPr>
        <w:t>2021.</w:t>
      </w:r>
    </w:p>
    <w:p w14:paraId="2F0E13CA" w14:textId="77777777" w:rsidR="00EF5B27" w:rsidRDefault="00000000">
      <w:pPr>
        <w:pStyle w:val="ListParagraph"/>
        <w:numPr>
          <w:ilvl w:val="0"/>
          <w:numId w:val="27"/>
        </w:numPr>
        <w:tabs>
          <w:tab w:val="left" w:pos="2836"/>
        </w:tabs>
        <w:spacing w:line="140" w:lineRule="exact"/>
        <w:ind w:left="2835"/>
        <w:jc w:val="lef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4A19F789" w14:textId="77777777" w:rsidR="00EF5B27" w:rsidRDefault="00000000">
      <w:pPr>
        <w:pStyle w:val="ListParagraph"/>
        <w:numPr>
          <w:ilvl w:val="0"/>
          <w:numId w:val="27"/>
        </w:numPr>
        <w:tabs>
          <w:tab w:val="left" w:pos="2836"/>
        </w:tabs>
        <w:spacing w:line="140" w:lineRule="exact"/>
        <w:ind w:left="2835"/>
        <w:jc w:val="lef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613A23BA" w14:textId="77777777" w:rsidR="00EF5B27" w:rsidRDefault="00000000">
      <w:pPr>
        <w:pStyle w:val="ListParagraph"/>
        <w:numPr>
          <w:ilvl w:val="0"/>
          <w:numId w:val="27"/>
        </w:numPr>
        <w:tabs>
          <w:tab w:val="left" w:pos="2836"/>
        </w:tabs>
        <w:spacing w:line="140" w:lineRule="exact"/>
        <w:ind w:left="2835"/>
        <w:jc w:val="lef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0E797210" w14:textId="77777777" w:rsidR="00EF5B27" w:rsidRDefault="00000000">
      <w:pPr>
        <w:pStyle w:val="ListParagraph"/>
        <w:numPr>
          <w:ilvl w:val="0"/>
          <w:numId w:val="27"/>
        </w:numPr>
        <w:tabs>
          <w:tab w:val="left" w:pos="2836"/>
        </w:tabs>
        <w:spacing w:line="143" w:lineRule="exact"/>
        <w:ind w:left="2835"/>
        <w:jc w:val="lef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64197AF8"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408F6DE9" w14:textId="77777777" w:rsidR="00EF5B27" w:rsidRDefault="00000000">
      <w:pPr>
        <w:pStyle w:val="BodyText"/>
      </w:pPr>
      <w:r>
        <w:lastRenderedPageBreak/>
        <w:pict w14:anchorId="3E8F9FDD">
          <v:group id="_x0000_s3042" style="position:absolute;margin-left:587.05pt;margin-top:183.4pt;width:8.25pt;height:153.1pt;z-index:251647488;mso-position-horizontal-relative:page;mso-position-vertical-relative:page" coordorigin="11741,3668" coordsize="165,3062">
            <v:shape id="_x0000_s3049" style="position:absolute;left:11741;top:3668;width:165;height:561" coordorigin="11741,3668" coordsize="165,561" path="m11906,3668r-165,l11741,4228r165,-18l11906,3668xe" fillcolor="#00aed9" stroked="f">
              <v:path arrowok="t"/>
            </v:shape>
            <v:shape id="_x0000_s3048" style="position:absolute;left:11741;top:4118;width:165;height:425" coordorigin="11741,4118" coordsize="165,425" path="m11906,4118r-165,14l11741,4531r165,12l11906,4118xe" fillcolor="#047ebc" stroked="f">
              <v:path arrowok="t"/>
            </v:shape>
            <v:shape id="_x0000_s3047" type="#_x0000_t75" style="position:absolute;left:11741;top:4355;width:165;height:587">
              <v:imagedata r:id="rId42" o:title=""/>
            </v:shape>
            <v:shape id="_x0000_s3046" style="position:absolute;left:11741;top:5343;width:165;height:536" coordorigin="11741,5343" coordsize="165,536" path="m11741,5343r,535l11906,5872r,-525l11741,5343xe" fillcolor="#f36a2e" stroked="f">
              <v:path arrowok="t"/>
            </v:shape>
            <v:shape id="_x0000_s3045" style="position:absolute;left:11741;top:4925;width:165;height:501" coordorigin="11741,4926" coordsize="165,501" path="m11741,4926r,500l11906,5426r,-485l11741,4926xe" fillcolor="#49783f" stroked="f">
              <v:path arrowok="t"/>
            </v:shape>
            <v:shape id="_x0000_s3044" style="position:absolute;left:11741;top:5781;width:165;height:268" coordorigin="11741,5782" coordsize="165,268" path="m11906,5782r-165,8l11741,6039r165,10l11906,5782xe" fillcolor="#f99f2a" stroked="f">
              <v:path arrowok="t"/>
            </v:shape>
            <v:shape id="_x0000_s3043" style="position:absolute;left:11741;top:6023;width:165;height:707" coordorigin="11741,6023" coordsize="165,707" path="m11741,6023r,706l11906,6729r,-690l11741,6023xe" fillcolor="#ef412c" stroked="f">
              <v:path arrowok="t"/>
            </v:shape>
            <w10:wrap anchorx="page" anchory="page"/>
          </v:group>
        </w:pict>
      </w:r>
    </w:p>
    <w:p w14:paraId="59785A1C" w14:textId="77777777" w:rsidR="00EF5B27" w:rsidRDefault="00EF5B27">
      <w:pPr>
        <w:pStyle w:val="BodyText"/>
      </w:pPr>
    </w:p>
    <w:p w14:paraId="7925D589" w14:textId="77777777" w:rsidR="00EF5B27" w:rsidRDefault="00EF5B27">
      <w:pPr>
        <w:pStyle w:val="BodyText"/>
      </w:pPr>
    </w:p>
    <w:p w14:paraId="3B7DE227" w14:textId="77777777" w:rsidR="00EF5B27" w:rsidRDefault="00EF5B27">
      <w:pPr>
        <w:pStyle w:val="BodyText"/>
        <w:spacing w:before="8"/>
      </w:pPr>
    </w:p>
    <w:p w14:paraId="6759D5E5" w14:textId="77777777" w:rsidR="00EF5B27" w:rsidRDefault="00000000">
      <w:pPr>
        <w:pStyle w:val="Heading2"/>
      </w:pPr>
      <w:bookmarkStart w:id="74" w:name="_bookmark51"/>
      <w:bookmarkEnd w:id="74"/>
      <w:r>
        <w:rPr>
          <w:color w:val="F99F2A"/>
        </w:rPr>
        <w:t>MNES 6: Spiny Rice-flower</w:t>
      </w:r>
    </w:p>
    <w:p w14:paraId="7C6FA953" w14:textId="77777777" w:rsidR="00EF5B27" w:rsidRDefault="00EF5B27">
      <w:pPr>
        <w:pStyle w:val="BodyText"/>
        <w:spacing w:before="11"/>
        <w:rPr>
          <w:b/>
          <w:sz w:val="49"/>
        </w:rPr>
      </w:pPr>
    </w:p>
    <w:p w14:paraId="62BFCE03" w14:textId="77777777" w:rsidR="00EF5B27" w:rsidRDefault="00000000">
      <w:pPr>
        <w:pStyle w:val="Heading3"/>
      </w:pPr>
      <w:r>
        <w:rPr>
          <w:color w:val="F99F2A"/>
        </w:rPr>
        <w:t>Background</w:t>
      </w:r>
    </w:p>
    <w:p w14:paraId="734F227A" w14:textId="77777777" w:rsidR="00EF5B27" w:rsidRDefault="00000000">
      <w:pPr>
        <w:pStyle w:val="Heading6"/>
        <w:spacing w:before="222" w:line="254" w:lineRule="auto"/>
        <w:ind w:right="112"/>
        <w:jc w:val="both"/>
        <w:rPr>
          <w:sz w:val="11"/>
        </w:rPr>
      </w:pPr>
      <w:r>
        <w:rPr>
          <w:color w:val="4D4D4F"/>
          <w:spacing w:val="-3"/>
        </w:rPr>
        <w:t xml:space="preserve">Spiny </w:t>
      </w:r>
      <w:r>
        <w:rPr>
          <w:color w:val="4D4D4F"/>
        </w:rPr>
        <w:t xml:space="preserve">Rice-flower </w:t>
      </w:r>
      <w:r>
        <w:rPr>
          <w:color w:val="4D4D4F"/>
          <w:spacing w:val="-4"/>
        </w:rPr>
        <w:t>(</w:t>
      </w:r>
      <w:r>
        <w:rPr>
          <w:i/>
          <w:color w:val="4D4D4F"/>
          <w:spacing w:val="-4"/>
        </w:rPr>
        <w:t xml:space="preserve">Pimelea </w:t>
      </w:r>
      <w:r>
        <w:rPr>
          <w:i/>
          <w:color w:val="4D4D4F"/>
          <w:spacing w:val="-3"/>
        </w:rPr>
        <w:t xml:space="preserve">spinescens subsp. </w:t>
      </w:r>
      <w:r>
        <w:rPr>
          <w:i/>
          <w:color w:val="4D4D4F"/>
          <w:spacing w:val="-4"/>
        </w:rPr>
        <w:t>Spinescens</w:t>
      </w:r>
      <w:r>
        <w:rPr>
          <w:color w:val="4D4D4F"/>
          <w:spacing w:val="-4"/>
        </w:rPr>
        <w:t xml:space="preserve">) </w:t>
      </w:r>
      <w:r>
        <w:rPr>
          <w:color w:val="4D4D4F"/>
        </w:rPr>
        <w:t xml:space="preserve">is a </w:t>
      </w:r>
      <w:r>
        <w:rPr>
          <w:color w:val="4D4D4F"/>
          <w:spacing w:val="-3"/>
        </w:rPr>
        <w:t xml:space="preserve">small </w:t>
      </w:r>
      <w:r>
        <w:rPr>
          <w:color w:val="4D4D4F"/>
        </w:rPr>
        <w:t xml:space="preserve">shrub, growing up  to 30 cm </w:t>
      </w:r>
      <w:r>
        <w:rPr>
          <w:color w:val="4D4D4F"/>
          <w:spacing w:val="-4"/>
        </w:rPr>
        <w:t xml:space="preserve">high. </w:t>
      </w:r>
      <w:r>
        <w:rPr>
          <w:color w:val="4D4D4F"/>
        </w:rPr>
        <w:t xml:space="preserve">It </w:t>
      </w:r>
      <w:r>
        <w:rPr>
          <w:color w:val="4D4D4F"/>
          <w:spacing w:val="-3"/>
        </w:rPr>
        <w:t xml:space="preserve">is </w:t>
      </w:r>
      <w:r>
        <w:rPr>
          <w:color w:val="4D4D4F"/>
          <w:spacing w:val="-4"/>
        </w:rPr>
        <w:t xml:space="preserve">endemic </w:t>
      </w:r>
      <w:r>
        <w:rPr>
          <w:color w:val="4D4D4F"/>
        </w:rPr>
        <w:t xml:space="preserve">to </w:t>
      </w:r>
      <w:r>
        <w:rPr>
          <w:color w:val="4D4D4F"/>
          <w:spacing w:val="-3"/>
        </w:rPr>
        <w:t xml:space="preserve">Victoria, occurring </w:t>
      </w:r>
      <w:r>
        <w:rPr>
          <w:color w:val="4D4D4F"/>
        </w:rPr>
        <w:t xml:space="preserve">on </w:t>
      </w:r>
      <w:r>
        <w:rPr>
          <w:color w:val="4D4D4F"/>
          <w:spacing w:val="-3"/>
        </w:rPr>
        <w:t xml:space="preserve">the </w:t>
      </w:r>
      <w:r>
        <w:rPr>
          <w:color w:val="4D4D4F"/>
          <w:spacing w:val="-4"/>
        </w:rPr>
        <w:t xml:space="preserve">volcanic plains, </w:t>
      </w:r>
      <w:r>
        <w:rPr>
          <w:color w:val="4D4D4F"/>
          <w:spacing w:val="-3"/>
        </w:rPr>
        <w:t xml:space="preserve">in the Wimmera </w:t>
      </w:r>
      <w:r>
        <w:rPr>
          <w:color w:val="4D4D4F"/>
        </w:rPr>
        <w:t>and the northern</w:t>
      </w:r>
      <w:r>
        <w:rPr>
          <w:color w:val="4D4D4F"/>
          <w:spacing w:val="11"/>
        </w:rPr>
        <w:t xml:space="preserve"> </w:t>
      </w:r>
      <w:r>
        <w:rPr>
          <w:color w:val="4D4D4F"/>
        </w:rPr>
        <w:t>plains.</w:t>
      </w:r>
      <w:r>
        <w:rPr>
          <w:color w:val="4D4D4F"/>
          <w:position w:val="7"/>
          <w:sz w:val="11"/>
        </w:rPr>
        <w:t>197</w:t>
      </w:r>
    </w:p>
    <w:p w14:paraId="3DEA96E9" w14:textId="77777777" w:rsidR="00EF5B27" w:rsidRDefault="00EF5B27">
      <w:pPr>
        <w:pStyle w:val="BodyText"/>
        <w:spacing w:before="7"/>
        <w:rPr>
          <w:b/>
          <w:sz w:val="21"/>
        </w:rPr>
      </w:pPr>
    </w:p>
    <w:p w14:paraId="6BAC3465" w14:textId="77777777" w:rsidR="00EF5B27" w:rsidRDefault="00000000">
      <w:pPr>
        <w:pStyle w:val="BodyText"/>
        <w:ind w:left="2608"/>
      </w:pPr>
      <w:r>
        <w:rPr>
          <w:color w:val="4D4D4F"/>
          <w:w w:val="105"/>
        </w:rPr>
        <w:t>EPBC listing status: Critically Endangered</w:t>
      </w:r>
    </w:p>
    <w:p w14:paraId="4862F908" w14:textId="77777777" w:rsidR="00EF5B27" w:rsidRDefault="00000000">
      <w:pPr>
        <w:pStyle w:val="BodyText"/>
        <w:spacing w:before="3"/>
      </w:pPr>
      <w:r>
        <w:rPr>
          <w:noProof/>
        </w:rPr>
        <w:drawing>
          <wp:anchor distT="0" distB="0" distL="0" distR="0" simplePos="0" relativeHeight="251297280" behindDoc="0" locked="0" layoutInCell="1" allowOverlap="1" wp14:anchorId="26F4BE46" wp14:editId="163446DE">
            <wp:simplePos x="0" y="0"/>
            <wp:positionH relativeFrom="page">
              <wp:posOffset>2304000</wp:posOffset>
            </wp:positionH>
            <wp:positionV relativeFrom="paragraph">
              <wp:posOffset>181962</wp:posOffset>
            </wp:positionV>
            <wp:extent cx="4535423" cy="2551176"/>
            <wp:effectExtent l="0" t="0" r="0" b="0"/>
            <wp:wrapTopAndBottom/>
            <wp:docPr id="477"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181.png"/>
                    <pic:cNvPicPr/>
                  </pic:nvPicPr>
                  <pic:blipFill>
                    <a:blip r:embed="rId143" cstate="print"/>
                    <a:stretch>
                      <a:fillRect/>
                    </a:stretch>
                  </pic:blipFill>
                  <pic:spPr>
                    <a:xfrm>
                      <a:off x="0" y="0"/>
                      <a:ext cx="4535423" cy="2551176"/>
                    </a:xfrm>
                    <a:prstGeom prst="rect">
                      <a:avLst/>
                    </a:prstGeom>
                  </pic:spPr>
                </pic:pic>
              </a:graphicData>
            </a:graphic>
          </wp:anchor>
        </w:drawing>
      </w:r>
    </w:p>
    <w:p w14:paraId="17F888F1" w14:textId="77777777" w:rsidR="00EF5B27" w:rsidRDefault="00000000">
      <w:pPr>
        <w:tabs>
          <w:tab w:val="left" w:pos="8977"/>
        </w:tabs>
        <w:spacing w:before="113"/>
        <w:ind w:left="2608"/>
        <w:rPr>
          <w:rFonts w:ascii="Century Gothic"/>
          <w:i/>
          <w:sz w:val="12"/>
        </w:rPr>
      </w:pPr>
      <w:r>
        <w:rPr>
          <w:color w:val="4D4D4F"/>
          <w:sz w:val="16"/>
        </w:rPr>
        <w:t>Figure  26:</w:t>
      </w:r>
      <w:r>
        <w:rPr>
          <w:color w:val="4D4D4F"/>
          <w:spacing w:val="-13"/>
          <w:sz w:val="16"/>
        </w:rPr>
        <w:t xml:space="preserve"> </w:t>
      </w:r>
      <w:r>
        <w:rPr>
          <w:color w:val="4D4D4F"/>
          <w:sz w:val="16"/>
        </w:rPr>
        <w:t>Spiny</w:t>
      </w:r>
      <w:r>
        <w:rPr>
          <w:color w:val="4D4D4F"/>
          <w:spacing w:val="12"/>
          <w:sz w:val="16"/>
        </w:rPr>
        <w:t xml:space="preserve"> </w:t>
      </w:r>
      <w:r>
        <w:rPr>
          <w:color w:val="4D4D4F"/>
          <w:sz w:val="16"/>
        </w:rPr>
        <w:t>Rice-flower</w:t>
      </w:r>
      <w:r>
        <w:rPr>
          <w:color w:val="4D4D4F"/>
          <w:sz w:val="16"/>
        </w:rPr>
        <w:tab/>
      </w:r>
      <w:r>
        <w:rPr>
          <w:rFonts w:ascii="Century Gothic"/>
          <w:i/>
          <w:color w:val="4D4D4F"/>
          <w:sz w:val="12"/>
        </w:rPr>
        <w:t>Source:</w:t>
      </w:r>
      <w:r>
        <w:rPr>
          <w:rFonts w:ascii="Century Gothic"/>
          <w:i/>
          <w:color w:val="4D4D4F"/>
          <w:spacing w:val="-21"/>
          <w:sz w:val="12"/>
        </w:rPr>
        <w:t xml:space="preserve"> </w:t>
      </w:r>
      <w:r>
        <w:rPr>
          <w:rFonts w:ascii="Century Gothic"/>
          <w:i/>
          <w:color w:val="4D4D4F"/>
          <w:sz w:val="12"/>
        </w:rPr>
        <w:t>DELWP</w:t>
      </w:r>
    </w:p>
    <w:p w14:paraId="34AA41A5" w14:textId="77777777" w:rsidR="00EF5B27" w:rsidRDefault="00EF5B27">
      <w:pPr>
        <w:pStyle w:val="BodyText"/>
        <w:spacing w:before="6"/>
        <w:rPr>
          <w:rFonts w:ascii="Century Gothic"/>
          <w:i/>
          <w:sz w:val="29"/>
        </w:rPr>
      </w:pPr>
    </w:p>
    <w:p w14:paraId="02A52459" w14:textId="77777777" w:rsidR="00EF5B27" w:rsidRDefault="00000000">
      <w:pPr>
        <w:pStyle w:val="Heading3"/>
        <w:spacing w:before="1"/>
        <w:ind w:left="2609"/>
      </w:pPr>
      <w:r>
        <w:rPr>
          <w:color w:val="F99F2A"/>
        </w:rPr>
        <w:t>DELWP’s conservation commitment</w:t>
      </w:r>
    </w:p>
    <w:p w14:paraId="14700FCD" w14:textId="77777777" w:rsidR="00EF5B27" w:rsidRDefault="00000000">
      <w:pPr>
        <w:pStyle w:val="BodyText"/>
        <w:spacing w:before="221" w:line="254" w:lineRule="auto"/>
        <w:ind w:left="2609" w:right="389"/>
      </w:pPr>
      <w:r>
        <w:rPr>
          <w:color w:val="4D4D4F"/>
        </w:rPr>
        <w:t>DELWP published the following statements as conservation outcomes for the Spiny Rice-flower by notice in the Victorian Government Gazette:</w:t>
      </w:r>
    </w:p>
    <w:p w14:paraId="2A1AD80F" w14:textId="77777777" w:rsidR="00EF5B27" w:rsidRDefault="00000000">
      <w:pPr>
        <w:pStyle w:val="BodyText"/>
        <w:spacing w:before="2"/>
        <w:rPr>
          <w:sz w:val="19"/>
        </w:rPr>
      </w:pPr>
      <w:r>
        <w:pict w14:anchorId="6E8F7867">
          <v:shape id="_x0000_s3041" type="#_x0000_t202" style="position:absolute;margin-left:56.95pt;margin-top:13.9pt;width:481.5pt;height:172.35pt;z-index:251591168;mso-wrap-distance-left:0;mso-wrap-distance-right:0;mso-position-horizontal-relative:page" filled="f" strokecolor="#4d4d4f" strokeweight=".5pt">
            <v:textbox inset="0,0,0,0">
              <w:txbxContent>
                <w:p w14:paraId="5A115F4B" w14:textId="77777777" w:rsidR="00EF5B27" w:rsidRDefault="00000000">
                  <w:pPr>
                    <w:spacing w:before="192" w:line="254" w:lineRule="auto"/>
                    <w:ind w:left="275" w:right="255" w:hanging="49"/>
                    <w:rPr>
                      <w:b/>
                      <w:i/>
                      <w:sz w:val="20"/>
                    </w:rPr>
                  </w:pPr>
                  <w:r>
                    <w:rPr>
                      <w:b/>
                      <w:i/>
                      <w:color w:val="4D4D4F"/>
                      <w:sz w:val="20"/>
                    </w:rPr>
                    <w:t xml:space="preserve">‘The permanent protection of occupied habitat for Spiny Rice-flower in: the Western Grassland Reserve the </w:t>
                  </w:r>
                  <w:r>
                    <w:rPr>
                      <w:b/>
                      <w:i/>
                      <w:color w:val="4D4D4F"/>
                      <w:spacing w:val="-4"/>
                      <w:sz w:val="20"/>
                    </w:rPr>
                    <w:t xml:space="preserve">conservation areas identified </w:t>
                  </w:r>
                  <w:r>
                    <w:rPr>
                      <w:b/>
                      <w:i/>
                      <w:color w:val="4D4D4F"/>
                      <w:sz w:val="20"/>
                    </w:rPr>
                    <w:t xml:space="preserve">in </w:t>
                  </w:r>
                  <w:r>
                    <w:rPr>
                      <w:b/>
                      <w:i/>
                      <w:color w:val="4D4D4F"/>
                      <w:spacing w:val="-3"/>
                      <w:sz w:val="20"/>
                    </w:rPr>
                    <w:t xml:space="preserve">the </w:t>
                  </w:r>
                  <w:r>
                    <w:rPr>
                      <w:b/>
                      <w:i/>
                      <w:color w:val="4D4D4F"/>
                      <w:spacing w:val="-2"/>
                      <w:sz w:val="20"/>
                    </w:rPr>
                    <w:t xml:space="preserve">BCS </w:t>
                  </w:r>
                  <w:r>
                    <w:rPr>
                      <w:b/>
                      <w:i/>
                      <w:color w:val="4D4D4F"/>
                      <w:sz w:val="20"/>
                    </w:rPr>
                    <w:t xml:space="preserve">and </w:t>
                  </w:r>
                  <w:r>
                    <w:rPr>
                      <w:b/>
                      <w:i/>
                      <w:color w:val="4D4D4F"/>
                      <w:spacing w:val="-3"/>
                      <w:sz w:val="20"/>
                    </w:rPr>
                    <w:t xml:space="preserve">the </w:t>
                  </w:r>
                  <w:r>
                    <w:rPr>
                      <w:b/>
                      <w:i/>
                      <w:color w:val="4D4D4F"/>
                      <w:spacing w:val="-4"/>
                      <w:sz w:val="20"/>
                    </w:rPr>
                    <w:t xml:space="preserve">Conservation Areas Declaration </w:t>
                  </w:r>
                  <w:r>
                    <w:rPr>
                      <w:b/>
                      <w:i/>
                      <w:color w:val="4D4D4F"/>
                      <w:spacing w:val="-5"/>
                      <w:sz w:val="20"/>
                    </w:rPr>
                    <w:t xml:space="preserve">394 </w:t>
                  </w:r>
                  <w:r>
                    <w:rPr>
                      <w:b/>
                      <w:i/>
                      <w:color w:val="4D4D4F"/>
                      <w:sz w:val="20"/>
                    </w:rPr>
                    <w:t xml:space="preserve">ha of </w:t>
                  </w:r>
                  <w:r>
                    <w:rPr>
                      <w:b/>
                      <w:i/>
                      <w:color w:val="4D4D4F"/>
                      <w:spacing w:val="-4"/>
                      <w:sz w:val="20"/>
                    </w:rPr>
                    <w:t xml:space="preserve">conservation areas identified outside </w:t>
                  </w:r>
                  <w:r>
                    <w:rPr>
                      <w:b/>
                      <w:i/>
                      <w:color w:val="4D4D4F"/>
                      <w:spacing w:val="-3"/>
                      <w:sz w:val="20"/>
                    </w:rPr>
                    <w:t xml:space="preserve">the UGB </w:t>
                  </w:r>
                  <w:r>
                    <w:rPr>
                      <w:b/>
                      <w:i/>
                      <w:color w:val="4D4D4F"/>
                      <w:spacing w:val="-4"/>
                      <w:sz w:val="20"/>
                    </w:rPr>
                    <w:t xml:space="preserve">that </w:t>
                  </w:r>
                  <w:r>
                    <w:rPr>
                      <w:b/>
                      <w:i/>
                      <w:color w:val="4D4D4F"/>
                      <w:spacing w:val="-3"/>
                      <w:sz w:val="20"/>
                    </w:rPr>
                    <w:t xml:space="preserve">can </w:t>
                  </w:r>
                  <w:r>
                    <w:rPr>
                      <w:b/>
                      <w:i/>
                      <w:color w:val="4D4D4F"/>
                      <w:spacing w:val="-4"/>
                      <w:sz w:val="20"/>
                    </w:rPr>
                    <w:t xml:space="preserve">include land within </w:t>
                  </w:r>
                  <w:r>
                    <w:rPr>
                      <w:b/>
                      <w:i/>
                      <w:color w:val="4D4D4F"/>
                      <w:spacing w:val="-3"/>
                      <w:sz w:val="20"/>
                    </w:rPr>
                    <w:t xml:space="preserve">the </w:t>
                  </w:r>
                  <w:r>
                    <w:rPr>
                      <w:b/>
                      <w:i/>
                      <w:color w:val="4D4D4F"/>
                      <w:spacing w:val="-5"/>
                      <w:sz w:val="20"/>
                    </w:rPr>
                    <w:t xml:space="preserve">Grassy Eucalypt </w:t>
                  </w:r>
                  <w:r>
                    <w:rPr>
                      <w:b/>
                      <w:i/>
                      <w:color w:val="4D4D4F"/>
                      <w:spacing w:val="-4"/>
                      <w:sz w:val="20"/>
                    </w:rPr>
                    <w:t xml:space="preserve">Woodland </w:t>
                  </w:r>
                  <w:r>
                    <w:rPr>
                      <w:b/>
                      <w:i/>
                      <w:color w:val="4D4D4F"/>
                      <w:spacing w:val="-5"/>
                      <w:sz w:val="20"/>
                    </w:rPr>
                    <w:t xml:space="preserve">Protected </w:t>
                  </w:r>
                  <w:r>
                    <w:rPr>
                      <w:b/>
                      <w:i/>
                      <w:color w:val="4D4D4F"/>
                      <w:spacing w:val="-4"/>
                      <w:sz w:val="20"/>
                    </w:rPr>
                    <w:t xml:space="preserve">Area </w:t>
                  </w:r>
                  <w:r>
                    <w:rPr>
                      <w:b/>
                      <w:i/>
                      <w:color w:val="4D4D4F"/>
                      <w:spacing w:val="-5"/>
                      <w:sz w:val="20"/>
                    </w:rPr>
                    <w:t xml:space="preserve">(where </w:t>
                  </w:r>
                  <w:r>
                    <w:rPr>
                      <w:b/>
                      <w:i/>
                      <w:color w:val="4D4D4F"/>
                      <w:spacing w:val="-4"/>
                      <w:sz w:val="20"/>
                    </w:rPr>
                    <w:t xml:space="preserve">occupied habitat </w:t>
                  </w:r>
                  <w:r>
                    <w:rPr>
                      <w:b/>
                      <w:i/>
                      <w:color w:val="4D4D4F"/>
                      <w:spacing w:val="-3"/>
                      <w:sz w:val="20"/>
                    </w:rPr>
                    <w:t xml:space="preserve">is </w:t>
                  </w:r>
                  <w:r>
                    <w:rPr>
                      <w:b/>
                      <w:i/>
                      <w:color w:val="4D4D4F"/>
                      <w:spacing w:val="-6"/>
                      <w:sz w:val="20"/>
                    </w:rPr>
                    <w:t>found).’</w:t>
                  </w:r>
                </w:p>
                <w:p w14:paraId="6781A65F" w14:textId="77777777" w:rsidR="00EF5B27" w:rsidRDefault="00000000">
                  <w:pPr>
                    <w:spacing w:before="118" w:line="254" w:lineRule="auto"/>
                    <w:ind w:left="270" w:right="255" w:hanging="44"/>
                    <w:rPr>
                      <w:b/>
                      <w:i/>
                      <w:sz w:val="20"/>
                    </w:rPr>
                  </w:pPr>
                  <w:r>
                    <w:rPr>
                      <w:b/>
                      <w:i/>
                      <w:color w:val="4D4D4F"/>
                      <w:spacing w:val="-5"/>
                      <w:sz w:val="20"/>
                    </w:rPr>
                    <w:t xml:space="preserve">‘Spiny Rice-flower populations </w:t>
                  </w:r>
                  <w:r>
                    <w:rPr>
                      <w:b/>
                      <w:i/>
                      <w:color w:val="4D4D4F"/>
                      <w:spacing w:val="-3"/>
                      <w:sz w:val="20"/>
                    </w:rPr>
                    <w:t xml:space="preserve">in </w:t>
                  </w:r>
                  <w:r>
                    <w:rPr>
                      <w:b/>
                      <w:i/>
                      <w:color w:val="4D4D4F"/>
                      <w:spacing w:val="-4"/>
                      <w:sz w:val="20"/>
                    </w:rPr>
                    <w:t xml:space="preserve">the </w:t>
                  </w:r>
                  <w:r>
                    <w:rPr>
                      <w:b/>
                      <w:i/>
                      <w:color w:val="4D4D4F"/>
                      <w:spacing w:val="-6"/>
                      <w:sz w:val="20"/>
                    </w:rPr>
                    <w:t xml:space="preserve">Western </w:t>
                  </w:r>
                  <w:r>
                    <w:rPr>
                      <w:b/>
                      <w:i/>
                      <w:color w:val="4D4D4F"/>
                      <w:spacing w:val="-5"/>
                      <w:sz w:val="20"/>
                    </w:rPr>
                    <w:t xml:space="preserve">Grassland Reserve </w:t>
                  </w:r>
                  <w:r>
                    <w:rPr>
                      <w:b/>
                      <w:i/>
                      <w:color w:val="4D4D4F"/>
                      <w:spacing w:val="-4"/>
                      <w:sz w:val="20"/>
                    </w:rPr>
                    <w:t xml:space="preserve">are </w:t>
                  </w:r>
                  <w:r>
                    <w:rPr>
                      <w:b/>
                      <w:i/>
                      <w:color w:val="4D4D4F"/>
                      <w:spacing w:val="-5"/>
                      <w:sz w:val="20"/>
                    </w:rPr>
                    <w:t xml:space="preserve">sustained </w:t>
                  </w:r>
                  <w:r>
                    <w:rPr>
                      <w:b/>
                      <w:i/>
                      <w:color w:val="4D4D4F"/>
                      <w:spacing w:val="-3"/>
                      <w:sz w:val="20"/>
                    </w:rPr>
                    <w:t xml:space="preserve">in </w:t>
                  </w:r>
                  <w:r>
                    <w:rPr>
                      <w:b/>
                      <w:i/>
                      <w:color w:val="4D4D4F"/>
                      <w:spacing w:val="-4"/>
                      <w:sz w:val="20"/>
                    </w:rPr>
                    <w:t xml:space="preserve">the </w:t>
                  </w:r>
                  <w:r>
                    <w:rPr>
                      <w:b/>
                      <w:i/>
                      <w:color w:val="4D4D4F"/>
                      <w:spacing w:val="-5"/>
                      <w:sz w:val="20"/>
                    </w:rPr>
                    <w:t xml:space="preserve">long-term. Sustained </w:t>
                  </w:r>
                  <w:r>
                    <w:rPr>
                      <w:b/>
                      <w:i/>
                      <w:color w:val="4D4D4F"/>
                      <w:spacing w:val="-4"/>
                      <w:sz w:val="20"/>
                    </w:rPr>
                    <w:t xml:space="preserve">means that </w:t>
                  </w:r>
                  <w:r>
                    <w:rPr>
                      <w:b/>
                      <w:i/>
                      <w:color w:val="4D4D4F"/>
                      <w:spacing w:val="-3"/>
                      <w:sz w:val="20"/>
                    </w:rPr>
                    <w:t xml:space="preserve">the </w:t>
                  </w:r>
                  <w:r>
                    <w:rPr>
                      <w:b/>
                      <w:i/>
                      <w:color w:val="4D4D4F"/>
                      <w:spacing w:val="-5"/>
                      <w:sz w:val="20"/>
                    </w:rPr>
                    <w:t xml:space="preserve">recruits </w:t>
                  </w:r>
                  <w:r>
                    <w:rPr>
                      <w:b/>
                      <w:i/>
                      <w:color w:val="4D4D4F"/>
                      <w:spacing w:val="-4"/>
                      <w:sz w:val="20"/>
                    </w:rPr>
                    <w:t xml:space="preserve">forming </w:t>
                  </w:r>
                  <w:r>
                    <w:rPr>
                      <w:b/>
                      <w:i/>
                      <w:color w:val="4D4D4F"/>
                      <w:spacing w:val="-3"/>
                      <w:sz w:val="20"/>
                    </w:rPr>
                    <w:t xml:space="preserve">more than </w:t>
                  </w:r>
                  <w:r>
                    <w:rPr>
                      <w:b/>
                      <w:i/>
                      <w:color w:val="4D4D4F"/>
                      <w:spacing w:val="-5"/>
                      <w:sz w:val="20"/>
                    </w:rPr>
                    <w:t xml:space="preserve">10% </w:t>
                  </w:r>
                  <w:r>
                    <w:rPr>
                      <w:b/>
                      <w:i/>
                      <w:color w:val="4D4D4F"/>
                      <w:sz w:val="20"/>
                    </w:rPr>
                    <w:t xml:space="preserve">of </w:t>
                  </w:r>
                  <w:r>
                    <w:rPr>
                      <w:b/>
                      <w:i/>
                      <w:color w:val="4D4D4F"/>
                      <w:spacing w:val="-3"/>
                      <w:sz w:val="20"/>
                    </w:rPr>
                    <w:t xml:space="preserve">the </w:t>
                  </w:r>
                  <w:r>
                    <w:rPr>
                      <w:b/>
                      <w:i/>
                      <w:color w:val="4D4D4F"/>
                      <w:spacing w:val="-4"/>
                      <w:sz w:val="20"/>
                    </w:rPr>
                    <w:t xml:space="preserve">population </w:t>
                  </w:r>
                  <w:r>
                    <w:rPr>
                      <w:b/>
                      <w:i/>
                      <w:color w:val="4D4D4F"/>
                      <w:sz w:val="20"/>
                    </w:rPr>
                    <w:t xml:space="preserve">in </w:t>
                  </w:r>
                  <w:r>
                    <w:rPr>
                      <w:b/>
                      <w:i/>
                      <w:color w:val="4D4D4F"/>
                      <w:spacing w:val="-3"/>
                      <w:sz w:val="20"/>
                    </w:rPr>
                    <w:t xml:space="preserve">each </w:t>
                  </w:r>
                  <w:r>
                    <w:rPr>
                      <w:b/>
                      <w:i/>
                      <w:color w:val="4D4D4F"/>
                      <w:spacing w:val="-4"/>
                      <w:sz w:val="20"/>
                    </w:rPr>
                    <w:t xml:space="preserve">location </w:t>
                  </w:r>
                  <w:r>
                    <w:rPr>
                      <w:b/>
                      <w:i/>
                      <w:color w:val="4D4D4F"/>
                      <w:spacing w:val="-3"/>
                      <w:sz w:val="20"/>
                    </w:rPr>
                    <w:t xml:space="preserve">at </w:t>
                  </w:r>
                  <w:r>
                    <w:rPr>
                      <w:b/>
                      <w:i/>
                      <w:color w:val="4D4D4F"/>
                      <w:spacing w:val="-4"/>
                      <w:sz w:val="20"/>
                    </w:rPr>
                    <w:t xml:space="preserve">least </w:t>
                  </w:r>
                  <w:r>
                    <w:rPr>
                      <w:b/>
                      <w:i/>
                      <w:color w:val="4D4D4F"/>
                      <w:spacing w:val="-3"/>
                      <w:sz w:val="20"/>
                    </w:rPr>
                    <w:t xml:space="preserve">once </w:t>
                  </w:r>
                  <w:r>
                    <w:rPr>
                      <w:b/>
                      <w:i/>
                      <w:color w:val="4D4D4F"/>
                      <w:sz w:val="20"/>
                    </w:rPr>
                    <w:t xml:space="preserve">in </w:t>
                  </w:r>
                  <w:r>
                    <w:rPr>
                      <w:b/>
                      <w:i/>
                      <w:color w:val="4D4D4F"/>
                      <w:spacing w:val="-3"/>
                      <w:sz w:val="20"/>
                    </w:rPr>
                    <w:t xml:space="preserve">the </w:t>
                  </w:r>
                  <w:r>
                    <w:rPr>
                      <w:b/>
                      <w:i/>
                      <w:color w:val="4D4D4F"/>
                      <w:spacing w:val="-5"/>
                      <w:sz w:val="20"/>
                    </w:rPr>
                    <w:t xml:space="preserve">previous </w:t>
                  </w:r>
                  <w:r>
                    <w:rPr>
                      <w:b/>
                      <w:i/>
                      <w:color w:val="4D4D4F"/>
                      <w:spacing w:val="-6"/>
                      <w:sz w:val="20"/>
                    </w:rPr>
                    <w:t xml:space="preserve">10 </w:t>
                  </w:r>
                  <w:r>
                    <w:rPr>
                      <w:b/>
                      <w:i/>
                      <w:color w:val="4D4D4F"/>
                      <w:spacing w:val="-4"/>
                      <w:sz w:val="20"/>
                    </w:rPr>
                    <w:t xml:space="preserve">years </w:t>
                  </w:r>
                  <w:r>
                    <w:rPr>
                      <w:b/>
                      <w:i/>
                      <w:color w:val="4D4D4F"/>
                      <w:sz w:val="20"/>
                    </w:rPr>
                    <w:t xml:space="preserve">and </w:t>
                  </w:r>
                  <w:r>
                    <w:rPr>
                      <w:b/>
                      <w:i/>
                      <w:color w:val="4D4D4F"/>
                      <w:spacing w:val="-3"/>
                      <w:sz w:val="20"/>
                    </w:rPr>
                    <w:t xml:space="preserve">the </w:t>
                  </w:r>
                  <w:r>
                    <w:rPr>
                      <w:b/>
                      <w:i/>
                      <w:color w:val="4D4D4F"/>
                      <w:spacing w:val="-4"/>
                      <w:sz w:val="20"/>
                    </w:rPr>
                    <w:t xml:space="preserve">five-year </w:t>
                  </w:r>
                  <w:r>
                    <w:rPr>
                      <w:b/>
                      <w:i/>
                      <w:color w:val="4D4D4F"/>
                      <w:spacing w:val="-3"/>
                      <w:sz w:val="20"/>
                    </w:rPr>
                    <w:t xml:space="preserve">mean </w:t>
                  </w:r>
                  <w:r>
                    <w:rPr>
                      <w:b/>
                      <w:i/>
                      <w:color w:val="4D4D4F"/>
                      <w:spacing w:val="-4"/>
                      <w:sz w:val="20"/>
                    </w:rPr>
                    <w:t xml:space="preserve">population </w:t>
                  </w:r>
                  <w:r>
                    <w:rPr>
                      <w:b/>
                      <w:i/>
                      <w:color w:val="4D4D4F"/>
                      <w:spacing w:val="-3"/>
                      <w:sz w:val="20"/>
                    </w:rPr>
                    <w:t xml:space="preserve">count </w:t>
                  </w:r>
                  <w:r>
                    <w:rPr>
                      <w:b/>
                      <w:i/>
                      <w:color w:val="4D4D4F"/>
                      <w:spacing w:val="-4"/>
                      <w:sz w:val="20"/>
                    </w:rPr>
                    <w:t xml:space="preserve">remain above </w:t>
                  </w:r>
                  <w:r>
                    <w:rPr>
                      <w:b/>
                      <w:i/>
                      <w:color w:val="4D4D4F"/>
                      <w:spacing w:val="-3"/>
                      <w:sz w:val="20"/>
                    </w:rPr>
                    <w:t xml:space="preserve">the </w:t>
                  </w:r>
                  <w:r>
                    <w:rPr>
                      <w:b/>
                      <w:i/>
                      <w:color w:val="4D4D4F"/>
                      <w:spacing w:val="-6"/>
                      <w:sz w:val="20"/>
                    </w:rPr>
                    <w:t>baseline.’</w:t>
                  </w:r>
                </w:p>
                <w:p w14:paraId="73D87A74" w14:textId="77777777" w:rsidR="00EF5B27" w:rsidRDefault="00000000">
                  <w:pPr>
                    <w:spacing w:before="117" w:line="254" w:lineRule="auto"/>
                    <w:ind w:left="271" w:right="255" w:hanging="45"/>
                    <w:rPr>
                      <w:b/>
                      <w:i/>
                      <w:sz w:val="20"/>
                    </w:rPr>
                  </w:pPr>
                  <w:r>
                    <w:rPr>
                      <w:b/>
                      <w:i/>
                      <w:color w:val="4D4D4F"/>
                      <w:spacing w:val="-4"/>
                      <w:sz w:val="20"/>
                    </w:rPr>
                    <w:t xml:space="preserve">‘Spiny Rice-flower populations </w:t>
                  </w:r>
                  <w:r>
                    <w:rPr>
                      <w:b/>
                      <w:i/>
                      <w:color w:val="4D4D4F"/>
                      <w:sz w:val="20"/>
                    </w:rPr>
                    <w:t xml:space="preserve">in </w:t>
                  </w:r>
                  <w:r>
                    <w:rPr>
                      <w:b/>
                      <w:i/>
                      <w:color w:val="4D4D4F"/>
                      <w:spacing w:val="-3"/>
                      <w:sz w:val="20"/>
                    </w:rPr>
                    <w:t xml:space="preserve">the </w:t>
                  </w:r>
                  <w:r>
                    <w:rPr>
                      <w:b/>
                      <w:i/>
                      <w:color w:val="4D4D4F"/>
                      <w:spacing w:val="-4"/>
                      <w:sz w:val="20"/>
                    </w:rPr>
                    <w:t xml:space="preserve">conservation areas identified </w:t>
                  </w:r>
                  <w:r>
                    <w:rPr>
                      <w:b/>
                      <w:i/>
                      <w:color w:val="4D4D4F"/>
                      <w:sz w:val="20"/>
                    </w:rPr>
                    <w:t xml:space="preserve">in </w:t>
                  </w:r>
                  <w:r>
                    <w:rPr>
                      <w:b/>
                      <w:i/>
                      <w:color w:val="4D4D4F"/>
                      <w:spacing w:val="-3"/>
                      <w:sz w:val="20"/>
                    </w:rPr>
                    <w:t xml:space="preserve">the </w:t>
                  </w:r>
                  <w:r>
                    <w:rPr>
                      <w:b/>
                      <w:i/>
                      <w:color w:val="4D4D4F"/>
                      <w:spacing w:val="-2"/>
                      <w:sz w:val="20"/>
                    </w:rPr>
                    <w:t xml:space="preserve">BCS </w:t>
                  </w:r>
                  <w:r>
                    <w:rPr>
                      <w:b/>
                      <w:i/>
                      <w:color w:val="4D4D4F"/>
                      <w:sz w:val="20"/>
                    </w:rPr>
                    <w:t xml:space="preserve">and </w:t>
                  </w:r>
                  <w:r>
                    <w:rPr>
                      <w:b/>
                      <w:i/>
                      <w:color w:val="4D4D4F"/>
                      <w:spacing w:val="-3"/>
                      <w:sz w:val="20"/>
                    </w:rPr>
                    <w:t xml:space="preserve">the </w:t>
                  </w:r>
                  <w:r>
                    <w:rPr>
                      <w:b/>
                      <w:i/>
                      <w:color w:val="4D4D4F"/>
                      <w:spacing w:val="-4"/>
                      <w:sz w:val="20"/>
                    </w:rPr>
                    <w:t xml:space="preserve">Conservation Areas Declaration, </w:t>
                  </w:r>
                  <w:r>
                    <w:rPr>
                      <w:b/>
                      <w:i/>
                      <w:color w:val="4D4D4F"/>
                      <w:sz w:val="20"/>
                    </w:rPr>
                    <w:t xml:space="preserve">and </w:t>
                  </w:r>
                  <w:r>
                    <w:rPr>
                      <w:b/>
                      <w:i/>
                      <w:color w:val="4D4D4F"/>
                      <w:spacing w:val="-4"/>
                      <w:sz w:val="20"/>
                    </w:rPr>
                    <w:t xml:space="preserve">those outside </w:t>
                  </w:r>
                  <w:r>
                    <w:rPr>
                      <w:b/>
                      <w:i/>
                      <w:color w:val="4D4D4F"/>
                      <w:spacing w:val="-3"/>
                      <w:sz w:val="20"/>
                    </w:rPr>
                    <w:t xml:space="preserve">the UGB are </w:t>
                  </w:r>
                  <w:r>
                    <w:rPr>
                      <w:b/>
                      <w:i/>
                      <w:color w:val="4D4D4F"/>
                      <w:spacing w:val="-4"/>
                      <w:sz w:val="20"/>
                    </w:rPr>
                    <w:t xml:space="preserve">sustained </w:t>
                  </w:r>
                  <w:r>
                    <w:rPr>
                      <w:b/>
                      <w:i/>
                      <w:color w:val="4D4D4F"/>
                      <w:sz w:val="20"/>
                    </w:rPr>
                    <w:t xml:space="preserve">in </w:t>
                  </w:r>
                  <w:r>
                    <w:rPr>
                      <w:b/>
                      <w:i/>
                      <w:color w:val="4D4D4F"/>
                      <w:spacing w:val="-3"/>
                      <w:sz w:val="20"/>
                    </w:rPr>
                    <w:t xml:space="preserve">the </w:t>
                  </w:r>
                  <w:r>
                    <w:rPr>
                      <w:b/>
                      <w:i/>
                      <w:color w:val="4D4D4F"/>
                      <w:spacing w:val="-4"/>
                      <w:sz w:val="20"/>
                    </w:rPr>
                    <w:t xml:space="preserve">long-term. Sustained </w:t>
                  </w:r>
                  <w:r>
                    <w:rPr>
                      <w:b/>
                      <w:i/>
                      <w:color w:val="4D4D4F"/>
                      <w:spacing w:val="-3"/>
                      <w:sz w:val="20"/>
                    </w:rPr>
                    <w:t xml:space="preserve">means </w:t>
                  </w:r>
                  <w:r>
                    <w:rPr>
                      <w:b/>
                      <w:i/>
                      <w:color w:val="4D4D4F"/>
                      <w:spacing w:val="-4"/>
                      <w:sz w:val="20"/>
                    </w:rPr>
                    <w:t xml:space="preserve">that </w:t>
                  </w:r>
                  <w:r>
                    <w:rPr>
                      <w:b/>
                      <w:i/>
                      <w:color w:val="4D4D4F"/>
                      <w:spacing w:val="-5"/>
                      <w:sz w:val="20"/>
                    </w:rPr>
                    <w:t xml:space="preserve">recruits </w:t>
                  </w:r>
                  <w:r>
                    <w:rPr>
                      <w:b/>
                      <w:i/>
                      <w:color w:val="4D4D4F"/>
                      <w:spacing w:val="-4"/>
                      <w:sz w:val="20"/>
                    </w:rPr>
                    <w:t xml:space="preserve">forming </w:t>
                  </w:r>
                  <w:r>
                    <w:rPr>
                      <w:b/>
                      <w:i/>
                      <w:color w:val="4D4D4F"/>
                      <w:spacing w:val="-3"/>
                      <w:sz w:val="20"/>
                    </w:rPr>
                    <w:t xml:space="preserve">more than </w:t>
                  </w:r>
                  <w:r>
                    <w:rPr>
                      <w:b/>
                      <w:i/>
                      <w:color w:val="4D4D4F"/>
                      <w:spacing w:val="-5"/>
                      <w:sz w:val="20"/>
                    </w:rPr>
                    <w:t xml:space="preserve">10% </w:t>
                  </w:r>
                  <w:r>
                    <w:rPr>
                      <w:b/>
                      <w:i/>
                      <w:color w:val="4D4D4F"/>
                      <w:sz w:val="20"/>
                    </w:rPr>
                    <w:t xml:space="preserve">of </w:t>
                  </w:r>
                  <w:r>
                    <w:rPr>
                      <w:b/>
                      <w:i/>
                      <w:color w:val="4D4D4F"/>
                      <w:spacing w:val="-3"/>
                      <w:sz w:val="20"/>
                    </w:rPr>
                    <w:t xml:space="preserve">the </w:t>
                  </w:r>
                  <w:r>
                    <w:rPr>
                      <w:b/>
                      <w:i/>
                      <w:color w:val="4D4D4F"/>
                      <w:spacing w:val="-4"/>
                      <w:sz w:val="20"/>
                    </w:rPr>
                    <w:t xml:space="preserve">population </w:t>
                  </w:r>
                  <w:r>
                    <w:rPr>
                      <w:b/>
                      <w:i/>
                      <w:color w:val="4D4D4F"/>
                      <w:sz w:val="20"/>
                    </w:rPr>
                    <w:t xml:space="preserve">in </w:t>
                  </w:r>
                  <w:r>
                    <w:rPr>
                      <w:b/>
                      <w:i/>
                      <w:color w:val="4D4D4F"/>
                      <w:spacing w:val="-3"/>
                      <w:sz w:val="20"/>
                    </w:rPr>
                    <w:t xml:space="preserve">each </w:t>
                  </w:r>
                  <w:r>
                    <w:rPr>
                      <w:b/>
                      <w:i/>
                      <w:color w:val="4D4D4F"/>
                      <w:spacing w:val="-4"/>
                      <w:sz w:val="20"/>
                    </w:rPr>
                    <w:t xml:space="preserve">conservation area </w:t>
                  </w:r>
                  <w:r>
                    <w:rPr>
                      <w:b/>
                      <w:i/>
                      <w:color w:val="4D4D4F"/>
                      <w:spacing w:val="-3"/>
                      <w:sz w:val="20"/>
                    </w:rPr>
                    <w:t xml:space="preserve">at </w:t>
                  </w:r>
                  <w:r>
                    <w:rPr>
                      <w:b/>
                      <w:i/>
                      <w:color w:val="4D4D4F"/>
                      <w:spacing w:val="-4"/>
                      <w:sz w:val="20"/>
                    </w:rPr>
                    <w:t xml:space="preserve">least </w:t>
                  </w:r>
                  <w:r>
                    <w:rPr>
                      <w:b/>
                      <w:i/>
                      <w:color w:val="4D4D4F"/>
                      <w:spacing w:val="-3"/>
                      <w:sz w:val="20"/>
                    </w:rPr>
                    <w:t xml:space="preserve">once </w:t>
                  </w:r>
                  <w:r>
                    <w:rPr>
                      <w:b/>
                      <w:i/>
                      <w:color w:val="4D4D4F"/>
                      <w:sz w:val="20"/>
                    </w:rPr>
                    <w:t xml:space="preserve">in </w:t>
                  </w:r>
                  <w:r>
                    <w:rPr>
                      <w:b/>
                      <w:i/>
                      <w:color w:val="4D4D4F"/>
                      <w:spacing w:val="-3"/>
                      <w:sz w:val="20"/>
                    </w:rPr>
                    <w:t xml:space="preserve">the </w:t>
                  </w:r>
                  <w:r>
                    <w:rPr>
                      <w:b/>
                      <w:i/>
                      <w:color w:val="4D4D4F"/>
                      <w:spacing w:val="-5"/>
                      <w:sz w:val="20"/>
                    </w:rPr>
                    <w:t xml:space="preserve">previous </w:t>
                  </w:r>
                  <w:r>
                    <w:rPr>
                      <w:b/>
                      <w:i/>
                      <w:color w:val="4D4D4F"/>
                      <w:spacing w:val="-6"/>
                      <w:sz w:val="20"/>
                    </w:rPr>
                    <w:t xml:space="preserve">10 </w:t>
                  </w:r>
                  <w:r>
                    <w:rPr>
                      <w:b/>
                      <w:i/>
                      <w:color w:val="4D4D4F"/>
                      <w:spacing w:val="-4"/>
                      <w:sz w:val="20"/>
                    </w:rPr>
                    <w:t xml:space="preserve">years </w:t>
                  </w:r>
                  <w:r>
                    <w:rPr>
                      <w:b/>
                      <w:i/>
                      <w:color w:val="4D4D4F"/>
                      <w:sz w:val="20"/>
                    </w:rPr>
                    <w:t xml:space="preserve">and </w:t>
                  </w:r>
                  <w:r>
                    <w:rPr>
                      <w:b/>
                      <w:i/>
                      <w:color w:val="4D4D4F"/>
                      <w:spacing w:val="-3"/>
                      <w:sz w:val="20"/>
                    </w:rPr>
                    <w:t xml:space="preserve">the five- year mean </w:t>
                  </w:r>
                  <w:r>
                    <w:rPr>
                      <w:b/>
                      <w:i/>
                      <w:color w:val="4D4D4F"/>
                      <w:spacing w:val="-4"/>
                      <w:sz w:val="20"/>
                    </w:rPr>
                    <w:t xml:space="preserve">population </w:t>
                  </w:r>
                  <w:r>
                    <w:rPr>
                      <w:b/>
                      <w:i/>
                      <w:color w:val="4D4D4F"/>
                      <w:spacing w:val="-3"/>
                      <w:sz w:val="20"/>
                    </w:rPr>
                    <w:t xml:space="preserve">count </w:t>
                  </w:r>
                  <w:r>
                    <w:rPr>
                      <w:b/>
                      <w:i/>
                      <w:color w:val="4D4D4F"/>
                      <w:spacing w:val="-4"/>
                      <w:sz w:val="20"/>
                    </w:rPr>
                    <w:t xml:space="preserve">remain above </w:t>
                  </w:r>
                  <w:r>
                    <w:rPr>
                      <w:b/>
                      <w:i/>
                      <w:color w:val="4D4D4F"/>
                      <w:spacing w:val="-3"/>
                      <w:sz w:val="20"/>
                    </w:rPr>
                    <w:t xml:space="preserve">the </w:t>
                  </w:r>
                  <w:r>
                    <w:rPr>
                      <w:b/>
                      <w:i/>
                      <w:color w:val="4D4D4F"/>
                      <w:spacing w:val="-6"/>
                      <w:sz w:val="20"/>
                    </w:rPr>
                    <w:t>baseline.’</w:t>
                  </w:r>
                </w:p>
              </w:txbxContent>
            </v:textbox>
            <w10:wrap type="topAndBottom" anchorx="page"/>
          </v:shape>
        </w:pict>
      </w:r>
      <w:r>
        <w:pict w14:anchorId="110B0BBF">
          <v:line id="_x0000_s3040" style="position:absolute;z-index:251592192;mso-wrap-distance-left:0;mso-wrap-distance-right:0;mso-position-horizontal-relative:page" from="56.7pt,196.75pt" to="538.55pt,196.75pt" strokecolor="#4d4d4f" strokeweight=".5pt">
            <w10:wrap type="topAndBottom" anchorx="page"/>
          </v:line>
        </w:pict>
      </w:r>
    </w:p>
    <w:p w14:paraId="62DF84D9" w14:textId="77777777" w:rsidR="00EF5B27" w:rsidRDefault="00EF5B27">
      <w:pPr>
        <w:pStyle w:val="BodyText"/>
        <w:spacing w:before="11"/>
        <w:rPr>
          <w:sz w:val="10"/>
        </w:rPr>
      </w:pPr>
    </w:p>
    <w:p w14:paraId="33F86B06" w14:textId="77777777" w:rsidR="00EF5B27" w:rsidRDefault="00000000">
      <w:pPr>
        <w:pStyle w:val="ListParagraph"/>
        <w:numPr>
          <w:ilvl w:val="0"/>
          <w:numId w:val="27"/>
        </w:numPr>
        <w:tabs>
          <w:tab w:val="left" w:pos="341"/>
        </w:tabs>
        <w:spacing w:before="88" w:line="230" w:lineRule="auto"/>
        <w:ind w:left="340" w:right="114"/>
        <w:jc w:val="left"/>
        <w:rPr>
          <w:sz w:val="12"/>
        </w:rPr>
      </w:pPr>
      <w:r>
        <w:rPr>
          <w:color w:val="4D4D4F"/>
          <w:sz w:val="12"/>
        </w:rPr>
        <w:t xml:space="preserve">James </w:t>
      </w:r>
      <w:r>
        <w:rPr>
          <w:color w:val="4D4D4F"/>
          <w:spacing w:val="3"/>
          <w:sz w:val="12"/>
        </w:rPr>
        <w:t xml:space="preserve">EA, </w:t>
      </w:r>
      <w:r>
        <w:rPr>
          <w:color w:val="4D4D4F"/>
          <w:sz w:val="12"/>
        </w:rPr>
        <w:t xml:space="preserve">Jordan R 2014, ‘Limited </w:t>
      </w:r>
      <w:r>
        <w:rPr>
          <w:color w:val="4D4D4F"/>
          <w:spacing w:val="2"/>
          <w:sz w:val="12"/>
        </w:rPr>
        <w:t xml:space="preserve">structure </w:t>
      </w:r>
      <w:r>
        <w:rPr>
          <w:color w:val="4D4D4F"/>
          <w:sz w:val="12"/>
        </w:rPr>
        <w:t xml:space="preserve">and widespread diversity suggest potential </w:t>
      </w:r>
      <w:r>
        <w:rPr>
          <w:color w:val="4D4D4F"/>
          <w:spacing w:val="2"/>
          <w:sz w:val="12"/>
        </w:rPr>
        <w:t xml:space="preserve">buffers </w:t>
      </w:r>
      <w:r>
        <w:rPr>
          <w:color w:val="4D4D4F"/>
          <w:sz w:val="12"/>
        </w:rPr>
        <w:t xml:space="preserve">to genetic erosion in a threatened grassland shrub </w:t>
      </w:r>
      <w:r>
        <w:rPr>
          <w:rFonts w:ascii="Arial Narrow" w:hAnsi="Arial Narrow"/>
          <w:i/>
          <w:color w:val="4D4D4F"/>
          <w:sz w:val="12"/>
        </w:rPr>
        <w:t>Pimelea spinescens (Thymelaeaceae)</w:t>
      </w:r>
      <w:r>
        <w:rPr>
          <w:color w:val="4D4D4F"/>
          <w:sz w:val="12"/>
        </w:rPr>
        <w:t xml:space="preserve">.’ </w:t>
      </w:r>
      <w:r>
        <w:rPr>
          <w:color w:val="4D4D4F"/>
          <w:spacing w:val="2"/>
          <w:sz w:val="12"/>
        </w:rPr>
        <w:t xml:space="preserve">Conservation </w:t>
      </w:r>
      <w:r>
        <w:rPr>
          <w:color w:val="4D4D4F"/>
          <w:sz w:val="12"/>
        </w:rPr>
        <w:t>Genetics 15,</w:t>
      </w:r>
      <w:r>
        <w:rPr>
          <w:color w:val="4D4D4F"/>
          <w:spacing w:val="3"/>
          <w:sz w:val="12"/>
        </w:rPr>
        <w:t xml:space="preserve"> </w:t>
      </w:r>
      <w:r>
        <w:rPr>
          <w:color w:val="4D4D4F"/>
          <w:sz w:val="12"/>
        </w:rPr>
        <w:t>305-317.</w:t>
      </w:r>
    </w:p>
    <w:p w14:paraId="5C2E9820"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028EE064" w14:textId="77777777" w:rsidR="00EF5B27" w:rsidRDefault="00000000">
      <w:pPr>
        <w:pStyle w:val="BodyText"/>
      </w:pPr>
      <w:r>
        <w:lastRenderedPageBreak/>
        <w:pict w14:anchorId="6FCE4978">
          <v:group id="_x0000_s3032" style="position:absolute;margin-left:587.05pt;margin-top:183.4pt;width:8.25pt;height:153.1pt;z-index:251649536;mso-position-horizontal-relative:page;mso-position-vertical-relative:page" coordorigin="11741,3668" coordsize="165,3062">
            <v:shape id="_x0000_s3039" style="position:absolute;left:11741;top:3668;width:165;height:561" coordorigin="11741,3668" coordsize="165,561" path="m11906,3668r-165,l11741,4228r165,-18l11906,3668xe" fillcolor="#00aed9" stroked="f">
              <v:path arrowok="t"/>
            </v:shape>
            <v:shape id="_x0000_s3038" style="position:absolute;left:11741;top:4118;width:165;height:425" coordorigin="11741,4118" coordsize="165,425" path="m11906,4118r-165,14l11741,4531r165,12l11906,4118xe" fillcolor="#047ebc" stroked="f">
              <v:path arrowok="t"/>
            </v:shape>
            <v:shape id="_x0000_s3037" type="#_x0000_t75" style="position:absolute;left:11741;top:4355;width:165;height:587">
              <v:imagedata r:id="rId42" o:title=""/>
            </v:shape>
            <v:shape id="_x0000_s3036" style="position:absolute;left:11741;top:5343;width:165;height:536" coordorigin="11741,5343" coordsize="165,536" path="m11741,5343r,535l11906,5872r,-525l11741,5343xe" fillcolor="#f36a2e" stroked="f">
              <v:path arrowok="t"/>
            </v:shape>
            <v:shape id="_x0000_s3035" style="position:absolute;left:11741;top:4925;width:165;height:501" coordorigin="11741,4926" coordsize="165,501" path="m11741,4926r,500l11906,5426r,-485l11741,4926xe" fillcolor="#49783f" stroked="f">
              <v:path arrowok="t"/>
            </v:shape>
            <v:shape id="_x0000_s3034" style="position:absolute;left:11741;top:5781;width:165;height:268" coordorigin="11741,5782" coordsize="165,268" path="m11906,5782r-165,8l11741,6039r165,10l11906,5782xe" fillcolor="#f99f2a" stroked="f">
              <v:path arrowok="t"/>
            </v:shape>
            <v:shape id="_x0000_s3033" style="position:absolute;left:11741;top:6023;width:165;height:707" coordorigin="11741,6023" coordsize="165,707" path="m11741,6023r,706l11906,6729r,-690l11741,6023xe" fillcolor="#ef412c" stroked="f">
              <v:path arrowok="t"/>
            </v:shape>
            <w10:wrap anchorx="page" anchory="page"/>
          </v:group>
        </w:pict>
      </w:r>
    </w:p>
    <w:p w14:paraId="3E430ADC" w14:textId="77777777" w:rsidR="00EF5B27" w:rsidRDefault="00EF5B27">
      <w:pPr>
        <w:pStyle w:val="BodyText"/>
      </w:pPr>
    </w:p>
    <w:p w14:paraId="2D046C0C" w14:textId="77777777" w:rsidR="00EF5B27" w:rsidRDefault="00EF5B27">
      <w:pPr>
        <w:pStyle w:val="BodyText"/>
      </w:pPr>
    </w:p>
    <w:p w14:paraId="1DB1D5D6" w14:textId="77777777" w:rsidR="00EF5B27" w:rsidRDefault="00EF5B27">
      <w:pPr>
        <w:pStyle w:val="BodyText"/>
        <w:spacing w:before="4"/>
        <w:rPr>
          <w:sz w:val="25"/>
        </w:rPr>
      </w:pPr>
    </w:p>
    <w:p w14:paraId="4A65458A" w14:textId="77777777" w:rsidR="00EF5B27" w:rsidRDefault="00000000">
      <w:pPr>
        <w:pStyle w:val="BodyText"/>
        <w:spacing w:before="100" w:line="254" w:lineRule="auto"/>
        <w:ind w:left="2608" w:right="150"/>
      </w:pPr>
      <w:r>
        <w:rPr>
          <w:color w:val="4D4D4F"/>
          <w:spacing w:val="-5"/>
          <w:w w:val="105"/>
        </w:rPr>
        <w:t>DELWP’s</w:t>
      </w:r>
      <w:r>
        <w:rPr>
          <w:color w:val="4D4D4F"/>
          <w:spacing w:val="-23"/>
          <w:w w:val="105"/>
        </w:rPr>
        <w:t xml:space="preserve"> </w:t>
      </w:r>
      <w:r>
        <w:rPr>
          <w:color w:val="4D4D4F"/>
          <w:spacing w:val="-3"/>
          <w:w w:val="105"/>
        </w:rPr>
        <w:t>MSA</w:t>
      </w:r>
      <w:r>
        <w:rPr>
          <w:color w:val="4D4D4F"/>
          <w:spacing w:val="-23"/>
          <w:w w:val="105"/>
        </w:rPr>
        <w:t xml:space="preserve"> </w:t>
      </w:r>
      <w:r>
        <w:rPr>
          <w:color w:val="4D4D4F"/>
          <w:spacing w:val="-4"/>
          <w:w w:val="105"/>
        </w:rPr>
        <w:t>MRF</w:t>
      </w:r>
      <w:r>
        <w:rPr>
          <w:color w:val="4D4D4F"/>
          <w:spacing w:val="-22"/>
          <w:w w:val="105"/>
        </w:rPr>
        <w:t xml:space="preserve"> </w:t>
      </w:r>
      <w:r>
        <w:rPr>
          <w:color w:val="4D4D4F"/>
          <w:spacing w:val="-3"/>
          <w:w w:val="105"/>
        </w:rPr>
        <w:t>also</w:t>
      </w:r>
      <w:r>
        <w:rPr>
          <w:color w:val="4D4D4F"/>
          <w:spacing w:val="-23"/>
          <w:w w:val="105"/>
        </w:rPr>
        <w:t xml:space="preserve"> </w:t>
      </w:r>
      <w:r>
        <w:rPr>
          <w:color w:val="4D4D4F"/>
          <w:spacing w:val="-5"/>
          <w:w w:val="105"/>
        </w:rPr>
        <w:t>summarises</w:t>
      </w:r>
      <w:r>
        <w:rPr>
          <w:color w:val="4D4D4F"/>
          <w:spacing w:val="-22"/>
          <w:w w:val="105"/>
        </w:rPr>
        <w:t xml:space="preserve"> </w:t>
      </w:r>
      <w:r>
        <w:rPr>
          <w:color w:val="4D4D4F"/>
          <w:spacing w:val="-3"/>
          <w:w w:val="105"/>
        </w:rPr>
        <w:t>the</w:t>
      </w:r>
      <w:r>
        <w:rPr>
          <w:color w:val="4D4D4F"/>
          <w:spacing w:val="-23"/>
          <w:w w:val="105"/>
        </w:rPr>
        <w:t xml:space="preserve"> </w:t>
      </w:r>
      <w:r>
        <w:rPr>
          <w:color w:val="4D4D4F"/>
          <w:spacing w:val="-4"/>
          <w:w w:val="105"/>
        </w:rPr>
        <w:t>conservation</w:t>
      </w:r>
      <w:r>
        <w:rPr>
          <w:color w:val="4D4D4F"/>
          <w:spacing w:val="-22"/>
          <w:w w:val="105"/>
        </w:rPr>
        <w:t xml:space="preserve"> </w:t>
      </w:r>
      <w:r>
        <w:rPr>
          <w:color w:val="4D4D4F"/>
          <w:spacing w:val="-4"/>
          <w:w w:val="105"/>
        </w:rPr>
        <w:t>outcomes</w:t>
      </w:r>
      <w:r>
        <w:rPr>
          <w:color w:val="4D4D4F"/>
          <w:spacing w:val="-23"/>
          <w:w w:val="105"/>
        </w:rPr>
        <w:t xml:space="preserve"> </w:t>
      </w:r>
      <w:r>
        <w:rPr>
          <w:color w:val="4D4D4F"/>
          <w:spacing w:val="-4"/>
          <w:w w:val="105"/>
        </w:rPr>
        <w:t>for</w:t>
      </w:r>
      <w:r>
        <w:rPr>
          <w:color w:val="4D4D4F"/>
          <w:spacing w:val="-23"/>
          <w:w w:val="105"/>
        </w:rPr>
        <w:t xml:space="preserve"> </w:t>
      </w:r>
      <w:r>
        <w:rPr>
          <w:color w:val="4D4D4F"/>
          <w:spacing w:val="-3"/>
          <w:w w:val="105"/>
        </w:rPr>
        <w:t>the</w:t>
      </w:r>
      <w:r>
        <w:rPr>
          <w:color w:val="4D4D4F"/>
          <w:spacing w:val="-22"/>
          <w:w w:val="105"/>
        </w:rPr>
        <w:t xml:space="preserve"> </w:t>
      </w:r>
      <w:r>
        <w:rPr>
          <w:color w:val="4D4D4F"/>
          <w:spacing w:val="-5"/>
          <w:w w:val="105"/>
        </w:rPr>
        <w:t>Spiny</w:t>
      </w:r>
      <w:r>
        <w:rPr>
          <w:color w:val="4D4D4F"/>
          <w:spacing w:val="-23"/>
          <w:w w:val="105"/>
        </w:rPr>
        <w:t xml:space="preserve"> </w:t>
      </w:r>
      <w:r>
        <w:rPr>
          <w:color w:val="4D4D4F"/>
          <w:spacing w:val="-3"/>
          <w:w w:val="105"/>
        </w:rPr>
        <w:t xml:space="preserve">Rice-flower </w:t>
      </w:r>
      <w:r>
        <w:rPr>
          <w:color w:val="4D4D4F"/>
          <w:w w:val="105"/>
        </w:rPr>
        <w:t>as</w:t>
      </w:r>
      <w:r>
        <w:rPr>
          <w:color w:val="4D4D4F"/>
          <w:spacing w:val="-20"/>
          <w:w w:val="105"/>
        </w:rPr>
        <w:t xml:space="preserve"> </w:t>
      </w:r>
      <w:r>
        <w:rPr>
          <w:color w:val="4D4D4F"/>
          <w:w w:val="105"/>
        </w:rPr>
        <w:t>a</w:t>
      </w:r>
      <w:r>
        <w:rPr>
          <w:color w:val="4D4D4F"/>
          <w:spacing w:val="-19"/>
          <w:w w:val="105"/>
        </w:rPr>
        <w:t xml:space="preserve"> </w:t>
      </w:r>
      <w:r>
        <w:rPr>
          <w:color w:val="4D4D4F"/>
          <w:w w:val="105"/>
        </w:rPr>
        <w:t>single</w:t>
      </w:r>
      <w:r>
        <w:rPr>
          <w:color w:val="4D4D4F"/>
          <w:spacing w:val="-19"/>
          <w:w w:val="105"/>
        </w:rPr>
        <w:t xml:space="preserve"> </w:t>
      </w:r>
      <w:r>
        <w:rPr>
          <w:color w:val="4D4D4F"/>
          <w:w w:val="105"/>
        </w:rPr>
        <w:t>goal</w:t>
      </w:r>
      <w:r>
        <w:rPr>
          <w:color w:val="4D4D4F"/>
          <w:spacing w:val="-19"/>
          <w:w w:val="105"/>
        </w:rPr>
        <w:t xml:space="preserve"> </w:t>
      </w:r>
      <w:r>
        <w:rPr>
          <w:color w:val="4D4D4F"/>
          <w:w w:val="105"/>
        </w:rPr>
        <w:t>statement:</w:t>
      </w:r>
      <w:r>
        <w:rPr>
          <w:color w:val="4D4D4F"/>
          <w:spacing w:val="-19"/>
          <w:w w:val="105"/>
        </w:rPr>
        <w:t xml:space="preserve"> </w:t>
      </w:r>
      <w:r>
        <w:rPr>
          <w:color w:val="4D4D4F"/>
          <w:w w:val="105"/>
        </w:rPr>
        <w:t>‘no</w:t>
      </w:r>
      <w:r>
        <w:rPr>
          <w:color w:val="4D4D4F"/>
          <w:spacing w:val="-19"/>
          <w:w w:val="105"/>
        </w:rPr>
        <w:t xml:space="preserve"> </w:t>
      </w:r>
      <w:r>
        <w:rPr>
          <w:color w:val="4D4D4F"/>
          <w:w w:val="105"/>
        </w:rPr>
        <w:t>substantial</w:t>
      </w:r>
      <w:r>
        <w:rPr>
          <w:color w:val="4D4D4F"/>
          <w:spacing w:val="-19"/>
          <w:w w:val="105"/>
        </w:rPr>
        <w:t xml:space="preserve"> </w:t>
      </w:r>
      <w:r>
        <w:rPr>
          <w:color w:val="4D4D4F"/>
          <w:w w:val="105"/>
        </w:rPr>
        <w:t>negative</w:t>
      </w:r>
      <w:r>
        <w:rPr>
          <w:color w:val="4D4D4F"/>
          <w:spacing w:val="-19"/>
          <w:w w:val="105"/>
        </w:rPr>
        <w:t xml:space="preserve"> </w:t>
      </w:r>
      <w:r>
        <w:rPr>
          <w:color w:val="4D4D4F"/>
          <w:w w:val="105"/>
        </w:rPr>
        <w:t>change</w:t>
      </w:r>
      <w:r>
        <w:rPr>
          <w:color w:val="4D4D4F"/>
          <w:spacing w:val="-19"/>
          <w:w w:val="105"/>
        </w:rPr>
        <w:t xml:space="preserve"> </w:t>
      </w:r>
      <w:r>
        <w:rPr>
          <w:color w:val="4D4D4F"/>
          <w:w w:val="105"/>
        </w:rPr>
        <w:t>to</w:t>
      </w:r>
      <w:r>
        <w:rPr>
          <w:color w:val="4D4D4F"/>
          <w:spacing w:val="-19"/>
          <w:w w:val="105"/>
        </w:rPr>
        <w:t xml:space="preserve"> </w:t>
      </w:r>
      <w:r>
        <w:rPr>
          <w:color w:val="4D4D4F"/>
          <w:w w:val="105"/>
        </w:rPr>
        <w:t>the</w:t>
      </w:r>
      <w:r>
        <w:rPr>
          <w:color w:val="4D4D4F"/>
          <w:spacing w:val="-19"/>
          <w:w w:val="105"/>
        </w:rPr>
        <w:t xml:space="preserve"> </w:t>
      </w:r>
      <w:r>
        <w:rPr>
          <w:color w:val="4D4D4F"/>
          <w:w w:val="105"/>
        </w:rPr>
        <w:t>population</w:t>
      </w:r>
      <w:r>
        <w:rPr>
          <w:color w:val="4D4D4F"/>
          <w:spacing w:val="-19"/>
          <w:w w:val="105"/>
        </w:rPr>
        <w:t xml:space="preserve"> </w:t>
      </w:r>
      <w:r>
        <w:rPr>
          <w:color w:val="4D4D4F"/>
          <w:w w:val="105"/>
        </w:rPr>
        <w:t>of</w:t>
      </w:r>
      <w:r>
        <w:rPr>
          <w:color w:val="4D4D4F"/>
          <w:spacing w:val="-19"/>
          <w:w w:val="105"/>
        </w:rPr>
        <w:t xml:space="preserve"> </w:t>
      </w:r>
      <w:r>
        <w:rPr>
          <w:color w:val="4D4D4F"/>
          <w:w w:val="105"/>
        </w:rPr>
        <w:t>Spiny Rice-flower</w:t>
      </w:r>
      <w:r>
        <w:rPr>
          <w:color w:val="4D4D4F"/>
          <w:spacing w:val="-8"/>
          <w:w w:val="105"/>
        </w:rPr>
        <w:t xml:space="preserve"> </w:t>
      </w:r>
      <w:r>
        <w:rPr>
          <w:color w:val="4D4D4F"/>
          <w:w w:val="105"/>
        </w:rPr>
        <w:t>and</w:t>
      </w:r>
      <w:r>
        <w:rPr>
          <w:color w:val="4D4D4F"/>
          <w:spacing w:val="-7"/>
          <w:w w:val="105"/>
        </w:rPr>
        <w:t xml:space="preserve"> </w:t>
      </w:r>
      <w:r>
        <w:rPr>
          <w:color w:val="4D4D4F"/>
          <w:w w:val="105"/>
        </w:rPr>
        <w:t>the</w:t>
      </w:r>
      <w:r>
        <w:rPr>
          <w:color w:val="4D4D4F"/>
          <w:spacing w:val="-7"/>
          <w:w w:val="105"/>
        </w:rPr>
        <w:t xml:space="preserve"> </w:t>
      </w:r>
      <w:r>
        <w:rPr>
          <w:color w:val="4D4D4F"/>
          <w:w w:val="105"/>
        </w:rPr>
        <w:t>population</w:t>
      </w:r>
      <w:r>
        <w:rPr>
          <w:color w:val="4D4D4F"/>
          <w:spacing w:val="-8"/>
          <w:w w:val="105"/>
        </w:rPr>
        <w:t xml:space="preserve"> </w:t>
      </w:r>
      <w:r>
        <w:rPr>
          <w:color w:val="4D4D4F"/>
          <w:w w:val="105"/>
        </w:rPr>
        <w:t>is</w:t>
      </w:r>
      <w:r>
        <w:rPr>
          <w:color w:val="4D4D4F"/>
          <w:spacing w:val="-7"/>
          <w:w w:val="105"/>
        </w:rPr>
        <w:t xml:space="preserve"> </w:t>
      </w:r>
      <w:r>
        <w:rPr>
          <w:color w:val="4D4D4F"/>
          <w:w w:val="105"/>
        </w:rPr>
        <w:t>self-sustaining</w:t>
      </w:r>
      <w:r>
        <w:rPr>
          <w:color w:val="4D4D4F"/>
          <w:spacing w:val="-7"/>
          <w:w w:val="105"/>
        </w:rPr>
        <w:t xml:space="preserve"> </w:t>
      </w:r>
      <w:r>
        <w:rPr>
          <w:color w:val="4D4D4F"/>
          <w:w w:val="105"/>
        </w:rPr>
        <w:t>within</w:t>
      </w:r>
      <w:r>
        <w:rPr>
          <w:color w:val="4D4D4F"/>
          <w:spacing w:val="-7"/>
          <w:w w:val="105"/>
        </w:rPr>
        <w:t xml:space="preserve"> </w:t>
      </w:r>
      <w:r>
        <w:rPr>
          <w:color w:val="4D4D4F"/>
          <w:w w:val="105"/>
        </w:rPr>
        <w:t>the</w:t>
      </w:r>
      <w:r>
        <w:rPr>
          <w:color w:val="4D4D4F"/>
          <w:spacing w:val="-8"/>
          <w:w w:val="105"/>
        </w:rPr>
        <w:t xml:space="preserve"> </w:t>
      </w:r>
      <w:r>
        <w:rPr>
          <w:color w:val="4D4D4F"/>
          <w:w w:val="105"/>
        </w:rPr>
        <w:t>program</w:t>
      </w:r>
      <w:r>
        <w:rPr>
          <w:color w:val="4D4D4F"/>
          <w:spacing w:val="-7"/>
          <w:w w:val="105"/>
        </w:rPr>
        <w:t xml:space="preserve"> </w:t>
      </w:r>
      <w:r>
        <w:rPr>
          <w:color w:val="4D4D4F"/>
          <w:spacing w:val="-3"/>
          <w:w w:val="105"/>
        </w:rPr>
        <w:t>area’.</w:t>
      </w:r>
    </w:p>
    <w:p w14:paraId="2A298DF6" w14:textId="77777777" w:rsidR="00EF5B27" w:rsidRDefault="00EF5B27">
      <w:pPr>
        <w:pStyle w:val="BodyText"/>
        <w:spacing w:before="3"/>
        <w:rPr>
          <w:sz w:val="19"/>
        </w:rPr>
      </w:pPr>
    </w:p>
    <w:p w14:paraId="1737CD25" w14:textId="77777777" w:rsidR="00EF5B27" w:rsidRDefault="00000000">
      <w:pPr>
        <w:pStyle w:val="Heading3"/>
      </w:pPr>
      <w:r>
        <w:rPr>
          <w:color w:val="F99F2A"/>
          <w:w w:val="110"/>
        </w:rPr>
        <w:t>KPIs assessed</w:t>
      </w:r>
    </w:p>
    <w:p w14:paraId="52C5AF73" w14:textId="77777777" w:rsidR="00EF5B27" w:rsidRDefault="00000000">
      <w:pPr>
        <w:pStyle w:val="BodyText"/>
        <w:spacing w:before="221"/>
        <w:ind w:left="2608"/>
      </w:pPr>
      <w:r>
        <w:rPr>
          <w:color w:val="4D4D4F"/>
          <w:w w:val="105"/>
        </w:rPr>
        <w:t>Progress towards this goal is measured using two KPIs:</w:t>
      </w:r>
    </w:p>
    <w:p w14:paraId="04E8B2A9" w14:textId="77777777" w:rsidR="00EF5B27" w:rsidRDefault="00000000">
      <w:pPr>
        <w:pStyle w:val="ListParagraph"/>
        <w:numPr>
          <w:ilvl w:val="1"/>
          <w:numId w:val="27"/>
        </w:numPr>
        <w:tabs>
          <w:tab w:val="left" w:pos="2779"/>
        </w:tabs>
        <w:spacing w:before="129" w:line="254" w:lineRule="auto"/>
        <w:ind w:right="667"/>
        <w:rPr>
          <w:sz w:val="20"/>
        </w:rPr>
      </w:pPr>
      <w:r>
        <w:rPr>
          <w:color w:val="4D4D4F"/>
          <w:sz w:val="20"/>
        </w:rPr>
        <w:t>The five-year mean population density, measured in sample plots, which must remain above a baseline set by the first five years of</w:t>
      </w:r>
      <w:r>
        <w:rPr>
          <w:color w:val="4D4D4F"/>
          <w:spacing w:val="4"/>
          <w:sz w:val="20"/>
        </w:rPr>
        <w:t xml:space="preserve"> </w:t>
      </w:r>
      <w:r>
        <w:rPr>
          <w:color w:val="4D4D4F"/>
          <w:sz w:val="20"/>
        </w:rPr>
        <w:t>survey.</w:t>
      </w:r>
    </w:p>
    <w:p w14:paraId="6E1AB5BD" w14:textId="77777777" w:rsidR="00EF5B27" w:rsidRDefault="00000000">
      <w:pPr>
        <w:pStyle w:val="ListParagraph"/>
        <w:numPr>
          <w:ilvl w:val="1"/>
          <w:numId w:val="27"/>
        </w:numPr>
        <w:tabs>
          <w:tab w:val="left" w:pos="2779"/>
        </w:tabs>
        <w:spacing w:before="116" w:line="254" w:lineRule="auto"/>
        <w:ind w:right="266"/>
        <w:rPr>
          <w:sz w:val="20"/>
        </w:rPr>
      </w:pPr>
      <w:r>
        <w:rPr>
          <w:color w:val="4D4D4F"/>
          <w:sz w:val="20"/>
        </w:rPr>
        <w:t xml:space="preserve">The occurrence of recruits, which must form over 10% of the MSA-wide population in at least one of the previous </w:t>
      </w:r>
      <w:r>
        <w:rPr>
          <w:color w:val="4D4D4F"/>
          <w:spacing w:val="-5"/>
          <w:sz w:val="20"/>
        </w:rPr>
        <w:t>10</w:t>
      </w:r>
      <w:r>
        <w:rPr>
          <w:color w:val="4D4D4F"/>
          <w:spacing w:val="31"/>
          <w:sz w:val="20"/>
        </w:rPr>
        <w:t xml:space="preserve"> </w:t>
      </w:r>
      <w:r>
        <w:rPr>
          <w:color w:val="4D4D4F"/>
          <w:sz w:val="20"/>
        </w:rPr>
        <w:t>years.</w:t>
      </w:r>
    </w:p>
    <w:p w14:paraId="11BB0448" w14:textId="77777777" w:rsidR="00EF5B27" w:rsidRDefault="00000000">
      <w:pPr>
        <w:pStyle w:val="BodyText"/>
        <w:spacing w:before="116" w:line="254" w:lineRule="auto"/>
        <w:ind w:left="2608" w:right="500"/>
        <w:jc w:val="both"/>
      </w:pPr>
      <w:r>
        <w:rPr>
          <w:color w:val="4D4D4F"/>
        </w:rPr>
        <w:t>DELWP has recommended that KPI 1 is changed, so that ‘density’ is replaced with ‘count’ (as for Button Wrinklewort and Large-fruit Groundsel). The data presented here refer to the updated KPI.</w:t>
      </w:r>
    </w:p>
    <w:p w14:paraId="4E9FF1EE" w14:textId="77777777" w:rsidR="00EF5B27" w:rsidRDefault="00000000">
      <w:pPr>
        <w:pStyle w:val="BodyText"/>
        <w:spacing w:before="117" w:line="254" w:lineRule="auto"/>
        <w:ind w:left="2608" w:right="372"/>
      </w:pPr>
      <w:r>
        <w:rPr>
          <w:color w:val="4D4D4F"/>
        </w:rPr>
        <w:t>KPI 1 is assessed using a continuous improvement approach, where any increase over the baseline in a five-year reporting period will lead to the calculation of a new baseline for subsequent reporting periods.</w:t>
      </w:r>
    </w:p>
    <w:p w14:paraId="69112501" w14:textId="77777777" w:rsidR="00EF5B27" w:rsidRDefault="00000000">
      <w:pPr>
        <w:pStyle w:val="BodyText"/>
        <w:spacing w:before="117"/>
        <w:ind w:left="2608"/>
      </w:pPr>
      <w:r>
        <w:rPr>
          <w:color w:val="4D4D4F"/>
        </w:rPr>
        <w:t>KPI 2 is assessed against a static baseline (10% of population, one in 10 years).</w:t>
      </w:r>
    </w:p>
    <w:p w14:paraId="51C586A2" w14:textId="77777777" w:rsidR="00EF5B27" w:rsidRDefault="00000000">
      <w:pPr>
        <w:pStyle w:val="BodyText"/>
        <w:spacing w:before="129" w:line="254" w:lineRule="auto"/>
        <w:ind w:left="2608" w:right="221"/>
      </w:pPr>
      <w:r>
        <w:rPr>
          <w:color w:val="4D4D4F"/>
        </w:rPr>
        <w:t>The baseline has not yet been set for either KPI in any of the monitored areas and is due to be set in 2024.</w:t>
      </w:r>
    </w:p>
    <w:p w14:paraId="21CAC494" w14:textId="77777777" w:rsidR="00EF5B27" w:rsidRDefault="00EF5B27">
      <w:pPr>
        <w:pStyle w:val="BodyText"/>
      </w:pPr>
    </w:p>
    <w:p w14:paraId="7AE41F6E" w14:textId="77777777" w:rsidR="00EF5B27" w:rsidRDefault="00EF5B27">
      <w:pPr>
        <w:pStyle w:val="BodyText"/>
        <w:spacing w:before="8"/>
        <w:rPr>
          <w:sz w:val="11"/>
        </w:rPr>
      </w:pPr>
    </w:p>
    <w:tbl>
      <w:tblPr>
        <w:tblW w:w="0" w:type="auto"/>
        <w:tblInd w:w="261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152"/>
        <w:gridCol w:w="4989"/>
      </w:tblGrid>
      <w:tr w:rsidR="00EF5B27" w14:paraId="17E47122" w14:textId="77777777">
        <w:trPr>
          <w:trHeight w:val="459"/>
        </w:trPr>
        <w:tc>
          <w:tcPr>
            <w:tcW w:w="2152" w:type="dxa"/>
            <w:shd w:val="clear" w:color="auto" w:fill="FECC91"/>
          </w:tcPr>
          <w:p w14:paraId="1C96AB9C" w14:textId="77777777" w:rsidR="00EF5B27" w:rsidRDefault="00000000">
            <w:pPr>
              <w:pStyle w:val="TableParagraph"/>
              <w:spacing w:before="140"/>
              <w:ind w:left="113"/>
              <w:rPr>
                <w:b/>
                <w:sz w:val="16"/>
              </w:rPr>
            </w:pPr>
            <w:r>
              <w:rPr>
                <w:b/>
                <w:w w:val="105"/>
                <w:sz w:val="16"/>
              </w:rPr>
              <w:t>MNES</w:t>
            </w:r>
          </w:p>
        </w:tc>
        <w:tc>
          <w:tcPr>
            <w:tcW w:w="4989" w:type="dxa"/>
          </w:tcPr>
          <w:p w14:paraId="5B4241D5" w14:textId="77777777" w:rsidR="00EF5B27" w:rsidRDefault="00000000">
            <w:pPr>
              <w:pStyle w:val="TableParagraph"/>
              <w:spacing w:before="140"/>
              <w:ind w:left="113"/>
              <w:rPr>
                <w:sz w:val="16"/>
              </w:rPr>
            </w:pPr>
            <w:r>
              <w:rPr>
                <w:color w:val="4D4D4F"/>
                <w:sz w:val="16"/>
              </w:rPr>
              <w:t>6. Spiny Rice-flower</w:t>
            </w:r>
          </w:p>
        </w:tc>
      </w:tr>
      <w:tr w:rsidR="00EF5B27" w14:paraId="4F5470D9" w14:textId="77777777">
        <w:trPr>
          <w:trHeight w:val="859"/>
        </w:trPr>
        <w:tc>
          <w:tcPr>
            <w:tcW w:w="2152" w:type="dxa"/>
            <w:shd w:val="clear" w:color="auto" w:fill="FECC91"/>
          </w:tcPr>
          <w:p w14:paraId="31D4D648" w14:textId="77777777" w:rsidR="00EF5B27" w:rsidRDefault="00000000">
            <w:pPr>
              <w:pStyle w:val="TableParagraph"/>
              <w:spacing w:before="140" w:line="244" w:lineRule="auto"/>
              <w:ind w:left="113" w:right="279"/>
              <w:rPr>
                <w:b/>
                <w:sz w:val="16"/>
              </w:rPr>
            </w:pPr>
            <w:r>
              <w:rPr>
                <w:b/>
                <w:sz w:val="16"/>
              </w:rPr>
              <w:t>Commonwealth approved 2015 MSA MRF single outcome statement</w:t>
            </w:r>
          </w:p>
        </w:tc>
        <w:tc>
          <w:tcPr>
            <w:tcW w:w="4989" w:type="dxa"/>
          </w:tcPr>
          <w:p w14:paraId="4D2D5316" w14:textId="77777777" w:rsidR="00EF5B27" w:rsidRDefault="00EF5B27">
            <w:pPr>
              <w:pStyle w:val="TableParagraph"/>
              <w:spacing w:before="10"/>
              <w:rPr>
                <w:sz w:val="18"/>
              </w:rPr>
            </w:pPr>
          </w:p>
          <w:p w14:paraId="5ED93F0B" w14:textId="77777777" w:rsidR="00EF5B27" w:rsidRDefault="00000000">
            <w:pPr>
              <w:pStyle w:val="TableParagraph"/>
              <w:spacing w:line="271" w:lineRule="auto"/>
              <w:ind w:left="113" w:right="260"/>
              <w:rPr>
                <w:sz w:val="16"/>
              </w:rPr>
            </w:pPr>
            <w:r>
              <w:rPr>
                <w:color w:val="4D4D4F"/>
                <w:sz w:val="16"/>
              </w:rPr>
              <w:t>No substantial negative change to populations of Spiny Rice-flower, and populations are self-sustaining.</w:t>
            </w:r>
          </w:p>
        </w:tc>
      </w:tr>
      <w:tr w:rsidR="00EF5B27" w14:paraId="053A6B6A" w14:textId="77777777">
        <w:trPr>
          <w:trHeight w:val="859"/>
        </w:trPr>
        <w:tc>
          <w:tcPr>
            <w:tcW w:w="2152" w:type="dxa"/>
            <w:shd w:val="clear" w:color="auto" w:fill="FECC91"/>
          </w:tcPr>
          <w:p w14:paraId="757A053A" w14:textId="77777777" w:rsidR="00EF5B27" w:rsidRDefault="00000000">
            <w:pPr>
              <w:pStyle w:val="TableParagraph"/>
              <w:spacing w:before="140" w:line="244" w:lineRule="auto"/>
              <w:ind w:left="113"/>
              <w:rPr>
                <w:b/>
                <w:sz w:val="16"/>
              </w:rPr>
            </w:pPr>
            <w:r>
              <w:rPr>
                <w:b/>
                <w:sz w:val="16"/>
              </w:rPr>
              <w:t>2014–2020 Ecological Outcomes Report single outcome statement</w:t>
            </w:r>
          </w:p>
        </w:tc>
        <w:tc>
          <w:tcPr>
            <w:tcW w:w="4989" w:type="dxa"/>
          </w:tcPr>
          <w:p w14:paraId="65277E73" w14:textId="77777777" w:rsidR="00EF5B27" w:rsidRDefault="00EF5B27">
            <w:pPr>
              <w:pStyle w:val="TableParagraph"/>
              <w:spacing w:before="10"/>
              <w:rPr>
                <w:sz w:val="18"/>
              </w:rPr>
            </w:pPr>
          </w:p>
          <w:p w14:paraId="372AEFB3" w14:textId="77777777" w:rsidR="00EF5B27" w:rsidRDefault="00000000">
            <w:pPr>
              <w:pStyle w:val="TableParagraph"/>
              <w:spacing w:line="271" w:lineRule="auto"/>
              <w:ind w:left="113" w:right="210"/>
              <w:rPr>
                <w:sz w:val="16"/>
              </w:rPr>
            </w:pPr>
            <w:r>
              <w:rPr>
                <w:color w:val="4D4D4F"/>
                <w:sz w:val="16"/>
              </w:rPr>
              <w:t>No substantial negative change to the population of Spiny Rice-flower, and the population is self-sustaining.</w:t>
            </w:r>
          </w:p>
        </w:tc>
      </w:tr>
      <w:tr w:rsidR="00EF5B27" w14:paraId="6042294D" w14:textId="77777777">
        <w:trPr>
          <w:trHeight w:val="4501"/>
        </w:trPr>
        <w:tc>
          <w:tcPr>
            <w:tcW w:w="2152" w:type="dxa"/>
            <w:shd w:val="clear" w:color="auto" w:fill="FECC91"/>
          </w:tcPr>
          <w:p w14:paraId="2D377CA1" w14:textId="77777777" w:rsidR="00EF5B27" w:rsidRDefault="00EF5B27">
            <w:pPr>
              <w:pStyle w:val="TableParagraph"/>
              <w:rPr>
                <w:sz w:val="20"/>
              </w:rPr>
            </w:pPr>
          </w:p>
          <w:p w14:paraId="44B4EC07" w14:textId="77777777" w:rsidR="00EF5B27" w:rsidRDefault="00EF5B27">
            <w:pPr>
              <w:pStyle w:val="TableParagraph"/>
              <w:rPr>
                <w:sz w:val="20"/>
              </w:rPr>
            </w:pPr>
          </w:p>
          <w:p w14:paraId="6BCFA394" w14:textId="77777777" w:rsidR="00EF5B27" w:rsidRDefault="00EF5B27">
            <w:pPr>
              <w:pStyle w:val="TableParagraph"/>
              <w:rPr>
                <w:sz w:val="20"/>
              </w:rPr>
            </w:pPr>
          </w:p>
          <w:p w14:paraId="17C35935" w14:textId="77777777" w:rsidR="00EF5B27" w:rsidRDefault="00EF5B27">
            <w:pPr>
              <w:pStyle w:val="TableParagraph"/>
              <w:rPr>
                <w:sz w:val="20"/>
              </w:rPr>
            </w:pPr>
          </w:p>
          <w:p w14:paraId="3C420438" w14:textId="77777777" w:rsidR="00EF5B27" w:rsidRDefault="00EF5B27">
            <w:pPr>
              <w:pStyle w:val="TableParagraph"/>
              <w:rPr>
                <w:sz w:val="20"/>
              </w:rPr>
            </w:pPr>
          </w:p>
          <w:p w14:paraId="4BA8BA80" w14:textId="77777777" w:rsidR="00EF5B27" w:rsidRDefault="00EF5B27">
            <w:pPr>
              <w:pStyle w:val="TableParagraph"/>
              <w:rPr>
                <w:sz w:val="20"/>
              </w:rPr>
            </w:pPr>
          </w:p>
          <w:p w14:paraId="23079865" w14:textId="77777777" w:rsidR="00EF5B27" w:rsidRDefault="00EF5B27">
            <w:pPr>
              <w:pStyle w:val="TableParagraph"/>
              <w:rPr>
                <w:sz w:val="20"/>
              </w:rPr>
            </w:pPr>
          </w:p>
          <w:p w14:paraId="756E10A3" w14:textId="77777777" w:rsidR="00EF5B27" w:rsidRDefault="00000000">
            <w:pPr>
              <w:pStyle w:val="TableParagraph"/>
              <w:spacing w:before="152" w:line="244" w:lineRule="auto"/>
              <w:ind w:left="113"/>
              <w:rPr>
                <w:b/>
                <w:sz w:val="16"/>
              </w:rPr>
            </w:pPr>
            <w:r>
              <w:rPr>
                <w:b/>
                <w:sz w:val="16"/>
              </w:rPr>
              <w:t>Conservation Outcomes published in the Victorian Government Gazette – Issue G4, 27 January 2022</w:t>
            </w:r>
          </w:p>
        </w:tc>
        <w:tc>
          <w:tcPr>
            <w:tcW w:w="4989" w:type="dxa"/>
          </w:tcPr>
          <w:p w14:paraId="1A813507" w14:textId="77777777" w:rsidR="00EF5B27" w:rsidRDefault="00000000">
            <w:pPr>
              <w:pStyle w:val="TableParagraph"/>
              <w:spacing w:before="149"/>
              <w:ind w:left="113"/>
              <w:rPr>
                <w:sz w:val="16"/>
              </w:rPr>
            </w:pPr>
            <w:r>
              <w:rPr>
                <w:color w:val="4D4D4F"/>
                <w:sz w:val="16"/>
              </w:rPr>
              <w:t>The permanent protection of occupied habitat for Spiny Rice-flower in:</w:t>
            </w:r>
          </w:p>
          <w:p w14:paraId="69DC121A" w14:textId="77777777" w:rsidR="00EF5B27" w:rsidRDefault="00000000">
            <w:pPr>
              <w:pStyle w:val="TableParagraph"/>
              <w:numPr>
                <w:ilvl w:val="0"/>
                <w:numId w:val="26"/>
              </w:numPr>
              <w:tabs>
                <w:tab w:val="left" w:pos="227"/>
              </w:tabs>
              <w:spacing w:before="81"/>
              <w:ind w:hanging="113"/>
              <w:rPr>
                <w:sz w:val="16"/>
              </w:rPr>
            </w:pPr>
            <w:r>
              <w:rPr>
                <w:color w:val="4D4D4F"/>
                <w:sz w:val="16"/>
              </w:rPr>
              <w:t>the Western Grassland</w:t>
            </w:r>
            <w:r>
              <w:rPr>
                <w:color w:val="4D4D4F"/>
                <w:spacing w:val="12"/>
                <w:sz w:val="16"/>
              </w:rPr>
              <w:t xml:space="preserve"> </w:t>
            </w:r>
            <w:r>
              <w:rPr>
                <w:color w:val="4D4D4F"/>
                <w:sz w:val="16"/>
              </w:rPr>
              <w:t>Reserve</w:t>
            </w:r>
          </w:p>
          <w:p w14:paraId="3AAF5101" w14:textId="77777777" w:rsidR="00EF5B27" w:rsidRDefault="00000000">
            <w:pPr>
              <w:pStyle w:val="TableParagraph"/>
              <w:numPr>
                <w:ilvl w:val="0"/>
                <w:numId w:val="26"/>
              </w:numPr>
              <w:tabs>
                <w:tab w:val="left" w:pos="227"/>
              </w:tabs>
              <w:spacing w:before="82" w:line="271" w:lineRule="auto"/>
              <w:ind w:right="345" w:hanging="113"/>
              <w:rPr>
                <w:sz w:val="16"/>
              </w:rPr>
            </w:pPr>
            <w:r>
              <w:rPr>
                <w:color w:val="4D4D4F"/>
                <w:sz w:val="16"/>
              </w:rPr>
              <w:t>the conservation areas identified in the BCS and the Conservation Areas</w:t>
            </w:r>
            <w:r>
              <w:rPr>
                <w:color w:val="4D4D4F"/>
                <w:spacing w:val="3"/>
                <w:sz w:val="16"/>
              </w:rPr>
              <w:t xml:space="preserve"> </w:t>
            </w:r>
            <w:r>
              <w:rPr>
                <w:color w:val="4D4D4F"/>
                <w:sz w:val="16"/>
              </w:rPr>
              <w:t>Declaration</w:t>
            </w:r>
          </w:p>
          <w:p w14:paraId="72C359DE" w14:textId="77777777" w:rsidR="00EF5B27" w:rsidRDefault="00000000">
            <w:pPr>
              <w:pStyle w:val="TableParagraph"/>
              <w:numPr>
                <w:ilvl w:val="0"/>
                <w:numId w:val="26"/>
              </w:numPr>
              <w:tabs>
                <w:tab w:val="left" w:pos="227"/>
              </w:tabs>
              <w:spacing w:before="55" w:line="271" w:lineRule="auto"/>
              <w:ind w:right="346" w:hanging="113"/>
              <w:rPr>
                <w:sz w:val="16"/>
              </w:rPr>
            </w:pPr>
            <w:r>
              <w:rPr>
                <w:color w:val="4D4D4F"/>
                <w:sz w:val="16"/>
              </w:rPr>
              <w:t xml:space="preserve">394 ha of conservation areas identified outside the UGB that can include land within the Grassy Eucalypt Woodland Protected </w:t>
            </w:r>
            <w:r>
              <w:rPr>
                <w:color w:val="4D4D4F"/>
                <w:spacing w:val="2"/>
                <w:sz w:val="16"/>
              </w:rPr>
              <w:t xml:space="preserve">Area </w:t>
            </w:r>
            <w:r>
              <w:rPr>
                <w:color w:val="4D4D4F"/>
                <w:sz w:val="16"/>
              </w:rPr>
              <w:t>(where occupied habitat is</w:t>
            </w:r>
            <w:r>
              <w:rPr>
                <w:color w:val="4D4D4F"/>
                <w:spacing w:val="12"/>
                <w:sz w:val="16"/>
              </w:rPr>
              <w:t xml:space="preserve"> </w:t>
            </w:r>
            <w:r>
              <w:rPr>
                <w:color w:val="4D4D4F"/>
                <w:sz w:val="16"/>
              </w:rPr>
              <w:t>found)</w:t>
            </w:r>
          </w:p>
          <w:p w14:paraId="4B5B96EE" w14:textId="77777777" w:rsidR="00EF5B27" w:rsidRDefault="00000000">
            <w:pPr>
              <w:pStyle w:val="TableParagraph"/>
              <w:spacing w:before="54" w:line="271" w:lineRule="auto"/>
              <w:ind w:left="113" w:right="210"/>
              <w:rPr>
                <w:sz w:val="16"/>
              </w:rPr>
            </w:pPr>
            <w:r>
              <w:rPr>
                <w:color w:val="4D4D4F"/>
                <w:sz w:val="16"/>
              </w:rPr>
              <w:t>Spiny Rice-flower populations in the Western Grassland Reserve are sustained in the long-term. Sustained means that the recruits forming more than 10% of the population in each location at least once in the previous ten years and the five-year mean population count remain above the baseline.</w:t>
            </w:r>
          </w:p>
          <w:p w14:paraId="13B9F6EA" w14:textId="77777777" w:rsidR="00EF5B27" w:rsidRDefault="00000000">
            <w:pPr>
              <w:pStyle w:val="TableParagraph"/>
              <w:spacing w:before="54" w:line="271" w:lineRule="auto"/>
              <w:ind w:left="113" w:right="210"/>
              <w:rPr>
                <w:sz w:val="16"/>
              </w:rPr>
            </w:pPr>
            <w:r>
              <w:rPr>
                <w:color w:val="4D4D4F"/>
                <w:sz w:val="16"/>
              </w:rPr>
              <w:t>Spiny Rice-flower populations in the conservation areas  identified  in the BCS and the Conservation Areas  Declaration,  and  those  outside the UGB are sustained in the long-term. Sustained means that recruits forming more than 10% of the population in each conservation area at least once in the previous ten years and the five-year mean population count remain above the</w:t>
            </w:r>
            <w:r>
              <w:rPr>
                <w:color w:val="4D4D4F"/>
                <w:spacing w:val="12"/>
                <w:sz w:val="16"/>
              </w:rPr>
              <w:t xml:space="preserve"> </w:t>
            </w:r>
            <w:r>
              <w:rPr>
                <w:color w:val="4D4D4F"/>
                <w:sz w:val="16"/>
              </w:rPr>
              <w:t>baseline.</w:t>
            </w:r>
          </w:p>
        </w:tc>
      </w:tr>
    </w:tbl>
    <w:p w14:paraId="653754F3" w14:textId="77777777" w:rsidR="00EF5B27" w:rsidRDefault="00EF5B27">
      <w:pPr>
        <w:spacing w:line="271" w:lineRule="auto"/>
        <w:rPr>
          <w:sz w:val="16"/>
        </w:rPr>
        <w:sectPr w:rsidR="00EF5B27">
          <w:pgSz w:w="11910" w:h="16840"/>
          <w:pgMar w:top="1080" w:right="1020" w:bottom="860" w:left="1020" w:header="537" w:footer="678" w:gutter="0"/>
          <w:cols w:space="720"/>
        </w:sectPr>
      </w:pPr>
    </w:p>
    <w:p w14:paraId="16C2D049" w14:textId="77777777" w:rsidR="00EF5B27" w:rsidRDefault="00000000">
      <w:pPr>
        <w:pStyle w:val="BodyText"/>
      </w:pPr>
      <w:r>
        <w:lastRenderedPageBreak/>
        <w:pict w14:anchorId="57E56B71">
          <v:group id="_x0000_s3024" style="position:absolute;margin-left:587.05pt;margin-top:183.4pt;width:8.25pt;height:153.1pt;z-index:251651584;mso-position-horizontal-relative:page;mso-position-vertical-relative:page" coordorigin="11741,3668" coordsize="165,3062">
            <v:shape id="_x0000_s3031" style="position:absolute;left:11741;top:3668;width:165;height:561" coordorigin="11741,3668" coordsize="165,561" path="m11906,3668r-165,l11741,4228r165,-18l11906,3668xe" fillcolor="#00aed9" stroked="f">
              <v:path arrowok="t"/>
            </v:shape>
            <v:shape id="_x0000_s3030" style="position:absolute;left:11741;top:4118;width:165;height:425" coordorigin="11741,4118" coordsize="165,425" path="m11906,4118r-165,14l11741,4531r165,12l11906,4118xe" fillcolor="#047ebc" stroked="f">
              <v:path arrowok="t"/>
            </v:shape>
            <v:shape id="_x0000_s3029" type="#_x0000_t75" style="position:absolute;left:11741;top:4355;width:165;height:587">
              <v:imagedata r:id="rId42" o:title=""/>
            </v:shape>
            <v:shape id="_x0000_s3028" style="position:absolute;left:11741;top:5343;width:165;height:536" coordorigin="11741,5343" coordsize="165,536" path="m11741,5343r,535l11906,5872r,-525l11741,5343xe" fillcolor="#f36a2e" stroked="f">
              <v:path arrowok="t"/>
            </v:shape>
            <v:shape id="_x0000_s3027" style="position:absolute;left:11741;top:4925;width:165;height:501" coordorigin="11741,4926" coordsize="165,501" path="m11741,4926r,500l11906,5426r,-485l11741,4926xe" fillcolor="#49783f" stroked="f">
              <v:path arrowok="t"/>
            </v:shape>
            <v:shape id="_x0000_s3026" style="position:absolute;left:11741;top:5781;width:165;height:268" coordorigin="11741,5782" coordsize="165,268" path="m11906,5782r-165,8l11741,6039r165,10l11906,5782xe" fillcolor="#f99f2a" stroked="f">
              <v:path arrowok="t"/>
            </v:shape>
            <v:shape id="_x0000_s3025" style="position:absolute;left:11741;top:6023;width:165;height:707" coordorigin="11741,6023" coordsize="165,707" path="m11741,6023r,706l11906,6729r,-690l11741,6023xe" fillcolor="#ef412c" stroked="f">
              <v:path arrowok="t"/>
            </v:shape>
            <w10:wrap anchorx="page" anchory="page"/>
          </v:group>
        </w:pict>
      </w:r>
    </w:p>
    <w:p w14:paraId="4ABD4A79" w14:textId="77777777" w:rsidR="00EF5B27" w:rsidRDefault="00EF5B27">
      <w:pPr>
        <w:pStyle w:val="BodyText"/>
      </w:pPr>
    </w:p>
    <w:p w14:paraId="5ADEE882" w14:textId="77777777" w:rsidR="00EF5B27" w:rsidRDefault="00EF5B27">
      <w:pPr>
        <w:pStyle w:val="BodyText"/>
      </w:pPr>
    </w:p>
    <w:p w14:paraId="348ABA4A" w14:textId="77777777" w:rsidR="00EF5B27" w:rsidRDefault="00EF5B27">
      <w:pPr>
        <w:pStyle w:val="BodyText"/>
        <w:spacing w:before="12"/>
        <w:rPr>
          <w:sz w:val="22"/>
        </w:rPr>
      </w:pPr>
    </w:p>
    <w:p w14:paraId="49197469" w14:textId="77777777" w:rsidR="00EF5B27" w:rsidRDefault="00000000">
      <w:pPr>
        <w:pStyle w:val="Heading3"/>
        <w:spacing w:before="115"/>
      </w:pPr>
      <w:bookmarkStart w:id="75" w:name="_bookmark52"/>
      <w:bookmarkEnd w:id="75"/>
      <w:r>
        <w:rPr>
          <w:color w:val="F99F2A"/>
        </w:rPr>
        <w:t>Monitored areas</w:t>
      </w:r>
    </w:p>
    <w:p w14:paraId="7093BD94" w14:textId="77777777" w:rsidR="00EF5B27" w:rsidRDefault="00000000">
      <w:pPr>
        <w:pStyle w:val="BodyText"/>
        <w:spacing w:before="221" w:line="254" w:lineRule="auto"/>
        <w:ind w:left="2608"/>
      </w:pPr>
      <w:r>
        <w:rPr>
          <w:color w:val="4D4D4F"/>
          <w:spacing w:val="-7"/>
        </w:rPr>
        <w:t xml:space="preserve">Spiny </w:t>
      </w:r>
      <w:r>
        <w:rPr>
          <w:color w:val="4D4D4F"/>
          <w:spacing w:val="-5"/>
        </w:rPr>
        <w:t xml:space="preserve">Rice-flower </w:t>
      </w:r>
      <w:r>
        <w:rPr>
          <w:color w:val="4D4D4F"/>
          <w:spacing w:val="-4"/>
        </w:rPr>
        <w:t xml:space="preserve">occurs </w:t>
      </w:r>
      <w:r>
        <w:rPr>
          <w:color w:val="4D4D4F"/>
          <w:spacing w:val="-7"/>
        </w:rPr>
        <w:t xml:space="preserve">naturally </w:t>
      </w:r>
      <w:r>
        <w:rPr>
          <w:color w:val="4D4D4F"/>
          <w:spacing w:val="-5"/>
        </w:rPr>
        <w:t xml:space="preserve">in </w:t>
      </w:r>
      <w:r>
        <w:rPr>
          <w:color w:val="4D4D4F"/>
          <w:spacing w:val="-6"/>
        </w:rPr>
        <w:t xml:space="preserve">numerous conservation </w:t>
      </w:r>
      <w:r>
        <w:rPr>
          <w:color w:val="4D4D4F"/>
          <w:spacing w:val="-5"/>
        </w:rPr>
        <w:t xml:space="preserve">areas </w:t>
      </w:r>
      <w:r>
        <w:rPr>
          <w:color w:val="4D4D4F"/>
          <w:spacing w:val="-7"/>
        </w:rPr>
        <w:t xml:space="preserve">within </w:t>
      </w:r>
      <w:r>
        <w:rPr>
          <w:color w:val="4D4D4F"/>
          <w:spacing w:val="-5"/>
        </w:rPr>
        <w:t xml:space="preserve">the program area. </w:t>
      </w:r>
      <w:r>
        <w:rPr>
          <w:color w:val="4D4D4F"/>
        </w:rPr>
        <w:t>Only four of these sites have so far come under management within the MSA program:</w:t>
      </w:r>
    </w:p>
    <w:p w14:paraId="6EDCC402" w14:textId="77777777" w:rsidR="00EF5B27" w:rsidRDefault="00000000">
      <w:pPr>
        <w:pStyle w:val="ListParagraph"/>
        <w:numPr>
          <w:ilvl w:val="0"/>
          <w:numId w:val="34"/>
        </w:numPr>
        <w:tabs>
          <w:tab w:val="left" w:pos="2779"/>
        </w:tabs>
        <w:spacing w:before="116"/>
        <w:rPr>
          <w:sz w:val="20"/>
        </w:rPr>
      </w:pPr>
      <w:r>
        <w:rPr>
          <w:color w:val="4D4D4F"/>
          <w:spacing w:val="-3"/>
          <w:sz w:val="20"/>
        </w:rPr>
        <w:t xml:space="preserve">Truganina </w:t>
      </w:r>
      <w:r>
        <w:rPr>
          <w:color w:val="4D4D4F"/>
          <w:sz w:val="20"/>
        </w:rPr>
        <w:t>Cemetery Grassland (Conservation Area</w:t>
      </w:r>
      <w:r>
        <w:rPr>
          <w:color w:val="4D4D4F"/>
          <w:spacing w:val="31"/>
          <w:sz w:val="20"/>
        </w:rPr>
        <w:t xml:space="preserve"> </w:t>
      </w:r>
      <w:r>
        <w:rPr>
          <w:color w:val="4D4D4F"/>
          <w:spacing w:val="-6"/>
          <w:sz w:val="20"/>
        </w:rPr>
        <w:t>10)</w:t>
      </w:r>
    </w:p>
    <w:p w14:paraId="26587AA3" w14:textId="77777777" w:rsidR="00EF5B27" w:rsidRDefault="00000000">
      <w:pPr>
        <w:pStyle w:val="ListParagraph"/>
        <w:numPr>
          <w:ilvl w:val="0"/>
          <w:numId w:val="34"/>
        </w:numPr>
        <w:tabs>
          <w:tab w:val="left" w:pos="2779"/>
        </w:tabs>
        <w:spacing w:before="129"/>
        <w:rPr>
          <w:sz w:val="20"/>
        </w:rPr>
      </w:pPr>
      <w:r>
        <w:rPr>
          <w:color w:val="4D4D4F"/>
          <w:sz w:val="20"/>
        </w:rPr>
        <w:t>Western Grassland Reserve, Mount Cottrell</w:t>
      </w:r>
      <w:r>
        <w:rPr>
          <w:color w:val="4D4D4F"/>
          <w:spacing w:val="24"/>
          <w:sz w:val="20"/>
        </w:rPr>
        <w:t xml:space="preserve"> </w:t>
      </w:r>
      <w:r>
        <w:rPr>
          <w:color w:val="4D4D4F"/>
          <w:sz w:val="20"/>
        </w:rPr>
        <w:t>NCR</w:t>
      </w:r>
    </w:p>
    <w:p w14:paraId="2B658713" w14:textId="77777777" w:rsidR="00EF5B27" w:rsidRDefault="00000000">
      <w:pPr>
        <w:pStyle w:val="ListParagraph"/>
        <w:numPr>
          <w:ilvl w:val="0"/>
          <w:numId w:val="34"/>
        </w:numPr>
        <w:tabs>
          <w:tab w:val="left" w:pos="2779"/>
        </w:tabs>
        <w:spacing w:before="130"/>
        <w:rPr>
          <w:sz w:val="20"/>
        </w:rPr>
      </w:pPr>
      <w:r>
        <w:rPr>
          <w:color w:val="4D4D4F"/>
          <w:w w:val="105"/>
          <w:sz w:val="20"/>
        </w:rPr>
        <w:t>Western Grassland Reserve, Magpie</w:t>
      </w:r>
      <w:r>
        <w:rPr>
          <w:color w:val="4D4D4F"/>
          <w:spacing w:val="1"/>
          <w:w w:val="105"/>
          <w:sz w:val="20"/>
        </w:rPr>
        <w:t xml:space="preserve"> </w:t>
      </w:r>
      <w:r>
        <w:rPr>
          <w:color w:val="4D4D4F"/>
          <w:w w:val="105"/>
          <w:sz w:val="20"/>
        </w:rPr>
        <w:t>block</w:t>
      </w:r>
    </w:p>
    <w:p w14:paraId="70FB9ECB" w14:textId="77777777" w:rsidR="00EF5B27" w:rsidRDefault="00000000">
      <w:pPr>
        <w:pStyle w:val="ListParagraph"/>
        <w:numPr>
          <w:ilvl w:val="0"/>
          <w:numId w:val="34"/>
        </w:numPr>
        <w:tabs>
          <w:tab w:val="left" w:pos="2779"/>
        </w:tabs>
        <w:spacing w:before="129"/>
        <w:rPr>
          <w:sz w:val="20"/>
        </w:rPr>
      </w:pPr>
      <w:r>
        <w:rPr>
          <w:color w:val="4D4D4F"/>
          <w:sz w:val="20"/>
        </w:rPr>
        <w:t>Western Grassland Reserve, Radio</w:t>
      </w:r>
      <w:r>
        <w:rPr>
          <w:color w:val="4D4D4F"/>
          <w:spacing w:val="19"/>
          <w:sz w:val="20"/>
        </w:rPr>
        <w:t xml:space="preserve"> </w:t>
      </w:r>
      <w:r>
        <w:rPr>
          <w:color w:val="4D4D4F"/>
          <w:sz w:val="20"/>
        </w:rPr>
        <w:t>block.</w:t>
      </w:r>
    </w:p>
    <w:p w14:paraId="0007C91C" w14:textId="77777777" w:rsidR="00EF5B27" w:rsidRDefault="00000000">
      <w:pPr>
        <w:pStyle w:val="BodyText"/>
        <w:spacing w:before="129" w:line="254" w:lineRule="auto"/>
        <w:ind w:left="2608"/>
      </w:pPr>
      <w:r>
        <w:rPr>
          <w:color w:val="4D4D4F"/>
        </w:rPr>
        <w:t>Spiny Rice-flower is currently only monitored at two of these locations: Truganina Cemetery (monitored as one large cluster) and Radio property, Western Grassland Reserve (monitored in four discrete clusters).</w:t>
      </w:r>
    </w:p>
    <w:p w14:paraId="45BAF849" w14:textId="77777777" w:rsidR="00EF5B27" w:rsidRDefault="00000000">
      <w:pPr>
        <w:pStyle w:val="BodyText"/>
        <w:spacing w:before="4" w:line="254" w:lineRule="auto"/>
        <w:ind w:left="2608"/>
      </w:pPr>
      <w:r>
        <w:rPr>
          <w:color w:val="4D4D4F"/>
        </w:rPr>
        <w:t>A translocated population has been established on Mount Cottrell NCR, but it is monitored by another project and is not part of the MSA program.</w:t>
      </w:r>
    </w:p>
    <w:p w14:paraId="30D3DC71" w14:textId="77777777" w:rsidR="00EF5B27" w:rsidRDefault="00000000">
      <w:pPr>
        <w:pStyle w:val="BodyText"/>
        <w:spacing w:before="116" w:line="367" w:lineRule="auto"/>
        <w:ind w:left="2608" w:right="163"/>
      </w:pPr>
      <w:r>
        <w:rPr>
          <w:color w:val="4D4D4F"/>
        </w:rPr>
        <w:t xml:space="preserve">It is anticipated that many more populations will be acquired and monitored in future. Due </w:t>
      </w:r>
      <w:r>
        <w:rPr>
          <w:color w:val="4D4D4F"/>
          <w:spacing w:val="-3"/>
        </w:rPr>
        <w:t xml:space="preserve">to the </w:t>
      </w:r>
      <w:r>
        <w:rPr>
          <w:color w:val="4D4D4F"/>
          <w:spacing w:val="-4"/>
        </w:rPr>
        <w:t xml:space="preserve">constraints </w:t>
      </w:r>
      <w:r>
        <w:rPr>
          <w:color w:val="4D4D4F"/>
        </w:rPr>
        <w:t xml:space="preserve">of </w:t>
      </w:r>
      <w:r>
        <w:rPr>
          <w:color w:val="4D4D4F"/>
          <w:spacing w:val="-3"/>
        </w:rPr>
        <w:t xml:space="preserve">the </w:t>
      </w:r>
      <w:r>
        <w:rPr>
          <w:color w:val="4D4D4F"/>
          <w:spacing w:val="-5"/>
        </w:rPr>
        <w:t xml:space="preserve">COVID-19 </w:t>
      </w:r>
      <w:r>
        <w:rPr>
          <w:color w:val="4D4D4F"/>
          <w:spacing w:val="-3"/>
        </w:rPr>
        <w:t xml:space="preserve">pandemic, </w:t>
      </w:r>
      <w:r>
        <w:rPr>
          <w:color w:val="4D4D4F"/>
          <w:spacing w:val="-4"/>
        </w:rPr>
        <w:t xml:space="preserve">this </w:t>
      </w:r>
      <w:r>
        <w:rPr>
          <w:color w:val="4D4D4F"/>
          <w:spacing w:val="-3"/>
        </w:rPr>
        <w:t xml:space="preserve">species </w:t>
      </w:r>
      <w:r>
        <w:rPr>
          <w:color w:val="4D4D4F"/>
          <w:spacing w:val="-2"/>
        </w:rPr>
        <w:t xml:space="preserve">was </w:t>
      </w:r>
      <w:r>
        <w:rPr>
          <w:color w:val="4D4D4F"/>
          <w:spacing w:val="-3"/>
        </w:rPr>
        <w:t xml:space="preserve">not monitored in </w:t>
      </w:r>
      <w:r>
        <w:rPr>
          <w:color w:val="4D4D4F"/>
        </w:rPr>
        <w:t>2020.</w:t>
      </w:r>
    </w:p>
    <w:p w14:paraId="4ABCACF2" w14:textId="77777777" w:rsidR="00EF5B27" w:rsidRDefault="00000000">
      <w:pPr>
        <w:pStyle w:val="BodyText"/>
        <w:spacing w:before="1"/>
        <w:rPr>
          <w:sz w:val="18"/>
        </w:rPr>
      </w:pPr>
      <w:r>
        <w:pict w14:anchorId="1757A8CB">
          <v:group id="_x0000_s3021" style="position:absolute;margin-left:181.3pt;margin-top:13.4pt;width:357.4pt;height:229pt;z-index:251594240;mso-wrap-distance-left:0;mso-wrap-distance-right:0;mso-position-horizontal-relative:page" coordorigin="3626,268" coordsize="7148,4580">
            <v:shape id="_x0000_s3023" type="#_x0000_t75" style="position:absolute;left:3628;top:270;width:7143;height:4575">
              <v:imagedata r:id="rId144" o:title=""/>
            </v:shape>
            <v:rect id="_x0000_s3022" style="position:absolute;left:3628;top:270;width:7143;height:4575" filled="f" strokeweight=".25pt"/>
            <w10:wrap type="topAndBottom" anchorx="page"/>
          </v:group>
        </w:pict>
      </w:r>
    </w:p>
    <w:p w14:paraId="4343AE35" w14:textId="77777777" w:rsidR="00EF5B27" w:rsidRDefault="00000000">
      <w:pPr>
        <w:tabs>
          <w:tab w:val="left" w:pos="8977"/>
        </w:tabs>
        <w:spacing w:before="103"/>
        <w:ind w:left="2608"/>
        <w:rPr>
          <w:rFonts w:ascii="Century Gothic"/>
          <w:i/>
          <w:sz w:val="12"/>
        </w:rPr>
      </w:pPr>
      <w:r>
        <w:rPr>
          <w:color w:val="4D4D4F"/>
          <w:sz w:val="16"/>
        </w:rPr>
        <w:t xml:space="preserve">Figure 27: Map of monitored locations of </w:t>
      </w:r>
      <w:r>
        <w:rPr>
          <w:color w:val="4D4D4F"/>
          <w:spacing w:val="6"/>
          <w:sz w:val="16"/>
        </w:rPr>
        <w:t xml:space="preserve"> </w:t>
      </w:r>
      <w:r>
        <w:rPr>
          <w:color w:val="4D4D4F"/>
          <w:sz w:val="16"/>
        </w:rPr>
        <w:t>Spiny</w:t>
      </w:r>
      <w:r>
        <w:rPr>
          <w:color w:val="4D4D4F"/>
          <w:spacing w:val="6"/>
          <w:sz w:val="16"/>
        </w:rPr>
        <w:t xml:space="preserve"> </w:t>
      </w:r>
      <w:r>
        <w:rPr>
          <w:color w:val="4D4D4F"/>
          <w:sz w:val="16"/>
        </w:rPr>
        <w:t>Rice-flower</w:t>
      </w:r>
      <w:r>
        <w:rPr>
          <w:color w:val="4D4D4F"/>
          <w:sz w:val="16"/>
        </w:rPr>
        <w:tab/>
      </w:r>
      <w:r>
        <w:rPr>
          <w:rFonts w:ascii="Century Gothic"/>
          <w:i/>
          <w:color w:val="4D4D4F"/>
          <w:sz w:val="12"/>
        </w:rPr>
        <w:t>Source:</w:t>
      </w:r>
      <w:r>
        <w:rPr>
          <w:rFonts w:ascii="Century Gothic"/>
          <w:i/>
          <w:color w:val="4D4D4F"/>
          <w:spacing w:val="-21"/>
          <w:sz w:val="12"/>
        </w:rPr>
        <w:t xml:space="preserve"> </w:t>
      </w:r>
      <w:r>
        <w:rPr>
          <w:rFonts w:ascii="Century Gothic"/>
          <w:i/>
          <w:color w:val="4D4D4F"/>
          <w:sz w:val="12"/>
        </w:rPr>
        <w:t>DELWP</w:t>
      </w:r>
    </w:p>
    <w:p w14:paraId="167F0F7B" w14:textId="77777777" w:rsidR="00EF5B27" w:rsidRDefault="00EF5B27">
      <w:pPr>
        <w:rPr>
          <w:rFonts w:ascii="Century Gothic"/>
          <w:sz w:val="12"/>
        </w:rPr>
        <w:sectPr w:rsidR="00EF5B27">
          <w:pgSz w:w="11910" w:h="16840"/>
          <w:pgMar w:top="1080" w:right="1020" w:bottom="860" w:left="1020" w:header="537" w:footer="678" w:gutter="0"/>
          <w:cols w:space="720"/>
        </w:sectPr>
      </w:pPr>
    </w:p>
    <w:p w14:paraId="2381AE90" w14:textId="77777777" w:rsidR="00EF5B27" w:rsidRDefault="00000000">
      <w:pPr>
        <w:pStyle w:val="BodyText"/>
        <w:rPr>
          <w:rFonts w:ascii="Century Gothic"/>
          <w:i/>
        </w:rPr>
      </w:pPr>
      <w:r>
        <w:lastRenderedPageBreak/>
        <w:pict w14:anchorId="18F325F3">
          <v:group id="_x0000_s3013" style="position:absolute;margin-left:587.05pt;margin-top:183.4pt;width:8.25pt;height:153.1pt;z-index:251655680;mso-position-horizontal-relative:page;mso-position-vertical-relative:page" coordorigin="11741,3668" coordsize="165,3062">
            <v:shape id="_x0000_s3020" style="position:absolute;left:11741;top:3668;width:165;height:561" coordorigin="11741,3668" coordsize="165,561" path="m11906,3668r-165,l11741,4228r165,-18l11906,3668xe" fillcolor="#00aed9" stroked="f">
              <v:path arrowok="t"/>
            </v:shape>
            <v:shape id="_x0000_s3019" style="position:absolute;left:11741;top:4118;width:165;height:425" coordorigin="11741,4118" coordsize="165,425" path="m11906,4118r-165,14l11741,4531r165,12l11906,4118xe" fillcolor="#047ebc" stroked="f">
              <v:path arrowok="t"/>
            </v:shape>
            <v:shape id="_x0000_s3018" type="#_x0000_t75" style="position:absolute;left:11741;top:4355;width:165;height:587">
              <v:imagedata r:id="rId42" o:title=""/>
            </v:shape>
            <v:shape id="_x0000_s3017" style="position:absolute;left:11741;top:5343;width:165;height:536" coordorigin="11741,5343" coordsize="165,536" path="m11741,5343r,535l11906,5872r,-525l11741,5343xe" fillcolor="#f36a2e" stroked="f">
              <v:path arrowok="t"/>
            </v:shape>
            <v:shape id="_x0000_s3016" style="position:absolute;left:11741;top:4925;width:165;height:501" coordorigin="11741,4926" coordsize="165,501" path="m11741,4926r,500l11906,5426r,-485l11741,4926xe" fillcolor="#49783f" stroked="f">
              <v:path arrowok="t"/>
            </v:shape>
            <v:shape id="_x0000_s3015" style="position:absolute;left:11741;top:5781;width:165;height:268" coordorigin="11741,5782" coordsize="165,268" path="m11906,5782r-165,8l11741,6039r165,10l11906,5782xe" fillcolor="#f99f2a" stroked="f">
              <v:path arrowok="t"/>
            </v:shape>
            <v:shape id="_x0000_s3014" style="position:absolute;left:11741;top:6023;width:165;height:707" coordorigin="11741,6023" coordsize="165,707" path="m11741,6023r,706l11906,6729r,-690l11741,6023xe" fillcolor="#ef412c" stroked="f">
              <v:path arrowok="t"/>
            </v:shape>
            <w10:wrap anchorx="page" anchory="page"/>
          </v:group>
        </w:pict>
      </w:r>
    </w:p>
    <w:p w14:paraId="41128BBA" w14:textId="77777777" w:rsidR="00EF5B27" w:rsidRDefault="00EF5B27">
      <w:pPr>
        <w:pStyle w:val="BodyText"/>
        <w:rPr>
          <w:rFonts w:ascii="Century Gothic"/>
          <w:i/>
        </w:rPr>
      </w:pPr>
    </w:p>
    <w:p w14:paraId="7F8727FF" w14:textId="77777777" w:rsidR="00EF5B27" w:rsidRDefault="00EF5B27">
      <w:pPr>
        <w:pStyle w:val="BodyText"/>
        <w:rPr>
          <w:rFonts w:ascii="Century Gothic"/>
          <w:i/>
        </w:rPr>
      </w:pPr>
    </w:p>
    <w:p w14:paraId="7F166223" w14:textId="77777777" w:rsidR="00EF5B27" w:rsidRDefault="00EF5B27">
      <w:pPr>
        <w:pStyle w:val="BodyText"/>
        <w:spacing w:before="7"/>
        <w:rPr>
          <w:rFonts w:ascii="Century Gothic"/>
          <w:i/>
          <w:sz w:val="22"/>
        </w:rPr>
      </w:pPr>
    </w:p>
    <w:p w14:paraId="18BFC656" w14:textId="77777777" w:rsidR="00EF5B27" w:rsidRDefault="00000000">
      <w:pPr>
        <w:pStyle w:val="Heading3"/>
        <w:spacing w:before="116"/>
      </w:pPr>
      <w:bookmarkStart w:id="76" w:name="_bookmark53"/>
      <w:bookmarkEnd w:id="76"/>
      <w:r>
        <w:rPr>
          <w:color w:val="F99F2A"/>
          <w:w w:val="105"/>
        </w:rPr>
        <w:t>Results</w:t>
      </w:r>
    </w:p>
    <w:p w14:paraId="1028A132" w14:textId="77777777" w:rsidR="00EF5B27" w:rsidRDefault="00000000">
      <w:pPr>
        <w:pStyle w:val="Heading6"/>
        <w:spacing w:before="221"/>
      </w:pPr>
      <w:bookmarkStart w:id="77" w:name="_heading=h.36ei31r"/>
      <w:bookmarkEnd w:id="77"/>
      <w:r>
        <w:rPr>
          <w:color w:val="4D4D4F"/>
        </w:rPr>
        <w:t>KPI 1: Population count</w:t>
      </w:r>
    </w:p>
    <w:p w14:paraId="01BCA760" w14:textId="77777777" w:rsidR="00EF5B27" w:rsidRDefault="00EF5B27">
      <w:pPr>
        <w:pStyle w:val="BodyText"/>
        <w:spacing w:before="2"/>
        <w:rPr>
          <w:b/>
          <w:sz w:val="14"/>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43843DE6" w14:textId="77777777">
        <w:trPr>
          <w:trHeight w:val="559"/>
        </w:trPr>
        <w:tc>
          <w:tcPr>
            <w:tcW w:w="2980" w:type="dxa"/>
            <w:shd w:val="clear" w:color="auto" w:fill="FECC91"/>
          </w:tcPr>
          <w:p w14:paraId="3D6DC7CC" w14:textId="77777777" w:rsidR="00EF5B27" w:rsidRDefault="00EF5B27">
            <w:pPr>
              <w:pStyle w:val="TableParagraph"/>
              <w:spacing w:before="6"/>
              <w:rPr>
                <w:b/>
                <w:sz w:val="15"/>
              </w:rPr>
            </w:pPr>
          </w:p>
          <w:p w14:paraId="3796A040" w14:textId="77777777" w:rsidR="00EF5B27" w:rsidRDefault="00000000">
            <w:pPr>
              <w:pStyle w:val="TableParagraph"/>
              <w:ind w:left="80"/>
              <w:rPr>
                <w:b/>
                <w:sz w:val="16"/>
              </w:rPr>
            </w:pPr>
            <w:r>
              <w:rPr>
                <w:b/>
                <w:sz w:val="16"/>
              </w:rPr>
              <w:t>KPI 1: Population count</w:t>
            </w:r>
          </w:p>
        </w:tc>
        <w:tc>
          <w:tcPr>
            <w:tcW w:w="1078" w:type="dxa"/>
            <w:shd w:val="clear" w:color="auto" w:fill="FECC91"/>
          </w:tcPr>
          <w:p w14:paraId="288E7824" w14:textId="77777777" w:rsidR="00EF5B27" w:rsidRDefault="00000000">
            <w:pPr>
              <w:pStyle w:val="TableParagraph"/>
              <w:spacing w:before="89" w:line="244" w:lineRule="auto"/>
              <w:ind w:left="169" w:right="164" w:firstLine="148"/>
              <w:rPr>
                <w:b/>
                <w:sz w:val="16"/>
              </w:rPr>
            </w:pPr>
            <w:r>
              <w:rPr>
                <w:b/>
                <w:w w:val="105"/>
                <w:sz w:val="16"/>
              </w:rPr>
              <w:t>Status 2020-2022</w:t>
            </w:r>
          </w:p>
        </w:tc>
        <w:tc>
          <w:tcPr>
            <w:tcW w:w="2155" w:type="dxa"/>
            <w:shd w:val="clear" w:color="auto" w:fill="FECC91"/>
          </w:tcPr>
          <w:p w14:paraId="7CA3BC17" w14:textId="77777777" w:rsidR="00EF5B27" w:rsidRDefault="00EF5B27">
            <w:pPr>
              <w:pStyle w:val="TableParagraph"/>
              <w:spacing w:before="6"/>
              <w:rPr>
                <w:b/>
                <w:sz w:val="15"/>
              </w:rPr>
            </w:pPr>
          </w:p>
          <w:p w14:paraId="3073B558" w14:textId="77777777" w:rsidR="00EF5B27" w:rsidRDefault="00000000">
            <w:pPr>
              <w:pStyle w:val="TableParagraph"/>
              <w:ind w:left="143" w:right="142"/>
              <w:jc w:val="center"/>
              <w:rPr>
                <w:b/>
                <w:sz w:val="16"/>
              </w:rPr>
            </w:pPr>
            <w:r>
              <w:rPr>
                <w:b/>
                <w:sz w:val="16"/>
              </w:rPr>
              <w:t>Reason for non-assessment</w:t>
            </w:r>
          </w:p>
        </w:tc>
        <w:tc>
          <w:tcPr>
            <w:tcW w:w="964" w:type="dxa"/>
            <w:shd w:val="clear" w:color="auto" w:fill="FECC91"/>
          </w:tcPr>
          <w:p w14:paraId="6200B587" w14:textId="77777777" w:rsidR="00EF5B27" w:rsidRDefault="00EF5B27">
            <w:pPr>
              <w:pStyle w:val="TableParagraph"/>
              <w:spacing w:before="6"/>
              <w:rPr>
                <w:b/>
                <w:sz w:val="15"/>
              </w:rPr>
            </w:pPr>
          </w:p>
          <w:p w14:paraId="5040DD99" w14:textId="77777777" w:rsidR="00EF5B27" w:rsidRDefault="00000000">
            <w:pPr>
              <w:pStyle w:val="TableParagraph"/>
              <w:ind w:left="283"/>
              <w:rPr>
                <w:b/>
                <w:sz w:val="16"/>
              </w:rPr>
            </w:pPr>
            <w:r>
              <w:rPr>
                <w:b/>
                <w:sz w:val="16"/>
              </w:rPr>
              <w:t>Trend</w:t>
            </w:r>
          </w:p>
        </w:tc>
        <w:tc>
          <w:tcPr>
            <w:tcW w:w="964" w:type="dxa"/>
            <w:shd w:val="clear" w:color="auto" w:fill="FECC91"/>
          </w:tcPr>
          <w:p w14:paraId="63822373" w14:textId="77777777" w:rsidR="00EF5B27" w:rsidRDefault="00000000">
            <w:pPr>
              <w:pStyle w:val="TableParagraph"/>
              <w:spacing w:before="89" w:line="244" w:lineRule="auto"/>
              <w:ind w:left="105" w:right="87" w:firstLine="217"/>
              <w:rPr>
                <w:b/>
                <w:sz w:val="16"/>
              </w:rPr>
            </w:pPr>
            <w:r>
              <w:rPr>
                <w:b/>
                <w:sz w:val="16"/>
              </w:rPr>
              <w:t>Data Confidence</w:t>
            </w:r>
          </w:p>
        </w:tc>
        <w:tc>
          <w:tcPr>
            <w:tcW w:w="1489" w:type="dxa"/>
            <w:shd w:val="clear" w:color="auto" w:fill="FECC91"/>
          </w:tcPr>
          <w:p w14:paraId="1296F00F" w14:textId="77777777" w:rsidR="00EF5B27" w:rsidRDefault="00000000">
            <w:pPr>
              <w:pStyle w:val="TableParagraph"/>
              <w:spacing w:before="89" w:line="244" w:lineRule="auto"/>
              <w:ind w:left="220" w:hanging="92"/>
              <w:rPr>
                <w:b/>
                <w:sz w:val="16"/>
              </w:rPr>
            </w:pPr>
            <w:r>
              <w:rPr>
                <w:b/>
                <w:sz w:val="16"/>
              </w:rPr>
              <w:t>Year that baseline was/will be set</w:t>
            </w:r>
          </w:p>
        </w:tc>
      </w:tr>
      <w:tr w:rsidR="00EF5B27" w14:paraId="180E04F3" w14:textId="77777777">
        <w:trPr>
          <w:trHeight w:val="448"/>
        </w:trPr>
        <w:tc>
          <w:tcPr>
            <w:tcW w:w="2980" w:type="dxa"/>
          </w:tcPr>
          <w:p w14:paraId="43478136" w14:textId="77777777" w:rsidR="00EF5B27" w:rsidRDefault="00EF5B27">
            <w:pPr>
              <w:pStyle w:val="TableParagraph"/>
              <w:spacing w:before="11"/>
              <w:rPr>
                <w:b/>
                <w:sz w:val="11"/>
              </w:rPr>
            </w:pPr>
          </w:p>
          <w:p w14:paraId="2934DA99" w14:textId="77777777" w:rsidR="00EF5B27" w:rsidRDefault="00000000">
            <w:pPr>
              <w:pStyle w:val="TableParagraph"/>
              <w:ind w:left="80"/>
              <w:rPr>
                <w:sz w:val="14"/>
              </w:rPr>
            </w:pPr>
            <w:r>
              <w:rPr>
                <w:color w:val="4D4D4F"/>
                <w:sz w:val="14"/>
              </w:rPr>
              <w:t>Radio</w:t>
            </w:r>
          </w:p>
        </w:tc>
        <w:tc>
          <w:tcPr>
            <w:tcW w:w="1078" w:type="dxa"/>
          </w:tcPr>
          <w:p w14:paraId="6BB2DB39" w14:textId="77777777" w:rsidR="00EF5B27" w:rsidRDefault="00EF5B27">
            <w:pPr>
              <w:pStyle w:val="TableParagraph"/>
              <w:spacing w:before="11"/>
              <w:rPr>
                <w:b/>
                <w:sz w:val="11"/>
              </w:rPr>
            </w:pPr>
          </w:p>
          <w:p w14:paraId="47910A06" w14:textId="77777777" w:rsidR="00EF5B27" w:rsidRDefault="00000000">
            <w:pPr>
              <w:pStyle w:val="TableParagraph"/>
              <w:ind w:left="142"/>
              <w:rPr>
                <w:sz w:val="14"/>
              </w:rPr>
            </w:pPr>
            <w:r>
              <w:rPr>
                <w:color w:val="4D4D4F"/>
                <w:w w:val="105"/>
                <w:sz w:val="14"/>
              </w:rPr>
              <w:t>Not assessed</w:t>
            </w:r>
          </w:p>
        </w:tc>
        <w:tc>
          <w:tcPr>
            <w:tcW w:w="2155" w:type="dxa"/>
          </w:tcPr>
          <w:p w14:paraId="223A6CCF" w14:textId="77777777" w:rsidR="00EF5B27" w:rsidRDefault="00EF5B27">
            <w:pPr>
              <w:pStyle w:val="TableParagraph"/>
              <w:spacing w:before="11"/>
              <w:rPr>
                <w:b/>
                <w:sz w:val="11"/>
              </w:rPr>
            </w:pPr>
          </w:p>
          <w:p w14:paraId="366D18DE" w14:textId="77777777" w:rsidR="00EF5B27" w:rsidRDefault="00000000">
            <w:pPr>
              <w:pStyle w:val="TableParagraph"/>
              <w:ind w:left="143" w:right="142"/>
              <w:jc w:val="center"/>
              <w:rPr>
                <w:sz w:val="14"/>
              </w:rPr>
            </w:pPr>
            <w:r>
              <w:rPr>
                <w:color w:val="4D4D4F"/>
                <w:sz w:val="14"/>
              </w:rPr>
              <w:t>Baseline not yet set</w:t>
            </w:r>
          </w:p>
        </w:tc>
        <w:tc>
          <w:tcPr>
            <w:tcW w:w="964" w:type="dxa"/>
          </w:tcPr>
          <w:p w14:paraId="125FC40F" w14:textId="77777777" w:rsidR="00EF5B27" w:rsidRDefault="00EF5B27">
            <w:pPr>
              <w:pStyle w:val="TableParagraph"/>
              <w:spacing w:before="4"/>
              <w:rPr>
                <w:b/>
                <w:sz w:val="7"/>
              </w:rPr>
            </w:pPr>
          </w:p>
          <w:p w14:paraId="7EF12AE5" w14:textId="77777777" w:rsidR="00EF5B27" w:rsidRDefault="00000000">
            <w:pPr>
              <w:pStyle w:val="TableParagraph"/>
              <w:spacing w:line="187" w:lineRule="exact"/>
              <w:ind w:left="400"/>
              <w:rPr>
                <w:sz w:val="18"/>
              </w:rPr>
            </w:pPr>
            <w:r>
              <w:rPr>
                <w:noProof/>
                <w:position w:val="-3"/>
                <w:sz w:val="18"/>
              </w:rPr>
              <w:drawing>
                <wp:inline distT="0" distB="0" distL="0" distR="0" wp14:anchorId="4303A994" wp14:editId="7E8D657C">
                  <wp:extent cx="100411" cy="118872"/>
                  <wp:effectExtent l="0" t="0" r="0" b="0"/>
                  <wp:docPr id="479"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183.png"/>
                          <pic:cNvPicPr/>
                        </pic:nvPicPr>
                        <pic:blipFill>
                          <a:blip r:embed="rId145" cstate="print"/>
                          <a:stretch>
                            <a:fillRect/>
                          </a:stretch>
                        </pic:blipFill>
                        <pic:spPr>
                          <a:xfrm>
                            <a:off x="0" y="0"/>
                            <a:ext cx="100411" cy="118872"/>
                          </a:xfrm>
                          <a:prstGeom prst="rect">
                            <a:avLst/>
                          </a:prstGeom>
                        </pic:spPr>
                      </pic:pic>
                    </a:graphicData>
                  </a:graphic>
                </wp:inline>
              </w:drawing>
            </w:r>
          </w:p>
          <w:p w14:paraId="05077CEB" w14:textId="77777777" w:rsidR="00EF5B27" w:rsidRDefault="00EF5B27">
            <w:pPr>
              <w:pStyle w:val="TableParagraph"/>
              <w:spacing w:before="8"/>
              <w:rPr>
                <w:b/>
                <w:sz w:val="2"/>
              </w:rPr>
            </w:pPr>
          </w:p>
          <w:p w14:paraId="0B50023D" w14:textId="77777777" w:rsidR="00EF5B27" w:rsidRDefault="00000000">
            <w:pPr>
              <w:pStyle w:val="TableParagraph"/>
              <w:spacing w:line="48" w:lineRule="exact"/>
              <w:ind w:left="448"/>
              <w:rPr>
                <w:sz w:val="4"/>
              </w:rPr>
            </w:pPr>
            <w:r>
              <w:rPr>
                <w:sz w:val="4"/>
              </w:rPr>
            </w:r>
            <w:r>
              <w:rPr>
                <w:sz w:val="4"/>
              </w:rPr>
              <w:pict w14:anchorId="3E90F609">
                <v:group id="_x0000_s3011" style="width:2.45pt;height:2.45pt;mso-position-horizontal-relative:char;mso-position-vertical-relative:line" coordsize="49,49">
                  <v:shape id="_x0000_s3012" style="position:absolute;width:49;height:49" coordsize="49,49" path="m31,l18,,12,2,2,12,,17,,31r2,6l12,46r6,3l31,49r6,-3l46,37r3,-6l49,17,46,12,37,2,31,xe" fillcolor="#808285" stroked="f">
                    <v:path arrowok="t"/>
                  </v:shape>
                  <w10:wrap type="none"/>
                  <w10:anchorlock/>
                </v:group>
              </w:pict>
            </w:r>
          </w:p>
        </w:tc>
        <w:tc>
          <w:tcPr>
            <w:tcW w:w="964" w:type="dxa"/>
          </w:tcPr>
          <w:p w14:paraId="1772A0D9" w14:textId="77777777" w:rsidR="00EF5B27" w:rsidRDefault="00EF5B27">
            <w:pPr>
              <w:pStyle w:val="TableParagraph"/>
              <w:spacing w:before="11"/>
              <w:rPr>
                <w:b/>
                <w:sz w:val="11"/>
              </w:rPr>
            </w:pPr>
          </w:p>
          <w:p w14:paraId="239171A3" w14:textId="77777777" w:rsidR="00EF5B27" w:rsidRDefault="00000000">
            <w:pPr>
              <w:pStyle w:val="TableParagraph"/>
              <w:ind w:left="318" w:right="323"/>
              <w:jc w:val="center"/>
              <w:rPr>
                <w:sz w:val="14"/>
              </w:rPr>
            </w:pPr>
            <w:r>
              <w:rPr>
                <w:color w:val="4D4D4F"/>
                <w:w w:val="105"/>
                <w:sz w:val="14"/>
              </w:rPr>
              <w:t>N/A</w:t>
            </w:r>
          </w:p>
        </w:tc>
        <w:tc>
          <w:tcPr>
            <w:tcW w:w="1489" w:type="dxa"/>
          </w:tcPr>
          <w:p w14:paraId="1DC134A9" w14:textId="77777777" w:rsidR="00EF5B27" w:rsidRDefault="00000000">
            <w:pPr>
              <w:pStyle w:val="TableParagraph"/>
              <w:spacing w:before="134"/>
              <w:ind w:left="580"/>
              <w:rPr>
                <w:sz w:val="16"/>
              </w:rPr>
            </w:pPr>
            <w:r>
              <w:rPr>
                <w:color w:val="4D4D4F"/>
                <w:sz w:val="16"/>
              </w:rPr>
              <w:t>2024</w:t>
            </w:r>
          </w:p>
        </w:tc>
      </w:tr>
      <w:tr w:rsidR="00EF5B27" w14:paraId="5BDB613F" w14:textId="77777777">
        <w:trPr>
          <w:trHeight w:val="448"/>
        </w:trPr>
        <w:tc>
          <w:tcPr>
            <w:tcW w:w="2980" w:type="dxa"/>
          </w:tcPr>
          <w:p w14:paraId="6CE091AD" w14:textId="77777777" w:rsidR="00EF5B27" w:rsidRDefault="00EF5B27">
            <w:pPr>
              <w:pStyle w:val="TableParagraph"/>
              <w:spacing w:before="11"/>
              <w:rPr>
                <w:b/>
                <w:sz w:val="11"/>
              </w:rPr>
            </w:pPr>
          </w:p>
          <w:p w14:paraId="7E418AE9" w14:textId="77777777" w:rsidR="00EF5B27" w:rsidRDefault="00000000">
            <w:pPr>
              <w:pStyle w:val="TableParagraph"/>
              <w:ind w:left="80"/>
              <w:rPr>
                <w:sz w:val="14"/>
              </w:rPr>
            </w:pPr>
            <w:r>
              <w:rPr>
                <w:color w:val="4D4D4F"/>
                <w:sz w:val="14"/>
              </w:rPr>
              <w:t>Truganina Cemetery</w:t>
            </w:r>
          </w:p>
        </w:tc>
        <w:tc>
          <w:tcPr>
            <w:tcW w:w="1078" w:type="dxa"/>
          </w:tcPr>
          <w:p w14:paraId="337B1098" w14:textId="77777777" w:rsidR="00EF5B27" w:rsidRDefault="00EF5B27">
            <w:pPr>
              <w:pStyle w:val="TableParagraph"/>
              <w:spacing w:before="11"/>
              <w:rPr>
                <w:b/>
                <w:sz w:val="11"/>
              </w:rPr>
            </w:pPr>
          </w:p>
          <w:p w14:paraId="13386C1E" w14:textId="77777777" w:rsidR="00EF5B27" w:rsidRDefault="00000000">
            <w:pPr>
              <w:pStyle w:val="TableParagraph"/>
              <w:ind w:left="142"/>
              <w:rPr>
                <w:sz w:val="14"/>
              </w:rPr>
            </w:pPr>
            <w:r>
              <w:rPr>
                <w:color w:val="4D4D4F"/>
                <w:w w:val="105"/>
                <w:sz w:val="14"/>
              </w:rPr>
              <w:t>Not assessed</w:t>
            </w:r>
          </w:p>
        </w:tc>
        <w:tc>
          <w:tcPr>
            <w:tcW w:w="2155" w:type="dxa"/>
          </w:tcPr>
          <w:p w14:paraId="769866A7" w14:textId="77777777" w:rsidR="00EF5B27" w:rsidRDefault="00EF5B27">
            <w:pPr>
              <w:pStyle w:val="TableParagraph"/>
              <w:spacing w:before="11"/>
              <w:rPr>
                <w:b/>
                <w:sz w:val="11"/>
              </w:rPr>
            </w:pPr>
          </w:p>
          <w:p w14:paraId="4FA717DE" w14:textId="77777777" w:rsidR="00EF5B27" w:rsidRDefault="00000000">
            <w:pPr>
              <w:pStyle w:val="TableParagraph"/>
              <w:ind w:left="143" w:right="142"/>
              <w:jc w:val="center"/>
              <w:rPr>
                <w:sz w:val="14"/>
              </w:rPr>
            </w:pPr>
            <w:r>
              <w:rPr>
                <w:color w:val="4D4D4F"/>
                <w:sz w:val="14"/>
              </w:rPr>
              <w:t>Baseline not yet set</w:t>
            </w:r>
          </w:p>
        </w:tc>
        <w:tc>
          <w:tcPr>
            <w:tcW w:w="964" w:type="dxa"/>
          </w:tcPr>
          <w:p w14:paraId="584B7B96" w14:textId="77777777" w:rsidR="00EF5B27" w:rsidRDefault="00EF5B27">
            <w:pPr>
              <w:pStyle w:val="TableParagraph"/>
              <w:spacing w:before="4"/>
              <w:rPr>
                <w:b/>
                <w:sz w:val="7"/>
              </w:rPr>
            </w:pPr>
          </w:p>
          <w:p w14:paraId="62D0FE76" w14:textId="77777777" w:rsidR="00EF5B27" w:rsidRDefault="00000000">
            <w:pPr>
              <w:pStyle w:val="TableParagraph"/>
              <w:spacing w:line="187" w:lineRule="exact"/>
              <w:ind w:left="400"/>
              <w:rPr>
                <w:sz w:val="18"/>
              </w:rPr>
            </w:pPr>
            <w:r>
              <w:rPr>
                <w:noProof/>
                <w:position w:val="-3"/>
                <w:sz w:val="18"/>
              </w:rPr>
              <w:drawing>
                <wp:inline distT="0" distB="0" distL="0" distR="0" wp14:anchorId="5A3B8F3C" wp14:editId="39F2D414">
                  <wp:extent cx="100572" cy="119062"/>
                  <wp:effectExtent l="0" t="0" r="0" b="0"/>
                  <wp:docPr id="481"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184.png"/>
                          <pic:cNvPicPr/>
                        </pic:nvPicPr>
                        <pic:blipFill>
                          <a:blip r:embed="rId84" cstate="print"/>
                          <a:stretch>
                            <a:fillRect/>
                          </a:stretch>
                        </pic:blipFill>
                        <pic:spPr>
                          <a:xfrm>
                            <a:off x="0" y="0"/>
                            <a:ext cx="100572" cy="119062"/>
                          </a:xfrm>
                          <a:prstGeom prst="rect">
                            <a:avLst/>
                          </a:prstGeom>
                        </pic:spPr>
                      </pic:pic>
                    </a:graphicData>
                  </a:graphic>
                </wp:inline>
              </w:drawing>
            </w:r>
          </w:p>
          <w:p w14:paraId="06BECDF6" w14:textId="77777777" w:rsidR="00EF5B27" w:rsidRDefault="00EF5B27">
            <w:pPr>
              <w:pStyle w:val="TableParagraph"/>
              <w:spacing w:before="8"/>
              <w:rPr>
                <w:b/>
                <w:sz w:val="2"/>
              </w:rPr>
            </w:pPr>
          </w:p>
          <w:p w14:paraId="60F008B8" w14:textId="77777777" w:rsidR="00EF5B27" w:rsidRDefault="00000000">
            <w:pPr>
              <w:pStyle w:val="TableParagraph"/>
              <w:spacing w:line="48" w:lineRule="exact"/>
              <w:ind w:left="448"/>
              <w:rPr>
                <w:sz w:val="4"/>
              </w:rPr>
            </w:pPr>
            <w:r>
              <w:rPr>
                <w:sz w:val="4"/>
              </w:rPr>
            </w:r>
            <w:r>
              <w:rPr>
                <w:sz w:val="4"/>
              </w:rPr>
              <w:pict w14:anchorId="3A551C14">
                <v:group id="_x0000_s3009" style="width:2.45pt;height:2.45pt;mso-position-horizontal-relative:char;mso-position-vertical-relative:line" coordsize="49,49">
                  <v:shape id="_x0000_s3010" style="position:absolute;width:49;height:49" coordsize="49,49" path="m31,l18,,12,2,2,12,,17,,31r2,6l12,46r6,3l31,49r6,-3l46,37r3,-6l49,17,46,12,37,2,31,xe" fillcolor="#808285" stroked="f">
                    <v:path arrowok="t"/>
                  </v:shape>
                  <w10:wrap type="none"/>
                  <w10:anchorlock/>
                </v:group>
              </w:pict>
            </w:r>
          </w:p>
        </w:tc>
        <w:tc>
          <w:tcPr>
            <w:tcW w:w="964" w:type="dxa"/>
          </w:tcPr>
          <w:p w14:paraId="738B5714" w14:textId="77777777" w:rsidR="00EF5B27" w:rsidRDefault="00EF5B27">
            <w:pPr>
              <w:pStyle w:val="TableParagraph"/>
              <w:spacing w:before="11"/>
              <w:rPr>
                <w:b/>
                <w:sz w:val="11"/>
              </w:rPr>
            </w:pPr>
          </w:p>
          <w:p w14:paraId="43988B1C" w14:textId="77777777" w:rsidR="00EF5B27" w:rsidRDefault="00000000">
            <w:pPr>
              <w:pStyle w:val="TableParagraph"/>
              <w:ind w:left="318" w:right="323"/>
              <w:jc w:val="center"/>
              <w:rPr>
                <w:sz w:val="14"/>
              </w:rPr>
            </w:pPr>
            <w:r>
              <w:rPr>
                <w:color w:val="4D4D4F"/>
                <w:w w:val="105"/>
                <w:sz w:val="14"/>
              </w:rPr>
              <w:t>N/A</w:t>
            </w:r>
          </w:p>
        </w:tc>
        <w:tc>
          <w:tcPr>
            <w:tcW w:w="1489" w:type="dxa"/>
          </w:tcPr>
          <w:p w14:paraId="4E1D79ED" w14:textId="77777777" w:rsidR="00EF5B27" w:rsidRDefault="00000000">
            <w:pPr>
              <w:pStyle w:val="TableParagraph"/>
              <w:spacing w:before="134"/>
              <w:ind w:left="580"/>
              <w:rPr>
                <w:sz w:val="16"/>
              </w:rPr>
            </w:pPr>
            <w:r>
              <w:rPr>
                <w:color w:val="4D4D4F"/>
                <w:sz w:val="16"/>
              </w:rPr>
              <w:t>2024</w:t>
            </w:r>
          </w:p>
        </w:tc>
      </w:tr>
    </w:tbl>
    <w:p w14:paraId="0A2E9A29" w14:textId="77777777" w:rsidR="00EF5B27" w:rsidRDefault="00EF5B27">
      <w:pPr>
        <w:pStyle w:val="BodyText"/>
        <w:spacing w:before="3"/>
        <w:rPr>
          <w:b/>
          <w:sz w:val="34"/>
        </w:rPr>
      </w:pPr>
    </w:p>
    <w:p w14:paraId="38DCDC6E" w14:textId="77777777" w:rsidR="00EF5B27" w:rsidRDefault="00000000">
      <w:pPr>
        <w:pStyle w:val="BodyText"/>
        <w:spacing w:before="1" w:line="254" w:lineRule="auto"/>
        <w:ind w:left="2608" w:right="308"/>
      </w:pPr>
      <w:r>
        <w:rPr>
          <w:color w:val="4D4D4F"/>
        </w:rPr>
        <w:t>The population counts (within clusters) in 2019 were 201 at Radio (in 4 clusters) and 965 at Truganina Cemetery (in 1 cluster). As 2019 was the first year of monitoring using this method the baseline cannot yet be set.</w:t>
      </w:r>
    </w:p>
    <w:p w14:paraId="0C013105" w14:textId="77777777" w:rsidR="00EF5B27" w:rsidRDefault="00000000">
      <w:pPr>
        <w:pStyle w:val="BodyText"/>
        <w:spacing w:before="8"/>
        <w:rPr>
          <w:sz w:val="27"/>
        </w:rPr>
      </w:pPr>
      <w:r>
        <w:pict w14:anchorId="6E230254">
          <v:group id="_x0000_s3006" style="position:absolute;margin-left:181.35pt;margin-top:19.25pt;width:357.4pt;height:201.15pt;z-index:251595264;mso-wrap-distance-left:0;mso-wrap-distance-right:0;mso-position-horizontal-relative:page" coordorigin="3627,385" coordsize="7148,4023">
            <v:shape id="_x0000_s3008" type="#_x0000_t75" style="position:absolute;left:3629;top:387;width:7143;height:4018">
              <v:imagedata r:id="rId146" o:title=""/>
            </v:shape>
            <v:rect id="_x0000_s3007" style="position:absolute;left:3629;top:387;width:7143;height:4018" filled="f" strokeweight=".25pt"/>
            <w10:wrap type="topAndBottom" anchorx="page"/>
          </v:group>
        </w:pict>
      </w:r>
    </w:p>
    <w:p w14:paraId="24C2441E" w14:textId="77777777" w:rsidR="00EF5B27" w:rsidRDefault="00000000">
      <w:pPr>
        <w:tabs>
          <w:tab w:val="left" w:pos="8977"/>
        </w:tabs>
        <w:spacing w:before="103" w:line="295" w:lineRule="auto"/>
        <w:ind w:left="2608" w:right="111"/>
        <w:rPr>
          <w:rFonts w:ascii="Century Gothic"/>
          <w:i/>
          <w:sz w:val="12"/>
        </w:rPr>
      </w:pPr>
      <w:r>
        <w:rPr>
          <w:color w:val="4D4D4F"/>
          <w:sz w:val="16"/>
        </w:rPr>
        <w:t>Figure 28: Population count of Spiny Rice-flower at Radio and Truganina Cemetery in 2019 and 2021 (not monitored in</w:t>
      </w:r>
      <w:r>
        <w:rPr>
          <w:color w:val="4D4D4F"/>
          <w:spacing w:val="1"/>
          <w:sz w:val="16"/>
        </w:rPr>
        <w:t xml:space="preserve"> </w:t>
      </w:r>
      <w:r>
        <w:rPr>
          <w:color w:val="4D4D4F"/>
          <w:sz w:val="16"/>
        </w:rPr>
        <w:t>2020)</w:t>
      </w:r>
      <w:r>
        <w:rPr>
          <w:color w:val="4D4D4F"/>
          <w:sz w:val="16"/>
        </w:rPr>
        <w:tab/>
      </w:r>
      <w:r>
        <w:rPr>
          <w:rFonts w:ascii="Century Gothic"/>
          <w:i/>
          <w:color w:val="4D4D4F"/>
          <w:w w:val="90"/>
          <w:sz w:val="12"/>
        </w:rPr>
        <w:t>Source:</w:t>
      </w:r>
      <w:r>
        <w:rPr>
          <w:rFonts w:ascii="Century Gothic"/>
          <w:i/>
          <w:color w:val="4D4D4F"/>
          <w:spacing w:val="3"/>
          <w:w w:val="90"/>
          <w:sz w:val="12"/>
        </w:rPr>
        <w:t xml:space="preserve"> </w:t>
      </w:r>
      <w:r>
        <w:rPr>
          <w:rFonts w:ascii="Century Gothic"/>
          <w:i/>
          <w:color w:val="4D4D4F"/>
          <w:spacing w:val="-5"/>
          <w:w w:val="90"/>
          <w:sz w:val="12"/>
        </w:rPr>
        <w:t>DELWP</w:t>
      </w:r>
    </w:p>
    <w:p w14:paraId="4BBBE852" w14:textId="77777777" w:rsidR="00EF5B27" w:rsidRDefault="00EF5B27">
      <w:pPr>
        <w:pStyle w:val="BodyText"/>
        <w:spacing w:before="3"/>
        <w:rPr>
          <w:rFonts w:ascii="Century Gothic"/>
          <w:i/>
          <w:sz w:val="26"/>
        </w:rPr>
      </w:pPr>
    </w:p>
    <w:p w14:paraId="02CC7F30" w14:textId="77777777" w:rsidR="00EF5B27" w:rsidRDefault="00000000">
      <w:pPr>
        <w:pStyle w:val="Heading6"/>
      </w:pPr>
      <w:bookmarkStart w:id="78" w:name="_heading=h.45jfvxd"/>
      <w:bookmarkEnd w:id="78"/>
      <w:r>
        <w:rPr>
          <w:color w:val="4D4D4F"/>
          <w:spacing w:val="-4"/>
        </w:rPr>
        <w:t xml:space="preserve">KPI 2: </w:t>
      </w:r>
      <w:r>
        <w:rPr>
          <w:color w:val="4D4D4F"/>
          <w:spacing w:val="-6"/>
        </w:rPr>
        <w:t xml:space="preserve">Number </w:t>
      </w:r>
      <w:r>
        <w:rPr>
          <w:color w:val="4D4D4F"/>
          <w:spacing w:val="-3"/>
        </w:rPr>
        <w:t xml:space="preserve">of </w:t>
      </w:r>
      <w:r>
        <w:rPr>
          <w:color w:val="4D4D4F"/>
          <w:spacing w:val="-4"/>
        </w:rPr>
        <w:t xml:space="preserve">years </w:t>
      </w:r>
      <w:r>
        <w:rPr>
          <w:color w:val="4D4D4F"/>
          <w:spacing w:val="-5"/>
        </w:rPr>
        <w:t xml:space="preserve">that recruits </w:t>
      </w:r>
      <w:r>
        <w:rPr>
          <w:color w:val="4D4D4F"/>
          <w:spacing w:val="-4"/>
        </w:rPr>
        <w:t xml:space="preserve">form </w:t>
      </w:r>
      <w:r>
        <w:rPr>
          <w:color w:val="4D4D4F"/>
          <w:spacing w:val="-6"/>
        </w:rPr>
        <w:t xml:space="preserve">over 10% </w:t>
      </w:r>
      <w:r>
        <w:rPr>
          <w:color w:val="4D4D4F"/>
          <w:spacing w:val="-3"/>
        </w:rPr>
        <w:t xml:space="preserve">of </w:t>
      </w:r>
      <w:r>
        <w:rPr>
          <w:color w:val="4D4D4F"/>
          <w:spacing w:val="-4"/>
        </w:rPr>
        <w:t xml:space="preserve">the </w:t>
      </w:r>
      <w:r>
        <w:rPr>
          <w:color w:val="4D4D4F"/>
          <w:spacing w:val="-6"/>
        </w:rPr>
        <w:t xml:space="preserve">population over </w:t>
      </w:r>
      <w:r>
        <w:rPr>
          <w:color w:val="4D4D4F"/>
        </w:rPr>
        <w:t xml:space="preserve">a </w:t>
      </w:r>
      <w:r>
        <w:rPr>
          <w:color w:val="4D4D4F"/>
          <w:spacing w:val="-6"/>
        </w:rPr>
        <w:t>10-year</w:t>
      </w:r>
      <w:r>
        <w:rPr>
          <w:color w:val="4D4D4F"/>
          <w:spacing w:val="-19"/>
        </w:rPr>
        <w:t xml:space="preserve"> </w:t>
      </w:r>
      <w:r>
        <w:rPr>
          <w:color w:val="4D4D4F"/>
          <w:spacing w:val="-5"/>
        </w:rPr>
        <w:t>period</w:t>
      </w:r>
    </w:p>
    <w:p w14:paraId="7A380F67" w14:textId="77777777" w:rsidR="00EF5B27" w:rsidRDefault="00EF5B27">
      <w:pPr>
        <w:pStyle w:val="BodyText"/>
        <w:spacing w:before="2"/>
        <w:rPr>
          <w:b/>
          <w:sz w:val="14"/>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51730DCA" w14:textId="77777777">
        <w:trPr>
          <w:trHeight w:val="561"/>
        </w:trPr>
        <w:tc>
          <w:tcPr>
            <w:tcW w:w="2980" w:type="dxa"/>
            <w:shd w:val="clear" w:color="auto" w:fill="FECC91"/>
          </w:tcPr>
          <w:p w14:paraId="53B3E0C0" w14:textId="77777777" w:rsidR="00EF5B27" w:rsidRDefault="00000000">
            <w:pPr>
              <w:pStyle w:val="TableParagraph"/>
              <w:spacing w:before="91" w:line="244" w:lineRule="auto"/>
              <w:ind w:left="80"/>
              <w:rPr>
                <w:b/>
                <w:sz w:val="16"/>
              </w:rPr>
            </w:pPr>
            <w:r>
              <w:rPr>
                <w:b/>
                <w:sz w:val="16"/>
              </w:rPr>
              <w:t xml:space="preserve">KPI 2: Number of recruits that form over </w:t>
            </w:r>
            <w:r>
              <w:rPr>
                <w:b/>
                <w:spacing w:val="-3"/>
                <w:sz w:val="16"/>
              </w:rPr>
              <w:t xml:space="preserve">10% </w:t>
            </w:r>
            <w:r>
              <w:rPr>
                <w:b/>
                <w:sz w:val="16"/>
              </w:rPr>
              <w:t xml:space="preserve">of the </w:t>
            </w:r>
            <w:r>
              <w:rPr>
                <w:b/>
                <w:spacing w:val="-3"/>
                <w:sz w:val="16"/>
              </w:rPr>
              <w:t xml:space="preserve">population over </w:t>
            </w:r>
            <w:r>
              <w:rPr>
                <w:b/>
                <w:sz w:val="16"/>
              </w:rPr>
              <w:t xml:space="preserve">a </w:t>
            </w:r>
            <w:r>
              <w:rPr>
                <w:b/>
                <w:spacing w:val="-3"/>
                <w:sz w:val="16"/>
              </w:rPr>
              <w:t>10-year period</w:t>
            </w:r>
          </w:p>
        </w:tc>
        <w:tc>
          <w:tcPr>
            <w:tcW w:w="1078" w:type="dxa"/>
            <w:shd w:val="clear" w:color="auto" w:fill="FECC91"/>
          </w:tcPr>
          <w:p w14:paraId="36C1F9BF"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4A96DF9D" w14:textId="77777777" w:rsidR="00EF5B27" w:rsidRDefault="00EF5B27">
            <w:pPr>
              <w:pStyle w:val="TableParagraph"/>
              <w:spacing w:before="7"/>
              <w:rPr>
                <w:b/>
                <w:sz w:val="15"/>
              </w:rPr>
            </w:pPr>
          </w:p>
          <w:p w14:paraId="190D71F7"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33D9C1BC" w14:textId="77777777" w:rsidR="00EF5B27" w:rsidRDefault="00EF5B27">
            <w:pPr>
              <w:pStyle w:val="TableParagraph"/>
              <w:spacing w:before="7"/>
              <w:rPr>
                <w:b/>
                <w:sz w:val="15"/>
              </w:rPr>
            </w:pPr>
          </w:p>
          <w:p w14:paraId="43EA1B32"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07221519"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419021F2"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473315DA" w14:textId="77777777">
        <w:trPr>
          <w:trHeight w:val="448"/>
        </w:trPr>
        <w:tc>
          <w:tcPr>
            <w:tcW w:w="2980" w:type="dxa"/>
          </w:tcPr>
          <w:p w14:paraId="45E4E629" w14:textId="77777777" w:rsidR="00EF5B27" w:rsidRDefault="00EF5B27">
            <w:pPr>
              <w:pStyle w:val="TableParagraph"/>
              <w:spacing w:before="11"/>
              <w:rPr>
                <w:b/>
                <w:sz w:val="11"/>
              </w:rPr>
            </w:pPr>
          </w:p>
          <w:p w14:paraId="795E7C52" w14:textId="77777777" w:rsidR="00EF5B27" w:rsidRDefault="00000000">
            <w:pPr>
              <w:pStyle w:val="TableParagraph"/>
              <w:ind w:left="80"/>
              <w:rPr>
                <w:sz w:val="14"/>
              </w:rPr>
            </w:pPr>
            <w:r>
              <w:rPr>
                <w:color w:val="4D4D4F"/>
                <w:sz w:val="14"/>
              </w:rPr>
              <w:t>Radio</w:t>
            </w:r>
          </w:p>
        </w:tc>
        <w:tc>
          <w:tcPr>
            <w:tcW w:w="1078" w:type="dxa"/>
          </w:tcPr>
          <w:p w14:paraId="38D4564B" w14:textId="77777777" w:rsidR="00EF5B27" w:rsidRDefault="00EF5B27">
            <w:pPr>
              <w:pStyle w:val="TableParagraph"/>
              <w:spacing w:before="11"/>
              <w:rPr>
                <w:b/>
                <w:sz w:val="11"/>
              </w:rPr>
            </w:pPr>
          </w:p>
          <w:p w14:paraId="44FF4281" w14:textId="77777777" w:rsidR="00EF5B27" w:rsidRDefault="00000000">
            <w:pPr>
              <w:pStyle w:val="TableParagraph"/>
              <w:ind w:left="142"/>
              <w:rPr>
                <w:sz w:val="14"/>
              </w:rPr>
            </w:pPr>
            <w:r>
              <w:rPr>
                <w:color w:val="4D4D4F"/>
                <w:w w:val="105"/>
                <w:sz w:val="14"/>
              </w:rPr>
              <w:t>Not assessed</w:t>
            </w:r>
          </w:p>
        </w:tc>
        <w:tc>
          <w:tcPr>
            <w:tcW w:w="2155" w:type="dxa"/>
          </w:tcPr>
          <w:p w14:paraId="0FA71EBD" w14:textId="77777777" w:rsidR="00EF5B27" w:rsidRDefault="00EF5B27">
            <w:pPr>
              <w:pStyle w:val="TableParagraph"/>
              <w:spacing w:before="11"/>
              <w:rPr>
                <w:b/>
                <w:sz w:val="11"/>
              </w:rPr>
            </w:pPr>
          </w:p>
          <w:p w14:paraId="19530444" w14:textId="77777777" w:rsidR="00EF5B27" w:rsidRDefault="00000000">
            <w:pPr>
              <w:pStyle w:val="TableParagraph"/>
              <w:ind w:left="143" w:right="142"/>
              <w:jc w:val="center"/>
              <w:rPr>
                <w:sz w:val="14"/>
              </w:rPr>
            </w:pPr>
            <w:r>
              <w:rPr>
                <w:color w:val="4D4D4F"/>
                <w:sz w:val="14"/>
              </w:rPr>
              <w:t>Baseline not yet set</w:t>
            </w:r>
          </w:p>
        </w:tc>
        <w:tc>
          <w:tcPr>
            <w:tcW w:w="964" w:type="dxa"/>
          </w:tcPr>
          <w:p w14:paraId="20D762BF" w14:textId="77777777" w:rsidR="00EF5B27" w:rsidRDefault="00EF5B27">
            <w:pPr>
              <w:pStyle w:val="TableParagraph"/>
              <w:spacing w:before="4"/>
              <w:rPr>
                <w:b/>
                <w:sz w:val="7"/>
              </w:rPr>
            </w:pPr>
          </w:p>
          <w:p w14:paraId="01F3FC27" w14:textId="77777777" w:rsidR="00EF5B27" w:rsidRDefault="00000000">
            <w:pPr>
              <w:pStyle w:val="TableParagraph"/>
              <w:spacing w:line="187" w:lineRule="exact"/>
              <w:ind w:left="400"/>
              <w:rPr>
                <w:sz w:val="18"/>
              </w:rPr>
            </w:pPr>
            <w:r>
              <w:rPr>
                <w:noProof/>
                <w:position w:val="-3"/>
                <w:sz w:val="18"/>
              </w:rPr>
              <w:drawing>
                <wp:inline distT="0" distB="0" distL="0" distR="0" wp14:anchorId="501D5344" wp14:editId="10103032">
                  <wp:extent cx="100572" cy="119062"/>
                  <wp:effectExtent l="0" t="0" r="0" b="0"/>
                  <wp:docPr id="483"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184.png"/>
                          <pic:cNvPicPr/>
                        </pic:nvPicPr>
                        <pic:blipFill>
                          <a:blip r:embed="rId84" cstate="print"/>
                          <a:stretch>
                            <a:fillRect/>
                          </a:stretch>
                        </pic:blipFill>
                        <pic:spPr>
                          <a:xfrm>
                            <a:off x="0" y="0"/>
                            <a:ext cx="100572" cy="119062"/>
                          </a:xfrm>
                          <a:prstGeom prst="rect">
                            <a:avLst/>
                          </a:prstGeom>
                        </pic:spPr>
                      </pic:pic>
                    </a:graphicData>
                  </a:graphic>
                </wp:inline>
              </w:drawing>
            </w:r>
          </w:p>
          <w:p w14:paraId="081D1194" w14:textId="77777777" w:rsidR="00EF5B27" w:rsidRDefault="00EF5B27">
            <w:pPr>
              <w:pStyle w:val="TableParagraph"/>
              <w:spacing w:before="8"/>
              <w:rPr>
                <w:b/>
                <w:sz w:val="2"/>
              </w:rPr>
            </w:pPr>
          </w:p>
          <w:p w14:paraId="5E381117" w14:textId="77777777" w:rsidR="00EF5B27" w:rsidRDefault="00000000">
            <w:pPr>
              <w:pStyle w:val="TableParagraph"/>
              <w:spacing w:line="48" w:lineRule="exact"/>
              <w:ind w:left="448"/>
              <w:rPr>
                <w:sz w:val="4"/>
              </w:rPr>
            </w:pPr>
            <w:r>
              <w:rPr>
                <w:sz w:val="4"/>
              </w:rPr>
            </w:r>
            <w:r>
              <w:rPr>
                <w:sz w:val="4"/>
              </w:rPr>
              <w:pict w14:anchorId="53E09FFA">
                <v:group id="_x0000_s3004" style="width:2.45pt;height:2.45pt;mso-position-horizontal-relative:char;mso-position-vertical-relative:line" coordsize="49,49">
                  <v:shape id="_x0000_s3005" style="position:absolute;width:49;height:49" coordsize="49,49" path="m31,l18,,12,2,2,12,,17,,31r2,6l12,46r6,3l31,49r6,-3l46,37r3,-6l49,17,46,12,37,2,31,xe" fillcolor="#808285" stroked="f">
                    <v:path arrowok="t"/>
                  </v:shape>
                  <w10:wrap type="none"/>
                  <w10:anchorlock/>
                </v:group>
              </w:pict>
            </w:r>
          </w:p>
        </w:tc>
        <w:tc>
          <w:tcPr>
            <w:tcW w:w="964" w:type="dxa"/>
          </w:tcPr>
          <w:p w14:paraId="27F48447" w14:textId="77777777" w:rsidR="00EF5B27" w:rsidRDefault="00EF5B27">
            <w:pPr>
              <w:pStyle w:val="TableParagraph"/>
              <w:spacing w:before="11"/>
              <w:rPr>
                <w:b/>
                <w:sz w:val="11"/>
              </w:rPr>
            </w:pPr>
          </w:p>
          <w:p w14:paraId="6A8355AE" w14:textId="77777777" w:rsidR="00EF5B27" w:rsidRDefault="00000000">
            <w:pPr>
              <w:pStyle w:val="TableParagraph"/>
              <w:ind w:left="318" w:right="323"/>
              <w:jc w:val="center"/>
              <w:rPr>
                <w:sz w:val="14"/>
              </w:rPr>
            </w:pPr>
            <w:r>
              <w:rPr>
                <w:color w:val="4D4D4F"/>
                <w:w w:val="105"/>
                <w:sz w:val="14"/>
              </w:rPr>
              <w:t>N/A</w:t>
            </w:r>
          </w:p>
        </w:tc>
        <w:tc>
          <w:tcPr>
            <w:tcW w:w="1489" w:type="dxa"/>
          </w:tcPr>
          <w:p w14:paraId="4B7AF5C3" w14:textId="77777777" w:rsidR="00EF5B27" w:rsidRDefault="00000000">
            <w:pPr>
              <w:pStyle w:val="TableParagraph"/>
              <w:spacing w:before="134"/>
              <w:ind w:left="580"/>
              <w:rPr>
                <w:sz w:val="16"/>
              </w:rPr>
            </w:pPr>
            <w:r>
              <w:rPr>
                <w:color w:val="4D4D4F"/>
                <w:sz w:val="16"/>
              </w:rPr>
              <w:t>2024</w:t>
            </w:r>
          </w:p>
        </w:tc>
      </w:tr>
      <w:tr w:rsidR="00EF5B27" w14:paraId="42D64841" w14:textId="77777777">
        <w:trPr>
          <w:trHeight w:val="448"/>
        </w:trPr>
        <w:tc>
          <w:tcPr>
            <w:tcW w:w="2980" w:type="dxa"/>
          </w:tcPr>
          <w:p w14:paraId="0DDA2823" w14:textId="77777777" w:rsidR="00EF5B27" w:rsidRDefault="00EF5B27">
            <w:pPr>
              <w:pStyle w:val="TableParagraph"/>
              <w:spacing w:before="11"/>
              <w:rPr>
                <w:b/>
                <w:sz w:val="11"/>
              </w:rPr>
            </w:pPr>
          </w:p>
          <w:p w14:paraId="05427553" w14:textId="77777777" w:rsidR="00EF5B27" w:rsidRDefault="00000000">
            <w:pPr>
              <w:pStyle w:val="TableParagraph"/>
              <w:ind w:left="80"/>
              <w:rPr>
                <w:sz w:val="14"/>
              </w:rPr>
            </w:pPr>
            <w:r>
              <w:rPr>
                <w:color w:val="4D4D4F"/>
                <w:sz w:val="14"/>
              </w:rPr>
              <w:t>Truganina Cemetery</w:t>
            </w:r>
          </w:p>
        </w:tc>
        <w:tc>
          <w:tcPr>
            <w:tcW w:w="1078" w:type="dxa"/>
          </w:tcPr>
          <w:p w14:paraId="619BA3E1" w14:textId="77777777" w:rsidR="00EF5B27" w:rsidRDefault="00EF5B27">
            <w:pPr>
              <w:pStyle w:val="TableParagraph"/>
              <w:spacing w:before="11"/>
              <w:rPr>
                <w:b/>
                <w:sz w:val="11"/>
              </w:rPr>
            </w:pPr>
          </w:p>
          <w:p w14:paraId="2AEAC774" w14:textId="77777777" w:rsidR="00EF5B27" w:rsidRDefault="00000000">
            <w:pPr>
              <w:pStyle w:val="TableParagraph"/>
              <w:ind w:left="142"/>
              <w:rPr>
                <w:sz w:val="14"/>
              </w:rPr>
            </w:pPr>
            <w:r>
              <w:rPr>
                <w:color w:val="4D4D4F"/>
                <w:w w:val="105"/>
                <w:sz w:val="14"/>
              </w:rPr>
              <w:t>Not assessed</w:t>
            </w:r>
          </w:p>
        </w:tc>
        <w:tc>
          <w:tcPr>
            <w:tcW w:w="2155" w:type="dxa"/>
          </w:tcPr>
          <w:p w14:paraId="0BF28961" w14:textId="77777777" w:rsidR="00EF5B27" w:rsidRDefault="00EF5B27">
            <w:pPr>
              <w:pStyle w:val="TableParagraph"/>
              <w:spacing w:before="11"/>
              <w:rPr>
                <w:b/>
                <w:sz w:val="11"/>
              </w:rPr>
            </w:pPr>
          </w:p>
          <w:p w14:paraId="728D18B7" w14:textId="77777777" w:rsidR="00EF5B27" w:rsidRDefault="00000000">
            <w:pPr>
              <w:pStyle w:val="TableParagraph"/>
              <w:ind w:left="143" w:right="142"/>
              <w:jc w:val="center"/>
              <w:rPr>
                <w:sz w:val="14"/>
              </w:rPr>
            </w:pPr>
            <w:r>
              <w:rPr>
                <w:color w:val="4D4D4F"/>
                <w:sz w:val="14"/>
              </w:rPr>
              <w:t>Baseline not yet set</w:t>
            </w:r>
          </w:p>
        </w:tc>
        <w:tc>
          <w:tcPr>
            <w:tcW w:w="964" w:type="dxa"/>
          </w:tcPr>
          <w:p w14:paraId="29FA1373" w14:textId="77777777" w:rsidR="00EF5B27" w:rsidRDefault="00EF5B27">
            <w:pPr>
              <w:pStyle w:val="TableParagraph"/>
              <w:spacing w:before="4"/>
              <w:rPr>
                <w:b/>
                <w:sz w:val="7"/>
              </w:rPr>
            </w:pPr>
          </w:p>
          <w:p w14:paraId="79C8FD10" w14:textId="77777777" w:rsidR="00EF5B27" w:rsidRDefault="00000000">
            <w:pPr>
              <w:pStyle w:val="TableParagraph"/>
              <w:spacing w:line="187" w:lineRule="exact"/>
              <w:ind w:left="400"/>
              <w:rPr>
                <w:sz w:val="18"/>
              </w:rPr>
            </w:pPr>
            <w:r>
              <w:rPr>
                <w:noProof/>
                <w:position w:val="-3"/>
                <w:sz w:val="18"/>
              </w:rPr>
              <w:drawing>
                <wp:inline distT="0" distB="0" distL="0" distR="0" wp14:anchorId="6B6627AA" wp14:editId="490C8989">
                  <wp:extent cx="100572" cy="119062"/>
                  <wp:effectExtent l="0" t="0" r="0" b="0"/>
                  <wp:docPr id="485"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184.png"/>
                          <pic:cNvPicPr/>
                        </pic:nvPicPr>
                        <pic:blipFill>
                          <a:blip r:embed="rId84" cstate="print"/>
                          <a:stretch>
                            <a:fillRect/>
                          </a:stretch>
                        </pic:blipFill>
                        <pic:spPr>
                          <a:xfrm>
                            <a:off x="0" y="0"/>
                            <a:ext cx="100572" cy="119062"/>
                          </a:xfrm>
                          <a:prstGeom prst="rect">
                            <a:avLst/>
                          </a:prstGeom>
                        </pic:spPr>
                      </pic:pic>
                    </a:graphicData>
                  </a:graphic>
                </wp:inline>
              </w:drawing>
            </w:r>
          </w:p>
          <w:p w14:paraId="2EA14A4C" w14:textId="77777777" w:rsidR="00EF5B27" w:rsidRDefault="00EF5B27">
            <w:pPr>
              <w:pStyle w:val="TableParagraph"/>
              <w:spacing w:before="8"/>
              <w:rPr>
                <w:b/>
                <w:sz w:val="2"/>
              </w:rPr>
            </w:pPr>
          </w:p>
          <w:p w14:paraId="7CAC0645" w14:textId="77777777" w:rsidR="00EF5B27" w:rsidRDefault="00000000">
            <w:pPr>
              <w:pStyle w:val="TableParagraph"/>
              <w:spacing w:line="48" w:lineRule="exact"/>
              <w:ind w:left="448"/>
              <w:rPr>
                <w:sz w:val="4"/>
              </w:rPr>
            </w:pPr>
            <w:r>
              <w:rPr>
                <w:sz w:val="4"/>
              </w:rPr>
            </w:r>
            <w:r>
              <w:rPr>
                <w:sz w:val="4"/>
              </w:rPr>
              <w:pict w14:anchorId="3F6D2BE9">
                <v:group id="_x0000_s3002" style="width:2.45pt;height:2.45pt;mso-position-horizontal-relative:char;mso-position-vertical-relative:line" coordsize="49,49">
                  <v:shape id="_x0000_s3003" style="position:absolute;width:49;height:49" coordsize="49,49" path="m31,l18,,12,2,2,12,,17,,31r2,6l12,46r6,3l31,49r6,-3l46,37r3,-6l49,17,46,12,37,2,31,xe" fillcolor="#808285" stroked="f">
                    <v:path arrowok="t"/>
                  </v:shape>
                  <w10:wrap type="none"/>
                  <w10:anchorlock/>
                </v:group>
              </w:pict>
            </w:r>
          </w:p>
        </w:tc>
        <w:tc>
          <w:tcPr>
            <w:tcW w:w="964" w:type="dxa"/>
          </w:tcPr>
          <w:p w14:paraId="6E797BE6" w14:textId="77777777" w:rsidR="00EF5B27" w:rsidRDefault="00EF5B27">
            <w:pPr>
              <w:pStyle w:val="TableParagraph"/>
              <w:spacing w:before="11"/>
              <w:rPr>
                <w:b/>
                <w:sz w:val="11"/>
              </w:rPr>
            </w:pPr>
          </w:p>
          <w:p w14:paraId="45932A0E" w14:textId="77777777" w:rsidR="00EF5B27" w:rsidRDefault="00000000">
            <w:pPr>
              <w:pStyle w:val="TableParagraph"/>
              <w:ind w:left="318" w:right="323"/>
              <w:jc w:val="center"/>
              <w:rPr>
                <w:sz w:val="14"/>
              </w:rPr>
            </w:pPr>
            <w:r>
              <w:rPr>
                <w:color w:val="4D4D4F"/>
                <w:w w:val="105"/>
                <w:sz w:val="14"/>
              </w:rPr>
              <w:t>N/A</w:t>
            </w:r>
          </w:p>
        </w:tc>
        <w:tc>
          <w:tcPr>
            <w:tcW w:w="1489" w:type="dxa"/>
          </w:tcPr>
          <w:p w14:paraId="39C12C89" w14:textId="77777777" w:rsidR="00EF5B27" w:rsidRDefault="00000000">
            <w:pPr>
              <w:pStyle w:val="TableParagraph"/>
              <w:spacing w:before="134"/>
              <w:ind w:left="580"/>
              <w:rPr>
                <w:sz w:val="16"/>
              </w:rPr>
            </w:pPr>
            <w:r>
              <w:rPr>
                <w:color w:val="4D4D4F"/>
                <w:sz w:val="16"/>
              </w:rPr>
              <w:t>2024</w:t>
            </w:r>
          </w:p>
        </w:tc>
      </w:tr>
    </w:tbl>
    <w:p w14:paraId="319EC034" w14:textId="77777777" w:rsidR="00EF5B27" w:rsidRDefault="00EF5B27">
      <w:pPr>
        <w:pStyle w:val="BodyText"/>
        <w:spacing w:before="3"/>
        <w:rPr>
          <w:b/>
          <w:sz w:val="34"/>
        </w:rPr>
      </w:pPr>
    </w:p>
    <w:p w14:paraId="32405585" w14:textId="77777777" w:rsidR="00EF5B27" w:rsidRDefault="00000000">
      <w:pPr>
        <w:pStyle w:val="BodyText"/>
        <w:spacing w:before="1" w:line="254" w:lineRule="auto"/>
        <w:ind w:left="2608" w:right="289"/>
      </w:pPr>
      <w:r>
        <w:rPr>
          <w:color w:val="4D4D4F"/>
        </w:rPr>
        <w:t xml:space="preserve">This KPI measures the proportion of plants that are new recruits to a population. It    is expected that recruits form more than 10% of each population at least once every </w:t>
      </w:r>
      <w:r>
        <w:rPr>
          <w:color w:val="4D4D4F"/>
          <w:spacing w:val="-5"/>
        </w:rPr>
        <w:t xml:space="preserve">10 </w:t>
      </w:r>
      <w:r>
        <w:rPr>
          <w:color w:val="4D4D4F"/>
        </w:rPr>
        <w:t xml:space="preserve">years. This KPI is intended to measure rates of recruitment of the population, to ensure that the conditions for recruitment are sustained (periodic bare ground, seed </w:t>
      </w:r>
      <w:r>
        <w:rPr>
          <w:color w:val="4D4D4F"/>
          <w:spacing w:val="-3"/>
        </w:rPr>
        <w:t xml:space="preserve">supply), </w:t>
      </w:r>
      <w:r>
        <w:rPr>
          <w:color w:val="4D4D4F"/>
        </w:rPr>
        <w:t xml:space="preserve">rather than measuring the fate of recruits, which is not specifically reported on. (The overall population trajectory is intended to be covered by KPI </w:t>
      </w:r>
      <w:r>
        <w:rPr>
          <w:color w:val="4D4D4F"/>
          <w:spacing w:val="-5"/>
        </w:rPr>
        <w:t xml:space="preserve">1.) </w:t>
      </w:r>
      <w:r>
        <w:rPr>
          <w:color w:val="4D4D4F"/>
        </w:rPr>
        <w:t>Figure 29 shows examples of Spiny Rice-flower</w:t>
      </w:r>
      <w:r>
        <w:rPr>
          <w:color w:val="4D4D4F"/>
          <w:spacing w:val="24"/>
        </w:rPr>
        <w:t xml:space="preserve"> </w:t>
      </w:r>
      <w:r>
        <w:rPr>
          <w:color w:val="4D4D4F"/>
        </w:rPr>
        <w:t>recruits.</w:t>
      </w:r>
    </w:p>
    <w:p w14:paraId="691DA5DB" w14:textId="77777777" w:rsidR="00EF5B27" w:rsidRDefault="00EF5B27">
      <w:pPr>
        <w:spacing w:line="254" w:lineRule="auto"/>
        <w:sectPr w:rsidR="00EF5B27">
          <w:pgSz w:w="11910" w:h="16840"/>
          <w:pgMar w:top="1080" w:right="1020" w:bottom="860" w:left="1020" w:header="537" w:footer="678" w:gutter="0"/>
          <w:cols w:space="720"/>
        </w:sectPr>
      </w:pPr>
    </w:p>
    <w:p w14:paraId="3170BAE5" w14:textId="77777777" w:rsidR="00EF5B27" w:rsidRDefault="00000000">
      <w:pPr>
        <w:pStyle w:val="BodyText"/>
      </w:pPr>
      <w:r>
        <w:lastRenderedPageBreak/>
        <w:pict w14:anchorId="5A3A6415">
          <v:group id="_x0000_s2994" style="position:absolute;margin-left:587.05pt;margin-top:183.4pt;width:8.25pt;height:153.1pt;z-index:251656704;mso-position-horizontal-relative:page;mso-position-vertical-relative:page" coordorigin="11741,3668" coordsize="165,3062">
            <v:shape id="_x0000_s3001" style="position:absolute;left:11741;top:3668;width:165;height:561" coordorigin="11741,3668" coordsize="165,561" path="m11906,3668r-165,l11741,4228r165,-18l11906,3668xe" fillcolor="#00aed9" stroked="f">
              <v:path arrowok="t"/>
            </v:shape>
            <v:shape id="_x0000_s3000" style="position:absolute;left:11741;top:4118;width:165;height:425" coordorigin="11741,4118" coordsize="165,425" path="m11906,4118r-165,14l11741,4531r165,12l11906,4118xe" fillcolor="#047ebc" stroked="f">
              <v:path arrowok="t"/>
            </v:shape>
            <v:shape id="_x0000_s2999" type="#_x0000_t75" style="position:absolute;left:11741;top:4355;width:165;height:587">
              <v:imagedata r:id="rId42" o:title=""/>
            </v:shape>
            <v:shape id="_x0000_s2998" style="position:absolute;left:11741;top:5343;width:165;height:536" coordorigin="11741,5343" coordsize="165,536" path="m11741,5343r,535l11906,5872r,-525l11741,5343xe" fillcolor="#f36a2e" stroked="f">
              <v:path arrowok="t"/>
            </v:shape>
            <v:shape id="_x0000_s2997" style="position:absolute;left:11741;top:4925;width:165;height:501" coordorigin="11741,4926" coordsize="165,501" path="m11741,4926r,500l11906,5426r,-485l11741,4926xe" fillcolor="#49783f" stroked="f">
              <v:path arrowok="t"/>
            </v:shape>
            <v:shape id="_x0000_s2996" style="position:absolute;left:11741;top:5781;width:165;height:268" coordorigin="11741,5782" coordsize="165,268" path="m11906,5782r-165,8l11741,6039r165,10l11906,5782xe" fillcolor="#f99f2a" stroked="f">
              <v:path arrowok="t"/>
            </v:shape>
            <v:shape id="_x0000_s2995" style="position:absolute;left:11741;top:6023;width:165;height:707" coordorigin="11741,6023" coordsize="165,707" path="m11741,6023r,706l11906,6729r,-690l11741,6023xe" fillcolor="#ef412c" stroked="f">
              <v:path arrowok="t"/>
            </v:shape>
            <w10:wrap anchorx="page" anchory="page"/>
          </v:group>
        </w:pict>
      </w:r>
    </w:p>
    <w:p w14:paraId="4CBEB217" w14:textId="77777777" w:rsidR="00EF5B27" w:rsidRDefault="00EF5B27">
      <w:pPr>
        <w:pStyle w:val="BodyText"/>
      </w:pPr>
    </w:p>
    <w:p w14:paraId="4AC30076" w14:textId="77777777" w:rsidR="00EF5B27" w:rsidRDefault="00EF5B27">
      <w:pPr>
        <w:pStyle w:val="BodyText"/>
      </w:pPr>
    </w:p>
    <w:p w14:paraId="35F57C1F" w14:textId="77777777" w:rsidR="00EF5B27" w:rsidRDefault="00EF5B27">
      <w:pPr>
        <w:pStyle w:val="BodyText"/>
      </w:pPr>
    </w:p>
    <w:p w14:paraId="25A76F28" w14:textId="77777777" w:rsidR="00EF5B27" w:rsidRDefault="00EF5B27">
      <w:pPr>
        <w:pStyle w:val="BodyText"/>
        <w:spacing w:before="5"/>
        <w:rPr>
          <w:sz w:val="16"/>
        </w:rPr>
      </w:pPr>
    </w:p>
    <w:p w14:paraId="2360065C" w14:textId="77777777" w:rsidR="00EF5B27" w:rsidRDefault="00000000">
      <w:pPr>
        <w:pStyle w:val="BodyText"/>
        <w:ind w:left="2609"/>
      </w:pPr>
      <w:bookmarkStart w:id="79" w:name="_bookmark55"/>
      <w:bookmarkEnd w:id="79"/>
      <w:r>
        <w:rPr>
          <w:noProof/>
        </w:rPr>
        <w:drawing>
          <wp:inline distT="0" distB="0" distL="0" distR="0" wp14:anchorId="0D1E6827" wp14:editId="628E5092">
            <wp:extent cx="4535416" cy="2551176"/>
            <wp:effectExtent l="0" t="0" r="0" b="0"/>
            <wp:docPr id="487"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186.png"/>
                    <pic:cNvPicPr/>
                  </pic:nvPicPr>
                  <pic:blipFill>
                    <a:blip r:embed="rId147" cstate="print"/>
                    <a:stretch>
                      <a:fillRect/>
                    </a:stretch>
                  </pic:blipFill>
                  <pic:spPr>
                    <a:xfrm>
                      <a:off x="0" y="0"/>
                      <a:ext cx="4535416" cy="2551176"/>
                    </a:xfrm>
                    <a:prstGeom prst="rect">
                      <a:avLst/>
                    </a:prstGeom>
                  </pic:spPr>
                </pic:pic>
              </a:graphicData>
            </a:graphic>
          </wp:inline>
        </w:drawing>
      </w:r>
    </w:p>
    <w:p w14:paraId="35E0AD12" w14:textId="77777777" w:rsidR="00EF5B27" w:rsidRDefault="00000000">
      <w:pPr>
        <w:tabs>
          <w:tab w:val="left" w:pos="8977"/>
        </w:tabs>
        <w:spacing w:before="142"/>
        <w:ind w:left="2608"/>
        <w:rPr>
          <w:rFonts w:ascii="Century Gothic"/>
          <w:i/>
          <w:sz w:val="12"/>
        </w:rPr>
      </w:pPr>
      <w:r>
        <w:rPr>
          <w:color w:val="4D4D4F"/>
          <w:sz w:val="16"/>
        </w:rPr>
        <w:t xml:space="preserve">Figure 29: </w:t>
      </w:r>
      <w:r>
        <w:rPr>
          <w:color w:val="4D4D4F"/>
          <w:spacing w:val="-2"/>
          <w:sz w:val="16"/>
        </w:rPr>
        <w:t xml:space="preserve">Two  </w:t>
      </w:r>
      <w:r>
        <w:rPr>
          <w:color w:val="4D4D4F"/>
          <w:sz w:val="16"/>
        </w:rPr>
        <w:t xml:space="preserve">Spiny Rice-flower recruits, </w:t>
      </w:r>
      <w:r>
        <w:rPr>
          <w:color w:val="4D4D4F"/>
          <w:spacing w:val="21"/>
          <w:sz w:val="16"/>
        </w:rPr>
        <w:t xml:space="preserve"> </w:t>
      </w:r>
      <w:r>
        <w:rPr>
          <w:color w:val="4D4D4F"/>
          <w:sz w:val="16"/>
        </w:rPr>
        <w:t>Truganina</w:t>
      </w:r>
      <w:r>
        <w:rPr>
          <w:color w:val="4D4D4F"/>
          <w:spacing w:val="15"/>
          <w:sz w:val="16"/>
        </w:rPr>
        <w:t xml:space="preserve"> </w:t>
      </w:r>
      <w:r>
        <w:rPr>
          <w:color w:val="4D4D4F"/>
          <w:sz w:val="16"/>
        </w:rPr>
        <w:t>Cemetery</w:t>
      </w:r>
      <w:r>
        <w:rPr>
          <w:color w:val="4D4D4F"/>
          <w:sz w:val="16"/>
        </w:rPr>
        <w:tab/>
      </w:r>
      <w:r>
        <w:rPr>
          <w:rFonts w:ascii="Century Gothic"/>
          <w:i/>
          <w:color w:val="4D4D4F"/>
          <w:sz w:val="12"/>
        </w:rPr>
        <w:t>Source:</w:t>
      </w:r>
      <w:r>
        <w:rPr>
          <w:rFonts w:ascii="Century Gothic"/>
          <w:i/>
          <w:color w:val="4D4D4F"/>
          <w:spacing w:val="-22"/>
          <w:sz w:val="12"/>
        </w:rPr>
        <w:t xml:space="preserve"> </w:t>
      </w:r>
      <w:r>
        <w:rPr>
          <w:rFonts w:ascii="Century Gothic"/>
          <w:i/>
          <w:color w:val="4D4D4F"/>
          <w:sz w:val="12"/>
        </w:rPr>
        <w:t>DELWP</w:t>
      </w:r>
    </w:p>
    <w:p w14:paraId="075C677B" w14:textId="77777777" w:rsidR="00EF5B27" w:rsidRDefault="00EF5B27">
      <w:pPr>
        <w:pStyle w:val="BodyText"/>
        <w:rPr>
          <w:rFonts w:ascii="Century Gothic"/>
          <w:i/>
        </w:rPr>
      </w:pPr>
    </w:p>
    <w:p w14:paraId="7EFA8849" w14:textId="77777777" w:rsidR="00EF5B27" w:rsidRDefault="00000000">
      <w:pPr>
        <w:pStyle w:val="BodyText"/>
        <w:spacing w:before="130" w:line="254" w:lineRule="auto"/>
        <w:ind w:left="2608" w:right="124"/>
        <w:jc w:val="both"/>
      </w:pPr>
      <w:hyperlink w:anchor="_bookmark54" w:history="1">
        <w:r>
          <w:rPr>
            <w:color w:val="4D4D4F"/>
          </w:rPr>
          <w:t xml:space="preserve">Table 3 </w:t>
        </w:r>
      </w:hyperlink>
      <w:r>
        <w:rPr>
          <w:color w:val="4D4D4F"/>
        </w:rPr>
        <w:t>shows the percentage of recruits recorded across all currently monitored sites. The first year of monitoring using this method was 2019. The KPI will be first assessed after 10 years of monitoring, in 2029.</w:t>
      </w:r>
    </w:p>
    <w:p w14:paraId="6C4B57F8" w14:textId="77777777" w:rsidR="00EF5B27" w:rsidRDefault="00EF5B27">
      <w:pPr>
        <w:pStyle w:val="BodyText"/>
        <w:spacing w:before="6"/>
        <w:rPr>
          <w:sz w:val="29"/>
        </w:rPr>
      </w:pPr>
    </w:p>
    <w:p w14:paraId="217AC440" w14:textId="77777777" w:rsidR="00EF5B27" w:rsidRDefault="00000000">
      <w:pPr>
        <w:tabs>
          <w:tab w:val="left" w:pos="8978"/>
        </w:tabs>
        <w:spacing w:line="244" w:lineRule="auto"/>
        <w:ind w:left="2609" w:right="110"/>
        <w:rPr>
          <w:rFonts w:ascii="Century Gothic"/>
          <w:i/>
          <w:sz w:val="12"/>
        </w:rPr>
      </w:pPr>
      <w:bookmarkStart w:id="80" w:name="_heading=h.zu0gcz"/>
      <w:bookmarkStart w:id="81" w:name="_Ref112872194"/>
      <w:bookmarkStart w:id="82" w:name="_bookmark54"/>
      <w:bookmarkEnd w:id="80"/>
      <w:bookmarkEnd w:id="81"/>
      <w:bookmarkEnd w:id="82"/>
      <w:r>
        <w:rPr>
          <w:color w:val="4D4D4F"/>
          <w:sz w:val="16"/>
        </w:rPr>
        <w:t>Table 3: Percentage of population formed by recruits. The numbers in brackets show the total numbers of recruits</w:t>
      </w:r>
      <w:r>
        <w:rPr>
          <w:color w:val="4D4D4F"/>
          <w:spacing w:val="6"/>
          <w:sz w:val="16"/>
        </w:rPr>
        <w:t xml:space="preserve"> </w:t>
      </w:r>
      <w:r>
        <w:rPr>
          <w:color w:val="4D4D4F"/>
          <w:sz w:val="16"/>
        </w:rPr>
        <w:t>and</w:t>
      </w:r>
      <w:r>
        <w:rPr>
          <w:color w:val="4D4D4F"/>
          <w:spacing w:val="7"/>
          <w:sz w:val="16"/>
        </w:rPr>
        <w:t xml:space="preserve"> </w:t>
      </w:r>
      <w:r>
        <w:rPr>
          <w:color w:val="4D4D4F"/>
          <w:sz w:val="16"/>
        </w:rPr>
        <w:t>the</w:t>
      </w:r>
      <w:r>
        <w:rPr>
          <w:color w:val="4D4D4F"/>
          <w:spacing w:val="6"/>
          <w:sz w:val="16"/>
        </w:rPr>
        <w:t xml:space="preserve"> </w:t>
      </w:r>
      <w:r>
        <w:rPr>
          <w:color w:val="4D4D4F"/>
          <w:sz w:val="16"/>
        </w:rPr>
        <w:t>total</w:t>
      </w:r>
      <w:r>
        <w:rPr>
          <w:color w:val="4D4D4F"/>
          <w:spacing w:val="7"/>
          <w:sz w:val="16"/>
        </w:rPr>
        <w:t xml:space="preserve"> </w:t>
      </w:r>
      <w:r>
        <w:rPr>
          <w:color w:val="4D4D4F"/>
          <w:sz w:val="16"/>
        </w:rPr>
        <w:t>number</w:t>
      </w:r>
      <w:r>
        <w:rPr>
          <w:color w:val="4D4D4F"/>
          <w:spacing w:val="6"/>
          <w:sz w:val="16"/>
        </w:rPr>
        <w:t xml:space="preserve"> </w:t>
      </w:r>
      <w:r>
        <w:rPr>
          <w:color w:val="4D4D4F"/>
          <w:sz w:val="16"/>
        </w:rPr>
        <w:t>of</w:t>
      </w:r>
      <w:r>
        <w:rPr>
          <w:color w:val="4D4D4F"/>
          <w:spacing w:val="7"/>
          <w:sz w:val="16"/>
        </w:rPr>
        <w:t xml:space="preserve"> </w:t>
      </w:r>
      <w:r>
        <w:rPr>
          <w:color w:val="4D4D4F"/>
          <w:sz w:val="16"/>
        </w:rPr>
        <w:t>plants</w:t>
      </w:r>
      <w:r>
        <w:rPr>
          <w:color w:val="4D4D4F"/>
          <w:spacing w:val="7"/>
          <w:sz w:val="16"/>
        </w:rPr>
        <w:t xml:space="preserve"> </w:t>
      </w:r>
      <w:r>
        <w:rPr>
          <w:color w:val="4D4D4F"/>
          <w:sz w:val="16"/>
        </w:rPr>
        <w:t>in</w:t>
      </w:r>
      <w:r>
        <w:rPr>
          <w:color w:val="4D4D4F"/>
          <w:spacing w:val="6"/>
          <w:sz w:val="16"/>
        </w:rPr>
        <w:t xml:space="preserve"> </w:t>
      </w:r>
      <w:r>
        <w:rPr>
          <w:color w:val="4D4D4F"/>
          <w:sz w:val="16"/>
        </w:rPr>
        <w:t>the</w:t>
      </w:r>
      <w:r>
        <w:rPr>
          <w:color w:val="4D4D4F"/>
          <w:spacing w:val="7"/>
          <w:sz w:val="16"/>
        </w:rPr>
        <w:t xml:space="preserve"> </w:t>
      </w:r>
      <w:r>
        <w:rPr>
          <w:color w:val="4D4D4F"/>
          <w:sz w:val="16"/>
        </w:rPr>
        <w:t>sample</w:t>
      </w:r>
      <w:r>
        <w:rPr>
          <w:color w:val="4D4D4F"/>
          <w:spacing w:val="6"/>
          <w:sz w:val="16"/>
        </w:rPr>
        <w:t xml:space="preserve"> </w:t>
      </w:r>
      <w:r>
        <w:rPr>
          <w:color w:val="4D4D4F"/>
          <w:sz w:val="16"/>
        </w:rPr>
        <w:t>plots</w:t>
      </w:r>
      <w:r>
        <w:rPr>
          <w:color w:val="4D4D4F"/>
          <w:spacing w:val="7"/>
          <w:sz w:val="16"/>
        </w:rPr>
        <w:t xml:space="preserve"> </w:t>
      </w:r>
      <w:r>
        <w:rPr>
          <w:color w:val="4D4D4F"/>
          <w:sz w:val="16"/>
        </w:rPr>
        <w:t>for</w:t>
      </w:r>
      <w:r>
        <w:rPr>
          <w:color w:val="4D4D4F"/>
          <w:spacing w:val="7"/>
          <w:sz w:val="16"/>
        </w:rPr>
        <w:t xml:space="preserve"> </w:t>
      </w:r>
      <w:r>
        <w:rPr>
          <w:color w:val="4D4D4F"/>
          <w:sz w:val="16"/>
        </w:rPr>
        <w:t>that</w:t>
      </w:r>
      <w:r>
        <w:rPr>
          <w:color w:val="4D4D4F"/>
          <w:spacing w:val="6"/>
          <w:sz w:val="16"/>
        </w:rPr>
        <w:t xml:space="preserve"> </w:t>
      </w:r>
      <w:r>
        <w:rPr>
          <w:color w:val="4D4D4F"/>
          <w:sz w:val="16"/>
        </w:rPr>
        <w:t>population.</w:t>
      </w:r>
      <w:r>
        <w:rPr>
          <w:color w:val="4D4D4F"/>
          <w:sz w:val="16"/>
        </w:rPr>
        <w:tab/>
      </w:r>
      <w:r>
        <w:rPr>
          <w:rFonts w:ascii="Century Gothic"/>
          <w:i/>
          <w:color w:val="4D4D4F"/>
          <w:w w:val="90"/>
          <w:sz w:val="12"/>
        </w:rPr>
        <w:t>Source:</w:t>
      </w:r>
      <w:r>
        <w:rPr>
          <w:rFonts w:ascii="Century Gothic"/>
          <w:i/>
          <w:color w:val="4D4D4F"/>
          <w:spacing w:val="1"/>
          <w:w w:val="90"/>
          <w:sz w:val="12"/>
        </w:rPr>
        <w:t xml:space="preserve"> </w:t>
      </w:r>
      <w:r>
        <w:rPr>
          <w:rFonts w:ascii="Century Gothic"/>
          <w:i/>
          <w:color w:val="4D4D4F"/>
          <w:spacing w:val="-5"/>
          <w:w w:val="90"/>
          <w:sz w:val="12"/>
        </w:rPr>
        <w:t>DELWP</w:t>
      </w:r>
    </w:p>
    <w:p w14:paraId="7DC7882A" w14:textId="77777777" w:rsidR="00EF5B27" w:rsidRDefault="00EF5B27">
      <w:pPr>
        <w:pStyle w:val="BodyText"/>
        <w:spacing w:before="1" w:after="1"/>
        <w:rPr>
          <w:rFonts w:ascii="Century Gothic"/>
          <w:i/>
          <w:sz w:val="10"/>
        </w:rPr>
      </w:pPr>
    </w:p>
    <w:tbl>
      <w:tblPr>
        <w:tblW w:w="0" w:type="auto"/>
        <w:tblInd w:w="261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891"/>
        <w:gridCol w:w="1417"/>
        <w:gridCol w:w="1417"/>
        <w:gridCol w:w="1417"/>
      </w:tblGrid>
      <w:tr w:rsidR="00EF5B27" w14:paraId="70F17EC7" w14:textId="77777777">
        <w:trPr>
          <w:trHeight w:val="448"/>
        </w:trPr>
        <w:tc>
          <w:tcPr>
            <w:tcW w:w="2891" w:type="dxa"/>
            <w:shd w:val="clear" w:color="auto" w:fill="FECC91"/>
          </w:tcPr>
          <w:p w14:paraId="6ABFA6F2" w14:textId="77777777" w:rsidR="00EF5B27" w:rsidRDefault="00000000">
            <w:pPr>
              <w:pStyle w:val="TableParagraph"/>
              <w:spacing w:before="134"/>
              <w:ind w:left="80"/>
              <w:rPr>
                <w:b/>
                <w:sz w:val="16"/>
              </w:rPr>
            </w:pPr>
            <w:r>
              <w:rPr>
                <w:b/>
                <w:w w:val="105"/>
                <w:sz w:val="16"/>
              </w:rPr>
              <w:t>Site</w:t>
            </w:r>
          </w:p>
        </w:tc>
        <w:tc>
          <w:tcPr>
            <w:tcW w:w="4251" w:type="dxa"/>
            <w:gridSpan w:val="3"/>
            <w:shd w:val="clear" w:color="auto" w:fill="FECC91"/>
          </w:tcPr>
          <w:p w14:paraId="55747D23" w14:textId="77777777" w:rsidR="00EF5B27" w:rsidRDefault="00000000">
            <w:pPr>
              <w:pStyle w:val="TableParagraph"/>
              <w:spacing w:before="134"/>
              <w:ind w:left="611"/>
              <w:rPr>
                <w:b/>
                <w:sz w:val="16"/>
              </w:rPr>
            </w:pPr>
            <w:r>
              <w:rPr>
                <w:b/>
                <w:sz w:val="16"/>
              </w:rPr>
              <w:t>Percentage of population formed by recruits</w:t>
            </w:r>
          </w:p>
        </w:tc>
      </w:tr>
      <w:tr w:rsidR="00EF5B27" w14:paraId="35A8DB45" w14:textId="77777777">
        <w:trPr>
          <w:trHeight w:val="448"/>
        </w:trPr>
        <w:tc>
          <w:tcPr>
            <w:tcW w:w="2891" w:type="dxa"/>
          </w:tcPr>
          <w:p w14:paraId="7B999B0A" w14:textId="77777777" w:rsidR="00EF5B27" w:rsidRDefault="00EF5B27">
            <w:pPr>
              <w:pStyle w:val="TableParagraph"/>
              <w:rPr>
                <w:rFonts w:ascii="Times New Roman"/>
                <w:sz w:val="18"/>
              </w:rPr>
            </w:pPr>
          </w:p>
        </w:tc>
        <w:tc>
          <w:tcPr>
            <w:tcW w:w="1417" w:type="dxa"/>
          </w:tcPr>
          <w:p w14:paraId="4EDDCD7C" w14:textId="77777777" w:rsidR="00EF5B27" w:rsidRDefault="00EF5B27">
            <w:pPr>
              <w:pStyle w:val="TableParagraph"/>
              <w:spacing w:before="10"/>
              <w:rPr>
                <w:rFonts w:ascii="Century Gothic"/>
                <w:i/>
                <w:sz w:val="11"/>
              </w:rPr>
            </w:pPr>
          </w:p>
          <w:p w14:paraId="2E20FBD1" w14:textId="77777777" w:rsidR="00EF5B27" w:rsidRDefault="00000000">
            <w:pPr>
              <w:pStyle w:val="TableParagraph"/>
              <w:ind w:left="471" w:right="471"/>
              <w:jc w:val="center"/>
              <w:rPr>
                <w:sz w:val="14"/>
              </w:rPr>
            </w:pPr>
            <w:r>
              <w:rPr>
                <w:color w:val="4D4D4F"/>
                <w:sz w:val="14"/>
              </w:rPr>
              <w:t>2019</w:t>
            </w:r>
          </w:p>
        </w:tc>
        <w:tc>
          <w:tcPr>
            <w:tcW w:w="1417" w:type="dxa"/>
          </w:tcPr>
          <w:p w14:paraId="42695EBC" w14:textId="77777777" w:rsidR="00EF5B27" w:rsidRDefault="00EF5B27">
            <w:pPr>
              <w:pStyle w:val="TableParagraph"/>
              <w:spacing w:before="10"/>
              <w:rPr>
                <w:rFonts w:ascii="Century Gothic"/>
                <w:i/>
                <w:sz w:val="11"/>
              </w:rPr>
            </w:pPr>
          </w:p>
          <w:p w14:paraId="5F643C05" w14:textId="77777777" w:rsidR="00EF5B27" w:rsidRDefault="00000000">
            <w:pPr>
              <w:pStyle w:val="TableParagraph"/>
              <w:ind w:left="566"/>
              <w:rPr>
                <w:sz w:val="14"/>
              </w:rPr>
            </w:pPr>
            <w:r>
              <w:rPr>
                <w:color w:val="4D4D4F"/>
                <w:sz w:val="14"/>
              </w:rPr>
              <w:t>2020</w:t>
            </w:r>
          </w:p>
        </w:tc>
        <w:tc>
          <w:tcPr>
            <w:tcW w:w="1417" w:type="dxa"/>
          </w:tcPr>
          <w:p w14:paraId="235F70F9" w14:textId="77777777" w:rsidR="00EF5B27" w:rsidRDefault="00EF5B27">
            <w:pPr>
              <w:pStyle w:val="TableParagraph"/>
              <w:spacing w:before="10"/>
              <w:rPr>
                <w:rFonts w:ascii="Century Gothic"/>
                <w:i/>
                <w:sz w:val="11"/>
              </w:rPr>
            </w:pPr>
          </w:p>
          <w:p w14:paraId="1F7DBC2D" w14:textId="77777777" w:rsidR="00EF5B27" w:rsidRDefault="00000000">
            <w:pPr>
              <w:pStyle w:val="TableParagraph"/>
              <w:ind w:right="561"/>
              <w:jc w:val="right"/>
              <w:rPr>
                <w:sz w:val="14"/>
              </w:rPr>
            </w:pPr>
            <w:r>
              <w:rPr>
                <w:color w:val="4D4D4F"/>
                <w:w w:val="95"/>
                <w:sz w:val="14"/>
              </w:rPr>
              <w:t>2021</w:t>
            </w:r>
          </w:p>
        </w:tc>
      </w:tr>
      <w:tr w:rsidR="00EF5B27" w14:paraId="234283BF" w14:textId="77777777">
        <w:trPr>
          <w:trHeight w:val="448"/>
        </w:trPr>
        <w:tc>
          <w:tcPr>
            <w:tcW w:w="2891" w:type="dxa"/>
          </w:tcPr>
          <w:p w14:paraId="29F0C680" w14:textId="77777777" w:rsidR="00EF5B27" w:rsidRDefault="00EF5B27">
            <w:pPr>
              <w:pStyle w:val="TableParagraph"/>
              <w:spacing w:before="10"/>
              <w:rPr>
                <w:rFonts w:ascii="Century Gothic"/>
                <w:i/>
                <w:sz w:val="11"/>
              </w:rPr>
            </w:pPr>
          </w:p>
          <w:p w14:paraId="14FBED93" w14:textId="77777777" w:rsidR="00EF5B27" w:rsidRDefault="00000000">
            <w:pPr>
              <w:pStyle w:val="TableParagraph"/>
              <w:ind w:left="80"/>
              <w:rPr>
                <w:sz w:val="14"/>
              </w:rPr>
            </w:pPr>
            <w:r>
              <w:rPr>
                <w:color w:val="4D4D4F"/>
                <w:sz w:val="14"/>
              </w:rPr>
              <w:t>Truganina Cemetery</w:t>
            </w:r>
          </w:p>
        </w:tc>
        <w:tc>
          <w:tcPr>
            <w:tcW w:w="1417" w:type="dxa"/>
          </w:tcPr>
          <w:p w14:paraId="1FD5E869" w14:textId="77777777" w:rsidR="00EF5B27" w:rsidRDefault="00EF5B27">
            <w:pPr>
              <w:pStyle w:val="TableParagraph"/>
              <w:spacing w:before="10"/>
              <w:rPr>
                <w:rFonts w:ascii="Century Gothic"/>
                <w:i/>
                <w:sz w:val="11"/>
              </w:rPr>
            </w:pPr>
          </w:p>
          <w:p w14:paraId="6C41CCF9" w14:textId="77777777" w:rsidR="00EF5B27" w:rsidRDefault="00000000">
            <w:pPr>
              <w:pStyle w:val="TableParagraph"/>
              <w:ind w:left="476" w:right="471"/>
              <w:jc w:val="center"/>
              <w:rPr>
                <w:sz w:val="14"/>
              </w:rPr>
            </w:pPr>
            <w:r>
              <w:rPr>
                <w:color w:val="4D4D4F"/>
                <w:sz w:val="14"/>
              </w:rPr>
              <w:t>(4/965)</w:t>
            </w:r>
          </w:p>
        </w:tc>
        <w:tc>
          <w:tcPr>
            <w:tcW w:w="1417" w:type="dxa"/>
          </w:tcPr>
          <w:p w14:paraId="33615B94" w14:textId="77777777" w:rsidR="00EF5B27" w:rsidRDefault="00EF5B27">
            <w:pPr>
              <w:pStyle w:val="TableParagraph"/>
              <w:spacing w:before="10"/>
              <w:rPr>
                <w:rFonts w:ascii="Century Gothic"/>
                <w:i/>
                <w:sz w:val="11"/>
              </w:rPr>
            </w:pPr>
          </w:p>
          <w:p w14:paraId="3902FEA1" w14:textId="77777777" w:rsidR="00EF5B27" w:rsidRDefault="00000000">
            <w:pPr>
              <w:pStyle w:val="TableParagraph"/>
              <w:ind w:left="598"/>
              <w:rPr>
                <w:sz w:val="14"/>
              </w:rPr>
            </w:pPr>
            <w:r>
              <w:rPr>
                <w:color w:val="4D4D4F"/>
                <w:w w:val="105"/>
                <w:sz w:val="14"/>
              </w:rPr>
              <w:t>N/A</w:t>
            </w:r>
          </w:p>
        </w:tc>
        <w:tc>
          <w:tcPr>
            <w:tcW w:w="1417" w:type="dxa"/>
          </w:tcPr>
          <w:p w14:paraId="42EF335D" w14:textId="77777777" w:rsidR="00EF5B27" w:rsidRDefault="00EF5B27">
            <w:pPr>
              <w:pStyle w:val="TableParagraph"/>
              <w:spacing w:before="10"/>
              <w:rPr>
                <w:rFonts w:ascii="Century Gothic"/>
                <w:i/>
                <w:sz w:val="11"/>
              </w:rPr>
            </w:pPr>
          </w:p>
          <w:p w14:paraId="6D925E8F" w14:textId="77777777" w:rsidR="00EF5B27" w:rsidRDefault="00000000">
            <w:pPr>
              <w:pStyle w:val="TableParagraph"/>
              <w:ind w:right="490"/>
              <w:jc w:val="right"/>
              <w:rPr>
                <w:sz w:val="14"/>
              </w:rPr>
            </w:pPr>
            <w:r>
              <w:rPr>
                <w:color w:val="4D4D4F"/>
                <w:sz w:val="14"/>
              </w:rPr>
              <w:t>(0/998)</w:t>
            </w:r>
          </w:p>
        </w:tc>
      </w:tr>
      <w:tr w:rsidR="00EF5B27" w14:paraId="6A7FC779" w14:textId="77777777">
        <w:trPr>
          <w:trHeight w:val="448"/>
        </w:trPr>
        <w:tc>
          <w:tcPr>
            <w:tcW w:w="2891" w:type="dxa"/>
          </w:tcPr>
          <w:p w14:paraId="49C4EA29" w14:textId="77777777" w:rsidR="00EF5B27" w:rsidRDefault="00EF5B27">
            <w:pPr>
              <w:pStyle w:val="TableParagraph"/>
              <w:spacing w:before="10"/>
              <w:rPr>
                <w:rFonts w:ascii="Century Gothic"/>
                <w:i/>
                <w:sz w:val="11"/>
              </w:rPr>
            </w:pPr>
          </w:p>
          <w:p w14:paraId="22581471" w14:textId="77777777" w:rsidR="00EF5B27" w:rsidRDefault="00000000">
            <w:pPr>
              <w:pStyle w:val="TableParagraph"/>
              <w:ind w:left="80"/>
              <w:rPr>
                <w:sz w:val="14"/>
              </w:rPr>
            </w:pPr>
            <w:r>
              <w:rPr>
                <w:color w:val="4D4D4F"/>
                <w:sz w:val="14"/>
              </w:rPr>
              <w:t>Radio (WGR)</w:t>
            </w:r>
          </w:p>
        </w:tc>
        <w:tc>
          <w:tcPr>
            <w:tcW w:w="1417" w:type="dxa"/>
          </w:tcPr>
          <w:p w14:paraId="2814FBF5" w14:textId="77777777" w:rsidR="00EF5B27" w:rsidRDefault="00EF5B27">
            <w:pPr>
              <w:pStyle w:val="TableParagraph"/>
              <w:spacing w:before="10"/>
              <w:rPr>
                <w:rFonts w:ascii="Century Gothic"/>
                <w:i/>
                <w:sz w:val="11"/>
              </w:rPr>
            </w:pPr>
          </w:p>
          <w:p w14:paraId="4812B5BA" w14:textId="77777777" w:rsidR="00EF5B27" w:rsidRDefault="00000000">
            <w:pPr>
              <w:pStyle w:val="TableParagraph"/>
              <w:ind w:left="477" w:right="471"/>
              <w:jc w:val="center"/>
              <w:rPr>
                <w:sz w:val="14"/>
              </w:rPr>
            </w:pPr>
            <w:r>
              <w:rPr>
                <w:color w:val="4D4D4F"/>
                <w:sz w:val="14"/>
              </w:rPr>
              <w:t>(0/202)</w:t>
            </w:r>
          </w:p>
        </w:tc>
        <w:tc>
          <w:tcPr>
            <w:tcW w:w="1417" w:type="dxa"/>
          </w:tcPr>
          <w:p w14:paraId="10D2849A" w14:textId="77777777" w:rsidR="00EF5B27" w:rsidRDefault="00EF5B27">
            <w:pPr>
              <w:pStyle w:val="TableParagraph"/>
              <w:spacing w:before="10"/>
              <w:rPr>
                <w:rFonts w:ascii="Century Gothic"/>
                <w:i/>
                <w:sz w:val="11"/>
              </w:rPr>
            </w:pPr>
          </w:p>
          <w:p w14:paraId="7735CE3A" w14:textId="77777777" w:rsidR="00EF5B27" w:rsidRDefault="00000000">
            <w:pPr>
              <w:pStyle w:val="TableParagraph"/>
              <w:ind w:left="598"/>
              <w:rPr>
                <w:sz w:val="14"/>
              </w:rPr>
            </w:pPr>
            <w:r>
              <w:rPr>
                <w:color w:val="4D4D4F"/>
                <w:w w:val="105"/>
                <w:sz w:val="14"/>
              </w:rPr>
              <w:t>N/A</w:t>
            </w:r>
          </w:p>
        </w:tc>
        <w:tc>
          <w:tcPr>
            <w:tcW w:w="1417" w:type="dxa"/>
          </w:tcPr>
          <w:p w14:paraId="66356F72" w14:textId="77777777" w:rsidR="00EF5B27" w:rsidRDefault="00EF5B27">
            <w:pPr>
              <w:pStyle w:val="TableParagraph"/>
              <w:spacing w:before="10"/>
              <w:rPr>
                <w:rFonts w:ascii="Century Gothic"/>
                <w:i/>
                <w:sz w:val="11"/>
              </w:rPr>
            </w:pPr>
          </w:p>
          <w:p w14:paraId="2B01434E" w14:textId="77777777" w:rsidR="00EF5B27" w:rsidRDefault="00000000">
            <w:pPr>
              <w:pStyle w:val="TableParagraph"/>
              <w:ind w:right="489"/>
              <w:jc w:val="right"/>
              <w:rPr>
                <w:sz w:val="14"/>
              </w:rPr>
            </w:pPr>
            <w:r>
              <w:rPr>
                <w:color w:val="4D4D4F"/>
                <w:sz w:val="14"/>
              </w:rPr>
              <w:t>(0/204)</w:t>
            </w:r>
          </w:p>
        </w:tc>
      </w:tr>
    </w:tbl>
    <w:p w14:paraId="43145961" w14:textId="77777777" w:rsidR="00EF5B27" w:rsidRDefault="00EF5B27">
      <w:pPr>
        <w:pStyle w:val="BodyText"/>
        <w:rPr>
          <w:rFonts w:ascii="Century Gothic"/>
          <w:i/>
        </w:rPr>
      </w:pPr>
    </w:p>
    <w:p w14:paraId="7EB5B1B4" w14:textId="77777777" w:rsidR="00EF5B27" w:rsidRDefault="00000000">
      <w:pPr>
        <w:pStyle w:val="Heading3"/>
        <w:spacing w:before="160"/>
      </w:pPr>
      <w:r>
        <w:rPr>
          <w:color w:val="F99F2A"/>
        </w:rPr>
        <w:t>Results interpretation</w:t>
      </w:r>
    </w:p>
    <w:p w14:paraId="1B6F53EF" w14:textId="77777777" w:rsidR="00EF5B27" w:rsidRDefault="00000000">
      <w:pPr>
        <w:pStyle w:val="BodyText"/>
        <w:spacing w:before="221" w:line="254" w:lineRule="auto"/>
        <w:ind w:left="2608"/>
      </w:pPr>
      <w:r>
        <w:rPr>
          <w:color w:val="4D4D4F"/>
        </w:rPr>
        <w:t>Preliminary results indicate that Spiny Rice-flower populations are stable, with low mortality of adult plants and despite a low level of recruitment. After two years of monitoring, no year has yet seen recruits make up more than 2% of plants. Generally, stability is expected for this species in the long term, according to DELWP, if some recruitment is observed.</w:t>
      </w:r>
    </w:p>
    <w:p w14:paraId="18F3AFF3" w14:textId="77777777" w:rsidR="00EF5B27" w:rsidRDefault="00000000">
      <w:pPr>
        <w:pStyle w:val="BodyText"/>
        <w:spacing w:before="119" w:line="254" w:lineRule="auto"/>
        <w:ind w:left="2608" w:right="212"/>
      </w:pPr>
      <w:r>
        <w:rPr>
          <w:color w:val="4D4D4F"/>
        </w:rPr>
        <w:t>Nine hundred and sixty-five plants were recorded at Truganina Cemetery in 2019 and 998 plants in 2020. Two hundred and two plants were recorded at ‘Radio’ in 2019, 204 in 2021. The slight increase in plants between 2019 and 2021 is mostly due to new discoveries of previously undetected adult plants, rather than new recruits (n=12 at Truganina, 0 at Radio).</w:t>
      </w:r>
    </w:p>
    <w:p w14:paraId="57B1B2A0" w14:textId="77777777" w:rsidR="00EF5B27" w:rsidRDefault="00000000">
      <w:pPr>
        <w:pStyle w:val="BodyText"/>
        <w:spacing w:before="120" w:line="254" w:lineRule="auto"/>
        <w:ind w:left="2608" w:right="465"/>
      </w:pPr>
      <w:r>
        <w:rPr>
          <w:color w:val="4D4D4F"/>
        </w:rPr>
        <w:t>Spiny Rice-flower is believed to be a long-lived species (possibly &gt;100 years). According to DELWP, the Recovery Team has indicated it would be expected that a recruitment ‘pulse’ (an upturn event) would be experienced every 10 or so years.</w:t>
      </w:r>
    </w:p>
    <w:p w14:paraId="571E8A8D" w14:textId="77777777" w:rsidR="00EF5B27" w:rsidRDefault="00EF5B27">
      <w:pPr>
        <w:spacing w:line="254" w:lineRule="auto"/>
        <w:sectPr w:rsidR="00EF5B27">
          <w:pgSz w:w="11910" w:h="16840"/>
          <w:pgMar w:top="1080" w:right="1020" w:bottom="860" w:left="1020" w:header="537" w:footer="678" w:gutter="0"/>
          <w:cols w:space="720"/>
        </w:sectPr>
      </w:pPr>
    </w:p>
    <w:p w14:paraId="49B628AD" w14:textId="77777777" w:rsidR="00EF5B27" w:rsidRDefault="00000000">
      <w:pPr>
        <w:pStyle w:val="BodyText"/>
      </w:pPr>
      <w:r>
        <w:lastRenderedPageBreak/>
        <w:pict w14:anchorId="08B5D7EB">
          <v:group id="_x0000_s2986" style="position:absolute;margin-left:587.05pt;margin-top:183.4pt;width:8.25pt;height:153.1pt;z-index:251658752;mso-position-horizontal-relative:page;mso-position-vertical-relative:page" coordorigin="11741,3668" coordsize="165,3062">
            <v:shape id="_x0000_s2993" style="position:absolute;left:11741;top:3668;width:165;height:561" coordorigin="11741,3668" coordsize="165,561" path="m11906,3668r-165,l11741,4228r165,-18l11906,3668xe" fillcolor="#00aed9" stroked="f">
              <v:path arrowok="t"/>
            </v:shape>
            <v:shape id="_x0000_s2992" style="position:absolute;left:11741;top:4118;width:165;height:425" coordorigin="11741,4118" coordsize="165,425" path="m11906,4118r-165,14l11741,4531r165,12l11906,4118xe" fillcolor="#047ebc" stroked="f">
              <v:path arrowok="t"/>
            </v:shape>
            <v:shape id="_x0000_s2991" type="#_x0000_t75" style="position:absolute;left:11741;top:4355;width:165;height:587">
              <v:imagedata r:id="rId42" o:title=""/>
            </v:shape>
            <v:shape id="_x0000_s2990" style="position:absolute;left:11741;top:5343;width:165;height:536" coordorigin="11741,5343" coordsize="165,536" path="m11741,5343r,535l11906,5872r,-525l11741,5343xe" fillcolor="#f36a2e" stroked="f">
              <v:path arrowok="t"/>
            </v:shape>
            <v:shape id="_x0000_s2989" style="position:absolute;left:11741;top:4925;width:165;height:501" coordorigin="11741,4926" coordsize="165,501" path="m11741,4926r,500l11906,5426r,-485l11741,4926xe" fillcolor="#49783f" stroked="f">
              <v:path arrowok="t"/>
            </v:shape>
            <v:shape id="_x0000_s2988" style="position:absolute;left:11741;top:5781;width:165;height:268" coordorigin="11741,5782" coordsize="165,268" path="m11906,5782r-165,8l11741,6039r165,10l11906,5782xe" fillcolor="#f99f2a" stroked="f">
              <v:path arrowok="t"/>
            </v:shape>
            <v:shape id="_x0000_s2987" style="position:absolute;left:11741;top:6023;width:165;height:707" coordorigin="11741,6023" coordsize="165,707" path="m11741,6023r,706l11906,6729r,-690l11741,6023xe" fillcolor="#ef412c" stroked="f">
              <v:path arrowok="t"/>
            </v:shape>
            <w10:wrap anchorx="page" anchory="page"/>
          </v:group>
        </w:pict>
      </w:r>
    </w:p>
    <w:p w14:paraId="6C434C70" w14:textId="77777777" w:rsidR="00EF5B27" w:rsidRDefault="00EF5B27">
      <w:pPr>
        <w:pStyle w:val="BodyText"/>
      </w:pPr>
    </w:p>
    <w:p w14:paraId="6CD84B7D" w14:textId="77777777" w:rsidR="00EF5B27" w:rsidRDefault="00EF5B27">
      <w:pPr>
        <w:pStyle w:val="BodyText"/>
      </w:pPr>
    </w:p>
    <w:p w14:paraId="40D4DC57" w14:textId="77777777" w:rsidR="00EF5B27" w:rsidRDefault="00EF5B27">
      <w:pPr>
        <w:pStyle w:val="BodyText"/>
        <w:spacing w:before="4"/>
        <w:rPr>
          <w:sz w:val="25"/>
        </w:rPr>
      </w:pPr>
    </w:p>
    <w:p w14:paraId="4115DF08" w14:textId="77777777" w:rsidR="00EF5B27" w:rsidRDefault="00000000">
      <w:pPr>
        <w:pStyle w:val="BodyText"/>
        <w:spacing w:before="100" w:line="254" w:lineRule="auto"/>
        <w:ind w:left="2608" w:right="274"/>
      </w:pPr>
      <w:r>
        <w:rPr>
          <w:color w:val="4D4D4F"/>
        </w:rPr>
        <w:t xml:space="preserve">Given 2021 was a very wet spring, with </w:t>
      </w:r>
      <w:r>
        <w:rPr>
          <w:color w:val="4D4D4F"/>
          <w:spacing w:val="-3"/>
        </w:rPr>
        <w:t xml:space="preserve">mild </w:t>
      </w:r>
      <w:r>
        <w:rPr>
          <w:color w:val="4D4D4F"/>
        </w:rPr>
        <w:t xml:space="preserve">humid conditions, DELWP had expected  to see a recruitment pulse event in that </w:t>
      </w:r>
      <w:r>
        <w:rPr>
          <w:color w:val="4D4D4F"/>
          <w:spacing w:val="-4"/>
        </w:rPr>
        <w:t xml:space="preserve">year. </w:t>
      </w:r>
      <w:r>
        <w:rPr>
          <w:color w:val="4D4D4F"/>
        </w:rPr>
        <w:t xml:space="preserve">The lack of an observed pulse may be of concern, according to </w:t>
      </w:r>
      <w:r>
        <w:rPr>
          <w:color w:val="4D4D4F"/>
          <w:spacing w:val="-4"/>
        </w:rPr>
        <w:t xml:space="preserve">DELWP, </w:t>
      </w:r>
      <w:r>
        <w:rPr>
          <w:color w:val="4D4D4F"/>
        </w:rPr>
        <w:t>but this is not certain, and DELWP awaits advice from the Recovery</w:t>
      </w:r>
      <w:r>
        <w:rPr>
          <w:color w:val="4D4D4F"/>
          <w:spacing w:val="8"/>
        </w:rPr>
        <w:t xml:space="preserve"> </w:t>
      </w:r>
      <w:r>
        <w:rPr>
          <w:color w:val="4D4D4F"/>
          <w:spacing w:val="-3"/>
        </w:rPr>
        <w:t>Team.</w:t>
      </w:r>
    </w:p>
    <w:p w14:paraId="7F19FF2F" w14:textId="77777777" w:rsidR="00EF5B27" w:rsidRDefault="00EF5B27">
      <w:pPr>
        <w:pStyle w:val="BodyText"/>
        <w:spacing w:before="4"/>
        <w:rPr>
          <w:sz w:val="19"/>
        </w:rPr>
      </w:pPr>
    </w:p>
    <w:p w14:paraId="235FA0A4" w14:textId="77777777" w:rsidR="00EF5B27" w:rsidRDefault="00000000">
      <w:pPr>
        <w:pStyle w:val="Heading3"/>
      </w:pPr>
      <w:r>
        <w:rPr>
          <w:color w:val="F99F2A"/>
        </w:rPr>
        <w:t>Key insights and management implications</w:t>
      </w:r>
    </w:p>
    <w:p w14:paraId="26A28314" w14:textId="77777777" w:rsidR="00EF5B27" w:rsidRDefault="00000000">
      <w:pPr>
        <w:pStyle w:val="BodyText"/>
        <w:spacing w:before="221" w:line="254" w:lineRule="auto"/>
        <w:ind w:left="2608" w:right="140"/>
        <w:jc w:val="both"/>
        <w:rPr>
          <w:sz w:val="11"/>
        </w:rPr>
      </w:pPr>
      <w:r>
        <w:rPr>
          <w:color w:val="4D4D4F"/>
        </w:rPr>
        <w:t>DELWP consulted the official Pimelea Recovery Team in the design of the KPIs for this species. Of all the plant species under MSA management, it is the one that has had the most formal consultation.</w:t>
      </w:r>
      <w:r>
        <w:rPr>
          <w:color w:val="4D4D4F"/>
          <w:position w:val="7"/>
          <w:sz w:val="11"/>
        </w:rPr>
        <w:t>198</w:t>
      </w:r>
    </w:p>
    <w:p w14:paraId="438B6564" w14:textId="77777777" w:rsidR="00EF5B27" w:rsidRDefault="00000000">
      <w:pPr>
        <w:pStyle w:val="BodyText"/>
        <w:spacing w:before="117" w:line="254" w:lineRule="auto"/>
        <w:ind w:left="2608"/>
        <w:rPr>
          <w:sz w:val="11"/>
        </w:rPr>
      </w:pPr>
      <w:r>
        <w:rPr>
          <w:color w:val="4D4D4F"/>
        </w:rPr>
        <w:t>This species requires a lot of effort to monitor, with it taking longer to count compared with other species, according to DELWP.</w:t>
      </w:r>
      <w:r>
        <w:rPr>
          <w:color w:val="4D4D4F"/>
          <w:position w:val="7"/>
          <w:sz w:val="11"/>
        </w:rPr>
        <w:t>199</w:t>
      </w:r>
    </w:p>
    <w:p w14:paraId="55BD7FF9" w14:textId="77777777" w:rsidR="00EF5B27" w:rsidRDefault="00000000">
      <w:pPr>
        <w:pStyle w:val="BodyText"/>
        <w:spacing w:before="116" w:line="254" w:lineRule="auto"/>
        <w:ind w:left="2608" w:right="124"/>
      </w:pPr>
      <w:r>
        <w:rPr>
          <w:color w:val="4D4D4F"/>
        </w:rPr>
        <w:t xml:space="preserve">DELWP indicates that </w:t>
      </w:r>
      <w:r>
        <w:rPr>
          <w:color w:val="4D4D4F"/>
          <w:spacing w:val="-3"/>
        </w:rPr>
        <w:t xml:space="preserve">initial </w:t>
      </w:r>
      <w:r>
        <w:rPr>
          <w:color w:val="4D4D4F"/>
        </w:rPr>
        <w:t xml:space="preserve">monitoring of </w:t>
      </w:r>
      <w:r>
        <w:rPr>
          <w:color w:val="4D4D4F"/>
          <w:spacing w:val="-3"/>
        </w:rPr>
        <w:t xml:space="preserve">this </w:t>
      </w:r>
      <w:r>
        <w:rPr>
          <w:color w:val="4D4D4F"/>
        </w:rPr>
        <w:t>species was not adequate with respect to the original KPI measuring population density.</w:t>
      </w:r>
      <w:r>
        <w:rPr>
          <w:color w:val="4D4D4F"/>
          <w:position w:val="7"/>
          <w:sz w:val="11"/>
        </w:rPr>
        <w:t xml:space="preserve">200 </w:t>
      </w:r>
      <w:r>
        <w:rPr>
          <w:color w:val="4D4D4F"/>
        </w:rPr>
        <w:t xml:space="preserve">It was assumed that the population of plants had two habits </w:t>
      </w:r>
      <w:r>
        <w:rPr>
          <w:color w:val="4D4D4F"/>
          <w:spacing w:val="-3"/>
        </w:rPr>
        <w:t xml:space="preserve">(relating </w:t>
      </w:r>
      <w:r>
        <w:rPr>
          <w:color w:val="4D4D4F"/>
        </w:rPr>
        <w:t xml:space="preserve">to plant spatial arrangement): either a big population in a </w:t>
      </w:r>
      <w:r>
        <w:rPr>
          <w:color w:val="4D4D4F"/>
          <w:spacing w:val="-3"/>
        </w:rPr>
        <w:t xml:space="preserve">small </w:t>
      </w:r>
      <w:r>
        <w:rPr>
          <w:color w:val="4D4D4F"/>
        </w:rPr>
        <w:t xml:space="preserve">area; or a few individual scattered plants. DELWP committed to monitoring the population, making sure the individuals were </w:t>
      </w:r>
      <w:r>
        <w:rPr>
          <w:color w:val="4D4D4F"/>
          <w:spacing w:val="-3"/>
        </w:rPr>
        <w:t xml:space="preserve">still </w:t>
      </w:r>
      <w:r>
        <w:rPr>
          <w:color w:val="4D4D4F"/>
        </w:rPr>
        <w:t xml:space="preserve">there each </w:t>
      </w:r>
      <w:r>
        <w:rPr>
          <w:color w:val="4D4D4F"/>
          <w:spacing w:val="-5"/>
        </w:rPr>
        <w:t xml:space="preserve">year. </w:t>
      </w:r>
      <w:r>
        <w:rPr>
          <w:color w:val="4D4D4F"/>
        </w:rPr>
        <w:t>DELWP subsequently discovered a large population which had clusters as well as scatters of plants and has since redesigned the monitoring</w:t>
      </w:r>
      <w:r>
        <w:rPr>
          <w:color w:val="4D4D4F"/>
          <w:spacing w:val="6"/>
        </w:rPr>
        <w:t xml:space="preserve"> </w:t>
      </w:r>
      <w:r>
        <w:rPr>
          <w:color w:val="4D4D4F"/>
        </w:rPr>
        <w:t>protocol.</w:t>
      </w:r>
    </w:p>
    <w:p w14:paraId="61E35AB5" w14:textId="77777777" w:rsidR="00EF5B27" w:rsidRDefault="00000000">
      <w:pPr>
        <w:pStyle w:val="BodyText"/>
        <w:spacing w:before="122" w:line="254" w:lineRule="auto"/>
        <w:ind w:left="2608" w:right="139"/>
      </w:pPr>
      <w:r>
        <w:rPr>
          <w:color w:val="4D4D4F"/>
        </w:rPr>
        <w:t xml:space="preserve">When DELWP </w:t>
      </w:r>
      <w:r>
        <w:rPr>
          <w:color w:val="4D4D4F"/>
          <w:spacing w:val="-3"/>
        </w:rPr>
        <w:t xml:space="preserve">implemented </w:t>
      </w:r>
      <w:r>
        <w:rPr>
          <w:color w:val="4D4D4F"/>
        </w:rPr>
        <w:t xml:space="preserve">its original monitoring protocol, it sampled </w:t>
      </w:r>
      <w:r>
        <w:rPr>
          <w:color w:val="4D4D4F"/>
          <w:spacing w:val="-3"/>
        </w:rPr>
        <w:t xml:space="preserve">only </w:t>
      </w:r>
      <w:r>
        <w:rPr>
          <w:color w:val="4D4D4F"/>
          <w:spacing w:val="-6"/>
        </w:rPr>
        <w:t xml:space="preserve">1% </w:t>
      </w:r>
      <w:r>
        <w:rPr>
          <w:color w:val="4D4D4F"/>
        </w:rPr>
        <w:t>to 2% of the actual population in the plot.</w:t>
      </w:r>
      <w:r>
        <w:rPr>
          <w:color w:val="4D4D4F"/>
          <w:position w:val="7"/>
          <w:sz w:val="11"/>
        </w:rPr>
        <w:t xml:space="preserve">201 </w:t>
      </w:r>
      <w:r>
        <w:rPr>
          <w:color w:val="4D4D4F"/>
        </w:rPr>
        <w:t xml:space="preserve">This was due to the </w:t>
      </w:r>
      <w:r>
        <w:rPr>
          <w:color w:val="4D4D4F"/>
          <w:spacing w:val="-3"/>
        </w:rPr>
        <w:t xml:space="preserve">size </w:t>
      </w:r>
      <w:r>
        <w:rPr>
          <w:color w:val="4D4D4F"/>
        </w:rPr>
        <w:t xml:space="preserve">of the plots in </w:t>
      </w:r>
      <w:r>
        <w:rPr>
          <w:color w:val="4D4D4F"/>
          <w:spacing w:val="-3"/>
        </w:rPr>
        <w:t xml:space="preserve">their </w:t>
      </w:r>
      <w:r>
        <w:rPr>
          <w:color w:val="4D4D4F"/>
        </w:rPr>
        <w:t>existing monitoring</w:t>
      </w:r>
      <w:r>
        <w:rPr>
          <w:color w:val="4D4D4F"/>
          <w:spacing w:val="-6"/>
        </w:rPr>
        <w:t xml:space="preserve"> </w:t>
      </w:r>
      <w:r>
        <w:rPr>
          <w:color w:val="4D4D4F"/>
        </w:rPr>
        <w:t>protocol</w:t>
      </w:r>
      <w:r>
        <w:rPr>
          <w:color w:val="4D4D4F"/>
          <w:spacing w:val="-6"/>
        </w:rPr>
        <w:t xml:space="preserve"> </w:t>
      </w:r>
      <w:r>
        <w:rPr>
          <w:color w:val="4D4D4F"/>
        </w:rPr>
        <w:t>being</w:t>
      </w:r>
      <w:r>
        <w:rPr>
          <w:color w:val="4D4D4F"/>
          <w:spacing w:val="-6"/>
        </w:rPr>
        <w:t xml:space="preserve"> </w:t>
      </w:r>
      <w:r>
        <w:rPr>
          <w:color w:val="4D4D4F"/>
        </w:rPr>
        <w:t>too</w:t>
      </w:r>
      <w:r>
        <w:rPr>
          <w:color w:val="4D4D4F"/>
          <w:spacing w:val="-6"/>
        </w:rPr>
        <w:t xml:space="preserve"> </w:t>
      </w:r>
      <w:r>
        <w:rPr>
          <w:color w:val="4D4D4F"/>
          <w:spacing w:val="-3"/>
        </w:rPr>
        <w:t>small</w:t>
      </w:r>
      <w:r>
        <w:rPr>
          <w:color w:val="4D4D4F"/>
          <w:spacing w:val="-6"/>
        </w:rPr>
        <w:t xml:space="preserve"> </w:t>
      </w:r>
      <w:r>
        <w:rPr>
          <w:color w:val="4D4D4F"/>
        </w:rPr>
        <w:t>to</w:t>
      </w:r>
      <w:r>
        <w:rPr>
          <w:color w:val="4D4D4F"/>
          <w:spacing w:val="-6"/>
        </w:rPr>
        <w:t xml:space="preserve"> </w:t>
      </w:r>
      <w:r>
        <w:rPr>
          <w:color w:val="4D4D4F"/>
        </w:rPr>
        <w:t>cover</w:t>
      </w:r>
      <w:r>
        <w:rPr>
          <w:color w:val="4D4D4F"/>
          <w:spacing w:val="-5"/>
        </w:rPr>
        <w:t xml:space="preserve"> </w:t>
      </w:r>
      <w:r>
        <w:rPr>
          <w:color w:val="4D4D4F"/>
        </w:rPr>
        <w:t>the</w:t>
      </w:r>
      <w:r>
        <w:rPr>
          <w:color w:val="4D4D4F"/>
          <w:spacing w:val="-6"/>
        </w:rPr>
        <w:t xml:space="preserve"> </w:t>
      </w:r>
      <w:r>
        <w:rPr>
          <w:color w:val="4D4D4F"/>
        </w:rPr>
        <w:t>patterning</w:t>
      </w:r>
      <w:r>
        <w:rPr>
          <w:color w:val="4D4D4F"/>
          <w:spacing w:val="-6"/>
        </w:rPr>
        <w:t xml:space="preserve"> </w:t>
      </w:r>
      <w:r>
        <w:rPr>
          <w:color w:val="4D4D4F"/>
        </w:rPr>
        <w:t>of</w:t>
      </w:r>
      <w:r>
        <w:rPr>
          <w:color w:val="4D4D4F"/>
          <w:spacing w:val="-6"/>
        </w:rPr>
        <w:t xml:space="preserve"> </w:t>
      </w:r>
      <w:r>
        <w:rPr>
          <w:color w:val="4D4D4F"/>
        </w:rPr>
        <w:t>the</w:t>
      </w:r>
      <w:r>
        <w:rPr>
          <w:color w:val="4D4D4F"/>
          <w:spacing w:val="-6"/>
        </w:rPr>
        <w:t xml:space="preserve"> </w:t>
      </w:r>
      <w:r>
        <w:rPr>
          <w:color w:val="4D4D4F"/>
        </w:rPr>
        <w:t>population;</w:t>
      </w:r>
      <w:r>
        <w:rPr>
          <w:color w:val="4D4D4F"/>
          <w:spacing w:val="-6"/>
        </w:rPr>
        <w:t xml:space="preserve"> </w:t>
      </w:r>
      <w:r>
        <w:rPr>
          <w:color w:val="4D4D4F"/>
        </w:rPr>
        <w:t>5</w:t>
      </w:r>
      <w:r>
        <w:rPr>
          <w:color w:val="4D4D4F"/>
          <w:spacing w:val="-6"/>
        </w:rPr>
        <w:t xml:space="preserve"> </w:t>
      </w:r>
      <w:r>
        <w:rPr>
          <w:color w:val="4D4D4F"/>
        </w:rPr>
        <w:t>m</w:t>
      </w:r>
      <w:r>
        <w:rPr>
          <w:color w:val="4D4D4F"/>
          <w:spacing w:val="-5"/>
        </w:rPr>
        <w:t xml:space="preserve"> </w:t>
      </w:r>
      <w:r>
        <w:rPr>
          <w:color w:val="4D4D4F"/>
        </w:rPr>
        <w:t xml:space="preserve">plots didn't adequately cover the distribution and therefore the full population </w:t>
      </w:r>
      <w:r>
        <w:rPr>
          <w:color w:val="4D4D4F"/>
          <w:spacing w:val="-3"/>
        </w:rPr>
        <w:t xml:space="preserve">wasn’t </w:t>
      </w:r>
      <w:r>
        <w:rPr>
          <w:color w:val="4D4D4F"/>
        </w:rPr>
        <w:t xml:space="preserve">being captured. Plots have now been increased to 20 x 20 m, and every plant </w:t>
      </w:r>
      <w:r>
        <w:rPr>
          <w:color w:val="4D4D4F"/>
          <w:spacing w:val="-2"/>
        </w:rPr>
        <w:t xml:space="preserve">within </w:t>
      </w:r>
      <w:r>
        <w:rPr>
          <w:color w:val="4D4D4F"/>
        </w:rPr>
        <w:t xml:space="preserve">them is marked </w:t>
      </w:r>
      <w:r>
        <w:rPr>
          <w:color w:val="4D4D4F"/>
          <w:spacing w:val="-3"/>
        </w:rPr>
        <w:t xml:space="preserve">using </w:t>
      </w:r>
      <w:r>
        <w:rPr>
          <w:color w:val="4D4D4F"/>
          <w:spacing w:val="-7"/>
        </w:rPr>
        <w:t xml:space="preserve">X-Y </w:t>
      </w:r>
      <w:r>
        <w:rPr>
          <w:color w:val="4D4D4F"/>
        </w:rPr>
        <w:t xml:space="preserve">coordinates </w:t>
      </w:r>
      <w:r>
        <w:rPr>
          <w:color w:val="4D4D4F"/>
          <w:spacing w:val="-3"/>
        </w:rPr>
        <w:t xml:space="preserve">(which </w:t>
      </w:r>
      <w:r>
        <w:rPr>
          <w:color w:val="4D4D4F"/>
        </w:rPr>
        <w:t xml:space="preserve">are </w:t>
      </w:r>
      <w:r>
        <w:rPr>
          <w:color w:val="4D4D4F"/>
          <w:spacing w:val="-3"/>
        </w:rPr>
        <w:t xml:space="preserve">linked </w:t>
      </w:r>
      <w:r>
        <w:rPr>
          <w:color w:val="4D4D4F"/>
        </w:rPr>
        <w:t xml:space="preserve">to grassland </w:t>
      </w:r>
      <w:r>
        <w:rPr>
          <w:color w:val="4D4D4F"/>
          <w:spacing w:val="-3"/>
        </w:rPr>
        <w:t xml:space="preserve">data) </w:t>
      </w:r>
      <w:r>
        <w:rPr>
          <w:color w:val="4D4D4F"/>
        </w:rPr>
        <w:t xml:space="preserve">and sampled each year as part of a census. This allows DELWP to locate the cluster in subsequent years,  as well as providing opportunity to analyse spatial trends in the data. Scattered plants are now de-emphasised under the new monitoring protocol and are numerically of no consequence to the results. </w:t>
      </w:r>
      <w:r>
        <w:rPr>
          <w:color w:val="4D4D4F"/>
          <w:spacing w:val="-3"/>
        </w:rPr>
        <w:t xml:space="preserve">Consequently, </w:t>
      </w:r>
      <w:r>
        <w:rPr>
          <w:color w:val="4D4D4F"/>
        </w:rPr>
        <w:t>DELWP reset the monitoring program under the</w:t>
      </w:r>
      <w:r>
        <w:rPr>
          <w:color w:val="4D4D4F"/>
          <w:spacing w:val="-5"/>
        </w:rPr>
        <w:t xml:space="preserve"> </w:t>
      </w:r>
      <w:r>
        <w:rPr>
          <w:color w:val="4D4D4F"/>
        </w:rPr>
        <w:t>new</w:t>
      </w:r>
      <w:r>
        <w:rPr>
          <w:color w:val="4D4D4F"/>
          <w:spacing w:val="-4"/>
        </w:rPr>
        <w:t xml:space="preserve"> </w:t>
      </w:r>
      <w:r>
        <w:rPr>
          <w:color w:val="4D4D4F"/>
        </w:rPr>
        <w:t>protocol</w:t>
      </w:r>
      <w:r>
        <w:rPr>
          <w:color w:val="4D4D4F"/>
          <w:spacing w:val="-4"/>
        </w:rPr>
        <w:t xml:space="preserve"> </w:t>
      </w:r>
      <w:r>
        <w:rPr>
          <w:color w:val="4D4D4F"/>
        </w:rPr>
        <w:t>in</w:t>
      </w:r>
      <w:r>
        <w:rPr>
          <w:color w:val="4D4D4F"/>
          <w:spacing w:val="-4"/>
        </w:rPr>
        <w:t xml:space="preserve"> 2018, </w:t>
      </w:r>
      <w:r>
        <w:rPr>
          <w:color w:val="4D4D4F"/>
        </w:rPr>
        <w:t>with</w:t>
      </w:r>
      <w:r>
        <w:rPr>
          <w:color w:val="4D4D4F"/>
          <w:spacing w:val="-4"/>
        </w:rPr>
        <w:t xml:space="preserve"> </w:t>
      </w:r>
      <w:r>
        <w:rPr>
          <w:color w:val="4D4D4F"/>
        </w:rPr>
        <w:t>the</w:t>
      </w:r>
      <w:r>
        <w:rPr>
          <w:color w:val="4D4D4F"/>
          <w:spacing w:val="-5"/>
        </w:rPr>
        <w:t xml:space="preserve"> </w:t>
      </w:r>
      <w:r>
        <w:rPr>
          <w:color w:val="4D4D4F"/>
          <w:spacing w:val="-3"/>
        </w:rPr>
        <w:t>exclusion</w:t>
      </w:r>
      <w:r>
        <w:rPr>
          <w:color w:val="4D4D4F"/>
          <w:spacing w:val="-4"/>
        </w:rPr>
        <w:t xml:space="preserve"> </w:t>
      </w:r>
      <w:r>
        <w:rPr>
          <w:color w:val="4D4D4F"/>
        </w:rPr>
        <w:t>of</w:t>
      </w:r>
      <w:r>
        <w:rPr>
          <w:color w:val="4D4D4F"/>
          <w:spacing w:val="-4"/>
        </w:rPr>
        <w:t xml:space="preserve"> </w:t>
      </w:r>
      <w:r>
        <w:rPr>
          <w:color w:val="4D4D4F"/>
        </w:rPr>
        <w:t>previous</w:t>
      </w:r>
      <w:r>
        <w:rPr>
          <w:color w:val="4D4D4F"/>
          <w:spacing w:val="-4"/>
        </w:rPr>
        <w:t xml:space="preserve"> </w:t>
      </w:r>
      <w:r>
        <w:rPr>
          <w:color w:val="4D4D4F"/>
        </w:rPr>
        <w:t>years’</w:t>
      </w:r>
      <w:r>
        <w:rPr>
          <w:color w:val="4D4D4F"/>
          <w:spacing w:val="-4"/>
        </w:rPr>
        <w:t xml:space="preserve"> </w:t>
      </w:r>
      <w:r>
        <w:rPr>
          <w:color w:val="4D4D4F"/>
        </w:rPr>
        <w:t>data</w:t>
      </w:r>
      <w:r>
        <w:rPr>
          <w:color w:val="4D4D4F"/>
          <w:spacing w:val="-4"/>
        </w:rPr>
        <w:t xml:space="preserve"> </w:t>
      </w:r>
      <w:r>
        <w:rPr>
          <w:color w:val="4D4D4F"/>
        </w:rPr>
        <w:t>(collected</w:t>
      </w:r>
      <w:r>
        <w:rPr>
          <w:color w:val="4D4D4F"/>
          <w:spacing w:val="-5"/>
        </w:rPr>
        <w:t xml:space="preserve"> </w:t>
      </w:r>
      <w:r>
        <w:rPr>
          <w:color w:val="4D4D4F"/>
        </w:rPr>
        <w:t>under</w:t>
      </w:r>
      <w:r>
        <w:rPr>
          <w:color w:val="4D4D4F"/>
          <w:spacing w:val="-4"/>
        </w:rPr>
        <w:t xml:space="preserve"> </w:t>
      </w:r>
      <w:r>
        <w:rPr>
          <w:color w:val="4D4D4F"/>
        </w:rPr>
        <w:t>the previous</w:t>
      </w:r>
      <w:r>
        <w:rPr>
          <w:color w:val="4D4D4F"/>
          <w:spacing w:val="1"/>
        </w:rPr>
        <w:t xml:space="preserve"> </w:t>
      </w:r>
      <w:r>
        <w:rPr>
          <w:color w:val="4D4D4F"/>
        </w:rPr>
        <w:t>protocol).</w:t>
      </w:r>
    </w:p>
    <w:p w14:paraId="6A1BB721" w14:textId="77777777" w:rsidR="00EF5B27" w:rsidRDefault="00000000">
      <w:pPr>
        <w:pStyle w:val="BodyText"/>
        <w:spacing w:before="128" w:line="254" w:lineRule="auto"/>
        <w:ind w:left="2608" w:right="124"/>
      </w:pPr>
      <w:r>
        <w:rPr>
          <w:color w:val="4D4D4F"/>
        </w:rPr>
        <w:t>The Pimelea Recovery Team advised DELWP that Spiny Rice-flower recruits periodically, roughly every 10 years, and according to rainfall. DELWP used this information to determine the threshold for KPI 2: that once every 10 years there must be a high population of recruits. This KPI is unique in that it's not an aggregate – if it’s achieved once within the 10-year period, it's achieved. Based on the design it is unclear whether this KPI resets after it had been met or whether it measured in blocks of 10 years</w:t>
      </w:r>
    </w:p>
    <w:p w14:paraId="444D63F9" w14:textId="77777777" w:rsidR="00EF5B27" w:rsidRDefault="00000000">
      <w:pPr>
        <w:pStyle w:val="BodyText"/>
        <w:spacing w:before="7" w:line="254" w:lineRule="auto"/>
        <w:ind w:left="2608"/>
      </w:pPr>
      <w:r>
        <w:rPr>
          <w:color w:val="4D4D4F"/>
        </w:rPr>
        <w:t>– it is recommended this is clarified. Further testing may be required to assess the adequacy of the 10-year window in capturing the variable recruitment dynamics.</w:t>
      </w:r>
    </w:p>
    <w:p w14:paraId="68013261" w14:textId="77777777" w:rsidR="00EF5B27" w:rsidRDefault="00EF5B27">
      <w:pPr>
        <w:pStyle w:val="BodyText"/>
      </w:pPr>
    </w:p>
    <w:p w14:paraId="10F694CC" w14:textId="77777777" w:rsidR="00EF5B27" w:rsidRDefault="00EF5B27">
      <w:pPr>
        <w:pStyle w:val="BodyText"/>
      </w:pPr>
    </w:p>
    <w:p w14:paraId="5EB71C9E" w14:textId="77777777" w:rsidR="00EF5B27" w:rsidRDefault="00EF5B27">
      <w:pPr>
        <w:pStyle w:val="BodyText"/>
      </w:pPr>
    </w:p>
    <w:p w14:paraId="31D1B051" w14:textId="77777777" w:rsidR="00EF5B27" w:rsidRDefault="00EF5B27">
      <w:pPr>
        <w:pStyle w:val="BodyText"/>
      </w:pPr>
    </w:p>
    <w:p w14:paraId="5465E1E0" w14:textId="77777777" w:rsidR="00EF5B27" w:rsidRDefault="00EF5B27">
      <w:pPr>
        <w:pStyle w:val="BodyText"/>
      </w:pPr>
    </w:p>
    <w:p w14:paraId="63972F08" w14:textId="77777777" w:rsidR="00EF5B27" w:rsidRDefault="00EF5B27">
      <w:pPr>
        <w:pStyle w:val="BodyText"/>
      </w:pPr>
    </w:p>
    <w:p w14:paraId="39F42BE2" w14:textId="77777777" w:rsidR="00EF5B27" w:rsidRDefault="00000000">
      <w:pPr>
        <w:pStyle w:val="BodyText"/>
        <w:spacing w:before="3"/>
        <w:rPr>
          <w:sz w:val="10"/>
        </w:rPr>
      </w:pPr>
      <w:r>
        <w:pict w14:anchorId="432914E8">
          <v:line id="_x0000_s2985" style="position:absolute;z-index:251596288;mso-wrap-distance-left:0;mso-wrap-distance-right:0;mso-position-horizontal-relative:page" from="181.4pt,8.45pt" to="538.6pt,8.45pt" strokecolor="#4d4d4f" strokeweight=".5pt">
            <w10:wrap type="topAndBottom" anchorx="page"/>
          </v:line>
        </w:pict>
      </w:r>
    </w:p>
    <w:p w14:paraId="67445F1B" w14:textId="77777777" w:rsidR="00EF5B27" w:rsidRDefault="00000000">
      <w:pPr>
        <w:pStyle w:val="ListParagraph"/>
        <w:numPr>
          <w:ilvl w:val="0"/>
          <w:numId w:val="25"/>
        </w:numPr>
        <w:tabs>
          <w:tab w:val="left" w:pos="2836"/>
        </w:tabs>
        <w:spacing w:before="83" w:line="143" w:lineRule="exact"/>
        <w:rPr>
          <w:sz w:val="12"/>
        </w:rPr>
      </w:pPr>
      <w:r>
        <w:rPr>
          <w:color w:val="4D4D4F"/>
          <w:sz w:val="12"/>
        </w:rPr>
        <w:t xml:space="preserve">DELWP Officer, personal communication, 15 </w:t>
      </w:r>
      <w:r>
        <w:rPr>
          <w:color w:val="4D4D4F"/>
          <w:spacing w:val="2"/>
          <w:sz w:val="12"/>
        </w:rPr>
        <w:t>February</w:t>
      </w:r>
      <w:r>
        <w:rPr>
          <w:color w:val="4D4D4F"/>
          <w:spacing w:val="14"/>
          <w:sz w:val="12"/>
        </w:rPr>
        <w:t xml:space="preserve"> </w:t>
      </w:r>
      <w:r>
        <w:rPr>
          <w:color w:val="4D4D4F"/>
          <w:spacing w:val="2"/>
          <w:sz w:val="12"/>
        </w:rPr>
        <w:t>2022.</w:t>
      </w:r>
    </w:p>
    <w:p w14:paraId="45017F20" w14:textId="77777777" w:rsidR="00EF5B27" w:rsidRDefault="00000000">
      <w:pPr>
        <w:pStyle w:val="ListParagraph"/>
        <w:numPr>
          <w:ilvl w:val="0"/>
          <w:numId w:val="25"/>
        </w:numPr>
        <w:tabs>
          <w:tab w:val="left" w:pos="2836"/>
        </w:tabs>
        <w:spacing w:line="140" w:lineRule="exact"/>
        <w:rPr>
          <w:sz w:val="12"/>
        </w:rPr>
      </w:pPr>
      <w:r>
        <w:rPr>
          <w:color w:val="4D4D4F"/>
          <w:sz w:val="12"/>
        </w:rPr>
        <w:t>DELWP</w:t>
      </w:r>
      <w:r>
        <w:rPr>
          <w:color w:val="4D4D4F"/>
          <w:spacing w:val="12"/>
          <w:sz w:val="12"/>
        </w:rPr>
        <w:t xml:space="preserve"> </w:t>
      </w:r>
      <w:r>
        <w:rPr>
          <w:color w:val="4D4D4F"/>
          <w:sz w:val="12"/>
        </w:rPr>
        <w:t>Officer,</w:t>
      </w:r>
      <w:r>
        <w:rPr>
          <w:color w:val="4D4D4F"/>
          <w:spacing w:val="13"/>
          <w:sz w:val="12"/>
        </w:rPr>
        <w:t xml:space="preserve"> </w:t>
      </w:r>
      <w:r>
        <w:rPr>
          <w:color w:val="4D4D4F"/>
          <w:sz w:val="12"/>
        </w:rPr>
        <w:t>personal</w:t>
      </w:r>
      <w:r>
        <w:rPr>
          <w:color w:val="4D4D4F"/>
          <w:spacing w:val="13"/>
          <w:sz w:val="12"/>
        </w:rPr>
        <w:t xml:space="preserve"> </w:t>
      </w:r>
      <w:r>
        <w:rPr>
          <w:color w:val="4D4D4F"/>
          <w:sz w:val="12"/>
        </w:rPr>
        <w:t>communication,</w:t>
      </w:r>
      <w:r>
        <w:rPr>
          <w:color w:val="4D4D4F"/>
          <w:spacing w:val="12"/>
          <w:sz w:val="12"/>
        </w:rPr>
        <w:t xml:space="preserve"> </w:t>
      </w:r>
      <w:r>
        <w:rPr>
          <w:color w:val="4D4D4F"/>
          <w:sz w:val="12"/>
        </w:rPr>
        <w:t>6</w:t>
      </w:r>
      <w:r>
        <w:rPr>
          <w:color w:val="4D4D4F"/>
          <w:spacing w:val="13"/>
          <w:sz w:val="12"/>
        </w:rPr>
        <w:t xml:space="preserve"> </w:t>
      </w:r>
      <w:r>
        <w:rPr>
          <w:color w:val="4D4D4F"/>
          <w:sz w:val="12"/>
        </w:rPr>
        <w:t>July</w:t>
      </w:r>
      <w:r>
        <w:rPr>
          <w:color w:val="4D4D4F"/>
          <w:spacing w:val="13"/>
          <w:sz w:val="12"/>
        </w:rPr>
        <w:t xml:space="preserve"> </w:t>
      </w:r>
      <w:r>
        <w:rPr>
          <w:color w:val="4D4D4F"/>
          <w:sz w:val="12"/>
        </w:rPr>
        <w:t>2021.</w:t>
      </w:r>
    </w:p>
    <w:p w14:paraId="6576D32D" w14:textId="77777777" w:rsidR="00EF5B27" w:rsidRDefault="00000000">
      <w:pPr>
        <w:pStyle w:val="ListParagraph"/>
        <w:numPr>
          <w:ilvl w:val="0"/>
          <w:numId w:val="25"/>
        </w:numPr>
        <w:tabs>
          <w:tab w:val="left" w:pos="2836"/>
        </w:tabs>
        <w:spacing w:line="140" w:lineRule="exact"/>
        <w:rPr>
          <w:sz w:val="12"/>
        </w:rPr>
      </w:pPr>
      <w:r>
        <w:rPr>
          <w:color w:val="4D4D4F"/>
          <w:sz w:val="12"/>
        </w:rPr>
        <w:t>DELWP</w:t>
      </w:r>
      <w:r>
        <w:rPr>
          <w:color w:val="4D4D4F"/>
          <w:spacing w:val="12"/>
          <w:sz w:val="12"/>
        </w:rPr>
        <w:t xml:space="preserve"> </w:t>
      </w:r>
      <w:r>
        <w:rPr>
          <w:color w:val="4D4D4F"/>
          <w:sz w:val="12"/>
        </w:rPr>
        <w:t>Officer,</w:t>
      </w:r>
      <w:r>
        <w:rPr>
          <w:color w:val="4D4D4F"/>
          <w:spacing w:val="13"/>
          <w:sz w:val="12"/>
        </w:rPr>
        <w:t xml:space="preserve"> </w:t>
      </w:r>
      <w:r>
        <w:rPr>
          <w:color w:val="4D4D4F"/>
          <w:sz w:val="12"/>
        </w:rPr>
        <w:t>personal</w:t>
      </w:r>
      <w:r>
        <w:rPr>
          <w:color w:val="4D4D4F"/>
          <w:spacing w:val="13"/>
          <w:sz w:val="12"/>
        </w:rPr>
        <w:t xml:space="preserve"> </w:t>
      </w:r>
      <w:r>
        <w:rPr>
          <w:color w:val="4D4D4F"/>
          <w:sz w:val="12"/>
        </w:rPr>
        <w:t>communication,</w:t>
      </w:r>
      <w:r>
        <w:rPr>
          <w:color w:val="4D4D4F"/>
          <w:spacing w:val="12"/>
          <w:sz w:val="12"/>
        </w:rPr>
        <w:t xml:space="preserve"> </w:t>
      </w:r>
      <w:r>
        <w:rPr>
          <w:color w:val="4D4D4F"/>
          <w:sz w:val="12"/>
        </w:rPr>
        <w:t>6</w:t>
      </w:r>
      <w:r>
        <w:rPr>
          <w:color w:val="4D4D4F"/>
          <w:spacing w:val="13"/>
          <w:sz w:val="12"/>
        </w:rPr>
        <w:t xml:space="preserve"> </w:t>
      </w:r>
      <w:r>
        <w:rPr>
          <w:color w:val="4D4D4F"/>
          <w:sz w:val="12"/>
        </w:rPr>
        <w:t>July</w:t>
      </w:r>
      <w:r>
        <w:rPr>
          <w:color w:val="4D4D4F"/>
          <w:spacing w:val="13"/>
          <w:sz w:val="12"/>
        </w:rPr>
        <w:t xml:space="preserve"> </w:t>
      </w:r>
      <w:r>
        <w:rPr>
          <w:color w:val="4D4D4F"/>
          <w:sz w:val="12"/>
        </w:rPr>
        <w:t>2021.</w:t>
      </w:r>
    </w:p>
    <w:p w14:paraId="1A905C69" w14:textId="77777777" w:rsidR="00EF5B27" w:rsidRDefault="00000000">
      <w:pPr>
        <w:pStyle w:val="ListParagraph"/>
        <w:numPr>
          <w:ilvl w:val="0"/>
          <w:numId w:val="25"/>
        </w:numPr>
        <w:tabs>
          <w:tab w:val="left" w:pos="2836"/>
        </w:tabs>
        <w:spacing w:line="143" w:lineRule="exact"/>
        <w:rPr>
          <w:sz w:val="12"/>
        </w:rPr>
      </w:pPr>
      <w:r>
        <w:rPr>
          <w:color w:val="4D4D4F"/>
          <w:sz w:val="12"/>
        </w:rPr>
        <w:t>DELWP</w:t>
      </w:r>
      <w:r>
        <w:rPr>
          <w:color w:val="4D4D4F"/>
          <w:spacing w:val="12"/>
          <w:sz w:val="12"/>
        </w:rPr>
        <w:t xml:space="preserve"> </w:t>
      </w:r>
      <w:r>
        <w:rPr>
          <w:color w:val="4D4D4F"/>
          <w:sz w:val="12"/>
        </w:rPr>
        <w:t>Officer,</w:t>
      </w:r>
      <w:r>
        <w:rPr>
          <w:color w:val="4D4D4F"/>
          <w:spacing w:val="13"/>
          <w:sz w:val="12"/>
        </w:rPr>
        <w:t xml:space="preserve"> </w:t>
      </w:r>
      <w:r>
        <w:rPr>
          <w:color w:val="4D4D4F"/>
          <w:sz w:val="12"/>
        </w:rPr>
        <w:t>personal</w:t>
      </w:r>
      <w:r>
        <w:rPr>
          <w:color w:val="4D4D4F"/>
          <w:spacing w:val="13"/>
          <w:sz w:val="12"/>
        </w:rPr>
        <w:t xml:space="preserve"> </w:t>
      </w:r>
      <w:r>
        <w:rPr>
          <w:color w:val="4D4D4F"/>
          <w:sz w:val="12"/>
        </w:rPr>
        <w:t>communication,</w:t>
      </w:r>
      <w:r>
        <w:rPr>
          <w:color w:val="4D4D4F"/>
          <w:spacing w:val="12"/>
          <w:sz w:val="12"/>
        </w:rPr>
        <w:t xml:space="preserve"> </w:t>
      </w:r>
      <w:r>
        <w:rPr>
          <w:color w:val="4D4D4F"/>
          <w:sz w:val="12"/>
        </w:rPr>
        <w:t>6</w:t>
      </w:r>
      <w:r>
        <w:rPr>
          <w:color w:val="4D4D4F"/>
          <w:spacing w:val="13"/>
          <w:sz w:val="12"/>
        </w:rPr>
        <w:t xml:space="preserve"> </w:t>
      </w:r>
      <w:r>
        <w:rPr>
          <w:color w:val="4D4D4F"/>
          <w:sz w:val="12"/>
        </w:rPr>
        <w:t>July</w:t>
      </w:r>
      <w:r>
        <w:rPr>
          <w:color w:val="4D4D4F"/>
          <w:spacing w:val="13"/>
          <w:sz w:val="12"/>
        </w:rPr>
        <w:t xml:space="preserve"> </w:t>
      </w:r>
      <w:r>
        <w:rPr>
          <w:color w:val="4D4D4F"/>
          <w:sz w:val="12"/>
        </w:rPr>
        <w:t>2021.</w:t>
      </w:r>
    </w:p>
    <w:p w14:paraId="2F35F3AC"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43D1EAEC" w14:textId="77777777" w:rsidR="00EF5B27" w:rsidRDefault="00000000">
      <w:pPr>
        <w:pStyle w:val="BodyText"/>
      </w:pPr>
      <w:r>
        <w:lastRenderedPageBreak/>
        <w:pict w14:anchorId="1A13ED83">
          <v:group id="_x0000_s2977" style="position:absolute;margin-left:587.05pt;margin-top:183.4pt;width:8.25pt;height:153.1pt;z-index:251660800;mso-position-horizontal-relative:page;mso-position-vertical-relative:page" coordorigin="11741,3668" coordsize="165,3062">
            <v:shape id="_x0000_s2984" style="position:absolute;left:11741;top:3668;width:165;height:561" coordorigin="11741,3668" coordsize="165,561" path="m11906,3668r-165,l11741,4228r165,-18l11906,3668xe" fillcolor="#00aed9" stroked="f">
              <v:path arrowok="t"/>
            </v:shape>
            <v:shape id="_x0000_s2983" style="position:absolute;left:11741;top:4118;width:165;height:425" coordorigin="11741,4118" coordsize="165,425" path="m11906,4118r-165,14l11741,4531r165,12l11906,4118xe" fillcolor="#047ebc" stroked="f">
              <v:path arrowok="t"/>
            </v:shape>
            <v:shape id="_x0000_s2982" type="#_x0000_t75" style="position:absolute;left:11741;top:4355;width:165;height:587">
              <v:imagedata r:id="rId42" o:title=""/>
            </v:shape>
            <v:shape id="_x0000_s2981" style="position:absolute;left:11741;top:5343;width:165;height:536" coordorigin="11741,5343" coordsize="165,536" path="m11741,5343r,535l11906,5872r,-525l11741,5343xe" fillcolor="#f36a2e" stroked="f">
              <v:path arrowok="t"/>
            </v:shape>
            <v:shape id="_x0000_s2980" style="position:absolute;left:11741;top:4925;width:165;height:501" coordorigin="11741,4926" coordsize="165,501" path="m11741,4926r,500l11906,5426r,-485l11741,4926xe" fillcolor="#49783f" stroked="f">
              <v:path arrowok="t"/>
            </v:shape>
            <v:shape id="_x0000_s2979" style="position:absolute;left:11741;top:5781;width:165;height:268" coordorigin="11741,5782" coordsize="165,268" path="m11906,5782r-165,8l11741,6039r165,10l11906,5782xe" fillcolor="#f99f2a" stroked="f">
              <v:path arrowok="t"/>
            </v:shape>
            <v:shape id="_x0000_s2978" style="position:absolute;left:11741;top:6023;width:165;height:707" coordorigin="11741,6023" coordsize="165,707" path="m11741,6023r,706l11906,6729r,-690l11741,6023xe" fillcolor="#ef412c" stroked="f">
              <v:path arrowok="t"/>
            </v:shape>
            <w10:wrap anchorx="page" anchory="page"/>
          </v:group>
        </w:pict>
      </w:r>
    </w:p>
    <w:p w14:paraId="672E269D" w14:textId="77777777" w:rsidR="00EF5B27" w:rsidRDefault="00EF5B27">
      <w:pPr>
        <w:pStyle w:val="BodyText"/>
      </w:pPr>
    </w:p>
    <w:p w14:paraId="708C4ECA" w14:textId="77777777" w:rsidR="00EF5B27" w:rsidRDefault="00EF5B27">
      <w:pPr>
        <w:pStyle w:val="BodyText"/>
      </w:pPr>
    </w:p>
    <w:p w14:paraId="51B7A1F4" w14:textId="77777777" w:rsidR="00EF5B27" w:rsidRDefault="00EF5B27">
      <w:pPr>
        <w:pStyle w:val="BodyText"/>
        <w:spacing w:before="4"/>
        <w:rPr>
          <w:sz w:val="25"/>
        </w:rPr>
      </w:pPr>
    </w:p>
    <w:p w14:paraId="0CCCF02D" w14:textId="77777777" w:rsidR="00EF5B27" w:rsidRDefault="00000000">
      <w:pPr>
        <w:pStyle w:val="BodyText"/>
        <w:spacing w:before="100" w:line="254" w:lineRule="auto"/>
        <w:ind w:left="2608" w:right="305"/>
        <w:rPr>
          <w:sz w:val="11"/>
        </w:rPr>
      </w:pPr>
      <w:r>
        <w:rPr>
          <w:color w:val="4D4D4F"/>
        </w:rPr>
        <w:t>DELWP also indicates that it is concerned about results in rates of recruitment for  the Spiny Rice-flower, as it expected to see more recruitment over the last couple of years. DELWP is hoping to address this issue by observing if recruitment rates are enough to replace mortality rates within the population over time. It is expected that more data will reveal that it’s a very ‘slow-moving species’.</w:t>
      </w:r>
      <w:r>
        <w:rPr>
          <w:color w:val="4D4D4F"/>
          <w:spacing w:val="43"/>
        </w:rPr>
        <w:t xml:space="preserve"> </w:t>
      </w:r>
      <w:r>
        <w:rPr>
          <w:color w:val="4D4D4F"/>
          <w:spacing w:val="3"/>
          <w:position w:val="7"/>
          <w:sz w:val="11"/>
        </w:rPr>
        <w:t>202</w:t>
      </w:r>
    </w:p>
    <w:p w14:paraId="2D269C5B" w14:textId="77777777" w:rsidR="00EF5B27" w:rsidRDefault="00000000">
      <w:pPr>
        <w:pStyle w:val="BodyText"/>
        <w:spacing w:before="120" w:line="254" w:lineRule="auto"/>
        <w:ind w:left="2608" w:right="400"/>
      </w:pPr>
      <w:r>
        <w:rPr>
          <w:color w:val="4D4D4F"/>
        </w:rPr>
        <w:t xml:space="preserve">A data-driven </w:t>
      </w:r>
      <w:r>
        <w:rPr>
          <w:color w:val="4D4D4F"/>
          <w:spacing w:val="-3"/>
        </w:rPr>
        <w:t xml:space="preserve">PVA </w:t>
      </w:r>
      <w:r>
        <w:rPr>
          <w:color w:val="4D4D4F"/>
        </w:rPr>
        <w:t xml:space="preserve">model for this species exists, which is calibrated with annual monitoring data. With respect to management requirements specific to this species, the Spiny Rice-flower does not respond well to grazing – </w:t>
      </w:r>
      <w:r>
        <w:rPr>
          <w:color w:val="4D4D4F"/>
          <w:spacing w:val="-3"/>
        </w:rPr>
        <w:t xml:space="preserve">however, </w:t>
      </w:r>
      <w:r>
        <w:rPr>
          <w:color w:val="4D4D4F"/>
        </w:rPr>
        <w:t>this is not an  issue because it is not currently being managed on private land. The Spiny Rice- flower is intolerant of shade and humidity. Biomass control is important to this species, with planned burning being the main tool for management with respect to this. DELWP indicates that areas in which this species are found are in current need of a biomass control regime in the form of planned burning.</w:t>
      </w:r>
      <w:r>
        <w:rPr>
          <w:color w:val="4D4D4F"/>
          <w:position w:val="7"/>
          <w:sz w:val="11"/>
        </w:rPr>
        <w:t xml:space="preserve">203 </w:t>
      </w:r>
      <w:r>
        <w:rPr>
          <w:color w:val="4D4D4F"/>
        </w:rPr>
        <w:t>Burns to date have been implemented well with positive outcomes, according to DELWP.</w:t>
      </w:r>
      <w:r>
        <w:rPr>
          <w:color w:val="4D4D4F"/>
          <w:position w:val="7"/>
          <w:sz w:val="11"/>
        </w:rPr>
        <w:t xml:space="preserve">204 </w:t>
      </w:r>
      <w:r>
        <w:rPr>
          <w:color w:val="4D4D4F"/>
        </w:rPr>
        <w:t>As the MSA program scales up, it will be important to maintain efforts to control biomass and manage the risk of degradation to current and new</w:t>
      </w:r>
      <w:r>
        <w:rPr>
          <w:color w:val="4D4D4F"/>
          <w:spacing w:val="33"/>
        </w:rPr>
        <w:t xml:space="preserve"> </w:t>
      </w:r>
      <w:r>
        <w:rPr>
          <w:color w:val="4D4D4F"/>
        </w:rPr>
        <w:t>populations.</w:t>
      </w:r>
    </w:p>
    <w:p w14:paraId="3D4916C4" w14:textId="77777777" w:rsidR="00EF5B27" w:rsidRDefault="00EF5B27">
      <w:pPr>
        <w:pStyle w:val="BodyText"/>
      </w:pPr>
    </w:p>
    <w:p w14:paraId="37FB3086" w14:textId="77777777" w:rsidR="00EF5B27" w:rsidRDefault="00EF5B27">
      <w:pPr>
        <w:pStyle w:val="BodyText"/>
      </w:pPr>
    </w:p>
    <w:p w14:paraId="3A815DEC" w14:textId="77777777" w:rsidR="00EF5B27" w:rsidRDefault="00EF5B27">
      <w:pPr>
        <w:pStyle w:val="BodyText"/>
      </w:pPr>
    </w:p>
    <w:p w14:paraId="0FFCE707" w14:textId="77777777" w:rsidR="00EF5B27" w:rsidRDefault="00EF5B27">
      <w:pPr>
        <w:pStyle w:val="BodyText"/>
      </w:pPr>
    </w:p>
    <w:p w14:paraId="7437A52C" w14:textId="77777777" w:rsidR="00EF5B27" w:rsidRDefault="00EF5B27">
      <w:pPr>
        <w:pStyle w:val="BodyText"/>
      </w:pPr>
    </w:p>
    <w:p w14:paraId="15C87A94" w14:textId="77777777" w:rsidR="00EF5B27" w:rsidRDefault="00EF5B27">
      <w:pPr>
        <w:pStyle w:val="BodyText"/>
      </w:pPr>
    </w:p>
    <w:p w14:paraId="47134154" w14:textId="77777777" w:rsidR="00EF5B27" w:rsidRDefault="00EF5B27">
      <w:pPr>
        <w:pStyle w:val="BodyText"/>
      </w:pPr>
    </w:p>
    <w:p w14:paraId="48BE0AE2" w14:textId="77777777" w:rsidR="00EF5B27" w:rsidRDefault="00EF5B27">
      <w:pPr>
        <w:pStyle w:val="BodyText"/>
      </w:pPr>
    </w:p>
    <w:p w14:paraId="3DB45200" w14:textId="77777777" w:rsidR="00EF5B27" w:rsidRDefault="00EF5B27">
      <w:pPr>
        <w:pStyle w:val="BodyText"/>
      </w:pPr>
    </w:p>
    <w:p w14:paraId="49BA91EE" w14:textId="77777777" w:rsidR="00EF5B27" w:rsidRDefault="00EF5B27">
      <w:pPr>
        <w:pStyle w:val="BodyText"/>
      </w:pPr>
    </w:p>
    <w:p w14:paraId="157D3FB0" w14:textId="77777777" w:rsidR="00EF5B27" w:rsidRDefault="00EF5B27">
      <w:pPr>
        <w:pStyle w:val="BodyText"/>
      </w:pPr>
    </w:p>
    <w:p w14:paraId="01010FD1" w14:textId="77777777" w:rsidR="00EF5B27" w:rsidRDefault="00EF5B27">
      <w:pPr>
        <w:pStyle w:val="BodyText"/>
      </w:pPr>
    </w:p>
    <w:p w14:paraId="20C88657" w14:textId="77777777" w:rsidR="00EF5B27" w:rsidRDefault="00EF5B27">
      <w:pPr>
        <w:pStyle w:val="BodyText"/>
      </w:pPr>
    </w:p>
    <w:p w14:paraId="47D68109" w14:textId="77777777" w:rsidR="00EF5B27" w:rsidRDefault="00EF5B27">
      <w:pPr>
        <w:pStyle w:val="BodyText"/>
      </w:pPr>
    </w:p>
    <w:p w14:paraId="0B211BEA" w14:textId="77777777" w:rsidR="00EF5B27" w:rsidRDefault="00EF5B27">
      <w:pPr>
        <w:pStyle w:val="BodyText"/>
      </w:pPr>
    </w:p>
    <w:p w14:paraId="10388F84" w14:textId="77777777" w:rsidR="00EF5B27" w:rsidRDefault="00EF5B27">
      <w:pPr>
        <w:pStyle w:val="BodyText"/>
      </w:pPr>
    </w:p>
    <w:p w14:paraId="64E67492" w14:textId="77777777" w:rsidR="00EF5B27" w:rsidRDefault="00EF5B27">
      <w:pPr>
        <w:pStyle w:val="BodyText"/>
      </w:pPr>
    </w:p>
    <w:p w14:paraId="7812F906" w14:textId="77777777" w:rsidR="00EF5B27" w:rsidRDefault="00EF5B27">
      <w:pPr>
        <w:pStyle w:val="BodyText"/>
      </w:pPr>
    </w:p>
    <w:p w14:paraId="0AE86247" w14:textId="77777777" w:rsidR="00EF5B27" w:rsidRDefault="00EF5B27">
      <w:pPr>
        <w:pStyle w:val="BodyText"/>
      </w:pPr>
    </w:p>
    <w:p w14:paraId="100F0474" w14:textId="77777777" w:rsidR="00EF5B27" w:rsidRDefault="00EF5B27">
      <w:pPr>
        <w:pStyle w:val="BodyText"/>
      </w:pPr>
    </w:p>
    <w:p w14:paraId="2B2A94A2" w14:textId="77777777" w:rsidR="00EF5B27" w:rsidRDefault="00EF5B27">
      <w:pPr>
        <w:pStyle w:val="BodyText"/>
      </w:pPr>
    </w:p>
    <w:p w14:paraId="1B94D110" w14:textId="77777777" w:rsidR="00EF5B27" w:rsidRDefault="00EF5B27">
      <w:pPr>
        <w:pStyle w:val="BodyText"/>
      </w:pPr>
    </w:p>
    <w:p w14:paraId="37250DDB" w14:textId="77777777" w:rsidR="00EF5B27" w:rsidRDefault="00EF5B27">
      <w:pPr>
        <w:pStyle w:val="BodyText"/>
      </w:pPr>
    </w:p>
    <w:p w14:paraId="2391697F" w14:textId="77777777" w:rsidR="00EF5B27" w:rsidRDefault="00EF5B27">
      <w:pPr>
        <w:pStyle w:val="BodyText"/>
      </w:pPr>
    </w:p>
    <w:p w14:paraId="1C88E5EF" w14:textId="77777777" w:rsidR="00EF5B27" w:rsidRDefault="00EF5B27">
      <w:pPr>
        <w:pStyle w:val="BodyText"/>
      </w:pPr>
    </w:p>
    <w:p w14:paraId="4AE9CF86" w14:textId="77777777" w:rsidR="00EF5B27" w:rsidRDefault="00EF5B27">
      <w:pPr>
        <w:pStyle w:val="BodyText"/>
      </w:pPr>
    </w:p>
    <w:p w14:paraId="06CB2F62" w14:textId="77777777" w:rsidR="00EF5B27" w:rsidRDefault="00EF5B27">
      <w:pPr>
        <w:pStyle w:val="BodyText"/>
      </w:pPr>
    </w:p>
    <w:p w14:paraId="3BE58510" w14:textId="77777777" w:rsidR="00EF5B27" w:rsidRDefault="00EF5B27">
      <w:pPr>
        <w:pStyle w:val="BodyText"/>
      </w:pPr>
    </w:p>
    <w:p w14:paraId="6F2E9512" w14:textId="77777777" w:rsidR="00EF5B27" w:rsidRDefault="00EF5B27">
      <w:pPr>
        <w:pStyle w:val="BodyText"/>
      </w:pPr>
    </w:p>
    <w:p w14:paraId="6919C0B5" w14:textId="77777777" w:rsidR="00EF5B27" w:rsidRDefault="00EF5B27">
      <w:pPr>
        <w:pStyle w:val="BodyText"/>
      </w:pPr>
    </w:p>
    <w:p w14:paraId="1C02D29F" w14:textId="77777777" w:rsidR="00EF5B27" w:rsidRDefault="00EF5B27">
      <w:pPr>
        <w:pStyle w:val="BodyText"/>
      </w:pPr>
    </w:p>
    <w:p w14:paraId="3356E2B2" w14:textId="77777777" w:rsidR="00EF5B27" w:rsidRDefault="00EF5B27">
      <w:pPr>
        <w:pStyle w:val="BodyText"/>
      </w:pPr>
    </w:p>
    <w:p w14:paraId="2743A4B3" w14:textId="77777777" w:rsidR="00EF5B27" w:rsidRDefault="00000000">
      <w:pPr>
        <w:pStyle w:val="BodyText"/>
        <w:rPr>
          <w:sz w:val="22"/>
        </w:rPr>
      </w:pPr>
      <w:r>
        <w:pict w14:anchorId="098B7D48">
          <v:line id="_x0000_s2976" style="position:absolute;z-index:251597312;mso-wrap-distance-left:0;mso-wrap-distance-right:0;mso-position-horizontal-relative:page" from="181.4pt,15.65pt" to="538.6pt,15.65pt" strokecolor="#4d4d4f" strokeweight=".5pt">
            <w10:wrap type="topAndBottom" anchorx="page"/>
          </v:line>
        </w:pict>
      </w:r>
    </w:p>
    <w:p w14:paraId="69123F4A" w14:textId="77777777" w:rsidR="00EF5B27" w:rsidRDefault="00000000">
      <w:pPr>
        <w:pStyle w:val="ListParagraph"/>
        <w:numPr>
          <w:ilvl w:val="0"/>
          <w:numId w:val="25"/>
        </w:numPr>
        <w:tabs>
          <w:tab w:val="left" w:pos="2836"/>
        </w:tabs>
        <w:spacing w:before="83" w:line="143" w:lineRule="exac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7C12F908" w14:textId="77777777" w:rsidR="00EF5B27" w:rsidRDefault="00000000">
      <w:pPr>
        <w:pStyle w:val="ListParagraph"/>
        <w:numPr>
          <w:ilvl w:val="0"/>
          <w:numId w:val="25"/>
        </w:numPr>
        <w:tabs>
          <w:tab w:val="left" w:pos="2836"/>
        </w:tabs>
        <w:spacing w:line="140" w:lineRule="exac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7EE8B179" w14:textId="77777777" w:rsidR="00EF5B27" w:rsidRDefault="00000000">
      <w:pPr>
        <w:pStyle w:val="ListParagraph"/>
        <w:numPr>
          <w:ilvl w:val="0"/>
          <w:numId w:val="25"/>
        </w:numPr>
        <w:tabs>
          <w:tab w:val="left" w:pos="2836"/>
        </w:tabs>
        <w:spacing w:line="143" w:lineRule="exac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3FED5BAE"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0FE2EB45" w14:textId="77777777" w:rsidR="00EF5B27" w:rsidRDefault="00000000">
      <w:pPr>
        <w:pStyle w:val="BodyText"/>
      </w:pPr>
      <w:r>
        <w:lastRenderedPageBreak/>
        <w:pict w14:anchorId="4751D998">
          <v:group id="_x0000_s2968" style="position:absolute;margin-left:587.05pt;margin-top:183.4pt;width:8.25pt;height:153.1pt;z-index:251661824;mso-position-horizontal-relative:page;mso-position-vertical-relative:page" coordorigin="11741,3668" coordsize="165,3062">
            <v:shape id="_x0000_s2975" style="position:absolute;left:11741;top:3668;width:165;height:561" coordorigin="11741,3668" coordsize="165,561" path="m11906,3668r-165,l11741,4228r165,-18l11906,3668xe" fillcolor="#00aed9" stroked="f">
              <v:path arrowok="t"/>
            </v:shape>
            <v:shape id="_x0000_s2974" style="position:absolute;left:11741;top:4118;width:165;height:425" coordorigin="11741,4118" coordsize="165,425" path="m11906,4118r-165,14l11741,4531r165,12l11906,4118xe" fillcolor="#047ebc" stroked="f">
              <v:path arrowok="t"/>
            </v:shape>
            <v:shape id="_x0000_s2973" type="#_x0000_t75" style="position:absolute;left:11741;top:4355;width:165;height:587">
              <v:imagedata r:id="rId42" o:title=""/>
            </v:shape>
            <v:shape id="_x0000_s2972" style="position:absolute;left:11741;top:5343;width:165;height:536" coordorigin="11741,5343" coordsize="165,536" path="m11741,5343r,535l11906,5872r,-525l11741,5343xe" fillcolor="#f36a2e" stroked="f">
              <v:path arrowok="t"/>
            </v:shape>
            <v:shape id="_x0000_s2971" style="position:absolute;left:11741;top:4925;width:165;height:501" coordorigin="11741,4926" coordsize="165,501" path="m11741,4926r,500l11906,5426r,-485l11741,4926xe" fillcolor="#49783f" stroked="f">
              <v:path arrowok="t"/>
            </v:shape>
            <v:shape id="_x0000_s2970" style="position:absolute;left:11741;top:5781;width:165;height:268" coordorigin="11741,5782" coordsize="165,268" path="m11906,5782r-165,8l11741,6039r165,10l11906,5782xe" fillcolor="#f99f2a" stroked="f">
              <v:path arrowok="t"/>
            </v:shape>
            <v:shape id="_x0000_s2969" style="position:absolute;left:11741;top:6023;width:165;height:707" coordorigin="11741,6023" coordsize="165,707" path="m11741,6023r,706l11906,6729r,-690l11741,6023xe" fillcolor="#ef412c" stroked="f">
              <v:path arrowok="t"/>
            </v:shape>
            <w10:wrap anchorx="page" anchory="page"/>
          </v:group>
        </w:pict>
      </w:r>
    </w:p>
    <w:p w14:paraId="0F686D5E" w14:textId="77777777" w:rsidR="00EF5B27" w:rsidRDefault="00EF5B27">
      <w:pPr>
        <w:pStyle w:val="BodyText"/>
      </w:pPr>
    </w:p>
    <w:p w14:paraId="34386493" w14:textId="77777777" w:rsidR="00EF5B27" w:rsidRDefault="00EF5B27">
      <w:pPr>
        <w:pStyle w:val="BodyText"/>
      </w:pPr>
    </w:p>
    <w:p w14:paraId="7277226E" w14:textId="77777777" w:rsidR="00EF5B27" w:rsidRDefault="00EF5B27">
      <w:pPr>
        <w:pStyle w:val="BodyText"/>
        <w:spacing w:before="8"/>
      </w:pPr>
    </w:p>
    <w:p w14:paraId="5F70DDA8" w14:textId="77777777" w:rsidR="00EF5B27" w:rsidRDefault="00000000">
      <w:pPr>
        <w:pStyle w:val="Heading2"/>
      </w:pPr>
      <w:bookmarkStart w:id="83" w:name="_bookmark56"/>
      <w:bookmarkEnd w:id="83"/>
      <w:r>
        <w:rPr>
          <w:color w:val="F99F2A"/>
        </w:rPr>
        <w:t>MNES 7: Southern Brown Bandicoot</w:t>
      </w:r>
    </w:p>
    <w:p w14:paraId="07F44E13" w14:textId="77777777" w:rsidR="00EF5B27" w:rsidRDefault="00EF5B27">
      <w:pPr>
        <w:pStyle w:val="BodyText"/>
        <w:spacing w:before="5"/>
        <w:rPr>
          <w:b/>
          <w:sz w:val="76"/>
        </w:rPr>
      </w:pPr>
    </w:p>
    <w:p w14:paraId="4263F2CA" w14:textId="77777777" w:rsidR="00EF5B27" w:rsidRDefault="00000000">
      <w:pPr>
        <w:pStyle w:val="Heading3"/>
      </w:pPr>
      <w:bookmarkStart w:id="84" w:name="_heading=h.2y3w247"/>
      <w:bookmarkEnd w:id="84"/>
      <w:r>
        <w:rPr>
          <w:color w:val="F99F2A"/>
        </w:rPr>
        <w:t>Background</w:t>
      </w:r>
    </w:p>
    <w:p w14:paraId="0F65F897" w14:textId="77777777" w:rsidR="00EF5B27" w:rsidRDefault="00EF5B27">
      <w:pPr>
        <w:pStyle w:val="BodyText"/>
        <w:spacing w:before="5"/>
        <w:rPr>
          <w:b/>
          <w:sz w:val="27"/>
        </w:rPr>
      </w:pPr>
    </w:p>
    <w:p w14:paraId="55FE7E17" w14:textId="77777777" w:rsidR="00EF5B27" w:rsidRDefault="00000000">
      <w:pPr>
        <w:pStyle w:val="Heading6"/>
        <w:spacing w:line="254" w:lineRule="auto"/>
        <w:ind w:right="303"/>
        <w:rPr>
          <w:sz w:val="11"/>
        </w:rPr>
      </w:pPr>
      <w:r>
        <w:rPr>
          <w:color w:val="4D4D4F"/>
        </w:rPr>
        <w:t>The Southern Brown Bandicoot (eastern) (</w:t>
      </w:r>
      <w:r>
        <w:rPr>
          <w:i/>
          <w:color w:val="4D4D4F"/>
        </w:rPr>
        <w:t xml:space="preserve">Isoodon obesulus </w:t>
      </w:r>
      <w:r>
        <w:rPr>
          <w:color w:val="4D4D4F"/>
        </w:rPr>
        <w:t xml:space="preserve">subsp. </w:t>
      </w:r>
      <w:r>
        <w:rPr>
          <w:i/>
          <w:color w:val="4D4D4F"/>
        </w:rPr>
        <w:t>obesulus</w:t>
      </w:r>
      <w:r>
        <w:rPr>
          <w:color w:val="4D4D4F"/>
        </w:rPr>
        <w:t xml:space="preserve">) is a marsupial in the </w:t>
      </w:r>
      <w:r>
        <w:rPr>
          <w:color w:val="4D4D4F"/>
          <w:spacing w:val="-3"/>
        </w:rPr>
        <w:t xml:space="preserve">family Peramelidae. Males </w:t>
      </w:r>
      <w:r>
        <w:rPr>
          <w:color w:val="4D4D4F"/>
        </w:rPr>
        <w:t xml:space="preserve">are </w:t>
      </w:r>
      <w:r>
        <w:rPr>
          <w:color w:val="4D4D4F"/>
          <w:spacing w:val="-3"/>
        </w:rPr>
        <w:t xml:space="preserve">generally </w:t>
      </w:r>
      <w:r>
        <w:rPr>
          <w:color w:val="4D4D4F"/>
        </w:rPr>
        <w:t>larger than females.</w:t>
      </w:r>
      <w:r>
        <w:rPr>
          <w:color w:val="4D4D4F"/>
          <w:position w:val="7"/>
          <w:sz w:val="11"/>
        </w:rPr>
        <w:t xml:space="preserve">205 </w:t>
      </w:r>
      <w:r>
        <w:rPr>
          <w:color w:val="4D4D4F"/>
        </w:rPr>
        <w:t>The sub-species is found in Victoria, New South Wales and South Australia. In Victoria  it is primarily in coastal and foothill regions south-east of Melbourne, with isolated populations in western</w:t>
      </w:r>
      <w:r>
        <w:rPr>
          <w:color w:val="4D4D4F"/>
          <w:spacing w:val="12"/>
        </w:rPr>
        <w:t xml:space="preserve"> </w:t>
      </w:r>
      <w:r>
        <w:rPr>
          <w:color w:val="4D4D4F"/>
        </w:rPr>
        <w:t>Victoria.</w:t>
      </w:r>
      <w:r>
        <w:rPr>
          <w:color w:val="4D4D4F"/>
          <w:position w:val="7"/>
          <w:sz w:val="11"/>
        </w:rPr>
        <w:t>206</w:t>
      </w:r>
    </w:p>
    <w:p w14:paraId="1F380BE7" w14:textId="77777777" w:rsidR="00EF5B27" w:rsidRDefault="00000000">
      <w:pPr>
        <w:pStyle w:val="BodyText"/>
        <w:spacing w:before="233"/>
        <w:ind w:left="2608"/>
      </w:pPr>
      <w:r>
        <w:rPr>
          <w:color w:val="4D4D4F"/>
          <w:w w:val="105"/>
        </w:rPr>
        <w:t>EBPC listing status: Endangered</w:t>
      </w:r>
    </w:p>
    <w:p w14:paraId="442D64B3" w14:textId="77777777" w:rsidR="00EF5B27" w:rsidRDefault="00000000">
      <w:pPr>
        <w:pStyle w:val="BodyText"/>
        <w:spacing w:before="3"/>
      </w:pPr>
      <w:r>
        <w:rPr>
          <w:noProof/>
        </w:rPr>
        <w:drawing>
          <wp:anchor distT="0" distB="0" distL="0" distR="0" simplePos="0" relativeHeight="251298304" behindDoc="0" locked="0" layoutInCell="1" allowOverlap="1" wp14:anchorId="2A157D07" wp14:editId="156A4319">
            <wp:simplePos x="0" y="0"/>
            <wp:positionH relativeFrom="page">
              <wp:posOffset>2304000</wp:posOffset>
            </wp:positionH>
            <wp:positionV relativeFrom="paragraph">
              <wp:posOffset>181896</wp:posOffset>
            </wp:positionV>
            <wp:extent cx="4535423" cy="2551176"/>
            <wp:effectExtent l="0" t="0" r="0" b="0"/>
            <wp:wrapTopAndBottom/>
            <wp:docPr id="489"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187.png"/>
                    <pic:cNvPicPr/>
                  </pic:nvPicPr>
                  <pic:blipFill>
                    <a:blip r:embed="rId148" cstate="print"/>
                    <a:stretch>
                      <a:fillRect/>
                    </a:stretch>
                  </pic:blipFill>
                  <pic:spPr>
                    <a:xfrm>
                      <a:off x="0" y="0"/>
                      <a:ext cx="4535423" cy="2551176"/>
                    </a:xfrm>
                    <a:prstGeom prst="rect">
                      <a:avLst/>
                    </a:prstGeom>
                  </pic:spPr>
                </pic:pic>
              </a:graphicData>
            </a:graphic>
          </wp:anchor>
        </w:drawing>
      </w:r>
    </w:p>
    <w:p w14:paraId="1C7D0152" w14:textId="77777777" w:rsidR="00EF5B27" w:rsidRDefault="00000000">
      <w:pPr>
        <w:tabs>
          <w:tab w:val="left" w:pos="8977"/>
        </w:tabs>
        <w:spacing w:before="113"/>
        <w:ind w:left="2608"/>
        <w:rPr>
          <w:rFonts w:ascii="Century Gothic"/>
          <w:i/>
          <w:sz w:val="12"/>
        </w:rPr>
      </w:pPr>
      <w:r>
        <w:rPr>
          <w:color w:val="4D4D4F"/>
          <w:sz w:val="16"/>
        </w:rPr>
        <w:t xml:space="preserve">Figure  </w:t>
      </w:r>
      <w:r>
        <w:rPr>
          <w:color w:val="4D4D4F"/>
          <w:spacing w:val="2"/>
          <w:sz w:val="16"/>
        </w:rPr>
        <w:t xml:space="preserve">30: </w:t>
      </w:r>
      <w:r>
        <w:rPr>
          <w:color w:val="4D4D4F"/>
          <w:sz w:val="16"/>
        </w:rPr>
        <w:t>Southern</w:t>
      </w:r>
      <w:r>
        <w:rPr>
          <w:color w:val="4D4D4F"/>
          <w:spacing w:val="-5"/>
          <w:sz w:val="16"/>
        </w:rPr>
        <w:t xml:space="preserve"> </w:t>
      </w:r>
      <w:r>
        <w:rPr>
          <w:color w:val="4D4D4F"/>
          <w:spacing w:val="2"/>
          <w:sz w:val="16"/>
        </w:rPr>
        <w:t>Brown</w:t>
      </w:r>
      <w:r>
        <w:rPr>
          <w:color w:val="4D4D4F"/>
          <w:spacing w:val="11"/>
          <w:sz w:val="16"/>
        </w:rPr>
        <w:t xml:space="preserve"> </w:t>
      </w:r>
      <w:r>
        <w:rPr>
          <w:color w:val="4D4D4F"/>
          <w:sz w:val="16"/>
        </w:rPr>
        <w:t>Bandicoot</w:t>
      </w:r>
      <w:r>
        <w:rPr>
          <w:color w:val="4D4D4F"/>
          <w:sz w:val="16"/>
        </w:rPr>
        <w:tab/>
      </w:r>
      <w:r>
        <w:rPr>
          <w:rFonts w:ascii="Century Gothic"/>
          <w:i/>
          <w:color w:val="4D4D4F"/>
          <w:sz w:val="12"/>
        </w:rPr>
        <w:t>Source:</w:t>
      </w:r>
      <w:r>
        <w:rPr>
          <w:rFonts w:ascii="Century Gothic"/>
          <w:i/>
          <w:color w:val="4D4D4F"/>
          <w:spacing w:val="-22"/>
          <w:sz w:val="12"/>
        </w:rPr>
        <w:t xml:space="preserve"> </w:t>
      </w:r>
      <w:r>
        <w:rPr>
          <w:rFonts w:ascii="Century Gothic"/>
          <w:i/>
          <w:color w:val="4D4D4F"/>
          <w:sz w:val="12"/>
        </w:rPr>
        <w:t>DELWP</w:t>
      </w:r>
    </w:p>
    <w:p w14:paraId="02A8558C" w14:textId="77777777" w:rsidR="00EF5B27" w:rsidRDefault="00EF5B27">
      <w:pPr>
        <w:pStyle w:val="BodyText"/>
        <w:spacing w:before="3"/>
        <w:rPr>
          <w:rFonts w:ascii="Century Gothic"/>
          <w:i/>
        </w:rPr>
      </w:pPr>
    </w:p>
    <w:p w14:paraId="0EE69C87" w14:textId="77777777" w:rsidR="00EF5B27" w:rsidRDefault="00000000">
      <w:pPr>
        <w:pStyle w:val="Heading3"/>
        <w:spacing w:before="1"/>
      </w:pPr>
      <w:r>
        <w:rPr>
          <w:color w:val="F99F2A"/>
        </w:rPr>
        <w:t>DELWP’s conservation commitment</w:t>
      </w:r>
    </w:p>
    <w:p w14:paraId="400F9128" w14:textId="77777777" w:rsidR="00EF5B27" w:rsidRDefault="00000000">
      <w:pPr>
        <w:pStyle w:val="BodyText"/>
        <w:spacing w:before="221" w:line="254" w:lineRule="auto"/>
        <w:ind w:left="2608" w:right="465"/>
      </w:pPr>
      <w:r>
        <w:rPr>
          <w:color w:val="4D4D4F"/>
        </w:rPr>
        <w:t>DELWP published the following statements as conservation outcomes for the Southern Brown Bandicoot by notice in the Victorian Government Gazette:</w:t>
      </w:r>
    </w:p>
    <w:p w14:paraId="30407929" w14:textId="77777777" w:rsidR="00EF5B27" w:rsidRDefault="00000000">
      <w:pPr>
        <w:pStyle w:val="BodyText"/>
        <w:spacing w:before="5"/>
        <w:rPr>
          <w:sz w:val="28"/>
        </w:rPr>
      </w:pPr>
      <w:r>
        <w:pict w14:anchorId="289CC97C">
          <v:shape id="_x0000_s2967" type="#_x0000_t202" style="position:absolute;margin-left:181.65pt;margin-top:19.55pt;width:356.8pt;height:101.65pt;z-index:251598336;mso-wrap-distance-left:0;mso-wrap-distance-right:0;mso-position-horizontal-relative:page" filled="f" strokecolor="#4d4d4f" strokeweight=".5pt">
            <v:textbox inset="0,0,0,0">
              <w:txbxContent>
                <w:p w14:paraId="411BCF5C" w14:textId="77777777" w:rsidR="00EF5B27" w:rsidRDefault="00000000">
                  <w:pPr>
                    <w:spacing w:before="192" w:line="254" w:lineRule="auto"/>
                    <w:ind w:left="275" w:hanging="49"/>
                    <w:rPr>
                      <w:b/>
                      <w:i/>
                      <w:sz w:val="20"/>
                    </w:rPr>
                  </w:pPr>
                  <w:r>
                    <w:rPr>
                      <w:b/>
                      <w:i/>
                      <w:color w:val="4D4D4F"/>
                      <w:sz w:val="20"/>
                    </w:rPr>
                    <w:t xml:space="preserve">‘Functioning and sustainable Southern Brown Bandicoot populations within the </w:t>
                  </w:r>
                  <w:r>
                    <w:rPr>
                      <w:b/>
                      <w:i/>
                      <w:color w:val="4D4D4F"/>
                      <w:spacing w:val="-6"/>
                      <w:sz w:val="20"/>
                    </w:rPr>
                    <w:t xml:space="preserve">Southern Brown Bandicoot management area with </w:t>
                  </w:r>
                  <w:r>
                    <w:rPr>
                      <w:b/>
                      <w:i/>
                      <w:color w:val="4D4D4F"/>
                      <w:spacing w:val="-7"/>
                      <w:sz w:val="20"/>
                    </w:rPr>
                    <w:t xml:space="preserve">connectivity </w:t>
                  </w:r>
                  <w:r>
                    <w:rPr>
                      <w:b/>
                      <w:i/>
                      <w:color w:val="4D4D4F"/>
                      <w:spacing w:val="-6"/>
                      <w:sz w:val="20"/>
                    </w:rPr>
                    <w:t xml:space="preserve">between </w:t>
                  </w:r>
                  <w:r>
                    <w:rPr>
                      <w:b/>
                      <w:i/>
                      <w:color w:val="4D4D4F"/>
                      <w:spacing w:val="-7"/>
                      <w:sz w:val="20"/>
                    </w:rPr>
                    <w:t xml:space="preserve">populations. </w:t>
                  </w:r>
                  <w:r>
                    <w:rPr>
                      <w:b/>
                      <w:i/>
                      <w:color w:val="4D4D4F"/>
                      <w:spacing w:val="-6"/>
                      <w:sz w:val="20"/>
                    </w:rPr>
                    <w:t xml:space="preserve">Sustainable populations </w:t>
                  </w:r>
                  <w:r>
                    <w:rPr>
                      <w:b/>
                      <w:i/>
                      <w:color w:val="4D4D4F"/>
                      <w:spacing w:val="-5"/>
                      <w:sz w:val="20"/>
                    </w:rPr>
                    <w:t xml:space="preserve">means that </w:t>
                  </w:r>
                  <w:r>
                    <w:rPr>
                      <w:b/>
                      <w:i/>
                      <w:color w:val="4D4D4F"/>
                      <w:spacing w:val="-4"/>
                      <w:sz w:val="20"/>
                    </w:rPr>
                    <w:t xml:space="preserve">the </w:t>
                  </w:r>
                  <w:r>
                    <w:rPr>
                      <w:b/>
                      <w:i/>
                      <w:color w:val="4D4D4F"/>
                      <w:spacing w:val="-5"/>
                      <w:sz w:val="20"/>
                    </w:rPr>
                    <w:t xml:space="preserve">proportion </w:t>
                  </w:r>
                  <w:r>
                    <w:rPr>
                      <w:b/>
                      <w:i/>
                      <w:color w:val="4D4D4F"/>
                      <w:spacing w:val="-3"/>
                      <w:sz w:val="20"/>
                    </w:rPr>
                    <w:t xml:space="preserve">of </w:t>
                  </w:r>
                  <w:r>
                    <w:rPr>
                      <w:b/>
                      <w:i/>
                      <w:color w:val="4D4D4F"/>
                      <w:spacing w:val="-6"/>
                      <w:sz w:val="20"/>
                    </w:rPr>
                    <w:t xml:space="preserve">sites </w:t>
                  </w:r>
                  <w:r>
                    <w:rPr>
                      <w:b/>
                      <w:i/>
                      <w:color w:val="4D4D4F"/>
                      <w:spacing w:val="-5"/>
                      <w:sz w:val="20"/>
                    </w:rPr>
                    <w:t xml:space="preserve">occupied </w:t>
                  </w:r>
                  <w:r>
                    <w:rPr>
                      <w:b/>
                      <w:i/>
                      <w:color w:val="4D4D4F"/>
                      <w:spacing w:val="-6"/>
                      <w:sz w:val="20"/>
                    </w:rPr>
                    <w:t xml:space="preserve">(measured via </w:t>
                  </w:r>
                  <w:r>
                    <w:rPr>
                      <w:b/>
                      <w:i/>
                      <w:color w:val="4D4D4F"/>
                      <w:spacing w:val="-5"/>
                      <w:sz w:val="20"/>
                    </w:rPr>
                    <w:t xml:space="preserve">camera trap </w:t>
                  </w:r>
                  <w:r>
                    <w:rPr>
                      <w:b/>
                      <w:i/>
                      <w:color w:val="4D4D4F"/>
                      <w:spacing w:val="-6"/>
                      <w:sz w:val="20"/>
                    </w:rPr>
                    <w:t xml:space="preserve">surveys taken every </w:t>
                  </w:r>
                  <w:r>
                    <w:rPr>
                      <w:b/>
                      <w:i/>
                      <w:color w:val="4D4D4F"/>
                      <w:spacing w:val="-4"/>
                      <w:sz w:val="20"/>
                    </w:rPr>
                    <w:t xml:space="preserve">five </w:t>
                  </w:r>
                  <w:r>
                    <w:rPr>
                      <w:b/>
                      <w:i/>
                      <w:color w:val="4D4D4F"/>
                      <w:spacing w:val="-7"/>
                      <w:sz w:val="20"/>
                    </w:rPr>
                    <w:t xml:space="preserve">years) </w:t>
                  </w:r>
                  <w:r>
                    <w:rPr>
                      <w:b/>
                      <w:i/>
                      <w:color w:val="4D4D4F"/>
                      <w:spacing w:val="-6"/>
                      <w:sz w:val="20"/>
                    </w:rPr>
                    <w:t xml:space="preserve">remains </w:t>
                  </w:r>
                  <w:r>
                    <w:rPr>
                      <w:b/>
                      <w:i/>
                      <w:color w:val="4D4D4F"/>
                      <w:spacing w:val="-5"/>
                      <w:sz w:val="20"/>
                    </w:rPr>
                    <w:t xml:space="preserve">above </w:t>
                  </w:r>
                  <w:r>
                    <w:rPr>
                      <w:b/>
                      <w:i/>
                      <w:color w:val="4D4D4F"/>
                      <w:spacing w:val="-4"/>
                      <w:sz w:val="20"/>
                    </w:rPr>
                    <w:t xml:space="preserve">the </w:t>
                  </w:r>
                  <w:r>
                    <w:rPr>
                      <w:b/>
                      <w:i/>
                      <w:color w:val="4D4D4F"/>
                      <w:spacing w:val="-8"/>
                      <w:sz w:val="20"/>
                    </w:rPr>
                    <w:t>baseline.’</w:t>
                  </w:r>
                </w:p>
                <w:p w14:paraId="62EECD0B" w14:textId="77777777" w:rsidR="00EF5B27" w:rsidRDefault="00000000">
                  <w:pPr>
                    <w:spacing w:before="118" w:line="254" w:lineRule="auto"/>
                    <w:ind w:left="275" w:right="313" w:hanging="49"/>
                    <w:rPr>
                      <w:b/>
                      <w:i/>
                      <w:sz w:val="20"/>
                    </w:rPr>
                  </w:pPr>
                  <w:r>
                    <w:rPr>
                      <w:b/>
                      <w:i/>
                      <w:color w:val="4D4D4F"/>
                      <w:sz w:val="20"/>
                    </w:rPr>
                    <w:t>‘The protection and enhancement of all Southern Brown Bandicoot populations within the Southern Brown Bandicoot management area.’</w:t>
                  </w:r>
                </w:p>
              </w:txbxContent>
            </v:textbox>
            <w10:wrap type="topAndBottom" anchorx="page"/>
          </v:shape>
        </w:pict>
      </w:r>
      <w:r>
        <w:pict w14:anchorId="21EA64C1">
          <v:line id="_x0000_s2966" style="position:absolute;z-index:251599360;mso-wrap-distance-left:0;mso-wrap-distance-right:0;mso-position-horizontal-relative:page" from="181.4pt,136.45pt" to="538.7pt,136.45pt" strokecolor="#4d4d4f" strokeweight=".5pt">
            <w10:wrap type="topAndBottom" anchorx="page"/>
          </v:line>
        </w:pict>
      </w:r>
    </w:p>
    <w:p w14:paraId="3474D444" w14:textId="77777777" w:rsidR="00EF5B27" w:rsidRDefault="00EF5B27">
      <w:pPr>
        <w:pStyle w:val="BodyText"/>
        <w:spacing w:before="6"/>
        <w:rPr>
          <w:sz w:val="18"/>
        </w:rPr>
      </w:pPr>
    </w:p>
    <w:p w14:paraId="00FFFB4A" w14:textId="77777777" w:rsidR="00EF5B27" w:rsidRDefault="00000000">
      <w:pPr>
        <w:pStyle w:val="ListParagraph"/>
        <w:numPr>
          <w:ilvl w:val="0"/>
          <w:numId w:val="25"/>
        </w:numPr>
        <w:tabs>
          <w:tab w:val="left" w:pos="2836"/>
        </w:tabs>
        <w:spacing w:before="88" w:line="230" w:lineRule="auto"/>
        <w:ind w:right="108"/>
        <w:rPr>
          <w:sz w:val="12"/>
        </w:rPr>
      </w:pPr>
      <w:r>
        <w:rPr>
          <w:color w:val="4D4D4F"/>
          <w:sz w:val="12"/>
        </w:rPr>
        <w:t xml:space="preserve">Menkhorst </w:t>
      </w:r>
      <w:r>
        <w:rPr>
          <w:color w:val="4D4D4F"/>
          <w:spacing w:val="2"/>
          <w:sz w:val="12"/>
        </w:rPr>
        <w:t xml:space="preserve">PWS </w:t>
      </w:r>
      <w:r>
        <w:rPr>
          <w:color w:val="4D4D4F"/>
          <w:sz w:val="12"/>
        </w:rPr>
        <w:t xml:space="preserve">1990, ‘Distribution and conservation status of bandicoots in Victoria.’ In: JH </w:t>
      </w:r>
      <w:r>
        <w:rPr>
          <w:color w:val="4D4D4F"/>
          <w:spacing w:val="2"/>
          <w:sz w:val="12"/>
        </w:rPr>
        <w:t xml:space="preserve">Seebeck,  </w:t>
      </w:r>
      <w:r>
        <w:rPr>
          <w:color w:val="4D4D4F"/>
          <w:sz w:val="12"/>
        </w:rPr>
        <w:t xml:space="preserve">PR  </w:t>
      </w:r>
      <w:r>
        <w:rPr>
          <w:color w:val="4D4D4F"/>
          <w:spacing w:val="2"/>
          <w:sz w:val="12"/>
        </w:rPr>
        <w:t xml:space="preserve">Brown,  </w:t>
      </w:r>
      <w:r>
        <w:rPr>
          <w:color w:val="4D4D4F"/>
          <w:sz w:val="12"/>
        </w:rPr>
        <w:t>RL  Wallis  and  CM Kemper</w:t>
      </w:r>
      <w:r>
        <w:rPr>
          <w:color w:val="4D4D4F"/>
          <w:spacing w:val="3"/>
          <w:sz w:val="12"/>
        </w:rPr>
        <w:t xml:space="preserve"> </w:t>
      </w:r>
      <w:r>
        <w:rPr>
          <w:color w:val="4D4D4F"/>
          <w:sz w:val="12"/>
        </w:rPr>
        <w:t>(eds.)</w:t>
      </w:r>
      <w:r>
        <w:rPr>
          <w:color w:val="4D4D4F"/>
          <w:spacing w:val="3"/>
          <w:sz w:val="12"/>
        </w:rPr>
        <w:t xml:space="preserve"> </w:t>
      </w:r>
      <w:r>
        <w:rPr>
          <w:color w:val="4D4D4F"/>
          <w:sz w:val="12"/>
        </w:rPr>
        <w:t>Bandicoots</w:t>
      </w:r>
      <w:r>
        <w:rPr>
          <w:color w:val="4D4D4F"/>
          <w:spacing w:val="4"/>
          <w:sz w:val="12"/>
        </w:rPr>
        <w:t xml:space="preserve"> </w:t>
      </w:r>
      <w:r>
        <w:rPr>
          <w:color w:val="4D4D4F"/>
          <w:sz w:val="12"/>
        </w:rPr>
        <w:t>and</w:t>
      </w:r>
      <w:r>
        <w:rPr>
          <w:color w:val="4D4D4F"/>
          <w:spacing w:val="3"/>
          <w:sz w:val="12"/>
        </w:rPr>
        <w:t xml:space="preserve"> </w:t>
      </w:r>
      <w:r>
        <w:rPr>
          <w:color w:val="4D4D4F"/>
          <w:sz w:val="12"/>
        </w:rPr>
        <w:t>Bilbies,</w:t>
      </w:r>
      <w:r>
        <w:rPr>
          <w:color w:val="4D4D4F"/>
          <w:spacing w:val="4"/>
          <w:sz w:val="12"/>
        </w:rPr>
        <w:t xml:space="preserve"> </w:t>
      </w:r>
      <w:r>
        <w:rPr>
          <w:color w:val="4D4D4F"/>
          <w:spacing w:val="2"/>
          <w:sz w:val="12"/>
        </w:rPr>
        <w:t>Surrey</w:t>
      </w:r>
      <w:r>
        <w:rPr>
          <w:color w:val="4D4D4F"/>
          <w:spacing w:val="3"/>
          <w:sz w:val="12"/>
        </w:rPr>
        <w:t xml:space="preserve"> </w:t>
      </w:r>
      <w:r>
        <w:rPr>
          <w:color w:val="4D4D4F"/>
          <w:spacing w:val="2"/>
          <w:sz w:val="12"/>
        </w:rPr>
        <w:t>Beatty</w:t>
      </w:r>
      <w:r>
        <w:rPr>
          <w:color w:val="4D4D4F"/>
          <w:spacing w:val="3"/>
          <w:sz w:val="12"/>
        </w:rPr>
        <w:t xml:space="preserve"> </w:t>
      </w:r>
      <w:r>
        <w:rPr>
          <w:color w:val="4D4D4F"/>
          <w:sz w:val="12"/>
        </w:rPr>
        <w:t>&amp;</w:t>
      </w:r>
      <w:r>
        <w:rPr>
          <w:color w:val="4D4D4F"/>
          <w:spacing w:val="4"/>
          <w:sz w:val="12"/>
        </w:rPr>
        <w:t xml:space="preserve"> </w:t>
      </w:r>
      <w:r>
        <w:rPr>
          <w:color w:val="4D4D4F"/>
          <w:sz w:val="12"/>
        </w:rPr>
        <w:t>Sons</w:t>
      </w:r>
      <w:r>
        <w:rPr>
          <w:color w:val="4D4D4F"/>
          <w:spacing w:val="3"/>
          <w:sz w:val="12"/>
        </w:rPr>
        <w:t xml:space="preserve"> Pty</w:t>
      </w:r>
      <w:r>
        <w:rPr>
          <w:color w:val="4D4D4F"/>
          <w:spacing w:val="4"/>
          <w:sz w:val="12"/>
        </w:rPr>
        <w:t xml:space="preserve"> </w:t>
      </w:r>
      <w:r>
        <w:rPr>
          <w:color w:val="4D4D4F"/>
          <w:sz w:val="12"/>
        </w:rPr>
        <w:t>Ltd,</w:t>
      </w:r>
      <w:r>
        <w:rPr>
          <w:color w:val="4D4D4F"/>
          <w:spacing w:val="3"/>
          <w:sz w:val="12"/>
        </w:rPr>
        <w:t xml:space="preserve"> </w:t>
      </w:r>
      <w:r>
        <w:rPr>
          <w:color w:val="4D4D4F"/>
          <w:sz w:val="12"/>
        </w:rPr>
        <w:t>Chipping</w:t>
      </w:r>
      <w:r>
        <w:rPr>
          <w:color w:val="4D4D4F"/>
          <w:spacing w:val="4"/>
          <w:sz w:val="12"/>
        </w:rPr>
        <w:t xml:space="preserve"> </w:t>
      </w:r>
      <w:r>
        <w:rPr>
          <w:color w:val="4D4D4F"/>
          <w:spacing w:val="2"/>
          <w:sz w:val="12"/>
        </w:rPr>
        <w:t>Norton,</w:t>
      </w:r>
      <w:r>
        <w:rPr>
          <w:color w:val="4D4D4F"/>
          <w:spacing w:val="3"/>
          <w:sz w:val="12"/>
        </w:rPr>
        <w:t xml:space="preserve"> </w:t>
      </w:r>
      <w:r>
        <w:rPr>
          <w:color w:val="4D4D4F"/>
          <w:sz w:val="12"/>
        </w:rPr>
        <w:t>pp.</w:t>
      </w:r>
      <w:r>
        <w:rPr>
          <w:color w:val="4D4D4F"/>
          <w:spacing w:val="3"/>
          <w:sz w:val="12"/>
        </w:rPr>
        <w:t xml:space="preserve"> </w:t>
      </w:r>
      <w:r>
        <w:rPr>
          <w:color w:val="4D4D4F"/>
          <w:sz w:val="12"/>
        </w:rPr>
        <w:t>51-50.</w:t>
      </w:r>
    </w:p>
    <w:p w14:paraId="7757FD67" w14:textId="77777777" w:rsidR="00EF5B27" w:rsidRDefault="00000000">
      <w:pPr>
        <w:pStyle w:val="ListParagraph"/>
        <w:numPr>
          <w:ilvl w:val="0"/>
          <w:numId w:val="25"/>
        </w:numPr>
        <w:tabs>
          <w:tab w:val="left" w:pos="2836"/>
        </w:tabs>
        <w:spacing w:line="230" w:lineRule="auto"/>
        <w:ind w:right="109"/>
        <w:rPr>
          <w:sz w:val="12"/>
        </w:rPr>
      </w:pPr>
      <w:r>
        <w:rPr>
          <w:color w:val="4D4D4F"/>
          <w:spacing w:val="2"/>
          <w:sz w:val="12"/>
        </w:rPr>
        <w:t xml:space="preserve">Brown </w:t>
      </w:r>
      <w:r>
        <w:rPr>
          <w:color w:val="4D4D4F"/>
          <w:sz w:val="12"/>
        </w:rPr>
        <w:t xml:space="preserve">GW and Main ML 2010, ‘National </w:t>
      </w:r>
      <w:r>
        <w:rPr>
          <w:color w:val="4D4D4F"/>
          <w:spacing w:val="2"/>
          <w:sz w:val="12"/>
        </w:rPr>
        <w:t xml:space="preserve">Recovery </w:t>
      </w:r>
      <w:r>
        <w:rPr>
          <w:color w:val="4D4D4F"/>
          <w:sz w:val="12"/>
        </w:rPr>
        <w:t xml:space="preserve">Plan for the Southern </w:t>
      </w:r>
      <w:r>
        <w:rPr>
          <w:color w:val="4D4D4F"/>
          <w:spacing w:val="2"/>
          <w:sz w:val="12"/>
        </w:rPr>
        <w:t xml:space="preserve">Brown </w:t>
      </w:r>
      <w:r>
        <w:rPr>
          <w:color w:val="4D4D4F"/>
          <w:sz w:val="12"/>
        </w:rPr>
        <w:t xml:space="preserve">Bandicoot </w:t>
      </w:r>
      <w:r>
        <w:rPr>
          <w:rFonts w:ascii="Arial Narrow" w:hAnsi="Arial Narrow"/>
          <w:i/>
          <w:color w:val="4D4D4F"/>
          <w:sz w:val="12"/>
        </w:rPr>
        <w:t>Isoodon obesulus</w:t>
      </w:r>
      <w:r>
        <w:rPr>
          <w:color w:val="4D4D4F"/>
          <w:sz w:val="12"/>
        </w:rPr>
        <w:t>’ Department of Sustainability   and Environment,</w:t>
      </w:r>
      <w:r>
        <w:rPr>
          <w:color w:val="4D4D4F"/>
          <w:spacing w:val="4"/>
          <w:sz w:val="12"/>
        </w:rPr>
        <w:t xml:space="preserve"> </w:t>
      </w:r>
      <w:r>
        <w:rPr>
          <w:color w:val="4D4D4F"/>
          <w:sz w:val="12"/>
        </w:rPr>
        <w:t>Victoria.</w:t>
      </w:r>
    </w:p>
    <w:p w14:paraId="05A1491D"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177EA3BF" w14:textId="77777777" w:rsidR="00EF5B27" w:rsidRDefault="00000000">
      <w:pPr>
        <w:pStyle w:val="BodyText"/>
      </w:pPr>
      <w:r>
        <w:lastRenderedPageBreak/>
        <w:pict w14:anchorId="3827F743">
          <v:group id="_x0000_s2958" style="position:absolute;margin-left:587.05pt;margin-top:183.4pt;width:8.25pt;height:153.1pt;z-index:251662848;mso-position-horizontal-relative:page;mso-position-vertical-relative:page" coordorigin="11741,3668" coordsize="165,3062">
            <v:shape id="_x0000_s2965" style="position:absolute;left:11741;top:3668;width:165;height:561" coordorigin="11741,3668" coordsize="165,561" path="m11906,3668r-165,l11741,4228r165,-18l11906,3668xe" fillcolor="#00aed9" stroked="f">
              <v:path arrowok="t"/>
            </v:shape>
            <v:shape id="_x0000_s2964" style="position:absolute;left:11741;top:4118;width:165;height:425" coordorigin="11741,4118" coordsize="165,425" path="m11906,4118r-165,14l11741,4531r165,12l11906,4118xe" fillcolor="#047ebc" stroked="f">
              <v:path arrowok="t"/>
            </v:shape>
            <v:shape id="_x0000_s2963" type="#_x0000_t75" style="position:absolute;left:11741;top:4355;width:165;height:587">
              <v:imagedata r:id="rId42" o:title=""/>
            </v:shape>
            <v:shape id="_x0000_s2962" style="position:absolute;left:11741;top:5343;width:165;height:536" coordorigin="11741,5343" coordsize="165,536" path="m11741,5343r,535l11906,5872r,-525l11741,5343xe" fillcolor="#f36a2e" stroked="f">
              <v:path arrowok="t"/>
            </v:shape>
            <v:shape id="_x0000_s2961" style="position:absolute;left:11741;top:4925;width:165;height:501" coordorigin="11741,4926" coordsize="165,501" path="m11741,4926r,500l11906,5426r,-485l11741,4926xe" fillcolor="#49783f" stroked="f">
              <v:path arrowok="t"/>
            </v:shape>
            <v:shape id="_x0000_s2960" style="position:absolute;left:11741;top:5781;width:165;height:268" coordorigin="11741,5782" coordsize="165,268" path="m11906,5782r-165,8l11741,6039r165,10l11906,5782xe" fillcolor="#f99f2a" stroked="f">
              <v:path arrowok="t"/>
            </v:shape>
            <v:shape id="_x0000_s2959" style="position:absolute;left:11741;top:6023;width:165;height:707" coordorigin="11741,6023" coordsize="165,707" path="m11741,6023r,706l11906,6729r,-690l11741,6023xe" fillcolor="#ef412c" stroked="f">
              <v:path arrowok="t"/>
            </v:shape>
            <w10:wrap anchorx="page" anchory="page"/>
          </v:group>
        </w:pict>
      </w:r>
    </w:p>
    <w:p w14:paraId="705C916D" w14:textId="77777777" w:rsidR="00EF5B27" w:rsidRDefault="00EF5B27">
      <w:pPr>
        <w:pStyle w:val="BodyText"/>
      </w:pPr>
    </w:p>
    <w:p w14:paraId="2A4407E6" w14:textId="77777777" w:rsidR="00EF5B27" w:rsidRDefault="00EF5B27">
      <w:pPr>
        <w:pStyle w:val="BodyText"/>
      </w:pPr>
    </w:p>
    <w:p w14:paraId="0EEFBB6E" w14:textId="77777777" w:rsidR="00EF5B27" w:rsidRDefault="00EF5B27">
      <w:pPr>
        <w:pStyle w:val="BodyText"/>
        <w:spacing w:before="4"/>
        <w:rPr>
          <w:sz w:val="25"/>
        </w:rPr>
      </w:pPr>
    </w:p>
    <w:p w14:paraId="1DF61945" w14:textId="77777777" w:rsidR="00EF5B27" w:rsidRDefault="00000000">
      <w:pPr>
        <w:pStyle w:val="BodyText"/>
        <w:spacing w:before="100" w:line="254" w:lineRule="auto"/>
        <w:ind w:left="2608" w:right="496"/>
        <w:jc w:val="both"/>
      </w:pPr>
      <w:r>
        <w:rPr>
          <w:color w:val="4D4D4F"/>
        </w:rPr>
        <w:t>DELWP’s MSA MRF also summarises the conservation outcomes for the Southern Brown Bandicoot as a single goal statement: ‘Southern Brown Bandicoot persists within the Southern Brown Bandicoot management area.’</w:t>
      </w:r>
    </w:p>
    <w:p w14:paraId="05342949" w14:textId="77777777" w:rsidR="00EF5B27" w:rsidRDefault="00000000">
      <w:pPr>
        <w:pStyle w:val="BodyText"/>
        <w:spacing w:before="117" w:line="254" w:lineRule="auto"/>
        <w:ind w:left="2608" w:right="127"/>
        <w:jc w:val="both"/>
      </w:pPr>
      <w:r>
        <w:rPr>
          <w:color w:val="4D4D4F"/>
        </w:rPr>
        <w:t>Persistence is assessed by the degree of occupancy of Southern Brown Bandicoots as estimated by remote camera surveys, spread across 100 sites within the management area.</w:t>
      </w:r>
    </w:p>
    <w:p w14:paraId="3D20985B" w14:textId="77777777" w:rsidR="00EF5B27" w:rsidRDefault="00EF5B27">
      <w:pPr>
        <w:pStyle w:val="BodyText"/>
        <w:spacing w:before="3"/>
        <w:rPr>
          <w:sz w:val="19"/>
        </w:rPr>
      </w:pPr>
    </w:p>
    <w:p w14:paraId="2681B5CC" w14:textId="77777777" w:rsidR="00EF5B27" w:rsidRDefault="00000000">
      <w:pPr>
        <w:pStyle w:val="Heading3"/>
      </w:pPr>
      <w:r>
        <w:rPr>
          <w:color w:val="F99F2A"/>
          <w:w w:val="110"/>
        </w:rPr>
        <w:t>KPIs assessed</w:t>
      </w:r>
    </w:p>
    <w:p w14:paraId="59282BAC" w14:textId="77777777" w:rsidR="00EF5B27" w:rsidRDefault="00000000">
      <w:pPr>
        <w:pStyle w:val="BodyText"/>
        <w:spacing w:before="221"/>
        <w:ind w:left="2608"/>
      </w:pPr>
      <w:r>
        <w:rPr>
          <w:color w:val="4D4D4F"/>
          <w:w w:val="105"/>
        </w:rPr>
        <w:t>Progress towards this goal is measured using a single KPI:</w:t>
      </w:r>
    </w:p>
    <w:p w14:paraId="75205A25" w14:textId="77777777" w:rsidR="00EF5B27" w:rsidRDefault="00000000">
      <w:pPr>
        <w:pStyle w:val="BodyText"/>
        <w:spacing w:before="129" w:line="254" w:lineRule="auto"/>
        <w:ind w:left="2778" w:right="77" w:hanging="170"/>
      </w:pPr>
      <w:r>
        <w:rPr>
          <w:color w:val="4D4D4F"/>
        </w:rPr>
        <w:t>1. The five-year mean proportion of monitoring sites occupied must remain above a modelled baseline estimate of occupancy (calculated using data from the first survey).</w:t>
      </w:r>
    </w:p>
    <w:p w14:paraId="752F3686" w14:textId="77777777" w:rsidR="00EF5B27" w:rsidRDefault="00000000">
      <w:pPr>
        <w:pStyle w:val="BodyText"/>
        <w:spacing w:before="116" w:line="254" w:lineRule="auto"/>
        <w:ind w:left="2608" w:right="465"/>
        <w:rPr>
          <w:sz w:val="11"/>
        </w:rPr>
      </w:pPr>
      <w:r>
        <w:rPr>
          <w:color w:val="4D4D4F"/>
        </w:rPr>
        <w:t>Note the KPI as stated above is unofficial and has been modified from the KPI provided in the 2015 MSA MRF to reflect changes to DELWP’s methodology.</w:t>
      </w:r>
      <w:r>
        <w:rPr>
          <w:color w:val="4D4D4F"/>
          <w:position w:val="7"/>
          <w:sz w:val="11"/>
        </w:rPr>
        <w:t>207</w:t>
      </w:r>
    </w:p>
    <w:p w14:paraId="2F4BA0E7" w14:textId="77777777" w:rsidR="00EF5B27" w:rsidRDefault="00EF5B27">
      <w:pPr>
        <w:pStyle w:val="BodyText"/>
      </w:pPr>
    </w:p>
    <w:p w14:paraId="036878E4" w14:textId="77777777" w:rsidR="00EF5B27" w:rsidRDefault="00EF5B27">
      <w:pPr>
        <w:pStyle w:val="BodyText"/>
        <w:spacing w:before="8"/>
        <w:rPr>
          <w:sz w:val="11"/>
        </w:rPr>
      </w:pPr>
    </w:p>
    <w:tbl>
      <w:tblPr>
        <w:tblW w:w="0" w:type="auto"/>
        <w:tblInd w:w="261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152"/>
        <w:gridCol w:w="4989"/>
      </w:tblGrid>
      <w:tr w:rsidR="00EF5B27" w14:paraId="7BDCAED9" w14:textId="77777777">
        <w:trPr>
          <w:trHeight w:val="459"/>
        </w:trPr>
        <w:tc>
          <w:tcPr>
            <w:tcW w:w="2152" w:type="dxa"/>
            <w:shd w:val="clear" w:color="auto" w:fill="FECC91"/>
          </w:tcPr>
          <w:p w14:paraId="59F2746E" w14:textId="77777777" w:rsidR="00EF5B27" w:rsidRDefault="00000000">
            <w:pPr>
              <w:pStyle w:val="TableParagraph"/>
              <w:spacing w:before="140"/>
              <w:ind w:left="113"/>
              <w:rPr>
                <w:b/>
                <w:sz w:val="16"/>
              </w:rPr>
            </w:pPr>
            <w:r>
              <w:rPr>
                <w:b/>
                <w:w w:val="105"/>
                <w:sz w:val="16"/>
              </w:rPr>
              <w:t>MNES</w:t>
            </w:r>
          </w:p>
        </w:tc>
        <w:tc>
          <w:tcPr>
            <w:tcW w:w="4989" w:type="dxa"/>
          </w:tcPr>
          <w:p w14:paraId="4569833E" w14:textId="77777777" w:rsidR="00EF5B27" w:rsidRDefault="00000000">
            <w:pPr>
              <w:pStyle w:val="TableParagraph"/>
              <w:spacing w:before="140"/>
              <w:ind w:left="113"/>
              <w:rPr>
                <w:sz w:val="16"/>
              </w:rPr>
            </w:pPr>
            <w:r>
              <w:rPr>
                <w:color w:val="4D4D4F"/>
                <w:sz w:val="16"/>
              </w:rPr>
              <w:t>7. Southern Brown Bandicoot</w:t>
            </w:r>
          </w:p>
        </w:tc>
      </w:tr>
      <w:tr w:rsidR="00EF5B27" w14:paraId="7C659BE3" w14:textId="77777777">
        <w:trPr>
          <w:trHeight w:val="859"/>
        </w:trPr>
        <w:tc>
          <w:tcPr>
            <w:tcW w:w="2152" w:type="dxa"/>
            <w:shd w:val="clear" w:color="auto" w:fill="FECC91"/>
          </w:tcPr>
          <w:p w14:paraId="5C2CA60E" w14:textId="77777777" w:rsidR="00EF5B27" w:rsidRDefault="00000000">
            <w:pPr>
              <w:pStyle w:val="TableParagraph"/>
              <w:spacing w:before="140" w:line="244" w:lineRule="auto"/>
              <w:ind w:left="113" w:right="279"/>
              <w:rPr>
                <w:b/>
                <w:sz w:val="16"/>
              </w:rPr>
            </w:pPr>
            <w:r>
              <w:rPr>
                <w:b/>
                <w:sz w:val="16"/>
              </w:rPr>
              <w:t>Commonwealth approved 2015 MSA MRF single outcome statement</w:t>
            </w:r>
          </w:p>
        </w:tc>
        <w:tc>
          <w:tcPr>
            <w:tcW w:w="4989" w:type="dxa"/>
          </w:tcPr>
          <w:p w14:paraId="37EB3E3A" w14:textId="77777777" w:rsidR="00EF5B27" w:rsidRDefault="00EF5B27">
            <w:pPr>
              <w:pStyle w:val="TableParagraph"/>
              <w:spacing w:before="10"/>
              <w:rPr>
                <w:sz w:val="27"/>
              </w:rPr>
            </w:pPr>
          </w:p>
          <w:p w14:paraId="56BF1A6D" w14:textId="77777777" w:rsidR="00EF5B27" w:rsidRDefault="00000000">
            <w:pPr>
              <w:pStyle w:val="TableParagraph"/>
              <w:ind w:left="113"/>
              <w:rPr>
                <w:sz w:val="16"/>
              </w:rPr>
            </w:pPr>
            <w:r>
              <w:rPr>
                <w:color w:val="4D4D4F"/>
                <w:sz w:val="16"/>
              </w:rPr>
              <w:t>Southern Brown Bandicoot persists.</w:t>
            </w:r>
          </w:p>
        </w:tc>
      </w:tr>
      <w:tr w:rsidR="00EF5B27" w14:paraId="0EC2E9D5" w14:textId="77777777">
        <w:trPr>
          <w:trHeight w:val="859"/>
        </w:trPr>
        <w:tc>
          <w:tcPr>
            <w:tcW w:w="2152" w:type="dxa"/>
            <w:shd w:val="clear" w:color="auto" w:fill="FECC91"/>
          </w:tcPr>
          <w:p w14:paraId="611A60EE" w14:textId="77777777" w:rsidR="00EF5B27" w:rsidRDefault="00000000">
            <w:pPr>
              <w:pStyle w:val="TableParagraph"/>
              <w:spacing w:before="140" w:line="244" w:lineRule="auto"/>
              <w:ind w:left="113"/>
              <w:rPr>
                <w:b/>
                <w:sz w:val="16"/>
              </w:rPr>
            </w:pPr>
            <w:r>
              <w:rPr>
                <w:b/>
                <w:sz w:val="16"/>
              </w:rPr>
              <w:t>2014–2020 Ecological Outcomes Report single outcome statement</w:t>
            </w:r>
          </w:p>
        </w:tc>
        <w:tc>
          <w:tcPr>
            <w:tcW w:w="4989" w:type="dxa"/>
          </w:tcPr>
          <w:p w14:paraId="4C0561E7" w14:textId="77777777" w:rsidR="00EF5B27" w:rsidRDefault="00EF5B27">
            <w:pPr>
              <w:pStyle w:val="TableParagraph"/>
              <w:spacing w:before="10"/>
              <w:rPr>
                <w:sz w:val="27"/>
              </w:rPr>
            </w:pPr>
          </w:p>
          <w:p w14:paraId="0589B3C9" w14:textId="77777777" w:rsidR="00EF5B27" w:rsidRDefault="00000000">
            <w:pPr>
              <w:pStyle w:val="TableParagraph"/>
              <w:ind w:left="113"/>
              <w:rPr>
                <w:sz w:val="16"/>
              </w:rPr>
            </w:pPr>
            <w:r>
              <w:rPr>
                <w:color w:val="4D4D4F"/>
                <w:sz w:val="16"/>
              </w:rPr>
              <w:t>Southern Brown Bandicoot persists.</w:t>
            </w:r>
          </w:p>
        </w:tc>
      </w:tr>
      <w:tr w:rsidR="00EF5B27" w14:paraId="397C1777" w14:textId="77777777">
        <w:trPr>
          <w:trHeight w:val="1922"/>
        </w:trPr>
        <w:tc>
          <w:tcPr>
            <w:tcW w:w="2152" w:type="dxa"/>
            <w:shd w:val="clear" w:color="auto" w:fill="FECC91"/>
          </w:tcPr>
          <w:p w14:paraId="6691529D" w14:textId="77777777" w:rsidR="00EF5B27" w:rsidRDefault="00EF5B27">
            <w:pPr>
              <w:pStyle w:val="TableParagraph"/>
              <w:rPr>
                <w:sz w:val="20"/>
              </w:rPr>
            </w:pPr>
          </w:p>
          <w:p w14:paraId="701B40C0" w14:textId="77777777" w:rsidR="00EF5B27" w:rsidRDefault="00EF5B27">
            <w:pPr>
              <w:pStyle w:val="TableParagraph"/>
              <w:spacing w:before="9"/>
              <w:rPr>
                <w:sz w:val="26"/>
              </w:rPr>
            </w:pPr>
          </w:p>
          <w:p w14:paraId="608FFF48" w14:textId="77777777" w:rsidR="00EF5B27" w:rsidRDefault="00000000">
            <w:pPr>
              <w:pStyle w:val="TableParagraph"/>
              <w:spacing w:line="244" w:lineRule="auto"/>
              <w:ind w:left="113"/>
              <w:rPr>
                <w:b/>
                <w:sz w:val="16"/>
              </w:rPr>
            </w:pPr>
            <w:r>
              <w:rPr>
                <w:b/>
                <w:sz w:val="16"/>
              </w:rPr>
              <w:t>Conservation Outcomes published in the Victorian Government Gazette – Issue G4, 27 January 2022</w:t>
            </w:r>
          </w:p>
        </w:tc>
        <w:tc>
          <w:tcPr>
            <w:tcW w:w="4989" w:type="dxa"/>
          </w:tcPr>
          <w:p w14:paraId="0F415EFA" w14:textId="77777777" w:rsidR="00EF5B27" w:rsidRDefault="00EF5B27">
            <w:pPr>
              <w:pStyle w:val="TableParagraph"/>
              <w:spacing w:before="12"/>
              <w:rPr>
                <w:sz w:val="14"/>
              </w:rPr>
            </w:pPr>
          </w:p>
          <w:p w14:paraId="59E54CEC" w14:textId="77777777" w:rsidR="00EF5B27" w:rsidRDefault="00000000">
            <w:pPr>
              <w:pStyle w:val="TableParagraph"/>
              <w:spacing w:line="271" w:lineRule="auto"/>
              <w:ind w:left="113" w:right="210"/>
              <w:rPr>
                <w:sz w:val="16"/>
              </w:rPr>
            </w:pPr>
            <w:r>
              <w:rPr>
                <w:color w:val="4D4D4F"/>
                <w:sz w:val="16"/>
              </w:rPr>
              <w:t>Functioning and sustainable Southern Brown Bandicoot populations within the Southern Brown Bandicoot management area with connectivity between populations. Sustainable populations means that the proportion of sites occupied (measured via camera trap surveys taken every five years) remains above the baseline.</w:t>
            </w:r>
          </w:p>
          <w:p w14:paraId="4CC4EB1A" w14:textId="77777777" w:rsidR="00EF5B27" w:rsidRDefault="00000000">
            <w:pPr>
              <w:pStyle w:val="TableParagraph"/>
              <w:spacing w:before="53" w:line="271" w:lineRule="auto"/>
              <w:ind w:left="113"/>
              <w:rPr>
                <w:sz w:val="16"/>
              </w:rPr>
            </w:pPr>
            <w:r>
              <w:rPr>
                <w:color w:val="4D4D4F"/>
                <w:sz w:val="16"/>
              </w:rPr>
              <w:t>The protection and enhancement of all Southern Brown Bandicoot populations within the Southern Brown Bandicoot management area.</w:t>
            </w:r>
          </w:p>
        </w:tc>
      </w:tr>
    </w:tbl>
    <w:p w14:paraId="689D13F5" w14:textId="77777777" w:rsidR="00EF5B27" w:rsidRDefault="00EF5B27">
      <w:pPr>
        <w:pStyle w:val="BodyText"/>
        <w:spacing w:before="2"/>
        <w:rPr>
          <w:sz w:val="33"/>
        </w:rPr>
      </w:pPr>
    </w:p>
    <w:p w14:paraId="6D139523" w14:textId="77777777" w:rsidR="00EF5B27" w:rsidRDefault="00000000">
      <w:pPr>
        <w:pStyle w:val="Heading3"/>
      </w:pPr>
      <w:r>
        <w:rPr>
          <w:color w:val="F99F2A"/>
        </w:rPr>
        <w:t>Monitored areas</w:t>
      </w:r>
    </w:p>
    <w:p w14:paraId="234D5894" w14:textId="77777777" w:rsidR="00EF5B27" w:rsidRDefault="00000000">
      <w:pPr>
        <w:pStyle w:val="BodyText"/>
        <w:spacing w:before="221" w:line="254" w:lineRule="auto"/>
        <w:ind w:left="2608" w:right="30"/>
      </w:pPr>
      <w:r>
        <w:rPr>
          <w:color w:val="4D4D4F"/>
        </w:rPr>
        <w:t>Southern Brown Bandicoot is monitored on public land throughout the Southern Brown Bandicoot Management Area.</w:t>
      </w:r>
      <w:r>
        <w:rPr>
          <w:color w:val="4D4D4F"/>
          <w:position w:val="7"/>
          <w:sz w:val="11"/>
        </w:rPr>
        <w:t xml:space="preserve">208 </w:t>
      </w:r>
      <w:r>
        <w:rPr>
          <w:color w:val="4D4D4F"/>
        </w:rPr>
        <w:t>The management area (Figure 31) covers 59,549 ha to the south-east of Melbourne, primarily outside the UGB. Previous research has shown that despite this landscape being heavily modified, bandicoot populations persist.</w:t>
      </w:r>
      <w:r>
        <w:rPr>
          <w:color w:val="4D4D4F"/>
          <w:position w:val="7"/>
          <w:sz w:val="11"/>
        </w:rPr>
        <w:t xml:space="preserve">209,210 </w:t>
      </w:r>
      <w:r>
        <w:rPr>
          <w:color w:val="4D4D4F"/>
        </w:rPr>
        <w:t>Monitoring is undertaken every five years. The first year of monitoring was 2018, the next monitoring is due in autumn 2023.</w:t>
      </w:r>
    </w:p>
    <w:p w14:paraId="694BD8CA" w14:textId="77777777" w:rsidR="00EF5B27" w:rsidRDefault="00000000">
      <w:pPr>
        <w:pStyle w:val="BodyText"/>
        <w:spacing w:before="121" w:line="254" w:lineRule="auto"/>
        <w:ind w:left="2608" w:right="287"/>
      </w:pPr>
      <w:r>
        <w:rPr>
          <w:color w:val="4D4D4F"/>
        </w:rPr>
        <w:t>The baseline is the proportion of sites occupied as estimated by an occupancy model. It was set during the first monitoring period (2018) and it is split into three habitat types; canal 0.76, reserve 0.39 and road 0.35 of sites occupied.</w:t>
      </w:r>
    </w:p>
    <w:p w14:paraId="1DC8B1F9" w14:textId="77777777" w:rsidR="00EF5B27" w:rsidRDefault="00000000">
      <w:pPr>
        <w:pStyle w:val="BodyText"/>
        <w:spacing w:before="7"/>
        <w:rPr>
          <w:sz w:val="22"/>
        </w:rPr>
      </w:pPr>
      <w:r>
        <w:pict w14:anchorId="70459330">
          <v:line id="_x0000_s2957" style="position:absolute;z-index:251600384;mso-wrap-distance-left:0;mso-wrap-distance-right:0;mso-position-horizontal-relative:page" from="181.35pt,16pt" to="538.6pt,16pt" strokecolor="#4d4d4f" strokeweight=".5pt">
            <w10:wrap type="topAndBottom" anchorx="page"/>
          </v:line>
        </w:pict>
      </w:r>
    </w:p>
    <w:p w14:paraId="37606936" w14:textId="77777777" w:rsidR="00EF5B27" w:rsidRDefault="00000000">
      <w:pPr>
        <w:pStyle w:val="ListParagraph"/>
        <w:numPr>
          <w:ilvl w:val="0"/>
          <w:numId w:val="24"/>
        </w:numPr>
        <w:tabs>
          <w:tab w:val="left" w:pos="2835"/>
        </w:tabs>
        <w:spacing w:before="83" w:line="143" w:lineRule="exact"/>
        <w:rPr>
          <w:sz w:val="12"/>
        </w:rPr>
      </w:pPr>
      <w:r>
        <w:rPr>
          <w:color w:val="4D4D4F"/>
          <w:sz w:val="12"/>
        </w:rPr>
        <w:t>DELWP</w:t>
      </w:r>
      <w:r>
        <w:rPr>
          <w:color w:val="4D4D4F"/>
          <w:spacing w:val="4"/>
          <w:sz w:val="12"/>
        </w:rPr>
        <w:t xml:space="preserve"> </w:t>
      </w:r>
      <w:r>
        <w:rPr>
          <w:color w:val="4D4D4F"/>
          <w:sz w:val="12"/>
        </w:rPr>
        <w:t>2015,</w:t>
      </w:r>
      <w:r>
        <w:rPr>
          <w:color w:val="4D4D4F"/>
          <w:spacing w:val="5"/>
          <w:sz w:val="12"/>
        </w:rPr>
        <w:t xml:space="preserve"> </w:t>
      </w:r>
      <w:r>
        <w:rPr>
          <w:color w:val="4D4D4F"/>
          <w:sz w:val="12"/>
        </w:rPr>
        <w:t>‘Monitoring</w:t>
      </w:r>
      <w:r>
        <w:rPr>
          <w:color w:val="4D4D4F"/>
          <w:spacing w:val="5"/>
          <w:sz w:val="12"/>
        </w:rPr>
        <w:t xml:space="preserve"> </w:t>
      </w:r>
      <w:r>
        <w:rPr>
          <w:color w:val="4D4D4F"/>
          <w:sz w:val="12"/>
        </w:rPr>
        <w:t>and</w:t>
      </w:r>
      <w:r>
        <w:rPr>
          <w:color w:val="4D4D4F"/>
          <w:spacing w:val="5"/>
          <w:sz w:val="12"/>
        </w:rPr>
        <w:t xml:space="preserve"> </w:t>
      </w:r>
      <w:r>
        <w:rPr>
          <w:color w:val="4D4D4F"/>
          <w:sz w:val="12"/>
        </w:rPr>
        <w:t>Reporting</w:t>
      </w:r>
      <w:r>
        <w:rPr>
          <w:color w:val="4D4D4F"/>
          <w:spacing w:val="5"/>
          <w:sz w:val="12"/>
        </w:rPr>
        <w:t xml:space="preserve"> </w:t>
      </w:r>
      <w:r>
        <w:rPr>
          <w:color w:val="4D4D4F"/>
          <w:sz w:val="12"/>
        </w:rPr>
        <w:t>Framework</w:t>
      </w:r>
      <w:r>
        <w:rPr>
          <w:color w:val="4D4D4F"/>
          <w:spacing w:val="5"/>
          <w:sz w:val="12"/>
        </w:rPr>
        <w:t xml:space="preserve"> </w:t>
      </w:r>
      <w:r>
        <w:rPr>
          <w:color w:val="4D4D4F"/>
          <w:sz w:val="12"/>
        </w:rPr>
        <w:t>–</w:t>
      </w:r>
      <w:r>
        <w:rPr>
          <w:color w:val="4D4D4F"/>
          <w:spacing w:val="5"/>
          <w:sz w:val="12"/>
        </w:rPr>
        <w:t xml:space="preserve"> </w:t>
      </w:r>
      <w:r>
        <w:rPr>
          <w:color w:val="4D4D4F"/>
          <w:sz w:val="12"/>
        </w:rPr>
        <w:t>Melbourne</w:t>
      </w:r>
      <w:r>
        <w:rPr>
          <w:color w:val="4D4D4F"/>
          <w:spacing w:val="5"/>
          <w:sz w:val="12"/>
        </w:rPr>
        <w:t xml:space="preserve"> </w:t>
      </w:r>
      <w:r>
        <w:rPr>
          <w:color w:val="4D4D4F"/>
          <w:sz w:val="12"/>
        </w:rPr>
        <w:t>Strategic</w:t>
      </w:r>
      <w:r>
        <w:rPr>
          <w:color w:val="4D4D4F"/>
          <w:spacing w:val="5"/>
          <w:sz w:val="12"/>
        </w:rPr>
        <w:t xml:space="preserve"> </w:t>
      </w:r>
      <w:r>
        <w:rPr>
          <w:color w:val="4D4D4F"/>
          <w:sz w:val="12"/>
        </w:rPr>
        <w:t>Assessment’,</w:t>
      </w:r>
      <w:r>
        <w:rPr>
          <w:color w:val="4D4D4F"/>
          <w:spacing w:val="5"/>
          <w:sz w:val="12"/>
        </w:rPr>
        <w:t xml:space="preserve"> </w:t>
      </w:r>
      <w:r>
        <w:rPr>
          <w:color w:val="4D4D4F"/>
          <w:sz w:val="12"/>
        </w:rPr>
        <w:t>East</w:t>
      </w:r>
      <w:r>
        <w:rPr>
          <w:color w:val="4D4D4F"/>
          <w:spacing w:val="5"/>
          <w:sz w:val="12"/>
        </w:rPr>
        <w:t xml:space="preserve"> </w:t>
      </w:r>
      <w:r>
        <w:rPr>
          <w:color w:val="4D4D4F"/>
          <w:sz w:val="12"/>
        </w:rPr>
        <w:t>Melbourne,</w:t>
      </w:r>
      <w:r>
        <w:rPr>
          <w:color w:val="4D4D4F"/>
          <w:spacing w:val="5"/>
          <w:sz w:val="12"/>
        </w:rPr>
        <w:t xml:space="preserve"> </w:t>
      </w:r>
      <w:r>
        <w:rPr>
          <w:color w:val="4D4D4F"/>
          <w:sz w:val="12"/>
        </w:rPr>
        <w:t>Victoria.</w:t>
      </w:r>
    </w:p>
    <w:p w14:paraId="08B10899" w14:textId="77777777" w:rsidR="00EF5B27" w:rsidRDefault="00000000">
      <w:pPr>
        <w:pStyle w:val="ListParagraph"/>
        <w:numPr>
          <w:ilvl w:val="0"/>
          <w:numId w:val="24"/>
        </w:numPr>
        <w:tabs>
          <w:tab w:val="left" w:pos="2835"/>
        </w:tabs>
        <w:spacing w:line="140" w:lineRule="exact"/>
        <w:rPr>
          <w:sz w:val="12"/>
        </w:rPr>
      </w:pPr>
      <w:r>
        <w:rPr>
          <w:color w:val="4D4D4F"/>
          <w:sz w:val="12"/>
        </w:rPr>
        <w:t>DEPI</w:t>
      </w:r>
      <w:r>
        <w:rPr>
          <w:color w:val="4D4D4F"/>
          <w:spacing w:val="3"/>
          <w:sz w:val="12"/>
        </w:rPr>
        <w:t xml:space="preserve"> </w:t>
      </w:r>
      <w:r>
        <w:rPr>
          <w:color w:val="4D4D4F"/>
          <w:sz w:val="12"/>
        </w:rPr>
        <w:t>2014,</w:t>
      </w:r>
      <w:r>
        <w:rPr>
          <w:color w:val="4D4D4F"/>
          <w:spacing w:val="4"/>
          <w:sz w:val="12"/>
        </w:rPr>
        <w:t xml:space="preserve"> </w:t>
      </w:r>
      <w:r>
        <w:rPr>
          <w:color w:val="4D4D4F"/>
          <w:spacing w:val="2"/>
          <w:sz w:val="12"/>
        </w:rPr>
        <w:t>‘Sub-regional</w:t>
      </w:r>
      <w:r>
        <w:rPr>
          <w:color w:val="4D4D4F"/>
          <w:spacing w:val="3"/>
          <w:sz w:val="12"/>
        </w:rPr>
        <w:t xml:space="preserve"> </w:t>
      </w:r>
      <w:r>
        <w:rPr>
          <w:color w:val="4D4D4F"/>
          <w:sz w:val="12"/>
        </w:rPr>
        <w:t>Species</w:t>
      </w:r>
      <w:r>
        <w:rPr>
          <w:color w:val="4D4D4F"/>
          <w:spacing w:val="4"/>
          <w:sz w:val="12"/>
        </w:rPr>
        <w:t xml:space="preserve"> </w:t>
      </w:r>
      <w:r>
        <w:rPr>
          <w:color w:val="4D4D4F"/>
          <w:sz w:val="12"/>
        </w:rPr>
        <w:t>Strategy</w:t>
      </w:r>
      <w:r>
        <w:rPr>
          <w:color w:val="4D4D4F"/>
          <w:spacing w:val="4"/>
          <w:sz w:val="12"/>
        </w:rPr>
        <w:t xml:space="preserve"> </w:t>
      </w:r>
      <w:r>
        <w:rPr>
          <w:color w:val="4D4D4F"/>
          <w:sz w:val="12"/>
        </w:rPr>
        <w:t>for</w:t>
      </w:r>
      <w:r>
        <w:rPr>
          <w:color w:val="4D4D4F"/>
          <w:spacing w:val="3"/>
          <w:sz w:val="12"/>
        </w:rPr>
        <w:t xml:space="preserve"> </w:t>
      </w:r>
      <w:r>
        <w:rPr>
          <w:color w:val="4D4D4F"/>
          <w:sz w:val="12"/>
        </w:rPr>
        <w:t>the</w:t>
      </w:r>
      <w:r>
        <w:rPr>
          <w:color w:val="4D4D4F"/>
          <w:spacing w:val="4"/>
          <w:sz w:val="12"/>
        </w:rPr>
        <w:t xml:space="preserve"> </w:t>
      </w:r>
      <w:r>
        <w:rPr>
          <w:color w:val="4D4D4F"/>
          <w:sz w:val="12"/>
        </w:rPr>
        <w:t>Southern</w:t>
      </w:r>
      <w:r>
        <w:rPr>
          <w:color w:val="4D4D4F"/>
          <w:spacing w:val="4"/>
          <w:sz w:val="12"/>
        </w:rPr>
        <w:t xml:space="preserve"> </w:t>
      </w:r>
      <w:r>
        <w:rPr>
          <w:color w:val="4D4D4F"/>
          <w:spacing w:val="2"/>
          <w:sz w:val="12"/>
        </w:rPr>
        <w:t>Brown</w:t>
      </w:r>
      <w:r>
        <w:rPr>
          <w:color w:val="4D4D4F"/>
          <w:spacing w:val="3"/>
          <w:sz w:val="12"/>
        </w:rPr>
        <w:t xml:space="preserve"> </w:t>
      </w:r>
      <w:r>
        <w:rPr>
          <w:color w:val="4D4D4F"/>
          <w:sz w:val="12"/>
        </w:rPr>
        <w:t>Bandicoot.’</w:t>
      </w:r>
      <w:r>
        <w:rPr>
          <w:color w:val="4D4D4F"/>
          <w:spacing w:val="4"/>
          <w:sz w:val="12"/>
        </w:rPr>
        <w:t xml:space="preserve"> </w:t>
      </w:r>
      <w:r>
        <w:rPr>
          <w:color w:val="4D4D4F"/>
          <w:sz w:val="12"/>
        </w:rPr>
        <w:t>East</w:t>
      </w:r>
      <w:r>
        <w:rPr>
          <w:color w:val="4D4D4F"/>
          <w:spacing w:val="3"/>
          <w:sz w:val="12"/>
        </w:rPr>
        <w:t xml:space="preserve"> </w:t>
      </w:r>
      <w:r>
        <w:rPr>
          <w:color w:val="4D4D4F"/>
          <w:sz w:val="12"/>
        </w:rPr>
        <w:t>Melbourne.</w:t>
      </w:r>
    </w:p>
    <w:p w14:paraId="0AA3901B" w14:textId="77777777" w:rsidR="00EF5B27" w:rsidRDefault="00000000">
      <w:pPr>
        <w:pStyle w:val="ListParagraph"/>
        <w:numPr>
          <w:ilvl w:val="0"/>
          <w:numId w:val="24"/>
        </w:numPr>
        <w:tabs>
          <w:tab w:val="left" w:pos="2835"/>
        </w:tabs>
        <w:spacing w:before="2" w:line="230" w:lineRule="auto"/>
        <w:ind w:right="111"/>
        <w:rPr>
          <w:sz w:val="12"/>
        </w:rPr>
      </w:pPr>
      <w:r>
        <w:rPr>
          <w:color w:val="4D4D4F"/>
          <w:sz w:val="12"/>
        </w:rPr>
        <w:t xml:space="preserve">Bryant D, Sinclair S, </w:t>
      </w:r>
      <w:r>
        <w:rPr>
          <w:color w:val="4D4D4F"/>
          <w:spacing w:val="2"/>
          <w:sz w:val="12"/>
        </w:rPr>
        <w:t xml:space="preserve">Geary </w:t>
      </w:r>
      <w:r>
        <w:rPr>
          <w:color w:val="4D4D4F"/>
          <w:sz w:val="12"/>
        </w:rPr>
        <w:t xml:space="preserve">W, </w:t>
      </w:r>
      <w:r>
        <w:rPr>
          <w:color w:val="4D4D4F"/>
          <w:spacing w:val="2"/>
          <w:sz w:val="12"/>
        </w:rPr>
        <w:t xml:space="preserve">Bruce </w:t>
      </w:r>
      <w:r>
        <w:rPr>
          <w:color w:val="4D4D4F"/>
          <w:sz w:val="12"/>
        </w:rPr>
        <w:t xml:space="preserve">M and Millen C 2018, </w:t>
      </w:r>
      <w:r>
        <w:rPr>
          <w:color w:val="4D4D4F"/>
          <w:spacing w:val="2"/>
          <w:sz w:val="12"/>
        </w:rPr>
        <w:t xml:space="preserve">‘The occurrence </w:t>
      </w:r>
      <w:r>
        <w:rPr>
          <w:color w:val="4D4D4F"/>
          <w:sz w:val="12"/>
        </w:rPr>
        <w:t xml:space="preserve">of the Southern </w:t>
      </w:r>
      <w:r>
        <w:rPr>
          <w:color w:val="4D4D4F"/>
          <w:spacing w:val="2"/>
          <w:sz w:val="12"/>
        </w:rPr>
        <w:t xml:space="preserve">Brown </w:t>
      </w:r>
      <w:r>
        <w:rPr>
          <w:color w:val="4D4D4F"/>
          <w:sz w:val="12"/>
        </w:rPr>
        <w:t xml:space="preserve">Bandicoot  </w:t>
      </w:r>
      <w:r>
        <w:rPr>
          <w:rFonts w:ascii="Arial Narrow" w:hAnsi="Arial Narrow"/>
          <w:i/>
          <w:color w:val="4D4D4F"/>
          <w:sz w:val="12"/>
        </w:rPr>
        <w:t xml:space="preserve">Isoodon  obesulus </w:t>
      </w:r>
      <w:r>
        <w:rPr>
          <w:color w:val="4D4D4F"/>
          <w:sz w:val="12"/>
        </w:rPr>
        <w:t xml:space="preserve">and  its habitat on Chinaman Island, Western </w:t>
      </w:r>
      <w:r>
        <w:rPr>
          <w:color w:val="4D4D4F"/>
          <w:spacing w:val="2"/>
          <w:sz w:val="12"/>
        </w:rPr>
        <w:t xml:space="preserve">Port, </w:t>
      </w:r>
      <w:r>
        <w:rPr>
          <w:color w:val="4D4D4F"/>
          <w:sz w:val="12"/>
        </w:rPr>
        <w:t xml:space="preserve">Victoria.’ </w:t>
      </w:r>
      <w:r>
        <w:rPr>
          <w:color w:val="4D4D4F"/>
          <w:spacing w:val="2"/>
          <w:sz w:val="12"/>
        </w:rPr>
        <w:t xml:space="preserve">The </w:t>
      </w:r>
      <w:r>
        <w:rPr>
          <w:color w:val="4D4D4F"/>
          <w:sz w:val="12"/>
        </w:rPr>
        <w:t>Victorian Naturalist 135,</w:t>
      </w:r>
      <w:r>
        <w:rPr>
          <w:color w:val="4D4D4F"/>
          <w:spacing w:val="25"/>
          <w:sz w:val="12"/>
        </w:rPr>
        <w:t xml:space="preserve"> </w:t>
      </w:r>
      <w:r>
        <w:rPr>
          <w:color w:val="4D4D4F"/>
          <w:sz w:val="12"/>
        </w:rPr>
        <w:t>128-138.</w:t>
      </w:r>
    </w:p>
    <w:p w14:paraId="3FDC09F7" w14:textId="77777777" w:rsidR="00EF5B27" w:rsidRDefault="00000000">
      <w:pPr>
        <w:pStyle w:val="ListParagraph"/>
        <w:numPr>
          <w:ilvl w:val="0"/>
          <w:numId w:val="24"/>
        </w:numPr>
        <w:tabs>
          <w:tab w:val="left" w:pos="2834"/>
        </w:tabs>
        <w:spacing w:line="230" w:lineRule="auto"/>
        <w:ind w:right="111"/>
        <w:rPr>
          <w:sz w:val="12"/>
        </w:rPr>
      </w:pPr>
      <w:r>
        <w:rPr>
          <w:color w:val="4D4D4F"/>
          <w:sz w:val="12"/>
        </w:rPr>
        <w:t xml:space="preserve">Maclagan SJ, Coates T and Ritchie EG 2018, ‘Don’t judge habitat on its novelty: Assessing the value of novel habitats for an endangered mammal in a </w:t>
      </w:r>
      <w:r>
        <w:rPr>
          <w:color w:val="4D4D4F"/>
          <w:spacing w:val="2"/>
          <w:sz w:val="12"/>
        </w:rPr>
        <w:t xml:space="preserve">peri-urban </w:t>
      </w:r>
      <w:r>
        <w:rPr>
          <w:color w:val="4D4D4F"/>
          <w:sz w:val="12"/>
        </w:rPr>
        <w:t xml:space="preserve">landscape.’ Biological </w:t>
      </w:r>
      <w:r>
        <w:rPr>
          <w:color w:val="4D4D4F"/>
          <w:spacing w:val="2"/>
          <w:sz w:val="12"/>
        </w:rPr>
        <w:t>Conservation 223,</w:t>
      </w:r>
      <w:r>
        <w:rPr>
          <w:color w:val="4D4D4F"/>
          <w:spacing w:val="15"/>
          <w:sz w:val="12"/>
        </w:rPr>
        <w:t xml:space="preserve"> </w:t>
      </w:r>
      <w:r>
        <w:rPr>
          <w:color w:val="4D4D4F"/>
          <w:spacing w:val="-3"/>
          <w:sz w:val="12"/>
        </w:rPr>
        <w:t>11-18).</w:t>
      </w:r>
    </w:p>
    <w:p w14:paraId="77771E5F"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2FD513F4" w14:textId="77777777" w:rsidR="00EF5B27" w:rsidRDefault="00000000">
      <w:pPr>
        <w:pStyle w:val="BodyText"/>
      </w:pPr>
      <w:r>
        <w:lastRenderedPageBreak/>
        <w:pict w14:anchorId="382C8E13">
          <v:group id="_x0000_s2949" style="position:absolute;margin-left:587.05pt;margin-top:183.4pt;width:8.25pt;height:153.1pt;z-index:251663872;mso-position-horizontal-relative:page;mso-position-vertical-relative:page" coordorigin="11741,3668" coordsize="165,3062">
            <v:shape id="_x0000_s2956" style="position:absolute;left:11741;top:3668;width:165;height:561" coordorigin="11741,3668" coordsize="165,561" path="m11906,3668r-165,l11741,4228r165,-18l11906,3668xe" fillcolor="#00aed9" stroked="f">
              <v:path arrowok="t"/>
            </v:shape>
            <v:shape id="_x0000_s2955" style="position:absolute;left:11741;top:4118;width:165;height:425" coordorigin="11741,4118" coordsize="165,425" path="m11906,4118r-165,14l11741,4531r165,12l11906,4118xe" fillcolor="#047ebc" stroked="f">
              <v:path arrowok="t"/>
            </v:shape>
            <v:shape id="_x0000_s2954" type="#_x0000_t75" style="position:absolute;left:11741;top:4355;width:165;height:587">
              <v:imagedata r:id="rId42" o:title=""/>
            </v:shape>
            <v:shape id="_x0000_s2953" style="position:absolute;left:11741;top:5343;width:165;height:536" coordorigin="11741,5343" coordsize="165,536" path="m11741,5343r,535l11906,5872r,-525l11741,5343xe" fillcolor="#f36a2e" stroked="f">
              <v:path arrowok="t"/>
            </v:shape>
            <v:shape id="_x0000_s2952" style="position:absolute;left:11741;top:4925;width:165;height:501" coordorigin="11741,4926" coordsize="165,501" path="m11741,4926r,500l11906,5426r,-485l11741,4926xe" fillcolor="#49783f" stroked="f">
              <v:path arrowok="t"/>
            </v:shape>
            <v:shape id="_x0000_s2951" style="position:absolute;left:11741;top:5781;width:165;height:268" coordorigin="11741,5782" coordsize="165,268" path="m11906,5782r-165,8l11741,6039r165,10l11906,5782xe" fillcolor="#f99f2a" stroked="f">
              <v:path arrowok="t"/>
            </v:shape>
            <v:shape id="_x0000_s2950" style="position:absolute;left:11741;top:6023;width:165;height:707" coordorigin="11741,6023" coordsize="165,707" path="m11741,6023r,706l11906,6729r,-690l11741,6023xe" fillcolor="#ef412c" stroked="f">
              <v:path arrowok="t"/>
            </v:shape>
            <w10:wrap anchorx="page" anchory="page"/>
          </v:group>
        </w:pict>
      </w:r>
    </w:p>
    <w:p w14:paraId="1C6B51C8" w14:textId="77777777" w:rsidR="00EF5B27" w:rsidRDefault="00EF5B27">
      <w:pPr>
        <w:pStyle w:val="BodyText"/>
      </w:pPr>
    </w:p>
    <w:p w14:paraId="5C2D2CD6" w14:textId="77777777" w:rsidR="00EF5B27" w:rsidRDefault="00EF5B27">
      <w:pPr>
        <w:pStyle w:val="BodyText"/>
      </w:pPr>
    </w:p>
    <w:p w14:paraId="4C1DFD03" w14:textId="77777777" w:rsidR="00EF5B27" w:rsidRDefault="00EF5B27">
      <w:pPr>
        <w:pStyle w:val="BodyText"/>
      </w:pPr>
    </w:p>
    <w:p w14:paraId="35802BD1" w14:textId="77777777" w:rsidR="00EF5B27" w:rsidRDefault="00EF5B27">
      <w:pPr>
        <w:pStyle w:val="BodyText"/>
        <w:spacing w:before="7"/>
        <w:rPr>
          <w:sz w:val="15"/>
        </w:rPr>
      </w:pPr>
    </w:p>
    <w:bookmarkStart w:id="85" w:name="_bookmark57"/>
    <w:bookmarkEnd w:id="85"/>
    <w:p w14:paraId="111DAE98" w14:textId="77777777" w:rsidR="00EF5B27" w:rsidRDefault="00000000">
      <w:pPr>
        <w:pStyle w:val="BodyText"/>
        <w:ind w:left="2598"/>
      </w:pPr>
      <w:r>
        <w:pict w14:anchorId="3722E6CC">
          <v:group id="_x0000_s2946" style="width:357.4pt;height:229pt;mso-position-horizontal-relative:char;mso-position-vertical-relative:line" coordsize="7148,4580">
            <v:shape id="_x0000_s2948" type="#_x0000_t75" style="position:absolute;left:2;top:2;width:7143;height:4575">
              <v:imagedata r:id="rId149" o:title=""/>
            </v:shape>
            <v:rect id="_x0000_s2947" style="position:absolute;left:2;top:2;width:7143;height:4575" filled="f" strokeweight=".25pt"/>
            <w10:anchorlock/>
          </v:group>
        </w:pict>
      </w:r>
    </w:p>
    <w:p w14:paraId="3ABFC381" w14:textId="77777777" w:rsidR="00EF5B27" w:rsidRDefault="00000000">
      <w:pPr>
        <w:tabs>
          <w:tab w:val="left" w:pos="8977"/>
        </w:tabs>
        <w:spacing w:before="91"/>
        <w:ind w:left="2608"/>
        <w:rPr>
          <w:rFonts w:ascii="Century Gothic"/>
          <w:i/>
          <w:sz w:val="12"/>
        </w:rPr>
      </w:pPr>
      <w:r>
        <w:rPr>
          <w:color w:val="4D4D4F"/>
          <w:sz w:val="16"/>
        </w:rPr>
        <w:t xml:space="preserve">Figure </w:t>
      </w:r>
      <w:r>
        <w:rPr>
          <w:color w:val="4D4D4F"/>
          <w:spacing w:val="-4"/>
          <w:sz w:val="16"/>
        </w:rPr>
        <w:t xml:space="preserve">31:  </w:t>
      </w:r>
      <w:r>
        <w:rPr>
          <w:color w:val="4D4D4F"/>
          <w:sz w:val="16"/>
        </w:rPr>
        <w:t xml:space="preserve">Map of Southern </w:t>
      </w:r>
      <w:r>
        <w:rPr>
          <w:color w:val="4D4D4F"/>
          <w:spacing w:val="2"/>
          <w:sz w:val="16"/>
        </w:rPr>
        <w:t xml:space="preserve">Brown </w:t>
      </w:r>
      <w:r>
        <w:rPr>
          <w:color w:val="4D4D4F"/>
          <w:sz w:val="16"/>
        </w:rPr>
        <w:t>Bandicoot</w:t>
      </w:r>
      <w:r>
        <w:rPr>
          <w:color w:val="4D4D4F"/>
          <w:spacing w:val="23"/>
          <w:sz w:val="16"/>
        </w:rPr>
        <w:t xml:space="preserve"> </w:t>
      </w:r>
      <w:r>
        <w:rPr>
          <w:color w:val="4D4D4F"/>
          <w:sz w:val="16"/>
        </w:rPr>
        <w:t>management</w:t>
      </w:r>
      <w:r>
        <w:rPr>
          <w:color w:val="4D4D4F"/>
          <w:spacing w:val="8"/>
          <w:sz w:val="16"/>
        </w:rPr>
        <w:t xml:space="preserve"> </w:t>
      </w:r>
      <w:r>
        <w:rPr>
          <w:color w:val="4D4D4F"/>
          <w:sz w:val="16"/>
        </w:rPr>
        <w:t>area</w:t>
      </w:r>
      <w:r>
        <w:rPr>
          <w:color w:val="4D4D4F"/>
          <w:sz w:val="16"/>
        </w:rPr>
        <w:tab/>
      </w:r>
      <w:r>
        <w:rPr>
          <w:rFonts w:ascii="Century Gothic"/>
          <w:i/>
          <w:color w:val="4D4D4F"/>
          <w:sz w:val="12"/>
        </w:rPr>
        <w:t>Source:</w:t>
      </w:r>
      <w:r>
        <w:rPr>
          <w:rFonts w:ascii="Century Gothic"/>
          <w:i/>
          <w:color w:val="4D4D4F"/>
          <w:spacing w:val="-22"/>
          <w:sz w:val="12"/>
        </w:rPr>
        <w:t xml:space="preserve"> </w:t>
      </w:r>
      <w:r>
        <w:rPr>
          <w:rFonts w:ascii="Century Gothic"/>
          <w:i/>
          <w:color w:val="4D4D4F"/>
          <w:sz w:val="12"/>
        </w:rPr>
        <w:t>DELWP</w:t>
      </w:r>
    </w:p>
    <w:p w14:paraId="69BBEDDF" w14:textId="77777777" w:rsidR="00EF5B27" w:rsidRDefault="00EF5B27">
      <w:pPr>
        <w:pStyle w:val="BodyText"/>
        <w:spacing w:before="7"/>
        <w:rPr>
          <w:rFonts w:ascii="Century Gothic"/>
          <w:i/>
          <w:sz w:val="29"/>
        </w:rPr>
      </w:pPr>
    </w:p>
    <w:p w14:paraId="69A18530" w14:textId="77777777" w:rsidR="00EF5B27" w:rsidRDefault="00000000">
      <w:pPr>
        <w:pStyle w:val="Heading3"/>
      </w:pPr>
      <w:r>
        <w:rPr>
          <w:color w:val="F99F2A"/>
          <w:w w:val="105"/>
        </w:rPr>
        <w:t>Results</w:t>
      </w:r>
    </w:p>
    <w:p w14:paraId="747F61F8" w14:textId="77777777" w:rsidR="00EF5B27" w:rsidRDefault="00000000">
      <w:pPr>
        <w:pStyle w:val="Heading6"/>
        <w:spacing w:before="221"/>
      </w:pPr>
      <w:bookmarkStart w:id="86" w:name="_heading=h.1qoc8b1"/>
      <w:bookmarkEnd w:id="86"/>
      <w:r>
        <w:rPr>
          <w:color w:val="4D4D4F"/>
        </w:rPr>
        <w:t>KPI 1: Proportion of monitored sites that are occupied</w:t>
      </w:r>
    </w:p>
    <w:p w14:paraId="55DE57A3" w14:textId="77777777" w:rsidR="00EF5B27" w:rsidRDefault="00EF5B27">
      <w:pPr>
        <w:pStyle w:val="BodyText"/>
        <w:spacing w:before="2"/>
        <w:rPr>
          <w:b/>
          <w:sz w:val="14"/>
        </w:rPr>
      </w:pPr>
    </w:p>
    <w:tbl>
      <w:tblPr>
        <w:tblW w:w="0" w:type="auto"/>
        <w:tblInd w:w="12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6F6F0E03" w14:textId="77777777">
        <w:trPr>
          <w:trHeight w:val="561"/>
        </w:trPr>
        <w:tc>
          <w:tcPr>
            <w:tcW w:w="2980" w:type="dxa"/>
            <w:shd w:val="clear" w:color="auto" w:fill="FECC91"/>
          </w:tcPr>
          <w:p w14:paraId="4DD4DB76" w14:textId="77777777" w:rsidR="00EF5B27" w:rsidRDefault="00000000">
            <w:pPr>
              <w:pStyle w:val="TableParagraph"/>
              <w:spacing w:before="91" w:line="244" w:lineRule="auto"/>
              <w:ind w:left="80" w:right="540"/>
              <w:rPr>
                <w:b/>
                <w:sz w:val="16"/>
              </w:rPr>
            </w:pPr>
            <w:r>
              <w:rPr>
                <w:b/>
                <w:sz w:val="16"/>
              </w:rPr>
              <w:t>KPI 1: Proportion of monitoring sites that are occupied</w:t>
            </w:r>
          </w:p>
        </w:tc>
        <w:tc>
          <w:tcPr>
            <w:tcW w:w="1078" w:type="dxa"/>
            <w:shd w:val="clear" w:color="auto" w:fill="FECC91"/>
          </w:tcPr>
          <w:p w14:paraId="79F41023"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231BF97D" w14:textId="77777777" w:rsidR="00EF5B27" w:rsidRDefault="00EF5B27">
            <w:pPr>
              <w:pStyle w:val="TableParagraph"/>
              <w:spacing w:before="7"/>
              <w:rPr>
                <w:b/>
                <w:sz w:val="15"/>
              </w:rPr>
            </w:pPr>
          </w:p>
          <w:p w14:paraId="033F041C"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238D5587" w14:textId="77777777" w:rsidR="00EF5B27" w:rsidRDefault="00EF5B27">
            <w:pPr>
              <w:pStyle w:val="TableParagraph"/>
              <w:spacing w:before="7"/>
              <w:rPr>
                <w:b/>
                <w:sz w:val="15"/>
              </w:rPr>
            </w:pPr>
          </w:p>
          <w:p w14:paraId="0016EE19"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0AB8D53B"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6FD8E8FC"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07349C1E" w14:textId="77777777">
        <w:trPr>
          <w:trHeight w:val="448"/>
        </w:trPr>
        <w:tc>
          <w:tcPr>
            <w:tcW w:w="2980" w:type="dxa"/>
          </w:tcPr>
          <w:p w14:paraId="12798AA5" w14:textId="77777777" w:rsidR="00EF5B27" w:rsidRDefault="00EF5B27">
            <w:pPr>
              <w:pStyle w:val="TableParagraph"/>
              <w:spacing w:before="11"/>
              <w:rPr>
                <w:b/>
                <w:sz w:val="11"/>
              </w:rPr>
            </w:pPr>
          </w:p>
          <w:p w14:paraId="5BC891AA" w14:textId="77777777" w:rsidR="00EF5B27" w:rsidRDefault="00000000">
            <w:pPr>
              <w:pStyle w:val="TableParagraph"/>
              <w:ind w:left="80"/>
              <w:rPr>
                <w:sz w:val="14"/>
              </w:rPr>
            </w:pPr>
            <w:r>
              <w:rPr>
                <w:color w:val="4D4D4F"/>
                <w:sz w:val="14"/>
              </w:rPr>
              <w:t>Southern Brown Bandicoot Management Area</w:t>
            </w:r>
          </w:p>
        </w:tc>
        <w:tc>
          <w:tcPr>
            <w:tcW w:w="1078" w:type="dxa"/>
          </w:tcPr>
          <w:p w14:paraId="388909AA" w14:textId="77777777" w:rsidR="00EF5B27" w:rsidRDefault="00EF5B27">
            <w:pPr>
              <w:pStyle w:val="TableParagraph"/>
              <w:spacing w:before="11"/>
              <w:rPr>
                <w:b/>
                <w:sz w:val="11"/>
              </w:rPr>
            </w:pPr>
          </w:p>
          <w:p w14:paraId="7C448F9A" w14:textId="77777777" w:rsidR="00EF5B27" w:rsidRDefault="00000000">
            <w:pPr>
              <w:pStyle w:val="TableParagraph"/>
              <w:ind w:left="142"/>
              <w:rPr>
                <w:sz w:val="14"/>
              </w:rPr>
            </w:pPr>
            <w:r>
              <w:rPr>
                <w:color w:val="4D4D4F"/>
                <w:w w:val="105"/>
                <w:sz w:val="14"/>
              </w:rPr>
              <w:t>Not assessed</w:t>
            </w:r>
          </w:p>
        </w:tc>
        <w:tc>
          <w:tcPr>
            <w:tcW w:w="2155" w:type="dxa"/>
          </w:tcPr>
          <w:p w14:paraId="6D4606C5" w14:textId="77777777" w:rsidR="00EF5B27" w:rsidRDefault="00EF5B27">
            <w:pPr>
              <w:pStyle w:val="TableParagraph"/>
              <w:spacing w:before="11"/>
              <w:rPr>
                <w:b/>
                <w:sz w:val="11"/>
              </w:rPr>
            </w:pPr>
          </w:p>
          <w:p w14:paraId="327EAF46" w14:textId="77777777" w:rsidR="00EF5B27" w:rsidRDefault="00000000">
            <w:pPr>
              <w:pStyle w:val="TableParagraph"/>
              <w:ind w:left="143" w:right="142"/>
              <w:jc w:val="center"/>
              <w:rPr>
                <w:sz w:val="14"/>
              </w:rPr>
            </w:pPr>
            <w:r>
              <w:rPr>
                <w:color w:val="4D4D4F"/>
                <w:sz w:val="14"/>
              </w:rPr>
              <w:t>Not monitored in 2020–2022</w:t>
            </w:r>
          </w:p>
        </w:tc>
        <w:tc>
          <w:tcPr>
            <w:tcW w:w="964" w:type="dxa"/>
          </w:tcPr>
          <w:p w14:paraId="4116E613" w14:textId="77777777" w:rsidR="00EF5B27" w:rsidRDefault="00EF5B27">
            <w:pPr>
              <w:pStyle w:val="TableParagraph"/>
              <w:spacing w:before="4"/>
              <w:rPr>
                <w:b/>
                <w:sz w:val="7"/>
              </w:rPr>
            </w:pPr>
          </w:p>
          <w:p w14:paraId="268531FB" w14:textId="77777777" w:rsidR="00EF5B27" w:rsidRDefault="00000000">
            <w:pPr>
              <w:pStyle w:val="TableParagraph"/>
              <w:spacing w:line="187" w:lineRule="exact"/>
              <w:ind w:left="400"/>
              <w:rPr>
                <w:sz w:val="18"/>
              </w:rPr>
            </w:pPr>
            <w:r>
              <w:rPr>
                <w:noProof/>
                <w:position w:val="-3"/>
                <w:sz w:val="18"/>
              </w:rPr>
              <w:drawing>
                <wp:inline distT="0" distB="0" distL="0" distR="0" wp14:anchorId="50FCFDFE" wp14:editId="14A8E9F8">
                  <wp:extent cx="100411" cy="118872"/>
                  <wp:effectExtent l="0" t="0" r="0" b="0"/>
                  <wp:docPr id="491"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189.png"/>
                          <pic:cNvPicPr/>
                        </pic:nvPicPr>
                        <pic:blipFill>
                          <a:blip r:embed="rId78" cstate="print"/>
                          <a:stretch>
                            <a:fillRect/>
                          </a:stretch>
                        </pic:blipFill>
                        <pic:spPr>
                          <a:xfrm>
                            <a:off x="0" y="0"/>
                            <a:ext cx="100411" cy="118872"/>
                          </a:xfrm>
                          <a:prstGeom prst="rect">
                            <a:avLst/>
                          </a:prstGeom>
                        </pic:spPr>
                      </pic:pic>
                    </a:graphicData>
                  </a:graphic>
                </wp:inline>
              </w:drawing>
            </w:r>
          </w:p>
          <w:p w14:paraId="5EDB442C" w14:textId="77777777" w:rsidR="00EF5B27" w:rsidRDefault="00EF5B27">
            <w:pPr>
              <w:pStyle w:val="TableParagraph"/>
              <w:spacing w:before="8"/>
              <w:rPr>
                <w:b/>
                <w:sz w:val="2"/>
              </w:rPr>
            </w:pPr>
          </w:p>
          <w:p w14:paraId="1CD32B98" w14:textId="77777777" w:rsidR="00EF5B27" w:rsidRDefault="00000000">
            <w:pPr>
              <w:pStyle w:val="TableParagraph"/>
              <w:spacing w:line="48" w:lineRule="exact"/>
              <w:ind w:left="448"/>
              <w:rPr>
                <w:sz w:val="4"/>
              </w:rPr>
            </w:pPr>
            <w:r>
              <w:rPr>
                <w:sz w:val="4"/>
              </w:rPr>
            </w:r>
            <w:r>
              <w:rPr>
                <w:sz w:val="4"/>
              </w:rPr>
              <w:pict w14:anchorId="27C5E04C">
                <v:group id="_x0000_s2944" style="width:2.45pt;height:2.45pt;mso-position-horizontal-relative:char;mso-position-vertical-relative:line" coordsize="49,49">
                  <v:shape id="_x0000_s2945" style="position:absolute;width:49;height:49" coordsize="49,49" path="m31,l18,,12,2,2,12,,17,,31r2,6l12,46r6,3l31,49r6,-3l46,37r3,-6l49,17,46,12,37,2,31,xe" fillcolor="#808285" stroked="f">
                    <v:path arrowok="t"/>
                  </v:shape>
                  <w10:wrap type="none"/>
                  <w10:anchorlock/>
                </v:group>
              </w:pict>
            </w:r>
          </w:p>
        </w:tc>
        <w:tc>
          <w:tcPr>
            <w:tcW w:w="964" w:type="dxa"/>
          </w:tcPr>
          <w:p w14:paraId="6C3C375D" w14:textId="77777777" w:rsidR="00EF5B27" w:rsidRDefault="00EF5B27">
            <w:pPr>
              <w:pStyle w:val="TableParagraph"/>
              <w:spacing w:before="11"/>
              <w:rPr>
                <w:b/>
                <w:sz w:val="11"/>
              </w:rPr>
            </w:pPr>
          </w:p>
          <w:p w14:paraId="5D24E01F" w14:textId="77777777" w:rsidR="00EF5B27" w:rsidRDefault="00000000">
            <w:pPr>
              <w:pStyle w:val="TableParagraph"/>
              <w:ind w:left="318" w:right="323"/>
              <w:jc w:val="center"/>
              <w:rPr>
                <w:sz w:val="14"/>
              </w:rPr>
            </w:pPr>
            <w:r>
              <w:rPr>
                <w:color w:val="4D4D4F"/>
                <w:w w:val="105"/>
                <w:sz w:val="14"/>
              </w:rPr>
              <w:t>N/A</w:t>
            </w:r>
          </w:p>
        </w:tc>
        <w:tc>
          <w:tcPr>
            <w:tcW w:w="1489" w:type="dxa"/>
          </w:tcPr>
          <w:p w14:paraId="6AB6F07B" w14:textId="77777777" w:rsidR="00EF5B27" w:rsidRDefault="00000000">
            <w:pPr>
              <w:pStyle w:val="TableParagraph"/>
              <w:spacing w:before="134"/>
              <w:ind w:left="452" w:right="457"/>
              <w:jc w:val="center"/>
              <w:rPr>
                <w:sz w:val="16"/>
              </w:rPr>
            </w:pPr>
            <w:r>
              <w:rPr>
                <w:color w:val="4D4D4F"/>
                <w:sz w:val="16"/>
              </w:rPr>
              <w:t>2019</w:t>
            </w:r>
          </w:p>
        </w:tc>
      </w:tr>
    </w:tbl>
    <w:p w14:paraId="0855E0ED" w14:textId="77777777" w:rsidR="00EF5B27" w:rsidRDefault="00EF5B27">
      <w:pPr>
        <w:pStyle w:val="BodyText"/>
        <w:spacing w:before="3"/>
        <w:rPr>
          <w:b/>
          <w:sz w:val="34"/>
        </w:rPr>
      </w:pPr>
    </w:p>
    <w:p w14:paraId="61A29626" w14:textId="77777777" w:rsidR="00EF5B27" w:rsidRDefault="00000000">
      <w:pPr>
        <w:pStyle w:val="BodyText"/>
        <w:spacing w:before="1" w:line="254" w:lineRule="auto"/>
        <w:ind w:left="2608" w:right="279"/>
      </w:pPr>
      <w:r>
        <w:rPr>
          <w:color w:val="4D4D4F"/>
        </w:rPr>
        <w:t xml:space="preserve">The baseline for Southern Brown Bandicoot was calculated from the first survey,  using the model to estimate occupancy from the data. The best supported model had occupancy dependent on habitat </w:t>
      </w:r>
      <w:r>
        <w:rPr>
          <w:color w:val="4D4D4F"/>
          <w:spacing w:val="2"/>
        </w:rPr>
        <w:t xml:space="preserve">type </w:t>
      </w:r>
      <w:r>
        <w:rPr>
          <w:color w:val="4D4D4F"/>
        </w:rPr>
        <w:t>and detection dependent on survey</w:t>
      </w:r>
      <w:r>
        <w:rPr>
          <w:color w:val="4D4D4F"/>
          <w:spacing w:val="-10"/>
        </w:rPr>
        <w:t xml:space="preserve"> </w:t>
      </w:r>
      <w:r>
        <w:rPr>
          <w:color w:val="4D4D4F"/>
        </w:rPr>
        <w:t>month.</w:t>
      </w:r>
    </w:p>
    <w:p w14:paraId="35671688" w14:textId="77777777" w:rsidR="00EF5B27" w:rsidRDefault="00000000">
      <w:pPr>
        <w:pStyle w:val="BodyText"/>
        <w:spacing w:before="3" w:line="254" w:lineRule="auto"/>
        <w:ind w:left="2608" w:right="216"/>
      </w:pPr>
      <w:r>
        <w:rPr>
          <w:color w:val="4D4D4F"/>
        </w:rPr>
        <w:t xml:space="preserve">There was no evidence that this model fitted poorly. The baseline for Southern   Brown Bandicoot therefore varies by habitat type; canal </w:t>
      </w:r>
      <w:r>
        <w:rPr>
          <w:color w:val="4D4D4F"/>
          <w:spacing w:val="-3"/>
        </w:rPr>
        <w:t xml:space="preserve">76%, </w:t>
      </w:r>
      <w:r>
        <w:rPr>
          <w:color w:val="4D4D4F"/>
        </w:rPr>
        <w:t xml:space="preserve">reserve </w:t>
      </w:r>
      <w:r>
        <w:rPr>
          <w:color w:val="4D4D4F"/>
          <w:spacing w:val="2"/>
        </w:rPr>
        <w:t xml:space="preserve">39% </w:t>
      </w:r>
      <w:r>
        <w:rPr>
          <w:color w:val="4D4D4F"/>
        </w:rPr>
        <w:t>and road 35% of sites occupied (Figure 32). The KPI will be assessed against these baselines      in subsequent five-yearly surveys, with the next due in 2024. Bandicoot detections were spread out across the management area, with notable areas of non-detection in the south-western and north-eastern (north of the Princes Highway) corners of the management</w:t>
      </w:r>
      <w:r>
        <w:rPr>
          <w:color w:val="4D4D4F"/>
          <w:spacing w:val="3"/>
        </w:rPr>
        <w:t xml:space="preserve"> </w:t>
      </w:r>
      <w:r>
        <w:rPr>
          <w:color w:val="4D4D4F"/>
        </w:rPr>
        <w:t>area.</w:t>
      </w:r>
    </w:p>
    <w:p w14:paraId="4ED83A5E" w14:textId="77777777" w:rsidR="00EF5B27" w:rsidRDefault="00EF5B27">
      <w:pPr>
        <w:spacing w:line="254" w:lineRule="auto"/>
        <w:sectPr w:rsidR="00EF5B27">
          <w:pgSz w:w="11910" w:h="16840"/>
          <w:pgMar w:top="1080" w:right="1020" w:bottom="860" w:left="1020" w:header="537" w:footer="678" w:gutter="0"/>
          <w:cols w:space="720"/>
        </w:sectPr>
      </w:pPr>
    </w:p>
    <w:p w14:paraId="5844159E" w14:textId="77777777" w:rsidR="00EF5B27" w:rsidRDefault="00000000">
      <w:pPr>
        <w:pStyle w:val="BodyText"/>
      </w:pPr>
      <w:r>
        <w:lastRenderedPageBreak/>
        <w:pict w14:anchorId="6D3A9102">
          <v:group id="_x0000_s2936" style="position:absolute;margin-left:587.05pt;margin-top:183.4pt;width:8.25pt;height:153.1pt;z-index:251665920;mso-position-horizontal-relative:page;mso-position-vertical-relative:page" coordorigin="11741,3668" coordsize="165,3062">
            <v:shape id="_x0000_s2943" style="position:absolute;left:11741;top:3668;width:165;height:561" coordorigin="11741,3668" coordsize="165,561" path="m11906,3668r-165,l11741,4228r165,-18l11906,3668xe" fillcolor="#00aed9" stroked="f">
              <v:path arrowok="t"/>
            </v:shape>
            <v:shape id="_x0000_s2942" style="position:absolute;left:11741;top:4118;width:165;height:425" coordorigin="11741,4118" coordsize="165,425" path="m11906,4118r-165,14l11741,4531r165,12l11906,4118xe" fillcolor="#047ebc" stroked="f">
              <v:path arrowok="t"/>
            </v:shape>
            <v:shape id="_x0000_s2941" type="#_x0000_t75" style="position:absolute;left:11741;top:4355;width:165;height:587">
              <v:imagedata r:id="rId42" o:title=""/>
            </v:shape>
            <v:shape id="_x0000_s2940" style="position:absolute;left:11741;top:5343;width:165;height:536" coordorigin="11741,5343" coordsize="165,536" path="m11741,5343r,535l11906,5872r,-525l11741,5343xe" fillcolor="#f36a2e" stroked="f">
              <v:path arrowok="t"/>
            </v:shape>
            <v:shape id="_x0000_s2939" style="position:absolute;left:11741;top:4925;width:165;height:501" coordorigin="11741,4926" coordsize="165,501" path="m11741,4926r,500l11906,5426r,-485l11741,4926xe" fillcolor="#49783f" stroked="f">
              <v:path arrowok="t"/>
            </v:shape>
            <v:shape id="_x0000_s2938" style="position:absolute;left:11741;top:5781;width:165;height:268" coordorigin="11741,5782" coordsize="165,268" path="m11906,5782r-165,8l11741,6039r165,10l11906,5782xe" fillcolor="#f99f2a" stroked="f">
              <v:path arrowok="t"/>
            </v:shape>
            <v:shape id="_x0000_s2937" style="position:absolute;left:11741;top:6023;width:165;height:707" coordorigin="11741,6023" coordsize="165,707" path="m11741,6023r,706l11906,6729r,-690l11741,6023xe" fillcolor="#ef412c" stroked="f">
              <v:path arrowok="t"/>
            </v:shape>
            <w10:wrap anchorx="page" anchory="page"/>
          </v:group>
        </w:pict>
      </w:r>
    </w:p>
    <w:p w14:paraId="46FE36B3" w14:textId="77777777" w:rsidR="00EF5B27" w:rsidRDefault="00EF5B27">
      <w:pPr>
        <w:pStyle w:val="BodyText"/>
      </w:pPr>
    </w:p>
    <w:p w14:paraId="218544E0" w14:textId="77777777" w:rsidR="00EF5B27" w:rsidRDefault="00EF5B27">
      <w:pPr>
        <w:pStyle w:val="BodyText"/>
      </w:pPr>
    </w:p>
    <w:p w14:paraId="10B002AB" w14:textId="77777777" w:rsidR="00EF5B27" w:rsidRDefault="00EF5B27">
      <w:pPr>
        <w:pStyle w:val="BodyText"/>
      </w:pPr>
    </w:p>
    <w:p w14:paraId="4B6323ED" w14:textId="77777777" w:rsidR="00EF5B27" w:rsidRDefault="00EF5B27">
      <w:pPr>
        <w:pStyle w:val="BodyText"/>
        <w:spacing w:before="7"/>
        <w:rPr>
          <w:sz w:val="15"/>
        </w:rPr>
      </w:pPr>
    </w:p>
    <w:bookmarkStart w:id="87" w:name="_bookmark58"/>
    <w:bookmarkEnd w:id="87"/>
    <w:p w14:paraId="356611B7" w14:textId="77777777" w:rsidR="00EF5B27" w:rsidRDefault="00000000">
      <w:pPr>
        <w:pStyle w:val="BodyText"/>
        <w:ind w:left="2598"/>
      </w:pPr>
      <w:r>
        <w:pict w14:anchorId="153C6952">
          <v:group id="_x0000_s2933" style="width:357.4pt;height:201.15pt;mso-position-horizontal-relative:char;mso-position-vertical-relative:line" coordsize="7148,4023">
            <v:shape id="_x0000_s2935" type="#_x0000_t75" style="position:absolute;left:2;top:2;width:7143;height:4018">
              <v:imagedata r:id="rId150" o:title=""/>
            </v:shape>
            <v:rect id="_x0000_s2934" style="position:absolute;left:2;top:2;width:7143;height:4018" filled="f" strokeweight=".25pt"/>
            <w10:anchorlock/>
          </v:group>
        </w:pict>
      </w:r>
    </w:p>
    <w:p w14:paraId="27C2726C" w14:textId="77777777" w:rsidR="00EF5B27" w:rsidRDefault="00000000">
      <w:pPr>
        <w:tabs>
          <w:tab w:val="left" w:pos="8977"/>
        </w:tabs>
        <w:spacing w:before="90" w:line="244" w:lineRule="auto"/>
        <w:ind w:left="2608" w:right="111"/>
        <w:jc w:val="both"/>
        <w:rPr>
          <w:rFonts w:ascii="Century Gothic"/>
          <w:i/>
          <w:sz w:val="12"/>
        </w:rPr>
      </w:pPr>
      <w:r>
        <w:rPr>
          <w:color w:val="4D4D4F"/>
          <w:sz w:val="16"/>
        </w:rPr>
        <w:t xml:space="preserve">Figure 32: The modelled </w:t>
      </w:r>
      <w:r>
        <w:rPr>
          <w:color w:val="4D4D4F"/>
          <w:spacing w:val="2"/>
          <w:sz w:val="16"/>
        </w:rPr>
        <w:t xml:space="preserve">proportion </w:t>
      </w:r>
      <w:r>
        <w:rPr>
          <w:color w:val="4D4D4F"/>
          <w:sz w:val="16"/>
        </w:rPr>
        <w:t xml:space="preserve">of sites occupied by Southern </w:t>
      </w:r>
      <w:r>
        <w:rPr>
          <w:color w:val="4D4D4F"/>
          <w:spacing w:val="2"/>
          <w:sz w:val="16"/>
        </w:rPr>
        <w:t xml:space="preserve">Brown </w:t>
      </w:r>
      <w:r>
        <w:rPr>
          <w:color w:val="4D4D4F"/>
          <w:sz w:val="16"/>
        </w:rPr>
        <w:t xml:space="preserve">Bandicoot and the detection probability for Southern </w:t>
      </w:r>
      <w:r>
        <w:rPr>
          <w:color w:val="4D4D4F"/>
          <w:spacing w:val="2"/>
          <w:sz w:val="16"/>
        </w:rPr>
        <w:t xml:space="preserve">Brown </w:t>
      </w:r>
      <w:r>
        <w:rPr>
          <w:color w:val="4D4D4F"/>
          <w:sz w:val="16"/>
        </w:rPr>
        <w:t xml:space="preserve">Bandicoot. </w:t>
      </w:r>
      <w:r>
        <w:rPr>
          <w:color w:val="4D4D4F"/>
          <w:spacing w:val="2"/>
          <w:sz w:val="16"/>
        </w:rPr>
        <w:t xml:space="preserve">Error </w:t>
      </w:r>
      <w:r>
        <w:rPr>
          <w:color w:val="4D4D4F"/>
          <w:sz w:val="16"/>
        </w:rPr>
        <w:t>bars are 95% confidence intervals. The  horizontal  lines show the baseline for each</w:t>
      </w:r>
      <w:r>
        <w:rPr>
          <w:color w:val="4D4D4F"/>
          <w:spacing w:val="24"/>
          <w:sz w:val="16"/>
        </w:rPr>
        <w:t xml:space="preserve"> </w:t>
      </w:r>
      <w:r>
        <w:rPr>
          <w:color w:val="4D4D4F"/>
          <w:sz w:val="16"/>
        </w:rPr>
        <w:t>habitat</w:t>
      </w:r>
      <w:r>
        <w:rPr>
          <w:color w:val="4D4D4F"/>
          <w:spacing w:val="4"/>
          <w:sz w:val="16"/>
        </w:rPr>
        <w:t xml:space="preserve"> </w:t>
      </w:r>
      <w:r>
        <w:rPr>
          <w:color w:val="4D4D4F"/>
          <w:spacing w:val="2"/>
          <w:sz w:val="16"/>
        </w:rPr>
        <w:t>type</w:t>
      </w:r>
      <w:r>
        <w:rPr>
          <w:color w:val="4D4D4F"/>
          <w:spacing w:val="2"/>
          <w:sz w:val="16"/>
        </w:rPr>
        <w:tab/>
      </w:r>
      <w:r>
        <w:rPr>
          <w:rFonts w:ascii="Century Gothic"/>
          <w:i/>
          <w:color w:val="4D4D4F"/>
          <w:w w:val="90"/>
          <w:sz w:val="12"/>
        </w:rPr>
        <w:t>Source:</w:t>
      </w:r>
      <w:r>
        <w:rPr>
          <w:rFonts w:ascii="Century Gothic"/>
          <w:i/>
          <w:color w:val="4D4D4F"/>
          <w:spacing w:val="1"/>
          <w:w w:val="90"/>
          <w:sz w:val="12"/>
        </w:rPr>
        <w:t xml:space="preserve"> </w:t>
      </w:r>
      <w:r>
        <w:rPr>
          <w:rFonts w:ascii="Century Gothic"/>
          <w:i/>
          <w:color w:val="4D4D4F"/>
          <w:spacing w:val="-5"/>
          <w:w w:val="90"/>
          <w:sz w:val="12"/>
        </w:rPr>
        <w:t>DELWP</w:t>
      </w:r>
    </w:p>
    <w:p w14:paraId="69AC6403" w14:textId="77777777" w:rsidR="00EF5B27" w:rsidRDefault="00EF5B27">
      <w:pPr>
        <w:pStyle w:val="BodyText"/>
        <w:spacing w:before="4"/>
        <w:rPr>
          <w:rFonts w:ascii="Century Gothic"/>
          <w:i/>
          <w:sz w:val="29"/>
        </w:rPr>
      </w:pPr>
    </w:p>
    <w:p w14:paraId="1585AB92" w14:textId="77777777" w:rsidR="00EF5B27" w:rsidRDefault="00000000">
      <w:pPr>
        <w:pStyle w:val="Heading3"/>
      </w:pPr>
      <w:r>
        <w:rPr>
          <w:color w:val="F99F2A"/>
        </w:rPr>
        <w:t>Results interpretation</w:t>
      </w:r>
    </w:p>
    <w:p w14:paraId="4413C9C5" w14:textId="77777777" w:rsidR="00EF5B27" w:rsidRDefault="00EF5B27">
      <w:pPr>
        <w:pStyle w:val="BodyText"/>
        <w:spacing w:before="5"/>
        <w:rPr>
          <w:b/>
          <w:sz w:val="27"/>
        </w:rPr>
      </w:pPr>
    </w:p>
    <w:p w14:paraId="46305A37" w14:textId="77777777" w:rsidR="00EF5B27" w:rsidRDefault="00000000">
      <w:pPr>
        <w:pStyle w:val="BodyText"/>
        <w:spacing w:line="254" w:lineRule="auto"/>
        <w:ind w:left="2608" w:right="396"/>
        <w:jc w:val="both"/>
      </w:pPr>
      <w:r>
        <w:rPr>
          <w:color w:val="4D4D4F"/>
        </w:rPr>
        <w:t>Occupancy results for Southern Brown Bandicoot vary by habitat type, with 76% of sites predicted to be occupied at the canal, 39% within the reserve and 35% of sites along the road.</w:t>
      </w:r>
    </w:p>
    <w:p w14:paraId="4801CD0B" w14:textId="77777777" w:rsidR="00EF5B27" w:rsidRDefault="00EF5B27">
      <w:pPr>
        <w:pStyle w:val="BodyText"/>
        <w:spacing w:before="10"/>
        <w:rPr>
          <w:sz w:val="18"/>
        </w:rPr>
      </w:pPr>
    </w:p>
    <w:p w14:paraId="0823E967" w14:textId="77777777" w:rsidR="00EF5B27" w:rsidRDefault="00000000">
      <w:pPr>
        <w:pStyle w:val="BodyText"/>
        <w:spacing w:before="1" w:line="254" w:lineRule="auto"/>
        <w:ind w:left="2608" w:right="205"/>
        <w:jc w:val="both"/>
      </w:pPr>
      <w:r>
        <w:rPr>
          <w:color w:val="4D4D4F"/>
          <w:spacing w:val="-2"/>
        </w:rPr>
        <w:t xml:space="preserve">Bandicoot </w:t>
      </w:r>
      <w:r>
        <w:rPr>
          <w:color w:val="4D4D4F"/>
          <w:spacing w:val="-3"/>
        </w:rPr>
        <w:t xml:space="preserve">detections </w:t>
      </w:r>
      <w:r>
        <w:rPr>
          <w:color w:val="4D4D4F"/>
        </w:rPr>
        <w:t xml:space="preserve">were spread out across the </w:t>
      </w:r>
      <w:r>
        <w:rPr>
          <w:color w:val="4D4D4F"/>
          <w:spacing w:val="-3"/>
        </w:rPr>
        <w:t xml:space="preserve">management </w:t>
      </w:r>
      <w:r>
        <w:rPr>
          <w:color w:val="4D4D4F"/>
        </w:rPr>
        <w:t xml:space="preserve">area, with </w:t>
      </w:r>
      <w:r>
        <w:rPr>
          <w:color w:val="4D4D4F"/>
          <w:spacing w:val="-3"/>
        </w:rPr>
        <w:t xml:space="preserve">notable areas </w:t>
      </w:r>
      <w:r>
        <w:rPr>
          <w:color w:val="4D4D4F"/>
        </w:rPr>
        <w:t xml:space="preserve">of </w:t>
      </w:r>
      <w:r>
        <w:rPr>
          <w:color w:val="4D4D4F"/>
          <w:spacing w:val="-3"/>
        </w:rPr>
        <w:t xml:space="preserve">non-detection in the south-western and </w:t>
      </w:r>
      <w:r>
        <w:rPr>
          <w:color w:val="4D4D4F"/>
        </w:rPr>
        <w:t xml:space="preserve">north-eastern </w:t>
      </w:r>
      <w:r>
        <w:rPr>
          <w:color w:val="4D4D4F"/>
          <w:spacing w:val="-3"/>
        </w:rPr>
        <w:t xml:space="preserve">(north </w:t>
      </w:r>
      <w:r>
        <w:rPr>
          <w:color w:val="4D4D4F"/>
        </w:rPr>
        <w:t xml:space="preserve">of </w:t>
      </w:r>
      <w:r>
        <w:rPr>
          <w:color w:val="4D4D4F"/>
          <w:spacing w:val="-3"/>
        </w:rPr>
        <w:t xml:space="preserve">the Princes </w:t>
      </w:r>
      <w:r>
        <w:rPr>
          <w:color w:val="4D4D4F"/>
          <w:spacing w:val="-5"/>
        </w:rPr>
        <w:t xml:space="preserve">Highway) </w:t>
      </w:r>
      <w:r>
        <w:rPr>
          <w:color w:val="4D4D4F"/>
        </w:rPr>
        <w:t>corners of the management area.</w:t>
      </w:r>
    </w:p>
    <w:p w14:paraId="64BDD60E" w14:textId="77777777" w:rsidR="00EF5B27" w:rsidRDefault="00000000">
      <w:pPr>
        <w:pStyle w:val="BodyText"/>
        <w:spacing w:before="117" w:line="254" w:lineRule="auto"/>
        <w:ind w:left="2608" w:right="221"/>
      </w:pPr>
      <w:r>
        <w:rPr>
          <w:color w:val="4D4D4F"/>
        </w:rPr>
        <w:t>Detection probability appears to be influenced by survey month, being lower during February compared with the other months. Nevertheless, DELWP has demonstrated that 26 days was more than sufficient to achieve a cumulative detection probability (the probability of detection of at least one individual given the site is occupied) of over 0.99, which was achieved after 20 days for all deployment periods.</w:t>
      </w:r>
    </w:p>
    <w:p w14:paraId="61C9B56B" w14:textId="77777777" w:rsidR="00EF5B27" w:rsidRDefault="00000000">
      <w:pPr>
        <w:pStyle w:val="BodyText"/>
        <w:spacing w:before="119" w:line="254" w:lineRule="auto"/>
        <w:ind w:left="2608" w:right="308"/>
      </w:pPr>
      <w:r>
        <w:rPr>
          <w:color w:val="4D4D4F"/>
        </w:rPr>
        <w:t xml:space="preserve">Data was not obtained from </w:t>
      </w:r>
      <w:r>
        <w:rPr>
          <w:color w:val="4D4D4F"/>
          <w:spacing w:val="2"/>
        </w:rPr>
        <w:t xml:space="preserve">two </w:t>
      </w:r>
      <w:r>
        <w:rPr>
          <w:color w:val="4D4D4F"/>
        </w:rPr>
        <w:t xml:space="preserve">(out of </w:t>
      </w:r>
      <w:r>
        <w:rPr>
          <w:color w:val="4D4D4F"/>
          <w:spacing w:val="-3"/>
        </w:rPr>
        <w:t xml:space="preserve">100) </w:t>
      </w:r>
      <w:r>
        <w:rPr>
          <w:color w:val="4D4D4F"/>
        </w:rPr>
        <w:t xml:space="preserve">sites due to a fire. These </w:t>
      </w:r>
      <w:r>
        <w:rPr>
          <w:color w:val="4D4D4F"/>
          <w:spacing w:val="2"/>
        </w:rPr>
        <w:t xml:space="preserve">two </w:t>
      </w:r>
      <w:r>
        <w:rPr>
          <w:color w:val="4D4D4F"/>
        </w:rPr>
        <w:t>sites will be monitored in subsequent years. Currently no information on population trends is available, as the next round of monitoring contributing to an assessment of the KPI will occur in</w:t>
      </w:r>
      <w:r>
        <w:rPr>
          <w:color w:val="4D4D4F"/>
          <w:spacing w:val="18"/>
        </w:rPr>
        <w:t xml:space="preserve"> </w:t>
      </w:r>
      <w:r>
        <w:rPr>
          <w:color w:val="4D4D4F"/>
        </w:rPr>
        <w:t>2023.</w:t>
      </w:r>
    </w:p>
    <w:p w14:paraId="1241BE03" w14:textId="77777777" w:rsidR="00EF5B27" w:rsidRDefault="00EF5B27">
      <w:pPr>
        <w:spacing w:line="254" w:lineRule="auto"/>
        <w:sectPr w:rsidR="00EF5B27">
          <w:pgSz w:w="11910" w:h="16840"/>
          <w:pgMar w:top="1080" w:right="1020" w:bottom="860" w:left="1020" w:header="537" w:footer="678" w:gutter="0"/>
          <w:cols w:space="720"/>
        </w:sectPr>
      </w:pPr>
    </w:p>
    <w:p w14:paraId="7F234164" w14:textId="77777777" w:rsidR="00EF5B27" w:rsidRDefault="00000000">
      <w:pPr>
        <w:pStyle w:val="BodyText"/>
      </w:pPr>
      <w:r>
        <w:lastRenderedPageBreak/>
        <w:pict w14:anchorId="49A12543">
          <v:group id="_x0000_s2925" style="position:absolute;margin-left:587.05pt;margin-top:183.4pt;width:8.25pt;height:153.1pt;z-index:251666944;mso-position-horizontal-relative:page;mso-position-vertical-relative:page" coordorigin="11741,3668" coordsize="165,3062">
            <v:shape id="_x0000_s2932" style="position:absolute;left:11741;top:3668;width:165;height:561" coordorigin="11741,3668" coordsize="165,561" path="m11906,3668r-165,l11741,4228r165,-18l11906,3668xe" fillcolor="#00aed9" stroked="f">
              <v:path arrowok="t"/>
            </v:shape>
            <v:shape id="_x0000_s2931" style="position:absolute;left:11741;top:4118;width:165;height:425" coordorigin="11741,4118" coordsize="165,425" path="m11906,4118r-165,14l11741,4531r165,12l11906,4118xe" fillcolor="#047ebc" stroked="f">
              <v:path arrowok="t"/>
            </v:shape>
            <v:shape id="_x0000_s2930" type="#_x0000_t75" style="position:absolute;left:11741;top:4355;width:165;height:587">
              <v:imagedata r:id="rId42" o:title=""/>
            </v:shape>
            <v:shape id="_x0000_s2929" style="position:absolute;left:11741;top:5343;width:165;height:536" coordorigin="11741,5343" coordsize="165,536" path="m11741,5343r,535l11906,5872r,-525l11741,5343xe" fillcolor="#f36a2e" stroked="f">
              <v:path arrowok="t"/>
            </v:shape>
            <v:shape id="_x0000_s2928" style="position:absolute;left:11741;top:4925;width:165;height:501" coordorigin="11741,4926" coordsize="165,501" path="m11741,4926r,500l11906,5426r,-485l11741,4926xe" fillcolor="#49783f" stroked="f">
              <v:path arrowok="t"/>
            </v:shape>
            <v:shape id="_x0000_s2927" style="position:absolute;left:11741;top:5781;width:165;height:268" coordorigin="11741,5782" coordsize="165,268" path="m11906,5782r-165,8l11741,6039r165,10l11906,5782xe" fillcolor="#f99f2a" stroked="f">
              <v:path arrowok="t"/>
            </v:shape>
            <v:shape id="_x0000_s2926" style="position:absolute;left:11741;top:6023;width:165;height:707" coordorigin="11741,6023" coordsize="165,707" path="m11741,6023r,706l11906,6729r,-690l11741,6023xe" fillcolor="#ef412c" stroked="f">
              <v:path arrowok="t"/>
            </v:shape>
            <w10:wrap anchorx="page" anchory="page"/>
          </v:group>
        </w:pict>
      </w:r>
    </w:p>
    <w:p w14:paraId="0690A466" w14:textId="77777777" w:rsidR="00EF5B27" w:rsidRDefault="00EF5B27">
      <w:pPr>
        <w:pStyle w:val="BodyText"/>
      </w:pPr>
    </w:p>
    <w:p w14:paraId="75FF9553" w14:textId="77777777" w:rsidR="00EF5B27" w:rsidRDefault="00EF5B27">
      <w:pPr>
        <w:pStyle w:val="BodyText"/>
      </w:pPr>
    </w:p>
    <w:p w14:paraId="69107ACD" w14:textId="77777777" w:rsidR="00EF5B27" w:rsidRDefault="00EF5B27">
      <w:pPr>
        <w:pStyle w:val="BodyText"/>
        <w:spacing w:before="12"/>
        <w:rPr>
          <w:sz w:val="22"/>
        </w:rPr>
      </w:pPr>
    </w:p>
    <w:p w14:paraId="3843E8CF" w14:textId="77777777" w:rsidR="00EF5B27" w:rsidRDefault="00000000">
      <w:pPr>
        <w:pStyle w:val="Heading3"/>
        <w:spacing w:before="115"/>
      </w:pPr>
      <w:r>
        <w:rPr>
          <w:color w:val="F99F2A"/>
        </w:rPr>
        <w:t>Key insights and management implications</w:t>
      </w:r>
    </w:p>
    <w:p w14:paraId="20471AFA" w14:textId="77777777" w:rsidR="00EF5B27" w:rsidRDefault="00000000">
      <w:pPr>
        <w:pStyle w:val="BodyText"/>
        <w:spacing w:before="221" w:line="254" w:lineRule="auto"/>
        <w:ind w:left="2608" w:right="151"/>
        <w:rPr>
          <w:sz w:val="11"/>
        </w:rPr>
      </w:pPr>
      <w:r>
        <w:rPr>
          <w:color w:val="4D4D4F"/>
        </w:rPr>
        <w:t>Southern Brown Bandicoot is monitored every five years at permanently referenced sites, while every other MNES under the MSA program MRF is monitored annually. DELWP has indicated that the Southern Brown Bandicoot is expensive and difficult to monitor (the camera-based design is the most cost-effective) and currently Southern Brown Bandicoot doesn't have as much funding as the other species.</w:t>
      </w:r>
      <w:r>
        <w:rPr>
          <w:color w:val="4D4D4F"/>
          <w:position w:val="7"/>
          <w:sz w:val="11"/>
        </w:rPr>
        <w:t xml:space="preserve">211 </w:t>
      </w:r>
      <w:r>
        <w:rPr>
          <w:color w:val="4D4D4F"/>
        </w:rPr>
        <w:t>DELWP has indicated that five-yearly monitoring intervals were selected as a balance between the ability to detect change and the cost of undertaking monitoring.</w:t>
      </w:r>
      <w:r>
        <w:rPr>
          <w:color w:val="4D4D4F"/>
          <w:position w:val="7"/>
          <w:sz w:val="11"/>
        </w:rPr>
        <w:t xml:space="preserve">212 </w:t>
      </w:r>
      <w:r>
        <w:rPr>
          <w:color w:val="4D4D4F"/>
        </w:rPr>
        <w:t>However, annual monitoring may be necessary to capture population trends given the species’ short generation time</w:t>
      </w:r>
      <w:r>
        <w:rPr>
          <w:color w:val="4D4D4F"/>
          <w:position w:val="7"/>
          <w:sz w:val="11"/>
        </w:rPr>
        <w:t>.213</w:t>
      </w:r>
    </w:p>
    <w:p w14:paraId="62E2B120" w14:textId="77777777" w:rsidR="00EF5B27" w:rsidRDefault="00000000">
      <w:pPr>
        <w:pStyle w:val="BodyText"/>
        <w:spacing w:before="125" w:line="254" w:lineRule="auto"/>
        <w:ind w:left="2608" w:right="372"/>
        <w:rPr>
          <w:sz w:val="11"/>
        </w:rPr>
      </w:pPr>
      <w:r>
        <w:rPr>
          <w:color w:val="4D4D4F"/>
        </w:rPr>
        <w:t xml:space="preserve">DELWP’s MSA program is limited in its ability to directly influence management of  the Southern Brown Bandicoot, as the reserve system spans across multiple land tenures, and its habitat only covers a small area within the UGB. </w:t>
      </w:r>
      <w:r>
        <w:rPr>
          <w:color w:val="4D4D4F"/>
          <w:spacing w:val="-3"/>
        </w:rPr>
        <w:t xml:space="preserve">However, </w:t>
      </w:r>
      <w:r>
        <w:rPr>
          <w:color w:val="4D4D4F"/>
        </w:rPr>
        <w:t xml:space="preserve">early </w:t>
      </w:r>
      <w:r>
        <w:rPr>
          <w:color w:val="4D4D4F"/>
          <w:spacing w:val="-3"/>
        </w:rPr>
        <w:t xml:space="preserve">PVA </w:t>
      </w:r>
      <w:r>
        <w:rPr>
          <w:color w:val="4D4D4F"/>
        </w:rPr>
        <w:t>modelling suggested management across the landscape to optimise outcomes for  the species. Currently, no new reserves are being created for the Southern Brown Bandicoot but work is being undertaken to create habitat corridors to support the species. The success of this work relies on populations in existing reserve areas moving to establish new</w:t>
      </w:r>
      <w:r>
        <w:rPr>
          <w:color w:val="4D4D4F"/>
          <w:spacing w:val="15"/>
        </w:rPr>
        <w:t xml:space="preserve"> </w:t>
      </w:r>
      <w:r>
        <w:rPr>
          <w:color w:val="4D4D4F"/>
        </w:rPr>
        <w:t>populations.</w:t>
      </w:r>
      <w:r>
        <w:rPr>
          <w:color w:val="4D4D4F"/>
          <w:position w:val="7"/>
          <w:sz w:val="11"/>
        </w:rPr>
        <w:t>214</w:t>
      </w:r>
    </w:p>
    <w:p w14:paraId="2DB1FD54" w14:textId="77777777" w:rsidR="00EF5B27" w:rsidRDefault="00000000">
      <w:pPr>
        <w:pStyle w:val="BodyText"/>
        <w:spacing w:before="123" w:line="254" w:lineRule="auto"/>
        <w:ind w:left="2608" w:right="287"/>
      </w:pPr>
      <w:r>
        <w:rPr>
          <w:color w:val="4D4D4F"/>
        </w:rPr>
        <w:t xml:space="preserve">It is apparent that a contraction of the Southern Brown Bandicoot’s range has occurred over time. Southern Brown Bandicoot used to be found in Langwarrin flora and fauna reserve but is now no longer detected here. Southern Brown Bandicoot  was also surveyed both west and south of the modelled habitat extent, on the Mornington Peninsula down around Bass Strait and in the reserve in Mount Martha – but were not found. This makes the MSA area locally important. </w:t>
      </w:r>
      <w:r>
        <w:rPr>
          <w:color w:val="4D4D4F"/>
          <w:spacing w:val="2"/>
        </w:rPr>
        <w:t xml:space="preserve">Experts </w:t>
      </w:r>
      <w:r>
        <w:rPr>
          <w:color w:val="4D4D4F"/>
        </w:rPr>
        <w:t xml:space="preserve">are not sure why this range contraction has occurred, although they speculate that it is </w:t>
      </w:r>
      <w:r>
        <w:rPr>
          <w:color w:val="4D4D4F"/>
          <w:spacing w:val="-3"/>
        </w:rPr>
        <w:t xml:space="preserve">likely </w:t>
      </w:r>
      <w:r>
        <w:rPr>
          <w:color w:val="4D4D4F"/>
        </w:rPr>
        <w:t>due  to a combination of habitat loss and predation. There exist some captive breeding programs</w:t>
      </w:r>
      <w:r>
        <w:rPr>
          <w:color w:val="4D4D4F"/>
          <w:spacing w:val="6"/>
        </w:rPr>
        <w:t xml:space="preserve"> </w:t>
      </w:r>
      <w:r>
        <w:rPr>
          <w:color w:val="4D4D4F"/>
        </w:rPr>
        <w:t>for</w:t>
      </w:r>
      <w:r>
        <w:rPr>
          <w:color w:val="4D4D4F"/>
          <w:spacing w:val="6"/>
        </w:rPr>
        <w:t xml:space="preserve"> </w:t>
      </w:r>
      <w:r>
        <w:rPr>
          <w:color w:val="4D4D4F"/>
        </w:rPr>
        <w:t>the</w:t>
      </w:r>
      <w:r>
        <w:rPr>
          <w:color w:val="4D4D4F"/>
          <w:spacing w:val="7"/>
        </w:rPr>
        <w:t xml:space="preserve"> </w:t>
      </w:r>
      <w:r>
        <w:rPr>
          <w:color w:val="4D4D4F"/>
        </w:rPr>
        <w:t>Southern</w:t>
      </w:r>
      <w:r>
        <w:rPr>
          <w:color w:val="4D4D4F"/>
          <w:spacing w:val="6"/>
        </w:rPr>
        <w:t xml:space="preserve"> </w:t>
      </w:r>
      <w:r>
        <w:rPr>
          <w:color w:val="4D4D4F"/>
        </w:rPr>
        <w:t>Brown</w:t>
      </w:r>
      <w:r>
        <w:rPr>
          <w:color w:val="4D4D4F"/>
          <w:spacing w:val="6"/>
        </w:rPr>
        <w:t xml:space="preserve"> </w:t>
      </w:r>
      <w:r>
        <w:rPr>
          <w:color w:val="4D4D4F"/>
        </w:rPr>
        <w:t>Bandicoot,</w:t>
      </w:r>
      <w:r>
        <w:rPr>
          <w:color w:val="4D4D4F"/>
          <w:spacing w:val="7"/>
        </w:rPr>
        <w:t xml:space="preserve"> </w:t>
      </w:r>
      <w:r>
        <w:rPr>
          <w:color w:val="4D4D4F"/>
        </w:rPr>
        <w:t>so</w:t>
      </w:r>
      <w:r>
        <w:rPr>
          <w:color w:val="4D4D4F"/>
          <w:spacing w:val="6"/>
        </w:rPr>
        <w:t xml:space="preserve"> </w:t>
      </w:r>
      <w:r>
        <w:rPr>
          <w:color w:val="4D4D4F"/>
        </w:rPr>
        <w:t>it</w:t>
      </w:r>
      <w:r>
        <w:rPr>
          <w:color w:val="4D4D4F"/>
          <w:spacing w:val="7"/>
        </w:rPr>
        <w:t xml:space="preserve"> </w:t>
      </w:r>
      <w:r>
        <w:rPr>
          <w:color w:val="4D4D4F"/>
        </w:rPr>
        <w:t>may</w:t>
      </w:r>
      <w:r>
        <w:rPr>
          <w:color w:val="4D4D4F"/>
          <w:spacing w:val="6"/>
        </w:rPr>
        <w:t xml:space="preserve"> </w:t>
      </w:r>
      <w:r>
        <w:rPr>
          <w:color w:val="4D4D4F"/>
        </w:rPr>
        <w:t>be</w:t>
      </w:r>
      <w:r>
        <w:rPr>
          <w:color w:val="4D4D4F"/>
          <w:spacing w:val="6"/>
        </w:rPr>
        <w:t xml:space="preserve"> </w:t>
      </w:r>
      <w:r>
        <w:rPr>
          <w:color w:val="4D4D4F"/>
        </w:rPr>
        <w:t>possible</w:t>
      </w:r>
      <w:r>
        <w:rPr>
          <w:color w:val="4D4D4F"/>
          <w:spacing w:val="7"/>
        </w:rPr>
        <w:t xml:space="preserve"> </w:t>
      </w:r>
      <w:r>
        <w:rPr>
          <w:color w:val="4D4D4F"/>
        </w:rPr>
        <w:t>to</w:t>
      </w:r>
      <w:r>
        <w:rPr>
          <w:color w:val="4D4D4F"/>
          <w:spacing w:val="6"/>
        </w:rPr>
        <w:t xml:space="preserve"> </w:t>
      </w:r>
      <w:r>
        <w:rPr>
          <w:color w:val="4D4D4F"/>
        </w:rPr>
        <w:t>analyse</w:t>
      </w:r>
    </w:p>
    <w:p w14:paraId="20505E27" w14:textId="77777777" w:rsidR="00EF5B27" w:rsidRDefault="00000000">
      <w:pPr>
        <w:pStyle w:val="BodyText"/>
        <w:spacing w:before="11" w:line="254" w:lineRule="auto"/>
        <w:ind w:left="2608" w:right="218"/>
        <w:rPr>
          <w:sz w:val="11"/>
        </w:rPr>
      </w:pPr>
      <w:r>
        <w:rPr>
          <w:color w:val="4D4D4F"/>
        </w:rPr>
        <w:t xml:space="preserve">the existing population’s genetics and undertake experimental reintroductions of individuals to bolster the genetic health of the population. </w:t>
      </w:r>
      <w:r>
        <w:rPr>
          <w:color w:val="4D4D4F"/>
          <w:spacing w:val="-3"/>
        </w:rPr>
        <w:t xml:space="preserve">However, </w:t>
      </w:r>
      <w:r>
        <w:rPr>
          <w:color w:val="4D4D4F"/>
        </w:rPr>
        <w:t>experts warn that due to the landscape being largely unregulated, this approach would risk a high rate   of failure due to predation, and some smaller scale reintroductions have made little difference to overall population numbers.</w:t>
      </w:r>
      <w:r>
        <w:rPr>
          <w:color w:val="4D4D4F"/>
          <w:position w:val="7"/>
          <w:sz w:val="11"/>
        </w:rPr>
        <w:t xml:space="preserve">215 </w:t>
      </w:r>
      <w:r>
        <w:rPr>
          <w:color w:val="4D4D4F"/>
        </w:rPr>
        <w:t>DELWP is reassured that where it does  find the Southern Brown Bandicoot at sites within the current extent, it is generally detecting relatively high levels of occupancy which would indicate adequate carrying capacity for the</w:t>
      </w:r>
      <w:r>
        <w:rPr>
          <w:color w:val="4D4D4F"/>
          <w:spacing w:val="12"/>
        </w:rPr>
        <w:t xml:space="preserve"> </w:t>
      </w:r>
      <w:r>
        <w:rPr>
          <w:color w:val="4D4D4F"/>
        </w:rPr>
        <w:t>species.</w:t>
      </w:r>
      <w:r>
        <w:rPr>
          <w:color w:val="4D4D4F"/>
          <w:position w:val="7"/>
          <w:sz w:val="11"/>
        </w:rPr>
        <w:t>216</w:t>
      </w:r>
    </w:p>
    <w:p w14:paraId="4638C174" w14:textId="77777777" w:rsidR="00EF5B27" w:rsidRDefault="00EF5B27">
      <w:pPr>
        <w:pStyle w:val="BodyText"/>
      </w:pPr>
    </w:p>
    <w:p w14:paraId="0A625D54" w14:textId="77777777" w:rsidR="00EF5B27" w:rsidRDefault="00EF5B27">
      <w:pPr>
        <w:pStyle w:val="BodyText"/>
      </w:pPr>
    </w:p>
    <w:p w14:paraId="7AA31F5A" w14:textId="77777777" w:rsidR="00EF5B27" w:rsidRDefault="00EF5B27">
      <w:pPr>
        <w:pStyle w:val="BodyText"/>
      </w:pPr>
    </w:p>
    <w:p w14:paraId="5EF6B69B" w14:textId="77777777" w:rsidR="00EF5B27" w:rsidRDefault="00EF5B27">
      <w:pPr>
        <w:pStyle w:val="BodyText"/>
      </w:pPr>
    </w:p>
    <w:p w14:paraId="39C83C57" w14:textId="77777777" w:rsidR="00EF5B27" w:rsidRDefault="00EF5B27">
      <w:pPr>
        <w:pStyle w:val="BodyText"/>
      </w:pPr>
    </w:p>
    <w:p w14:paraId="51BF9BE3" w14:textId="77777777" w:rsidR="00EF5B27" w:rsidRDefault="00EF5B27">
      <w:pPr>
        <w:pStyle w:val="BodyText"/>
      </w:pPr>
    </w:p>
    <w:p w14:paraId="3ECC3BD7" w14:textId="77777777" w:rsidR="00EF5B27" w:rsidRDefault="00EF5B27">
      <w:pPr>
        <w:pStyle w:val="BodyText"/>
      </w:pPr>
    </w:p>
    <w:p w14:paraId="3C2081EB" w14:textId="77777777" w:rsidR="00EF5B27" w:rsidRDefault="00EF5B27">
      <w:pPr>
        <w:pStyle w:val="BodyText"/>
      </w:pPr>
    </w:p>
    <w:p w14:paraId="4624F3E8" w14:textId="77777777" w:rsidR="00EF5B27" w:rsidRDefault="00EF5B27">
      <w:pPr>
        <w:pStyle w:val="BodyText"/>
      </w:pPr>
    </w:p>
    <w:p w14:paraId="12ADD577" w14:textId="77777777" w:rsidR="00EF5B27" w:rsidRDefault="00000000">
      <w:pPr>
        <w:pStyle w:val="BodyText"/>
        <w:spacing w:before="2"/>
        <w:rPr>
          <w:sz w:val="10"/>
        </w:rPr>
      </w:pPr>
      <w:r>
        <w:pict w14:anchorId="461F5734">
          <v:line id="_x0000_s2924" style="position:absolute;z-index:251603456;mso-wrap-distance-left:0;mso-wrap-distance-right:0;mso-position-horizontal-relative:page" from="181.4pt,8.4pt" to="538.6pt,8.4pt" strokecolor="#4d4d4f" strokeweight=".5pt">
            <w10:wrap type="topAndBottom" anchorx="page"/>
          </v:line>
        </w:pict>
      </w:r>
    </w:p>
    <w:p w14:paraId="31E2E2F7" w14:textId="77777777" w:rsidR="00EF5B27" w:rsidRDefault="00000000">
      <w:pPr>
        <w:pStyle w:val="ListParagraph"/>
        <w:numPr>
          <w:ilvl w:val="0"/>
          <w:numId w:val="24"/>
        </w:numPr>
        <w:tabs>
          <w:tab w:val="left" w:pos="2836"/>
        </w:tabs>
        <w:spacing w:before="83" w:line="143" w:lineRule="exact"/>
        <w:ind w:left="2835"/>
        <w:rPr>
          <w:sz w:val="12"/>
        </w:rPr>
      </w:pPr>
      <w:r>
        <w:rPr>
          <w:color w:val="4D4D4F"/>
          <w:sz w:val="12"/>
        </w:rPr>
        <w:t>DELWP</w:t>
      </w:r>
      <w:r>
        <w:rPr>
          <w:color w:val="4D4D4F"/>
          <w:spacing w:val="11"/>
          <w:sz w:val="12"/>
        </w:rPr>
        <w:t xml:space="preserve"> </w:t>
      </w:r>
      <w:r>
        <w:rPr>
          <w:color w:val="4D4D4F"/>
          <w:sz w:val="12"/>
        </w:rPr>
        <w:t>Officer,</w:t>
      </w:r>
      <w:r>
        <w:rPr>
          <w:color w:val="4D4D4F"/>
          <w:spacing w:val="12"/>
          <w:sz w:val="12"/>
        </w:rPr>
        <w:t xml:space="preserve"> </w:t>
      </w:r>
      <w:r>
        <w:rPr>
          <w:color w:val="4D4D4F"/>
          <w:sz w:val="12"/>
        </w:rPr>
        <w:t>personal</w:t>
      </w:r>
      <w:r>
        <w:rPr>
          <w:color w:val="4D4D4F"/>
          <w:spacing w:val="12"/>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2"/>
          <w:sz w:val="12"/>
        </w:rPr>
        <w:t xml:space="preserve"> </w:t>
      </w:r>
      <w:r>
        <w:rPr>
          <w:color w:val="4D4D4F"/>
          <w:sz w:val="12"/>
        </w:rPr>
        <w:t>July</w:t>
      </w:r>
      <w:r>
        <w:rPr>
          <w:color w:val="4D4D4F"/>
          <w:spacing w:val="12"/>
          <w:sz w:val="12"/>
        </w:rPr>
        <w:t xml:space="preserve"> </w:t>
      </w:r>
      <w:r>
        <w:rPr>
          <w:color w:val="4D4D4F"/>
          <w:sz w:val="12"/>
        </w:rPr>
        <w:t>2021.</w:t>
      </w:r>
    </w:p>
    <w:p w14:paraId="6829E210" w14:textId="77777777" w:rsidR="00EF5B27" w:rsidRDefault="00000000">
      <w:pPr>
        <w:pStyle w:val="ListParagraph"/>
        <w:numPr>
          <w:ilvl w:val="0"/>
          <w:numId w:val="24"/>
        </w:numPr>
        <w:tabs>
          <w:tab w:val="left" w:pos="2836"/>
        </w:tabs>
        <w:spacing w:line="140" w:lineRule="exact"/>
        <w:ind w:left="2835"/>
        <w:rPr>
          <w:sz w:val="12"/>
        </w:rPr>
      </w:pPr>
      <w:r>
        <w:rPr>
          <w:color w:val="4D4D4F"/>
          <w:sz w:val="12"/>
        </w:rPr>
        <w:t>DELWP</w:t>
      </w:r>
      <w:r>
        <w:rPr>
          <w:color w:val="4D4D4F"/>
          <w:spacing w:val="11"/>
          <w:sz w:val="12"/>
        </w:rPr>
        <w:t xml:space="preserve"> </w:t>
      </w:r>
      <w:r>
        <w:rPr>
          <w:color w:val="4D4D4F"/>
          <w:sz w:val="12"/>
        </w:rPr>
        <w:t>Officer,</w:t>
      </w:r>
      <w:r>
        <w:rPr>
          <w:color w:val="4D4D4F"/>
          <w:spacing w:val="12"/>
          <w:sz w:val="12"/>
        </w:rPr>
        <w:t xml:space="preserve"> </w:t>
      </w:r>
      <w:r>
        <w:rPr>
          <w:color w:val="4D4D4F"/>
          <w:sz w:val="12"/>
        </w:rPr>
        <w:t>personal</w:t>
      </w:r>
      <w:r>
        <w:rPr>
          <w:color w:val="4D4D4F"/>
          <w:spacing w:val="12"/>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2"/>
          <w:sz w:val="12"/>
        </w:rPr>
        <w:t xml:space="preserve"> </w:t>
      </w:r>
      <w:r>
        <w:rPr>
          <w:color w:val="4D4D4F"/>
          <w:sz w:val="12"/>
        </w:rPr>
        <w:t>July</w:t>
      </w:r>
      <w:r>
        <w:rPr>
          <w:color w:val="4D4D4F"/>
          <w:spacing w:val="12"/>
          <w:sz w:val="12"/>
        </w:rPr>
        <w:t xml:space="preserve"> </w:t>
      </w:r>
      <w:r>
        <w:rPr>
          <w:color w:val="4D4D4F"/>
          <w:sz w:val="12"/>
        </w:rPr>
        <w:t>2021.</w:t>
      </w:r>
    </w:p>
    <w:p w14:paraId="29D272D4" w14:textId="77777777" w:rsidR="00EF5B27" w:rsidRDefault="00000000">
      <w:pPr>
        <w:pStyle w:val="ListParagraph"/>
        <w:numPr>
          <w:ilvl w:val="0"/>
          <w:numId w:val="24"/>
        </w:numPr>
        <w:tabs>
          <w:tab w:val="left" w:pos="2836"/>
        </w:tabs>
        <w:spacing w:line="140" w:lineRule="exact"/>
        <w:ind w:left="2835"/>
        <w:rPr>
          <w:sz w:val="12"/>
        </w:rPr>
      </w:pPr>
      <w:r>
        <w:rPr>
          <w:color w:val="4D4D4F"/>
          <w:sz w:val="12"/>
        </w:rPr>
        <w:t xml:space="preserve">DELWP Officer, personal communication, 29 </w:t>
      </w:r>
      <w:r>
        <w:rPr>
          <w:color w:val="4D4D4F"/>
          <w:spacing w:val="2"/>
          <w:sz w:val="12"/>
        </w:rPr>
        <w:t>February</w:t>
      </w:r>
      <w:r>
        <w:rPr>
          <w:color w:val="4D4D4F"/>
          <w:spacing w:val="14"/>
          <w:sz w:val="12"/>
        </w:rPr>
        <w:t xml:space="preserve"> </w:t>
      </w:r>
      <w:r>
        <w:rPr>
          <w:color w:val="4D4D4F"/>
          <w:spacing w:val="2"/>
          <w:sz w:val="12"/>
        </w:rPr>
        <w:t>2022.</w:t>
      </w:r>
    </w:p>
    <w:p w14:paraId="098C01E4" w14:textId="77777777" w:rsidR="00EF5B27" w:rsidRDefault="00000000">
      <w:pPr>
        <w:pStyle w:val="ListParagraph"/>
        <w:numPr>
          <w:ilvl w:val="0"/>
          <w:numId w:val="24"/>
        </w:numPr>
        <w:tabs>
          <w:tab w:val="left" w:pos="2835"/>
        </w:tabs>
        <w:spacing w:line="140" w:lineRule="exact"/>
        <w:ind w:hanging="226"/>
        <w:rPr>
          <w:sz w:val="12"/>
        </w:rPr>
      </w:pPr>
      <w:r>
        <w:rPr>
          <w:color w:val="4D4D4F"/>
          <w:sz w:val="12"/>
        </w:rPr>
        <w:t>DELWP</w:t>
      </w:r>
      <w:r>
        <w:rPr>
          <w:color w:val="4D4D4F"/>
          <w:spacing w:val="11"/>
          <w:sz w:val="12"/>
        </w:rPr>
        <w:t xml:space="preserve"> </w:t>
      </w:r>
      <w:r>
        <w:rPr>
          <w:color w:val="4D4D4F"/>
          <w:sz w:val="12"/>
        </w:rPr>
        <w:t>Officer,</w:t>
      </w:r>
      <w:r>
        <w:rPr>
          <w:color w:val="4D4D4F"/>
          <w:spacing w:val="12"/>
          <w:sz w:val="12"/>
        </w:rPr>
        <w:t xml:space="preserve"> </w:t>
      </w:r>
      <w:r>
        <w:rPr>
          <w:color w:val="4D4D4F"/>
          <w:sz w:val="12"/>
        </w:rPr>
        <w:t>personal</w:t>
      </w:r>
      <w:r>
        <w:rPr>
          <w:color w:val="4D4D4F"/>
          <w:spacing w:val="12"/>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2"/>
          <w:sz w:val="12"/>
        </w:rPr>
        <w:t xml:space="preserve"> </w:t>
      </w:r>
      <w:r>
        <w:rPr>
          <w:color w:val="4D4D4F"/>
          <w:sz w:val="12"/>
        </w:rPr>
        <w:t>July</w:t>
      </w:r>
      <w:r>
        <w:rPr>
          <w:color w:val="4D4D4F"/>
          <w:spacing w:val="12"/>
          <w:sz w:val="12"/>
        </w:rPr>
        <w:t xml:space="preserve"> </w:t>
      </w:r>
      <w:r>
        <w:rPr>
          <w:color w:val="4D4D4F"/>
          <w:sz w:val="12"/>
        </w:rPr>
        <w:t>2021.</w:t>
      </w:r>
    </w:p>
    <w:p w14:paraId="5B313742" w14:textId="77777777" w:rsidR="00EF5B27" w:rsidRDefault="00000000">
      <w:pPr>
        <w:pStyle w:val="ListParagraph"/>
        <w:numPr>
          <w:ilvl w:val="0"/>
          <w:numId w:val="24"/>
        </w:numPr>
        <w:tabs>
          <w:tab w:val="left" w:pos="2835"/>
        </w:tabs>
        <w:spacing w:line="140" w:lineRule="exact"/>
        <w:ind w:hanging="226"/>
        <w:rPr>
          <w:sz w:val="12"/>
        </w:rPr>
      </w:pPr>
      <w:r>
        <w:rPr>
          <w:color w:val="4D4D4F"/>
          <w:sz w:val="12"/>
        </w:rPr>
        <w:t>DELWP</w:t>
      </w:r>
      <w:r>
        <w:rPr>
          <w:color w:val="4D4D4F"/>
          <w:spacing w:val="11"/>
          <w:sz w:val="12"/>
        </w:rPr>
        <w:t xml:space="preserve"> </w:t>
      </w:r>
      <w:r>
        <w:rPr>
          <w:color w:val="4D4D4F"/>
          <w:sz w:val="12"/>
        </w:rPr>
        <w:t>Officer,</w:t>
      </w:r>
      <w:r>
        <w:rPr>
          <w:color w:val="4D4D4F"/>
          <w:spacing w:val="12"/>
          <w:sz w:val="12"/>
        </w:rPr>
        <w:t xml:space="preserve"> </w:t>
      </w:r>
      <w:r>
        <w:rPr>
          <w:color w:val="4D4D4F"/>
          <w:sz w:val="12"/>
        </w:rPr>
        <w:t>personal</w:t>
      </w:r>
      <w:r>
        <w:rPr>
          <w:color w:val="4D4D4F"/>
          <w:spacing w:val="12"/>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2"/>
          <w:sz w:val="12"/>
        </w:rPr>
        <w:t xml:space="preserve"> </w:t>
      </w:r>
      <w:r>
        <w:rPr>
          <w:color w:val="4D4D4F"/>
          <w:sz w:val="12"/>
        </w:rPr>
        <w:t>July</w:t>
      </w:r>
      <w:r>
        <w:rPr>
          <w:color w:val="4D4D4F"/>
          <w:spacing w:val="12"/>
          <w:sz w:val="12"/>
        </w:rPr>
        <w:t xml:space="preserve"> </w:t>
      </w:r>
      <w:r>
        <w:rPr>
          <w:color w:val="4D4D4F"/>
          <w:sz w:val="12"/>
        </w:rPr>
        <w:t>2021.</w:t>
      </w:r>
    </w:p>
    <w:p w14:paraId="0A21B7FF" w14:textId="77777777" w:rsidR="00EF5B27" w:rsidRDefault="00000000">
      <w:pPr>
        <w:pStyle w:val="ListParagraph"/>
        <w:numPr>
          <w:ilvl w:val="0"/>
          <w:numId w:val="24"/>
        </w:numPr>
        <w:tabs>
          <w:tab w:val="left" w:pos="2835"/>
        </w:tabs>
        <w:spacing w:line="143" w:lineRule="exact"/>
        <w:ind w:hanging="226"/>
        <w:rPr>
          <w:sz w:val="12"/>
        </w:rPr>
      </w:pPr>
      <w:r>
        <w:rPr>
          <w:color w:val="4D4D4F"/>
          <w:sz w:val="12"/>
        </w:rPr>
        <w:t xml:space="preserve">DELWP Officer, personal communication, 29 </w:t>
      </w:r>
      <w:r>
        <w:rPr>
          <w:color w:val="4D4D4F"/>
          <w:spacing w:val="2"/>
          <w:sz w:val="12"/>
        </w:rPr>
        <w:t>February</w:t>
      </w:r>
      <w:r>
        <w:rPr>
          <w:color w:val="4D4D4F"/>
          <w:spacing w:val="14"/>
          <w:sz w:val="12"/>
        </w:rPr>
        <w:t xml:space="preserve"> </w:t>
      </w:r>
      <w:r>
        <w:rPr>
          <w:color w:val="4D4D4F"/>
          <w:spacing w:val="2"/>
          <w:sz w:val="12"/>
        </w:rPr>
        <w:t>2022.</w:t>
      </w:r>
    </w:p>
    <w:p w14:paraId="4A9C5D05"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6BA9692C" w14:textId="77777777" w:rsidR="00EF5B27" w:rsidRDefault="00000000">
      <w:pPr>
        <w:pStyle w:val="BodyText"/>
      </w:pPr>
      <w:r>
        <w:lastRenderedPageBreak/>
        <w:pict w14:anchorId="3B6133E4">
          <v:group id="_x0000_s2916" style="position:absolute;margin-left:587.05pt;margin-top:183.4pt;width:8.25pt;height:153.1pt;z-index:251670016;mso-position-horizontal-relative:page;mso-position-vertical-relative:page" coordorigin="11741,3668" coordsize="165,3062">
            <v:shape id="_x0000_s2923" style="position:absolute;left:11741;top:3668;width:165;height:561" coordorigin="11741,3668" coordsize="165,561" path="m11906,3668r-165,l11741,4228r165,-18l11906,3668xe" fillcolor="#00aed9" stroked="f">
              <v:path arrowok="t"/>
            </v:shape>
            <v:shape id="_x0000_s2922" style="position:absolute;left:11741;top:4118;width:165;height:425" coordorigin="11741,4118" coordsize="165,425" path="m11906,4118r-165,14l11741,4531r165,12l11906,4118xe" fillcolor="#047ebc" stroked="f">
              <v:path arrowok="t"/>
            </v:shape>
            <v:shape id="_x0000_s2921" type="#_x0000_t75" style="position:absolute;left:11741;top:4355;width:165;height:587">
              <v:imagedata r:id="rId42" o:title=""/>
            </v:shape>
            <v:shape id="_x0000_s2920" style="position:absolute;left:11741;top:5343;width:165;height:536" coordorigin="11741,5343" coordsize="165,536" path="m11741,5343r,535l11906,5872r,-525l11741,5343xe" fillcolor="#f36a2e" stroked="f">
              <v:path arrowok="t"/>
            </v:shape>
            <v:shape id="_x0000_s2919" style="position:absolute;left:11741;top:4925;width:165;height:501" coordorigin="11741,4926" coordsize="165,501" path="m11741,4926r,500l11906,5426r,-485l11741,4926xe" fillcolor="#49783f" stroked="f">
              <v:path arrowok="t"/>
            </v:shape>
            <v:shape id="_x0000_s2918" style="position:absolute;left:11741;top:5781;width:165;height:268" coordorigin="11741,5782" coordsize="165,268" path="m11906,5782r-165,8l11741,6039r165,10l11906,5782xe" fillcolor="#f99f2a" stroked="f">
              <v:path arrowok="t"/>
            </v:shape>
            <v:shape id="_x0000_s2917" style="position:absolute;left:11741;top:6023;width:165;height:707" coordorigin="11741,6023" coordsize="165,707" path="m11741,6023r,706l11906,6729r,-690l11741,6023xe" fillcolor="#ef412c" stroked="f">
              <v:path arrowok="t"/>
            </v:shape>
            <w10:wrap anchorx="page" anchory="page"/>
          </v:group>
        </w:pict>
      </w:r>
    </w:p>
    <w:p w14:paraId="5D34AD73" w14:textId="77777777" w:rsidR="00EF5B27" w:rsidRDefault="00EF5B27">
      <w:pPr>
        <w:pStyle w:val="BodyText"/>
      </w:pPr>
    </w:p>
    <w:p w14:paraId="48EF0758" w14:textId="77777777" w:rsidR="00EF5B27" w:rsidRDefault="00EF5B27">
      <w:pPr>
        <w:pStyle w:val="BodyText"/>
      </w:pPr>
    </w:p>
    <w:p w14:paraId="14F98A65" w14:textId="77777777" w:rsidR="00EF5B27" w:rsidRDefault="00EF5B27">
      <w:pPr>
        <w:pStyle w:val="BodyText"/>
        <w:spacing w:before="4"/>
        <w:rPr>
          <w:sz w:val="25"/>
        </w:rPr>
      </w:pPr>
    </w:p>
    <w:p w14:paraId="443F0CD9" w14:textId="77777777" w:rsidR="00EF5B27" w:rsidRDefault="00000000">
      <w:pPr>
        <w:pStyle w:val="BodyText"/>
        <w:spacing w:before="100" w:line="254" w:lineRule="auto"/>
        <w:ind w:left="2608" w:right="308"/>
      </w:pPr>
      <w:r>
        <w:rPr>
          <w:color w:val="4D4D4F"/>
        </w:rPr>
        <w:t xml:space="preserve">Southern Brown Bandicoot occupancy appears to vary by site, which suggests that they may have distinct habitat preferences relating to various pressures in the local environment. DELWP speculates that Southern Brown Bandicoots prefer the artificial canal sites as the high vegetation cover in these areas offers protection from foxes and the wet environment promotes insects and fungi, which they eat. Roadsides and bushland in the reserves are speculated to have, by comparison, less </w:t>
      </w:r>
      <w:r>
        <w:rPr>
          <w:color w:val="4D4D4F"/>
          <w:spacing w:val="-4"/>
        </w:rPr>
        <w:t xml:space="preserve">cover, </w:t>
      </w:r>
      <w:r>
        <w:rPr>
          <w:color w:val="4D4D4F"/>
        </w:rPr>
        <w:t xml:space="preserve">and therefore the Southern Brown Bandicoot is </w:t>
      </w:r>
      <w:r>
        <w:rPr>
          <w:color w:val="4D4D4F"/>
          <w:spacing w:val="-3"/>
        </w:rPr>
        <w:t xml:space="preserve">potentially </w:t>
      </w:r>
      <w:r>
        <w:rPr>
          <w:color w:val="4D4D4F"/>
        </w:rPr>
        <w:t xml:space="preserve">more vulnerable to predation by </w:t>
      </w:r>
      <w:r>
        <w:rPr>
          <w:color w:val="4D4D4F"/>
          <w:spacing w:val="-3"/>
        </w:rPr>
        <w:t xml:space="preserve">foxes </w:t>
      </w:r>
      <w:r>
        <w:rPr>
          <w:color w:val="4D4D4F"/>
        </w:rPr>
        <w:t>in these areas.</w:t>
      </w:r>
      <w:r>
        <w:rPr>
          <w:color w:val="4D4D4F"/>
          <w:position w:val="7"/>
          <w:sz w:val="11"/>
        </w:rPr>
        <w:t xml:space="preserve">217 </w:t>
      </w:r>
      <w:r>
        <w:rPr>
          <w:color w:val="4D4D4F"/>
        </w:rPr>
        <w:t xml:space="preserve">Further </w:t>
      </w:r>
      <w:r>
        <w:rPr>
          <w:color w:val="4D4D4F"/>
          <w:spacing w:val="-3"/>
        </w:rPr>
        <w:t xml:space="preserve">insights into </w:t>
      </w:r>
      <w:r>
        <w:rPr>
          <w:color w:val="4D4D4F"/>
        </w:rPr>
        <w:t xml:space="preserve">occupancy trends may inform sensitive management designs that address habitat preferences and species responses to </w:t>
      </w:r>
      <w:r>
        <w:rPr>
          <w:color w:val="4D4D4F"/>
          <w:spacing w:val="-3"/>
        </w:rPr>
        <w:t xml:space="preserve">management </w:t>
      </w:r>
      <w:r>
        <w:rPr>
          <w:color w:val="4D4D4F"/>
        </w:rPr>
        <w:t xml:space="preserve">regimes </w:t>
      </w:r>
      <w:r>
        <w:rPr>
          <w:color w:val="4D4D4F"/>
          <w:spacing w:val="-4"/>
        </w:rPr>
        <w:t xml:space="preserve">(including </w:t>
      </w:r>
      <w:r>
        <w:rPr>
          <w:color w:val="4D4D4F"/>
          <w:spacing w:val="-3"/>
        </w:rPr>
        <w:t xml:space="preserve">planned </w:t>
      </w:r>
      <w:r>
        <w:rPr>
          <w:color w:val="4D4D4F"/>
        </w:rPr>
        <w:t xml:space="preserve">burning, predator control and weed </w:t>
      </w:r>
      <w:r>
        <w:rPr>
          <w:color w:val="4D4D4F"/>
          <w:spacing w:val="-3"/>
        </w:rPr>
        <w:t xml:space="preserve">control), </w:t>
      </w:r>
      <w:r>
        <w:rPr>
          <w:color w:val="4D4D4F"/>
        </w:rPr>
        <w:t>noting the importance of the artificial</w:t>
      </w:r>
      <w:r>
        <w:rPr>
          <w:color w:val="4D4D4F"/>
          <w:spacing w:val="18"/>
        </w:rPr>
        <w:t xml:space="preserve"> </w:t>
      </w:r>
      <w:r>
        <w:rPr>
          <w:color w:val="4D4D4F"/>
        </w:rPr>
        <w:t>environment.</w:t>
      </w:r>
    </w:p>
    <w:p w14:paraId="41DCB799" w14:textId="77777777" w:rsidR="00EF5B27" w:rsidRDefault="00000000">
      <w:pPr>
        <w:pStyle w:val="BodyText"/>
        <w:spacing w:before="127" w:line="254" w:lineRule="auto"/>
        <w:ind w:left="2608" w:right="151"/>
        <w:rPr>
          <w:sz w:val="11"/>
        </w:rPr>
      </w:pPr>
      <w:r>
        <w:rPr>
          <w:color w:val="4D4D4F"/>
          <w:w w:val="105"/>
        </w:rPr>
        <w:t>Other data of relevance to Southern Brown Bandicoot occupancy relates to fox occupancy,</w:t>
      </w:r>
      <w:r>
        <w:rPr>
          <w:color w:val="4D4D4F"/>
          <w:spacing w:val="-19"/>
          <w:w w:val="105"/>
        </w:rPr>
        <w:t xml:space="preserve"> </w:t>
      </w:r>
      <w:r>
        <w:rPr>
          <w:color w:val="4D4D4F"/>
          <w:w w:val="105"/>
        </w:rPr>
        <w:t>with</w:t>
      </w:r>
      <w:r>
        <w:rPr>
          <w:color w:val="4D4D4F"/>
          <w:spacing w:val="-18"/>
          <w:w w:val="105"/>
        </w:rPr>
        <w:t xml:space="preserve"> </w:t>
      </w:r>
      <w:r>
        <w:rPr>
          <w:color w:val="4D4D4F"/>
          <w:w w:val="105"/>
        </w:rPr>
        <w:t>DELWP</w:t>
      </w:r>
      <w:r>
        <w:rPr>
          <w:color w:val="4D4D4F"/>
          <w:spacing w:val="-19"/>
          <w:w w:val="105"/>
        </w:rPr>
        <w:t xml:space="preserve"> </w:t>
      </w:r>
      <w:r>
        <w:rPr>
          <w:color w:val="4D4D4F"/>
          <w:w w:val="105"/>
        </w:rPr>
        <w:t>suggesting</w:t>
      </w:r>
      <w:r>
        <w:rPr>
          <w:color w:val="4D4D4F"/>
          <w:spacing w:val="-18"/>
          <w:w w:val="105"/>
        </w:rPr>
        <w:t xml:space="preserve"> </w:t>
      </w:r>
      <w:r>
        <w:rPr>
          <w:color w:val="4D4D4F"/>
          <w:w w:val="105"/>
        </w:rPr>
        <w:t>that</w:t>
      </w:r>
      <w:r>
        <w:rPr>
          <w:color w:val="4D4D4F"/>
          <w:spacing w:val="-19"/>
          <w:w w:val="105"/>
        </w:rPr>
        <w:t xml:space="preserve"> </w:t>
      </w:r>
      <w:r>
        <w:rPr>
          <w:color w:val="4D4D4F"/>
          <w:w w:val="105"/>
        </w:rPr>
        <w:t>they</w:t>
      </w:r>
      <w:r>
        <w:rPr>
          <w:color w:val="4D4D4F"/>
          <w:spacing w:val="-18"/>
          <w:w w:val="105"/>
        </w:rPr>
        <w:t xml:space="preserve"> </w:t>
      </w:r>
      <w:r>
        <w:rPr>
          <w:color w:val="4D4D4F"/>
          <w:w w:val="105"/>
        </w:rPr>
        <w:t>are</w:t>
      </w:r>
      <w:r>
        <w:rPr>
          <w:color w:val="4D4D4F"/>
          <w:spacing w:val="-19"/>
          <w:w w:val="105"/>
        </w:rPr>
        <w:t xml:space="preserve"> </w:t>
      </w:r>
      <w:r>
        <w:rPr>
          <w:color w:val="4D4D4F"/>
          <w:w w:val="105"/>
        </w:rPr>
        <w:t>everywhere</w:t>
      </w:r>
      <w:r>
        <w:rPr>
          <w:color w:val="4D4D4F"/>
          <w:spacing w:val="-18"/>
          <w:w w:val="105"/>
        </w:rPr>
        <w:t xml:space="preserve"> </w:t>
      </w:r>
      <w:r>
        <w:rPr>
          <w:color w:val="4D4D4F"/>
          <w:w w:val="105"/>
        </w:rPr>
        <w:t>within</w:t>
      </w:r>
      <w:r>
        <w:rPr>
          <w:color w:val="4D4D4F"/>
          <w:spacing w:val="-19"/>
          <w:w w:val="105"/>
        </w:rPr>
        <w:t xml:space="preserve"> </w:t>
      </w:r>
      <w:r>
        <w:rPr>
          <w:color w:val="4D4D4F"/>
          <w:w w:val="105"/>
        </w:rPr>
        <w:t>the</w:t>
      </w:r>
      <w:r>
        <w:rPr>
          <w:color w:val="4D4D4F"/>
          <w:spacing w:val="-18"/>
          <w:w w:val="105"/>
        </w:rPr>
        <w:t xml:space="preserve"> </w:t>
      </w:r>
      <w:r>
        <w:rPr>
          <w:color w:val="4D4D4F"/>
          <w:w w:val="105"/>
        </w:rPr>
        <w:t>Southern Brown</w:t>
      </w:r>
      <w:r>
        <w:rPr>
          <w:color w:val="4D4D4F"/>
          <w:spacing w:val="-20"/>
          <w:w w:val="105"/>
        </w:rPr>
        <w:t xml:space="preserve"> </w:t>
      </w:r>
      <w:r>
        <w:rPr>
          <w:color w:val="4D4D4F"/>
          <w:w w:val="105"/>
        </w:rPr>
        <w:t>Bandicoot’s</w:t>
      </w:r>
      <w:r>
        <w:rPr>
          <w:color w:val="4D4D4F"/>
          <w:spacing w:val="-20"/>
          <w:w w:val="105"/>
        </w:rPr>
        <w:t xml:space="preserve"> </w:t>
      </w:r>
      <w:r>
        <w:rPr>
          <w:color w:val="4D4D4F"/>
          <w:w w:val="105"/>
        </w:rPr>
        <w:t>range.</w:t>
      </w:r>
      <w:r>
        <w:rPr>
          <w:color w:val="4D4D4F"/>
          <w:w w:val="105"/>
          <w:position w:val="7"/>
          <w:sz w:val="11"/>
        </w:rPr>
        <w:t>218</w:t>
      </w:r>
      <w:r>
        <w:rPr>
          <w:color w:val="4D4D4F"/>
          <w:spacing w:val="-10"/>
          <w:w w:val="105"/>
          <w:position w:val="7"/>
          <w:sz w:val="11"/>
        </w:rPr>
        <w:t xml:space="preserve"> </w:t>
      </w:r>
      <w:r>
        <w:rPr>
          <w:color w:val="4D4D4F"/>
          <w:w w:val="105"/>
        </w:rPr>
        <w:t>Foxes</w:t>
      </w:r>
      <w:r>
        <w:rPr>
          <w:color w:val="4D4D4F"/>
          <w:spacing w:val="-19"/>
          <w:w w:val="105"/>
        </w:rPr>
        <w:t xml:space="preserve"> </w:t>
      </w:r>
      <w:r>
        <w:rPr>
          <w:color w:val="4D4D4F"/>
          <w:w w:val="105"/>
        </w:rPr>
        <w:t>pose</w:t>
      </w:r>
      <w:r>
        <w:rPr>
          <w:color w:val="4D4D4F"/>
          <w:spacing w:val="-20"/>
          <w:w w:val="105"/>
        </w:rPr>
        <w:t xml:space="preserve"> </w:t>
      </w:r>
      <w:r>
        <w:rPr>
          <w:color w:val="4D4D4F"/>
          <w:w w:val="105"/>
        </w:rPr>
        <w:t>the</w:t>
      </w:r>
      <w:r>
        <w:rPr>
          <w:color w:val="4D4D4F"/>
          <w:spacing w:val="-19"/>
          <w:w w:val="105"/>
        </w:rPr>
        <w:t xml:space="preserve"> </w:t>
      </w:r>
      <w:r>
        <w:rPr>
          <w:color w:val="4D4D4F"/>
          <w:w w:val="105"/>
        </w:rPr>
        <w:t>biggest</w:t>
      </w:r>
      <w:r>
        <w:rPr>
          <w:color w:val="4D4D4F"/>
          <w:spacing w:val="-20"/>
          <w:w w:val="105"/>
        </w:rPr>
        <w:t xml:space="preserve"> </w:t>
      </w:r>
      <w:r>
        <w:rPr>
          <w:color w:val="4D4D4F"/>
          <w:w w:val="105"/>
        </w:rPr>
        <w:t>threat</w:t>
      </w:r>
      <w:r>
        <w:rPr>
          <w:color w:val="4D4D4F"/>
          <w:spacing w:val="-20"/>
          <w:w w:val="105"/>
        </w:rPr>
        <w:t xml:space="preserve"> </w:t>
      </w:r>
      <w:r>
        <w:rPr>
          <w:color w:val="4D4D4F"/>
          <w:w w:val="105"/>
        </w:rPr>
        <w:t>to</w:t>
      </w:r>
      <w:r>
        <w:rPr>
          <w:color w:val="4D4D4F"/>
          <w:spacing w:val="-19"/>
          <w:w w:val="105"/>
        </w:rPr>
        <w:t xml:space="preserve"> </w:t>
      </w:r>
      <w:r>
        <w:rPr>
          <w:color w:val="4D4D4F"/>
          <w:w w:val="105"/>
        </w:rPr>
        <w:t>the</w:t>
      </w:r>
      <w:r>
        <w:rPr>
          <w:color w:val="4D4D4F"/>
          <w:spacing w:val="-20"/>
          <w:w w:val="105"/>
        </w:rPr>
        <w:t xml:space="preserve"> </w:t>
      </w:r>
      <w:r>
        <w:rPr>
          <w:color w:val="4D4D4F"/>
          <w:w w:val="105"/>
        </w:rPr>
        <w:t>bandicoot</w:t>
      </w:r>
      <w:r>
        <w:rPr>
          <w:color w:val="4D4D4F"/>
          <w:spacing w:val="-20"/>
          <w:w w:val="105"/>
        </w:rPr>
        <w:t xml:space="preserve"> </w:t>
      </w:r>
      <w:r>
        <w:rPr>
          <w:color w:val="4D4D4F"/>
          <w:w w:val="105"/>
        </w:rPr>
        <w:t>where habitat</w:t>
      </w:r>
      <w:r>
        <w:rPr>
          <w:color w:val="4D4D4F"/>
          <w:spacing w:val="-17"/>
          <w:w w:val="105"/>
        </w:rPr>
        <w:t xml:space="preserve"> </w:t>
      </w:r>
      <w:r>
        <w:rPr>
          <w:color w:val="4D4D4F"/>
          <w:w w:val="105"/>
        </w:rPr>
        <w:t>destruction</w:t>
      </w:r>
      <w:r>
        <w:rPr>
          <w:color w:val="4D4D4F"/>
          <w:spacing w:val="-17"/>
          <w:w w:val="105"/>
        </w:rPr>
        <w:t xml:space="preserve"> </w:t>
      </w:r>
      <w:r>
        <w:rPr>
          <w:color w:val="4D4D4F"/>
          <w:w w:val="105"/>
        </w:rPr>
        <w:t>isn't</w:t>
      </w:r>
      <w:r>
        <w:rPr>
          <w:color w:val="4D4D4F"/>
          <w:spacing w:val="-17"/>
          <w:w w:val="105"/>
        </w:rPr>
        <w:t xml:space="preserve"> </w:t>
      </w:r>
      <w:r>
        <w:rPr>
          <w:color w:val="4D4D4F"/>
          <w:w w:val="105"/>
        </w:rPr>
        <w:t>present.</w:t>
      </w:r>
      <w:r>
        <w:rPr>
          <w:color w:val="4D4D4F"/>
          <w:spacing w:val="-17"/>
          <w:w w:val="105"/>
        </w:rPr>
        <w:t xml:space="preserve"> </w:t>
      </w:r>
      <w:r>
        <w:rPr>
          <w:color w:val="4D4D4F"/>
          <w:w w:val="105"/>
        </w:rPr>
        <w:t>Bandicoots</w:t>
      </w:r>
      <w:r>
        <w:rPr>
          <w:color w:val="4D4D4F"/>
          <w:spacing w:val="-17"/>
          <w:w w:val="105"/>
        </w:rPr>
        <w:t xml:space="preserve"> </w:t>
      </w:r>
      <w:r>
        <w:rPr>
          <w:color w:val="4D4D4F"/>
          <w:w w:val="105"/>
        </w:rPr>
        <w:t>appear</w:t>
      </w:r>
      <w:r>
        <w:rPr>
          <w:color w:val="4D4D4F"/>
          <w:spacing w:val="-16"/>
          <w:w w:val="105"/>
        </w:rPr>
        <w:t xml:space="preserve"> </w:t>
      </w:r>
      <w:r>
        <w:rPr>
          <w:color w:val="4D4D4F"/>
          <w:w w:val="105"/>
        </w:rPr>
        <w:t>to</w:t>
      </w:r>
      <w:r>
        <w:rPr>
          <w:color w:val="4D4D4F"/>
          <w:spacing w:val="-17"/>
          <w:w w:val="105"/>
        </w:rPr>
        <w:t xml:space="preserve"> </w:t>
      </w:r>
      <w:r>
        <w:rPr>
          <w:color w:val="4D4D4F"/>
          <w:w w:val="105"/>
        </w:rPr>
        <w:t>persist</w:t>
      </w:r>
      <w:r>
        <w:rPr>
          <w:color w:val="4D4D4F"/>
          <w:spacing w:val="-17"/>
          <w:w w:val="105"/>
        </w:rPr>
        <w:t xml:space="preserve"> </w:t>
      </w:r>
      <w:r>
        <w:rPr>
          <w:color w:val="4D4D4F"/>
          <w:w w:val="105"/>
        </w:rPr>
        <w:t>in</w:t>
      </w:r>
      <w:r>
        <w:rPr>
          <w:color w:val="4D4D4F"/>
          <w:spacing w:val="-17"/>
          <w:w w:val="105"/>
        </w:rPr>
        <w:t xml:space="preserve"> </w:t>
      </w:r>
      <w:r>
        <w:rPr>
          <w:color w:val="4D4D4F"/>
          <w:w w:val="105"/>
        </w:rPr>
        <w:t>the</w:t>
      </w:r>
      <w:r>
        <w:rPr>
          <w:color w:val="4D4D4F"/>
          <w:spacing w:val="-17"/>
          <w:w w:val="105"/>
        </w:rPr>
        <w:t xml:space="preserve"> </w:t>
      </w:r>
      <w:r>
        <w:rPr>
          <w:color w:val="4D4D4F"/>
          <w:w w:val="105"/>
        </w:rPr>
        <w:t>presence</w:t>
      </w:r>
      <w:r>
        <w:rPr>
          <w:color w:val="4D4D4F"/>
          <w:spacing w:val="-17"/>
          <w:w w:val="105"/>
        </w:rPr>
        <w:t xml:space="preserve"> </w:t>
      </w:r>
      <w:r>
        <w:rPr>
          <w:color w:val="4D4D4F"/>
          <w:w w:val="105"/>
        </w:rPr>
        <w:t xml:space="preserve">of foxes if there is enough </w:t>
      </w:r>
      <w:r>
        <w:rPr>
          <w:color w:val="4D4D4F"/>
          <w:spacing w:val="-4"/>
          <w:w w:val="105"/>
        </w:rPr>
        <w:t xml:space="preserve">cover. </w:t>
      </w:r>
      <w:r>
        <w:rPr>
          <w:color w:val="4D4D4F"/>
          <w:w w:val="105"/>
        </w:rPr>
        <w:t xml:space="preserve">In previous years, DELWP has found an overlap of foxes and bandicoots at </w:t>
      </w:r>
      <w:r>
        <w:rPr>
          <w:color w:val="4D4D4F"/>
          <w:spacing w:val="2"/>
          <w:w w:val="105"/>
        </w:rPr>
        <w:t xml:space="preserve">30% </w:t>
      </w:r>
      <w:r>
        <w:rPr>
          <w:color w:val="4D4D4F"/>
          <w:w w:val="105"/>
        </w:rPr>
        <w:t xml:space="preserve">of sites – and expert elicitation data fed into </w:t>
      </w:r>
      <w:r>
        <w:rPr>
          <w:color w:val="4D4D4F"/>
          <w:spacing w:val="-3"/>
          <w:w w:val="105"/>
        </w:rPr>
        <w:t xml:space="preserve">PVA </w:t>
      </w:r>
      <w:r>
        <w:rPr>
          <w:color w:val="4D4D4F"/>
          <w:w w:val="105"/>
        </w:rPr>
        <w:t xml:space="preserve">modelling suggests the best action to support bandicoots is landscape-scale fox </w:t>
      </w:r>
      <w:r>
        <w:rPr>
          <w:color w:val="4D4D4F"/>
          <w:spacing w:val="-3"/>
          <w:w w:val="105"/>
        </w:rPr>
        <w:t>baiting.</w:t>
      </w:r>
      <w:r>
        <w:rPr>
          <w:color w:val="4D4D4F"/>
          <w:spacing w:val="-24"/>
          <w:w w:val="105"/>
        </w:rPr>
        <w:t xml:space="preserve"> </w:t>
      </w:r>
      <w:r>
        <w:rPr>
          <w:color w:val="4D4D4F"/>
          <w:w w:val="105"/>
        </w:rPr>
        <w:t>No</w:t>
      </w:r>
      <w:r>
        <w:rPr>
          <w:color w:val="4D4D4F"/>
          <w:spacing w:val="-23"/>
          <w:w w:val="105"/>
        </w:rPr>
        <w:t xml:space="preserve"> </w:t>
      </w:r>
      <w:r>
        <w:rPr>
          <w:color w:val="4D4D4F"/>
          <w:w w:val="105"/>
        </w:rPr>
        <w:t>landscape</w:t>
      </w:r>
      <w:r>
        <w:rPr>
          <w:color w:val="4D4D4F"/>
          <w:spacing w:val="-23"/>
          <w:w w:val="105"/>
        </w:rPr>
        <w:t xml:space="preserve"> </w:t>
      </w:r>
      <w:r>
        <w:rPr>
          <w:color w:val="4D4D4F"/>
          <w:spacing w:val="-3"/>
          <w:w w:val="105"/>
        </w:rPr>
        <w:t>fox</w:t>
      </w:r>
      <w:r>
        <w:rPr>
          <w:color w:val="4D4D4F"/>
          <w:spacing w:val="-23"/>
          <w:w w:val="105"/>
        </w:rPr>
        <w:t xml:space="preserve"> </w:t>
      </w:r>
      <w:r>
        <w:rPr>
          <w:color w:val="4D4D4F"/>
          <w:spacing w:val="-3"/>
          <w:w w:val="105"/>
        </w:rPr>
        <w:t>baiting</w:t>
      </w:r>
      <w:r>
        <w:rPr>
          <w:color w:val="4D4D4F"/>
          <w:spacing w:val="-23"/>
          <w:w w:val="105"/>
        </w:rPr>
        <w:t xml:space="preserve"> </w:t>
      </w:r>
      <w:r>
        <w:rPr>
          <w:color w:val="4D4D4F"/>
          <w:spacing w:val="-3"/>
          <w:w w:val="105"/>
        </w:rPr>
        <w:t>is</w:t>
      </w:r>
      <w:r>
        <w:rPr>
          <w:color w:val="4D4D4F"/>
          <w:spacing w:val="-23"/>
          <w:w w:val="105"/>
        </w:rPr>
        <w:t xml:space="preserve"> </w:t>
      </w:r>
      <w:r>
        <w:rPr>
          <w:color w:val="4D4D4F"/>
          <w:spacing w:val="-3"/>
          <w:w w:val="105"/>
        </w:rPr>
        <w:t>currently</w:t>
      </w:r>
      <w:r>
        <w:rPr>
          <w:color w:val="4D4D4F"/>
          <w:spacing w:val="-23"/>
          <w:w w:val="105"/>
        </w:rPr>
        <w:t xml:space="preserve"> </w:t>
      </w:r>
      <w:r>
        <w:rPr>
          <w:color w:val="4D4D4F"/>
          <w:spacing w:val="-3"/>
          <w:w w:val="105"/>
        </w:rPr>
        <w:t>applied</w:t>
      </w:r>
      <w:r>
        <w:rPr>
          <w:color w:val="4D4D4F"/>
          <w:spacing w:val="-23"/>
          <w:w w:val="105"/>
        </w:rPr>
        <w:t xml:space="preserve"> </w:t>
      </w:r>
      <w:r>
        <w:rPr>
          <w:color w:val="4D4D4F"/>
          <w:w w:val="105"/>
        </w:rPr>
        <w:t>to</w:t>
      </w:r>
      <w:r>
        <w:rPr>
          <w:color w:val="4D4D4F"/>
          <w:spacing w:val="-23"/>
          <w:w w:val="105"/>
        </w:rPr>
        <w:t xml:space="preserve"> </w:t>
      </w:r>
      <w:r>
        <w:rPr>
          <w:color w:val="4D4D4F"/>
          <w:w w:val="105"/>
        </w:rPr>
        <w:t>control</w:t>
      </w:r>
      <w:r>
        <w:rPr>
          <w:color w:val="4D4D4F"/>
          <w:spacing w:val="-24"/>
          <w:w w:val="105"/>
        </w:rPr>
        <w:t xml:space="preserve"> </w:t>
      </w:r>
      <w:r>
        <w:rPr>
          <w:color w:val="4D4D4F"/>
          <w:spacing w:val="-2"/>
          <w:w w:val="105"/>
        </w:rPr>
        <w:t>for</w:t>
      </w:r>
      <w:r>
        <w:rPr>
          <w:color w:val="4D4D4F"/>
          <w:spacing w:val="-23"/>
          <w:w w:val="105"/>
        </w:rPr>
        <w:t xml:space="preserve"> </w:t>
      </w:r>
      <w:r>
        <w:rPr>
          <w:color w:val="4D4D4F"/>
          <w:spacing w:val="-3"/>
          <w:w w:val="105"/>
        </w:rPr>
        <w:t>levels</w:t>
      </w:r>
      <w:r>
        <w:rPr>
          <w:color w:val="4D4D4F"/>
          <w:spacing w:val="-23"/>
          <w:w w:val="105"/>
        </w:rPr>
        <w:t xml:space="preserve"> </w:t>
      </w:r>
      <w:r>
        <w:rPr>
          <w:color w:val="4D4D4F"/>
          <w:w w:val="105"/>
        </w:rPr>
        <w:t>of</w:t>
      </w:r>
      <w:r>
        <w:rPr>
          <w:color w:val="4D4D4F"/>
          <w:spacing w:val="-23"/>
          <w:w w:val="105"/>
        </w:rPr>
        <w:t xml:space="preserve"> </w:t>
      </w:r>
      <w:r>
        <w:rPr>
          <w:color w:val="4D4D4F"/>
          <w:spacing w:val="-3"/>
          <w:w w:val="105"/>
        </w:rPr>
        <w:t xml:space="preserve">predation </w:t>
      </w:r>
      <w:r>
        <w:rPr>
          <w:color w:val="4D4D4F"/>
          <w:w w:val="105"/>
        </w:rPr>
        <w:t>impacting</w:t>
      </w:r>
      <w:r>
        <w:rPr>
          <w:color w:val="4D4D4F"/>
          <w:spacing w:val="-17"/>
          <w:w w:val="105"/>
        </w:rPr>
        <w:t xml:space="preserve"> </w:t>
      </w:r>
      <w:r>
        <w:rPr>
          <w:color w:val="4D4D4F"/>
          <w:w w:val="105"/>
        </w:rPr>
        <w:t>on</w:t>
      </w:r>
      <w:r>
        <w:rPr>
          <w:color w:val="4D4D4F"/>
          <w:spacing w:val="-17"/>
          <w:w w:val="105"/>
        </w:rPr>
        <w:t xml:space="preserve"> </w:t>
      </w:r>
      <w:r>
        <w:rPr>
          <w:color w:val="4D4D4F"/>
          <w:w w:val="105"/>
        </w:rPr>
        <w:t>Southern</w:t>
      </w:r>
      <w:r>
        <w:rPr>
          <w:color w:val="4D4D4F"/>
          <w:spacing w:val="-17"/>
          <w:w w:val="105"/>
        </w:rPr>
        <w:t xml:space="preserve"> </w:t>
      </w:r>
      <w:r>
        <w:rPr>
          <w:color w:val="4D4D4F"/>
          <w:w w:val="105"/>
        </w:rPr>
        <w:t>Brown</w:t>
      </w:r>
      <w:r>
        <w:rPr>
          <w:color w:val="4D4D4F"/>
          <w:spacing w:val="-16"/>
          <w:w w:val="105"/>
        </w:rPr>
        <w:t xml:space="preserve"> </w:t>
      </w:r>
      <w:r>
        <w:rPr>
          <w:color w:val="4D4D4F"/>
          <w:w w:val="105"/>
        </w:rPr>
        <w:t>Bandicoot.</w:t>
      </w:r>
      <w:r>
        <w:rPr>
          <w:color w:val="4D4D4F"/>
          <w:spacing w:val="-17"/>
          <w:w w:val="105"/>
        </w:rPr>
        <w:t xml:space="preserve"> </w:t>
      </w:r>
      <w:r>
        <w:rPr>
          <w:color w:val="4D4D4F"/>
          <w:w w:val="105"/>
        </w:rPr>
        <w:t>Other</w:t>
      </w:r>
      <w:r>
        <w:rPr>
          <w:color w:val="4D4D4F"/>
          <w:spacing w:val="-17"/>
          <w:w w:val="105"/>
        </w:rPr>
        <w:t xml:space="preserve"> </w:t>
      </w:r>
      <w:r>
        <w:rPr>
          <w:color w:val="4D4D4F"/>
          <w:w w:val="105"/>
        </w:rPr>
        <w:t>measures</w:t>
      </w:r>
      <w:r>
        <w:rPr>
          <w:color w:val="4D4D4F"/>
          <w:spacing w:val="-17"/>
          <w:w w:val="105"/>
        </w:rPr>
        <w:t xml:space="preserve"> </w:t>
      </w:r>
      <w:r>
        <w:rPr>
          <w:color w:val="4D4D4F"/>
          <w:w w:val="105"/>
        </w:rPr>
        <w:t>to</w:t>
      </w:r>
      <w:r>
        <w:rPr>
          <w:color w:val="4D4D4F"/>
          <w:spacing w:val="-16"/>
          <w:w w:val="105"/>
        </w:rPr>
        <w:t xml:space="preserve"> </w:t>
      </w:r>
      <w:r>
        <w:rPr>
          <w:color w:val="4D4D4F"/>
          <w:w w:val="105"/>
        </w:rPr>
        <w:t>explore</w:t>
      </w:r>
      <w:r>
        <w:rPr>
          <w:color w:val="4D4D4F"/>
          <w:spacing w:val="-17"/>
          <w:w w:val="105"/>
        </w:rPr>
        <w:t xml:space="preserve"> </w:t>
      </w:r>
      <w:r>
        <w:rPr>
          <w:color w:val="4D4D4F"/>
          <w:w w:val="105"/>
        </w:rPr>
        <w:t>include</w:t>
      </w:r>
      <w:r>
        <w:rPr>
          <w:color w:val="4D4D4F"/>
          <w:spacing w:val="-17"/>
          <w:w w:val="105"/>
        </w:rPr>
        <w:t xml:space="preserve"> </w:t>
      </w:r>
      <w:r>
        <w:rPr>
          <w:color w:val="4D4D4F"/>
          <w:w w:val="105"/>
        </w:rPr>
        <w:t>the extent of native vegetation, fire and planned</w:t>
      </w:r>
      <w:r>
        <w:rPr>
          <w:color w:val="4D4D4F"/>
          <w:spacing w:val="-23"/>
          <w:w w:val="105"/>
        </w:rPr>
        <w:t xml:space="preserve"> </w:t>
      </w:r>
      <w:r>
        <w:rPr>
          <w:color w:val="4D4D4F"/>
          <w:w w:val="105"/>
        </w:rPr>
        <w:t>burning.</w:t>
      </w:r>
      <w:r>
        <w:rPr>
          <w:color w:val="4D4D4F"/>
          <w:w w:val="105"/>
          <w:position w:val="7"/>
          <w:sz w:val="11"/>
        </w:rPr>
        <w:t>219</w:t>
      </w:r>
    </w:p>
    <w:p w14:paraId="4B7C4F75" w14:textId="77777777" w:rsidR="00EF5B27" w:rsidRDefault="00000000">
      <w:pPr>
        <w:pStyle w:val="BodyText"/>
        <w:spacing w:before="126" w:line="254" w:lineRule="auto"/>
        <w:ind w:left="2608" w:right="308"/>
      </w:pPr>
      <w:r>
        <w:rPr>
          <w:color w:val="4D4D4F"/>
          <w:spacing w:val="-3"/>
        </w:rPr>
        <w:t xml:space="preserve">Western </w:t>
      </w:r>
      <w:r>
        <w:rPr>
          <w:color w:val="4D4D4F"/>
        </w:rPr>
        <w:t xml:space="preserve">Port </w:t>
      </w:r>
      <w:r>
        <w:rPr>
          <w:color w:val="4D4D4F"/>
          <w:spacing w:val="-3"/>
        </w:rPr>
        <w:t xml:space="preserve">Biosphere, </w:t>
      </w:r>
      <w:r>
        <w:rPr>
          <w:color w:val="4D4D4F"/>
          <w:spacing w:val="-4"/>
        </w:rPr>
        <w:t xml:space="preserve">many </w:t>
      </w:r>
      <w:r>
        <w:rPr>
          <w:color w:val="4D4D4F"/>
          <w:spacing w:val="-3"/>
        </w:rPr>
        <w:t xml:space="preserve">academic </w:t>
      </w:r>
      <w:r>
        <w:rPr>
          <w:color w:val="4D4D4F"/>
          <w:spacing w:val="-4"/>
        </w:rPr>
        <w:t xml:space="preserve">institutes </w:t>
      </w:r>
      <w:r>
        <w:rPr>
          <w:color w:val="4D4D4F"/>
          <w:spacing w:val="-3"/>
        </w:rPr>
        <w:t xml:space="preserve">and community groups </w:t>
      </w:r>
      <w:r>
        <w:rPr>
          <w:color w:val="4D4D4F"/>
        </w:rPr>
        <w:t xml:space="preserve">are </w:t>
      </w:r>
      <w:r>
        <w:rPr>
          <w:color w:val="4D4D4F"/>
          <w:spacing w:val="-3"/>
        </w:rPr>
        <w:t xml:space="preserve">currently collecting </w:t>
      </w:r>
      <w:r>
        <w:rPr>
          <w:color w:val="4D4D4F"/>
        </w:rPr>
        <w:t xml:space="preserve">data </w:t>
      </w:r>
      <w:r>
        <w:rPr>
          <w:color w:val="4D4D4F"/>
          <w:spacing w:val="-2"/>
        </w:rPr>
        <w:t xml:space="preserve">for </w:t>
      </w:r>
      <w:r>
        <w:rPr>
          <w:color w:val="4D4D4F"/>
        </w:rPr>
        <w:t xml:space="preserve">the Southern Brown Bandicoot. These </w:t>
      </w:r>
      <w:r>
        <w:rPr>
          <w:color w:val="4D4D4F"/>
          <w:spacing w:val="-3"/>
        </w:rPr>
        <w:t xml:space="preserve">other </w:t>
      </w:r>
      <w:r>
        <w:rPr>
          <w:color w:val="4D4D4F"/>
        </w:rPr>
        <w:t xml:space="preserve">data sources external  to the MSA may be useful for understanding explanatory trends around landscape- level occupancy. It is possible that the current Southern Brown Bandicoot may leverage citizen science capabilities to obtain more data informing a more complete picture of the population dynamics of the Southern Brown Bandicoot with increasing urbanisation. DELWP may assist in setting the standard for monitoring, through providing information on appropriate methods or tools. A protocol may be designed outlining the </w:t>
      </w:r>
      <w:r>
        <w:rPr>
          <w:color w:val="4D4D4F"/>
          <w:spacing w:val="-3"/>
        </w:rPr>
        <w:t xml:space="preserve">minimum </w:t>
      </w:r>
      <w:r>
        <w:rPr>
          <w:color w:val="4D4D4F"/>
        </w:rPr>
        <w:t>requirement to meet the KPI objective for the</w:t>
      </w:r>
      <w:r>
        <w:rPr>
          <w:color w:val="4D4D4F"/>
          <w:spacing w:val="28"/>
        </w:rPr>
        <w:t xml:space="preserve"> </w:t>
      </w:r>
      <w:r>
        <w:rPr>
          <w:color w:val="4D4D4F"/>
        </w:rPr>
        <w:t>data</w:t>
      </w:r>
    </w:p>
    <w:p w14:paraId="7B012466" w14:textId="77777777" w:rsidR="00EF5B27" w:rsidRDefault="00000000">
      <w:pPr>
        <w:pStyle w:val="BodyText"/>
        <w:spacing w:before="11"/>
        <w:ind w:left="2608"/>
      </w:pPr>
      <w:r>
        <w:rPr>
          <w:color w:val="4D4D4F"/>
        </w:rPr>
        <w:t>to be included in the broader analyses.</w:t>
      </w:r>
    </w:p>
    <w:p w14:paraId="75DE68A5" w14:textId="77777777" w:rsidR="00EF5B27" w:rsidRDefault="00EF5B27">
      <w:pPr>
        <w:pStyle w:val="BodyText"/>
      </w:pPr>
    </w:p>
    <w:p w14:paraId="70616B10" w14:textId="77777777" w:rsidR="00EF5B27" w:rsidRDefault="00EF5B27">
      <w:pPr>
        <w:pStyle w:val="BodyText"/>
      </w:pPr>
    </w:p>
    <w:p w14:paraId="64553F05" w14:textId="77777777" w:rsidR="00EF5B27" w:rsidRDefault="00EF5B27">
      <w:pPr>
        <w:pStyle w:val="BodyText"/>
      </w:pPr>
    </w:p>
    <w:p w14:paraId="355F868C" w14:textId="77777777" w:rsidR="00EF5B27" w:rsidRDefault="00EF5B27">
      <w:pPr>
        <w:pStyle w:val="BodyText"/>
      </w:pPr>
    </w:p>
    <w:p w14:paraId="2CB979A2" w14:textId="77777777" w:rsidR="00EF5B27" w:rsidRDefault="00EF5B27">
      <w:pPr>
        <w:pStyle w:val="BodyText"/>
      </w:pPr>
    </w:p>
    <w:p w14:paraId="627C0E59" w14:textId="77777777" w:rsidR="00EF5B27" w:rsidRDefault="00EF5B27">
      <w:pPr>
        <w:pStyle w:val="BodyText"/>
      </w:pPr>
    </w:p>
    <w:p w14:paraId="4C3F45A5" w14:textId="77777777" w:rsidR="00EF5B27" w:rsidRDefault="00EF5B27">
      <w:pPr>
        <w:pStyle w:val="BodyText"/>
      </w:pPr>
    </w:p>
    <w:p w14:paraId="325FB890" w14:textId="77777777" w:rsidR="00EF5B27" w:rsidRDefault="00EF5B27">
      <w:pPr>
        <w:pStyle w:val="BodyText"/>
      </w:pPr>
    </w:p>
    <w:p w14:paraId="1D383C30" w14:textId="77777777" w:rsidR="00EF5B27" w:rsidRDefault="00EF5B27">
      <w:pPr>
        <w:pStyle w:val="BodyText"/>
      </w:pPr>
    </w:p>
    <w:p w14:paraId="1169C90B" w14:textId="77777777" w:rsidR="00EF5B27" w:rsidRDefault="00EF5B27">
      <w:pPr>
        <w:pStyle w:val="BodyText"/>
      </w:pPr>
    </w:p>
    <w:p w14:paraId="2252690A" w14:textId="77777777" w:rsidR="00EF5B27" w:rsidRDefault="00EF5B27">
      <w:pPr>
        <w:pStyle w:val="BodyText"/>
      </w:pPr>
    </w:p>
    <w:p w14:paraId="4E946765" w14:textId="77777777" w:rsidR="00EF5B27" w:rsidRDefault="00EF5B27">
      <w:pPr>
        <w:pStyle w:val="BodyText"/>
      </w:pPr>
    </w:p>
    <w:p w14:paraId="2E4F6176" w14:textId="77777777" w:rsidR="00EF5B27" w:rsidRDefault="00EF5B27">
      <w:pPr>
        <w:pStyle w:val="BodyText"/>
      </w:pPr>
    </w:p>
    <w:p w14:paraId="365AC88E" w14:textId="77777777" w:rsidR="00EF5B27" w:rsidRDefault="00EF5B27">
      <w:pPr>
        <w:pStyle w:val="BodyText"/>
      </w:pPr>
    </w:p>
    <w:p w14:paraId="53CCBD83" w14:textId="77777777" w:rsidR="00EF5B27" w:rsidRDefault="00EF5B27">
      <w:pPr>
        <w:pStyle w:val="BodyText"/>
      </w:pPr>
    </w:p>
    <w:p w14:paraId="708F20D4" w14:textId="77777777" w:rsidR="00EF5B27" w:rsidRDefault="00000000">
      <w:pPr>
        <w:pStyle w:val="BodyText"/>
        <w:spacing w:before="10"/>
        <w:rPr>
          <w:sz w:val="21"/>
        </w:rPr>
      </w:pPr>
      <w:r>
        <w:pict w14:anchorId="1B108F0B">
          <v:line id="_x0000_s2915" style="position:absolute;z-index:251605504;mso-wrap-distance-left:0;mso-wrap-distance-right:0;mso-position-horizontal-relative:page" from="181.4pt,15.55pt" to="538.6pt,15.55pt" strokecolor="#4d4d4f" strokeweight=".5pt">
            <w10:wrap type="topAndBottom" anchorx="page"/>
          </v:line>
        </w:pict>
      </w:r>
    </w:p>
    <w:p w14:paraId="3DEB67D7" w14:textId="77777777" w:rsidR="00EF5B27" w:rsidRDefault="00000000">
      <w:pPr>
        <w:pStyle w:val="ListParagraph"/>
        <w:numPr>
          <w:ilvl w:val="0"/>
          <w:numId w:val="24"/>
        </w:numPr>
        <w:tabs>
          <w:tab w:val="left" w:pos="2836"/>
        </w:tabs>
        <w:spacing w:before="88" w:line="230" w:lineRule="auto"/>
        <w:ind w:left="2835" w:right="112"/>
        <w:rPr>
          <w:sz w:val="12"/>
        </w:rPr>
      </w:pPr>
      <w:r>
        <w:rPr>
          <w:color w:val="4D4D4F"/>
          <w:sz w:val="12"/>
        </w:rPr>
        <w:t xml:space="preserve">Bryant, David, et al. 2018 </w:t>
      </w:r>
      <w:r>
        <w:rPr>
          <w:color w:val="4D4D4F"/>
          <w:spacing w:val="2"/>
          <w:sz w:val="12"/>
        </w:rPr>
        <w:t xml:space="preserve">"The occurrence </w:t>
      </w:r>
      <w:r>
        <w:rPr>
          <w:color w:val="4D4D4F"/>
          <w:sz w:val="12"/>
        </w:rPr>
        <w:t xml:space="preserve">of the Southern </w:t>
      </w:r>
      <w:r>
        <w:rPr>
          <w:color w:val="4D4D4F"/>
          <w:spacing w:val="2"/>
          <w:sz w:val="12"/>
        </w:rPr>
        <w:t xml:space="preserve">Brown </w:t>
      </w:r>
      <w:r>
        <w:rPr>
          <w:color w:val="4D4D4F"/>
          <w:sz w:val="12"/>
        </w:rPr>
        <w:t xml:space="preserve">Bandicoot Isoodon obesulus obesulus and its habitat on Chinaman    Island, Western </w:t>
      </w:r>
      <w:r>
        <w:rPr>
          <w:color w:val="4D4D4F"/>
          <w:spacing w:val="2"/>
          <w:sz w:val="12"/>
        </w:rPr>
        <w:t xml:space="preserve">Port, </w:t>
      </w:r>
      <w:r>
        <w:rPr>
          <w:color w:val="4D4D4F"/>
          <w:sz w:val="12"/>
        </w:rPr>
        <w:t xml:space="preserve">Victoria." </w:t>
      </w:r>
      <w:r>
        <w:rPr>
          <w:color w:val="4D4D4F"/>
          <w:spacing w:val="2"/>
          <w:sz w:val="12"/>
        </w:rPr>
        <w:t xml:space="preserve">The </w:t>
      </w:r>
      <w:r>
        <w:rPr>
          <w:color w:val="4D4D4F"/>
          <w:sz w:val="12"/>
        </w:rPr>
        <w:t>Victorian Naturalist, vol. 135, no. 5, pp.</w:t>
      </w:r>
      <w:r>
        <w:rPr>
          <w:color w:val="4D4D4F"/>
          <w:spacing w:val="23"/>
          <w:sz w:val="12"/>
        </w:rPr>
        <w:t xml:space="preserve"> </w:t>
      </w:r>
      <w:r>
        <w:rPr>
          <w:color w:val="4D4D4F"/>
          <w:sz w:val="12"/>
        </w:rPr>
        <w:t>128.</w:t>
      </w:r>
    </w:p>
    <w:p w14:paraId="0AFB82A5" w14:textId="77777777" w:rsidR="00EF5B27" w:rsidRDefault="00000000">
      <w:pPr>
        <w:pStyle w:val="ListParagraph"/>
        <w:numPr>
          <w:ilvl w:val="0"/>
          <w:numId w:val="24"/>
        </w:numPr>
        <w:tabs>
          <w:tab w:val="left" w:pos="2835"/>
        </w:tabs>
        <w:spacing w:line="138" w:lineRule="exact"/>
        <w:ind w:hanging="226"/>
        <w:rPr>
          <w:sz w:val="12"/>
        </w:rPr>
      </w:pPr>
      <w:r>
        <w:rPr>
          <w:color w:val="4D4D4F"/>
          <w:sz w:val="12"/>
        </w:rPr>
        <w:t>DELWP</w:t>
      </w:r>
      <w:r>
        <w:rPr>
          <w:color w:val="4D4D4F"/>
          <w:spacing w:val="11"/>
          <w:sz w:val="12"/>
        </w:rPr>
        <w:t xml:space="preserve"> </w:t>
      </w:r>
      <w:r>
        <w:rPr>
          <w:color w:val="4D4D4F"/>
          <w:sz w:val="12"/>
        </w:rPr>
        <w:t>Officer,</w:t>
      </w:r>
      <w:r>
        <w:rPr>
          <w:color w:val="4D4D4F"/>
          <w:spacing w:val="12"/>
          <w:sz w:val="12"/>
        </w:rPr>
        <w:t xml:space="preserve"> </w:t>
      </w:r>
      <w:r>
        <w:rPr>
          <w:color w:val="4D4D4F"/>
          <w:sz w:val="12"/>
        </w:rPr>
        <w:t>personal</w:t>
      </w:r>
      <w:r>
        <w:rPr>
          <w:color w:val="4D4D4F"/>
          <w:spacing w:val="11"/>
          <w:sz w:val="12"/>
        </w:rPr>
        <w:t xml:space="preserve"> </w:t>
      </w:r>
      <w:r>
        <w:rPr>
          <w:color w:val="4D4D4F"/>
          <w:sz w:val="12"/>
        </w:rPr>
        <w:t>communication,</w:t>
      </w:r>
      <w:r>
        <w:rPr>
          <w:color w:val="4D4D4F"/>
          <w:spacing w:val="12"/>
          <w:sz w:val="12"/>
        </w:rPr>
        <w:t xml:space="preserve"> </w:t>
      </w:r>
      <w:r>
        <w:rPr>
          <w:color w:val="4D4D4F"/>
          <w:sz w:val="12"/>
        </w:rPr>
        <w:t>29</w:t>
      </w:r>
      <w:r>
        <w:rPr>
          <w:color w:val="4D4D4F"/>
          <w:spacing w:val="12"/>
          <w:sz w:val="12"/>
        </w:rPr>
        <w:t xml:space="preserve"> </w:t>
      </w:r>
      <w:r>
        <w:rPr>
          <w:color w:val="4D4D4F"/>
          <w:spacing w:val="2"/>
          <w:sz w:val="12"/>
        </w:rPr>
        <w:t>February</w:t>
      </w:r>
      <w:r>
        <w:rPr>
          <w:color w:val="4D4D4F"/>
          <w:spacing w:val="11"/>
          <w:sz w:val="12"/>
        </w:rPr>
        <w:t xml:space="preserve"> </w:t>
      </w:r>
      <w:r>
        <w:rPr>
          <w:color w:val="4D4D4F"/>
          <w:spacing w:val="2"/>
          <w:sz w:val="12"/>
        </w:rPr>
        <w:t>2022.</w:t>
      </w:r>
    </w:p>
    <w:p w14:paraId="6DCF97C1" w14:textId="77777777" w:rsidR="00EF5B27" w:rsidRDefault="00000000">
      <w:pPr>
        <w:pStyle w:val="ListParagraph"/>
        <w:numPr>
          <w:ilvl w:val="0"/>
          <w:numId w:val="24"/>
        </w:numPr>
        <w:tabs>
          <w:tab w:val="left" w:pos="2835"/>
        </w:tabs>
        <w:spacing w:line="143" w:lineRule="exact"/>
        <w:ind w:hanging="226"/>
        <w:rPr>
          <w:sz w:val="12"/>
        </w:rPr>
      </w:pPr>
      <w:r>
        <w:rPr>
          <w:color w:val="4D4D4F"/>
          <w:sz w:val="12"/>
        </w:rPr>
        <w:t>DELWP</w:t>
      </w:r>
      <w:r>
        <w:rPr>
          <w:color w:val="4D4D4F"/>
          <w:spacing w:val="11"/>
          <w:sz w:val="12"/>
        </w:rPr>
        <w:t xml:space="preserve"> </w:t>
      </w:r>
      <w:r>
        <w:rPr>
          <w:color w:val="4D4D4F"/>
          <w:sz w:val="12"/>
        </w:rPr>
        <w:t>Officer,</w:t>
      </w:r>
      <w:r>
        <w:rPr>
          <w:color w:val="4D4D4F"/>
          <w:spacing w:val="12"/>
          <w:sz w:val="12"/>
        </w:rPr>
        <w:t xml:space="preserve"> </w:t>
      </w:r>
      <w:r>
        <w:rPr>
          <w:color w:val="4D4D4F"/>
          <w:sz w:val="12"/>
        </w:rPr>
        <w:t>personal</w:t>
      </w:r>
      <w:r>
        <w:rPr>
          <w:color w:val="4D4D4F"/>
          <w:spacing w:val="11"/>
          <w:sz w:val="12"/>
        </w:rPr>
        <w:t xml:space="preserve"> </w:t>
      </w:r>
      <w:r>
        <w:rPr>
          <w:color w:val="4D4D4F"/>
          <w:sz w:val="12"/>
        </w:rPr>
        <w:t>communication,</w:t>
      </w:r>
      <w:r>
        <w:rPr>
          <w:color w:val="4D4D4F"/>
          <w:spacing w:val="12"/>
          <w:sz w:val="12"/>
        </w:rPr>
        <w:t xml:space="preserve"> </w:t>
      </w:r>
      <w:r>
        <w:rPr>
          <w:color w:val="4D4D4F"/>
          <w:sz w:val="12"/>
        </w:rPr>
        <w:t>29</w:t>
      </w:r>
      <w:r>
        <w:rPr>
          <w:color w:val="4D4D4F"/>
          <w:spacing w:val="12"/>
          <w:sz w:val="12"/>
        </w:rPr>
        <w:t xml:space="preserve"> </w:t>
      </w:r>
      <w:r>
        <w:rPr>
          <w:color w:val="4D4D4F"/>
          <w:spacing w:val="2"/>
          <w:sz w:val="12"/>
        </w:rPr>
        <w:t>February</w:t>
      </w:r>
      <w:r>
        <w:rPr>
          <w:color w:val="4D4D4F"/>
          <w:spacing w:val="11"/>
          <w:sz w:val="12"/>
        </w:rPr>
        <w:t xml:space="preserve"> </w:t>
      </w:r>
      <w:r>
        <w:rPr>
          <w:color w:val="4D4D4F"/>
          <w:spacing w:val="2"/>
          <w:sz w:val="12"/>
        </w:rPr>
        <w:t>2022.</w:t>
      </w:r>
    </w:p>
    <w:p w14:paraId="4FFDC092"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54D18BD0" w14:textId="77777777" w:rsidR="00EF5B27" w:rsidRDefault="00000000">
      <w:pPr>
        <w:pStyle w:val="BodyText"/>
      </w:pPr>
      <w:r>
        <w:lastRenderedPageBreak/>
        <w:pict w14:anchorId="654C4AF9">
          <v:group id="_x0000_s2907" style="position:absolute;margin-left:587.05pt;margin-top:183.4pt;width:8.25pt;height:153.1pt;z-index:251674112;mso-position-horizontal-relative:page;mso-position-vertical-relative:page" coordorigin="11741,3668" coordsize="165,3062">
            <v:shape id="_x0000_s2914" style="position:absolute;left:11741;top:3668;width:165;height:561" coordorigin="11741,3668" coordsize="165,561" path="m11906,3668r-165,l11741,4228r165,-18l11906,3668xe" fillcolor="#00aed9" stroked="f">
              <v:path arrowok="t"/>
            </v:shape>
            <v:shape id="_x0000_s2913" style="position:absolute;left:11741;top:4118;width:165;height:425" coordorigin="11741,4118" coordsize="165,425" path="m11906,4118r-165,14l11741,4531r165,12l11906,4118xe" fillcolor="#047ebc" stroked="f">
              <v:path arrowok="t"/>
            </v:shape>
            <v:shape id="_x0000_s2912" type="#_x0000_t75" style="position:absolute;left:11741;top:4355;width:165;height:587">
              <v:imagedata r:id="rId42" o:title=""/>
            </v:shape>
            <v:shape id="_x0000_s2911" style="position:absolute;left:11741;top:5343;width:165;height:536" coordorigin="11741,5343" coordsize="165,536" path="m11741,5343r,535l11906,5872r,-525l11741,5343xe" fillcolor="#f36a2e" stroked="f">
              <v:path arrowok="t"/>
            </v:shape>
            <v:shape id="_x0000_s2910" style="position:absolute;left:11741;top:4925;width:165;height:501" coordorigin="11741,4926" coordsize="165,501" path="m11741,4926r,500l11906,5426r,-485l11741,4926xe" fillcolor="#49783f" stroked="f">
              <v:path arrowok="t"/>
            </v:shape>
            <v:shape id="_x0000_s2909" style="position:absolute;left:11741;top:5781;width:165;height:268" coordorigin="11741,5782" coordsize="165,268" path="m11906,5782r-165,8l11741,6039r165,10l11906,5782xe" fillcolor="#f99f2a" stroked="f">
              <v:path arrowok="t"/>
            </v:shape>
            <v:shape id="_x0000_s2908" style="position:absolute;left:11741;top:6023;width:165;height:707" coordorigin="11741,6023" coordsize="165,707" path="m11741,6023r,706l11906,6729r,-690l11741,6023xe" fillcolor="#ef412c" stroked="f">
              <v:path arrowok="t"/>
            </v:shape>
            <w10:wrap anchorx="page" anchory="page"/>
          </v:group>
        </w:pict>
      </w:r>
    </w:p>
    <w:p w14:paraId="05ED7E30" w14:textId="77777777" w:rsidR="00EF5B27" w:rsidRDefault="00EF5B27">
      <w:pPr>
        <w:pStyle w:val="BodyText"/>
      </w:pPr>
    </w:p>
    <w:p w14:paraId="030E9FD4" w14:textId="77777777" w:rsidR="00EF5B27" w:rsidRDefault="00EF5B27">
      <w:pPr>
        <w:pStyle w:val="BodyText"/>
      </w:pPr>
    </w:p>
    <w:p w14:paraId="631637D1" w14:textId="77777777" w:rsidR="00EF5B27" w:rsidRDefault="00EF5B27">
      <w:pPr>
        <w:pStyle w:val="BodyText"/>
        <w:spacing w:before="8"/>
      </w:pPr>
    </w:p>
    <w:p w14:paraId="666848C8" w14:textId="77777777" w:rsidR="00EF5B27" w:rsidRDefault="00000000">
      <w:pPr>
        <w:pStyle w:val="Heading2"/>
      </w:pPr>
      <w:bookmarkStart w:id="88" w:name="_bookmark59"/>
      <w:bookmarkEnd w:id="88"/>
      <w:r>
        <w:rPr>
          <w:color w:val="F99F2A"/>
          <w:w w:val="105"/>
        </w:rPr>
        <w:t>MNES 8: Growling Grass Frog</w:t>
      </w:r>
    </w:p>
    <w:p w14:paraId="49BD1B2A" w14:textId="77777777" w:rsidR="00EF5B27" w:rsidRDefault="00EF5B27">
      <w:pPr>
        <w:pStyle w:val="BodyText"/>
        <w:spacing w:before="5"/>
        <w:rPr>
          <w:b/>
          <w:sz w:val="76"/>
        </w:rPr>
      </w:pPr>
    </w:p>
    <w:p w14:paraId="76C7F36B" w14:textId="77777777" w:rsidR="00EF5B27" w:rsidRDefault="00000000">
      <w:pPr>
        <w:pStyle w:val="Heading3"/>
      </w:pPr>
      <w:r>
        <w:rPr>
          <w:color w:val="F99F2A"/>
        </w:rPr>
        <w:t>Background</w:t>
      </w:r>
    </w:p>
    <w:p w14:paraId="6FD255EA" w14:textId="77777777" w:rsidR="00EF5B27" w:rsidRDefault="00000000">
      <w:pPr>
        <w:pStyle w:val="Heading6"/>
        <w:spacing w:before="221" w:line="254" w:lineRule="auto"/>
        <w:rPr>
          <w:sz w:val="11"/>
        </w:rPr>
      </w:pPr>
      <w:r>
        <w:rPr>
          <w:color w:val="4D4D4F"/>
          <w:spacing w:val="-3"/>
        </w:rPr>
        <w:t xml:space="preserve">Growling </w:t>
      </w:r>
      <w:r>
        <w:rPr>
          <w:color w:val="4D4D4F"/>
        </w:rPr>
        <w:t xml:space="preserve">Grass Frog </w:t>
      </w:r>
      <w:r>
        <w:rPr>
          <w:color w:val="4D4D4F"/>
          <w:spacing w:val="-5"/>
        </w:rPr>
        <w:t>(</w:t>
      </w:r>
      <w:r>
        <w:rPr>
          <w:i/>
          <w:color w:val="4D4D4F"/>
          <w:spacing w:val="-5"/>
        </w:rPr>
        <w:t>Litoria raniformis</w:t>
      </w:r>
      <w:r>
        <w:rPr>
          <w:color w:val="4D4D4F"/>
          <w:spacing w:val="-5"/>
        </w:rPr>
        <w:t xml:space="preserve">) </w:t>
      </w:r>
      <w:r>
        <w:rPr>
          <w:color w:val="4D4D4F"/>
          <w:spacing w:val="-3"/>
        </w:rPr>
        <w:t xml:space="preserve">is </w:t>
      </w:r>
      <w:r>
        <w:rPr>
          <w:color w:val="4D4D4F"/>
        </w:rPr>
        <w:t xml:space="preserve">a </w:t>
      </w:r>
      <w:r>
        <w:rPr>
          <w:color w:val="4D4D4F"/>
          <w:spacing w:val="-3"/>
        </w:rPr>
        <w:t xml:space="preserve">large, </w:t>
      </w:r>
      <w:r>
        <w:rPr>
          <w:color w:val="4D4D4F"/>
          <w:spacing w:val="-4"/>
        </w:rPr>
        <w:t xml:space="preserve">semi-aquatic </w:t>
      </w:r>
      <w:r>
        <w:rPr>
          <w:color w:val="4D4D4F"/>
          <w:spacing w:val="-3"/>
        </w:rPr>
        <w:t xml:space="preserve">member </w:t>
      </w:r>
      <w:r>
        <w:rPr>
          <w:color w:val="4D4D4F"/>
        </w:rPr>
        <w:t xml:space="preserve">of the </w:t>
      </w:r>
      <w:r>
        <w:rPr>
          <w:color w:val="4D4D4F"/>
          <w:spacing w:val="-3"/>
        </w:rPr>
        <w:t xml:space="preserve">bell </w:t>
      </w:r>
      <w:r>
        <w:rPr>
          <w:color w:val="4D4D4F"/>
        </w:rPr>
        <w:t>frog group.</w:t>
      </w:r>
      <w:r>
        <w:rPr>
          <w:color w:val="4D4D4F"/>
          <w:position w:val="7"/>
          <w:sz w:val="11"/>
        </w:rPr>
        <w:t xml:space="preserve">220 </w:t>
      </w:r>
      <w:r>
        <w:rPr>
          <w:color w:val="4D4D4F"/>
        </w:rPr>
        <w:t>It was formerly distributed widely across lowland south-eastern Australia, including in most regions of Victoria (excluding the Mallee and alpine regions).</w:t>
      </w:r>
      <w:r>
        <w:rPr>
          <w:color w:val="4D4D4F"/>
          <w:position w:val="7"/>
          <w:sz w:val="11"/>
        </w:rPr>
        <w:t>221</w:t>
      </w:r>
    </w:p>
    <w:p w14:paraId="7336F08F" w14:textId="77777777" w:rsidR="00EF5B27" w:rsidRDefault="00000000">
      <w:pPr>
        <w:pStyle w:val="BodyText"/>
        <w:spacing w:before="117"/>
        <w:ind w:left="2608"/>
      </w:pPr>
      <w:r>
        <w:rPr>
          <w:color w:val="4D4D4F"/>
          <w:w w:val="105"/>
        </w:rPr>
        <w:t>EPBC listing status: Vulnerable</w:t>
      </w:r>
    </w:p>
    <w:p w14:paraId="1DB79636" w14:textId="77777777" w:rsidR="00EF5B27" w:rsidRDefault="00000000">
      <w:pPr>
        <w:pStyle w:val="BodyText"/>
        <w:spacing w:before="7"/>
        <w:rPr>
          <w:sz w:val="29"/>
        </w:rPr>
      </w:pPr>
      <w:r>
        <w:rPr>
          <w:noProof/>
        </w:rPr>
        <w:drawing>
          <wp:anchor distT="0" distB="0" distL="0" distR="0" simplePos="0" relativeHeight="251299328" behindDoc="0" locked="0" layoutInCell="1" allowOverlap="1" wp14:anchorId="3AE51237" wp14:editId="00F8A712">
            <wp:simplePos x="0" y="0"/>
            <wp:positionH relativeFrom="page">
              <wp:posOffset>2304288</wp:posOffset>
            </wp:positionH>
            <wp:positionV relativeFrom="paragraph">
              <wp:posOffset>254148</wp:posOffset>
            </wp:positionV>
            <wp:extent cx="4535423" cy="2551176"/>
            <wp:effectExtent l="0" t="0" r="0" b="0"/>
            <wp:wrapTopAndBottom/>
            <wp:docPr id="493" name="image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191.jpeg"/>
                    <pic:cNvPicPr/>
                  </pic:nvPicPr>
                  <pic:blipFill>
                    <a:blip r:embed="rId151" cstate="print"/>
                    <a:stretch>
                      <a:fillRect/>
                    </a:stretch>
                  </pic:blipFill>
                  <pic:spPr>
                    <a:xfrm>
                      <a:off x="0" y="0"/>
                      <a:ext cx="4535423" cy="2551176"/>
                    </a:xfrm>
                    <a:prstGeom prst="rect">
                      <a:avLst/>
                    </a:prstGeom>
                  </pic:spPr>
                </pic:pic>
              </a:graphicData>
            </a:graphic>
          </wp:anchor>
        </w:drawing>
      </w:r>
    </w:p>
    <w:p w14:paraId="270A5DA0" w14:textId="77777777" w:rsidR="00EF5B27" w:rsidRDefault="00000000">
      <w:pPr>
        <w:tabs>
          <w:tab w:val="left" w:pos="8977"/>
        </w:tabs>
        <w:spacing w:before="113"/>
        <w:ind w:left="2608"/>
        <w:rPr>
          <w:rFonts w:ascii="Century Gothic"/>
          <w:i/>
          <w:sz w:val="12"/>
        </w:rPr>
      </w:pPr>
      <w:r>
        <w:rPr>
          <w:color w:val="4D4D4F"/>
          <w:sz w:val="16"/>
        </w:rPr>
        <w:t xml:space="preserve">Figure  </w:t>
      </w:r>
      <w:r>
        <w:rPr>
          <w:color w:val="4D4D4F"/>
          <w:spacing w:val="2"/>
          <w:sz w:val="16"/>
        </w:rPr>
        <w:t xml:space="preserve">33: </w:t>
      </w:r>
      <w:r>
        <w:rPr>
          <w:color w:val="4D4D4F"/>
          <w:sz w:val="16"/>
        </w:rPr>
        <w:t>Growling</w:t>
      </w:r>
      <w:r>
        <w:rPr>
          <w:color w:val="4D4D4F"/>
          <w:spacing w:val="12"/>
          <w:sz w:val="16"/>
        </w:rPr>
        <w:t xml:space="preserve"> </w:t>
      </w:r>
      <w:r>
        <w:rPr>
          <w:color w:val="4D4D4F"/>
          <w:sz w:val="16"/>
        </w:rPr>
        <w:t>Grass</w:t>
      </w:r>
      <w:r>
        <w:rPr>
          <w:color w:val="4D4D4F"/>
          <w:spacing w:val="17"/>
          <w:sz w:val="16"/>
        </w:rPr>
        <w:t xml:space="preserve"> </w:t>
      </w:r>
      <w:r>
        <w:rPr>
          <w:color w:val="4D4D4F"/>
          <w:sz w:val="16"/>
        </w:rPr>
        <w:t>Frog</w:t>
      </w:r>
      <w:r>
        <w:rPr>
          <w:color w:val="4D4D4F"/>
          <w:sz w:val="16"/>
        </w:rPr>
        <w:tab/>
      </w:r>
      <w:r>
        <w:rPr>
          <w:rFonts w:ascii="Century Gothic"/>
          <w:i/>
          <w:color w:val="4D4D4F"/>
          <w:sz w:val="12"/>
        </w:rPr>
        <w:t>Source:</w:t>
      </w:r>
      <w:r>
        <w:rPr>
          <w:rFonts w:ascii="Century Gothic"/>
          <w:i/>
          <w:color w:val="4D4D4F"/>
          <w:spacing w:val="-21"/>
          <w:sz w:val="12"/>
        </w:rPr>
        <w:t xml:space="preserve"> </w:t>
      </w:r>
      <w:r>
        <w:rPr>
          <w:rFonts w:ascii="Century Gothic"/>
          <w:i/>
          <w:color w:val="4D4D4F"/>
          <w:sz w:val="12"/>
        </w:rPr>
        <w:t>DELWP</w:t>
      </w:r>
    </w:p>
    <w:p w14:paraId="53B68BF4" w14:textId="77777777" w:rsidR="00EF5B27" w:rsidRDefault="00EF5B27">
      <w:pPr>
        <w:pStyle w:val="BodyText"/>
        <w:spacing w:before="6"/>
        <w:rPr>
          <w:rFonts w:ascii="Century Gothic"/>
          <w:i/>
          <w:sz w:val="29"/>
        </w:rPr>
      </w:pPr>
    </w:p>
    <w:p w14:paraId="1D23FEC3" w14:textId="77777777" w:rsidR="00EF5B27" w:rsidRDefault="00000000">
      <w:pPr>
        <w:pStyle w:val="Heading3"/>
        <w:spacing w:before="1"/>
      </w:pPr>
      <w:r>
        <w:rPr>
          <w:color w:val="F99F2A"/>
        </w:rPr>
        <w:t>DELWP’s conservation commitment</w:t>
      </w:r>
    </w:p>
    <w:p w14:paraId="08F140A1" w14:textId="77777777" w:rsidR="00EF5B27" w:rsidRDefault="00000000">
      <w:pPr>
        <w:pStyle w:val="BodyText"/>
        <w:spacing w:before="221" w:line="254" w:lineRule="auto"/>
        <w:ind w:left="2608" w:right="465"/>
      </w:pPr>
      <w:r>
        <w:rPr>
          <w:color w:val="4D4D4F"/>
        </w:rPr>
        <w:t>DELWP published the following statements as conservation outcomes for the Growling Grass Frog by notice in the Victorian Government Gazette:</w:t>
      </w:r>
    </w:p>
    <w:p w14:paraId="2A492666" w14:textId="77777777" w:rsidR="00EF5B27" w:rsidRDefault="00000000">
      <w:pPr>
        <w:pStyle w:val="BodyText"/>
        <w:spacing w:before="5"/>
        <w:rPr>
          <w:sz w:val="28"/>
        </w:rPr>
      </w:pPr>
      <w:r>
        <w:pict w14:anchorId="5E2DFDE8">
          <v:shape id="_x0000_s2906" type="#_x0000_t202" style="position:absolute;margin-left:181.65pt;margin-top:19.55pt;width:356.8pt;height:114.65pt;z-index:251607552;mso-wrap-distance-left:0;mso-wrap-distance-right:0;mso-position-horizontal-relative:page" filled="f" strokecolor="#4d4d4f" strokeweight=".5pt">
            <v:textbox inset="0,0,0,0">
              <w:txbxContent>
                <w:p w14:paraId="06B25DEE" w14:textId="77777777" w:rsidR="00EF5B27" w:rsidRDefault="00000000">
                  <w:pPr>
                    <w:spacing w:before="192" w:line="254" w:lineRule="auto"/>
                    <w:ind w:left="275" w:hanging="49"/>
                    <w:rPr>
                      <w:b/>
                      <w:i/>
                      <w:sz w:val="20"/>
                    </w:rPr>
                  </w:pPr>
                  <w:r>
                    <w:rPr>
                      <w:b/>
                      <w:i/>
                      <w:color w:val="4D4D4F"/>
                      <w:sz w:val="20"/>
                    </w:rPr>
                    <w:t>‘Functioning and sustainable populations of Growling Grass Frog within and adjacent to the UGB with connectivity between populations. Sustainable populations is defined as a reduction in extinction risk to low (using DELWP’s Growling Grass Frog Masterplan model).’</w:t>
                  </w:r>
                </w:p>
                <w:p w14:paraId="03CA3A1F" w14:textId="77777777" w:rsidR="00EF5B27" w:rsidRDefault="00000000">
                  <w:pPr>
                    <w:spacing w:before="118" w:line="254" w:lineRule="auto"/>
                    <w:ind w:left="275" w:right="322" w:hanging="49"/>
                    <w:jc w:val="both"/>
                    <w:rPr>
                      <w:b/>
                      <w:i/>
                      <w:sz w:val="20"/>
                    </w:rPr>
                  </w:pPr>
                  <w:r>
                    <w:rPr>
                      <w:b/>
                      <w:i/>
                      <w:color w:val="4D4D4F"/>
                      <w:sz w:val="20"/>
                    </w:rPr>
                    <w:t>‘Protection</w:t>
                  </w:r>
                  <w:r>
                    <w:rPr>
                      <w:b/>
                      <w:i/>
                      <w:color w:val="4D4D4F"/>
                      <w:spacing w:val="-5"/>
                      <w:sz w:val="20"/>
                    </w:rPr>
                    <w:t xml:space="preserve"> </w:t>
                  </w:r>
                  <w:r>
                    <w:rPr>
                      <w:b/>
                      <w:i/>
                      <w:color w:val="4D4D4F"/>
                      <w:sz w:val="20"/>
                    </w:rPr>
                    <w:t>and</w:t>
                  </w:r>
                  <w:r>
                    <w:rPr>
                      <w:b/>
                      <w:i/>
                      <w:color w:val="4D4D4F"/>
                      <w:spacing w:val="-4"/>
                      <w:sz w:val="20"/>
                    </w:rPr>
                    <w:t xml:space="preserve"> </w:t>
                  </w:r>
                  <w:r>
                    <w:rPr>
                      <w:b/>
                      <w:i/>
                      <w:color w:val="4D4D4F"/>
                      <w:sz w:val="20"/>
                    </w:rPr>
                    <w:t>enhancement</w:t>
                  </w:r>
                  <w:r>
                    <w:rPr>
                      <w:b/>
                      <w:i/>
                      <w:color w:val="4D4D4F"/>
                      <w:spacing w:val="-4"/>
                      <w:sz w:val="20"/>
                    </w:rPr>
                    <w:t xml:space="preserve"> </w:t>
                  </w:r>
                  <w:r>
                    <w:rPr>
                      <w:b/>
                      <w:i/>
                      <w:color w:val="4D4D4F"/>
                      <w:sz w:val="20"/>
                    </w:rPr>
                    <w:t>of</w:t>
                  </w:r>
                  <w:r>
                    <w:rPr>
                      <w:b/>
                      <w:i/>
                      <w:color w:val="4D4D4F"/>
                      <w:spacing w:val="-4"/>
                      <w:sz w:val="20"/>
                    </w:rPr>
                    <w:t xml:space="preserve"> </w:t>
                  </w:r>
                  <w:r>
                    <w:rPr>
                      <w:b/>
                      <w:i/>
                      <w:color w:val="4D4D4F"/>
                      <w:sz w:val="20"/>
                    </w:rPr>
                    <w:t>important</w:t>
                  </w:r>
                  <w:r>
                    <w:rPr>
                      <w:b/>
                      <w:i/>
                      <w:color w:val="4D4D4F"/>
                      <w:spacing w:val="-4"/>
                      <w:sz w:val="20"/>
                    </w:rPr>
                    <w:t xml:space="preserve"> </w:t>
                  </w:r>
                  <w:r>
                    <w:rPr>
                      <w:b/>
                      <w:i/>
                      <w:color w:val="4D4D4F"/>
                      <w:sz w:val="20"/>
                    </w:rPr>
                    <w:t>populations</w:t>
                  </w:r>
                  <w:r>
                    <w:rPr>
                      <w:b/>
                      <w:i/>
                      <w:color w:val="4D4D4F"/>
                      <w:spacing w:val="-4"/>
                      <w:sz w:val="20"/>
                    </w:rPr>
                    <w:t xml:space="preserve"> </w:t>
                  </w:r>
                  <w:r>
                    <w:rPr>
                      <w:b/>
                      <w:i/>
                      <w:color w:val="4D4D4F"/>
                      <w:sz w:val="20"/>
                    </w:rPr>
                    <w:t>of</w:t>
                  </w:r>
                  <w:r>
                    <w:rPr>
                      <w:b/>
                      <w:i/>
                      <w:color w:val="4D4D4F"/>
                      <w:spacing w:val="-5"/>
                      <w:sz w:val="20"/>
                    </w:rPr>
                    <w:t xml:space="preserve"> </w:t>
                  </w:r>
                  <w:r>
                    <w:rPr>
                      <w:b/>
                      <w:i/>
                      <w:color w:val="4D4D4F"/>
                      <w:sz w:val="20"/>
                    </w:rPr>
                    <w:t>Growling</w:t>
                  </w:r>
                  <w:r>
                    <w:rPr>
                      <w:b/>
                      <w:i/>
                      <w:color w:val="4D4D4F"/>
                      <w:spacing w:val="-4"/>
                      <w:sz w:val="20"/>
                    </w:rPr>
                    <w:t xml:space="preserve"> </w:t>
                  </w:r>
                  <w:r>
                    <w:rPr>
                      <w:b/>
                      <w:i/>
                      <w:color w:val="4D4D4F"/>
                      <w:sz w:val="20"/>
                    </w:rPr>
                    <w:t>Grass</w:t>
                  </w:r>
                  <w:r>
                    <w:rPr>
                      <w:b/>
                      <w:i/>
                      <w:color w:val="4D4D4F"/>
                      <w:spacing w:val="-4"/>
                      <w:sz w:val="20"/>
                    </w:rPr>
                    <w:t xml:space="preserve"> </w:t>
                  </w:r>
                  <w:r>
                    <w:rPr>
                      <w:b/>
                      <w:i/>
                      <w:color w:val="4D4D4F"/>
                      <w:sz w:val="20"/>
                    </w:rPr>
                    <w:t xml:space="preserve">Frog, as identified in the BCS and the Conservation Areas Declaration under section </w:t>
                  </w:r>
                  <w:r>
                    <w:rPr>
                      <w:b/>
                      <w:i/>
                      <w:color w:val="4D4D4F"/>
                      <w:spacing w:val="-11"/>
                      <w:sz w:val="20"/>
                    </w:rPr>
                    <w:t xml:space="preserve">11 </w:t>
                  </w:r>
                  <w:r>
                    <w:rPr>
                      <w:b/>
                      <w:i/>
                      <w:color w:val="4D4D4F"/>
                      <w:sz w:val="20"/>
                    </w:rPr>
                    <w:t xml:space="preserve">of the </w:t>
                  </w:r>
                  <w:r>
                    <w:rPr>
                      <w:b/>
                      <w:i/>
                      <w:color w:val="4D4D4F"/>
                      <w:spacing w:val="-2"/>
                      <w:sz w:val="20"/>
                    </w:rPr>
                    <w:t>MSA</w:t>
                  </w:r>
                  <w:r>
                    <w:rPr>
                      <w:b/>
                      <w:i/>
                      <w:color w:val="4D4D4F"/>
                      <w:spacing w:val="-8"/>
                      <w:sz w:val="20"/>
                    </w:rPr>
                    <w:t xml:space="preserve"> </w:t>
                  </w:r>
                  <w:r>
                    <w:rPr>
                      <w:b/>
                      <w:i/>
                      <w:color w:val="4D4D4F"/>
                      <w:spacing w:val="-4"/>
                      <w:sz w:val="20"/>
                    </w:rPr>
                    <w:t>Act.’</w:t>
                  </w:r>
                </w:p>
              </w:txbxContent>
            </v:textbox>
            <w10:wrap type="topAndBottom" anchorx="page"/>
          </v:shape>
        </w:pict>
      </w:r>
      <w:r>
        <w:pict w14:anchorId="2572991B">
          <v:line id="_x0000_s2905" style="position:absolute;z-index:251609600;mso-wrap-distance-left:0;mso-wrap-distance-right:0;mso-position-horizontal-relative:page" from="181.4pt,155.05pt" to="538.7pt,155.05pt" strokecolor="#4d4d4f" strokeweight=".5pt">
            <w10:wrap type="topAndBottom" anchorx="page"/>
          </v:line>
        </w:pict>
      </w:r>
    </w:p>
    <w:p w14:paraId="5352DC96" w14:textId="77777777" w:rsidR="00EF5B27" w:rsidRDefault="00EF5B27">
      <w:pPr>
        <w:pStyle w:val="BodyText"/>
        <w:spacing w:before="9"/>
        <w:rPr>
          <w:sz w:val="27"/>
        </w:rPr>
      </w:pPr>
    </w:p>
    <w:p w14:paraId="2CE555E9" w14:textId="77777777" w:rsidR="00EF5B27" w:rsidRDefault="00000000">
      <w:pPr>
        <w:pStyle w:val="ListParagraph"/>
        <w:numPr>
          <w:ilvl w:val="0"/>
          <w:numId w:val="24"/>
        </w:numPr>
        <w:tabs>
          <w:tab w:val="left" w:pos="2836"/>
        </w:tabs>
        <w:spacing w:before="83" w:line="143" w:lineRule="exact"/>
        <w:ind w:left="2835"/>
        <w:rPr>
          <w:sz w:val="12"/>
        </w:rPr>
      </w:pPr>
      <w:r>
        <w:rPr>
          <w:color w:val="4D4D4F"/>
          <w:w w:val="105"/>
          <w:sz w:val="12"/>
        </w:rPr>
        <w:t xml:space="preserve">Barker J, Grigg G and Tyler MJ 1995, ‘A Field Guide to Australian Frogs.’ </w:t>
      </w:r>
      <w:r>
        <w:rPr>
          <w:color w:val="4D4D4F"/>
          <w:spacing w:val="2"/>
          <w:w w:val="105"/>
          <w:sz w:val="12"/>
        </w:rPr>
        <w:t xml:space="preserve">Surrey </w:t>
      </w:r>
      <w:r>
        <w:rPr>
          <w:color w:val="4D4D4F"/>
          <w:w w:val="105"/>
          <w:sz w:val="12"/>
        </w:rPr>
        <w:t xml:space="preserve">Beatty, Chipping </w:t>
      </w:r>
      <w:r>
        <w:rPr>
          <w:color w:val="4D4D4F"/>
          <w:spacing w:val="2"/>
          <w:w w:val="105"/>
          <w:sz w:val="12"/>
        </w:rPr>
        <w:t>Norton,</w:t>
      </w:r>
      <w:r>
        <w:rPr>
          <w:color w:val="4D4D4F"/>
          <w:spacing w:val="-14"/>
          <w:w w:val="105"/>
          <w:sz w:val="12"/>
        </w:rPr>
        <w:t xml:space="preserve"> </w:t>
      </w:r>
      <w:r>
        <w:rPr>
          <w:color w:val="4D4D4F"/>
          <w:w w:val="105"/>
          <w:sz w:val="12"/>
        </w:rPr>
        <w:t>NSW.</w:t>
      </w:r>
    </w:p>
    <w:p w14:paraId="751DA94D" w14:textId="77777777" w:rsidR="00EF5B27" w:rsidRDefault="00000000">
      <w:pPr>
        <w:pStyle w:val="ListParagraph"/>
        <w:numPr>
          <w:ilvl w:val="0"/>
          <w:numId w:val="24"/>
        </w:numPr>
        <w:tabs>
          <w:tab w:val="left" w:pos="2836"/>
        </w:tabs>
        <w:spacing w:before="2" w:line="230" w:lineRule="auto"/>
        <w:ind w:left="2835" w:right="109"/>
        <w:rPr>
          <w:sz w:val="12"/>
        </w:rPr>
      </w:pPr>
      <w:r>
        <w:rPr>
          <w:color w:val="4D4D4F"/>
          <w:w w:val="105"/>
          <w:sz w:val="12"/>
        </w:rPr>
        <w:t xml:space="preserve">Heard GW, </w:t>
      </w:r>
      <w:r>
        <w:rPr>
          <w:color w:val="4D4D4F"/>
          <w:spacing w:val="2"/>
          <w:w w:val="105"/>
          <w:sz w:val="12"/>
        </w:rPr>
        <w:t xml:space="preserve">McCarthy MA, Scroggie </w:t>
      </w:r>
      <w:r>
        <w:rPr>
          <w:color w:val="4D4D4F"/>
          <w:spacing w:val="-3"/>
          <w:w w:val="105"/>
          <w:sz w:val="12"/>
        </w:rPr>
        <w:t xml:space="preserve">MP, </w:t>
      </w:r>
      <w:r>
        <w:rPr>
          <w:color w:val="4D4D4F"/>
          <w:w w:val="105"/>
          <w:sz w:val="12"/>
        </w:rPr>
        <w:t xml:space="preserve">Baumgartner JB and </w:t>
      </w:r>
      <w:r>
        <w:rPr>
          <w:color w:val="4D4D4F"/>
          <w:spacing w:val="2"/>
          <w:w w:val="105"/>
          <w:sz w:val="12"/>
        </w:rPr>
        <w:t xml:space="preserve">Parris </w:t>
      </w:r>
      <w:r>
        <w:rPr>
          <w:color w:val="4D4D4F"/>
          <w:w w:val="105"/>
          <w:sz w:val="12"/>
        </w:rPr>
        <w:t xml:space="preserve">KM 2013, ‘A Bayesian model of metapopulation viability, with application to an endangered amphibian.’ </w:t>
      </w:r>
      <w:r>
        <w:rPr>
          <w:color w:val="4D4D4F"/>
          <w:spacing w:val="2"/>
          <w:w w:val="105"/>
          <w:sz w:val="12"/>
        </w:rPr>
        <w:t xml:space="preserve">Diversity </w:t>
      </w:r>
      <w:r>
        <w:rPr>
          <w:color w:val="4D4D4F"/>
          <w:w w:val="105"/>
          <w:sz w:val="12"/>
        </w:rPr>
        <w:t xml:space="preserve">and Distribution. </w:t>
      </w:r>
      <w:r>
        <w:rPr>
          <w:color w:val="4D4D4F"/>
          <w:spacing w:val="-3"/>
          <w:w w:val="105"/>
          <w:sz w:val="12"/>
        </w:rPr>
        <w:t>19,</w:t>
      </w:r>
      <w:r>
        <w:rPr>
          <w:color w:val="4D4D4F"/>
          <w:spacing w:val="-10"/>
          <w:w w:val="105"/>
          <w:sz w:val="12"/>
        </w:rPr>
        <w:t xml:space="preserve"> </w:t>
      </w:r>
      <w:r>
        <w:rPr>
          <w:color w:val="4D4D4F"/>
          <w:spacing w:val="2"/>
          <w:w w:val="105"/>
          <w:sz w:val="12"/>
        </w:rPr>
        <w:t>555–566.</w:t>
      </w:r>
    </w:p>
    <w:p w14:paraId="0DF4F120"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08D31FBC" w14:textId="77777777" w:rsidR="00EF5B27" w:rsidRDefault="00000000">
      <w:pPr>
        <w:pStyle w:val="BodyText"/>
      </w:pPr>
      <w:r>
        <w:lastRenderedPageBreak/>
        <w:pict w14:anchorId="38686E5C">
          <v:group id="_x0000_s2897" style="position:absolute;margin-left:587.05pt;margin-top:183.4pt;width:8.25pt;height:153.1pt;z-index:251676160;mso-position-horizontal-relative:page;mso-position-vertical-relative:page" coordorigin="11741,3668" coordsize="165,3062">
            <v:shape id="_x0000_s2904" style="position:absolute;left:11741;top:3668;width:165;height:561" coordorigin="11741,3668" coordsize="165,561" path="m11906,3668r-165,l11741,4228r165,-18l11906,3668xe" fillcolor="#00aed9" stroked="f">
              <v:path arrowok="t"/>
            </v:shape>
            <v:shape id="_x0000_s2903" style="position:absolute;left:11741;top:4118;width:165;height:425" coordorigin="11741,4118" coordsize="165,425" path="m11906,4118r-165,14l11741,4531r165,12l11906,4118xe" fillcolor="#047ebc" stroked="f">
              <v:path arrowok="t"/>
            </v:shape>
            <v:shape id="_x0000_s2902" type="#_x0000_t75" style="position:absolute;left:11741;top:4355;width:165;height:587">
              <v:imagedata r:id="rId42" o:title=""/>
            </v:shape>
            <v:shape id="_x0000_s2901" style="position:absolute;left:11741;top:5343;width:165;height:536" coordorigin="11741,5343" coordsize="165,536" path="m11741,5343r,535l11906,5872r,-525l11741,5343xe" fillcolor="#f36a2e" stroked="f">
              <v:path arrowok="t"/>
            </v:shape>
            <v:shape id="_x0000_s2900" style="position:absolute;left:11741;top:4925;width:165;height:501" coordorigin="11741,4926" coordsize="165,501" path="m11741,4926r,500l11906,5426r,-485l11741,4926xe" fillcolor="#49783f" stroked="f">
              <v:path arrowok="t"/>
            </v:shape>
            <v:shape id="_x0000_s2899" style="position:absolute;left:11741;top:5781;width:165;height:268" coordorigin="11741,5782" coordsize="165,268" path="m11906,5782r-165,8l11741,6039r165,10l11906,5782xe" fillcolor="#f99f2a" stroked="f">
              <v:path arrowok="t"/>
            </v:shape>
            <v:shape id="_x0000_s2898" style="position:absolute;left:11741;top:6023;width:165;height:707" coordorigin="11741,6023" coordsize="165,707" path="m11741,6023r,706l11906,6729r,-690l11741,6023xe" fillcolor="#ef412c" stroked="f">
              <v:path arrowok="t"/>
            </v:shape>
            <w10:wrap anchorx="page" anchory="page"/>
          </v:group>
        </w:pict>
      </w:r>
    </w:p>
    <w:p w14:paraId="2675313C" w14:textId="77777777" w:rsidR="00EF5B27" w:rsidRDefault="00EF5B27">
      <w:pPr>
        <w:pStyle w:val="BodyText"/>
      </w:pPr>
    </w:p>
    <w:p w14:paraId="78EE9EA3" w14:textId="77777777" w:rsidR="00EF5B27" w:rsidRDefault="00EF5B27">
      <w:pPr>
        <w:pStyle w:val="BodyText"/>
      </w:pPr>
    </w:p>
    <w:p w14:paraId="7548DD3B" w14:textId="77777777" w:rsidR="00EF5B27" w:rsidRDefault="00EF5B27">
      <w:pPr>
        <w:pStyle w:val="BodyText"/>
        <w:spacing w:before="4"/>
        <w:rPr>
          <w:sz w:val="25"/>
        </w:rPr>
      </w:pPr>
    </w:p>
    <w:p w14:paraId="075C10C1" w14:textId="77777777" w:rsidR="00EF5B27" w:rsidRDefault="00000000">
      <w:pPr>
        <w:pStyle w:val="BodyText"/>
        <w:spacing w:before="100" w:line="254" w:lineRule="auto"/>
        <w:ind w:left="2608"/>
      </w:pPr>
      <w:r>
        <w:rPr>
          <w:color w:val="4D4D4F"/>
        </w:rPr>
        <w:t>DELWP’s MSA MRF also summarises the conservation outcomes for the Growling Grass Frog as a single goal statement: ‘Growling Grass Frog persists within the MSA area.’</w:t>
      </w:r>
    </w:p>
    <w:p w14:paraId="71FB7A60" w14:textId="77777777" w:rsidR="00EF5B27" w:rsidRDefault="00EF5B27">
      <w:pPr>
        <w:pStyle w:val="BodyText"/>
        <w:spacing w:before="1"/>
        <w:rPr>
          <w:sz w:val="19"/>
        </w:rPr>
      </w:pPr>
    </w:p>
    <w:p w14:paraId="5792B2E7" w14:textId="77777777" w:rsidR="00EF5B27" w:rsidRDefault="00000000">
      <w:pPr>
        <w:pStyle w:val="Heading3"/>
        <w:spacing w:before="1"/>
      </w:pPr>
      <w:r>
        <w:rPr>
          <w:color w:val="F99F2A"/>
          <w:w w:val="110"/>
        </w:rPr>
        <w:t>KPIs assessed</w:t>
      </w:r>
    </w:p>
    <w:p w14:paraId="31E635D7" w14:textId="77777777" w:rsidR="00EF5B27" w:rsidRDefault="00000000">
      <w:pPr>
        <w:pStyle w:val="BodyText"/>
        <w:spacing w:before="221"/>
        <w:ind w:left="2608"/>
      </w:pPr>
      <w:r>
        <w:rPr>
          <w:color w:val="4D4D4F"/>
          <w:w w:val="105"/>
        </w:rPr>
        <w:t>Progress towards this goal is measured using a single KPI:</w:t>
      </w:r>
    </w:p>
    <w:p w14:paraId="67AC3E7D" w14:textId="77777777" w:rsidR="00EF5B27" w:rsidRDefault="00000000">
      <w:pPr>
        <w:pStyle w:val="BodyText"/>
        <w:spacing w:before="129" w:line="254" w:lineRule="auto"/>
        <w:ind w:left="2778" w:right="137" w:hanging="170"/>
      </w:pPr>
      <w:r>
        <w:rPr>
          <w:color w:val="4D4D4F"/>
        </w:rPr>
        <w:t>1. Projected risk of extinction for each Conservation Area, estimated using a stochastic patch-occupancy model for Growling Grass Frog metapopulations.</w:t>
      </w:r>
    </w:p>
    <w:p w14:paraId="55E622E4" w14:textId="77777777" w:rsidR="00EF5B27" w:rsidRDefault="00EF5B27">
      <w:pPr>
        <w:pStyle w:val="BodyText"/>
      </w:pPr>
    </w:p>
    <w:p w14:paraId="78D56ABA" w14:textId="77777777" w:rsidR="00EF5B27" w:rsidRDefault="00EF5B27">
      <w:pPr>
        <w:pStyle w:val="BodyText"/>
        <w:spacing w:before="8"/>
        <w:rPr>
          <w:sz w:val="11"/>
        </w:rPr>
      </w:pPr>
    </w:p>
    <w:tbl>
      <w:tblPr>
        <w:tblW w:w="0" w:type="auto"/>
        <w:tblInd w:w="261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152"/>
        <w:gridCol w:w="4989"/>
      </w:tblGrid>
      <w:tr w:rsidR="00EF5B27" w14:paraId="023FFD76" w14:textId="77777777">
        <w:trPr>
          <w:trHeight w:val="459"/>
        </w:trPr>
        <w:tc>
          <w:tcPr>
            <w:tcW w:w="2152" w:type="dxa"/>
            <w:shd w:val="clear" w:color="auto" w:fill="FECC91"/>
          </w:tcPr>
          <w:p w14:paraId="2E6C62F9" w14:textId="77777777" w:rsidR="00EF5B27" w:rsidRDefault="00000000">
            <w:pPr>
              <w:pStyle w:val="TableParagraph"/>
              <w:spacing w:before="140"/>
              <w:ind w:left="113"/>
              <w:rPr>
                <w:b/>
                <w:sz w:val="16"/>
              </w:rPr>
            </w:pPr>
            <w:r>
              <w:rPr>
                <w:b/>
                <w:w w:val="105"/>
                <w:sz w:val="16"/>
              </w:rPr>
              <w:t>MNES</w:t>
            </w:r>
          </w:p>
        </w:tc>
        <w:tc>
          <w:tcPr>
            <w:tcW w:w="4989" w:type="dxa"/>
          </w:tcPr>
          <w:p w14:paraId="0F1DB89C" w14:textId="77777777" w:rsidR="00EF5B27" w:rsidRDefault="00000000">
            <w:pPr>
              <w:pStyle w:val="TableParagraph"/>
              <w:spacing w:before="140"/>
              <w:ind w:left="113"/>
              <w:rPr>
                <w:sz w:val="16"/>
              </w:rPr>
            </w:pPr>
            <w:r>
              <w:rPr>
                <w:color w:val="4D4D4F"/>
                <w:w w:val="105"/>
                <w:sz w:val="16"/>
              </w:rPr>
              <w:t>8. Growling Grass Frog</w:t>
            </w:r>
          </w:p>
        </w:tc>
      </w:tr>
      <w:tr w:rsidR="00EF5B27" w14:paraId="54DF1220" w14:textId="77777777">
        <w:trPr>
          <w:trHeight w:val="859"/>
        </w:trPr>
        <w:tc>
          <w:tcPr>
            <w:tcW w:w="2152" w:type="dxa"/>
            <w:shd w:val="clear" w:color="auto" w:fill="FECC91"/>
          </w:tcPr>
          <w:p w14:paraId="6BEB419A" w14:textId="77777777" w:rsidR="00EF5B27" w:rsidRDefault="00000000">
            <w:pPr>
              <w:pStyle w:val="TableParagraph"/>
              <w:spacing w:before="140" w:line="244" w:lineRule="auto"/>
              <w:ind w:left="113" w:right="279"/>
              <w:rPr>
                <w:b/>
                <w:sz w:val="16"/>
              </w:rPr>
            </w:pPr>
            <w:r>
              <w:rPr>
                <w:b/>
                <w:sz w:val="16"/>
              </w:rPr>
              <w:t>Commonwealth approved 2015 MSA MRF single outcome statement</w:t>
            </w:r>
          </w:p>
        </w:tc>
        <w:tc>
          <w:tcPr>
            <w:tcW w:w="4989" w:type="dxa"/>
          </w:tcPr>
          <w:p w14:paraId="3B409175" w14:textId="77777777" w:rsidR="00EF5B27" w:rsidRDefault="00EF5B27">
            <w:pPr>
              <w:pStyle w:val="TableParagraph"/>
              <w:spacing w:before="10"/>
              <w:rPr>
                <w:sz w:val="27"/>
              </w:rPr>
            </w:pPr>
          </w:p>
          <w:p w14:paraId="3718FE43" w14:textId="77777777" w:rsidR="00EF5B27" w:rsidRDefault="00000000">
            <w:pPr>
              <w:pStyle w:val="TableParagraph"/>
              <w:ind w:left="113"/>
              <w:rPr>
                <w:sz w:val="16"/>
              </w:rPr>
            </w:pPr>
            <w:r>
              <w:rPr>
                <w:color w:val="4D4D4F"/>
                <w:w w:val="105"/>
                <w:sz w:val="16"/>
              </w:rPr>
              <w:t>Growling Grass Frog persists.</w:t>
            </w:r>
          </w:p>
        </w:tc>
      </w:tr>
      <w:tr w:rsidR="00EF5B27" w14:paraId="119032CF" w14:textId="77777777">
        <w:trPr>
          <w:trHeight w:val="859"/>
        </w:trPr>
        <w:tc>
          <w:tcPr>
            <w:tcW w:w="2152" w:type="dxa"/>
            <w:shd w:val="clear" w:color="auto" w:fill="FECC91"/>
          </w:tcPr>
          <w:p w14:paraId="0CC741E6" w14:textId="77777777" w:rsidR="00EF5B27" w:rsidRDefault="00000000">
            <w:pPr>
              <w:pStyle w:val="TableParagraph"/>
              <w:spacing w:before="140" w:line="244" w:lineRule="auto"/>
              <w:ind w:left="113"/>
              <w:rPr>
                <w:b/>
                <w:sz w:val="16"/>
              </w:rPr>
            </w:pPr>
            <w:r>
              <w:rPr>
                <w:b/>
                <w:sz w:val="16"/>
              </w:rPr>
              <w:t>2014–2020 Ecological Outcomes Report single outcome statement</w:t>
            </w:r>
          </w:p>
        </w:tc>
        <w:tc>
          <w:tcPr>
            <w:tcW w:w="4989" w:type="dxa"/>
          </w:tcPr>
          <w:p w14:paraId="5337DA16" w14:textId="77777777" w:rsidR="00EF5B27" w:rsidRDefault="00EF5B27">
            <w:pPr>
              <w:pStyle w:val="TableParagraph"/>
              <w:spacing w:before="10"/>
              <w:rPr>
                <w:sz w:val="27"/>
              </w:rPr>
            </w:pPr>
          </w:p>
          <w:p w14:paraId="20B66D6A" w14:textId="77777777" w:rsidR="00EF5B27" w:rsidRDefault="00000000">
            <w:pPr>
              <w:pStyle w:val="TableParagraph"/>
              <w:ind w:left="113"/>
              <w:rPr>
                <w:sz w:val="16"/>
              </w:rPr>
            </w:pPr>
            <w:r>
              <w:rPr>
                <w:color w:val="4D4D4F"/>
                <w:w w:val="105"/>
                <w:sz w:val="16"/>
              </w:rPr>
              <w:t>Growling Grass Frog persists.</w:t>
            </w:r>
          </w:p>
        </w:tc>
      </w:tr>
      <w:tr w:rsidR="00EF5B27" w14:paraId="17633F29" w14:textId="77777777">
        <w:trPr>
          <w:trHeight w:val="2127"/>
        </w:trPr>
        <w:tc>
          <w:tcPr>
            <w:tcW w:w="2152" w:type="dxa"/>
            <w:shd w:val="clear" w:color="auto" w:fill="FECC91"/>
          </w:tcPr>
          <w:p w14:paraId="63F9E49F" w14:textId="77777777" w:rsidR="00EF5B27" w:rsidRDefault="00EF5B27">
            <w:pPr>
              <w:pStyle w:val="TableParagraph"/>
              <w:rPr>
                <w:sz w:val="20"/>
              </w:rPr>
            </w:pPr>
          </w:p>
          <w:p w14:paraId="04C49529" w14:textId="77777777" w:rsidR="00EF5B27" w:rsidRDefault="00EF5B27">
            <w:pPr>
              <w:pStyle w:val="TableParagraph"/>
              <w:rPr>
                <w:sz w:val="20"/>
              </w:rPr>
            </w:pPr>
          </w:p>
          <w:p w14:paraId="049B00DE" w14:textId="77777777" w:rsidR="00EF5B27" w:rsidRDefault="00EF5B27">
            <w:pPr>
              <w:pStyle w:val="TableParagraph"/>
              <w:spacing w:before="2"/>
              <w:rPr>
                <w:sz w:val="15"/>
              </w:rPr>
            </w:pPr>
          </w:p>
          <w:p w14:paraId="497CF640" w14:textId="77777777" w:rsidR="00EF5B27" w:rsidRDefault="00000000">
            <w:pPr>
              <w:pStyle w:val="TableParagraph"/>
              <w:spacing w:line="244" w:lineRule="auto"/>
              <w:ind w:left="113"/>
              <w:rPr>
                <w:b/>
                <w:sz w:val="16"/>
              </w:rPr>
            </w:pPr>
            <w:r>
              <w:rPr>
                <w:b/>
                <w:sz w:val="16"/>
              </w:rPr>
              <w:t>Conservation Outcomes published in the Victorian Government Gazette – Issue G4, 27 January 2022</w:t>
            </w:r>
          </w:p>
        </w:tc>
        <w:tc>
          <w:tcPr>
            <w:tcW w:w="4989" w:type="dxa"/>
          </w:tcPr>
          <w:p w14:paraId="59FFD887" w14:textId="77777777" w:rsidR="00EF5B27" w:rsidRDefault="00000000">
            <w:pPr>
              <w:pStyle w:val="TableParagraph"/>
              <w:spacing w:before="175" w:line="271" w:lineRule="auto"/>
              <w:ind w:left="113" w:right="352"/>
              <w:rPr>
                <w:sz w:val="16"/>
              </w:rPr>
            </w:pPr>
            <w:r>
              <w:rPr>
                <w:color w:val="4D4D4F"/>
                <w:sz w:val="16"/>
              </w:rPr>
              <w:t xml:space="preserve">Functioning and sustainable Growling Grass Frog populations within the UGB with connectivity between populations. Sustainable populations means that there is a reduction in extinction risk to low   in the long-term (using the modelling that </w:t>
            </w:r>
            <w:r>
              <w:rPr>
                <w:color w:val="4D4D4F"/>
                <w:spacing w:val="2"/>
                <w:sz w:val="16"/>
              </w:rPr>
              <w:t xml:space="preserve">supports </w:t>
            </w:r>
            <w:r>
              <w:rPr>
                <w:color w:val="4D4D4F"/>
                <w:sz w:val="16"/>
              </w:rPr>
              <w:t>DELWP’s  Growling Grass Frog</w:t>
            </w:r>
            <w:r>
              <w:rPr>
                <w:color w:val="4D4D4F"/>
                <w:spacing w:val="13"/>
                <w:sz w:val="16"/>
              </w:rPr>
              <w:t xml:space="preserve"> </w:t>
            </w:r>
            <w:r>
              <w:rPr>
                <w:color w:val="4D4D4F"/>
                <w:sz w:val="16"/>
              </w:rPr>
              <w:t>masterplan).</w:t>
            </w:r>
          </w:p>
          <w:p w14:paraId="4722A6BB" w14:textId="77777777" w:rsidR="00EF5B27" w:rsidRDefault="00000000">
            <w:pPr>
              <w:pStyle w:val="TableParagraph"/>
              <w:spacing w:before="53" w:line="271" w:lineRule="auto"/>
              <w:ind w:left="113"/>
              <w:rPr>
                <w:sz w:val="16"/>
              </w:rPr>
            </w:pPr>
            <w:r>
              <w:rPr>
                <w:color w:val="4D4D4F"/>
                <w:sz w:val="16"/>
              </w:rPr>
              <w:t>The protection and enhancement of important Growling Grass Frog populations in the conservation areas identified in the BCS and the Conservation Areas Declaration.</w:t>
            </w:r>
          </w:p>
        </w:tc>
      </w:tr>
    </w:tbl>
    <w:p w14:paraId="557AB899" w14:textId="77777777" w:rsidR="00EF5B27" w:rsidRDefault="00EF5B27">
      <w:pPr>
        <w:pStyle w:val="BodyText"/>
        <w:spacing w:before="2"/>
        <w:rPr>
          <w:sz w:val="33"/>
        </w:rPr>
      </w:pPr>
    </w:p>
    <w:p w14:paraId="6008A1F8" w14:textId="77777777" w:rsidR="00EF5B27" w:rsidRDefault="00000000">
      <w:pPr>
        <w:pStyle w:val="Heading3"/>
      </w:pPr>
      <w:r>
        <w:rPr>
          <w:color w:val="F99F2A"/>
        </w:rPr>
        <w:t>Monitored areas</w:t>
      </w:r>
    </w:p>
    <w:p w14:paraId="463A7F82" w14:textId="77777777" w:rsidR="00EF5B27" w:rsidRDefault="00000000">
      <w:pPr>
        <w:pStyle w:val="BodyText"/>
        <w:spacing w:before="221" w:line="254" w:lineRule="auto"/>
        <w:ind w:left="2608" w:right="269"/>
      </w:pPr>
      <w:r>
        <w:rPr>
          <w:color w:val="4D4D4F"/>
        </w:rPr>
        <w:t>Growling Grass Frog is known from several locations in the MSA area. Most of these areas are yet to be protected and monitoring commenced in 2021, outside the audit’s data acquisition period. These data sets will be included in future reports. Other projects have monitored some MSA populations in the past and that data is available to augment future MSA data.</w:t>
      </w:r>
    </w:p>
    <w:p w14:paraId="4D3A84F4" w14:textId="77777777" w:rsidR="00EF5B27" w:rsidRDefault="00EF5B27">
      <w:pPr>
        <w:spacing w:line="254" w:lineRule="auto"/>
        <w:sectPr w:rsidR="00EF5B27">
          <w:pgSz w:w="11910" w:h="16840"/>
          <w:pgMar w:top="1080" w:right="1020" w:bottom="860" w:left="1020" w:header="537" w:footer="678" w:gutter="0"/>
          <w:cols w:space="720"/>
        </w:sectPr>
      </w:pPr>
    </w:p>
    <w:p w14:paraId="590B5F9A" w14:textId="77777777" w:rsidR="00EF5B27" w:rsidRDefault="00000000">
      <w:pPr>
        <w:pStyle w:val="BodyText"/>
      </w:pPr>
      <w:r>
        <w:lastRenderedPageBreak/>
        <w:pict w14:anchorId="195E9930">
          <v:group id="_x0000_s2889" style="position:absolute;margin-left:587.05pt;margin-top:183.4pt;width:8.25pt;height:153.1pt;z-index:251678208;mso-position-horizontal-relative:page;mso-position-vertical-relative:page" coordorigin="11741,3668" coordsize="165,3062">
            <v:shape id="_x0000_s2896" style="position:absolute;left:11741;top:3668;width:165;height:561" coordorigin="11741,3668" coordsize="165,561" path="m11906,3668r-165,l11741,4228r165,-18l11906,3668xe" fillcolor="#00aed9" stroked="f">
              <v:path arrowok="t"/>
            </v:shape>
            <v:shape id="_x0000_s2895" style="position:absolute;left:11741;top:4118;width:165;height:425" coordorigin="11741,4118" coordsize="165,425" path="m11906,4118r-165,14l11741,4531r165,12l11906,4118xe" fillcolor="#047ebc" stroked="f">
              <v:path arrowok="t"/>
            </v:shape>
            <v:shape id="_x0000_s2894" type="#_x0000_t75" style="position:absolute;left:11741;top:4355;width:165;height:587">
              <v:imagedata r:id="rId42" o:title=""/>
            </v:shape>
            <v:shape id="_x0000_s2893" style="position:absolute;left:11741;top:5343;width:165;height:536" coordorigin="11741,5343" coordsize="165,536" path="m11741,5343r,535l11906,5872r,-525l11741,5343xe" fillcolor="#f36a2e" stroked="f">
              <v:path arrowok="t"/>
            </v:shape>
            <v:shape id="_x0000_s2892" style="position:absolute;left:11741;top:4925;width:165;height:501" coordorigin="11741,4926" coordsize="165,501" path="m11741,4926r,500l11906,5426r,-485l11741,4926xe" fillcolor="#49783f" stroked="f">
              <v:path arrowok="t"/>
            </v:shape>
            <v:shape id="_x0000_s2891" style="position:absolute;left:11741;top:5781;width:165;height:268" coordorigin="11741,5782" coordsize="165,268" path="m11906,5782r-165,8l11741,6039r165,10l11906,5782xe" fillcolor="#f99f2a" stroked="f">
              <v:path arrowok="t"/>
            </v:shape>
            <v:shape id="_x0000_s2890" style="position:absolute;left:11741;top:6023;width:165;height:707" coordorigin="11741,6023" coordsize="165,707" path="m11741,6023r,706l11906,6729r,-690l11741,6023xe" fillcolor="#ef412c" stroked="f">
              <v:path arrowok="t"/>
            </v:shape>
            <w10:wrap anchorx="page" anchory="page"/>
          </v:group>
        </w:pict>
      </w:r>
    </w:p>
    <w:p w14:paraId="245F846B" w14:textId="77777777" w:rsidR="00EF5B27" w:rsidRDefault="00EF5B27">
      <w:pPr>
        <w:pStyle w:val="BodyText"/>
      </w:pPr>
    </w:p>
    <w:p w14:paraId="7F67BECE" w14:textId="77777777" w:rsidR="00EF5B27" w:rsidRDefault="00EF5B27">
      <w:pPr>
        <w:pStyle w:val="BodyText"/>
      </w:pPr>
    </w:p>
    <w:p w14:paraId="4A0FDF0B" w14:textId="77777777" w:rsidR="00EF5B27" w:rsidRDefault="00EF5B27">
      <w:pPr>
        <w:pStyle w:val="BodyText"/>
      </w:pPr>
    </w:p>
    <w:p w14:paraId="5DEC8CB9" w14:textId="77777777" w:rsidR="00EF5B27" w:rsidRDefault="00EF5B27">
      <w:pPr>
        <w:pStyle w:val="BodyText"/>
        <w:spacing w:before="7"/>
        <w:rPr>
          <w:sz w:val="15"/>
        </w:rPr>
      </w:pPr>
    </w:p>
    <w:bookmarkStart w:id="89" w:name="_bookmark60"/>
    <w:bookmarkEnd w:id="89"/>
    <w:p w14:paraId="56DF8C58" w14:textId="77777777" w:rsidR="00EF5B27" w:rsidRDefault="00000000">
      <w:pPr>
        <w:pStyle w:val="BodyText"/>
        <w:ind w:left="2598"/>
      </w:pPr>
      <w:r>
        <w:pict w14:anchorId="51F7EF96">
          <v:group id="_x0000_s2886" style="width:357.4pt;height:510.05pt;mso-position-horizontal-relative:char;mso-position-vertical-relative:line" coordsize="7148,10201">
            <v:shape id="_x0000_s2888" type="#_x0000_t75" style="position:absolute;left:2;top:2;width:7143;height:10196">
              <v:imagedata r:id="rId152" o:title=""/>
            </v:shape>
            <v:rect id="_x0000_s2887" style="position:absolute;left:2;top:2;width:7143;height:10196" filled="f" strokeweight=".25pt"/>
            <w10:anchorlock/>
          </v:group>
        </w:pict>
      </w:r>
    </w:p>
    <w:p w14:paraId="5917DE77" w14:textId="77777777" w:rsidR="00EF5B27" w:rsidRDefault="00000000">
      <w:pPr>
        <w:tabs>
          <w:tab w:val="left" w:pos="8977"/>
        </w:tabs>
        <w:spacing w:before="98"/>
        <w:ind w:left="2608"/>
        <w:rPr>
          <w:rFonts w:ascii="Century Gothic"/>
          <w:i/>
          <w:sz w:val="12"/>
        </w:rPr>
      </w:pPr>
      <w:r>
        <w:rPr>
          <w:color w:val="4D4D4F"/>
          <w:sz w:val="16"/>
        </w:rPr>
        <w:t>Figure</w:t>
      </w:r>
      <w:r>
        <w:rPr>
          <w:color w:val="4D4D4F"/>
          <w:spacing w:val="16"/>
          <w:sz w:val="16"/>
        </w:rPr>
        <w:t xml:space="preserve"> </w:t>
      </w:r>
      <w:r>
        <w:rPr>
          <w:color w:val="4D4D4F"/>
          <w:sz w:val="16"/>
        </w:rPr>
        <w:t>34:</w:t>
      </w:r>
      <w:r>
        <w:rPr>
          <w:color w:val="4D4D4F"/>
          <w:spacing w:val="16"/>
          <w:sz w:val="16"/>
        </w:rPr>
        <w:t xml:space="preserve"> </w:t>
      </w:r>
      <w:r>
        <w:rPr>
          <w:color w:val="4D4D4F"/>
          <w:sz w:val="16"/>
        </w:rPr>
        <w:t>Known</w:t>
      </w:r>
      <w:r>
        <w:rPr>
          <w:color w:val="4D4D4F"/>
          <w:spacing w:val="17"/>
          <w:sz w:val="16"/>
        </w:rPr>
        <w:t xml:space="preserve"> </w:t>
      </w:r>
      <w:r>
        <w:rPr>
          <w:color w:val="4D4D4F"/>
          <w:sz w:val="16"/>
        </w:rPr>
        <w:t>Growling</w:t>
      </w:r>
      <w:r>
        <w:rPr>
          <w:color w:val="4D4D4F"/>
          <w:spacing w:val="16"/>
          <w:sz w:val="16"/>
        </w:rPr>
        <w:t xml:space="preserve"> </w:t>
      </w:r>
      <w:r>
        <w:rPr>
          <w:color w:val="4D4D4F"/>
          <w:sz w:val="16"/>
        </w:rPr>
        <w:t>Grass</w:t>
      </w:r>
      <w:r>
        <w:rPr>
          <w:color w:val="4D4D4F"/>
          <w:spacing w:val="17"/>
          <w:sz w:val="16"/>
        </w:rPr>
        <w:t xml:space="preserve"> </w:t>
      </w:r>
      <w:r>
        <w:rPr>
          <w:color w:val="4D4D4F"/>
          <w:sz w:val="16"/>
        </w:rPr>
        <w:t>Frog</w:t>
      </w:r>
      <w:r>
        <w:rPr>
          <w:color w:val="4D4D4F"/>
          <w:spacing w:val="16"/>
          <w:sz w:val="16"/>
        </w:rPr>
        <w:t xml:space="preserve"> </w:t>
      </w:r>
      <w:r>
        <w:rPr>
          <w:color w:val="4D4D4F"/>
          <w:sz w:val="16"/>
        </w:rPr>
        <w:t>areas</w:t>
      </w:r>
      <w:r>
        <w:rPr>
          <w:color w:val="4D4D4F"/>
          <w:spacing w:val="17"/>
          <w:sz w:val="16"/>
        </w:rPr>
        <w:t xml:space="preserve"> </w:t>
      </w:r>
      <w:r>
        <w:rPr>
          <w:color w:val="4D4D4F"/>
          <w:sz w:val="16"/>
        </w:rPr>
        <w:t>under</w:t>
      </w:r>
      <w:r>
        <w:rPr>
          <w:color w:val="4D4D4F"/>
          <w:spacing w:val="16"/>
          <w:sz w:val="16"/>
        </w:rPr>
        <w:t xml:space="preserve"> </w:t>
      </w:r>
      <w:r>
        <w:rPr>
          <w:color w:val="4D4D4F"/>
          <w:sz w:val="16"/>
        </w:rPr>
        <w:t>MSA</w:t>
      </w:r>
      <w:r>
        <w:rPr>
          <w:color w:val="4D4D4F"/>
          <w:spacing w:val="17"/>
          <w:sz w:val="16"/>
        </w:rPr>
        <w:t xml:space="preserve"> </w:t>
      </w:r>
      <w:r>
        <w:rPr>
          <w:color w:val="4D4D4F"/>
          <w:sz w:val="16"/>
        </w:rPr>
        <w:t>management</w:t>
      </w:r>
      <w:r>
        <w:rPr>
          <w:color w:val="4D4D4F"/>
          <w:sz w:val="16"/>
        </w:rPr>
        <w:tab/>
      </w:r>
      <w:r>
        <w:rPr>
          <w:rFonts w:ascii="Century Gothic"/>
          <w:i/>
          <w:color w:val="4D4D4F"/>
          <w:sz w:val="12"/>
        </w:rPr>
        <w:t>Source:</w:t>
      </w:r>
      <w:r>
        <w:rPr>
          <w:rFonts w:ascii="Century Gothic"/>
          <w:i/>
          <w:color w:val="4D4D4F"/>
          <w:spacing w:val="-22"/>
          <w:sz w:val="12"/>
        </w:rPr>
        <w:t xml:space="preserve"> </w:t>
      </w:r>
      <w:r>
        <w:rPr>
          <w:rFonts w:ascii="Century Gothic"/>
          <w:i/>
          <w:color w:val="4D4D4F"/>
          <w:sz w:val="12"/>
        </w:rPr>
        <w:t>DELWP</w:t>
      </w:r>
    </w:p>
    <w:p w14:paraId="03BE548D" w14:textId="77777777" w:rsidR="00EF5B27" w:rsidRDefault="00EF5B27">
      <w:pPr>
        <w:rPr>
          <w:rFonts w:ascii="Century Gothic"/>
          <w:sz w:val="12"/>
        </w:rPr>
        <w:sectPr w:rsidR="00EF5B27">
          <w:pgSz w:w="11910" w:h="16840"/>
          <w:pgMar w:top="1080" w:right="1020" w:bottom="860" w:left="1020" w:header="537" w:footer="678" w:gutter="0"/>
          <w:cols w:space="720"/>
        </w:sectPr>
      </w:pPr>
    </w:p>
    <w:p w14:paraId="37BE461E" w14:textId="77777777" w:rsidR="00EF5B27" w:rsidRDefault="00000000">
      <w:pPr>
        <w:pStyle w:val="BodyText"/>
        <w:rPr>
          <w:rFonts w:ascii="Century Gothic"/>
          <w:i/>
        </w:rPr>
      </w:pPr>
      <w:r>
        <w:lastRenderedPageBreak/>
        <w:pict w14:anchorId="2FAF41B5">
          <v:group id="_x0000_s2878" style="position:absolute;margin-left:587.05pt;margin-top:183.4pt;width:8.25pt;height:153.1pt;z-index:251682304;mso-position-horizontal-relative:page;mso-position-vertical-relative:page" coordorigin="11741,3668" coordsize="165,3062">
            <v:shape id="_x0000_s2885" style="position:absolute;left:11741;top:3668;width:165;height:561" coordorigin="11741,3668" coordsize="165,561" path="m11906,3668r-165,l11741,4228r165,-18l11906,3668xe" fillcolor="#00aed9" stroked="f">
              <v:path arrowok="t"/>
            </v:shape>
            <v:shape id="_x0000_s2884" style="position:absolute;left:11741;top:4118;width:165;height:425" coordorigin="11741,4118" coordsize="165,425" path="m11906,4118r-165,14l11741,4531r165,12l11906,4118xe" fillcolor="#047ebc" stroked="f">
              <v:path arrowok="t"/>
            </v:shape>
            <v:shape id="_x0000_s2883" type="#_x0000_t75" style="position:absolute;left:11741;top:4355;width:165;height:587">
              <v:imagedata r:id="rId42" o:title=""/>
            </v:shape>
            <v:shape id="_x0000_s2882" style="position:absolute;left:11741;top:5343;width:165;height:536" coordorigin="11741,5343" coordsize="165,536" path="m11741,5343r,535l11906,5872r,-525l11741,5343xe" fillcolor="#f36a2e" stroked="f">
              <v:path arrowok="t"/>
            </v:shape>
            <v:shape id="_x0000_s2881" style="position:absolute;left:11741;top:4925;width:165;height:501" coordorigin="11741,4926" coordsize="165,501" path="m11741,4926r,500l11906,5426r,-485l11741,4926xe" fillcolor="#49783f" stroked="f">
              <v:path arrowok="t"/>
            </v:shape>
            <v:shape id="_x0000_s2880" style="position:absolute;left:11741;top:5781;width:165;height:268" coordorigin="11741,5782" coordsize="165,268" path="m11906,5782r-165,8l11741,6039r165,10l11906,5782xe" fillcolor="#f99f2a" stroked="f">
              <v:path arrowok="t"/>
            </v:shape>
            <v:shape id="_x0000_s2879" style="position:absolute;left:11741;top:6023;width:165;height:707" coordorigin="11741,6023" coordsize="165,707" path="m11741,6023r,706l11906,6729r,-690l11741,6023xe" fillcolor="#ef412c" stroked="f">
              <v:path arrowok="t"/>
            </v:shape>
            <w10:wrap anchorx="page" anchory="page"/>
          </v:group>
        </w:pict>
      </w:r>
    </w:p>
    <w:p w14:paraId="1994BCC6" w14:textId="77777777" w:rsidR="00EF5B27" w:rsidRDefault="00EF5B27">
      <w:pPr>
        <w:pStyle w:val="BodyText"/>
        <w:rPr>
          <w:rFonts w:ascii="Century Gothic"/>
          <w:i/>
        </w:rPr>
      </w:pPr>
    </w:p>
    <w:p w14:paraId="7A1AC387" w14:textId="77777777" w:rsidR="00EF5B27" w:rsidRDefault="00EF5B27">
      <w:pPr>
        <w:pStyle w:val="BodyText"/>
        <w:rPr>
          <w:rFonts w:ascii="Century Gothic"/>
          <w:i/>
        </w:rPr>
      </w:pPr>
    </w:p>
    <w:p w14:paraId="6FCC1CCF" w14:textId="77777777" w:rsidR="00EF5B27" w:rsidRDefault="00EF5B27">
      <w:pPr>
        <w:pStyle w:val="BodyText"/>
        <w:spacing w:before="7"/>
        <w:rPr>
          <w:rFonts w:ascii="Century Gothic"/>
          <w:i/>
          <w:sz w:val="22"/>
        </w:rPr>
      </w:pPr>
    </w:p>
    <w:p w14:paraId="047A1A54" w14:textId="77777777" w:rsidR="00EF5B27" w:rsidRDefault="00000000">
      <w:pPr>
        <w:pStyle w:val="Heading3"/>
        <w:spacing w:before="116"/>
      </w:pPr>
      <w:r>
        <w:rPr>
          <w:color w:val="F99F2A"/>
          <w:w w:val="105"/>
        </w:rPr>
        <w:t>Results</w:t>
      </w:r>
    </w:p>
    <w:p w14:paraId="5B50B5FF" w14:textId="77777777" w:rsidR="00EF5B27" w:rsidRDefault="00000000">
      <w:pPr>
        <w:pStyle w:val="BodyText"/>
        <w:spacing w:before="221" w:line="254" w:lineRule="auto"/>
        <w:ind w:left="2608"/>
      </w:pPr>
      <w:r>
        <w:rPr>
          <w:color w:val="4D4D4F"/>
        </w:rPr>
        <w:t xml:space="preserve">Monitoring commenced in 2022 outside of the audit’s data acquisition period; as such </w:t>
      </w:r>
      <w:r>
        <w:rPr>
          <w:color w:val="4D4D4F"/>
          <w:spacing w:val="-4"/>
        </w:rPr>
        <w:t xml:space="preserve">there </w:t>
      </w:r>
      <w:r>
        <w:rPr>
          <w:color w:val="4D4D4F"/>
          <w:spacing w:val="-3"/>
        </w:rPr>
        <w:t xml:space="preserve">are no </w:t>
      </w:r>
      <w:r>
        <w:rPr>
          <w:color w:val="4D4D4F"/>
          <w:spacing w:val="-5"/>
        </w:rPr>
        <w:t xml:space="preserve">results </w:t>
      </w:r>
      <w:r>
        <w:rPr>
          <w:color w:val="4D4D4F"/>
          <w:spacing w:val="-4"/>
        </w:rPr>
        <w:t xml:space="preserve">to </w:t>
      </w:r>
      <w:r>
        <w:rPr>
          <w:color w:val="4D4D4F"/>
          <w:spacing w:val="-3"/>
        </w:rPr>
        <w:t xml:space="preserve">report at </w:t>
      </w:r>
      <w:r>
        <w:rPr>
          <w:color w:val="4D4D4F"/>
          <w:spacing w:val="-5"/>
        </w:rPr>
        <w:t xml:space="preserve">present. </w:t>
      </w:r>
      <w:r>
        <w:rPr>
          <w:color w:val="4D4D4F"/>
          <w:spacing w:val="-4"/>
        </w:rPr>
        <w:t xml:space="preserve">These </w:t>
      </w:r>
      <w:r>
        <w:rPr>
          <w:color w:val="4D4D4F"/>
          <w:spacing w:val="-5"/>
        </w:rPr>
        <w:t xml:space="preserve">data </w:t>
      </w:r>
      <w:r>
        <w:rPr>
          <w:color w:val="4D4D4F"/>
          <w:spacing w:val="-4"/>
        </w:rPr>
        <w:t xml:space="preserve">sets </w:t>
      </w:r>
      <w:r>
        <w:rPr>
          <w:color w:val="4D4D4F"/>
          <w:spacing w:val="-5"/>
        </w:rPr>
        <w:t xml:space="preserve">will </w:t>
      </w:r>
      <w:r>
        <w:rPr>
          <w:color w:val="4D4D4F"/>
        </w:rPr>
        <w:t xml:space="preserve">be </w:t>
      </w:r>
      <w:r>
        <w:rPr>
          <w:color w:val="4D4D4F"/>
          <w:spacing w:val="-6"/>
        </w:rPr>
        <w:t xml:space="preserve">included </w:t>
      </w:r>
      <w:r>
        <w:rPr>
          <w:color w:val="4D4D4F"/>
          <w:spacing w:val="-4"/>
        </w:rPr>
        <w:t xml:space="preserve">in future </w:t>
      </w:r>
      <w:r>
        <w:rPr>
          <w:color w:val="4D4D4F"/>
          <w:spacing w:val="-3"/>
        </w:rPr>
        <w:t>reports.</w:t>
      </w:r>
    </w:p>
    <w:p w14:paraId="4262DB4B" w14:textId="77777777" w:rsidR="00EF5B27" w:rsidRDefault="00000000">
      <w:pPr>
        <w:pStyle w:val="Heading6"/>
        <w:spacing w:before="116"/>
      </w:pPr>
      <w:r>
        <w:rPr>
          <w:color w:val="4D4D4F"/>
        </w:rPr>
        <w:t>KPI 1: Modelled stochastic patch-occupancy estimate of extinction risk</w:t>
      </w:r>
    </w:p>
    <w:p w14:paraId="6583960C" w14:textId="77777777" w:rsidR="00EF5B27" w:rsidRDefault="00EF5B27">
      <w:pPr>
        <w:pStyle w:val="BodyText"/>
        <w:spacing w:before="2"/>
        <w:rPr>
          <w:b/>
          <w:sz w:val="14"/>
        </w:rPr>
      </w:pPr>
    </w:p>
    <w:tbl>
      <w:tblPr>
        <w:tblW w:w="0" w:type="auto"/>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7801D970" w14:textId="77777777">
        <w:trPr>
          <w:trHeight w:val="561"/>
        </w:trPr>
        <w:tc>
          <w:tcPr>
            <w:tcW w:w="2980" w:type="dxa"/>
            <w:shd w:val="clear" w:color="auto" w:fill="FECC91"/>
          </w:tcPr>
          <w:p w14:paraId="04204758" w14:textId="77777777" w:rsidR="00EF5B27" w:rsidRDefault="00000000">
            <w:pPr>
              <w:pStyle w:val="TableParagraph"/>
              <w:spacing w:before="91" w:line="244" w:lineRule="auto"/>
              <w:ind w:left="80" w:right="244"/>
              <w:rPr>
                <w:b/>
                <w:sz w:val="16"/>
              </w:rPr>
            </w:pPr>
            <w:r>
              <w:rPr>
                <w:b/>
                <w:sz w:val="16"/>
              </w:rPr>
              <w:t>KPI 1: Modelled stochastic patch- occupancy estimate of extinction risk</w:t>
            </w:r>
          </w:p>
        </w:tc>
        <w:tc>
          <w:tcPr>
            <w:tcW w:w="1078" w:type="dxa"/>
            <w:shd w:val="clear" w:color="auto" w:fill="FECC91"/>
          </w:tcPr>
          <w:p w14:paraId="655DAD8B" w14:textId="77777777" w:rsidR="00EF5B27" w:rsidRDefault="00000000">
            <w:pPr>
              <w:pStyle w:val="TableParagraph"/>
              <w:spacing w:before="91" w:line="244" w:lineRule="auto"/>
              <w:ind w:left="169" w:right="164" w:firstLine="148"/>
              <w:rPr>
                <w:b/>
                <w:sz w:val="16"/>
              </w:rPr>
            </w:pPr>
            <w:r>
              <w:rPr>
                <w:b/>
                <w:w w:val="105"/>
                <w:sz w:val="16"/>
              </w:rPr>
              <w:t>Status 2020-2022</w:t>
            </w:r>
          </w:p>
        </w:tc>
        <w:tc>
          <w:tcPr>
            <w:tcW w:w="2155" w:type="dxa"/>
            <w:shd w:val="clear" w:color="auto" w:fill="FECC91"/>
          </w:tcPr>
          <w:p w14:paraId="55D79EA3" w14:textId="77777777" w:rsidR="00EF5B27" w:rsidRDefault="00EF5B27">
            <w:pPr>
              <w:pStyle w:val="TableParagraph"/>
              <w:spacing w:before="7"/>
              <w:rPr>
                <w:b/>
                <w:sz w:val="15"/>
              </w:rPr>
            </w:pPr>
          </w:p>
          <w:p w14:paraId="4BEDB7B1"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79ACF164" w14:textId="77777777" w:rsidR="00EF5B27" w:rsidRDefault="00EF5B27">
            <w:pPr>
              <w:pStyle w:val="TableParagraph"/>
              <w:spacing w:before="7"/>
              <w:rPr>
                <w:b/>
                <w:sz w:val="15"/>
              </w:rPr>
            </w:pPr>
          </w:p>
          <w:p w14:paraId="7AB57F56"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1FE309BE"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63F98F78"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35696A12" w14:textId="77777777">
        <w:trPr>
          <w:trHeight w:val="448"/>
        </w:trPr>
        <w:tc>
          <w:tcPr>
            <w:tcW w:w="2980" w:type="dxa"/>
          </w:tcPr>
          <w:p w14:paraId="79FF9EA3" w14:textId="77777777" w:rsidR="00EF5B27" w:rsidRDefault="00EF5B27">
            <w:pPr>
              <w:pStyle w:val="TableParagraph"/>
              <w:spacing w:before="11"/>
              <w:rPr>
                <w:b/>
                <w:sz w:val="11"/>
              </w:rPr>
            </w:pPr>
          </w:p>
          <w:p w14:paraId="5E75C448" w14:textId="77777777" w:rsidR="00EF5B27" w:rsidRDefault="00000000">
            <w:pPr>
              <w:pStyle w:val="TableParagraph"/>
              <w:ind w:left="80"/>
              <w:rPr>
                <w:sz w:val="14"/>
              </w:rPr>
            </w:pPr>
            <w:r>
              <w:rPr>
                <w:color w:val="4D4D4F"/>
                <w:w w:val="105"/>
                <w:sz w:val="14"/>
              </w:rPr>
              <w:t>All locations</w:t>
            </w:r>
          </w:p>
        </w:tc>
        <w:tc>
          <w:tcPr>
            <w:tcW w:w="1078" w:type="dxa"/>
          </w:tcPr>
          <w:p w14:paraId="66F7DBBD" w14:textId="77777777" w:rsidR="00EF5B27" w:rsidRDefault="00EF5B27">
            <w:pPr>
              <w:pStyle w:val="TableParagraph"/>
              <w:spacing w:before="11"/>
              <w:rPr>
                <w:b/>
                <w:sz w:val="11"/>
              </w:rPr>
            </w:pPr>
          </w:p>
          <w:p w14:paraId="4DB5DCD7" w14:textId="77777777" w:rsidR="00EF5B27" w:rsidRDefault="00000000">
            <w:pPr>
              <w:pStyle w:val="TableParagraph"/>
              <w:ind w:left="142"/>
              <w:rPr>
                <w:sz w:val="14"/>
              </w:rPr>
            </w:pPr>
            <w:r>
              <w:rPr>
                <w:color w:val="4D4D4F"/>
                <w:w w:val="105"/>
                <w:sz w:val="14"/>
              </w:rPr>
              <w:t>Not assessed</w:t>
            </w:r>
          </w:p>
        </w:tc>
        <w:tc>
          <w:tcPr>
            <w:tcW w:w="2155" w:type="dxa"/>
          </w:tcPr>
          <w:p w14:paraId="54E6159F" w14:textId="77777777" w:rsidR="00EF5B27" w:rsidRDefault="00EF5B27">
            <w:pPr>
              <w:pStyle w:val="TableParagraph"/>
              <w:spacing w:before="11"/>
              <w:rPr>
                <w:b/>
                <w:sz w:val="11"/>
              </w:rPr>
            </w:pPr>
          </w:p>
          <w:p w14:paraId="19D855B9" w14:textId="77777777" w:rsidR="00EF5B27" w:rsidRDefault="00000000">
            <w:pPr>
              <w:pStyle w:val="TableParagraph"/>
              <w:ind w:left="143" w:right="142"/>
              <w:jc w:val="center"/>
              <w:rPr>
                <w:sz w:val="14"/>
              </w:rPr>
            </w:pPr>
            <w:r>
              <w:rPr>
                <w:color w:val="4D4D4F"/>
                <w:sz w:val="14"/>
              </w:rPr>
              <w:t>Not monitored in 2020–2022</w:t>
            </w:r>
          </w:p>
        </w:tc>
        <w:tc>
          <w:tcPr>
            <w:tcW w:w="964" w:type="dxa"/>
          </w:tcPr>
          <w:p w14:paraId="1B5D4F55" w14:textId="77777777" w:rsidR="00EF5B27" w:rsidRDefault="00EF5B27">
            <w:pPr>
              <w:pStyle w:val="TableParagraph"/>
              <w:spacing w:before="4"/>
              <w:rPr>
                <w:b/>
                <w:sz w:val="7"/>
              </w:rPr>
            </w:pPr>
          </w:p>
          <w:p w14:paraId="65B94166" w14:textId="77777777" w:rsidR="00EF5B27" w:rsidRDefault="00000000">
            <w:pPr>
              <w:pStyle w:val="TableParagraph"/>
              <w:spacing w:line="187" w:lineRule="exact"/>
              <w:ind w:left="400"/>
              <w:rPr>
                <w:sz w:val="18"/>
              </w:rPr>
            </w:pPr>
            <w:r>
              <w:rPr>
                <w:noProof/>
                <w:position w:val="-3"/>
                <w:sz w:val="18"/>
              </w:rPr>
              <w:drawing>
                <wp:inline distT="0" distB="0" distL="0" distR="0" wp14:anchorId="71788C06" wp14:editId="38A0C920">
                  <wp:extent cx="100572" cy="119062"/>
                  <wp:effectExtent l="0" t="0" r="0" b="0"/>
                  <wp:docPr id="495"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193.png"/>
                          <pic:cNvPicPr/>
                        </pic:nvPicPr>
                        <pic:blipFill>
                          <a:blip r:embed="rId86" cstate="print"/>
                          <a:stretch>
                            <a:fillRect/>
                          </a:stretch>
                        </pic:blipFill>
                        <pic:spPr>
                          <a:xfrm>
                            <a:off x="0" y="0"/>
                            <a:ext cx="100572" cy="119062"/>
                          </a:xfrm>
                          <a:prstGeom prst="rect">
                            <a:avLst/>
                          </a:prstGeom>
                        </pic:spPr>
                      </pic:pic>
                    </a:graphicData>
                  </a:graphic>
                </wp:inline>
              </w:drawing>
            </w:r>
          </w:p>
          <w:p w14:paraId="0F0ED7E0" w14:textId="77777777" w:rsidR="00EF5B27" w:rsidRDefault="00EF5B27">
            <w:pPr>
              <w:pStyle w:val="TableParagraph"/>
              <w:spacing w:before="8"/>
              <w:rPr>
                <w:b/>
                <w:sz w:val="2"/>
              </w:rPr>
            </w:pPr>
          </w:p>
          <w:p w14:paraId="477C5C7B" w14:textId="77777777" w:rsidR="00EF5B27" w:rsidRDefault="00000000">
            <w:pPr>
              <w:pStyle w:val="TableParagraph"/>
              <w:spacing w:line="48" w:lineRule="exact"/>
              <w:ind w:left="448"/>
              <w:rPr>
                <w:sz w:val="4"/>
              </w:rPr>
            </w:pPr>
            <w:r>
              <w:rPr>
                <w:sz w:val="4"/>
              </w:rPr>
            </w:r>
            <w:r>
              <w:rPr>
                <w:sz w:val="4"/>
              </w:rPr>
              <w:pict w14:anchorId="31719FDA">
                <v:group id="_x0000_s2876" style="width:2.45pt;height:2.45pt;mso-position-horizontal-relative:char;mso-position-vertical-relative:line" coordsize="49,49">
                  <v:shape id="_x0000_s2877" style="position:absolute;width:49;height:49" coordsize="49,49" path="m31,l18,,12,2,2,12,,17,,31r2,6l12,46r6,3l31,49r6,-3l46,37r3,-6l49,17,46,12,37,2,31,xe" fillcolor="#808285" stroked="f">
                    <v:path arrowok="t"/>
                  </v:shape>
                  <w10:wrap type="none"/>
                  <w10:anchorlock/>
                </v:group>
              </w:pict>
            </w:r>
          </w:p>
        </w:tc>
        <w:tc>
          <w:tcPr>
            <w:tcW w:w="964" w:type="dxa"/>
          </w:tcPr>
          <w:p w14:paraId="08F4A5B1" w14:textId="77777777" w:rsidR="00EF5B27" w:rsidRDefault="00EF5B27">
            <w:pPr>
              <w:pStyle w:val="TableParagraph"/>
              <w:spacing w:before="11"/>
              <w:rPr>
                <w:b/>
                <w:sz w:val="11"/>
              </w:rPr>
            </w:pPr>
          </w:p>
          <w:p w14:paraId="2C8523F6" w14:textId="77777777" w:rsidR="00EF5B27" w:rsidRDefault="00000000">
            <w:pPr>
              <w:pStyle w:val="TableParagraph"/>
              <w:ind w:left="318" w:right="323"/>
              <w:jc w:val="center"/>
              <w:rPr>
                <w:sz w:val="14"/>
              </w:rPr>
            </w:pPr>
            <w:r>
              <w:rPr>
                <w:color w:val="4D4D4F"/>
                <w:w w:val="105"/>
                <w:sz w:val="14"/>
              </w:rPr>
              <w:t>N/A</w:t>
            </w:r>
          </w:p>
        </w:tc>
        <w:tc>
          <w:tcPr>
            <w:tcW w:w="1489" w:type="dxa"/>
          </w:tcPr>
          <w:p w14:paraId="0AC151BD" w14:textId="77777777" w:rsidR="00EF5B27" w:rsidRDefault="00000000">
            <w:pPr>
              <w:pStyle w:val="TableParagraph"/>
              <w:spacing w:before="134"/>
              <w:ind w:left="457" w:right="457"/>
              <w:jc w:val="center"/>
              <w:rPr>
                <w:sz w:val="16"/>
              </w:rPr>
            </w:pPr>
            <w:r>
              <w:rPr>
                <w:color w:val="4D4D4F"/>
                <w:sz w:val="16"/>
              </w:rPr>
              <w:t>2022</w:t>
            </w:r>
          </w:p>
        </w:tc>
      </w:tr>
    </w:tbl>
    <w:p w14:paraId="28170709" w14:textId="77777777" w:rsidR="00EF5B27" w:rsidRDefault="00EF5B27">
      <w:pPr>
        <w:pStyle w:val="BodyText"/>
        <w:spacing w:before="2"/>
        <w:rPr>
          <w:b/>
          <w:sz w:val="33"/>
        </w:rPr>
      </w:pPr>
    </w:p>
    <w:p w14:paraId="1675BD96" w14:textId="77777777" w:rsidR="00EF5B27" w:rsidRDefault="00000000">
      <w:pPr>
        <w:ind w:left="2608"/>
        <w:rPr>
          <w:b/>
          <w:sz w:val="28"/>
        </w:rPr>
      </w:pPr>
      <w:r>
        <w:rPr>
          <w:b/>
          <w:color w:val="F99F2A"/>
          <w:sz w:val="28"/>
        </w:rPr>
        <w:t>Key insights and management implications</w:t>
      </w:r>
    </w:p>
    <w:p w14:paraId="3DF6EAC0" w14:textId="77777777" w:rsidR="00EF5B27" w:rsidRDefault="00000000">
      <w:pPr>
        <w:pStyle w:val="BodyText"/>
        <w:spacing w:before="221" w:line="254" w:lineRule="auto"/>
        <w:ind w:left="2608" w:right="396"/>
      </w:pPr>
      <w:r>
        <w:rPr>
          <w:color w:val="4D4D4F"/>
        </w:rPr>
        <w:t>The Growling Grass Frog was federally listed largely due to loss of habitat from development.</w:t>
      </w:r>
      <w:r>
        <w:rPr>
          <w:color w:val="4D4D4F"/>
          <w:position w:val="7"/>
          <w:sz w:val="11"/>
        </w:rPr>
        <w:t xml:space="preserve">222 </w:t>
      </w:r>
      <w:r>
        <w:rPr>
          <w:color w:val="4D4D4F"/>
        </w:rPr>
        <w:t xml:space="preserve">Other reasons included widespread historic declines unrelated to urban development, </w:t>
      </w:r>
      <w:r>
        <w:rPr>
          <w:color w:val="4D4D4F"/>
          <w:spacing w:val="-3"/>
        </w:rPr>
        <w:t xml:space="preserve">likely </w:t>
      </w:r>
      <w:r>
        <w:rPr>
          <w:color w:val="4D4D4F"/>
        </w:rPr>
        <w:t>as a consequence of chytrid fungus epidemics.</w:t>
      </w:r>
      <w:r>
        <w:rPr>
          <w:color w:val="4D4D4F"/>
          <w:position w:val="7"/>
          <w:sz w:val="11"/>
        </w:rPr>
        <w:t xml:space="preserve">223 </w:t>
      </w:r>
      <w:r>
        <w:rPr>
          <w:color w:val="4D4D4F"/>
        </w:rPr>
        <w:t>There  has been a focus on retention of habitat along stream drainage lines in MSA zones; developers pay compensation for loss of habitat and these funds are redirected into retention and creation of new habitats along the corridors. DELWP has created a decision tool for working out where best to intervene and determine the allocation of resources in the construction of new</w:t>
      </w:r>
      <w:r>
        <w:rPr>
          <w:color w:val="4D4D4F"/>
          <w:spacing w:val="28"/>
        </w:rPr>
        <w:t xml:space="preserve"> </w:t>
      </w:r>
      <w:r>
        <w:rPr>
          <w:color w:val="4D4D4F"/>
        </w:rPr>
        <w:t>wetlands.</w:t>
      </w:r>
    </w:p>
    <w:p w14:paraId="449897A0" w14:textId="77777777" w:rsidR="00EF5B27" w:rsidRDefault="00000000">
      <w:pPr>
        <w:pStyle w:val="BodyText"/>
        <w:spacing w:before="123" w:line="254" w:lineRule="auto"/>
        <w:ind w:left="2608" w:right="205"/>
      </w:pPr>
      <w:r>
        <w:rPr>
          <w:color w:val="4D4D4F"/>
        </w:rPr>
        <w:t>A long-standing Growling Grass Frog research project around the Merri Creek corridor has been undertaking monitoring for over 20 years. DELWP indicates it is well placed   to keep monitoring and understanding what's happening here over time</w:t>
      </w:r>
      <w:r>
        <w:rPr>
          <w:color w:val="4D4D4F"/>
          <w:position w:val="7"/>
          <w:sz w:val="11"/>
        </w:rPr>
        <w:t xml:space="preserve">224 </w:t>
      </w:r>
      <w:r>
        <w:rPr>
          <w:color w:val="4D4D4F"/>
        </w:rPr>
        <w:t>– which will inform a broader understanding of the species’</w:t>
      </w:r>
      <w:r>
        <w:rPr>
          <w:color w:val="4D4D4F"/>
          <w:spacing w:val="32"/>
        </w:rPr>
        <w:t xml:space="preserve"> </w:t>
      </w:r>
      <w:r>
        <w:rPr>
          <w:color w:val="4D4D4F"/>
        </w:rPr>
        <w:t>responses.</w:t>
      </w:r>
    </w:p>
    <w:p w14:paraId="2CFDA0BB" w14:textId="77777777" w:rsidR="00EF5B27" w:rsidRDefault="00000000">
      <w:pPr>
        <w:pStyle w:val="BodyText"/>
        <w:spacing w:before="118" w:line="254" w:lineRule="auto"/>
        <w:ind w:left="2608" w:right="290"/>
        <w:jc w:val="both"/>
      </w:pPr>
      <w:r>
        <w:rPr>
          <w:color w:val="4D4D4F"/>
        </w:rPr>
        <w:t>To date no new sites have been monitored, so the baseline state of the system is set by data from the Merri Creek catchment. Interim sampling in the MSA wetlands has been occurring. Currently, there is no established baseline for the new wetlands; the first round of monitoring in 2022 will be setting this baseline on a site-by-site basis.</w:t>
      </w:r>
    </w:p>
    <w:p w14:paraId="190BE3FA" w14:textId="77777777" w:rsidR="00EF5B27" w:rsidRDefault="00000000">
      <w:pPr>
        <w:pStyle w:val="BodyText"/>
        <w:spacing w:before="119" w:line="254" w:lineRule="auto"/>
        <w:ind w:left="2608" w:right="219"/>
        <w:rPr>
          <w:sz w:val="11"/>
        </w:rPr>
      </w:pPr>
      <w:r>
        <w:rPr>
          <w:color w:val="4D4D4F"/>
          <w:spacing w:val="-3"/>
        </w:rPr>
        <w:t xml:space="preserve">There </w:t>
      </w:r>
      <w:r>
        <w:rPr>
          <w:color w:val="4D4D4F"/>
          <w:spacing w:val="-5"/>
        </w:rPr>
        <w:t xml:space="preserve">remains </w:t>
      </w:r>
      <w:r>
        <w:rPr>
          <w:color w:val="4D4D4F"/>
        </w:rPr>
        <w:t xml:space="preserve">a </w:t>
      </w:r>
      <w:r>
        <w:rPr>
          <w:color w:val="4D4D4F"/>
          <w:spacing w:val="-3"/>
        </w:rPr>
        <w:t xml:space="preserve">need to </w:t>
      </w:r>
      <w:r>
        <w:rPr>
          <w:color w:val="4D4D4F"/>
          <w:spacing w:val="-5"/>
        </w:rPr>
        <w:t xml:space="preserve">monitor </w:t>
      </w:r>
      <w:r>
        <w:rPr>
          <w:color w:val="4D4D4F"/>
          <w:spacing w:val="-4"/>
        </w:rPr>
        <w:t xml:space="preserve">outcomes for </w:t>
      </w:r>
      <w:r>
        <w:rPr>
          <w:color w:val="4D4D4F"/>
          <w:spacing w:val="-3"/>
        </w:rPr>
        <w:t xml:space="preserve">the </w:t>
      </w:r>
      <w:r>
        <w:rPr>
          <w:color w:val="4D4D4F"/>
          <w:spacing w:val="-4"/>
        </w:rPr>
        <w:t xml:space="preserve">species </w:t>
      </w:r>
      <w:r>
        <w:rPr>
          <w:color w:val="4D4D4F"/>
          <w:spacing w:val="-5"/>
        </w:rPr>
        <w:t xml:space="preserve">against </w:t>
      </w:r>
      <w:r>
        <w:rPr>
          <w:color w:val="4D4D4F"/>
        </w:rPr>
        <w:t xml:space="preserve">a </w:t>
      </w:r>
      <w:r>
        <w:rPr>
          <w:color w:val="4D4D4F"/>
          <w:spacing w:val="-5"/>
        </w:rPr>
        <w:t xml:space="preserve">tangible management </w:t>
      </w:r>
      <w:r>
        <w:rPr>
          <w:color w:val="4D4D4F"/>
        </w:rPr>
        <w:t>goal. Uncertainty exists around the efficacy of current and proposed management,   and previous artificial wetland designs have failed to support the</w:t>
      </w:r>
      <w:r>
        <w:rPr>
          <w:color w:val="4D4D4F"/>
          <w:spacing w:val="10"/>
        </w:rPr>
        <w:t xml:space="preserve"> </w:t>
      </w:r>
      <w:r>
        <w:rPr>
          <w:color w:val="4D4D4F"/>
        </w:rPr>
        <w:t>species.</w:t>
      </w:r>
      <w:r>
        <w:rPr>
          <w:color w:val="4D4D4F"/>
          <w:position w:val="7"/>
          <w:sz w:val="11"/>
        </w:rPr>
        <w:t>225</w:t>
      </w:r>
    </w:p>
    <w:p w14:paraId="7835B094" w14:textId="77777777" w:rsidR="00EF5B27" w:rsidRDefault="00EF5B27">
      <w:pPr>
        <w:pStyle w:val="BodyText"/>
      </w:pPr>
    </w:p>
    <w:p w14:paraId="3EC417E6" w14:textId="77777777" w:rsidR="00EF5B27" w:rsidRDefault="00EF5B27">
      <w:pPr>
        <w:pStyle w:val="BodyText"/>
      </w:pPr>
    </w:p>
    <w:p w14:paraId="03D5AF65" w14:textId="77777777" w:rsidR="00EF5B27" w:rsidRDefault="00EF5B27">
      <w:pPr>
        <w:pStyle w:val="BodyText"/>
      </w:pPr>
    </w:p>
    <w:p w14:paraId="37B66B31" w14:textId="77777777" w:rsidR="00EF5B27" w:rsidRDefault="00EF5B27">
      <w:pPr>
        <w:pStyle w:val="BodyText"/>
      </w:pPr>
    </w:p>
    <w:p w14:paraId="6C3B04CC" w14:textId="77777777" w:rsidR="00EF5B27" w:rsidRDefault="00EF5B27">
      <w:pPr>
        <w:pStyle w:val="BodyText"/>
      </w:pPr>
    </w:p>
    <w:p w14:paraId="2F3409AF" w14:textId="77777777" w:rsidR="00EF5B27" w:rsidRDefault="00EF5B27">
      <w:pPr>
        <w:pStyle w:val="BodyText"/>
      </w:pPr>
    </w:p>
    <w:p w14:paraId="7A6456E9" w14:textId="77777777" w:rsidR="00EF5B27" w:rsidRDefault="00EF5B27">
      <w:pPr>
        <w:pStyle w:val="BodyText"/>
      </w:pPr>
    </w:p>
    <w:p w14:paraId="76672EC3" w14:textId="77777777" w:rsidR="00EF5B27" w:rsidRDefault="00EF5B27">
      <w:pPr>
        <w:pStyle w:val="BodyText"/>
      </w:pPr>
    </w:p>
    <w:p w14:paraId="6F79F46F" w14:textId="77777777" w:rsidR="00EF5B27" w:rsidRDefault="00EF5B27">
      <w:pPr>
        <w:pStyle w:val="BodyText"/>
      </w:pPr>
    </w:p>
    <w:p w14:paraId="34A3416F" w14:textId="77777777" w:rsidR="00EF5B27" w:rsidRDefault="00EF5B27">
      <w:pPr>
        <w:pStyle w:val="BodyText"/>
      </w:pPr>
    </w:p>
    <w:p w14:paraId="76120395" w14:textId="77777777" w:rsidR="00EF5B27" w:rsidRDefault="00EF5B27">
      <w:pPr>
        <w:pStyle w:val="BodyText"/>
      </w:pPr>
    </w:p>
    <w:p w14:paraId="2C20572D" w14:textId="77777777" w:rsidR="00EF5B27" w:rsidRDefault="00EF5B27">
      <w:pPr>
        <w:pStyle w:val="BodyText"/>
      </w:pPr>
    </w:p>
    <w:p w14:paraId="6FBD307D" w14:textId="77777777" w:rsidR="00EF5B27" w:rsidRDefault="00000000">
      <w:pPr>
        <w:pStyle w:val="BodyText"/>
        <w:spacing w:before="10"/>
        <w:rPr>
          <w:sz w:val="18"/>
        </w:rPr>
      </w:pPr>
      <w:r>
        <w:pict w14:anchorId="6F0E33A7">
          <v:line id="_x0000_s2875" style="position:absolute;z-index:251611648;mso-wrap-distance-left:0;mso-wrap-distance-right:0;mso-position-horizontal-relative:page" from="181.4pt,13.75pt" to="538.6pt,13.75pt" strokecolor="#4d4d4f" strokeweight=".5pt">
            <w10:wrap type="topAndBottom" anchorx="page"/>
          </v:line>
        </w:pict>
      </w:r>
    </w:p>
    <w:p w14:paraId="47FA0EC4" w14:textId="77777777" w:rsidR="00EF5B27" w:rsidRDefault="00000000">
      <w:pPr>
        <w:pStyle w:val="ListParagraph"/>
        <w:numPr>
          <w:ilvl w:val="0"/>
          <w:numId w:val="23"/>
        </w:numPr>
        <w:tabs>
          <w:tab w:val="left" w:pos="2836"/>
        </w:tabs>
        <w:spacing w:before="88" w:line="230" w:lineRule="auto"/>
        <w:ind w:right="112"/>
        <w:rPr>
          <w:sz w:val="12"/>
        </w:rPr>
      </w:pPr>
      <w:r>
        <w:rPr>
          <w:color w:val="4D4D4F"/>
          <w:sz w:val="12"/>
        </w:rPr>
        <w:t xml:space="preserve">Department of the Environment </w:t>
      </w:r>
      <w:r>
        <w:rPr>
          <w:color w:val="4D4D4F"/>
          <w:spacing w:val="2"/>
          <w:sz w:val="12"/>
        </w:rPr>
        <w:t xml:space="preserve">2022, </w:t>
      </w:r>
      <w:r>
        <w:rPr>
          <w:color w:val="4D4D4F"/>
          <w:sz w:val="12"/>
        </w:rPr>
        <w:t>‘</w:t>
      </w:r>
      <w:r>
        <w:rPr>
          <w:rFonts w:ascii="Arial Narrow" w:hAnsi="Arial Narrow"/>
          <w:i/>
          <w:color w:val="4D4D4F"/>
          <w:sz w:val="12"/>
        </w:rPr>
        <w:t xml:space="preserve">Litoria raniformis </w:t>
      </w:r>
      <w:r>
        <w:rPr>
          <w:color w:val="4D4D4F"/>
          <w:sz w:val="12"/>
        </w:rPr>
        <w:t xml:space="preserve">in Species Profile and </w:t>
      </w:r>
      <w:r>
        <w:rPr>
          <w:color w:val="4D4D4F"/>
          <w:spacing w:val="2"/>
          <w:sz w:val="12"/>
        </w:rPr>
        <w:t xml:space="preserve">Threats </w:t>
      </w:r>
      <w:r>
        <w:rPr>
          <w:color w:val="4D4D4F"/>
          <w:sz w:val="12"/>
        </w:rPr>
        <w:t xml:space="preserve">Database’, Department  of  the  Environment,  </w:t>
      </w:r>
      <w:r>
        <w:rPr>
          <w:color w:val="4D4D4F"/>
          <w:spacing w:val="2"/>
          <w:sz w:val="12"/>
        </w:rPr>
        <w:t>Canberra,</w:t>
      </w:r>
      <w:r>
        <w:rPr>
          <w:color w:val="F36A2E"/>
          <w:spacing w:val="2"/>
          <w:sz w:val="12"/>
        </w:rPr>
        <w:t xml:space="preserve"> </w:t>
      </w:r>
      <w:hyperlink r:id="rId153">
        <w:r>
          <w:rPr>
            <w:color w:val="F36A2E"/>
            <w:sz w:val="12"/>
            <w:u w:val="single" w:color="F36A2E"/>
          </w:rPr>
          <w:t>https://www.environment.gov.au/spra</w:t>
        </w:r>
        <w:r>
          <w:rPr>
            <w:color w:val="F36A2E"/>
            <w:sz w:val="12"/>
          </w:rPr>
          <w:t xml:space="preserve">t </w:t>
        </w:r>
      </w:hyperlink>
      <w:r>
        <w:rPr>
          <w:color w:val="4D4D4F"/>
          <w:spacing w:val="2"/>
          <w:sz w:val="12"/>
        </w:rPr>
        <w:t xml:space="preserve">Accessed </w:t>
      </w:r>
      <w:r>
        <w:rPr>
          <w:color w:val="4D4D4F"/>
          <w:sz w:val="12"/>
        </w:rPr>
        <w:t>8 September</w:t>
      </w:r>
      <w:r>
        <w:rPr>
          <w:color w:val="4D4D4F"/>
          <w:spacing w:val="11"/>
          <w:sz w:val="12"/>
        </w:rPr>
        <w:t xml:space="preserve"> </w:t>
      </w:r>
      <w:r>
        <w:rPr>
          <w:color w:val="4D4D4F"/>
          <w:sz w:val="12"/>
        </w:rPr>
        <w:t>2021.</w:t>
      </w:r>
    </w:p>
    <w:p w14:paraId="5F1549A5" w14:textId="77777777" w:rsidR="00EF5B27" w:rsidRDefault="00000000">
      <w:pPr>
        <w:pStyle w:val="ListParagraph"/>
        <w:numPr>
          <w:ilvl w:val="0"/>
          <w:numId w:val="23"/>
        </w:numPr>
        <w:tabs>
          <w:tab w:val="left" w:pos="2836"/>
        </w:tabs>
        <w:spacing w:line="138" w:lineRule="exact"/>
        <w:rPr>
          <w:sz w:val="12"/>
        </w:rPr>
      </w:pPr>
      <w:r>
        <w:rPr>
          <w:color w:val="4D4D4F"/>
          <w:sz w:val="12"/>
        </w:rPr>
        <w:t xml:space="preserve">DELWP Officer, internal document, supplied </w:t>
      </w:r>
      <w:r>
        <w:rPr>
          <w:color w:val="4D4D4F"/>
          <w:spacing w:val="-3"/>
          <w:sz w:val="12"/>
        </w:rPr>
        <w:t xml:space="preserve">16 </w:t>
      </w:r>
      <w:r>
        <w:rPr>
          <w:color w:val="4D4D4F"/>
          <w:sz w:val="12"/>
        </w:rPr>
        <w:t>June</w:t>
      </w:r>
      <w:r>
        <w:rPr>
          <w:color w:val="4D4D4F"/>
          <w:spacing w:val="19"/>
          <w:sz w:val="12"/>
        </w:rPr>
        <w:t xml:space="preserve"> </w:t>
      </w:r>
      <w:r>
        <w:rPr>
          <w:color w:val="4D4D4F"/>
          <w:spacing w:val="2"/>
          <w:sz w:val="12"/>
        </w:rPr>
        <w:t>2022.</w:t>
      </w:r>
    </w:p>
    <w:p w14:paraId="4EB733FB" w14:textId="77777777" w:rsidR="00EF5B27" w:rsidRDefault="00000000">
      <w:pPr>
        <w:pStyle w:val="ListParagraph"/>
        <w:numPr>
          <w:ilvl w:val="0"/>
          <w:numId w:val="23"/>
        </w:numPr>
        <w:tabs>
          <w:tab w:val="left" w:pos="2836"/>
        </w:tabs>
        <w:spacing w:line="140" w:lineRule="exact"/>
        <w:rPr>
          <w:sz w:val="12"/>
        </w:rPr>
      </w:pPr>
      <w:r>
        <w:rPr>
          <w:color w:val="4D4D4F"/>
          <w:sz w:val="12"/>
        </w:rPr>
        <w:t>DELWP</w:t>
      </w:r>
      <w:r>
        <w:rPr>
          <w:color w:val="4D4D4F"/>
          <w:spacing w:val="13"/>
          <w:sz w:val="12"/>
        </w:rPr>
        <w:t xml:space="preserve"> </w:t>
      </w:r>
      <w:r>
        <w:rPr>
          <w:color w:val="4D4D4F"/>
          <w:sz w:val="12"/>
        </w:rPr>
        <w:t>Officer,</w:t>
      </w:r>
      <w:r>
        <w:rPr>
          <w:color w:val="4D4D4F"/>
          <w:spacing w:val="13"/>
          <w:sz w:val="12"/>
        </w:rPr>
        <w:t xml:space="preserve"> </w:t>
      </w:r>
      <w:r>
        <w:rPr>
          <w:color w:val="4D4D4F"/>
          <w:sz w:val="12"/>
        </w:rPr>
        <w:t>personal</w:t>
      </w:r>
      <w:r>
        <w:rPr>
          <w:color w:val="4D4D4F"/>
          <w:spacing w:val="13"/>
          <w:sz w:val="12"/>
        </w:rPr>
        <w:t xml:space="preserve"> </w:t>
      </w:r>
      <w:r>
        <w:rPr>
          <w:color w:val="4D4D4F"/>
          <w:sz w:val="12"/>
        </w:rPr>
        <w:t>communication,</w:t>
      </w:r>
      <w:r>
        <w:rPr>
          <w:color w:val="4D4D4F"/>
          <w:spacing w:val="13"/>
          <w:sz w:val="12"/>
        </w:rPr>
        <w:t xml:space="preserve"> </w:t>
      </w:r>
      <w:r>
        <w:rPr>
          <w:color w:val="4D4D4F"/>
          <w:sz w:val="12"/>
        </w:rPr>
        <w:t>29</w:t>
      </w:r>
      <w:r>
        <w:rPr>
          <w:color w:val="4D4D4F"/>
          <w:spacing w:val="13"/>
          <w:sz w:val="12"/>
        </w:rPr>
        <w:t xml:space="preserve"> </w:t>
      </w:r>
      <w:r>
        <w:rPr>
          <w:color w:val="4D4D4F"/>
          <w:sz w:val="12"/>
        </w:rPr>
        <w:t>July</w:t>
      </w:r>
      <w:r>
        <w:rPr>
          <w:color w:val="4D4D4F"/>
          <w:spacing w:val="13"/>
          <w:sz w:val="12"/>
        </w:rPr>
        <w:t xml:space="preserve"> </w:t>
      </w:r>
      <w:r>
        <w:rPr>
          <w:color w:val="4D4D4F"/>
          <w:sz w:val="12"/>
        </w:rPr>
        <w:t>2021.</w:t>
      </w:r>
    </w:p>
    <w:p w14:paraId="6551F361" w14:textId="77777777" w:rsidR="00EF5B27" w:rsidRDefault="00000000">
      <w:pPr>
        <w:pStyle w:val="ListParagraph"/>
        <w:numPr>
          <w:ilvl w:val="0"/>
          <w:numId w:val="23"/>
        </w:numPr>
        <w:tabs>
          <w:tab w:val="left" w:pos="2836"/>
        </w:tabs>
        <w:spacing w:line="143" w:lineRule="exact"/>
        <w:rPr>
          <w:sz w:val="12"/>
        </w:rPr>
      </w:pPr>
      <w:r>
        <w:rPr>
          <w:color w:val="4D4D4F"/>
          <w:sz w:val="12"/>
        </w:rPr>
        <w:t>DELWP</w:t>
      </w:r>
      <w:r>
        <w:rPr>
          <w:color w:val="4D4D4F"/>
          <w:spacing w:val="13"/>
          <w:sz w:val="12"/>
        </w:rPr>
        <w:t xml:space="preserve"> </w:t>
      </w:r>
      <w:r>
        <w:rPr>
          <w:color w:val="4D4D4F"/>
          <w:sz w:val="12"/>
        </w:rPr>
        <w:t>Officer,</w:t>
      </w:r>
      <w:r>
        <w:rPr>
          <w:color w:val="4D4D4F"/>
          <w:spacing w:val="13"/>
          <w:sz w:val="12"/>
        </w:rPr>
        <w:t xml:space="preserve"> </w:t>
      </w:r>
      <w:r>
        <w:rPr>
          <w:color w:val="4D4D4F"/>
          <w:sz w:val="12"/>
        </w:rPr>
        <w:t>personal</w:t>
      </w:r>
      <w:r>
        <w:rPr>
          <w:color w:val="4D4D4F"/>
          <w:spacing w:val="13"/>
          <w:sz w:val="12"/>
        </w:rPr>
        <w:t xml:space="preserve"> </w:t>
      </w:r>
      <w:r>
        <w:rPr>
          <w:color w:val="4D4D4F"/>
          <w:sz w:val="12"/>
        </w:rPr>
        <w:t>communication,</w:t>
      </w:r>
      <w:r>
        <w:rPr>
          <w:color w:val="4D4D4F"/>
          <w:spacing w:val="13"/>
          <w:sz w:val="12"/>
        </w:rPr>
        <w:t xml:space="preserve"> </w:t>
      </w:r>
      <w:r>
        <w:rPr>
          <w:color w:val="4D4D4F"/>
          <w:sz w:val="12"/>
        </w:rPr>
        <w:t>29</w:t>
      </w:r>
      <w:r>
        <w:rPr>
          <w:color w:val="4D4D4F"/>
          <w:spacing w:val="13"/>
          <w:sz w:val="12"/>
        </w:rPr>
        <w:t xml:space="preserve"> </w:t>
      </w:r>
      <w:r>
        <w:rPr>
          <w:color w:val="4D4D4F"/>
          <w:sz w:val="12"/>
        </w:rPr>
        <w:t>July</w:t>
      </w:r>
      <w:r>
        <w:rPr>
          <w:color w:val="4D4D4F"/>
          <w:spacing w:val="13"/>
          <w:sz w:val="12"/>
        </w:rPr>
        <w:t xml:space="preserve"> </w:t>
      </w:r>
      <w:r>
        <w:rPr>
          <w:color w:val="4D4D4F"/>
          <w:sz w:val="12"/>
        </w:rPr>
        <w:t>2021.</w:t>
      </w:r>
    </w:p>
    <w:p w14:paraId="13F2D038"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652AB11C" w14:textId="77777777" w:rsidR="00EF5B27" w:rsidRDefault="00000000">
      <w:pPr>
        <w:pStyle w:val="BodyText"/>
      </w:pPr>
      <w:r>
        <w:lastRenderedPageBreak/>
        <w:pict w14:anchorId="0EE0761F">
          <v:group id="_x0000_s2867" style="position:absolute;margin-left:587.05pt;margin-top:183.4pt;width:8.25pt;height:153.1pt;z-index:251685376;mso-position-horizontal-relative:page;mso-position-vertical-relative:page" coordorigin="11741,3668" coordsize="165,3062">
            <v:shape id="_x0000_s2874" style="position:absolute;left:11741;top:3668;width:165;height:561" coordorigin="11741,3668" coordsize="165,561" path="m11906,3668r-165,l11741,4228r165,-18l11906,3668xe" fillcolor="#00aed9" stroked="f">
              <v:path arrowok="t"/>
            </v:shape>
            <v:shape id="_x0000_s2873" style="position:absolute;left:11741;top:4118;width:165;height:425" coordorigin="11741,4118" coordsize="165,425" path="m11906,4118r-165,14l11741,4531r165,12l11906,4118xe" fillcolor="#047ebc" stroked="f">
              <v:path arrowok="t"/>
            </v:shape>
            <v:shape id="_x0000_s2872" type="#_x0000_t75" style="position:absolute;left:11741;top:4355;width:165;height:587">
              <v:imagedata r:id="rId42" o:title=""/>
            </v:shape>
            <v:shape id="_x0000_s2871" style="position:absolute;left:11741;top:5343;width:165;height:536" coordorigin="11741,5343" coordsize="165,536" path="m11741,5343r,535l11906,5872r,-525l11741,5343xe" fillcolor="#f36a2e" stroked="f">
              <v:path arrowok="t"/>
            </v:shape>
            <v:shape id="_x0000_s2870" style="position:absolute;left:11741;top:4925;width:165;height:501" coordorigin="11741,4926" coordsize="165,501" path="m11741,4926r,500l11906,5426r,-485l11741,4926xe" fillcolor="#49783f" stroked="f">
              <v:path arrowok="t"/>
            </v:shape>
            <v:shape id="_x0000_s2869" style="position:absolute;left:11741;top:5781;width:165;height:268" coordorigin="11741,5782" coordsize="165,268" path="m11906,5782r-165,8l11741,6039r165,10l11906,5782xe" fillcolor="#f99f2a" stroked="f">
              <v:path arrowok="t"/>
            </v:shape>
            <v:shape id="_x0000_s2868" style="position:absolute;left:11741;top:6023;width:165;height:707" coordorigin="11741,6023" coordsize="165,707" path="m11741,6023r,706l11906,6729r,-690l11741,6023xe" fillcolor="#ef412c" stroked="f">
              <v:path arrowok="t"/>
            </v:shape>
            <w10:wrap anchorx="page" anchory="page"/>
          </v:group>
        </w:pict>
      </w:r>
    </w:p>
    <w:p w14:paraId="31D964ED" w14:textId="77777777" w:rsidR="00EF5B27" w:rsidRDefault="00EF5B27">
      <w:pPr>
        <w:pStyle w:val="BodyText"/>
      </w:pPr>
    </w:p>
    <w:p w14:paraId="7C01A532" w14:textId="77777777" w:rsidR="00EF5B27" w:rsidRDefault="00EF5B27">
      <w:pPr>
        <w:pStyle w:val="BodyText"/>
      </w:pPr>
    </w:p>
    <w:p w14:paraId="662B6BD8" w14:textId="77777777" w:rsidR="00EF5B27" w:rsidRDefault="00EF5B27">
      <w:pPr>
        <w:pStyle w:val="BodyText"/>
        <w:spacing w:before="4"/>
        <w:rPr>
          <w:sz w:val="25"/>
        </w:rPr>
      </w:pPr>
    </w:p>
    <w:p w14:paraId="2AD520E6" w14:textId="77777777" w:rsidR="00EF5B27" w:rsidRDefault="00000000">
      <w:pPr>
        <w:pStyle w:val="BodyText"/>
        <w:spacing w:before="100" w:line="254" w:lineRule="auto"/>
        <w:ind w:left="2608"/>
      </w:pPr>
      <w:r>
        <w:rPr>
          <w:color w:val="4D4D4F"/>
        </w:rPr>
        <w:t>Interpretation of the conservation outcomes for the Growling Grass Frog remains a challenge. There are two main things DELWP is using to assist with interpretation:</w:t>
      </w:r>
    </w:p>
    <w:p w14:paraId="4D5BF2D1" w14:textId="77777777" w:rsidR="00EF5B27" w:rsidRDefault="00000000">
      <w:pPr>
        <w:pStyle w:val="ListParagraph"/>
        <w:numPr>
          <w:ilvl w:val="0"/>
          <w:numId w:val="34"/>
        </w:numPr>
        <w:tabs>
          <w:tab w:val="left" w:pos="2779"/>
        </w:tabs>
        <w:spacing w:before="116" w:line="254" w:lineRule="auto"/>
        <w:ind w:right="206"/>
        <w:rPr>
          <w:sz w:val="20"/>
        </w:rPr>
      </w:pPr>
      <w:r>
        <w:rPr>
          <w:b/>
          <w:color w:val="4D4D4F"/>
          <w:spacing w:val="-3"/>
          <w:sz w:val="20"/>
        </w:rPr>
        <w:t xml:space="preserve">PVA </w:t>
      </w:r>
      <w:r>
        <w:rPr>
          <w:b/>
          <w:color w:val="4D4D4F"/>
          <w:sz w:val="20"/>
        </w:rPr>
        <w:t xml:space="preserve">models to estimate frog extinction risks under different urban development scenarios. </w:t>
      </w:r>
      <w:r>
        <w:rPr>
          <w:color w:val="4D4D4F"/>
          <w:sz w:val="20"/>
        </w:rPr>
        <w:t xml:space="preserve">The </w:t>
      </w:r>
      <w:r>
        <w:rPr>
          <w:color w:val="4D4D4F"/>
          <w:spacing w:val="-3"/>
          <w:sz w:val="20"/>
        </w:rPr>
        <w:t xml:space="preserve">PVA </w:t>
      </w:r>
      <w:r>
        <w:rPr>
          <w:color w:val="4D4D4F"/>
          <w:sz w:val="20"/>
        </w:rPr>
        <w:t xml:space="preserve">model was built on long-term stochastic patch occupancy models </w:t>
      </w:r>
      <w:r>
        <w:rPr>
          <w:color w:val="4D4D4F"/>
          <w:spacing w:val="-3"/>
          <w:sz w:val="20"/>
        </w:rPr>
        <w:t xml:space="preserve">(SPOM),  </w:t>
      </w:r>
      <w:r>
        <w:rPr>
          <w:color w:val="4D4D4F"/>
          <w:sz w:val="20"/>
        </w:rPr>
        <w:t xml:space="preserve">based on existing Merri Creek data. This will be an important  plank, and DELWP will continue to build and update those models to enable future planning for the species. DELWP indicates that the models will need a lot of refinement, especially given that the creation of artificial wetlands </w:t>
      </w:r>
      <w:r>
        <w:rPr>
          <w:color w:val="4D4D4F"/>
          <w:spacing w:val="-4"/>
          <w:sz w:val="20"/>
        </w:rPr>
        <w:t xml:space="preserve">(as </w:t>
      </w:r>
      <w:r>
        <w:rPr>
          <w:color w:val="4D4D4F"/>
          <w:sz w:val="20"/>
        </w:rPr>
        <w:t>well as urban development) is fundamentally changing the system through radical</w:t>
      </w:r>
      <w:r>
        <w:rPr>
          <w:color w:val="4D4D4F"/>
          <w:spacing w:val="8"/>
          <w:sz w:val="20"/>
        </w:rPr>
        <w:t xml:space="preserve"> </w:t>
      </w:r>
      <w:r>
        <w:rPr>
          <w:color w:val="4D4D4F"/>
          <w:sz w:val="20"/>
        </w:rPr>
        <w:t>hydrology</w:t>
      </w:r>
    </w:p>
    <w:p w14:paraId="5B7F1EE8" w14:textId="77777777" w:rsidR="00EF5B27" w:rsidRDefault="00000000">
      <w:pPr>
        <w:pStyle w:val="BodyText"/>
        <w:spacing w:before="9" w:line="254" w:lineRule="auto"/>
        <w:ind w:left="2778" w:right="308" w:hanging="1"/>
      </w:pPr>
      <w:r>
        <w:rPr>
          <w:color w:val="4D4D4F"/>
        </w:rPr>
        <w:t>and water quality changes.</w:t>
      </w:r>
      <w:r>
        <w:rPr>
          <w:color w:val="4D4D4F"/>
          <w:position w:val="7"/>
          <w:sz w:val="11"/>
        </w:rPr>
        <w:t xml:space="preserve">226 </w:t>
      </w:r>
      <w:r>
        <w:rPr>
          <w:color w:val="4D4D4F"/>
        </w:rPr>
        <w:t>Ecological processes in an urban metapopulation are different to those in a rural one; the rules and parameters that govern extinction risk in the semi-rural landscape will need to change as landscapes are urbanised. DELWP has some initial ideas for this measure but hasn’t fully quantified this yet. DELWP indicates that direct reporting on outcomes would be superior to reporting on modelled predictions.</w:t>
      </w:r>
      <w:r>
        <w:rPr>
          <w:color w:val="4D4D4F"/>
          <w:position w:val="7"/>
          <w:sz w:val="11"/>
        </w:rPr>
        <w:t xml:space="preserve">227 </w:t>
      </w:r>
      <w:r>
        <w:rPr>
          <w:color w:val="4D4D4F"/>
        </w:rPr>
        <w:t>Most of the data on which the model relies is based on rural or semi-urbanised systems.</w:t>
      </w:r>
    </w:p>
    <w:p w14:paraId="36D18219" w14:textId="77777777" w:rsidR="00EF5B27" w:rsidRDefault="00000000">
      <w:pPr>
        <w:pStyle w:val="ListParagraph"/>
        <w:numPr>
          <w:ilvl w:val="0"/>
          <w:numId w:val="34"/>
        </w:numPr>
        <w:tabs>
          <w:tab w:val="left" w:pos="2779"/>
        </w:tabs>
        <w:spacing w:before="122" w:line="254" w:lineRule="auto"/>
        <w:ind w:right="159"/>
        <w:rPr>
          <w:sz w:val="20"/>
        </w:rPr>
      </w:pPr>
      <w:r>
        <w:rPr>
          <w:b/>
          <w:color w:val="4D4D4F"/>
          <w:sz w:val="20"/>
        </w:rPr>
        <w:t>Measures</w:t>
      </w:r>
      <w:r>
        <w:rPr>
          <w:b/>
          <w:color w:val="4D4D4F"/>
          <w:spacing w:val="-11"/>
          <w:sz w:val="20"/>
        </w:rPr>
        <w:t xml:space="preserve"> </w:t>
      </w:r>
      <w:r>
        <w:rPr>
          <w:b/>
          <w:color w:val="4D4D4F"/>
          <w:sz w:val="20"/>
        </w:rPr>
        <w:t>of</w:t>
      </w:r>
      <w:r>
        <w:rPr>
          <w:b/>
          <w:color w:val="4D4D4F"/>
          <w:spacing w:val="-11"/>
          <w:sz w:val="20"/>
        </w:rPr>
        <w:t xml:space="preserve"> </w:t>
      </w:r>
      <w:r>
        <w:rPr>
          <w:b/>
          <w:color w:val="4D4D4F"/>
          <w:sz w:val="20"/>
        </w:rPr>
        <w:t>wetland</w:t>
      </w:r>
      <w:r>
        <w:rPr>
          <w:b/>
          <w:color w:val="4D4D4F"/>
          <w:spacing w:val="-10"/>
          <w:sz w:val="20"/>
        </w:rPr>
        <w:t xml:space="preserve"> </w:t>
      </w:r>
      <w:r>
        <w:rPr>
          <w:b/>
          <w:color w:val="4D4D4F"/>
          <w:sz w:val="20"/>
        </w:rPr>
        <w:t>occupancy</w:t>
      </w:r>
      <w:r>
        <w:rPr>
          <w:b/>
          <w:color w:val="4D4D4F"/>
          <w:spacing w:val="-11"/>
          <w:sz w:val="20"/>
        </w:rPr>
        <w:t xml:space="preserve"> </w:t>
      </w:r>
      <w:r>
        <w:rPr>
          <w:b/>
          <w:color w:val="4D4D4F"/>
          <w:spacing w:val="-3"/>
          <w:sz w:val="20"/>
        </w:rPr>
        <w:t>i.e.</w:t>
      </w:r>
      <w:r>
        <w:rPr>
          <w:b/>
          <w:color w:val="4D4D4F"/>
          <w:spacing w:val="-11"/>
          <w:sz w:val="20"/>
        </w:rPr>
        <w:t xml:space="preserve"> </w:t>
      </w:r>
      <w:r>
        <w:rPr>
          <w:b/>
          <w:color w:val="4D4D4F"/>
          <w:sz w:val="20"/>
        </w:rPr>
        <w:t>the</w:t>
      </w:r>
      <w:r>
        <w:rPr>
          <w:b/>
          <w:color w:val="4D4D4F"/>
          <w:spacing w:val="-10"/>
          <w:sz w:val="20"/>
        </w:rPr>
        <w:t xml:space="preserve"> </w:t>
      </w:r>
      <w:r>
        <w:rPr>
          <w:b/>
          <w:color w:val="4D4D4F"/>
          <w:sz w:val="20"/>
        </w:rPr>
        <w:t>number</w:t>
      </w:r>
      <w:r>
        <w:rPr>
          <w:b/>
          <w:color w:val="4D4D4F"/>
          <w:spacing w:val="-11"/>
          <w:sz w:val="20"/>
        </w:rPr>
        <w:t xml:space="preserve"> </w:t>
      </w:r>
      <w:r>
        <w:rPr>
          <w:b/>
          <w:color w:val="4D4D4F"/>
          <w:sz w:val="20"/>
        </w:rPr>
        <w:t>of</w:t>
      </w:r>
      <w:r>
        <w:rPr>
          <w:b/>
          <w:color w:val="4D4D4F"/>
          <w:spacing w:val="-11"/>
          <w:sz w:val="20"/>
        </w:rPr>
        <w:t xml:space="preserve"> </w:t>
      </w:r>
      <w:r>
        <w:rPr>
          <w:b/>
          <w:color w:val="4D4D4F"/>
          <w:sz w:val="20"/>
        </w:rPr>
        <w:t>wetlands</w:t>
      </w:r>
      <w:r>
        <w:rPr>
          <w:b/>
          <w:color w:val="4D4D4F"/>
          <w:spacing w:val="-10"/>
          <w:sz w:val="20"/>
        </w:rPr>
        <w:t xml:space="preserve"> </w:t>
      </w:r>
      <w:r>
        <w:rPr>
          <w:b/>
          <w:color w:val="4D4D4F"/>
          <w:sz w:val="20"/>
        </w:rPr>
        <w:t>that</w:t>
      </w:r>
      <w:r>
        <w:rPr>
          <w:b/>
          <w:color w:val="4D4D4F"/>
          <w:spacing w:val="-11"/>
          <w:sz w:val="20"/>
        </w:rPr>
        <w:t xml:space="preserve"> </w:t>
      </w:r>
      <w:r>
        <w:rPr>
          <w:b/>
          <w:color w:val="4D4D4F"/>
          <w:spacing w:val="-3"/>
          <w:sz w:val="20"/>
        </w:rPr>
        <w:t>have</w:t>
      </w:r>
      <w:r>
        <w:rPr>
          <w:b/>
          <w:color w:val="4D4D4F"/>
          <w:spacing w:val="-11"/>
          <w:sz w:val="20"/>
        </w:rPr>
        <w:t xml:space="preserve"> </w:t>
      </w:r>
      <w:r>
        <w:rPr>
          <w:b/>
          <w:color w:val="4D4D4F"/>
          <w:sz w:val="20"/>
        </w:rPr>
        <w:t>frogs</w:t>
      </w:r>
      <w:r>
        <w:rPr>
          <w:b/>
          <w:color w:val="4D4D4F"/>
          <w:spacing w:val="-10"/>
          <w:sz w:val="20"/>
        </w:rPr>
        <w:t xml:space="preserve"> </w:t>
      </w:r>
      <w:r>
        <w:rPr>
          <w:b/>
          <w:color w:val="4D4D4F"/>
          <w:sz w:val="20"/>
        </w:rPr>
        <w:t>in</w:t>
      </w:r>
      <w:r>
        <w:rPr>
          <w:b/>
          <w:color w:val="4D4D4F"/>
          <w:spacing w:val="-11"/>
          <w:sz w:val="20"/>
        </w:rPr>
        <w:t xml:space="preserve"> </w:t>
      </w:r>
      <w:r>
        <w:rPr>
          <w:b/>
          <w:color w:val="4D4D4F"/>
          <w:sz w:val="20"/>
        </w:rPr>
        <w:t xml:space="preserve">them. </w:t>
      </w:r>
      <w:r>
        <w:rPr>
          <w:color w:val="4D4D4F"/>
          <w:sz w:val="20"/>
        </w:rPr>
        <w:t>Reporting on the number of occupied wetlands is the useful and cost-effective approach</w:t>
      </w:r>
      <w:r>
        <w:rPr>
          <w:color w:val="4D4D4F"/>
          <w:spacing w:val="8"/>
          <w:sz w:val="20"/>
        </w:rPr>
        <w:t xml:space="preserve"> </w:t>
      </w:r>
      <w:r>
        <w:rPr>
          <w:color w:val="4D4D4F"/>
          <w:sz w:val="20"/>
        </w:rPr>
        <w:t>to</w:t>
      </w:r>
      <w:r>
        <w:rPr>
          <w:color w:val="4D4D4F"/>
          <w:spacing w:val="9"/>
          <w:sz w:val="20"/>
        </w:rPr>
        <w:t xml:space="preserve"> </w:t>
      </w:r>
      <w:r>
        <w:rPr>
          <w:color w:val="4D4D4F"/>
          <w:sz w:val="20"/>
        </w:rPr>
        <w:t>monitoring</w:t>
      </w:r>
      <w:r>
        <w:rPr>
          <w:color w:val="4D4D4F"/>
          <w:spacing w:val="9"/>
          <w:sz w:val="20"/>
        </w:rPr>
        <w:t xml:space="preserve"> </w:t>
      </w:r>
      <w:r>
        <w:rPr>
          <w:color w:val="4D4D4F"/>
          <w:sz w:val="20"/>
        </w:rPr>
        <w:t>this</w:t>
      </w:r>
      <w:r>
        <w:rPr>
          <w:color w:val="4D4D4F"/>
          <w:spacing w:val="8"/>
          <w:sz w:val="20"/>
        </w:rPr>
        <w:t xml:space="preserve"> </w:t>
      </w:r>
      <w:r>
        <w:rPr>
          <w:color w:val="4D4D4F"/>
          <w:sz w:val="20"/>
        </w:rPr>
        <w:t>species.</w:t>
      </w:r>
      <w:r>
        <w:rPr>
          <w:color w:val="4D4D4F"/>
          <w:position w:val="7"/>
          <w:sz w:val="11"/>
        </w:rPr>
        <w:t>228</w:t>
      </w:r>
      <w:r>
        <w:rPr>
          <w:color w:val="4D4D4F"/>
          <w:spacing w:val="5"/>
          <w:position w:val="7"/>
          <w:sz w:val="11"/>
        </w:rPr>
        <w:t xml:space="preserve"> </w:t>
      </w:r>
      <w:r>
        <w:rPr>
          <w:color w:val="4D4D4F"/>
          <w:sz w:val="20"/>
        </w:rPr>
        <w:t>DELWP</w:t>
      </w:r>
      <w:r>
        <w:rPr>
          <w:color w:val="4D4D4F"/>
          <w:spacing w:val="9"/>
          <w:sz w:val="20"/>
        </w:rPr>
        <w:t xml:space="preserve"> </w:t>
      </w:r>
      <w:r>
        <w:rPr>
          <w:color w:val="4D4D4F"/>
          <w:sz w:val="20"/>
        </w:rPr>
        <w:t>indicates</w:t>
      </w:r>
      <w:r>
        <w:rPr>
          <w:color w:val="4D4D4F"/>
          <w:spacing w:val="8"/>
          <w:sz w:val="20"/>
        </w:rPr>
        <w:t xml:space="preserve"> </w:t>
      </w:r>
      <w:r>
        <w:rPr>
          <w:color w:val="4D4D4F"/>
          <w:sz w:val="20"/>
        </w:rPr>
        <w:t>using</w:t>
      </w:r>
      <w:r>
        <w:rPr>
          <w:color w:val="4D4D4F"/>
          <w:spacing w:val="9"/>
          <w:sz w:val="20"/>
        </w:rPr>
        <w:t xml:space="preserve"> </w:t>
      </w:r>
      <w:r>
        <w:rPr>
          <w:color w:val="4D4D4F"/>
          <w:sz w:val="20"/>
        </w:rPr>
        <w:t>direct</w:t>
      </w:r>
      <w:r>
        <w:rPr>
          <w:color w:val="4D4D4F"/>
          <w:spacing w:val="9"/>
          <w:sz w:val="20"/>
        </w:rPr>
        <w:t xml:space="preserve"> </w:t>
      </w:r>
      <w:r>
        <w:rPr>
          <w:color w:val="4D4D4F"/>
          <w:sz w:val="20"/>
        </w:rPr>
        <w:t>measures</w:t>
      </w:r>
    </w:p>
    <w:p w14:paraId="1E78CE6D" w14:textId="77777777" w:rsidR="00EF5B27" w:rsidRDefault="00000000">
      <w:pPr>
        <w:pStyle w:val="BodyText"/>
        <w:spacing w:before="3" w:line="254" w:lineRule="auto"/>
        <w:ind w:left="2778" w:right="272"/>
        <w:rPr>
          <w:sz w:val="11"/>
        </w:rPr>
      </w:pPr>
      <w:r>
        <w:rPr>
          <w:color w:val="4D4D4F"/>
        </w:rPr>
        <w:t xml:space="preserve">of wetland occupancy to </w:t>
      </w:r>
      <w:r>
        <w:rPr>
          <w:color w:val="4D4D4F"/>
          <w:spacing w:val="2"/>
        </w:rPr>
        <w:t xml:space="preserve">report </w:t>
      </w:r>
      <w:r>
        <w:rPr>
          <w:color w:val="4D4D4F"/>
        </w:rPr>
        <w:t xml:space="preserve">on outcomes would be superior to reporting on </w:t>
      </w:r>
      <w:r>
        <w:rPr>
          <w:color w:val="4D4D4F"/>
          <w:spacing w:val="-3"/>
        </w:rPr>
        <w:t xml:space="preserve">modelled </w:t>
      </w:r>
      <w:r>
        <w:rPr>
          <w:color w:val="4D4D4F"/>
        </w:rPr>
        <w:t>predictions.</w:t>
      </w:r>
      <w:r>
        <w:rPr>
          <w:color w:val="4D4D4F"/>
          <w:position w:val="7"/>
          <w:sz w:val="11"/>
        </w:rPr>
        <w:t xml:space="preserve">229 </w:t>
      </w:r>
      <w:r>
        <w:rPr>
          <w:color w:val="4D4D4F"/>
        </w:rPr>
        <w:t xml:space="preserve">Most of the data on which the model </w:t>
      </w:r>
      <w:r>
        <w:rPr>
          <w:color w:val="4D4D4F"/>
          <w:spacing w:val="-3"/>
        </w:rPr>
        <w:t xml:space="preserve">relies is </w:t>
      </w:r>
      <w:r>
        <w:rPr>
          <w:color w:val="4D4D4F"/>
        </w:rPr>
        <w:t xml:space="preserve">based on rural or semi-urbanised systems. As ecological processes in an urban metapopulation  are different to those in a rural one, the </w:t>
      </w:r>
      <w:r>
        <w:rPr>
          <w:color w:val="4D4D4F"/>
          <w:spacing w:val="-3"/>
        </w:rPr>
        <w:t xml:space="preserve">model’s </w:t>
      </w:r>
      <w:r>
        <w:rPr>
          <w:color w:val="4D4D4F"/>
        </w:rPr>
        <w:t>rules and parameters will need to change as the catchment is urbanised, according to</w:t>
      </w:r>
      <w:r>
        <w:rPr>
          <w:color w:val="4D4D4F"/>
          <w:spacing w:val="38"/>
        </w:rPr>
        <w:t xml:space="preserve"> </w:t>
      </w:r>
      <w:r>
        <w:rPr>
          <w:color w:val="4D4D4F"/>
        </w:rPr>
        <w:t>DELWP.</w:t>
      </w:r>
      <w:r>
        <w:rPr>
          <w:color w:val="4D4D4F"/>
          <w:position w:val="7"/>
          <w:sz w:val="11"/>
        </w:rPr>
        <w:t>230</w:t>
      </w:r>
    </w:p>
    <w:p w14:paraId="1B94012B" w14:textId="77777777" w:rsidR="00EF5B27" w:rsidRDefault="00000000">
      <w:pPr>
        <w:pStyle w:val="BodyText"/>
        <w:spacing w:before="120" w:line="254" w:lineRule="auto"/>
        <w:ind w:left="2608" w:right="169"/>
      </w:pPr>
      <w:r>
        <w:rPr>
          <w:color w:val="4D4D4F"/>
        </w:rPr>
        <w:t>The current KPI doesn’t rely on the actual status of frog populations – it is instead  based on the modelled risk of extinction. There are some  shortcomings  to  this method, because if the model incorrectly determines that risk is low then the outcome is met even if the population is in reality declining/extinct.</w:t>
      </w:r>
      <w:r>
        <w:rPr>
          <w:color w:val="4D4D4F"/>
          <w:position w:val="7"/>
          <w:sz w:val="11"/>
        </w:rPr>
        <w:t xml:space="preserve">231 </w:t>
      </w:r>
      <w:r>
        <w:rPr>
          <w:color w:val="4D4D4F"/>
        </w:rPr>
        <w:t>There is an outstanding need to establish baseline monitoring for new corridors, with DELWP commencing this work in 2022 (outside this report’s data acquisition</w:t>
      </w:r>
      <w:r>
        <w:rPr>
          <w:color w:val="4D4D4F"/>
          <w:spacing w:val="25"/>
        </w:rPr>
        <w:t xml:space="preserve"> </w:t>
      </w:r>
      <w:r>
        <w:rPr>
          <w:color w:val="4D4D4F"/>
        </w:rPr>
        <w:t>period).</w:t>
      </w:r>
    </w:p>
    <w:p w14:paraId="17FD92BC" w14:textId="77777777" w:rsidR="00EF5B27" w:rsidRDefault="00000000">
      <w:pPr>
        <w:pStyle w:val="BodyText"/>
        <w:spacing w:before="120" w:line="254" w:lineRule="auto"/>
        <w:ind w:left="2608" w:right="351"/>
      </w:pPr>
      <w:r>
        <w:rPr>
          <w:color w:val="4D4D4F"/>
        </w:rPr>
        <w:t>Formal monitoring is being undertaken by professional ecologists and supplemented with data collected in citizen science programs and using frog monitoring apps. This extra effort to monitor sites will not only help with data acquisition, but will assist in finding new sites, and may fill in some of the temporal gaps to improve the volume and quality of data. DELWP wishes to direct people's enthusiasm and effort to the MSA area.</w:t>
      </w:r>
      <w:r>
        <w:rPr>
          <w:color w:val="4D4D4F"/>
          <w:position w:val="7"/>
          <w:sz w:val="11"/>
        </w:rPr>
        <w:t xml:space="preserve">232 </w:t>
      </w:r>
      <w:r>
        <w:rPr>
          <w:color w:val="4D4D4F"/>
        </w:rPr>
        <w:t>Uncertainty is reduced through data collection via citizen science – both the master plan and citizen science are funded by MSA partly, but also linked into   the Victorian Nature</w:t>
      </w:r>
      <w:r>
        <w:rPr>
          <w:color w:val="4D4D4F"/>
          <w:spacing w:val="12"/>
        </w:rPr>
        <w:t xml:space="preserve"> </w:t>
      </w:r>
      <w:r>
        <w:rPr>
          <w:color w:val="4D4D4F"/>
        </w:rPr>
        <w:t>Festival.</w:t>
      </w:r>
    </w:p>
    <w:p w14:paraId="75F2EE0A" w14:textId="77777777" w:rsidR="00EF5B27" w:rsidRDefault="00000000">
      <w:pPr>
        <w:pStyle w:val="BodyText"/>
        <w:spacing w:before="123" w:line="254" w:lineRule="auto"/>
        <w:ind w:left="2608"/>
        <w:rPr>
          <w:sz w:val="11"/>
        </w:rPr>
      </w:pPr>
      <w:r>
        <w:rPr>
          <w:color w:val="4D4D4F"/>
        </w:rPr>
        <w:t>Other variables that may be assessed to explain the changes over time include water quality, salinity, temperature and vegetation structure. It is expected that these will change over time as urbanisation occurs.</w:t>
      </w:r>
      <w:r>
        <w:rPr>
          <w:color w:val="4D4D4F"/>
          <w:position w:val="7"/>
          <w:sz w:val="11"/>
        </w:rPr>
        <w:t>233</w:t>
      </w:r>
    </w:p>
    <w:p w14:paraId="03A2FB3C" w14:textId="77777777" w:rsidR="00EF5B27" w:rsidRDefault="00EF5B27">
      <w:pPr>
        <w:pStyle w:val="BodyText"/>
      </w:pPr>
    </w:p>
    <w:p w14:paraId="1E8CDB2E" w14:textId="77777777" w:rsidR="00EF5B27" w:rsidRDefault="00000000">
      <w:pPr>
        <w:pStyle w:val="BodyText"/>
        <w:spacing w:before="6"/>
        <w:rPr>
          <w:sz w:val="14"/>
        </w:rPr>
      </w:pPr>
      <w:r>
        <w:pict w14:anchorId="54203ED4">
          <v:line id="_x0000_s2866" style="position:absolute;z-index:251613696;mso-wrap-distance-left:0;mso-wrap-distance-right:0;mso-position-horizontal-relative:page" from="181.4pt,11.1pt" to="538.6pt,11.1pt" strokecolor="#4d4d4f" strokeweight=".5pt">
            <w10:wrap type="topAndBottom" anchorx="page"/>
          </v:line>
        </w:pict>
      </w:r>
    </w:p>
    <w:p w14:paraId="1CC137E6" w14:textId="77777777" w:rsidR="00EF5B27" w:rsidRDefault="00000000">
      <w:pPr>
        <w:pStyle w:val="ListParagraph"/>
        <w:numPr>
          <w:ilvl w:val="0"/>
          <w:numId w:val="23"/>
        </w:numPr>
        <w:tabs>
          <w:tab w:val="left" w:pos="2836"/>
        </w:tabs>
        <w:spacing w:before="83" w:line="143" w:lineRule="exact"/>
        <w:rPr>
          <w:sz w:val="12"/>
        </w:rPr>
      </w:pPr>
      <w:r>
        <w:rPr>
          <w:color w:val="4D4D4F"/>
          <w:sz w:val="12"/>
        </w:rPr>
        <w:t>DELWP</w:t>
      </w:r>
      <w:r>
        <w:rPr>
          <w:color w:val="4D4D4F"/>
          <w:spacing w:val="13"/>
          <w:sz w:val="12"/>
        </w:rPr>
        <w:t xml:space="preserve"> </w:t>
      </w:r>
      <w:r>
        <w:rPr>
          <w:color w:val="4D4D4F"/>
          <w:sz w:val="12"/>
        </w:rPr>
        <w:t>Officer,</w:t>
      </w:r>
      <w:r>
        <w:rPr>
          <w:color w:val="4D4D4F"/>
          <w:spacing w:val="13"/>
          <w:sz w:val="12"/>
        </w:rPr>
        <w:t xml:space="preserve"> </w:t>
      </w:r>
      <w:r>
        <w:rPr>
          <w:color w:val="4D4D4F"/>
          <w:sz w:val="12"/>
        </w:rPr>
        <w:t>personal</w:t>
      </w:r>
      <w:r>
        <w:rPr>
          <w:color w:val="4D4D4F"/>
          <w:spacing w:val="13"/>
          <w:sz w:val="12"/>
        </w:rPr>
        <w:t xml:space="preserve"> </w:t>
      </w:r>
      <w:r>
        <w:rPr>
          <w:color w:val="4D4D4F"/>
          <w:sz w:val="12"/>
        </w:rPr>
        <w:t>communication,</w:t>
      </w:r>
      <w:r>
        <w:rPr>
          <w:color w:val="4D4D4F"/>
          <w:spacing w:val="13"/>
          <w:sz w:val="12"/>
        </w:rPr>
        <w:t xml:space="preserve"> </w:t>
      </w:r>
      <w:r>
        <w:rPr>
          <w:color w:val="4D4D4F"/>
          <w:sz w:val="12"/>
        </w:rPr>
        <w:t>29</w:t>
      </w:r>
      <w:r>
        <w:rPr>
          <w:color w:val="4D4D4F"/>
          <w:spacing w:val="13"/>
          <w:sz w:val="12"/>
        </w:rPr>
        <w:t xml:space="preserve"> </w:t>
      </w:r>
      <w:r>
        <w:rPr>
          <w:color w:val="4D4D4F"/>
          <w:sz w:val="12"/>
        </w:rPr>
        <w:t>July</w:t>
      </w:r>
      <w:r>
        <w:rPr>
          <w:color w:val="4D4D4F"/>
          <w:spacing w:val="13"/>
          <w:sz w:val="12"/>
        </w:rPr>
        <w:t xml:space="preserve"> </w:t>
      </w:r>
      <w:r>
        <w:rPr>
          <w:color w:val="4D4D4F"/>
          <w:sz w:val="12"/>
        </w:rPr>
        <w:t>2021.</w:t>
      </w:r>
    </w:p>
    <w:p w14:paraId="3B8A3145" w14:textId="77777777" w:rsidR="00EF5B27" w:rsidRDefault="00000000">
      <w:pPr>
        <w:pStyle w:val="ListParagraph"/>
        <w:numPr>
          <w:ilvl w:val="0"/>
          <w:numId w:val="23"/>
        </w:numPr>
        <w:tabs>
          <w:tab w:val="left" w:pos="2836"/>
        </w:tabs>
        <w:spacing w:line="140" w:lineRule="exact"/>
        <w:rPr>
          <w:sz w:val="12"/>
        </w:rPr>
      </w:pPr>
      <w:r>
        <w:rPr>
          <w:color w:val="4D4D4F"/>
          <w:sz w:val="12"/>
        </w:rPr>
        <w:t>DELWP</w:t>
      </w:r>
      <w:r>
        <w:rPr>
          <w:color w:val="4D4D4F"/>
          <w:spacing w:val="13"/>
          <w:sz w:val="12"/>
        </w:rPr>
        <w:t xml:space="preserve"> </w:t>
      </w:r>
      <w:r>
        <w:rPr>
          <w:color w:val="4D4D4F"/>
          <w:sz w:val="12"/>
        </w:rPr>
        <w:t>Officer,</w:t>
      </w:r>
      <w:r>
        <w:rPr>
          <w:color w:val="4D4D4F"/>
          <w:spacing w:val="13"/>
          <w:sz w:val="12"/>
        </w:rPr>
        <w:t xml:space="preserve"> </w:t>
      </w:r>
      <w:r>
        <w:rPr>
          <w:color w:val="4D4D4F"/>
          <w:sz w:val="12"/>
        </w:rPr>
        <w:t>personal</w:t>
      </w:r>
      <w:r>
        <w:rPr>
          <w:color w:val="4D4D4F"/>
          <w:spacing w:val="13"/>
          <w:sz w:val="12"/>
        </w:rPr>
        <w:t xml:space="preserve"> </w:t>
      </w:r>
      <w:r>
        <w:rPr>
          <w:color w:val="4D4D4F"/>
          <w:sz w:val="12"/>
        </w:rPr>
        <w:t>communication,</w:t>
      </w:r>
      <w:r>
        <w:rPr>
          <w:color w:val="4D4D4F"/>
          <w:spacing w:val="13"/>
          <w:sz w:val="12"/>
        </w:rPr>
        <w:t xml:space="preserve"> </w:t>
      </w:r>
      <w:r>
        <w:rPr>
          <w:color w:val="4D4D4F"/>
          <w:sz w:val="12"/>
        </w:rPr>
        <w:t>29</w:t>
      </w:r>
      <w:r>
        <w:rPr>
          <w:color w:val="4D4D4F"/>
          <w:spacing w:val="13"/>
          <w:sz w:val="12"/>
        </w:rPr>
        <w:t xml:space="preserve"> </w:t>
      </w:r>
      <w:r>
        <w:rPr>
          <w:color w:val="4D4D4F"/>
          <w:sz w:val="12"/>
        </w:rPr>
        <w:t>July</w:t>
      </w:r>
      <w:r>
        <w:rPr>
          <w:color w:val="4D4D4F"/>
          <w:spacing w:val="13"/>
          <w:sz w:val="12"/>
        </w:rPr>
        <w:t xml:space="preserve"> </w:t>
      </w:r>
      <w:r>
        <w:rPr>
          <w:color w:val="4D4D4F"/>
          <w:sz w:val="12"/>
        </w:rPr>
        <w:t>2021.</w:t>
      </w:r>
    </w:p>
    <w:p w14:paraId="3F90FF2E" w14:textId="77777777" w:rsidR="00EF5B27" w:rsidRDefault="00000000">
      <w:pPr>
        <w:pStyle w:val="ListParagraph"/>
        <w:numPr>
          <w:ilvl w:val="0"/>
          <w:numId w:val="23"/>
        </w:numPr>
        <w:tabs>
          <w:tab w:val="left" w:pos="2836"/>
        </w:tabs>
        <w:spacing w:line="140" w:lineRule="exact"/>
        <w:rPr>
          <w:sz w:val="12"/>
        </w:rPr>
      </w:pPr>
      <w:r>
        <w:rPr>
          <w:color w:val="4D4D4F"/>
          <w:sz w:val="12"/>
        </w:rPr>
        <w:t>DELWP</w:t>
      </w:r>
      <w:r>
        <w:rPr>
          <w:color w:val="4D4D4F"/>
          <w:spacing w:val="13"/>
          <w:sz w:val="12"/>
        </w:rPr>
        <w:t xml:space="preserve"> </w:t>
      </w:r>
      <w:r>
        <w:rPr>
          <w:color w:val="4D4D4F"/>
          <w:sz w:val="12"/>
        </w:rPr>
        <w:t>Officer,</w:t>
      </w:r>
      <w:r>
        <w:rPr>
          <w:color w:val="4D4D4F"/>
          <w:spacing w:val="13"/>
          <w:sz w:val="12"/>
        </w:rPr>
        <w:t xml:space="preserve"> </w:t>
      </w:r>
      <w:r>
        <w:rPr>
          <w:color w:val="4D4D4F"/>
          <w:sz w:val="12"/>
        </w:rPr>
        <w:t>personal</w:t>
      </w:r>
      <w:r>
        <w:rPr>
          <w:color w:val="4D4D4F"/>
          <w:spacing w:val="13"/>
          <w:sz w:val="12"/>
        </w:rPr>
        <w:t xml:space="preserve"> </w:t>
      </w:r>
      <w:r>
        <w:rPr>
          <w:color w:val="4D4D4F"/>
          <w:sz w:val="12"/>
        </w:rPr>
        <w:t>communication,</w:t>
      </w:r>
      <w:r>
        <w:rPr>
          <w:color w:val="4D4D4F"/>
          <w:spacing w:val="13"/>
          <w:sz w:val="12"/>
        </w:rPr>
        <w:t xml:space="preserve"> </w:t>
      </w:r>
      <w:r>
        <w:rPr>
          <w:color w:val="4D4D4F"/>
          <w:sz w:val="12"/>
        </w:rPr>
        <w:t>29</w:t>
      </w:r>
      <w:r>
        <w:rPr>
          <w:color w:val="4D4D4F"/>
          <w:spacing w:val="13"/>
          <w:sz w:val="12"/>
        </w:rPr>
        <w:t xml:space="preserve"> </w:t>
      </w:r>
      <w:r>
        <w:rPr>
          <w:color w:val="4D4D4F"/>
          <w:sz w:val="12"/>
        </w:rPr>
        <w:t>July</w:t>
      </w:r>
      <w:r>
        <w:rPr>
          <w:color w:val="4D4D4F"/>
          <w:spacing w:val="13"/>
          <w:sz w:val="12"/>
        </w:rPr>
        <w:t xml:space="preserve"> </w:t>
      </w:r>
      <w:r>
        <w:rPr>
          <w:color w:val="4D4D4F"/>
          <w:sz w:val="12"/>
        </w:rPr>
        <w:t>2021.</w:t>
      </w:r>
    </w:p>
    <w:p w14:paraId="389A5CC1" w14:textId="77777777" w:rsidR="00EF5B27" w:rsidRDefault="00000000">
      <w:pPr>
        <w:pStyle w:val="ListParagraph"/>
        <w:numPr>
          <w:ilvl w:val="0"/>
          <w:numId w:val="23"/>
        </w:numPr>
        <w:tabs>
          <w:tab w:val="left" w:pos="2836"/>
        </w:tabs>
        <w:spacing w:line="140" w:lineRule="exac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internal</w:t>
      </w:r>
      <w:r>
        <w:rPr>
          <w:color w:val="4D4D4F"/>
          <w:spacing w:val="10"/>
          <w:sz w:val="12"/>
        </w:rPr>
        <w:t xml:space="preserve"> </w:t>
      </w:r>
      <w:r>
        <w:rPr>
          <w:color w:val="4D4D4F"/>
          <w:sz w:val="12"/>
        </w:rPr>
        <w:t>document,</w:t>
      </w:r>
      <w:r>
        <w:rPr>
          <w:color w:val="4D4D4F"/>
          <w:spacing w:val="10"/>
          <w:sz w:val="12"/>
        </w:rPr>
        <w:t xml:space="preserve"> </w:t>
      </w:r>
      <w:r>
        <w:rPr>
          <w:color w:val="4D4D4F"/>
          <w:sz w:val="12"/>
        </w:rPr>
        <w:t>supplied</w:t>
      </w:r>
      <w:r>
        <w:rPr>
          <w:color w:val="4D4D4F"/>
          <w:spacing w:val="11"/>
          <w:sz w:val="12"/>
        </w:rPr>
        <w:t xml:space="preserve"> </w:t>
      </w:r>
      <w:r>
        <w:rPr>
          <w:color w:val="4D4D4F"/>
          <w:spacing w:val="-3"/>
          <w:sz w:val="12"/>
        </w:rPr>
        <w:t>16</w:t>
      </w:r>
      <w:r>
        <w:rPr>
          <w:color w:val="4D4D4F"/>
          <w:spacing w:val="10"/>
          <w:sz w:val="12"/>
        </w:rPr>
        <w:t xml:space="preserve"> </w:t>
      </w:r>
      <w:r>
        <w:rPr>
          <w:color w:val="4D4D4F"/>
          <w:sz w:val="12"/>
        </w:rPr>
        <w:t>June</w:t>
      </w:r>
      <w:r>
        <w:rPr>
          <w:color w:val="4D4D4F"/>
          <w:spacing w:val="10"/>
          <w:sz w:val="12"/>
        </w:rPr>
        <w:t xml:space="preserve"> </w:t>
      </w:r>
      <w:r>
        <w:rPr>
          <w:color w:val="4D4D4F"/>
          <w:spacing w:val="2"/>
          <w:sz w:val="12"/>
        </w:rPr>
        <w:t>2022.</w:t>
      </w:r>
    </w:p>
    <w:p w14:paraId="14E5382D" w14:textId="77777777" w:rsidR="00EF5B27" w:rsidRDefault="00000000">
      <w:pPr>
        <w:pStyle w:val="ListParagraph"/>
        <w:numPr>
          <w:ilvl w:val="0"/>
          <w:numId w:val="23"/>
        </w:numPr>
        <w:tabs>
          <w:tab w:val="left" w:pos="2836"/>
        </w:tabs>
        <w:spacing w:line="140" w:lineRule="exac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internal</w:t>
      </w:r>
      <w:r>
        <w:rPr>
          <w:color w:val="4D4D4F"/>
          <w:spacing w:val="10"/>
          <w:sz w:val="12"/>
        </w:rPr>
        <w:t xml:space="preserve"> </w:t>
      </w:r>
      <w:r>
        <w:rPr>
          <w:color w:val="4D4D4F"/>
          <w:sz w:val="12"/>
        </w:rPr>
        <w:t>document,</w:t>
      </w:r>
      <w:r>
        <w:rPr>
          <w:color w:val="4D4D4F"/>
          <w:spacing w:val="10"/>
          <w:sz w:val="12"/>
        </w:rPr>
        <w:t xml:space="preserve"> </w:t>
      </w:r>
      <w:r>
        <w:rPr>
          <w:color w:val="4D4D4F"/>
          <w:sz w:val="12"/>
        </w:rPr>
        <w:t>supplied</w:t>
      </w:r>
      <w:r>
        <w:rPr>
          <w:color w:val="4D4D4F"/>
          <w:spacing w:val="11"/>
          <w:sz w:val="12"/>
        </w:rPr>
        <w:t xml:space="preserve"> </w:t>
      </w:r>
      <w:r>
        <w:rPr>
          <w:color w:val="4D4D4F"/>
          <w:spacing w:val="-3"/>
          <w:sz w:val="12"/>
        </w:rPr>
        <w:t>16</w:t>
      </w:r>
      <w:r>
        <w:rPr>
          <w:color w:val="4D4D4F"/>
          <w:spacing w:val="10"/>
          <w:sz w:val="12"/>
        </w:rPr>
        <w:t xml:space="preserve"> </w:t>
      </w:r>
      <w:r>
        <w:rPr>
          <w:color w:val="4D4D4F"/>
          <w:sz w:val="12"/>
        </w:rPr>
        <w:t>June</w:t>
      </w:r>
      <w:r>
        <w:rPr>
          <w:color w:val="4D4D4F"/>
          <w:spacing w:val="10"/>
          <w:sz w:val="12"/>
        </w:rPr>
        <w:t xml:space="preserve"> </w:t>
      </w:r>
      <w:r>
        <w:rPr>
          <w:color w:val="4D4D4F"/>
          <w:spacing w:val="2"/>
          <w:sz w:val="12"/>
        </w:rPr>
        <w:t>2022.</w:t>
      </w:r>
    </w:p>
    <w:p w14:paraId="38A8C494" w14:textId="77777777" w:rsidR="00EF5B27" w:rsidRDefault="00000000">
      <w:pPr>
        <w:pStyle w:val="ListParagraph"/>
        <w:numPr>
          <w:ilvl w:val="0"/>
          <w:numId w:val="23"/>
        </w:numPr>
        <w:tabs>
          <w:tab w:val="left" w:pos="2836"/>
        </w:tabs>
        <w:spacing w:line="140" w:lineRule="exac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internal</w:t>
      </w:r>
      <w:r>
        <w:rPr>
          <w:color w:val="4D4D4F"/>
          <w:spacing w:val="10"/>
          <w:sz w:val="12"/>
        </w:rPr>
        <w:t xml:space="preserve"> </w:t>
      </w:r>
      <w:r>
        <w:rPr>
          <w:color w:val="4D4D4F"/>
          <w:sz w:val="12"/>
        </w:rPr>
        <w:t>document,</w:t>
      </w:r>
      <w:r>
        <w:rPr>
          <w:color w:val="4D4D4F"/>
          <w:spacing w:val="10"/>
          <w:sz w:val="12"/>
        </w:rPr>
        <w:t xml:space="preserve"> </w:t>
      </w:r>
      <w:r>
        <w:rPr>
          <w:color w:val="4D4D4F"/>
          <w:sz w:val="12"/>
        </w:rPr>
        <w:t>supplied</w:t>
      </w:r>
      <w:r>
        <w:rPr>
          <w:color w:val="4D4D4F"/>
          <w:spacing w:val="11"/>
          <w:sz w:val="12"/>
        </w:rPr>
        <w:t xml:space="preserve"> </w:t>
      </w:r>
      <w:r>
        <w:rPr>
          <w:color w:val="4D4D4F"/>
          <w:spacing w:val="-3"/>
          <w:sz w:val="12"/>
        </w:rPr>
        <w:t>16</w:t>
      </w:r>
      <w:r>
        <w:rPr>
          <w:color w:val="4D4D4F"/>
          <w:spacing w:val="10"/>
          <w:sz w:val="12"/>
        </w:rPr>
        <w:t xml:space="preserve"> </w:t>
      </w:r>
      <w:r>
        <w:rPr>
          <w:color w:val="4D4D4F"/>
          <w:sz w:val="12"/>
        </w:rPr>
        <w:t>June</w:t>
      </w:r>
      <w:r>
        <w:rPr>
          <w:color w:val="4D4D4F"/>
          <w:spacing w:val="10"/>
          <w:sz w:val="12"/>
        </w:rPr>
        <w:t xml:space="preserve"> </w:t>
      </w:r>
      <w:r>
        <w:rPr>
          <w:color w:val="4D4D4F"/>
          <w:spacing w:val="2"/>
          <w:sz w:val="12"/>
        </w:rPr>
        <w:t>2022.</w:t>
      </w:r>
    </w:p>
    <w:p w14:paraId="3D8A3E61" w14:textId="77777777" w:rsidR="00EF5B27" w:rsidRDefault="00000000">
      <w:pPr>
        <w:pStyle w:val="ListParagraph"/>
        <w:numPr>
          <w:ilvl w:val="0"/>
          <w:numId w:val="23"/>
        </w:numPr>
        <w:tabs>
          <w:tab w:val="left" w:pos="2836"/>
        </w:tabs>
        <w:spacing w:line="140" w:lineRule="exact"/>
        <w:rPr>
          <w:sz w:val="12"/>
        </w:rPr>
      </w:pPr>
      <w:r>
        <w:rPr>
          <w:color w:val="4D4D4F"/>
          <w:sz w:val="12"/>
        </w:rPr>
        <w:t>DELWP</w:t>
      </w:r>
      <w:r>
        <w:rPr>
          <w:color w:val="4D4D4F"/>
          <w:spacing w:val="13"/>
          <w:sz w:val="12"/>
        </w:rPr>
        <w:t xml:space="preserve"> </w:t>
      </w:r>
      <w:r>
        <w:rPr>
          <w:color w:val="4D4D4F"/>
          <w:sz w:val="12"/>
        </w:rPr>
        <w:t>Officer,</w:t>
      </w:r>
      <w:r>
        <w:rPr>
          <w:color w:val="4D4D4F"/>
          <w:spacing w:val="13"/>
          <w:sz w:val="12"/>
        </w:rPr>
        <w:t xml:space="preserve"> </w:t>
      </w:r>
      <w:r>
        <w:rPr>
          <w:color w:val="4D4D4F"/>
          <w:sz w:val="12"/>
        </w:rPr>
        <w:t>personal</w:t>
      </w:r>
      <w:r>
        <w:rPr>
          <w:color w:val="4D4D4F"/>
          <w:spacing w:val="13"/>
          <w:sz w:val="12"/>
        </w:rPr>
        <w:t xml:space="preserve"> </w:t>
      </w:r>
      <w:r>
        <w:rPr>
          <w:color w:val="4D4D4F"/>
          <w:sz w:val="12"/>
        </w:rPr>
        <w:t>communication,</w:t>
      </w:r>
      <w:r>
        <w:rPr>
          <w:color w:val="4D4D4F"/>
          <w:spacing w:val="13"/>
          <w:sz w:val="12"/>
        </w:rPr>
        <w:t xml:space="preserve"> </w:t>
      </w:r>
      <w:r>
        <w:rPr>
          <w:color w:val="4D4D4F"/>
          <w:sz w:val="12"/>
        </w:rPr>
        <w:t>29</w:t>
      </w:r>
      <w:r>
        <w:rPr>
          <w:color w:val="4D4D4F"/>
          <w:spacing w:val="13"/>
          <w:sz w:val="12"/>
        </w:rPr>
        <w:t xml:space="preserve"> </w:t>
      </w:r>
      <w:r>
        <w:rPr>
          <w:color w:val="4D4D4F"/>
          <w:sz w:val="12"/>
        </w:rPr>
        <w:t>July</w:t>
      </w:r>
      <w:r>
        <w:rPr>
          <w:color w:val="4D4D4F"/>
          <w:spacing w:val="13"/>
          <w:sz w:val="12"/>
        </w:rPr>
        <w:t xml:space="preserve"> </w:t>
      </w:r>
      <w:r>
        <w:rPr>
          <w:color w:val="4D4D4F"/>
          <w:sz w:val="12"/>
        </w:rPr>
        <w:t>2021.</w:t>
      </w:r>
    </w:p>
    <w:p w14:paraId="7B87D631" w14:textId="77777777" w:rsidR="00EF5B27" w:rsidRDefault="00000000">
      <w:pPr>
        <w:pStyle w:val="ListParagraph"/>
        <w:numPr>
          <w:ilvl w:val="0"/>
          <w:numId w:val="23"/>
        </w:numPr>
        <w:tabs>
          <w:tab w:val="left" w:pos="2836"/>
        </w:tabs>
        <w:spacing w:line="143" w:lineRule="exact"/>
        <w:rPr>
          <w:sz w:val="12"/>
        </w:rPr>
      </w:pPr>
      <w:r>
        <w:rPr>
          <w:color w:val="4D4D4F"/>
          <w:sz w:val="12"/>
        </w:rPr>
        <w:t>DELWP</w:t>
      </w:r>
      <w:r>
        <w:rPr>
          <w:color w:val="4D4D4F"/>
          <w:spacing w:val="13"/>
          <w:sz w:val="12"/>
        </w:rPr>
        <w:t xml:space="preserve"> </w:t>
      </w:r>
      <w:r>
        <w:rPr>
          <w:color w:val="4D4D4F"/>
          <w:sz w:val="12"/>
        </w:rPr>
        <w:t>Officer,</w:t>
      </w:r>
      <w:r>
        <w:rPr>
          <w:color w:val="4D4D4F"/>
          <w:spacing w:val="13"/>
          <w:sz w:val="12"/>
        </w:rPr>
        <w:t xml:space="preserve"> </w:t>
      </w:r>
      <w:r>
        <w:rPr>
          <w:color w:val="4D4D4F"/>
          <w:sz w:val="12"/>
        </w:rPr>
        <w:t>personal</w:t>
      </w:r>
      <w:r>
        <w:rPr>
          <w:color w:val="4D4D4F"/>
          <w:spacing w:val="13"/>
          <w:sz w:val="12"/>
        </w:rPr>
        <w:t xml:space="preserve"> </w:t>
      </w:r>
      <w:r>
        <w:rPr>
          <w:color w:val="4D4D4F"/>
          <w:sz w:val="12"/>
        </w:rPr>
        <w:t>communication,</w:t>
      </w:r>
      <w:r>
        <w:rPr>
          <w:color w:val="4D4D4F"/>
          <w:spacing w:val="13"/>
          <w:sz w:val="12"/>
        </w:rPr>
        <w:t xml:space="preserve"> </w:t>
      </w:r>
      <w:r>
        <w:rPr>
          <w:color w:val="4D4D4F"/>
          <w:sz w:val="12"/>
        </w:rPr>
        <w:t>29</w:t>
      </w:r>
      <w:r>
        <w:rPr>
          <w:color w:val="4D4D4F"/>
          <w:spacing w:val="13"/>
          <w:sz w:val="12"/>
        </w:rPr>
        <w:t xml:space="preserve"> </w:t>
      </w:r>
      <w:r>
        <w:rPr>
          <w:color w:val="4D4D4F"/>
          <w:sz w:val="12"/>
        </w:rPr>
        <w:t>July</w:t>
      </w:r>
      <w:r>
        <w:rPr>
          <w:color w:val="4D4D4F"/>
          <w:spacing w:val="13"/>
          <w:sz w:val="12"/>
        </w:rPr>
        <w:t xml:space="preserve"> </w:t>
      </w:r>
      <w:r>
        <w:rPr>
          <w:color w:val="4D4D4F"/>
          <w:sz w:val="12"/>
        </w:rPr>
        <w:t>2021.</w:t>
      </w:r>
    </w:p>
    <w:p w14:paraId="25311688"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673A1547" w14:textId="77777777" w:rsidR="00EF5B27" w:rsidRDefault="00000000">
      <w:pPr>
        <w:pStyle w:val="BodyText"/>
      </w:pPr>
      <w:r>
        <w:lastRenderedPageBreak/>
        <w:pict w14:anchorId="7417345D">
          <v:group id="_x0000_s2858" style="position:absolute;margin-left:587.05pt;margin-top:183.4pt;width:8.25pt;height:153.1pt;z-index:251688448;mso-position-horizontal-relative:page;mso-position-vertical-relative:page" coordorigin="11741,3668" coordsize="165,3062">
            <v:shape id="_x0000_s2865" style="position:absolute;left:11741;top:3668;width:165;height:561" coordorigin="11741,3668" coordsize="165,561" path="m11906,3668r-165,l11741,4228r165,-18l11906,3668xe" fillcolor="#00aed9" stroked="f">
              <v:path arrowok="t"/>
            </v:shape>
            <v:shape id="_x0000_s2864" style="position:absolute;left:11741;top:4118;width:165;height:425" coordorigin="11741,4118" coordsize="165,425" path="m11906,4118r-165,14l11741,4531r165,12l11906,4118xe" fillcolor="#047ebc" stroked="f">
              <v:path arrowok="t"/>
            </v:shape>
            <v:shape id="_x0000_s2863" type="#_x0000_t75" style="position:absolute;left:11741;top:4355;width:165;height:587">
              <v:imagedata r:id="rId42" o:title=""/>
            </v:shape>
            <v:shape id="_x0000_s2862" style="position:absolute;left:11741;top:5343;width:165;height:536" coordorigin="11741,5343" coordsize="165,536" path="m11741,5343r,535l11906,5872r,-525l11741,5343xe" fillcolor="#f36a2e" stroked="f">
              <v:path arrowok="t"/>
            </v:shape>
            <v:shape id="_x0000_s2861" style="position:absolute;left:11741;top:4925;width:165;height:501" coordorigin="11741,4926" coordsize="165,501" path="m11741,4926r,500l11906,5426r,-485l11741,4926xe" fillcolor="#49783f" stroked="f">
              <v:path arrowok="t"/>
            </v:shape>
            <v:shape id="_x0000_s2860" style="position:absolute;left:11741;top:5781;width:165;height:268" coordorigin="11741,5782" coordsize="165,268" path="m11906,5782r-165,8l11741,6039r165,10l11906,5782xe" fillcolor="#f99f2a" stroked="f">
              <v:path arrowok="t"/>
            </v:shape>
            <v:shape id="_x0000_s2859" style="position:absolute;left:11741;top:6023;width:165;height:707" coordorigin="11741,6023" coordsize="165,707" path="m11741,6023r,706l11906,6729r,-690l11741,6023xe" fillcolor="#ef412c" stroked="f">
              <v:path arrowok="t"/>
            </v:shape>
            <w10:wrap anchorx="page" anchory="page"/>
          </v:group>
        </w:pict>
      </w:r>
    </w:p>
    <w:p w14:paraId="3A4F35A3" w14:textId="77777777" w:rsidR="00EF5B27" w:rsidRDefault="00EF5B27">
      <w:pPr>
        <w:pStyle w:val="BodyText"/>
      </w:pPr>
    </w:p>
    <w:p w14:paraId="0BC976D3" w14:textId="77777777" w:rsidR="00EF5B27" w:rsidRDefault="00EF5B27">
      <w:pPr>
        <w:pStyle w:val="BodyText"/>
      </w:pPr>
    </w:p>
    <w:p w14:paraId="4AE03081" w14:textId="77777777" w:rsidR="00EF5B27" w:rsidRDefault="00EF5B27">
      <w:pPr>
        <w:pStyle w:val="BodyText"/>
        <w:spacing w:before="4"/>
        <w:rPr>
          <w:sz w:val="25"/>
        </w:rPr>
      </w:pPr>
    </w:p>
    <w:p w14:paraId="15B19304" w14:textId="77777777" w:rsidR="00EF5B27" w:rsidRDefault="00000000">
      <w:pPr>
        <w:pStyle w:val="BodyText"/>
        <w:spacing w:before="100" w:line="254" w:lineRule="auto"/>
        <w:ind w:left="2608" w:right="189"/>
      </w:pPr>
      <w:r>
        <w:rPr>
          <w:color w:val="4D4D4F"/>
        </w:rPr>
        <w:t xml:space="preserve">Many of the streams within the MSA Growling Grass Frog catchment are strongly seasonal, with the frogs using the artificial areas (non-naturally occurring water   bodies and </w:t>
      </w:r>
      <w:r>
        <w:rPr>
          <w:color w:val="4D4D4F"/>
          <w:spacing w:val="-3"/>
        </w:rPr>
        <w:t xml:space="preserve">dams) </w:t>
      </w:r>
      <w:r>
        <w:rPr>
          <w:color w:val="4D4D4F"/>
        </w:rPr>
        <w:t xml:space="preserve">as breeding sites. Off-stream habitat also exists around the catchments. Flash floods in catchments – which disrupts the ability of frogs to use instream habitat – will disrupt water quality due to run-off from roads and changes    in salinity are expected because of this. </w:t>
      </w:r>
      <w:r>
        <w:rPr>
          <w:color w:val="4D4D4F"/>
          <w:spacing w:val="-7"/>
        </w:rPr>
        <w:t xml:space="preserve">To </w:t>
      </w:r>
      <w:r>
        <w:rPr>
          <w:color w:val="4D4D4F"/>
        </w:rPr>
        <w:t xml:space="preserve">some extent these are fed by groundwater, raising the salinity </w:t>
      </w:r>
      <w:r>
        <w:rPr>
          <w:color w:val="4D4D4F"/>
          <w:spacing w:val="-3"/>
        </w:rPr>
        <w:t xml:space="preserve">slightly  </w:t>
      </w:r>
      <w:r>
        <w:rPr>
          <w:color w:val="4D4D4F"/>
        </w:rPr>
        <w:t xml:space="preserve">– and it is known this is good for reducing chytrid fungus     </w:t>
      </w:r>
      <w:r>
        <w:rPr>
          <w:color w:val="4D4D4F"/>
          <w:spacing w:val="-5"/>
        </w:rPr>
        <w:t>(a</w:t>
      </w:r>
      <w:r>
        <w:rPr>
          <w:color w:val="4D4D4F"/>
          <w:spacing w:val="11"/>
        </w:rPr>
        <w:t xml:space="preserve"> </w:t>
      </w:r>
      <w:r>
        <w:rPr>
          <w:color w:val="4D4D4F"/>
        </w:rPr>
        <w:t>major threat to the species).</w:t>
      </w:r>
      <w:r>
        <w:rPr>
          <w:color w:val="4D4D4F"/>
          <w:position w:val="7"/>
          <w:sz w:val="11"/>
        </w:rPr>
        <w:t xml:space="preserve">234 </w:t>
      </w:r>
      <w:r>
        <w:rPr>
          <w:color w:val="4D4D4F"/>
        </w:rPr>
        <w:t>A recharge of aquifers is expected to go down</w:t>
      </w:r>
    </w:p>
    <w:p w14:paraId="5861C53C" w14:textId="77777777" w:rsidR="00EF5B27" w:rsidRDefault="00000000">
      <w:pPr>
        <w:pStyle w:val="BodyText"/>
        <w:spacing w:before="10"/>
        <w:ind w:left="2608"/>
        <w:rPr>
          <w:sz w:val="11"/>
        </w:rPr>
      </w:pPr>
      <w:r>
        <w:rPr>
          <w:color w:val="4D4D4F"/>
        </w:rPr>
        <w:t>over time, resulting in salinity going down over time, impacting on the</w:t>
      </w:r>
      <w:r>
        <w:rPr>
          <w:color w:val="4D4D4F"/>
          <w:spacing w:val="41"/>
        </w:rPr>
        <w:t xml:space="preserve"> </w:t>
      </w:r>
      <w:r>
        <w:rPr>
          <w:color w:val="4D4D4F"/>
        </w:rPr>
        <w:t>fungus.</w:t>
      </w:r>
      <w:r>
        <w:rPr>
          <w:color w:val="4D4D4F"/>
          <w:position w:val="7"/>
          <w:sz w:val="11"/>
        </w:rPr>
        <w:t>235</w:t>
      </w:r>
    </w:p>
    <w:p w14:paraId="39D88542" w14:textId="77777777" w:rsidR="00EF5B27" w:rsidRDefault="00000000">
      <w:pPr>
        <w:pStyle w:val="BodyText"/>
        <w:spacing w:before="16"/>
        <w:ind w:left="2608"/>
      </w:pPr>
      <w:r>
        <w:rPr>
          <w:color w:val="4D4D4F"/>
        </w:rPr>
        <w:t>Groundwater feed may not be able to be relied on in future. Inputs of</w:t>
      </w:r>
      <w:r>
        <w:rPr>
          <w:color w:val="4D4D4F"/>
          <w:spacing w:val="-13"/>
        </w:rPr>
        <w:t xml:space="preserve"> </w:t>
      </w:r>
      <w:r>
        <w:rPr>
          <w:color w:val="4D4D4F"/>
        </w:rPr>
        <w:t>pollutants</w:t>
      </w:r>
    </w:p>
    <w:p w14:paraId="427D157C" w14:textId="77777777" w:rsidR="00EF5B27" w:rsidRDefault="00000000">
      <w:pPr>
        <w:pStyle w:val="BodyText"/>
        <w:spacing w:before="16" w:line="254" w:lineRule="auto"/>
        <w:ind w:left="2608" w:right="308"/>
        <w:rPr>
          <w:sz w:val="11"/>
        </w:rPr>
      </w:pPr>
      <w:r>
        <w:rPr>
          <w:color w:val="4D4D4F"/>
        </w:rPr>
        <w:t>of various kinds will contribute to declines in habitat quality, as will the introduction of new exotic species, notably predatory fish.</w:t>
      </w:r>
      <w:r>
        <w:rPr>
          <w:color w:val="4D4D4F"/>
          <w:position w:val="7"/>
          <w:sz w:val="11"/>
        </w:rPr>
        <w:t xml:space="preserve">236 </w:t>
      </w:r>
      <w:r>
        <w:rPr>
          <w:color w:val="4D4D4F"/>
        </w:rPr>
        <w:t>Current and past research has identified many of these risks and how to mitigate them in practice</w:t>
      </w:r>
      <w:r>
        <w:rPr>
          <w:color w:val="4D4D4F"/>
          <w:position w:val="7"/>
          <w:sz w:val="11"/>
        </w:rPr>
        <w:t>.237,238</w:t>
      </w:r>
    </w:p>
    <w:p w14:paraId="53AE0E16" w14:textId="77777777" w:rsidR="00EF5B27" w:rsidRDefault="00000000">
      <w:pPr>
        <w:pStyle w:val="BodyText"/>
        <w:spacing w:before="117" w:line="254" w:lineRule="auto"/>
        <w:ind w:left="2608" w:right="257"/>
      </w:pPr>
      <w:r>
        <w:rPr>
          <w:color w:val="4D4D4F"/>
        </w:rPr>
        <w:t>DELWP describes its management approach as effectively trying to design artificial habitats in urban environments to functionally substitute for natural habitats over the long term.</w:t>
      </w:r>
      <w:r>
        <w:rPr>
          <w:color w:val="4D4D4F"/>
          <w:position w:val="7"/>
          <w:sz w:val="11"/>
        </w:rPr>
        <w:t xml:space="preserve">239 </w:t>
      </w:r>
      <w:r>
        <w:rPr>
          <w:color w:val="4D4D4F"/>
        </w:rPr>
        <w:t xml:space="preserve">Pressures of urbanisation are expected to impact Growling Grass Frog  and it is anticipated that these will </w:t>
      </w:r>
      <w:r>
        <w:rPr>
          <w:color w:val="4D4D4F"/>
          <w:spacing w:val="-3"/>
        </w:rPr>
        <w:t xml:space="preserve">likely </w:t>
      </w:r>
      <w:r>
        <w:rPr>
          <w:color w:val="4D4D4F"/>
        </w:rPr>
        <w:t xml:space="preserve">get worse for the species, however experts are unclear to what extent. Some mitigations (applied at both the wetland design and management phases) are in place, but how successful these will be is also currently </w:t>
      </w:r>
      <w:r>
        <w:rPr>
          <w:color w:val="4D4D4F"/>
          <w:spacing w:val="-3"/>
        </w:rPr>
        <w:t xml:space="preserve">unclear. </w:t>
      </w:r>
      <w:r>
        <w:rPr>
          <w:color w:val="4D4D4F"/>
        </w:rPr>
        <w:t>As such, there is uncertainty around what the impacts will be. Efforts should be prioritised to address uncertainty around management and potential threats to   the Growling Grass Frog with increasing urbanisation to pre-emptively address the potential for population</w:t>
      </w:r>
      <w:r>
        <w:rPr>
          <w:color w:val="4D4D4F"/>
          <w:spacing w:val="10"/>
        </w:rPr>
        <w:t xml:space="preserve"> </w:t>
      </w:r>
      <w:r>
        <w:rPr>
          <w:color w:val="4D4D4F"/>
        </w:rPr>
        <w:t>decline.</w:t>
      </w:r>
    </w:p>
    <w:p w14:paraId="575F4C3D" w14:textId="77777777" w:rsidR="00EF5B27" w:rsidRDefault="00000000">
      <w:pPr>
        <w:pStyle w:val="BodyText"/>
        <w:spacing w:before="125" w:line="254" w:lineRule="auto"/>
        <w:ind w:left="2608" w:right="217"/>
      </w:pPr>
      <w:r>
        <w:rPr>
          <w:color w:val="4D4D4F"/>
        </w:rPr>
        <w:t xml:space="preserve">There currently exist no thresholds of impact for Growling Grass Frog occupancy to define success or </w:t>
      </w:r>
      <w:r>
        <w:rPr>
          <w:color w:val="4D4D4F"/>
          <w:spacing w:val="-3"/>
        </w:rPr>
        <w:t xml:space="preserve">failure </w:t>
      </w:r>
      <w:r>
        <w:rPr>
          <w:color w:val="4D4D4F"/>
        </w:rPr>
        <w:t xml:space="preserve">for </w:t>
      </w:r>
      <w:r>
        <w:rPr>
          <w:color w:val="4D4D4F"/>
          <w:spacing w:val="-3"/>
        </w:rPr>
        <w:t xml:space="preserve">this </w:t>
      </w:r>
      <w:r>
        <w:rPr>
          <w:color w:val="4D4D4F"/>
        </w:rPr>
        <w:t xml:space="preserve">species under MSA management. With Growling Grass Frog, there is a view among some experts that indicators are </w:t>
      </w:r>
      <w:r>
        <w:rPr>
          <w:color w:val="4D4D4F"/>
          <w:spacing w:val="-3"/>
        </w:rPr>
        <w:t xml:space="preserve">likely </w:t>
      </w:r>
      <w:r>
        <w:rPr>
          <w:color w:val="4D4D4F"/>
        </w:rPr>
        <w:t>to go down; that   the number of occupied sites will go down even if management interventions are applied. DELWP is wanting to focus on understanding how interventions will impact   on the system but has doubts around whether management options exist</w:t>
      </w:r>
      <w:r>
        <w:rPr>
          <w:color w:val="4D4D4F"/>
          <w:spacing w:val="34"/>
        </w:rPr>
        <w:t xml:space="preserve"> </w:t>
      </w:r>
      <w:r>
        <w:rPr>
          <w:color w:val="4D4D4F"/>
        </w:rPr>
        <w:t>to</w:t>
      </w:r>
    </w:p>
    <w:p w14:paraId="7DFCAFBA" w14:textId="77777777" w:rsidR="00EF5B27" w:rsidRDefault="00000000">
      <w:pPr>
        <w:pStyle w:val="BodyText"/>
        <w:spacing w:before="8" w:line="254" w:lineRule="auto"/>
        <w:ind w:left="2608" w:right="440"/>
      </w:pPr>
      <w:r>
        <w:rPr>
          <w:color w:val="4D4D4F"/>
        </w:rPr>
        <w:t>prevent declines.</w:t>
      </w:r>
      <w:r>
        <w:rPr>
          <w:color w:val="4D4D4F"/>
          <w:position w:val="7"/>
          <w:sz w:val="11"/>
        </w:rPr>
        <w:t xml:space="preserve">240 </w:t>
      </w:r>
      <w:r>
        <w:rPr>
          <w:color w:val="4D4D4F"/>
        </w:rPr>
        <w:t xml:space="preserve">DELWP indicates it is well placed to collect data to inform an understanding of the cause of </w:t>
      </w:r>
      <w:r>
        <w:rPr>
          <w:color w:val="4D4D4F"/>
          <w:spacing w:val="-3"/>
        </w:rPr>
        <w:t xml:space="preserve">likely </w:t>
      </w:r>
      <w:r>
        <w:rPr>
          <w:color w:val="4D4D4F"/>
        </w:rPr>
        <w:t xml:space="preserve">declines – </w:t>
      </w:r>
      <w:r>
        <w:rPr>
          <w:color w:val="4D4D4F"/>
          <w:spacing w:val="-3"/>
        </w:rPr>
        <w:t xml:space="preserve">however, </w:t>
      </w:r>
      <w:r>
        <w:rPr>
          <w:color w:val="4D4D4F"/>
        </w:rPr>
        <w:t>it is more pessimistic about whether it will have the management tools to intervene if declines are realised.</w:t>
      </w:r>
      <w:r>
        <w:rPr>
          <w:color w:val="4D4D4F"/>
          <w:position w:val="7"/>
          <w:sz w:val="11"/>
        </w:rPr>
        <w:t xml:space="preserve">241 </w:t>
      </w:r>
      <w:r>
        <w:rPr>
          <w:color w:val="4D4D4F"/>
        </w:rPr>
        <w:t>Much of these corridors remains in private hands, making it challenging for DELWP to intervene. Further, there are competing land uses in these corridors, therefore limiting DELWP’s capacity to implement broader level catchment</w:t>
      </w:r>
      <w:r>
        <w:rPr>
          <w:color w:val="4D4D4F"/>
          <w:spacing w:val="27"/>
        </w:rPr>
        <w:t xml:space="preserve"> </w:t>
      </w:r>
      <w:r>
        <w:rPr>
          <w:color w:val="4D4D4F"/>
        </w:rPr>
        <w:t>management.</w:t>
      </w:r>
    </w:p>
    <w:p w14:paraId="61EE5E2A" w14:textId="77777777" w:rsidR="00EF5B27" w:rsidRDefault="00EF5B27">
      <w:pPr>
        <w:pStyle w:val="BodyText"/>
      </w:pPr>
    </w:p>
    <w:p w14:paraId="109F6B2B" w14:textId="77777777" w:rsidR="00EF5B27" w:rsidRDefault="00EF5B27">
      <w:pPr>
        <w:pStyle w:val="BodyText"/>
      </w:pPr>
    </w:p>
    <w:p w14:paraId="4EDF1867" w14:textId="77777777" w:rsidR="00EF5B27" w:rsidRDefault="00EF5B27">
      <w:pPr>
        <w:pStyle w:val="BodyText"/>
      </w:pPr>
    </w:p>
    <w:p w14:paraId="5FB801B4" w14:textId="77777777" w:rsidR="00EF5B27" w:rsidRDefault="00EF5B27">
      <w:pPr>
        <w:pStyle w:val="BodyText"/>
      </w:pPr>
    </w:p>
    <w:p w14:paraId="312651E0" w14:textId="77777777" w:rsidR="00EF5B27" w:rsidRDefault="00EF5B27">
      <w:pPr>
        <w:pStyle w:val="BodyText"/>
      </w:pPr>
    </w:p>
    <w:p w14:paraId="261FBF0A" w14:textId="77777777" w:rsidR="00EF5B27" w:rsidRDefault="00EF5B27">
      <w:pPr>
        <w:pStyle w:val="BodyText"/>
      </w:pPr>
    </w:p>
    <w:p w14:paraId="2AF0B31B" w14:textId="77777777" w:rsidR="00EF5B27" w:rsidRDefault="00000000">
      <w:pPr>
        <w:pStyle w:val="BodyText"/>
        <w:spacing w:before="9"/>
        <w:rPr>
          <w:sz w:val="23"/>
        </w:rPr>
      </w:pPr>
      <w:r>
        <w:pict w14:anchorId="3940BC76">
          <v:line id="_x0000_s2857" style="position:absolute;z-index:251614720;mso-wrap-distance-left:0;mso-wrap-distance-right:0;mso-position-horizontal-relative:page" from="181.4pt,16.7pt" to="538.6pt,16.7pt" strokecolor="#4d4d4f" strokeweight=".5pt">
            <w10:wrap type="topAndBottom" anchorx="page"/>
          </v:line>
        </w:pict>
      </w:r>
    </w:p>
    <w:p w14:paraId="6F13EFCB" w14:textId="77777777" w:rsidR="00EF5B27" w:rsidRDefault="00000000">
      <w:pPr>
        <w:pStyle w:val="ListParagraph"/>
        <w:numPr>
          <w:ilvl w:val="0"/>
          <w:numId w:val="23"/>
        </w:numPr>
        <w:tabs>
          <w:tab w:val="left" w:pos="2836"/>
        </w:tabs>
        <w:spacing w:before="88" w:line="230" w:lineRule="auto"/>
        <w:ind w:right="111"/>
        <w:jc w:val="both"/>
        <w:rPr>
          <w:sz w:val="12"/>
        </w:rPr>
      </w:pPr>
      <w:r>
        <w:rPr>
          <w:color w:val="4D4D4F"/>
          <w:sz w:val="12"/>
        </w:rPr>
        <w:t>Lips, Karen &amp; Brem, Forrest &amp; Brenes, Roberto &amp; Reeve, John &amp; Alford, Ross &amp; Voyles, Jamie &amp; Carey, Cynthia &amp; Livo, Lauren &amp; Pessier, Allan &amp; Collins, James, 2006. ‘From The Cover: Emerging infectious disease and the loss of biodiversity in a Neotropical amphibian community.’ Proceedings of the National Academy of Sciences of the United States of America. 103.</w:t>
      </w:r>
      <w:r>
        <w:rPr>
          <w:color w:val="4D4D4F"/>
          <w:spacing w:val="-17"/>
          <w:sz w:val="12"/>
        </w:rPr>
        <w:t xml:space="preserve"> </w:t>
      </w:r>
      <w:r>
        <w:rPr>
          <w:color w:val="4D4D4F"/>
          <w:sz w:val="12"/>
        </w:rPr>
        <w:t>3165-70.</w:t>
      </w:r>
    </w:p>
    <w:p w14:paraId="6AE3288B" w14:textId="77777777" w:rsidR="00EF5B27" w:rsidRDefault="00000000">
      <w:pPr>
        <w:pStyle w:val="ListParagraph"/>
        <w:numPr>
          <w:ilvl w:val="0"/>
          <w:numId w:val="23"/>
        </w:numPr>
        <w:tabs>
          <w:tab w:val="left" w:pos="2836"/>
        </w:tabs>
        <w:spacing w:line="137" w:lineRule="exact"/>
        <w:rPr>
          <w:sz w:val="12"/>
        </w:rPr>
      </w:pPr>
      <w:r>
        <w:rPr>
          <w:color w:val="4D4D4F"/>
          <w:sz w:val="12"/>
        </w:rPr>
        <w:t>DELWP</w:t>
      </w:r>
      <w:r>
        <w:rPr>
          <w:color w:val="4D4D4F"/>
          <w:spacing w:val="13"/>
          <w:sz w:val="12"/>
        </w:rPr>
        <w:t xml:space="preserve"> </w:t>
      </w:r>
      <w:r>
        <w:rPr>
          <w:color w:val="4D4D4F"/>
          <w:sz w:val="12"/>
        </w:rPr>
        <w:t>Officer,</w:t>
      </w:r>
      <w:r>
        <w:rPr>
          <w:color w:val="4D4D4F"/>
          <w:spacing w:val="13"/>
          <w:sz w:val="12"/>
        </w:rPr>
        <w:t xml:space="preserve"> </w:t>
      </w:r>
      <w:r>
        <w:rPr>
          <w:color w:val="4D4D4F"/>
          <w:sz w:val="12"/>
        </w:rPr>
        <w:t>personal</w:t>
      </w:r>
      <w:r>
        <w:rPr>
          <w:color w:val="4D4D4F"/>
          <w:spacing w:val="13"/>
          <w:sz w:val="12"/>
        </w:rPr>
        <w:t xml:space="preserve"> </w:t>
      </w:r>
      <w:r>
        <w:rPr>
          <w:color w:val="4D4D4F"/>
          <w:sz w:val="12"/>
        </w:rPr>
        <w:t>communication,</w:t>
      </w:r>
      <w:r>
        <w:rPr>
          <w:color w:val="4D4D4F"/>
          <w:spacing w:val="13"/>
          <w:sz w:val="12"/>
        </w:rPr>
        <w:t xml:space="preserve"> </w:t>
      </w:r>
      <w:r>
        <w:rPr>
          <w:color w:val="4D4D4F"/>
          <w:sz w:val="12"/>
        </w:rPr>
        <w:t>29</w:t>
      </w:r>
      <w:r>
        <w:rPr>
          <w:color w:val="4D4D4F"/>
          <w:spacing w:val="13"/>
          <w:sz w:val="12"/>
        </w:rPr>
        <w:t xml:space="preserve"> </w:t>
      </w:r>
      <w:r>
        <w:rPr>
          <w:color w:val="4D4D4F"/>
          <w:sz w:val="12"/>
        </w:rPr>
        <w:t>July</w:t>
      </w:r>
      <w:r>
        <w:rPr>
          <w:color w:val="4D4D4F"/>
          <w:spacing w:val="13"/>
          <w:sz w:val="12"/>
        </w:rPr>
        <w:t xml:space="preserve"> </w:t>
      </w:r>
      <w:r>
        <w:rPr>
          <w:color w:val="4D4D4F"/>
          <w:sz w:val="12"/>
        </w:rPr>
        <w:t>2021.</w:t>
      </w:r>
    </w:p>
    <w:p w14:paraId="2797489F" w14:textId="77777777" w:rsidR="00EF5B27" w:rsidRDefault="00000000">
      <w:pPr>
        <w:pStyle w:val="ListParagraph"/>
        <w:numPr>
          <w:ilvl w:val="0"/>
          <w:numId w:val="23"/>
        </w:numPr>
        <w:tabs>
          <w:tab w:val="left" w:pos="2836"/>
        </w:tabs>
        <w:spacing w:line="140" w:lineRule="exact"/>
        <w:rPr>
          <w:sz w:val="12"/>
        </w:rPr>
      </w:pPr>
      <w:r>
        <w:rPr>
          <w:color w:val="4D4D4F"/>
          <w:sz w:val="12"/>
        </w:rPr>
        <w:t>DELWP</w:t>
      </w:r>
      <w:r>
        <w:rPr>
          <w:color w:val="4D4D4F"/>
          <w:spacing w:val="13"/>
          <w:sz w:val="12"/>
        </w:rPr>
        <w:t xml:space="preserve"> </w:t>
      </w:r>
      <w:r>
        <w:rPr>
          <w:color w:val="4D4D4F"/>
          <w:sz w:val="12"/>
        </w:rPr>
        <w:t>Officer,</w:t>
      </w:r>
      <w:r>
        <w:rPr>
          <w:color w:val="4D4D4F"/>
          <w:spacing w:val="13"/>
          <w:sz w:val="12"/>
        </w:rPr>
        <w:t xml:space="preserve"> </w:t>
      </w:r>
      <w:r>
        <w:rPr>
          <w:color w:val="4D4D4F"/>
          <w:sz w:val="12"/>
        </w:rPr>
        <w:t>personal</w:t>
      </w:r>
      <w:r>
        <w:rPr>
          <w:color w:val="4D4D4F"/>
          <w:spacing w:val="13"/>
          <w:sz w:val="12"/>
        </w:rPr>
        <w:t xml:space="preserve"> </w:t>
      </w:r>
      <w:r>
        <w:rPr>
          <w:color w:val="4D4D4F"/>
          <w:sz w:val="12"/>
        </w:rPr>
        <w:t>communication,</w:t>
      </w:r>
      <w:r>
        <w:rPr>
          <w:color w:val="4D4D4F"/>
          <w:spacing w:val="13"/>
          <w:sz w:val="12"/>
        </w:rPr>
        <w:t xml:space="preserve"> </w:t>
      </w:r>
      <w:r>
        <w:rPr>
          <w:color w:val="4D4D4F"/>
          <w:sz w:val="12"/>
        </w:rPr>
        <w:t>29</w:t>
      </w:r>
      <w:r>
        <w:rPr>
          <w:color w:val="4D4D4F"/>
          <w:spacing w:val="13"/>
          <w:sz w:val="12"/>
        </w:rPr>
        <w:t xml:space="preserve"> </w:t>
      </w:r>
      <w:r>
        <w:rPr>
          <w:color w:val="4D4D4F"/>
          <w:sz w:val="12"/>
        </w:rPr>
        <w:t>July</w:t>
      </w:r>
      <w:r>
        <w:rPr>
          <w:color w:val="4D4D4F"/>
          <w:spacing w:val="13"/>
          <w:sz w:val="12"/>
        </w:rPr>
        <w:t xml:space="preserve"> </w:t>
      </w:r>
      <w:r>
        <w:rPr>
          <w:color w:val="4D4D4F"/>
          <w:sz w:val="12"/>
        </w:rPr>
        <w:t>2021.</w:t>
      </w:r>
    </w:p>
    <w:p w14:paraId="71C9B36E" w14:textId="77777777" w:rsidR="00EF5B27" w:rsidRDefault="00000000">
      <w:pPr>
        <w:pStyle w:val="ListParagraph"/>
        <w:numPr>
          <w:ilvl w:val="0"/>
          <w:numId w:val="23"/>
        </w:numPr>
        <w:tabs>
          <w:tab w:val="left" w:pos="2836"/>
        </w:tabs>
        <w:spacing w:before="1" w:line="230" w:lineRule="auto"/>
        <w:ind w:right="111"/>
        <w:rPr>
          <w:sz w:val="12"/>
        </w:rPr>
      </w:pPr>
      <w:r>
        <w:rPr>
          <w:color w:val="4D4D4F"/>
          <w:sz w:val="12"/>
        </w:rPr>
        <w:t xml:space="preserve">Heard GW, </w:t>
      </w:r>
      <w:r>
        <w:rPr>
          <w:color w:val="4D4D4F"/>
          <w:spacing w:val="2"/>
          <w:sz w:val="12"/>
        </w:rPr>
        <w:t xml:space="preserve">Scroggie </w:t>
      </w:r>
      <w:r>
        <w:rPr>
          <w:color w:val="4D4D4F"/>
          <w:spacing w:val="-3"/>
          <w:sz w:val="12"/>
        </w:rPr>
        <w:t xml:space="preserve">MP, </w:t>
      </w:r>
      <w:r>
        <w:rPr>
          <w:color w:val="4D4D4F"/>
          <w:sz w:val="12"/>
        </w:rPr>
        <w:t xml:space="preserve">Clemann N, Ramsey DS, 2014. ‘Wetland </w:t>
      </w:r>
      <w:r>
        <w:rPr>
          <w:color w:val="4D4D4F"/>
          <w:spacing w:val="2"/>
          <w:sz w:val="12"/>
        </w:rPr>
        <w:t xml:space="preserve">characteristics </w:t>
      </w:r>
      <w:r>
        <w:rPr>
          <w:color w:val="4D4D4F"/>
          <w:sz w:val="12"/>
        </w:rPr>
        <w:t>influence disease risk for a threatened amphibian.’ Ecol  Appl;</w:t>
      </w:r>
      <w:r>
        <w:rPr>
          <w:color w:val="4D4D4F"/>
          <w:spacing w:val="1"/>
          <w:sz w:val="12"/>
        </w:rPr>
        <w:t xml:space="preserve"> </w:t>
      </w:r>
      <w:r>
        <w:rPr>
          <w:color w:val="4D4D4F"/>
          <w:sz w:val="12"/>
        </w:rPr>
        <w:t>24(4):650-62.</w:t>
      </w:r>
    </w:p>
    <w:p w14:paraId="61F58197" w14:textId="77777777" w:rsidR="00EF5B27" w:rsidRDefault="00000000">
      <w:pPr>
        <w:pStyle w:val="ListParagraph"/>
        <w:numPr>
          <w:ilvl w:val="0"/>
          <w:numId w:val="23"/>
        </w:numPr>
        <w:tabs>
          <w:tab w:val="left" w:pos="2836"/>
        </w:tabs>
        <w:spacing w:line="230" w:lineRule="auto"/>
        <w:ind w:right="112"/>
        <w:rPr>
          <w:sz w:val="12"/>
        </w:rPr>
      </w:pPr>
      <w:r>
        <w:rPr>
          <w:color w:val="4D4D4F"/>
          <w:sz w:val="12"/>
        </w:rPr>
        <w:t>Heard</w:t>
      </w:r>
      <w:r>
        <w:rPr>
          <w:color w:val="4D4D4F"/>
          <w:spacing w:val="-7"/>
          <w:sz w:val="12"/>
        </w:rPr>
        <w:t xml:space="preserve"> </w:t>
      </w:r>
      <w:r>
        <w:rPr>
          <w:color w:val="4D4D4F"/>
          <w:sz w:val="12"/>
        </w:rPr>
        <w:t>GW,</w:t>
      </w:r>
      <w:r>
        <w:rPr>
          <w:color w:val="4D4D4F"/>
          <w:spacing w:val="-7"/>
          <w:sz w:val="12"/>
        </w:rPr>
        <w:t xml:space="preserve"> </w:t>
      </w:r>
      <w:r>
        <w:rPr>
          <w:color w:val="4D4D4F"/>
          <w:sz w:val="12"/>
        </w:rPr>
        <w:t>Thomas</w:t>
      </w:r>
      <w:r>
        <w:rPr>
          <w:color w:val="4D4D4F"/>
          <w:spacing w:val="-7"/>
          <w:sz w:val="12"/>
        </w:rPr>
        <w:t xml:space="preserve"> </w:t>
      </w:r>
      <w:r>
        <w:rPr>
          <w:color w:val="4D4D4F"/>
          <w:sz w:val="12"/>
        </w:rPr>
        <w:t>CD,</w:t>
      </w:r>
      <w:r>
        <w:rPr>
          <w:color w:val="4D4D4F"/>
          <w:spacing w:val="-8"/>
          <w:sz w:val="12"/>
        </w:rPr>
        <w:t xml:space="preserve"> </w:t>
      </w:r>
      <w:r>
        <w:rPr>
          <w:color w:val="4D4D4F"/>
          <w:sz w:val="12"/>
        </w:rPr>
        <w:t>Hodgson</w:t>
      </w:r>
      <w:r>
        <w:rPr>
          <w:color w:val="4D4D4F"/>
          <w:spacing w:val="-7"/>
          <w:sz w:val="12"/>
        </w:rPr>
        <w:t xml:space="preserve"> </w:t>
      </w:r>
      <w:r>
        <w:rPr>
          <w:color w:val="4D4D4F"/>
          <w:sz w:val="12"/>
        </w:rPr>
        <w:t>JA,</w:t>
      </w:r>
      <w:r>
        <w:rPr>
          <w:color w:val="4D4D4F"/>
          <w:spacing w:val="-7"/>
          <w:sz w:val="12"/>
        </w:rPr>
        <w:t xml:space="preserve"> </w:t>
      </w:r>
      <w:r>
        <w:rPr>
          <w:color w:val="4D4D4F"/>
          <w:sz w:val="12"/>
        </w:rPr>
        <w:t>Scroggie</w:t>
      </w:r>
      <w:r>
        <w:rPr>
          <w:color w:val="4D4D4F"/>
          <w:spacing w:val="-7"/>
          <w:sz w:val="12"/>
        </w:rPr>
        <w:t xml:space="preserve"> </w:t>
      </w:r>
      <w:r>
        <w:rPr>
          <w:color w:val="4D4D4F"/>
          <w:spacing w:val="-4"/>
          <w:sz w:val="12"/>
        </w:rPr>
        <w:t>MP,</w:t>
      </w:r>
      <w:r>
        <w:rPr>
          <w:color w:val="4D4D4F"/>
          <w:spacing w:val="-7"/>
          <w:sz w:val="12"/>
        </w:rPr>
        <w:t xml:space="preserve"> </w:t>
      </w:r>
      <w:r>
        <w:rPr>
          <w:color w:val="4D4D4F"/>
          <w:sz w:val="12"/>
        </w:rPr>
        <w:t>Ramsey</w:t>
      </w:r>
      <w:r>
        <w:rPr>
          <w:color w:val="4D4D4F"/>
          <w:spacing w:val="-7"/>
          <w:sz w:val="12"/>
        </w:rPr>
        <w:t xml:space="preserve"> </w:t>
      </w:r>
      <w:r>
        <w:rPr>
          <w:color w:val="4D4D4F"/>
          <w:sz w:val="12"/>
        </w:rPr>
        <w:t>DSL,</w:t>
      </w:r>
      <w:r>
        <w:rPr>
          <w:color w:val="4D4D4F"/>
          <w:spacing w:val="-7"/>
          <w:sz w:val="12"/>
        </w:rPr>
        <w:t xml:space="preserve"> </w:t>
      </w:r>
      <w:r>
        <w:rPr>
          <w:color w:val="4D4D4F"/>
          <w:sz w:val="12"/>
        </w:rPr>
        <w:t>Clemann</w:t>
      </w:r>
      <w:r>
        <w:rPr>
          <w:color w:val="4D4D4F"/>
          <w:spacing w:val="-7"/>
          <w:sz w:val="12"/>
        </w:rPr>
        <w:t xml:space="preserve"> </w:t>
      </w:r>
      <w:r>
        <w:rPr>
          <w:color w:val="4D4D4F"/>
          <w:sz w:val="12"/>
        </w:rPr>
        <w:t>N,</w:t>
      </w:r>
      <w:r>
        <w:rPr>
          <w:color w:val="4D4D4F"/>
          <w:spacing w:val="-7"/>
          <w:sz w:val="12"/>
        </w:rPr>
        <w:t xml:space="preserve"> </w:t>
      </w:r>
      <w:r>
        <w:rPr>
          <w:color w:val="4D4D4F"/>
          <w:sz w:val="12"/>
        </w:rPr>
        <w:t>2015.</w:t>
      </w:r>
      <w:r>
        <w:rPr>
          <w:color w:val="4D4D4F"/>
          <w:spacing w:val="-7"/>
          <w:sz w:val="12"/>
        </w:rPr>
        <w:t xml:space="preserve"> </w:t>
      </w:r>
      <w:r>
        <w:rPr>
          <w:color w:val="4D4D4F"/>
          <w:sz w:val="12"/>
        </w:rPr>
        <w:t>‘Refugia</w:t>
      </w:r>
      <w:r>
        <w:rPr>
          <w:color w:val="4D4D4F"/>
          <w:spacing w:val="-7"/>
          <w:sz w:val="12"/>
        </w:rPr>
        <w:t xml:space="preserve"> </w:t>
      </w:r>
      <w:r>
        <w:rPr>
          <w:color w:val="4D4D4F"/>
          <w:sz w:val="12"/>
        </w:rPr>
        <w:t>and</w:t>
      </w:r>
      <w:r>
        <w:rPr>
          <w:color w:val="4D4D4F"/>
          <w:spacing w:val="-7"/>
          <w:sz w:val="12"/>
        </w:rPr>
        <w:t xml:space="preserve"> </w:t>
      </w:r>
      <w:r>
        <w:rPr>
          <w:color w:val="4D4D4F"/>
          <w:sz w:val="12"/>
        </w:rPr>
        <w:t>connectivity</w:t>
      </w:r>
      <w:r>
        <w:rPr>
          <w:color w:val="4D4D4F"/>
          <w:spacing w:val="-7"/>
          <w:sz w:val="12"/>
        </w:rPr>
        <w:t xml:space="preserve"> </w:t>
      </w:r>
      <w:r>
        <w:rPr>
          <w:color w:val="4D4D4F"/>
          <w:sz w:val="12"/>
        </w:rPr>
        <w:t>sustain</w:t>
      </w:r>
      <w:r>
        <w:rPr>
          <w:color w:val="4D4D4F"/>
          <w:spacing w:val="-7"/>
          <w:sz w:val="12"/>
        </w:rPr>
        <w:t xml:space="preserve"> </w:t>
      </w:r>
      <w:r>
        <w:rPr>
          <w:color w:val="4D4D4F"/>
          <w:sz w:val="12"/>
        </w:rPr>
        <w:t>amphibian</w:t>
      </w:r>
      <w:r>
        <w:rPr>
          <w:color w:val="4D4D4F"/>
          <w:spacing w:val="-7"/>
          <w:sz w:val="12"/>
        </w:rPr>
        <w:t xml:space="preserve"> </w:t>
      </w:r>
      <w:r>
        <w:rPr>
          <w:color w:val="4D4D4F"/>
          <w:sz w:val="12"/>
        </w:rPr>
        <w:t xml:space="preserve">metapopulations afflicted by disease.’ Ecology Letters; </w:t>
      </w:r>
      <w:r>
        <w:rPr>
          <w:color w:val="4D4D4F"/>
          <w:spacing w:val="-3"/>
          <w:sz w:val="12"/>
        </w:rPr>
        <w:t>18(8):</w:t>
      </w:r>
      <w:r>
        <w:rPr>
          <w:color w:val="4D4D4F"/>
          <w:spacing w:val="-13"/>
          <w:sz w:val="12"/>
        </w:rPr>
        <w:t xml:space="preserve"> </w:t>
      </w:r>
      <w:r>
        <w:rPr>
          <w:color w:val="4D4D4F"/>
          <w:sz w:val="12"/>
        </w:rPr>
        <w:t>853-863.</w:t>
      </w:r>
    </w:p>
    <w:p w14:paraId="227956CC" w14:textId="77777777" w:rsidR="00EF5B27" w:rsidRDefault="00000000">
      <w:pPr>
        <w:pStyle w:val="ListParagraph"/>
        <w:numPr>
          <w:ilvl w:val="0"/>
          <w:numId w:val="23"/>
        </w:numPr>
        <w:tabs>
          <w:tab w:val="left" w:pos="2836"/>
        </w:tabs>
        <w:spacing w:line="138" w:lineRule="exact"/>
        <w:rPr>
          <w:sz w:val="12"/>
        </w:rPr>
      </w:pPr>
      <w:r>
        <w:rPr>
          <w:color w:val="4D4D4F"/>
          <w:sz w:val="12"/>
        </w:rPr>
        <w:t>DELWP</w:t>
      </w:r>
      <w:r>
        <w:rPr>
          <w:color w:val="4D4D4F"/>
          <w:spacing w:val="13"/>
          <w:sz w:val="12"/>
        </w:rPr>
        <w:t xml:space="preserve"> </w:t>
      </w:r>
      <w:r>
        <w:rPr>
          <w:color w:val="4D4D4F"/>
          <w:sz w:val="12"/>
        </w:rPr>
        <w:t>Officer,</w:t>
      </w:r>
      <w:r>
        <w:rPr>
          <w:color w:val="4D4D4F"/>
          <w:spacing w:val="13"/>
          <w:sz w:val="12"/>
        </w:rPr>
        <w:t xml:space="preserve"> </w:t>
      </w:r>
      <w:r>
        <w:rPr>
          <w:color w:val="4D4D4F"/>
          <w:sz w:val="12"/>
        </w:rPr>
        <w:t>personal</w:t>
      </w:r>
      <w:r>
        <w:rPr>
          <w:color w:val="4D4D4F"/>
          <w:spacing w:val="13"/>
          <w:sz w:val="12"/>
        </w:rPr>
        <w:t xml:space="preserve"> </w:t>
      </w:r>
      <w:r>
        <w:rPr>
          <w:color w:val="4D4D4F"/>
          <w:sz w:val="12"/>
        </w:rPr>
        <w:t>communication,</w:t>
      </w:r>
      <w:r>
        <w:rPr>
          <w:color w:val="4D4D4F"/>
          <w:spacing w:val="13"/>
          <w:sz w:val="12"/>
        </w:rPr>
        <w:t xml:space="preserve"> </w:t>
      </w:r>
      <w:r>
        <w:rPr>
          <w:color w:val="4D4D4F"/>
          <w:sz w:val="12"/>
        </w:rPr>
        <w:t>29</w:t>
      </w:r>
      <w:r>
        <w:rPr>
          <w:color w:val="4D4D4F"/>
          <w:spacing w:val="13"/>
          <w:sz w:val="12"/>
        </w:rPr>
        <w:t xml:space="preserve"> </w:t>
      </w:r>
      <w:r>
        <w:rPr>
          <w:color w:val="4D4D4F"/>
          <w:sz w:val="12"/>
        </w:rPr>
        <w:t>July</w:t>
      </w:r>
      <w:r>
        <w:rPr>
          <w:color w:val="4D4D4F"/>
          <w:spacing w:val="13"/>
          <w:sz w:val="12"/>
        </w:rPr>
        <w:t xml:space="preserve"> </w:t>
      </w:r>
      <w:r>
        <w:rPr>
          <w:color w:val="4D4D4F"/>
          <w:sz w:val="12"/>
        </w:rPr>
        <w:t>2021.</w:t>
      </w:r>
    </w:p>
    <w:p w14:paraId="24039AE4" w14:textId="77777777" w:rsidR="00EF5B27" w:rsidRDefault="00000000">
      <w:pPr>
        <w:pStyle w:val="ListParagraph"/>
        <w:numPr>
          <w:ilvl w:val="0"/>
          <w:numId w:val="23"/>
        </w:numPr>
        <w:tabs>
          <w:tab w:val="left" w:pos="2836"/>
        </w:tabs>
        <w:spacing w:line="140" w:lineRule="exact"/>
        <w:rPr>
          <w:sz w:val="12"/>
        </w:rPr>
      </w:pPr>
      <w:r>
        <w:rPr>
          <w:color w:val="4D4D4F"/>
          <w:sz w:val="12"/>
        </w:rPr>
        <w:t>DELWP</w:t>
      </w:r>
      <w:r>
        <w:rPr>
          <w:color w:val="4D4D4F"/>
          <w:spacing w:val="13"/>
          <w:sz w:val="12"/>
        </w:rPr>
        <w:t xml:space="preserve"> </w:t>
      </w:r>
      <w:r>
        <w:rPr>
          <w:color w:val="4D4D4F"/>
          <w:sz w:val="12"/>
        </w:rPr>
        <w:t>Officer,</w:t>
      </w:r>
      <w:r>
        <w:rPr>
          <w:color w:val="4D4D4F"/>
          <w:spacing w:val="13"/>
          <w:sz w:val="12"/>
        </w:rPr>
        <w:t xml:space="preserve"> </w:t>
      </w:r>
      <w:r>
        <w:rPr>
          <w:color w:val="4D4D4F"/>
          <w:sz w:val="12"/>
        </w:rPr>
        <w:t>personal</w:t>
      </w:r>
      <w:r>
        <w:rPr>
          <w:color w:val="4D4D4F"/>
          <w:spacing w:val="13"/>
          <w:sz w:val="12"/>
        </w:rPr>
        <w:t xml:space="preserve"> </w:t>
      </w:r>
      <w:r>
        <w:rPr>
          <w:color w:val="4D4D4F"/>
          <w:sz w:val="12"/>
        </w:rPr>
        <w:t>communication,</w:t>
      </w:r>
      <w:r>
        <w:rPr>
          <w:color w:val="4D4D4F"/>
          <w:spacing w:val="13"/>
          <w:sz w:val="12"/>
        </w:rPr>
        <w:t xml:space="preserve"> </w:t>
      </w:r>
      <w:r>
        <w:rPr>
          <w:color w:val="4D4D4F"/>
          <w:sz w:val="12"/>
        </w:rPr>
        <w:t>29</w:t>
      </w:r>
      <w:r>
        <w:rPr>
          <w:color w:val="4D4D4F"/>
          <w:spacing w:val="13"/>
          <w:sz w:val="12"/>
        </w:rPr>
        <w:t xml:space="preserve"> </w:t>
      </w:r>
      <w:r>
        <w:rPr>
          <w:color w:val="4D4D4F"/>
          <w:sz w:val="12"/>
        </w:rPr>
        <w:t>July</w:t>
      </w:r>
      <w:r>
        <w:rPr>
          <w:color w:val="4D4D4F"/>
          <w:spacing w:val="13"/>
          <w:sz w:val="12"/>
        </w:rPr>
        <w:t xml:space="preserve"> </w:t>
      </w:r>
      <w:r>
        <w:rPr>
          <w:color w:val="4D4D4F"/>
          <w:sz w:val="12"/>
        </w:rPr>
        <w:t>2021.</w:t>
      </w:r>
    </w:p>
    <w:p w14:paraId="3959DAF2" w14:textId="77777777" w:rsidR="00EF5B27" w:rsidRDefault="00000000">
      <w:pPr>
        <w:pStyle w:val="ListParagraph"/>
        <w:numPr>
          <w:ilvl w:val="0"/>
          <w:numId w:val="23"/>
        </w:numPr>
        <w:tabs>
          <w:tab w:val="left" w:pos="2835"/>
        </w:tabs>
        <w:spacing w:line="143" w:lineRule="exact"/>
        <w:ind w:left="2834" w:hanging="226"/>
        <w:rPr>
          <w:sz w:val="12"/>
        </w:rPr>
      </w:pPr>
      <w:r>
        <w:rPr>
          <w:color w:val="4D4D4F"/>
          <w:sz w:val="12"/>
        </w:rPr>
        <w:t>DELWP</w:t>
      </w:r>
      <w:r>
        <w:rPr>
          <w:color w:val="4D4D4F"/>
          <w:spacing w:val="13"/>
          <w:sz w:val="12"/>
        </w:rPr>
        <w:t xml:space="preserve"> </w:t>
      </w:r>
      <w:r>
        <w:rPr>
          <w:color w:val="4D4D4F"/>
          <w:sz w:val="12"/>
        </w:rPr>
        <w:t>Officer,</w:t>
      </w:r>
      <w:r>
        <w:rPr>
          <w:color w:val="4D4D4F"/>
          <w:spacing w:val="13"/>
          <w:sz w:val="12"/>
        </w:rPr>
        <w:t xml:space="preserve"> </w:t>
      </w:r>
      <w:r>
        <w:rPr>
          <w:color w:val="4D4D4F"/>
          <w:sz w:val="12"/>
        </w:rPr>
        <w:t>personal</w:t>
      </w:r>
      <w:r>
        <w:rPr>
          <w:color w:val="4D4D4F"/>
          <w:spacing w:val="13"/>
          <w:sz w:val="12"/>
        </w:rPr>
        <w:t xml:space="preserve"> </w:t>
      </w:r>
      <w:r>
        <w:rPr>
          <w:color w:val="4D4D4F"/>
          <w:sz w:val="12"/>
        </w:rPr>
        <w:t>communication,</w:t>
      </w:r>
      <w:r>
        <w:rPr>
          <w:color w:val="4D4D4F"/>
          <w:spacing w:val="13"/>
          <w:sz w:val="12"/>
        </w:rPr>
        <w:t xml:space="preserve"> </w:t>
      </w:r>
      <w:r>
        <w:rPr>
          <w:color w:val="4D4D4F"/>
          <w:sz w:val="12"/>
        </w:rPr>
        <w:t>29</w:t>
      </w:r>
      <w:r>
        <w:rPr>
          <w:color w:val="4D4D4F"/>
          <w:spacing w:val="13"/>
          <w:sz w:val="12"/>
        </w:rPr>
        <w:t xml:space="preserve"> </w:t>
      </w:r>
      <w:r>
        <w:rPr>
          <w:color w:val="4D4D4F"/>
          <w:sz w:val="12"/>
        </w:rPr>
        <w:t>July</w:t>
      </w:r>
      <w:r>
        <w:rPr>
          <w:color w:val="4D4D4F"/>
          <w:spacing w:val="13"/>
          <w:sz w:val="12"/>
        </w:rPr>
        <w:t xml:space="preserve"> </w:t>
      </w:r>
      <w:r>
        <w:rPr>
          <w:color w:val="4D4D4F"/>
          <w:sz w:val="12"/>
        </w:rPr>
        <w:t>2021.</w:t>
      </w:r>
    </w:p>
    <w:p w14:paraId="47313FA5"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47636C97" w14:textId="77777777" w:rsidR="00EF5B27" w:rsidRDefault="00000000">
      <w:pPr>
        <w:pStyle w:val="BodyText"/>
      </w:pPr>
      <w:r>
        <w:lastRenderedPageBreak/>
        <w:pict w14:anchorId="038ACB45">
          <v:group id="_x0000_s2849" style="position:absolute;margin-left:587.05pt;margin-top:183.4pt;width:8.25pt;height:153.1pt;z-index:251693568;mso-position-horizontal-relative:page;mso-position-vertical-relative:page" coordorigin="11741,3668" coordsize="165,3062">
            <v:shape id="_x0000_s2856" style="position:absolute;left:11741;top:3668;width:165;height:561" coordorigin="11741,3668" coordsize="165,561" path="m11906,3668r-165,l11741,4228r165,-18l11906,3668xe" fillcolor="#00aed9" stroked="f">
              <v:path arrowok="t"/>
            </v:shape>
            <v:shape id="_x0000_s2855" style="position:absolute;left:11741;top:4118;width:165;height:425" coordorigin="11741,4118" coordsize="165,425" path="m11906,4118r-165,14l11741,4531r165,12l11906,4118xe" fillcolor="#047ebc" stroked="f">
              <v:path arrowok="t"/>
            </v:shape>
            <v:shape id="_x0000_s2854" type="#_x0000_t75" style="position:absolute;left:11741;top:4355;width:165;height:587">
              <v:imagedata r:id="rId42" o:title=""/>
            </v:shape>
            <v:shape id="_x0000_s2853" style="position:absolute;left:11741;top:5343;width:165;height:536" coordorigin="11741,5343" coordsize="165,536" path="m11741,5343r,535l11906,5872r,-525l11741,5343xe" fillcolor="#f36a2e" stroked="f">
              <v:path arrowok="t"/>
            </v:shape>
            <v:shape id="_x0000_s2852" style="position:absolute;left:11741;top:4925;width:165;height:501" coordorigin="11741,4926" coordsize="165,501" path="m11741,4926r,500l11906,5426r,-485l11741,4926xe" fillcolor="#49783f" stroked="f">
              <v:path arrowok="t"/>
            </v:shape>
            <v:shape id="_x0000_s2851" style="position:absolute;left:11741;top:5781;width:165;height:268" coordorigin="11741,5782" coordsize="165,268" path="m11906,5782r-165,8l11741,6039r165,10l11906,5782xe" fillcolor="#f99f2a" stroked="f">
              <v:path arrowok="t"/>
            </v:shape>
            <v:shape id="_x0000_s2850" style="position:absolute;left:11741;top:6023;width:165;height:707" coordorigin="11741,6023" coordsize="165,707" path="m11741,6023r,706l11906,6729r,-690l11741,6023xe" fillcolor="#ef412c" stroked="f">
              <v:path arrowok="t"/>
            </v:shape>
            <w10:wrap anchorx="page" anchory="page"/>
          </v:group>
        </w:pict>
      </w:r>
    </w:p>
    <w:p w14:paraId="4C49B9EA" w14:textId="77777777" w:rsidR="00EF5B27" w:rsidRDefault="00EF5B27">
      <w:pPr>
        <w:pStyle w:val="BodyText"/>
      </w:pPr>
    </w:p>
    <w:p w14:paraId="436E36C6" w14:textId="77777777" w:rsidR="00EF5B27" w:rsidRDefault="00EF5B27">
      <w:pPr>
        <w:pStyle w:val="BodyText"/>
      </w:pPr>
    </w:p>
    <w:p w14:paraId="763831ED" w14:textId="77777777" w:rsidR="00EF5B27" w:rsidRDefault="00EF5B27">
      <w:pPr>
        <w:pStyle w:val="BodyText"/>
        <w:spacing w:before="8"/>
      </w:pPr>
    </w:p>
    <w:p w14:paraId="64E055CB" w14:textId="77777777" w:rsidR="00EF5B27" w:rsidRDefault="00000000">
      <w:pPr>
        <w:pStyle w:val="Heading2"/>
      </w:pPr>
      <w:bookmarkStart w:id="90" w:name="_bookmark61"/>
      <w:bookmarkEnd w:id="90"/>
      <w:r>
        <w:rPr>
          <w:color w:val="F99F2A"/>
        </w:rPr>
        <w:t>MNES 9: Small Golden Moths Orchid</w:t>
      </w:r>
    </w:p>
    <w:p w14:paraId="0D4840F7" w14:textId="77777777" w:rsidR="00EF5B27" w:rsidRDefault="00EF5B27">
      <w:pPr>
        <w:pStyle w:val="BodyText"/>
        <w:spacing w:before="5"/>
        <w:rPr>
          <w:b/>
          <w:sz w:val="76"/>
        </w:rPr>
      </w:pPr>
    </w:p>
    <w:p w14:paraId="27F0ECA5" w14:textId="77777777" w:rsidR="00EF5B27" w:rsidRDefault="00000000">
      <w:pPr>
        <w:pStyle w:val="Heading3"/>
      </w:pPr>
      <w:r>
        <w:rPr>
          <w:color w:val="F99F2A"/>
        </w:rPr>
        <w:t>Background</w:t>
      </w:r>
    </w:p>
    <w:p w14:paraId="60B33029" w14:textId="77777777" w:rsidR="00EF5B27" w:rsidRDefault="00000000">
      <w:pPr>
        <w:pStyle w:val="Heading6"/>
        <w:spacing w:before="221" w:line="254" w:lineRule="auto"/>
        <w:ind w:right="151"/>
        <w:rPr>
          <w:sz w:val="11"/>
        </w:rPr>
      </w:pPr>
      <w:r>
        <w:rPr>
          <w:color w:val="4D4D4F"/>
        </w:rPr>
        <w:t>Small Golden Moths Orchid (</w:t>
      </w:r>
      <w:r>
        <w:rPr>
          <w:i/>
          <w:color w:val="4D4D4F"/>
        </w:rPr>
        <w:t>Diuris basaltica</w:t>
      </w:r>
      <w:r>
        <w:rPr>
          <w:color w:val="4D4D4F"/>
        </w:rPr>
        <w:t>) is a perennial orchid growing to 15 cm tall, with a single stem supporting one or two small yellow flowers. It retreats to an underground tuber each year in summer and at other times when conditions are unfavourable. It is endemic to the Keilor and Werribee Plains.</w:t>
      </w:r>
      <w:r>
        <w:rPr>
          <w:color w:val="4D4D4F"/>
          <w:position w:val="7"/>
          <w:sz w:val="11"/>
        </w:rPr>
        <w:t>242</w:t>
      </w:r>
    </w:p>
    <w:p w14:paraId="554B73E7" w14:textId="77777777" w:rsidR="00EF5B27" w:rsidRDefault="00000000">
      <w:pPr>
        <w:pStyle w:val="BodyText"/>
        <w:spacing w:before="118"/>
        <w:ind w:left="2608"/>
      </w:pPr>
      <w:r>
        <w:rPr>
          <w:color w:val="4D4D4F"/>
          <w:w w:val="105"/>
        </w:rPr>
        <w:t>EPBC listing status: Endangered</w:t>
      </w:r>
    </w:p>
    <w:p w14:paraId="4AAA4B0B" w14:textId="77777777" w:rsidR="00EF5B27" w:rsidRDefault="00000000">
      <w:pPr>
        <w:pStyle w:val="BodyText"/>
        <w:spacing w:before="7"/>
        <w:rPr>
          <w:sz w:val="29"/>
        </w:rPr>
      </w:pPr>
      <w:r>
        <w:rPr>
          <w:noProof/>
        </w:rPr>
        <w:drawing>
          <wp:anchor distT="0" distB="0" distL="0" distR="0" simplePos="0" relativeHeight="251300352" behindDoc="0" locked="0" layoutInCell="1" allowOverlap="1" wp14:anchorId="7EA4C5B8" wp14:editId="124211C4">
            <wp:simplePos x="0" y="0"/>
            <wp:positionH relativeFrom="page">
              <wp:posOffset>2304575</wp:posOffset>
            </wp:positionH>
            <wp:positionV relativeFrom="paragraph">
              <wp:posOffset>254285</wp:posOffset>
            </wp:positionV>
            <wp:extent cx="4535421" cy="2551176"/>
            <wp:effectExtent l="0" t="0" r="0" b="0"/>
            <wp:wrapTopAndBottom/>
            <wp:docPr id="497" name="image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194.jpeg"/>
                    <pic:cNvPicPr/>
                  </pic:nvPicPr>
                  <pic:blipFill>
                    <a:blip r:embed="rId154" cstate="print"/>
                    <a:stretch>
                      <a:fillRect/>
                    </a:stretch>
                  </pic:blipFill>
                  <pic:spPr>
                    <a:xfrm>
                      <a:off x="0" y="0"/>
                      <a:ext cx="4535421" cy="2551176"/>
                    </a:xfrm>
                    <a:prstGeom prst="rect">
                      <a:avLst/>
                    </a:prstGeom>
                  </pic:spPr>
                </pic:pic>
              </a:graphicData>
            </a:graphic>
          </wp:anchor>
        </w:drawing>
      </w:r>
    </w:p>
    <w:p w14:paraId="020DD4F1" w14:textId="77777777" w:rsidR="00EF5B27" w:rsidRDefault="00000000">
      <w:pPr>
        <w:tabs>
          <w:tab w:val="left" w:pos="8706"/>
        </w:tabs>
        <w:spacing w:before="113"/>
        <w:ind w:left="2608"/>
        <w:rPr>
          <w:sz w:val="16"/>
        </w:rPr>
      </w:pPr>
      <w:r>
        <w:rPr>
          <w:color w:val="4D4D4F"/>
          <w:sz w:val="16"/>
        </w:rPr>
        <w:t>Figure 35: Small Golden</w:t>
      </w:r>
      <w:r>
        <w:rPr>
          <w:color w:val="4D4D4F"/>
          <w:spacing w:val="33"/>
          <w:sz w:val="16"/>
        </w:rPr>
        <w:t xml:space="preserve"> </w:t>
      </w:r>
      <w:r>
        <w:rPr>
          <w:color w:val="4D4D4F"/>
          <w:sz w:val="16"/>
        </w:rPr>
        <w:t>Moths</w:t>
      </w:r>
      <w:r>
        <w:rPr>
          <w:color w:val="4D4D4F"/>
          <w:spacing w:val="8"/>
          <w:sz w:val="16"/>
        </w:rPr>
        <w:t xml:space="preserve"> </w:t>
      </w:r>
      <w:r>
        <w:rPr>
          <w:color w:val="4D4D4F"/>
          <w:sz w:val="16"/>
        </w:rPr>
        <w:t>Orchid</w:t>
      </w:r>
      <w:r>
        <w:rPr>
          <w:color w:val="4D4D4F"/>
          <w:sz w:val="16"/>
        </w:rPr>
        <w:tab/>
        <w:t>Source:</w:t>
      </w:r>
      <w:r>
        <w:rPr>
          <w:color w:val="4D4D4F"/>
          <w:spacing w:val="14"/>
          <w:sz w:val="16"/>
        </w:rPr>
        <w:t xml:space="preserve"> </w:t>
      </w:r>
      <w:r>
        <w:rPr>
          <w:color w:val="4D4D4F"/>
          <w:sz w:val="16"/>
        </w:rPr>
        <w:t>DELWP</w:t>
      </w:r>
    </w:p>
    <w:p w14:paraId="67AEE343" w14:textId="77777777" w:rsidR="00EF5B27" w:rsidRDefault="00EF5B27">
      <w:pPr>
        <w:pStyle w:val="BodyText"/>
        <w:spacing w:before="8"/>
        <w:rPr>
          <w:sz w:val="29"/>
        </w:rPr>
      </w:pPr>
    </w:p>
    <w:p w14:paraId="3B5166A5" w14:textId="77777777" w:rsidR="00EF5B27" w:rsidRDefault="00000000">
      <w:pPr>
        <w:pStyle w:val="Heading3"/>
      </w:pPr>
      <w:r>
        <w:rPr>
          <w:color w:val="F99F2A"/>
        </w:rPr>
        <w:t>DELWP’s conservation commitment</w:t>
      </w:r>
    </w:p>
    <w:p w14:paraId="3CDBA899" w14:textId="77777777" w:rsidR="00EF5B27" w:rsidRDefault="00000000">
      <w:pPr>
        <w:pStyle w:val="BodyText"/>
        <w:spacing w:before="221" w:line="254" w:lineRule="auto"/>
        <w:ind w:left="2608"/>
      </w:pPr>
      <w:r>
        <w:rPr>
          <w:color w:val="4D4D4F"/>
        </w:rPr>
        <w:t>DELWP published the following statements as conservation outcomes for the Small Golden Moths Orchid by notice in the Victorian Government Gazette:</w:t>
      </w:r>
    </w:p>
    <w:p w14:paraId="51DFDB8F" w14:textId="77777777" w:rsidR="00EF5B27" w:rsidRDefault="00000000">
      <w:pPr>
        <w:pStyle w:val="BodyText"/>
        <w:spacing w:before="6"/>
        <w:rPr>
          <w:sz w:val="28"/>
        </w:rPr>
      </w:pPr>
      <w:r>
        <w:pict w14:anchorId="0BB051AA">
          <v:shape id="_x0000_s2848" type="#_x0000_t202" style="position:absolute;margin-left:181.65pt;margin-top:19.6pt;width:356.8pt;height:70pt;z-index:251616768;mso-wrap-distance-left:0;mso-wrap-distance-right:0;mso-position-horizontal-relative:page" filled="f" strokecolor="#4d4d4f" strokeweight=".5pt">
            <v:textbox inset="0,0,0,0">
              <w:txbxContent>
                <w:p w14:paraId="11C63353" w14:textId="77777777" w:rsidR="00EF5B27" w:rsidRDefault="00000000">
                  <w:pPr>
                    <w:spacing w:before="192" w:line="254" w:lineRule="auto"/>
                    <w:ind w:left="226" w:right="228"/>
                    <w:rPr>
                      <w:b/>
                      <w:i/>
                      <w:sz w:val="20"/>
                    </w:rPr>
                  </w:pPr>
                  <w:r>
                    <w:rPr>
                      <w:b/>
                      <w:i/>
                      <w:color w:val="4D4D4F"/>
                      <w:sz w:val="20"/>
                    </w:rPr>
                    <w:t>No substantial negative change to the known population of Small Golden Moths Orchid within the UGB in conservation area 3. No substantial negative change means that the count of individuals emergent at least once over a five-year period remains above 90% of the baseline.</w:t>
                  </w:r>
                </w:p>
              </w:txbxContent>
            </v:textbox>
            <w10:wrap type="topAndBottom" anchorx="page"/>
          </v:shape>
        </w:pict>
      </w:r>
    </w:p>
    <w:p w14:paraId="13F6DEF5" w14:textId="77777777" w:rsidR="00EF5B27" w:rsidRDefault="00EF5B27">
      <w:pPr>
        <w:pStyle w:val="BodyText"/>
        <w:spacing w:before="8"/>
        <w:rPr>
          <w:sz w:val="23"/>
        </w:rPr>
      </w:pPr>
    </w:p>
    <w:p w14:paraId="00D426F6" w14:textId="77777777" w:rsidR="00EF5B27" w:rsidRDefault="00000000">
      <w:pPr>
        <w:pStyle w:val="BodyText"/>
        <w:spacing w:before="101" w:line="254" w:lineRule="auto"/>
        <w:ind w:left="2608"/>
      </w:pPr>
      <w:r>
        <w:rPr>
          <w:color w:val="4D4D4F"/>
        </w:rPr>
        <w:t>DELWP’s MSA MRF also summarises the conservation outcomes for the Small Golden Moths Orchid as a single goal statement: ‘no substantial negative change to the population of Small Golden Moths Orchid.’</w:t>
      </w:r>
    </w:p>
    <w:p w14:paraId="65E7698E" w14:textId="77777777" w:rsidR="00EF5B27" w:rsidRDefault="00000000">
      <w:pPr>
        <w:pStyle w:val="BodyText"/>
        <w:spacing w:before="2"/>
        <w:rPr>
          <w:sz w:val="28"/>
        </w:rPr>
      </w:pPr>
      <w:r>
        <w:pict w14:anchorId="0639A8D9">
          <v:line id="_x0000_s2847" style="position:absolute;z-index:251618816;mso-wrap-distance-left:0;mso-wrap-distance-right:0;mso-position-horizontal-relative:page" from="181.4pt,19.45pt" to="538.7pt,19.45pt" strokecolor="#4d4d4f" strokeweight=".5pt">
            <w10:wrap type="topAndBottom" anchorx="page"/>
          </v:line>
        </w:pict>
      </w:r>
    </w:p>
    <w:p w14:paraId="79C963A5" w14:textId="77777777" w:rsidR="00EF5B27" w:rsidRDefault="00000000">
      <w:pPr>
        <w:pStyle w:val="ListParagraph"/>
        <w:numPr>
          <w:ilvl w:val="0"/>
          <w:numId w:val="23"/>
        </w:numPr>
        <w:tabs>
          <w:tab w:val="left" w:pos="2836"/>
        </w:tabs>
        <w:spacing w:before="83"/>
        <w:rPr>
          <w:sz w:val="12"/>
        </w:rPr>
      </w:pPr>
      <w:r>
        <w:rPr>
          <w:color w:val="4D4D4F"/>
          <w:w w:val="105"/>
          <w:sz w:val="12"/>
        </w:rPr>
        <w:t xml:space="preserve">Barker J, Grigg G and Tyler MJ 1995, ‘A Field Guide to Australian Frogs.’ </w:t>
      </w:r>
      <w:r>
        <w:rPr>
          <w:color w:val="4D4D4F"/>
          <w:spacing w:val="2"/>
          <w:w w:val="105"/>
          <w:sz w:val="12"/>
        </w:rPr>
        <w:t xml:space="preserve">Surrey </w:t>
      </w:r>
      <w:r>
        <w:rPr>
          <w:color w:val="4D4D4F"/>
          <w:w w:val="105"/>
          <w:sz w:val="12"/>
        </w:rPr>
        <w:t xml:space="preserve">Beatty, Chipping </w:t>
      </w:r>
      <w:r>
        <w:rPr>
          <w:color w:val="4D4D4F"/>
          <w:spacing w:val="2"/>
          <w:w w:val="105"/>
          <w:sz w:val="12"/>
        </w:rPr>
        <w:t>Norton,</w:t>
      </w:r>
      <w:r>
        <w:rPr>
          <w:color w:val="4D4D4F"/>
          <w:spacing w:val="-14"/>
          <w:w w:val="105"/>
          <w:sz w:val="12"/>
        </w:rPr>
        <w:t xml:space="preserve"> </w:t>
      </w:r>
      <w:r>
        <w:rPr>
          <w:color w:val="4D4D4F"/>
          <w:w w:val="105"/>
          <w:sz w:val="12"/>
        </w:rPr>
        <w:t>NSW.</w:t>
      </w:r>
    </w:p>
    <w:p w14:paraId="3E00AE4C" w14:textId="77777777" w:rsidR="00EF5B27" w:rsidRDefault="00EF5B27">
      <w:pPr>
        <w:rPr>
          <w:sz w:val="12"/>
        </w:rPr>
        <w:sectPr w:rsidR="00EF5B27">
          <w:pgSz w:w="11910" w:h="16840"/>
          <w:pgMar w:top="1080" w:right="1020" w:bottom="860" w:left="1020" w:header="537" w:footer="678" w:gutter="0"/>
          <w:cols w:space="720"/>
        </w:sectPr>
      </w:pPr>
    </w:p>
    <w:p w14:paraId="3B2B6F1A" w14:textId="77777777" w:rsidR="00EF5B27" w:rsidRDefault="00000000">
      <w:pPr>
        <w:pStyle w:val="BodyText"/>
      </w:pPr>
      <w:r>
        <w:lastRenderedPageBreak/>
        <w:pict w14:anchorId="6D0F483F">
          <v:group id="_x0000_s2839" style="position:absolute;margin-left:587.05pt;margin-top:183.4pt;width:8.25pt;height:153.1pt;z-index:251695616;mso-position-horizontal-relative:page;mso-position-vertical-relative:page" coordorigin="11741,3668" coordsize="165,3062">
            <v:shape id="_x0000_s2846" style="position:absolute;left:11741;top:3668;width:165;height:561" coordorigin="11741,3668" coordsize="165,561" path="m11906,3668r-165,l11741,4228r165,-18l11906,3668xe" fillcolor="#00aed9" stroked="f">
              <v:path arrowok="t"/>
            </v:shape>
            <v:shape id="_x0000_s2845" style="position:absolute;left:11741;top:4118;width:165;height:425" coordorigin="11741,4118" coordsize="165,425" path="m11906,4118r-165,14l11741,4531r165,12l11906,4118xe" fillcolor="#047ebc" stroked="f">
              <v:path arrowok="t"/>
            </v:shape>
            <v:shape id="_x0000_s2844" type="#_x0000_t75" style="position:absolute;left:11741;top:4355;width:165;height:587">
              <v:imagedata r:id="rId42" o:title=""/>
            </v:shape>
            <v:shape id="_x0000_s2843" style="position:absolute;left:11741;top:5343;width:165;height:536" coordorigin="11741,5343" coordsize="165,536" path="m11741,5343r,535l11906,5872r,-525l11741,5343xe" fillcolor="#f36a2e" stroked="f">
              <v:path arrowok="t"/>
            </v:shape>
            <v:shape id="_x0000_s2842" style="position:absolute;left:11741;top:4925;width:165;height:501" coordorigin="11741,4926" coordsize="165,501" path="m11741,4926r,500l11906,5426r,-485l11741,4926xe" fillcolor="#49783f" stroked="f">
              <v:path arrowok="t"/>
            </v:shape>
            <v:shape id="_x0000_s2841" style="position:absolute;left:11741;top:5781;width:165;height:268" coordorigin="11741,5782" coordsize="165,268" path="m11906,5782r-165,8l11741,6039r165,10l11906,5782xe" fillcolor="#f99f2a" stroked="f">
              <v:path arrowok="t"/>
            </v:shape>
            <v:shape id="_x0000_s2840" style="position:absolute;left:11741;top:6023;width:165;height:707" coordorigin="11741,6023" coordsize="165,707" path="m11741,6023r,706l11906,6729r,-690l11741,6023xe" fillcolor="#ef412c" stroked="f">
              <v:path arrowok="t"/>
            </v:shape>
            <w10:wrap anchorx="page" anchory="page"/>
          </v:group>
        </w:pict>
      </w:r>
    </w:p>
    <w:p w14:paraId="0C521BF4" w14:textId="77777777" w:rsidR="00EF5B27" w:rsidRDefault="00EF5B27">
      <w:pPr>
        <w:pStyle w:val="BodyText"/>
      </w:pPr>
    </w:p>
    <w:p w14:paraId="45071B82" w14:textId="77777777" w:rsidR="00EF5B27" w:rsidRDefault="00EF5B27">
      <w:pPr>
        <w:pStyle w:val="BodyText"/>
      </w:pPr>
    </w:p>
    <w:p w14:paraId="3CB72916" w14:textId="77777777" w:rsidR="00EF5B27" w:rsidRDefault="00EF5B27">
      <w:pPr>
        <w:pStyle w:val="BodyText"/>
        <w:spacing w:before="12"/>
        <w:rPr>
          <w:sz w:val="22"/>
        </w:rPr>
      </w:pPr>
    </w:p>
    <w:p w14:paraId="59B0092E" w14:textId="77777777" w:rsidR="00EF5B27" w:rsidRDefault="00000000">
      <w:pPr>
        <w:pStyle w:val="Heading3"/>
        <w:spacing w:before="115"/>
      </w:pPr>
      <w:bookmarkStart w:id="91" w:name="_bookmark62"/>
      <w:bookmarkEnd w:id="91"/>
      <w:r>
        <w:rPr>
          <w:color w:val="F99F2A"/>
          <w:w w:val="110"/>
        </w:rPr>
        <w:t>KPIs assessed</w:t>
      </w:r>
    </w:p>
    <w:p w14:paraId="515D21E5" w14:textId="77777777" w:rsidR="00EF5B27" w:rsidRDefault="00000000">
      <w:pPr>
        <w:pStyle w:val="BodyText"/>
        <w:spacing w:before="221"/>
        <w:ind w:left="2608"/>
      </w:pPr>
      <w:r>
        <w:rPr>
          <w:color w:val="4D4D4F"/>
          <w:w w:val="105"/>
        </w:rPr>
        <w:t>Progress towards this goal is measured using a single KPI:</w:t>
      </w:r>
    </w:p>
    <w:p w14:paraId="7CEA3584" w14:textId="77777777" w:rsidR="00EF5B27" w:rsidRDefault="00000000">
      <w:pPr>
        <w:pStyle w:val="BodyText"/>
        <w:spacing w:before="130"/>
        <w:ind w:left="2608"/>
      </w:pPr>
      <w:r>
        <w:rPr>
          <w:color w:val="4D4D4F"/>
        </w:rPr>
        <w:t>1. Count of individuals emergent at least once over a five-year period.</w:t>
      </w:r>
    </w:p>
    <w:p w14:paraId="4013F54D" w14:textId="77777777" w:rsidR="00EF5B27" w:rsidRDefault="00EF5B27">
      <w:pPr>
        <w:pStyle w:val="BodyText"/>
      </w:pPr>
    </w:p>
    <w:p w14:paraId="58B657A0" w14:textId="77777777" w:rsidR="00EF5B27" w:rsidRDefault="00EF5B27">
      <w:pPr>
        <w:pStyle w:val="BodyText"/>
        <w:spacing w:before="11"/>
        <w:rPr>
          <w:sz w:val="13"/>
        </w:rPr>
      </w:pPr>
    </w:p>
    <w:tbl>
      <w:tblPr>
        <w:tblW w:w="0" w:type="auto"/>
        <w:tblInd w:w="261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152"/>
        <w:gridCol w:w="4989"/>
      </w:tblGrid>
      <w:tr w:rsidR="00EF5B27" w14:paraId="23788FFA" w14:textId="77777777">
        <w:trPr>
          <w:trHeight w:val="459"/>
        </w:trPr>
        <w:tc>
          <w:tcPr>
            <w:tcW w:w="2152" w:type="dxa"/>
            <w:shd w:val="clear" w:color="auto" w:fill="FECC91"/>
          </w:tcPr>
          <w:p w14:paraId="664C67FE" w14:textId="77777777" w:rsidR="00EF5B27" w:rsidRDefault="00000000">
            <w:pPr>
              <w:pStyle w:val="TableParagraph"/>
              <w:spacing w:before="140"/>
              <w:ind w:left="113"/>
              <w:rPr>
                <w:b/>
                <w:sz w:val="16"/>
              </w:rPr>
            </w:pPr>
            <w:r>
              <w:rPr>
                <w:b/>
                <w:w w:val="105"/>
                <w:sz w:val="16"/>
              </w:rPr>
              <w:t>MNES</w:t>
            </w:r>
          </w:p>
        </w:tc>
        <w:tc>
          <w:tcPr>
            <w:tcW w:w="4989" w:type="dxa"/>
          </w:tcPr>
          <w:p w14:paraId="1C3E776F" w14:textId="77777777" w:rsidR="00EF5B27" w:rsidRDefault="00000000">
            <w:pPr>
              <w:pStyle w:val="TableParagraph"/>
              <w:spacing w:before="140"/>
              <w:ind w:left="113"/>
              <w:rPr>
                <w:sz w:val="16"/>
              </w:rPr>
            </w:pPr>
            <w:r>
              <w:rPr>
                <w:color w:val="4D4D4F"/>
                <w:sz w:val="16"/>
              </w:rPr>
              <w:t>9. Small Golden Moths Orchid</w:t>
            </w:r>
          </w:p>
        </w:tc>
      </w:tr>
      <w:tr w:rsidR="00EF5B27" w14:paraId="073BC015" w14:textId="77777777">
        <w:trPr>
          <w:trHeight w:val="859"/>
        </w:trPr>
        <w:tc>
          <w:tcPr>
            <w:tcW w:w="2152" w:type="dxa"/>
            <w:shd w:val="clear" w:color="auto" w:fill="FECC91"/>
          </w:tcPr>
          <w:p w14:paraId="63383B91" w14:textId="77777777" w:rsidR="00EF5B27" w:rsidRDefault="00000000">
            <w:pPr>
              <w:pStyle w:val="TableParagraph"/>
              <w:spacing w:before="140" w:line="244" w:lineRule="auto"/>
              <w:ind w:left="113" w:right="279"/>
              <w:rPr>
                <w:b/>
                <w:sz w:val="16"/>
              </w:rPr>
            </w:pPr>
            <w:r>
              <w:rPr>
                <w:b/>
                <w:sz w:val="16"/>
              </w:rPr>
              <w:t>Commonwealth approved 2015 MSA MRF single outcome statement</w:t>
            </w:r>
          </w:p>
        </w:tc>
        <w:tc>
          <w:tcPr>
            <w:tcW w:w="4989" w:type="dxa"/>
          </w:tcPr>
          <w:p w14:paraId="7F520A08" w14:textId="77777777" w:rsidR="00EF5B27" w:rsidRDefault="00EF5B27">
            <w:pPr>
              <w:pStyle w:val="TableParagraph"/>
              <w:spacing w:before="10"/>
              <w:rPr>
                <w:sz w:val="18"/>
              </w:rPr>
            </w:pPr>
          </w:p>
          <w:p w14:paraId="0957C561" w14:textId="77777777" w:rsidR="00EF5B27" w:rsidRDefault="00000000">
            <w:pPr>
              <w:pStyle w:val="TableParagraph"/>
              <w:spacing w:line="271" w:lineRule="auto"/>
              <w:ind w:left="113" w:right="1743"/>
              <w:rPr>
                <w:sz w:val="16"/>
              </w:rPr>
            </w:pPr>
            <w:r>
              <w:rPr>
                <w:color w:val="4D4D4F"/>
                <w:sz w:val="16"/>
              </w:rPr>
              <w:t>No substantial negative change to populations of Small Golden Moths Orchid.</w:t>
            </w:r>
          </w:p>
        </w:tc>
      </w:tr>
      <w:tr w:rsidR="00EF5B27" w14:paraId="1BF2C4F2" w14:textId="77777777">
        <w:trPr>
          <w:trHeight w:val="859"/>
        </w:trPr>
        <w:tc>
          <w:tcPr>
            <w:tcW w:w="2152" w:type="dxa"/>
            <w:shd w:val="clear" w:color="auto" w:fill="FECC91"/>
          </w:tcPr>
          <w:p w14:paraId="1A448EB1" w14:textId="77777777" w:rsidR="00EF5B27" w:rsidRDefault="00000000">
            <w:pPr>
              <w:pStyle w:val="TableParagraph"/>
              <w:spacing w:before="140" w:line="244" w:lineRule="auto"/>
              <w:ind w:left="113"/>
              <w:rPr>
                <w:b/>
                <w:sz w:val="16"/>
              </w:rPr>
            </w:pPr>
            <w:r>
              <w:rPr>
                <w:b/>
                <w:sz w:val="16"/>
              </w:rPr>
              <w:t>2014–2020 Ecological Outcomes Report single outcome statement</w:t>
            </w:r>
          </w:p>
        </w:tc>
        <w:tc>
          <w:tcPr>
            <w:tcW w:w="4989" w:type="dxa"/>
          </w:tcPr>
          <w:p w14:paraId="5322E475" w14:textId="77777777" w:rsidR="00EF5B27" w:rsidRDefault="00EF5B27">
            <w:pPr>
              <w:pStyle w:val="TableParagraph"/>
              <w:spacing w:before="10"/>
              <w:rPr>
                <w:sz w:val="27"/>
              </w:rPr>
            </w:pPr>
          </w:p>
          <w:p w14:paraId="7CA33344" w14:textId="77777777" w:rsidR="00EF5B27" w:rsidRDefault="00000000">
            <w:pPr>
              <w:pStyle w:val="TableParagraph"/>
              <w:ind w:left="113"/>
              <w:rPr>
                <w:sz w:val="16"/>
              </w:rPr>
            </w:pPr>
            <w:r>
              <w:rPr>
                <w:color w:val="4D4D4F"/>
                <w:sz w:val="16"/>
              </w:rPr>
              <w:t>No substantial negative change to Small Golden Moths Orchid.</w:t>
            </w:r>
          </w:p>
        </w:tc>
      </w:tr>
      <w:tr w:rsidR="00EF5B27" w14:paraId="1FF0E7E1" w14:textId="77777777">
        <w:trPr>
          <w:trHeight w:val="1436"/>
        </w:trPr>
        <w:tc>
          <w:tcPr>
            <w:tcW w:w="2152" w:type="dxa"/>
            <w:shd w:val="clear" w:color="auto" w:fill="FECC91"/>
          </w:tcPr>
          <w:p w14:paraId="4B7A3A86" w14:textId="77777777" w:rsidR="00EF5B27" w:rsidRDefault="00EF5B27">
            <w:pPr>
              <w:pStyle w:val="TableParagraph"/>
              <w:spacing w:before="10"/>
              <w:rPr>
                <w:sz w:val="26"/>
              </w:rPr>
            </w:pPr>
          </w:p>
          <w:p w14:paraId="2B2412E1" w14:textId="77777777" w:rsidR="00EF5B27" w:rsidRDefault="00000000">
            <w:pPr>
              <w:pStyle w:val="TableParagraph"/>
              <w:spacing w:before="1" w:line="244" w:lineRule="auto"/>
              <w:ind w:left="113"/>
              <w:rPr>
                <w:b/>
                <w:sz w:val="16"/>
              </w:rPr>
            </w:pPr>
            <w:r>
              <w:rPr>
                <w:b/>
                <w:sz w:val="16"/>
              </w:rPr>
              <w:t>Conservation Outcomes published in the Victorian Government Gazette – Issue G4, 27 January 2022</w:t>
            </w:r>
          </w:p>
        </w:tc>
        <w:tc>
          <w:tcPr>
            <w:tcW w:w="4989" w:type="dxa"/>
          </w:tcPr>
          <w:p w14:paraId="21F5004E" w14:textId="77777777" w:rsidR="00EF5B27" w:rsidRDefault="00EF5B27">
            <w:pPr>
              <w:pStyle w:val="TableParagraph"/>
              <w:spacing w:before="5"/>
              <w:rPr>
                <w:sz w:val="15"/>
              </w:rPr>
            </w:pPr>
          </w:p>
          <w:p w14:paraId="4F197D83" w14:textId="77777777" w:rsidR="00EF5B27" w:rsidRDefault="00000000">
            <w:pPr>
              <w:pStyle w:val="TableParagraph"/>
              <w:spacing w:line="271" w:lineRule="auto"/>
              <w:ind w:left="113" w:right="469"/>
              <w:rPr>
                <w:sz w:val="16"/>
              </w:rPr>
            </w:pPr>
            <w:r>
              <w:rPr>
                <w:color w:val="4D4D4F"/>
                <w:sz w:val="16"/>
              </w:rPr>
              <w:t>No substantial negative change to the known population of Small Golden Moths Orchid within the UGB in conservation area 3. No substantial negative change means that the count of individuals emergent at least once over a five-year period remains above 90% of the baseline.</w:t>
            </w:r>
          </w:p>
        </w:tc>
      </w:tr>
    </w:tbl>
    <w:p w14:paraId="77FC5BAE" w14:textId="77777777" w:rsidR="00EF5B27" w:rsidRDefault="00EF5B27">
      <w:pPr>
        <w:pStyle w:val="BodyText"/>
        <w:spacing w:before="2"/>
        <w:rPr>
          <w:sz w:val="33"/>
        </w:rPr>
      </w:pPr>
    </w:p>
    <w:p w14:paraId="27562437" w14:textId="77777777" w:rsidR="00EF5B27" w:rsidRDefault="00000000">
      <w:pPr>
        <w:pStyle w:val="Heading3"/>
      </w:pPr>
      <w:r>
        <w:rPr>
          <w:color w:val="F99F2A"/>
        </w:rPr>
        <w:t>Monitored areas</w:t>
      </w:r>
    </w:p>
    <w:p w14:paraId="2EB80B27" w14:textId="77777777" w:rsidR="00EF5B27" w:rsidRDefault="00000000">
      <w:pPr>
        <w:pStyle w:val="BodyText"/>
        <w:spacing w:before="221" w:line="254" w:lineRule="auto"/>
        <w:ind w:left="2608" w:right="582"/>
      </w:pPr>
      <w:r>
        <w:rPr>
          <w:color w:val="4D4D4F"/>
        </w:rPr>
        <w:t>The Small Golden Moths Orchid is known from only one location in the MSA area, in Conservation Area 3. This area has not yet been protected and no monitoring has occurred. The species is not dealt with further here.</w:t>
      </w:r>
    </w:p>
    <w:p w14:paraId="6590A158" w14:textId="77777777" w:rsidR="00EF5B27" w:rsidRDefault="00000000">
      <w:pPr>
        <w:pStyle w:val="BodyText"/>
        <w:spacing w:before="9"/>
        <w:rPr>
          <w:sz w:val="27"/>
        </w:rPr>
      </w:pPr>
      <w:r>
        <w:pict w14:anchorId="7E539AA9">
          <v:group id="_x0000_s2836" style="position:absolute;margin-left:181.25pt;margin-top:19.25pt;width:357.4pt;height:229pt;z-index:251620864;mso-wrap-distance-left:0;mso-wrap-distance-right:0;mso-position-horizontal-relative:page" coordorigin="3625,385" coordsize="7148,4580">
            <v:shape id="_x0000_s2838" type="#_x0000_t75" style="position:absolute;left:3627;top:387;width:7143;height:4575">
              <v:imagedata r:id="rId155" o:title=""/>
            </v:shape>
            <v:rect id="_x0000_s2837" style="position:absolute;left:3627;top:387;width:7143;height:4575" filled="f" strokeweight=".25pt"/>
            <w10:wrap type="topAndBottom" anchorx="page"/>
          </v:group>
        </w:pict>
      </w:r>
    </w:p>
    <w:p w14:paraId="788AA66D" w14:textId="77777777" w:rsidR="00EF5B27" w:rsidRDefault="00000000">
      <w:pPr>
        <w:tabs>
          <w:tab w:val="left" w:pos="8978"/>
        </w:tabs>
        <w:spacing w:before="103"/>
        <w:ind w:left="2608"/>
        <w:rPr>
          <w:rFonts w:ascii="Century Gothic"/>
          <w:i/>
          <w:sz w:val="12"/>
        </w:rPr>
      </w:pPr>
      <w:r>
        <w:rPr>
          <w:color w:val="4D4D4F"/>
          <w:sz w:val="16"/>
        </w:rPr>
        <w:t>Figure 36: Map of Conservation</w:t>
      </w:r>
      <w:r>
        <w:rPr>
          <w:color w:val="4D4D4F"/>
          <w:spacing w:val="31"/>
          <w:sz w:val="16"/>
        </w:rPr>
        <w:t xml:space="preserve"> </w:t>
      </w:r>
      <w:r>
        <w:rPr>
          <w:color w:val="4D4D4F"/>
          <w:spacing w:val="2"/>
          <w:sz w:val="16"/>
        </w:rPr>
        <w:t>Area</w:t>
      </w:r>
      <w:r>
        <w:rPr>
          <w:color w:val="4D4D4F"/>
          <w:spacing w:val="6"/>
          <w:sz w:val="16"/>
        </w:rPr>
        <w:t xml:space="preserve"> </w:t>
      </w:r>
      <w:r>
        <w:rPr>
          <w:color w:val="4D4D4F"/>
          <w:sz w:val="16"/>
        </w:rPr>
        <w:t>3</w:t>
      </w:r>
      <w:r>
        <w:rPr>
          <w:color w:val="4D4D4F"/>
          <w:sz w:val="16"/>
        </w:rPr>
        <w:tab/>
      </w:r>
      <w:r>
        <w:rPr>
          <w:rFonts w:ascii="Century Gothic"/>
          <w:i/>
          <w:color w:val="4D4D4F"/>
          <w:sz w:val="12"/>
        </w:rPr>
        <w:t>Source:</w:t>
      </w:r>
      <w:r>
        <w:rPr>
          <w:rFonts w:ascii="Century Gothic"/>
          <w:i/>
          <w:color w:val="4D4D4F"/>
          <w:spacing w:val="-22"/>
          <w:sz w:val="12"/>
        </w:rPr>
        <w:t xml:space="preserve"> </w:t>
      </w:r>
      <w:r>
        <w:rPr>
          <w:rFonts w:ascii="Century Gothic"/>
          <w:i/>
          <w:color w:val="4D4D4F"/>
          <w:sz w:val="12"/>
        </w:rPr>
        <w:t>DELWP</w:t>
      </w:r>
    </w:p>
    <w:p w14:paraId="7A1F8E4B" w14:textId="77777777" w:rsidR="00EF5B27" w:rsidRDefault="00EF5B27">
      <w:pPr>
        <w:rPr>
          <w:rFonts w:ascii="Century Gothic"/>
          <w:sz w:val="12"/>
        </w:rPr>
        <w:sectPr w:rsidR="00EF5B27">
          <w:pgSz w:w="11910" w:h="16840"/>
          <w:pgMar w:top="1080" w:right="1020" w:bottom="860" w:left="1020" w:header="537" w:footer="678" w:gutter="0"/>
          <w:cols w:space="720"/>
        </w:sectPr>
      </w:pPr>
    </w:p>
    <w:p w14:paraId="27A2C643" w14:textId="77777777" w:rsidR="00EF5B27" w:rsidRDefault="00000000">
      <w:pPr>
        <w:pStyle w:val="BodyText"/>
        <w:rPr>
          <w:rFonts w:ascii="Century Gothic"/>
          <w:i/>
        </w:rPr>
      </w:pPr>
      <w:r>
        <w:lastRenderedPageBreak/>
        <w:pict w14:anchorId="6861364F">
          <v:group id="_x0000_s2828" style="position:absolute;margin-left:587.05pt;margin-top:183.4pt;width:8.25pt;height:153.1pt;z-index:251698688;mso-position-horizontal-relative:page;mso-position-vertical-relative:page" coordorigin="11741,3668" coordsize="165,3062">
            <v:shape id="_x0000_s2835" style="position:absolute;left:11741;top:3668;width:165;height:561" coordorigin="11741,3668" coordsize="165,561" path="m11906,3668r-165,l11741,4228r165,-18l11906,3668xe" fillcolor="#00aed9" stroked="f">
              <v:path arrowok="t"/>
            </v:shape>
            <v:shape id="_x0000_s2834" style="position:absolute;left:11741;top:4118;width:165;height:425" coordorigin="11741,4118" coordsize="165,425" path="m11906,4118r-165,14l11741,4531r165,12l11906,4118xe" fillcolor="#047ebc" stroked="f">
              <v:path arrowok="t"/>
            </v:shape>
            <v:shape id="_x0000_s2833" type="#_x0000_t75" style="position:absolute;left:11741;top:4355;width:165;height:587">
              <v:imagedata r:id="rId42" o:title=""/>
            </v:shape>
            <v:shape id="_x0000_s2832" style="position:absolute;left:11741;top:5343;width:165;height:536" coordorigin="11741,5343" coordsize="165,536" path="m11741,5343r,535l11906,5872r,-525l11741,5343xe" fillcolor="#f36a2e" stroked="f">
              <v:path arrowok="t"/>
            </v:shape>
            <v:shape id="_x0000_s2831" style="position:absolute;left:11741;top:4925;width:165;height:501" coordorigin="11741,4926" coordsize="165,501" path="m11741,4926r,500l11906,5426r,-485l11741,4926xe" fillcolor="#49783f" stroked="f">
              <v:path arrowok="t"/>
            </v:shape>
            <v:shape id="_x0000_s2830" style="position:absolute;left:11741;top:5781;width:165;height:268" coordorigin="11741,5782" coordsize="165,268" path="m11906,5782r-165,8l11741,6039r165,10l11906,5782xe" fillcolor="#f99f2a" stroked="f">
              <v:path arrowok="t"/>
            </v:shape>
            <v:shape id="_x0000_s2829" style="position:absolute;left:11741;top:6023;width:165;height:707" coordorigin="11741,6023" coordsize="165,707" path="m11741,6023r,706l11906,6729r,-690l11741,6023xe" fillcolor="#ef412c" stroked="f">
              <v:path arrowok="t"/>
            </v:shape>
            <w10:wrap anchorx="page" anchory="page"/>
          </v:group>
        </w:pict>
      </w:r>
    </w:p>
    <w:p w14:paraId="2A9CCB49" w14:textId="77777777" w:rsidR="00EF5B27" w:rsidRDefault="00EF5B27">
      <w:pPr>
        <w:pStyle w:val="BodyText"/>
        <w:rPr>
          <w:rFonts w:ascii="Century Gothic"/>
          <w:i/>
        </w:rPr>
      </w:pPr>
    </w:p>
    <w:p w14:paraId="5C2F8C48" w14:textId="77777777" w:rsidR="00EF5B27" w:rsidRDefault="00EF5B27">
      <w:pPr>
        <w:pStyle w:val="BodyText"/>
        <w:rPr>
          <w:rFonts w:ascii="Century Gothic"/>
          <w:i/>
        </w:rPr>
      </w:pPr>
    </w:p>
    <w:p w14:paraId="27257B0D" w14:textId="77777777" w:rsidR="00EF5B27" w:rsidRDefault="00EF5B27">
      <w:pPr>
        <w:pStyle w:val="BodyText"/>
        <w:spacing w:before="7"/>
        <w:rPr>
          <w:rFonts w:ascii="Century Gothic"/>
          <w:i/>
          <w:sz w:val="22"/>
        </w:rPr>
      </w:pPr>
    </w:p>
    <w:p w14:paraId="63EE73D8" w14:textId="77777777" w:rsidR="00EF5B27" w:rsidRDefault="00000000">
      <w:pPr>
        <w:pStyle w:val="Heading3"/>
        <w:spacing w:before="116"/>
      </w:pPr>
      <w:r>
        <w:rPr>
          <w:color w:val="F99F2A"/>
          <w:w w:val="105"/>
        </w:rPr>
        <w:t>Results</w:t>
      </w:r>
    </w:p>
    <w:p w14:paraId="4DDF024E" w14:textId="77777777" w:rsidR="00EF5B27" w:rsidRDefault="00000000">
      <w:pPr>
        <w:pStyle w:val="BodyText"/>
        <w:spacing w:before="221" w:line="254" w:lineRule="auto"/>
        <w:ind w:left="2608"/>
      </w:pPr>
      <w:r>
        <w:rPr>
          <w:color w:val="4D4D4F"/>
        </w:rPr>
        <w:t>As areas have yet to be protected, monitoring has not commenced on this species, therefore results are unable to be assessed.</w:t>
      </w:r>
    </w:p>
    <w:p w14:paraId="7F684632" w14:textId="77777777" w:rsidR="00EF5B27" w:rsidRDefault="00EF5B27">
      <w:pPr>
        <w:pStyle w:val="BodyText"/>
      </w:pPr>
    </w:p>
    <w:p w14:paraId="5E59E087" w14:textId="77777777" w:rsidR="00EF5B27" w:rsidRDefault="00EF5B27">
      <w:pPr>
        <w:pStyle w:val="BodyText"/>
        <w:spacing w:before="8"/>
        <w:rPr>
          <w:sz w:val="11"/>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4003842A" w14:textId="77777777">
        <w:trPr>
          <w:trHeight w:val="561"/>
        </w:trPr>
        <w:tc>
          <w:tcPr>
            <w:tcW w:w="2980" w:type="dxa"/>
            <w:shd w:val="clear" w:color="auto" w:fill="FECC91"/>
          </w:tcPr>
          <w:p w14:paraId="39077854" w14:textId="77777777" w:rsidR="00EF5B27" w:rsidRDefault="00000000">
            <w:pPr>
              <w:pStyle w:val="TableParagraph"/>
              <w:spacing w:before="91" w:line="244" w:lineRule="auto"/>
              <w:ind w:left="80" w:right="244"/>
              <w:rPr>
                <w:b/>
                <w:sz w:val="16"/>
              </w:rPr>
            </w:pPr>
            <w:r>
              <w:rPr>
                <w:b/>
                <w:sz w:val="16"/>
              </w:rPr>
              <w:t>KPI 1: Count of individuals emergent at least once over a five-year period</w:t>
            </w:r>
          </w:p>
        </w:tc>
        <w:tc>
          <w:tcPr>
            <w:tcW w:w="1078" w:type="dxa"/>
            <w:shd w:val="clear" w:color="auto" w:fill="FECC91"/>
          </w:tcPr>
          <w:p w14:paraId="6EA00DD2" w14:textId="77777777" w:rsidR="00EF5B27" w:rsidRDefault="00000000">
            <w:pPr>
              <w:pStyle w:val="TableParagraph"/>
              <w:spacing w:before="91" w:line="244" w:lineRule="auto"/>
              <w:ind w:left="156" w:firstLine="161"/>
              <w:rPr>
                <w:b/>
                <w:sz w:val="16"/>
              </w:rPr>
            </w:pPr>
            <w:r>
              <w:rPr>
                <w:b/>
                <w:w w:val="105"/>
                <w:sz w:val="16"/>
              </w:rPr>
              <w:t xml:space="preserve">Status </w:t>
            </w:r>
            <w:r>
              <w:rPr>
                <w:b/>
                <w:sz w:val="16"/>
              </w:rPr>
              <w:t>2020–2022</w:t>
            </w:r>
          </w:p>
        </w:tc>
        <w:tc>
          <w:tcPr>
            <w:tcW w:w="2155" w:type="dxa"/>
            <w:shd w:val="clear" w:color="auto" w:fill="FECC91"/>
          </w:tcPr>
          <w:p w14:paraId="0D3F334B" w14:textId="77777777" w:rsidR="00EF5B27" w:rsidRDefault="00EF5B27">
            <w:pPr>
              <w:pStyle w:val="TableParagraph"/>
              <w:spacing w:before="7"/>
              <w:rPr>
                <w:sz w:val="15"/>
              </w:rPr>
            </w:pPr>
          </w:p>
          <w:p w14:paraId="4C9F7D6A" w14:textId="77777777" w:rsidR="00EF5B27" w:rsidRDefault="00000000">
            <w:pPr>
              <w:pStyle w:val="TableParagraph"/>
              <w:spacing w:before="1"/>
              <w:ind w:left="129"/>
              <w:rPr>
                <w:b/>
                <w:sz w:val="16"/>
              </w:rPr>
            </w:pPr>
            <w:r>
              <w:rPr>
                <w:b/>
                <w:sz w:val="16"/>
              </w:rPr>
              <w:t>Reason for non-assessment</w:t>
            </w:r>
          </w:p>
        </w:tc>
        <w:tc>
          <w:tcPr>
            <w:tcW w:w="964" w:type="dxa"/>
            <w:shd w:val="clear" w:color="auto" w:fill="FECC91"/>
          </w:tcPr>
          <w:p w14:paraId="1D9B3C0D" w14:textId="77777777" w:rsidR="00EF5B27" w:rsidRDefault="00EF5B27">
            <w:pPr>
              <w:pStyle w:val="TableParagraph"/>
              <w:spacing w:before="7"/>
              <w:rPr>
                <w:sz w:val="15"/>
              </w:rPr>
            </w:pPr>
          </w:p>
          <w:p w14:paraId="675B91D1"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3EF5E9A0"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7B106BC6"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2AE6AC55" w14:textId="77777777">
        <w:trPr>
          <w:trHeight w:val="448"/>
        </w:trPr>
        <w:tc>
          <w:tcPr>
            <w:tcW w:w="2980" w:type="dxa"/>
          </w:tcPr>
          <w:p w14:paraId="61F21533" w14:textId="77777777" w:rsidR="00EF5B27" w:rsidRDefault="00EF5B27">
            <w:pPr>
              <w:pStyle w:val="TableParagraph"/>
              <w:spacing w:before="11"/>
              <w:rPr>
                <w:sz w:val="11"/>
              </w:rPr>
            </w:pPr>
          </w:p>
          <w:p w14:paraId="1F242C7B" w14:textId="77777777" w:rsidR="00EF5B27" w:rsidRDefault="00000000">
            <w:pPr>
              <w:pStyle w:val="TableParagraph"/>
              <w:ind w:left="80"/>
              <w:rPr>
                <w:sz w:val="14"/>
              </w:rPr>
            </w:pPr>
            <w:r>
              <w:rPr>
                <w:color w:val="4D4D4F"/>
                <w:sz w:val="14"/>
              </w:rPr>
              <w:t>Conservation Area 3</w:t>
            </w:r>
          </w:p>
        </w:tc>
        <w:tc>
          <w:tcPr>
            <w:tcW w:w="1078" w:type="dxa"/>
          </w:tcPr>
          <w:p w14:paraId="49CB3430" w14:textId="77777777" w:rsidR="00EF5B27" w:rsidRDefault="00EF5B27">
            <w:pPr>
              <w:pStyle w:val="TableParagraph"/>
              <w:spacing w:before="11"/>
              <w:rPr>
                <w:sz w:val="11"/>
              </w:rPr>
            </w:pPr>
          </w:p>
          <w:p w14:paraId="139DF68C" w14:textId="77777777" w:rsidR="00EF5B27" w:rsidRDefault="00000000">
            <w:pPr>
              <w:pStyle w:val="TableParagraph"/>
              <w:ind w:left="142"/>
              <w:rPr>
                <w:sz w:val="14"/>
              </w:rPr>
            </w:pPr>
            <w:r>
              <w:rPr>
                <w:color w:val="4D4D4F"/>
                <w:w w:val="105"/>
                <w:sz w:val="14"/>
              </w:rPr>
              <w:t>Not assessed</w:t>
            </w:r>
          </w:p>
        </w:tc>
        <w:tc>
          <w:tcPr>
            <w:tcW w:w="2155" w:type="dxa"/>
          </w:tcPr>
          <w:p w14:paraId="2E081BEC" w14:textId="77777777" w:rsidR="00EF5B27" w:rsidRDefault="00000000">
            <w:pPr>
              <w:pStyle w:val="TableParagraph"/>
              <w:spacing w:before="55" w:line="252" w:lineRule="auto"/>
              <w:ind w:left="346" w:right="236" w:firstLine="192"/>
              <w:rPr>
                <w:sz w:val="14"/>
              </w:rPr>
            </w:pPr>
            <w:r>
              <w:rPr>
                <w:color w:val="4D4D4F"/>
                <w:sz w:val="14"/>
              </w:rPr>
              <w:t>Population not yet under MSA management</w:t>
            </w:r>
          </w:p>
        </w:tc>
        <w:tc>
          <w:tcPr>
            <w:tcW w:w="964" w:type="dxa"/>
          </w:tcPr>
          <w:p w14:paraId="0823F605" w14:textId="77777777" w:rsidR="00EF5B27" w:rsidRDefault="00EF5B27">
            <w:pPr>
              <w:pStyle w:val="TableParagraph"/>
              <w:spacing w:before="4"/>
              <w:rPr>
                <w:sz w:val="7"/>
              </w:rPr>
            </w:pPr>
          </w:p>
          <w:p w14:paraId="66A1C3A7" w14:textId="77777777" w:rsidR="00EF5B27" w:rsidRDefault="00000000">
            <w:pPr>
              <w:pStyle w:val="TableParagraph"/>
              <w:spacing w:line="187" w:lineRule="exact"/>
              <w:ind w:left="400"/>
              <w:rPr>
                <w:sz w:val="18"/>
              </w:rPr>
            </w:pPr>
            <w:r>
              <w:rPr>
                <w:noProof/>
                <w:position w:val="-3"/>
                <w:sz w:val="18"/>
              </w:rPr>
              <w:drawing>
                <wp:inline distT="0" distB="0" distL="0" distR="0" wp14:anchorId="746D6AB5" wp14:editId="24A3A52E">
                  <wp:extent cx="100572" cy="119062"/>
                  <wp:effectExtent l="0" t="0" r="0" b="0"/>
                  <wp:docPr id="499"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196.png"/>
                          <pic:cNvPicPr/>
                        </pic:nvPicPr>
                        <pic:blipFill>
                          <a:blip r:embed="rId83" cstate="print"/>
                          <a:stretch>
                            <a:fillRect/>
                          </a:stretch>
                        </pic:blipFill>
                        <pic:spPr>
                          <a:xfrm>
                            <a:off x="0" y="0"/>
                            <a:ext cx="100572" cy="119062"/>
                          </a:xfrm>
                          <a:prstGeom prst="rect">
                            <a:avLst/>
                          </a:prstGeom>
                        </pic:spPr>
                      </pic:pic>
                    </a:graphicData>
                  </a:graphic>
                </wp:inline>
              </w:drawing>
            </w:r>
          </w:p>
          <w:p w14:paraId="66DBD374" w14:textId="77777777" w:rsidR="00EF5B27" w:rsidRDefault="00EF5B27">
            <w:pPr>
              <w:pStyle w:val="TableParagraph"/>
              <w:spacing w:before="8"/>
              <w:rPr>
                <w:sz w:val="2"/>
              </w:rPr>
            </w:pPr>
          </w:p>
          <w:p w14:paraId="1A4BF7AA" w14:textId="77777777" w:rsidR="00EF5B27" w:rsidRDefault="00000000">
            <w:pPr>
              <w:pStyle w:val="TableParagraph"/>
              <w:spacing w:line="48" w:lineRule="exact"/>
              <w:ind w:left="448"/>
              <w:rPr>
                <w:sz w:val="4"/>
              </w:rPr>
            </w:pPr>
            <w:r>
              <w:rPr>
                <w:sz w:val="4"/>
              </w:rPr>
            </w:r>
            <w:r>
              <w:rPr>
                <w:sz w:val="4"/>
              </w:rPr>
              <w:pict w14:anchorId="0D852048">
                <v:group id="_x0000_s2826" style="width:2.45pt;height:2.45pt;mso-position-horizontal-relative:char;mso-position-vertical-relative:line" coordsize="49,49">
                  <v:shape id="_x0000_s2827" style="position:absolute;width:49;height:49" coordsize="49,49" path="m31,l18,,12,2,2,12,,17,,31r2,6l12,46r6,3l31,49r6,-3l46,37r3,-6l49,17,46,12,37,2,31,xe" fillcolor="#808285" stroked="f">
                    <v:path arrowok="t"/>
                  </v:shape>
                  <w10:wrap type="none"/>
                  <w10:anchorlock/>
                </v:group>
              </w:pict>
            </w:r>
          </w:p>
        </w:tc>
        <w:tc>
          <w:tcPr>
            <w:tcW w:w="964" w:type="dxa"/>
          </w:tcPr>
          <w:p w14:paraId="6F68E529" w14:textId="77777777" w:rsidR="00EF5B27" w:rsidRDefault="00EF5B27">
            <w:pPr>
              <w:pStyle w:val="TableParagraph"/>
              <w:spacing w:before="11"/>
              <w:rPr>
                <w:sz w:val="11"/>
              </w:rPr>
            </w:pPr>
          </w:p>
          <w:p w14:paraId="262C3CC6" w14:textId="77777777" w:rsidR="00EF5B27" w:rsidRDefault="00000000">
            <w:pPr>
              <w:pStyle w:val="TableParagraph"/>
              <w:ind w:left="318" w:right="323"/>
              <w:jc w:val="center"/>
              <w:rPr>
                <w:sz w:val="14"/>
              </w:rPr>
            </w:pPr>
            <w:r>
              <w:rPr>
                <w:color w:val="4D4D4F"/>
                <w:w w:val="105"/>
                <w:sz w:val="14"/>
              </w:rPr>
              <w:t>N/A</w:t>
            </w:r>
          </w:p>
        </w:tc>
        <w:tc>
          <w:tcPr>
            <w:tcW w:w="1489" w:type="dxa"/>
          </w:tcPr>
          <w:p w14:paraId="0A243A8B" w14:textId="77777777" w:rsidR="00EF5B27" w:rsidRDefault="00000000">
            <w:pPr>
              <w:pStyle w:val="TableParagraph"/>
              <w:spacing w:before="134"/>
              <w:ind w:left="477"/>
              <w:rPr>
                <w:sz w:val="16"/>
              </w:rPr>
            </w:pPr>
            <w:r>
              <w:rPr>
                <w:color w:val="4D4D4F"/>
                <w:w w:val="105"/>
                <w:sz w:val="16"/>
              </w:rPr>
              <w:t>Unclear</w:t>
            </w:r>
          </w:p>
        </w:tc>
      </w:tr>
    </w:tbl>
    <w:p w14:paraId="6E6DF771" w14:textId="77777777" w:rsidR="00EF5B27" w:rsidRDefault="00EF5B27">
      <w:pPr>
        <w:pStyle w:val="BodyText"/>
        <w:spacing w:before="2"/>
        <w:rPr>
          <w:sz w:val="33"/>
        </w:rPr>
      </w:pPr>
    </w:p>
    <w:p w14:paraId="0BBA9D98" w14:textId="77777777" w:rsidR="00EF5B27" w:rsidRDefault="00000000">
      <w:pPr>
        <w:pStyle w:val="Heading3"/>
      </w:pPr>
      <w:r>
        <w:rPr>
          <w:color w:val="F99F2A"/>
        </w:rPr>
        <w:t>Results interpretation</w:t>
      </w:r>
    </w:p>
    <w:p w14:paraId="113C874B" w14:textId="77777777" w:rsidR="00EF5B27" w:rsidRDefault="00000000">
      <w:pPr>
        <w:pStyle w:val="BodyText"/>
        <w:spacing w:before="221" w:line="254" w:lineRule="auto"/>
        <w:ind w:left="2608" w:right="151"/>
      </w:pPr>
      <w:r>
        <w:rPr>
          <w:color w:val="4D4D4F"/>
        </w:rPr>
        <w:t>As results are currently unable to be assessed, an interpretation of results is not provided here.</w:t>
      </w:r>
    </w:p>
    <w:p w14:paraId="5A1F0F21" w14:textId="77777777" w:rsidR="00EF5B27" w:rsidRDefault="00000000">
      <w:pPr>
        <w:pStyle w:val="Heading3"/>
        <w:spacing w:before="120"/>
      </w:pPr>
      <w:r>
        <w:rPr>
          <w:color w:val="F99F2A"/>
        </w:rPr>
        <w:t>Key insights and management implications</w:t>
      </w:r>
    </w:p>
    <w:p w14:paraId="74943861" w14:textId="77777777" w:rsidR="00EF5B27" w:rsidRDefault="00000000">
      <w:pPr>
        <w:pStyle w:val="BodyText"/>
        <w:spacing w:before="107" w:line="254" w:lineRule="auto"/>
        <w:ind w:left="2608" w:right="221"/>
        <w:rPr>
          <w:sz w:val="11"/>
        </w:rPr>
      </w:pPr>
      <w:r>
        <w:rPr>
          <w:color w:val="4D4D4F"/>
        </w:rPr>
        <w:t>It is unclear if and how well the species is persisting. The MSA program has been unable to secure the area containing the remnant grassland habitat of Small Golden Moths Orchid and currently no interim management is being undertaken.</w:t>
      </w:r>
      <w:r>
        <w:rPr>
          <w:color w:val="4D4D4F"/>
          <w:position w:val="7"/>
          <w:sz w:val="11"/>
        </w:rPr>
        <w:t>243</w:t>
      </w:r>
    </w:p>
    <w:p w14:paraId="7543E7CE" w14:textId="77777777" w:rsidR="00EF5B27" w:rsidRDefault="00EF5B27">
      <w:pPr>
        <w:pStyle w:val="BodyText"/>
        <w:spacing w:before="8"/>
        <w:rPr>
          <w:sz w:val="21"/>
        </w:rPr>
      </w:pPr>
    </w:p>
    <w:p w14:paraId="4920D2BB" w14:textId="77777777" w:rsidR="00EF5B27" w:rsidRDefault="00000000">
      <w:pPr>
        <w:pStyle w:val="BodyText"/>
        <w:spacing w:line="254" w:lineRule="auto"/>
        <w:ind w:left="2608" w:right="127"/>
        <w:jc w:val="both"/>
      </w:pPr>
      <w:r>
        <w:rPr>
          <w:color w:val="4D4D4F"/>
        </w:rPr>
        <w:t xml:space="preserve">As </w:t>
      </w:r>
      <w:r>
        <w:rPr>
          <w:color w:val="4D4D4F"/>
          <w:spacing w:val="-4"/>
        </w:rPr>
        <w:t xml:space="preserve">this </w:t>
      </w:r>
      <w:r>
        <w:rPr>
          <w:color w:val="4D4D4F"/>
          <w:spacing w:val="-3"/>
        </w:rPr>
        <w:t xml:space="preserve">is the last </w:t>
      </w:r>
      <w:r>
        <w:rPr>
          <w:color w:val="4D4D4F"/>
        </w:rPr>
        <w:t xml:space="preserve">known </w:t>
      </w:r>
      <w:r>
        <w:rPr>
          <w:color w:val="4D4D4F"/>
          <w:spacing w:val="-4"/>
        </w:rPr>
        <w:t xml:space="preserve">population </w:t>
      </w:r>
      <w:r>
        <w:rPr>
          <w:color w:val="4D4D4F"/>
        </w:rPr>
        <w:t xml:space="preserve">of </w:t>
      </w:r>
      <w:r>
        <w:rPr>
          <w:color w:val="4D4D4F"/>
          <w:spacing w:val="-3"/>
        </w:rPr>
        <w:t xml:space="preserve">the </w:t>
      </w:r>
      <w:r>
        <w:rPr>
          <w:color w:val="4D4D4F"/>
          <w:spacing w:val="-4"/>
        </w:rPr>
        <w:t xml:space="preserve">Small </w:t>
      </w:r>
      <w:r>
        <w:rPr>
          <w:color w:val="4D4D4F"/>
          <w:spacing w:val="-3"/>
        </w:rPr>
        <w:t xml:space="preserve">Golden Moths </w:t>
      </w:r>
      <w:r>
        <w:rPr>
          <w:color w:val="4D4D4F"/>
        </w:rPr>
        <w:t>Orchid,</w:t>
      </w:r>
      <w:r>
        <w:rPr>
          <w:color w:val="4D4D4F"/>
          <w:position w:val="7"/>
          <w:sz w:val="11"/>
        </w:rPr>
        <w:t xml:space="preserve">244 </w:t>
      </w:r>
      <w:r>
        <w:rPr>
          <w:color w:val="4D4D4F"/>
          <w:spacing w:val="-3"/>
        </w:rPr>
        <w:t xml:space="preserve">with the species </w:t>
      </w:r>
      <w:r>
        <w:rPr>
          <w:color w:val="4D4D4F"/>
        </w:rPr>
        <w:t xml:space="preserve">having undergone a ‘catastrophic reduction in range and </w:t>
      </w:r>
      <w:r>
        <w:rPr>
          <w:color w:val="4D4D4F"/>
          <w:spacing w:val="-3"/>
        </w:rPr>
        <w:t xml:space="preserve">distribution’ </w:t>
      </w:r>
      <w:r>
        <w:rPr>
          <w:color w:val="4D4D4F"/>
        </w:rPr>
        <w:t>in recent years,</w:t>
      </w:r>
      <w:r>
        <w:rPr>
          <w:color w:val="4D4D4F"/>
          <w:position w:val="7"/>
          <w:sz w:val="11"/>
        </w:rPr>
        <w:t xml:space="preserve">245 </w:t>
      </w:r>
      <w:r>
        <w:rPr>
          <w:color w:val="4D4D4F"/>
        </w:rPr>
        <w:t>the species is considered extremely vulnerable to threats. Because of this, pressures such as subtle changes in biomass and rabbits may be problematic for the species.</w:t>
      </w:r>
    </w:p>
    <w:p w14:paraId="0B412462" w14:textId="77777777" w:rsidR="00EF5B27" w:rsidRDefault="00000000">
      <w:pPr>
        <w:pStyle w:val="BodyText"/>
        <w:spacing w:before="118" w:line="254" w:lineRule="auto"/>
        <w:ind w:left="2608" w:right="221"/>
      </w:pPr>
      <w:r>
        <w:rPr>
          <w:color w:val="4D4D4F"/>
        </w:rPr>
        <w:t>Urgent action is required to understand potential threats to the population of the Small Golden Moths Orchid to halt potential species decline and</w:t>
      </w:r>
      <w:r>
        <w:rPr>
          <w:color w:val="4D4D4F"/>
          <w:spacing w:val="17"/>
        </w:rPr>
        <w:t xml:space="preserve"> </w:t>
      </w:r>
      <w:r>
        <w:rPr>
          <w:color w:val="4D4D4F"/>
        </w:rPr>
        <w:t>extinction.</w:t>
      </w:r>
    </w:p>
    <w:p w14:paraId="5D1D6BE9" w14:textId="77777777" w:rsidR="00EF5B27" w:rsidRDefault="00EF5B27">
      <w:pPr>
        <w:pStyle w:val="BodyText"/>
      </w:pPr>
    </w:p>
    <w:p w14:paraId="4CC1BF35" w14:textId="77777777" w:rsidR="00EF5B27" w:rsidRDefault="00EF5B27">
      <w:pPr>
        <w:pStyle w:val="BodyText"/>
      </w:pPr>
    </w:p>
    <w:p w14:paraId="3FD12DDE" w14:textId="77777777" w:rsidR="00EF5B27" w:rsidRDefault="00EF5B27">
      <w:pPr>
        <w:pStyle w:val="BodyText"/>
      </w:pPr>
    </w:p>
    <w:p w14:paraId="56D980C7" w14:textId="77777777" w:rsidR="00EF5B27" w:rsidRDefault="00EF5B27">
      <w:pPr>
        <w:pStyle w:val="BodyText"/>
      </w:pPr>
    </w:p>
    <w:p w14:paraId="712E380B" w14:textId="77777777" w:rsidR="00EF5B27" w:rsidRDefault="00EF5B27">
      <w:pPr>
        <w:pStyle w:val="BodyText"/>
      </w:pPr>
    </w:p>
    <w:p w14:paraId="1528F177" w14:textId="77777777" w:rsidR="00EF5B27" w:rsidRDefault="00EF5B27">
      <w:pPr>
        <w:pStyle w:val="BodyText"/>
      </w:pPr>
    </w:p>
    <w:p w14:paraId="5EC41242" w14:textId="77777777" w:rsidR="00EF5B27" w:rsidRDefault="00EF5B27">
      <w:pPr>
        <w:pStyle w:val="BodyText"/>
      </w:pPr>
    </w:p>
    <w:p w14:paraId="22FD5860" w14:textId="77777777" w:rsidR="00EF5B27" w:rsidRDefault="00EF5B27">
      <w:pPr>
        <w:pStyle w:val="BodyText"/>
      </w:pPr>
    </w:p>
    <w:p w14:paraId="6C343204" w14:textId="77777777" w:rsidR="00EF5B27" w:rsidRDefault="00EF5B27">
      <w:pPr>
        <w:pStyle w:val="BodyText"/>
      </w:pPr>
    </w:p>
    <w:p w14:paraId="296FA6CF" w14:textId="77777777" w:rsidR="00EF5B27" w:rsidRDefault="00EF5B27">
      <w:pPr>
        <w:pStyle w:val="BodyText"/>
      </w:pPr>
    </w:p>
    <w:p w14:paraId="3B5F27A5" w14:textId="77777777" w:rsidR="00EF5B27" w:rsidRDefault="00EF5B27">
      <w:pPr>
        <w:pStyle w:val="BodyText"/>
      </w:pPr>
    </w:p>
    <w:p w14:paraId="4C80B39E" w14:textId="77777777" w:rsidR="00EF5B27" w:rsidRDefault="00EF5B27">
      <w:pPr>
        <w:pStyle w:val="BodyText"/>
      </w:pPr>
    </w:p>
    <w:p w14:paraId="0077839A" w14:textId="77777777" w:rsidR="00EF5B27" w:rsidRDefault="00EF5B27">
      <w:pPr>
        <w:pStyle w:val="BodyText"/>
      </w:pPr>
    </w:p>
    <w:p w14:paraId="04005E33" w14:textId="77777777" w:rsidR="00EF5B27" w:rsidRDefault="00EF5B27">
      <w:pPr>
        <w:pStyle w:val="BodyText"/>
      </w:pPr>
    </w:p>
    <w:p w14:paraId="1D2A874C" w14:textId="77777777" w:rsidR="00EF5B27" w:rsidRDefault="00EF5B27">
      <w:pPr>
        <w:pStyle w:val="BodyText"/>
      </w:pPr>
    </w:p>
    <w:p w14:paraId="03953980" w14:textId="77777777" w:rsidR="00EF5B27" w:rsidRDefault="00EF5B27">
      <w:pPr>
        <w:pStyle w:val="BodyText"/>
      </w:pPr>
    </w:p>
    <w:p w14:paraId="0ECB913F" w14:textId="77777777" w:rsidR="00EF5B27" w:rsidRDefault="00EF5B27">
      <w:pPr>
        <w:pStyle w:val="BodyText"/>
      </w:pPr>
    </w:p>
    <w:p w14:paraId="328FE063" w14:textId="77777777" w:rsidR="00EF5B27" w:rsidRDefault="00EF5B27">
      <w:pPr>
        <w:pStyle w:val="BodyText"/>
      </w:pPr>
    </w:p>
    <w:p w14:paraId="54A00487" w14:textId="77777777" w:rsidR="00EF5B27" w:rsidRDefault="00EF5B27">
      <w:pPr>
        <w:pStyle w:val="BodyText"/>
      </w:pPr>
    </w:p>
    <w:p w14:paraId="19DA86F9" w14:textId="77777777" w:rsidR="00EF5B27" w:rsidRDefault="00000000">
      <w:pPr>
        <w:pStyle w:val="BodyText"/>
        <w:spacing w:before="9"/>
        <w:rPr>
          <w:sz w:val="25"/>
        </w:rPr>
      </w:pPr>
      <w:r>
        <w:pict w14:anchorId="473419E3">
          <v:line id="_x0000_s2825" style="position:absolute;z-index:251622912;mso-wrap-distance-left:0;mso-wrap-distance-right:0;mso-position-horizontal-relative:page" from="181.4pt,17.95pt" to="538.6pt,17.95pt" strokecolor="#4d4d4f" strokeweight=".5pt">
            <w10:wrap type="topAndBottom" anchorx="page"/>
          </v:line>
        </w:pict>
      </w:r>
    </w:p>
    <w:p w14:paraId="6F78CB08" w14:textId="77777777" w:rsidR="00EF5B27" w:rsidRDefault="00000000">
      <w:pPr>
        <w:pStyle w:val="ListParagraph"/>
        <w:numPr>
          <w:ilvl w:val="0"/>
          <w:numId w:val="22"/>
        </w:numPr>
        <w:tabs>
          <w:tab w:val="left" w:pos="2836"/>
        </w:tabs>
        <w:spacing w:before="83" w:line="143" w:lineRule="exac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0811E42D" w14:textId="77777777" w:rsidR="00EF5B27" w:rsidRDefault="00000000">
      <w:pPr>
        <w:pStyle w:val="ListParagraph"/>
        <w:numPr>
          <w:ilvl w:val="0"/>
          <w:numId w:val="22"/>
        </w:numPr>
        <w:tabs>
          <w:tab w:val="left" w:pos="2836"/>
        </w:tabs>
        <w:spacing w:line="140" w:lineRule="exact"/>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316B45F9" w14:textId="77777777" w:rsidR="00EF5B27" w:rsidRDefault="00000000">
      <w:pPr>
        <w:pStyle w:val="ListParagraph"/>
        <w:numPr>
          <w:ilvl w:val="0"/>
          <w:numId w:val="22"/>
        </w:numPr>
        <w:tabs>
          <w:tab w:val="left" w:pos="2836"/>
        </w:tabs>
        <w:spacing w:before="2" w:line="230" w:lineRule="auto"/>
        <w:ind w:right="111"/>
        <w:rPr>
          <w:sz w:val="12"/>
        </w:rPr>
      </w:pPr>
      <w:r>
        <w:rPr>
          <w:color w:val="4D4D4F"/>
          <w:spacing w:val="2"/>
          <w:w w:val="105"/>
          <w:sz w:val="12"/>
        </w:rPr>
        <w:t>Backhouse,</w:t>
      </w:r>
      <w:r>
        <w:rPr>
          <w:color w:val="4D4D4F"/>
          <w:spacing w:val="-5"/>
          <w:w w:val="105"/>
          <w:sz w:val="12"/>
        </w:rPr>
        <w:t xml:space="preserve"> </w:t>
      </w:r>
      <w:r>
        <w:rPr>
          <w:color w:val="4D4D4F"/>
          <w:w w:val="105"/>
          <w:sz w:val="12"/>
        </w:rPr>
        <w:t>G;</w:t>
      </w:r>
      <w:r>
        <w:rPr>
          <w:color w:val="4D4D4F"/>
          <w:spacing w:val="-5"/>
          <w:w w:val="105"/>
          <w:sz w:val="12"/>
        </w:rPr>
        <w:t xml:space="preserve"> </w:t>
      </w:r>
      <w:r>
        <w:rPr>
          <w:color w:val="4D4D4F"/>
          <w:w w:val="105"/>
          <w:sz w:val="12"/>
        </w:rPr>
        <w:t>Lester,</w:t>
      </w:r>
      <w:r>
        <w:rPr>
          <w:color w:val="4D4D4F"/>
          <w:spacing w:val="-5"/>
          <w:w w:val="105"/>
          <w:sz w:val="12"/>
        </w:rPr>
        <w:t xml:space="preserve"> </w:t>
      </w:r>
      <w:r>
        <w:rPr>
          <w:color w:val="4D4D4F"/>
          <w:w w:val="105"/>
          <w:sz w:val="12"/>
        </w:rPr>
        <w:t>K</w:t>
      </w:r>
      <w:r>
        <w:rPr>
          <w:color w:val="4D4D4F"/>
          <w:spacing w:val="-4"/>
          <w:w w:val="105"/>
          <w:sz w:val="12"/>
        </w:rPr>
        <w:t xml:space="preserve"> </w:t>
      </w:r>
      <w:r>
        <w:rPr>
          <w:color w:val="4D4D4F"/>
          <w:w w:val="105"/>
          <w:sz w:val="12"/>
        </w:rPr>
        <w:t>2010.</w:t>
      </w:r>
      <w:r>
        <w:rPr>
          <w:color w:val="4D4D4F"/>
          <w:spacing w:val="-5"/>
          <w:w w:val="105"/>
          <w:sz w:val="12"/>
        </w:rPr>
        <w:t xml:space="preserve"> </w:t>
      </w:r>
      <w:hyperlink r:id="rId156">
        <w:r>
          <w:rPr>
            <w:color w:val="4D4D4F"/>
            <w:w w:val="105"/>
            <w:sz w:val="12"/>
          </w:rPr>
          <w:t>"National</w:t>
        </w:r>
        <w:r>
          <w:rPr>
            <w:color w:val="4D4D4F"/>
            <w:spacing w:val="-5"/>
            <w:w w:val="105"/>
            <w:sz w:val="12"/>
          </w:rPr>
          <w:t xml:space="preserve"> </w:t>
        </w:r>
        <w:r>
          <w:rPr>
            <w:color w:val="4D4D4F"/>
            <w:spacing w:val="2"/>
            <w:w w:val="105"/>
            <w:sz w:val="12"/>
          </w:rPr>
          <w:t>Recovery</w:t>
        </w:r>
        <w:r>
          <w:rPr>
            <w:color w:val="4D4D4F"/>
            <w:spacing w:val="-4"/>
            <w:w w:val="105"/>
            <w:sz w:val="12"/>
          </w:rPr>
          <w:t xml:space="preserve"> </w:t>
        </w:r>
        <w:r>
          <w:rPr>
            <w:color w:val="4D4D4F"/>
            <w:w w:val="105"/>
            <w:sz w:val="12"/>
          </w:rPr>
          <w:t>Plan</w:t>
        </w:r>
        <w:r>
          <w:rPr>
            <w:color w:val="4D4D4F"/>
            <w:spacing w:val="-5"/>
            <w:w w:val="105"/>
            <w:sz w:val="12"/>
          </w:rPr>
          <w:t xml:space="preserve"> </w:t>
        </w:r>
        <w:r>
          <w:rPr>
            <w:color w:val="4D4D4F"/>
            <w:w w:val="105"/>
            <w:sz w:val="12"/>
          </w:rPr>
          <w:t>for</w:t>
        </w:r>
        <w:r>
          <w:rPr>
            <w:color w:val="4D4D4F"/>
            <w:spacing w:val="-5"/>
            <w:w w:val="105"/>
            <w:sz w:val="12"/>
          </w:rPr>
          <w:t xml:space="preserve"> </w:t>
        </w:r>
        <w:r>
          <w:rPr>
            <w:color w:val="4D4D4F"/>
            <w:w w:val="105"/>
            <w:sz w:val="12"/>
          </w:rPr>
          <w:t>the</w:t>
        </w:r>
        <w:r>
          <w:rPr>
            <w:color w:val="4D4D4F"/>
            <w:spacing w:val="-5"/>
            <w:w w:val="105"/>
            <w:sz w:val="12"/>
          </w:rPr>
          <w:t xml:space="preserve"> </w:t>
        </w:r>
        <w:r>
          <w:rPr>
            <w:color w:val="4D4D4F"/>
            <w:w w:val="105"/>
            <w:sz w:val="12"/>
          </w:rPr>
          <w:t>Small</w:t>
        </w:r>
        <w:r>
          <w:rPr>
            <w:color w:val="4D4D4F"/>
            <w:spacing w:val="-4"/>
            <w:w w:val="105"/>
            <w:sz w:val="12"/>
          </w:rPr>
          <w:t xml:space="preserve"> </w:t>
        </w:r>
        <w:r>
          <w:rPr>
            <w:color w:val="4D4D4F"/>
            <w:w w:val="105"/>
            <w:sz w:val="12"/>
          </w:rPr>
          <w:t>Golden</w:t>
        </w:r>
        <w:r>
          <w:rPr>
            <w:color w:val="4D4D4F"/>
            <w:spacing w:val="-5"/>
            <w:w w:val="105"/>
            <w:sz w:val="12"/>
          </w:rPr>
          <w:t xml:space="preserve"> </w:t>
        </w:r>
        <w:r>
          <w:rPr>
            <w:color w:val="4D4D4F"/>
            <w:w w:val="105"/>
            <w:sz w:val="12"/>
          </w:rPr>
          <w:t>Moths</w:t>
        </w:r>
        <w:r>
          <w:rPr>
            <w:color w:val="4D4D4F"/>
            <w:spacing w:val="-5"/>
            <w:w w:val="105"/>
            <w:sz w:val="12"/>
          </w:rPr>
          <w:t xml:space="preserve"> </w:t>
        </w:r>
        <w:r>
          <w:rPr>
            <w:color w:val="4D4D4F"/>
            <w:w w:val="105"/>
            <w:sz w:val="12"/>
          </w:rPr>
          <w:t>Orchid</w:t>
        </w:r>
        <w:r>
          <w:rPr>
            <w:color w:val="4D4D4F"/>
            <w:spacing w:val="-4"/>
            <w:w w:val="105"/>
            <w:sz w:val="12"/>
          </w:rPr>
          <w:t xml:space="preserve"> </w:t>
        </w:r>
        <w:r>
          <w:rPr>
            <w:rFonts w:ascii="Arial Narrow"/>
            <w:i/>
            <w:color w:val="4D4D4F"/>
            <w:w w:val="105"/>
            <w:sz w:val="12"/>
          </w:rPr>
          <w:t>Diuris</w:t>
        </w:r>
        <w:r>
          <w:rPr>
            <w:rFonts w:ascii="Arial Narrow"/>
            <w:i/>
            <w:color w:val="4D4D4F"/>
            <w:spacing w:val="-5"/>
            <w:w w:val="105"/>
            <w:sz w:val="12"/>
          </w:rPr>
          <w:t xml:space="preserve"> </w:t>
        </w:r>
        <w:r>
          <w:rPr>
            <w:rFonts w:ascii="Arial Narrow"/>
            <w:i/>
            <w:color w:val="4D4D4F"/>
            <w:w w:val="105"/>
            <w:sz w:val="12"/>
          </w:rPr>
          <w:t>basaltica</w:t>
        </w:r>
        <w:r>
          <w:rPr>
            <w:color w:val="4D4D4F"/>
            <w:w w:val="105"/>
            <w:sz w:val="12"/>
          </w:rPr>
          <w:t>"</w:t>
        </w:r>
        <w:r>
          <w:rPr>
            <w:color w:val="4D4D4F"/>
            <w:spacing w:val="-5"/>
            <w:w w:val="105"/>
            <w:sz w:val="12"/>
          </w:rPr>
          <w:t xml:space="preserve"> </w:t>
        </w:r>
      </w:hyperlink>
      <w:r>
        <w:rPr>
          <w:color w:val="4D4D4F"/>
          <w:w w:val="105"/>
          <w:sz w:val="12"/>
        </w:rPr>
        <w:t>(PDF).</w:t>
      </w:r>
      <w:r>
        <w:rPr>
          <w:color w:val="4D4D4F"/>
          <w:spacing w:val="-5"/>
          <w:w w:val="105"/>
          <w:sz w:val="12"/>
        </w:rPr>
        <w:t xml:space="preserve"> </w:t>
      </w:r>
      <w:r>
        <w:rPr>
          <w:color w:val="4D4D4F"/>
          <w:w w:val="105"/>
          <w:sz w:val="12"/>
        </w:rPr>
        <w:t>Australian</w:t>
      </w:r>
      <w:r>
        <w:rPr>
          <w:color w:val="4D4D4F"/>
          <w:spacing w:val="-4"/>
          <w:w w:val="105"/>
          <w:sz w:val="12"/>
        </w:rPr>
        <w:t xml:space="preserve"> </w:t>
      </w:r>
      <w:r>
        <w:rPr>
          <w:color w:val="4D4D4F"/>
          <w:w w:val="105"/>
          <w:sz w:val="12"/>
        </w:rPr>
        <w:t xml:space="preserve">Government Department of the Environment. </w:t>
      </w:r>
      <w:r>
        <w:rPr>
          <w:color w:val="4D4D4F"/>
          <w:spacing w:val="2"/>
          <w:w w:val="105"/>
          <w:sz w:val="12"/>
        </w:rPr>
        <w:t xml:space="preserve">Accessed </w:t>
      </w:r>
      <w:r>
        <w:rPr>
          <w:color w:val="4D4D4F"/>
          <w:w w:val="105"/>
          <w:sz w:val="12"/>
        </w:rPr>
        <w:t>5 March</w:t>
      </w:r>
      <w:r>
        <w:rPr>
          <w:color w:val="4D4D4F"/>
          <w:spacing w:val="-3"/>
          <w:w w:val="105"/>
          <w:sz w:val="12"/>
        </w:rPr>
        <w:t xml:space="preserve"> </w:t>
      </w:r>
      <w:r>
        <w:rPr>
          <w:color w:val="4D4D4F"/>
          <w:spacing w:val="2"/>
          <w:w w:val="105"/>
          <w:sz w:val="12"/>
        </w:rPr>
        <w:t>2022.</w:t>
      </w:r>
    </w:p>
    <w:p w14:paraId="7B684110"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6994FA52" w14:textId="77777777" w:rsidR="00EF5B27" w:rsidRDefault="00000000">
      <w:pPr>
        <w:pStyle w:val="BodyText"/>
      </w:pPr>
      <w:r>
        <w:lastRenderedPageBreak/>
        <w:pict w14:anchorId="34D1E7FE">
          <v:group id="_x0000_s2817" style="position:absolute;margin-left:587.05pt;margin-top:183.4pt;width:8.25pt;height:153.1pt;z-index:251700736;mso-position-horizontal-relative:page;mso-position-vertical-relative:page" coordorigin="11741,3668" coordsize="165,3062">
            <v:shape id="_x0000_s2824" style="position:absolute;left:11741;top:3668;width:165;height:561" coordorigin="11741,3668" coordsize="165,561" path="m11906,3668r-165,l11741,4228r165,-18l11906,3668xe" fillcolor="#00aed9" stroked="f">
              <v:path arrowok="t"/>
            </v:shape>
            <v:shape id="_x0000_s2823" style="position:absolute;left:11741;top:4118;width:165;height:425" coordorigin="11741,4118" coordsize="165,425" path="m11906,4118r-165,14l11741,4531r165,12l11906,4118xe" fillcolor="#047ebc" stroked="f">
              <v:path arrowok="t"/>
            </v:shape>
            <v:shape id="_x0000_s2822" type="#_x0000_t75" style="position:absolute;left:11741;top:4355;width:165;height:587">
              <v:imagedata r:id="rId42" o:title=""/>
            </v:shape>
            <v:shape id="_x0000_s2821" style="position:absolute;left:11741;top:5343;width:165;height:536" coordorigin="11741,5343" coordsize="165,536" path="m11741,5343r,535l11906,5872r,-525l11741,5343xe" fillcolor="#f36a2e" stroked="f">
              <v:path arrowok="t"/>
            </v:shape>
            <v:shape id="_x0000_s2820" style="position:absolute;left:11741;top:4925;width:165;height:501" coordorigin="11741,4926" coordsize="165,501" path="m11741,4926r,500l11906,5426r,-485l11741,4926xe" fillcolor="#49783f" stroked="f">
              <v:path arrowok="t"/>
            </v:shape>
            <v:shape id="_x0000_s2819" style="position:absolute;left:11741;top:5781;width:165;height:268" coordorigin="11741,5782" coordsize="165,268" path="m11906,5782r-165,8l11741,6039r165,10l11906,5782xe" fillcolor="#f99f2a" stroked="f">
              <v:path arrowok="t"/>
            </v:shape>
            <v:shape id="_x0000_s2818" style="position:absolute;left:11741;top:6023;width:165;height:707" coordorigin="11741,6023" coordsize="165,707" path="m11741,6023r,706l11906,6729r,-690l11741,6023xe" fillcolor="#ef412c" stroked="f">
              <v:path arrowok="t"/>
            </v:shape>
            <w10:wrap anchorx="page" anchory="page"/>
          </v:group>
        </w:pict>
      </w:r>
    </w:p>
    <w:p w14:paraId="13541134" w14:textId="77777777" w:rsidR="00EF5B27" w:rsidRDefault="00EF5B27">
      <w:pPr>
        <w:pStyle w:val="BodyText"/>
      </w:pPr>
    </w:p>
    <w:p w14:paraId="1B24C392" w14:textId="77777777" w:rsidR="00EF5B27" w:rsidRDefault="00EF5B27">
      <w:pPr>
        <w:pStyle w:val="BodyText"/>
      </w:pPr>
    </w:p>
    <w:p w14:paraId="6C6F7D0C" w14:textId="77777777" w:rsidR="00EF5B27" w:rsidRDefault="00EF5B27">
      <w:pPr>
        <w:pStyle w:val="BodyText"/>
        <w:spacing w:before="8"/>
      </w:pPr>
    </w:p>
    <w:p w14:paraId="0C1D1A5E" w14:textId="77777777" w:rsidR="00EF5B27" w:rsidRDefault="00000000">
      <w:pPr>
        <w:pStyle w:val="Heading2"/>
      </w:pPr>
      <w:bookmarkStart w:id="92" w:name="_bookmark63"/>
      <w:bookmarkEnd w:id="92"/>
      <w:r>
        <w:rPr>
          <w:color w:val="F99F2A"/>
          <w:w w:val="105"/>
        </w:rPr>
        <w:t>MNES 10: Striped Legless Lizard</w:t>
      </w:r>
    </w:p>
    <w:p w14:paraId="538935EE" w14:textId="77777777" w:rsidR="00EF5B27" w:rsidRDefault="00EF5B27">
      <w:pPr>
        <w:pStyle w:val="BodyText"/>
        <w:spacing w:before="11"/>
        <w:rPr>
          <w:b/>
          <w:sz w:val="77"/>
        </w:rPr>
      </w:pPr>
    </w:p>
    <w:p w14:paraId="51E6C4A0" w14:textId="77777777" w:rsidR="00EF5B27" w:rsidRDefault="00000000">
      <w:pPr>
        <w:pStyle w:val="Heading3"/>
      </w:pPr>
      <w:r>
        <w:rPr>
          <w:color w:val="F99F2A"/>
        </w:rPr>
        <w:t>Background</w:t>
      </w:r>
    </w:p>
    <w:p w14:paraId="1D120DD0" w14:textId="77777777" w:rsidR="00EF5B27" w:rsidRDefault="00000000">
      <w:pPr>
        <w:pStyle w:val="Heading6"/>
        <w:spacing w:before="221" w:line="254" w:lineRule="auto"/>
        <w:ind w:right="151"/>
        <w:rPr>
          <w:sz w:val="11"/>
        </w:rPr>
      </w:pPr>
      <w:r>
        <w:rPr>
          <w:color w:val="4D4D4F"/>
        </w:rPr>
        <w:t>Striped Legless Lizard (</w:t>
      </w:r>
      <w:r>
        <w:rPr>
          <w:i/>
          <w:color w:val="4D4D4F"/>
        </w:rPr>
        <w:t>Delma impar</w:t>
      </w:r>
      <w:r>
        <w:rPr>
          <w:color w:val="4D4D4F"/>
        </w:rPr>
        <w:t>) is a flap-footed lizard lacking forelimbs and with its hind limbs reduced to small flaps.</w:t>
      </w:r>
      <w:r>
        <w:rPr>
          <w:color w:val="4D4D4F"/>
          <w:position w:val="7"/>
          <w:sz w:val="11"/>
        </w:rPr>
        <w:t xml:space="preserve">246 </w:t>
      </w:r>
      <w:r>
        <w:rPr>
          <w:color w:val="4D4D4F"/>
        </w:rPr>
        <w:t>The species is found in the ACT, Victoria, New South Wales and South Australia. The Victorian range has contracted south, with significant populations in the western suburbs of Melbourne.</w:t>
      </w:r>
      <w:r>
        <w:rPr>
          <w:color w:val="4D4D4F"/>
          <w:position w:val="7"/>
          <w:sz w:val="11"/>
        </w:rPr>
        <w:t>247</w:t>
      </w:r>
    </w:p>
    <w:p w14:paraId="58A89650" w14:textId="77777777" w:rsidR="00EF5B27" w:rsidRDefault="00000000">
      <w:pPr>
        <w:pStyle w:val="BodyText"/>
        <w:spacing w:before="118"/>
        <w:ind w:left="2608"/>
      </w:pPr>
      <w:r>
        <w:rPr>
          <w:color w:val="4D4D4F"/>
          <w:w w:val="105"/>
        </w:rPr>
        <w:t>EPBC listing status: Vulnerable</w:t>
      </w:r>
    </w:p>
    <w:p w14:paraId="569B6C47" w14:textId="77777777" w:rsidR="00EF5B27" w:rsidRDefault="00000000">
      <w:pPr>
        <w:pStyle w:val="BodyText"/>
        <w:spacing w:before="7"/>
        <w:rPr>
          <w:sz w:val="29"/>
        </w:rPr>
      </w:pPr>
      <w:r>
        <w:rPr>
          <w:noProof/>
        </w:rPr>
        <w:drawing>
          <wp:anchor distT="0" distB="0" distL="0" distR="0" simplePos="0" relativeHeight="251301376" behindDoc="0" locked="0" layoutInCell="1" allowOverlap="1" wp14:anchorId="73BDBC88" wp14:editId="50F6B5A0">
            <wp:simplePos x="0" y="0"/>
            <wp:positionH relativeFrom="page">
              <wp:posOffset>2304000</wp:posOffset>
            </wp:positionH>
            <wp:positionV relativeFrom="paragraph">
              <wp:posOffset>254225</wp:posOffset>
            </wp:positionV>
            <wp:extent cx="4535423" cy="2551176"/>
            <wp:effectExtent l="0" t="0" r="0" b="0"/>
            <wp:wrapTopAndBottom/>
            <wp:docPr id="501" name="image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197.jpeg"/>
                    <pic:cNvPicPr/>
                  </pic:nvPicPr>
                  <pic:blipFill>
                    <a:blip r:embed="rId157" cstate="print"/>
                    <a:stretch>
                      <a:fillRect/>
                    </a:stretch>
                  </pic:blipFill>
                  <pic:spPr>
                    <a:xfrm>
                      <a:off x="0" y="0"/>
                      <a:ext cx="4535423" cy="2551176"/>
                    </a:xfrm>
                    <a:prstGeom prst="rect">
                      <a:avLst/>
                    </a:prstGeom>
                  </pic:spPr>
                </pic:pic>
              </a:graphicData>
            </a:graphic>
          </wp:anchor>
        </w:drawing>
      </w:r>
    </w:p>
    <w:p w14:paraId="2395CB3E" w14:textId="77777777" w:rsidR="00EF5B27" w:rsidRDefault="00000000">
      <w:pPr>
        <w:pStyle w:val="BodyText"/>
        <w:tabs>
          <w:tab w:val="left" w:pos="8977"/>
        </w:tabs>
        <w:spacing w:before="106"/>
        <w:ind w:left="2608"/>
        <w:rPr>
          <w:rFonts w:ascii="Century Gothic"/>
          <w:i/>
          <w:sz w:val="12"/>
        </w:rPr>
      </w:pPr>
      <w:r>
        <w:rPr>
          <w:color w:val="4D4D4F"/>
        </w:rPr>
        <w:t>Figure</w:t>
      </w:r>
      <w:r>
        <w:rPr>
          <w:color w:val="4D4D4F"/>
          <w:spacing w:val="17"/>
        </w:rPr>
        <w:t xml:space="preserve"> </w:t>
      </w:r>
      <w:r>
        <w:rPr>
          <w:color w:val="4D4D4F"/>
        </w:rPr>
        <w:t>37:</w:t>
      </w:r>
      <w:r>
        <w:rPr>
          <w:color w:val="4D4D4F"/>
          <w:spacing w:val="17"/>
        </w:rPr>
        <w:t xml:space="preserve"> </w:t>
      </w:r>
      <w:r>
        <w:rPr>
          <w:color w:val="4D4D4F"/>
        </w:rPr>
        <w:t>Striped</w:t>
      </w:r>
      <w:r>
        <w:rPr>
          <w:color w:val="4D4D4F"/>
          <w:spacing w:val="17"/>
        </w:rPr>
        <w:t xml:space="preserve"> </w:t>
      </w:r>
      <w:r>
        <w:rPr>
          <w:color w:val="4D4D4F"/>
        </w:rPr>
        <w:t>Legless</w:t>
      </w:r>
      <w:r>
        <w:rPr>
          <w:color w:val="4D4D4F"/>
          <w:spacing w:val="17"/>
        </w:rPr>
        <w:t xml:space="preserve"> </w:t>
      </w:r>
      <w:r>
        <w:rPr>
          <w:color w:val="4D4D4F"/>
        </w:rPr>
        <w:t>Lizard</w:t>
      </w:r>
      <w:r>
        <w:rPr>
          <w:color w:val="4D4D4F"/>
          <w:spacing w:val="18"/>
        </w:rPr>
        <w:t xml:space="preserve"> </w:t>
      </w:r>
      <w:r>
        <w:rPr>
          <w:color w:val="4D4D4F"/>
        </w:rPr>
        <w:t>within</w:t>
      </w:r>
      <w:r>
        <w:rPr>
          <w:color w:val="4D4D4F"/>
          <w:spacing w:val="17"/>
        </w:rPr>
        <w:t xml:space="preserve"> </w:t>
      </w:r>
      <w:r>
        <w:rPr>
          <w:color w:val="4D4D4F"/>
        </w:rPr>
        <w:t>the</w:t>
      </w:r>
      <w:r>
        <w:rPr>
          <w:color w:val="4D4D4F"/>
          <w:spacing w:val="17"/>
        </w:rPr>
        <w:t xml:space="preserve"> </w:t>
      </w:r>
      <w:r>
        <w:rPr>
          <w:color w:val="4D4D4F"/>
        </w:rPr>
        <w:t>Western</w:t>
      </w:r>
      <w:r>
        <w:rPr>
          <w:color w:val="4D4D4F"/>
          <w:spacing w:val="17"/>
        </w:rPr>
        <w:t xml:space="preserve"> </w:t>
      </w:r>
      <w:r>
        <w:rPr>
          <w:color w:val="4D4D4F"/>
        </w:rPr>
        <w:t>Grassland</w:t>
      </w:r>
      <w:r>
        <w:rPr>
          <w:color w:val="4D4D4F"/>
          <w:spacing w:val="18"/>
        </w:rPr>
        <w:t xml:space="preserve"> </w:t>
      </w:r>
      <w:r>
        <w:rPr>
          <w:color w:val="4D4D4F"/>
        </w:rPr>
        <w:t>Reserve</w:t>
      </w:r>
      <w:r>
        <w:rPr>
          <w:color w:val="4D4D4F"/>
        </w:rPr>
        <w:tab/>
      </w:r>
      <w:r>
        <w:rPr>
          <w:rFonts w:ascii="Century Gothic"/>
          <w:i/>
          <w:color w:val="4D4D4F"/>
          <w:sz w:val="12"/>
        </w:rPr>
        <w:t>Source:</w:t>
      </w:r>
      <w:r>
        <w:rPr>
          <w:rFonts w:ascii="Century Gothic"/>
          <w:i/>
          <w:color w:val="4D4D4F"/>
          <w:spacing w:val="-22"/>
          <w:sz w:val="12"/>
        </w:rPr>
        <w:t xml:space="preserve"> </w:t>
      </w:r>
      <w:r>
        <w:rPr>
          <w:rFonts w:ascii="Century Gothic"/>
          <w:i/>
          <w:color w:val="4D4D4F"/>
          <w:sz w:val="12"/>
        </w:rPr>
        <w:t>DELWP</w:t>
      </w:r>
    </w:p>
    <w:p w14:paraId="44A2CF22" w14:textId="77777777" w:rsidR="00EF5B27" w:rsidRDefault="00EF5B27">
      <w:pPr>
        <w:pStyle w:val="BodyText"/>
        <w:spacing w:before="8"/>
        <w:rPr>
          <w:rFonts w:ascii="Century Gothic"/>
          <w:i/>
          <w:sz w:val="28"/>
        </w:rPr>
      </w:pPr>
    </w:p>
    <w:p w14:paraId="34F11B60" w14:textId="77777777" w:rsidR="00EF5B27" w:rsidRDefault="00000000">
      <w:pPr>
        <w:pStyle w:val="Heading3"/>
      </w:pPr>
      <w:r>
        <w:rPr>
          <w:color w:val="F99F2A"/>
        </w:rPr>
        <w:t>DELWP’s conservation commitment</w:t>
      </w:r>
    </w:p>
    <w:p w14:paraId="20B40B6B" w14:textId="77777777" w:rsidR="00EF5B27" w:rsidRDefault="00000000">
      <w:pPr>
        <w:pStyle w:val="BodyText"/>
        <w:spacing w:before="221" w:line="254" w:lineRule="auto"/>
        <w:ind w:left="2608"/>
      </w:pPr>
      <w:r>
        <w:rPr>
          <w:color w:val="4D4D4F"/>
        </w:rPr>
        <w:t>DELWP published the following statements as conservation outcomes for the Striped Legless Lizard by notice in the Victorian Government Gazette:</w:t>
      </w:r>
    </w:p>
    <w:p w14:paraId="3626BDAC" w14:textId="77777777" w:rsidR="00EF5B27" w:rsidRDefault="00000000">
      <w:pPr>
        <w:pStyle w:val="BodyText"/>
        <w:spacing w:before="6"/>
        <w:rPr>
          <w:sz w:val="28"/>
        </w:rPr>
      </w:pPr>
      <w:r>
        <w:pict w14:anchorId="23A29DA8">
          <v:shape id="_x0000_s2816" type="#_x0000_t202" style="position:absolute;margin-left:181.5pt;margin-top:19.6pt;width:356.8pt;height:70pt;z-index:251624960;mso-wrap-distance-left:0;mso-wrap-distance-right:0;mso-position-horizontal-relative:page" filled="f" strokecolor="#4d4d4f" strokeweight=".5pt">
            <v:textbox inset="0,0,0,0">
              <w:txbxContent>
                <w:p w14:paraId="04E01578" w14:textId="77777777" w:rsidR="00EF5B27" w:rsidRDefault="00000000">
                  <w:pPr>
                    <w:spacing w:before="192" w:line="254" w:lineRule="auto"/>
                    <w:ind w:left="226" w:right="228"/>
                    <w:rPr>
                      <w:b/>
                      <w:i/>
                      <w:sz w:val="20"/>
                    </w:rPr>
                  </w:pPr>
                  <w:r>
                    <w:rPr>
                      <w:b/>
                      <w:i/>
                      <w:color w:val="4D4D4F"/>
                      <w:sz w:val="20"/>
                    </w:rPr>
                    <w:t>No substantial negative change to the known population of Small Golden Moths Orchid within the UGB in conservation area 3. No substantial negative change means that the count of individuals emergent at least once over a five-year period remains above 90% of the baseline.</w:t>
                  </w:r>
                </w:p>
              </w:txbxContent>
            </v:textbox>
            <w10:wrap type="topAndBottom" anchorx="page"/>
          </v:shape>
        </w:pict>
      </w:r>
    </w:p>
    <w:p w14:paraId="07473300" w14:textId="77777777" w:rsidR="00EF5B27" w:rsidRDefault="00EF5B27">
      <w:pPr>
        <w:pStyle w:val="BodyText"/>
        <w:spacing w:before="8"/>
        <w:rPr>
          <w:sz w:val="23"/>
        </w:rPr>
      </w:pPr>
    </w:p>
    <w:p w14:paraId="517C2D5D" w14:textId="77777777" w:rsidR="00EF5B27" w:rsidRDefault="00000000">
      <w:pPr>
        <w:pStyle w:val="BodyText"/>
        <w:spacing w:before="101" w:line="254" w:lineRule="auto"/>
        <w:ind w:left="2605" w:right="465"/>
      </w:pPr>
      <w:r>
        <w:rPr>
          <w:color w:val="4D4D4F"/>
        </w:rPr>
        <w:t>DELWP’s MSA MRF also summarises the conservation outcomes for the Striped Legless Lizard as a single goal statement: ‘the Striped Legless Lizard persists.’</w:t>
      </w:r>
    </w:p>
    <w:p w14:paraId="23E522A0" w14:textId="77777777" w:rsidR="00EF5B27" w:rsidRDefault="00000000">
      <w:pPr>
        <w:pStyle w:val="BodyText"/>
        <w:spacing w:before="8"/>
        <w:rPr>
          <w:sz w:val="16"/>
        </w:rPr>
      </w:pPr>
      <w:r>
        <w:pict w14:anchorId="30870A67">
          <v:line id="_x0000_s2815" style="position:absolute;z-index:251627008;mso-wrap-distance-left:0;mso-wrap-distance-right:0;mso-position-horizontal-relative:page" from="181.4pt,12.4pt" to="538.6pt,12.4pt" strokecolor="#4d4d4f" strokeweight=".5pt">
            <w10:wrap type="topAndBottom" anchorx="page"/>
          </v:line>
        </w:pict>
      </w:r>
    </w:p>
    <w:p w14:paraId="286E25CC" w14:textId="77777777" w:rsidR="00EF5B27" w:rsidRDefault="00000000">
      <w:pPr>
        <w:pStyle w:val="ListParagraph"/>
        <w:numPr>
          <w:ilvl w:val="0"/>
          <w:numId w:val="22"/>
        </w:numPr>
        <w:tabs>
          <w:tab w:val="left" w:pos="2836"/>
        </w:tabs>
        <w:spacing w:before="83" w:line="143" w:lineRule="exact"/>
        <w:rPr>
          <w:sz w:val="12"/>
        </w:rPr>
      </w:pPr>
      <w:r>
        <w:rPr>
          <w:color w:val="4D4D4F"/>
          <w:sz w:val="12"/>
        </w:rPr>
        <w:t>Wilson</w:t>
      </w:r>
      <w:r>
        <w:rPr>
          <w:color w:val="4D4D4F"/>
          <w:spacing w:val="7"/>
          <w:sz w:val="12"/>
        </w:rPr>
        <w:t xml:space="preserve"> </w:t>
      </w:r>
      <w:r>
        <w:rPr>
          <w:color w:val="4D4D4F"/>
          <w:sz w:val="12"/>
        </w:rPr>
        <w:t>SK</w:t>
      </w:r>
      <w:r>
        <w:rPr>
          <w:color w:val="4D4D4F"/>
          <w:spacing w:val="7"/>
          <w:sz w:val="12"/>
        </w:rPr>
        <w:t xml:space="preserve"> </w:t>
      </w:r>
      <w:r>
        <w:rPr>
          <w:color w:val="4D4D4F"/>
          <w:sz w:val="12"/>
        </w:rPr>
        <w:t>and</w:t>
      </w:r>
      <w:r>
        <w:rPr>
          <w:color w:val="4D4D4F"/>
          <w:spacing w:val="7"/>
          <w:sz w:val="12"/>
        </w:rPr>
        <w:t xml:space="preserve"> </w:t>
      </w:r>
      <w:r>
        <w:rPr>
          <w:color w:val="4D4D4F"/>
          <w:sz w:val="12"/>
        </w:rPr>
        <w:t>Swan</w:t>
      </w:r>
      <w:r>
        <w:rPr>
          <w:color w:val="4D4D4F"/>
          <w:spacing w:val="7"/>
          <w:sz w:val="12"/>
        </w:rPr>
        <w:t xml:space="preserve"> </w:t>
      </w:r>
      <w:r>
        <w:rPr>
          <w:color w:val="4D4D4F"/>
          <w:sz w:val="12"/>
        </w:rPr>
        <w:t>G</w:t>
      </w:r>
      <w:r>
        <w:rPr>
          <w:color w:val="4D4D4F"/>
          <w:spacing w:val="8"/>
          <w:sz w:val="12"/>
        </w:rPr>
        <w:t xml:space="preserve"> </w:t>
      </w:r>
      <w:r>
        <w:rPr>
          <w:color w:val="4D4D4F"/>
          <w:sz w:val="12"/>
        </w:rPr>
        <w:t>2010,</w:t>
      </w:r>
      <w:r>
        <w:rPr>
          <w:color w:val="4D4D4F"/>
          <w:spacing w:val="7"/>
          <w:sz w:val="12"/>
        </w:rPr>
        <w:t xml:space="preserve"> </w:t>
      </w:r>
      <w:r>
        <w:rPr>
          <w:color w:val="4D4D4F"/>
          <w:sz w:val="12"/>
        </w:rPr>
        <w:t>‘A</w:t>
      </w:r>
      <w:r>
        <w:rPr>
          <w:color w:val="4D4D4F"/>
          <w:spacing w:val="7"/>
          <w:sz w:val="12"/>
        </w:rPr>
        <w:t xml:space="preserve"> </w:t>
      </w:r>
      <w:r>
        <w:rPr>
          <w:color w:val="4D4D4F"/>
          <w:sz w:val="12"/>
        </w:rPr>
        <w:t>Complete</w:t>
      </w:r>
      <w:r>
        <w:rPr>
          <w:color w:val="4D4D4F"/>
          <w:spacing w:val="7"/>
          <w:sz w:val="12"/>
        </w:rPr>
        <w:t xml:space="preserve"> </w:t>
      </w:r>
      <w:r>
        <w:rPr>
          <w:color w:val="4D4D4F"/>
          <w:sz w:val="12"/>
        </w:rPr>
        <w:t>Guide</w:t>
      </w:r>
      <w:r>
        <w:rPr>
          <w:color w:val="4D4D4F"/>
          <w:spacing w:val="8"/>
          <w:sz w:val="12"/>
        </w:rPr>
        <w:t xml:space="preserve"> </w:t>
      </w:r>
      <w:r>
        <w:rPr>
          <w:color w:val="4D4D4F"/>
          <w:sz w:val="12"/>
        </w:rPr>
        <w:t>to</w:t>
      </w:r>
      <w:r>
        <w:rPr>
          <w:color w:val="4D4D4F"/>
          <w:spacing w:val="7"/>
          <w:sz w:val="12"/>
        </w:rPr>
        <w:t xml:space="preserve"> </w:t>
      </w:r>
      <w:r>
        <w:rPr>
          <w:color w:val="4D4D4F"/>
          <w:sz w:val="12"/>
        </w:rPr>
        <w:t>the</w:t>
      </w:r>
      <w:r>
        <w:rPr>
          <w:color w:val="4D4D4F"/>
          <w:spacing w:val="7"/>
          <w:sz w:val="12"/>
        </w:rPr>
        <w:t xml:space="preserve"> </w:t>
      </w:r>
      <w:r>
        <w:rPr>
          <w:color w:val="4D4D4F"/>
          <w:sz w:val="12"/>
        </w:rPr>
        <w:t>Reptiles</w:t>
      </w:r>
      <w:r>
        <w:rPr>
          <w:color w:val="4D4D4F"/>
          <w:spacing w:val="7"/>
          <w:sz w:val="12"/>
        </w:rPr>
        <w:t xml:space="preserve"> </w:t>
      </w:r>
      <w:r>
        <w:rPr>
          <w:color w:val="4D4D4F"/>
          <w:sz w:val="12"/>
        </w:rPr>
        <w:t>of</w:t>
      </w:r>
      <w:r>
        <w:rPr>
          <w:color w:val="4D4D4F"/>
          <w:spacing w:val="8"/>
          <w:sz w:val="12"/>
        </w:rPr>
        <w:t xml:space="preserve"> </w:t>
      </w:r>
      <w:r>
        <w:rPr>
          <w:color w:val="4D4D4F"/>
          <w:sz w:val="12"/>
        </w:rPr>
        <w:t>Australia.’</w:t>
      </w:r>
      <w:r>
        <w:rPr>
          <w:color w:val="4D4D4F"/>
          <w:spacing w:val="7"/>
          <w:sz w:val="12"/>
        </w:rPr>
        <w:t xml:space="preserve"> </w:t>
      </w:r>
      <w:r>
        <w:rPr>
          <w:color w:val="4D4D4F"/>
          <w:sz w:val="12"/>
        </w:rPr>
        <w:t>New</w:t>
      </w:r>
      <w:r>
        <w:rPr>
          <w:color w:val="4D4D4F"/>
          <w:spacing w:val="7"/>
          <w:sz w:val="12"/>
        </w:rPr>
        <w:t xml:space="preserve"> </w:t>
      </w:r>
      <w:r>
        <w:rPr>
          <w:color w:val="4D4D4F"/>
          <w:sz w:val="12"/>
        </w:rPr>
        <w:t>Holland</w:t>
      </w:r>
      <w:r>
        <w:rPr>
          <w:color w:val="4D4D4F"/>
          <w:spacing w:val="7"/>
          <w:sz w:val="12"/>
        </w:rPr>
        <w:t xml:space="preserve"> </w:t>
      </w:r>
      <w:r>
        <w:rPr>
          <w:color w:val="4D4D4F"/>
          <w:sz w:val="12"/>
        </w:rPr>
        <w:t>Publishers</w:t>
      </w:r>
      <w:r>
        <w:rPr>
          <w:color w:val="4D4D4F"/>
          <w:spacing w:val="8"/>
          <w:sz w:val="12"/>
        </w:rPr>
        <w:t xml:space="preserve"> </w:t>
      </w:r>
      <w:r>
        <w:rPr>
          <w:color w:val="4D4D4F"/>
          <w:sz w:val="12"/>
        </w:rPr>
        <w:t>(Australia)</w:t>
      </w:r>
      <w:r>
        <w:rPr>
          <w:color w:val="4D4D4F"/>
          <w:spacing w:val="7"/>
          <w:sz w:val="12"/>
        </w:rPr>
        <w:t xml:space="preserve"> </w:t>
      </w:r>
      <w:r>
        <w:rPr>
          <w:color w:val="4D4D4F"/>
          <w:spacing w:val="3"/>
          <w:sz w:val="12"/>
        </w:rPr>
        <w:t>Pty</w:t>
      </w:r>
      <w:r>
        <w:rPr>
          <w:color w:val="4D4D4F"/>
          <w:spacing w:val="7"/>
          <w:sz w:val="12"/>
        </w:rPr>
        <w:t xml:space="preserve"> </w:t>
      </w:r>
      <w:r>
        <w:rPr>
          <w:color w:val="4D4D4F"/>
          <w:sz w:val="12"/>
        </w:rPr>
        <w:t>Ltd,</w:t>
      </w:r>
      <w:r>
        <w:rPr>
          <w:color w:val="4D4D4F"/>
          <w:spacing w:val="7"/>
          <w:sz w:val="12"/>
        </w:rPr>
        <w:t xml:space="preserve"> </w:t>
      </w:r>
      <w:r>
        <w:rPr>
          <w:color w:val="4D4D4F"/>
          <w:sz w:val="12"/>
        </w:rPr>
        <w:t>Chatswood.</w:t>
      </w:r>
    </w:p>
    <w:p w14:paraId="24ACDC80" w14:textId="77777777" w:rsidR="00EF5B27" w:rsidRDefault="00000000">
      <w:pPr>
        <w:pStyle w:val="ListParagraph"/>
        <w:numPr>
          <w:ilvl w:val="0"/>
          <w:numId w:val="22"/>
        </w:numPr>
        <w:tabs>
          <w:tab w:val="left" w:pos="2836"/>
        </w:tabs>
        <w:spacing w:before="2" w:line="230" w:lineRule="auto"/>
        <w:ind w:right="111"/>
        <w:rPr>
          <w:sz w:val="12"/>
        </w:rPr>
      </w:pPr>
      <w:r>
        <w:rPr>
          <w:color w:val="4D4D4F"/>
          <w:spacing w:val="2"/>
          <w:sz w:val="12"/>
        </w:rPr>
        <w:t xml:space="preserve">O'Shea </w:t>
      </w:r>
      <w:r>
        <w:rPr>
          <w:color w:val="4D4D4F"/>
          <w:sz w:val="12"/>
        </w:rPr>
        <w:t xml:space="preserve">MB </w:t>
      </w:r>
      <w:r>
        <w:rPr>
          <w:color w:val="4D4D4F"/>
          <w:spacing w:val="2"/>
          <w:sz w:val="12"/>
        </w:rPr>
        <w:t xml:space="preserve">2005, </w:t>
      </w:r>
      <w:r>
        <w:rPr>
          <w:color w:val="4D4D4F"/>
          <w:sz w:val="12"/>
        </w:rPr>
        <w:t xml:space="preserve">‘Methods for Assessment and Techniques for Management of Striped Legless Lizard Delma impar Populations in </w:t>
      </w:r>
      <w:r>
        <w:rPr>
          <w:color w:val="4D4D4F"/>
          <w:spacing w:val="2"/>
          <w:sz w:val="12"/>
        </w:rPr>
        <w:t xml:space="preserve">South- </w:t>
      </w:r>
      <w:r>
        <w:rPr>
          <w:color w:val="4D4D4F"/>
          <w:sz w:val="12"/>
        </w:rPr>
        <w:t>eastern Australia.’ Ph.D. thesis, Victoria University, St. Albans,</w:t>
      </w:r>
      <w:r>
        <w:rPr>
          <w:color w:val="4D4D4F"/>
          <w:spacing w:val="24"/>
          <w:sz w:val="12"/>
        </w:rPr>
        <w:t xml:space="preserve"> </w:t>
      </w:r>
      <w:r>
        <w:rPr>
          <w:color w:val="4D4D4F"/>
          <w:sz w:val="12"/>
        </w:rPr>
        <w:t>Victoria.</w:t>
      </w:r>
    </w:p>
    <w:p w14:paraId="1693E8BA"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4353F353" w14:textId="77777777" w:rsidR="00EF5B27" w:rsidRDefault="00000000">
      <w:pPr>
        <w:pStyle w:val="BodyText"/>
      </w:pPr>
      <w:r>
        <w:lastRenderedPageBreak/>
        <w:pict w14:anchorId="47A6D920">
          <v:group id="_x0000_s2807" style="position:absolute;margin-left:587.05pt;margin-top:183.4pt;width:8.25pt;height:153.1pt;z-index:251701760;mso-position-horizontal-relative:page;mso-position-vertical-relative:page" coordorigin="11741,3668" coordsize="165,3062">
            <v:shape id="_x0000_s2814" style="position:absolute;left:11741;top:3668;width:165;height:561" coordorigin="11741,3668" coordsize="165,561" path="m11906,3668r-165,l11741,4228r165,-18l11906,3668xe" fillcolor="#00aed9" stroked="f">
              <v:path arrowok="t"/>
            </v:shape>
            <v:shape id="_x0000_s2813" style="position:absolute;left:11741;top:4118;width:165;height:425" coordorigin="11741,4118" coordsize="165,425" path="m11906,4118r-165,14l11741,4531r165,12l11906,4118xe" fillcolor="#047ebc" stroked="f">
              <v:path arrowok="t"/>
            </v:shape>
            <v:shape id="_x0000_s2812" type="#_x0000_t75" style="position:absolute;left:11741;top:4355;width:165;height:587">
              <v:imagedata r:id="rId42" o:title=""/>
            </v:shape>
            <v:shape id="_x0000_s2811" style="position:absolute;left:11741;top:5343;width:165;height:536" coordorigin="11741,5343" coordsize="165,536" path="m11741,5343r,535l11906,5872r,-525l11741,5343xe" fillcolor="#f36a2e" stroked="f">
              <v:path arrowok="t"/>
            </v:shape>
            <v:shape id="_x0000_s2810" style="position:absolute;left:11741;top:4925;width:165;height:501" coordorigin="11741,4926" coordsize="165,501" path="m11741,4926r,500l11906,5426r,-485l11741,4926xe" fillcolor="#49783f" stroked="f">
              <v:path arrowok="t"/>
            </v:shape>
            <v:shape id="_x0000_s2809" style="position:absolute;left:11741;top:5781;width:165;height:268" coordorigin="11741,5782" coordsize="165,268" path="m11906,5782r-165,8l11741,6039r165,10l11906,5782xe" fillcolor="#f99f2a" stroked="f">
              <v:path arrowok="t"/>
            </v:shape>
            <v:shape id="_x0000_s2808" style="position:absolute;left:11741;top:6023;width:165;height:707" coordorigin="11741,6023" coordsize="165,707" path="m11741,6023r,706l11906,6729r,-690l11741,6023xe" fillcolor="#ef412c" stroked="f">
              <v:path arrowok="t"/>
            </v:shape>
            <w10:wrap anchorx="page" anchory="page"/>
          </v:group>
        </w:pict>
      </w:r>
    </w:p>
    <w:p w14:paraId="06AA8322" w14:textId="77777777" w:rsidR="00EF5B27" w:rsidRDefault="00EF5B27">
      <w:pPr>
        <w:pStyle w:val="BodyText"/>
      </w:pPr>
    </w:p>
    <w:p w14:paraId="567569DF" w14:textId="77777777" w:rsidR="00EF5B27" w:rsidRDefault="00EF5B27">
      <w:pPr>
        <w:pStyle w:val="BodyText"/>
      </w:pPr>
    </w:p>
    <w:p w14:paraId="716B6487" w14:textId="77777777" w:rsidR="00EF5B27" w:rsidRDefault="00EF5B27">
      <w:pPr>
        <w:pStyle w:val="BodyText"/>
        <w:spacing w:before="12"/>
        <w:rPr>
          <w:sz w:val="22"/>
        </w:rPr>
      </w:pPr>
    </w:p>
    <w:p w14:paraId="3FFC8B0D" w14:textId="77777777" w:rsidR="00EF5B27" w:rsidRDefault="00000000">
      <w:pPr>
        <w:pStyle w:val="Heading3"/>
        <w:spacing w:before="115"/>
      </w:pPr>
      <w:bookmarkStart w:id="93" w:name="_bookmark64"/>
      <w:bookmarkEnd w:id="93"/>
      <w:r>
        <w:rPr>
          <w:color w:val="F99F2A"/>
          <w:w w:val="110"/>
        </w:rPr>
        <w:t>KPIs assessed</w:t>
      </w:r>
    </w:p>
    <w:p w14:paraId="566F3CE0" w14:textId="77777777" w:rsidR="00EF5B27" w:rsidRDefault="00000000">
      <w:pPr>
        <w:pStyle w:val="BodyText"/>
        <w:spacing w:before="221"/>
        <w:ind w:left="2608"/>
      </w:pPr>
      <w:r>
        <w:rPr>
          <w:color w:val="4D4D4F"/>
          <w:w w:val="105"/>
        </w:rPr>
        <w:t>Progress towards this goal is measured using a single KPI:</w:t>
      </w:r>
    </w:p>
    <w:p w14:paraId="047F3E56" w14:textId="77777777" w:rsidR="00EF5B27" w:rsidRDefault="00000000">
      <w:pPr>
        <w:pStyle w:val="BodyText"/>
        <w:spacing w:before="130" w:line="254" w:lineRule="auto"/>
        <w:ind w:left="2778" w:hanging="170"/>
      </w:pPr>
      <w:r>
        <w:rPr>
          <w:color w:val="4D4D4F"/>
          <w:spacing w:val="-7"/>
        </w:rPr>
        <w:t xml:space="preserve">1. </w:t>
      </w:r>
      <w:r>
        <w:rPr>
          <w:color w:val="4D4D4F"/>
          <w:spacing w:val="-3"/>
        </w:rPr>
        <w:t xml:space="preserve">Evidence </w:t>
      </w:r>
      <w:r>
        <w:rPr>
          <w:color w:val="4D4D4F"/>
        </w:rPr>
        <w:t xml:space="preserve">of </w:t>
      </w:r>
      <w:r>
        <w:rPr>
          <w:color w:val="4D4D4F"/>
          <w:spacing w:val="-3"/>
        </w:rPr>
        <w:t xml:space="preserve">Striped Legless Lizard is detected </w:t>
      </w:r>
      <w:r>
        <w:rPr>
          <w:color w:val="4D4D4F"/>
        </w:rPr>
        <w:t xml:space="preserve">at </w:t>
      </w:r>
      <w:r>
        <w:rPr>
          <w:color w:val="4D4D4F"/>
          <w:spacing w:val="-4"/>
        </w:rPr>
        <w:t xml:space="preserve">least </w:t>
      </w:r>
      <w:r>
        <w:rPr>
          <w:color w:val="4D4D4F"/>
        </w:rPr>
        <w:t xml:space="preserve">once </w:t>
      </w:r>
      <w:r>
        <w:rPr>
          <w:color w:val="4D4D4F"/>
          <w:spacing w:val="-3"/>
        </w:rPr>
        <w:t xml:space="preserve">in </w:t>
      </w:r>
      <w:r>
        <w:rPr>
          <w:color w:val="4D4D4F"/>
        </w:rPr>
        <w:t xml:space="preserve">every five-year </w:t>
      </w:r>
      <w:r>
        <w:rPr>
          <w:color w:val="4D4D4F"/>
          <w:spacing w:val="-2"/>
        </w:rPr>
        <w:t xml:space="preserve">period </w:t>
      </w:r>
      <w:r>
        <w:rPr>
          <w:color w:val="4D4D4F"/>
        </w:rPr>
        <w:t xml:space="preserve">at </w:t>
      </w:r>
      <w:r>
        <w:rPr>
          <w:color w:val="4D4D4F"/>
          <w:spacing w:val="-4"/>
        </w:rPr>
        <w:t xml:space="preserve">100% </w:t>
      </w:r>
      <w:r>
        <w:rPr>
          <w:color w:val="4D4D4F"/>
          <w:spacing w:val="-3"/>
        </w:rPr>
        <w:t xml:space="preserve">of </w:t>
      </w:r>
      <w:r>
        <w:rPr>
          <w:color w:val="4D4D4F"/>
          <w:spacing w:val="-4"/>
        </w:rPr>
        <w:t xml:space="preserve">permanent </w:t>
      </w:r>
      <w:r>
        <w:rPr>
          <w:color w:val="4D4D4F"/>
          <w:spacing w:val="-5"/>
        </w:rPr>
        <w:t xml:space="preserve">monitoring </w:t>
      </w:r>
      <w:r>
        <w:rPr>
          <w:color w:val="4D4D4F"/>
          <w:spacing w:val="-4"/>
        </w:rPr>
        <w:t xml:space="preserve">plots </w:t>
      </w:r>
      <w:r>
        <w:rPr>
          <w:color w:val="4D4D4F"/>
          <w:spacing w:val="-6"/>
        </w:rPr>
        <w:t xml:space="preserve">(i.e. </w:t>
      </w:r>
      <w:r>
        <w:rPr>
          <w:color w:val="4D4D4F"/>
          <w:spacing w:val="-4"/>
        </w:rPr>
        <w:t xml:space="preserve">plots which have </w:t>
      </w:r>
      <w:r>
        <w:rPr>
          <w:color w:val="4D4D4F"/>
          <w:spacing w:val="-5"/>
        </w:rPr>
        <w:t>previously yielded detections).</w:t>
      </w:r>
    </w:p>
    <w:p w14:paraId="20871E5E" w14:textId="77777777" w:rsidR="00EF5B27" w:rsidRDefault="00000000">
      <w:pPr>
        <w:pStyle w:val="BodyText"/>
        <w:spacing w:before="115"/>
        <w:ind w:left="2608"/>
      </w:pPr>
      <w:r>
        <w:rPr>
          <w:color w:val="4D4D4F"/>
          <w:w w:val="105"/>
        </w:rPr>
        <w:t>There is no baseline for this KPI.</w:t>
      </w:r>
    </w:p>
    <w:p w14:paraId="7AA4CDAB" w14:textId="77777777" w:rsidR="00EF5B27" w:rsidRDefault="00EF5B27">
      <w:pPr>
        <w:pStyle w:val="BodyText"/>
        <w:spacing w:before="6"/>
        <w:rPr>
          <w:sz w:val="23"/>
        </w:rPr>
      </w:pPr>
    </w:p>
    <w:tbl>
      <w:tblPr>
        <w:tblW w:w="0" w:type="auto"/>
        <w:tblInd w:w="11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152"/>
        <w:gridCol w:w="7467"/>
      </w:tblGrid>
      <w:tr w:rsidR="00EF5B27" w14:paraId="50062AE8" w14:textId="77777777">
        <w:trPr>
          <w:trHeight w:val="459"/>
        </w:trPr>
        <w:tc>
          <w:tcPr>
            <w:tcW w:w="2152" w:type="dxa"/>
            <w:shd w:val="clear" w:color="auto" w:fill="FECC91"/>
          </w:tcPr>
          <w:p w14:paraId="1F730AF1" w14:textId="77777777" w:rsidR="00EF5B27" w:rsidRDefault="00000000">
            <w:pPr>
              <w:pStyle w:val="TableParagraph"/>
              <w:spacing w:before="140"/>
              <w:ind w:left="113"/>
              <w:rPr>
                <w:b/>
                <w:sz w:val="16"/>
              </w:rPr>
            </w:pPr>
            <w:r>
              <w:rPr>
                <w:b/>
                <w:w w:val="105"/>
                <w:sz w:val="16"/>
              </w:rPr>
              <w:t>MNES</w:t>
            </w:r>
          </w:p>
        </w:tc>
        <w:tc>
          <w:tcPr>
            <w:tcW w:w="7467" w:type="dxa"/>
          </w:tcPr>
          <w:p w14:paraId="1B776FBB" w14:textId="77777777" w:rsidR="00EF5B27" w:rsidRDefault="00000000">
            <w:pPr>
              <w:pStyle w:val="TableParagraph"/>
              <w:spacing w:before="140"/>
              <w:ind w:left="113"/>
              <w:rPr>
                <w:sz w:val="16"/>
              </w:rPr>
            </w:pPr>
            <w:r>
              <w:rPr>
                <w:color w:val="4D4D4F"/>
                <w:w w:val="105"/>
                <w:sz w:val="16"/>
              </w:rPr>
              <w:t>10. Striped Legless Lizard</w:t>
            </w:r>
          </w:p>
        </w:tc>
      </w:tr>
      <w:tr w:rsidR="00EF5B27" w14:paraId="0799169B" w14:textId="77777777">
        <w:trPr>
          <w:trHeight w:val="859"/>
        </w:trPr>
        <w:tc>
          <w:tcPr>
            <w:tcW w:w="2152" w:type="dxa"/>
            <w:shd w:val="clear" w:color="auto" w:fill="FECC91"/>
          </w:tcPr>
          <w:p w14:paraId="17A8D52F" w14:textId="77777777" w:rsidR="00EF5B27" w:rsidRDefault="00000000">
            <w:pPr>
              <w:pStyle w:val="TableParagraph"/>
              <w:spacing w:before="140" w:line="244" w:lineRule="auto"/>
              <w:ind w:left="113" w:right="279"/>
              <w:rPr>
                <w:b/>
                <w:sz w:val="16"/>
              </w:rPr>
            </w:pPr>
            <w:r>
              <w:rPr>
                <w:b/>
                <w:sz w:val="16"/>
              </w:rPr>
              <w:t>Commonwealth approved 2015 MSA MRF single outcome statement</w:t>
            </w:r>
          </w:p>
        </w:tc>
        <w:tc>
          <w:tcPr>
            <w:tcW w:w="7467" w:type="dxa"/>
          </w:tcPr>
          <w:p w14:paraId="430729D1" w14:textId="77777777" w:rsidR="00EF5B27" w:rsidRDefault="00EF5B27">
            <w:pPr>
              <w:pStyle w:val="TableParagraph"/>
              <w:spacing w:before="10"/>
              <w:rPr>
                <w:sz w:val="27"/>
              </w:rPr>
            </w:pPr>
          </w:p>
          <w:p w14:paraId="04DC042E" w14:textId="77777777" w:rsidR="00EF5B27" w:rsidRDefault="00000000">
            <w:pPr>
              <w:pStyle w:val="TableParagraph"/>
              <w:ind w:left="113"/>
              <w:rPr>
                <w:sz w:val="16"/>
              </w:rPr>
            </w:pPr>
            <w:r>
              <w:rPr>
                <w:color w:val="4D4D4F"/>
                <w:w w:val="105"/>
                <w:sz w:val="16"/>
              </w:rPr>
              <w:t>Striped Legless Lizard persists.</w:t>
            </w:r>
          </w:p>
        </w:tc>
      </w:tr>
      <w:tr w:rsidR="00EF5B27" w14:paraId="1F83822E" w14:textId="77777777">
        <w:trPr>
          <w:trHeight w:val="859"/>
        </w:trPr>
        <w:tc>
          <w:tcPr>
            <w:tcW w:w="2152" w:type="dxa"/>
            <w:shd w:val="clear" w:color="auto" w:fill="FECC91"/>
          </w:tcPr>
          <w:p w14:paraId="1704ED23" w14:textId="77777777" w:rsidR="00EF5B27" w:rsidRDefault="00000000">
            <w:pPr>
              <w:pStyle w:val="TableParagraph"/>
              <w:spacing w:before="140" w:line="244" w:lineRule="auto"/>
              <w:ind w:left="113"/>
              <w:rPr>
                <w:b/>
                <w:sz w:val="16"/>
              </w:rPr>
            </w:pPr>
            <w:r>
              <w:rPr>
                <w:b/>
                <w:sz w:val="16"/>
              </w:rPr>
              <w:t>2014–2020 Ecological Outcomes Report single outcome statement</w:t>
            </w:r>
          </w:p>
        </w:tc>
        <w:tc>
          <w:tcPr>
            <w:tcW w:w="7467" w:type="dxa"/>
          </w:tcPr>
          <w:p w14:paraId="330A0D5D" w14:textId="77777777" w:rsidR="00EF5B27" w:rsidRDefault="00EF5B27">
            <w:pPr>
              <w:pStyle w:val="TableParagraph"/>
              <w:spacing w:before="10"/>
              <w:rPr>
                <w:sz w:val="27"/>
              </w:rPr>
            </w:pPr>
          </w:p>
          <w:p w14:paraId="23AF84B9" w14:textId="77777777" w:rsidR="00EF5B27" w:rsidRDefault="00000000">
            <w:pPr>
              <w:pStyle w:val="TableParagraph"/>
              <w:ind w:left="113"/>
              <w:rPr>
                <w:sz w:val="16"/>
              </w:rPr>
            </w:pPr>
            <w:r>
              <w:rPr>
                <w:color w:val="4D4D4F"/>
                <w:w w:val="105"/>
                <w:sz w:val="16"/>
              </w:rPr>
              <w:t>Striped Legless Lizard persists.</w:t>
            </w:r>
          </w:p>
        </w:tc>
      </w:tr>
      <w:tr w:rsidR="00EF5B27" w14:paraId="157DCE33" w14:textId="77777777">
        <w:trPr>
          <w:trHeight w:val="1200"/>
        </w:trPr>
        <w:tc>
          <w:tcPr>
            <w:tcW w:w="2152" w:type="dxa"/>
            <w:shd w:val="clear" w:color="auto" w:fill="FECC91"/>
          </w:tcPr>
          <w:p w14:paraId="1325D171" w14:textId="77777777" w:rsidR="00EF5B27" w:rsidRDefault="00EF5B27">
            <w:pPr>
              <w:pStyle w:val="TableParagraph"/>
              <w:spacing w:before="2"/>
              <w:rPr>
                <w:sz w:val="17"/>
              </w:rPr>
            </w:pPr>
          </w:p>
          <w:p w14:paraId="2CE08E67" w14:textId="77777777" w:rsidR="00EF5B27" w:rsidRDefault="00000000">
            <w:pPr>
              <w:pStyle w:val="TableParagraph"/>
              <w:spacing w:line="244" w:lineRule="auto"/>
              <w:ind w:left="113"/>
              <w:rPr>
                <w:b/>
                <w:sz w:val="16"/>
              </w:rPr>
            </w:pPr>
            <w:r>
              <w:rPr>
                <w:b/>
                <w:sz w:val="16"/>
              </w:rPr>
              <w:t>Conservation Outcomes published in the Victorian Government Gazette – Issue G4, 27 January 2022</w:t>
            </w:r>
          </w:p>
        </w:tc>
        <w:tc>
          <w:tcPr>
            <w:tcW w:w="7467" w:type="dxa"/>
          </w:tcPr>
          <w:p w14:paraId="3DC3E1A8" w14:textId="77777777" w:rsidR="00EF5B27" w:rsidRDefault="00EF5B27">
            <w:pPr>
              <w:pStyle w:val="TableParagraph"/>
              <w:spacing w:before="9"/>
              <w:rPr>
                <w:sz w:val="14"/>
              </w:rPr>
            </w:pPr>
          </w:p>
          <w:p w14:paraId="1EB4B483" w14:textId="77777777" w:rsidR="00EF5B27" w:rsidRDefault="00000000">
            <w:pPr>
              <w:pStyle w:val="TableParagraph"/>
              <w:spacing w:line="271" w:lineRule="auto"/>
              <w:ind w:left="113" w:right="132"/>
              <w:jc w:val="both"/>
              <w:rPr>
                <w:sz w:val="16"/>
              </w:rPr>
            </w:pPr>
            <w:r>
              <w:rPr>
                <w:color w:val="4D4D4F"/>
                <w:sz w:val="16"/>
              </w:rPr>
              <w:t>Striped Legless Lizard populations are sustained in the long-term across the known distribution of this species in the Western Grassland Reserve and the conservation areas identified in the BCS and the Conservation Areas Declaration. Sustained means that evidence of Striped Legless Lizard is detected once in every five-year period at each of the permanent monitoring plots.</w:t>
            </w:r>
          </w:p>
        </w:tc>
      </w:tr>
    </w:tbl>
    <w:p w14:paraId="165C2E61" w14:textId="77777777" w:rsidR="00EF5B27" w:rsidRDefault="00EF5B27">
      <w:pPr>
        <w:pStyle w:val="BodyText"/>
        <w:spacing w:before="10"/>
        <w:rPr>
          <w:sz w:val="23"/>
        </w:rPr>
      </w:pPr>
    </w:p>
    <w:p w14:paraId="696C0D63" w14:textId="77777777" w:rsidR="00EF5B27" w:rsidRDefault="00000000">
      <w:pPr>
        <w:pStyle w:val="Heading3"/>
        <w:spacing w:before="1"/>
      </w:pPr>
      <w:r>
        <w:rPr>
          <w:color w:val="F99F2A"/>
        </w:rPr>
        <w:t>Monitored areas</w:t>
      </w:r>
    </w:p>
    <w:p w14:paraId="714A7A1C" w14:textId="77777777" w:rsidR="00EF5B27" w:rsidRDefault="00000000">
      <w:pPr>
        <w:pStyle w:val="BodyText"/>
        <w:spacing w:before="221" w:line="254" w:lineRule="auto"/>
        <w:ind w:left="2608" w:right="151"/>
      </w:pPr>
      <w:r>
        <w:rPr>
          <w:color w:val="4D4D4F"/>
        </w:rPr>
        <w:t>The KPI for Striped Legless Lizard relates to the Western Grassland Reserve and Truganina South NCR. Currently two permanent monitoring locations have been established, at Mount Cottrell NCR.</w:t>
      </w:r>
    </w:p>
    <w:p w14:paraId="513B7AA2" w14:textId="77777777" w:rsidR="00EF5B27" w:rsidRDefault="00000000">
      <w:pPr>
        <w:pStyle w:val="BodyText"/>
        <w:spacing w:before="117" w:line="254" w:lineRule="auto"/>
        <w:ind w:left="2608" w:right="151"/>
      </w:pPr>
      <w:r>
        <w:rPr>
          <w:color w:val="4D4D4F"/>
        </w:rPr>
        <w:t>The population at Truganina South NCR was not monitored in 2018; the decision to make this a permanent location was made in 2019.</w:t>
      </w:r>
    </w:p>
    <w:p w14:paraId="71DC796E" w14:textId="77777777" w:rsidR="00EF5B27" w:rsidRDefault="00000000">
      <w:pPr>
        <w:pStyle w:val="BodyText"/>
        <w:spacing w:before="116"/>
        <w:ind w:left="2608"/>
      </w:pPr>
      <w:r>
        <w:rPr>
          <w:color w:val="4D4D4F"/>
        </w:rPr>
        <w:t>No populations were monitored in 2020 due to COVID-19 restrictions.</w:t>
      </w:r>
    </w:p>
    <w:p w14:paraId="322B7656" w14:textId="77777777" w:rsidR="00EF5B27" w:rsidRDefault="00000000">
      <w:pPr>
        <w:pStyle w:val="BodyText"/>
        <w:spacing w:before="5"/>
        <w:rPr>
          <w:sz w:val="19"/>
        </w:rPr>
      </w:pPr>
      <w:r>
        <w:pict w14:anchorId="66E473F1">
          <v:group id="_x0000_s2804" style="position:absolute;margin-left:181.3pt;margin-top:14.2pt;width:357.4pt;height:229pt;z-index:251628032;mso-wrap-distance-left:0;mso-wrap-distance-right:0;mso-position-horizontal-relative:page" coordorigin="3626,284" coordsize="7148,4580">
            <v:shape id="_x0000_s2806" type="#_x0000_t75" style="position:absolute;left:3628;top:286;width:7143;height:4575">
              <v:imagedata r:id="rId158" o:title=""/>
            </v:shape>
            <v:rect id="_x0000_s2805" style="position:absolute;left:3628;top:286;width:7143;height:4575" filled="f" strokeweight=".25pt"/>
            <w10:wrap type="topAndBottom" anchorx="page"/>
          </v:group>
        </w:pict>
      </w:r>
    </w:p>
    <w:p w14:paraId="48678102" w14:textId="77777777" w:rsidR="00EF5B27" w:rsidRDefault="00000000">
      <w:pPr>
        <w:tabs>
          <w:tab w:val="left" w:pos="8979"/>
        </w:tabs>
        <w:spacing w:before="103"/>
        <w:ind w:left="2608"/>
        <w:rPr>
          <w:rFonts w:ascii="Century Gothic"/>
          <w:i/>
          <w:sz w:val="12"/>
        </w:rPr>
      </w:pPr>
      <w:r>
        <w:rPr>
          <w:color w:val="4D4D4F"/>
          <w:sz w:val="16"/>
        </w:rPr>
        <w:t>Figure</w:t>
      </w:r>
      <w:r>
        <w:rPr>
          <w:color w:val="4D4D4F"/>
          <w:spacing w:val="13"/>
          <w:sz w:val="16"/>
        </w:rPr>
        <w:t xml:space="preserve"> </w:t>
      </w:r>
      <w:r>
        <w:rPr>
          <w:color w:val="4D4D4F"/>
          <w:spacing w:val="2"/>
          <w:sz w:val="16"/>
        </w:rPr>
        <w:t>38:</w:t>
      </w:r>
      <w:r>
        <w:rPr>
          <w:color w:val="4D4D4F"/>
          <w:spacing w:val="13"/>
          <w:sz w:val="16"/>
        </w:rPr>
        <w:t xml:space="preserve"> </w:t>
      </w:r>
      <w:r>
        <w:rPr>
          <w:color w:val="4D4D4F"/>
          <w:sz w:val="16"/>
        </w:rPr>
        <w:t>Map</w:t>
      </w:r>
      <w:r>
        <w:rPr>
          <w:color w:val="4D4D4F"/>
          <w:spacing w:val="14"/>
          <w:sz w:val="16"/>
        </w:rPr>
        <w:t xml:space="preserve"> </w:t>
      </w:r>
      <w:r>
        <w:rPr>
          <w:color w:val="4D4D4F"/>
          <w:sz w:val="16"/>
        </w:rPr>
        <w:t>of</w:t>
      </w:r>
      <w:r>
        <w:rPr>
          <w:color w:val="4D4D4F"/>
          <w:spacing w:val="13"/>
          <w:sz w:val="16"/>
        </w:rPr>
        <w:t xml:space="preserve"> </w:t>
      </w:r>
      <w:r>
        <w:rPr>
          <w:color w:val="4D4D4F"/>
          <w:sz w:val="16"/>
        </w:rPr>
        <w:t>monitored</w:t>
      </w:r>
      <w:r>
        <w:rPr>
          <w:color w:val="4D4D4F"/>
          <w:spacing w:val="13"/>
          <w:sz w:val="16"/>
        </w:rPr>
        <w:t xml:space="preserve"> </w:t>
      </w:r>
      <w:r>
        <w:rPr>
          <w:color w:val="4D4D4F"/>
          <w:sz w:val="16"/>
        </w:rPr>
        <w:t>areas</w:t>
      </w:r>
      <w:r>
        <w:rPr>
          <w:color w:val="4D4D4F"/>
          <w:spacing w:val="14"/>
          <w:sz w:val="16"/>
        </w:rPr>
        <w:t xml:space="preserve"> </w:t>
      </w:r>
      <w:r>
        <w:rPr>
          <w:color w:val="4D4D4F"/>
          <w:sz w:val="16"/>
        </w:rPr>
        <w:t>for</w:t>
      </w:r>
      <w:r>
        <w:rPr>
          <w:color w:val="4D4D4F"/>
          <w:spacing w:val="13"/>
          <w:sz w:val="16"/>
        </w:rPr>
        <w:t xml:space="preserve"> </w:t>
      </w:r>
      <w:r>
        <w:rPr>
          <w:color w:val="4D4D4F"/>
          <w:sz w:val="16"/>
        </w:rPr>
        <w:t>Striped</w:t>
      </w:r>
      <w:r>
        <w:rPr>
          <w:color w:val="4D4D4F"/>
          <w:spacing w:val="13"/>
          <w:sz w:val="16"/>
        </w:rPr>
        <w:t xml:space="preserve"> </w:t>
      </w:r>
      <w:r>
        <w:rPr>
          <w:color w:val="4D4D4F"/>
          <w:sz w:val="16"/>
        </w:rPr>
        <w:t>Legless</w:t>
      </w:r>
      <w:r>
        <w:rPr>
          <w:color w:val="4D4D4F"/>
          <w:spacing w:val="14"/>
          <w:sz w:val="16"/>
        </w:rPr>
        <w:t xml:space="preserve"> </w:t>
      </w:r>
      <w:r>
        <w:rPr>
          <w:color w:val="4D4D4F"/>
          <w:sz w:val="16"/>
        </w:rPr>
        <w:t>Lizard</w:t>
      </w:r>
      <w:r>
        <w:rPr>
          <w:color w:val="4D4D4F"/>
          <w:sz w:val="16"/>
        </w:rPr>
        <w:tab/>
      </w:r>
      <w:r>
        <w:rPr>
          <w:rFonts w:ascii="Century Gothic"/>
          <w:i/>
          <w:color w:val="4D4D4F"/>
          <w:sz w:val="12"/>
        </w:rPr>
        <w:t>Source:</w:t>
      </w:r>
      <w:r>
        <w:rPr>
          <w:rFonts w:ascii="Century Gothic"/>
          <w:i/>
          <w:color w:val="4D4D4F"/>
          <w:spacing w:val="-22"/>
          <w:sz w:val="12"/>
        </w:rPr>
        <w:t xml:space="preserve"> </w:t>
      </w:r>
      <w:r>
        <w:rPr>
          <w:rFonts w:ascii="Century Gothic"/>
          <w:i/>
          <w:color w:val="4D4D4F"/>
          <w:sz w:val="12"/>
        </w:rPr>
        <w:t>DELWP</w:t>
      </w:r>
    </w:p>
    <w:p w14:paraId="45CCF34E" w14:textId="77777777" w:rsidR="00EF5B27" w:rsidRDefault="00EF5B27">
      <w:pPr>
        <w:rPr>
          <w:rFonts w:ascii="Century Gothic"/>
          <w:sz w:val="12"/>
        </w:rPr>
        <w:sectPr w:rsidR="00EF5B27">
          <w:pgSz w:w="11910" w:h="16840"/>
          <w:pgMar w:top="1080" w:right="1020" w:bottom="860" w:left="1020" w:header="537" w:footer="678" w:gutter="0"/>
          <w:cols w:space="720"/>
        </w:sectPr>
      </w:pPr>
    </w:p>
    <w:p w14:paraId="629EDF69" w14:textId="77777777" w:rsidR="00EF5B27" w:rsidRDefault="00000000">
      <w:pPr>
        <w:pStyle w:val="BodyText"/>
        <w:rPr>
          <w:rFonts w:ascii="Century Gothic"/>
          <w:i/>
        </w:rPr>
      </w:pPr>
      <w:r>
        <w:lastRenderedPageBreak/>
        <w:pict w14:anchorId="6540E427">
          <v:group id="_x0000_s2796" style="position:absolute;margin-left:587.05pt;margin-top:183.4pt;width:8.25pt;height:153.1pt;z-index:251702784;mso-position-horizontal-relative:page;mso-position-vertical-relative:page" coordorigin="11741,3668" coordsize="165,3062">
            <v:shape id="_x0000_s2803" style="position:absolute;left:11741;top:3668;width:165;height:561" coordorigin="11741,3668" coordsize="165,561" path="m11906,3668r-165,l11741,4228r165,-18l11906,3668xe" fillcolor="#00aed9" stroked="f">
              <v:path arrowok="t"/>
            </v:shape>
            <v:shape id="_x0000_s2802" style="position:absolute;left:11741;top:4118;width:165;height:425" coordorigin="11741,4118" coordsize="165,425" path="m11906,4118r-165,14l11741,4531r165,12l11906,4118xe" fillcolor="#047ebc" stroked="f">
              <v:path arrowok="t"/>
            </v:shape>
            <v:shape id="_x0000_s2801" type="#_x0000_t75" style="position:absolute;left:11741;top:4355;width:165;height:587">
              <v:imagedata r:id="rId42" o:title=""/>
            </v:shape>
            <v:shape id="_x0000_s2800" style="position:absolute;left:11741;top:5343;width:165;height:536" coordorigin="11741,5343" coordsize="165,536" path="m11741,5343r,535l11906,5872r,-525l11741,5343xe" fillcolor="#f36a2e" stroked="f">
              <v:path arrowok="t"/>
            </v:shape>
            <v:shape id="_x0000_s2799" style="position:absolute;left:11741;top:4925;width:165;height:501" coordorigin="11741,4926" coordsize="165,501" path="m11741,4926r,500l11906,5426r,-485l11741,4926xe" fillcolor="#49783f" stroked="f">
              <v:path arrowok="t"/>
            </v:shape>
            <v:shape id="_x0000_s2798" style="position:absolute;left:11741;top:5781;width:165;height:268" coordorigin="11741,5782" coordsize="165,268" path="m11906,5782r-165,8l11741,6039r165,10l11906,5782xe" fillcolor="#f99f2a" stroked="f">
              <v:path arrowok="t"/>
            </v:shape>
            <v:shape id="_x0000_s2797" style="position:absolute;left:11741;top:6023;width:165;height:707" coordorigin="11741,6023" coordsize="165,707" path="m11741,6023r,706l11906,6729r,-690l11741,6023xe" fillcolor="#ef412c" stroked="f">
              <v:path arrowok="t"/>
            </v:shape>
            <w10:wrap anchorx="page" anchory="page"/>
          </v:group>
        </w:pict>
      </w:r>
    </w:p>
    <w:p w14:paraId="03EDA474" w14:textId="77777777" w:rsidR="00EF5B27" w:rsidRDefault="00EF5B27">
      <w:pPr>
        <w:pStyle w:val="BodyText"/>
        <w:rPr>
          <w:rFonts w:ascii="Century Gothic"/>
          <w:i/>
        </w:rPr>
      </w:pPr>
    </w:p>
    <w:p w14:paraId="4ECA996E" w14:textId="77777777" w:rsidR="00EF5B27" w:rsidRDefault="00EF5B27">
      <w:pPr>
        <w:pStyle w:val="BodyText"/>
        <w:rPr>
          <w:rFonts w:ascii="Century Gothic"/>
          <w:i/>
        </w:rPr>
      </w:pPr>
    </w:p>
    <w:p w14:paraId="4D6D0001" w14:textId="77777777" w:rsidR="00EF5B27" w:rsidRDefault="00EF5B27">
      <w:pPr>
        <w:pStyle w:val="BodyText"/>
        <w:spacing w:before="7"/>
        <w:rPr>
          <w:rFonts w:ascii="Century Gothic"/>
          <w:i/>
          <w:sz w:val="22"/>
        </w:rPr>
      </w:pPr>
    </w:p>
    <w:p w14:paraId="69A6078B" w14:textId="77777777" w:rsidR="00EF5B27" w:rsidRDefault="00000000">
      <w:pPr>
        <w:pStyle w:val="Heading3"/>
        <w:spacing w:before="116"/>
      </w:pPr>
      <w:bookmarkStart w:id="94" w:name="_bookmark66"/>
      <w:bookmarkEnd w:id="94"/>
      <w:r>
        <w:rPr>
          <w:color w:val="F99F2A"/>
          <w:w w:val="105"/>
        </w:rPr>
        <w:t>Results</w:t>
      </w:r>
    </w:p>
    <w:p w14:paraId="217C4FE4" w14:textId="77777777" w:rsidR="00EF5B27" w:rsidRDefault="00000000">
      <w:pPr>
        <w:pStyle w:val="Heading6"/>
        <w:spacing w:before="221"/>
      </w:pPr>
      <w:bookmarkStart w:id="95" w:name="_heading=h.11si5id"/>
      <w:bookmarkEnd w:id="95"/>
      <w:r>
        <w:rPr>
          <w:color w:val="4D4D4F"/>
        </w:rPr>
        <w:t>KPI 1: Proportion of monitoring sites that are occupied</w:t>
      </w:r>
    </w:p>
    <w:p w14:paraId="3911A2FD" w14:textId="77777777" w:rsidR="00EF5B27" w:rsidRDefault="00EF5B27">
      <w:pPr>
        <w:pStyle w:val="BodyText"/>
        <w:spacing w:before="2"/>
        <w:rPr>
          <w:b/>
          <w:sz w:val="14"/>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1A87D81E" w14:textId="77777777">
        <w:trPr>
          <w:trHeight w:val="561"/>
        </w:trPr>
        <w:tc>
          <w:tcPr>
            <w:tcW w:w="2980" w:type="dxa"/>
            <w:shd w:val="clear" w:color="auto" w:fill="FECC91"/>
          </w:tcPr>
          <w:p w14:paraId="74A6907C" w14:textId="77777777" w:rsidR="00EF5B27" w:rsidRDefault="00000000">
            <w:pPr>
              <w:pStyle w:val="TableParagraph"/>
              <w:spacing w:before="91" w:line="244" w:lineRule="auto"/>
              <w:ind w:left="80"/>
              <w:rPr>
                <w:b/>
                <w:sz w:val="16"/>
              </w:rPr>
            </w:pPr>
            <w:r>
              <w:rPr>
                <w:b/>
                <w:sz w:val="16"/>
              </w:rPr>
              <w:t>KPI 1: Proportion of monitoring sites that are occupied</w:t>
            </w:r>
          </w:p>
        </w:tc>
        <w:tc>
          <w:tcPr>
            <w:tcW w:w="1078" w:type="dxa"/>
            <w:shd w:val="clear" w:color="auto" w:fill="FECC91"/>
          </w:tcPr>
          <w:p w14:paraId="3501D750" w14:textId="77777777" w:rsidR="00EF5B27" w:rsidRDefault="00000000">
            <w:pPr>
              <w:pStyle w:val="TableParagraph"/>
              <w:spacing w:before="91" w:line="244" w:lineRule="auto"/>
              <w:ind w:left="156" w:firstLine="161"/>
              <w:rPr>
                <w:b/>
                <w:sz w:val="16"/>
              </w:rPr>
            </w:pPr>
            <w:r>
              <w:rPr>
                <w:b/>
                <w:w w:val="105"/>
                <w:sz w:val="16"/>
              </w:rPr>
              <w:t xml:space="preserve">Status </w:t>
            </w:r>
            <w:r>
              <w:rPr>
                <w:b/>
                <w:sz w:val="16"/>
              </w:rPr>
              <w:t>2020–2022</w:t>
            </w:r>
          </w:p>
        </w:tc>
        <w:tc>
          <w:tcPr>
            <w:tcW w:w="2155" w:type="dxa"/>
            <w:shd w:val="clear" w:color="auto" w:fill="FECC91"/>
          </w:tcPr>
          <w:p w14:paraId="22ADF20E" w14:textId="77777777" w:rsidR="00EF5B27" w:rsidRDefault="00EF5B27">
            <w:pPr>
              <w:pStyle w:val="TableParagraph"/>
              <w:spacing w:before="7"/>
              <w:rPr>
                <w:b/>
                <w:sz w:val="15"/>
              </w:rPr>
            </w:pPr>
          </w:p>
          <w:p w14:paraId="062BBC56"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56E4DA06" w14:textId="77777777" w:rsidR="00EF5B27" w:rsidRDefault="00EF5B27">
            <w:pPr>
              <w:pStyle w:val="TableParagraph"/>
              <w:spacing w:before="7"/>
              <w:rPr>
                <w:b/>
                <w:sz w:val="15"/>
              </w:rPr>
            </w:pPr>
          </w:p>
          <w:p w14:paraId="248D0D85"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524C6C06"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58D911AC"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56E539A0" w14:textId="77777777">
        <w:trPr>
          <w:trHeight w:val="448"/>
        </w:trPr>
        <w:tc>
          <w:tcPr>
            <w:tcW w:w="2980" w:type="dxa"/>
          </w:tcPr>
          <w:p w14:paraId="687AA833" w14:textId="77777777" w:rsidR="00EF5B27" w:rsidRDefault="00EF5B27">
            <w:pPr>
              <w:pStyle w:val="TableParagraph"/>
              <w:spacing w:before="11"/>
              <w:rPr>
                <w:b/>
                <w:sz w:val="11"/>
              </w:rPr>
            </w:pPr>
          </w:p>
          <w:p w14:paraId="44939A4C" w14:textId="77777777" w:rsidR="00EF5B27" w:rsidRDefault="00000000">
            <w:pPr>
              <w:pStyle w:val="TableParagraph"/>
              <w:ind w:left="80"/>
              <w:rPr>
                <w:sz w:val="14"/>
              </w:rPr>
            </w:pPr>
            <w:r>
              <w:rPr>
                <w:color w:val="4D4D4F"/>
                <w:w w:val="105"/>
                <w:sz w:val="14"/>
              </w:rPr>
              <w:t>Mount Cottrell NCR</w:t>
            </w:r>
          </w:p>
        </w:tc>
        <w:tc>
          <w:tcPr>
            <w:tcW w:w="1078" w:type="dxa"/>
          </w:tcPr>
          <w:p w14:paraId="6D93336B" w14:textId="77777777" w:rsidR="00EF5B27" w:rsidRDefault="00EF5B27">
            <w:pPr>
              <w:pStyle w:val="TableParagraph"/>
              <w:spacing w:before="11"/>
              <w:rPr>
                <w:b/>
                <w:sz w:val="11"/>
              </w:rPr>
            </w:pPr>
          </w:p>
          <w:p w14:paraId="43287998" w14:textId="77777777" w:rsidR="00EF5B27" w:rsidRDefault="00000000">
            <w:pPr>
              <w:pStyle w:val="TableParagraph"/>
              <w:ind w:left="128" w:right="124"/>
              <w:jc w:val="center"/>
              <w:rPr>
                <w:sz w:val="14"/>
              </w:rPr>
            </w:pPr>
            <w:r>
              <w:rPr>
                <w:color w:val="4D4D4F"/>
                <w:sz w:val="14"/>
              </w:rPr>
              <w:t>Met</w:t>
            </w:r>
          </w:p>
        </w:tc>
        <w:tc>
          <w:tcPr>
            <w:tcW w:w="2155" w:type="dxa"/>
          </w:tcPr>
          <w:p w14:paraId="02CDA173" w14:textId="77777777" w:rsidR="00EF5B27" w:rsidRDefault="00EF5B27">
            <w:pPr>
              <w:pStyle w:val="TableParagraph"/>
              <w:spacing w:before="11"/>
              <w:rPr>
                <w:b/>
                <w:sz w:val="11"/>
              </w:rPr>
            </w:pPr>
          </w:p>
          <w:p w14:paraId="25B77B77" w14:textId="77777777" w:rsidR="00EF5B27" w:rsidRDefault="00000000">
            <w:pPr>
              <w:pStyle w:val="TableParagraph"/>
              <w:ind w:left="143" w:right="142"/>
              <w:jc w:val="center"/>
              <w:rPr>
                <w:sz w:val="14"/>
              </w:rPr>
            </w:pPr>
            <w:r>
              <w:rPr>
                <w:color w:val="4D4D4F"/>
                <w:sz w:val="14"/>
              </w:rPr>
              <w:t>Change in monitoring method</w:t>
            </w:r>
          </w:p>
        </w:tc>
        <w:tc>
          <w:tcPr>
            <w:tcW w:w="964" w:type="dxa"/>
          </w:tcPr>
          <w:p w14:paraId="0B08510A" w14:textId="77777777" w:rsidR="00EF5B27" w:rsidRDefault="00EF5B27">
            <w:pPr>
              <w:pStyle w:val="TableParagraph"/>
              <w:spacing w:before="4"/>
              <w:rPr>
                <w:b/>
                <w:sz w:val="7"/>
              </w:rPr>
            </w:pPr>
          </w:p>
          <w:p w14:paraId="591997B7" w14:textId="77777777" w:rsidR="00EF5B27" w:rsidRDefault="00000000">
            <w:pPr>
              <w:pStyle w:val="TableParagraph"/>
              <w:spacing w:line="187" w:lineRule="exact"/>
              <w:ind w:left="400"/>
              <w:rPr>
                <w:sz w:val="18"/>
              </w:rPr>
            </w:pPr>
            <w:r>
              <w:rPr>
                <w:noProof/>
                <w:position w:val="-3"/>
                <w:sz w:val="18"/>
              </w:rPr>
              <w:drawing>
                <wp:inline distT="0" distB="0" distL="0" distR="0" wp14:anchorId="057D92D3" wp14:editId="3D765649">
                  <wp:extent cx="100572" cy="119062"/>
                  <wp:effectExtent l="0" t="0" r="0" b="0"/>
                  <wp:docPr id="503"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199.png"/>
                          <pic:cNvPicPr/>
                        </pic:nvPicPr>
                        <pic:blipFill>
                          <a:blip r:embed="rId95" cstate="print"/>
                          <a:stretch>
                            <a:fillRect/>
                          </a:stretch>
                        </pic:blipFill>
                        <pic:spPr>
                          <a:xfrm>
                            <a:off x="0" y="0"/>
                            <a:ext cx="100572" cy="119062"/>
                          </a:xfrm>
                          <a:prstGeom prst="rect">
                            <a:avLst/>
                          </a:prstGeom>
                        </pic:spPr>
                      </pic:pic>
                    </a:graphicData>
                  </a:graphic>
                </wp:inline>
              </w:drawing>
            </w:r>
          </w:p>
          <w:p w14:paraId="45DE3254" w14:textId="77777777" w:rsidR="00EF5B27" w:rsidRDefault="00EF5B27">
            <w:pPr>
              <w:pStyle w:val="TableParagraph"/>
              <w:spacing w:before="8"/>
              <w:rPr>
                <w:b/>
                <w:sz w:val="2"/>
              </w:rPr>
            </w:pPr>
          </w:p>
          <w:p w14:paraId="783D9B1A" w14:textId="77777777" w:rsidR="00EF5B27" w:rsidRDefault="00000000">
            <w:pPr>
              <w:pStyle w:val="TableParagraph"/>
              <w:spacing w:line="48" w:lineRule="exact"/>
              <w:ind w:left="448"/>
              <w:rPr>
                <w:sz w:val="4"/>
              </w:rPr>
            </w:pPr>
            <w:r>
              <w:rPr>
                <w:sz w:val="4"/>
              </w:rPr>
            </w:r>
            <w:r>
              <w:rPr>
                <w:sz w:val="4"/>
              </w:rPr>
              <w:pict w14:anchorId="41F1FC50">
                <v:group id="_x0000_s2794" style="width:2.45pt;height:2.45pt;mso-position-horizontal-relative:char;mso-position-vertical-relative:line" coordsize="49,49">
                  <v:shape id="_x0000_s2795" style="position:absolute;width:49;height:49" coordsize="49,49" path="m31,l18,,12,2,2,12,,17,,31r2,6l12,46r6,3l31,49r6,-3l46,37r3,-6l49,17,46,12,37,2,31,xe" fillcolor="#808285" stroked="f">
                    <v:path arrowok="t"/>
                  </v:shape>
                  <w10:wrap type="none"/>
                  <w10:anchorlock/>
                </v:group>
              </w:pict>
            </w:r>
          </w:p>
        </w:tc>
        <w:tc>
          <w:tcPr>
            <w:tcW w:w="964" w:type="dxa"/>
          </w:tcPr>
          <w:p w14:paraId="6E74256F" w14:textId="77777777" w:rsidR="00EF5B27" w:rsidRDefault="00EF5B27">
            <w:pPr>
              <w:pStyle w:val="TableParagraph"/>
              <w:spacing w:before="11"/>
              <w:rPr>
                <w:b/>
                <w:sz w:val="11"/>
              </w:rPr>
            </w:pPr>
          </w:p>
          <w:p w14:paraId="78CD103A" w14:textId="77777777" w:rsidR="00EF5B27" w:rsidRDefault="00000000">
            <w:pPr>
              <w:pStyle w:val="TableParagraph"/>
              <w:ind w:left="323" w:right="320"/>
              <w:jc w:val="center"/>
              <w:rPr>
                <w:sz w:val="14"/>
              </w:rPr>
            </w:pPr>
            <w:r>
              <w:rPr>
                <w:color w:val="4D4D4F"/>
                <w:w w:val="105"/>
                <w:sz w:val="14"/>
              </w:rPr>
              <w:t>Low</w:t>
            </w:r>
          </w:p>
        </w:tc>
        <w:tc>
          <w:tcPr>
            <w:tcW w:w="1489" w:type="dxa"/>
          </w:tcPr>
          <w:p w14:paraId="6DF4797A" w14:textId="77777777" w:rsidR="00EF5B27" w:rsidRDefault="00000000">
            <w:pPr>
              <w:pStyle w:val="TableParagraph"/>
              <w:spacing w:before="134"/>
              <w:ind w:left="449" w:right="457"/>
              <w:jc w:val="center"/>
              <w:rPr>
                <w:sz w:val="16"/>
              </w:rPr>
            </w:pPr>
            <w:r>
              <w:rPr>
                <w:color w:val="4D4D4F"/>
                <w:w w:val="105"/>
                <w:sz w:val="16"/>
              </w:rPr>
              <w:t>N/A</w:t>
            </w:r>
          </w:p>
        </w:tc>
      </w:tr>
      <w:tr w:rsidR="00EF5B27" w14:paraId="2C2AEB18" w14:textId="77777777">
        <w:trPr>
          <w:trHeight w:val="448"/>
        </w:trPr>
        <w:tc>
          <w:tcPr>
            <w:tcW w:w="2980" w:type="dxa"/>
          </w:tcPr>
          <w:p w14:paraId="32E09627" w14:textId="77777777" w:rsidR="00EF5B27" w:rsidRDefault="00EF5B27">
            <w:pPr>
              <w:pStyle w:val="TableParagraph"/>
              <w:spacing w:before="11"/>
              <w:rPr>
                <w:b/>
                <w:sz w:val="11"/>
              </w:rPr>
            </w:pPr>
          </w:p>
          <w:p w14:paraId="6CED26A3" w14:textId="77777777" w:rsidR="00EF5B27" w:rsidRDefault="00000000">
            <w:pPr>
              <w:pStyle w:val="TableParagraph"/>
              <w:ind w:left="80"/>
              <w:rPr>
                <w:sz w:val="14"/>
              </w:rPr>
            </w:pPr>
            <w:r>
              <w:rPr>
                <w:color w:val="4D4D4F"/>
                <w:w w:val="105"/>
                <w:sz w:val="14"/>
              </w:rPr>
              <w:t>Truganina South NCR</w:t>
            </w:r>
          </w:p>
        </w:tc>
        <w:tc>
          <w:tcPr>
            <w:tcW w:w="1078" w:type="dxa"/>
          </w:tcPr>
          <w:p w14:paraId="60F03E90" w14:textId="77777777" w:rsidR="00EF5B27" w:rsidRDefault="00EF5B27">
            <w:pPr>
              <w:pStyle w:val="TableParagraph"/>
              <w:spacing w:before="11"/>
              <w:rPr>
                <w:b/>
                <w:sz w:val="11"/>
              </w:rPr>
            </w:pPr>
          </w:p>
          <w:p w14:paraId="7B9D042F" w14:textId="77777777" w:rsidR="00EF5B27" w:rsidRDefault="00000000">
            <w:pPr>
              <w:pStyle w:val="TableParagraph"/>
              <w:ind w:left="128" w:right="124"/>
              <w:jc w:val="center"/>
              <w:rPr>
                <w:sz w:val="14"/>
              </w:rPr>
            </w:pPr>
            <w:r>
              <w:rPr>
                <w:color w:val="4D4D4F"/>
                <w:sz w:val="14"/>
              </w:rPr>
              <w:t>Met</w:t>
            </w:r>
          </w:p>
        </w:tc>
        <w:tc>
          <w:tcPr>
            <w:tcW w:w="2155" w:type="dxa"/>
          </w:tcPr>
          <w:p w14:paraId="51B6722A" w14:textId="77777777" w:rsidR="00EF5B27" w:rsidRDefault="00EF5B27">
            <w:pPr>
              <w:pStyle w:val="TableParagraph"/>
              <w:spacing w:before="11"/>
              <w:rPr>
                <w:b/>
                <w:sz w:val="11"/>
              </w:rPr>
            </w:pPr>
          </w:p>
          <w:p w14:paraId="5F468F18" w14:textId="77777777" w:rsidR="00EF5B27" w:rsidRDefault="00000000">
            <w:pPr>
              <w:pStyle w:val="TableParagraph"/>
              <w:ind w:left="143" w:right="142"/>
              <w:jc w:val="center"/>
              <w:rPr>
                <w:sz w:val="14"/>
              </w:rPr>
            </w:pPr>
            <w:r>
              <w:rPr>
                <w:color w:val="4D4D4F"/>
                <w:sz w:val="14"/>
              </w:rPr>
              <w:t>Change in monitoring method</w:t>
            </w:r>
          </w:p>
        </w:tc>
        <w:tc>
          <w:tcPr>
            <w:tcW w:w="964" w:type="dxa"/>
          </w:tcPr>
          <w:p w14:paraId="30EC83C1" w14:textId="77777777" w:rsidR="00EF5B27" w:rsidRDefault="00EF5B27">
            <w:pPr>
              <w:pStyle w:val="TableParagraph"/>
              <w:spacing w:before="4"/>
              <w:rPr>
                <w:b/>
                <w:sz w:val="7"/>
              </w:rPr>
            </w:pPr>
          </w:p>
          <w:p w14:paraId="7C875C80" w14:textId="77777777" w:rsidR="00EF5B27" w:rsidRDefault="00000000">
            <w:pPr>
              <w:pStyle w:val="TableParagraph"/>
              <w:spacing w:line="187" w:lineRule="exact"/>
              <w:ind w:left="400"/>
              <w:rPr>
                <w:sz w:val="18"/>
              </w:rPr>
            </w:pPr>
            <w:r>
              <w:rPr>
                <w:noProof/>
                <w:position w:val="-3"/>
                <w:sz w:val="18"/>
              </w:rPr>
              <w:drawing>
                <wp:inline distT="0" distB="0" distL="0" distR="0" wp14:anchorId="7B696080" wp14:editId="14A80DBB">
                  <wp:extent cx="100572" cy="119062"/>
                  <wp:effectExtent l="0" t="0" r="0" b="0"/>
                  <wp:docPr id="505"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200.png"/>
                          <pic:cNvPicPr/>
                        </pic:nvPicPr>
                        <pic:blipFill>
                          <a:blip r:embed="rId84" cstate="print"/>
                          <a:stretch>
                            <a:fillRect/>
                          </a:stretch>
                        </pic:blipFill>
                        <pic:spPr>
                          <a:xfrm>
                            <a:off x="0" y="0"/>
                            <a:ext cx="100572" cy="119062"/>
                          </a:xfrm>
                          <a:prstGeom prst="rect">
                            <a:avLst/>
                          </a:prstGeom>
                        </pic:spPr>
                      </pic:pic>
                    </a:graphicData>
                  </a:graphic>
                </wp:inline>
              </w:drawing>
            </w:r>
          </w:p>
          <w:p w14:paraId="6FF48F16" w14:textId="77777777" w:rsidR="00EF5B27" w:rsidRDefault="00EF5B27">
            <w:pPr>
              <w:pStyle w:val="TableParagraph"/>
              <w:spacing w:before="8"/>
              <w:rPr>
                <w:b/>
                <w:sz w:val="2"/>
              </w:rPr>
            </w:pPr>
          </w:p>
          <w:p w14:paraId="1422311C" w14:textId="77777777" w:rsidR="00EF5B27" w:rsidRDefault="00000000">
            <w:pPr>
              <w:pStyle w:val="TableParagraph"/>
              <w:spacing w:line="48" w:lineRule="exact"/>
              <w:ind w:left="448"/>
              <w:rPr>
                <w:sz w:val="4"/>
              </w:rPr>
            </w:pPr>
            <w:r>
              <w:rPr>
                <w:sz w:val="4"/>
              </w:rPr>
            </w:r>
            <w:r>
              <w:rPr>
                <w:sz w:val="4"/>
              </w:rPr>
              <w:pict w14:anchorId="03615B5E">
                <v:group id="_x0000_s2792" style="width:2.45pt;height:2.45pt;mso-position-horizontal-relative:char;mso-position-vertical-relative:line" coordsize="49,49">
                  <v:shape id="_x0000_s2793" style="position:absolute;width:49;height:49" coordsize="49,49" path="m31,l18,,12,2,2,12,,17,,31r2,6l12,46r6,3l31,49r6,-3l46,37r3,-6l49,17,46,12,37,2,31,xe" fillcolor="#808285" stroked="f">
                    <v:path arrowok="t"/>
                  </v:shape>
                  <w10:wrap type="none"/>
                  <w10:anchorlock/>
                </v:group>
              </w:pict>
            </w:r>
          </w:p>
        </w:tc>
        <w:tc>
          <w:tcPr>
            <w:tcW w:w="964" w:type="dxa"/>
          </w:tcPr>
          <w:p w14:paraId="7EC2CB38" w14:textId="77777777" w:rsidR="00EF5B27" w:rsidRDefault="00EF5B27">
            <w:pPr>
              <w:pStyle w:val="TableParagraph"/>
              <w:spacing w:before="11"/>
              <w:rPr>
                <w:b/>
                <w:sz w:val="11"/>
              </w:rPr>
            </w:pPr>
          </w:p>
          <w:p w14:paraId="11FB3190" w14:textId="77777777" w:rsidR="00EF5B27" w:rsidRDefault="00000000">
            <w:pPr>
              <w:pStyle w:val="TableParagraph"/>
              <w:ind w:left="323" w:right="320"/>
              <w:jc w:val="center"/>
              <w:rPr>
                <w:sz w:val="14"/>
              </w:rPr>
            </w:pPr>
            <w:r>
              <w:rPr>
                <w:color w:val="4D4D4F"/>
                <w:w w:val="105"/>
                <w:sz w:val="14"/>
              </w:rPr>
              <w:t>Low</w:t>
            </w:r>
          </w:p>
        </w:tc>
        <w:tc>
          <w:tcPr>
            <w:tcW w:w="1489" w:type="dxa"/>
          </w:tcPr>
          <w:p w14:paraId="6CA90B7F" w14:textId="77777777" w:rsidR="00EF5B27" w:rsidRDefault="00000000">
            <w:pPr>
              <w:pStyle w:val="TableParagraph"/>
              <w:spacing w:before="134"/>
              <w:ind w:left="449" w:right="457"/>
              <w:jc w:val="center"/>
              <w:rPr>
                <w:sz w:val="16"/>
              </w:rPr>
            </w:pPr>
            <w:r>
              <w:rPr>
                <w:color w:val="4D4D4F"/>
                <w:w w:val="105"/>
                <w:sz w:val="16"/>
              </w:rPr>
              <w:t>N/A</w:t>
            </w:r>
          </w:p>
        </w:tc>
      </w:tr>
      <w:tr w:rsidR="00EF5B27" w14:paraId="2D0A7BA2" w14:textId="77777777">
        <w:trPr>
          <w:trHeight w:val="448"/>
        </w:trPr>
        <w:tc>
          <w:tcPr>
            <w:tcW w:w="2980" w:type="dxa"/>
          </w:tcPr>
          <w:p w14:paraId="0589B730" w14:textId="77777777" w:rsidR="00EF5B27" w:rsidRDefault="00EF5B27">
            <w:pPr>
              <w:pStyle w:val="TableParagraph"/>
              <w:spacing w:before="11"/>
              <w:rPr>
                <w:b/>
                <w:sz w:val="11"/>
              </w:rPr>
            </w:pPr>
          </w:p>
          <w:p w14:paraId="0F455A26" w14:textId="77777777" w:rsidR="00EF5B27" w:rsidRDefault="00000000">
            <w:pPr>
              <w:pStyle w:val="TableParagraph"/>
              <w:ind w:left="80"/>
              <w:rPr>
                <w:sz w:val="14"/>
              </w:rPr>
            </w:pPr>
            <w:r>
              <w:rPr>
                <w:color w:val="4D4D4F"/>
                <w:sz w:val="14"/>
              </w:rPr>
              <w:t>Werribee River easement</w:t>
            </w:r>
          </w:p>
        </w:tc>
        <w:tc>
          <w:tcPr>
            <w:tcW w:w="1078" w:type="dxa"/>
          </w:tcPr>
          <w:p w14:paraId="72A00FA3" w14:textId="77777777" w:rsidR="00EF5B27" w:rsidRDefault="00EF5B27">
            <w:pPr>
              <w:pStyle w:val="TableParagraph"/>
              <w:spacing w:before="11"/>
              <w:rPr>
                <w:b/>
                <w:sz w:val="11"/>
              </w:rPr>
            </w:pPr>
          </w:p>
          <w:p w14:paraId="0184C406" w14:textId="77777777" w:rsidR="00EF5B27" w:rsidRDefault="00000000">
            <w:pPr>
              <w:pStyle w:val="TableParagraph"/>
              <w:ind w:left="128" w:right="124"/>
              <w:jc w:val="center"/>
              <w:rPr>
                <w:sz w:val="14"/>
              </w:rPr>
            </w:pPr>
            <w:r>
              <w:rPr>
                <w:color w:val="4D4D4F"/>
                <w:sz w:val="14"/>
              </w:rPr>
              <w:t>Met</w:t>
            </w:r>
          </w:p>
        </w:tc>
        <w:tc>
          <w:tcPr>
            <w:tcW w:w="2155" w:type="dxa"/>
          </w:tcPr>
          <w:p w14:paraId="5D60CB8E" w14:textId="77777777" w:rsidR="00EF5B27" w:rsidRDefault="00EF5B27">
            <w:pPr>
              <w:pStyle w:val="TableParagraph"/>
              <w:spacing w:before="11"/>
              <w:rPr>
                <w:b/>
                <w:sz w:val="11"/>
              </w:rPr>
            </w:pPr>
          </w:p>
          <w:p w14:paraId="656DFB53" w14:textId="77777777" w:rsidR="00EF5B27" w:rsidRDefault="00000000">
            <w:pPr>
              <w:pStyle w:val="TableParagraph"/>
              <w:ind w:left="143" w:right="142"/>
              <w:jc w:val="center"/>
              <w:rPr>
                <w:sz w:val="14"/>
              </w:rPr>
            </w:pPr>
            <w:r>
              <w:rPr>
                <w:color w:val="4D4D4F"/>
                <w:sz w:val="14"/>
              </w:rPr>
              <w:t>Change in monitoring method</w:t>
            </w:r>
          </w:p>
        </w:tc>
        <w:tc>
          <w:tcPr>
            <w:tcW w:w="964" w:type="dxa"/>
          </w:tcPr>
          <w:p w14:paraId="474F844E" w14:textId="77777777" w:rsidR="00EF5B27" w:rsidRDefault="00EF5B27">
            <w:pPr>
              <w:pStyle w:val="TableParagraph"/>
              <w:spacing w:before="4"/>
              <w:rPr>
                <w:b/>
                <w:sz w:val="7"/>
              </w:rPr>
            </w:pPr>
          </w:p>
          <w:p w14:paraId="5093866B" w14:textId="77777777" w:rsidR="00EF5B27" w:rsidRDefault="00000000">
            <w:pPr>
              <w:pStyle w:val="TableParagraph"/>
              <w:spacing w:line="187" w:lineRule="exact"/>
              <w:ind w:left="400"/>
              <w:rPr>
                <w:sz w:val="18"/>
              </w:rPr>
            </w:pPr>
            <w:r>
              <w:rPr>
                <w:noProof/>
                <w:position w:val="-3"/>
                <w:sz w:val="18"/>
              </w:rPr>
              <w:drawing>
                <wp:inline distT="0" distB="0" distL="0" distR="0" wp14:anchorId="48FAE643" wp14:editId="5C606C42">
                  <wp:extent cx="100572" cy="119062"/>
                  <wp:effectExtent l="0" t="0" r="0" b="0"/>
                  <wp:docPr id="50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201.png"/>
                          <pic:cNvPicPr/>
                        </pic:nvPicPr>
                        <pic:blipFill>
                          <a:blip r:embed="rId83" cstate="print"/>
                          <a:stretch>
                            <a:fillRect/>
                          </a:stretch>
                        </pic:blipFill>
                        <pic:spPr>
                          <a:xfrm>
                            <a:off x="0" y="0"/>
                            <a:ext cx="100572" cy="119062"/>
                          </a:xfrm>
                          <a:prstGeom prst="rect">
                            <a:avLst/>
                          </a:prstGeom>
                        </pic:spPr>
                      </pic:pic>
                    </a:graphicData>
                  </a:graphic>
                </wp:inline>
              </w:drawing>
            </w:r>
          </w:p>
          <w:p w14:paraId="469887CB" w14:textId="77777777" w:rsidR="00EF5B27" w:rsidRDefault="00EF5B27">
            <w:pPr>
              <w:pStyle w:val="TableParagraph"/>
              <w:spacing w:before="8"/>
              <w:rPr>
                <w:b/>
                <w:sz w:val="2"/>
              </w:rPr>
            </w:pPr>
          </w:p>
          <w:p w14:paraId="649E572D" w14:textId="77777777" w:rsidR="00EF5B27" w:rsidRDefault="00000000">
            <w:pPr>
              <w:pStyle w:val="TableParagraph"/>
              <w:spacing w:line="48" w:lineRule="exact"/>
              <w:ind w:left="448"/>
              <w:rPr>
                <w:sz w:val="4"/>
              </w:rPr>
            </w:pPr>
            <w:r>
              <w:rPr>
                <w:sz w:val="4"/>
              </w:rPr>
            </w:r>
            <w:r>
              <w:rPr>
                <w:sz w:val="4"/>
              </w:rPr>
              <w:pict w14:anchorId="20717BA2">
                <v:group id="_x0000_s2790" style="width:2.45pt;height:2.45pt;mso-position-horizontal-relative:char;mso-position-vertical-relative:line" coordsize="49,49">
                  <v:shape id="_x0000_s2791" style="position:absolute;width:49;height:49" coordsize="49,49" path="m31,l18,,12,2,2,12,,17,,31r2,6l12,46r6,3l31,49r6,-3l46,37r3,-6l49,17,46,12,37,2,31,xe" fillcolor="#808285" stroked="f">
                    <v:path arrowok="t"/>
                  </v:shape>
                  <w10:wrap type="none"/>
                  <w10:anchorlock/>
                </v:group>
              </w:pict>
            </w:r>
          </w:p>
        </w:tc>
        <w:tc>
          <w:tcPr>
            <w:tcW w:w="964" w:type="dxa"/>
          </w:tcPr>
          <w:p w14:paraId="298350C9" w14:textId="77777777" w:rsidR="00EF5B27" w:rsidRDefault="00EF5B27">
            <w:pPr>
              <w:pStyle w:val="TableParagraph"/>
              <w:spacing w:before="11"/>
              <w:rPr>
                <w:b/>
                <w:sz w:val="11"/>
              </w:rPr>
            </w:pPr>
          </w:p>
          <w:p w14:paraId="2DBEF707" w14:textId="77777777" w:rsidR="00EF5B27" w:rsidRDefault="00000000">
            <w:pPr>
              <w:pStyle w:val="TableParagraph"/>
              <w:ind w:left="323" w:right="320"/>
              <w:jc w:val="center"/>
              <w:rPr>
                <w:sz w:val="14"/>
              </w:rPr>
            </w:pPr>
            <w:r>
              <w:rPr>
                <w:color w:val="4D4D4F"/>
                <w:w w:val="105"/>
                <w:sz w:val="14"/>
              </w:rPr>
              <w:t>Low</w:t>
            </w:r>
          </w:p>
        </w:tc>
        <w:tc>
          <w:tcPr>
            <w:tcW w:w="1489" w:type="dxa"/>
          </w:tcPr>
          <w:p w14:paraId="12179060" w14:textId="77777777" w:rsidR="00EF5B27" w:rsidRDefault="00000000">
            <w:pPr>
              <w:pStyle w:val="TableParagraph"/>
              <w:spacing w:before="134"/>
              <w:ind w:left="449" w:right="457"/>
              <w:jc w:val="center"/>
              <w:rPr>
                <w:sz w:val="16"/>
              </w:rPr>
            </w:pPr>
            <w:r>
              <w:rPr>
                <w:color w:val="4D4D4F"/>
                <w:w w:val="105"/>
                <w:sz w:val="16"/>
              </w:rPr>
              <w:t>N/A</w:t>
            </w:r>
          </w:p>
        </w:tc>
      </w:tr>
      <w:tr w:rsidR="00EF5B27" w14:paraId="7C1A51B2" w14:textId="77777777">
        <w:trPr>
          <w:trHeight w:val="448"/>
        </w:trPr>
        <w:tc>
          <w:tcPr>
            <w:tcW w:w="2980" w:type="dxa"/>
          </w:tcPr>
          <w:p w14:paraId="0635B7A4" w14:textId="77777777" w:rsidR="00EF5B27" w:rsidRDefault="00EF5B27">
            <w:pPr>
              <w:pStyle w:val="TableParagraph"/>
              <w:spacing w:before="11"/>
              <w:rPr>
                <w:b/>
                <w:sz w:val="11"/>
              </w:rPr>
            </w:pPr>
          </w:p>
          <w:p w14:paraId="55D2D47C" w14:textId="77777777" w:rsidR="00EF5B27" w:rsidRDefault="00000000">
            <w:pPr>
              <w:pStyle w:val="TableParagraph"/>
              <w:ind w:left="80"/>
              <w:rPr>
                <w:sz w:val="14"/>
              </w:rPr>
            </w:pPr>
            <w:r>
              <w:rPr>
                <w:color w:val="4D4D4F"/>
                <w:w w:val="105"/>
                <w:sz w:val="14"/>
              </w:rPr>
              <w:t>All other locations</w:t>
            </w:r>
          </w:p>
        </w:tc>
        <w:tc>
          <w:tcPr>
            <w:tcW w:w="1078" w:type="dxa"/>
          </w:tcPr>
          <w:p w14:paraId="142E84F2" w14:textId="77777777" w:rsidR="00EF5B27" w:rsidRDefault="00EF5B27">
            <w:pPr>
              <w:pStyle w:val="TableParagraph"/>
              <w:spacing w:before="11"/>
              <w:rPr>
                <w:b/>
                <w:sz w:val="11"/>
              </w:rPr>
            </w:pPr>
          </w:p>
          <w:p w14:paraId="57AF00F8" w14:textId="77777777" w:rsidR="00EF5B27" w:rsidRDefault="00000000">
            <w:pPr>
              <w:pStyle w:val="TableParagraph"/>
              <w:ind w:left="128" w:right="124"/>
              <w:jc w:val="center"/>
              <w:rPr>
                <w:sz w:val="14"/>
              </w:rPr>
            </w:pPr>
            <w:r>
              <w:rPr>
                <w:color w:val="4D4D4F"/>
                <w:sz w:val="14"/>
              </w:rPr>
              <w:t>Met</w:t>
            </w:r>
          </w:p>
        </w:tc>
        <w:tc>
          <w:tcPr>
            <w:tcW w:w="2155" w:type="dxa"/>
          </w:tcPr>
          <w:p w14:paraId="6FC507C0" w14:textId="77777777" w:rsidR="00EF5B27" w:rsidRDefault="00EF5B27">
            <w:pPr>
              <w:pStyle w:val="TableParagraph"/>
              <w:spacing w:before="11"/>
              <w:rPr>
                <w:b/>
                <w:sz w:val="11"/>
              </w:rPr>
            </w:pPr>
          </w:p>
          <w:p w14:paraId="74C752E6" w14:textId="77777777" w:rsidR="00EF5B27" w:rsidRDefault="00000000">
            <w:pPr>
              <w:pStyle w:val="TableParagraph"/>
              <w:ind w:left="143" w:right="142"/>
              <w:jc w:val="center"/>
              <w:rPr>
                <w:sz w:val="14"/>
              </w:rPr>
            </w:pPr>
            <w:r>
              <w:rPr>
                <w:color w:val="4D4D4F"/>
                <w:sz w:val="14"/>
              </w:rPr>
              <w:t>Change in monitoring method</w:t>
            </w:r>
          </w:p>
        </w:tc>
        <w:tc>
          <w:tcPr>
            <w:tcW w:w="964" w:type="dxa"/>
          </w:tcPr>
          <w:p w14:paraId="1DC42F07" w14:textId="77777777" w:rsidR="00EF5B27" w:rsidRDefault="00EF5B27">
            <w:pPr>
              <w:pStyle w:val="TableParagraph"/>
              <w:spacing w:before="5"/>
              <w:rPr>
                <w:b/>
                <w:sz w:val="7"/>
              </w:rPr>
            </w:pPr>
          </w:p>
          <w:p w14:paraId="0A4CE18F" w14:textId="77777777" w:rsidR="00EF5B27" w:rsidRDefault="00000000">
            <w:pPr>
              <w:pStyle w:val="TableParagraph"/>
              <w:spacing w:line="187" w:lineRule="exact"/>
              <w:ind w:left="400"/>
              <w:rPr>
                <w:sz w:val="18"/>
              </w:rPr>
            </w:pPr>
            <w:r>
              <w:rPr>
                <w:noProof/>
                <w:position w:val="-3"/>
                <w:sz w:val="18"/>
              </w:rPr>
              <w:drawing>
                <wp:inline distT="0" distB="0" distL="0" distR="0" wp14:anchorId="3CA0A6A1" wp14:editId="7A2551D7">
                  <wp:extent cx="100572" cy="119062"/>
                  <wp:effectExtent l="0" t="0" r="0" b="0"/>
                  <wp:docPr id="509"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202.png"/>
                          <pic:cNvPicPr/>
                        </pic:nvPicPr>
                        <pic:blipFill>
                          <a:blip r:embed="rId91" cstate="print"/>
                          <a:stretch>
                            <a:fillRect/>
                          </a:stretch>
                        </pic:blipFill>
                        <pic:spPr>
                          <a:xfrm>
                            <a:off x="0" y="0"/>
                            <a:ext cx="100572" cy="119062"/>
                          </a:xfrm>
                          <a:prstGeom prst="rect">
                            <a:avLst/>
                          </a:prstGeom>
                        </pic:spPr>
                      </pic:pic>
                    </a:graphicData>
                  </a:graphic>
                </wp:inline>
              </w:drawing>
            </w:r>
          </w:p>
          <w:p w14:paraId="4275DF66" w14:textId="77777777" w:rsidR="00EF5B27" w:rsidRDefault="00EF5B27">
            <w:pPr>
              <w:pStyle w:val="TableParagraph"/>
              <w:spacing w:before="7"/>
              <w:rPr>
                <w:b/>
                <w:sz w:val="2"/>
              </w:rPr>
            </w:pPr>
          </w:p>
          <w:p w14:paraId="3F082B97" w14:textId="77777777" w:rsidR="00EF5B27" w:rsidRDefault="00000000">
            <w:pPr>
              <w:pStyle w:val="TableParagraph"/>
              <w:spacing w:line="48" w:lineRule="exact"/>
              <w:ind w:left="448"/>
              <w:rPr>
                <w:sz w:val="4"/>
              </w:rPr>
            </w:pPr>
            <w:r>
              <w:rPr>
                <w:sz w:val="4"/>
              </w:rPr>
            </w:r>
            <w:r>
              <w:rPr>
                <w:sz w:val="4"/>
              </w:rPr>
              <w:pict w14:anchorId="131AE305">
                <v:group id="_x0000_s2788" style="width:2.45pt;height:2.45pt;mso-position-horizontal-relative:char;mso-position-vertical-relative:line" coordsize="49,49">
                  <v:shape id="_x0000_s2789" style="position:absolute;width:49;height:49" coordsize="49,49" path="m31,l18,,12,2,2,12,,17,,31r2,6l12,46r6,3l31,49r6,-3l46,37r3,-6l49,17,46,12,37,2,31,xe" fillcolor="#808285" stroked="f">
                    <v:path arrowok="t"/>
                  </v:shape>
                  <w10:wrap type="none"/>
                  <w10:anchorlock/>
                </v:group>
              </w:pict>
            </w:r>
          </w:p>
        </w:tc>
        <w:tc>
          <w:tcPr>
            <w:tcW w:w="964" w:type="dxa"/>
          </w:tcPr>
          <w:p w14:paraId="377D0A09" w14:textId="77777777" w:rsidR="00EF5B27" w:rsidRDefault="00EF5B27">
            <w:pPr>
              <w:pStyle w:val="TableParagraph"/>
              <w:spacing w:before="11"/>
              <w:rPr>
                <w:b/>
                <w:sz w:val="11"/>
              </w:rPr>
            </w:pPr>
          </w:p>
          <w:p w14:paraId="52F6CE5D" w14:textId="77777777" w:rsidR="00EF5B27" w:rsidRDefault="00000000">
            <w:pPr>
              <w:pStyle w:val="TableParagraph"/>
              <w:ind w:left="323" w:right="320"/>
              <w:jc w:val="center"/>
              <w:rPr>
                <w:sz w:val="14"/>
              </w:rPr>
            </w:pPr>
            <w:r>
              <w:rPr>
                <w:color w:val="4D4D4F"/>
                <w:w w:val="105"/>
                <w:sz w:val="14"/>
              </w:rPr>
              <w:t>Low</w:t>
            </w:r>
          </w:p>
        </w:tc>
        <w:tc>
          <w:tcPr>
            <w:tcW w:w="1489" w:type="dxa"/>
          </w:tcPr>
          <w:p w14:paraId="6157B07B" w14:textId="77777777" w:rsidR="00EF5B27" w:rsidRDefault="00000000">
            <w:pPr>
              <w:pStyle w:val="TableParagraph"/>
              <w:spacing w:before="134"/>
              <w:ind w:left="449" w:right="457"/>
              <w:jc w:val="center"/>
              <w:rPr>
                <w:sz w:val="16"/>
              </w:rPr>
            </w:pPr>
            <w:r>
              <w:rPr>
                <w:color w:val="4D4D4F"/>
                <w:w w:val="105"/>
                <w:sz w:val="16"/>
              </w:rPr>
              <w:t>N/A</w:t>
            </w:r>
          </w:p>
        </w:tc>
      </w:tr>
    </w:tbl>
    <w:p w14:paraId="18BD12E7" w14:textId="77777777" w:rsidR="00EF5B27" w:rsidRDefault="00EF5B27">
      <w:pPr>
        <w:pStyle w:val="BodyText"/>
        <w:spacing w:before="3"/>
        <w:rPr>
          <w:b/>
          <w:sz w:val="34"/>
        </w:rPr>
      </w:pPr>
    </w:p>
    <w:p w14:paraId="288AD780" w14:textId="77777777" w:rsidR="00EF5B27" w:rsidRDefault="00000000">
      <w:pPr>
        <w:pStyle w:val="BodyText"/>
        <w:spacing w:before="1" w:line="254" w:lineRule="auto"/>
        <w:ind w:left="2608" w:right="137"/>
      </w:pPr>
      <w:r>
        <w:rPr>
          <w:color w:val="4D4D4F"/>
        </w:rPr>
        <w:t xml:space="preserve">Striped Legless Lizard has been detected in all survey years after the establishment      of the permanent plot in </w:t>
      </w:r>
      <w:r>
        <w:rPr>
          <w:color w:val="4D4D4F"/>
          <w:spacing w:val="-5"/>
        </w:rPr>
        <w:t xml:space="preserve">2017 </w:t>
      </w:r>
      <w:r>
        <w:rPr>
          <w:color w:val="4D4D4F"/>
        </w:rPr>
        <w:t xml:space="preserve">on Mount Cottrell NCR. At </w:t>
      </w:r>
      <w:r>
        <w:rPr>
          <w:color w:val="4D4D4F"/>
          <w:spacing w:val="-3"/>
        </w:rPr>
        <w:t xml:space="preserve">Truganina </w:t>
      </w:r>
      <w:r>
        <w:rPr>
          <w:color w:val="4D4D4F"/>
        </w:rPr>
        <w:t xml:space="preserve">South NCR, Striped Legless Lizard was detected in </w:t>
      </w:r>
      <w:r>
        <w:rPr>
          <w:color w:val="4D4D4F"/>
          <w:spacing w:val="-6"/>
        </w:rPr>
        <w:t xml:space="preserve">2019. </w:t>
      </w:r>
      <w:r>
        <w:rPr>
          <w:color w:val="4D4D4F"/>
        </w:rPr>
        <w:t xml:space="preserve">This KPI has been met for the first five years at both locations </w:t>
      </w:r>
      <w:r>
        <w:rPr>
          <w:color w:val="4D4D4F"/>
          <w:spacing w:val="-5"/>
        </w:rPr>
        <w:t>(</w:t>
      </w:r>
      <w:hyperlink w:anchor="_bookmark65" w:history="1">
        <w:r>
          <w:rPr>
            <w:color w:val="4D4D4F"/>
            <w:spacing w:val="-5"/>
          </w:rPr>
          <w:t xml:space="preserve">Table </w:t>
        </w:r>
        <w:r>
          <w:rPr>
            <w:color w:val="4D4D4F"/>
            <w:spacing w:val="-4"/>
          </w:rPr>
          <w:t>4</w:t>
        </w:r>
      </w:hyperlink>
      <w:r>
        <w:rPr>
          <w:color w:val="4D4D4F"/>
          <w:spacing w:val="-4"/>
        </w:rPr>
        <w:t xml:space="preserve">). </w:t>
      </w:r>
      <w:r>
        <w:rPr>
          <w:color w:val="4D4D4F"/>
        </w:rPr>
        <w:t>At the other locations the assessment of the KPI began in</w:t>
      </w:r>
      <w:r>
        <w:rPr>
          <w:color w:val="4D4D4F"/>
          <w:spacing w:val="-7"/>
        </w:rPr>
        <w:t xml:space="preserve"> </w:t>
      </w:r>
      <w:r>
        <w:rPr>
          <w:color w:val="4D4D4F"/>
          <w:spacing w:val="-4"/>
        </w:rPr>
        <w:t>2021.</w:t>
      </w:r>
    </w:p>
    <w:p w14:paraId="717A0A16" w14:textId="77777777" w:rsidR="00EF5B27" w:rsidRDefault="00EF5B27">
      <w:pPr>
        <w:pStyle w:val="BodyText"/>
        <w:spacing w:before="6"/>
        <w:rPr>
          <w:sz w:val="29"/>
        </w:rPr>
      </w:pPr>
    </w:p>
    <w:p w14:paraId="71E1DDDB" w14:textId="77777777" w:rsidR="00EF5B27" w:rsidRDefault="00000000">
      <w:pPr>
        <w:tabs>
          <w:tab w:val="left" w:pos="9006"/>
        </w:tabs>
        <w:spacing w:before="1"/>
        <w:ind w:left="2608"/>
        <w:rPr>
          <w:rFonts w:ascii="Century Gothic"/>
          <w:i/>
          <w:sz w:val="12"/>
        </w:rPr>
      </w:pPr>
      <w:bookmarkStart w:id="96" w:name="_heading=h.3ls5o66"/>
      <w:bookmarkStart w:id="97" w:name="_heading=h.20xfydz"/>
      <w:bookmarkStart w:id="98" w:name="_Ref112873894"/>
      <w:bookmarkStart w:id="99" w:name="_bookmark65"/>
      <w:bookmarkEnd w:id="96"/>
      <w:bookmarkEnd w:id="97"/>
      <w:bookmarkEnd w:id="98"/>
      <w:bookmarkEnd w:id="99"/>
      <w:r>
        <w:rPr>
          <w:color w:val="4D4D4F"/>
          <w:spacing w:val="-5"/>
          <w:sz w:val="16"/>
        </w:rPr>
        <w:t xml:space="preserve">Table </w:t>
      </w:r>
      <w:r>
        <w:rPr>
          <w:color w:val="4D4D4F"/>
          <w:sz w:val="16"/>
        </w:rPr>
        <w:t xml:space="preserve">4: Detections of Striped Legless Lizard at </w:t>
      </w:r>
      <w:r>
        <w:rPr>
          <w:color w:val="4D4D4F"/>
          <w:spacing w:val="-2"/>
          <w:sz w:val="16"/>
        </w:rPr>
        <w:t xml:space="preserve">permanent </w:t>
      </w:r>
      <w:r>
        <w:rPr>
          <w:color w:val="4D4D4F"/>
          <w:spacing w:val="-3"/>
          <w:sz w:val="16"/>
        </w:rPr>
        <w:t xml:space="preserve">monitoring </w:t>
      </w:r>
      <w:r>
        <w:rPr>
          <w:color w:val="4D4D4F"/>
          <w:spacing w:val="-2"/>
          <w:sz w:val="16"/>
        </w:rPr>
        <w:t xml:space="preserve">plots </w:t>
      </w:r>
      <w:r>
        <w:rPr>
          <w:color w:val="4D4D4F"/>
          <w:sz w:val="16"/>
        </w:rPr>
        <w:t xml:space="preserve">(phase </w:t>
      </w:r>
      <w:r>
        <w:rPr>
          <w:color w:val="4D4D4F"/>
          <w:spacing w:val="-4"/>
          <w:sz w:val="16"/>
        </w:rPr>
        <w:t>3)</w:t>
      </w:r>
      <w:r>
        <w:rPr>
          <w:color w:val="4D4D4F"/>
          <w:spacing w:val="-26"/>
          <w:sz w:val="16"/>
        </w:rPr>
        <w:t xml:space="preserve"> </w:t>
      </w:r>
      <w:r>
        <w:rPr>
          <w:color w:val="4D4D4F"/>
          <w:sz w:val="16"/>
        </w:rPr>
        <w:t>by</w:t>
      </w:r>
      <w:r>
        <w:rPr>
          <w:color w:val="4D4D4F"/>
          <w:spacing w:val="-2"/>
          <w:sz w:val="16"/>
        </w:rPr>
        <w:t xml:space="preserve"> </w:t>
      </w:r>
      <w:r>
        <w:rPr>
          <w:color w:val="4D4D4F"/>
          <w:sz w:val="16"/>
        </w:rPr>
        <w:t>year</w:t>
      </w:r>
      <w:r>
        <w:rPr>
          <w:color w:val="4D4D4F"/>
          <w:sz w:val="16"/>
        </w:rPr>
        <w:tab/>
      </w:r>
      <w:r>
        <w:rPr>
          <w:rFonts w:ascii="Century Gothic"/>
          <w:i/>
          <w:color w:val="4D4D4F"/>
          <w:sz w:val="12"/>
        </w:rPr>
        <w:t>Source:</w:t>
      </w:r>
      <w:r>
        <w:rPr>
          <w:rFonts w:ascii="Century Gothic"/>
          <w:i/>
          <w:color w:val="4D4D4F"/>
          <w:spacing w:val="-25"/>
          <w:sz w:val="12"/>
        </w:rPr>
        <w:t xml:space="preserve"> </w:t>
      </w:r>
      <w:r>
        <w:rPr>
          <w:rFonts w:ascii="Century Gothic"/>
          <w:i/>
          <w:color w:val="4D4D4F"/>
          <w:spacing w:val="-4"/>
          <w:sz w:val="12"/>
        </w:rPr>
        <w:t>DELWP</w:t>
      </w:r>
    </w:p>
    <w:p w14:paraId="0109221C" w14:textId="77777777" w:rsidR="00EF5B27" w:rsidRDefault="00EF5B27">
      <w:pPr>
        <w:pStyle w:val="BodyText"/>
        <w:spacing w:before="4"/>
        <w:rPr>
          <w:rFonts w:ascii="Century Gothic"/>
          <w:i/>
          <w:sz w:val="10"/>
        </w:rPr>
      </w:pPr>
    </w:p>
    <w:tbl>
      <w:tblPr>
        <w:tblW w:w="0" w:type="auto"/>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835"/>
        <w:gridCol w:w="1134"/>
        <w:gridCol w:w="1134"/>
        <w:gridCol w:w="1134"/>
        <w:gridCol w:w="1134"/>
        <w:gridCol w:w="1134"/>
        <w:gridCol w:w="1134"/>
      </w:tblGrid>
      <w:tr w:rsidR="00EF5B27" w14:paraId="11E1C2DC" w14:textId="77777777">
        <w:trPr>
          <w:trHeight w:val="448"/>
        </w:trPr>
        <w:tc>
          <w:tcPr>
            <w:tcW w:w="2835" w:type="dxa"/>
            <w:shd w:val="clear" w:color="auto" w:fill="FECC91"/>
          </w:tcPr>
          <w:p w14:paraId="566E2FE9" w14:textId="77777777" w:rsidR="00EF5B27" w:rsidRDefault="00000000">
            <w:pPr>
              <w:pStyle w:val="TableParagraph"/>
              <w:spacing w:before="134"/>
              <w:ind w:left="80"/>
              <w:rPr>
                <w:b/>
                <w:sz w:val="16"/>
              </w:rPr>
            </w:pPr>
            <w:r>
              <w:rPr>
                <w:b/>
                <w:sz w:val="16"/>
              </w:rPr>
              <w:t>Location</w:t>
            </w:r>
          </w:p>
        </w:tc>
        <w:tc>
          <w:tcPr>
            <w:tcW w:w="1134" w:type="dxa"/>
            <w:shd w:val="clear" w:color="auto" w:fill="FECC91"/>
          </w:tcPr>
          <w:p w14:paraId="5C30F022" w14:textId="77777777" w:rsidR="00EF5B27" w:rsidRDefault="00000000">
            <w:pPr>
              <w:pStyle w:val="TableParagraph"/>
              <w:spacing w:before="134"/>
              <w:ind w:left="403"/>
              <w:rPr>
                <w:b/>
                <w:sz w:val="16"/>
              </w:rPr>
            </w:pPr>
            <w:r>
              <w:rPr>
                <w:b/>
                <w:w w:val="105"/>
                <w:sz w:val="16"/>
              </w:rPr>
              <w:t>2016</w:t>
            </w:r>
          </w:p>
        </w:tc>
        <w:tc>
          <w:tcPr>
            <w:tcW w:w="1134" w:type="dxa"/>
            <w:shd w:val="clear" w:color="auto" w:fill="FECC91"/>
          </w:tcPr>
          <w:p w14:paraId="5C7942A2" w14:textId="77777777" w:rsidR="00EF5B27" w:rsidRDefault="00000000">
            <w:pPr>
              <w:pStyle w:val="TableParagraph"/>
              <w:spacing w:before="134"/>
              <w:ind w:left="403"/>
              <w:rPr>
                <w:b/>
                <w:sz w:val="16"/>
              </w:rPr>
            </w:pPr>
            <w:r>
              <w:rPr>
                <w:b/>
                <w:w w:val="105"/>
                <w:sz w:val="16"/>
              </w:rPr>
              <w:t>2017</w:t>
            </w:r>
          </w:p>
        </w:tc>
        <w:tc>
          <w:tcPr>
            <w:tcW w:w="1134" w:type="dxa"/>
            <w:shd w:val="clear" w:color="auto" w:fill="FECC91"/>
          </w:tcPr>
          <w:p w14:paraId="32FE2B7A" w14:textId="77777777" w:rsidR="00EF5B27" w:rsidRDefault="00000000">
            <w:pPr>
              <w:pStyle w:val="TableParagraph"/>
              <w:spacing w:before="134"/>
              <w:ind w:left="81" w:right="82"/>
              <w:jc w:val="center"/>
              <w:rPr>
                <w:b/>
                <w:sz w:val="16"/>
              </w:rPr>
            </w:pPr>
            <w:r>
              <w:rPr>
                <w:b/>
                <w:w w:val="105"/>
                <w:sz w:val="16"/>
              </w:rPr>
              <w:t>2018</w:t>
            </w:r>
          </w:p>
        </w:tc>
        <w:tc>
          <w:tcPr>
            <w:tcW w:w="1134" w:type="dxa"/>
            <w:shd w:val="clear" w:color="auto" w:fill="FECC91"/>
          </w:tcPr>
          <w:p w14:paraId="5BD6AD01" w14:textId="77777777" w:rsidR="00EF5B27" w:rsidRDefault="00000000">
            <w:pPr>
              <w:pStyle w:val="TableParagraph"/>
              <w:spacing w:before="134"/>
              <w:ind w:left="81" w:right="82"/>
              <w:jc w:val="center"/>
              <w:rPr>
                <w:b/>
                <w:sz w:val="16"/>
              </w:rPr>
            </w:pPr>
            <w:r>
              <w:rPr>
                <w:b/>
                <w:w w:val="105"/>
                <w:sz w:val="16"/>
              </w:rPr>
              <w:t>2019</w:t>
            </w:r>
          </w:p>
        </w:tc>
        <w:tc>
          <w:tcPr>
            <w:tcW w:w="1134" w:type="dxa"/>
            <w:shd w:val="clear" w:color="auto" w:fill="FECC91"/>
          </w:tcPr>
          <w:p w14:paraId="55B7D65B" w14:textId="77777777" w:rsidR="00EF5B27" w:rsidRDefault="00000000">
            <w:pPr>
              <w:pStyle w:val="TableParagraph"/>
              <w:spacing w:before="134"/>
              <w:ind w:left="81" w:right="76"/>
              <w:jc w:val="center"/>
              <w:rPr>
                <w:b/>
                <w:sz w:val="16"/>
              </w:rPr>
            </w:pPr>
            <w:r>
              <w:rPr>
                <w:b/>
                <w:w w:val="105"/>
                <w:sz w:val="16"/>
              </w:rPr>
              <w:t>2020</w:t>
            </w:r>
          </w:p>
        </w:tc>
        <w:tc>
          <w:tcPr>
            <w:tcW w:w="1134" w:type="dxa"/>
            <w:shd w:val="clear" w:color="auto" w:fill="FECC91"/>
          </w:tcPr>
          <w:p w14:paraId="08A7367B" w14:textId="77777777" w:rsidR="00EF5B27" w:rsidRDefault="00000000">
            <w:pPr>
              <w:pStyle w:val="TableParagraph"/>
              <w:spacing w:before="134"/>
              <w:ind w:left="81" w:right="81"/>
              <w:jc w:val="center"/>
              <w:rPr>
                <w:b/>
                <w:sz w:val="16"/>
              </w:rPr>
            </w:pPr>
            <w:r>
              <w:rPr>
                <w:b/>
                <w:w w:val="105"/>
                <w:sz w:val="16"/>
              </w:rPr>
              <w:t>2021</w:t>
            </w:r>
          </w:p>
        </w:tc>
      </w:tr>
      <w:tr w:rsidR="00EF5B27" w14:paraId="36055AB7" w14:textId="77777777">
        <w:trPr>
          <w:trHeight w:val="335"/>
        </w:trPr>
        <w:tc>
          <w:tcPr>
            <w:tcW w:w="2835" w:type="dxa"/>
          </w:tcPr>
          <w:p w14:paraId="1CFD31EA" w14:textId="77777777" w:rsidR="00EF5B27" w:rsidRDefault="00000000">
            <w:pPr>
              <w:pStyle w:val="TableParagraph"/>
              <w:spacing w:before="89"/>
              <w:ind w:left="80"/>
              <w:rPr>
                <w:sz w:val="14"/>
              </w:rPr>
            </w:pPr>
            <w:r>
              <w:rPr>
                <w:color w:val="4D4D4F"/>
                <w:w w:val="105"/>
                <w:sz w:val="14"/>
              </w:rPr>
              <w:t>Mount Cottrell NCR</w:t>
            </w:r>
          </w:p>
        </w:tc>
        <w:tc>
          <w:tcPr>
            <w:tcW w:w="1134" w:type="dxa"/>
          </w:tcPr>
          <w:p w14:paraId="38709621" w14:textId="77777777" w:rsidR="00EF5B27" w:rsidRDefault="00000000">
            <w:pPr>
              <w:pStyle w:val="TableParagraph"/>
              <w:spacing w:before="89"/>
              <w:ind w:left="433"/>
              <w:rPr>
                <w:sz w:val="14"/>
              </w:rPr>
            </w:pPr>
            <w:r>
              <w:rPr>
                <w:color w:val="4D4D4F"/>
                <w:w w:val="105"/>
                <w:sz w:val="14"/>
              </w:rPr>
              <w:t>Yes*</w:t>
            </w:r>
          </w:p>
        </w:tc>
        <w:tc>
          <w:tcPr>
            <w:tcW w:w="1134" w:type="dxa"/>
          </w:tcPr>
          <w:p w14:paraId="523C4BB3" w14:textId="77777777" w:rsidR="00EF5B27" w:rsidRDefault="00000000">
            <w:pPr>
              <w:pStyle w:val="TableParagraph"/>
              <w:spacing w:before="89"/>
              <w:ind w:left="464"/>
              <w:rPr>
                <w:sz w:val="14"/>
              </w:rPr>
            </w:pPr>
            <w:r>
              <w:rPr>
                <w:color w:val="4D4D4F"/>
                <w:w w:val="110"/>
                <w:sz w:val="14"/>
              </w:rPr>
              <w:t>Yes</w:t>
            </w:r>
          </w:p>
        </w:tc>
        <w:tc>
          <w:tcPr>
            <w:tcW w:w="1134" w:type="dxa"/>
          </w:tcPr>
          <w:p w14:paraId="6E30F874" w14:textId="77777777" w:rsidR="00EF5B27" w:rsidRDefault="00000000">
            <w:pPr>
              <w:pStyle w:val="TableParagraph"/>
              <w:spacing w:before="77"/>
              <w:ind w:left="81" w:right="78"/>
              <w:jc w:val="center"/>
              <w:rPr>
                <w:sz w:val="16"/>
              </w:rPr>
            </w:pPr>
            <w:r>
              <w:rPr>
                <w:color w:val="4D4D4F"/>
                <w:w w:val="110"/>
                <w:sz w:val="16"/>
              </w:rPr>
              <w:t>Yes</w:t>
            </w:r>
          </w:p>
        </w:tc>
        <w:tc>
          <w:tcPr>
            <w:tcW w:w="1134" w:type="dxa"/>
          </w:tcPr>
          <w:p w14:paraId="67B85F97" w14:textId="77777777" w:rsidR="00EF5B27" w:rsidRDefault="00000000">
            <w:pPr>
              <w:pStyle w:val="TableParagraph"/>
              <w:spacing w:before="89"/>
              <w:ind w:left="81" w:right="78"/>
              <w:jc w:val="center"/>
              <w:rPr>
                <w:sz w:val="14"/>
              </w:rPr>
            </w:pPr>
            <w:r>
              <w:rPr>
                <w:color w:val="4D4D4F"/>
                <w:w w:val="110"/>
                <w:sz w:val="14"/>
              </w:rPr>
              <w:t>Yes</w:t>
            </w:r>
          </w:p>
        </w:tc>
        <w:tc>
          <w:tcPr>
            <w:tcW w:w="1134" w:type="dxa"/>
          </w:tcPr>
          <w:p w14:paraId="273821F6" w14:textId="77777777" w:rsidR="00EF5B27" w:rsidRDefault="00000000">
            <w:pPr>
              <w:pStyle w:val="TableParagraph"/>
              <w:spacing w:before="89"/>
              <w:ind w:left="81" w:right="83"/>
              <w:jc w:val="center"/>
              <w:rPr>
                <w:sz w:val="14"/>
              </w:rPr>
            </w:pPr>
            <w:r>
              <w:rPr>
                <w:color w:val="4D4D4F"/>
                <w:w w:val="105"/>
                <w:sz w:val="14"/>
              </w:rPr>
              <w:t>N/A</w:t>
            </w:r>
          </w:p>
        </w:tc>
        <w:tc>
          <w:tcPr>
            <w:tcW w:w="1134" w:type="dxa"/>
          </w:tcPr>
          <w:p w14:paraId="2F7BA8BE" w14:textId="77777777" w:rsidR="00EF5B27" w:rsidRDefault="00000000">
            <w:pPr>
              <w:pStyle w:val="TableParagraph"/>
              <w:spacing w:before="89"/>
              <w:ind w:left="81" w:right="79"/>
              <w:jc w:val="center"/>
              <w:rPr>
                <w:sz w:val="14"/>
              </w:rPr>
            </w:pPr>
            <w:r>
              <w:rPr>
                <w:color w:val="4D4D4F"/>
                <w:w w:val="110"/>
                <w:sz w:val="14"/>
              </w:rPr>
              <w:t>Yes</w:t>
            </w:r>
          </w:p>
        </w:tc>
      </w:tr>
      <w:tr w:rsidR="00EF5B27" w14:paraId="2270448F" w14:textId="77777777">
        <w:trPr>
          <w:trHeight w:val="335"/>
        </w:trPr>
        <w:tc>
          <w:tcPr>
            <w:tcW w:w="2835" w:type="dxa"/>
          </w:tcPr>
          <w:p w14:paraId="0675E238" w14:textId="77777777" w:rsidR="00EF5B27" w:rsidRDefault="00000000">
            <w:pPr>
              <w:pStyle w:val="TableParagraph"/>
              <w:spacing w:before="89"/>
              <w:ind w:left="79"/>
              <w:rPr>
                <w:sz w:val="14"/>
              </w:rPr>
            </w:pPr>
            <w:r>
              <w:rPr>
                <w:color w:val="4D4D4F"/>
                <w:w w:val="105"/>
                <w:sz w:val="14"/>
              </w:rPr>
              <w:t>Truganina South NCR</w:t>
            </w:r>
          </w:p>
        </w:tc>
        <w:tc>
          <w:tcPr>
            <w:tcW w:w="1134" w:type="dxa"/>
          </w:tcPr>
          <w:p w14:paraId="7374399C" w14:textId="77777777" w:rsidR="00EF5B27" w:rsidRDefault="00000000">
            <w:pPr>
              <w:pStyle w:val="TableParagraph"/>
              <w:spacing w:before="89"/>
              <w:ind w:left="455"/>
              <w:rPr>
                <w:sz w:val="14"/>
              </w:rPr>
            </w:pPr>
            <w:r>
              <w:rPr>
                <w:color w:val="4D4D4F"/>
                <w:w w:val="105"/>
                <w:sz w:val="14"/>
              </w:rPr>
              <w:t>N/A</w:t>
            </w:r>
          </w:p>
        </w:tc>
        <w:tc>
          <w:tcPr>
            <w:tcW w:w="1134" w:type="dxa"/>
          </w:tcPr>
          <w:p w14:paraId="4CD30983" w14:textId="77777777" w:rsidR="00EF5B27" w:rsidRDefault="00000000">
            <w:pPr>
              <w:pStyle w:val="TableParagraph"/>
              <w:spacing w:before="89"/>
              <w:ind w:left="433"/>
              <w:rPr>
                <w:sz w:val="14"/>
              </w:rPr>
            </w:pPr>
            <w:r>
              <w:rPr>
                <w:color w:val="4D4D4F"/>
                <w:w w:val="105"/>
                <w:sz w:val="14"/>
              </w:rPr>
              <w:t>Yes*</w:t>
            </w:r>
          </w:p>
        </w:tc>
        <w:tc>
          <w:tcPr>
            <w:tcW w:w="1134" w:type="dxa"/>
          </w:tcPr>
          <w:p w14:paraId="5720B989" w14:textId="77777777" w:rsidR="00EF5B27" w:rsidRDefault="00000000">
            <w:pPr>
              <w:pStyle w:val="TableParagraph"/>
              <w:spacing w:before="77"/>
              <w:ind w:left="81" w:right="78"/>
              <w:jc w:val="center"/>
              <w:rPr>
                <w:sz w:val="16"/>
              </w:rPr>
            </w:pPr>
            <w:r>
              <w:rPr>
                <w:color w:val="4D4D4F"/>
                <w:sz w:val="16"/>
              </w:rPr>
              <w:t>N/A^</w:t>
            </w:r>
          </w:p>
        </w:tc>
        <w:tc>
          <w:tcPr>
            <w:tcW w:w="1134" w:type="dxa"/>
          </w:tcPr>
          <w:p w14:paraId="1D7A9988" w14:textId="77777777" w:rsidR="00EF5B27" w:rsidRDefault="00000000">
            <w:pPr>
              <w:pStyle w:val="TableParagraph"/>
              <w:spacing w:before="89"/>
              <w:ind w:left="81" w:right="78"/>
              <w:jc w:val="center"/>
              <w:rPr>
                <w:sz w:val="14"/>
              </w:rPr>
            </w:pPr>
            <w:r>
              <w:rPr>
                <w:color w:val="4D4D4F"/>
                <w:w w:val="110"/>
                <w:sz w:val="14"/>
              </w:rPr>
              <w:t>Yes</w:t>
            </w:r>
          </w:p>
        </w:tc>
        <w:tc>
          <w:tcPr>
            <w:tcW w:w="1134" w:type="dxa"/>
          </w:tcPr>
          <w:p w14:paraId="0360CB4E" w14:textId="77777777" w:rsidR="00EF5B27" w:rsidRDefault="00000000">
            <w:pPr>
              <w:pStyle w:val="TableParagraph"/>
              <w:spacing w:before="89"/>
              <w:ind w:left="81" w:right="83"/>
              <w:jc w:val="center"/>
              <w:rPr>
                <w:sz w:val="14"/>
              </w:rPr>
            </w:pPr>
            <w:r>
              <w:rPr>
                <w:color w:val="4D4D4F"/>
                <w:w w:val="105"/>
                <w:sz w:val="14"/>
              </w:rPr>
              <w:t>N/A</w:t>
            </w:r>
          </w:p>
        </w:tc>
        <w:tc>
          <w:tcPr>
            <w:tcW w:w="1134" w:type="dxa"/>
          </w:tcPr>
          <w:p w14:paraId="33641B18" w14:textId="77777777" w:rsidR="00EF5B27" w:rsidRDefault="00000000">
            <w:pPr>
              <w:pStyle w:val="TableParagraph"/>
              <w:spacing w:before="89"/>
              <w:ind w:left="81" w:right="79"/>
              <w:jc w:val="center"/>
              <w:rPr>
                <w:sz w:val="14"/>
              </w:rPr>
            </w:pPr>
            <w:r>
              <w:rPr>
                <w:color w:val="4D4D4F"/>
                <w:w w:val="110"/>
                <w:sz w:val="14"/>
              </w:rPr>
              <w:t>Yes</w:t>
            </w:r>
          </w:p>
        </w:tc>
      </w:tr>
      <w:tr w:rsidR="00EF5B27" w14:paraId="3B7BDF8D" w14:textId="77777777">
        <w:trPr>
          <w:trHeight w:val="335"/>
        </w:trPr>
        <w:tc>
          <w:tcPr>
            <w:tcW w:w="2835" w:type="dxa"/>
          </w:tcPr>
          <w:p w14:paraId="4802D773" w14:textId="77777777" w:rsidR="00EF5B27" w:rsidRDefault="00000000">
            <w:pPr>
              <w:pStyle w:val="TableParagraph"/>
              <w:spacing w:before="89"/>
              <w:ind w:left="79"/>
              <w:rPr>
                <w:sz w:val="14"/>
              </w:rPr>
            </w:pPr>
            <w:r>
              <w:rPr>
                <w:color w:val="4D4D4F"/>
                <w:w w:val="105"/>
                <w:sz w:val="14"/>
              </w:rPr>
              <w:t>Basalt</w:t>
            </w:r>
          </w:p>
        </w:tc>
        <w:tc>
          <w:tcPr>
            <w:tcW w:w="1134" w:type="dxa"/>
          </w:tcPr>
          <w:p w14:paraId="301024C7" w14:textId="77777777" w:rsidR="00EF5B27" w:rsidRDefault="00000000">
            <w:pPr>
              <w:pStyle w:val="TableParagraph"/>
              <w:spacing w:before="89"/>
              <w:ind w:left="455"/>
              <w:rPr>
                <w:sz w:val="14"/>
              </w:rPr>
            </w:pPr>
            <w:r>
              <w:rPr>
                <w:color w:val="4D4D4F"/>
                <w:w w:val="105"/>
                <w:sz w:val="14"/>
              </w:rPr>
              <w:t>N/A</w:t>
            </w:r>
          </w:p>
        </w:tc>
        <w:tc>
          <w:tcPr>
            <w:tcW w:w="1134" w:type="dxa"/>
          </w:tcPr>
          <w:p w14:paraId="765FC380" w14:textId="77777777" w:rsidR="00EF5B27" w:rsidRDefault="00000000">
            <w:pPr>
              <w:pStyle w:val="TableParagraph"/>
              <w:spacing w:before="89"/>
              <w:ind w:left="455"/>
              <w:rPr>
                <w:sz w:val="14"/>
              </w:rPr>
            </w:pPr>
            <w:r>
              <w:rPr>
                <w:color w:val="4D4D4F"/>
                <w:w w:val="105"/>
                <w:sz w:val="14"/>
              </w:rPr>
              <w:t>N/A</w:t>
            </w:r>
          </w:p>
        </w:tc>
        <w:tc>
          <w:tcPr>
            <w:tcW w:w="1134" w:type="dxa"/>
          </w:tcPr>
          <w:p w14:paraId="52DC0434" w14:textId="77777777" w:rsidR="00EF5B27" w:rsidRDefault="00000000">
            <w:pPr>
              <w:pStyle w:val="TableParagraph"/>
              <w:spacing w:before="77"/>
              <w:ind w:left="79" w:right="83"/>
              <w:jc w:val="center"/>
              <w:rPr>
                <w:sz w:val="16"/>
              </w:rPr>
            </w:pPr>
            <w:r>
              <w:rPr>
                <w:color w:val="4D4D4F"/>
                <w:w w:val="105"/>
                <w:sz w:val="16"/>
              </w:rPr>
              <w:t>N/A</w:t>
            </w:r>
          </w:p>
        </w:tc>
        <w:tc>
          <w:tcPr>
            <w:tcW w:w="1134" w:type="dxa"/>
          </w:tcPr>
          <w:p w14:paraId="5D9A1EB9" w14:textId="77777777" w:rsidR="00EF5B27" w:rsidRDefault="00000000">
            <w:pPr>
              <w:pStyle w:val="TableParagraph"/>
              <w:spacing w:before="89"/>
              <w:ind w:left="81" w:right="78"/>
              <w:jc w:val="center"/>
              <w:rPr>
                <w:sz w:val="14"/>
              </w:rPr>
            </w:pPr>
            <w:r>
              <w:rPr>
                <w:color w:val="4D4D4F"/>
                <w:w w:val="105"/>
                <w:sz w:val="14"/>
              </w:rPr>
              <w:t>Yes*</w:t>
            </w:r>
          </w:p>
        </w:tc>
        <w:tc>
          <w:tcPr>
            <w:tcW w:w="1134" w:type="dxa"/>
          </w:tcPr>
          <w:p w14:paraId="7C998542" w14:textId="77777777" w:rsidR="00EF5B27" w:rsidRDefault="00000000">
            <w:pPr>
              <w:pStyle w:val="TableParagraph"/>
              <w:spacing w:before="89"/>
              <w:ind w:left="81" w:right="83"/>
              <w:jc w:val="center"/>
              <w:rPr>
                <w:sz w:val="14"/>
              </w:rPr>
            </w:pPr>
            <w:r>
              <w:rPr>
                <w:color w:val="4D4D4F"/>
                <w:w w:val="105"/>
                <w:sz w:val="14"/>
              </w:rPr>
              <w:t>N/A</w:t>
            </w:r>
          </w:p>
        </w:tc>
        <w:tc>
          <w:tcPr>
            <w:tcW w:w="1134" w:type="dxa"/>
          </w:tcPr>
          <w:p w14:paraId="289A1DF4" w14:textId="77777777" w:rsidR="00EF5B27" w:rsidRDefault="00000000">
            <w:pPr>
              <w:pStyle w:val="TableParagraph"/>
              <w:spacing w:before="89"/>
              <w:ind w:left="81" w:right="79"/>
              <w:jc w:val="center"/>
              <w:rPr>
                <w:sz w:val="14"/>
              </w:rPr>
            </w:pPr>
            <w:r>
              <w:rPr>
                <w:color w:val="4D4D4F"/>
                <w:w w:val="110"/>
                <w:sz w:val="14"/>
              </w:rPr>
              <w:t>Yes</w:t>
            </w:r>
          </w:p>
        </w:tc>
      </w:tr>
      <w:tr w:rsidR="00EF5B27" w14:paraId="26ADC66E" w14:textId="77777777">
        <w:trPr>
          <w:trHeight w:val="335"/>
        </w:trPr>
        <w:tc>
          <w:tcPr>
            <w:tcW w:w="2835" w:type="dxa"/>
          </w:tcPr>
          <w:p w14:paraId="1A3BE9C2" w14:textId="77777777" w:rsidR="00EF5B27" w:rsidRDefault="00000000">
            <w:pPr>
              <w:pStyle w:val="TableParagraph"/>
              <w:spacing w:before="89"/>
              <w:ind w:left="80"/>
              <w:rPr>
                <w:sz w:val="14"/>
              </w:rPr>
            </w:pPr>
            <w:r>
              <w:rPr>
                <w:color w:val="4D4D4F"/>
                <w:sz w:val="14"/>
              </w:rPr>
              <w:t>Werribee River easement</w:t>
            </w:r>
          </w:p>
        </w:tc>
        <w:tc>
          <w:tcPr>
            <w:tcW w:w="1134" w:type="dxa"/>
          </w:tcPr>
          <w:p w14:paraId="07838089" w14:textId="77777777" w:rsidR="00EF5B27" w:rsidRDefault="00000000">
            <w:pPr>
              <w:pStyle w:val="TableParagraph"/>
              <w:spacing w:before="89"/>
              <w:ind w:left="455"/>
              <w:rPr>
                <w:sz w:val="14"/>
              </w:rPr>
            </w:pPr>
            <w:r>
              <w:rPr>
                <w:color w:val="4D4D4F"/>
                <w:w w:val="105"/>
                <w:sz w:val="14"/>
              </w:rPr>
              <w:t>N/A</w:t>
            </w:r>
          </w:p>
        </w:tc>
        <w:tc>
          <w:tcPr>
            <w:tcW w:w="1134" w:type="dxa"/>
          </w:tcPr>
          <w:p w14:paraId="5AE6BF11" w14:textId="77777777" w:rsidR="00EF5B27" w:rsidRDefault="00000000">
            <w:pPr>
              <w:pStyle w:val="TableParagraph"/>
              <w:spacing w:before="89"/>
              <w:ind w:left="455"/>
              <w:rPr>
                <w:sz w:val="14"/>
              </w:rPr>
            </w:pPr>
            <w:r>
              <w:rPr>
                <w:color w:val="4D4D4F"/>
                <w:w w:val="105"/>
                <w:sz w:val="14"/>
              </w:rPr>
              <w:t>N/A</w:t>
            </w:r>
          </w:p>
        </w:tc>
        <w:tc>
          <w:tcPr>
            <w:tcW w:w="1134" w:type="dxa"/>
          </w:tcPr>
          <w:p w14:paraId="613CCAF6" w14:textId="77777777" w:rsidR="00EF5B27" w:rsidRDefault="00000000">
            <w:pPr>
              <w:pStyle w:val="TableParagraph"/>
              <w:spacing w:before="77"/>
              <w:ind w:left="79" w:right="83"/>
              <w:jc w:val="center"/>
              <w:rPr>
                <w:sz w:val="16"/>
              </w:rPr>
            </w:pPr>
            <w:r>
              <w:rPr>
                <w:color w:val="4D4D4F"/>
                <w:w w:val="105"/>
                <w:sz w:val="16"/>
              </w:rPr>
              <w:t>N/A</w:t>
            </w:r>
          </w:p>
        </w:tc>
        <w:tc>
          <w:tcPr>
            <w:tcW w:w="1134" w:type="dxa"/>
          </w:tcPr>
          <w:p w14:paraId="74432CC2" w14:textId="77777777" w:rsidR="00EF5B27" w:rsidRDefault="00000000">
            <w:pPr>
              <w:pStyle w:val="TableParagraph"/>
              <w:spacing w:before="89"/>
              <w:ind w:left="81" w:right="78"/>
              <w:jc w:val="center"/>
              <w:rPr>
                <w:sz w:val="14"/>
              </w:rPr>
            </w:pPr>
            <w:r>
              <w:rPr>
                <w:color w:val="4D4D4F"/>
                <w:w w:val="105"/>
                <w:sz w:val="14"/>
              </w:rPr>
              <w:t>Yes*</w:t>
            </w:r>
          </w:p>
        </w:tc>
        <w:tc>
          <w:tcPr>
            <w:tcW w:w="1134" w:type="dxa"/>
          </w:tcPr>
          <w:p w14:paraId="5019162C" w14:textId="77777777" w:rsidR="00EF5B27" w:rsidRDefault="00000000">
            <w:pPr>
              <w:pStyle w:val="TableParagraph"/>
              <w:spacing w:before="89"/>
              <w:ind w:left="81" w:right="83"/>
              <w:jc w:val="center"/>
              <w:rPr>
                <w:sz w:val="14"/>
              </w:rPr>
            </w:pPr>
            <w:r>
              <w:rPr>
                <w:color w:val="4D4D4F"/>
                <w:w w:val="105"/>
                <w:sz w:val="14"/>
              </w:rPr>
              <w:t>N/A</w:t>
            </w:r>
          </w:p>
        </w:tc>
        <w:tc>
          <w:tcPr>
            <w:tcW w:w="1134" w:type="dxa"/>
          </w:tcPr>
          <w:p w14:paraId="6D746E06" w14:textId="77777777" w:rsidR="00EF5B27" w:rsidRDefault="00000000">
            <w:pPr>
              <w:pStyle w:val="TableParagraph"/>
              <w:spacing w:before="89"/>
              <w:ind w:left="81" w:right="76"/>
              <w:jc w:val="center"/>
              <w:rPr>
                <w:sz w:val="14"/>
              </w:rPr>
            </w:pPr>
            <w:r>
              <w:rPr>
                <w:color w:val="4D4D4F"/>
                <w:sz w:val="14"/>
              </w:rPr>
              <w:t>No</w:t>
            </w:r>
          </w:p>
        </w:tc>
      </w:tr>
      <w:tr w:rsidR="00EF5B27" w14:paraId="33FFEAF4" w14:textId="77777777">
        <w:trPr>
          <w:trHeight w:val="335"/>
        </w:trPr>
        <w:tc>
          <w:tcPr>
            <w:tcW w:w="2835" w:type="dxa"/>
          </w:tcPr>
          <w:p w14:paraId="73A23350" w14:textId="77777777" w:rsidR="00EF5B27" w:rsidRDefault="00000000">
            <w:pPr>
              <w:pStyle w:val="TableParagraph"/>
              <w:spacing w:before="89"/>
              <w:ind w:left="80"/>
              <w:rPr>
                <w:sz w:val="14"/>
              </w:rPr>
            </w:pPr>
            <w:r>
              <w:rPr>
                <w:color w:val="4D4D4F"/>
                <w:sz w:val="14"/>
              </w:rPr>
              <w:t>Little Pony</w:t>
            </w:r>
          </w:p>
        </w:tc>
        <w:tc>
          <w:tcPr>
            <w:tcW w:w="1134" w:type="dxa"/>
          </w:tcPr>
          <w:p w14:paraId="30977D99" w14:textId="77777777" w:rsidR="00EF5B27" w:rsidRDefault="00000000">
            <w:pPr>
              <w:pStyle w:val="TableParagraph"/>
              <w:spacing w:before="89"/>
              <w:ind w:left="455"/>
              <w:rPr>
                <w:sz w:val="14"/>
              </w:rPr>
            </w:pPr>
            <w:r>
              <w:rPr>
                <w:color w:val="4D4D4F"/>
                <w:w w:val="105"/>
                <w:sz w:val="14"/>
              </w:rPr>
              <w:t>N/A</w:t>
            </w:r>
          </w:p>
        </w:tc>
        <w:tc>
          <w:tcPr>
            <w:tcW w:w="1134" w:type="dxa"/>
          </w:tcPr>
          <w:p w14:paraId="3EBA2209" w14:textId="77777777" w:rsidR="00EF5B27" w:rsidRDefault="00000000">
            <w:pPr>
              <w:pStyle w:val="TableParagraph"/>
              <w:spacing w:before="89"/>
              <w:ind w:left="455"/>
              <w:rPr>
                <w:sz w:val="14"/>
              </w:rPr>
            </w:pPr>
            <w:r>
              <w:rPr>
                <w:color w:val="4D4D4F"/>
                <w:w w:val="105"/>
                <w:sz w:val="14"/>
              </w:rPr>
              <w:t>N/A</w:t>
            </w:r>
          </w:p>
        </w:tc>
        <w:tc>
          <w:tcPr>
            <w:tcW w:w="1134" w:type="dxa"/>
          </w:tcPr>
          <w:p w14:paraId="05B889BE" w14:textId="77777777" w:rsidR="00EF5B27" w:rsidRDefault="00000000">
            <w:pPr>
              <w:pStyle w:val="TableParagraph"/>
              <w:spacing w:before="77"/>
              <w:ind w:left="79" w:right="83"/>
              <w:jc w:val="center"/>
              <w:rPr>
                <w:sz w:val="16"/>
              </w:rPr>
            </w:pPr>
            <w:r>
              <w:rPr>
                <w:color w:val="4D4D4F"/>
                <w:w w:val="105"/>
                <w:sz w:val="16"/>
              </w:rPr>
              <w:t>N/A</w:t>
            </w:r>
          </w:p>
        </w:tc>
        <w:tc>
          <w:tcPr>
            <w:tcW w:w="1134" w:type="dxa"/>
          </w:tcPr>
          <w:p w14:paraId="1388E2AB" w14:textId="77777777" w:rsidR="00EF5B27" w:rsidRDefault="00000000">
            <w:pPr>
              <w:pStyle w:val="TableParagraph"/>
              <w:spacing w:before="89"/>
              <w:ind w:left="81" w:right="78"/>
              <w:jc w:val="center"/>
              <w:rPr>
                <w:sz w:val="14"/>
              </w:rPr>
            </w:pPr>
            <w:r>
              <w:rPr>
                <w:color w:val="4D4D4F"/>
                <w:w w:val="105"/>
                <w:sz w:val="14"/>
              </w:rPr>
              <w:t>Yes*</w:t>
            </w:r>
          </w:p>
        </w:tc>
        <w:tc>
          <w:tcPr>
            <w:tcW w:w="1134" w:type="dxa"/>
          </w:tcPr>
          <w:p w14:paraId="056C66C8" w14:textId="77777777" w:rsidR="00EF5B27" w:rsidRDefault="00000000">
            <w:pPr>
              <w:pStyle w:val="TableParagraph"/>
              <w:spacing w:before="89"/>
              <w:ind w:left="81" w:right="83"/>
              <w:jc w:val="center"/>
              <w:rPr>
                <w:sz w:val="14"/>
              </w:rPr>
            </w:pPr>
            <w:r>
              <w:rPr>
                <w:color w:val="4D4D4F"/>
                <w:w w:val="105"/>
                <w:sz w:val="14"/>
              </w:rPr>
              <w:t>N/A</w:t>
            </w:r>
          </w:p>
        </w:tc>
        <w:tc>
          <w:tcPr>
            <w:tcW w:w="1134" w:type="dxa"/>
          </w:tcPr>
          <w:p w14:paraId="2AAFC406" w14:textId="77777777" w:rsidR="00EF5B27" w:rsidRDefault="00000000">
            <w:pPr>
              <w:pStyle w:val="TableParagraph"/>
              <w:spacing w:before="89"/>
              <w:ind w:left="81" w:right="79"/>
              <w:jc w:val="center"/>
              <w:rPr>
                <w:sz w:val="14"/>
              </w:rPr>
            </w:pPr>
            <w:r>
              <w:rPr>
                <w:color w:val="4D4D4F"/>
                <w:w w:val="110"/>
                <w:sz w:val="14"/>
              </w:rPr>
              <w:t>Yes</w:t>
            </w:r>
          </w:p>
        </w:tc>
      </w:tr>
      <w:tr w:rsidR="00EF5B27" w14:paraId="04BBD609" w14:textId="77777777">
        <w:trPr>
          <w:trHeight w:val="335"/>
        </w:trPr>
        <w:tc>
          <w:tcPr>
            <w:tcW w:w="2835" w:type="dxa"/>
          </w:tcPr>
          <w:p w14:paraId="7BE56522" w14:textId="77777777" w:rsidR="00EF5B27" w:rsidRDefault="00000000">
            <w:pPr>
              <w:pStyle w:val="TableParagraph"/>
              <w:spacing w:before="89"/>
              <w:ind w:left="80"/>
              <w:rPr>
                <w:sz w:val="14"/>
              </w:rPr>
            </w:pPr>
            <w:r>
              <w:rPr>
                <w:color w:val="4D4D4F"/>
                <w:sz w:val="14"/>
              </w:rPr>
              <w:t>Caboose 1</w:t>
            </w:r>
          </w:p>
        </w:tc>
        <w:tc>
          <w:tcPr>
            <w:tcW w:w="1134" w:type="dxa"/>
          </w:tcPr>
          <w:p w14:paraId="2A65C908" w14:textId="77777777" w:rsidR="00EF5B27" w:rsidRDefault="00000000">
            <w:pPr>
              <w:pStyle w:val="TableParagraph"/>
              <w:spacing w:before="89"/>
              <w:ind w:left="455"/>
              <w:rPr>
                <w:sz w:val="14"/>
              </w:rPr>
            </w:pPr>
            <w:r>
              <w:rPr>
                <w:color w:val="4D4D4F"/>
                <w:w w:val="105"/>
                <w:sz w:val="14"/>
              </w:rPr>
              <w:t>N/A</w:t>
            </w:r>
          </w:p>
        </w:tc>
        <w:tc>
          <w:tcPr>
            <w:tcW w:w="1134" w:type="dxa"/>
          </w:tcPr>
          <w:p w14:paraId="1DDDFF2A" w14:textId="77777777" w:rsidR="00EF5B27" w:rsidRDefault="00000000">
            <w:pPr>
              <w:pStyle w:val="TableParagraph"/>
              <w:spacing w:before="89"/>
              <w:ind w:left="455"/>
              <w:rPr>
                <w:sz w:val="14"/>
              </w:rPr>
            </w:pPr>
            <w:r>
              <w:rPr>
                <w:color w:val="4D4D4F"/>
                <w:w w:val="105"/>
                <w:sz w:val="14"/>
              </w:rPr>
              <w:t>N/A</w:t>
            </w:r>
          </w:p>
        </w:tc>
        <w:tc>
          <w:tcPr>
            <w:tcW w:w="1134" w:type="dxa"/>
          </w:tcPr>
          <w:p w14:paraId="6892BE21" w14:textId="77777777" w:rsidR="00EF5B27" w:rsidRDefault="00000000">
            <w:pPr>
              <w:pStyle w:val="TableParagraph"/>
              <w:spacing w:before="77"/>
              <w:ind w:left="79" w:right="83"/>
              <w:jc w:val="center"/>
              <w:rPr>
                <w:sz w:val="16"/>
              </w:rPr>
            </w:pPr>
            <w:r>
              <w:rPr>
                <w:color w:val="4D4D4F"/>
                <w:w w:val="105"/>
                <w:sz w:val="16"/>
              </w:rPr>
              <w:t>N/A</w:t>
            </w:r>
          </w:p>
        </w:tc>
        <w:tc>
          <w:tcPr>
            <w:tcW w:w="1134" w:type="dxa"/>
          </w:tcPr>
          <w:p w14:paraId="6094E9F4" w14:textId="77777777" w:rsidR="00EF5B27" w:rsidRDefault="00000000">
            <w:pPr>
              <w:pStyle w:val="TableParagraph"/>
              <w:spacing w:before="89"/>
              <w:ind w:left="81" w:right="78"/>
              <w:jc w:val="center"/>
              <w:rPr>
                <w:sz w:val="14"/>
              </w:rPr>
            </w:pPr>
            <w:r>
              <w:rPr>
                <w:color w:val="4D4D4F"/>
                <w:w w:val="105"/>
                <w:sz w:val="14"/>
              </w:rPr>
              <w:t>Yes*</w:t>
            </w:r>
          </w:p>
        </w:tc>
        <w:tc>
          <w:tcPr>
            <w:tcW w:w="1134" w:type="dxa"/>
          </w:tcPr>
          <w:p w14:paraId="4BE01A0B" w14:textId="77777777" w:rsidR="00EF5B27" w:rsidRDefault="00000000">
            <w:pPr>
              <w:pStyle w:val="TableParagraph"/>
              <w:spacing w:before="89"/>
              <w:ind w:left="81" w:right="83"/>
              <w:jc w:val="center"/>
              <w:rPr>
                <w:sz w:val="14"/>
              </w:rPr>
            </w:pPr>
            <w:r>
              <w:rPr>
                <w:color w:val="4D4D4F"/>
                <w:w w:val="105"/>
                <w:sz w:val="14"/>
              </w:rPr>
              <w:t>N/A</w:t>
            </w:r>
          </w:p>
        </w:tc>
        <w:tc>
          <w:tcPr>
            <w:tcW w:w="1134" w:type="dxa"/>
          </w:tcPr>
          <w:p w14:paraId="6F54011E" w14:textId="77777777" w:rsidR="00EF5B27" w:rsidRDefault="00000000">
            <w:pPr>
              <w:pStyle w:val="TableParagraph"/>
              <w:spacing w:before="89"/>
              <w:ind w:left="81" w:right="79"/>
              <w:jc w:val="center"/>
              <w:rPr>
                <w:sz w:val="14"/>
              </w:rPr>
            </w:pPr>
            <w:r>
              <w:rPr>
                <w:color w:val="4D4D4F"/>
                <w:w w:val="110"/>
                <w:sz w:val="14"/>
              </w:rPr>
              <w:t>Yes</w:t>
            </w:r>
          </w:p>
        </w:tc>
      </w:tr>
      <w:tr w:rsidR="00EF5B27" w14:paraId="77640141" w14:textId="77777777">
        <w:trPr>
          <w:trHeight w:val="335"/>
        </w:trPr>
        <w:tc>
          <w:tcPr>
            <w:tcW w:w="2835" w:type="dxa"/>
          </w:tcPr>
          <w:p w14:paraId="350ECDBE" w14:textId="77777777" w:rsidR="00EF5B27" w:rsidRDefault="00000000">
            <w:pPr>
              <w:pStyle w:val="TableParagraph"/>
              <w:spacing w:before="89"/>
              <w:ind w:left="80"/>
              <w:rPr>
                <w:sz w:val="14"/>
              </w:rPr>
            </w:pPr>
            <w:r>
              <w:rPr>
                <w:color w:val="4D4D4F"/>
                <w:sz w:val="14"/>
              </w:rPr>
              <w:t>Caboose 2</w:t>
            </w:r>
          </w:p>
        </w:tc>
        <w:tc>
          <w:tcPr>
            <w:tcW w:w="1134" w:type="dxa"/>
          </w:tcPr>
          <w:p w14:paraId="13F7CDE3" w14:textId="77777777" w:rsidR="00EF5B27" w:rsidRDefault="00000000">
            <w:pPr>
              <w:pStyle w:val="TableParagraph"/>
              <w:spacing w:before="89"/>
              <w:ind w:left="455"/>
              <w:rPr>
                <w:sz w:val="14"/>
              </w:rPr>
            </w:pPr>
            <w:r>
              <w:rPr>
                <w:color w:val="4D4D4F"/>
                <w:w w:val="105"/>
                <w:sz w:val="14"/>
              </w:rPr>
              <w:t>N/A</w:t>
            </w:r>
          </w:p>
        </w:tc>
        <w:tc>
          <w:tcPr>
            <w:tcW w:w="1134" w:type="dxa"/>
          </w:tcPr>
          <w:p w14:paraId="24A24B78" w14:textId="77777777" w:rsidR="00EF5B27" w:rsidRDefault="00000000">
            <w:pPr>
              <w:pStyle w:val="TableParagraph"/>
              <w:spacing w:before="89"/>
              <w:ind w:left="455"/>
              <w:rPr>
                <w:sz w:val="14"/>
              </w:rPr>
            </w:pPr>
            <w:r>
              <w:rPr>
                <w:color w:val="4D4D4F"/>
                <w:w w:val="105"/>
                <w:sz w:val="14"/>
              </w:rPr>
              <w:t>N/A</w:t>
            </w:r>
          </w:p>
        </w:tc>
        <w:tc>
          <w:tcPr>
            <w:tcW w:w="1134" w:type="dxa"/>
          </w:tcPr>
          <w:p w14:paraId="0135F172" w14:textId="77777777" w:rsidR="00EF5B27" w:rsidRDefault="00000000">
            <w:pPr>
              <w:pStyle w:val="TableParagraph"/>
              <w:spacing w:before="89"/>
              <w:ind w:left="81" w:right="83"/>
              <w:jc w:val="center"/>
              <w:rPr>
                <w:sz w:val="14"/>
              </w:rPr>
            </w:pPr>
            <w:r>
              <w:rPr>
                <w:color w:val="4D4D4F"/>
                <w:w w:val="105"/>
                <w:sz w:val="14"/>
              </w:rPr>
              <w:t>N/A</w:t>
            </w:r>
          </w:p>
        </w:tc>
        <w:tc>
          <w:tcPr>
            <w:tcW w:w="1134" w:type="dxa"/>
          </w:tcPr>
          <w:p w14:paraId="0D7C5465" w14:textId="77777777" w:rsidR="00EF5B27" w:rsidRDefault="00000000">
            <w:pPr>
              <w:pStyle w:val="TableParagraph"/>
              <w:spacing w:before="89"/>
              <w:ind w:left="81" w:right="78"/>
              <w:jc w:val="center"/>
              <w:rPr>
                <w:sz w:val="14"/>
              </w:rPr>
            </w:pPr>
            <w:r>
              <w:rPr>
                <w:color w:val="4D4D4F"/>
                <w:w w:val="105"/>
                <w:sz w:val="14"/>
              </w:rPr>
              <w:t>Yes*</w:t>
            </w:r>
          </w:p>
        </w:tc>
        <w:tc>
          <w:tcPr>
            <w:tcW w:w="1134" w:type="dxa"/>
          </w:tcPr>
          <w:p w14:paraId="75BE6016" w14:textId="77777777" w:rsidR="00EF5B27" w:rsidRDefault="00000000">
            <w:pPr>
              <w:pStyle w:val="TableParagraph"/>
              <w:spacing w:before="89"/>
              <w:ind w:left="81" w:right="83"/>
              <w:jc w:val="center"/>
              <w:rPr>
                <w:sz w:val="14"/>
              </w:rPr>
            </w:pPr>
            <w:r>
              <w:rPr>
                <w:color w:val="4D4D4F"/>
                <w:w w:val="105"/>
                <w:sz w:val="14"/>
              </w:rPr>
              <w:t>N/A</w:t>
            </w:r>
          </w:p>
        </w:tc>
        <w:tc>
          <w:tcPr>
            <w:tcW w:w="1134" w:type="dxa"/>
          </w:tcPr>
          <w:p w14:paraId="23791694" w14:textId="77777777" w:rsidR="00EF5B27" w:rsidRDefault="00000000">
            <w:pPr>
              <w:pStyle w:val="TableParagraph"/>
              <w:spacing w:before="89"/>
              <w:ind w:left="81" w:right="79"/>
              <w:jc w:val="center"/>
              <w:rPr>
                <w:sz w:val="14"/>
              </w:rPr>
            </w:pPr>
            <w:r>
              <w:rPr>
                <w:color w:val="4D4D4F"/>
                <w:w w:val="110"/>
                <w:sz w:val="14"/>
              </w:rPr>
              <w:t>Yes</w:t>
            </w:r>
          </w:p>
        </w:tc>
      </w:tr>
      <w:tr w:rsidR="00EF5B27" w14:paraId="1ED052D6" w14:textId="77777777">
        <w:trPr>
          <w:trHeight w:val="335"/>
        </w:trPr>
        <w:tc>
          <w:tcPr>
            <w:tcW w:w="2835" w:type="dxa"/>
          </w:tcPr>
          <w:p w14:paraId="5291247B" w14:textId="77777777" w:rsidR="00EF5B27" w:rsidRDefault="00000000">
            <w:pPr>
              <w:pStyle w:val="TableParagraph"/>
              <w:spacing w:before="89"/>
              <w:ind w:left="80"/>
              <w:rPr>
                <w:sz w:val="14"/>
              </w:rPr>
            </w:pPr>
            <w:r>
              <w:rPr>
                <w:color w:val="4D4D4F"/>
                <w:sz w:val="14"/>
              </w:rPr>
              <w:t>Olive 1</w:t>
            </w:r>
          </w:p>
        </w:tc>
        <w:tc>
          <w:tcPr>
            <w:tcW w:w="1134" w:type="dxa"/>
          </w:tcPr>
          <w:p w14:paraId="253164EB" w14:textId="77777777" w:rsidR="00EF5B27" w:rsidRDefault="00000000">
            <w:pPr>
              <w:pStyle w:val="TableParagraph"/>
              <w:spacing w:before="89"/>
              <w:ind w:left="455"/>
              <w:rPr>
                <w:sz w:val="14"/>
              </w:rPr>
            </w:pPr>
            <w:r>
              <w:rPr>
                <w:color w:val="4D4D4F"/>
                <w:w w:val="105"/>
                <w:sz w:val="14"/>
              </w:rPr>
              <w:t>N/A</w:t>
            </w:r>
          </w:p>
        </w:tc>
        <w:tc>
          <w:tcPr>
            <w:tcW w:w="1134" w:type="dxa"/>
          </w:tcPr>
          <w:p w14:paraId="72F943DD" w14:textId="77777777" w:rsidR="00EF5B27" w:rsidRDefault="00000000">
            <w:pPr>
              <w:pStyle w:val="TableParagraph"/>
              <w:spacing w:before="89"/>
              <w:ind w:left="455"/>
              <w:rPr>
                <w:sz w:val="14"/>
              </w:rPr>
            </w:pPr>
            <w:r>
              <w:rPr>
                <w:color w:val="4D4D4F"/>
                <w:w w:val="105"/>
                <w:sz w:val="14"/>
              </w:rPr>
              <w:t>N/A</w:t>
            </w:r>
          </w:p>
        </w:tc>
        <w:tc>
          <w:tcPr>
            <w:tcW w:w="1134" w:type="dxa"/>
          </w:tcPr>
          <w:p w14:paraId="5FAD73D6" w14:textId="77777777" w:rsidR="00EF5B27" w:rsidRDefault="00000000">
            <w:pPr>
              <w:pStyle w:val="TableParagraph"/>
              <w:spacing w:before="77"/>
              <w:ind w:left="79" w:right="83"/>
              <w:jc w:val="center"/>
              <w:rPr>
                <w:sz w:val="16"/>
              </w:rPr>
            </w:pPr>
            <w:r>
              <w:rPr>
                <w:color w:val="4D4D4F"/>
                <w:w w:val="105"/>
                <w:sz w:val="16"/>
              </w:rPr>
              <w:t>N/A</w:t>
            </w:r>
          </w:p>
        </w:tc>
        <w:tc>
          <w:tcPr>
            <w:tcW w:w="1134" w:type="dxa"/>
          </w:tcPr>
          <w:p w14:paraId="1C41D101" w14:textId="77777777" w:rsidR="00EF5B27" w:rsidRDefault="00000000">
            <w:pPr>
              <w:pStyle w:val="TableParagraph"/>
              <w:spacing w:before="89"/>
              <w:ind w:left="81" w:right="78"/>
              <w:jc w:val="center"/>
              <w:rPr>
                <w:sz w:val="14"/>
              </w:rPr>
            </w:pPr>
            <w:r>
              <w:rPr>
                <w:color w:val="4D4D4F"/>
                <w:w w:val="105"/>
                <w:sz w:val="14"/>
              </w:rPr>
              <w:t>Yes*</w:t>
            </w:r>
          </w:p>
        </w:tc>
        <w:tc>
          <w:tcPr>
            <w:tcW w:w="1134" w:type="dxa"/>
          </w:tcPr>
          <w:p w14:paraId="23FBDB4C" w14:textId="77777777" w:rsidR="00EF5B27" w:rsidRDefault="00000000">
            <w:pPr>
              <w:pStyle w:val="TableParagraph"/>
              <w:spacing w:before="89"/>
              <w:ind w:left="81" w:right="83"/>
              <w:jc w:val="center"/>
              <w:rPr>
                <w:sz w:val="14"/>
              </w:rPr>
            </w:pPr>
            <w:r>
              <w:rPr>
                <w:color w:val="4D4D4F"/>
                <w:w w:val="105"/>
                <w:sz w:val="14"/>
              </w:rPr>
              <w:t>N/A</w:t>
            </w:r>
          </w:p>
        </w:tc>
        <w:tc>
          <w:tcPr>
            <w:tcW w:w="1134" w:type="dxa"/>
          </w:tcPr>
          <w:p w14:paraId="1018B479" w14:textId="77777777" w:rsidR="00EF5B27" w:rsidRDefault="00000000">
            <w:pPr>
              <w:pStyle w:val="TableParagraph"/>
              <w:spacing w:before="89"/>
              <w:ind w:left="81" w:right="79"/>
              <w:jc w:val="center"/>
              <w:rPr>
                <w:sz w:val="14"/>
              </w:rPr>
            </w:pPr>
            <w:r>
              <w:rPr>
                <w:color w:val="4D4D4F"/>
                <w:w w:val="110"/>
                <w:sz w:val="14"/>
              </w:rPr>
              <w:t>Yes</w:t>
            </w:r>
          </w:p>
        </w:tc>
      </w:tr>
      <w:tr w:rsidR="00EF5B27" w14:paraId="2B0FD8B3" w14:textId="77777777">
        <w:trPr>
          <w:trHeight w:val="335"/>
        </w:trPr>
        <w:tc>
          <w:tcPr>
            <w:tcW w:w="2835" w:type="dxa"/>
          </w:tcPr>
          <w:p w14:paraId="39069D28" w14:textId="77777777" w:rsidR="00EF5B27" w:rsidRDefault="00000000">
            <w:pPr>
              <w:pStyle w:val="TableParagraph"/>
              <w:spacing w:before="89"/>
              <w:ind w:left="80"/>
              <w:rPr>
                <w:sz w:val="14"/>
              </w:rPr>
            </w:pPr>
            <w:r>
              <w:rPr>
                <w:color w:val="4D4D4F"/>
                <w:sz w:val="14"/>
              </w:rPr>
              <w:t>Olive 2</w:t>
            </w:r>
          </w:p>
        </w:tc>
        <w:tc>
          <w:tcPr>
            <w:tcW w:w="1134" w:type="dxa"/>
          </w:tcPr>
          <w:p w14:paraId="4DC7D0F6" w14:textId="77777777" w:rsidR="00EF5B27" w:rsidRDefault="00000000">
            <w:pPr>
              <w:pStyle w:val="TableParagraph"/>
              <w:spacing w:before="89"/>
              <w:ind w:left="455"/>
              <w:rPr>
                <w:sz w:val="14"/>
              </w:rPr>
            </w:pPr>
            <w:r>
              <w:rPr>
                <w:color w:val="4D4D4F"/>
                <w:w w:val="105"/>
                <w:sz w:val="14"/>
              </w:rPr>
              <w:t>N/A</w:t>
            </w:r>
          </w:p>
        </w:tc>
        <w:tc>
          <w:tcPr>
            <w:tcW w:w="1134" w:type="dxa"/>
          </w:tcPr>
          <w:p w14:paraId="05A84783" w14:textId="77777777" w:rsidR="00EF5B27" w:rsidRDefault="00000000">
            <w:pPr>
              <w:pStyle w:val="TableParagraph"/>
              <w:spacing w:before="89"/>
              <w:ind w:left="455"/>
              <w:rPr>
                <w:sz w:val="14"/>
              </w:rPr>
            </w:pPr>
            <w:r>
              <w:rPr>
                <w:color w:val="4D4D4F"/>
                <w:w w:val="105"/>
                <w:sz w:val="14"/>
              </w:rPr>
              <w:t>N/A</w:t>
            </w:r>
          </w:p>
        </w:tc>
        <w:tc>
          <w:tcPr>
            <w:tcW w:w="1134" w:type="dxa"/>
          </w:tcPr>
          <w:p w14:paraId="23CC0D69" w14:textId="77777777" w:rsidR="00EF5B27" w:rsidRDefault="00000000">
            <w:pPr>
              <w:pStyle w:val="TableParagraph"/>
              <w:spacing w:before="77"/>
              <w:ind w:left="79" w:right="83"/>
              <w:jc w:val="center"/>
              <w:rPr>
                <w:sz w:val="16"/>
              </w:rPr>
            </w:pPr>
            <w:r>
              <w:rPr>
                <w:color w:val="4D4D4F"/>
                <w:w w:val="105"/>
                <w:sz w:val="16"/>
              </w:rPr>
              <w:t>N/A</w:t>
            </w:r>
          </w:p>
        </w:tc>
        <w:tc>
          <w:tcPr>
            <w:tcW w:w="1134" w:type="dxa"/>
          </w:tcPr>
          <w:p w14:paraId="662B3E0C" w14:textId="77777777" w:rsidR="00EF5B27" w:rsidRDefault="00000000">
            <w:pPr>
              <w:pStyle w:val="TableParagraph"/>
              <w:spacing w:before="89"/>
              <w:ind w:left="81" w:right="78"/>
              <w:jc w:val="center"/>
              <w:rPr>
                <w:sz w:val="14"/>
              </w:rPr>
            </w:pPr>
            <w:r>
              <w:rPr>
                <w:color w:val="4D4D4F"/>
                <w:w w:val="105"/>
                <w:sz w:val="14"/>
              </w:rPr>
              <w:t>Yes*</w:t>
            </w:r>
          </w:p>
        </w:tc>
        <w:tc>
          <w:tcPr>
            <w:tcW w:w="1134" w:type="dxa"/>
          </w:tcPr>
          <w:p w14:paraId="23F84873" w14:textId="77777777" w:rsidR="00EF5B27" w:rsidRDefault="00000000">
            <w:pPr>
              <w:pStyle w:val="TableParagraph"/>
              <w:spacing w:before="89"/>
              <w:ind w:left="81" w:right="83"/>
              <w:jc w:val="center"/>
              <w:rPr>
                <w:sz w:val="14"/>
              </w:rPr>
            </w:pPr>
            <w:r>
              <w:rPr>
                <w:color w:val="4D4D4F"/>
                <w:w w:val="105"/>
                <w:sz w:val="14"/>
              </w:rPr>
              <w:t>N/A</w:t>
            </w:r>
          </w:p>
        </w:tc>
        <w:tc>
          <w:tcPr>
            <w:tcW w:w="1134" w:type="dxa"/>
          </w:tcPr>
          <w:p w14:paraId="07002172" w14:textId="77777777" w:rsidR="00EF5B27" w:rsidRDefault="00000000">
            <w:pPr>
              <w:pStyle w:val="TableParagraph"/>
              <w:spacing w:before="89"/>
              <w:ind w:left="81" w:right="79"/>
              <w:jc w:val="center"/>
              <w:rPr>
                <w:sz w:val="14"/>
              </w:rPr>
            </w:pPr>
            <w:r>
              <w:rPr>
                <w:color w:val="4D4D4F"/>
                <w:w w:val="110"/>
                <w:sz w:val="14"/>
              </w:rPr>
              <w:t>Yes</w:t>
            </w:r>
          </w:p>
        </w:tc>
      </w:tr>
      <w:tr w:rsidR="00EF5B27" w14:paraId="4F2B5991" w14:textId="77777777">
        <w:trPr>
          <w:trHeight w:val="335"/>
        </w:trPr>
        <w:tc>
          <w:tcPr>
            <w:tcW w:w="2835" w:type="dxa"/>
          </w:tcPr>
          <w:p w14:paraId="19F90D0B" w14:textId="77777777" w:rsidR="00EF5B27" w:rsidRDefault="00000000">
            <w:pPr>
              <w:pStyle w:val="TableParagraph"/>
              <w:spacing w:before="89"/>
              <w:ind w:left="80"/>
              <w:rPr>
                <w:sz w:val="14"/>
              </w:rPr>
            </w:pPr>
            <w:r>
              <w:rPr>
                <w:color w:val="4D4D4F"/>
                <w:sz w:val="14"/>
              </w:rPr>
              <w:t>Radio 1</w:t>
            </w:r>
          </w:p>
        </w:tc>
        <w:tc>
          <w:tcPr>
            <w:tcW w:w="1134" w:type="dxa"/>
          </w:tcPr>
          <w:p w14:paraId="02761373" w14:textId="77777777" w:rsidR="00EF5B27" w:rsidRDefault="00000000">
            <w:pPr>
              <w:pStyle w:val="TableParagraph"/>
              <w:spacing w:before="89"/>
              <w:ind w:left="455"/>
              <w:rPr>
                <w:sz w:val="14"/>
              </w:rPr>
            </w:pPr>
            <w:r>
              <w:rPr>
                <w:color w:val="4D4D4F"/>
                <w:w w:val="105"/>
                <w:sz w:val="14"/>
              </w:rPr>
              <w:t>N/A</w:t>
            </w:r>
          </w:p>
        </w:tc>
        <w:tc>
          <w:tcPr>
            <w:tcW w:w="1134" w:type="dxa"/>
          </w:tcPr>
          <w:p w14:paraId="06D4DBF4" w14:textId="77777777" w:rsidR="00EF5B27" w:rsidRDefault="00000000">
            <w:pPr>
              <w:pStyle w:val="TableParagraph"/>
              <w:spacing w:before="89"/>
              <w:ind w:left="455"/>
              <w:rPr>
                <w:sz w:val="14"/>
              </w:rPr>
            </w:pPr>
            <w:r>
              <w:rPr>
                <w:color w:val="4D4D4F"/>
                <w:w w:val="105"/>
                <w:sz w:val="14"/>
              </w:rPr>
              <w:t>N/A</w:t>
            </w:r>
          </w:p>
        </w:tc>
        <w:tc>
          <w:tcPr>
            <w:tcW w:w="1134" w:type="dxa"/>
          </w:tcPr>
          <w:p w14:paraId="2F06C376" w14:textId="77777777" w:rsidR="00EF5B27" w:rsidRDefault="00000000">
            <w:pPr>
              <w:pStyle w:val="TableParagraph"/>
              <w:spacing w:before="77"/>
              <w:ind w:left="79" w:right="83"/>
              <w:jc w:val="center"/>
              <w:rPr>
                <w:sz w:val="16"/>
              </w:rPr>
            </w:pPr>
            <w:r>
              <w:rPr>
                <w:color w:val="4D4D4F"/>
                <w:w w:val="105"/>
                <w:sz w:val="16"/>
              </w:rPr>
              <w:t>N/A</w:t>
            </w:r>
          </w:p>
        </w:tc>
        <w:tc>
          <w:tcPr>
            <w:tcW w:w="1134" w:type="dxa"/>
          </w:tcPr>
          <w:p w14:paraId="31854998" w14:textId="77777777" w:rsidR="00EF5B27" w:rsidRDefault="00000000">
            <w:pPr>
              <w:pStyle w:val="TableParagraph"/>
              <w:spacing w:before="89"/>
              <w:ind w:left="81" w:right="78"/>
              <w:jc w:val="center"/>
              <w:rPr>
                <w:sz w:val="14"/>
              </w:rPr>
            </w:pPr>
            <w:r>
              <w:rPr>
                <w:color w:val="4D4D4F"/>
                <w:w w:val="105"/>
                <w:sz w:val="14"/>
              </w:rPr>
              <w:t>Yes*</w:t>
            </w:r>
          </w:p>
        </w:tc>
        <w:tc>
          <w:tcPr>
            <w:tcW w:w="1134" w:type="dxa"/>
          </w:tcPr>
          <w:p w14:paraId="61651E9A" w14:textId="77777777" w:rsidR="00EF5B27" w:rsidRDefault="00000000">
            <w:pPr>
              <w:pStyle w:val="TableParagraph"/>
              <w:spacing w:before="89"/>
              <w:ind w:left="81" w:right="83"/>
              <w:jc w:val="center"/>
              <w:rPr>
                <w:sz w:val="14"/>
              </w:rPr>
            </w:pPr>
            <w:r>
              <w:rPr>
                <w:color w:val="4D4D4F"/>
                <w:w w:val="105"/>
                <w:sz w:val="14"/>
              </w:rPr>
              <w:t>N/A</w:t>
            </w:r>
          </w:p>
        </w:tc>
        <w:tc>
          <w:tcPr>
            <w:tcW w:w="1134" w:type="dxa"/>
          </w:tcPr>
          <w:p w14:paraId="7F53DBFC" w14:textId="77777777" w:rsidR="00EF5B27" w:rsidRDefault="00000000">
            <w:pPr>
              <w:pStyle w:val="TableParagraph"/>
              <w:spacing w:before="89"/>
              <w:ind w:left="81" w:right="79"/>
              <w:jc w:val="center"/>
              <w:rPr>
                <w:sz w:val="14"/>
              </w:rPr>
            </w:pPr>
            <w:r>
              <w:rPr>
                <w:color w:val="4D4D4F"/>
                <w:w w:val="110"/>
                <w:sz w:val="14"/>
              </w:rPr>
              <w:t>Yes</w:t>
            </w:r>
          </w:p>
        </w:tc>
      </w:tr>
      <w:tr w:rsidR="00EF5B27" w14:paraId="0A00D8A0" w14:textId="77777777">
        <w:trPr>
          <w:trHeight w:val="335"/>
        </w:trPr>
        <w:tc>
          <w:tcPr>
            <w:tcW w:w="2835" w:type="dxa"/>
          </w:tcPr>
          <w:p w14:paraId="4D17F5CD" w14:textId="77777777" w:rsidR="00EF5B27" w:rsidRDefault="00000000">
            <w:pPr>
              <w:pStyle w:val="TableParagraph"/>
              <w:spacing w:before="89"/>
              <w:ind w:left="80"/>
              <w:rPr>
                <w:sz w:val="14"/>
              </w:rPr>
            </w:pPr>
            <w:r>
              <w:rPr>
                <w:color w:val="4D4D4F"/>
                <w:sz w:val="14"/>
              </w:rPr>
              <w:t>Radio 2</w:t>
            </w:r>
          </w:p>
        </w:tc>
        <w:tc>
          <w:tcPr>
            <w:tcW w:w="1134" w:type="dxa"/>
          </w:tcPr>
          <w:p w14:paraId="2B3DA96B" w14:textId="77777777" w:rsidR="00EF5B27" w:rsidRDefault="00000000">
            <w:pPr>
              <w:pStyle w:val="TableParagraph"/>
              <w:spacing w:before="89"/>
              <w:ind w:left="455"/>
              <w:rPr>
                <w:sz w:val="14"/>
              </w:rPr>
            </w:pPr>
            <w:r>
              <w:rPr>
                <w:color w:val="4D4D4F"/>
                <w:w w:val="105"/>
                <w:sz w:val="14"/>
              </w:rPr>
              <w:t>N/A</w:t>
            </w:r>
          </w:p>
        </w:tc>
        <w:tc>
          <w:tcPr>
            <w:tcW w:w="1134" w:type="dxa"/>
          </w:tcPr>
          <w:p w14:paraId="77992F95" w14:textId="77777777" w:rsidR="00EF5B27" w:rsidRDefault="00000000">
            <w:pPr>
              <w:pStyle w:val="TableParagraph"/>
              <w:spacing w:before="89"/>
              <w:ind w:left="455"/>
              <w:rPr>
                <w:sz w:val="14"/>
              </w:rPr>
            </w:pPr>
            <w:r>
              <w:rPr>
                <w:color w:val="4D4D4F"/>
                <w:w w:val="105"/>
                <w:sz w:val="14"/>
              </w:rPr>
              <w:t>N/A</w:t>
            </w:r>
          </w:p>
        </w:tc>
        <w:tc>
          <w:tcPr>
            <w:tcW w:w="1134" w:type="dxa"/>
          </w:tcPr>
          <w:p w14:paraId="4AC34C6E" w14:textId="77777777" w:rsidR="00EF5B27" w:rsidRDefault="00000000">
            <w:pPr>
              <w:pStyle w:val="TableParagraph"/>
              <w:spacing w:before="77"/>
              <w:ind w:left="79" w:right="83"/>
              <w:jc w:val="center"/>
              <w:rPr>
                <w:sz w:val="16"/>
              </w:rPr>
            </w:pPr>
            <w:r>
              <w:rPr>
                <w:color w:val="4D4D4F"/>
                <w:w w:val="105"/>
                <w:sz w:val="16"/>
              </w:rPr>
              <w:t>N/A</w:t>
            </w:r>
          </w:p>
        </w:tc>
        <w:tc>
          <w:tcPr>
            <w:tcW w:w="1134" w:type="dxa"/>
          </w:tcPr>
          <w:p w14:paraId="415807FB" w14:textId="77777777" w:rsidR="00EF5B27" w:rsidRDefault="00000000">
            <w:pPr>
              <w:pStyle w:val="TableParagraph"/>
              <w:spacing w:before="89"/>
              <w:ind w:left="81" w:right="78"/>
              <w:jc w:val="center"/>
              <w:rPr>
                <w:sz w:val="14"/>
              </w:rPr>
            </w:pPr>
            <w:r>
              <w:rPr>
                <w:color w:val="4D4D4F"/>
                <w:w w:val="105"/>
                <w:sz w:val="14"/>
              </w:rPr>
              <w:t>Yes*</w:t>
            </w:r>
          </w:p>
        </w:tc>
        <w:tc>
          <w:tcPr>
            <w:tcW w:w="1134" w:type="dxa"/>
          </w:tcPr>
          <w:p w14:paraId="6936F0DD" w14:textId="77777777" w:rsidR="00EF5B27" w:rsidRDefault="00000000">
            <w:pPr>
              <w:pStyle w:val="TableParagraph"/>
              <w:spacing w:before="89"/>
              <w:ind w:left="81" w:right="83"/>
              <w:jc w:val="center"/>
              <w:rPr>
                <w:sz w:val="14"/>
              </w:rPr>
            </w:pPr>
            <w:r>
              <w:rPr>
                <w:color w:val="4D4D4F"/>
                <w:w w:val="105"/>
                <w:sz w:val="14"/>
              </w:rPr>
              <w:t>N/A</w:t>
            </w:r>
          </w:p>
        </w:tc>
        <w:tc>
          <w:tcPr>
            <w:tcW w:w="1134" w:type="dxa"/>
          </w:tcPr>
          <w:p w14:paraId="7BC32F77" w14:textId="77777777" w:rsidR="00EF5B27" w:rsidRDefault="00000000">
            <w:pPr>
              <w:pStyle w:val="TableParagraph"/>
              <w:spacing w:before="89"/>
              <w:ind w:left="81" w:right="79"/>
              <w:jc w:val="center"/>
              <w:rPr>
                <w:sz w:val="14"/>
              </w:rPr>
            </w:pPr>
            <w:r>
              <w:rPr>
                <w:color w:val="4D4D4F"/>
                <w:w w:val="110"/>
                <w:sz w:val="14"/>
              </w:rPr>
              <w:t>Yes</w:t>
            </w:r>
          </w:p>
        </w:tc>
      </w:tr>
    </w:tbl>
    <w:p w14:paraId="5D833748" w14:textId="77777777" w:rsidR="00EF5B27" w:rsidRDefault="00000000">
      <w:pPr>
        <w:spacing w:before="142" w:line="244" w:lineRule="auto"/>
        <w:ind w:left="2608" w:right="113"/>
        <w:jc w:val="both"/>
        <w:rPr>
          <w:sz w:val="16"/>
        </w:rPr>
      </w:pPr>
      <w:r>
        <w:rPr>
          <w:color w:val="4D4D4F"/>
          <w:sz w:val="16"/>
        </w:rPr>
        <w:t xml:space="preserve">*Indicates first year of detection as </w:t>
      </w:r>
      <w:r>
        <w:rPr>
          <w:color w:val="4D4D4F"/>
          <w:spacing w:val="2"/>
          <w:sz w:val="16"/>
        </w:rPr>
        <w:t xml:space="preserve">part </w:t>
      </w:r>
      <w:r>
        <w:rPr>
          <w:color w:val="4D4D4F"/>
          <w:sz w:val="16"/>
        </w:rPr>
        <w:t xml:space="preserve">of phase 1 or 2 survey. ^The decision to include Truganina South  NCR as </w:t>
      </w:r>
      <w:r>
        <w:rPr>
          <w:color w:val="4D4D4F"/>
          <w:spacing w:val="2"/>
          <w:sz w:val="16"/>
        </w:rPr>
        <w:t xml:space="preserve">part </w:t>
      </w:r>
      <w:r>
        <w:rPr>
          <w:color w:val="4D4D4F"/>
          <w:sz w:val="16"/>
        </w:rPr>
        <w:t xml:space="preserve">of monitoring was taken in </w:t>
      </w:r>
      <w:r>
        <w:rPr>
          <w:color w:val="4D4D4F"/>
          <w:spacing w:val="-3"/>
          <w:sz w:val="16"/>
        </w:rPr>
        <w:t xml:space="preserve">2019, </w:t>
      </w:r>
      <w:r>
        <w:rPr>
          <w:color w:val="4D4D4F"/>
          <w:sz w:val="16"/>
        </w:rPr>
        <w:t xml:space="preserve">therefore surveys for were not conducted as per the MRF in 2018. Note monitoring did not occur in </w:t>
      </w:r>
      <w:r>
        <w:rPr>
          <w:color w:val="4D4D4F"/>
          <w:spacing w:val="2"/>
          <w:sz w:val="16"/>
        </w:rPr>
        <w:t xml:space="preserve">2020 </w:t>
      </w:r>
      <w:r>
        <w:rPr>
          <w:color w:val="4D4D4F"/>
          <w:sz w:val="16"/>
        </w:rPr>
        <w:t>due to COVID-19</w:t>
      </w:r>
      <w:r>
        <w:rPr>
          <w:color w:val="4D4D4F"/>
          <w:spacing w:val="27"/>
          <w:sz w:val="16"/>
        </w:rPr>
        <w:t xml:space="preserve"> </w:t>
      </w:r>
      <w:r>
        <w:rPr>
          <w:color w:val="4D4D4F"/>
          <w:sz w:val="16"/>
        </w:rPr>
        <w:t>restrictions.</w:t>
      </w:r>
    </w:p>
    <w:p w14:paraId="0DECB81A" w14:textId="77777777" w:rsidR="00EF5B27" w:rsidRDefault="00EF5B27">
      <w:pPr>
        <w:spacing w:line="244" w:lineRule="auto"/>
        <w:jc w:val="both"/>
        <w:rPr>
          <w:sz w:val="16"/>
        </w:rPr>
        <w:sectPr w:rsidR="00EF5B27">
          <w:pgSz w:w="11910" w:h="16840"/>
          <w:pgMar w:top="1080" w:right="1020" w:bottom="860" w:left="1020" w:header="537" w:footer="678" w:gutter="0"/>
          <w:cols w:space="720"/>
        </w:sectPr>
      </w:pPr>
    </w:p>
    <w:p w14:paraId="4D5F62FC" w14:textId="77777777" w:rsidR="00EF5B27" w:rsidRDefault="00000000">
      <w:pPr>
        <w:pStyle w:val="BodyText"/>
      </w:pPr>
      <w:r>
        <w:lastRenderedPageBreak/>
        <w:pict w14:anchorId="0983EEDE">
          <v:group id="_x0000_s2780" style="position:absolute;margin-left:587.05pt;margin-top:183.4pt;width:8.25pt;height:153.1pt;z-index:251703808;mso-position-horizontal-relative:page;mso-position-vertical-relative:page" coordorigin="11741,3668" coordsize="165,3062">
            <v:shape id="_x0000_s2787" style="position:absolute;left:11741;top:3668;width:165;height:561" coordorigin="11741,3668" coordsize="165,561" path="m11906,3668r-165,l11741,4228r165,-18l11906,3668xe" fillcolor="#00aed9" stroked="f">
              <v:path arrowok="t"/>
            </v:shape>
            <v:shape id="_x0000_s2786" style="position:absolute;left:11741;top:4118;width:165;height:425" coordorigin="11741,4118" coordsize="165,425" path="m11906,4118r-165,14l11741,4531r165,12l11906,4118xe" fillcolor="#047ebc" stroked="f">
              <v:path arrowok="t"/>
            </v:shape>
            <v:shape id="_x0000_s2785" type="#_x0000_t75" style="position:absolute;left:11741;top:4355;width:165;height:587">
              <v:imagedata r:id="rId42" o:title=""/>
            </v:shape>
            <v:shape id="_x0000_s2784" style="position:absolute;left:11741;top:5343;width:165;height:536" coordorigin="11741,5343" coordsize="165,536" path="m11741,5343r,535l11906,5872r,-525l11741,5343xe" fillcolor="#f36a2e" stroked="f">
              <v:path arrowok="t"/>
            </v:shape>
            <v:shape id="_x0000_s2783" style="position:absolute;left:11741;top:4925;width:165;height:501" coordorigin="11741,4926" coordsize="165,501" path="m11741,4926r,500l11906,5426r,-485l11741,4926xe" fillcolor="#49783f" stroked="f">
              <v:path arrowok="t"/>
            </v:shape>
            <v:shape id="_x0000_s2782" style="position:absolute;left:11741;top:5781;width:165;height:268" coordorigin="11741,5782" coordsize="165,268" path="m11906,5782r-165,8l11741,6039r165,10l11906,5782xe" fillcolor="#f99f2a" stroked="f">
              <v:path arrowok="t"/>
            </v:shape>
            <v:shape id="_x0000_s2781" style="position:absolute;left:11741;top:6023;width:165;height:707" coordorigin="11741,6023" coordsize="165,707" path="m11741,6023r,706l11906,6729r,-690l11741,6023xe" fillcolor="#ef412c" stroked="f">
              <v:path arrowok="t"/>
            </v:shape>
            <w10:wrap anchorx="page" anchory="page"/>
          </v:group>
        </w:pict>
      </w:r>
    </w:p>
    <w:p w14:paraId="5F653776" w14:textId="77777777" w:rsidR="00EF5B27" w:rsidRDefault="00EF5B27">
      <w:pPr>
        <w:pStyle w:val="BodyText"/>
      </w:pPr>
    </w:p>
    <w:p w14:paraId="490D8282" w14:textId="77777777" w:rsidR="00EF5B27" w:rsidRDefault="00EF5B27">
      <w:pPr>
        <w:pStyle w:val="BodyText"/>
      </w:pPr>
    </w:p>
    <w:p w14:paraId="26548A7F" w14:textId="77777777" w:rsidR="00EF5B27" w:rsidRDefault="00EF5B27">
      <w:pPr>
        <w:pStyle w:val="BodyText"/>
        <w:spacing w:before="12"/>
        <w:rPr>
          <w:sz w:val="22"/>
        </w:rPr>
      </w:pPr>
    </w:p>
    <w:p w14:paraId="1451F8BD" w14:textId="77777777" w:rsidR="00EF5B27" w:rsidRDefault="00000000">
      <w:pPr>
        <w:pStyle w:val="Heading3"/>
        <w:spacing w:before="115"/>
      </w:pPr>
      <w:r>
        <w:rPr>
          <w:color w:val="F99F2A"/>
        </w:rPr>
        <w:t>Results interpretation</w:t>
      </w:r>
    </w:p>
    <w:p w14:paraId="27C032E5" w14:textId="77777777" w:rsidR="00EF5B27" w:rsidRDefault="00000000">
      <w:pPr>
        <w:pStyle w:val="BodyText"/>
        <w:spacing w:before="221" w:line="254" w:lineRule="auto"/>
        <w:ind w:left="2608" w:right="221"/>
      </w:pPr>
      <w:r>
        <w:rPr>
          <w:color w:val="4D4D4F"/>
        </w:rPr>
        <w:t>Striped Legless Lizard was detected in 2021 at all permanent monitoring plots except at the Werribee River easement (it was last detected here in 2019).</w:t>
      </w:r>
    </w:p>
    <w:p w14:paraId="136D3291" w14:textId="77777777" w:rsidR="00EF5B27" w:rsidRDefault="00000000">
      <w:pPr>
        <w:pStyle w:val="BodyText"/>
        <w:spacing w:before="116" w:line="254" w:lineRule="auto"/>
        <w:ind w:left="2608" w:right="43"/>
      </w:pPr>
      <w:r>
        <w:rPr>
          <w:color w:val="4D4D4F"/>
        </w:rPr>
        <w:t>In 2021, 10 new locations were searched specifically for Striped Legless Lizard. No lizards were detected at these locations and, as such, they will not become permanent plots.</w:t>
      </w:r>
    </w:p>
    <w:p w14:paraId="5F39A111" w14:textId="77777777" w:rsidR="00EF5B27" w:rsidRDefault="00000000">
      <w:pPr>
        <w:pStyle w:val="BodyText"/>
        <w:spacing w:before="116" w:line="254" w:lineRule="auto"/>
        <w:ind w:left="2608" w:right="151"/>
      </w:pPr>
      <w:r>
        <w:rPr>
          <w:color w:val="4D4D4F"/>
        </w:rPr>
        <w:t>Recent new detections have been predominantly in the northern section of the Western Grassland Reserve.</w:t>
      </w:r>
    </w:p>
    <w:p w14:paraId="40E4F273" w14:textId="77777777" w:rsidR="00EF5B27" w:rsidRDefault="00EF5B27">
      <w:pPr>
        <w:pStyle w:val="BodyText"/>
        <w:spacing w:before="1"/>
        <w:rPr>
          <w:sz w:val="19"/>
        </w:rPr>
      </w:pPr>
    </w:p>
    <w:p w14:paraId="2A36077C" w14:textId="77777777" w:rsidR="00EF5B27" w:rsidRDefault="00000000">
      <w:pPr>
        <w:pStyle w:val="Heading3"/>
      </w:pPr>
      <w:r>
        <w:rPr>
          <w:color w:val="F99F2A"/>
        </w:rPr>
        <w:t>Key insights and management implications</w:t>
      </w:r>
    </w:p>
    <w:p w14:paraId="75C9F47D" w14:textId="77777777" w:rsidR="00EF5B27" w:rsidRDefault="00000000">
      <w:pPr>
        <w:pStyle w:val="BodyText"/>
        <w:spacing w:before="221" w:line="254" w:lineRule="auto"/>
        <w:ind w:left="2608" w:right="650"/>
      </w:pPr>
      <w:r>
        <w:rPr>
          <w:color w:val="4D4D4F"/>
        </w:rPr>
        <w:t xml:space="preserve">It </w:t>
      </w:r>
      <w:r>
        <w:rPr>
          <w:color w:val="4D4D4F"/>
          <w:spacing w:val="-3"/>
        </w:rPr>
        <w:t xml:space="preserve">is possible that </w:t>
      </w:r>
      <w:r>
        <w:rPr>
          <w:color w:val="4D4D4F"/>
        </w:rPr>
        <w:t xml:space="preserve">the current KPI </w:t>
      </w:r>
      <w:r>
        <w:rPr>
          <w:color w:val="4D4D4F"/>
          <w:spacing w:val="-3"/>
        </w:rPr>
        <w:t xml:space="preserve">design </w:t>
      </w:r>
      <w:r>
        <w:rPr>
          <w:color w:val="4D4D4F"/>
          <w:spacing w:val="-2"/>
        </w:rPr>
        <w:t xml:space="preserve">for </w:t>
      </w:r>
      <w:r>
        <w:rPr>
          <w:color w:val="4D4D4F"/>
        </w:rPr>
        <w:t xml:space="preserve">the </w:t>
      </w:r>
      <w:r>
        <w:rPr>
          <w:color w:val="4D4D4F"/>
          <w:spacing w:val="-3"/>
        </w:rPr>
        <w:t xml:space="preserve">Striped </w:t>
      </w:r>
      <w:r>
        <w:rPr>
          <w:color w:val="4D4D4F"/>
        </w:rPr>
        <w:t xml:space="preserve">Legless Lizard </w:t>
      </w:r>
      <w:r>
        <w:rPr>
          <w:color w:val="4D4D4F"/>
          <w:spacing w:val="-3"/>
        </w:rPr>
        <w:t xml:space="preserve">is </w:t>
      </w:r>
      <w:r>
        <w:rPr>
          <w:color w:val="4D4D4F"/>
          <w:spacing w:val="-4"/>
        </w:rPr>
        <w:t xml:space="preserve">limited </w:t>
      </w:r>
      <w:r>
        <w:rPr>
          <w:color w:val="4D4D4F"/>
          <w:spacing w:val="-3"/>
        </w:rPr>
        <w:t xml:space="preserve">in </w:t>
      </w:r>
      <w:r>
        <w:rPr>
          <w:color w:val="4D4D4F"/>
        </w:rPr>
        <w:t xml:space="preserve">its </w:t>
      </w:r>
      <w:r>
        <w:rPr>
          <w:color w:val="4D4D4F"/>
          <w:spacing w:val="-3"/>
        </w:rPr>
        <w:t xml:space="preserve">ability </w:t>
      </w:r>
      <w:r>
        <w:rPr>
          <w:color w:val="4D4D4F"/>
        </w:rPr>
        <w:t xml:space="preserve">to reveal important </w:t>
      </w:r>
      <w:r>
        <w:rPr>
          <w:color w:val="4D4D4F"/>
          <w:spacing w:val="-3"/>
        </w:rPr>
        <w:t xml:space="preserve">information </w:t>
      </w:r>
      <w:r>
        <w:rPr>
          <w:color w:val="4D4D4F"/>
        </w:rPr>
        <w:t>on species occupancy capturing the</w:t>
      </w:r>
      <w:r>
        <w:rPr>
          <w:color w:val="4D4D4F"/>
          <w:spacing w:val="-25"/>
        </w:rPr>
        <w:t xml:space="preserve"> </w:t>
      </w:r>
      <w:r>
        <w:rPr>
          <w:color w:val="4D4D4F"/>
          <w:spacing w:val="-3"/>
        </w:rPr>
        <w:t>full</w:t>
      </w:r>
    </w:p>
    <w:p w14:paraId="5FB55472" w14:textId="77777777" w:rsidR="00EF5B27" w:rsidRDefault="00000000">
      <w:pPr>
        <w:pStyle w:val="BodyText"/>
        <w:spacing w:before="3" w:line="254" w:lineRule="auto"/>
        <w:ind w:left="2608" w:right="263"/>
      </w:pPr>
      <w:r>
        <w:rPr>
          <w:color w:val="4D4D4F"/>
        </w:rPr>
        <w:t>geographic</w:t>
      </w:r>
      <w:r>
        <w:rPr>
          <w:color w:val="4D4D4F"/>
          <w:spacing w:val="-5"/>
        </w:rPr>
        <w:t xml:space="preserve"> </w:t>
      </w:r>
      <w:r>
        <w:rPr>
          <w:color w:val="4D4D4F"/>
          <w:spacing w:val="-3"/>
        </w:rPr>
        <w:t>extent</w:t>
      </w:r>
      <w:r>
        <w:rPr>
          <w:color w:val="4D4D4F"/>
          <w:spacing w:val="-5"/>
        </w:rPr>
        <w:t xml:space="preserve"> </w:t>
      </w:r>
      <w:r>
        <w:rPr>
          <w:color w:val="4D4D4F"/>
        </w:rPr>
        <w:t>of</w:t>
      </w:r>
      <w:r>
        <w:rPr>
          <w:color w:val="4D4D4F"/>
          <w:spacing w:val="-4"/>
        </w:rPr>
        <w:t xml:space="preserve"> </w:t>
      </w:r>
      <w:r>
        <w:rPr>
          <w:color w:val="4D4D4F"/>
        </w:rPr>
        <w:t>the</w:t>
      </w:r>
      <w:r>
        <w:rPr>
          <w:color w:val="4D4D4F"/>
          <w:spacing w:val="-5"/>
        </w:rPr>
        <w:t xml:space="preserve"> </w:t>
      </w:r>
      <w:r>
        <w:rPr>
          <w:color w:val="4D4D4F"/>
          <w:spacing w:val="-3"/>
        </w:rPr>
        <w:t>population,</w:t>
      </w:r>
      <w:r>
        <w:rPr>
          <w:color w:val="4D4D4F"/>
          <w:spacing w:val="-4"/>
        </w:rPr>
        <w:t xml:space="preserve"> </w:t>
      </w:r>
      <w:r>
        <w:rPr>
          <w:color w:val="4D4D4F"/>
          <w:spacing w:val="-3"/>
        </w:rPr>
        <w:t>in</w:t>
      </w:r>
      <w:r>
        <w:rPr>
          <w:color w:val="4D4D4F"/>
          <w:spacing w:val="-5"/>
        </w:rPr>
        <w:t xml:space="preserve"> </w:t>
      </w:r>
      <w:r>
        <w:rPr>
          <w:color w:val="4D4D4F"/>
        </w:rPr>
        <w:t>part</w:t>
      </w:r>
      <w:r>
        <w:rPr>
          <w:color w:val="4D4D4F"/>
          <w:spacing w:val="-4"/>
        </w:rPr>
        <w:t xml:space="preserve"> </w:t>
      </w:r>
      <w:r>
        <w:rPr>
          <w:color w:val="4D4D4F"/>
        </w:rPr>
        <w:t>due</w:t>
      </w:r>
      <w:r>
        <w:rPr>
          <w:color w:val="4D4D4F"/>
          <w:spacing w:val="-5"/>
        </w:rPr>
        <w:t xml:space="preserve"> </w:t>
      </w:r>
      <w:r>
        <w:rPr>
          <w:color w:val="4D4D4F"/>
        </w:rPr>
        <w:t>to</w:t>
      </w:r>
      <w:r>
        <w:rPr>
          <w:color w:val="4D4D4F"/>
          <w:spacing w:val="-4"/>
        </w:rPr>
        <w:t xml:space="preserve"> </w:t>
      </w:r>
      <w:r>
        <w:rPr>
          <w:color w:val="4D4D4F"/>
        </w:rPr>
        <w:t>the</w:t>
      </w:r>
      <w:r>
        <w:rPr>
          <w:color w:val="4D4D4F"/>
          <w:spacing w:val="-5"/>
        </w:rPr>
        <w:t xml:space="preserve"> </w:t>
      </w:r>
      <w:r>
        <w:rPr>
          <w:color w:val="4D4D4F"/>
        </w:rPr>
        <w:t>non-random</w:t>
      </w:r>
      <w:r>
        <w:rPr>
          <w:color w:val="4D4D4F"/>
          <w:spacing w:val="-4"/>
        </w:rPr>
        <w:t xml:space="preserve"> </w:t>
      </w:r>
      <w:r>
        <w:rPr>
          <w:color w:val="4D4D4F"/>
        </w:rPr>
        <w:t>re-sampling</w:t>
      </w:r>
      <w:r>
        <w:rPr>
          <w:color w:val="4D4D4F"/>
          <w:spacing w:val="-5"/>
        </w:rPr>
        <w:t xml:space="preserve"> </w:t>
      </w:r>
      <w:r>
        <w:rPr>
          <w:color w:val="4D4D4F"/>
          <w:spacing w:val="-3"/>
        </w:rPr>
        <w:t xml:space="preserve">design </w:t>
      </w:r>
      <w:r>
        <w:rPr>
          <w:color w:val="4D4D4F"/>
        </w:rPr>
        <w:t xml:space="preserve">and fixed </w:t>
      </w:r>
      <w:r>
        <w:rPr>
          <w:color w:val="4D4D4F"/>
          <w:spacing w:val="-3"/>
        </w:rPr>
        <w:t xml:space="preserve">number </w:t>
      </w:r>
      <w:r>
        <w:rPr>
          <w:color w:val="4D4D4F"/>
        </w:rPr>
        <w:t xml:space="preserve">of </w:t>
      </w:r>
      <w:r>
        <w:rPr>
          <w:color w:val="4D4D4F"/>
          <w:spacing w:val="-3"/>
        </w:rPr>
        <w:t xml:space="preserve">monitoring sites. Monitoring is </w:t>
      </w:r>
      <w:r>
        <w:rPr>
          <w:color w:val="4D4D4F"/>
        </w:rPr>
        <w:t xml:space="preserve">also </w:t>
      </w:r>
      <w:r>
        <w:rPr>
          <w:color w:val="4D4D4F"/>
          <w:spacing w:val="-4"/>
        </w:rPr>
        <w:t xml:space="preserve">limited </w:t>
      </w:r>
      <w:r>
        <w:rPr>
          <w:color w:val="4D4D4F"/>
          <w:spacing w:val="-3"/>
        </w:rPr>
        <w:t xml:space="preserve">in </w:t>
      </w:r>
      <w:r>
        <w:rPr>
          <w:color w:val="4D4D4F"/>
        </w:rPr>
        <w:t xml:space="preserve">the </w:t>
      </w:r>
      <w:r>
        <w:rPr>
          <w:color w:val="4D4D4F"/>
          <w:spacing w:val="-3"/>
        </w:rPr>
        <w:t xml:space="preserve">design </w:t>
      </w:r>
      <w:r>
        <w:rPr>
          <w:color w:val="4D4D4F"/>
        </w:rPr>
        <w:t xml:space="preserve">of the KPI without comparison to a </w:t>
      </w:r>
      <w:r>
        <w:rPr>
          <w:color w:val="4D4D4F"/>
          <w:spacing w:val="-3"/>
        </w:rPr>
        <w:t xml:space="preserve">baseline </w:t>
      </w:r>
      <w:r>
        <w:rPr>
          <w:color w:val="4D4D4F"/>
        </w:rPr>
        <w:t xml:space="preserve">such </w:t>
      </w:r>
      <w:r>
        <w:rPr>
          <w:color w:val="4D4D4F"/>
          <w:spacing w:val="-3"/>
        </w:rPr>
        <w:t xml:space="preserve">that </w:t>
      </w:r>
      <w:r>
        <w:rPr>
          <w:color w:val="4D4D4F"/>
        </w:rPr>
        <w:t xml:space="preserve">trends may be </w:t>
      </w:r>
      <w:r>
        <w:rPr>
          <w:color w:val="4D4D4F"/>
          <w:spacing w:val="-3"/>
        </w:rPr>
        <w:t xml:space="preserve">clearly </w:t>
      </w:r>
      <w:r>
        <w:rPr>
          <w:color w:val="4D4D4F"/>
        </w:rPr>
        <w:t xml:space="preserve">assessed. A change </w:t>
      </w:r>
      <w:r>
        <w:rPr>
          <w:color w:val="4D4D4F"/>
          <w:spacing w:val="-3"/>
        </w:rPr>
        <w:t xml:space="preserve">in design </w:t>
      </w:r>
      <w:r>
        <w:rPr>
          <w:color w:val="4D4D4F"/>
        </w:rPr>
        <w:t xml:space="preserve">of the </w:t>
      </w:r>
      <w:r>
        <w:rPr>
          <w:color w:val="4D4D4F"/>
          <w:spacing w:val="-3"/>
        </w:rPr>
        <w:t xml:space="preserve">monitoring </w:t>
      </w:r>
      <w:r>
        <w:rPr>
          <w:color w:val="4D4D4F"/>
        </w:rPr>
        <w:t xml:space="preserve">protocol to increase the </w:t>
      </w:r>
      <w:r>
        <w:rPr>
          <w:color w:val="4D4D4F"/>
          <w:spacing w:val="-3"/>
        </w:rPr>
        <w:t xml:space="preserve">number </w:t>
      </w:r>
      <w:r>
        <w:rPr>
          <w:color w:val="4D4D4F"/>
        </w:rPr>
        <w:t xml:space="preserve">of </w:t>
      </w:r>
      <w:r>
        <w:rPr>
          <w:color w:val="4D4D4F"/>
          <w:spacing w:val="-3"/>
        </w:rPr>
        <w:t xml:space="preserve">sites monitored </w:t>
      </w:r>
      <w:r>
        <w:rPr>
          <w:color w:val="4D4D4F"/>
        </w:rPr>
        <w:t xml:space="preserve">with random </w:t>
      </w:r>
      <w:r>
        <w:rPr>
          <w:color w:val="4D4D4F"/>
          <w:spacing w:val="-3"/>
        </w:rPr>
        <w:t xml:space="preserve">sampling </w:t>
      </w:r>
      <w:r>
        <w:rPr>
          <w:color w:val="4D4D4F"/>
        </w:rPr>
        <w:t xml:space="preserve">may reveal trends </w:t>
      </w:r>
      <w:r>
        <w:rPr>
          <w:color w:val="4D4D4F"/>
          <w:spacing w:val="-3"/>
        </w:rPr>
        <w:t xml:space="preserve">in </w:t>
      </w:r>
      <w:r>
        <w:rPr>
          <w:color w:val="4D4D4F"/>
        </w:rPr>
        <w:t xml:space="preserve">occupancy over </w:t>
      </w:r>
      <w:r>
        <w:rPr>
          <w:color w:val="4D4D4F"/>
          <w:spacing w:val="-3"/>
        </w:rPr>
        <w:t xml:space="preserve">time. </w:t>
      </w:r>
      <w:r>
        <w:rPr>
          <w:color w:val="4D4D4F"/>
        </w:rPr>
        <w:t xml:space="preserve">Previous years’ data on </w:t>
      </w:r>
      <w:r>
        <w:rPr>
          <w:color w:val="4D4D4F"/>
          <w:spacing w:val="-3"/>
        </w:rPr>
        <w:t xml:space="preserve">detectability </w:t>
      </w:r>
      <w:r>
        <w:rPr>
          <w:color w:val="4D4D4F"/>
        </w:rPr>
        <w:t xml:space="preserve">may </w:t>
      </w:r>
      <w:r>
        <w:rPr>
          <w:color w:val="4D4D4F"/>
          <w:spacing w:val="-3"/>
        </w:rPr>
        <w:t xml:space="preserve">inform </w:t>
      </w:r>
      <w:r>
        <w:rPr>
          <w:color w:val="4D4D4F"/>
        </w:rPr>
        <w:t xml:space="preserve">the </w:t>
      </w:r>
      <w:r>
        <w:rPr>
          <w:color w:val="4D4D4F"/>
          <w:spacing w:val="-3"/>
        </w:rPr>
        <w:t xml:space="preserve">number </w:t>
      </w:r>
      <w:r>
        <w:rPr>
          <w:color w:val="4D4D4F"/>
        </w:rPr>
        <w:t xml:space="preserve">of </w:t>
      </w:r>
      <w:r>
        <w:rPr>
          <w:color w:val="4D4D4F"/>
          <w:spacing w:val="-3"/>
        </w:rPr>
        <w:t xml:space="preserve">sites </w:t>
      </w:r>
      <w:r>
        <w:rPr>
          <w:color w:val="4D4D4F"/>
        </w:rPr>
        <w:t xml:space="preserve">required to </w:t>
      </w:r>
      <w:r>
        <w:rPr>
          <w:color w:val="4D4D4F"/>
          <w:spacing w:val="-4"/>
        </w:rPr>
        <w:t xml:space="preserve">meaningfully </w:t>
      </w:r>
      <w:r>
        <w:rPr>
          <w:color w:val="4D4D4F"/>
        </w:rPr>
        <w:t>detect</w:t>
      </w:r>
      <w:r>
        <w:rPr>
          <w:color w:val="4D4D4F"/>
          <w:spacing w:val="-6"/>
        </w:rPr>
        <w:t xml:space="preserve"> </w:t>
      </w:r>
      <w:r>
        <w:rPr>
          <w:color w:val="4D4D4F"/>
        </w:rPr>
        <w:t>change.</w:t>
      </w:r>
    </w:p>
    <w:p w14:paraId="4A758F20" w14:textId="77777777" w:rsidR="00EF5B27" w:rsidRDefault="00000000">
      <w:pPr>
        <w:pStyle w:val="BodyText"/>
        <w:spacing w:before="120" w:line="254" w:lineRule="auto"/>
        <w:ind w:left="2608" w:right="536"/>
        <w:jc w:val="both"/>
        <w:rPr>
          <w:sz w:val="11"/>
        </w:rPr>
      </w:pPr>
      <w:r>
        <w:rPr>
          <w:color w:val="4D4D4F"/>
        </w:rPr>
        <w:t>The Striped Legless Lizard is cryptic – initial MSA monitoring efforts struggled to consistently find the species and it remained unclear for some time exactly where search efforts should be located.</w:t>
      </w:r>
      <w:r>
        <w:rPr>
          <w:color w:val="4D4D4F"/>
          <w:position w:val="7"/>
          <w:sz w:val="11"/>
        </w:rPr>
        <w:t>248</w:t>
      </w:r>
    </w:p>
    <w:p w14:paraId="1B00A62E" w14:textId="77777777" w:rsidR="00EF5B27" w:rsidRDefault="00000000">
      <w:pPr>
        <w:pStyle w:val="BodyText"/>
        <w:spacing w:before="117" w:line="254" w:lineRule="auto"/>
        <w:ind w:left="2608"/>
      </w:pPr>
      <w:r>
        <w:rPr>
          <w:color w:val="4D4D4F"/>
        </w:rPr>
        <w:t>Historically, the MSA program hasn’t had enough acquired reserve to establish permanent monitoring plots for this species.</w:t>
      </w:r>
    </w:p>
    <w:p w14:paraId="02F3E73D" w14:textId="77777777" w:rsidR="00EF5B27" w:rsidRDefault="00000000">
      <w:pPr>
        <w:pStyle w:val="BodyText"/>
        <w:spacing w:before="116" w:line="254" w:lineRule="auto"/>
        <w:ind w:left="2608" w:right="151"/>
      </w:pPr>
      <w:r>
        <w:rPr>
          <w:color w:val="4D4D4F"/>
        </w:rPr>
        <w:t>The species was thought to have a high probability of non-detection.</w:t>
      </w:r>
      <w:r>
        <w:rPr>
          <w:color w:val="4D4D4F"/>
          <w:position w:val="7"/>
          <w:sz w:val="11"/>
        </w:rPr>
        <w:t xml:space="preserve">249 </w:t>
      </w:r>
      <w:r>
        <w:rPr>
          <w:color w:val="4D4D4F"/>
        </w:rPr>
        <w:t>A relationship with time of survey (temperature-dependent) and rates of detectability has been previously observed.</w:t>
      </w:r>
    </w:p>
    <w:p w14:paraId="61FACF4C" w14:textId="77777777" w:rsidR="00EF5B27" w:rsidRDefault="00000000">
      <w:pPr>
        <w:pStyle w:val="BodyText"/>
        <w:spacing w:before="117" w:line="254" w:lineRule="auto"/>
        <w:ind w:left="2608" w:right="308"/>
      </w:pPr>
      <w:r>
        <w:rPr>
          <w:color w:val="4D4D4F"/>
        </w:rPr>
        <w:t>Current methods include an inventory search for Striped Legless Lizard at known sites, followed with a more intense search and establishment of monitoring points at locations where individuals are</w:t>
      </w:r>
      <w:r>
        <w:rPr>
          <w:color w:val="4D4D4F"/>
          <w:spacing w:val="16"/>
        </w:rPr>
        <w:t xml:space="preserve"> </w:t>
      </w:r>
      <w:r>
        <w:rPr>
          <w:color w:val="4D4D4F"/>
        </w:rPr>
        <w:t>found.</w:t>
      </w:r>
    </w:p>
    <w:p w14:paraId="6DEF8308" w14:textId="77777777" w:rsidR="00EF5B27" w:rsidRDefault="00000000">
      <w:pPr>
        <w:pStyle w:val="BodyText"/>
        <w:spacing w:before="117" w:line="254" w:lineRule="auto"/>
        <w:ind w:left="2608" w:right="151"/>
      </w:pPr>
      <w:r>
        <w:rPr>
          <w:color w:val="4D4D4F"/>
        </w:rPr>
        <w:t>Detections do not equal abundance; data is recorded on the number of detections at each location and multiple detections may constitute one or several individuals.</w:t>
      </w:r>
    </w:p>
    <w:p w14:paraId="1882B462" w14:textId="77777777" w:rsidR="00EF5B27" w:rsidRDefault="00000000">
      <w:pPr>
        <w:pStyle w:val="BodyText"/>
        <w:spacing w:before="116" w:line="254" w:lineRule="auto"/>
        <w:ind w:left="2608"/>
        <w:rPr>
          <w:sz w:val="11"/>
        </w:rPr>
      </w:pPr>
      <w:r>
        <w:rPr>
          <w:color w:val="4D4D4F"/>
        </w:rPr>
        <w:t xml:space="preserve">Monitoring is undertaken under conditions that are presumed to provide the highest probability of detection, </w:t>
      </w:r>
      <w:r>
        <w:rPr>
          <w:color w:val="4D4D4F"/>
          <w:spacing w:val="-3"/>
        </w:rPr>
        <w:t xml:space="preserve">however, </w:t>
      </w:r>
      <w:r>
        <w:rPr>
          <w:color w:val="4D4D4F"/>
        </w:rPr>
        <w:t>there remains the possibility that detections are affected by seasonal climatic conditions, e.g. rainfall or events such as fire. It may be possible to revisit the assumptions around detectability once more data is</w:t>
      </w:r>
      <w:r>
        <w:rPr>
          <w:color w:val="4D4D4F"/>
          <w:spacing w:val="38"/>
        </w:rPr>
        <w:t xml:space="preserve"> </w:t>
      </w:r>
      <w:r>
        <w:rPr>
          <w:color w:val="4D4D4F"/>
        </w:rPr>
        <w:t>obtained.</w:t>
      </w:r>
      <w:r>
        <w:rPr>
          <w:color w:val="4D4D4F"/>
          <w:position w:val="7"/>
          <w:sz w:val="11"/>
        </w:rPr>
        <w:t>250</w:t>
      </w:r>
    </w:p>
    <w:p w14:paraId="694ECB6C" w14:textId="77777777" w:rsidR="00EF5B27" w:rsidRDefault="00000000">
      <w:pPr>
        <w:pStyle w:val="BodyText"/>
        <w:spacing w:before="118" w:line="254" w:lineRule="auto"/>
        <w:ind w:left="2608" w:right="176"/>
      </w:pPr>
      <w:r>
        <w:rPr>
          <w:color w:val="4D4D4F"/>
        </w:rPr>
        <w:t>Overall, the species is viewed as increasingly more  common  and  widespread  than was thought at the beginning of the program.</w:t>
      </w:r>
      <w:r>
        <w:rPr>
          <w:color w:val="4D4D4F"/>
          <w:position w:val="7"/>
          <w:sz w:val="11"/>
        </w:rPr>
        <w:t xml:space="preserve">251 </w:t>
      </w:r>
      <w:r>
        <w:rPr>
          <w:color w:val="4D4D4F"/>
          <w:spacing w:val="-3"/>
        </w:rPr>
        <w:t xml:space="preserve">However, </w:t>
      </w:r>
      <w:r>
        <w:rPr>
          <w:color w:val="4D4D4F"/>
        </w:rPr>
        <w:t xml:space="preserve">habitat preferences for the species remain </w:t>
      </w:r>
      <w:r>
        <w:rPr>
          <w:color w:val="4D4D4F"/>
          <w:spacing w:val="-3"/>
        </w:rPr>
        <w:t xml:space="preserve">unclear. </w:t>
      </w:r>
      <w:r>
        <w:rPr>
          <w:color w:val="4D4D4F"/>
        </w:rPr>
        <w:t>Some monitored sites in poorer condition have higher rates of detection, with other larger sites (assumed more suitable habitat) having much lower rates of detection. Further research is required to better understand the Striped Legless</w:t>
      </w:r>
      <w:r>
        <w:rPr>
          <w:color w:val="4D4D4F"/>
          <w:spacing w:val="8"/>
        </w:rPr>
        <w:t xml:space="preserve"> </w:t>
      </w:r>
      <w:r>
        <w:rPr>
          <w:color w:val="4D4D4F"/>
        </w:rPr>
        <w:t>Lizard’s</w:t>
      </w:r>
      <w:r>
        <w:rPr>
          <w:color w:val="4D4D4F"/>
          <w:spacing w:val="9"/>
        </w:rPr>
        <w:t xml:space="preserve"> </w:t>
      </w:r>
      <w:r>
        <w:rPr>
          <w:color w:val="4D4D4F"/>
        </w:rPr>
        <w:t>habitat</w:t>
      </w:r>
      <w:r>
        <w:rPr>
          <w:color w:val="4D4D4F"/>
          <w:spacing w:val="9"/>
        </w:rPr>
        <w:t xml:space="preserve"> </w:t>
      </w:r>
      <w:r>
        <w:rPr>
          <w:color w:val="4D4D4F"/>
        </w:rPr>
        <w:t>preferences</w:t>
      </w:r>
      <w:r>
        <w:rPr>
          <w:color w:val="4D4D4F"/>
          <w:spacing w:val="9"/>
        </w:rPr>
        <w:t xml:space="preserve"> </w:t>
      </w:r>
      <w:r>
        <w:rPr>
          <w:color w:val="4D4D4F"/>
        </w:rPr>
        <w:t>to</w:t>
      </w:r>
      <w:r>
        <w:rPr>
          <w:color w:val="4D4D4F"/>
          <w:spacing w:val="8"/>
        </w:rPr>
        <w:t xml:space="preserve"> </w:t>
      </w:r>
      <w:r>
        <w:rPr>
          <w:color w:val="4D4D4F"/>
        </w:rPr>
        <w:t>inform</w:t>
      </w:r>
      <w:r>
        <w:rPr>
          <w:color w:val="4D4D4F"/>
          <w:spacing w:val="9"/>
        </w:rPr>
        <w:t xml:space="preserve"> </w:t>
      </w:r>
      <w:r>
        <w:rPr>
          <w:color w:val="4D4D4F"/>
        </w:rPr>
        <w:t>appropriate</w:t>
      </w:r>
      <w:r>
        <w:rPr>
          <w:color w:val="4D4D4F"/>
          <w:spacing w:val="9"/>
        </w:rPr>
        <w:t xml:space="preserve"> </w:t>
      </w:r>
      <w:r>
        <w:rPr>
          <w:color w:val="4D4D4F"/>
        </w:rPr>
        <w:t>and</w:t>
      </w:r>
      <w:r>
        <w:rPr>
          <w:color w:val="4D4D4F"/>
          <w:spacing w:val="8"/>
        </w:rPr>
        <w:t xml:space="preserve"> </w:t>
      </w:r>
      <w:r>
        <w:rPr>
          <w:color w:val="4D4D4F"/>
        </w:rPr>
        <w:t>targeted</w:t>
      </w:r>
      <w:r>
        <w:rPr>
          <w:color w:val="4D4D4F"/>
          <w:spacing w:val="9"/>
        </w:rPr>
        <w:t xml:space="preserve"> </w:t>
      </w:r>
      <w:r>
        <w:rPr>
          <w:color w:val="4D4D4F"/>
        </w:rPr>
        <w:t>management.</w:t>
      </w:r>
    </w:p>
    <w:p w14:paraId="0EDED471" w14:textId="77777777" w:rsidR="00EF5B27" w:rsidRDefault="00EF5B27">
      <w:pPr>
        <w:pStyle w:val="BodyText"/>
      </w:pPr>
    </w:p>
    <w:p w14:paraId="15889D3D" w14:textId="77777777" w:rsidR="00EF5B27" w:rsidRDefault="00000000">
      <w:pPr>
        <w:pStyle w:val="BodyText"/>
        <w:spacing w:before="6"/>
        <w:rPr>
          <w:sz w:val="19"/>
        </w:rPr>
      </w:pPr>
      <w:r>
        <w:pict w14:anchorId="256F6908">
          <v:line id="_x0000_s2779" style="position:absolute;z-index:251632128;mso-wrap-distance-left:0;mso-wrap-distance-right:0;mso-position-horizontal-relative:page" from="181.4pt,14.15pt" to="538.6pt,14.15pt" strokecolor="#4d4d4f" strokeweight=".5pt">
            <w10:wrap type="topAndBottom" anchorx="page"/>
          </v:line>
        </w:pict>
      </w:r>
    </w:p>
    <w:p w14:paraId="3504EAC1" w14:textId="77777777" w:rsidR="00EF5B27" w:rsidRDefault="00000000">
      <w:pPr>
        <w:pStyle w:val="ListParagraph"/>
        <w:numPr>
          <w:ilvl w:val="0"/>
          <w:numId w:val="21"/>
        </w:numPr>
        <w:tabs>
          <w:tab w:val="left" w:pos="2836"/>
        </w:tabs>
        <w:spacing w:before="83" w:line="143" w:lineRule="exact"/>
        <w:rPr>
          <w:sz w:val="12"/>
        </w:rPr>
      </w:pPr>
      <w:r>
        <w:rPr>
          <w:color w:val="4D4D4F"/>
          <w:sz w:val="12"/>
        </w:rPr>
        <w:t>DELWP</w:t>
      </w:r>
      <w:r>
        <w:rPr>
          <w:color w:val="4D4D4F"/>
          <w:spacing w:val="11"/>
          <w:sz w:val="12"/>
        </w:rPr>
        <w:t xml:space="preserve"> </w:t>
      </w:r>
      <w:r>
        <w:rPr>
          <w:color w:val="4D4D4F"/>
          <w:sz w:val="12"/>
        </w:rPr>
        <w:t>Officer,</w:t>
      </w:r>
      <w:r>
        <w:rPr>
          <w:color w:val="4D4D4F"/>
          <w:spacing w:val="12"/>
          <w:sz w:val="12"/>
        </w:rPr>
        <w:t xml:space="preserve"> </w:t>
      </w:r>
      <w:r>
        <w:rPr>
          <w:color w:val="4D4D4F"/>
          <w:sz w:val="12"/>
        </w:rPr>
        <w:t>personal</w:t>
      </w:r>
      <w:r>
        <w:rPr>
          <w:color w:val="4D4D4F"/>
          <w:spacing w:val="12"/>
          <w:sz w:val="12"/>
        </w:rPr>
        <w:t xml:space="preserve"> </w:t>
      </w:r>
      <w:r>
        <w:rPr>
          <w:color w:val="4D4D4F"/>
          <w:sz w:val="12"/>
        </w:rPr>
        <w:t>communication,</w:t>
      </w:r>
      <w:r>
        <w:rPr>
          <w:color w:val="4D4D4F"/>
          <w:spacing w:val="12"/>
          <w:sz w:val="12"/>
        </w:rPr>
        <w:t xml:space="preserve"> </w:t>
      </w:r>
      <w:r>
        <w:rPr>
          <w:color w:val="4D4D4F"/>
          <w:sz w:val="12"/>
        </w:rPr>
        <w:t>14</w:t>
      </w:r>
      <w:r>
        <w:rPr>
          <w:color w:val="4D4D4F"/>
          <w:spacing w:val="12"/>
          <w:sz w:val="12"/>
        </w:rPr>
        <w:t xml:space="preserve"> </w:t>
      </w:r>
      <w:r>
        <w:rPr>
          <w:color w:val="4D4D4F"/>
          <w:sz w:val="12"/>
        </w:rPr>
        <w:t>July</w:t>
      </w:r>
      <w:r>
        <w:rPr>
          <w:color w:val="4D4D4F"/>
          <w:spacing w:val="12"/>
          <w:sz w:val="12"/>
        </w:rPr>
        <w:t xml:space="preserve"> </w:t>
      </w:r>
      <w:r>
        <w:rPr>
          <w:color w:val="4D4D4F"/>
          <w:sz w:val="12"/>
        </w:rPr>
        <w:t>2021.</w:t>
      </w:r>
    </w:p>
    <w:p w14:paraId="18AEAD6E" w14:textId="77777777" w:rsidR="00EF5B27" w:rsidRDefault="00000000">
      <w:pPr>
        <w:pStyle w:val="ListParagraph"/>
        <w:numPr>
          <w:ilvl w:val="0"/>
          <w:numId w:val="21"/>
        </w:numPr>
        <w:tabs>
          <w:tab w:val="left" w:pos="2836"/>
        </w:tabs>
        <w:spacing w:line="140" w:lineRule="exact"/>
        <w:rPr>
          <w:sz w:val="12"/>
        </w:rPr>
      </w:pPr>
      <w:r>
        <w:rPr>
          <w:color w:val="4D4D4F"/>
          <w:sz w:val="12"/>
        </w:rPr>
        <w:t>DELWP</w:t>
      </w:r>
      <w:r>
        <w:rPr>
          <w:color w:val="4D4D4F"/>
          <w:spacing w:val="11"/>
          <w:sz w:val="12"/>
        </w:rPr>
        <w:t xml:space="preserve"> </w:t>
      </w:r>
      <w:r>
        <w:rPr>
          <w:color w:val="4D4D4F"/>
          <w:sz w:val="12"/>
        </w:rPr>
        <w:t>Officer,</w:t>
      </w:r>
      <w:r>
        <w:rPr>
          <w:color w:val="4D4D4F"/>
          <w:spacing w:val="12"/>
          <w:sz w:val="12"/>
        </w:rPr>
        <w:t xml:space="preserve"> </w:t>
      </w:r>
      <w:r>
        <w:rPr>
          <w:color w:val="4D4D4F"/>
          <w:sz w:val="12"/>
        </w:rPr>
        <w:t>personal</w:t>
      </w:r>
      <w:r>
        <w:rPr>
          <w:color w:val="4D4D4F"/>
          <w:spacing w:val="12"/>
          <w:sz w:val="12"/>
        </w:rPr>
        <w:t xml:space="preserve"> </w:t>
      </w:r>
      <w:r>
        <w:rPr>
          <w:color w:val="4D4D4F"/>
          <w:sz w:val="12"/>
        </w:rPr>
        <w:t>communication,</w:t>
      </w:r>
      <w:r>
        <w:rPr>
          <w:color w:val="4D4D4F"/>
          <w:spacing w:val="12"/>
          <w:sz w:val="12"/>
        </w:rPr>
        <w:t xml:space="preserve"> </w:t>
      </w:r>
      <w:r>
        <w:rPr>
          <w:color w:val="4D4D4F"/>
          <w:sz w:val="12"/>
        </w:rPr>
        <w:t>14</w:t>
      </w:r>
      <w:r>
        <w:rPr>
          <w:color w:val="4D4D4F"/>
          <w:spacing w:val="12"/>
          <w:sz w:val="12"/>
        </w:rPr>
        <w:t xml:space="preserve"> </w:t>
      </w:r>
      <w:r>
        <w:rPr>
          <w:color w:val="4D4D4F"/>
          <w:sz w:val="12"/>
        </w:rPr>
        <w:t>July</w:t>
      </w:r>
      <w:r>
        <w:rPr>
          <w:color w:val="4D4D4F"/>
          <w:spacing w:val="12"/>
          <w:sz w:val="12"/>
        </w:rPr>
        <w:t xml:space="preserve"> </w:t>
      </w:r>
      <w:r>
        <w:rPr>
          <w:color w:val="4D4D4F"/>
          <w:sz w:val="12"/>
        </w:rPr>
        <w:t>2021.</w:t>
      </w:r>
    </w:p>
    <w:p w14:paraId="00401B19" w14:textId="77777777" w:rsidR="00EF5B27" w:rsidRDefault="00000000">
      <w:pPr>
        <w:pStyle w:val="ListParagraph"/>
        <w:numPr>
          <w:ilvl w:val="0"/>
          <w:numId w:val="21"/>
        </w:numPr>
        <w:tabs>
          <w:tab w:val="left" w:pos="2836"/>
        </w:tabs>
        <w:spacing w:line="140" w:lineRule="exact"/>
        <w:rPr>
          <w:sz w:val="12"/>
        </w:rPr>
      </w:pPr>
      <w:r>
        <w:rPr>
          <w:color w:val="4D4D4F"/>
          <w:sz w:val="12"/>
        </w:rPr>
        <w:t>DELWP</w:t>
      </w:r>
      <w:r>
        <w:rPr>
          <w:color w:val="4D4D4F"/>
          <w:spacing w:val="11"/>
          <w:sz w:val="12"/>
        </w:rPr>
        <w:t xml:space="preserve"> </w:t>
      </w:r>
      <w:r>
        <w:rPr>
          <w:color w:val="4D4D4F"/>
          <w:sz w:val="12"/>
        </w:rPr>
        <w:t>Officer,</w:t>
      </w:r>
      <w:r>
        <w:rPr>
          <w:color w:val="4D4D4F"/>
          <w:spacing w:val="12"/>
          <w:sz w:val="12"/>
        </w:rPr>
        <w:t xml:space="preserve"> </w:t>
      </w:r>
      <w:r>
        <w:rPr>
          <w:color w:val="4D4D4F"/>
          <w:sz w:val="12"/>
        </w:rPr>
        <w:t>personal</w:t>
      </w:r>
      <w:r>
        <w:rPr>
          <w:color w:val="4D4D4F"/>
          <w:spacing w:val="12"/>
          <w:sz w:val="12"/>
        </w:rPr>
        <w:t xml:space="preserve"> </w:t>
      </w:r>
      <w:r>
        <w:rPr>
          <w:color w:val="4D4D4F"/>
          <w:sz w:val="12"/>
        </w:rPr>
        <w:t>communication,</w:t>
      </w:r>
      <w:r>
        <w:rPr>
          <w:color w:val="4D4D4F"/>
          <w:spacing w:val="12"/>
          <w:sz w:val="12"/>
        </w:rPr>
        <w:t xml:space="preserve"> </w:t>
      </w:r>
      <w:r>
        <w:rPr>
          <w:color w:val="4D4D4F"/>
          <w:sz w:val="12"/>
        </w:rPr>
        <w:t>14</w:t>
      </w:r>
      <w:r>
        <w:rPr>
          <w:color w:val="4D4D4F"/>
          <w:spacing w:val="12"/>
          <w:sz w:val="12"/>
        </w:rPr>
        <w:t xml:space="preserve"> </w:t>
      </w:r>
      <w:r>
        <w:rPr>
          <w:color w:val="4D4D4F"/>
          <w:sz w:val="12"/>
        </w:rPr>
        <w:t>July</w:t>
      </w:r>
      <w:r>
        <w:rPr>
          <w:color w:val="4D4D4F"/>
          <w:spacing w:val="12"/>
          <w:sz w:val="12"/>
        </w:rPr>
        <w:t xml:space="preserve"> </w:t>
      </w:r>
      <w:r>
        <w:rPr>
          <w:color w:val="4D4D4F"/>
          <w:sz w:val="12"/>
        </w:rPr>
        <w:t>2021.</w:t>
      </w:r>
    </w:p>
    <w:p w14:paraId="365C4228" w14:textId="77777777" w:rsidR="00EF5B27" w:rsidRDefault="00000000">
      <w:pPr>
        <w:pStyle w:val="ListParagraph"/>
        <w:numPr>
          <w:ilvl w:val="0"/>
          <w:numId w:val="21"/>
        </w:numPr>
        <w:tabs>
          <w:tab w:val="left" w:pos="2836"/>
        </w:tabs>
        <w:spacing w:line="143" w:lineRule="exact"/>
        <w:rPr>
          <w:sz w:val="12"/>
        </w:rPr>
      </w:pPr>
      <w:r>
        <w:rPr>
          <w:color w:val="4D4D4F"/>
          <w:sz w:val="12"/>
        </w:rPr>
        <w:t>DELWP</w:t>
      </w:r>
      <w:r>
        <w:rPr>
          <w:color w:val="4D4D4F"/>
          <w:spacing w:val="11"/>
          <w:sz w:val="12"/>
        </w:rPr>
        <w:t xml:space="preserve"> </w:t>
      </w:r>
      <w:r>
        <w:rPr>
          <w:color w:val="4D4D4F"/>
          <w:sz w:val="12"/>
        </w:rPr>
        <w:t>Officer,</w:t>
      </w:r>
      <w:r>
        <w:rPr>
          <w:color w:val="4D4D4F"/>
          <w:spacing w:val="12"/>
          <w:sz w:val="12"/>
        </w:rPr>
        <w:t xml:space="preserve"> </w:t>
      </w:r>
      <w:r>
        <w:rPr>
          <w:color w:val="4D4D4F"/>
          <w:sz w:val="12"/>
        </w:rPr>
        <w:t>personal</w:t>
      </w:r>
      <w:r>
        <w:rPr>
          <w:color w:val="4D4D4F"/>
          <w:spacing w:val="12"/>
          <w:sz w:val="12"/>
        </w:rPr>
        <w:t xml:space="preserve"> </w:t>
      </w:r>
      <w:r>
        <w:rPr>
          <w:color w:val="4D4D4F"/>
          <w:sz w:val="12"/>
        </w:rPr>
        <w:t>communication,</w:t>
      </w:r>
      <w:r>
        <w:rPr>
          <w:color w:val="4D4D4F"/>
          <w:spacing w:val="12"/>
          <w:sz w:val="12"/>
        </w:rPr>
        <w:t xml:space="preserve"> </w:t>
      </w:r>
      <w:r>
        <w:rPr>
          <w:color w:val="4D4D4F"/>
          <w:sz w:val="12"/>
        </w:rPr>
        <w:t>14</w:t>
      </w:r>
      <w:r>
        <w:rPr>
          <w:color w:val="4D4D4F"/>
          <w:spacing w:val="12"/>
          <w:sz w:val="12"/>
        </w:rPr>
        <w:t xml:space="preserve"> </w:t>
      </w:r>
      <w:r>
        <w:rPr>
          <w:color w:val="4D4D4F"/>
          <w:sz w:val="12"/>
        </w:rPr>
        <w:t>July</w:t>
      </w:r>
      <w:r>
        <w:rPr>
          <w:color w:val="4D4D4F"/>
          <w:spacing w:val="12"/>
          <w:sz w:val="12"/>
        </w:rPr>
        <w:t xml:space="preserve"> </w:t>
      </w:r>
      <w:r>
        <w:rPr>
          <w:color w:val="4D4D4F"/>
          <w:sz w:val="12"/>
        </w:rPr>
        <w:t>2021.</w:t>
      </w:r>
    </w:p>
    <w:p w14:paraId="0C62DB97"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478EF6AA" w14:textId="77777777" w:rsidR="00EF5B27" w:rsidRDefault="00000000">
      <w:pPr>
        <w:pStyle w:val="BodyText"/>
      </w:pPr>
      <w:r>
        <w:lastRenderedPageBreak/>
        <w:pict w14:anchorId="3E1D1C17">
          <v:group id="_x0000_s2771" style="position:absolute;margin-left:587.05pt;margin-top:183.4pt;width:8.25pt;height:153.1pt;z-index:251704832;mso-position-horizontal-relative:page;mso-position-vertical-relative:page" coordorigin="11741,3668" coordsize="165,3062">
            <v:shape id="_x0000_s2778" style="position:absolute;left:11741;top:3668;width:165;height:561" coordorigin="11741,3668" coordsize="165,561" path="m11906,3668r-165,l11741,4228r165,-18l11906,3668xe" fillcolor="#00aed9" stroked="f">
              <v:path arrowok="t"/>
            </v:shape>
            <v:shape id="_x0000_s2777" style="position:absolute;left:11741;top:4118;width:165;height:425" coordorigin="11741,4118" coordsize="165,425" path="m11906,4118r-165,14l11741,4531r165,12l11906,4118xe" fillcolor="#047ebc" stroked="f">
              <v:path arrowok="t"/>
            </v:shape>
            <v:shape id="_x0000_s2776" type="#_x0000_t75" style="position:absolute;left:11741;top:4355;width:165;height:587">
              <v:imagedata r:id="rId42" o:title=""/>
            </v:shape>
            <v:shape id="_x0000_s2775" style="position:absolute;left:11741;top:5343;width:165;height:536" coordorigin="11741,5343" coordsize="165,536" path="m11741,5343r,535l11906,5872r,-525l11741,5343xe" fillcolor="#f36a2e" stroked="f">
              <v:path arrowok="t"/>
            </v:shape>
            <v:shape id="_x0000_s2774" style="position:absolute;left:11741;top:4925;width:165;height:501" coordorigin="11741,4926" coordsize="165,501" path="m11741,4926r,500l11906,5426r,-485l11741,4926xe" fillcolor="#49783f" stroked="f">
              <v:path arrowok="t"/>
            </v:shape>
            <v:shape id="_x0000_s2773" style="position:absolute;left:11741;top:5781;width:165;height:268" coordorigin="11741,5782" coordsize="165,268" path="m11906,5782r-165,8l11741,6039r165,10l11906,5782xe" fillcolor="#f99f2a" stroked="f">
              <v:path arrowok="t"/>
            </v:shape>
            <v:shape id="_x0000_s2772" style="position:absolute;left:11741;top:6023;width:165;height:707" coordorigin="11741,6023" coordsize="165,707" path="m11741,6023r,706l11906,6729r,-690l11741,6023xe" fillcolor="#ef412c" stroked="f">
              <v:path arrowok="t"/>
            </v:shape>
            <w10:wrap anchorx="page" anchory="page"/>
          </v:group>
        </w:pict>
      </w:r>
    </w:p>
    <w:p w14:paraId="5299A42F" w14:textId="77777777" w:rsidR="00EF5B27" w:rsidRDefault="00EF5B27">
      <w:pPr>
        <w:pStyle w:val="BodyText"/>
      </w:pPr>
    </w:p>
    <w:p w14:paraId="6B3C8367" w14:textId="77777777" w:rsidR="00EF5B27" w:rsidRDefault="00EF5B27">
      <w:pPr>
        <w:pStyle w:val="BodyText"/>
      </w:pPr>
    </w:p>
    <w:p w14:paraId="0B89E894" w14:textId="77777777" w:rsidR="00EF5B27" w:rsidRDefault="00EF5B27">
      <w:pPr>
        <w:pStyle w:val="BodyText"/>
        <w:spacing w:before="8"/>
      </w:pPr>
    </w:p>
    <w:p w14:paraId="44AC2771" w14:textId="77777777" w:rsidR="00EF5B27" w:rsidRDefault="00000000">
      <w:pPr>
        <w:pStyle w:val="Heading2"/>
      </w:pPr>
      <w:bookmarkStart w:id="100" w:name="_bookmark67"/>
      <w:bookmarkEnd w:id="100"/>
      <w:r>
        <w:rPr>
          <w:color w:val="F99F2A"/>
        </w:rPr>
        <w:t>MNES 11: Button Wrinklewort</w:t>
      </w:r>
    </w:p>
    <w:p w14:paraId="1B72044D" w14:textId="77777777" w:rsidR="00EF5B27" w:rsidRDefault="00EF5B27">
      <w:pPr>
        <w:pStyle w:val="BodyText"/>
        <w:spacing w:before="5"/>
        <w:rPr>
          <w:b/>
          <w:sz w:val="76"/>
        </w:rPr>
      </w:pPr>
    </w:p>
    <w:p w14:paraId="001BC72F" w14:textId="77777777" w:rsidR="00EF5B27" w:rsidRDefault="00000000">
      <w:pPr>
        <w:pStyle w:val="Heading3"/>
      </w:pPr>
      <w:r>
        <w:rPr>
          <w:color w:val="F99F2A"/>
        </w:rPr>
        <w:t>Background</w:t>
      </w:r>
    </w:p>
    <w:p w14:paraId="44B4F4F2" w14:textId="77777777" w:rsidR="00EF5B27" w:rsidRDefault="00000000">
      <w:pPr>
        <w:pStyle w:val="Heading6"/>
        <w:spacing w:before="221" w:line="254" w:lineRule="auto"/>
        <w:ind w:right="111"/>
        <w:jc w:val="both"/>
        <w:rPr>
          <w:sz w:val="11"/>
        </w:rPr>
      </w:pPr>
      <w:r>
        <w:rPr>
          <w:color w:val="4D4D4F"/>
          <w:spacing w:val="-3"/>
        </w:rPr>
        <w:t xml:space="preserve">Button </w:t>
      </w:r>
      <w:r>
        <w:rPr>
          <w:color w:val="4D4D4F"/>
          <w:spacing w:val="-4"/>
        </w:rPr>
        <w:t xml:space="preserve">Wrinklewort </w:t>
      </w:r>
      <w:r>
        <w:rPr>
          <w:color w:val="4D4D4F"/>
          <w:spacing w:val="-5"/>
        </w:rPr>
        <w:t>(</w:t>
      </w:r>
      <w:r>
        <w:rPr>
          <w:i/>
          <w:color w:val="4D4D4F"/>
          <w:spacing w:val="-5"/>
        </w:rPr>
        <w:t xml:space="preserve">Rutidosis </w:t>
      </w:r>
      <w:r>
        <w:rPr>
          <w:i/>
          <w:color w:val="4D4D4F"/>
          <w:spacing w:val="-6"/>
        </w:rPr>
        <w:t>leptorhynchoides</w:t>
      </w:r>
      <w:r>
        <w:rPr>
          <w:color w:val="4D4D4F"/>
          <w:spacing w:val="-6"/>
        </w:rPr>
        <w:t xml:space="preserve">) </w:t>
      </w:r>
      <w:r>
        <w:rPr>
          <w:color w:val="4D4D4F"/>
          <w:spacing w:val="-3"/>
        </w:rPr>
        <w:t xml:space="preserve">is </w:t>
      </w:r>
      <w:r>
        <w:rPr>
          <w:color w:val="4D4D4F"/>
        </w:rPr>
        <w:t xml:space="preserve">a </w:t>
      </w:r>
      <w:r>
        <w:rPr>
          <w:color w:val="4D4D4F"/>
          <w:spacing w:val="-4"/>
        </w:rPr>
        <w:t xml:space="preserve">small perennial daisy that </w:t>
      </w:r>
      <w:r>
        <w:rPr>
          <w:color w:val="4D4D4F"/>
          <w:spacing w:val="-3"/>
        </w:rPr>
        <w:t xml:space="preserve">produces multiple </w:t>
      </w:r>
      <w:r>
        <w:rPr>
          <w:color w:val="4D4D4F"/>
        </w:rPr>
        <w:t>flowering stems with yellow flower heads. It occurs in grasslands and grassy woodlands, in areas free from intense competition from other plants. It is distributed across south-western Victoria, around Melbourne and in the Canberra region.</w:t>
      </w:r>
      <w:r>
        <w:rPr>
          <w:color w:val="4D4D4F"/>
          <w:position w:val="7"/>
          <w:sz w:val="11"/>
        </w:rPr>
        <w:t>252</w:t>
      </w:r>
    </w:p>
    <w:p w14:paraId="6D25BB75" w14:textId="77777777" w:rsidR="00EF5B27" w:rsidRDefault="00000000">
      <w:pPr>
        <w:pStyle w:val="BodyText"/>
        <w:spacing w:before="118"/>
        <w:ind w:left="2608"/>
      </w:pPr>
      <w:r>
        <w:rPr>
          <w:color w:val="4D4D4F"/>
          <w:w w:val="105"/>
        </w:rPr>
        <w:t>EPBC listing status: Endangered</w:t>
      </w:r>
    </w:p>
    <w:p w14:paraId="5B957409" w14:textId="77777777" w:rsidR="00EF5B27" w:rsidRDefault="00000000">
      <w:pPr>
        <w:pStyle w:val="BodyText"/>
        <w:spacing w:before="7"/>
        <w:rPr>
          <w:sz w:val="29"/>
        </w:rPr>
      </w:pPr>
      <w:r>
        <w:rPr>
          <w:noProof/>
        </w:rPr>
        <w:drawing>
          <wp:anchor distT="0" distB="0" distL="0" distR="0" simplePos="0" relativeHeight="251302400" behindDoc="0" locked="0" layoutInCell="1" allowOverlap="1" wp14:anchorId="7DCB836E" wp14:editId="037E1471">
            <wp:simplePos x="0" y="0"/>
            <wp:positionH relativeFrom="page">
              <wp:posOffset>2304575</wp:posOffset>
            </wp:positionH>
            <wp:positionV relativeFrom="paragraph">
              <wp:posOffset>254285</wp:posOffset>
            </wp:positionV>
            <wp:extent cx="4535421" cy="2551176"/>
            <wp:effectExtent l="0" t="0" r="0" b="0"/>
            <wp:wrapTopAndBottom/>
            <wp:docPr id="511" name="image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203.jpeg"/>
                    <pic:cNvPicPr/>
                  </pic:nvPicPr>
                  <pic:blipFill>
                    <a:blip r:embed="rId159" cstate="print"/>
                    <a:stretch>
                      <a:fillRect/>
                    </a:stretch>
                  </pic:blipFill>
                  <pic:spPr>
                    <a:xfrm>
                      <a:off x="0" y="0"/>
                      <a:ext cx="4535421" cy="2551176"/>
                    </a:xfrm>
                    <a:prstGeom prst="rect">
                      <a:avLst/>
                    </a:prstGeom>
                  </pic:spPr>
                </pic:pic>
              </a:graphicData>
            </a:graphic>
          </wp:anchor>
        </w:drawing>
      </w:r>
    </w:p>
    <w:p w14:paraId="0F9152EA" w14:textId="77777777" w:rsidR="00EF5B27" w:rsidRDefault="00000000">
      <w:pPr>
        <w:tabs>
          <w:tab w:val="left" w:pos="8977"/>
        </w:tabs>
        <w:spacing w:before="9"/>
        <w:ind w:left="2608"/>
        <w:rPr>
          <w:rFonts w:ascii="Century Gothic"/>
          <w:i/>
          <w:sz w:val="12"/>
        </w:rPr>
      </w:pPr>
      <w:r>
        <w:rPr>
          <w:color w:val="4D4D4F"/>
          <w:sz w:val="16"/>
        </w:rPr>
        <w:t>Figure 39:</w:t>
      </w:r>
      <w:r>
        <w:rPr>
          <w:color w:val="4D4D4F"/>
          <w:spacing w:val="18"/>
          <w:sz w:val="16"/>
        </w:rPr>
        <w:t xml:space="preserve"> </w:t>
      </w:r>
      <w:r>
        <w:rPr>
          <w:color w:val="4D4D4F"/>
          <w:sz w:val="16"/>
        </w:rPr>
        <w:t>Button</w:t>
      </w:r>
      <w:r>
        <w:rPr>
          <w:color w:val="4D4D4F"/>
          <w:spacing w:val="10"/>
          <w:sz w:val="16"/>
        </w:rPr>
        <w:t xml:space="preserve"> </w:t>
      </w:r>
      <w:r>
        <w:rPr>
          <w:color w:val="4D4D4F"/>
          <w:sz w:val="16"/>
        </w:rPr>
        <w:t>Wrinklewort</w:t>
      </w:r>
      <w:r>
        <w:rPr>
          <w:color w:val="4D4D4F"/>
          <w:sz w:val="16"/>
        </w:rPr>
        <w:tab/>
      </w:r>
      <w:r>
        <w:rPr>
          <w:rFonts w:ascii="Century Gothic"/>
          <w:i/>
          <w:color w:val="4D4D4F"/>
          <w:sz w:val="12"/>
        </w:rPr>
        <w:t>Source:</w:t>
      </w:r>
      <w:r>
        <w:rPr>
          <w:rFonts w:ascii="Century Gothic"/>
          <w:i/>
          <w:color w:val="4D4D4F"/>
          <w:spacing w:val="-22"/>
          <w:sz w:val="12"/>
        </w:rPr>
        <w:t xml:space="preserve"> </w:t>
      </w:r>
      <w:r>
        <w:rPr>
          <w:rFonts w:ascii="Century Gothic"/>
          <w:i/>
          <w:color w:val="4D4D4F"/>
          <w:sz w:val="12"/>
        </w:rPr>
        <w:t>DELWP</w:t>
      </w:r>
    </w:p>
    <w:p w14:paraId="5526A616" w14:textId="77777777" w:rsidR="00EF5B27" w:rsidRDefault="00EF5B27">
      <w:pPr>
        <w:pStyle w:val="BodyText"/>
        <w:spacing w:before="6"/>
        <w:rPr>
          <w:rFonts w:ascii="Century Gothic"/>
          <w:i/>
          <w:sz w:val="29"/>
        </w:rPr>
      </w:pPr>
    </w:p>
    <w:p w14:paraId="46BE73FB" w14:textId="77777777" w:rsidR="00EF5B27" w:rsidRDefault="00000000">
      <w:pPr>
        <w:pStyle w:val="Heading3"/>
      </w:pPr>
      <w:r>
        <w:rPr>
          <w:color w:val="F99F2A"/>
        </w:rPr>
        <w:t>DELWP’s conservation commitment</w:t>
      </w:r>
    </w:p>
    <w:p w14:paraId="137443CC" w14:textId="77777777" w:rsidR="00EF5B27" w:rsidRDefault="00000000">
      <w:pPr>
        <w:pStyle w:val="BodyText"/>
        <w:spacing w:before="221" w:line="254" w:lineRule="auto"/>
        <w:ind w:left="2608"/>
      </w:pPr>
      <w:r>
        <w:rPr>
          <w:color w:val="4D4D4F"/>
        </w:rPr>
        <w:t>DELWP published the following statements as conservation outcome for the Button Wrinklewort by notice in the Victorian Government Gazette:</w:t>
      </w:r>
    </w:p>
    <w:p w14:paraId="6E5993E4" w14:textId="77777777" w:rsidR="00EF5B27" w:rsidRDefault="00000000">
      <w:pPr>
        <w:pStyle w:val="BodyText"/>
        <w:spacing w:before="6"/>
        <w:rPr>
          <w:sz w:val="28"/>
        </w:rPr>
      </w:pPr>
      <w:r>
        <w:pict w14:anchorId="16E2E1BC">
          <v:shape id="_x0000_s2770" type="#_x0000_t202" style="position:absolute;margin-left:181.5pt;margin-top:19.6pt;width:356.8pt;height:70pt;z-index:251634176;mso-wrap-distance-left:0;mso-wrap-distance-right:0;mso-position-horizontal-relative:page" filled="f" strokecolor="#4d4d4f" strokeweight=".5pt">
            <v:textbox inset="0,0,0,0">
              <w:txbxContent>
                <w:p w14:paraId="72E285B9" w14:textId="77777777" w:rsidR="00EF5B27" w:rsidRDefault="00000000">
                  <w:pPr>
                    <w:spacing w:before="192" w:line="254" w:lineRule="auto"/>
                    <w:ind w:left="226" w:right="243"/>
                    <w:jc w:val="both"/>
                    <w:rPr>
                      <w:b/>
                      <w:i/>
                      <w:sz w:val="20"/>
                    </w:rPr>
                  </w:pPr>
                  <w:r>
                    <w:rPr>
                      <w:b/>
                      <w:i/>
                      <w:color w:val="4D4D4F"/>
                      <w:sz w:val="20"/>
                    </w:rPr>
                    <w:t>‘No</w:t>
                  </w:r>
                  <w:r>
                    <w:rPr>
                      <w:b/>
                      <w:i/>
                      <w:color w:val="4D4D4F"/>
                      <w:spacing w:val="-9"/>
                      <w:sz w:val="20"/>
                    </w:rPr>
                    <w:t xml:space="preserve"> </w:t>
                  </w:r>
                  <w:r>
                    <w:rPr>
                      <w:b/>
                      <w:i/>
                      <w:color w:val="4D4D4F"/>
                      <w:sz w:val="20"/>
                    </w:rPr>
                    <w:t>substantial</w:t>
                  </w:r>
                  <w:r>
                    <w:rPr>
                      <w:b/>
                      <w:i/>
                      <w:color w:val="4D4D4F"/>
                      <w:spacing w:val="-8"/>
                      <w:sz w:val="20"/>
                    </w:rPr>
                    <w:t xml:space="preserve"> </w:t>
                  </w:r>
                  <w:r>
                    <w:rPr>
                      <w:b/>
                      <w:i/>
                      <w:color w:val="4D4D4F"/>
                      <w:sz w:val="20"/>
                    </w:rPr>
                    <w:t>negative</w:t>
                  </w:r>
                  <w:r>
                    <w:rPr>
                      <w:b/>
                      <w:i/>
                      <w:color w:val="4D4D4F"/>
                      <w:spacing w:val="-9"/>
                      <w:sz w:val="20"/>
                    </w:rPr>
                    <w:t xml:space="preserve"> </w:t>
                  </w:r>
                  <w:r>
                    <w:rPr>
                      <w:b/>
                      <w:i/>
                      <w:color w:val="4D4D4F"/>
                      <w:sz w:val="20"/>
                    </w:rPr>
                    <w:t>change</w:t>
                  </w:r>
                  <w:r>
                    <w:rPr>
                      <w:b/>
                      <w:i/>
                      <w:color w:val="4D4D4F"/>
                      <w:spacing w:val="-8"/>
                      <w:sz w:val="20"/>
                    </w:rPr>
                    <w:t xml:space="preserve"> </w:t>
                  </w:r>
                  <w:r>
                    <w:rPr>
                      <w:b/>
                      <w:i/>
                      <w:color w:val="4D4D4F"/>
                      <w:sz w:val="20"/>
                    </w:rPr>
                    <w:t>to</w:t>
                  </w:r>
                  <w:r>
                    <w:rPr>
                      <w:b/>
                      <w:i/>
                      <w:color w:val="4D4D4F"/>
                      <w:spacing w:val="-9"/>
                      <w:sz w:val="20"/>
                    </w:rPr>
                    <w:t xml:space="preserve"> </w:t>
                  </w:r>
                  <w:r>
                    <w:rPr>
                      <w:b/>
                      <w:i/>
                      <w:color w:val="4D4D4F"/>
                      <w:sz w:val="20"/>
                    </w:rPr>
                    <w:t>the</w:t>
                  </w:r>
                  <w:r>
                    <w:rPr>
                      <w:b/>
                      <w:i/>
                      <w:color w:val="4D4D4F"/>
                      <w:spacing w:val="-8"/>
                      <w:sz w:val="20"/>
                    </w:rPr>
                    <w:t xml:space="preserve"> </w:t>
                  </w:r>
                  <w:r>
                    <w:rPr>
                      <w:b/>
                      <w:i/>
                      <w:color w:val="4D4D4F"/>
                      <w:sz w:val="20"/>
                    </w:rPr>
                    <w:t>known</w:t>
                  </w:r>
                  <w:r>
                    <w:rPr>
                      <w:b/>
                      <w:i/>
                      <w:color w:val="4D4D4F"/>
                      <w:spacing w:val="-9"/>
                      <w:sz w:val="20"/>
                    </w:rPr>
                    <w:t xml:space="preserve"> </w:t>
                  </w:r>
                  <w:r>
                    <w:rPr>
                      <w:b/>
                      <w:i/>
                      <w:color w:val="4D4D4F"/>
                      <w:sz w:val="20"/>
                    </w:rPr>
                    <w:t>population</w:t>
                  </w:r>
                  <w:r>
                    <w:rPr>
                      <w:b/>
                      <w:i/>
                      <w:color w:val="4D4D4F"/>
                      <w:spacing w:val="-8"/>
                      <w:sz w:val="20"/>
                    </w:rPr>
                    <w:t xml:space="preserve"> </w:t>
                  </w:r>
                  <w:r>
                    <w:rPr>
                      <w:b/>
                      <w:i/>
                      <w:color w:val="4D4D4F"/>
                      <w:sz w:val="20"/>
                    </w:rPr>
                    <w:t>of</w:t>
                  </w:r>
                  <w:r>
                    <w:rPr>
                      <w:b/>
                      <w:i/>
                      <w:color w:val="4D4D4F"/>
                      <w:spacing w:val="-9"/>
                      <w:sz w:val="20"/>
                    </w:rPr>
                    <w:t xml:space="preserve"> </w:t>
                  </w:r>
                  <w:r>
                    <w:rPr>
                      <w:b/>
                      <w:i/>
                      <w:color w:val="4D4D4F"/>
                      <w:sz w:val="20"/>
                    </w:rPr>
                    <w:t>Button</w:t>
                  </w:r>
                  <w:r>
                    <w:rPr>
                      <w:b/>
                      <w:i/>
                      <w:color w:val="4D4D4F"/>
                      <w:spacing w:val="-8"/>
                      <w:sz w:val="20"/>
                    </w:rPr>
                    <w:t xml:space="preserve"> </w:t>
                  </w:r>
                  <w:r>
                    <w:rPr>
                      <w:b/>
                      <w:i/>
                      <w:color w:val="4D4D4F"/>
                      <w:sz w:val="20"/>
                    </w:rPr>
                    <w:t xml:space="preserve">Wrinklewort within the UGB in conservation area </w:t>
                  </w:r>
                  <w:r>
                    <w:rPr>
                      <w:b/>
                      <w:i/>
                      <w:color w:val="4D4D4F"/>
                      <w:spacing w:val="-2"/>
                      <w:sz w:val="20"/>
                    </w:rPr>
                    <w:t xml:space="preserve">10. </w:t>
                  </w:r>
                  <w:r>
                    <w:rPr>
                      <w:b/>
                      <w:i/>
                      <w:color w:val="4D4D4F"/>
                      <w:sz w:val="20"/>
                    </w:rPr>
                    <w:t xml:space="preserve">No substantial negative change means </w:t>
                  </w:r>
                  <w:r>
                    <w:rPr>
                      <w:b/>
                      <w:i/>
                      <w:color w:val="4D4D4F"/>
                      <w:spacing w:val="-4"/>
                      <w:sz w:val="20"/>
                    </w:rPr>
                    <w:t xml:space="preserve">that </w:t>
                  </w:r>
                  <w:r>
                    <w:rPr>
                      <w:b/>
                      <w:i/>
                      <w:color w:val="4D4D4F"/>
                      <w:spacing w:val="-3"/>
                      <w:sz w:val="20"/>
                    </w:rPr>
                    <w:t xml:space="preserve">the </w:t>
                  </w:r>
                  <w:r>
                    <w:rPr>
                      <w:b/>
                      <w:i/>
                      <w:color w:val="4D4D4F"/>
                      <w:spacing w:val="-4"/>
                      <w:sz w:val="20"/>
                    </w:rPr>
                    <w:t xml:space="preserve">count </w:t>
                  </w:r>
                  <w:r>
                    <w:rPr>
                      <w:b/>
                      <w:i/>
                      <w:color w:val="4D4D4F"/>
                      <w:sz w:val="20"/>
                    </w:rPr>
                    <w:t xml:space="preserve">of </w:t>
                  </w:r>
                  <w:r>
                    <w:rPr>
                      <w:b/>
                      <w:i/>
                      <w:color w:val="4D4D4F"/>
                      <w:spacing w:val="-5"/>
                      <w:sz w:val="20"/>
                    </w:rPr>
                    <w:t xml:space="preserve">individuals </w:t>
                  </w:r>
                  <w:r>
                    <w:rPr>
                      <w:b/>
                      <w:i/>
                      <w:color w:val="4D4D4F"/>
                      <w:spacing w:val="-4"/>
                      <w:sz w:val="20"/>
                    </w:rPr>
                    <w:t xml:space="preserve">emergent </w:t>
                  </w:r>
                  <w:r>
                    <w:rPr>
                      <w:b/>
                      <w:i/>
                      <w:color w:val="4D4D4F"/>
                      <w:spacing w:val="-3"/>
                      <w:sz w:val="20"/>
                    </w:rPr>
                    <w:t xml:space="preserve">at </w:t>
                  </w:r>
                  <w:r>
                    <w:rPr>
                      <w:b/>
                      <w:i/>
                      <w:color w:val="4D4D4F"/>
                      <w:spacing w:val="-5"/>
                      <w:sz w:val="20"/>
                    </w:rPr>
                    <w:t xml:space="preserve">least </w:t>
                  </w:r>
                  <w:r>
                    <w:rPr>
                      <w:b/>
                      <w:i/>
                      <w:color w:val="4D4D4F"/>
                      <w:spacing w:val="-3"/>
                      <w:sz w:val="20"/>
                    </w:rPr>
                    <w:t xml:space="preserve">once </w:t>
                  </w:r>
                  <w:r>
                    <w:rPr>
                      <w:b/>
                      <w:i/>
                      <w:color w:val="4D4D4F"/>
                      <w:spacing w:val="-5"/>
                      <w:sz w:val="20"/>
                    </w:rPr>
                    <w:t xml:space="preserve">over </w:t>
                  </w:r>
                  <w:r>
                    <w:rPr>
                      <w:b/>
                      <w:i/>
                      <w:color w:val="4D4D4F"/>
                      <w:sz w:val="20"/>
                    </w:rPr>
                    <w:t xml:space="preserve">a </w:t>
                  </w:r>
                  <w:r>
                    <w:rPr>
                      <w:b/>
                      <w:i/>
                      <w:color w:val="4D4D4F"/>
                      <w:spacing w:val="-4"/>
                      <w:sz w:val="20"/>
                    </w:rPr>
                    <w:t xml:space="preserve">five-year period remains </w:t>
                  </w:r>
                  <w:r>
                    <w:rPr>
                      <w:b/>
                      <w:i/>
                      <w:color w:val="4D4D4F"/>
                      <w:sz w:val="20"/>
                    </w:rPr>
                    <w:t>above 90% of the</w:t>
                  </w:r>
                  <w:r>
                    <w:rPr>
                      <w:b/>
                      <w:i/>
                      <w:color w:val="4D4D4F"/>
                      <w:spacing w:val="15"/>
                      <w:sz w:val="20"/>
                    </w:rPr>
                    <w:t xml:space="preserve"> </w:t>
                  </w:r>
                  <w:r>
                    <w:rPr>
                      <w:b/>
                      <w:i/>
                      <w:color w:val="4D4D4F"/>
                      <w:spacing w:val="-3"/>
                      <w:sz w:val="20"/>
                    </w:rPr>
                    <w:t>baseline.’</w:t>
                  </w:r>
                </w:p>
              </w:txbxContent>
            </v:textbox>
            <w10:wrap type="topAndBottom" anchorx="page"/>
          </v:shape>
        </w:pict>
      </w:r>
    </w:p>
    <w:p w14:paraId="7D8B872A" w14:textId="77777777" w:rsidR="00EF5B27" w:rsidRDefault="00EF5B27">
      <w:pPr>
        <w:pStyle w:val="BodyText"/>
        <w:spacing w:before="8"/>
        <w:rPr>
          <w:sz w:val="23"/>
        </w:rPr>
      </w:pPr>
    </w:p>
    <w:p w14:paraId="6CCD417A" w14:textId="77777777" w:rsidR="00EF5B27" w:rsidRDefault="00000000">
      <w:pPr>
        <w:pStyle w:val="BodyText"/>
        <w:spacing w:before="101" w:line="254" w:lineRule="auto"/>
        <w:ind w:left="2608" w:right="803"/>
        <w:jc w:val="both"/>
      </w:pPr>
      <w:r>
        <w:rPr>
          <w:color w:val="4D4D4F"/>
        </w:rPr>
        <w:t>DELWP’s MSA MRF also summarises the conservation outcome for the Button Wrinklewort as a single goal statement: ‘no substantial negative change to the population of Button Wrinklewort within the MSA program area’.</w:t>
      </w:r>
    </w:p>
    <w:p w14:paraId="1955E2D4" w14:textId="77777777" w:rsidR="00EF5B27" w:rsidRDefault="00000000">
      <w:pPr>
        <w:pStyle w:val="BodyText"/>
        <w:spacing w:before="9"/>
        <w:rPr>
          <w:sz w:val="23"/>
        </w:rPr>
      </w:pPr>
      <w:r>
        <w:pict w14:anchorId="18FAA2FF">
          <v:line id="_x0000_s2769" style="position:absolute;z-index:251635200;mso-wrap-distance-left:0;mso-wrap-distance-right:0;mso-position-horizontal-relative:page" from="181.4pt,16.75pt" to="538.6pt,16.75pt" strokecolor="#4d4d4f" strokeweight=".5pt">
            <w10:wrap type="topAndBottom" anchorx="page"/>
          </v:line>
        </w:pict>
      </w:r>
    </w:p>
    <w:p w14:paraId="0EEB9C16" w14:textId="77777777" w:rsidR="00EF5B27" w:rsidRDefault="00000000">
      <w:pPr>
        <w:pStyle w:val="ListParagraph"/>
        <w:numPr>
          <w:ilvl w:val="0"/>
          <w:numId w:val="21"/>
        </w:numPr>
        <w:tabs>
          <w:tab w:val="left" w:pos="2836"/>
        </w:tabs>
        <w:spacing w:before="83"/>
        <w:rPr>
          <w:sz w:val="12"/>
        </w:rPr>
      </w:pPr>
      <w:r>
        <w:rPr>
          <w:color w:val="4D4D4F"/>
          <w:sz w:val="12"/>
        </w:rPr>
        <w:t>Office</w:t>
      </w:r>
      <w:r>
        <w:rPr>
          <w:color w:val="4D4D4F"/>
          <w:spacing w:val="-6"/>
          <w:sz w:val="12"/>
        </w:rPr>
        <w:t xml:space="preserve"> </w:t>
      </w:r>
      <w:r>
        <w:rPr>
          <w:color w:val="4D4D4F"/>
          <w:sz w:val="12"/>
        </w:rPr>
        <w:t>of</w:t>
      </w:r>
      <w:r>
        <w:rPr>
          <w:color w:val="4D4D4F"/>
          <w:spacing w:val="-7"/>
          <w:sz w:val="12"/>
        </w:rPr>
        <w:t xml:space="preserve"> </w:t>
      </w:r>
      <w:r>
        <w:rPr>
          <w:color w:val="4D4D4F"/>
          <w:sz w:val="12"/>
        </w:rPr>
        <w:t>Environment</w:t>
      </w:r>
      <w:r>
        <w:rPr>
          <w:color w:val="4D4D4F"/>
          <w:spacing w:val="-6"/>
          <w:sz w:val="12"/>
        </w:rPr>
        <w:t xml:space="preserve"> </w:t>
      </w:r>
      <w:r>
        <w:rPr>
          <w:color w:val="4D4D4F"/>
          <w:sz w:val="12"/>
        </w:rPr>
        <w:t>and</w:t>
      </w:r>
      <w:r>
        <w:rPr>
          <w:color w:val="4D4D4F"/>
          <w:spacing w:val="-6"/>
          <w:sz w:val="12"/>
        </w:rPr>
        <w:t xml:space="preserve"> </w:t>
      </w:r>
      <w:r>
        <w:rPr>
          <w:color w:val="4D4D4F"/>
          <w:sz w:val="12"/>
        </w:rPr>
        <w:t>Heritage</w:t>
      </w:r>
      <w:r>
        <w:rPr>
          <w:color w:val="4D4D4F"/>
          <w:spacing w:val="-6"/>
          <w:sz w:val="12"/>
        </w:rPr>
        <w:t xml:space="preserve"> </w:t>
      </w:r>
      <w:r>
        <w:rPr>
          <w:color w:val="4D4D4F"/>
          <w:sz w:val="12"/>
        </w:rPr>
        <w:t>NSW</w:t>
      </w:r>
      <w:r>
        <w:rPr>
          <w:color w:val="4D4D4F"/>
          <w:spacing w:val="-6"/>
          <w:sz w:val="12"/>
        </w:rPr>
        <w:t xml:space="preserve"> </w:t>
      </w:r>
      <w:r>
        <w:rPr>
          <w:color w:val="4D4D4F"/>
          <w:spacing w:val="-3"/>
          <w:sz w:val="12"/>
        </w:rPr>
        <w:t>(OEH)</w:t>
      </w:r>
      <w:r>
        <w:rPr>
          <w:color w:val="4D4D4F"/>
          <w:spacing w:val="-6"/>
          <w:sz w:val="12"/>
        </w:rPr>
        <w:t xml:space="preserve"> </w:t>
      </w:r>
      <w:r>
        <w:rPr>
          <w:color w:val="4D4D4F"/>
          <w:spacing w:val="-3"/>
          <w:sz w:val="12"/>
        </w:rPr>
        <w:t>2012,</w:t>
      </w:r>
      <w:r>
        <w:rPr>
          <w:color w:val="4D4D4F"/>
          <w:spacing w:val="-6"/>
          <w:sz w:val="12"/>
        </w:rPr>
        <w:t xml:space="preserve"> </w:t>
      </w:r>
      <w:r>
        <w:rPr>
          <w:color w:val="4D4D4F"/>
          <w:sz w:val="12"/>
        </w:rPr>
        <w:t>‘National</w:t>
      </w:r>
      <w:r>
        <w:rPr>
          <w:color w:val="4D4D4F"/>
          <w:spacing w:val="-6"/>
          <w:sz w:val="12"/>
        </w:rPr>
        <w:t xml:space="preserve"> </w:t>
      </w:r>
      <w:r>
        <w:rPr>
          <w:color w:val="4D4D4F"/>
          <w:sz w:val="12"/>
        </w:rPr>
        <w:t>Recovery</w:t>
      </w:r>
      <w:r>
        <w:rPr>
          <w:color w:val="4D4D4F"/>
          <w:spacing w:val="-6"/>
          <w:sz w:val="12"/>
        </w:rPr>
        <w:t xml:space="preserve"> </w:t>
      </w:r>
      <w:r>
        <w:rPr>
          <w:color w:val="4D4D4F"/>
          <w:sz w:val="12"/>
        </w:rPr>
        <w:t>Plan</w:t>
      </w:r>
      <w:r>
        <w:rPr>
          <w:color w:val="4D4D4F"/>
          <w:spacing w:val="-6"/>
          <w:sz w:val="12"/>
        </w:rPr>
        <w:t xml:space="preserve"> </w:t>
      </w:r>
      <w:r>
        <w:rPr>
          <w:color w:val="4D4D4F"/>
          <w:sz w:val="12"/>
        </w:rPr>
        <w:t>for</w:t>
      </w:r>
      <w:r>
        <w:rPr>
          <w:color w:val="4D4D4F"/>
          <w:spacing w:val="-6"/>
          <w:sz w:val="12"/>
        </w:rPr>
        <w:t xml:space="preserve"> </w:t>
      </w:r>
      <w:r>
        <w:rPr>
          <w:color w:val="4D4D4F"/>
          <w:sz w:val="12"/>
        </w:rPr>
        <w:t>Button</w:t>
      </w:r>
      <w:r>
        <w:rPr>
          <w:color w:val="4D4D4F"/>
          <w:spacing w:val="-6"/>
          <w:sz w:val="12"/>
        </w:rPr>
        <w:t xml:space="preserve"> </w:t>
      </w:r>
      <w:r>
        <w:rPr>
          <w:color w:val="4D4D4F"/>
          <w:sz w:val="12"/>
        </w:rPr>
        <w:t>Wrinklewort</w:t>
      </w:r>
      <w:r>
        <w:rPr>
          <w:color w:val="4D4D4F"/>
          <w:spacing w:val="-6"/>
          <w:sz w:val="12"/>
        </w:rPr>
        <w:t xml:space="preserve"> </w:t>
      </w:r>
      <w:r>
        <w:rPr>
          <w:rFonts w:ascii="Arial Narrow" w:hAnsi="Arial Narrow"/>
          <w:i/>
          <w:color w:val="4D4D4F"/>
          <w:spacing w:val="-4"/>
          <w:sz w:val="12"/>
        </w:rPr>
        <w:t>Rutidosis</w:t>
      </w:r>
      <w:r>
        <w:rPr>
          <w:rFonts w:ascii="Arial Narrow" w:hAnsi="Arial Narrow"/>
          <w:i/>
          <w:color w:val="4D4D4F"/>
          <w:spacing w:val="-6"/>
          <w:sz w:val="12"/>
        </w:rPr>
        <w:t xml:space="preserve"> </w:t>
      </w:r>
      <w:r>
        <w:rPr>
          <w:rFonts w:ascii="Arial Narrow" w:hAnsi="Arial Narrow"/>
          <w:i/>
          <w:color w:val="4D4D4F"/>
          <w:spacing w:val="-4"/>
          <w:sz w:val="12"/>
        </w:rPr>
        <w:t>leptorrhynchoides</w:t>
      </w:r>
      <w:r>
        <w:rPr>
          <w:color w:val="4D4D4F"/>
          <w:spacing w:val="-4"/>
          <w:sz w:val="12"/>
        </w:rPr>
        <w:t>,’</w:t>
      </w:r>
      <w:r>
        <w:rPr>
          <w:color w:val="4D4D4F"/>
          <w:spacing w:val="-6"/>
          <w:sz w:val="12"/>
        </w:rPr>
        <w:t xml:space="preserve"> </w:t>
      </w:r>
      <w:r>
        <w:rPr>
          <w:color w:val="4D4D4F"/>
          <w:sz w:val="12"/>
        </w:rPr>
        <w:t>Hurstville,</w:t>
      </w:r>
      <w:r>
        <w:rPr>
          <w:color w:val="4D4D4F"/>
          <w:spacing w:val="-6"/>
          <w:sz w:val="12"/>
        </w:rPr>
        <w:t xml:space="preserve"> </w:t>
      </w:r>
      <w:r>
        <w:rPr>
          <w:color w:val="4D4D4F"/>
          <w:sz w:val="12"/>
        </w:rPr>
        <w:t>NSW.</w:t>
      </w:r>
    </w:p>
    <w:p w14:paraId="7FCFACE3" w14:textId="77777777" w:rsidR="00EF5B27" w:rsidRDefault="00EF5B27">
      <w:pPr>
        <w:rPr>
          <w:sz w:val="12"/>
        </w:rPr>
        <w:sectPr w:rsidR="00EF5B27">
          <w:pgSz w:w="11910" w:h="16840"/>
          <w:pgMar w:top="1080" w:right="1020" w:bottom="860" w:left="1020" w:header="537" w:footer="678" w:gutter="0"/>
          <w:cols w:space="720"/>
        </w:sectPr>
      </w:pPr>
    </w:p>
    <w:p w14:paraId="5D2889CF" w14:textId="77777777" w:rsidR="00EF5B27" w:rsidRDefault="00000000">
      <w:pPr>
        <w:pStyle w:val="BodyText"/>
      </w:pPr>
      <w:r>
        <w:lastRenderedPageBreak/>
        <w:pict w14:anchorId="624BBEDE">
          <v:group id="_x0000_s2761" style="position:absolute;margin-left:587.05pt;margin-top:183.4pt;width:8.25pt;height:153.1pt;z-index:251706880;mso-position-horizontal-relative:page;mso-position-vertical-relative:page" coordorigin="11741,3668" coordsize="165,3062">
            <v:shape id="_x0000_s2768" style="position:absolute;left:11741;top:3668;width:165;height:561" coordorigin="11741,3668" coordsize="165,561" path="m11906,3668r-165,l11741,4228r165,-18l11906,3668xe" fillcolor="#00aed9" stroked="f">
              <v:path arrowok="t"/>
            </v:shape>
            <v:shape id="_x0000_s2767" style="position:absolute;left:11741;top:4118;width:165;height:425" coordorigin="11741,4118" coordsize="165,425" path="m11906,4118r-165,14l11741,4531r165,12l11906,4118xe" fillcolor="#047ebc" stroked="f">
              <v:path arrowok="t"/>
            </v:shape>
            <v:shape id="_x0000_s2766" type="#_x0000_t75" style="position:absolute;left:11741;top:4355;width:165;height:587">
              <v:imagedata r:id="rId42" o:title=""/>
            </v:shape>
            <v:shape id="_x0000_s2765" style="position:absolute;left:11741;top:5343;width:165;height:536" coordorigin="11741,5343" coordsize="165,536" path="m11741,5343r,535l11906,5872r,-525l11741,5343xe" fillcolor="#f36a2e" stroked="f">
              <v:path arrowok="t"/>
            </v:shape>
            <v:shape id="_x0000_s2764" style="position:absolute;left:11741;top:4925;width:165;height:501" coordorigin="11741,4926" coordsize="165,501" path="m11741,4926r,500l11906,5426r,-485l11741,4926xe" fillcolor="#49783f" stroked="f">
              <v:path arrowok="t"/>
            </v:shape>
            <v:shape id="_x0000_s2763" style="position:absolute;left:11741;top:5781;width:165;height:268" coordorigin="11741,5782" coordsize="165,268" path="m11906,5782r-165,8l11741,6039r165,10l11906,5782xe" fillcolor="#f99f2a" stroked="f">
              <v:path arrowok="t"/>
            </v:shape>
            <v:shape id="_x0000_s2762" style="position:absolute;left:11741;top:6023;width:165;height:707" coordorigin="11741,6023" coordsize="165,707" path="m11741,6023r,706l11906,6729r,-690l11741,6023xe" fillcolor="#ef412c" stroked="f">
              <v:path arrowok="t"/>
            </v:shape>
            <w10:wrap anchorx="page" anchory="page"/>
          </v:group>
        </w:pict>
      </w:r>
    </w:p>
    <w:p w14:paraId="773BA216" w14:textId="77777777" w:rsidR="00EF5B27" w:rsidRDefault="00EF5B27">
      <w:pPr>
        <w:pStyle w:val="BodyText"/>
      </w:pPr>
    </w:p>
    <w:p w14:paraId="45C628AB" w14:textId="77777777" w:rsidR="00EF5B27" w:rsidRDefault="00EF5B27">
      <w:pPr>
        <w:pStyle w:val="BodyText"/>
      </w:pPr>
    </w:p>
    <w:p w14:paraId="5E12F991" w14:textId="77777777" w:rsidR="00EF5B27" w:rsidRDefault="00EF5B27">
      <w:pPr>
        <w:pStyle w:val="BodyText"/>
        <w:spacing w:before="12"/>
        <w:rPr>
          <w:sz w:val="22"/>
        </w:rPr>
      </w:pPr>
    </w:p>
    <w:p w14:paraId="18FD1A87" w14:textId="77777777" w:rsidR="00EF5B27" w:rsidRDefault="00000000">
      <w:pPr>
        <w:pStyle w:val="Heading3"/>
        <w:spacing w:before="115"/>
      </w:pPr>
      <w:r>
        <w:rPr>
          <w:color w:val="F99F2A"/>
          <w:w w:val="110"/>
        </w:rPr>
        <w:t>KPIs assessed</w:t>
      </w:r>
    </w:p>
    <w:p w14:paraId="40EF6145" w14:textId="77777777" w:rsidR="00EF5B27" w:rsidRDefault="00000000">
      <w:pPr>
        <w:pStyle w:val="BodyText"/>
        <w:spacing w:before="221"/>
        <w:ind w:left="2608"/>
      </w:pPr>
      <w:r>
        <w:rPr>
          <w:color w:val="4D4D4F"/>
          <w:w w:val="105"/>
        </w:rPr>
        <w:t>DELWP measures progress towards this goal using a single KPI:</w:t>
      </w:r>
    </w:p>
    <w:p w14:paraId="3A735EB2" w14:textId="77777777" w:rsidR="00EF5B27" w:rsidRDefault="00000000">
      <w:pPr>
        <w:pStyle w:val="BodyText"/>
        <w:spacing w:before="130" w:line="254" w:lineRule="auto"/>
        <w:ind w:left="2778" w:right="151" w:hanging="170"/>
      </w:pPr>
      <w:r>
        <w:rPr>
          <w:color w:val="4D4D4F"/>
        </w:rPr>
        <w:t>1. The five-year mean population count must remain above a baseline set by the first five years of counts.</w:t>
      </w:r>
    </w:p>
    <w:p w14:paraId="7704A934" w14:textId="77777777" w:rsidR="00EF5B27" w:rsidRDefault="00000000">
      <w:pPr>
        <w:pStyle w:val="BodyText"/>
        <w:spacing w:before="115" w:line="254" w:lineRule="auto"/>
        <w:ind w:left="2608" w:right="582"/>
      </w:pPr>
      <w:bookmarkStart w:id="101" w:name="_heading=h.2eclud0"/>
      <w:bookmarkEnd w:id="101"/>
      <w:r>
        <w:rPr>
          <w:color w:val="4D4D4F"/>
        </w:rPr>
        <w:t>The baseline for this species is the mean population count over the first five years of monitoring. This was set in 2019, at 617. Given this KPI is assessed using a total</w:t>
      </w:r>
    </w:p>
    <w:p w14:paraId="08DC283B" w14:textId="77777777" w:rsidR="00EF5B27" w:rsidRDefault="00000000">
      <w:pPr>
        <w:pStyle w:val="BodyText"/>
        <w:spacing w:before="3" w:line="254" w:lineRule="auto"/>
        <w:ind w:left="2608" w:right="279"/>
        <w:jc w:val="both"/>
      </w:pPr>
      <w:r>
        <w:rPr>
          <w:color w:val="4D4D4F"/>
        </w:rPr>
        <w:t>population count, no uncertainty is quantified, meaning that the actual count in every year must remain above the baseline for the target to be met (not the 95% CI as with many other KPIs).</w:t>
      </w:r>
    </w:p>
    <w:p w14:paraId="01000820" w14:textId="77777777" w:rsidR="00EF5B27" w:rsidRDefault="00000000">
      <w:pPr>
        <w:pStyle w:val="BodyText"/>
        <w:spacing w:before="117" w:line="254" w:lineRule="auto"/>
        <w:ind w:left="2608" w:right="221"/>
      </w:pPr>
      <w:r>
        <w:rPr>
          <w:color w:val="4D4D4F"/>
        </w:rPr>
        <w:t>This KPI will be assessed using a continuous improvement approach, where any increase over the baseline in a five-year reporting period will lead to the calculation of a new baseline for subsequent reporting</w:t>
      </w:r>
      <w:r>
        <w:rPr>
          <w:color w:val="4D4D4F"/>
          <w:spacing w:val="26"/>
        </w:rPr>
        <w:t xml:space="preserve"> </w:t>
      </w:r>
      <w:r>
        <w:rPr>
          <w:color w:val="4D4D4F"/>
        </w:rPr>
        <w:t>periods.</w:t>
      </w:r>
    </w:p>
    <w:p w14:paraId="794458F0" w14:textId="77777777" w:rsidR="00EF5B27" w:rsidRDefault="00EF5B27">
      <w:pPr>
        <w:pStyle w:val="BodyText"/>
      </w:pPr>
    </w:p>
    <w:p w14:paraId="4E14DA8F" w14:textId="77777777" w:rsidR="00EF5B27" w:rsidRDefault="00EF5B27">
      <w:pPr>
        <w:pStyle w:val="BodyText"/>
        <w:spacing w:before="9"/>
        <w:rPr>
          <w:sz w:val="11"/>
        </w:rPr>
      </w:pPr>
    </w:p>
    <w:tbl>
      <w:tblPr>
        <w:tblW w:w="0" w:type="auto"/>
        <w:tblInd w:w="261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152"/>
        <w:gridCol w:w="4987"/>
      </w:tblGrid>
      <w:tr w:rsidR="00EF5B27" w14:paraId="66CB0D3C" w14:textId="77777777">
        <w:trPr>
          <w:trHeight w:val="459"/>
        </w:trPr>
        <w:tc>
          <w:tcPr>
            <w:tcW w:w="2152" w:type="dxa"/>
            <w:shd w:val="clear" w:color="auto" w:fill="FECC91"/>
          </w:tcPr>
          <w:p w14:paraId="11119092" w14:textId="77777777" w:rsidR="00EF5B27" w:rsidRDefault="00000000">
            <w:pPr>
              <w:pStyle w:val="TableParagraph"/>
              <w:spacing w:before="140"/>
              <w:ind w:left="113"/>
              <w:rPr>
                <w:b/>
                <w:sz w:val="16"/>
              </w:rPr>
            </w:pPr>
            <w:r>
              <w:rPr>
                <w:b/>
                <w:w w:val="105"/>
                <w:sz w:val="16"/>
              </w:rPr>
              <w:t>MNES</w:t>
            </w:r>
          </w:p>
        </w:tc>
        <w:tc>
          <w:tcPr>
            <w:tcW w:w="4987" w:type="dxa"/>
          </w:tcPr>
          <w:p w14:paraId="69E3E4BD" w14:textId="77777777" w:rsidR="00EF5B27" w:rsidRDefault="00000000">
            <w:pPr>
              <w:pStyle w:val="TableParagraph"/>
              <w:spacing w:before="140"/>
              <w:ind w:left="113"/>
              <w:rPr>
                <w:sz w:val="16"/>
              </w:rPr>
            </w:pPr>
            <w:r>
              <w:rPr>
                <w:color w:val="4D4D4F"/>
                <w:sz w:val="16"/>
              </w:rPr>
              <w:t>11. Button Wrinklewort</w:t>
            </w:r>
          </w:p>
        </w:tc>
      </w:tr>
      <w:tr w:rsidR="00EF5B27" w14:paraId="70123BED" w14:textId="77777777">
        <w:trPr>
          <w:trHeight w:val="859"/>
        </w:trPr>
        <w:tc>
          <w:tcPr>
            <w:tcW w:w="2152" w:type="dxa"/>
            <w:shd w:val="clear" w:color="auto" w:fill="FECC91"/>
          </w:tcPr>
          <w:p w14:paraId="16C7AA30" w14:textId="77777777" w:rsidR="00EF5B27" w:rsidRDefault="00000000">
            <w:pPr>
              <w:pStyle w:val="TableParagraph"/>
              <w:spacing w:before="140" w:line="244" w:lineRule="auto"/>
              <w:ind w:left="113" w:right="279"/>
              <w:rPr>
                <w:b/>
                <w:sz w:val="16"/>
              </w:rPr>
            </w:pPr>
            <w:r>
              <w:rPr>
                <w:b/>
                <w:sz w:val="16"/>
              </w:rPr>
              <w:t>Commonwealth approved 2015 MSA MRF single outcome statement</w:t>
            </w:r>
          </w:p>
        </w:tc>
        <w:tc>
          <w:tcPr>
            <w:tcW w:w="4987" w:type="dxa"/>
          </w:tcPr>
          <w:p w14:paraId="04D8C2CA" w14:textId="77777777" w:rsidR="00EF5B27" w:rsidRDefault="00EF5B27">
            <w:pPr>
              <w:pStyle w:val="TableParagraph"/>
              <w:spacing w:before="10"/>
              <w:rPr>
                <w:sz w:val="27"/>
              </w:rPr>
            </w:pPr>
          </w:p>
          <w:p w14:paraId="0AB58093" w14:textId="77777777" w:rsidR="00EF5B27" w:rsidRDefault="00000000">
            <w:pPr>
              <w:pStyle w:val="TableParagraph"/>
              <w:ind w:left="113"/>
              <w:rPr>
                <w:sz w:val="16"/>
              </w:rPr>
            </w:pPr>
            <w:r>
              <w:rPr>
                <w:color w:val="4D4D4F"/>
                <w:sz w:val="16"/>
              </w:rPr>
              <w:t>No substantial negative change to populations of Button Wrinklewort.</w:t>
            </w:r>
          </w:p>
        </w:tc>
      </w:tr>
      <w:tr w:rsidR="00EF5B27" w14:paraId="3652AE8E" w14:textId="77777777">
        <w:trPr>
          <w:trHeight w:val="859"/>
        </w:trPr>
        <w:tc>
          <w:tcPr>
            <w:tcW w:w="2152" w:type="dxa"/>
            <w:shd w:val="clear" w:color="auto" w:fill="FECC91"/>
          </w:tcPr>
          <w:p w14:paraId="0691D99A" w14:textId="77777777" w:rsidR="00EF5B27" w:rsidRDefault="00000000">
            <w:pPr>
              <w:pStyle w:val="TableParagraph"/>
              <w:spacing w:before="140" w:line="244" w:lineRule="auto"/>
              <w:ind w:left="113"/>
              <w:rPr>
                <w:b/>
                <w:sz w:val="16"/>
              </w:rPr>
            </w:pPr>
            <w:r>
              <w:rPr>
                <w:b/>
                <w:sz w:val="16"/>
              </w:rPr>
              <w:t>2014–2020 Ecological Outcomes Report single outcome statement</w:t>
            </w:r>
          </w:p>
        </w:tc>
        <w:tc>
          <w:tcPr>
            <w:tcW w:w="4987" w:type="dxa"/>
          </w:tcPr>
          <w:p w14:paraId="2455AF01" w14:textId="77777777" w:rsidR="00EF5B27" w:rsidRDefault="00EF5B27">
            <w:pPr>
              <w:pStyle w:val="TableParagraph"/>
              <w:spacing w:before="10"/>
              <w:rPr>
                <w:sz w:val="27"/>
              </w:rPr>
            </w:pPr>
          </w:p>
          <w:p w14:paraId="06278CD6" w14:textId="77777777" w:rsidR="00EF5B27" w:rsidRDefault="00000000">
            <w:pPr>
              <w:pStyle w:val="TableParagraph"/>
              <w:ind w:left="113"/>
              <w:rPr>
                <w:sz w:val="16"/>
              </w:rPr>
            </w:pPr>
            <w:r>
              <w:rPr>
                <w:color w:val="4D4D4F"/>
                <w:sz w:val="16"/>
              </w:rPr>
              <w:t>No substantial negative change to populations of Button Wrinklewort.</w:t>
            </w:r>
          </w:p>
        </w:tc>
      </w:tr>
      <w:tr w:rsidR="00EF5B27" w14:paraId="796ADB31" w14:textId="77777777">
        <w:trPr>
          <w:trHeight w:val="1200"/>
        </w:trPr>
        <w:tc>
          <w:tcPr>
            <w:tcW w:w="2152" w:type="dxa"/>
            <w:shd w:val="clear" w:color="auto" w:fill="FECC91"/>
          </w:tcPr>
          <w:p w14:paraId="1CFF5C00" w14:textId="77777777" w:rsidR="00EF5B27" w:rsidRDefault="00EF5B27">
            <w:pPr>
              <w:pStyle w:val="TableParagraph"/>
              <w:spacing w:before="2"/>
              <w:rPr>
                <w:sz w:val="17"/>
              </w:rPr>
            </w:pPr>
          </w:p>
          <w:p w14:paraId="0B791A62" w14:textId="77777777" w:rsidR="00EF5B27" w:rsidRDefault="00000000">
            <w:pPr>
              <w:pStyle w:val="TableParagraph"/>
              <w:spacing w:line="244" w:lineRule="auto"/>
              <w:ind w:left="113"/>
              <w:rPr>
                <w:b/>
                <w:sz w:val="16"/>
              </w:rPr>
            </w:pPr>
            <w:r>
              <w:rPr>
                <w:b/>
                <w:sz w:val="16"/>
              </w:rPr>
              <w:t>Conservation Outcomes published in the Victorian Government Gazette – Issue G4, 27 January 2022</w:t>
            </w:r>
          </w:p>
        </w:tc>
        <w:tc>
          <w:tcPr>
            <w:tcW w:w="4987" w:type="dxa"/>
          </w:tcPr>
          <w:p w14:paraId="3FF5E5C9" w14:textId="77777777" w:rsidR="00EF5B27" w:rsidRDefault="00EF5B27">
            <w:pPr>
              <w:pStyle w:val="TableParagraph"/>
              <w:spacing w:before="9"/>
              <w:rPr>
                <w:sz w:val="14"/>
              </w:rPr>
            </w:pPr>
          </w:p>
          <w:p w14:paraId="577D3519" w14:textId="77777777" w:rsidR="00EF5B27" w:rsidRDefault="00000000">
            <w:pPr>
              <w:pStyle w:val="TableParagraph"/>
              <w:spacing w:line="271" w:lineRule="auto"/>
              <w:ind w:left="113"/>
              <w:rPr>
                <w:sz w:val="16"/>
              </w:rPr>
            </w:pPr>
            <w:r>
              <w:rPr>
                <w:color w:val="4D4D4F"/>
                <w:sz w:val="16"/>
              </w:rPr>
              <w:t>No substantial negative change to the known population of Button Wrinklewort within the UGB in conservation area 10. No substantial negative change means that the count of individuals emergent at least once over a five-year period remains above 90% of the baseline.</w:t>
            </w:r>
          </w:p>
        </w:tc>
      </w:tr>
    </w:tbl>
    <w:p w14:paraId="1367E236" w14:textId="77777777" w:rsidR="00EF5B27" w:rsidRDefault="00EF5B27">
      <w:pPr>
        <w:pStyle w:val="BodyText"/>
        <w:spacing w:before="2"/>
        <w:rPr>
          <w:sz w:val="33"/>
        </w:rPr>
      </w:pPr>
    </w:p>
    <w:p w14:paraId="135DEB64" w14:textId="77777777" w:rsidR="00EF5B27" w:rsidRDefault="00000000">
      <w:pPr>
        <w:pStyle w:val="Heading3"/>
      </w:pPr>
      <w:r>
        <w:rPr>
          <w:color w:val="F99F2A"/>
        </w:rPr>
        <w:t>Monitored areas</w:t>
      </w:r>
    </w:p>
    <w:p w14:paraId="151C1088" w14:textId="77777777" w:rsidR="00EF5B27" w:rsidRDefault="00000000">
      <w:pPr>
        <w:pStyle w:val="BodyText"/>
        <w:spacing w:before="221" w:line="254" w:lineRule="auto"/>
        <w:ind w:left="2608" w:right="308"/>
      </w:pPr>
      <w:r>
        <w:rPr>
          <w:color w:val="4D4D4F"/>
        </w:rPr>
        <w:t>Button Wrinklewort occurs naturally at only one location within the MSA area, the Truganina Cemetery Grassland (Conservation Area 10). Here, the entire population is contained within an area measuring 90 x 70 m. This site has been monitored under the MSA since 2015, however no monitoring took place in 2020 due to COVID-19 restrictions.</w:t>
      </w:r>
    </w:p>
    <w:p w14:paraId="70B2E388" w14:textId="77777777" w:rsidR="00EF5B27" w:rsidRDefault="00000000">
      <w:pPr>
        <w:pStyle w:val="BodyText"/>
        <w:spacing w:before="120" w:line="254" w:lineRule="auto"/>
        <w:ind w:left="2608" w:right="322"/>
      </w:pPr>
      <w:bookmarkStart w:id="102" w:name="_heading=h.3dhjn8m"/>
      <w:bookmarkEnd w:id="102"/>
      <w:r>
        <w:rPr>
          <w:color w:val="4D4D4F"/>
        </w:rPr>
        <w:t>Button Wrinklewort has also been planted at two further locations, in 2020. These are currently being monitored and – in line with the MRF – will be assessed for their contribution to the KPI when they have survived five</w:t>
      </w:r>
      <w:r>
        <w:rPr>
          <w:color w:val="4D4D4F"/>
          <w:spacing w:val="40"/>
        </w:rPr>
        <w:t xml:space="preserve"> </w:t>
      </w:r>
      <w:r>
        <w:rPr>
          <w:color w:val="4D4D4F"/>
        </w:rPr>
        <w:t>years.</w:t>
      </w:r>
    </w:p>
    <w:p w14:paraId="19CFC61B" w14:textId="77777777" w:rsidR="00EF5B27" w:rsidRDefault="00EF5B27">
      <w:pPr>
        <w:spacing w:line="254" w:lineRule="auto"/>
        <w:sectPr w:rsidR="00EF5B27">
          <w:pgSz w:w="11910" w:h="16840"/>
          <w:pgMar w:top="1080" w:right="1020" w:bottom="860" w:left="1020" w:header="537" w:footer="678" w:gutter="0"/>
          <w:cols w:space="720"/>
        </w:sectPr>
      </w:pPr>
    </w:p>
    <w:p w14:paraId="52EFAA49" w14:textId="77777777" w:rsidR="00EF5B27" w:rsidRDefault="00000000">
      <w:pPr>
        <w:pStyle w:val="BodyText"/>
      </w:pPr>
      <w:r>
        <w:lastRenderedPageBreak/>
        <w:pict w14:anchorId="0EE62743">
          <v:group id="_x0000_s2753" style="position:absolute;margin-left:587.05pt;margin-top:183.4pt;width:8.25pt;height:153.1pt;z-index:251710976;mso-position-horizontal-relative:page;mso-position-vertical-relative:page" coordorigin="11741,3668" coordsize="165,3062">
            <v:shape id="_x0000_s2760" style="position:absolute;left:11741;top:3668;width:165;height:561" coordorigin="11741,3668" coordsize="165,561" path="m11906,3668r-165,l11741,4228r165,-18l11906,3668xe" fillcolor="#00aed9" stroked="f">
              <v:path arrowok="t"/>
            </v:shape>
            <v:shape id="_x0000_s2759" style="position:absolute;left:11741;top:4118;width:165;height:425" coordorigin="11741,4118" coordsize="165,425" path="m11906,4118r-165,14l11741,4531r165,12l11906,4118xe" fillcolor="#047ebc" stroked="f">
              <v:path arrowok="t"/>
            </v:shape>
            <v:shape id="_x0000_s2758" type="#_x0000_t75" style="position:absolute;left:11741;top:4355;width:165;height:587">
              <v:imagedata r:id="rId42" o:title=""/>
            </v:shape>
            <v:shape id="_x0000_s2757" style="position:absolute;left:11741;top:5343;width:165;height:536" coordorigin="11741,5343" coordsize="165,536" path="m11741,5343r,535l11906,5872r,-525l11741,5343xe" fillcolor="#f36a2e" stroked="f">
              <v:path arrowok="t"/>
            </v:shape>
            <v:shape id="_x0000_s2756" style="position:absolute;left:11741;top:4925;width:165;height:501" coordorigin="11741,4926" coordsize="165,501" path="m11741,4926r,500l11906,5426r,-485l11741,4926xe" fillcolor="#49783f" stroked="f">
              <v:path arrowok="t"/>
            </v:shape>
            <v:shape id="_x0000_s2755" style="position:absolute;left:11741;top:5781;width:165;height:268" coordorigin="11741,5782" coordsize="165,268" path="m11906,5782r-165,8l11741,6039r165,10l11906,5782xe" fillcolor="#f99f2a" stroked="f">
              <v:path arrowok="t"/>
            </v:shape>
            <v:shape id="_x0000_s2754" style="position:absolute;left:11741;top:6023;width:165;height:707" coordorigin="11741,6023" coordsize="165,707" path="m11741,6023r,706l11906,6729r,-690l11741,6023xe" fillcolor="#ef412c" stroked="f">
              <v:path arrowok="t"/>
            </v:shape>
            <w10:wrap anchorx="page" anchory="page"/>
          </v:group>
        </w:pict>
      </w:r>
    </w:p>
    <w:p w14:paraId="4F64A05D" w14:textId="77777777" w:rsidR="00EF5B27" w:rsidRDefault="00EF5B27">
      <w:pPr>
        <w:pStyle w:val="BodyText"/>
      </w:pPr>
    </w:p>
    <w:p w14:paraId="6268F490" w14:textId="77777777" w:rsidR="00EF5B27" w:rsidRDefault="00EF5B27">
      <w:pPr>
        <w:pStyle w:val="BodyText"/>
      </w:pPr>
    </w:p>
    <w:p w14:paraId="6F7B1DEA" w14:textId="77777777" w:rsidR="00EF5B27" w:rsidRDefault="00EF5B27">
      <w:pPr>
        <w:pStyle w:val="BodyText"/>
      </w:pPr>
    </w:p>
    <w:p w14:paraId="61377F89" w14:textId="77777777" w:rsidR="00EF5B27" w:rsidRDefault="00EF5B27">
      <w:pPr>
        <w:pStyle w:val="BodyText"/>
        <w:spacing w:before="7"/>
        <w:rPr>
          <w:sz w:val="15"/>
        </w:rPr>
      </w:pPr>
    </w:p>
    <w:bookmarkStart w:id="103" w:name="_bookmark68"/>
    <w:bookmarkEnd w:id="103"/>
    <w:p w14:paraId="29248968" w14:textId="77777777" w:rsidR="00EF5B27" w:rsidRDefault="00000000">
      <w:pPr>
        <w:pStyle w:val="BodyText"/>
        <w:ind w:left="2598"/>
      </w:pPr>
      <w:r>
        <w:pict w14:anchorId="0BE7C9FA">
          <v:group id="_x0000_s2750" style="width:357.4pt;height:229pt;mso-position-horizontal-relative:char;mso-position-vertical-relative:line" coordsize="7148,4580">
            <v:shape id="_x0000_s2752" type="#_x0000_t75" style="position:absolute;left:2;top:2;width:7143;height:4575">
              <v:imagedata r:id="rId160" o:title=""/>
            </v:shape>
            <v:rect id="_x0000_s2751" style="position:absolute;left:2;top:2;width:7143;height:4575" filled="f" strokeweight=".25pt"/>
            <w10:anchorlock/>
          </v:group>
        </w:pict>
      </w:r>
    </w:p>
    <w:p w14:paraId="79B81E10" w14:textId="77777777" w:rsidR="00EF5B27" w:rsidRDefault="00000000">
      <w:pPr>
        <w:tabs>
          <w:tab w:val="left" w:pos="8977"/>
        </w:tabs>
        <w:spacing w:before="91"/>
        <w:ind w:left="2608"/>
        <w:rPr>
          <w:rFonts w:ascii="Century Gothic"/>
          <w:i/>
          <w:sz w:val="12"/>
        </w:rPr>
      </w:pPr>
      <w:r>
        <w:rPr>
          <w:color w:val="4D4D4F"/>
          <w:sz w:val="16"/>
        </w:rPr>
        <w:t xml:space="preserve">Figure </w:t>
      </w:r>
      <w:r>
        <w:rPr>
          <w:color w:val="4D4D4F"/>
          <w:spacing w:val="2"/>
          <w:sz w:val="16"/>
        </w:rPr>
        <w:t xml:space="preserve">40: </w:t>
      </w:r>
      <w:r>
        <w:rPr>
          <w:color w:val="4D4D4F"/>
          <w:sz w:val="16"/>
        </w:rPr>
        <w:t xml:space="preserve">Map of monitored areas for </w:t>
      </w:r>
      <w:r>
        <w:rPr>
          <w:color w:val="4D4D4F"/>
          <w:spacing w:val="1"/>
          <w:sz w:val="16"/>
        </w:rPr>
        <w:t xml:space="preserve"> </w:t>
      </w:r>
      <w:r>
        <w:rPr>
          <w:color w:val="4D4D4F"/>
          <w:sz w:val="16"/>
        </w:rPr>
        <w:t>Button</w:t>
      </w:r>
      <w:r>
        <w:rPr>
          <w:color w:val="4D4D4F"/>
          <w:spacing w:val="6"/>
          <w:sz w:val="16"/>
        </w:rPr>
        <w:t xml:space="preserve"> </w:t>
      </w:r>
      <w:r>
        <w:rPr>
          <w:color w:val="4D4D4F"/>
          <w:sz w:val="16"/>
        </w:rPr>
        <w:t>Wrinklewort</w:t>
      </w:r>
      <w:r>
        <w:rPr>
          <w:color w:val="4D4D4F"/>
          <w:sz w:val="16"/>
        </w:rPr>
        <w:tab/>
      </w:r>
      <w:r>
        <w:rPr>
          <w:rFonts w:ascii="Century Gothic"/>
          <w:i/>
          <w:color w:val="4D4D4F"/>
          <w:sz w:val="12"/>
        </w:rPr>
        <w:t>Source:</w:t>
      </w:r>
      <w:r>
        <w:rPr>
          <w:rFonts w:ascii="Century Gothic"/>
          <w:i/>
          <w:color w:val="4D4D4F"/>
          <w:spacing w:val="-22"/>
          <w:sz w:val="12"/>
        </w:rPr>
        <w:t xml:space="preserve"> </w:t>
      </w:r>
      <w:r>
        <w:rPr>
          <w:rFonts w:ascii="Century Gothic"/>
          <w:i/>
          <w:color w:val="4D4D4F"/>
          <w:sz w:val="12"/>
        </w:rPr>
        <w:t>DELWP</w:t>
      </w:r>
    </w:p>
    <w:p w14:paraId="2766505D" w14:textId="77777777" w:rsidR="00EF5B27" w:rsidRDefault="00EF5B27">
      <w:pPr>
        <w:pStyle w:val="BodyText"/>
        <w:spacing w:before="7"/>
        <w:rPr>
          <w:rFonts w:ascii="Century Gothic"/>
          <w:i/>
          <w:sz w:val="29"/>
        </w:rPr>
      </w:pPr>
    </w:p>
    <w:p w14:paraId="1B25BFB4" w14:textId="77777777" w:rsidR="00EF5B27" w:rsidRDefault="00000000">
      <w:pPr>
        <w:pStyle w:val="Heading3"/>
      </w:pPr>
      <w:r>
        <w:rPr>
          <w:color w:val="F99F2A"/>
          <w:w w:val="105"/>
        </w:rPr>
        <w:t>Results: KPI</w:t>
      </w:r>
    </w:p>
    <w:p w14:paraId="12380D8C" w14:textId="77777777" w:rsidR="00EF5B27" w:rsidRDefault="00EF5B27">
      <w:pPr>
        <w:pStyle w:val="BodyText"/>
        <w:spacing w:before="5"/>
        <w:rPr>
          <w:b/>
          <w:sz w:val="27"/>
        </w:rPr>
      </w:pPr>
    </w:p>
    <w:p w14:paraId="0B6C6D55" w14:textId="77777777" w:rsidR="00EF5B27" w:rsidRDefault="00000000">
      <w:pPr>
        <w:pStyle w:val="Heading6"/>
      </w:pPr>
      <w:bookmarkStart w:id="104" w:name="_heading=h.2rrrqc1"/>
      <w:bookmarkEnd w:id="104"/>
      <w:r>
        <w:rPr>
          <w:color w:val="4D4D4F"/>
        </w:rPr>
        <w:t>KPI 1: Population count</w:t>
      </w:r>
    </w:p>
    <w:p w14:paraId="59AB1591" w14:textId="77777777" w:rsidR="00EF5B27" w:rsidRDefault="00EF5B27">
      <w:pPr>
        <w:pStyle w:val="BodyText"/>
        <w:spacing w:before="2"/>
        <w:rPr>
          <w:b/>
          <w:sz w:val="14"/>
        </w:rPr>
      </w:pPr>
    </w:p>
    <w:tbl>
      <w:tblPr>
        <w:tblW w:w="0" w:type="auto"/>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0979EE78" w14:textId="77777777">
        <w:trPr>
          <w:trHeight w:val="561"/>
        </w:trPr>
        <w:tc>
          <w:tcPr>
            <w:tcW w:w="2980" w:type="dxa"/>
            <w:shd w:val="clear" w:color="auto" w:fill="FECC91"/>
          </w:tcPr>
          <w:p w14:paraId="136744A7" w14:textId="77777777" w:rsidR="00EF5B27" w:rsidRDefault="00EF5B27">
            <w:pPr>
              <w:pStyle w:val="TableParagraph"/>
              <w:spacing w:before="7"/>
              <w:rPr>
                <w:b/>
                <w:sz w:val="15"/>
              </w:rPr>
            </w:pPr>
          </w:p>
          <w:p w14:paraId="7BC1807F" w14:textId="77777777" w:rsidR="00EF5B27" w:rsidRDefault="00000000">
            <w:pPr>
              <w:pStyle w:val="TableParagraph"/>
              <w:spacing w:before="1"/>
              <w:ind w:left="80"/>
              <w:rPr>
                <w:b/>
                <w:sz w:val="16"/>
              </w:rPr>
            </w:pPr>
            <w:r>
              <w:rPr>
                <w:b/>
                <w:sz w:val="16"/>
              </w:rPr>
              <w:t>KPI 1: Population count</w:t>
            </w:r>
          </w:p>
        </w:tc>
        <w:tc>
          <w:tcPr>
            <w:tcW w:w="1078" w:type="dxa"/>
            <w:shd w:val="clear" w:color="auto" w:fill="FECC91"/>
          </w:tcPr>
          <w:p w14:paraId="496B936E" w14:textId="77777777" w:rsidR="00EF5B27" w:rsidRDefault="00000000">
            <w:pPr>
              <w:pStyle w:val="TableParagraph"/>
              <w:spacing w:before="91" w:line="244" w:lineRule="auto"/>
              <w:ind w:left="156" w:firstLine="161"/>
              <w:rPr>
                <w:b/>
                <w:sz w:val="16"/>
              </w:rPr>
            </w:pPr>
            <w:r>
              <w:rPr>
                <w:b/>
                <w:w w:val="105"/>
                <w:sz w:val="16"/>
              </w:rPr>
              <w:t xml:space="preserve">Status </w:t>
            </w:r>
            <w:r>
              <w:rPr>
                <w:b/>
                <w:sz w:val="16"/>
              </w:rPr>
              <w:t>2020–2022</w:t>
            </w:r>
          </w:p>
        </w:tc>
        <w:tc>
          <w:tcPr>
            <w:tcW w:w="2155" w:type="dxa"/>
            <w:shd w:val="clear" w:color="auto" w:fill="FECC91"/>
          </w:tcPr>
          <w:p w14:paraId="3F03B036" w14:textId="77777777" w:rsidR="00EF5B27" w:rsidRDefault="00EF5B27">
            <w:pPr>
              <w:pStyle w:val="TableParagraph"/>
              <w:spacing w:before="7"/>
              <w:rPr>
                <w:b/>
                <w:sz w:val="15"/>
              </w:rPr>
            </w:pPr>
          </w:p>
          <w:p w14:paraId="0B8BEBE0" w14:textId="77777777" w:rsidR="00EF5B27" w:rsidRDefault="00000000">
            <w:pPr>
              <w:pStyle w:val="TableParagraph"/>
              <w:spacing w:before="1"/>
              <w:ind w:left="143" w:right="142"/>
              <w:jc w:val="center"/>
              <w:rPr>
                <w:b/>
                <w:sz w:val="16"/>
              </w:rPr>
            </w:pPr>
            <w:r>
              <w:rPr>
                <w:b/>
                <w:sz w:val="16"/>
              </w:rPr>
              <w:t>Reason for non-assessment</w:t>
            </w:r>
          </w:p>
        </w:tc>
        <w:tc>
          <w:tcPr>
            <w:tcW w:w="964" w:type="dxa"/>
            <w:shd w:val="clear" w:color="auto" w:fill="FECC91"/>
          </w:tcPr>
          <w:p w14:paraId="11E4A534" w14:textId="77777777" w:rsidR="00EF5B27" w:rsidRDefault="00EF5B27">
            <w:pPr>
              <w:pStyle w:val="TableParagraph"/>
              <w:spacing w:before="7"/>
              <w:rPr>
                <w:b/>
                <w:sz w:val="15"/>
              </w:rPr>
            </w:pPr>
          </w:p>
          <w:p w14:paraId="0BA2718B"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71EA9711"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4FB26282"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28EC5614" w14:textId="77777777">
        <w:trPr>
          <w:trHeight w:val="448"/>
        </w:trPr>
        <w:tc>
          <w:tcPr>
            <w:tcW w:w="2980" w:type="dxa"/>
          </w:tcPr>
          <w:p w14:paraId="25BE31E2" w14:textId="77777777" w:rsidR="00EF5B27" w:rsidRDefault="00EF5B27">
            <w:pPr>
              <w:pStyle w:val="TableParagraph"/>
              <w:spacing w:before="11"/>
              <w:rPr>
                <w:b/>
                <w:sz w:val="11"/>
              </w:rPr>
            </w:pPr>
          </w:p>
          <w:p w14:paraId="0C8C7F1A" w14:textId="77777777" w:rsidR="00EF5B27" w:rsidRDefault="00000000">
            <w:pPr>
              <w:pStyle w:val="TableParagraph"/>
              <w:ind w:left="80"/>
              <w:rPr>
                <w:sz w:val="14"/>
              </w:rPr>
            </w:pPr>
            <w:r>
              <w:rPr>
                <w:color w:val="4D4D4F"/>
                <w:sz w:val="14"/>
              </w:rPr>
              <w:t>Truganina Cemetery</w:t>
            </w:r>
          </w:p>
        </w:tc>
        <w:tc>
          <w:tcPr>
            <w:tcW w:w="1078" w:type="dxa"/>
          </w:tcPr>
          <w:p w14:paraId="04F4AD50" w14:textId="77777777" w:rsidR="00EF5B27" w:rsidRDefault="00EF5B27">
            <w:pPr>
              <w:pStyle w:val="TableParagraph"/>
              <w:spacing w:before="11"/>
              <w:rPr>
                <w:b/>
                <w:sz w:val="11"/>
              </w:rPr>
            </w:pPr>
          </w:p>
          <w:p w14:paraId="39A997A0" w14:textId="77777777" w:rsidR="00EF5B27" w:rsidRDefault="00000000">
            <w:pPr>
              <w:pStyle w:val="TableParagraph"/>
              <w:ind w:left="304"/>
              <w:rPr>
                <w:sz w:val="14"/>
              </w:rPr>
            </w:pPr>
            <w:r>
              <w:rPr>
                <w:color w:val="4D4D4F"/>
                <w:sz w:val="14"/>
              </w:rPr>
              <w:t>Not met</w:t>
            </w:r>
          </w:p>
        </w:tc>
        <w:tc>
          <w:tcPr>
            <w:tcW w:w="2155" w:type="dxa"/>
          </w:tcPr>
          <w:p w14:paraId="3A2AAC7E" w14:textId="77777777" w:rsidR="00EF5B27" w:rsidRDefault="00EF5B27">
            <w:pPr>
              <w:pStyle w:val="TableParagraph"/>
              <w:spacing w:before="11"/>
              <w:rPr>
                <w:b/>
                <w:sz w:val="11"/>
              </w:rPr>
            </w:pPr>
          </w:p>
          <w:p w14:paraId="12282FAC" w14:textId="77777777" w:rsidR="00EF5B27" w:rsidRDefault="00000000">
            <w:pPr>
              <w:pStyle w:val="TableParagraph"/>
              <w:ind w:left="138" w:right="142"/>
              <w:jc w:val="center"/>
              <w:rPr>
                <w:sz w:val="14"/>
              </w:rPr>
            </w:pPr>
            <w:r>
              <w:rPr>
                <w:color w:val="4D4D4F"/>
                <w:w w:val="105"/>
                <w:sz w:val="14"/>
              </w:rPr>
              <w:t>N/A</w:t>
            </w:r>
          </w:p>
        </w:tc>
        <w:tc>
          <w:tcPr>
            <w:tcW w:w="964" w:type="dxa"/>
          </w:tcPr>
          <w:p w14:paraId="2AB9A16B" w14:textId="77777777" w:rsidR="00EF5B27" w:rsidRDefault="00EF5B27">
            <w:pPr>
              <w:pStyle w:val="TableParagraph"/>
              <w:spacing w:before="1"/>
              <w:rPr>
                <w:b/>
                <w:sz w:val="15"/>
              </w:rPr>
            </w:pPr>
          </w:p>
          <w:p w14:paraId="2E7247BC" w14:textId="77777777" w:rsidR="00EF5B27" w:rsidRDefault="00000000">
            <w:pPr>
              <w:pStyle w:val="TableParagraph"/>
              <w:spacing w:line="102" w:lineRule="exact"/>
              <w:ind w:left="361"/>
              <w:rPr>
                <w:sz w:val="10"/>
              </w:rPr>
            </w:pPr>
            <w:r>
              <w:rPr>
                <w:noProof/>
                <w:position w:val="-1"/>
                <w:sz w:val="10"/>
              </w:rPr>
              <w:drawing>
                <wp:inline distT="0" distB="0" distL="0" distR="0" wp14:anchorId="563C318B" wp14:editId="5E458466">
                  <wp:extent cx="151464" cy="65341"/>
                  <wp:effectExtent l="0" t="0" r="0" b="0"/>
                  <wp:docPr id="513"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57.png"/>
                          <pic:cNvPicPr/>
                        </pic:nvPicPr>
                        <pic:blipFill>
                          <a:blip r:embed="rId87" cstate="print"/>
                          <a:stretch>
                            <a:fillRect/>
                          </a:stretch>
                        </pic:blipFill>
                        <pic:spPr>
                          <a:xfrm>
                            <a:off x="0" y="0"/>
                            <a:ext cx="151464" cy="65341"/>
                          </a:xfrm>
                          <a:prstGeom prst="rect">
                            <a:avLst/>
                          </a:prstGeom>
                        </pic:spPr>
                      </pic:pic>
                    </a:graphicData>
                  </a:graphic>
                </wp:inline>
              </w:drawing>
            </w:r>
          </w:p>
        </w:tc>
        <w:tc>
          <w:tcPr>
            <w:tcW w:w="964" w:type="dxa"/>
          </w:tcPr>
          <w:p w14:paraId="7136C42C" w14:textId="77777777" w:rsidR="00EF5B27" w:rsidRDefault="00EF5B27">
            <w:pPr>
              <w:pStyle w:val="TableParagraph"/>
              <w:spacing w:before="11"/>
              <w:rPr>
                <w:b/>
                <w:sz w:val="11"/>
              </w:rPr>
            </w:pPr>
          </w:p>
          <w:p w14:paraId="5D10B3C2" w14:textId="77777777" w:rsidR="00EF5B27" w:rsidRDefault="00000000">
            <w:pPr>
              <w:pStyle w:val="TableParagraph"/>
              <w:ind w:left="197"/>
              <w:rPr>
                <w:sz w:val="14"/>
              </w:rPr>
            </w:pPr>
            <w:r>
              <w:rPr>
                <w:color w:val="4D4D4F"/>
                <w:sz w:val="14"/>
              </w:rPr>
              <w:t>Moderate</w:t>
            </w:r>
          </w:p>
        </w:tc>
        <w:tc>
          <w:tcPr>
            <w:tcW w:w="1489" w:type="dxa"/>
          </w:tcPr>
          <w:p w14:paraId="64CD0958" w14:textId="77777777" w:rsidR="00EF5B27" w:rsidRDefault="00000000">
            <w:pPr>
              <w:pStyle w:val="TableParagraph"/>
              <w:spacing w:before="134"/>
              <w:ind w:left="452" w:right="457"/>
              <w:jc w:val="center"/>
              <w:rPr>
                <w:sz w:val="16"/>
              </w:rPr>
            </w:pPr>
            <w:r>
              <w:rPr>
                <w:color w:val="4D4D4F"/>
                <w:sz w:val="16"/>
              </w:rPr>
              <w:t>2019</w:t>
            </w:r>
          </w:p>
        </w:tc>
      </w:tr>
    </w:tbl>
    <w:p w14:paraId="0DAF0054" w14:textId="77777777" w:rsidR="00EF5B27" w:rsidRDefault="00EF5B27">
      <w:pPr>
        <w:pStyle w:val="BodyText"/>
        <w:rPr>
          <w:b/>
        </w:rPr>
      </w:pPr>
    </w:p>
    <w:p w14:paraId="0DAC5FCD" w14:textId="77777777" w:rsidR="00EF5B27" w:rsidRDefault="00000000">
      <w:pPr>
        <w:pStyle w:val="BodyText"/>
        <w:spacing w:before="9"/>
        <w:rPr>
          <w:b/>
          <w:sz w:val="22"/>
        </w:rPr>
      </w:pPr>
      <w:r>
        <w:pict w14:anchorId="2BF53444">
          <v:group id="_x0000_s2747" style="position:absolute;margin-left:181.3pt;margin-top:15.85pt;width:357.4pt;height:201.15pt;z-index:251638272;mso-wrap-distance-left:0;mso-wrap-distance-right:0;mso-position-horizontal-relative:page" coordorigin="3626,317" coordsize="7148,4023">
            <v:shape id="_x0000_s2749" type="#_x0000_t75" style="position:absolute;left:3628;top:319;width:7143;height:4018">
              <v:imagedata r:id="rId161" o:title=""/>
            </v:shape>
            <v:rect id="_x0000_s2748" style="position:absolute;left:3628;top:319;width:7143;height:4018" filled="f" strokeweight=".25pt"/>
            <w10:wrap type="topAndBottom" anchorx="page"/>
          </v:group>
        </w:pict>
      </w:r>
    </w:p>
    <w:p w14:paraId="28E3E150" w14:textId="77777777" w:rsidR="00EF5B27" w:rsidRDefault="00000000">
      <w:pPr>
        <w:tabs>
          <w:tab w:val="left" w:pos="8971"/>
        </w:tabs>
        <w:spacing w:before="110" w:line="244" w:lineRule="auto"/>
        <w:ind w:left="2608" w:right="117"/>
        <w:rPr>
          <w:rFonts w:ascii="Century Gothic" w:hAnsi="Century Gothic"/>
          <w:i/>
          <w:sz w:val="12"/>
        </w:rPr>
      </w:pPr>
      <w:r>
        <w:rPr>
          <w:color w:val="4D4D4F"/>
          <w:sz w:val="16"/>
        </w:rPr>
        <w:t xml:space="preserve">Figure </w:t>
      </w:r>
      <w:r>
        <w:rPr>
          <w:color w:val="4D4D4F"/>
          <w:spacing w:val="-6"/>
          <w:sz w:val="16"/>
        </w:rPr>
        <w:t xml:space="preserve">41: </w:t>
      </w:r>
      <w:r>
        <w:rPr>
          <w:color w:val="4D4D4F"/>
          <w:sz w:val="16"/>
        </w:rPr>
        <w:t>Population count of Button Wrinklewort at Truganina Cemetery, 2015–2021. The dashed line shows</w:t>
      </w:r>
      <w:r>
        <w:rPr>
          <w:color w:val="4D4D4F"/>
          <w:spacing w:val="8"/>
          <w:sz w:val="16"/>
        </w:rPr>
        <w:t xml:space="preserve"> </w:t>
      </w:r>
      <w:r>
        <w:rPr>
          <w:color w:val="4D4D4F"/>
          <w:sz w:val="16"/>
        </w:rPr>
        <w:t>the</w:t>
      </w:r>
      <w:r>
        <w:rPr>
          <w:color w:val="4D4D4F"/>
          <w:spacing w:val="8"/>
          <w:sz w:val="16"/>
        </w:rPr>
        <w:t xml:space="preserve"> </w:t>
      </w:r>
      <w:r>
        <w:rPr>
          <w:color w:val="4D4D4F"/>
          <w:sz w:val="16"/>
        </w:rPr>
        <w:t>baseline</w:t>
      </w:r>
      <w:r>
        <w:rPr>
          <w:color w:val="4D4D4F"/>
          <w:spacing w:val="8"/>
          <w:sz w:val="16"/>
        </w:rPr>
        <w:t xml:space="preserve"> </w:t>
      </w:r>
      <w:r>
        <w:rPr>
          <w:color w:val="4D4D4F"/>
          <w:sz w:val="16"/>
        </w:rPr>
        <w:t>calculated</w:t>
      </w:r>
      <w:r>
        <w:rPr>
          <w:color w:val="4D4D4F"/>
          <w:spacing w:val="8"/>
          <w:sz w:val="16"/>
        </w:rPr>
        <w:t xml:space="preserve"> </w:t>
      </w:r>
      <w:r>
        <w:rPr>
          <w:color w:val="4D4D4F"/>
          <w:sz w:val="16"/>
        </w:rPr>
        <w:t>after</w:t>
      </w:r>
      <w:r>
        <w:rPr>
          <w:color w:val="4D4D4F"/>
          <w:spacing w:val="8"/>
          <w:sz w:val="16"/>
        </w:rPr>
        <w:t xml:space="preserve"> </w:t>
      </w:r>
      <w:r>
        <w:rPr>
          <w:color w:val="4D4D4F"/>
          <w:sz w:val="16"/>
        </w:rPr>
        <w:t>the</w:t>
      </w:r>
      <w:r>
        <w:rPr>
          <w:color w:val="4D4D4F"/>
          <w:spacing w:val="8"/>
          <w:sz w:val="16"/>
        </w:rPr>
        <w:t xml:space="preserve"> </w:t>
      </w:r>
      <w:r>
        <w:rPr>
          <w:color w:val="4D4D4F"/>
          <w:sz w:val="16"/>
        </w:rPr>
        <w:t>first</w:t>
      </w:r>
      <w:r>
        <w:rPr>
          <w:color w:val="4D4D4F"/>
          <w:spacing w:val="8"/>
          <w:sz w:val="16"/>
        </w:rPr>
        <w:t xml:space="preserve"> </w:t>
      </w:r>
      <w:r>
        <w:rPr>
          <w:color w:val="4D4D4F"/>
          <w:sz w:val="16"/>
        </w:rPr>
        <w:t>five</w:t>
      </w:r>
      <w:r>
        <w:rPr>
          <w:color w:val="4D4D4F"/>
          <w:spacing w:val="8"/>
          <w:sz w:val="16"/>
        </w:rPr>
        <w:t xml:space="preserve"> </w:t>
      </w:r>
      <w:r>
        <w:rPr>
          <w:color w:val="4D4D4F"/>
          <w:sz w:val="16"/>
        </w:rPr>
        <w:t>years</w:t>
      </w:r>
      <w:r>
        <w:rPr>
          <w:color w:val="4D4D4F"/>
          <w:spacing w:val="8"/>
          <w:sz w:val="16"/>
        </w:rPr>
        <w:t xml:space="preserve"> </w:t>
      </w:r>
      <w:r>
        <w:rPr>
          <w:color w:val="4D4D4F"/>
          <w:sz w:val="16"/>
        </w:rPr>
        <w:t>of</w:t>
      </w:r>
      <w:r>
        <w:rPr>
          <w:color w:val="4D4D4F"/>
          <w:spacing w:val="8"/>
          <w:sz w:val="16"/>
        </w:rPr>
        <w:t xml:space="preserve"> </w:t>
      </w:r>
      <w:r>
        <w:rPr>
          <w:color w:val="4D4D4F"/>
          <w:sz w:val="16"/>
        </w:rPr>
        <w:t>monitoring</w:t>
      </w:r>
      <w:r>
        <w:rPr>
          <w:color w:val="4D4D4F"/>
          <w:spacing w:val="8"/>
          <w:sz w:val="16"/>
        </w:rPr>
        <w:t xml:space="preserve"> </w:t>
      </w:r>
      <w:r>
        <w:rPr>
          <w:color w:val="4D4D4F"/>
          <w:spacing w:val="-3"/>
          <w:sz w:val="16"/>
        </w:rPr>
        <w:t>(n=617).</w:t>
      </w:r>
      <w:r>
        <w:rPr>
          <w:color w:val="4D4D4F"/>
          <w:spacing w:val="-3"/>
          <w:sz w:val="16"/>
        </w:rPr>
        <w:tab/>
      </w:r>
      <w:r>
        <w:rPr>
          <w:rFonts w:ascii="Century Gothic" w:hAnsi="Century Gothic"/>
          <w:i/>
          <w:color w:val="4D4D4F"/>
          <w:w w:val="90"/>
          <w:sz w:val="12"/>
        </w:rPr>
        <w:t>Source:</w:t>
      </w:r>
      <w:r>
        <w:rPr>
          <w:rFonts w:ascii="Century Gothic" w:hAnsi="Century Gothic"/>
          <w:i/>
          <w:color w:val="4D4D4F"/>
          <w:spacing w:val="1"/>
          <w:w w:val="90"/>
          <w:sz w:val="12"/>
        </w:rPr>
        <w:t xml:space="preserve"> </w:t>
      </w:r>
      <w:r>
        <w:rPr>
          <w:rFonts w:ascii="Century Gothic" w:hAnsi="Century Gothic"/>
          <w:i/>
          <w:color w:val="4D4D4F"/>
          <w:spacing w:val="-5"/>
          <w:w w:val="90"/>
          <w:sz w:val="12"/>
        </w:rPr>
        <w:t>DELWP</w:t>
      </w:r>
    </w:p>
    <w:p w14:paraId="4947897C" w14:textId="77777777" w:rsidR="00EF5B27" w:rsidRDefault="00EF5B27">
      <w:pPr>
        <w:spacing w:line="244" w:lineRule="auto"/>
        <w:rPr>
          <w:rFonts w:ascii="Century Gothic" w:hAnsi="Century Gothic"/>
          <w:sz w:val="12"/>
        </w:rPr>
        <w:sectPr w:rsidR="00EF5B27">
          <w:pgSz w:w="11910" w:h="16840"/>
          <w:pgMar w:top="1080" w:right="1020" w:bottom="860" w:left="1020" w:header="537" w:footer="678" w:gutter="0"/>
          <w:cols w:space="720"/>
        </w:sectPr>
      </w:pPr>
    </w:p>
    <w:p w14:paraId="58724891" w14:textId="77777777" w:rsidR="00EF5B27" w:rsidRDefault="00000000">
      <w:pPr>
        <w:pStyle w:val="BodyText"/>
        <w:rPr>
          <w:rFonts w:ascii="Century Gothic"/>
          <w:i/>
        </w:rPr>
      </w:pPr>
      <w:r>
        <w:lastRenderedPageBreak/>
        <w:pict w14:anchorId="78E2EE2A">
          <v:group id="_x0000_s2739" style="position:absolute;margin-left:587.05pt;margin-top:183.4pt;width:8.25pt;height:153.1pt;z-index:251714048;mso-position-horizontal-relative:page;mso-position-vertical-relative:page" coordorigin="11741,3668" coordsize="165,3062">
            <v:shape id="_x0000_s2746" style="position:absolute;left:11741;top:3668;width:165;height:561" coordorigin="11741,3668" coordsize="165,561" path="m11906,3668r-165,l11741,4228r165,-18l11906,3668xe" fillcolor="#00aed9" stroked="f">
              <v:path arrowok="t"/>
            </v:shape>
            <v:shape id="_x0000_s2745" style="position:absolute;left:11741;top:4118;width:165;height:425" coordorigin="11741,4118" coordsize="165,425" path="m11906,4118r-165,14l11741,4531r165,12l11906,4118xe" fillcolor="#047ebc" stroked="f">
              <v:path arrowok="t"/>
            </v:shape>
            <v:shape id="_x0000_s2744" type="#_x0000_t75" style="position:absolute;left:11741;top:4355;width:165;height:587">
              <v:imagedata r:id="rId42" o:title=""/>
            </v:shape>
            <v:shape id="_x0000_s2743" style="position:absolute;left:11741;top:5343;width:165;height:536" coordorigin="11741,5343" coordsize="165,536" path="m11741,5343r,535l11906,5872r,-525l11741,5343xe" fillcolor="#f36a2e" stroked="f">
              <v:path arrowok="t"/>
            </v:shape>
            <v:shape id="_x0000_s2742" style="position:absolute;left:11741;top:4925;width:165;height:501" coordorigin="11741,4926" coordsize="165,501" path="m11741,4926r,500l11906,5426r,-485l11741,4926xe" fillcolor="#49783f" stroked="f">
              <v:path arrowok="t"/>
            </v:shape>
            <v:shape id="_x0000_s2741" style="position:absolute;left:11741;top:5781;width:165;height:268" coordorigin="11741,5782" coordsize="165,268" path="m11906,5782r-165,8l11741,6039r165,10l11906,5782xe" fillcolor="#f99f2a" stroked="f">
              <v:path arrowok="t"/>
            </v:shape>
            <v:shape id="_x0000_s2740" style="position:absolute;left:11741;top:6023;width:165;height:707" coordorigin="11741,6023" coordsize="165,707" path="m11741,6023r,706l11906,6729r,-690l11741,6023xe" fillcolor="#ef412c" stroked="f">
              <v:path arrowok="t"/>
            </v:shape>
            <w10:wrap anchorx="page" anchory="page"/>
          </v:group>
        </w:pict>
      </w:r>
    </w:p>
    <w:p w14:paraId="3356B972" w14:textId="77777777" w:rsidR="00EF5B27" w:rsidRDefault="00EF5B27">
      <w:pPr>
        <w:pStyle w:val="BodyText"/>
        <w:rPr>
          <w:rFonts w:ascii="Century Gothic"/>
          <w:i/>
        </w:rPr>
      </w:pPr>
    </w:p>
    <w:p w14:paraId="21150AEE" w14:textId="77777777" w:rsidR="00EF5B27" w:rsidRDefault="00EF5B27">
      <w:pPr>
        <w:pStyle w:val="BodyText"/>
        <w:rPr>
          <w:rFonts w:ascii="Century Gothic"/>
          <w:i/>
        </w:rPr>
      </w:pPr>
    </w:p>
    <w:p w14:paraId="3F510EFF" w14:textId="77777777" w:rsidR="00EF5B27" w:rsidRDefault="00EF5B27">
      <w:pPr>
        <w:pStyle w:val="BodyText"/>
        <w:spacing w:before="7"/>
        <w:rPr>
          <w:rFonts w:ascii="Century Gothic"/>
          <w:i/>
          <w:sz w:val="22"/>
        </w:rPr>
      </w:pPr>
    </w:p>
    <w:p w14:paraId="23B931DE" w14:textId="77777777" w:rsidR="00EF5B27" w:rsidRDefault="00000000">
      <w:pPr>
        <w:pStyle w:val="Heading3"/>
        <w:spacing w:before="116"/>
      </w:pPr>
      <w:r>
        <w:rPr>
          <w:color w:val="F99F2A"/>
        </w:rPr>
        <w:t>Results interpretation</w:t>
      </w:r>
    </w:p>
    <w:p w14:paraId="12BAD456" w14:textId="77777777" w:rsidR="00EF5B27" w:rsidRDefault="00000000">
      <w:pPr>
        <w:pStyle w:val="BodyText"/>
        <w:spacing w:before="221" w:line="254" w:lineRule="auto"/>
        <w:ind w:left="2608" w:right="163"/>
        <w:jc w:val="both"/>
      </w:pPr>
      <w:r>
        <w:rPr>
          <w:color w:val="4D4D4F"/>
        </w:rPr>
        <w:t>Results indicate that MSA population of Button Winklewort is slowly declining, largely due to the failure of new recruits to survive their first year and replace plants that are dying.</w:t>
      </w:r>
      <w:r>
        <w:rPr>
          <w:color w:val="4D4D4F"/>
          <w:position w:val="7"/>
          <w:sz w:val="11"/>
        </w:rPr>
        <w:t xml:space="preserve">253 </w:t>
      </w:r>
      <w:r>
        <w:rPr>
          <w:color w:val="4D4D4F"/>
        </w:rPr>
        <w:t>DELWP does not know why recruitment is failing.</w:t>
      </w:r>
    </w:p>
    <w:p w14:paraId="2470B40C" w14:textId="77777777" w:rsidR="00EF5B27" w:rsidRDefault="00000000">
      <w:pPr>
        <w:pStyle w:val="BodyText"/>
        <w:spacing w:before="117" w:line="254" w:lineRule="auto"/>
        <w:ind w:left="2608" w:right="127"/>
      </w:pPr>
      <w:r>
        <w:rPr>
          <w:color w:val="4D4D4F"/>
        </w:rPr>
        <w:t xml:space="preserve">Button Wrinklewort was monitored at </w:t>
      </w:r>
      <w:r>
        <w:rPr>
          <w:color w:val="4D4D4F"/>
          <w:spacing w:val="-3"/>
        </w:rPr>
        <w:t xml:space="preserve">Truganina </w:t>
      </w:r>
      <w:r>
        <w:rPr>
          <w:color w:val="4D4D4F"/>
        </w:rPr>
        <w:t xml:space="preserve">Cemetery by </w:t>
      </w:r>
      <w:r>
        <w:rPr>
          <w:color w:val="4D4D4F"/>
          <w:spacing w:val="2"/>
        </w:rPr>
        <w:t xml:space="preserve">La </w:t>
      </w:r>
      <w:r>
        <w:rPr>
          <w:color w:val="4D4D4F"/>
          <w:spacing w:val="-3"/>
        </w:rPr>
        <w:t xml:space="preserve">Trobe  </w:t>
      </w:r>
      <w:r>
        <w:rPr>
          <w:color w:val="4D4D4F"/>
        </w:rPr>
        <w:t xml:space="preserve">University  from </w:t>
      </w:r>
      <w:r>
        <w:rPr>
          <w:color w:val="4D4D4F"/>
          <w:spacing w:val="2"/>
        </w:rPr>
        <w:t xml:space="preserve">2004 </w:t>
      </w:r>
      <w:r>
        <w:rPr>
          <w:color w:val="4D4D4F"/>
        </w:rPr>
        <w:t xml:space="preserve">until </w:t>
      </w:r>
      <w:r>
        <w:rPr>
          <w:color w:val="4D4D4F"/>
          <w:spacing w:val="-3"/>
        </w:rPr>
        <w:t xml:space="preserve">2012, </w:t>
      </w:r>
      <w:r>
        <w:rPr>
          <w:color w:val="4D4D4F"/>
        </w:rPr>
        <w:t>providing a valuable longer-term context for the data reported here.</w:t>
      </w:r>
      <w:r>
        <w:rPr>
          <w:color w:val="4D4D4F"/>
          <w:position w:val="7"/>
          <w:sz w:val="11"/>
        </w:rPr>
        <w:t xml:space="preserve">254 </w:t>
      </w:r>
      <w:r>
        <w:rPr>
          <w:color w:val="4D4D4F"/>
        </w:rPr>
        <w:t xml:space="preserve">These data revealed a population that declined from 1,072 plants in </w:t>
      </w:r>
      <w:r>
        <w:rPr>
          <w:color w:val="4D4D4F"/>
          <w:spacing w:val="2"/>
        </w:rPr>
        <w:t xml:space="preserve">2004 </w:t>
      </w:r>
      <w:r>
        <w:rPr>
          <w:color w:val="4D4D4F"/>
        </w:rPr>
        <w:t xml:space="preserve">to  </w:t>
      </w:r>
      <w:r>
        <w:rPr>
          <w:color w:val="4D4D4F"/>
          <w:spacing w:val="-4"/>
        </w:rPr>
        <w:t xml:space="preserve">472 </w:t>
      </w:r>
      <w:r>
        <w:rPr>
          <w:color w:val="4D4D4F"/>
        </w:rPr>
        <w:t xml:space="preserve">plants in </w:t>
      </w:r>
      <w:r>
        <w:rPr>
          <w:color w:val="4D4D4F"/>
          <w:spacing w:val="-3"/>
        </w:rPr>
        <w:t xml:space="preserve">2012. </w:t>
      </w:r>
      <w:r>
        <w:rPr>
          <w:color w:val="4D4D4F"/>
        </w:rPr>
        <w:t xml:space="preserve">The number of Button Wrinklewort plants recorded at </w:t>
      </w:r>
      <w:r>
        <w:rPr>
          <w:color w:val="4D4D4F"/>
          <w:spacing w:val="-3"/>
        </w:rPr>
        <w:t xml:space="preserve">Truganina </w:t>
      </w:r>
      <w:r>
        <w:rPr>
          <w:color w:val="4D4D4F"/>
        </w:rPr>
        <w:t xml:space="preserve">Cemetery increased very </w:t>
      </w:r>
      <w:r>
        <w:rPr>
          <w:color w:val="4D4D4F"/>
          <w:spacing w:val="-3"/>
        </w:rPr>
        <w:t xml:space="preserve">slightly </w:t>
      </w:r>
      <w:r>
        <w:rPr>
          <w:color w:val="4D4D4F"/>
        </w:rPr>
        <w:t xml:space="preserve">from </w:t>
      </w:r>
      <w:r>
        <w:rPr>
          <w:color w:val="4D4D4F"/>
          <w:spacing w:val="-4"/>
        </w:rPr>
        <w:t xml:space="preserve">2015 </w:t>
      </w:r>
      <w:r>
        <w:rPr>
          <w:color w:val="4D4D4F"/>
        </w:rPr>
        <w:t xml:space="preserve">to </w:t>
      </w:r>
      <w:r>
        <w:rPr>
          <w:color w:val="4D4D4F"/>
          <w:spacing w:val="-4"/>
        </w:rPr>
        <w:t xml:space="preserve">2018 </w:t>
      </w:r>
      <w:r>
        <w:rPr>
          <w:color w:val="4D4D4F"/>
        </w:rPr>
        <w:t xml:space="preserve">(from </w:t>
      </w:r>
      <w:r>
        <w:rPr>
          <w:color w:val="4D4D4F"/>
          <w:spacing w:val="-3"/>
        </w:rPr>
        <w:t xml:space="preserve">591 </w:t>
      </w:r>
      <w:r>
        <w:rPr>
          <w:color w:val="4D4D4F"/>
        </w:rPr>
        <w:t xml:space="preserve">to 638) but declined to 593 in </w:t>
      </w:r>
      <w:r>
        <w:rPr>
          <w:color w:val="4D4D4F"/>
          <w:spacing w:val="-6"/>
        </w:rPr>
        <w:t xml:space="preserve">2019. </w:t>
      </w:r>
      <w:r>
        <w:rPr>
          <w:color w:val="4D4D4F"/>
        </w:rPr>
        <w:t xml:space="preserve">In each </w:t>
      </w:r>
      <w:r>
        <w:rPr>
          <w:color w:val="4D4D4F"/>
          <w:spacing w:val="-4"/>
        </w:rPr>
        <w:t xml:space="preserve">year, </w:t>
      </w:r>
      <w:r>
        <w:rPr>
          <w:color w:val="4D4D4F"/>
        </w:rPr>
        <w:t xml:space="preserve">most plants have been reproductive (between </w:t>
      </w:r>
      <w:r>
        <w:rPr>
          <w:color w:val="4D4D4F"/>
          <w:spacing w:val="2"/>
        </w:rPr>
        <w:t xml:space="preserve">89% </w:t>
      </w:r>
      <w:r>
        <w:rPr>
          <w:color w:val="4D4D4F"/>
        </w:rPr>
        <w:t xml:space="preserve">and 93%). Very few recruits have been recorded in any year (between zero and four individuals, with only nine across all years). DELWP has highlighted that the decline from over </w:t>
      </w:r>
      <w:r>
        <w:rPr>
          <w:color w:val="4D4D4F"/>
          <w:spacing w:val="2"/>
        </w:rPr>
        <w:t xml:space="preserve">600 </w:t>
      </w:r>
      <w:r>
        <w:rPr>
          <w:color w:val="4D4D4F"/>
        </w:rPr>
        <w:t xml:space="preserve">plants (measured between </w:t>
      </w:r>
      <w:r>
        <w:rPr>
          <w:color w:val="4D4D4F"/>
          <w:spacing w:val="-4"/>
        </w:rPr>
        <w:t xml:space="preserve">2015 </w:t>
      </w:r>
      <w:r>
        <w:rPr>
          <w:color w:val="4D4D4F"/>
        </w:rPr>
        <w:t xml:space="preserve">and </w:t>
      </w:r>
      <w:r>
        <w:rPr>
          <w:color w:val="4D4D4F"/>
          <w:spacing w:val="-5"/>
        </w:rPr>
        <w:t xml:space="preserve">2018) </w:t>
      </w:r>
      <w:r>
        <w:rPr>
          <w:color w:val="4D4D4F"/>
        </w:rPr>
        <w:t xml:space="preserve">down to </w:t>
      </w:r>
      <w:r>
        <w:rPr>
          <w:color w:val="4D4D4F"/>
          <w:spacing w:val="3"/>
        </w:rPr>
        <w:t xml:space="preserve">548 </w:t>
      </w:r>
      <w:r>
        <w:rPr>
          <w:color w:val="4D4D4F"/>
        </w:rPr>
        <w:t>plants in 2021 represents a  real decline – and is not primarily an issue of detectability or sampling error.</w:t>
      </w:r>
      <w:r>
        <w:rPr>
          <w:color w:val="4D4D4F"/>
          <w:position w:val="7"/>
          <w:sz w:val="11"/>
        </w:rPr>
        <w:t xml:space="preserve">255 </w:t>
      </w:r>
      <w:r>
        <w:rPr>
          <w:color w:val="4D4D4F"/>
        </w:rPr>
        <w:t>This knowledge is based on the frequent recording of dead plants at locations where they have previously been recorded</w:t>
      </w:r>
      <w:r>
        <w:rPr>
          <w:color w:val="4D4D4F"/>
          <w:spacing w:val="17"/>
        </w:rPr>
        <w:t xml:space="preserve"> </w:t>
      </w:r>
      <w:r>
        <w:rPr>
          <w:color w:val="4D4D4F"/>
        </w:rPr>
        <w:t>alive.</w:t>
      </w:r>
    </w:p>
    <w:p w14:paraId="12B7EACE" w14:textId="77777777" w:rsidR="00EF5B27" w:rsidRDefault="00000000">
      <w:pPr>
        <w:pStyle w:val="BodyText"/>
        <w:spacing w:before="128" w:line="254" w:lineRule="auto"/>
        <w:ind w:left="2608"/>
        <w:rPr>
          <w:sz w:val="11"/>
        </w:rPr>
      </w:pPr>
      <w:r>
        <w:rPr>
          <w:color w:val="4D4D4F"/>
        </w:rPr>
        <w:t>Based on the location of dead plants, DELWP has identified two observed sources of mortality between 2018 and 2021:</w:t>
      </w:r>
      <w:r>
        <w:rPr>
          <w:color w:val="4D4D4F"/>
          <w:position w:val="7"/>
          <w:sz w:val="11"/>
        </w:rPr>
        <w:t>256</w:t>
      </w:r>
    </w:p>
    <w:p w14:paraId="34B7AE63" w14:textId="77777777" w:rsidR="00EF5B27" w:rsidRDefault="00000000">
      <w:pPr>
        <w:pStyle w:val="ListParagraph"/>
        <w:numPr>
          <w:ilvl w:val="0"/>
          <w:numId w:val="34"/>
        </w:numPr>
        <w:tabs>
          <w:tab w:val="left" w:pos="2779"/>
        </w:tabs>
        <w:spacing w:before="116" w:line="254" w:lineRule="auto"/>
        <w:ind w:right="217"/>
        <w:rPr>
          <w:sz w:val="20"/>
        </w:rPr>
      </w:pPr>
      <w:r>
        <w:rPr>
          <w:color w:val="4D4D4F"/>
          <w:sz w:val="20"/>
        </w:rPr>
        <w:t xml:space="preserve">direct mortality from an ecological burn implemented in early </w:t>
      </w:r>
      <w:r>
        <w:rPr>
          <w:color w:val="4D4D4F"/>
          <w:spacing w:val="-6"/>
          <w:sz w:val="20"/>
        </w:rPr>
        <w:t xml:space="preserve">2019. </w:t>
      </w:r>
      <w:r>
        <w:rPr>
          <w:color w:val="4D4D4F"/>
          <w:sz w:val="20"/>
        </w:rPr>
        <w:t>Fires are considered necessary for grassland management. DELWP has stated that some mortality from fire is normal, expected and acceptable in a population and does not necessarily imply that a given fire was inappropriate or badly</w:t>
      </w:r>
      <w:r>
        <w:rPr>
          <w:color w:val="4D4D4F"/>
          <w:spacing w:val="39"/>
          <w:sz w:val="20"/>
        </w:rPr>
        <w:t xml:space="preserve"> </w:t>
      </w:r>
      <w:r>
        <w:rPr>
          <w:color w:val="4D4D4F"/>
          <w:sz w:val="20"/>
        </w:rPr>
        <w:t>implemented.</w:t>
      </w:r>
    </w:p>
    <w:p w14:paraId="05A9E5BC" w14:textId="77777777" w:rsidR="00EF5B27" w:rsidRDefault="00000000">
      <w:pPr>
        <w:pStyle w:val="ListParagraph"/>
        <w:numPr>
          <w:ilvl w:val="0"/>
          <w:numId w:val="34"/>
        </w:numPr>
        <w:tabs>
          <w:tab w:val="left" w:pos="2779"/>
        </w:tabs>
        <w:spacing w:before="118" w:line="254" w:lineRule="auto"/>
        <w:ind w:right="402"/>
        <w:rPr>
          <w:sz w:val="20"/>
        </w:rPr>
      </w:pPr>
      <w:r>
        <w:rPr>
          <w:color w:val="4D4D4F"/>
          <w:sz w:val="20"/>
        </w:rPr>
        <w:t xml:space="preserve">direct mortality caused by rabbits undermining and killing plants. Rabbit   numbers are not currently monitored in </w:t>
      </w:r>
      <w:r>
        <w:rPr>
          <w:color w:val="4D4D4F"/>
          <w:spacing w:val="-3"/>
          <w:sz w:val="20"/>
        </w:rPr>
        <w:t xml:space="preserve">Truganina </w:t>
      </w:r>
      <w:r>
        <w:rPr>
          <w:color w:val="4D4D4F"/>
          <w:sz w:val="20"/>
        </w:rPr>
        <w:t xml:space="preserve">Cemetery, however anecdotal observations of their droppings and diggings suggest a substantial increase in numbers since </w:t>
      </w:r>
      <w:r>
        <w:rPr>
          <w:color w:val="4D4D4F"/>
          <w:spacing w:val="-6"/>
          <w:sz w:val="20"/>
        </w:rPr>
        <w:t xml:space="preserve">2019. </w:t>
      </w:r>
      <w:r>
        <w:rPr>
          <w:color w:val="4D4D4F"/>
          <w:sz w:val="20"/>
        </w:rPr>
        <w:t>DELWP hypothesises this may be due to construction works forcing rabbits to occupy the cemetery, although this idea remains</w:t>
      </w:r>
      <w:r>
        <w:rPr>
          <w:color w:val="4D4D4F"/>
          <w:spacing w:val="25"/>
          <w:sz w:val="20"/>
        </w:rPr>
        <w:t xml:space="preserve"> </w:t>
      </w:r>
      <w:r>
        <w:rPr>
          <w:color w:val="4D4D4F"/>
          <w:sz w:val="20"/>
        </w:rPr>
        <w:t>untested.</w:t>
      </w:r>
    </w:p>
    <w:p w14:paraId="61DF01A3" w14:textId="77777777" w:rsidR="00EF5B27" w:rsidRDefault="00000000">
      <w:pPr>
        <w:pStyle w:val="BodyText"/>
        <w:spacing w:before="119" w:line="254" w:lineRule="auto"/>
        <w:ind w:left="2608" w:right="228"/>
        <w:rPr>
          <w:sz w:val="11"/>
        </w:rPr>
      </w:pPr>
      <w:r>
        <w:rPr>
          <w:color w:val="4D4D4F"/>
        </w:rPr>
        <w:t>It is difficult to attribute each plant death to either fire or rabbits with the available information, so DELWP is unable to quantify the relative magnitudes of these   effects.</w:t>
      </w:r>
      <w:r>
        <w:rPr>
          <w:color w:val="4D4D4F"/>
          <w:position w:val="7"/>
          <w:sz w:val="11"/>
        </w:rPr>
        <w:t xml:space="preserve">257 </w:t>
      </w:r>
      <w:r>
        <w:rPr>
          <w:color w:val="4D4D4F"/>
        </w:rPr>
        <w:t xml:space="preserve">There are </w:t>
      </w:r>
      <w:r>
        <w:rPr>
          <w:color w:val="4D4D4F"/>
          <w:spacing w:val="-3"/>
        </w:rPr>
        <w:t xml:space="preserve">likely </w:t>
      </w:r>
      <w:r>
        <w:rPr>
          <w:color w:val="4D4D4F"/>
        </w:rPr>
        <w:t xml:space="preserve">to be other sources of mortality, such as trampling, drought stress, competition from grass, or senescence from old age </w:t>
      </w:r>
      <w:r>
        <w:rPr>
          <w:color w:val="4D4D4F"/>
          <w:spacing w:val="-4"/>
        </w:rPr>
        <w:t xml:space="preserve">(likely </w:t>
      </w:r>
      <w:r>
        <w:rPr>
          <w:color w:val="4D4D4F"/>
        </w:rPr>
        <w:t>due to a build-up of old stem bases weakening the base of the plant).</w:t>
      </w:r>
      <w:r>
        <w:rPr>
          <w:color w:val="4D4D4F"/>
          <w:position w:val="7"/>
          <w:sz w:val="11"/>
        </w:rPr>
        <w:t xml:space="preserve">258 </w:t>
      </w:r>
      <w:r>
        <w:rPr>
          <w:color w:val="4D4D4F"/>
        </w:rPr>
        <w:t xml:space="preserve">Further, these sources of mortality are all </w:t>
      </w:r>
      <w:r>
        <w:rPr>
          <w:color w:val="4D4D4F"/>
          <w:spacing w:val="-3"/>
        </w:rPr>
        <w:t xml:space="preserve">likely </w:t>
      </w:r>
      <w:r>
        <w:rPr>
          <w:color w:val="4D4D4F"/>
        </w:rPr>
        <w:t xml:space="preserve">to interact (i.e. rabbit browsing and digging is </w:t>
      </w:r>
      <w:r>
        <w:rPr>
          <w:color w:val="4D4D4F"/>
          <w:spacing w:val="-3"/>
        </w:rPr>
        <w:t xml:space="preserve">likely </w:t>
      </w:r>
      <w:r>
        <w:rPr>
          <w:color w:val="4D4D4F"/>
        </w:rPr>
        <w:t>to be more harmful after fire), so that many deaths will be influenced by multiple</w:t>
      </w:r>
      <w:r>
        <w:rPr>
          <w:color w:val="4D4D4F"/>
          <w:spacing w:val="34"/>
        </w:rPr>
        <w:t xml:space="preserve"> </w:t>
      </w:r>
      <w:r>
        <w:rPr>
          <w:color w:val="4D4D4F"/>
        </w:rPr>
        <w:t>factors</w:t>
      </w:r>
      <w:r>
        <w:rPr>
          <w:color w:val="4D4D4F"/>
          <w:position w:val="7"/>
          <w:sz w:val="11"/>
        </w:rPr>
        <w:t>.259</w:t>
      </w:r>
    </w:p>
    <w:p w14:paraId="434EA7BA" w14:textId="77777777" w:rsidR="00EF5B27" w:rsidRDefault="00000000">
      <w:pPr>
        <w:pStyle w:val="BodyText"/>
        <w:spacing w:before="122" w:line="254" w:lineRule="auto"/>
        <w:ind w:left="2608" w:right="151"/>
      </w:pPr>
      <w:r>
        <w:rPr>
          <w:color w:val="4D4D4F"/>
        </w:rPr>
        <w:t>The observed levels of mortality are not necessarily excessive on their own, according to DELWP.</w:t>
      </w:r>
      <w:r>
        <w:rPr>
          <w:color w:val="4D4D4F"/>
          <w:position w:val="7"/>
          <w:sz w:val="11"/>
        </w:rPr>
        <w:t xml:space="preserve">260 </w:t>
      </w:r>
      <w:r>
        <w:rPr>
          <w:color w:val="4D4D4F"/>
          <w:spacing w:val="-3"/>
        </w:rPr>
        <w:t xml:space="preserve">However, </w:t>
      </w:r>
      <w:r>
        <w:rPr>
          <w:color w:val="4D4D4F"/>
        </w:rPr>
        <w:t>DELWP indicates that in a healthy population, rates of mortality should be balanced or exceeded by rates of recruitment, at least every few years.</w:t>
      </w:r>
      <w:r>
        <w:rPr>
          <w:color w:val="4D4D4F"/>
          <w:position w:val="7"/>
          <w:sz w:val="11"/>
        </w:rPr>
        <w:t xml:space="preserve">261 </w:t>
      </w:r>
      <w:r>
        <w:rPr>
          <w:color w:val="4D4D4F"/>
        </w:rPr>
        <w:t xml:space="preserve">Recruitment has been very low at </w:t>
      </w:r>
      <w:r>
        <w:rPr>
          <w:color w:val="4D4D4F"/>
          <w:spacing w:val="-3"/>
        </w:rPr>
        <w:t xml:space="preserve">Truganina </w:t>
      </w:r>
      <w:r>
        <w:rPr>
          <w:color w:val="4D4D4F"/>
        </w:rPr>
        <w:t xml:space="preserve">Cemetery since at least </w:t>
      </w:r>
      <w:r>
        <w:rPr>
          <w:color w:val="4D4D4F"/>
          <w:spacing w:val="-4"/>
        </w:rPr>
        <w:t xml:space="preserve">2015 </w:t>
      </w:r>
      <w:r>
        <w:rPr>
          <w:color w:val="4D4D4F"/>
        </w:rPr>
        <w:t>(0-4 recruits per year) and this has not kept pace with the rate of</w:t>
      </w:r>
      <w:r>
        <w:rPr>
          <w:color w:val="4D4D4F"/>
          <w:spacing w:val="39"/>
        </w:rPr>
        <w:t xml:space="preserve"> </w:t>
      </w:r>
      <w:r>
        <w:rPr>
          <w:color w:val="4D4D4F"/>
        </w:rPr>
        <w:t>mortality.</w:t>
      </w:r>
    </w:p>
    <w:p w14:paraId="3B85586C" w14:textId="77777777" w:rsidR="00EF5B27" w:rsidRDefault="00EF5B27">
      <w:pPr>
        <w:pStyle w:val="BodyText"/>
      </w:pPr>
    </w:p>
    <w:p w14:paraId="059DF683" w14:textId="77777777" w:rsidR="00EF5B27" w:rsidRDefault="00000000">
      <w:pPr>
        <w:pStyle w:val="BodyText"/>
        <w:spacing w:before="9"/>
        <w:rPr>
          <w:sz w:val="12"/>
        </w:rPr>
      </w:pPr>
      <w:r>
        <w:pict w14:anchorId="34D7BCD1">
          <v:line id="_x0000_s2738" style="position:absolute;z-index:251640320;mso-wrap-distance-left:0;mso-wrap-distance-right:0;mso-position-horizontal-relative:page" from="181.4pt,10pt" to="538.6pt,10pt" strokecolor="#4d4d4f" strokeweight=".5pt">
            <w10:wrap type="topAndBottom" anchorx="page"/>
          </v:line>
        </w:pict>
      </w:r>
    </w:p>
    <w:p w14:paraId="1806B9D0" w14:textId="77777777" w:rsidR="00EF5B27" w:rsidRDefault="00000000">
      <w:pPr>
        <w:pStyle w:val="ListParagraph"/>
        <w:numPr>
          <w:ilvl w:val="0"/>
          <w:numId w:val="20"/>
        </w:numPr>
        <w:tabs>
          <w:tab w:val="left" w:pos="2836"/>
        </w:tabs>
        <w:spacing w:before="83" w:line="143" w:lineRule="exact"/>
        <w:jc w:val="left"/>
        <w:rPr>
          <w:sz w:val="12"/>
        </w:rPr>
      </w:pPr>
      <w:r>
        <w:rPr>
          <w:color w:val="4D4D4F"/>
          <w:sz w:val="12"/>
        </w:rPr>
        <w:t xml:space="preserve">DELWP, internal document, provided </w:t>
      </w:r>
      <w:r>
        <w:rPr>
          <w:color w:val="4D4D4F"/>
          <w:spacing w:val="-3"/>
          <w:sz w:val="12"/>
        </w:rPr>
        <w:t xml:space="preserve">17 </w:t>
      </w:r>
      <w:r>
        <w:rPr>
          <w:color w:val="4D4D4F"/>
          <w:sz w:val="12"/>
        </w:rPr>
        <w:t>January</w:t>
      </w:r>
      <w:r>
        <w:rPr>
          <w:color w:val="4D4D4F"/>
          <w:spacing w:val="17"/>
          <w:sz w:val="12"/>
        </w:rPr>
        <w:t xml:space="preserve"> </w:t>
      </w:r>
      <w:r>
        <w:rPr>
          <w:color w:val="4D4D4F"/>
          <w:spacing w:val="2"/>
          <w:sz w:val="12"/>
        </w:rPr>
        <w:t>2022.</w:t>
      </w:r>
    </w:p>
    <w:p w14:paraId="55131935" w14:textId="77777777" w:rsidR="00EF5B27" w:rsidRDefault="00000000">
      <w:pPr>
        <w:pStyle w:val="ListParagraph"/>
        <w:numPr>
          <w:ilvl w:val="0"/>
          <w:numId w:val="20"/>
        </w:numPr>
        <w:tabs>
          <w:tab w:val="left" w:pos="2836"/>
        </w:tabs>
        <w:spacing w:line="140" w:lineRule="exact"/>
        <w:jc w:val="left"/>
        <w:rPr>
          <w:sz w:val="12"/>
        </w:rPr>
      </w:pPr>
      <w:r>
        <w:rPr>
          <w:color w:val="4D4D4F"/>
          <w:sz w:val="12"/>
        </w:rPr>
        <w:t xml:space="preserve">Prof. John Morgan, </w:t>
      </w:r>
      <w:r>
        <w:rPr>
          <w:color w:val="4D4D4F"/>
          <w:spacing w:val="2"/>
          <w:sz w:val="12"/>
        </w:rPr>
        <w:t xml:space="preserve">La </w:t>
      </w:r>
      <w:r>
        <w:rPr>
          <w:color w:val="4D4D4F"/>
          <w:sz w:val="12"/>
        </w:rPr>
        <w:t>Trobe University, unpublished</w:t>
      </w:r>
      <w:r>
        <w:rPr>
          <w:color w:val="4D4D4F"/>
          <w:spacing w:val="16"/>
          <w:sz w:val="12"/>
        </w:rPr>
        <w:t xml:space="preserve"> </w:t>
      </w:r>
      <w:r>
        <w:rPr>
          <w:color w:val="4D4D4F"/>
          <w:sz w:val="12"/>
        </w:rPr>
        <w:t>data.</w:t>
      </w:r>
    </w:p>
    <w:p w14:paraId="58BAEC61" w14:textId="77777777" w:rsidR="00EF5B27" w:rsidRDefault="00000000">
      <w:pPr>
        <w:pStyle w:val="ListParagraph"/>
        <w:numPr>
          <w:ilvl w:val="0"/>
          <w:numId w:val="20"/>
        </w:numPr>
        <w:tabs>
          <w:tab w:val="left" w:pos="2836"/>
        </w:tabs>
        <w:spacing w:line="140" w:lineRule="exact"/>
        <w:jc w:val="left"/>
        <w:rPr>
          <w:sz w:val="12"/>
        </w:rPr>
      </w:pPr>
      <w:r>
        <w:rPr>
          <w:color w:val="4D4D4F"/>
          <w:sz w:val="12"/>
        </w:rPr>
        <w:t>DELWP,</w:t>
      </w:r>
      <w:r>
        <w:rPr>
          <w:color w:val="4D4D4F"/>
          <w:spacing w:val="12"/>
          <w:sz w:val="12"/>
        </w:rPr>
        <w:t xml:space="preserve"> </w:t>
      </w:r>
      <w:r>
        <w:rPr>
          <w:color w:val="4D4D4F"/>
          <w:sz w:val="12"/>
        </w:rPr>
        <w:t>internal</w:t>
      </w:r>
      <w:r>
        <w:rPr>
          <w:color w:val="4D4D4F"/>
          <w:spacing w:val="13"/>
          <w:sz w:val="12"/>
        </w:rPr>
        <w:t xml:space="preserve"> </w:t>
      </w:r>
      <w:r>
        <w:rPr>
          <w:color w:val="4D4D4F"/>
          <w:sz w:val="12"/>
        </w:rPr>
        <w:t>document,</w:t>
      </w:r>
      <w:r>
        <w:rPr>
          <w:color w:val="4D4D4F"/>
          <w:spacing w:val="13"/>
          <w:sz w:val="12"/>
        </w:rPr>
        <w:t xml:space="preserve"> </w:t>
      </w:r>
      <w:r>
        <w:rPr>
          <w:color w:val="4D4D4F"/>
          <w:sz w:val="12"/>
        </w:rPr>
        <w:t>provided</w:t>
      </w:r>
      <w:r>
        <w:rPr>
          <w:color w:val="4D4D4F"/>
          <w:spacing w:val="13"/>
          <w:sz w:val="12"/>
        </w:rPr>
        <w:t xml:space="preserve"> </w:t>
      </w:r>
      <w:r>
        <w:rPr>
          <w:color w:val="4D4D4F"/>
          <w:spacing w:val="-3"/>
          <w:sz w:val="12"/>
        </w:rPr>
        <w:t>17</w:t>
      </w:r>
      <w:r>
        <w:rPr>
          <w:color w:val="4D4D4F"/>
          <w:spacing w:val="13"/>
          <w:sz w:val="12"/>
        </w:rPr>
        <w:t xml:space="preserve"> </w:t>
      </w:r>
      <w:r>
        <w:rPr>
          <w:color w:val="4D4D4F"/>
          <w:sz w:val="12"/>
        </w:rPr>
        <w:t>January</w:t>
      </w:r>
      <w:r>
        <w:rPr>
          <w:color w:val="4D4D4F"/>
          <w:spacing w:val="13"/>
          <w:sz w:val="12"/>
        </w:rPr>
        <w:t xml:space="preserve"> </w:t>
      </w:r>
      <w:r>
        <w:rPr>
          <w:color w:val="4D4D4F"/>
          <w:spacing w:val="2"/>
          <w:sz w:val="12"/>
        </w:rPr>
        <w:t>2022.</w:t>
      </w:r>
    </w:p>
    <w:p w14:paraId="160B352F" w14:textId="77777777" w:rsidR="00EF5B27" w:rsidRDefault="00000000">
      <w:pPr>
        <w:pStyle w:val="ListParagraph"/>
        <w:numPr>
          <w:ilvl w:val="0"/>
          <w:numId w:val="20"/>
        </w:numPr>
        <w:tabs>
          <w:tab w:val="left" w:pos="2836"/>
        </w:tabs>
        <w:spacing w:line="140" w:lineRule="exact"/>
        <w:jc w:val="left"/>
        <w:rPr>
          <w:sz w:val="12"/>
        </w:rPr>
      </w:pPr>
      <w:r>
        <w:rPr>
          <w:color w:val="4D4D4F"/>
          <w:sz w:val="12"/>
        </w:rPr>
        <w:t>DELWP,</w:t>
      </w:r>
      <w:r>
        <w:rPr>
          <w:color w:val="4D4D4F"/>
          <w:spacing w:val="12"/>
          <w:sz w:val="12"/>
        </w:rPr>
        <w:t xml:space="preserve"> </w:t>
      </w:r>
      <w:r>
        <w:rPr>
          <w:color w:val="4D4D4F"/>
          <w:sz w:val="12"/>
        </w:rPr>
        <w:t>internal</w:t>
      </w:r>
      <w:r>
        <w:rPr>
          <w:color w:val="4D4D4F"/>
          <w:spacing w:val="13"/>
          <w:sz w:val="12"/>
        </w:rPr>
        <w:t xml:space="preserve"> </w:t>
      </w:r>
      <w:r>
        <w:rPr>
          <w:color w:val="4D4D4F"/>
          <w:sz w:val="12"/>
        </w:rPr>
        <w:t>document,</w:t>
      </w:r>
      <w:r>
        <w:rPr>
          <w:color w:val="4D4D4F"/>
          <w:spacing w:val="13"/>
          <w:sz w:val="12"/>
        </w:rPr>
        <w:t xml:space="preserve"> </w:t>
      </w:r>
      <w:r>
        <w:rPr>
          <w:color w:val="4D4D4F"/>
          <w:sz w:val="12"/>
        </w:rPr>
        <w:t>provided</w:t>
      </w:r>
      <w:r>
        <w:rPr>
          <w:color w:val="4D4D4F"/>
          <w:spacing w:val="13"/>
          <w:sz w:val="12"/>
        </w:rPr>
        <w:t xml:space="preserve"> </w:t>
      </w:r>
      <w:r>
        <w:rPr>
          <w:color w:val="4D4D4F"/>
          <w:spacing w:val="-3"/>
          <w:sz w:val="12"/>
        </w:rPr>
        <w:t>17</w:t>
      </w:r>
      <w:r>
        <w:rPr>
          <w:color w:val="4D4D4F"/>
          <w:spacing w:val="13"/>
          <w:sz w:val="12"/>
        </w:rPr>
        <w:t xml:space="preserve"> </w:t>
      </w:r>
      <w:r>
        <w:rPr>
          <w:color w:val="4D4D4F"/>
          <w:sz w:val="12"/>
        </w:rPr>
        <w:t>January</w:t>
      </w:r>
      <w:r>
        <w:rPr>
          <w:color w:val="4D4D4F"/>
          <w:spacing w:val="13"/>
          <w:sz w:val="12"/>
        </w:rPr>
        <w:t xml:space="preserve"> </w:t>
      </w:r>
      <w:r>
        <w:rPr>
          <w:color w:val="4D4D4F"/>
          <w:spacing w:val="2"/>
          <w:sz w:val="12"/>
        </w:rPr>
        <w:t>2022.</w:t>
      </w:r>
    </w:p>
    <w:p w14:paraId="47040DC9" w14:textId="77777777" w:rsidR="00EF5B27" w:rsidRDefault="00000000">
      <w:pPr>
        <w:pStyle w:val="ListParagraph"/>
        <w:numPr>
          <w:ilvl w:val="0"/>
          <w:numId w:val="20"/>
        </w:numPr>
        <w:tabs>
          <w:tab w:val="left" w:pos="2836"/>
        </w:tabs>
        <w:spacing w:line="140" w:lineRule="exact"/>
        <w:jc w:val="left"/>
        <w:rPr>
          <w:sz w:val="12"/>
        </w:rPr>
      </w:pPr>
      <w:r>
        <w:rPr>
          <w:color w:val="4D4D4F"/>
          <w:sz w:val="12"/>
        </w:rPr>
        <w:t>DELWP,</w:t>
      </w:r>
      <w:r>
        <w:rPr>
          <w:color w:val="4D4D4F"/>
          <w:spacing w:val="12"/>
          <w:sz w:val="12"/>
        </w:rPr>
        <w:t xml:space="preserve"> </w:t>
      </w:r>
      <w:r>
        <w:rPr>
          <w:color w:val="4D4D4F"/>
          <w:sz w:val="12"/>
        </w:rPr>
        <w:t>internal</w:t>
      </w:r>
      <w:r>
        <w:rPr>
          <w:color w:val="4D4D4F"/>
          <w:spacing w:val="13"/>
          <w:sz w:val="12"/>
        </w:rPr>
        <w:t xml:space="preserve"> </w:t>
      </w:r>
      <w:r>
        <w:rPr>
          <w:color w:val="4D4D4F"/>
          <w:sz w:val="12"/>
        </w:rPr>
        <w:t>document,</w:t>
      </w:r>
      <w:r>
        <w:rPr>
          <w:color w:val="4D4D4F"/>
          <w:spacing w:val="13"/>
          <w:sz w:val="12"/>
        </w:rPr>
        <w:t xml:space="preserve"> </w:t>
      </w:r>
      <w:r>
        <w:rPr>
          <w:color w:val="4D4D4F"/>
          <w:sz w:val="12"/>
        </w:rPr>
        <w:t>provided</w:t>
      </w:r>
      <w:r>
        <w:rPr>
          <w:color w:val="4D4D4F"/>
          <w:spacing w:val="13"/>
          <w:sz w:val="12"/>
        </w:rPr>
        <w:t xml:space="preserve"> </w:t>
      </w:r>
      <w:r>
        <w:rPr>
          <w:color w:val="4D4D4F"/>
          <w:spacing w:val="-3"/>
          <w:sz w:val="12"/>
        </w:rPr>
        <w:t>17</w:t>
      </w:r>
      <w:r>
        <w:rPr>
          <w:color w:val="4D4D4F"/>
          <w:spacing w:val="13"/>
          <w:sz w:val="12"/>
        </w:rPr>
        <w:t xml:space="preserve"> </w:t>
      </w:r>
      <w:r>
        <w:rPr>
          <w:color w:val="4D4D4F"/>
          <w:sz w:val="12"/>
        </w:rPr>
        <w:t>January</w:t>
      </w:r>
      <w:r>
        <w:rPr>
          <w:color w:val="4D4D4F"/>
          <w:spacing w:val="13"/>
          <w:sz w:val="12"/>
        </w:rPr>
        <w:t xml:space="preserve"> </w:t>
      </w:r>
      <w:r>
        <w:rPr>
          <w:color w:val="4D4D4F"/>
          <w:spacing w:val="2"/>
          <w:sz w:val="12"/>
        </w:rPr>
        <w:t>2022.</w:t>
      </w:r>
    </w:p>
    <w:p w14:paraId="0191BD54" w14:textId="77777777" w:rsidR="00EF5B27" w:rsidRDefault="00000000">
      <w:pPr>
        <w:pStyle w:val="ListParagraph"/>
        <w:numPr>
          <w:ilvl w:val="0"/>
          <w:numId w:val="20"/>
        </w:numPr>
        <w:tabs>
          <w:tab w:val="left" w:pos="2836"/>
        </w:tabs>
        <w:spacing w:line="140" w:lineRule="exact"/>
        <w:jc w:val="left"/>
        <w:rPr>
          <w:sz w:val="12"/>
        </w:rPr>
      </w:pPr>
      <w:r>
        <w:rPr>
          <w:color w:val="4D4D4F"/>
          <w:sz w:val="12"/>
        </w:rPr>
        <w:t>DELWP,</w:t>
      </w:r>
      <w:r>
        <w:rPr>
          <w:color w:val="4D4D4F"/>
          <w:spacing w:val="12"/>
          <w:sz w:val="12"/>
        </w:rPr>
        <w:t xml:space="preserve"> </w:t>
      </w:r>
      <w:r>
        <w:rPr>
          <w:color w:val="4D4D4F"/>
          <w:sz w:val="12"/>
        </w:rPr>
        <w:t>internal</w:t>
      </w:r>
      <w:r>
        <w:rPr>
          <w:color w:val="4D4D4F"/>
          <w:spacing w:val="13"/>
          <w:sz w:val="12"/>
        </w:rPr>
        <w:t xml:space="preserve"> </w:t>
      </w:r>
      <w:r>
        <w:rPr>
          <w:color w:val="4D4D4F"/>
          <w:sz w:val="12"/>
        </w:rPr>
        <w:t>document,</w:t>
      </w:r>
      <w:r>
        <w:rPr>
          <w:color w:val="4D4D4F"/>
          <w:spacing w:val="13"/>
          <w:sz w:val="12"/>
        </w:rPr>
        <w:t xml:space="preserve"> </w:t>
      </w:r>
      <w:r>
        <w:rPr>
          <w:color w:val="4D4D4F"/>
          <w:sz w:val="12"/>
        </w:rPr>
        <w:t>provided</w:t>
      </w:r>
      <w:r>
        <w:rPr>
          <w:color w:val="4D4D4F"/>
          <w:spacing w:val="13"/>
          <w:sz w:val="12"/>
        </w:rPr>
        <w:t xml:space="preserve"> </w:t>
      </w:r>
      <w:r>
        <w:rPr>
          <w:color w:val="4D4D4F"/>
          <w:spacing w:val="-3"/>
          <w:sz w:val="12"/>
        </w:rPr>
        <w:t>17</w:t>
      </w:r>
      <w:r>
        <w:rPr>
          <w:color w:val="4D4D4F"/>
          <w:spacing w:val="13"/>
          <w:sz w:val="12"/>
        </w:rPr>
        <w:t xml:space="preserve"> </w:t>
      </w:r>
      <w:r>
        <w:rPr>
          <w:color w:val="4D4D4F"/>
          <w:sz w:val="12"/>
        </w:rPr>
        <w:t>January</w:t>
      </w:r>
      <w:r>
        <w:rPr>
          <w:color w:val="4D4D4F"/>
          <w:spacing w:val="13"/>
          <w:sz w:val="12"/>
        </w:rPr>
        <w:t xml:space="preserve"> </w:t>
      </w:r>
      <w:r>
        <w:rPr>
          <w:color w:val="4D4D4F"/>
          <w:spacing w:val="2"/>
          <w:sz w:val="12"/>
        </w:rPr>
        <w:t>2022.</w:t>
      </w:r>
    </w:p>
    <w:p w14:paraId="4F18E2CE" w14:textId="77777777" w:rsidR="00EF5B27" w:rsidRDefault="00000000">
      <w:pPr>
        <w:pStyle w:val="ListParagraph"/>
        <w:numPr>
          <w:ilvl w:val="0"/>
          <w:numId w:val="20"/>
        </w:numPr>
        <w:tabs>
          <w:tab w:val="left" w:pos="2836"/>
        </w:tabs>
        <w:spacing w:line="140" w:lineRule="exact"/>
        <w:jc w:val="left"/>
        <w:rPr>
          <w:sz w:val="12"/>
        </w:rPr>
      </w:pPr>
      <w:r>
        <w:rPr>
          <w:color w:val="4D4D4F"/>
          <w:sz w:val="12"/>
        </w:rPr>
        <w:t>DELWP,</w:t>
      </w:r>
      <w:r>
        <w:rPr>
          <w:color w:val="4D4D4F"/>
          <w:spacing w:val="12"/>
          <w:sz w:val="12"/>
        </w:rPr>
        <w:t xml:space="preserve"> </w:t>
      </w:r>
      <w:r>
        <w:rPr>
          <w:color w:val="4D4D4F"/>
          <w:sz w:val="12"/>
        </w:rPr>
        <w:t>internal</w:t>
      </w:r>
      <w:r>
        <w:rPr>
          <w:color w:val="4D4D4F"/>
          <w:spacing w:val="13"/>
          <w:sz w:val="12"/>
        </w:rPr>
        <w:t xml:space="preserve"> </w:t>
      </w:r>
      <w:r>
        <w:rPr>
          <w:color w:val="4D4D4F"/>
          <w:sz w:val="12"/>
        </w:rPr>
        <w:t>document,</w:t>
      </w:r>
      <w:r>
        <w:rPr>
          <w:color w:val="4D4D4F"/>
          <w:spacing w:val="13"/>
          <w:sz w:val="12"/>
        </w:rPr>
        <w:t xml:space="preserve"> </w:t>
      </w:r>
      <w:r>
        <w:rPr>
          <w:color w:val="4D4D4F"/>
          <w:sz w:val="12"/>
        </w:rPr>
        <w:t>provided</w:t>
      </w:r>
      <w:r>
        <w:rPr>
          <w:color w:val="4D4D4F"/>
          <w:spacing w:val="13"/>
          <w:sz w:val="12"/>
        </w:rPr>
        <w:t xml:space="preserve"> </w:t>
      </w:r>
      <w:r>
        <w:rPr>
          <w:color w:val="4D4D4F"/>
          <w:spacing w:val="-3"/>
          <w:sz w:val="12"/>
        </w:rPr>
        <w:t>17</w:t>
      </w:r>
      <w:r>
        <w:rPr>
          <w:color w:val="4D4D4F"/>
          <w:spacing w:val="13"/>
          <w:sz w:val="12"/>
        </w:rPr>
        <w:t xml:space="preserve"> </w:t>
      </w:r>
      <w:r>
        <w:rPr>
          <w:color w:val="4D4D4F"/>
          <w:sz w:val="12"/>
        </w:rPr>
        <w:t>January</w:t>
      </w:r>
      <w:r>
        <w:rPr>
          <w:color w:val="4D4D4F"/>
          <w:spacing w:val="13"/>
          <w:sz w:val="12"/>
        </w:rPr>
        <w:t xml:space="preserve"> </w:t>
      </w:r>
      <w:r>
        <w:rPr>
          <w:color w:val="4D4D4F"/>
          <w:spacing w:val="2"/>
          <w:sz w:val="12"/>
        </w:rPr>
        <w:t>2022.</w:t>
      </w:r>
    </w:p>
    <w:p w14:paraId="08C1E7E2" w14:textId="77777777" w:rsidR="00EF5B27" w:rsidRDefault="00000000">
      <w:pPr>
        <w:pStyle w:val="ListParagraph"/>
        <w:numPr>
          <w:ilvl w:val="0"/>
          <w:numId w:val="20"/>
        </w:numPr>
        <w:tabs>
          <w:tab w:val="left" w:pos="2836"/>
        </w:tabs>
        <w:spacing w:line="140" w:lineRule="exact"/>
        <w:jc w:val="left"/>
        <w:rPr>
          <w:sz w:val="12"/>
        </w:rPr>
      </w:pPr>
      <w:r>
        <w:rPr>
          <w:color w:val="4D4D4F"/>
          <w:sz w:val="12"/>
        </w:rPr>
        <w:t>DELWP,</w:t>
      </w:r>
      <w:r>
        <w:rPr>
          <w:color w:val="4D4D4F"/>
          <w:spacing w:val="12"/>
          <w:sz w:val="12"/>
        </w:rPr>
        <w:t xml:space="preserve"> </w:t>
      </w:r>
      <w:r>
        <w:rPr>
          <w:color w:val="4D4D4F"/>
          <w:sz w:val="12"/>
        </w:rPr>
        <w:t>internal</w:t>
      </w:r>
      <w:r>
        <w:rPr>
          <w:color w:val="4D4D4F"/>
          <w:spacing w:val="13"/>
          <w:sz w:val="12"/>
        </w:rPr>
        <w:t xml:space="preserve"> </w:t>
      </w:r>
      <w:r>
        <w:rPr>
          <w:color w:val="4D4D4F"/>
          <w:sz w:val="12"/>
        </w:rPr>
        <w:t>document,</w:t>
      </w:r>
      <w:r>
        <w:rPr>
          <w:color w:val="4D4D4F"/>
          <w:spacing w:val="13"/>
          <w:sz w:val="12"/>
        </w:rPr>
        <w:t xml:space="preserve"> </w:t>
      </w:r>
      <w:r>
        <w:rPr>
          <w:color w:val="4D4D4F"/>
          <w:sz w:val="12"/>
        </w:rPr>
        <w:t>provided</w:t>
      </w:r>
      <w:r>
        <w:rPr>
          <w:color w:val="4D4D4F"/>
          <w:spacing w:val="13"/>
          <w:sz w:val="12"/>
        </w:rPr>
        <w:t xml:space="preserve"> </w:t>
      </w:r>
      <w:r>
        <w:rPr>
          <w:color w:val="4D4D4F"/>
          <w:spacing w:val="-3"/>
          <w:sz w:val="12"/>
        </w:rPr>
        <w:t>17</w:t>
      </w:r>
      <w:r>
        <w:rPr>
          <w:color w:val="4D4D4F"/>
          <w:spacing w:val="13"/>
          <w:sz w:val="12"/>
        </w:rPr>
        <w:t xml:space="preserve"> </w:t>
      </w:r>
      <w:r>
        <w:rPr>
          <w:color w:val="4D4D4F"/>
          <w:sz w:val="12"/>
        </w:rPr>
        <w:t>January</w:t>
      </w:r>
      <w:r>
        <w:rPr>
          <w:color w:val="4D4D4F"/>
          <w:spacing w:val="13"/>
          <w:sz w:val="12"/>
        </w:rPr>
        <w:t xml:space="preserve"> </w:t>
      </w:r>
      <w:r>
        <w:rPr>
          <w:color w:val="4D4D4F"/>
          <w:spacing w:val="2"/>
          <w:sz w:val="12"/>
        </w:rPr>
        <w:t>2022.</w:t>
      </w:r>
    </w:p>
    <w:p w14:paraId="11E98F63" w14:textId="77777777" w:rsidR="00EF5B27" w:rsidRDefault="00000000">
      <w:pPr>
        <w:pStyle w:val="ListParagraph"/>
        <w:numPr>
          <w:ilvl w:val="0"/>
          <w:numId w:val="20"/>
        </w:numPr>
        <w:tabs>
          <w:tab w:val="left" w:pos="2836"/>
        </w:tabs>
        <w:spacing w:line="143" w:lineRule="exact"/>
        <w:jc w:val="left"/>
        <w:rPr>
          <w:sz w:val="12"/>
        </w:rPr>
      </w:pPr>
      <w:r>
        <w:rPr>
          <w:color w:val="4D4D4F"/>
          <w:sz w:val="12"/>
        </w:rPr>
        <w:t>DELWP,</w:t>
      </w:r>
      <w:r>
        <w:rPr>
          <w:color w:val="4D4D4F"/>
          <w:spacing w:val="12"/>
          <w:sz w:val="12"/>
        </w:rPr>
        <w:t xml:space="preserve"> </w:t>
      </w:r>
      <w:r>
        <w:rPr>
          <w:color w:val="4D4D4F"/>
          <w:sz w:val="12"/>
        </w:rPr>
        <w:t>internal</w:t>
      </w:r>
      <w:r>
        <w:rPr>
          <w:color w:val="4D4D4F"/>
          <w:spacing w:val="13"/>
          <w:sz w:val="12"/>
        </w:rPr>
        <w:t xml:space="preserve"> </w:t>
      </w:r>
      <w:r>
        <w:rPr>
          <w:color w:val="4D4D4F"/>
          <w:sz w:val="12"/>
        </w:rPr>
        <w:t>document,</w:t>
      </w:r>
      <w:r>
        <w:rPr>
          <w:color w:val="4D4D4F"/>
          <w:spacing w:val="13"/>
          <w:sz w:val="12"/>
        </w:rPr>
        <w:t xml:space="preserve"> </w:t>
      </w:r>
      <w:r>
        <w:rPr>
          <w:color w:val="4D4D4F"/>
          <w:sz w:val="12"/>
        </w:rPr>
        <w:t>provided</w:t>
      </w:r>
      <w:r>
        <w:rPr>
          <w:color w:val="4D4D4F"/>
          <w:spacing w:val="13"/>
          <w:sz w:val="12"/>
        </w:rPr>
        <w:t xml:space="preserve"> </w:t>
      </w:r>
      <w:r>
        <w:rPr>
          <w:color w:val="4D4D4F"/>
          <w:spacing w:val="-3"/>
          <w:sz w:val="12"/>
        </w:rPr>
        <w:t>17</w:t>
      </w:r>
      <w:r>
        <w:rPr>
          <w:color w:val="4D4D4F"/>
          <w:spacing w:val="13"/>
          <w:sz w:val="12"/>
        </w:rPr>
        <w:t xml:space="preserve"> </w:t>
      </w:r>
      <w:r>
        <w:rPr>
          <w:color w:val="4D4D4F"/>
          <w:sz w:val="12"/>
        </w:rPr>
        <w:t>January</w:t>
      </w:r>
      <w:r>
        <w:rPr>
          <w:color w:val="4D4D4F"/>
          <w:spacing w:val="13"/>
          <w:sz w:val="12"/>
        </w:rPr>
        <w:t xml:space="preserve"> </w:t>
      </w:r>
      <w:r>
        <w:rPr>
          <w:color w:val="4D4D4F"/>
          <w:spacing w:val="2"/>
          <w:sz w:val="12"/>
        </w:rPr>
        <w:t>2022.</w:t>
      </w:r>
    </w:p>
    <w:p w14:paraId="482E8AFA"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3C9673A2" w14:textId="77777777" w:rsidR="00EF5B27" w:rsidRDefault="00EF5B27">
      <w:pPr>
        <w:pStyle w:val="BodyText"/>
      </w:pPr>
    </w:p>
    <w:p w14:paraId="72DEED62" w14:textId="77777777" w:rsidR="00EF5B27" w:rsidRDefault="00EF5B27">
      <w:pPr>
        <w:pStyle w:val="BodyText"/>
      </w:pPr>
    </w:p>
    <w:p w14:paraId="6D45B924" w14:textId="77777777" w:rsidR="00EF5B27" w:rsidRDefault="00EF5B27">
      <w:pPr>
        <w:pStyle w:val="BodyText"/>
      </w:pPr>
    </w:p>
    <w:p w14:paraId="26DC93B0" w14:textId="77777777" w:rsidR="00EF5B27" w:rsidRDefault="00EF5B27">
      <w:pPr>
        <w:pStyle w:val="BodyText"/>
        <w:spacing w:before="12"/>
        <w:rPr>
          <w:sz w:val="22"/>
        </w:rPr>
      </w:pPr>
    </w:p>
    <w:p w14:paraId="771A9948" w14:textId="77777777" w:rsidR="00EF5B27" w:rsidRDefault="00000000">
      <w:pPr>
        <w:pStyle w:val="Heading3"/>
        <w:spacing w:before="115"/>
      </w:pPr>
      <w:r>
        <w:rPr>
          <w:color w:val="F99F2A"/>
        </w:rPr>
        <w:t>Key insights and management implications</w:t>
      </w:r>
    </w:p>
    <w:p w14:paraId="527750E6" w14:textId="77777777" w:rsidR="00EF5B27" w:rsidRDefault="00000000">
      <w:pPr>
        <w:pStyle w:val="BodyText"/>
        <w:spacing w:before="221" w:line="254" w:lineRule="auto"/>
        <w:ind w:left="2608" w:right="598"/>
      </w:pPr>
      <w:r>
        <w:rPr>
          <w:color w:val="4D4D4F"/>
        </w:rPr>
        <w:t xml:space="preserve">It seems clear that recruitment is failing for the Button Wrinklewort at </w:t>
      </w:r>
      <w:r>
        <w:rPr>
          <w:color w:val="4D4D4F"/>
          <w:spacing w:val="-3"/>
        </w:rPr>
        <w:t xml:space="preserve">Truganina </w:t>
      </w:r>
      <w:r>
        <w:rPr>
          <w:color w:val="4D4D4F"/>
        </w:rPr>
        <w:t>Cemetery and targeted research is required to determine why this is. This lack    of recruitment may become an issue for the long-term viability of the</w:t>
      </w:r>
      <w:r>
        <w:rPr>
          <w:color w:val="4D4D4F"/>
          <w:spacing w:val="-1"/>
        </w:rPr>
        <w:t xml:space="preserve"> </w:t>
      </w:r>
      <w:r>
        <w:rPr>
          <w:color w:val="4D4D4F"/>
        </w:rPr>
        <w:t>population;</w:t>
      </w:r>
    </w:p>
    <w:p w14:paraId="46675734" w14:textId="77777777" w:rsidR="00EF5B27" w:rsidRDefault="00000000">
      <w:pPr>
        <w:pStyle w:val="BodyText"/>
        <w:spacing w:before="4" w:line="254" w:lineRule="auto"/>
        <w:ind w:left="2608" w:right="352"/>
      </w:pPr>
      <w:r>
        <w:rPr>
          <w:color w:val="4D4D4F"/>
        </w:rPr>
        <w:t>however, this is currently unclear given the limited amount of data available. Issues of detectability are unlikely to be majorly impacting monitoring results, due to the species being visible all year round – it doesn't go below ground and therefore is relatively easy to observe.</w:t>
      </w:r>
    </w:p>
    <w:p w14:paraId="058942F5" w14:textId="77777777" w:rsidR="00EF5B27" w:rsidRDefault="00000000">
      <w:pPr>
        <w:pStyle w:val="BodyText"/>
        <w:spacing w:before="118" w:line="254" w:lineRule="auto"/>
        <w:ind w:left="2608" w:right="206"/>
      </w:pPr>
      <w:r>
        <w:rPr>
          <w:color w:val="4D4D4F"/>
        </w:rPr>
        <w:t>DELWP observed that other Button Wrinklewort populations have regular recruitment at higher levels,</w:t>
      </w:r>
      <w:r>
        <w:rPr>
          <w:color w:val="4D4D4F"/>
          <w:position w:val="7"/>
          <w:sz w:val="11"/>
        </w:rPr>
        <w:t xml:space="preserve">262 </w:t>
      </w:r>
      <w:r>
        <w:rPr>
          <w:color w:val="4D4D4F"/>
        </w:rPr>
        <w:t xml:space="preserve">suggesting that recruitment failure at </w:t>
      </w:r>
      <w:r>
        <w:rPr>
          <w:color w:val="4D4D4F"/>
          <w:spacing w:val="-3"/>
        </w:rPr>
        <w:t xml:space="preserve">Truganina </w:t>
      </w:r>
      <w:r>
        <w:rPr>
          <w:color w:val="4D4D4F"/>
        </w:rPr>
        <w:t xml:space="preserve">Cemetery is a significant and isolated problem. For example, in </w:t>
      </w:r>
      <w:r>
        <w:rPr>
          <w:color w:val="4D4D4F"/>
          <w:spacing w:val="-3"/>
        </w:rPr>
        <w:t xml:space="preserve">2021, </w:t>
      </w:r>
      <w:r>
        <w:rPr>
          <w:color w:val="4D4D4F"/>
        </w:rPr>
        <w:t xml:space="preserve">DELWP observed 63 recruits in  a recently planted population of 620 plants (i.e. of similar </w:t>
      </w:r>
      <w:r>
        <w:rPr>
          <w:color w:val="4D4D4F"/>
          <w:spacing w:val="-3"/>
        </w:rPr>
        <w:t xml:space="preserve">size </w:t>
      </w:r>
      <w:r>
        <w:rPr>
          <w:color w:val="4D4D4F"/>
        </w:rPr>
        <w:t xml:space="preserve">to </w:t>
      </w:r>
      <w:r>
        <w:rPr>
          <w:color w:val="4D4D4F"/>
          <w:spacing w:val="-3"/>
        </w:rPr>
        <w:t xml:space="preserve">Truganina </w:t>
      </w:r>
      <w:r>
        <w:rPr>
          <w:color w:val="4D4D4F"/>
        </w:rPr>
        <w:t xml:space="preserve">Cemetery), growing only a few kilometres away from </w:t>
      </w:r>
      <w:r>
        <w:rPr>
          <w:color w:val="4D4D4F"/>
          <w:spacing w:val="-3"/>
        </w:rPr>
        <w:t>Truganina</w:t>
      </w:r>
      <w:r>
        <w:rPr>
          <w:color w:val="4D4D4F"/>
          <w:spacing w:val="39"/>
        </w:rPr>
        <w:t xml:space="preserve"> </w:t>
      </w:r>
      <w:r>
        <w:rPr>
          <w:color w:val="4D4D4F"/>
        </w:rPr>
        <w:t>Cemetery.</w:t>
      </w:r>
    </w:p>
    <w:p w14:paraId="7DDA550A" w14:textId="77777777" w:rsidR="00EF5B27" w:rsidRDefault="00000000">
      <w:pPr>
        <w:pStyle w:val="BodyText"/>
        <w:spacing w:before="120" w:line="254" w:lineRule="auto"/>
        <w:ind w:left="2608" w:right="221" w:hanging="1"/>
      </w:pPr>
      <w:r>
        <w:rPr>
          <w:color w:val="4D4D4F"/>
        </w:rPr>
        <w:t xml:space="preserve">At </w:t>
      </w:r>
      <w:r>
        <w:rPr>
          <w:color w:val="4D4D4F"/>
          <w:spacing w:val="-3"/>
        </w:rPr>
        <w:t xml:space="preserve">Truganina </w:t>
      </w:r>
      <w:r>
        <w:rPr>
          <w:color w:val="4D4D4F"/>
        </w:rPr>
        <w:t>Cemetery, adult plants are surviving at the anticipated rate.</w:t>
      </w:r>
      <w:r>
        <w:rPr>
          <w:color w:val="4D4D4F"/>
          <w:position w:val="7"/>
          <w:sz w:val="11"/>
        </w:rPr>
        <w:t xml:space="preserve">263 </w:t>
      </w:r>
      <w:r>
        <w:rPr>
          <w:color w:val="4D4D4F"/>
        </w:rPr>
        <w:t>It is speculated that rabbits may be eating the adult plants and creating a browsing  pressure on the species, as signs of rabbit occupation have greatly increased in recent years.</w:t>
      </w:r>
      <w:r>
        <w:rPr>
          <w:color w:val="4D4D4F"/>
          <w:position w:val="7"/>
          <w:sz w:val="11"/>
        </w:rPr>
        <w:t xml:space="preserve">264 </w:t>
      </w:r>
      <w:r>
        <w:rPr>
          <w:color w:val="4D4D4F"/>
        </w:rPr>
        <w:t>It is thought that development in surrounding areas may be encouraging rabbits into the site. It is possible too, that invertebrates may be eating new recruits. Ongoing drought stress is also thought to be a factor in a failure of recruitment at the site.</w:t>
      </w:r>
      <w:r>
        <w:rPr>
          <w:color w:val="4D4D4F"/>
          <w:position w:val="7"/>
          <w:sz w:val="11"/>
        </w:rPr>
        <w:t xml:space="preserve">265 </w:t>
      </w:r>
      <w:r>
        <w:rPr>
          <w:color w:val="4D4D4F"/>
        </w:rPr>
        <w:t>Further research is required to understand the causative factors underlying failure in population</w:t>
      </w:r>
      <w:r>
        <w:rPr>
          <w:color w:val="4D4D4F"/>
          <w:spacing w:val="11"/>
        </w:rPr>
        <w:t xml:space="preserve"> </w:t>
      </w:r>
      <w:r>
        <w:rPr>
          <w:color w:val="4D4D4F"/>
        </w:rPr>
        <w:t>recruitment.</w:t>
      </w:r>
    </w:p>
    <w:p w14:paraId="3BFD6EFF" w14:textId="77777777" w:rsidR="00EF5B27" w:rsidRDefault="00000000">
      <w:pPr>
        <w:pStyle w:val="BodyText"/>
        <w:spacing w:before="123" w:line="254" w:lineRule="auto"/>
        <w:ind w:left="2608" w:right="151"/>
        <w:rPr>
          <w:sz w:val="11"/>
        </w:rPr>
      </w:pPr>
      <w:r>
        <w:rPr>
          <w:color w:val="4D4D4F"/>
          <w:spacing w:val="-3"/>
        </w:rPr>
        <w:t xml:space="preserve">Recent studies </w:t>
      </w:r>
      <w:r>
        <w:rPr>
          <w:color w:val="4D4D4F"/>
          <w:spacing w:val="-4"/>
        </w:rPr>
        <w:t xml:space="preserve">(not </w:t>
      </w:r>
      <w:r>
        <w:rPr>
          <w:color w:val="4D4D4F"/>
        </w:rPr>
        <w:t xml:space="preserve">supported </w:t>
      </w:r>
      <w:r>
        <w:rPr>
          <w:color w:val="4D4D4F"/>
          <w:spacing w:val="-4"/>
        </w:rPr>
        <w:t xml:space="preserve">financially </w:t>
      </w:r>
      <w:r>
        <w:rPr>
          <w:color w:val="4D4D4F"/>
        </w:rPr>
        <w:t xml:space="preserve">by MSA but supported via in-kind </w:t>
      </w:r>
      <w:r>
        <w:rPr>
          <w:color w:val="4D4D4F"/>
          <w:spacing w:val="-3"/>
        </w:rPr>
        <w:t xml:space="preserve">contribution) </w:t>
      </w:r>
      <w:r>
        <w:rPr>
          <w:color w:val="4D4D4F"/>
        </w:rPr>
        <w:t xml:space="preserve">indicate that reductions in seed production due to pollinator limitation is perhaps a minor contributing </w:t>
      </w:r>
      <w:r>
        <w:rPr>
          <w:color w:val="4D4D4F"/>
          <w:spacing w:val="-3"/>
        </w:rPr>
        <w:t xml:space="preserve">factor, </w:t>
      </w:r>
      <w:r>
        <w:rPr>
          <w:color w:val="4D4D4F"/>
        </w:rPr>
        <w:t>but not a major problem at Truganina.</w:t>
      </w:r>
      <w:r>
        <w:rPr>
          <w:color w:val="4D4D4F"/>
          <w:position w:val="7"/>
          <w:sz w:val="11"/>
        </w:rPr>
        <w:t>266</w:t>
      </w:r>
    </w:p>
    <w:p w14:paraId="04980AFA" w14:textId="77777777" w:rsidR="00EF5B27" w:rsidRDefault="00000000">
      <w:pPr>
        <w:pStyle w:val="BodyText"/>
        <w:spacing w:before="117" w:line="254" w:lineRule="auto"/>
        <w:ind w:left="2608" w:right="465"/>
      </w:pPr>
      <w:r>
        <w:rPr>
          <w:color w:val="4D4D4F"/>
        </w:rPr>
        <w:t>DELWP has evidence that the seed produced from the MSA Button Wrinklewort plants is highly germinable.</w:t>
      </w:r>
      <w:r>
        <w:rPr>
          <w:color w:val="4D4D4F"/>
          <w:position w:val="7"/>
          <w:sz w:val="11"/>
        </w:rPr>
        <w:t xml:space="preserve">267 </w:t>
      </w:r>
      <w:r>
        <w:rPr>
          <w:color w:val="4D4D4F"/>
        </w:rPr>
        <w:t xml:space="preserve">The MSA program has contracted </w:t>
      </w:r>
      <w:r>
        <w:rPr>
          <w:color w:val="4D4D4F"/>
          <w:spacing w:val="2"/>
        </w:rPr>
        <w:t xml:space="preserve">La </w:t>
      </w:r>
      <w:r>
        <w:rPr>
          <w:color w:val="4D4D4F"/>
          <w:spacing w:val="-3"/>
        </w:rPr>
        <w:t xml:space="preserve">Trobe </w:t>
      </w:r>
      <w:r>
        <w:rPr>
          <w:color w:val="4D4D4F"/>
        </w:rPr>
        <w:t>University  to</w:t>
      </w:r>
      <w:r>
        <w:rPr>
          <w:color w:val="4D4D4F"/>
          <w:spacing w:val="7"/>
        </w:rPr>
        <w:t xml:space="preserve"> </w:t>
      </w:r>
      <w:r>
        <w:rPr>
          <w:color w:val="4D4D4F"/>
        </w:rPr>
        <w:t>produce</w:t>
      </w:r>
      <w:r>
        <w:rPr>
          <w:color w:val="4D4D4F"/>
          <w:spacing w:val="7"/>
        </w:rPr>
        <w:t xml:space="preserve"> </w:t>
      </w:r>
      <w:r>
        <w:rPr>
          <w:color w:val="4D4D4F"/>
        </w:rPr>
        <w:t>plants</w:t>
      </w:r>
      <w:r>
        <w:rPr>
          <w:color w:val="4D4D4F"/>
          <w:spacing w:val="7"/>
        </w:rPr>
        <w:t xml:space="preserve"> </w:t>
      </w:r>
      <w:r>
        <w:rPr>
          <w:color w:val="4D4D4F"/>
        </w:rPr>
        <w:t>from</w:t>
      </w:r>
      <w:r>
        <w:rPr>
          <w:color w:val="4D4D4F"/>
          <w:spacing w:val="7"/>
        </w:rPr>
        <w:t xml:space="preserve"> </w:t>
      </w:r>
      <w:r>
        <w:rPr>
          <w:color w:val="4D4D4F"/>
        </w:rPr>
        <w:t>seed</w:t>
      </w:r>
      <w:r>
        <w:rPr>
          <w:color w:val="4D4D4F"/>
          <w:spacing w:val="7"/>
        </w:rPr>
        <w:t xml:space="preserve"> </w:t>
      </w:r>
      <w:r>
        <w:rPr>
          <w:color w:val="4D4D4F"/>
        </w:rPr>
        <w:t>collected</w:t>
      </w:r>
      <w:r>
        <w:rPr>
          <w:color w:val="4D4D4F"/>
          <w:spacing w:val="7"/>
        </w:rPr>
        <w:t xml:space="preserve"> </w:t>
      </w:r>
      <w:r>
        <w:rPr>
          <w:color w:val="4D4D4F"/>
        </w:rPr>
        <w:t>at</w:t>
      </w:r>
      <w:r>
        <w:rPr>
          <w:color w:val="4D4D4F"/>
          <w:spacing w:val="7"/>
        </w:rPr>
        <w:t xml:space="preserve"> </w:t>
      </w:r>
      <w:r>
        <w:rPr>
          <w:color w:val="4D4D4F"/>
          <w:spacing w:val="-3"/>
        </w:rPr>
        <w:t>Truganina</w:t>
      </w:r>
      <w:r>
        <w:rPr>
          <w:color w:val="4D4D4F"/>
          <w:spacing w:val="7"/>
        </w:rPr>
        <w:t xml:space="preserve"> </w:t>
      </w:r>
      <w:r>
        <w:rPr>
          <w:color w:val="4D4D4F"/>
        </w:rPr>
        <w:t>and</w:t>
      </w:r>
      <w:r>
        <w:rPr>
          <w:color w:val="4D4D4F"/>
          <w:spacing w:val="7"/>
        </w:rPr>
        <w:t xml:space="preserve"> </w:t>
      </w:r>
      <w:r>
        <w:rPr>
          <w:color w:val="4D4D4F"/>
        </w:rPr>
        <w:t>this</w:t>
      </w:r>
      <w:r>
        <w:rPr>
          <w:color w:val="4D4D4F"/>
          <w:spacing w:val="8"/>
        </w:rPr>
        <w:t xml:space="preserve"> </w:t>
      </w:r>
      <w:r>
        <w:rPr>
          <w:color w:val="4D4D4F"/>
        </w:rPr>
        <w:t>seed</w:t>
      </w:r>
      <w:r>
        <w:rPr>
          <w:color w:val="4D4D4F"/>
          <w:spacing w:val="7"/>
        </w:rPr>
        <w:t xml:space="preserve"> </w:t>
      </w:r>
      <w:r>
        <w:rPr>
          <w:color w:val="4D4D4F"/>
        </w:rPr>
        <w:t>has</w:t>
      </w:r>
      <w:r>
        <w:rPr>
          <w:color w:val="4D4D4F"/>
          <w:spacing w:val="7"/>
        </w:rPr>
        <w:t xml:space="preserve"> </w:t>
      </w:r>
      <w:r>
        <w:rPr>
          <w:color w:val="4D4D4F"/>
        </w:rPr>
        <w:t>germinated</w:t>
      </w:r>
    </w:p>
    <w:p w14:paraId="57E9C03B" w14:textId="77777777" w:rsidR="00EF5B27" w:rsidRDefault="00000000">
      <w:pPr>
        <w:pStyle w:val="BodyText"/>
        <w:tabs>
          <w:tab w:val="left" w:pos="2268"/>
          <w:tab w:val="left" w:pos="2608"/>
        </w:tabs>
        <w:spacing w:before="3"/>
        <w:ind w:left="113"/>
      </w:pPr>
      <w:r>
        <w:rPr>
          <w:color w:val="4D4D4F"/>
          <w:w w:val="110"/>
          <w:u w:val="single" w:color="4D4D4F"/>
        </w:rPr>
        <w:t xml:space="preserve"> </w:t>
      </w:r>
      <w:r>
        <w:rPr>
          <w:color w:val="4D4D4F"/>
          <w:u w:val="single" w:color="4D4D4F"/>
        </w:rPr>
        <w:tab/>
      </w:r>
      <w:r>
        <w:rPr>
          <w:color w:val="4D4D4F"/>
        </w:rPr>
        <w:tab/>
        <w:t>to produce healthy plants (~85% of seed has resulted in a plant potted up to a</w:t>
      </w:r>
      <w:r>
        <w:rPr>
          <w:color w:val="4D4D4F"/>
          <w:spacing w:val="33"/>
        </w:rPr>
        <w:t xml:space="preserve"> </w:t>
      </w:r>
      <w:r>
        <w:rPr>
          <w:color w:val="4D4D4F"/>
          <w:spacing w:val="-6"/>
        </w:rPr>
        <w:t>6”</w:t>
      </w:r>
    </w:p>
    <w:p w14:paraId="3D80861A" w14:textId="77777777" w:rsidR="00EF5B27" w:rsidRDefault="00EF5B27">
      <w:pPr>
        <w:sectPr w:rsidR="00EF5B27">
          <w:pgSz w:w="11910" w:h="16840"/>
          <w:pgMar w:top="1080" w:right="1020" w:bottom="860" w:left="1020" w:header="537" w:footer="678" w:gutter="0"/>
          <w:cols w:space="720"/>
        </w:sectPr>
      </w:pPr>
    </w:p>
    <w:p w14:paraId="06A57827" w14:textId="77777777" w:rsidR="00EF5B27" w:rsidRDefault="00000000">
      <w:pPr>
        <w:pStyle w:val="BodyText"/>
        <w:spacing w:before="8"/>
        <w:rPr>
          <w:sz w:val="10"/>
        </w:rPr>
      </w:pPr>
      <w:r>
        <w:pict w14:anchorId="537365A2">
          <v:group id="_x0000_s2730" style="position:absolute;margin-left:587.05pt;margin-top:183.4pt;width:8.25pt;height:153.1pt;z-index:251716096;mso-position-horizontal-relative:page;mso-position-vertical-relative:page" coordorigin="11741,3668" coordsize="165,3062">
            <v:shape id="_x0000_s2737" style="position:absolute;left:11741;top:3668;width:165;height:561" coordorigin="11741,3668" coordsize="165,561" path="m11906,3668r-165,l11741,4228r165,-18l11906,3668xe" fillcolor="#00aed9" stroked="f">
              <v:path arrowok="t"/>
            </v:shape>
            <v:shape id="_x0000_s2736" style="position:absolute;left:11741;top:4118;width:165;height:425" coordorigin="11741,4118" coordsize="165,425" path="m11906,4118r-165,14l11741,4531r165,12l11906,4118xe" fillcolor="#047ebc" stroked="f">
              <v:path arrowok="t"/>
            </v:shape>
            <v:shape id="_x0000_s2735" type="#_x0000_t75" style="position:absolute;left:11741;top:4355;width:165;height:587">
              <v:imagedata r:id="rId42" o:title=""/>
            </v:shape>
            <v:shape id="_x0000_s2734" style="position:absolute;left:11741;top:5343;width:165;height:536" coordorigin="11741,5343" coordsize="165,536" path="m11741,5343r,535l11906,5872r,-525l11741,5343xe" fillcolor="#f36a2e" stroked="f">
              <v:path arrowok="t"/>
            </v:shape>
            <v:shape id="_x0000_s2733" style="position:absolute;left:11741;top:4925;width:165;height:501" coordorigin="11741,4926" coordsize="165,501" path="m11741,4926r,500l11906,5426r,-485l11741,4926xe" fillcolor="#49783f" stroked="f">
              <v:path arrowok="t"/>
            </v:shape>
            <v:shape id="_x0000_s2732" style="position:absolute;left:11741;top:5781;width:165;height:268" coordorigin="11741,5782" coordsize="165,268" path="m11906,5782r-165,8l11741,6039r165,10l11906,5782xe" fillcolor="#f99f2a" stroked="f">
              <v:path arrowok="t"/>
            </v:shape>
            <v:shape id="_x0000_s2731" style="position:absolute;left:11741;top:6023;width:165;height:707" coordorigin="11741,6023" coordsize="165,707" path="m11741,6023r,706l11906,6729r,-690l11741,6023xe" fillcolor="#ef412c" stroked="f">
              <v:path arrowok="t"/>
            </v:shape>
            <w10:wrap anchorx="page" anchory="page"/>
          </v:group>
        </w:pict>
      </w:r>
    </w:p>
    <w:p w14:paraId="14FF2871" w14:textId="77777777" w:rsidR="00EF5B27" w:rsidRDefault="00000000">
      <w:pPr>
        <w:pStyle w:val="ListParagraph"/>
        <w:numPr>
          <w:ilvl w:val="0"/>
          <w:numId w:val="20"/>
        </w:numPr>
        <w:tabs>
          <w:tab w:val="left" w:pos="341"/>
        </w:tabs>
        <w:spacing w:line="230" w:lineRule="auto"/>
        <w:ind w:left="340" w:right="38"/>
        <w:jc w:val="both"/>
        <w:rPr>
          <w:sz w:val="12"/>
        </w:rPr>
      </w:pPr>
      <w:r>
        <w:rPr>
          <w:color w:val="4D4D4F"/>
          <w:spacing w:val="-1"/>
          <w:w w:val="95"/>
          <w:sz w:val="12"/>
        </w:rPr>
        <w:t xml:space="preserve">DELWPOfficer, </w:t>
      </w:r>
      <w:r>
        <w:rPr>
          <w:color w:val="4D4D4F"/>
          <w:w w:val="95"/>
          <w:sz w:val="12"/>
        </w:rPr>
        <w:t xml:space="preserve">personal communication, </w:t>
      </w:r>
      <w:r>
        <w:rPr>
          <w:color w:val="4D4D4F"/>
          <w:spacing w:val="-4"/>
          <w:sz w:val="12"/>
        </w:rPr>
        <w:t xml:space="preserve">15 </w:t>
      </w:r>
      <w:r>
        <w:rPr>
          <w:color w:val="4D4D4F"/>
          <w:sz w:val="12"/>
        </w:rPr>
        <w:t>February</w:t>
      </w:r>
      <w:r>
        <w:rPr>
          <w:color w:val="4D4D4F"/>
          <w:spacing w:val="-7"/>
          <w:sz w:val="12"/>
        </w:rPr>
        <w:t xml:space="preserve"> </w:t>
      </w:r>
      <w:r>
        <w:rPr>
          <w:color w:val="4D4D4F"/>
          <w:sz w:val="12"/>
        </w:rPr>
        <w:t>2022.</w:t>
      </w:r>
    </w:p>
    <w:p w14:paraId="1BBF3A57" w14:textId="77777777" w:rsidR="00EF5B27" w:rsidRDefault="00000000">
      <w:pPr>
        <w:pStyle w:val="ListParagraph"/>
        <w:numPr>
          <w:ilvl w:val="0"/>
          <w:numId w:val="20"/>
        </w:numPr>
        <w:tabs>
          <w:tab w:val="left" w:pos="341"/>
        </w:tabs>
        <w:spacing w:line="230" w:lineRule="auto"/>
        <w:ind w:left="340" w:right="38"/>
        <w:jc w:val="both"/>
        <w:rPr>
          <w:sz w:val="12"/>
        </w:rPr>
      </w:pPr>
      <w:r>
        <w:rPr>
          <w:color w:val="4D4D4F"/>
          <w:spacing w:val="-1"/>
          <w:w w:val="95"/>
          <w:sz w:val="12"/>
        </w:rPr>
        <w:t xml:space="preserve">DELWPOfficer, </w:t>
      </w:r>
      <w:r>
        <w:rPr>
          <w:color w:val="4D4D4F"/>
          <w:w w:val="95"/>
          <w:sz w:val="12"/>
        </w:rPr>
        <w:t xml:space="preserve">personal communication, </w:t>
      </w:r>
      <w:r>
        <w:rPr>
          <w:color w:val="4D4D4F"/>
          <w:spacing w:val="-4"/>
          <w:sz w:val="12"/>
        </w:rPr>
        <w:t xml:space="preserve">15 </w:t>
      </w:r>
      <w:r>
        <w:rPr>
          <w:color w:val="4D4D4F"/>
          <w:sz w:val="12"/>
        </w:rPr>
        <w:t>February</w:t>
      </w:r>
      <w:r>
        <w:rPr>
          <w:color w:val="4D4D4F"/>
          <w:spacing w:val="-7"/>
          <w:sz w:val="12"/>
        </w:rPr>
        <w:t xml:space="preserve"> </w:t>
      </w:r>
      <w:r>
        <w:rPr>
          <w:color w:val="4D4D4F"/>
          <w:sz w:val="12"/>
        </w:rPr>
        <w:t>2022.</w:t>
      </w:r>
    </w:p>
    <w:p w14:paraId="122DD36E" w14:textId="77777777" w:rsidR="00EF5B27" w:rsidRDefault="00000000">
      <w:pPr>
        <w:pStyle w:val="ListParagraph"/>
        <w:numPr>
          <w:ilvl w:val="0"/>
          <w:numId w:val="20"/>
        </w:numPr>
        <w:tabs>
          <w:tab w:val="left" w:pos="341"/>
        </w:tabs>
        <w:spacing w:line="230" w:lineRule="auto"/>
        <w:ind w:left="340" w:right="38"/>
        <w:jc w:val="both"/>
        <w:rPr>
          <w:sz w:val="12"/>
        </w:rPr>
      </w:pPr>
      <w:r>
        <w:rPr>
          <w:color w:val="4D4D4F"/>
          <w:spacing w:val="-1"/>
          <w:w w:val="95"/>
          <w:sz w:val="12"/>
        </w:rPr>
        <w:t xml:space="preserve">DELWPOfficer, </w:t>
      </w:r>
      <w:r>
        <w:rPr>
          <w:color w:val="4D4D4F"/>
          <w:w w:val="95"/>
          <w:sz w:val="12"/>
        </w:rPr>
        <w:t xml:space="preserve">personal communication, </w:t>
      </w:r>
      <w:r>
        <w:rPr>
          <w:color w:val="4D4D4F"/>
          <w:spacing w:val="-4"/>
          <w:sz w:val="12"/>
        </w:rPr>
        <w:t xml:space="preserve">15 </w:t>
      </w:r>
      <w:r>
        <w:rPr>
          <w:color w:val="4D4D4F"/>
          <w:sz w:val="12"/>
        </w:rPr>
        <w:t>February</w:t>
      </w:r>
      <w:r>
        <w:rPr>
          <w:color w:val="4D4D4F"/>
          <w:spacing w:val="-7"/>
          <w:sz w:val="12"/>
        </w:rPr>
        <w:t xml:space="preserve"> </w:t>
      </w:r>
      <w:r>
        <w:rPr>
          <w:color w:val="4D4D4F"/>
          <w:sz w:val="12"/>
        </w:rPr>
        <w:t>2022.</w:t>
      </w:r>
    </w:p>
    <w:p w14:paraId="0314E2CE" w14:textId="77777777" w:rsidR="00EF5B27" w:rsidRDefault="00000000">
      <w:pPr>
        <w:pStyle w:val="ListParagraph"/>
        <w:numPr>
          <w:ilvl w:val="0"/>
          <w:numId w:val="20"/>
        </w:numPr>
        <w:tabs>
          <w:tab w:val="left" w:pos="341"/>
        </w:tabs>
        <w:spacing w:line="230" w:lineRule="auto"/>
        <w:ind w:left="340" w:right="38"/>
        <w:jc w:val="both"/>
        <w:rPr>
          <w:sz w:val="12"/>
        </w:rPr>
      </w:pPr>
      <w:r>
        <w:rPr>
          <w:color w:val="4D4D4F"/>
          <w:spacing w:val="-1"/>
          <w:w w:val="95"/>
          <w:sz w:val="12"/>
        </w:rPr>
        <w:t xml:space="preserve">DELWPOfficer, </w:t>
      </w:r>
      <w:r>
        <w:rPr>
          <w:color w:val="4D4D4F"/>
          <w:w w:val="95"/>
          <w:sz w:val="12"/>
        </w:rPr>
        <w:t xml:space="preserve">personal communication, </w:t>
      </w:r>
      <w:r>
        <w:rPr>
          <w:color w:val="4D4D4F"/>
          <w:spacing w:val="-4"/>
          <w:sz w:val="12"/>
        </w:rPr>
        <w:t xml:space="preserve">15 </w:t>
      </w:r>
      <w:r>
        <w:rPr>
          <w:color w:val="4D4D4F"/>
          <w:sz w:val="12"/>
        </w:rPr>
        <w:t>February</w:t>
      </w:r>
      <w:r>
        <w:rPr>
          <w:color w:val="4D4D4F"/>
          <w:spacing w:val="-7"/>
          <w:sz w:val="12"/>
        </w:rPr>
        <w:t xml:space="preserve"> </w:t>
      </w:r>
      <w:r>
        <w:rPr>
          <w:color w:val="4D4D4F"/>
          <w:sz w:val="12"/>
        </w:rPr>
        <w:t>2022.</w:t>
      </w:r>
    </w:p>
    <w:p w14:paraId="534DA305" w14:textId="77777777" w:rsidR="00EF5B27" w:rsidRDefault="00000000">
      <w:pPr>
        <w:pStyle w:val="ListParagraph"/>
        <w:numPr>
          <w:ilvl w:val="0"/>
          <w:numId w:val="20"/>
        </w:numPr>
        <w:tabs>
          <w:tab w:val="left" w:pos="341"/>
        </w:tabs>
        <w:spacing w:line="230" w:lineRule="auto"/>
        <w:ind w:left="340" w:right="38"/>
        <w:jc w:val="both"/>
        <w:rPr>
          <w:sz w:val="12"/>
        </w:rPr>
      </w:pPr>
      <w:r>
        <w:rPr>
          <w:color w:val="4D4D4F"/>
          <w:w w:val="105"/>
          <w:sz w:val="12"/>
        </w:rPr>
        <w:t xml:space="preserve">Courtice, B., Hoebee, S. E., </w:t>
      </w:r>
      <w:r>
        <w:rPr>
          <w:color w:val="4D4D4F"/>
          <w:spacing w:val="-4"/>
          <w:w w:val="105"/>
          <w:sz w:val="12"/>
        </w:rPr>
        <w:t xml:space="preserve">Sinclair, </w:t>
      </w:r>
      <w:r>
        <w:rPr>
          <w:color w:val="4D4D4F"/>
          <w:w w:val="105"/>
          <w:sz w:val="12"/>
        </w:rPr>
        <w:t xml:space="preserve">S., </w:t>
      </w:r>
      <w:r>
        <w:rPr>
          <w:color w:val="4D4D4F"/>
          <w:sz w:val="12"/>
        </w:rPr>
        <w:t>&amp;</w:t>
      </w:r>
      <w:r>
        <w:rPr>
          <w:color w:val="4D4D4F"/>
          <w:spacing w:val="-5"/>
          <w:sz w:val="12"/>
        </w:rPr>
        <w:t xml:space="preserve"> </w:t>
      </w:r>
      <w:r>
        <w:rPr>
          <w:color w:val="4D4D4F"/>
          <w:sz w:val="12"/>
        </w:rPr>
        <w:t>Morgan,</w:t>
      </w:r>
      <w:r>
        <w:rPr>
          <w:color w:val="4D4D4F"/>
          <w:spacing w:val="-4"/>
          <w:sz w:val="12"/>
        </w:rPr>
        <w:t xml:space="preserve"> </w:t>
      </w:r>
      <w:r>
        <w:rPr>
          <w:color w:val="4D4D4F"/>
          <w:sz w:val="12"/>
        </w:rPr>
        <w:t>J.</w:t>
      </w:r>
      <w:r>
        <w:rPr>
          <w:color w:val="4D4D4F"/>
          <w:spacing w:val="-4"/>
          <w:sz w:val="12"/>
        </w:rPr>
        <w:t xml:space="preserve"> </w:t>
      </w:r>
      <w:r>
        <w:rPr>
          <w:color w:val="4D4D4F"/>
          <w:spacing w:val="-3"/>
          <w:sz w:val="12"/>
        </w:rPr>
        <w:t>W.</w:t>
      </w:r>
      <w:r>
        <w:rPr>
          <w:color w:val="4D4D4F"/>
          <w:spacing w:val="-4"/>
          <w:sz w:val="12"/>
        </w:rPr>
        <w:t xml:space="preserve"> </w:t>
      </w:r>
      <w:r>
        <w:rPr>
          <w:color w:val="4D4D4F"/>
          <w:sz w:val="12"/>
        </w:rPr>
        <w:t>2020,</w:t>
      </w:r>
      <w:r>
        <w:rPr>
          <w:color w:val="4D4D4F"/>
          <w:spacing w:val="-4"/>
          <w:sz w:val="12"/>
        </w:rPr>
        <w:t xml:space="preserve"> </w:t>
      </w:r>
      <w:r>
        <w:rPr>
          <w:color w:val="4D4D4F"/>
          <w:sz w:val="12"/>
        </w:rPr>
        <w:t>‘Local</w:t>
      </w:r>
      <w:r>
        <w:rPr>
          <w:color w:val="4D4D4F"/>
          <w:spacing w:val="-4"/>
          <w:sz w:val="12"/>
        </w:rPr>
        <w:t xml:space="preserve"> </w:t>
      </w:r>
      <w:r>
        <w:rPr>
          <w:color w:val="4D4D4F"/>
          <w:sz w:val="12"/>
        </w:rPr>
        <w:t>population density</w:t>
      </w:r>
      <w:r>
        <w:rPr>
          <w:color w:val="4D4D4F"/>
          <w:spacing w:val="-15"/>
          <w:sz w:val="12"/>
        </w:rPr>
        <w:t xml:space="preserve"> </w:t>
      </w:r>
      <w:r>
        <w:rPr>
          <w:color w:val="4D4D4F"/>
          <w:sz w:val="12"/>
        </w:rPr>
        <w:t>affects</w:t>
      </w:r>
      <w:r>
        <w:rPr>
          <w:color w:val="4D4D4F"/>
          <w:spacing w:val="-15"/>
          <w:sz w:val="12"/>
        </w:rPr>
        <w:t xml:space="preserve"> </w:t>
      </w:r>
      <w:r>
        <w:rPr>
          <w:color w:val="4D4D4F"/>
          <w:sz w:val="12"/>
        </w:rPr>
        <w:t>pollinator</w:t>
      </w:r>
      <w:r>
        <w:rPr>
          <w:color w:val="4D4D4F"/>
          <w:spacing w:val="-15"/>
          <w:sz w:val="12"/>
        </w:rPr>
        <w:t xml:space="preserve"> </w:t>
      </w:r>
      <w:r>
        <w:rPr>
          <w:color w:val="4D4D4F"/>
          <w:sz w:val="12"/>
        </w:rPr>
        <w:t>visitation</w:t>
      </w:r>
      <w:r>
        <w:rPr>
          <w:color w:val="4D4D4F"/>
          <w:spacing w:val="-15"/>
          <w:sz w:val="12"/>
        </w:rPr>
        <w:t xml:space="preserve"> </w:t>
      </w:r>
      <w:r>
        <w:rPr>
          <w:color w:val="4D4D4F"/>
          <w:sz w:val="12"/>
        </w:rPr>
        <w:t>in</w:t>
      </w:r>
      <w:r>
        <w:rPr>
          <w:color w:val="4D4D4F"/>
          <w:spacing w:val="-15"/>
          <w:sz w:val="12"/>
        </w:rPr>
        <w:t xml:space="preserve"> </w:t>
      </w:r>
      <w:r>
        <w:rPr>
          <w:color w:val="4D4D4F"/>
          <w:sz w:val="12"/>
        </w:rPr>
        <w:t xml:space="preserve">the </w:t>
      </w:r>
      <w:r>
        <w:rPr>
          <w:color w:val="4D4D4F"/>
          <w:w w:val="105"/>
          <w:sz w:val="12"/>
        </w:rPr>
        <w:t xml:space="preserve">endangered grassland daisy </w:t>
      </w:r>
      <w:r>
        <w:rPr>
          <w:rFonts w:ascii="Arial Narrow" w:hAnsi="Arial Narrow"/>
          <w:i/>
          <w:color w:val="4D4D4F"/>
          <w:spacing w:val="-4"/>
          <w:w w:val="105"/>
          <w:sz w:val="12"/>
        </w:rPr>
        <w:t xml:space="preserve">Rutidosis </w:t>
      </w:r>
      <w:r>
        <w:rPr>
          <w:rFonts w:ascii="Arial Narrow" w:hAnsi="Arial Narrow"/>
          <w:i/>
          <w:color w:val="4D4D4F"/>
          <w:spacing w:val="-6"/>
          <w:w w:val="105"/>
          <w:sz w:val="12"/>
        </w:rPr>
        <w:t xml:space="preserve">leptorhynchoides </w:t>
      </w:r>
      <w:r>
        <w:rPr>
          <w:color w:val="4D4D4F"/>
          <w:spacing w:val="-5"/>
          <w:w w:val="105"/>
          <w:sz w:val="12"/>
        </w:rPr>
        <w:t xml:space="preserve">(Asteraceae).’ Australian </w:t>
      </w:r>
      <w:r>
        <w:rPr>
          <w:color w:val="4D4D4F"/>
          <w:w w:val="105"/>
          <w:sz w:val="12"/>
        </w:rPr>
        <w:t>Journal of Botany 67(8)</w:t>
      </w:r>
      <w:r>
        <w:rPr>
          <w:color w:val="4D4D4F"/>
          <w:spacing w:val="-14"/>
          <w:w w:val="105"/>
          <w:sz w:val="12"/>
        </w:rPr>
        <w:t xml:space="preserve"> </w:t>
      </w:r>
      <w:r>
        <w:rPr>
          <w:color w:val="4D4D4F"/>
          <w:spacing w:val="3"/>
          <w:w w:val="105"/>
          <w:sz w:val="12"/>
        </w:rPr>
        <w:t>638-648.</w:t>
      </w:r>
    </w:p>
    <w:p w14:paraId="6473DAC5" w14:textId="77777777" w:rsidR="00EF5B27" w:rsidRDefault="00000000">
      <w:pPr>
        <w:pStyle w:val="ListParagraph"/>
        <w:numPr>
          <w:ilvl w:val="0"/>
          <w:numId w:val="20"/>
        </w:numPr>
        <w:tabs>
          <w:tab w:val="left" w:pos="341"/>
        </w:tabs>
        <w:spacing w:line="230" w:lineRule="auto"/>
        <w:ind w:left="340" w:right="38"/>
        <w:jc w:val="both"/>
        <w:rPr>
          <w:sz w:val="12"/>
        </w:rPr>
      </w:pPr>
      <w:r>
        <w:rPr>
          <w:color w:val="4D4D4F"/>
          <w:spacing w:val="-1"/>
          <w:w w:val="95"/>
          <w:sz w:val="12"/>
        </w:rPr>
        <w:t xml:space="preserve">DELWPOfficer, </w:t>
      </w:r>
      <w:r>
        <w:rPr>
          <w:color w:val="4D4D4F"/>
          <w:w w:val="95"/>
          <w:sz w:val="12"/>
        </w:rPr>
        <w:t xml:space="preserve">personal communication, </w:t>
      </w:r>
      <w:r>
        <w:rPr>
          <w:color w:val="4D4D4F"/>
          <w:spacing w:val="-4"/>
          <w:sz w:val="12"/>
        </w:rPr>
        <w:t xml:space="preserve">15 </w:t>
      </w:r>
      <w:r>
        <w:rPr>
          <w:color w:val="4D4D4F"/>
          <w:sz w:val="12"/>
        </w:rPr>
        <w:t>February</w:t>
      </w:r>
      <w:r>
        <w:rPr>
          <w:color w:val="4D4D4F"/>
          <w:spacing w:val="-7"/>
          <w:sz w:val="12"/>
        </w:rPr>
        <w:t xml:space="preserve"> </w:t>
      </w:r>
      <w:r>
        <w:rPr>
          <w:color w:val="4D4D4F"/>
          <w:sz w:val="12"/>
        </w:rPr>
        <w:t>2022.</w:t>
      </w:r>
    </w:p>
    <w:p w14:paraId="4B9CB43F" w14:textId="77777777" w:rsidR="00EF5B27" w:rsidRDefault="00000000">
      <w:pPr>
        <w:pStyle w:val="ListParagraph"/>
        <w:numPr>
          <w:ilvl w:val="0"/>
          <w:numId w:val="20"/>
        </w:numPr>
        <w:tabs>
          <w:tab w:val="left" w:pos="341"/>
        </w:tabs>
        <w:spacing w:line="230" w:lineRule="auto"/>
        <w:ind w:left="340" w:right="38"/>
        <w:jc w:val="both"/>
        <w:rPr>
          <w:sz w:val="12"/>
        </w:rPr>
      </w:pPr>
      <w:r>
        <w:rPr>
          <w:color w:val="4D4D4F"/>
          <w:spacing w:val="-5"/>
          <w:sz w:val="12"/>
        </w:rPr>
        <w:t>Rodger,</w:t>
      </w:r>
      <w:r>
        <w:rPr>
          <w:color w:val="4D4D4F"/>
          <w:spacing w:val="-14"/>
          <w:sz w:val="12"/>
        </w:rPr>
        <w:t xml:space="preserve"> </w:t>
      </w:r>
      <w:r>
        <w:rPr>
          <w:color w:val="4D4D4F"/>
          <w:spacing w:val="-6"/>
          <w:sz w:val="12"/>
        </w:rPr>
        <w:t>Y.</w:t>
      </w:r>
      <w:r>
        <w:rPr>
          <w:color w:val="4D4D4F"/>
          <w:spacing w:val="-13"/>
          <w:sz w:val="12"/>
        </w:rPr>
        <w:t xml:space="preserve"> </w:t>
      </w:r>
      <w:r>
        <w:rPr>
          <w:color w:val="4D4D4F"/>
          <w:spacing w:val="-3"/>
          <w:sz w:val="12"/>
        </w:rPr>
        <w:t>S.,</w:t>
      </w:r>
      <w:r>
        <w:rPr>
          <w:color w:val="4D4D4F"/>
          <w:spacing w:val="-13"/>
          <w:sz w:val="12"/>
        </w:rPr>
        <w:t xml:space="preserve"> </w:t>
      </w:r>
      <w:r>
        <w:rPr>
          <w:color w:val="4D4D4F"/>
          <w:spacing w:val="-4"/>
          <w:sz w:val="12"/>
        </w:rPr>
        <w:t>Pavlova,</w:t>
      </w:r>
      <w:r>
        <w:rPr>
          <w:color w:val="4D4D4F"/>
          <w:spacing w:val="-13"/>
          <w:sz w:val="12"/>
        </w:rPr>
        <w:t xml:space="preserve"> </w:t>
      </w:r>
      <w:r>
        <w:rPr>
          <w:color w:val="4D4D4F"/>
          <w:sz w:val="12"/>
        </w:rPr>
        <w:t>A.,</w:t>
      </w:r>
      <w:r>
        <w:rPr>
          <w:color w:val="4D4D4F"/>
          <w:spacing w:val="-13"/>
          <w:sz w:val="12"/>
        </w:rPr>
        <w:t xml:space="preserve"> </w:t>
      </w:r>
      <w:r>
        <w:rPr>
          <w:color w:val="4D4D4F"/>
          <w:spacing w:val="-5"/>
          <w:sz w:val="12"/>
        </w:rPr>
        <w:t>Sinclair,</w:t>
      </w:r>
      <w:r>
        <w:rPr>
          <w:color w:val="4D4D4F"/>
          <w:spacing w:val="-13"/>
          <w:sz w:val="12"/>
        </w:rPr>
        <w:t xml:space="preserve"> </w:t>
      </w:r>
      <w:r>
        <w:rPr>
          <w:color w:val="4D4D4F"/>
          <w:spacing w:val="-3"/>
          <w:sz w:val="12"/>
        </w:rPr>
        <w:t>S.,</w:t>
      </w:r>
      <w:r>
        <w:rPr>
          <w:color w:val="4D4D4F"/>
          <w:spacing w:val="-13"/>
          <w:sz w:val="12"/>
        </w:rPr>
        <w:t xml:space="preserve"> </w:t>
      </w:r>
      <w:r>
        <w:rPr>
          <w:color w:val="4D4D4F"/>
          <w:spacing w:val="-4"/>
          <w:sz w:val="12"/>
        </w:rPr>
        <w:t xml:space="preserve">Pickup, </w:t>
      </w:r>
      <w:r>
        <w:rPr>
          <w:color w:val="4D4D4F"/>
          <w:sz w:val="12"/>
        </w:rPr>
        <w:t xml:space="preserve">M., &amp; Sunnucks, </w:t>
      </w:r>
      <w:r>
        <w:rPr>
          <w:color w:val="4D4D4F"/>
          <w:spacing w:val="-5"/>
          <w:sz w:val="12"/>
        </w:rPr>
        <w:t xml:space="preserve">P. </w:t>
      </w:r>
      <w:r>
        <w:rPr>
          <w:color w:val="4D4D4F"/>
          <w:sz w:val="12"/>
        </w:rPr>
        <w:t xml:space="preserve">2021, ‘Evolutionary history and genetic connectivity across highly fragmented populations of an </w:t>
      </w:r>
      <w:r>
        <w:rPr>
          <w:color w:val="4D4D4F"/>
          <w:spacing w:val="-6"/>
          <w:sz w:val="12"/>
        </w:rPr>
        <w:t>endangered</w:t>
      </w:r>
      <w:r>
        <w:rPr>
          <w:color w:val="4D4D4F"/>
          <w:spacing w:val="-18"/>
          <w:sz w:val="12"/>
        </w:rPr>
        <w:t xml:space="preserve"> </w:t>
      </w:r>
      <w:r>
        <w:rPr>
          <w:color w:val="4D4D4F"/>
          <w:spacing w:val="-8"/>
          <w:sz w:val="12"/>
        </w:rPr>
        <w:t>daisy.’</w:t>
      </w:r>
      <w:r>
        <w:rPr>
          <w:color w:val="4D4D4F"/>
          <w:spacing w:val="-18"/>
          <w:sz w:val="12"/>
        </w:rPr>
        <w:t xml:space="preserve"> </w:t>
      </w:r>
      <w:r>
        <w:rPr>
          <w:color w:val="4D4D4F"/>
          <w:spacing w:val="-6"/>
          <w:sz w:val="12"/>
        </w:rPr>
        <w:t>Heredity,</w:t>
      </w:r>
      <w:r>
        <w:rPr>
          <w:color w:val="4D4D4F"/>
          <w:spacing w:val="-17"/>
          <w:sz w:val="12"/>
        </w:rPr>
        <w:t xml:space="preserve"> </w:t>
      </w:r>
      <w:r>
        <w:rPr>
          <w:color w:val="4D4D4F"/>
          <w:spacing w:val="-8"/>
          <w:sz w:val="12"/>
        </w:rPr>
        <w:t>126(5),</w:t>
      </w:r>
      <w:r>
        <w:rPr>
          <w:color w:val="4D4D4F"/>
          <w:spacing w:val="-18"/>
          <w:sz w:val="12"/>
        </w:rPr>
        <w:t xml:space="preserve"> </w:t>
      </w:r>
      <w:r>
        <w:rPr>
          <w:color w:val="4D4D4F"/>
          <w:spacing w:val="-4"/>
          <w:sz w:val="12"/>
        </w:rPr>
        <w:t>846-858.</w:t>
      </w:r>
    </w:p>
    <w:p w14:paraId="55BBB851" w14:textId="77777777" w:rsidR="00EF5B27" w:rsidRDefault="00000000">
      <w:pPr>
        <w:pStyle w:val="ListParagraph"/>
        <w:numPr>
          <w:ilvl w:val="0"/>
          <w:numId w:val="20"/>
        </w:numPr>
        <w:tabs>
          <w:tab w:val="left" w:pos="341"/>
        </w:tabs>
        <w:spacing w:line="230" w:lineRule="auto"/>
        <w:ind w:left="340" w:right="38"/>
        <w:jc w:val="both"/>
        <w:rPr>
          <w:sz w:val="12"/>
        </w:rPr>
      </w:pPr>
      <w:r>
        <w:rPr>
          <w:color w:val="4D4D4F"/>
          <w:sz w:val="12"/>
        </w:rPr>
        <w:t xml:space="preserve">DELWP  webpage,  ‘Our   progress   at  a glance – Protecting biodiversity in Melbourne’s growth areas – program </w:t>
      </w:r>
      <w:r>
        <w:rPr>
          <w:color w:val="4D4D4F"/>
          <w:spacing w:val="-3"/>
          <w:sz w:val="12"/>
        </w:rPr>
        <w:t>highlights’,</w:t>
      </w:r>
      <w:r>
        <w:rPr>
          <w:color w:val="F36A2E"/>
          <w:spacing w:val="-3"/>
          <w:sz w:val="12"/>
        </w:rPr>
        <w:t xml:space="preserve"> </w:t>
      </w:r>
      <w:hyperlink r:id="rId162">
        <w:r>
          <w:rPr>
            <w:color w:val="F36A2E"/>
            <w:spacing w:val="-3"/>
            <w:sz w:val="12"/>
            <w:u w:val="single" w:color="F36A2E"/>
          </w:rPr>
          <w:t>https://www.msa.vic.gov.au/</w:t>
        </w:r>
      </w:hyperlink>
      <w:hyperlink r:id="rId163">
        <w:r>
          <w:rPr>
            <w:color w:val="F36A2E"/>
            <w:spacing w:val="-3"/>
            <w:sz w:val="12"/>
            <w:u w:val="single" w:color="F36A2E"/>
          </w:rPr>
          <w:t xml:space="preserve"> </w:t>
        </w:r>
        <w:r>
          <w:rPr>
            <w:color w:val="F36A2E"/>
            <w:sz w:val="12"/>
            <w:u w:val="single" w:color="F36A2E"/>
          </w:rPr>
          <w:t>our-progress-at-a-glance</w:t>
        </w:r>
      </w:hyperlink>
      <w:r>
        <w:rPr>
          <w:color w:val="F36A2E"/>
          <w:sz w:val="12"/>
        </w:rPr>
        <w:t xml:space="preserve"> </w:t>
      </w:r>
      <w:r>
        <w:rPr>
          <w:color w:val="4D4D4F"/>
          <w:sz w:val="12"/>
        </w:rPr>
        <w:t>Accessed 26 February</w:t>
      </w:r>
      <w:r>
        <w:rPr>
          <w:color w:val="4D4D4F"/>
          <w:spacing w:val="-6"/>
          <w:sz w:val="12"/>
        </w:rPr>
        <w:t xml:space="preserve"> </w:t>
      </w:r>
      <w:r>
        <w:rPr>
          <w:color w:val="4D4D4F"/>
          <w:sz w:val="12"/>
        </w:rPr>
        <w:t>2022.</w:t>
      </w:r>
    </w:p>
    <w:p w14:paraId="1D9AD6B1" w14:textId="77777777" w:rsidR="00EF5B27" w:rsidRDefault="00000000">
      <w:pPr>
        <w:pStyle w:val="ListParagraph"/>
        <w:numPr>
          <w:ilvl w:val="0"/>
          <w:numId w:val="20"/>
        </w:numPr>
        <w:tabs>
          <w:tab w:val="left" w:pos="341"/>
        </w:tabs>
        <w:spacing w:line="230" w:lineRule="auto"/>
        <w:ind w:left="340" w:right="38"/>
        <w:jc w:val="both"/>
        <w:rPr>
          <w:sz w:val="12"/>
        </w:rPr>
      </w:pPr>
      <w:r>
        <w:rPr>
          <w:color w:val="4D4D4F"/>
          <w:sz w:val="12"/>
        </w:rPr>
        <w:t xml:space="preserve">DELWP  webpage,  ‘Our   progress   at  a glance – Protecting biodiversity in Melbourne’s growth areas – program </w:t>
      </w:r>
      <w:r>
        <w:rPr>
          <w:color w:val="4D4D4F"/>
          <w:spacing w:val="-3"/>
          <w:sz w:val="12"/>
        </w:rPr>
        <w:t>highlights’,</w:t>
      </w:r>
      <w:r>
        <w:rPr>
          <w:color w:val="F36A2E"/>
          <w:spacing w:val="-3"/>
          <w:sz w:val="12"/>
        </w:rPr>
        <w:t xml:space="preserve"> </w:t>
      </w:r>
      <w:hyperlink r:id="rId164">
        <w:r>
          <w:rPr>
            <w:color w:val="F36A2E"/>
            <w:spacing w:val="-3"/>
            <w:sz w:val="12"/>
            <w:u w:val="single" w:color="F36A2E"/>
          </w:rPr>
          <w:t>https://www.msa.vic.gov.au/</w:t>
        </w:r>
      </w:hyperlink>
      <w:hyperlink r:id="rId165">
        <w:r>
          <w:rPr>
            <w:color w:val="F36A2E"/>
            <w:spacing w:val="-3"/>
            <w:sz w:val="12"/>
            <w:u w:val="single" w:color="F36A2E"/>
          </w:rPr>
          <w:t xml:space="preserve"> </w:t>
        </w:r>
        <w:r>
          <w:rPr>
            <w:color w:val="F36A2E"/>
            <w:sz w:val="12"/>
            <w:u w:val="single" w:color="F36A2E"/>
          </w:rPr>
          <w:t>our-progress-at-a-glance</w:t>
        </w:r>
      </w:hyperlink>
      <w:r>
        <w:rPr>
          <w:color w:val="F36A2E"/>
          <w:sz w:val="12"/>
        </w:rPr>
        <w:t xml:space="preserve"> </w:t>
      </w:r>
      <w:r>
        <w:rPr>
          <w:color w:val="4D4D4F"/>
          <w:sz w:val="12"/>
        </w:rPr>
        <w:t>Accessed 26 February</w:t>
      </w:r>
      <w:r>
        <w:rPr>
          <w:color w:val="4D4D4F"/>
          <w:spacing w:val="-6"/>
          <w:sz w:val="12"/>
        </w:rPr>
        <w:t xml:space="preserve"> </w:t>
      </w:r>
      <w:r>
        <w:rPr>
          <w:color w:val="4D4D4F"/>
          <w:sz w:val="12"/>
        </w:rPr>
        <w:t>2022.</w:t>
      </w:r>
    </w:p>
    <w:p w14:paraId="582B00EB" w14:textId="77777777" w:rsidR="00EF5B27" w:rsidRDefault="00000000">
      <w:pPr>
        <w:pStyle w:val="BodyText"/>
        <w:spacing w:before="16" w:line="254" w:lineRule="auto"/>
        <w:ind w:left="113" w:right="167"/>
      </w:pPr>
      <w:r>
        <w:br w:type="column"/>
      </w:r>
      <w:r>
        <w:rPr>
          <w:color w:val="4D4D4F"/>
        </w:rPr>
        <w:t>pot). These results would indicate that there is potential for management intervention to support population numbers; it may be possible to undertake planting into the population too, to overcome the recruitment issue. Further research and experimental observation would be required to understand the effect of this kind of intervention on the long-term persistence of the population.</w:t>
      </w:r>
    </w:p>
    <w:p w14:paraId="04CF0F31" w14:textId="77777777" w:rsidR="00EF5B27" w:rsidRDefault="00000000">
      <w:pPr>
        <w:pStyle w:val="BodyText"/>
        <w:spacing w:before="120" w:line="254" w:lineRule="auto"/>
        <w:ind w:left="113" w:right="292"/>
        <w:rPr>
          <w:sz w:val="11"/>
        </w:rPr>
      </w:pPr>
      <w:r>
        <w:rPr>
          <w:color w:val="4D4D4F"/>
        </w:rPr>
        <w:t>Further, recent research (supported financially by MSA) would suggest that the Truganina population is in good genetic health and it is unlikely that inbreeding or other genetic problems are suppressing recruitment – however, this is a real danger for the near future as numbers continue to decline.</w:t>
      </w:r>
      <w:r>
        <w:rPr>
          <w:color w:val="4D4D4F"/>
          <w:position w:val="7"/>
          <w:sz w:val="11"/>
        </w:rPr>
        <w:t>268</w:t>
      </w:r>
    </w:p>
    <w:p w14:paraId="168679C9" w14:textId="77777777" w:rsidR="00EF5B27" w:rsidRDefault="00000000">
      <w:pPr>
        <w:pStyle w:val="BodyText"/>
        <w:spacing w:before="118" w:line="254" w:lineRule="auto"/>
        <w:ind w:left="113" w:right="154"/>
        <w:jc w:val="both"/>
      </w:pPr>
      <w:r>
        <w:rPr>
          <w:color w:val="4D4D4F"/>
          <w:spacing w:val="-3"/>
        </w:rPr>
        <w:t xml:space="preserve">It </w:t>
      </w:r>
      <w:r>
        <w:rPr>
          <w:color w:val="4D4D4F"/>
          <w:spacing w:val="-4"/>
        </w:rPr>
        <w:t xml:space="preserve">is </w:t>
      </w:r>
      <w:r>
        <w:rPr>
          <w:color w:val="4D4D4F"/>
          <w:spacing w:val="-5"/>
        </w:rPr>
        <w:t xml:space="preserve">possible that </w:t>
      </w:r>
      <w:r>
        <w:rPr>
          <w:color w:val="4D4D4F"/>
          <w:spacing w:val="-4"/>
        </w:rPr>
        <w:t xml:space="preserve">seed </w:t>
      </w:r>
      <w:r>
        <w:rPr>
          <w:color w:val="4D4D4F"/>
          <w:spacing w:val="-5"/>
        </w:rPr>
        <w:t xml:space="preserve">collection </w:t>
      </w:r>
      <w:r>
        <w:rPr>
          <w:color w:val="4D4D4F"/>
          <w:spacing w:val="-4"/>
        </w:rPr>
        <w:t xml:space="preserve">is </w:t>
      </w:r>
      <w:r>
        <w:rPr>
          <w:color w:val="4D4D4F"/>
          <w:spacing w:val="-6"/>
        </w:rPr>
        <w:t xml:space="preserve">relatively high </w:t>
      </w:r>
      <w:r>
        <w:rPr>
          <w:color w:val="4D4D4F"/>
          <w:spacing w:val="-3"/>
        </w:rPr>
        <w:t xml:space="preserve">at </w:t>
      </w:r>
      <w:r>
        <w:rPr>
          <w:color w:val="4D4D4F"/>
          <w:spacing w:val="-7"/>
        </w:rPr>
        <w:t xml:space="preserve">Truganina, </w:t>
      </w:r>
      <w:r>
        <w:rPr>
          <w:color w:val="4D4D4F"/>
          <w:spacing w:val="-5"/>
        </w:rPr>
        <w:t xml:space="preserve">given </w:t>
      </w:r>
      <w:r>
        <w:rPr>
          <w:color w:val="4D4D4F"/>
          <w:spacing w:val="-4"/>
        </w:rPr>
        <w:t xml:space="preserve">there </w:t>
      </w:r>
      <w:r>
        <w:rPr>
          <w:color w:val="4D4D4F"/>
          <w:spacing w:val="-3"/>
        </w:rPr>
        <w:t xml:space="preserve">are </w:t>
      </w:r>
      <w:r>
        <w:rPr>
          <w:color w:val="4D4D4F"/>
          <w:spacing w:val="-4"/>
        </w:rPr>
        <w:t xml:space="preserve">few sources </w:t>
      </w:r>
      <w:r>
        <w:rPr>
          <w:color w:val="4D4D4F"/>
          <w:spacing w:val="-3"/>
        </w:rPr>
        <w:t xml:space="preserve">for </w:t>
      </w:r>
      <w:r>
        <w:rPr>
          <w:color w:val="4D4D4F"/>
        </w:rPr>
        <w:t xml:space="preserve">growers </w:t>
      </w:r>
      <w:r>
        <w:rPr>
          <w:color w:val="4D4D4F"/>
          <w:spacing w:val="-3"/>
        </w:rPr>
        <w:t xml:space="preserve">to </w:t>
      </w:r>
      <w:r>
        <w:rPr>
          <w:color w:val="4D4D4F"/>
        </w:rPr>
        <w:t xml:space="preserve">access </w:t>
      </w:r>
      <w:r>
        <w:rPr>
          <w:color w:val="4D4D4F"/>
          <w:spacing w:val="-3"/>
        </w:rPr>
        <w:t xml:space="preserve">close to Melbourne. This may </w:t>
      </w:r>
      <w:r>
        <w:rPr>
          <w:color w:val="4D4D4F"/>
        </w:rPr>
        <w:t xml:space="preserve">be </w:t>
      </w:r>
      <w:r>
        <w:rPr>
          <w:color w:val="4D4D4F"/>
          <w:spacing w:val="-4"/>
        </w:rPr>
        <w:t xml:space="preserve">having </w:t>
      </w:r>
      <w:r>
        <w:rPr>
          <w:color w:val="4D4D4F"/>
        </w:rPr>
        <w:t xml:space="preserve">an </w:t>
      </w:r>
      <w:r>
        <w:rPr>
          <w:color w:val="4D4D4F"/>
          <w:spacing w:val="-3"/>
        </w:rPr>
        <w:t xml:space="preserve">impact </w:t>
      </w:r>
      <w:r>
        <w:rPr>
          <w:color w:val="4D4D4F"/>
        </w:rPr>
        <w:t xml:space="preserve">on </w:t>
      </w:r>
      <w:r>
        <w:rPr>
          <w:color w:val="4D4D4F"/>
          <w:spacing w:val="-3"/>
        </w:rPr>
        <w:t xml:space="preserve">seed </w:t>
      </w:r>
      <w:r>
        <w:rPr>
          <w:color w:val="4D4D4F"/>
          <w:spacing w:val="-4"/>
        </w:rPr>
        <w:t xml:space="preserve">fall </w:t>
      </w:r>
      <w:r>
        <w:rPr>
          <w:color w:val="4D4D4F"/>
          <w:spacing w:val="-3"/>
        </w:rPr>
        <w:t xml:space="preserve">and </w:t>
      </w:r>
      <w:r>
        <w:rPr>
          <w:color w:val="4D4D4F"/>
        </w:rPr>
        <w:t>be a factor in poor recruitment rates. It is also possible that seed predators are eating seeds and that young plants are being eaten, possibly by slugs or mites.</w:t>
      </w:r>
    </w:p>
    <w:p w14:paraId="3FFAC33A" w14:textId="77777777" w:rsidR="00EF5B27" w:rsidRDefault="00000000">
      <w:pPr>
        <w:pStyle w:val="BodyText"/>
        <w:spacing w:before="118"/>
        <w:ind w:left="113"/>
      </w:pPr>
      <w:r>
        <w:rPr>
          <w:color w:val="4D4D4F"/>
        </w:rPr>
        <w:t>To help boost population numbers, DELWP has highlighted that it is working with</w:t>
      </w:r>
    </w:p>
    <w:p w14:paraId="12204C2F" w14:textId="77777777" w:rsidR="00EF5B27" w:rsidRDefault="00000000">
      <w:pPr>
        <w:pStyle w:val="BodyText"/>
        <w:spacing w:before="16" w:line="254" w:lineRule="auto"/>
        <w:ind w:left="113" w:right="292"/>
        <w:rPr>
          <w:sz w:val="11"/>
        </w:rPr>
      </w:pPr>
      <w:r>
        <w:rPr>
          <w:color w:val="4D4D4F"/>
        </w:rPr>
        <w:t>La Trobe University to collect and grow plants from wild Button Wrinklewort seed.</w:t>
      </w:r>
      <w:r>
        <w:rPr>
          <w:color w:val="4D4D4F"/>
          <w:position w:val="7"/>
          <w:sz w:val="11"/>
        </w:rPr>
        <w:t xml:space="preserve">269 </w:t>
      </w:r>
      <w:r>
        <w:rPr>
          <w:color w:val="4D4D4F"/>
        </w:rPr>
        <w:t>DELWP is intending to reintroduce these plants at several key sites, including Truganina Cemetery and St Albans railway station.</w:t>
      </w:r>
      <w:r>
        <w:rPr>
          <w:color w:val="4D4D4F"/>
          <w:position w:val="7"/>
          <w:sz w:val="11"/>
        </w:rPr>
        <w:t>270</w:t>
      </w:r>
    </w:p>
    <w:p w14:paraId="7C175ED1" w14:textId="77777777" w:rsidR="00EF5B27" w:rsidRDefault="00EF5B27">
      <w:pPr>
        <w:spacing w:line="254" w:lineRule="auto"/>
        <w:rPr>
          <w:sz w:val="11"/>
        </w:rPr>
        <w:sectPr w:rsidR="00EF5B27">
          <w:type w:val="continuous"/>
          <w:pgSz w:w="11910" w:h="16840"/>
          <w:pgMar w:top="1140" w:right="1020" w:bottom="280" w:left="1020" w:header="720" w:footer="720" w:gutter="0"/>
          <w:cols w:num="2" w:space="720" w:equalWidth="0">
            <w:col w:w="2309" w:space="186"/>
            <w:col w:w="7375"/>
          </w:cols>
        </w:sectPr>
      </w:pPr>
    </w:p>
    <w:p w14:paraId="279D7D86" w14:textId="77777777" w:rsidR="00EF5B27" w:rsidRDefault="00000000">
      <w:pPr>
        <w:pStyle w:val="BodyText"/>
      </w:pPr>
      <w:r>
        <w:lastRenderedPageBreak/>
        <w:pict w14:anchorId="0D0ECB2D">
          <v:group id="_x0000_s2722" style="position:absolute;margin-left:587.05pt;margin-top:183.4pt;width:8.25pt;height:153.1pt;z-index:251721216;mso-position-horizontal-relative:page;mso-position-vertical-relative:page" coordorigin="11741,3668" coordsize="165,3062">
            <v:shape id="_x0000_s2729" style="position:absolute;left:11741;top:3668;width:165;height:561" coordorigin="11741,3668" coordsize="165,561" path="m11906,3668r-165,l11741,4228r165,-18l11906,3668xe" fillcolor="#00aed9" stroked="f">
              <v:path arrowok="t"/>
            </v:shape>
            <v:shape id="_x0000_s2728" style="position:absolute;left:11741;top:4118;width:165;height:425" coordorigin="11741,4118" coordsize="165,425" path="m11906,4118r-165,14l11741,4531r165,12l11906,4118xe" fillcolor="#047ebc" stroked="f">
              <v:path arrowok="t"/>
            </v:shape>
            <v:shape id="_x0000_s2727" type="#_x0000_t75" style="position:absolute;left:11741;top:4355;width:165;height:587">
              <v:imagedata r:id="rId42" o:title=""/>
            </v:shape>
            <v:shape id="_x0000_s2726" style="position:absolute;left:11741;top:5343;width:165;height:536" coordorigin="11741,5343" coordsize="165,536" path="m11741,5343r,535l11906,5872r,-525l11741,5343xe" fillcolor="#f36a2e" stroked="f">
              <v:path arrowok="t"/>
            </v:shape>
            <v:shape id="_x0000_s2725" style="position:absolute;left:11741;top:4925;width:165;height:501" coordorigin="11741,4926" coordsize="165,501" path="m11741,4926r,500l11906,5426r,-485l11741,4926xe" fillcolor="#49783f" stroked="f">
              <v:path arrowok="t"/>
            </v:shape>
            <v:shape id="_x0000_s2724" style="position:absolute;left:11741;top:5781;width:165;height:268" coordorigin="11741,5782" coordsize="165,268" path="m11906,5782r-165,8l11741,6039r165,10l11906,5782xe" fillcolor="#f99f2a" stroked="f">
              <v:path arrowok="t"/>
            </v:shape>
            <v:shape id="_x0000_s2723" style="position:absolute;left:11741;top:6023;width:165;height:707" coordorigin="11741,6023" coordsize="165,707" path="m11741,6023r,706l11906,6729r,-690l11741,6023xe" fillcolor="#ef412c" stroked="f">
              <v:path arrowok="t"/>
            </v:shape>
            <w10:wrap anchorx="page" anchory="page"/>
          </v:group>
        </w:pict>
      </w:r>
    </w:p>
    <w:p w14:paraId="5FE5526C" w14:textId="77777777" w:rsidR="00EF5B27" w:rsidRDefault="00EF5B27">
      <w:pPr>
        <w:pStyle w:val="BodyText"/>
      </w:pPr>
    </w:p>
    <w:p w14:paraId="7B97E3C7" w14:textId="77777777" w:rsidR="00EF5B27" w:rsidRDefault="00EF5B27">
      <w:pPr>
        <w:pStyle w:val="BodyText"/>
      </w:pPr>
    </w:p>
    <w:p w14:paraId="0D0A54BD" w14:textId="77777777" w:rsidR="00EF5B27" w:rsidRDefault="00EF5B27">
      <w:pPr>
        <w:pStyle w:val="BodyText"/>
        <w:spacing w:before="8"/>
      </w:pPr>
    </w:p>
    <w:p w14:paraId="60618B7C" w14:textId="77777777" w:rsidR="00EF5B27" w:rsidRDefault="00000000">
      <w:pPr>
        <w:pStyle w:val="Heading2"/>
      </w:pPr>
      <w:bookmarkStart w:id="105" w:name="_bookmark69"/>
      <w:bookmarkEnd w:id="105"/>
      <w:r>
        <w:rPr>
          <w:color w:val="F99F2A"/>
        </w:rPr>
        <w:t>MNES 12: Large-fruit Groundsel</w:t>
      </w:r>
    </w:p>
    <w:p w14:paraId="1930F010" w14:textId="77777777" w:rsidR="00EF5B27" w:rsidRDefault="00EF5B27">
      <w:pPr>
        <w:pStyle w:val="BodyText"/>
        <w:rPr>
          <w:b/>
        </w:rPr>
      </w:pPr>
    </w:p>
    <w:p w14:paraId="05764B64" w14:textId="77777777" w:rsidR="00EF5B27" w:rsidRDefault="00EF5B27">
      <w:pPr>
        <w:pStyle w:val="BodyText"/>
        <w:rPr>
          <w:b/>
        </w:rPr>
      </w:pPr>
    </w:p>
    <w:p w14:paraId="2636E9EF" w14:textId="77777777" w:rsidR="00EF5B27" w:rsidRDefault="00EF5B27">
      <w:pPr>
        <w:pStyle w:val="BodyText"/>
        <w:spacing w:before="11"/>
        <w:rPr>
          <w:b/>
          <w:sz w:val="26"/>
        </w:rPr>
      </w:pPr>
    </w:p>
    <w:p w14:paraId="23B94EEA" w14:textId="77777777" w:rsidR="00EF5B27" w:rsidRDefault="00000000">
      <w:pPr>
        <w:pStyle w:val="Heading3"/>
        <w:spacing w:before="116"/>
      </w:pPr>
      <w:r>
        <w:rPr>
          <w:color w:val="F99F2A"/>
        </w:rPr>
        <w:t>Background</w:t>
      </w:r>
    </w:p>
    <w:p w14:paraId="17153FBA" w14:textId="77777777" w:rsidR="00EF5B27" w:rsidRDefault="00EF5B27">
      <w:pPr>
        <w:pStyle w:val="BodyText"/>
        <w:spacing w:before="5"/>
        <w:rPr>
          <w:b/>
          <w:sz w:val="27"/>
        </w:rPr>
      </w:pPr>
    </w:p>
    <w:p w14:paraId="253A7872" w14:textId="77777777" w:rsidR="00EF5B27" w:rsidRDefault="00000000">
      <w:pPr>
        <w:pStyle w:val="Heading6"/>
        <w:spacing w:line="254" w:lineRule="auto"/>
      </w:pPr>
      <w:r>
        <w:rPr>
          <w:color w:val="4D4D4F"/>
          <w:spacing w:val="-3"/>
        </w:rPr>
        <w:t xml:space="preserve">Large-fruit </w:t>
      </w:r>
      <w:r>
        <w:rPr>
          <w:color w:val="4D4D4F"/>
          <w:spacing w:val="-4"/>
        </w:rPr>
        <w:t xml:space="preserve">Groundsel </w:t>
      </w:r>
      <w:r>
        <w:rPr>
          <w:color w:val="4D4D4F"/>
          <w:spacing w:val="-6"/>
        </w:rPr>
        <w:t>(</w:t>
      </w:r>
      <w:r>
        <w:rPr>
          <w:i/>
          <w:color w:val="4D4D4F"/>
          <w:spacing w:val="-6"/>
        </w:rPr>
        <w:t>Senecio macrocarpus</w:t>
      </w:r>
      <w:r>
        <w:rPr>
          <w:color w:val="4D4D4F"/>
          <w:spacing w:val="-6"/>
        </w:rPr>
        <w:t xml:space="preserve">) </w:t>
      </w:r>
      <w:r>
        <w:rPr>
          <w:color w:val="4D4D4F"/>
          <w:spacing w:val="-4"/>
        </w:rPr>
        <w:t xml:space="preserve">is </w:t>
      </w:r>
      <w:r>
        <w:rPr>
          <w:color w:val="4D4D4F"/>
        </w:rPr>
        <w:t xml:space="preserve">a </w:t>
      </w:r>
      <w:r>
        <w:rPr>
          <w:color w:val="4D4D4F"/>
          <w:spacing w:val="-5"/>
        </w:rPr>
        <w:t xml:space="preserve">perennial daisy </w:t>
      </w:r>
      <w:r>
        <w:rPr>
          <w:color w:val="4D4D4F"/>
          <w:spacing w:val="-4"/>
        </w:rPr>
        <w:t xml:space="preserve">growing </w:t>
      </w:r>
      <w:r>
        <w:rPr>
          <w:color w:val="4D4D4F"/>
          <w:spacing w:val="-3"/>
        </w:rPr>
        <w:t xml:space="preserve">to </w:t>
      </w:r>
      <w:r>
        <w:rPr>
          <w:color w:val="4D4D4F"/>
          <w:spacing w:val="-4"/>
        </w:rPr>
        <w:t xml:space="preserve">about </w:t>
      </w:r>
      <w:r>
        <w:rPr>
          <w:color w:val="4D4D4F"/>
        </w:rPr>
        <w:t xml:space="preserve">40 cm </w:t>
      </w:r>
      <w:r>
        <w:rPr>
          <w:color w:val="4D4D4F"/>
          <w:spacing w:val="-3"/>
        </w:rPr>
        <w:t xml:space="preserve">high, </w:t>
      </w:r>
      <w:r>
        <w:rPr>
          <w:color w:val="4D4D4F"/>
        </w:rPr>
        <w:t xml:space="preserve">with grey </w:t>
      </w:r>
      <w:r>
        <w:rPr>
          <w:color w:val="4D4D4F"/>
          <w:spacing w:val="-3"/>
        </w:rPr>
        <w:t xml:space="preserve">foliage </w:t>
      </w:r>
      <w:r>
        <w:rPr>
          <w:color w:val="4D4D4F"/>
        </w:rPr>
        <w:t xml:space="preserve">and </w:t>
      </w:r>
      <w:r>
        <w:rPr>
          <w:color w:val="4D4D4F"/>
          <w:spacing w:val="-4"/>
        </w:rPr>
        <w:t xml:space="preserve">yellow </w:t>
      </w:r>
      <w:r>
        <w:rPr>
          <w:color w:val="4D4D4F"/>
        </w:rPr>
        <w:t>flower heads.</w:t>
      </w:r>
      <w:r>
        <w:rPr>
          <w:color w:val="4D4D4F"/>
          <w:position w:val="7"/>
          <w:sz w:val="11"/>
        </w:rPr>
        <w:t xml:space="preserve">271, 272 </w:t>
      </w:r>
      <w:r>
        <w:rPr>
          <w:color w:val="4D4D4F"/>
        </w:rPr>
        <w:t xml:space="preserve">It occurs in grassy </w:t>
      </w:r>
      <w:r>
        <w:rPr>
          <w:color w:val="4D4D4F"/>
          <w:spacing w:val="-3"/>
        </w:rPr>
        <w:t xml:space="preserve">woodlands </w:t>
      </w:r>
      <w:r>
        <w:rPr>
          <w:color w:val="4D4D4F"/>
        </w:rPr>
        <w:t xml:space="preserve">and grasslands, in places free from </w:t>
      </w:r>
      <w:r>
        <w:rPr>
          <w:color w:val="4D4D4F"/>
          <w:spacing w:val="-3"/>
        </w:rPr>
        <w:t xml:space="preserve">intense competition </w:t>
      </w:r>
      <w:r>
        <w:rPr>
          <w:color w:val="4D4D4F"/>
        </w:rPr>
        <w:t xml:space="preserve">from other plants. It is distributed </w:t>
      </w:r>
      <w:r>
        <w:rPr>
          <w:color w:val="4D4D4F"/>
          <w:spacing w:val="-3"/>
        </w:rPr>
        <w:t xml:space="preserve">widely </w:t>
      </w:r>
      <w:r>
        <w:rPr>
          <w:color w:val="4D4D4F"/>
          <w:spacing w:val="-4"/>
        </w:rPr>
        <w:t xml:space="preserve">across south-eastern </w:t>
      </w:r>
      <w:r>
        <w:rPr>
          <w:color w:val="4D4D4F"/>
          <w:spacing w:val="-5"/>
        </w:rPr>
        <w:t>Australia.</w:t>
      </w:r>
    </w:p>
    <w:p w14:paraId="4F2B77E4" w14:textId="77777777" w:rsidR="00EF5B27" w:rsidRDefault="00000000">
      <w:pPr>
        <w:pStyle w:val="BodyText"/>
        <w:spacing w:before="232"/>
        <w:ind w:left="2608"/>
      </w:pPr>
      <w:r>
        <w:rPr>
          <w:color w:val="4D4D4F"/>
          <w:w w:val="105"/>
        </w:rPr>
        <w:t>EPBC listing status: Vulnerable</w:t>
      </w:r>
    </w:p>
    <w:p w14:paraId="51A354CC" w14:textId="77777777" w:rsidR="00EF5B27" w:rsidRDefault="00000000">
      <w:pPr>
        <w:pStyle w:val="BodyText"/>
        <w:spacing w:before="3"/>
      </w:pPr>
      <w:r>
        <w:rPr>
          <w:noProof/>
        </w:rPr>
        <w:drawing>
          <wp:anchor distT="0" distB="0" distL="0" distR="0" simplePos="0" relativeHeight="251303424" behindDoc="0" locked="0" layoutInCell="1" allowOverlap="1" wp14:anchorId="0B95303A" wp14:editId="7567E15B">
            <wp:simplePos x="0" y="0"/>
            <wp:positionH relativeFrom="page">
              <wp:posOffset>2304288</wp:posOffset>
            </wp:positionH>
            <wp:positionV relativeFrom="paragraph">
              <wp:posOffset>181807</wp:posOffset>
            </wp:positionV>
            <wp:extent cx="4535423" cy="2551176"/>
            <wp:effectExtent l="0" t="0" r="0" b="0"/>
            <wp:wrapTopAndBottom/>
            <wp:docPr id="515" name="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206.png"/>
                    <pic:cNvPicPr/>
                  </pic:nvPicPr>
                  <pic:blipFill>
                    <a:blip r:embed="rId166" cstate="print"/>
                    <a:stretch>
                      <a:fillRect/>
                    </a:stretch>
                  </pic:blipFill>
                  <pic:spPr>
                    <a:xfrm>
                      <a:off x="0" y="0"/>
                      <a:ext cx="4535423" cy="2551176"/>
                    </a:xfrm>
                    <a:prstGeom prst="rect">
                      <a:avLst/>
                    </a:prstGeom>
                  </pic:spPr>
                </pic:pic>
              </a:graphicData>
            </a:graphic>
          </wp:anchor>
        </w:drawing>
      </w:r>
    </w:p>
    <w:p w14:paraId="01F8F054" w14:textId="77777777" w:rsidR="00EF5B27" w:rsidRDefault="00000000">
      <w:pPr>
        <w:tabs>
          <w:tab w:val="left" w:pos="8977"/>
        </w:tabs>
        <w:spacing w:before="113"/>
        <w:ind w:left="2608"/>
        <w:rPr>
          <w:rFonts w:ascii="Century Gothic"/>
          <w:i/>
          <w:sz w:val="12"/>
        </w:rPr>
      </w:pPr>
      <w:r>
        <w:rPr>
          <w:color w:val="4D4D4F"/>
          <w:sz w:val="16"/>
        </w:rPr>
        <w:t>Figure  42:</w:t>
      </w:r>
      <w:r>
        <w:rPr>
          <w:color w:val="4D4D4F"/>
          <w:spacing w:val="-8"/>
          <w:sz w:val="16"/>
        </w:rPr>
        <w:t xml:space="preserve"> </w:t>
      </w:r>
      <w:r>
        <w:rPr>
          <w:color w:val="4D4D4F"/>
          <w:spacing w:val="2"/>
          <w:sz w:val="16"/>
        </w:rPr>
        <w:t>Large-fruit</w:t>
      </w:r>
      <w:r>
        <w:rPr>
          <w:color w:val="4D4D4F"/>
          <w:spacing w:val="15"/>
          <w:sz w:val="16"/>
        </w:rPr>
        <w:t xml:space="preserve"> </w:t>
      </w:r>
      <w:r>
        <w:rPr>
          <w:color w:val="4D4D4F"/>
          <w:sz w:val="16"/>
        </w:rPr>
        <w:t>Groundsel</w:t>
      </w:r>
      <w:r>
        <w:rPr>
          <w:color w:val="4D4D4F"/>
          <w:sz w:val="16"/>
        </w:rPr>
        <w:tab/>
      </w:r>
      <w:r>
        <w:rPr>
          <w:rFonts w:ascii="Century Gothic"/>
          <w:i/>
          <w:color w:val="4D4D4F"/>
          <w:sz w:val="12"/>
        </w:rPr>
        <w:t>Source:</w:t>
      </w:r>
      <w:r>
        <w:rPr>
          <w:rFonts w:ascii="Century Gothic"/>
          <w:i/>
          <w:color w:val="4D4D4F"/>
          <w:spacing w:val="-22"/>
          <w:sz w:val="12"/>
        </w:rPr>
        <w:t xml:space="preserve"> </w:t>
      </w:r>
      <w:r>
        <w:rPr>
          <w:rFonts w:ascii="Century Gothic"/>
          <w:i/>
          <w:color w:val="4D4D4F"/>
          <w:sz w:val="12"/>
        </w:rPr>
        <w:t>DELWP</w:t>
      </w:r>
    </w:p>
    <w:p w14:paraId="46286E4D" w14:textId="77777777" w:rsidR="00EF5B27" w:rsidRDefault="00EF5B27">
      <w:pPr>
        <w:pStyle w:val="BodyText"/>
        <w:spacing w:before="6"/>
        <w:rPr>
          <w:rFonts w:ascii="Century Gothic"/>
          <w:i/>
          <w:sz w:val="29"/>
        </w:rPr>
      </w:pPr>
    </w:p>
    <w:p w14:paraId="181C6B20" w14:textId="77777777" w:rsidR="00EF5B27" w:rsidRDefault="00000000">
      <w:pPr>
        <w:pStyle w:val="Heading3"/>
        <w:spacing w:before="1"/>
      </w:pPr>
      <w:r>
        <w:rPr>
          <w:color w:val="F99F2A"/>
        </w:rPr>
        <w:t>DELWP’s conservation commitment</w:t>
      </w:r>
    </w:p>
    <w:p w14:paraId="15466B5E" w14:textId="77777777" w:rsidR="00EF5B27" w:rsidRDefault="00000000">
      <w:pPr>
        <w:pStyle w:val="BodyText"/>
        <w:spacing w:before="221" w:line="254" w:lineRule="auto"/>
        <w:ind w:left="2608"/>
      </w:pPr>
      <w:r>
        <w:rPr>
          <w:color w:val="4D4D4F"/>
        </w:rPr>
        <w:t>DELWP published the following statement as the conservation outcome for the Large- fruit Groundsel by notice in the Victorian Government Gazette:</w:t>
      </w:r>
    </w:p>
    <w:p w14:paraId="4991A63A" w14:textId="77777777" w:rsidR="00EF5B27" w:rsidRDefault="00000000">
      <w:pPr>
        <w:pStyle w:val="BodyText"/>
        <w:spacing w:before="2"/>
        <w:rPr>
          <w:sz w:val="19"/>
        </w:rPr>
      </w:pPr>
      <w:r>
        <w:pict w14:anchorId="2D3D5A6B">
          <v:shape id="_x0000_s2721" type="#_x0000_t202" style="position:absolute;margin-left:181.6pt;margin-top:13.9pt;width:356.8pt;height:70pt;z-index:251642368;mso-wrap-distance-left:0;mso-wrap-distance-right:0;mso-position-horizontal-relative:page" filled="f" strokecolor="#4d4d4f" strokeweight=".5pt">
            <v:textbox inset="0,0,0,0">
              <w:txbxContent>
                <w:p w14:paraId="2F29F2BD" w14:textId="77777777" w:rsidR="00EF5B27" w:rsidRDefault="00000000">
                  <w:pPr>
                    <w:spacing w:before="192" w:line="254" w:lineRule="auto"/>
                    <w:ind w:left="226" w:right="172"/>
                    <w:rPr>
                      <w:b/>
                      <w:i/>
                      <w:sz w:val="20"/>
                    </w:rPr>
                  </w:pPr>
                  <w:r>
                    <w:rPr>
                      <w:b/>
                      <w:i/>
                      <w:color w:val="4D4D4F"/>
                      <w:sz w:val="20"/>
                    </w:rPr>
                    <w:t>‘No substantial negative change to known populations of Large-fruit Groundsel within the UGB (including but not limited to conservation area 5). No substantial negative change means that the five-year mean population count remains above the baseline.’</w:t>
                  </w:r>
                </w:p>
              </w:txbxContent>
            </v:textbox>
            <w10:wrap type="topAndBottom" anchorx="page"/>
          </v:shape>
        </w:pict>
      </w:r>
    </w:p>
    <w:p w14:paraId="73A2D7EF" w14:textId="77777777" w:rsidR="00EF5B27" w:rsidRDefault="00EF5B27">
      <w:pPr>
        <w:pStyle w:val="BodyText"/>
        <w:spacing w:before="5"/>
        <w:rPr>
          <w:sz w:val="14"/>
        </w:rPr>
      </w:pPr>
    </w:p>
    <w:p w14:paraId="4942D5FF" w14:textId="77777777" w:rsidR="00EF5B27" w:rsidRDefault="00000000">
      <w:pPr>
        <w:pStyle w:val="BodyText"/>
        <w:spacing w:before="100" w:line="254" w:lineRule="auto"/>
        <w:ind w:left="2608" w:right="126"/>
      </w:pPr>
      <w:r>
        <w:rPr>
          <w:color w:val="4D4D4F"/>
        </w:rPr>
        <w:t>DELWP’s MSA MRF also summarises the conservation outcomes for the Large-fruit Groundsel as a single goal statement: ‘no substantial negative change to the population of Large-fruit Groundsel within the program area’.</w:t>
      </w:r>
    </w:p>
    <w:p w14:paraId="24188050" w14:textId="77777777" w:rsidR="00EF5B27" w:rsidRDefault="00000000">
      <w:pPr>
        <w:pStyle w:val="BodyText"/>
        <w:spacing w:before="5"/>
        <w:rPr>
          <w:sz w:val="16"/>
        </w:rPr>
      </w:pPr>
      <w:r>
        <w:pict w14:anchorId="25C2862D">
          <v:line id="_x0000_s2720" style="position:absolute;z-index:251643392;mso-wrap-distance-left:0;mso-wrap-distance-right:0;mso-position-horizontal-relative:page" from="184.25pt,12.25pt" to="538.65pt,12.25pt" strokecolor="#4d4d4f" strokeweight=".5pt">
            <w10:wrap type="topAndBottom" anchorx="page"/>
          </v:line>
        </w:pict>
      </w:r>
    </w:p>
    <w:p w14:paraId="5AFF4D62" w14:textId="77777777" w:rsidR="00EF5B27" w:rsidRDefault="00000000">
      <w:pPr>
        <w:pStyle w:val="ListParagraph"/>
        <w:numPr>
          <w:ilvl w:val="0"/>
          <w:numId w:val="20"/>
        </w:numPr>
        <w:tabs>
          <w:tab w:val="left" w:pos="2892"/>
        </w:tabs>
        <w:spacing w:before="88" w:line="230" w:lineRule="auto"/>
        <w:ind w:left="2891" w:right="110" w:hanging="226"/>
        <w:jc w:val="left"/>
        <w:rPr>
          <w:sz w:val="12"/>
        </w:rPr>
      </w:pPr>
      <w:r>
        <w:rPr>
          <w:color w:val="4D4D4F"/>
          <w:sz w:val="12"/>
        </w:rPr>
        <w:t xml:space="preserve">Belcher RO (1983) New Australian species of </w:t>
      </w:r>
      <w:r>
        <w:rPr>
          <w:rFonts w:ascii="Arial Narrow" w:hAnsi="Arial Narrow"/>
          <w:i/>
          <w:color w:val="4D4D4F"/>
          <w:sz w:val="12"/>
        </w:rPr>
        <w:t xml:space="preserve">Erechthitoid Senecio </w:t>
      </w:r>
      <w:r>
        <w:rPr>
          <w:color w:val="4D4D4F"/>
          <w:sz w:val="12"/>
        </w:rPr>
        <w:t xml:space="preserve">(Asteraceae). Muelleria 5, 119-122; Hills </w:t>
      </w:r>
      <w:r>
        <w:rPr>
          <w:color w:val="4D4D4F"/>
          <w:spacing w:val="2"/>
          <w:sz w:val="12"/>
        </w:rPr>
        <w:t xml:space="preserve">A, </w:t>
      </w:r>
      <w:r>
        <w:rPr>
          <w:color w:val="4D4D4F"/>
          <w:sz w:val="12"/>
        </w:rPr>
        <w:t>Boekel R 1996,  ‘Action statement</w:t>
      </w:r>
      <w:r>
        <w:rPr>
          <w:color w:val="4D4D4F"/>
          <w:spacing w:val="9"/>
          <w:sz w:val="12"/>
        </w:rPr>
        <w:t xml:space="preserve"> </w:t>
      </w:r>
      <w:r>
        <w:rPr>
          <w:color w:val="4D4D4F"/>
          <w:sz w:val="12"/>
        </w:rPr>
        <w:t>No.</w:t>
      </w:r>
      <w:r>
        <w:rPr>
          <w:color w:val="4D4D4F"/>
          <w:spacing w:val="9"/>
          <w:sz w:val="12"/>
        </w:rPr>
        <w:t xml:space="preserve"> </w:t>
      </w:r>
      <w:r>
        <w:rPr>
          <w:color w:val="4D4D4F"/>
          <w:spacing w:val="2"/>
          <w:sz w:val="12"/>
        </w:rPr>
        <w:t>68.</w:t>
      </w:r>
      <w:r>
        <w:rPr>
          <w:color w:val="4D4D4F"/>
          <w:spacing w:val="10"/>
          <w:sz w:val="12"/>
        </w:rPr>
        <w:t xml:space="preserve"> </w:t>
      </w:r>
      <w:r>
        <w:rPr>
          <w:color w:val="4D4D4F"/>
          <w:spacing w:val="2"/>
          <w:sz w:val="12"/>
        </w:rPr>
        <w:t>Large-fruit</w:t>
      </w:r>
      <w:r>
        <w:rPr>
          <w:color w:val="4D4D4F"/>
          <w:spacing w:val="9"/>
          <w:sz w:val="12"/>
        </w:rPr>
        <w:t xml:space="preserve"> </w:t>
      </w:r>
      <w:r>
        <w:rPr>
          <w:color w:val="4D4D4F"/>
          <w:sz w:val="12"/>
        </w:rPr>
        <w:t>groundsel</w:t>
      </w:r>
      <w:r>
        <w:rPr>
          <w:color w:val="4D4D4F"/>
          <w:spacing w:val="10"/>
          <w:sz w:val="12"/>
        </w:rPr>
        <w:t xml:space="preserve"> </w:t>
      </w:r>
      <w:r>
        <w:rPr>
          <w:color w:val="4D4D4F"/>
          <w:sz w:val="12"/>
        </w:rPr>
        <w:t>Senecio</w:t>
      </w:r>
      <w:r>
        <w:rPr>
          <w:color w:val="4D4D4F"/>
          <w:spacing w:val="9"/>
          <w:sz w:val="12"/>
        </w:rPr>
        <w:t xml:space="preserve"> </w:t>
      </w:r>
      <w:r>
        <w:rPr>
          <w:rFonts w:ascii="Arial Narrow" w:hAnsi="Arial Narrow"/>
          <w:i/>
          <w:color w:val="4D4D4F"/>
          <w:sz w:val="12"/>
        </w:rPr>
        <w:t>macrocarpus</w:t>
      </w:r>
      <w:r>
        <w:rPr>
          <w:color w:val="4D4D4F"/>
          <w:sz w:val="12"/>
        </w:rPr>
        <w:t>.’</w:t>
      </w:r>
      <w:r>
        <w:rPr>
          <w:color w:val="4D4D4F"/>
          <w:spacing w:val="10"/>
          <w:sz w:val="12"/>
        </w:rPr>
        <w:t xml:space="preserve"> </w:t>
      </w:r>
      <w:r>
        <w:rPr>
          <w:color w:val="4D4D4F"/>
          <w:sz w:val="12"/>
        </w:rPr>
        <w:t>Department</w:t>
      </w:r>
      <w:r>
        <w:rPr>
          <w:color w:val="4D4D4F"/>
          <w:spacing w:val="9"/>
          <w:sz w:val="12"/>
        </w:rPr>
        <w:t xml:space="preserve"> </w:t>
      </w:r>
      <w:r>
        <w:rPr>
          <w:color w:val="4D4D4F"/>
          <w:sz w:val="12"/>
        </w:rPr>
        <w:t>of</w:t>
      </w:r>
      <w:r>
        <w:rPr>
          <w:color w:val="4D4D4F"/>
          <w:spacing w:val="9"/>
          <w:sz w:val="12"/>
        </w:rPr>
        <w:t xml:space="preserve"> </w:t>
      </w:r>
      <w:r>
        <w:rPr>
          <w:color w:val="4D4D4F"/>
          <w:sz w:val="12"/>
        </w:rPr>
        <w:t>Natural</w:t>
      </w:r>
      <w:r>
        <w:rPr>
          <w:color w:val="4D4D4F"/>
          <w:spacing w:val="10"/>
          <w:sz w:val="12"/>
        </w:rPr>
        <w:t xml:space="preserve"> </w:t>
      </w:r>
      <w:r>
        <w:rPr>
          <w:color w:val="4D4D4F"/>
          <w:sz w:val="12"/>
        </w:rPr>
        <w:t>Resources</w:t>
      </w:r>
      <w:r>
        <w:rPr>
          <w:color w:val="4D4D4F"/>
          <w:spacing w:val="9"/>
          <w:sz w:val="12"/>
        </w:rPr>
        <w:t xml:space="preserve"> </w:t>
      </w:r>
      <w:r>
        <w:rPr>
          <w:color w:val="4D4D4F"/>
          <w:sz w:val="12"/>
        </w:rPr>
        <w:t>and</w:t>
      </w:r>
      <w:r>
        <w:rPr>
          <w:color w:val="4D4D4F"/>
          <w:spacing w:val="10"/>
          <w:sz w:val="12"/>
        </w:rPr>
        <w:t xml:space="preserve"> </w:t>
      </w:r>
      <w:r>
        <w:rPr>
          <w:color w:val="4D4D4F"/>
          <w:sz w:val="12"/>
        </w:rPr>
        <w:t>Environment,</w:t>
      </w:r>
      <w:r>
        <w:rPr>
          <w:color w:val="4D4D4F"/>
          <w:spacing w:val="9"/>
          <w:sz w:val="12"/>
        </w:rPr>
        <w:t xml:space="preserve"> </w:t>
      </w:r>
      <w:r>
        <w:rPr>
          <w:color w:val="4D4D4F"/>
          <w:sz w:val="12"/>
        </w:rPr>
        <w:t>Victoria.</w:t>
      </w:r>
    </w:p>
    <w:p w14:paraId="0F489E04" w14:textId="77777777" w:rsidR="00EF5B27" w:rsidRDefault="00000000">
      <w:pPr>
        <w:pStyle w:val="ListParagraph"/>
        <w:numPr>
          <w:ilvl w:val="0"/>
          <w:numId w:val="20"/>
        </w:numPr>
        <w:tabs>
          <w:tab w:val="left" w:pos="2892"/>
        </w:tabs>
        <w:spacing w:line="230" w:lineRule="auto"/>
        <w:ind w:left="2891" w:right="111" w:hanging="226"/>
        <w:jc w:val="left"/>
        <w:rPr>
          <w:sz w:val="12"/>
        </w:rPr>
      </w:pPr>
      <w:r>
        <w:rPr>
          <w:color w:val="4D4D4F"/>
          <w:w w:val="105"/>
          <w:sz w:val="12"/>
        </w:rPr>
        <w:t>Walsh NG 1999, ‘</w:t>
      </w:r>
      <w:r>
        <w:rPr>
          <w:rFonts w:ascii="Arial Narrow" w:hAnsi="Arial Narrow"/>
          <w:i/>
          <w:color w:val="4D4D4F"/>
          <w:w w:val="105"/>
          <w:sz w:val="12"/>
        </w:rPr>
        <w:t>Senecio</w:t>
      </w:r>
      <w:r>
        <w:rPr>
          <w:color w:val="4D4D4F"/>
          <w:w w:val="105"/>
          <w:sz w:val="12"/>
        </w:rPr>
        <w:t xml:space="preserve">. In: Walsh NG and Entwisle TJ (Eds.) Flora of Victoria vol 4: Dicotyledons </w:t>
      </w:r>
      <w:r>
        <w:rPr>
          <w:color w:val="4D4D4F"/>
          <w:spacing w:val="2"/>
          <w:w w:val="105"/>
          <w:sz w:val="12"/>
        </w:rPr>
        <w:t xml:space="preserve">Cornaceae </w:t>
      </w:r>
      <w:r>
        <w:rPr>
          <w:color w:val="4D4D4F"/>
          <w:w w:val="105"/>
          <w:sz w:val="12"/>
        </w:rPr>
        <w:t xml:space="preserve">to Asteraceae.’ Inkata </w:t>
      </w:r>
      <w:r>
        <w:rPr>
          <w:color w:val="4D4D4F"/>
          <w:spacing w:val="2"/>
          <w:w w:val="105"/>
          <w:sz w:val="12"/>
        </w:rPr>
        <w:t>Press,</w:t>
      </w:r>
      <w:r>
        <w:rPr>
          <w:color w:val="4D4D4F"/>
          <w:w w:val="105"/>
          <w:sz w:val="12"/>
        </w:rPr>
        <w:t xml:space="preserve"> </w:t>
      </w:r>
      <w:r>
        <w:rPr>
          <w:color w:val="4D4D4F"/>
          <w:spacing w:val="2"/>
          <w:w w:val="105"/>
          <w:sz w:val="12"/>
        </w:rPr>
        <w:t>Melbourne.</w:t>
      </w:r>
    </w:p>
    <w:p w14:paraId="6FE2CB21"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6A979C5C" w14:textId="77777777" w:rsidR="00EF5B27" w:rsidRDefault="00000000">
      <w:pPr>
        <w:pStyle w:val="BodyText"/>
      </w:pPr>
      <w:r>
        <w:lastRenderedPageBreak/>
        <w:pict w14:anchorId="32A234E1">
          <v:group id="_x0000_s2712" style="position:absolute;margin-left:587.05pt;margin-top:183.4pt;width:8.25pt;height:153.1pt;z-index:251724288;mso-position-horizontal-relative:page;mso-position-vertical-relative:page" coordorigin="11741,3668" coordsize="165,3062">
            <v:shape id="_x0000_s2719" style="position:absolute;left:11741;top:3668;width:165;height:561" coordorigin="11741,3668" coordsize="165,561" path="m11906,3668r-165,l11741,4228r165,-18l11906,3668xe" fillcolor="#00aed9" stroked="f">
              <v:path arrowok="t"/>
            </v:shape>
            <v:shape id="_x0000_s2718" style="position:absolute;left:11741;top:4118;width:165;height:425" coordorigin="11741,4118" coordsize="165,425" path="m11906,4118r-165,14l11741,4531r165,12l11906,4118xe" fillcolor="#047ebc" stroked="f">
              <v:path arrowok="t"/>
            </v:shape>
            <v:shape id="_x0000_s2717" type="#_x0000_t75" style="position:absolute;left:11741;top:4355;width:165;height:587">
              <v:imagedata r:id="rId42" o:title=""/>
            </v:shape>
            <v:shape id="_x0000_s2716" style="position:absolute;left:11741;top:5343;width:165;height:536" coordorigin="11741,5343" coordsize="165,536" path="m11741,5343r,535l11906,5872r,-525l11741,5343xe" fillcolor="#f36a2e" stroked="f">
              <v:path arrowok="t"/>
            </v:shape>
            <v:shape id="_x0000_s2715" style="position:absolute;left:11741;top:4925;width:165;height:501" coordorigin="11741,4926" coordsize="165,501" path="m11741,4926r,500l11906,5426r,-485l11741,4926xe" fillcolor="#49783f" stroked="f">
              <v:path arrowok="t"/>
            </v:shape>
            <v:shape id="_x0000_s2714" style="position:absolute;left:11741;top:5781;width:165;height:268" coordorigin="11741,5782" coordsize="165,268" path="m11906,5782r-165,8l11741,6039r165,10l11906,5782xe" fillcolor="#f99f2a" stroked="f">
              <v:path arrowok="t"/>
            </v:shape>
            <v:shape id="_x0000_s2713" style="position:absolute;left:11741;top:6023;width:165;height:707" coordorigin="11741,6023" coordsize="165,707" path="m11741,6023r,706l11906,6729r,-690l11741,6023xe" fillcolor="#ef412c" stroked="f">
              <v:path arrowok="t"/>
            </v:shape>
            <w10:wrap anchorx="page" anchory="page"/>
          </v:group>
        </w:pict>
      </w:r>
    </w:p>
    <w:p w14:paraId="55565A80" w14:textId="77777777" w:rsidR="00EF5B27" w:rsidRDefault="00EF5B27">
      <w:pPr>
        <w:pStyle w:val="BodyText"/>
      </w:pPr>
    </w:p>
    <w:p w14:paraId="6CDABB9C" w14:textId="77777777" w:rsidR="00EF5B27" w:rsidRDefault="00EF5B27">
      <w:pPr>
        <w:pStyle w:val="BodyText"/>
      </w:pPr>
    </w:p>
    <w:p w14:paraId="1E5C4B15" w14:textId="77777777" w:rsidR="00EF5B27" w:rsidRDefault="00EF5B27">
      <w:pPr>
        <w:pStyle w:val="BodyText"/>
        <w:spacing w:before="12"/>
        <w:rPr>
          <w:sz w:val="22"/>
        </w:rPr>
      </w:pPr>
    </w:p>
    <w:p w14:paraId="55B91E66" w14:textId="77777777" w:rsidR="00EF5B27" w:rsidRDefault="00000000">
      <w:pPr>
        <w:pStyle w:val="Heading3"/>
        <w:spacing w:before="115"/>
      </w:pPr>
      <w:r>
        <w:rPr>
          <w:color w:val="F99F2A"/>
          <w:w w:val="110"/>
        </w:rPr>
        <w:t>KPIs assessed</w:t>
      </w:r>
    </w:p>
    <w:p w14:paraId="39D00A9E" w14:textId="77777777" w:rsidR="00EF5B27" w:rsidRDefault="00000000">
      <w:pPr>
        <w:pStyle w:val="BodyText"/>
        <w:spacing w:before="221"/>
        <w:ind w:left="2608"/>
        <w:rPr>
          <w:rFonts w:ascii="Calibri Light"/>
        </w:rPr>
      </w:pPr>
      <w:r>
        <w:rPr>
          <w:rFonts w:ascii="Calibri Light"/>
          <w:color w:val="4D4D4F"/>
        </w:rPr>
        <w:t>Progress towards this goal is measured using a single KPI:</w:t>
      </w:r>
    </w:p>
    <w:p w14:paraId="7D3427E3" w14:textId="77777777" w:rsidR="00EF5B27" w:rsidRDefault="00000000">
      <w:pPr>
        <w:pStyle w:val="BodyText"/>
        <w:spacing w:before="130" w:line="254" w:lineRule="auto"/>
        <w:ind w:left="2778" w:hanging="170"/>
      </w:pPr>
      <w:r>
        <w:rPr>
          <w:color w:val="4D4D4F"/>
        </w:rPr>
        <w:t>1. The five-year mean population count, which must remain above a baseline set by the first five years of counts.</w:t>
      </w:r>
    </w:p>
    <w:p w14:paraId="54EB1D29" w14:textId="77777777" w:rsidR="00EF5B27" w:rsidRDefault="00000000">
      <w:pPr>
        <w:pStyle w:val="BodyText"/>
        <w:spacing w:before="115" w:line="254" w:lineRule="auto"/>
        <w:ind w:left="2608" w:right="221"/>
      </w:pPr>
      <w:bookmarkStart w:id="106" w:name="_heading=h.44bvf6o"/>
      <w:bookmarkEnd w:id="106"/>
      <w:r>
        <w:rPr>
          <w:color w:val="4D4D4F"/>
        </w:rPr>
        <w:t>This KPI will be assessed using a continuous improvement approach, where any increase over the baseline in a five-year reporting period will lead to the calculation of a new baseline for subsequent reporting</w:t>
      </w:r>
      <w:r>
        <w:rPr>
          <w:color w:val="4D4D4F"/>
          <w:spacing w:val="26"/>
        </w:rPr>
        <w:t xml:space="preserve"> </w:t>
      </w:r>
      <w:r>
        <w:rPr>
          <w:color w:val="4D4D4F"/>
        </w:rPr>
        <w:t>periods.</w:t>
      </w:r>
    </w:p>
    <w:p w14:paraId="5ACA84BC" w14:textId="77777777" w:rsidR="00EF5B27" w:rsidRDefault="00EF5B27">
      <w:pPr>
        <w:pStyle w:val="BodyText"/>
      </w:pPr>
    </w:p>
    <w:p w14:paraId="26530E25" w14:textId="77777777" w:rsidR="00EF5B27" w:rsidRDefault="00EF5B27">
      <w:pPr>
        <w:pStyle w:val="BodyText"/>
        <w:spacing w:before="9" w:after="1"/>
        <w:rPr>
          <w:sz w:val="11"/>
        </w:rPr>
      </w:pPr>
    </w:p>
    <w:tbl>
      <w:tblPr>
        <w:tblW w:w="0" w:type="auto"/>
        <w:tblInd w:w="261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152"/>
        <w:gridCol w:w="4987"/>
      </w:tblGrid>
      <w:tr w:rsidR="00EF5B27" w14:paraId="28A81C6D" w14:textId="77777777">
        <w:trPr>
          <w:trHeight w:val="459"/>
        </w:trPr>
        <w:tc>
          <w:tcPr>
            <w:tcW w:w="2152" w:type="dxa"/>
            <w:shd w:val="clear" w:color="auto" w:fill="FECC91"/>
          </w:tcPr>
          <w:p w14:paraId="5B525FDB" w14:textId="77777777" w:rsidR="00EF5B27" w:rsidRDefault="00000000">
            <w:pPr>
              <w:pStyle w:val="TableParagraph"/>
              <w:spacing w:before="140"/>
              <w:ind w:left="113"/>
              <w:rPr>
                <w:b/>
                <w:sz w:val="16"/>
              </w:rPr>
            </w:pPr>
            <w:r>
              <w:rPr>
                <w:b/>
                <w:w w:val="105"/>
                <w:sz w:val="16"/>
              </w:rPr>
              <w:t>MNES</w:t>
            </w:r>
          </w:p>
        </w:tc>
        <w:tc>
          <w:tcPr>
            <w:tcW w:w="4987" w:type="dxa"/>
          </w:tcPr>
          <w:p w14:paraId="02343A2A" w14:textId="77777777" w:rsidR="00EF5B27" w:rsidRDefault="00000000">
            <w:pPr>
              <w:pStyle w:val="TableParagraph"/>
              <w:spacing w:before="140"/>
              <w:ind w:left="113"/>
              <w:rPr>
                <w:sz w:val="16"/>
              </w:rPr>
            </w:pPr>
            <w:r>
              <w:rPr>
                <w:color w:val="4D4D4F"/>
                <w:sz w:val="16"/>
              </w:rPr>
              <w:t>12. Large-fruit Groundsel</w:t>
            </w:r>
          </w:p>
        </w:tc>
      </w:tr>
      <w:tr w:rsidR="00EF5B27" w14:paraId="4E39D62E" w14:textId="77777777">
        <w:trPr>
          <w:trHeight w:val="859"/>
        </w:trPr>
        <w:tc>
          <w:tcPr>
            <w:tcW w:w="2152" w:type="dxa"/>
            <w:shd w:val="clear" w:color="auto" w:fill="FECC91"/>
          </w:tcPr>
          <w:p w14:paraId="545739CC" w14:textId="77777777" w:rsidR="00EF5B27" w:rsidRDefault="00000000">
            <w:pPr>
              <w:pStyle w:val="TableParagraph"/>
              <w:spacing w:before="140" w:line="244" w:lineRule="auto"/>
              <w:ind w:left="113" w:right="279"/>
              <w:rPr>
                <w:b/>
                <w:sz w:val="16"/>
              </w:rPr>
            </w:pPr>
            <w:r>
              <w:rPr>
                <w:b/>
                <w:sz w:val="16"/>
              </w:rPr>
              <w:t>Commonwealth approved 2015 MSA MRF single outcome statement</w:t>
            </w:r>
          </w:p>
        </w:tc>
        <w:tc>
          <w:tcPr>
            <w:tcW w:w="4987" w:type="dxa"/>
          </w:tcPr>
          <w:p w14:paraId="31511A6E" w14:textId="77777777" w:rsidR="00EF5B27" w:rsidRDefault="00EF5B27">
            <w:pPr>
              <w:pStyle w:val="TableParagraph"/>
              <w:spacing w:before="10"/>
              <w:rPr>
                <w:sz w:val="27"/>
              </w:rPr>
            </w:pPr>
          </w:p>
          <w:p w14:paraId="0F6FC734" w14:textId="77777777" w:rsidR="00EF5B27" w:rsidRDefault="00000000">
            <w:pPr>
              <w:pStyle w:val="TableParagraph"/>
              <w:ind w:left="113"/>
              <w:rPr>
                <w:sz w:val="16"/>
              </w:rPr>
            </w:pPr>
            <w:r>
              <w:rPr>
                <w:color w:val="4D4D4F"/>
                <w:sz w:val="16"/>
              </w:rPr>
              <w:t>No substantial negative change to populations of Large-fruit Groundsel.</w:t>
            </w:r>
          </w:p>
        </w:tc>
      </w:tr>
      <w:tr w:rsidR="00EF5B27" w14:paraId="55B6628A" w14:textId="77777777">
        <w:trPr>
          <w:trHeight w:val="859"/>
        </w:trPr>
        <w:tc>
          <w:tcPr>
            <w:tcW w:w="2152" w:type="dxa"/>
            <w:shd w:val="clear" w:color="auto" w:fill="FECC91"/>
          </w:tcPr>
          <w:p w14:paraId="1BDA76B5" w14:textId="77777777" w:rsidR="00EF5B27" w:rsidRDefault="00000000">
            <w:pPr>
              <w:pStyle w:val="TableParagraph"/>
              <w:spacing w:before="140" w:line="244" w:lineRule="auto"/>
              <w:ind w:left="113"/>
              <w:rPr>
                <w:b/>
                <w:sz w:val="16"/>
              </w:rPr>
            </w:pPr>
            <w:r>
              <w:rPr>
                <w:b/>
                <w:sz w:val="16"/>
              </w:rPr>
              <w:t>2014–2020 Ecological Outcomes Report single outcome statement</w:t>
            </w:r>
          </w:p>
        </w:tc>
        <w:tc>
          <w:tcPr>
            <w:tcW w:w="4987" w:type="dxa"/>
          </w:tcPr>
          <w:p w14:paraId="2708C8FC" w14:textId="77777777" w:rsidR="00EF5B27" w:rsidRDefault="00EF5B27">
            <w:pPr>
              <w:pStyle w:val="TableParagraph"/>
              <w:spacing w:before="10"/>
              <w:rPr>
                <w:sz w:val="27"/>
              </w:rPr>
            </w:pPr>
          </w:p>
          <w:p w14:paraId="17132D1D" w14:textId="77777777" w:rsidR="00EF5B27" w:rsidRDefault="00000000">
            <w:pPr>
              <w:pStyle w:val="TableParagraph"/>
              <w:ind w:left="113"/>
              <w:rPr>
                <w:sz w:val="16"/>
              </w:rPr>
            </w:pPr>
            <w:r>
              <w:rPr>
                <w:color w:val="4D4D4F"/>
                <w:sz w:val="16"/>
              </w:rPr>
              <w:t>No substantial negative change to populations of Large-fruit Groundsel.</w:t>
            </w:r>
          </w:p>
        </w:tc>
      </w:tr>
      <w:tr w:rsidR="00EF5B27" w14:paraId="3F43ECD1" w14:textId="77777777">
        <w:trPr>
          <w:trHeight w:val="1200"/>
        </w:trPr>
        <w:tc>
          <w:tcPr>
            <w:tcW w:w="2152" w:type="dxa"/>
            <w:shd w:val="clear" w:color="auto" w:fill="FECC91"/>
          </w:tcPr>
          <w:p w14:paraId="50EF1A07" w14:textId="77777777" w:rsidR="00EF5B27" w:rsidRDefault="00EF5B27">
            <w:pPr>
              <w:pStyle w:val="TableParagraph"/>
              <w:spacing w:before="2"/>
              <w:rPr>
                <w:sz w:val="17"/>
              </w:rPr>
            </w:pPr>
          </w:p>
          <w:p w14:paraId="7FC66CD5" w14:textId="77777777" w:rsidR="00EF5B27" w:rsidRDefault="00000000">
            <w:pPr>
              <w:pStyle w:val="TableParagraph"/>
              <w:spacing w:line="244" w:lineRule="auto"/>
              <w:ind w:left="113"/>
              <w:rPr>
                <w:b/>
                <w:sz w:val="16"/>
              </w:rPr>
            </w:pPr>
            <w:r>
              <w:rPr>
                <w:b/>
                <w:sz w:val="16"/>
              </w:rPr>
              <w:t>Conservation Outcomes published in the Victorian Government Gazette – Issue G4, 27 January 2022</w:t>
            </w:r>
          </w:p>
        </w:tc>
        <w:tc>
          <w:tcPr>
            <w:tcW w:w="4987" w:type="dxa"/>
          </w:tcPr>
          <w:p w14:paraId="7A4A35F7" w14:textId="77777777" w:rsidR="00EF5B27" w:rsidRDefault="00EF5B27">
            <w:pPr>
              <w:pStyle w:val="TableParagraph"/>
              <w:spacing w:before="9"/>
              <w:rPr>
                <w:sz w:val="14"/>
              </w:rPr>
            </w:pPr>
          </w:p>
          <w:p w14:paraId="0C05380C" w14:textId="77777777" w:rsidR="00EF5B27" w:rsidRDefault="00000000">
            <w:pPr>
              <w:pStyle w:val="TableParagraph"/>
              <w:spacing w:line="271" w:lineRule="auto"/>
              <w:ind w:left="113" w:right="168"/>
              <w:rPr>
                <w:sz w:val="16"/>
              </w:rPr>
            </w:pPr>
            <w:r>
              <w:rPr>
                <w:color w:val="4D4D4F"/>
                <w:sz w:val="16"/>
              </w:rPr>
              <w:t>No substantial negative change to known populations of Large-fruit Groundsel within the UGB (including but not limited to conservation area 5). No substantial negative change means that the five-year mean population count remains above the baseline.</w:t>
            </w:r>
          </w:p>
        </w:tc>
      </w:tr>
    </w:tbl>
    <w:p w14:paraId="2BE0DA34" w14:textId="77777777" w:rsidR="00EF5B27" w:rsidRDefault="00EF5B27">
      <w:pPr>
        <w:pStyle w:val="BodyText"/>
        <w:spacing w:before="4"/>
        <w:rPr>
          <w:sz w:val="34"/>
        </w:rPr>
      </w:pPr>
    </w:p>
    <w:p w14:paraId="6C1FD348" w14:textId="77777777" w:rsidR="00EF5B27" w:rsidRDefault="00000000">
      <w:pPr>
        <w:pStyle w:val="Heading3"/>
      </w:pPr>
      <w:r>
        <w:rPr>
          <w:color w:val="F99F2A"/>
        </w:rPr>
        <w:t>Monitored areas</w:t>
      </w:r>
    </w:p>
    <w:p w14:paraId="1BF95B8F" w14:textId="77777777" w:rsidR="00EF5B27" w:rsidRDefault="00000000">
      <w:pPr>
        <w:pStyle w:val="BodyText"/>
        <w:spacing w:before="221" w:line="254" w:lineRule="auto"/>
        <w:ind w:left="2608" w:right="805"/>
      </w:pPr>
      <w:r>
        <w:rPr>
          <w:color w:val="4D4D4F"/>
        </w:rPr>
        <w:t xml:space="preserve">In </w:t>
      </w:r>
      <w:r>
        <w:rPr>
          <w:color w:val="4D4D4F"/>
          <w:spacing w:val="-3"/>
        </w:rPr>
        <w:t xml:space="preserve">2015, </w:t>
      </w:r>
      <w:r>
        <w:rPr>
          <w:color w:val="4D4D4F"/>
        </w:rPr>
        <w:t xml:space="preserve">when the MRF was written, only one naturally occurring population of Large-fruit Groundsel was known </w:t>
      </w:r>
      <w:r>
        <w:rPr>
          <w:color w:val="4D4D4F"/>
          <w:spacing w:val="-4"/>
        </w:rPr>
        <w:t xml:space="preserve">(in </w:t>
      </w:r>
      <w:r>
        <w:rPr>
          <w:color w:val="4D4D4F"/>
        </w:rPr>
        <w:t xml:space="preserve">Conservation Area </w:t>
      </w:r>
      <w:r>
        <w:rPr>
          <w:color w:val="4D4D4F"/>
          <w:spacing w:val="-3"/>
        </w:rPr>
        <w:t xml:space="preserve">5). </w:t>
      </w:r>
      <w:r>
        <w:rPr>
          <w:color w:val="4D4D4F"/>
        </w:rPr>
        <w:t>This area has not  yet been protected under the MSA and has not been the subject of</w:t>
      </w:r>
      <w:r>
        <w:rPr>
          <w:color w:val="4D4D4F"/>
          <w:spacing w:val="-22"/>
        </w:rPr>
        <w:t xml:space="preserve"> </w:t>
      </w:r>
      <w:r>
        <w:rPr>
          <w:color w:val="4D4D4F"/>
        </w:rPr>
        <w:t>monitoring.</w:t>
      </w:r>
    </w:p>
    <w:p w14:paraId="483A2DBA" w14:textId="77777777" w:rsidR="00EF5B27" w:rsidRDefault="00000000">
      <w:pPr>
        <w:pStyle w:val="BodyText"/>
        <w:spacing w:before="117" w:line="254" w:lineRule="auto"/>
        <w:ind w:left="2608" w:right="582"/>
      </w:pPr>
      <w:r>
        <w:rPr>
          <w:color w:val="4D4D4F"/>
        </w:rPr>
        <w:t>In 2017, a small, previously unknown wild population was discovered on a parcel of land in the Western Grassland Reserve, known as Little Raven. Monitoring of this population commenced in 2017.</w:t>
      </w:r>
    </w:p>
    <w:p w14:paraId="7AF91BEC" w14:textId="77777777" w:rsidR="00EF5B27" w:rsidRDefault="00000000">
      <w:pPr>
        <w:pStyle w:val="BodyText"/>
        <w:spacing w:before="117" w:line="254" w:lineRule="auto"/>
        <w:ind w:left="2608" w:right="151"/>
      </w:pPr>
      <w:r>
        <w:rPr>
          <w:color w:val="4D4D4F"/>
        </w:rPr>
        <w:t>There are also three introduced populations in the MSA area, which are considered under other measures:</w:t>
      </w:r>
    </w:p>
    <w:p w14:paraId="41B12764" w14:textId="77777777" w:rsidR="00EF5B27" w:rsidRDefault="00000000">
      <w:pPr>
        <w:pStyle w:val="BodyText"/>
        <w:spacing w:before="116" w:line="254" w:lineRule="auto"/>
        <w:ind w:left="2608" w:right="465"/>
      </w:pPr>
      <w:r>
        <w:rPr>
          <w:color w:val="4D4D4F"/>
        </w:rPr>
        <w:t>In 2012, a population was established on One Tree East. This population was previously reported on as an ‘other measure’. It is now extinct.</w:t>
      </w:r>
    </w:p>
    <w:p w14:paraId="44410E81" w14:textId="77777777" w:rsidR="00EF5B27" w:rsidRDefault="00000000">
      <w:pPr>
        <w:pStyle w:val="BodyText"/>
        <w:spacing w:before="116" w:line="254" w:lineRule="auto"/>
        <w:ind w:left="2608" w:right="308" w:hanging="1"/>
      </w:pPr>
      <w:r>
        <w:rPr>
          <w:color w:val="4D4D4F"/>
        </w:rPr>
        <w:t>In 2012, a small population was established at Mount Cottrell NCR.</w:t>
      </w:r>
      <w:r>
        <w:rPr>
          <w:color w:val="4D4D4F"/>
          <w:position w:val="7"/>
          <w:sz w:val="11"/>
        </w:rPr>
        <w:t xml:space="preserve">273 </w:t>
      </w:r>
      <w:r>
        <w:rPr>
          <w:color w:val="4D4D4F"/>
        </w:rPr>
        <w:t>This population was previously also reported on as an ‘other measure’. As of 2021, it numbers only two individuals.</w:t>
      </w:r>
    </w:p>
    <w:p w14:paraId="0ED64947" w14:textId="77777777" w:rsidR="00EF5B27" w:rsidRDefault="00000000">
      <w:pPr>
        <w:pStyle w:val="BodyText"/>
        <w:spacing w:before="117" w:line="254" w:lineRule="auto"/>
        <w:ind w:left="2608" w:right="308"/>
      </w:pPr>
      <w:r>
        <w:rPr>
          <w:color w:val="4D4D4F"/>
        </w:rPr>
        <w:t>A translocated population occurs on Little Raven. This population is monitored under a different project and is not reported on</w:t>
      </w:r>
      <w:r>
        <w:rPr>
          <w:color w:val="4D4D4F"/>
          <w:spacing w:val="28"/>
        </w:rPr>
        <w:t xml:space="preserve"> </w:t>
      </w:r>
      <w:r>
        <w:rPr>
          <w:color w:val="4D4D4F"/>
        </w:rPr>
        <w:t>here.</w:t>
      </w:r>
    </w:p>
    <w:p w14:paraId="4DC5D72C" w14:textId="77777777" w:rsidR="00EF5B27" w:rsidRDefault="00000000">
      <w:pPr>
        <w:pStyle w:val="BodyText"/>
        <w:spacing w:before="116" w:line="254" w:lineRule="auto"/>
        <w:ind w:left="2608" w:right="465"/>
      </w:pPr>
      <w:r>
        <w:rPr>
          <w:color w:val="4D4D4F"/>
        </w:rPr>
        <w:t>The baseline for this species in the main population in CA5 has not been set, as this site remains unprotected.</w:t>
      </w:r>
    </w:p>
    <w:p w14:paraId="39DC9D88" w14:textId="77777777" w:rsidR="00EF5B27" w:rsidRDefault="00000000">
      <w:pPr>
        <w:pStyle w:val="BodyText"/>
        <w:spacing w:before="116"/>
        <w:ind w:left="2608"/>
      </w:pPr>
      <w:r>
        <w:rPr>
          <w:color w:val="4D4D4F"/>
        </w:rPr>
        <w:t>The baseline for the small population at Little Raven was set in 2021, at 13 plants.</w:t>
      </w:r>
    </w:p>
    <w:p w14:paraId="5F944F7C" w14:textId="77777777" w:rsidR="00EF5B27" w:rsidRDefault="00EF5B27">
      <w:pPr>
        <w:pStyle w:val="BodyText"/>
      </w:pPr>
    </w:p>
    <w:p w14:paraId="57BA2329" w14:textId="77777777" w:rsidR="00EF5B27" w:rsidRDefault="00000000">
      <w:pPr>
        <w:pStyle w:val="BodyText"/>
        <w:spacing w:before="6"/>
        <w:rPr>
          <w:sz w:val="19"/>
        </w:rPr>
      </w:pPr>
      <w:r>
        <w:pict w14:anchorId="13D36EFD">
          <v:line id="_x0000_s2711" style="position:absolute;z-index:251645440;mso-wrap-distance-left:0;mso-wrap-distance-right:0;mso-position-horizontal-relative:page" from="181.4pt,14.1pt" to="538.6pt,14.1pt" strokecolor="#4d4d4f" strokeweight=".5pt">
            <w10:wrap type="topAndBottom" anchorx="page"/>
          </v:line>
        </w:pict>
      </w:r>
    </w:p>
    <w:p w14:paraId="1AE3B0F1" w14:textId="77777777" w:rsidR="00EF5B27" w:rsidRDefault="00000000">
      <w:pPr>
        <w:pStyle w:val="ListParagraph"/>
        <w:numPr>
          <w:ilvl w:val="0"/>
          <w:numId w:val="19"/>
        </w:numPr>
        <w:tabs>
          <w:tab w:val="left" w:pos="2836"/>
        </w:tabs>
        <w:spacing w:before="83"/>
        <w:rPr>
          <w:sz w:val="12"/>
        </w:rPr>
      </w:pPr>
      <w:r>
        <w:rPr>
          <w:color w:val="4D4D4F"/>
          <w:sz w:val="12"/>
        </w:rPr>
        <w:t>DELWP</w:t>
      </w:r>
      <w:r>
        <w:rPr>
          <w:color w:val="4D4D4F"/>
          <w:spacing w:val="4"/>
          <w:sz w:val="12"/>
        </w:rPr>
        <w:t xml:space="preserve"> </w:t>
      </w:r>
      <w:r>
        <w:rPr>
          <w:color w:val="4D4D4F"/>
          <w:sz w:val="12"/>
        </w:rPr>
        <w:t>2015,</w:t>
      </w:r>
      <w:r>
        <w:rPr>
          <w:color w:val="4D4D4F"/>
          <w:spacing w:val="5"/>
          <w:sz w:val="12"/>
        </w:rPr>
        <w:t xml:space="preserve"> </w:t>
      </w:r>
      <w:r>
        <w:rPr>
          <w:color w:val="4D4D4F"/>
          <w:sz w:val="12"/>
        </w:rPr>
        <w:t>‘Monitoring</w:t>
      </w:r>
      <w:r>
        <w:rPr>
          <w:color w:val="4D4D4F"/>
          <w:spacing w:val="5"/>
          <w:sz w:val="12"/>
        </w:rPr>
        <w:t xml:space="preserve"> </w:t>
      </w:r>
      <w:r>
        <w:rPr>
          <w:color w:val="4D4D4F"/>
          <w:sz w:val="12"/>
        </w:rPr>
        <w:t>and</w:t>
      </w:r>
      <w:r>
        <w:rPr>
          <w:color w:val="4D4D4F"/>
          <w:spacing w:val="5"/>
          <w:sz w:val="12"/>
        </w:rPr>
        <w:t xml:space="preserve"> </w:t>
      </w:r>
      <w:r>
        <w:rPr>
          <w:color w:val="4D4D4F"/>
          <w:sz w:val="12"/>
        </w:rPr>
        <w:t>Reporting</w:t>
      </w:r>
      <w:r>
        <w:rPr>
          <w:color w:val="4D4D4F"/>
          <w:spacing w:val="5"/>
          <w:sz w:val="12"/>
        </w:rPr>
        <w:t xml:space="preserve"> </w:t>
      </w:r>
      <w:r>
        <w:rPr>
          <w:color w:val="4D4D4F"/>
          <w:sz w:val="12"/>
        </w:rPr>
        <w:t>Framework</w:t>
      </w:r>
      <w:r>
        <w:rPr>
          <w:color w:val="4D4D4F"/>
          <w:spacing w:val="5"/>
          <w:sz w:val="12"/>
        </w:rPr>
        <w:t xml:space="preserve"> </w:t>
      </w:r>
      <w:r>
        <w:rPr>
          <w:color w:val="4D4D4F"/>
          <w:sz w:val="12"/>
        </w:rPr>
        <w:t>–</w:t>
      </w:r>
      <w:r>
        <w:rPr>
          <w:color w:val="4D4D4F"/>
          <w:spacing w:val="5"/>
          <w:sz w:val="12"/>
        </w:rPr>
        <w:t xml:space="preserve"> </w:t>
      </w:r>
      <w:r>
        <w:rPr>
          <w:color w:val="4D4D4F"/>
          <w:sz w:val="12"/>
        </w:rPr>
        <w:t>Melbourne</w:t>
      </w:r>
      <w:r>
        <w:rPr>
          <w:color w:val="4D4D4F"/>
          <w:spacing w:val="5"/>
          <w:sz w:val="12"/>
        </w:rPr>
        <w:t xml:space="preserve"> </w:t>
      </w:r>
      <w:r>
        <w:rPr>
          <w:color w:val="4D4D4F"/>
          <w:sz w:val="12"/>
        </w:rPr>
        <w:t>Strategic</w:t>
      </w:r>
      <w:r>
        <w:rPr>
          <w:color w:val="4D4D4F"/>
          <w:spacing w:val="5"/>
          <w:sz w:val="12"/>
        </w:rPr>
        <w:t xml:space="preserve"> </w:t>
      </w:r>
      <w:r>
        <w:rPr>
          <w:color w:val="4D4D4F"/>
          <w:sz w:val="12"/>
        </w:rPr>
        <w:t>Assessment’,</w:t>
      </w:r>
      <w:r>
        <w:rPr>
          <w:color w:val="4D4D4F"/>
          <w:spacing w:val="5"/>
          <w:sz w:val="12"/>
        </w:rPr>
        <w:t xml:space="preserve"> </w:t>
      </w:r>
      <w:r>
        <w:rPr>
          <w:color w:val="4D4D4F"/>
          <w:sz w:val="12"/>
        </w:rPr>
        <w:t>East</w:t>
      </w:r>
      <w:r>
        <w:rPr>
          <w:color w:val="4D4D4F"/>
          <w:spacing w:val="5"/>
          <w:sz w:val="12"/>
        </w:rPr>
        <w:t xml:space="preserve"> </w:t>
      </w:r>
      <w:r>
        <w:rPr>
          <w:color w:val="4D4D4F"/>
          <w:sz w:val="12"/>
        </w:rPr>
        <w:t>Melbourne,</w:t>
      </w:r>
      <w:r>
        <w:rPr>
          <w:color w:val="4D4D4F"/>
          <w:spacing w:val="5"/>
          <w:sz w:val="12"/>
        </w:rPr>
        <w:t xml:space="preserve"> </w:t>
      </w:r>
      <w:r>
        <w:rPr>
          <w:color w:val="4D4D4F"/>
          <w:sz w:val="12"/>
        </w:rPr>
        <w:t>Victoria.</w:t>
      </w:r>
    </w:p>
    <w:p w14:paraId="2C07C73F" w14:textId="77777777" w:rsidR="00EF5B27" w:rsidRDefault="00EF5B27">
      <w:pPr>
        <w:rPr>
          <w:sz w:val="12"/>
        </w:rPr>
        <w:sectPr w:rsidR="00EF5B27">
          <w:pgSz w:w="11910" w:h="16840"/>
          <w:pgMar w:top="1080" w:right="1020" w:bottom="860" w:left="1020" w:header="537" w:footer="678" w:gutter="0"/>
          <w:cols w:space="720"/>
        </w:sectPr>
      </w:pPr>
    </w:p>
    <w:p w14:paraId="4173907B" w14:textId="77777777" w:rsidR="00EF5B27" w:rsidRDefault="00000000">
      <w:pPr>
        <w:pStyle w:val="BodyText"/>
      </w:pPr>
      <w:r>
        <w:lastRenderedPageBreak/>
        <w:pict w14:anchorId="31558BD2">
          <v:group id="_x0000_s2703" style="position:absolute;margin-left:587.05pt;margin-top:183.4pt;width:8.25pt;height:153.1pt;z-index:251729408;mso-position-horizontal-relative:page;mso-position-vertical-relative:page" coordorigin="11741,3668" coordsize="165,3062">
            <v:shape id="_x0000_s2710" style="position:absolute;left:11741;top:3668;width:165;height:561" coordorigin="11741,3668" coordsize="165,561" path="m11906,3668r-165,l11741,4228r165,-18l11906,3668xe" fillcolor="#00aed9" stroked="f">
              <v:path arrowok="t"/>
            </v:shape>
            <v:shape id="_x0000_s2709" style="position:absolute;left:11741;top:4118;width:165;height:425" coordorigin="11741,4118" coordsize="165,425" path="m11906,4118r-165,14l11741,4531r165,12l11906,4118xe" fillcolor="#047ebc" stroked="f">
              <v:path arrowok="t"/>
            </v:shape>
            <v:shape id="_x0000_s2708" type="#_x0000_t75" style="position:absolute;left:11741;top:4355;width:165;height:587">
              <v:imagedata r:id="rId42" o:title=""/>
            </v:shape>
            <v:shape id="_x0000_s2707" style="position:absolute;left:11741;top:5343;width:165;height:536" coordorigin="11741,5343" coordsize="165,536" path="m11741,5343r,535l11906,5872r,-525l11741,5343xe" fillcolor="#f36a2e" stroked="f">
              <v:path arrowok="t"/>
            </v:shape>
            <v:shape id="_x0000_s2706" style="position:absolute;left:11741;top:4925;width:165;height:501" coordorigin="11741,4926" coordsize="165,501" path="m11741,4926r,500l11906,5426r,-485l11741,4926xe" fillcolor="#49783f" stroked="f">
              <v:path arrowok="t"/>
            </v:shape>
            <v:shape id="_x0000_s2705" style="position:absolute;left:11741;top:5781;width:165;height:268" coordorigin="11741,5782" coordsize="165,268" path="m11906,5782r-165,8l11741,6039r165,10l11906,5782xe" fillcolor="#f99f2a" stroked="f">
              <v:path arrowok="t"/>
            </v:shape>
            <v:shape id="_x0000_s2704" style="position:absolute;left:11741;top:6023;width:165;height:707" coordorigin="11741,6023" coordsize="165,707" path="m11741,6023r,706l11906,6729r,-690l11741,6023xe" fillcolor="#ef412c" stroked="f">
              <v:path arrowok="t"/>
            </v:shape>
            <w10:wrap anchorx="page" anchory="page"/>
          </v:group>
        </w:pict>
      </w:r>
    </w:p>
    <w:p w14:paraId="097A9B4C" w14:textId="77777777" w:rsidR="00EF5B27" w:rsidRDefault="00EF5B27">
      <w:pPr>
        <w:pStyle w:val="BodyText"/>
      </w:pPr>
    </w:p>
    <w:p w14:paraId="3FA47991" w14:textId="77777777" w:rsidR="00EF5B27" w:rsidRDefault="00EF5B27">
      <w:pPr>
        <w:pStyle w:val="BodyText"/>
      </w:pPr>
    </w:p>
    <w:p w14:paraId="23D88A0B" w14:textId="77777777" w:rsidR="00EF5B27" w:rsidRDefault="00EF5B27">
      <w:pPr>
        <w:pStyle w:val="BodyText"/>
      </w:pPr>
    </w:p>
    <w:p w14:paraId="45347DB8" w14:textId="77777777" w:rsidR="00EF5B27" w:rsidRDefault="00EF5B27">
      <w:pPr>
        <w:pStyle w:val="BodyText"/>
        <w:spacing w:before="7"/>
        <w:rPr>
          <w:sz w:val="15"/>
        </w:rPr>
      </w:pPr>
    </w:p>
    <w:bookmarkStart w:id="107" w:name="_bookmark70"/>
    <w:bookmarkEnd w:id="107"/>
    <w:p w14:paraId="09C7DEC1" w14:textId="77777777" w:rsidR="00EF5B27" w:rsidRDefault="00000000">
      <w:pPr>
        <w:pStyle w:val="BodyText"/>
        <w:ind w:left="2598"/>
      </w:pPr>
      <w:r>
        <w:pict w14:anchorId="23EA95A6">
          <v:group id="_x0000_s2700" style="width:357.4pt;height:229pt;mso-position-horizontal-relative:char;mso-position-vertical-relative:line" coordsize="7148,4580">
            <v:shape id="_x0000_s2702" type="#_x0000_t75" style="position:absolute;left:2;top:2;width:7143;height:4575">
              <v:imagedata r:id="rId167" o:title=""/>
            </v:shape>
            <v:rect id="_x0000_s2701" style="position:absolute;left:2;top:2;width:7143;height:4575" filled="f" strokeweight=".25pt"/>
            <w10:anchorlock/>
          </v:group>
        </w:pict>
      </w:r>
    </w:p>
    <w:p w14:paraId="53B93C99" w14:textId="77777777" w:rsidR="00EF5B27" w:rsidRDefault="00000000">
      <w:pPr>
        <w:tabs>
          <w:tab w:val="left" w:pos="8977"/>
        </w:tabs>
        <w:spacing w:before="91"/>
        <w:ind w:left="2608"/>
        <w:rPr>
          <w:rFonts w:ascii="Century Gothic"/>
          <w:i/>
          <w:sz w:val="12"/>
        </w:rPr>
      </w:pPr>
      <w:r>
        <w:rPr>
          <w:color w:val="4D4D4F"/>
          <w:sz w:val="16"/>
        </w:rPr>
        <w:t>Figure</w:t>
      </w:r>
      <w:r>
        <w:rPr>
          <w:color w:val="4D4D4F"/>
          <w:spacing w:val="8"/>
          <w:sz w:val="16"/>
        </w:rPr>
        <w:t xml:space="preserve"> </w:t>
      </w:r>
      <w:r>
        <w:rPr>
          <w:color w:val="4D4D4F"/>
          <w:spacing w:val="2"/>
          <w:sz w:val="16"/>
        </w:rPr>
        <w:t>43:</w:t>
      </w:r>
      <w:r>
        <w:rPr>
          <w:color w:val="4D4D4F"/>
          <w:spacing w:val="9"/>
          <w:sz w:val="16"/>
        </w:rPr>
        <w:t xml:space="preserve"> </w:t>
      </w:r>
      <w:r>
        <w:rPr>
          <w:color w:val="4D4D4F"/>
          <w:sz w:val="16"/>
        </w:rPr>
        <w:t>Map</w:t>
      </w:r>
      <w:r>
        <w:rPr>
          <w:color w:val="4D4D4F"/>
          <w:spacing w:val="8"/>
          <w:sz w:val="16"/>
        </w:rPr>
        <w:t xml:space="preserve"> </w:t>
      </w:r>
      <w:r>
        <w:rPr>
          <w:color w:val="4D4D4F"/>
          <w:sz w:val="16"/>
        </w:rPr>
        <w:t>of</w:t>
      </w:r>
      <w:r>
        <w:rPr>
          <w:color w:val="4D4D4F"/>
          <w:spacing w:val="9"/>
          <w:sz w:val="16"/>
        </w:rPr>
        <w:t xml:space="preserve"> </w:t>
      </w:r>
      <w:r>
        <w:rPr>
          <w:color w:val="4D4D4F"/>
          <w:sz w:val="16"/>
        </w:rPr>
        <w:t>monitored</w:t>
      </w:r>
      <w:r>
        <w:rPr>
          <w:color w:val="4D4D4F"/>
          <w:spacing w:val="9"/>
          <w:sz w:val="16"/>
        </w:rPr>
        <w:t xml:space="preserve"> </w:t>
      </w:r>
      <w:r>
        <w:rPr>
          <w:color w:val="4D4D4F"/>
          <w:sz w:val="16"/>
        </w:rPr>
        <w:t>areas</w:t>
      </w:r>
      <w:r>
        <w:rPr>
          <w:color w:val="4D4D4F"/>
          <w:spacing w:val="8"/>
          <w:sz w:val="16"/>
        </w:rPr>
        <w:t xml:space="preserve"> </w:t>
      </w:r>
      <w:r>
        <w:rPr>
          <w:color w:val="4D4D4F"/>
          <w:sz w:val="16"/>
        </w:rPr>
        <w:t>for</w:t>
      </w:r>
      <w:r>
        <w:rPr>
          <w:color w:val="4D4D4F"/>
          <w:spacing w:val="9"/>
          <w:sz w:val="16"/>
        </w:rPr>
        <w:t xml:space="preserve"> </w:t>
      </w:r>
      <w:r>
        <w:rPr>
          <w:color w:val="4D4D4F"/>
          <w:spacing w:val="2"/>
          <w:sz w:val="16"/>
        </w:rPr>
        <w:t>Large-fruit</w:t>
      </w:r>
      <w:r>
        <w:rPr>
          <w:color w:val="4D4D4F"/>
          <w:spacing w:val="9"/>
          <w:sz w:val="16"/>
        </w:rPr>
        <w:t xml:space="preserve"> </w:t>
      </w:r>
      <w:r>
        <w:rPr>
          <w:color w:val="4D4D4F"/>
          <w:sz w:val="16"/>
        </w:rPr>
        <w:t>Groundsel</w:t>
      </w:r>
      <w:r>
        <w:rPr>
          <w:color w:val="4D4D4F"/>
          <w:sz w:val="16"/>
        </w:rPr>
        <w:tab/>
      </w:r>
      <w:r>
        <w:rPr>
          <w:rFonts w:ascii="Century Gothic"/>
          <w:i/>
          <w:color w:val="4D4D4F"/>
          <w:sz w:val="12"/>
        </w:rPr>
        <w:t>Source:</w:t>
      </w:r>
      <w:r>
        <w:rPr>
          <w:rFonts w:ascii="Century Gothic"/>
          <w:i/>
          <w:color w:val="4D4D4F"/>
          <w:spacing w:val="-22"/>
          <w:sz w:val="12"/>
        </w:rPr>
        <w:t xml:space="preserve"> </w:t>
      </w:r>
      <w:r>
        <w:rPr>
          <w:rFonts w:ascii="Century Gothic"/>
          <w:i/>
          <w:color w:val="4D4D4F"/>
          <w:sz w:val="12"/>
        </w:rPr>
        <w:t>DELWP</w:t>
      </w:r>
    </w:p>
    <w:p w14:paraId="0456930D" w14:textId="77777777" w:rsidR="00EF5B27" w:rsidRDefault="00EF5B27">
      <w:pPr>
        <w:pStyle w:val="BodyText"/>
        <w:spacing w:before="7"/>
        <w:rPr>
          <w:rFonts w:ascii="Century Gothic"/>
          <w:i/>
          <w:sz w:val="29"/>
        </w:rPr>
      </w:pPr>
    </w:p>
    <w:p w14:paraId="0854088E" w14:textId="77777777" w:rsidR="00EF5B27" w:rsidRDefault="00000000">
      <w:pPr>
        <w:pStyle w:val="Heading3"/>
      </w:pPr>
      <w:r>
        <w:rPr>
          <w:color w:val="F99F2A"/>
          <w:w w:val="105"/>
        </w:rPr>
        <w:t>Results: KPI</w:t>
      </w:r>
    </w:p>
    <w:p w14:paraId="1AD8F738" w14:textId="77777777" w:rsidR="00EF5B27" w:rsidRDefault="00000000">
      <w:pPr>
        <w:pStyle w:val="Heading6"/>
        <w:spacing w:before="221"/>
      </w:pPr>
      <w:r>
        <w:rPr>
          <w:color w:val="4D4D4F"/>
        </w:rPr>
        <w:t>KPI 1: Population count</w:t>
      </w:r>
    </w:p>
    <w:p w14:paraId="1090EBB3" w14:textId="77777777" w:rsidR="00EF5B27" w:rsidRDefault="00EF5B27">
      <w:pPr>
        <w:pStyle w:val="BodyText"/>
        <w:rPr>
          <w:b/>
        </w:rPr>
      </w:pPr>
    </w:p>
    <w:p w14:paraId="22AEE907" w14:textId="77777777" w:rsidR="00EF5B27" w:rsidRDefault="00EF5B27">
      <w:pPr>
        <w:pStyle w:val="BodyText"/>
        <w:spacing w:before="9"/>
        <w:rPr>
          <w:b/>
          <w:sz w:val="12"/>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2980"/>
        <w:gridCol w:w="1078"/>
        <w:gridCol w:w="2155"/>
        <w:gridCol w:w="964"/>
        <w:gridCol w:w="964"/>
        <w:gridCol w:w="1489"/>
      </w:tblGrid>
      <w:tr w:rsidR="00EF5B27" w14:paraId="2B3D0987" w14:textId="77777777">
        <w:trPr>
          <w:trHeight w:val="561"/>
        </w:trPr>
        <w:tc>
          <w:tcPr>
            <w:tcW w:w="2980" w:type="dxa"/>
            <w:shd w:val="clear" w:color="auto" w:fill="FECC91"/>
          </w:tcPr>
          <w:p w14:paraId="2B2E7175" w14:textId="77777777" w:rsidR="00EF5B27" w:rsidRDefault="00EF5B27">
            <w:pPr>
              <w:pStyle w:val="TableParagraph"/>
              <w:spacing w:before="7"/>
              <w:rPr>
                <w:b/>
                <w:sz w:val="15"/>
              </w:rPr>
            </w:pPr>
          </w:p>
          <w:p w14:paraId="2FC36D05" w14:textId="77777777" w:rsidR="00EF5B27" w:rsidRDefault="00000000">
            <w:pPr>
              <w:pStyle w:val="TableParagraph"/>
              <w:spacing w:before="1"/>
              <w:ind w:left="80"/>
              <w:rPr>
                <w:b/>
                <w:sz w:val="16"/>
              </w:rPr>
            </w:pPr>
            <w:r>
              <w:rPr>
                <w:b/>
                <w:sz w:val="16"/>
              </w:rPr>
              <w:t>KPI 1: Population count</w:t>
            </w:r>
          </w:p>
        </w:tc>
        <w:tc>
          <w:tcPr>
            <w:tcW w:w="1078" w:type="dxa"/>
            <w:shd w:val="clear" w:color="auto" w:fill="FECC91"/>
          </w:tcPr>
          <w:p w14:paraId="773A38A6" w14:textId="77777777" w:rsidR="00EF5B27" w:rsidRDefault="00000000">
            <w:pPr>
              <w:pStyle w:val="TableParagraph"/>
              <w:spacing w:before="91" w:line="244" w:lineRule="auto"/>
              <w:ind w:left="156" w:firstLine="161"/>
              <w:rPr>
                <w:b/>
                <w:sz w:val="16"/>
              </w:rPr>
            </w:pPr>
            <w:r>
              <w:rPr>
                <w:b/>
                <w:w w:val="105"/>
                <w:sz w:val="16"/>
              </w:rPr>
              <w:t xml:space="preserve">Status </w:t>
            </w:r>
            <w:r>
              <w:rPr>
                <w:b/>
                <w:sz w:val="16"/>
              </w:rPr>
              <w:t>2020–2022</w:t>
            </w:r>
          </w:p>
        </w:tc>
        <w:tc>
          <w:tcPr>
            <w:tcW w:w="2155" w:type="dxa"/>
            <w:shd w:val="clear" w:color="auto" w:fill="FECC91"/>
          </w:tcPr>
          <w:p w14:paraId="0F9C1E5C" w14:textId="77777777" w:rsidR="00EF5B27" w:rsidRDefault="00000000">
            <w:pPr>
              <w:pStyle w:val="TableParagraph"/>
              <w:spacing w:before="91" w:line="244" w:lineRule="auto"/>
              <w:ind w:left="614" w:right="76" w:hanging="485"/>
              <w:rPr>
                <w:b/>
                <w:sz w:val="16"/>
              </w:rPr>
            </w:pPr>
            <w:r>
              <w:rPr>
                <w:b/>
                <w:sz w:val="16"/>
              </w:rPr>
              <w:t>Reason for non-assessment (if applicable)</w:t>
            </w:r>
          </w:p>
        </w:tc>
        <w:tc>
          <w:tcPr>
            <w:tcW w:w="964" w:type="dxa"/>
            <w:shd w:val="clear" w:color="auto" w:fill="FECC91"/>
          </w:tcPr>
          <w:p w14:paraId="7345722E" w14:textId="77777777" w:rsidR="00EF5B27" w:rsidRDefault="00EF5B27">
            <w:pPr>
              <w:pStyle w:val="TableParagraph"/>
              <w:spacing w:before="7"/>
              <w:rPr>
                <w:b/>
                <w:sz w:val="15"/>
              </w:rPr>
            </w:pPr>
          </w:p>
          <w:p w14:paraId="4A3A48D8" w14:textId="77777777" w:rsidR="00EF5B27" w:rsidRDefault="00000000">
            <w:pPr>
              <w:pStyle w:val="TableParagraph"/>
              <w:spacing w:before="1"/>
              <w:ind w:left="283"/>
              <w:rPr>
                <w:b/>
                <w:sz w:val="16"/>
              </w:rPr>
            </w:pPr>
            <w:r>
              <w:rPr>
                <w:b/>
                <w:sz w:val="16"/>
              </w:rPr>
              <w:t>Trend</w:t>
            </w:r>
          </w:p>
        </w:tc>
        <w:tc>
          <w:tcPr>
            <w:tcW w:w="964" w:type="dxa"/>
            <w:shd w:val="clear" w:color="auto" w:fill="FECC91"/>
          </w:tcPr>
          <w:p w14:paraId="3909634E" w14:textId="77777777" w:rsidR="00EF5B27" w:rsidRDefault="00000000">
            <w:pPr>
              <w:pStyle w:val="TableParagraph"/>
              <w:spacing w:before="91" w:line="244" w:lineRule="auto"/>
              <w:ind w:left="105" w:right="87" w:firstLine="217"/>
              <w:rPr>
                <w:b/>
                <w:sz w:val="16"/>
              </w:rPr>
            </w:pPr>
            <w:r>
              <w:rPr>
                <w:b/>
                <w:sz w:val="16"/>
              </w:rPr>
              <w:t>Data Confidence</w:t>
            </w:r>
          </w:p>
        </w:tc>
        <w:tc>
          <w:tcPr>
            <w:tcW w:w="1489" w:type="dxa"/>
            <w:shd w:val="clear" w:color="auto" w:fill="FECC91"/>
          </w:tcPr>
          <w:p w14:paraId="38338333" w14:textId="77777777" w:rsidR="00EF5B27" w:rsidRDefault="00000000">
            <w:pPr>
              <w:pStyle w:val="TableParagraph"/>
              <w:spacing w:before="91" w:line="244" w:lineRule="auto"/>
              <w:ind w:left="220" w:hanging="92"/>
              <w:rPr>
                <w:b/>
                <w:sz w:val="16"/>
              </w:rPr>
            </w:pPr>
            <w:r>
              <w:rPr>
                <w:b/>
                <w:sz w:val="16"/>
              </w:rPr>
              <w:t>Year that baseline was/will be set</w:t>
            </w:r>
          </w:p>
        </w:tc>
      </w:tr>
      <w:tr w:rsidR="00EF5B27" w14:paraId="6334D634" w14:textId="77777777">
        <w:trPr>
          <w:trHeight w:val="448"/>
        </w:trPr>
        <w:tc>
          <w:tcPr>
            <w:tcW w:w="2980" w:type="dxa"/>
          </w:tcPr>
          <w:p w14:paraId="5FA35D41" w14:textId="77777777" w:rsidR="00EF5B27" w:rsidRDefault="00EF5B27">
            <w:pPr>
              <w:pStyle w:val="TableParagraph"/>
              <w:spacing w:before="11"/>
              <w:rPr>
                <w:b/>
                <w:sz w:val="11"/>
              </w:rPr>
            </w:pPr>
          </w:p>
          <w:p w14:paraId="193D5EF5" w14:textId="77777777" w:rsidR="00EF5B27" w:rsidRDefault="00000000">
            <w:pPr>
              <w:pStyle w:val="TableParagraph"/>
              <w:ind w:left="80"/>
              <w:rPr>
                <w:sz w:val="14"/>
              </w:rPr>
            </w:pPr>
            <w:r>
              <w:rPr>
                <w:color w:val="4D4D4F"/>
                <w:sz w:val="14"/>
              </w:rPr>
              <w:t>Conservation Area 5</w:t>
            </w:r>
          </w:p>
        </w:tc>
        <w:tc>
          <w:tcPr>
            <w:tcW w:w="1078" w:type="dxa"/>
          </w:tcPr>
          <w:p w14:paraId="62709666" w14:textId="77777777" w:rsidR="00EF5B27" w:rsidRDefault="00EF5B27">
            <w:pPr>
              <w:pStyle w:val="TableParagraph"/>
              <w:spacing w:before="11"/>
              <w:rPr>
                <w:b/>
                <w:sz w:val="11"/>
              </w:rPr>
            </w:pPr>
          </w:p>
          <w:p w14:paraId="1446A624" w14:textId="77777777" w:rsidR="00EF5B27" w:rsidRDefault="00000000">
            <w:pPr>
              <w:pStyle w:val="TableParagraph"/>
              <w:ind w:left="142"/>
              <w:rPr>
                <w:sz w:val="14"/>
              </w:rPr>
            </w:pPr>
            <w:r>
              <w:rPr>
                <w:color w:val="4D4D4F"/>
                <w:w w:val="105"/>
                <w:sz w:val="14"/>
              </w:rPr>
              <w:t>Not assessed</w:t>
            </w:r>
          </w:p>
        </w:tc>
        <w:tc>
          <w:tcPr>
            <w:tcW w:w="2155" w:type="dxa"/>
          </w:tcPr>
          <w:p w14:paraId="756079CF" w14:textId="77777777" w:rsidR="00EF5B27" w:rsidRDefault="00000000">
            <w:pPr>
              <w:pStyle w:val="TableParagraph"/>
              <w:spacing w:before="55" w:line="252" w:lineRule="auto"/>
              <w:ind w:left="346" w:right="236" w:firstLine="192"/>
              <w:rPr>
                <w:sz w:val="14"/>
              </w:rPr>
            </w:pPr>
            <w:r>
              <w:rPr>
                <w:color w:val="4D4D4F"/>
                <w:sz w:val="14"/>
              </w:rPr>
              <w:t>Population not yet under MSA management</w:t>
            </w:r>
          </w:p>
        </w:tc>
        <w:tc>
          <w:tcPr>
            <w:tcW w:w="964" w:type="dxa"/>
          </w:tcPr>
          <w:p w14:paraId="112DE606" w14:textId="77777777" w:rsidR="00EF5B27" w:rsidRDefault="00EF5B27">
            <w:pPr>
              <w:pStyle w:val="TableParagraph"/>
              <w:spacing w:before="4"/>
              <w:rPr>
                <w:b/>
                <w:sz w:val="7"/>
              </w:rPr>
            </w:pPr>
          </w:p>
          <w:p w14:paraId="28DE3658" w14:textId="77777777" w:rsidR="00EF5B27" w:rsidRDefault="00000000">
            <w:pPr>
              <w:pStyle w:val="TableParagraph"/>
              <w:spacing w:line="187" w:lineRule="exact"/>
              <w:ind w:left="400"/>
              <w:rPr>
                <w:sz w:val="18"/>
              </w:rPr>
            </w:pPr>
            <w:r>
              <w:rPr>
                <w:noProof/>
                <w:position w:val="-3"/>
                <w:sz w:val="18"/>
              </w:rPr>
              <w:drawing>
                <wp:inline distT="0" distB="0" distL="0" distR="0" wp14:anchorId="797BD00D" wp14:editId="1DE97F42">
                  <wp:extent cx="100572" cy="119062"/>
                  <wp:effectExtent l="0" t="0" r="0" b="0"/>
                  <wp:docPr id="517"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208.png"/>
                          <pic:cNvPicPr/>
                        </pic:nvPicPr>
                        <pic:blipFill>
                          <a:blip r:embed="rId84" cstate="print"/>
                          <a:stretch>
                            <a:fillRect/>
                          </a:stretch>
                        </pic:blipFill>
                        <pic:spPr>
                          <a:xfrm>
                            <a:off x="0" y="0"/>
                            <a:ext cx="100572" cy="119062"/>
                          </a:xfrm>
                          <a:prstGeom prst="rect">
                            <a:avLst/>
                          </a:prstGeom>
                        </pic:spPr>
                      </pic:pic>
                    </a:graphicData>
                  </a:graphic>
                </wp:inline>
              </w:drawing>
            </w:r>
          </w:p>
          <w:p w14:paraId="6FD7905A" w14:textId="77777777" w:rsidR="00EF5B27" w:rsidRDefault="00EF5B27">
            <w:pPr>
              <w:pStyle w:val="TableParagraph"/>
              <w:spacing w:before="8"/>
              <w:rPr>
                <w:b/>
                <w:sz w:val="2"/>
              </w:rPr>
            </w:pPr>
          </w:p>
          <w:p w14:paraId="3BC9CA5A" w14:textId="77777777" w:rsidR="00EF5B27" w:rsidRDefault="00000000">
            <w:pPr>
              <w:pStyle w:val="TableParagraph"/>
              <w:spacing w:line="48" w:lineRule="exact"/>
              <w:ind w:left="448"/>
              <w:rPr>
                <w:sz w:val="4"/>
              </w:rPr>
            </w:pPr>
            <w:r>
              <w:rPr>
                <w:sz w:val="4"/>
              </w:rPr>
            </w:r>
            <w:r>
              <w:rPr>
                <w:sz w:val="4"/>
              </w:rPr>
              <w:pict w14:anchorId="6C33CD0D">
                <v:group id="_x0000_s2698" style="width:2.45pt;height:2.45pt;mso-position-horizontal-relative:char;mso-position-vertical-relative:line" coordsize="49,49">
                  <v:shape id="_x0000_s2699" style="position:absolute;width:49;height:49" coordsize="49,49" path="m31,l18,,12,2,2,12,,17,,31r2,6l12,46r6,3l31,49r6,-3l46,37r3,-6l49,17,46,12,37,2,31,xe" fillcolor="#808285" stroked="f">
                    <v:path arrowok="t"/>
                  </v:shape>
                  <w10:wrap type="none"/>
                  <w10:anchorlock/>
                </v:group>
              </w:pict>
            </w:r>
          </w:p>
        </w:tc>
        <w:tc>
          <w:tcPr>
            <w:tcW w:w="964" w:type="dxa"/>
          </w:tcPr>
          <w:p w14:paraId="4764A9B3" w14:textId="77777777" w:rsidR="00EF5B27" w:rsidRDefault="00EF5B27">
            <w:pPr>
              <w:pStyle w:val="TableParagraph"/>
              <w:spacing w:before="11"/>
              <w:rPr>
                <w:b/>
                <w:sz w:val="11"/>
              </w:rPr>
            </w:pPr>
          </w:p>
          <w:p w14:paraId="7BCF0B0B" w14:textId="77777777" w:rsidR="00EF5B27" w:rsidRDefault="00000000">
            <w:pPr>
              <w:pStyle w:val="TableParagraph"/>
              <w:ind w:left="318" w:right="323"/>
              <w:jc w:val="center"/>
              <w:rPr>
                <w:sz w:val="14"/>
              </w:rPr>
            </w:pPr>
            <w:r>
              <w:rPr>
                <w:color w:val="4D4D4F"/>
                <w:w w:val="105"/>
                <w:sz w:val="14"/>
              </w:rPr>
              <w:t>N/A</w:t>
            </w:r>
          </w:p>
        </w:tc>
        <w:tc>
          <w:tcPr>
            <w:tcW w:w="1489" w:type="dxa"/>
          </w:tcPr>
          <w:p w14:paraId="50E7AF17" w14:textId="77777777" w:rsidR="00EF5B27" w:rsidRDefault="00000000">
            <w:pPr>
              <w:pStyle w:val="TableParagraph"/>
              <w:spacing w:before="134"/>
              <w:ind w:left="457" w:right="457"/>
              <w:jc w:val="center"/>
              <w:rPr>
                <w:sz w:val="16"/>
              </w:rPr>
            </w:pPr>
            <w:r>
              <w:rPr>
                <w:color w:val="4D4D4F"/>
                <w:w w:val="105"/>
                <w:sz w:val="16"/>
              </w:rPr>
              <w:t>Unclear</w:t>
            </w:r>
          </w:p>
        </w:tc>
      </w:tr>
      <w:tr w:rsidR="00EF5B27" w14:paraId="3255D929" w14:textId="77777777">
        <w:trPr>
          <w:trHeight w:val="448"/>
        </w:trPr>
        <w:tc>
          <w:tcPr>
            <w:tcW w:w="2980" w:type="dxa"/>
          </w:tcPr>
          <w:p w14:paraId="7D0A625A" w14:textId="77777777" w:rsidR="00EF5B27" w:rsidRDefault="00EF5B27">
            <w:pPr>
              <w:pStyle w:val="TableParagraph"/>
              <w:spacing w:before="11"/>
              <w:rPr>
                <w:b/>
                <w:sz w:val="11"/>
              </w:rPr>
            </w:pPr>
          </w:p>
          <w:p w14:paraId="126C1241" w14:textId="77777777" w:rsidR="00EF5B27" w:rsidRDefault="00000000">
            <w:pPr>
              <w:pStyle w:val="TableParagraph"/>
              <w:ind w:left="80"/>
              <w:rPr>
                <w:sz w:val="14"/>
              </w:rPr>
            </w:pPr>
            <w:r>
              <w:rPr>
                <w:color w:val="4D4D4F"/>
                <w:w w:val="105"/>
                <w:sz w:val="14"/>
              </w:rPr>
              <w:t>Little Raven</w:t>
            </w:r>
          </w:p>
        </w:tc>
        <w:tc>
          <w:tcPr>
            <w:tcW w:w="1078" w:type="dxa"/>
          </w:tcPr>
          <w:p w14:paraId="57050F52" w14:textId="77777777" w:rsidR="00EF5B27" w:rsidRDefault="00EF5B27">
            <w:pPr>
              <w:pStyle w:val="TableParagraph"/>
              <w:spacing w:before="11"/>
              <w:rPr>
                <w:b/>
                <w:sz w:val="11"/>
              </w:rPr>
            </w:pPr>
          </w:p>
          <w:p w14:paraId="7829901B" w14:textId="77777777" w:rsidR="00EF5B27" w:rsidRDefault="00000000">
            <w:pPr>
              <w:pStyle w:val="TableParagraph"/>
              <w:ind w:left="142"/>
              <w:rPr>
                <w:sz w:val="14"/>
              </w:rPr>
            </w:pPr>
            <w:r>
              <w:rPr>
                <w:color w:val="4D4D4F"/>
                <w:w w:val="105"/>
                <w:sz w:val="14"/>
              </w:rPr>
              <w:t>Not assessed</w:t>
            </w:r>
          </w:p>
        </w:tc>
        <w:tc>
          <w:tcPr>
            <w:tcW w:w="2155" w:type="dxa"/>
          </w:tcPr>
          <w:p w14:paraId="6D8A5B69" w14:textId="77777777" w:rsidR="00EF5B27" w:rsidRDefault="00EF5B27">
            <w:pPr>
              <w:pStyle w:val="TableParagraph"/>
              <w:spacing w:before="11"/>
              <w:rPr>
                <w:b/>
                <w:sz w:val="11"/>
              </w:rPr>
            </w:pPr>
          </w:p>
          <w:p w14:paraId="6FE1B1DE" w14:textId="77777777" w:rsidR="00EF5B27" w:rsidRDefault="00000000">
            <w:pPr>
              <w:pStyle w:val="TableParagraph"/>
              <w:ind w:left="484"/>
              <w:rPr>
                <w:sz w:val="14"/>
              </w:rPr>
            </w:pPr>
            <w:r>
              <w:rPr>
                <w:color w:val="4D4D4F"/>
                <w:sz w:val="14"/>
              </w:rPr>
              <w:t>Baseline set in 2022</w:t>
            </w:r>
          </w:p>
        </w:tc>
        <w:tc>
          <w:tcPr>
            <w:tcW w:w="964" w:type="dxa"/>
          </w:tcPr>
          <w:p w14:paraId="4071930D" w14:textId="77777777" w:rsidR="00EF5B27" w:rsidRDefault="00EF5B27">
            <w:pPr>
              <w:pStyle w:val="TableParagraph"/>
              <w:spacing w:before="4"/>
              <w:rPr>
                <w:b/>
                <w:sz w:val="7"/>
              </w:rPr>
            </w:pPr>
          </w:p>
          <w:p w14:paraId="602327DF" w14:textId="77777777" w:rsidR="00EF5B27" w:rsidRDefault="00000000">
            <w:pPr>
              <w:pStyle w:val="TableParagraph"/>
              <w:spacing w:line="187" w:lineRule="exact"/>
              <w:ind w:left="400"/>
              <w:rPr>
                <w:sz w:val="18"/>
              </w:rPr>
            </w:pPr>
            <w:r>
              <w:rPr>
                <w:noProof/>
                <w:position w:val="-3"/>
                <w:sz w:val="18"/>
              </w:rPr>
              <w:drawing>
                <wp:inline distT="0" distB="0" distL="0" distR="0" wp14:anchorId="1A4E6C14" wp14:editId="4D94F496">
                  <wp:extent cx="100572" cy="119062"/>
                  <wp:effectExtent l="0" t="0" r="0" b="0"/>
                  <wp:docPr id="519"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208.png"/>
                          <pic:cNvPicPr/>
                        </pic:nvPicPr>
                        <pic:blipFill>
                          <a:blip r:embed="rId84" cstate="print"/>
                          <a:stretch>
                            <a:fillRect/>
                          </a:stretch>
                        </pic:blipFill>
                        <pic:spPr>
                          <a:xfrm>
                            <a:off x="0" y="0"/>
                            <a:ext cx="100572" cy="119062"/>
                          </a:xfrm>
                          <a:prstGeom prst="rect">
                            <a:avLst/>
                          </a:prstGeom>
                        </pic:spPr>
                      </pic:pic>
                    </a:graphicData>
                  </a:graphic>
                </wp:inline>
              </w:drawing>
            </w:r>
          </w:p>
          <w:p w14:paraId="3FBD8129" w14:textId="77777777" w:rsidR="00EF5B27" w:rsidRDefault="00EF5B27">
            <w:pPr>
              <w:pStyle w:val="TableParagraph"/>
              <w:spacing w:before="8"/>
              <w:rPr>
                <w:b/>
                <w:sz w:val="2"/>
              </w:rPr>
            </w:pPr>
          </w:p>
          <w:p w14:paraId="6410D1FE" w14:textId="77777777" w:rsidR="00EF5B27" w:rsidRDefault="00000000">
            <w:pPr>
              <w:pStyle w:val="TableParagraph"/>
              <w:spacing w:line="48" w:lineRule="exact"/>
              <w:ind w:left="448"/>
              <w:rPr>
                <w:sz w:val="4"/>
              </w:rPr>
            </w:pPr>
            <w:r>
              <w:rPr>
                <w:sz w:val="4"/>
              </w:rPr>
            </w:r>
            <w:r>
              <w:rPr>
                <w:sz w:val="4"/>
              </w:rPr>
              <w:pict w14:anchorId="233C8987">
                <v:group id="_x0000_s2696" style="width:2.45pt;height:2.45pt;mso-position-horizontal-relative:char;mso-position-vertical-relative:line" coordsize="49,49">
                  <v:shape id="_x0000_s2697" style="position:absolute;width:49;height:49" coordsize="49,49" path="m31,l18,,12,2,2,12,,17,,31r2,6l12,46r6,3l31,49r6,-3l46,37r3,-6l49,17,46,12,37,2,31,xe" fillcolor="#808285" stroked="f">
                    <v:path arrowok="t"/>
                  </v:shape>
                  <w10:wrap type="none"/>
                  <w10:anchorlock/>
                </v:group>
              </w:pict>
            </w:r>
          </w:p>
        </w:tc>
        <w:tc>
          <w:tcPr>
            <w:tcW w:w="964" w:type="dxa"/>
          </w:tcPr>
          <w:p w14:paraId="7454DDC7" w14:textId="77777777" w:rsidR="00EF5B27" w:rsidRDefault="00EF5B27">
            <w:pPr>
              <w:pStyle w:val="TableParagraph"/>
              <w:spacing w:before="11"/>
              <w:rPr>
                <w:b/>
                <w:sz w:val="11"/>
              </w:rPr>
            </w:pPr>
          </w:p>
          <w:p w14:paraId="76CD19B2" w14:textId="77777777" w:rsidR="00EF5B27" w:rsidRDefault="00000000">
            <w:pPr>
              <w:pStyle w:val="TableParagraph"/>
              <w:ind w:left="318" w:right="323"/>
              <w:jc w:val="center"/>
              <w:rPr>
                <w:sz w:val="14"/>
              </w:rPr>
            </w:pPr>
            <w:r>
              <w:rPr>
                <w:color w:val="4D4D4F"/>
                <w:w w:val="105"/>
                <w:sz w:val="14"/>
              </w:rPr>
              <w:t>N/A</w:t>
            </w:r>
          </w:p>
        </w:tc>
        <w:tc>
          <w:tcPr>
            <w:tcW w:w="1489" w:type="dxa"/>
          </w:tcPr>
          <w:p w14:paraId="355FABFD" w14:textId="77777777" w:rsidR="00EF5B27" w:rsidRDefault="00000000">
            <w:pPr>
              <w:pStyle w:val="TableParagraph"/>
              <w:spacing w:before="134"/>
              <w:ind w:left="457" w:right="457"/>
              <w:jc w:val="center"/>
              <w:rPr>
                <w:sz w:val="16"/>
              </w:rPr>
            </w:pPr>
            <w:r>
              <w:rPr>
                <w:color w:val="4D4D4F"/>
                <w:sz w:val="16"/>
              </w:rPr>
              <w:t>2022</w:t>
            </w:r>
          </w:p>
        </w:tc>
      </w:tr>
    </w:tbl>
    <w:p w14:paraId="2278C1FA" w14:textId="77777777" w:rsidR="00EF5B27" w:rsidRDefault="00EF5B27">
      <w:pPr>
        <w:pStyle w:val="BodyText"/>
        <w:rPr>
          <w:b/>
        </w:rPr>
      </w:pPr>
    </w:p>
    <w:p w14:paraId="0DB6639F" w14:textId="77777777" w:rsidR="00EF5B27" w:rsidRDefault="00000000">
      <w:pPr>
        <w:pStyle w:val="BodyText"/>
        <w:spacing w:before="5"/>
        <w:rPr>
          <w:b/>
          <w:sz w:val="25"/>
        </w:rPr>
      </w:pPr>
      <w:r>
        <w:pict w14:anchorId="6474C520">
          <v:group id="_x0000_s2693" style="position:absolute;margin-left:181.3pt;margin-top:17.5pt;width:357.4pt;height:201.15pt;z-index:251648512;mso-wrap-distance-left:0;mso-wrap-distance-right:0;mso-position-horizontal-relative:page" coordorigin="3626,350" coordsize="7148,4023">
            <v:shape id="_x0000_s2695" type="#_x0000_t75" style="position:absolute;left:3628;top:352;width:7143;height:4018">
              <v:imagedata r:id="rId168" o:title=""/>
            </v:shape>
            <v:rect id="_x0000_s2694" style="position:absolute;left:3628;top:352;width:7143;height:4018" filled="f" strokeweight=".25pt"/>
            <w10:wrap type="topAndBottom" anchorx="page"/>
          </v:group>
        </w:pict>
      </w:r>
    </w:p>
    <w:p w14:paraId="29188F66" w14:textId="77777777" w:rsidR="00EF5B27" w:rsidRDefault="00000000">
      <w:pPr>
        <w:tabs>
          <w:tab w:val="left" w:pos="8977"/>
        </w:tabs>
        <w:spacing w:before="110"/>
        <w:ind w:left="2608"/>
        <w:rPr>
          <w:rFonts w:ascii="Century Gothic" w:hAnsi="Century Gothic"/>
          <w:i/>
          <w:sz w:val="12"/>
        </w:rPr>
      </w:pPr>
      <w:r>
        <w:rPr>
          <w:color w:val="4D4D4F"/>
          <w:sz w:val="16"/>
        </w:rPr>
        <w:t>Figure</w:t>
      </w:r>
      <w:r>
        <w:rPr>
          <w:color w:val="4D4D4F"/>
          <w:spacing w:val="7"/>
          <w:sz w:val="16"/>
        </w:rPr>
        <w:t xml:space="preserve"> </w:t>
      </w:r>
      <w:r>
        <w:rPr>
          <w:color w:val="4D4D4F"/>
          <w:spacing w:val="2"/>
          <w:sz w:val="16"/>
        </w:rPr>
        <w:t>44:</w:t>
      </w:r>
      <w:r>
        <w:rPr>
          <w:color w:val="4D4D4F"/>
          <w:spacing w:val="8"/>
          <w:sz w:val="16"/>
        </w:rPr>
        <w:t xml:space="preserve"> </w:t>
      </w:r>
      <w:r>
        <w:rPr>
          <w:color w:val="4D4D4F"/>
          <w:sz w:val="16"/>
        </w:rPr>
        <w:t>Population</w:t>
      </w:r>
      <w:r>
        <w:rPr>
          <w:color w:val="4D4D4F"/>
          <w:spacing w:val="8"/>
          <w:sz w:val="16"/>
        </w:rPr>
        <w:t xml:space="preserve"> </w:t>
      </w:r>
      <w:r>
        <w:rPr>
          <w:color w:val="4D4D4F"/>
          <w:sz w:val="16"/>
        </w:rPr>
        <w:t>count</w:t>
      </w:r>
      <w:r>
        <w:rPr>
          <w:color w:val="4D4D4F"/>
          <w:spacing w:val="8"/>
          <w:sz w:val="16"/>
        </w:rPr>
        <w:t xml:space="preserve"> </w:t>
      </w:r>
      <w:r>
        <w:rPr>
          <w:color w:val="4D4D4F"/>
          <w:spacing w:val="2"/>
          <w:sz w:val="16"/>
        </w:rPr>
        <w:t>Large-fruit</w:t>
      </w:r>
      <w:r>
        <w:rPr>
          <w:color w:val="4D4D4F"/>
          <w:spacing w:val="8"/>
          <w:sz w:val="16"/>
        </w:rPr>
        <w:t xml:space="preserve"> </w:t>
      </w:r>
      <w:r>
        <w:rPr>
          <w:color w:val="4D4D4F"/>
          <w:sz w:val="16"/>
        </w:rPr>
        <w:t>Groundsel</w:t>
      </w:r>
      <w:r>
        <w:rPr>
          <w:color w:val="4D4D4F"/>
          <w:spacing w:val="8"/>
          <w:sz w:val="16"/>
        </w:rPr>
        <w:t xml:space="preserve"> </w:t>
      </w:r>
      <w:r>
        <w:rPr>
          <w:color w:val="4D4D4F"/>
          <w:sz w:val="16"/>
        </w:rPr>
        <w:t>at</w:t>
      </w:r>
      <w:r>
        <w:rPr>
          <w:color w:val="4D4D4F"/>
          <w:spacing w:val="8"/>
          <w:sz w:val="16"/>
        </w:rPr>
        <w:t xml:space="preserve"> </w:t>
      </w:r>
      <w:r>
        <w:rPr>
          <w:color w:val="4D4D4F"/>
          <w:sz w:val="16"/>
        </w:rPr>
        <w:t>Little</w:t>
      </w:r>
      <w:r>
        <w:rPr>
          <w:color w:val="4D4D4F"/>
          <w:spacing w:val="8"/>
          <w:sz w:val="16"/>
        </w:rPr>
        <w:t xml:space="preserve"> </w:t>
      </w:r>
      <w:r>
        <w:rPr>
          <w:color w:val="4D4D4F"/>
          <w:sz w:val="16"/>
        </w:rPr>
        <w:t>Raven,</w:t>
      </w:r>
      <w:r>
        <w:rPr>
          <w:color w:val="4D4D4F"/>
          <w:spacing w:val="8"/>
          <w:sz w:val="16"/>
        </w:rPr>
        <w:t xml:space="preserve"> </w:t>
      </w:r>
      <w:r>
        <w:rPr>
          <w:color w:val="4D4D4F"/>
          <w:sz w:val="16"/>
        </w:rPr>
        <w:t>2017–2021</w:t>
      </w:r>
      <w:r>
        <w:rPr>
          <w:color w:val="4D4D4F"/>
          <w:sz w:val="16"/>
        </w:rPr>
        <w:tab/>
      </w:r>
      <w:r>
        <w:rPr>
          <w:rFonts w:ascii="Century Gothic" w:hAnsi="Century Gothic"/>
          <w:i/>
          <w:color w:val="4D4D4F"/>
          <w:sz w:val="12"/>
        </w:rPr>
        <w:t>Source:</w:t>
      </w:r>
      <w:r>
        <w:rPr>
          <w:rFonts w:ascii="Century Gothic" w:hAnsi="Century Gothic"/>
          <w:i/>
          <w:color w:val="4D4D4F"/>
          <w:spacing w:val="-22"/>
          <w:sz w:val="12"/>
        </w:rPr>
        <w:t xml:space="preserve"> </w:t>
      </w:r>
      <w:r>
        <w:rPr>
          <w:rFonts w:ascii="Century Gothic" w:hAnsi="Century Gothic"/>
          <w:i/>
          <w:color w:val="4D4D4F"/>
          <w:sz w:val="12"/>
        </w:rPr>
        <w:t>DELWP</w:t>
      </w:r>
    </w:p>
    <w:p w14:paraId="2E41FE38" w14:textId="77777777" w:rsidR="00EF5B27" w:rsidRDefault="00EF5B27">
      <w:pPr>
        <w:rPr>
          <w:rFonts w:ascii="Century Gothic" w:hAnsi="Century Gothic"/>
          <w:sz w:val="12"/>
        </w:rPr>
        <w:sectPr w:rsidR="00EF5B27">
          <w:pgSz w:w="11910" w:h="16840"/>
          <w:pgMar w:top="1080" w:right="1020" w:bottom="860" w:left="1020" w:header="537" w:footer="678" w:gutter="0"/>
          <w:cols w:space="720"/>
        </w:sectPr>
      </w:pPr>
    </w:p>
    <w:p w14:paraId="34C26CBB" w14:textId="77777777" w:rsidR="00EF5B27" w:rsidRDefault="00000000">
      <w:pPr>
        <w:pStyle w:val="BodyText"/>
        <w:rPr>
          <w:rFonts w:ascii="Century Gothic"/>
          <w:i/>
        </w:rPr>
      </w:pPr>
      <w:r>
        <w:lastRenderedPageBreak/>
        <w:pict w14:anchorId="6EBB4898">
          <v:group id="_x0000_s2685" style="position:absolute;margin-left:587.05pt;margin-top:183.4pt;width:8.25pt;height:153.1pt;z-index:251731456;mso-position-horizontal-relative:page;mso-position-vertical-relative:page" coordorigin="11741,3668" coordsize="165,3062">
            <v:shape id="_x0000_s2692" style="position:absolute;left:11741;top:3668;width:165;height:561" coordorigin="11741,3668" coordsize="165,561" path="m11906,3668r-165,l11741,4228r165,-18l11906,3668xe" fillcolor="#00aed9" stroked="f">
              <v:path arrowok="t"/>
            </v:shape>
            <v:shape id="_x0000_s2691" style="position:absolute;left:11741;top:4118;width:165;height:425" coordorigin="11741,4118" coordsize="165,425" path="m11906,4118r-165,14l11741,4531r165,12l11906,4118xe" fillcolor="#047ebc" stroked="f">
              <v:path arrowok="t"/>
            </v:shape>
            <v:shape id="_x0000_s2690" type="#_x0000_t75" style="position:absolute;left:11741;top:4355;width:165;height:587">
              <v:imagedata r:id="rId42" o:title=""/>
            </v:shape>
            <v:shape id="_x0000_s2689" style="position:absolute;left:11741;top:5343;width:165;height:536" coordorigin="11741,5343" coordsize="165,536" path="m11741,5343r,535l11906,5872r,-525l11741,5343xe" fillcolor="#f36a2e" stroked="f">
              <v:path arrowok="t"/>
            </v:shape>
            <v:shape id="_x0000_s2688" style="position:absolute;left:11741;top:4925;width:165;height:501" coordorigin="11741,4926" coordsize="165,501" path="m11741,4926r,500l11906,5426r,-485l11741,4926xe" fillcolor="#49783f" stroked="f">
              <v:path arrowok="t"/>
            </v:shape>
            <v:shape id="_x0000_s2687" style="position:absolute;left:11741;top:5781;width:165;height:268" coordorigin="11741,5782" coordsize="165,268" path="m11906,5782r-165,8l11741,6039r165,10l11906,5782xe" fillcolor="#f99f2a" stroked="f">
              <v:path arrowok="t"/>
            </v:shape>
            <v:shape id="_x0000_s2686" style="position:absolute;left:11741;top:6023;width:165;height:707" coordorigin="11741,6023" coordsize="165,707" path="m11741,6023r,706l11906,6729r,-690l11741,6023xe" fillcolor="#ef412c" stroked="f">
              <v:path arrowok="t"/>
            </v:shape>
            <w10:wrap anchorx="page" anchory="page"/>
          </v:group>
        </w:pict>
      </w:r>
    </w:p>
    <w:p w14:paraId="21D2193A" w14:textId="77777777" w:rsidR="00EF5B27" w:rsidRDefault="00EF5B27">
      <w:pPr>
        <w:pStyle w:val="BodyText"/>
        <w:rPr>
          <w:rFonts w:ascii="Century Gothic"/>
          <w:i/>
        </w:rPr>
      </w:pPr>
    </w:p>
    <w:p w14:paraId="141E9100" w14:textId="77777777" w:rsidR="00EF5B27" w:rsidRDefault="00EF5B27">
      <w:pPr>
        <w:pStyle w:val="BodyText"/>
        <w:rPr>
          <w:rFonts w:ascii="Century Gothic"/>
          <w:i/>
        </w:rPr>
      </w:pPr>
    </w:p>
    <w:p w14:paraId="73AD790D" w14:textId="77777777" w:rsidR="00EF5B27" w:rsidRDefault="00EF5B27">
      <w:pPr>
        <w:pStyle w:val="BodyText"/>
        <w:spacing w:before="7"/>
        <w:rPr>
          <w:rFonts w:ascii="Century Gothic"/>
          <w:i/>
          <w:sz w:val="22"/>
        </w:rPr>
      </w:pPr>
    </w:p>
    <w:p w14:paraId="6109CF92" w14:textId="77777777" w:rsidR="00EF5B27" w:rsidRDefault="00000000">
      <w:pPr>
        <w:pStyle w:val="Heading3"/>
        <w:spacing w:before="116"/>
      </w:pPr>
      <w:r>
        <w:rPr>
          <w:color w:val="F99F2A"/>
          <w:w w:val="105"/>
        </w:rPr>
        <w:t>Results summary</w:t>
      </w:r>
    </w:p>
    <w:p w14:paraId="506D0AF3" w14:textId="77777777" w:rsidR="00EF5B27" w:rsidRDefault="00000000">
      <w:pPr>
        <w:pStyle w:val="BodyText"/>
        <w:spacing w:before="221" w:line="254" w:lineRule="auto"/>
        <w:ind w:left="2608" w:right="245"/>
      </w:pPr>
      <w:r>
        <w:rPr>
          <w:color w:val="4D4D4F"/>
        </w:rPr>
        <w:t xml:space="preserve">The natural Large-fruit Groundsel population at Little Raven is small and the number   of plants recorded has declined </w:t>
      </w:r>
      <w:r>
        <w:rPr>
          <w:color w:val="4D4D4F"/>
          <w:spacing w:val="-3"/>
        </w:rPr>
        <w:t xml:space="preserve">slightly </w:t>
      </w:r>
      <w:r>
        <w:rPr>
          <w:color w:val="4D4D4F"/>
        </w:rPr>
        <w:t xml:space="preserve">since its discovery </w:t>
      </w:r>
      <w:r>
        <w:rPr>
          <w:color w:val="4D4D4F"/>
          <w:spacing w:val="-10"/>
        </w:rPr>
        <w:t xml:space="preserve">(16 </w:t>
      </w:r>
      <w:r>
        <w:rPr>
          <w:color w:val="4D4D4F"/>
        </w:rPr>
        <w:t xml:space="preserve">plants in </w:t>
      </w:r>
      <w:r>
        <w:rPr>
          <w:color w:val="4D4D4F"/>
          <w:spacing w:val="-7"/>
        </w:rPr>
        <w:t xml:space="preserve">2017, </w:t>
      </w:r>
      <w:r>
        <w:rPr>
          <w:color w:val="4D4D4F"/>
          <w:spacing w:val="-6"/>
        </w:rPr>
        <w:t xml:space="preserve">12  </w:t>
      </w:r>
      <w:r>
        <w:rPr>
          <w:color w:val="4D4D4F"/>
        </w:rPr>
        <w:t xml:space="preserve">plants in </w:t>
      </w:r>
      <w:r>
        <w:rPr>
          <w:color w:val="4D4D4F"/>
          <w:spacing w:val="-4"/>
        </w:rPr>
        <w:t xml:space="preserve">2021). </w:t>
      </w:r>
      <w:r>
        <w:rPr>
          <w:color w:val="4D4D4F"/>
        </w:rPr>
        <w:t xml:space="preserve">The baseline for the population at Little Raven has been set this </w:t>
      </w:r>
      <w:r>
        <w:rPr>
          <w:color w:val="4D4D4F"/>
          <w:spacing w:val="-4"/>
        </w:rPr>
        <w:t xml:space="preserve">year, </w:t>
      </w:r>
      <w:r>
        <w:rPr>
          <w:color w:val="4D4D4F"/>
        </w:rPr>
        <w:t>so no assessment against the KPIs is able to be made. The larger population in Conservation Area 5 is not yet protected and remains</w:t>
      </w:r>
      <w:r>
        <w:rPr>
          <w:color w:val="4D4D4F"/>
          <w:spacing w:val="27"/>
        </w:rPr>
        <w:t xml:space="preserve"> </w:t>
      </w:r>
      <w:r>
        <w:rPr>
          <w:color w:val="4D4D4F"/>
        </w:rPr>
        <w:t>unmonitored.</w:t>
      </w:r>
    </w:p>
    <w:p w14:paraId="0249F03C" w14:textId="77777777" w:rsidR="00EF5B27" w:rsidRDefault="00EF5B27">
      <w:pPr>
        <w:pStyle w:val="BodyText"/>
        <w:spacing w:before="4"/>
        <w:rPr>
          <w:sz w:val="19"/>
        </w:rPr>
      </w:pPr>
    </w:p>
    <w:p w14:paraId="6991ED1C" w14:textId="77777777" w:rsidR="00EF5B27" w:rsidRDefault="00000000">
      <w:pPr>
        <w:pStyle w:val="Heading3"/>
        <w:spacing w:before="1"/>
      </w:pPr>
      <w:r>
        <w:rPr>
          <w:color w:val="F99F2A"/>
        </w:rPr>
        <w:t>Key insights and management implications</w:t>
      </w:r>
    </w:p>
    <w:p w14:paraId="1E4237AC" w14:textId="77777777" w:rsidR="00EF5B27" w:rsidRDefault="00000000">
      <w:pPr>
        <w:pStyle w:val="BodyText"/>
        <w:spacing w:before="221" w:line="254" w:lineRule="auto"/>
        <w:ind w:left="2608" w:right="465"/>
        <w:rPr>
          <w:sz w:val="11"/>
        </w:rPr>
      </w:pPr>
      <w:r>
        <w:rPr>
          <w:color w:val="4D4D4F"/>
        </w:rPr>
        <w:t>Large-fruit Groundsel disperses widely (wind dispersal) and it can produce viable seeds from selfing, meaning that new populations can be founded by one or a few individuals.</w:t>
      </w:r>
      <w:r>
        <w:rPr>
          <w:color w:val="4D4D4F"/>
          <w:position w:val="7"/>
          <w:sz w:val="11"/>
        </w:rPr>
        <w:t xml:space="preserve">274 </w:t>
      </w:r>
      <w:r>
        <w:rPr>
          <w:color w:val="4D4D4F"/>
        </w:rPr>
        <w:t>The population discovered in 2016–17 at Little Raven appeared on recently burnt ground and may have dispersed relatively recently from a nearby population on the railway line.</w:t>
      </w:r>
      <w:r>
        <w:rPr>
          <w:color w:val="4D4D4F"/>
          <w:position w:val="7"/>
          <w:sz w:val="11"/>
        </w:rPr>
        <w:t>275</w:t>
      </w:r>
    </w:p>
    <w:p w14:paraId="6D5E8C8F" w14:textId="77777777" w:rsidR="00EF5B27" w:rsidRDefault="00000000">
      <w:pPr>
        <w:pStyle w:val="BodyText"/>
        <w:spacing w:before="119" w:line="254" w:lineRule="auto"/>
        <w:ind w:left="2608"/>
        <w:rPr>
          <w:sz w:val="11"/>
        </w:rPr>
      </w:pPr>
      <w:r>
        <w:rPr>
          <w:color w:val="4D4D4F"/>
        </w:rPr>
        <w:t>Of the 16 plants detected originally, five have died and two appeared to be senescing. One recruit appeared in 2021. The cause of this apparent decline is unknown.</w:t>
      </w:r>
      <w:r>
        <w:rPr>
          <w:color w:val="4D4D4F"/>
          <w:position w:val="7"/>
          <w:sz w:val="11"/>
        </w:rPr>
        <w:t>276</w:t>
      </w:r>
    </w:p>
    <w:p w14:paraId="5F434A4D" w14:textId="77777777" w:rsidR="00EF5B27" w:rsidRDefault="00000000">
      <w:pPr>
        <w:pStyle w:val="BodyText"/>
        <w:spacing w:before="116" w:line="254" w:lineRule="auto"/>
        <w:ind w:left="2608" w:right="805"/>
        <w:rPr>
          <w:sz w:val="11"/>
        </w:rPr>
      </w:pPr>
      <w:r>
        <w:rPr>
          <w:color w:val="4D4D4F"/>
        </w:rPr>
        <w:t>This species’ lifespan is approximately 10 years. It is dispersed widely through wind, preferring to colonise recently burnt areas.</w:t>
      </w:r>
      <w:r>
        <w:rPr>
          <w:color w:val="4D4D4F"/>
          <w:position w:val="7"/>
          <w:sz w:val="11"/>
        </w:rPr>
        <w:t xml:space="preserve">277 </w:t>
      </w:r>
      <w:r>
        <w:rPr>
          <w:color w:val="4D4D4F"/>
        </w:rPr>
        <w:t>It germinates readily from seed when conditions are favourable, in wet years and with enough open ground free from competition.</w:t>
      </w:r>
      <w:r>
        <w:rPr>
          <w:color w:val="4D4D4F"/>
          <w:position w:val="7"/>
          <w:sz w:val="11"/>
        </w:rPr>
        <w:t>278</w:t>
      </w:r>
    </w:p>
    <w:p w14:paraId="33864BA8" w14:textId="77777777" w:rsidR="00EF5B27" w:rsidRDefault="00000000">
      <w:pPr>
        <w:pStyle w:val="BodyText"/>
        <w:spacing w:before="118" w:line="254" w:lineRule="auto"/>
        <w:ind w:left="2608" w:right="151"/>
        <w:rPr>
          <w:sz w:val="11"/>
        </w:rPr>
      </w:pPr>
      <w:r>
        <w:rPr>
          <w:color w:val="4D4D4F"/>
        </w:rPr>
        <w:t xml:space="preserve">DELWP indicates that there is not enough data </w:t>
      </w:r>
      <w:r>
        <w:rPr>
          <w:color w:val="4D4D4F"/>
          <w:spacing w:val="-4"/>
        </w:rPr>
        <w:t xml:space="preserve">(in </w:t>
      </w:r>
      <w:r>
        <w:rPr>
          <w:color w:val="4D4D4F"/>
        </w:rPr>
        <w:t>part due to lack of protected populations on MSA land) to glean any definitive insights on the species or its management implications.</w:t>
      </w:r>
      <w:r>
        <w:rPr>
          <w:color w:val="4D4D4F"/>
          <w:position w:val="7"/>
          <w:sz w:val="11"/>
        </w:rPr>
        <w:t xml:space="preserve">279 </w:t>
      </w:r>
      <w:r>
        <w:rPr>
          <w:color w:val="4D4D4F"/>
        </w:rPr>
        <w:t xml:space="preserve">Given the small numbers, the population remains vulnerable to external pressures. It is possible that the risk of decline could be </w:t>
      </w:r>
      <w:r>
        <w:rPr>
          <w:color w:val="4D4D4F"/>
          <w:spacing w:val="-6"/>
        </w:rPr>
        <w:t xml:space="preserve">potentially </w:t>
      </w:r>
      <w:r>
        <w:rPr>
          <w:color w:val="4D4D4F"/>
          <w:spacing w:val="-5"/>
        </w:rPr>
        <w:t xml:space="preserve">mitigated </w:t>
      </w:r>
      <w:r>
        <w:rPr>
          <w:color w:val="4D4D4F"/>
          <w:spacing w:val="-4"/>
        </w:rPr>
        <w:t xml:space="preserve">through </w:t>
      </w:r>
      <w:r>
        <w:rPr>
          <w:color w:val="4D4D4F"/>
          <w:spacing w:val="-5"/>
        </w:rPr>
        <w:t xml:space="preserve">population augmentation </w:t>
      </w:r>
      <w:r>
        <w:rPr>
          <w:color w:val="4D4D4F"/>
          <w:spacing w:val="-4"/>
        </w:rPr>
        <w:t xml:space="preserve">via </w:t>
      </w:r>
      <w:r>
        <w:rPr>
          <w:color w:val="4D4D4F"/>
          <w:spacing w:val="-3"/>
        </w:rPr>
        <w:t xml:space="preserve">the </w:t>
      </w:r>
      <w:r>
        <w:rPr>
          <w:color w:val="4D4D4F"/>
          <w:spacing w:val="-5"/>
        </w:rPr>
        <w:t xml:space="preserve">planting </w:t>
      </w:r>
      <w:r>
        <w:rPr>
          <w:color w:val="4D4D4F"/>
          <w:spacing w:val="-3"/>
        </w:rPr>
        <w:t xml:space="preserve">of tube </w:t>
      </w:r>
      <w:r>
        <w:rPr>
          <w:color w:val="4D4D4F"/>
        </w:rPr>
        <w:t>stock.</w:t>
      </w:r>
      <w:r>
        <w:rPr>
          <w:color w:val="4D4D4F"/>
          <w:position w:val="7"/>
          <w:sz w:val="11"/>
        </w:rPr>
        <w:t>280</w:t>
      </w:r>
    </w:p>
    <w:p w14:paraId="42114426" w14:textId="77777777" w:rsidR="00EF5B27" w:rsidRDefault="00EF5B27">
      <w:pPr>
        <w:pStyle w:val="BodyText"/>
      </w:pPr>
    </w:p>
    <w:p w14:paraId="2B7030A9" w14:textId="77777777" w:rsidR="00EF5B27" w:rsidRDefault="00EF5B27">
      <w:pPr>
        <w:pStyle w:val="BodyText"/>
      </w:pPr>
    </w:p>
    <w:p w14:paraId="0A07887B" w14:textId="77777777" w:rsidR="00EF5B27" w:rsidRDefault="00EF5B27">
      <w:pPr>
        <w:pStyle w:val="BodyText"/>
      </w:pPr>
    </w:p>
    <w:p w14:paraId="5E0B9C4A" w14:textId="77777777" w:rsidR="00EF5B27" w:rsidRDefault="00EF5B27">
      <w:pPr>
        <w:pStyle w:val="BodyText"/>
      </w:pPr>
    </w:p>
    <w:p w14:paraId="7E77B944" w14:textId="77777777" w:rsidR="00EF5B27" w:rsidRDefault="00EF5B27">
      <w:pPr>
        <w:pStyle w:val="BodyText"/>
      </w:pPr>
    </w:p>
    <w:p w14:paraId="520B659B" w14:textId="77777777" w:rsidR="00EF5B27" w:rsidRDefault="00EF5B27">
      <w:pPr>
        <w:pStyle w:val="BodyText"/>
      </w:pPr>
    </w:p>
    <w:p w14:paraId="1A45C78C" w14:textId="77777777" w:rsidR="00EF5B27" w:rsidRDefault="00EF5B27">
      <w:pPr>
        <w:pStyle w:val="BodyText"/>
      </w:pPr>
    </w:p>
    <w:p w14:paraId="02051058" w14:textId="77777777" w:rsidR="00EF5B27" w:rsidRDefault="00EF5B27">
      <w:pPr>
        <w:pStyle w:val="BodyText"/>
      </w:pPr>
    </w:p>
    <w:p w14:paraId="1750A237" w14:textId="77777777" w:rsidR="00EF5B27" w:rsidRDefault="00EF5B27">
      <w:pPr>
        <w:pStyle w:val="BodyText"/>
      </w:pPr>
    </w:p>
    <w:p w14:paraId="0B6BCBD6" w14:textId="77777777" w:rsidR="00EF5B27" w:rsidRDefault="00EF5B27">
      <w:pPr>
        <w:pStyle w:val="BodyText"/>
      </w:pPr>
    </w:p>
    <w:p w14:paraId="41778F88" w14:textId="77777777" w:rsidR="00EF5B27" w:rsidRDefault="00EF5B27">
      <w:pPr>
        <w:pStyle w:val="BodyText"/>
      </w:pPr>
    </w:p>
    <w:p w14:paraId="22CA367D" w14:textId="77777777" w:rsidR="00EF5B27" w:rsidRDefault="00EF5B27">
      <w:pPr>
        <w:pStyle w:val="BodyText"/>
      </w:pPr>
    </w:p>
    <w:p w14:paraId="42992A55" w14:textId="77777777" w:rsidR="00EF5B27" w:rsidRDefault="00EF5B27">
      <w:pPr>
        <w:pStyle w:val="BodyText"/>
      </w:pPr>
    </w:p>
    <w:p w14:paraId="08F9DF51" w14:textId="77777777" w:rsidR="00EF5B27" w:rsidRDefault="00EF5B27">
      <w:pPr>
        <w:pStyle w:val="BodyText"/>
      </w:pPr>
    </w:p>
    <w:p w14:paraId="74F8D122" w14:textId="77777777" w:rsidR="00EF5B27" w:rsidRDefault="00EF5B27">
      <w:pPr>
        <w:pStyle w:val="BodyText"/>
      </w:pPr>
    </w:p>
    <w:p w14:paraId="087BF3BA" w14:textId="77777777" w:rsidR="00EF5B27" w:rsidRDefault="00EF5B27">
      <w:pPr>
        <w:pStyle w:val="BodyText"/>
      </w:pPr>
    </w:p>
    <w:p w14:paraId="1641C91D" w14:textId="77777777" w:rsidR="00EF5B27" w:rsidRDefault="00EF5B27">
      <w:pPr>
        <w:pStyle w:val="BodyText"/>
      </w:pPr>
    </w:p>
    <w:p w14:paraId="74CD2D42" w14:textId="77777777" w:rsidR="00EF5B27" w:rsidRDefault="00000000">
      <w:pPr>
        <w:pStyle w:val="BodyText"/>
        <w:spacing w:before="3"/>
        <w:rPr>
          <w:sz w:val="29"/>
        </w:rPr>
      </w:pPr>
      <w:r>
        <w:pict w14:anchorId="21DCE59C">
          <v:line id="_x0000_s2684" style="position:absolute;z-index:251650560;mso-wrap-distance-left:0;mso-wrap-distance-right:0;mso-position-horizontal-relative:page" from="181.4pt,20.1pt" to="538.6pt,20.1pt" strokecolor="#4d4d4f" strokeweight=".5pt">
            <w10:wrap type="topAndBottom" anchorx="page"/>
          </v:line>
        </w:pict>
      </w:r>
    </w:p>
    <w:p w14:paraId="7E4E2101" w14:textId="77777777" w:rsidR="00EF5B27" w:rsidRDefault="00000000">
      <w:pPr>
        <w:pStyle w:val="ListParagraph"/>
        <w:numPr>
          <w:ilvl w:val="0"/>
          <w:numId w:val="19"/>
        </w:numPr>
        <w:tabs>
          <w:tab w:val="left" w:pos="2836"/>
        </w:tabs>
        <w:spacing w:before="83" w:line="143" w:lineRule="exact"/>
        <w:rPr>
          <w:sz w:val="12"/>
        </w:rPr>
      </w:pPr>
      <w:r>
        <w:rPr>
          <w:color w:val="4D4D4F"/>
          <w:sz w:val="12"/>
        </w:rPr>
        <w:t>DELWP,</w:t>
      </w:r>
      <w:r>
        <w:rPr>
          <w:color w:val="4D4D4F"/>
          <w:spacing w:val="12"/>
          <w:sz w:val="12"/>
        </w:rPr>
        <w:t xml:space="preserve"> </w:t>
      </w:r>
      <w:r>
        <w:rPr>
          <w:color w:val="4D4D4F"/>
          <w:sz w:val="12"/>
        </w:rPr>
        <w:t>internal</w:t>
      </w:r>
      <w:r>
        <w:rPr>
          <w:color w:val="4D4D4F"/>
          <w:spacing w:val="13"/>
          <w:sz w:val="12"/>
        </w:rPr>
        <w:t xml:space="preserve"> </w:t>
      </w:r>
      <w:r>
        <w:rPr>
          <w:color w:val="4D4D4F"/>
          <w:sz w:val="12"/>
        </w:rPr>
        <w:t>document,</w:t>
      </w:r>
      <w:r>
        <w:rPr>
          <w:color w:val="4D4D4F"/>
          <w:spacing w:val="12"/>
          <w:sz w:val="12"/>
        </w:rPr>
        <w:t xml:space="preserve"> </w:t>
      </w:r>
      <w:r>
        <w:rPr>
          <w:color w:val="4D4D4F"/>
          <w:sz w:val="12"/>
        </w:rPr>
        <w:t>provided</w:t>
      </w:r>
      <w:r>
        <w:rPr>
          <w:color w:val="4D4D4F"/>
          <w:spacing w:val="13"/>
          <w:sz w:val="12"/>
        </w:rPr>
        <w:t xml:space="preserve"> </w:t>
      </w:r>
      <w:r>
        <w:rPr>
          <w:color w:val="4D4D4F"/>
          <w:sz w:val="12"/>
        </w:rPr>
        <w:t>21</w:t>
      </w:r>
      <w:r>
        <w:rPr>
          <w:color w:val="4D4D4F"/>
          <w:spacing w:val="12"/>
          <w:sz w:val="12"/>
        </w:rPr>
        <w:t xml:space="preserve"> </w:t>
      </w:r>
      <w:r>
        <w:rPr>
          <w:color w:val="4D4D4F"/>
          <w:sz w:val="12"/>
        </w:rPr>
        <w:t>January</w:t>
      </w:r>
      <w:r>
        <w:rPr>
          <w:color w:val="4D4D4F"/>
          <w:spacing w:val="13"/>
          <w:sz w:val="12"/>
        </w:rPr>
        <w:t xml:space="preserve"> </w:t>
      </w:r>
      <w:r>
        <w:rPr>
          <w:color w:val="4D4D4F"/>
          <w:spacing w:val="2"/>
          <w:sz w:val="12"/>
        </w:rPr>
        <w:t>2022.</w:t>
      </w:r>
    </w:p>
    <w:p w14:paraId="16551016" w14:textId="77777777" w:rsidR="00EF5B27" w:rsidRDefault="00000000">
      <w:pPr>
        <w:pStyle w:val="ListParagraph"/>
        <w:numPr>
          <w:ilvl w:val="0"/>
          <w:numId w:val="19"/>
        </w:numPr>
        <w:tabs>
          <w:tab w:val="left" w:pos="2836"/>
        </w:tabs>
        <w:spacing w:line="140" w:lineRule="exact"/>
        <w:rPr>
          <w:sz w:val="12"/>
        </w:rPr>
      </w:pPr>
      <w:r>
        <w:rPr>
          <w:color w:val="4D4D4F"/>
          <w:sz w:val="12"/>
        </w:rPr>
        <w:t>DELWP,</w:t>
      </w:r>
      <w:r>
        <w:rPr>
          <w:color w:val="4D4D4F"/>
          <w:spacing w:val="12"/>
          <w:sz w:val="12"/>
        </w:rPr>
        <w:t xml:space="preserve"> </w:t>
      </w:r>
      <w:r>
        <w:rPr>
          <w:color w:val="4D4D4F"/>
          <w:sz w:val="12"/>
        </w:rPr>
        <w:t>internal</w:t>
      </w:r>
      <w:r>
        <w:rPr>
          <w:color w:val="4D4D4F"/>
          <w:spacing w:val="13"/>
          <w:sz w:val="12"/>
        </w:rPr>
        <w:t xml:space="preserve"> </w:t>
      </w:r>
      <w:r>
        <w:rPr>
          <w:color w:val="4D4D4F"/>
          <w:sz w:val="12"/>
        </w:rPr>
        <w:t>document,</w:t>
      </w:r>
      <w:r>
        <w:rPr>
          <w:color w:val="4D4D4F"/>
          <w:spacing w:val="12"/>
          <w:sz w:val="12"/>
        </w:rPr>
        <w:t xml:space="preserve"> </w:t>
      </w:r>
      <w:r>
        <w:rPr>
          <w:color w:val="4D4D4F"/>
          <w:sz w:val="12"/>
        </w:rPr>
        <w:t>provided</w:t>
      </w:r>
      <w:r>
        <w:rPr>
          <w:color w:val="4D4D4F"/>
          <w:spacing w:val="13"/>
          <w:sz w:val="12"/>
        </w:rPr>
        <w:t xml:space="preserve"> </w:t>
      </w:r>
      <w:r>
        <w:rPr>
          <w:color w:val="4D4D4F"/>
          <w:sz w:val="12"/>
        </w:rPr>
        <w:t>21</w:t>
      </w:r>
      <w:r>
        <w:rPr>
          <w:color w:val="4D4D4F"/>
          <w:spacing w:val="12"/>
          <w:sz w:val="12"/>
        </w:rPr>
        <w:t xml:space="preserve"> </w:t>
      </w:r>
      <w:r>
        <w:rPr>
          <w:color w:val="4D4D4F"/>
          <w:sz w:val="12"/>
        </w:rPr>
        <w:t>January</w:t>
      </w:r>
      <w:r>
        <w:rPr>
          <w:color w:val="4D4D4F"/>
          <w:spacing w:val="13"/>
          <w:sz w:val="12"/>
        </w:rPr>
        <w:t xml:space="preserve"> </w:t>
      </w:r>
      <w:r>
        <w:rPr>
          <w:color w:val="4D4D4F"/>
          <w:spacing w:val="2"/>
          <w:sz w:val="12"/>
        </w:rPr>
        <w:t>2022.</w:t>
      </w:r>
    </w:p>
    <w:p w14:paraId="5856E50C" w14:textId="77777777" w:rsidR="00EF5B27" w:rsidRDefault="00000000">
      <w:pPr>
        <w:pStyle w:val="ListParagraph"/>
        <w:numPr>
          <w:ilvl w:val="0"/>
          <w:numId w:val="19"/>
        </w:numPr>
        <w:tabs>
          <w:tab w:val="left" w:pos="2836"/>
        </w:tabs>
        <w:spacing w:line="140" w:lineRule="exact"/>
        <w:rPr>
          <w:sz w:val="12"/>
        </w:rPr>
      </w:pPr>
      <w:r>
        <w:rPr>
          <w:color w:val="4D4D4F"/>
          <w:sz w:val="12"/>
        </w:rPr>
        <w:t>DELWP,</w:t>
      </w:r>
      <w:r>
        <w:rPr>
          <w:color w:val="4D4D4F"/>
          <w:spacing w:val="12"/>
          <w:sz w:val="12"/>
        </w:rPr>
        <w:t xml:space="preserve"> </w:t>
      </w:r>
      <w:r>
        <w:rPr>
          <w:color w:val="4D4D4F"/>
          <w:sz w:val="12"/>
        </w:rPr>
        <w:t>internal</w:t>
      </w:r>
      <w:r>
        <w:rPr>
          <w:color w:val="4D4D4F"/>
          <w:spacing w:val="13"/>
          <w:sz w:val="12"/>
        </w:rPr>
        <w:t xml:space="preserve"> </w:t>
      </w:r>
      <w:r>
        <w:rPr>
          <w:color w:val="4D4D4F"/>
          <w:sz w:val="12"/>
        </w:rPr>
        <w:t>document,</w:t>
      </w:r>
      <w:r>
        <w:rPr>
          <w:color w:val="4D4D4F"/>
          <w:spacing w:val="12"/>
          <w:sz w:val="12"/>
        </w:rPr>
        <w:t xml:space="preserve"> </w:t>
      </w:r>
      <w:r>
        <w:rPr>
          <w:color w:val="4D4D4F"/>
          <w:sz w:val="12"/>
        </w:rPr>
        <w:t>provided</w:t>
      </w:r>
      <w:r>
        <w:rPr>
          <w:color w:val="4D4D4F"/>
          <w:spacing w:val="13"/>
          <w:sz w:val="12"/>
        </w:rPr>
        <w:t xml:space="preserve"> </w:t>
      </w:r>
      <w:r>
        <w:rPr>
          <w:color w:val="4D4D4F"/>
          <w:sz w:val="12"/>
        </w:rPr>
        <w:t>21</w:t>
      </w:r>
      <w:r>
        <w:rPr>
          <w:color w:val="4D4D4F"/>
          <w:spacing w:val="12"/>
          <w:sz w:val="12"/>
        </w:rPr>
        <w:t xml:space="preserve"> </w:t>
      </w:r>
      <w:r>
        <w:rPr>
          <w:color w:val="4D4D4F"/>
          <w:sz w:val="12"/>
        </w:rPr>
        <w:t>January</w:t>
      </w:r>
      <w:r>
        <w:rPr>
          <w:color w:val="4D4D4F"/>
          <w:spacing w:val="13"/>
          <w:sz w:val="12"/>
        </w:rPr>
        <w:t xml:space="preserve"> </w:t>
      </w:r>
      <w:r>
        <w:rPr>
          <w:color w:val="4D4D4F"/>
          <w:spacing w:val="2"/>
          <w:sz w:val="12"/>
        </w:rPr>
        <w:t>2022.</w:t>
      </w:r>
    </w:p>
    <w:p w14:paraId="189DDB06" w14:textId="77777777" w:rsidR="00EF5B27" w:rsidRDefault="00000000">
      <w:pPr>
        <w:pStyle w:val="ListParagraph"/>
        <w:numPr>
          <w:ilvl w:val="0"/>
          <w:numId w:val="19"/>
        </w:numPr>
        <w:tabs>
          <w:tab w:val="left" w:pos="2835"/>
        </w:tabs>
        <w:spacing w:before="2" w:line="230" w:lineRule="auto"/>
        <w:ind w:left="2834" w:right="111" w:hanging="226"/>
        <w:rPr>
          <w:sz w:val="12"/>
        </w:rPr>
      </w:pPr>
      <w:r>
        <w:rPr>
          <w:color w:val="4D4D4F"/>
          <w:spacing w:val="2"/>
          <w:sz w:val="12"/>
        </w:rPr>
        <w:t xml:space="preserve">Ahrens, </w:t>
      </w:r>
      <w:r>
        <w:rPr>
          <w:color w:val="4D4D4F"/>
          <w:sz w:val="12"/>
        </w:rPr>
        <w:t xml:space="preserve">C. W., &amp; James, E. </w:t>
      </w:r>
      <w:r>
        <w:rPr>
          <w:color w:val="4D4D4F"/>
          <w:spacing w:val="2"/>
          <w:sz w:val="12"/>
        </w:rPr>
        <w:t xml:space="preserve">A. </w:t>
      </w:r>
      <w:r>
        <w:rPr>
          <w:color w:val="4D4D4F"/>
          <w:sz w:val="12"/>
        </w:rPr>
        <w:t xml:space="preserve">2015. </w:t>
      </w:r>
      <w:r>
        <w:rPr>
          <w:color w:val="4D4D4F"/>
          <w:spacing w:val="2"/>
          <w:sz w:val="12"/>
        </w:rPr>
        <w:t xml:space="preserve">‘Range-wide </w:t>
      </w:r>
      <w:r>
        <w:rPr>
          <w:color w:val="4D4D4F"/>
          <w:sz w:val="12"/>
        </w:rPr>
        <w:t xml:space="preserve">genetic analysis reveals limited </w:t>
      </w:r>
      <w:r>
        <w:rPr>
          <w:color w:val="4D4D4F"/>
          <w:spacing w:val="2"/>
          <w:sz w:val="12"/>
        </w:rPr>
        <w:t xml:space="preserve">structure </w:t>
      </w:r>
      <w:r>
        <w:rPr>
          <w:color w:val="4D4D4F"/>
          <w:sz w:val="12"/>
        </w:rPr>
        <w:t xml:space="preserve">and suggests asexual patterns in the </w:t>
      </w:r>
      <w:r>
        <w:rPr>
          <w:color w:val="4D4D4F"/>
          <w:spacing w:val="2"/>
          <w:sz w:val="12"/>
        </w:rPr>
        <w:t xml:space="preserve">rare </w:t>
      </w:r>
      <w:r>
        <w:rPr>
          <w:color w:val="4D4D4F"/>
          <w:sz w:val="12"/>
        </w:rPr>
        <w:t xml:space="preserve">forb Senecio </w:t>
      </w:r>
      <w:r>
        <w:rPr>
          <w:color w:val="4D4D4F"/>
          <w:spacing w:val="2"/>
          <w:sz w:val="12"/>
        </w:rPr>
        <w:t xml:space="preserve">macrocarpus.’ </w:t>
      </w:r>
      <w:r>
        <w:rPr>
          <w:color w:val="4D4D4F"/>
          <w:sz w:val="12"/>
        </w:rPr>
        <w:t>Biological Journal of the Linnean Society, 115(2),</w:t>
      </w:r>
      <w:r>
        <w:rPr>
          <w:color w:val="4D4D4F"/>
          <w:spacing w:val="23"/>
          <w:sz w:val="12"/>
        </w:rPr>
        <w:t xml:space="preserve"> </w:t>
      </w:r>
      <w:r>
        <w:rPr>
          <w:color w:val="4D4D4F"/>
          <w:sz w:val="12"/>
        </w:rPr>
        <w:t>256-269.</w:t>
      </w:r>
    </w:p>
    <w:p w14:paraId="7AE82A9A" w14:textId="77777777" w:rsidR="00EF5B27" w:rsidRDefault="00000000">
      <w:pPr>
        <w:pStyle w:val="ListParagraph"/>
        <w:numPr>
          <w:ilvl w:val="0"/>
          <w:numId w:val="19"/>
        </w:numPr>
        <w:tabs>
          <w:tab w:val="left" w:pos="2835"/>
        </w:tabs>
        <w:spacing w:line="138" w:lineRule="exact"/>
        <w:ind w:left="2834" w:hanging="226"/>
        <w:rPr>
          <w:sz w:val="12"/>
        </w:rPr>
      </w:pPr>
      <w:r>
        <w:rPr>
          <w:color w:val="4D4D4F"/>
          <w:sz w:val="12"/>
        </w:rPr>
        <w:t>DELWP, internal document, provided 21 January</w:t>
      </w:r>
      <w:r>
        <w:rPr>
          <w:color w:val="4D4D4F"/>
          <w:spacing w:val="14"/>
          <w:sz w:val="12"/>
        </w:rPr>
        <w:t xml:space="preserve"> </w:t>
      </w:r>
      <w:r>
        <w:rPr>
          <w:color w:val="4D4D4F"/>
          <w:spacing w:val="2"/>
          <w:sz w:val="12"/>
        </w:rPr>
        <w:t>2022.</w:t>
      </w:r>
    </w:p>
    <w:p w14:paraId="37B74357" w14:textId="77777777" w:rsidR="00EF5B27" w:rsidRDefault="00000000">
      <w:pPr>
        <w:pStyle w:val="ListParagraph"/>
        <w:numPr>
          <w:ilvl w:val="0"/>
          <w:numId w:val="19"/>
        </w:numPr>
        <w:tabs>
          <w:tab w:val="left" w:pos="2835"/>
        </w:tabs>
        <w:spacing w:line="140" w:lineRule="exact"/>
        <w:ind w:left="2834" w:hanging="226"/>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0C9F41F1" w14:textId="77777777" w:rsidR="00EF5B27" w:rsidRDefault="00000000">
      <w:pPr>
        <w:pStyle w:val="ListParagraph"/>
        <w:numPr>
          <w:ilvl w:val="0"/>
          <w:numId w:val="19"/>
        </w:numPr>
        <w:tabs>
          <w:tab w:val="left" w:pos="2835"/>
        </w:tabs>
        <w:spacing w:line="143" w:lineRule="exact"/>
        <w:ind w:left="2834"/>
        <w:rPr>
          <w:sz w:val="12"/>
        </w:rPr>
      </w:pPr>
      <w:r>
        <w:rPr>
          <w:color w:val="4D4D4F"/>
          <w:sz w:val="12"/>
        </w:rPr>
        <w:t>DELWP</w:t>
      </w:r>
      <w:r>
        <w:rPr>
          <w:color w:val="4D4D4F"/>
          <w:spacing w:val="10"/>
          <w:sz w:val="12"/>
        </w:rPr>
        <w:t xml:space="preserve"> </w:t>
      </w:r>
      <w:r>
        <w:rPr>
          <w:color w:val="4D4D4F"/>
          <w:sz w:val="12"/>
        </w:rPr>
        <w:t>Officer,</w:t>
      </w:r>
      <w:r>
        <w:rPr>
          <w:color w:val="4D4D4F"/>
          <w:spacing w:val="10"/>
          <w:sz w:val="12"/>
        </w:rPr>
        <w:t xml:space="preserve"> </w:t>
      </w:r>
      <w:r>
        <w:rPr>
          <w:color w:val="4D4D4F"/>
          <w:sz w:val="12"/>
        </w:rPr>
        <w:t>personal</w:t>
      </w:r>
      <w:r>
        <w:rPr>
          <w:color w:val="4D4D4F"/>
          <w:spacing w:val="10"/>
          <w:sz w:val="12"/>
        </w:rPr>
        <w:t xml:space="preserve"> </w:t>
      </w:r>
      <w:r>
        <w:rPr>
          <w:color w:val="4D4D4F"/>
          <w:sz w:val="12"/>
        </w:rPr>
        <w:t>communication,</w:t>
      </w:r>
      <w:r>
        <w:rPr>
          <w:color w:val="4D4D4F"/>
          <w:spacing w:val="11"/>
          <w:sz w:val="12"/>
        </w:rPr>
        <w:t xml:space="preserve"> </w:t>
      </w:r>
      <w:r>
        <w:rPr>
          <w:color w:val="4D4D4F"/>
          <w:sz w:val="12"/>
        </w:rPr>
        <w:t>15</w:t>
      </w:r>
      <w:r>
        <w:rPr>
          <w:color w:val="4D4D4F"/>
          <w:spacing w:val="10"/>
          <w:sz w:val="12"/>
        </w:rPr>
        <w:t xml:space="preserve"> </w:t>
      </w:r>
      <w:r>
        <w:rPr>
          <w:color w:val="4D4D4F"/>
          <w:spacing w:val="2"/>
          <w:sz w:val="12"/>
        </w:rPr>
        <w:t>February</w:t>
      </w:r>
      <w:r>
        <w:rPr>
          <w:color w:val="4D4D4F"/>
          <w:spacing w:val="10"/>
          <w:sz w:val="12"/>
        </w:rPr>
        <w:t xml:space="preserve"> </w:t>
      </w:r>
      <w:r>
        <w:rPr>
          <w:color w:val="4D4D4F"/>
          <w:spacing w:val="2"/>
          <w:sz w:val="12"/>
        </w:rPr>
        <w:t>2022.</w:t>
      </w:r>
    </w:p>
    <w:p w14:paraId="54B16C27"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358EF773" w14:textId="77777777" w:rsidR="00EF5B27" w:rsidRDefault="00000000">
      <w:pPr>
        <w:pStyle w:val="BodyText"/>
      </w:pPr>
      <w:r>
        <w:lastRenderedPageBreak/>
        <w:pict w14:anchorId="326144D9">
          <v:group id="_x0000_s2676" style="position:absolute;margin-left:587.05pt;margin-top:183.4pt;width:8.25pt;height:153.1pt;z-index:251734528;mso-position-horizontal-relative:page;mso-position-vertical-relative:page" coordorigin="11741,3668" coordsize="165,3062">
            <v:shape id="_x0000_s2683" style="position:absolute;left:11741;top:3668;width:165;height:561" coordorigin="11741,3668" coordsize="165,561" path="m11906,3668r-165,l11741,4228r165,-18l11906,3668xe" fillcolor="#00aed9" stroked="f">
              <v:path arrowok="t"/>
            </v:shape>
            <v:shape id="_x0000_s2682" style="position:absolute;left:11741;top:4118;width:165;height:425" coordorigin="11741,4118" coordsize="165,425" path="m11906,4118r-165,14l11741,4531r165,12l11906,4118xe" fillcolor="#047ebc" stroked="f">
              <v:path arrowok="t"/>
            </v:shape>
            <v:shape id="_x0000_s2681" type="#_x0000_t75" style="position:absolute;left:11741;top:4355;width:165;height:587">
              <v:imagedata r:id="rId42" o:title=""/>
            </v:shape>
            <v:shape id="_x0000_s2680" style="position:absolute;left:11741;top:5343;width:165;height:536" coordorigin="11741,5343" coordsize="165,536" path="m11741,5343r,535l11906,5872r,-525l11741,5343xe" fillcolor="#f36a2e" stroked="f">
              <v:path arrowok="t"/>
            </v:shape>
            <v:shape id="_x0000_s2679" style="position:absolute;left:11741;top:4925;width:165;height:501" coordorigin="11741,4926" coordsize="165,501" path="m11741,4926r,500l11906,5426r,-485l11741,4926xe" fillcolor="#49783f" stroked="f">
              <v:path arrowok="t"/>
            </v:shape>
            <v:shape id="_x0000_s2678" style="position:absolute;left:11741;top:5781;width:165;height:268" coordorigin="11741,5782" coordsize="165,268" path="m11906,5782r-165,8l11741,6039r165,10l11906,5782xe" fillcolor="#f99f2a" stroked="f">
              <v:path arrowok="t"/>
            </v:shape>
            <v:shape id="_x0000_s2677" style="position:absolute;left:11741;top:6023;width:165;height:707" coordorigin="11741,6023" coordsize="165,707" path="m11741,6023r,706l11906,6729r,-690l11741,6023xe" fillcolor="#ef412c" stroked="f">
              <v:path arrowok="t"/>
            </v:shape>
            <w10:wrap anchorx="page" anchory="page"/>
          </v:group>
        </w:pict>
      </w:r>
    </w:p>
    <w:p w14:paraId="48B7C41A" w14:textId="77777777" w:rsidR="00EF5B27" w:rsidRDefault="00EF5B27">
      <w:pPr>
        <w:pStyle w:val="BodyText"/>
      </w:pPr>
    </w:p>
    <w:p w14:paraId="4CEB04AB" w14:textId="77777777" w:rsidR="00EF5B27" w:rsidRDefault="00EF5B27">
      <w:pPr>
        <w:pStyle w:val="BodyText"/>
      </w:pPr>
    </w:p>
    <w:p w14:paraId="6F1EEB2F" w14:textId="77777777" w:rsidR="00EF5B27" w:rsidRDefault="00EF5B27">
      <w:pPr>
        <w:pStyle w:val="BodyText"/>
        <w:spacing w:before="8"/>
      </w:pPr>
    </w:p>
    <w:p w14:paraId="10316CD4" w14:textId="77777777" w:rsidR="00EF5B27" w:rsidRDefault="00000000">
      <w:pPr>
        <w:pStyle w:val="Heading2"/>
      </w:pPr>
      <w:bookmarkStart w:id="108" w:name="_bookmark71"/>
      <w:bookmarkEnd w:id="108"/>
      <w:r>
        <w:rPr>
          <w:color w:val="F99F2A"/>
          <w:w w:val="105"/>
        </w:rPr>
        <w:t>Appendix 1 – Historical and legislative context</w:t>
      </w:r>
    </w:p>
    <w:p w14:paraId="5328B324" w14:textId="77777777" w:rsidR="00EF5B27" w:rsidRDefault="00EF5B27">
      <w:pPr>
        <w:pStyle w:val="BodyText"/>
        <w:spacing w:before="5"/>
        <w:rPr>
          <w:b/>
          <w:sz w:val="76"/>
        </w:rPr>
      </w:pPr>
    </w:p>
    <w:p w14:paraId="5B6D59C6" w14:textId="77777777" w:rsidR="00EF5B27" w:rsidRDefault="00000000">
      <w:pPr>
        <w:pStyle w:val="Heading3"/>
      </w:pPr>
      <w:r>
        <w:rPr>
          <w:color w:val="F99F2A"/>
        </w:rPr>
        <w:t>Introduction</w:t>
      </w:r>
    </w:p>
    <w:p w14:paraId="0D19D7C6" w14:textId="77777777" w:rsidR="00EF5B27" w:rsidRDefault="00EF5B27">
      <w:pPr>
        <w:pStyle w:val="BodyText"/>
        <w:spacing w:before="5"/>
        <w:rPr>
          <w:b/>
          <w:sz w:val="27"/>
        </w:rPr>
      </w:pPr>
    </w:p>
    <w:p w14:paraId="33778E6A" w14:textId="77777777" w:rsidR="00EF5B27" w:rsidRDefault="00000000">
      <w:pPr>
        <w:pStyle w:val="BodyText"/>
        <w:spacing w:line="254" w:lineRule="auto"/>
        <w:ind w:left="2608" w:right="119"/>
        <w:rPr>
          <w:sz w:val="11"/>
        </w:rPr>
      </w:pPr>
      <w:r>
        <w:rPr>
          <w:color w:val="4D4D4F"/>
        </w:rPr>
        <w:t xml:space="preserve">The Commissioner for Environmental Sustainability has been tasked with preparing </w:t>
      </w:r>
      <w:r>
        <w:rPr>
          <w:color w:val="4D4D4F"/>
          <w:spacing w:val="-6"/>
        </w:rPr>
        <w:t xml:space="preserve">biennial </w:t>
      </w:r>
      <w:r>
        <w:rPr>
          <w:color w:val="4D4D4F"/>
          <w:spacing w:val="-3"/>
        </w:rPr>
        <w:t xml:space="preserve">reports on </w:t>
      </w:r>
      <w:r>
        <w:rPr>
          <w:color w:val="4D4D4F"/>
          <w:spacing w:val="-4"/>
        </w:rPr>
        <w:t xml:space="preserve">the </w:t>
      </w:r>
      <w:r>
        <w:rPr>
          <w:color w:val="4D4D4F"/>
          <w:spacing w:val="-6"/>
        </w:rPr>
        <w:t xml:space="preserve">implementation </w:t>
      </w:r>
      <w:r>
        <w:rPr>
          <w:color w:val="4D4D4F"/>
          <w:spacing w:val="-3"/>
        </w:rPr>
        <w:t xml:space="preserve">of MSA </w:t>
      </w:r>
      <w:r>
        <w:rPr>
          <w:color w:val="4D4D4F"/>
          <w:spacing w:val="-5"/>
        </w:rPr>
        <w:t xml:space="preserve">conservation outcomes. </w:t>
      </w:r>
      <w:r>
        <w:rPr>
          <w:color w:val="4D4D4F"/>
          <w:spacing w:val="-3"/>
        </w:rPr>
        <w:t xml:space="preserve">The </w:t>
      </w:r>
      <w:r>
        <w:rPr>
          <w:color w:val="4D4D4F"/>
          <w:spacing w:val="-6"/>
        </w:rPr>
        <w:t xml:space="preserve">Commissioner’s </w:t>
      </w:r>
      <w:r>
        <w:rPr>
          <w:color w:val="4D4D4F"/>
        </w:rPr>
        <w:t xml:space="preserve">function is stipulated under the CES Act as: </w:t>
      </w:r>
      <w:r>
        <w:rPr>
          <w:color w:val="4D4D4F"/>
          <w:spacing w:val="-3"/>
        </w:rPr>
        <w:t xml:space="preserve">‘8(b) </w:t>
      </w:r>
      <w:r>
        <w:rPr>
          <w:color w:val="4D4D4F"/>
        </w:rPr>
        <w:t xml:space="preserve">conduct, once every 2 years, strategic audits </w:t>
      </w:r>
      <w:r>
        <w:rPr>
          <w:color w:val="4D4D4F"/>
          <w:spacing w:val="-3"/>
        </w:rPr>
        <w:t xml:space="preserve">of, </w:t>
      </w:r>
      <w:r>
        <w:rPr>
          <w:color w:val="4D4D4F"/>
        </w:rPr>
        <w:t xml:space="preserve">and prepare reports on, the implementation of – </w:t>
      </w:r>
      <w:r>
        <w:rPr>
          <w:color w:val="4D4D4F"/>
          <w:spacing w:val="-5"/>
        </w:rPr>
        <w:t xml:space="preserve">(ii) </w:t>
      </w:r>
      <w:r>
        <w:rPr>
          <w:color w:val="4D4D4F"/>
        </w:rPr>
        <w:t xml:space="preserve">the MSA conservation outcomes by the Secretary to the Department of Environment, Land, Water and Planning </w:t>
      </w:r>
      <w:r>
        <w:rPr>
          <w:color w:val="4D4D4F"/>
          <w:spacing w:val="-3"/>
        </w:rPr>
        <w:t>(DELWP).’</w:t>
      </w:r>
      <w:r>
        <w:rPr>
          <w:color w:val="4D4D4F"/>
          <w:spacing w:val="-3"/>
          <w:position w:val="7"/>
          <w:sz w:val="11"/>
        </w:rPr>
        <w:t>281</w:t>
      </w:r>
    </w:p>
    <w:p w14:paraId="0C9F36ED" w14:textId="77777777" w:rsidR="00EF5B27" w:rsidRDefault="00EF5B27">
      <w:pPr>
        <w:pStyle w:val="BodyText"/>
        <w:spacing w:before="9"/>
        <w:rPr>
          <w:sz w:val="28"/>
        </w:rPr>
      </w:pPr>
    </w:p>
    <w:p w14:paraId="530AE156" w14:textId="77777777" w:rsidR="00EF5B27" w:rsidRDefault="00000000">
      <w:pPr>
        <w:pStyle w:val="Heading3"/>
        <w:ind w:right="715"/>
      </w:pPr>
      <w:r>
        <w:rPr>
          <w:color w:val="F99F2A"/>
        </w:rPr>
        <w:t>Background on the Melbourne Strategic Assessment (MSA) program</w:t>
      </w:r>
    </w:p>
    <w:p w14:paraId="637385C5" w14:textId="77777777" w:rsidR="00EF5B27" w:rsidRDefault="00000000">
      <w:pPr>
        <w:pStyle w:val="BodyText"/>
        <w:spacing w:before="220" w:line="254" w:lineRule="auto"/>
        <w:ind w:left="2608" w:right="264"/>
      </w:pPr>
      <w:r>
        <w:rPr>
          <w:color w:val="4D4D4F"/>
          <w:spacing w:val="-7"/>
          <w:w w:val="105"/>
        </w:rPr>
        <w:t>To</w:t>
      </w:r>
      <w:r>
        <w:rPr>
          <w:color w:val="4D4D4F"/>
          <w:spacing w:val="-26"/>
          <w:w w:val="105"/>
        </w:rPr>
        <w:t xml:space="preserve"> </w:t>
      </w:r>
      <w:r>
        <w:rPr>
          <w:color w:val="4D4D4F"/>
          <w:w w:val="105"/>
        </w:rPr>
        <w:t>accommodate</w:t>
      </w:r>
      <w:r>
        <w:rPr>
          <w:color w:val="4D4D4F"/>
          <w:spacing w:val="-25"/>
          <w:w w:val="105"/>
        </w:rPr>
        <w:t xml:space="preserve"> </w:t>
      </w:r>
      <w:r>
        <w:rPr>
          <w:color w:val="4D4D4F"/>
          <w:w w:val="105"/>
        </w:rPr>
        <w:t>Melbourne’s</w:t>
      </w:r>
      <w:r>
        <w:rPr>
          <w:color w:val="4D4D4F"/>
          <w:spacing w:val="-25"/>
          <w:w w:val="105"/>
        </w:rPr>
        <w:t xml:space="preserve"> </w:t>
      </w:r>
      <w:r>
        <w:rPr>
          <w:color w:val="4D4D4F"/>
          <w:w w:val="105"/>
        </w:rPr>
        <w:t>future</w:t>
      </w:r>
      <w:r>
        <w:rPr>
          <w:color w:val="4D4D4F"/>
          <w:spacing w:val="-25"/>
          <w:w w:val="105"/>
        </w:rPr>
        <w:t xml:space="preserve"> </w:t>
      </w:r>
      <w:r>
        <w:rPr>
          <w:color w:val="4D4D4F"/>
          <w:w w:val="105"/>
        </w:rPr>
        <w:t>population</w:t>
      </w:r>
      <w:r>
        <w:rPr>
          <w:color w:val="4D4D4F"/>
          <w:spacing w:val="-25"/>
          <w:w w:val="105"/>
        </w:rPr>
        <w:t xml:space="preserve"> </w:t>
      </w:r>
      <w:r>
        <w:rPr>
          <w:color w:val="4D4D4F"/>
          <w:w w:val="105"/>
        </w:rPr>
        <w:t>growth</w:t>
      </w:r>
      <w:r>
        <w:rPr>
          <w:color w:val="4D4D4F"/>
          <w:spacing w:val="-25"/>
          <w:w w:val="105"/>
        </w:rPr>
        <w:t xml:space="preserve"> </w:t>
      </w:r>
      <w:r>
        <w:rPr>
          <w:color w:val="4D4D4F"/>
          <w:w w:val="105"/>
        </w:rPr>
        <w:t>and</w:t>
      </w:r>
      <w:r>
        <w:rPr>
          <w:color w:val="4D4D4F"/>
          <w:spacing w:val="-25"/>
          <w:w w:val="105"/>
        </w:rPr>
        <w:t xml:space="preserve"> </w:t>
      </w:r>
      <w:r>
        <w:rPr>
          <w:color w:val="4D4D4F"/>
          <w:w w:val="105"/>
        </w:rPr>
        <w:t>urban</w:t>
      </w:r>
      <w:r>
        <w:rPr>
          <w:color w:val="4D4D4F"/>
          <w:spacing w:val="-25"/>
          <w:w w:val="105"/>
        </w:rPr>
        <w:t xml:space="preserve"> </w:t>
      </w:r>
      <w:r>
        <w:rPr>
          <w:color w:val="4D4D4F"/>
          <w:w w:val="105"/>
        </w:rPr>
        <w:t>expansion,</w:t>
      </w:r>
      <w:r>
        <w:rPr>
          <w:color w:val="4D4D4F"/>
          <w:spacing w:val="-25"/>
          <w:w w:val="105"/>
        </w:rPr>
        <w:t xml:space="preserve"> </w:t>
      </w:r>
      <w:r>
        <w:rPr>
          <w:color w:val="4D4D4F"/>
          <w:w w:val="105"/>
        </w:rPr>
        <w:t>four growth</w:t>
      </w:r>
      <w:r>
        <w:rPr>
          <w:color w:val="4D4D4F"/>
          <w:spacing w:val="-22"/>
          <w:w w:val="105"/>
        </w:rPr>
        <w:t xml:space="preserve"> </w:t>
      </w:r>
      <w:r>
        <w:rPr>
          <w:color w:val="4D4D4F"/>
          <w:w w:val="105"/>
        </w:rPr>
        <w:t>areas</w:t>
      </w:r>
      <w:r>
        <w:rPr>
          <w:color w:val="4D4D4F"/>
          <w:spacing w:val="-22"/>
          <w:w w:val="105"/>
        </w:rPr>
        <w:t xml:space="preserve"> </w:t>
      </w:r>
      <w:r>
        <w:rPr>
          <w:color w:val="4D4D4F"/>
          <w:w w:val="105"/>
        </w:rPr>
        <w:t>were</w:t>
      </w:r>
      <w:r>
        <w:rPr>
          <w:color w:val="4D4D4F"/>
          <w:spacing w:val="-22"/>
          <w:w w:val="105"/>
        </w:rPr>
        <w:t xml:space="preserve"> </w:t>
      </w:r>
      <w:r>
        <w:rPr>
          <w:color w:val="4D4D4F"/>
          <w:w w:val="105"/>
        </w:rPr>
        <w:t>planned</w:t>
      </w:r>
      <w:r>
        <w:rPr>
          <w:color w:val="4D4D4F"/>
          <w:spacing w:val="-22"/>
          <w:w w:val="105"/>
        </w:rPr>
        <w:t xml:space="preserve"> </w:t>
      </w:r>
      <w:r>
        <w:rPr>
          <w:color w:val="4D4D4F"/>
          <w:w w:val="105"/>
        </w:rPr>
        <w:t>to</w:t>
      </w:r>
      <w:r>
        <w:rPr>
          <w:color w:val="4D4D4F"/>
          <w:spacing w:val="-21"/>
          <w:w w:val="105"/>
        </w:rPr>
        <w:t xml:space="preserve"> </w:t>
      </w:r>
      <w:r>
        <w:rPr>
          <w:color w:val="4D4D4F"/>
          <w:w w:val="105"/>
        </w:rPr>
        <w:t>cover</w:t>
      </w:r>
      <w:r>
        <w:rPr>
          <w:color w:val="4D4D4F"/>
          <w:spacing w:val="-22"/>
          <w:w w:val="105"/>
        </w:rPr>
        <w:t xml:space="preserve"> </w:t>
      </w:r>
      <w:r>
        <w:rPr>
          <w:color w:val="4D4D4F"/>
          <w:w w:val="105"/>
        </w:rPr>
        <w:t>60,000</w:t>
      </w:r>
      <w:r>
        <w:rPr>
          <w:color w:val="4D4D4F"/>
          <w:spacing w:val="-22"/>
          <w:w w:val="105"/>
        </w:rPr>
        <w:t xml:space="preserve"> </w:t>
      </w:r>
      <w:r>
        <w:rPr>
          <w:color w:val="4D4D4F"/>
          <w:w w:val="105"/>
        </w:rPr>
        <w:t>ha</w:t>
      </w:r>
      <w:r>
        <w:rPr>
          <w:color w:val="4D4D4F"/>
          <w:spacing w:val="-22"/>
          <w:w w:val="105"/>
        </w:rPr>
        <w:t xml:space="preserve"> </w:t>
      </w:r>
      <w:r>
        <w:rPr>
          <w:color w:val="4D4D4F"/>
          <w:w w:val="105"/>
        </w:rPr>
        <w:t>under</w:t>
      </w:r>
      <w:r>
        <w:rPr>
          <w:color w:val="4D4D4F"/>
          <w:spacing w:val="-21"/>
          <w:w w:val="105"/>
        </w:rPr>
        <w:t xml:space="preserve"> </w:t>
      </w:r>
      <w:r>
        <w:rPr>
          <w:color w:val="4D4D4F"/>
          <w:w w:val="105"/>
        </w:rPr>
        <w:t>the</w:t>
      </w:r>
      <w:r>
        <w:rPr>
          <w:color w:val="4D4D4F"/>
          <w:spacing w:val="-22"/>
          <w:w w:val="105"/>
        </w:rPr>
        <w:t xml:space="preserve"> </w:t>
      </w:r>
      <w:r>
        <w:rPr>
          <w:color w:val="4D4D4F"/>
          <w:w w:val="105"/>
        </w:rPr>
        <w:t>Victorian</w:t>
      </w:r>
      <w:r>
        <w:rPr>
          <w:color w:val="4D4D4F"/>
          <w:spacing w:val="-22"/>
          <w:w w:val="105"/>
        </w:rPr>
        <w:t xml:space="preserve"> </w:t>
      </w:r>
      <w:r>
        <w:rPr>
          <w:color w:val="4D4D4F"/>
          <w:w w:val="105"/>
        </w:rPr>
        <w:t>government</w:t>
      </w:r>
      <w:r>
        <w:rPr>
          <w:color w:val="4D4D4F"/>
          <w:spacing w:val="-22"/>
          <w:w w:val="105"/>
        </w:rPr>
        <w:t xml:space="preserve"> </w:t>
      </w:r>
      <w:r>
        <w:rPr>
          <w:color w:val="4D4D4F"/>
          <w:w w:val="105"/>
        </w:rPr>
        <w:t xml:space="preserve">MSA program </w:t>
      </w:r>
      <w:r>
        <w:rPr>
          <w:rFonts w:ascii="Arial Narrow" w:hAnsi="Arial Narrow"/>
          <w:i/>
          <w:color w:val="4D4D4F"/>
          <w:spacing w:val="-3"/>
          <w:w w:val="105"/>
        </w:rPr>
        <w:t xml:space="preserve">Delivering </w:t>
      </w:r>
      <w:r>
        <w:rPr>
          <w:rFonts w:ascii="Arial Narrow" w:hAnsi="Arial Narrow"/>
          <w:i/>
          <w:color w:val="4D4D4F"/>
          <w:w w:val="105"/>
        </w:rPr>
        <w:t xml:space="preserve">Melbourne’s Newest </w:t>
      </w:r>
      <w:r>
        <w:rPr>
          <w:rFonts w:ascii="Arial Narrow" w:hAnsi="Arial Narrow"/>
          <w:i/>
          <w:color w:val="4D4D4F"/>
          <w:spacing w:val="-3"/>
          <w:w w:val="105"/>
        </w:rPr>
        <w:t xml:space="preserve">Sustainable </w:t>
      </w:r>
      <w:r>
        <w:rPr>
          <w:rFonts w:ascii="Arial Narrow" w:hAnsi="Arial Narrow"/>
          <w:i/>
          <w:color w:val="4D4D4F"/>
          <w:w w:val="105"/>
        </w:rPr>
        <w:t xml:space="preserve">Communities. </w:t>
      </w:r>
      <w:r>
        <w:rPr>
          <w:color w:val="4D4D4F"/>
          <w:w w:val="105"/>
          <w:position w:val="7"/>
          <w:sz w:val="11"/>
        </w:rPr>
        <w:t xml:space="preserve">282 </w:t>
      </w:r>
      <w:r>
        <w:rPr>
          <w:color w:val="4D4D4F"/>
          <w:w w:val="105"/>
        </w:rPr>
        <w:t>These growth areas</w:t>
      </w:r>
      <w:r>
        <w:rPr>
          <w:color w:val="4D4D4F"/>
          <w:spacing w:val="-19"/>
          <w:w w:val="105"/>
        </w:rPr>
        <w:t xml:space="preserve"> </w:t>
      </w:r>
      <w:r>
        <w:rPr>
          <w:color w:val="4D4D4F"/>
          <w:w w:val="105"/>
        </w:rPr>
        <w:t>included</w:t>
      </w:r>
      <w:r>
        <w:rPr>
          <w:color w:val="4D4D4F"/>
          <w:spacing w:val="-19"/>
          <w:w w:val="105"/>
        </w:rPr>
        <w:t xml:space="preserve"> </w:t>
      </w:r>
      <w:r>
        <w:rPr>
          <w:color w:val="4D4D4F"/>
          <w:w w:val="105"/>
        </w:rPr>
        <w:t>several</w:t>
      </w:r>
      <w:r>
        <w:rPr>
          <w:color w:val="4D4D4F"/>
          <w:spacing w:val="-19"/>
          <w:w w:val="105"/>
        </w:rPr>
        <w:t xml:space="preserve"> </w:t>
      </w:r>
      <w:r>
        <w:rPr>
          <w:color w:val="4D4D4F"/>
          <w:w w:val="105"/>
        </w:rPr>
        <w:t>state</w:t>
      </w:r>
      <w:r>
        <w:rPr>
          <w:color w:val="4D4D4F"/>
          <w:spacing w:val="-19"/>
          <w:w w:val="105"/>
        </w:rPr>
        <w:t xml:space="preserve"> </w:t>
      </w:r>
      <w:r>
        <w:rPr>
          <w:color w:val="4D4D4F"/>
          <w:w w:val="105"/>
        </w:rPr>
        <w:t>and</w:t>
      </w:r>
      <w:r>
        <w:rPr>
          <w:color w:val="4D4D4F"/>
          <w:spacing w:val="-18"/>
          <w:w w:val="105"/>
        </w:rPr>
        <w:t xml:space="preserve"> </w:t>
      </w:r>
      <w:r>
        <w:rPr>
          <w:color w:val="4D4D4F"/>
          <w:w w:val="105"/>
        </w:rPr>
        <w:t>nationally</w:t>
      </w:r>
      <w:r>
        <w:rPr>
          <w:color w:val="4D4D4F"/>
          <w:spacing w:val="-19"/>
          <w:w w:val="105"/>
        </w:rPr>
        <w:t xml:space="preserve"> </w:t>
      </w:r>
      <w:r>
        <w:rPr>
          <w:color w:val="4D4D4F"/>
          <w:w w:val="105"/>
        </w:rPr>
        <w:t>listed</w:t>
      </w:r>
      <w:r>
        <w:rPr>
          <w:color w:val="4D4D4F"/>
          <w:spacing w:val="-19"/>
          <w:w w:val="105"/>
        </w:rPr>
        <w:t xml:space="preserve"> </w:t>
      </w:r>
      <w:r>
        <w:rPr>
          <w:color w:val="4D4D4F"/>
          <w:w w:val="105"/>
        </w:rPr>
        <w:t>biodiversity</w:t>
      </w:r>
      <w:r>
        <w:rPr>
          <w:color w:val="4D4D4F"/>
          <w:spacing w:val="-19"/>
          <w:w w:val="105"/>
        </w:rPr>
        <w:t xml:space="preserve"> </w:t>
      </w:r>
      <w:r>
        <w:rPr>
          <w:color w:val="4D4D4F"/>
          <w:w w:val="105"/>
        </w:rPr>
        <w:t>values</w:t>
      </w:r>
      <w:r>
        <w:rPr>
          <w:color w:val="4D4D4F"/>
          <w:spacing w:val="-18"/>
          <w:w w:val="105"/>
        </w:rPr>
        <w:t xml:space="preserve"> </w:t>
      </w:r>
      <w:r>
        <w:rPr>
          <w:color w:val="4D4D4F"/>
          <w:w w:val="105"/>
        </w:rPr>
        <w:t>which</w:t>
      </w:r>
      <w:r>
        <w:rPr>
          <w:color w:val="4D4D4F"/>
          <w:spacing w:val="-19"/>
          <w:w w:val="105"/>
        </w:rPr>
        <w:t xml:space="preserve"> </w:t>
      </w:r>
      <w:r>
        <w:rPr>
          <w:color w:val="4D4D4F"/>
          <w:w w:val="105"/>
        </w:rPr>
        <w:t>triggered requirements</w:t>
      </w:r>
      <w:r>
        <w:rPr>
          <w:color w:val="4D4D4F"/>
          <w:spacing w:val="-23"/>
          <w:w w:val="105"/>
        </w:rPr>
        <w:t xml:space="preserve"> </w:t>
      </w:r>
      <w:r>
        <w:rPr>
          <w:color w:val="4D4D4F"/>
          <w:w w:val="105"/>
        </w:rPr>
        <w:t>to</w:t>
      </w:r>
      <w:r>
        <w:rPr>
          <w:color w:val="4D4D4F"/>
          <w:spacing w:val="-23"/>
          <w:w w:val="105"/>
        </w:rPr>
        <w:t xml:space="preserve"> </w:t>
      </w:r>
      <w:r>
        <w:rPr>
          <w:color w:val="4D4D4F"/>
          <w:w w:val="105"/>
        </w:rPr>
        <w:t>address</w:t>
      </w:r>
      <w:r>
        <w:rPr>
          <w:color w:val="4D4D4F"/>
          <w:spacing w:val="-22"/>
          <w:w w:val="105"/>
        </w:rPr>
        <w:t xml:space="preserve"> </w:t>
      </w:r>
      <w:r>
        <w:rPr>
          <w:color w:val="4D4D4F"/>
          <w:w w:val="105"/>
        </w:rPr>
        <w:t>potential</w:t>
      </w:r>
      <w:r>
        <w:rPr>
          <w:color w:val="4D4D4F"/>
          <w:spacing w:val="-23"/>
          <w:w w:val="105"/>
        </w:rPr>
        <w:t xml:space="preserve"> </w:t>
      </w:r>
      <w:r>
        <w:rPr>
          <w:color w:val="4D4D4F"/>
          <w:w w:val="105"/>
        </w:rPr>
        <w:t>impacts</w:t>
      </w:r>
      <w:r>
        <w:rPr>
          <w:color w:val="4D4D4F"/>
          <w:spacing w:val="-22"/>
          <w:w w:val="105"/>
        </w:rPr>
        <w:t xml:space="preserve"> </w:t>
      </w:r>
      <w:r>
        <w:rPr>
          <w:color w:val="4D4D4F"/>
          <w:w w:val="105"/>
        </w:rPr>
        <w:t>on</w:t>
      </w:r>
      <w:r>
        <w:rPr>
          <w:color w:val="4D4D4F"/>
          <w:spacing w:val="-23"/>
          <w:w w:val="105"/>
        </w:rPr>
        <w:t xml:space="preserve"> </w:t>
      </w:r>
      <w:r>
        <w:rPr>
          <w:color w:val="4D4D4F"/>
          <w:w w:val="105"/>
        </w:rPr>
        <w:t>these</w:t>
      </w:r>
      <w:r>
        <w:rPr>
          <w:color w:val="4D4D4F"/>
          <w:spacing w:val="-23"/>
          <w:w w:val="105"/>
        </w:rPr>
        <w:t xml:space="preserve"> </w:t>
      </w:r>
      <w:r>
        <w:rPr>
          <w:color w:val="4D4D4F"/>
          <w:w w:val="105"/>
        </w:rPr>
        <w:t>species</w:t>
      </w:r>
      <w:r>
        <w:rPr>
          <w:color w:val="4D4D4F"/>
          <w:spacing w:val="-22"/>
          <w:w w:val="105"/>
        </w:rPr>
        <w:t xml:space="preserve"> </w:t>
      </w:r>
      <w:r>
        <w:rPr>
          <w:color w:val="4D4D4F"/>
          <w:w w:val="105"/>
        </w:rPr>
        <w:t>and</w:t>
      </w:r>
      <w:r>
        <w:rPr>
          <w:color w:val="4D4D4F"/>
          <w:spacing w:val="-23"/>
          <w:w w:val="105"/>
        </w:rPr>
        <w:t xml:space="preserve"> </w:t>
      </w:r>
      <w:r>
        <w:rPr>
          <w:color w:val="4D4D4F"/>
          <w:w w:val="105"/>
        </w:rPr>
        <w:t>communities</w:t>
      </w:r>
      <w:r>
        <w:rPr>
          <w:color w:val="4D4D4F"/>
          <w:spacing w:val="-22"/>
          <w:w w:val="105"/>
        </w:rPr>
        <w:t xml:space="preserve"> </w:t>
      </w:r>
      <w:r>
        <w:rPr>
          <w:color w:val="4D4D4F"/>
          <w:w w:val="105"/>
        </w:rPr>
        <w:t>under proposed</w:t>
      </w:r>
      <w:r>
        <w:rPr>
          <w:color w:val="4D4D4F"/>
          <w:spacing w:val="1"/>
          <w:w w:val="105"/>
        </w:rPr>
        <w:t xml:space="preserve"> </w:t>
      </w:r>
      <w:r>
        <w:rPr>
          <w:color w:val="4D4D4F"/>
          <w:w w:val="105"/>
        </w:rPr>
        <w:t>plans.</w:t>
      </w:r>
    </w:p>
    <w:p w14:paraId="61DFB520" w14:textId="77777777" w:rsidR="00EF5B27" w:rsidRDefault="00000000">
      <w:pPr>
        <w:pStyle w:val="BodyText"/>
        <w:spacing w:before="120" w:line="254" w:lineRule="auto"/>
        <w:ind w:left="2608"/>
      </w:pPr>
      <w:r>
        <w:rPr>
          <w:color w:val="4D4D4F"/>
        </w:rPr>
        <w:t>DELWP opted to undertake a strategic assessment,</w:t>
      </w:r>
      <w:r>
        <w:rPr>
          <w:color w:val="4D4D4F"/>
          <w:position w:val="7"/>
          <w:sz w:val="11"/>
        </w:rPr>
        <w:t xml:space="preserve">283 </w:t>
      </w:r>
      <w:r>
        <w:rPr>
          <w:color w:val="4D4D4F"/>
        </w:rPr>
        <w:t>based on the assumption that it would provide biodiversity gains and cost efficiencies over time. A strategic assessment was intended to enable a consolidated approach to impact assessment, preventing multiple smaller impacts from ‘falling through the cracks’.</w:t>
      </w:r>
      <w:r>
        <w:rPr>
          <w:color w:val="4D4D4F"/>
          <w:position w:val="7"/>
          <w:sz w:val="11"/>
        </w:rPr>
        <w:t xml:space="preserve">284 </w:t>
      </w:r>
      <w:r>
        <w:rPr>
          <w:color w:val="4D4D4F"/>
        </w:rPr>
        <w:t>This involved a streamlined regulatory assessment and approvals process under Commonwealth law, involving:</w:t>
      </w:r>
    </w:p>
    <w:p w14:paraId="5E346F4E" w14:textId="77777777" w:rsidR="00EF5B27" w:rsidRDefault="00000000">
      <w:pPr>
        <w:pStyle w:val="ListParagraph"/>
        <w:numPr>
          <w:ilvl w:val="0"/>
          <w:numId w:val="34"/>
        </w:numPr>
        <w:tabs>
          <w:tab w:val="left" w:pos="2779"/>
        </w:tabs>
        <w:spacing w:before="120"/>
        <w:rPr>
          <w:sz w:val="20"/>
        </w:rPr>
      </w:pPr>
      <w:r>
        <w:rPr>
          <w:color w:val="4D4D4F"/>
          <w:sz w:val="20"/>
        </w:rPr>
        <w:t>a</w:t>
      </w:r>
      <w:r>
        <w:rPr>
          <w:color w:val="4D4D4F"/>
          <w:spacing w:val="5"/>
          <w:sz w:val="20"/>
        </w:rPr>
        <w:t xml:space="preserve"> </w:t>
      </w:r>
      <w:r>
        <w:rPr>
          <w:color w:val="4D4D4F"/>
          <w:sz w:val="20"/>
        </w:rPr>
        <w:t>strategic</w:t>
      </w:r>
      <w:r>
        <w:rPr>
          <w:color w:val="4D4D4F"/>
          <w:spacing w:val="6"/>
          <w:sz w:val="20"/>
        </w:rPr>
        <w:t xml:space="preserve"> </w:t>
      </w:r>
      <w:r>
        <w:rPr>
          <w:color w:val="4D4D4F"/>
          <w:sz w:val="20"/>
        </w:rPr>
        <w:t>assessment</w:t>
      </w:r>
      <w:r>
        <w:rPr>
          <w:color w:val="4D4D4F"/>
          <w:spacing w:val="6"/>
          <w:sz w:val="20"/>
        </w:rPr>
        <w:t xml:space="preserve"> </w:t>
      </w:r>
      <w:r>
        <w:rPr>
          <w:color w:val="4D4D4F"/>
          <w:sz w:val="20"/>
        </w:rPr>
        <w:t>of</w:t>
      </w:r>
      <w:r>
        <w:rPr>
          <w:color w:val="4D4D4F"/>
          <w:spacing w:val="6"/>
          <w:sz w:val="20"/>
        </w:rPr>
        <w:t xml:space="preserve"> </w:t>
      </w:r>
      <w:r>
        <w:rPr>
          <w:color w:val="4D4D4F"/>
          <w:sz w:val="20"/>
        </w:rPr>
        <w:t>all</w:t>
      </w:r>
      <w:r>
        <w:rPr>
          <w:color w:val="4D4D4F"/>
          <w:spacing w:val="6"/>
          <w:sz w:val="20"/>
        </w:rPr>
        <w:t xml:space="preserve"> </w:t>
      </w:r>
      <w:r>
        <w:rPr>
          <w:color w:val="4D4D4F"/>
          <w:sz w:val="20"/>
        </w:rPr>
        <w:t>biodiversity</w:t>
      </w:r>
      <w:r>
        <w:rPr>
          <w:color w:val="4D4D4F"/>
          <w:spacing w:val="6"/>
          <w:sz w:val="20"/>
        </w:rPr>
        <w:t xml:space="preserve"> </w:t>
      </w:r>
      <w:r>
        <w:rPr>
          <w:color w:val="4D4D4F"/>
          <w:sz w:val="20"/>
        </w:rPr>
        <w:t>values</w:t>
      </w:r>
      <w:r>
        <w:rPr>
          <w:color w:val="4D4D4F"/>
          <w:spacing w:val="6"/>
          <w:sz w:val="20"/>
        </w:rPr>
        <w:t xml:space="preserve"> </w:t>
      </w:r>
      <w:r>
        <w:rPr>
          <w:color w:val="4D4D4F"/>
          <w:sz w:val="20"/>
        </w:rPr>
        <w:t>within</w:t>
      </w:r>
      <w:r>
        <w:rPr>
          <w:color w:val="4D4D4F"/>
          <w:spacing w:val="6"/>
          <w:sz w:val="20"/>
        </w:rPr>
        <w:t xml:space="preserve"> </w:t>
      </w:r>
      <w:r>
        <w:rPr>
          <w:color w:val="4D4D4F"/>
          <w:sz w:val="20"/>
        </w:rPr>
        <w:t>a</w:t>
      </w:r>
      <w:r>
        <w:rPr>
          <w:color w:val="4D4D4F"/>
          <w:spacing w:val="6"/>
          <w:sz w:val="20"/>
        </w:rPr>
        <w:t xml:space="preserve"> </w:t>
      </w:r>
      <w:r>
        <w:rPr>
          <w:color w:val="4D4D4F"/>
          <w:sz w:val="20"/>
        </w:rPr>
        <w:t>set</w:t>
      </w:r>
      <w:r>
        <w:rPr>
          <w:color w:val="4D4D4F"/>
          <w:spacing w:val="6"/>
          <w:sz w:val="20"/>
        </w:rPr>
        <w:t xml:space="preserve"> </w:t>
      </w:r>
      <w:r>
        <w:rPr>
          <w:color w:val="4D4D4F"/>
          <w:sz w:val="20"/>
        </w:rPr>
        <w:t>area</w:t>
      </w:r>
    </w:p>
    <w:p w14:paraId="1C9EE5A5" w14:textId="77777777" w:rsidR="00EF5B27" w:rsidRDefault="00000000">
      <w:pPr>
        <w:pStyle w:val="ListParagraph"/>
        <w:numPr>
          <w:ilvl w:val="0"/>
          <w:numId w:val="34"/>
        </w:numPr>
        <w:tabs>
          <w:tab w:val="left" w:pos="2779"/>
        </w:tabs>
        <w:spacing w:before="129" w:line="254" w:lineRule="auto"/>
        <w:ind w:right="384"/>
        <w:rPr>
          <w:sz w:val="20"/>
        </w:rPr>
      </w:pPr>
      <w:r>
        <w:rPr>
          <w:color w:val="4D4D4F"/>
          <w:sz w:val="20"/>
        </w:rPr>
        <w:t>the creation of a set of requirements that defined which areas were to be avoided (those that are too important to be lost), and which areas could be removed or offset, through combining Commonwealth EPBC Act requirements and Victorian Native Vegetation Clearing</w:t>
      </w:r>
      <w:r>
        <w:rPr>
          <w:color w:val="4D4D4F"/>
          <w:spacing w:val="11"/>
          <w:sz w:val="20"/>
        </w:rPr>
        <w:t xml:space="preserve"> </w:t>
      </w:r>
      <w:r>
        <w:rPr>
          <w:color w:val="4D4D4F"/>
          <w:sz w:val="20"/>
        </w:rPr>
        <w:t>requirements.</w:t>
      </w:r>
    </w:p>
    <w:p w14:paraId="16DCAA69" w14:textId="77777777" w:rsidR="00EF5B27" w:rsidRDefault="00EF5B27">
      <w:pPr>
        <w:pStyle w:val="BodyText"/>
      </w:pPr>
    </w:p>
    <w:p w14:paraId="2A822BDA" w14:textId="77777777" w:rsidR="00EF5B27" w:rsidRDefault="00EF5B27">
      <w:pPr>
        <w:pStyle w:val="BodyText"/>
      </w:pPr>
    </w:p>
    <w:p w14:paraId="5ED91C64" w14:textId="77777777" w:rsidR="00EF5B27" w:rsidRDefault="00EF5B27">
      <w:pPr>
        <w:pStyle w:val="BodyText"/>
      </w:pPr>
    </w:p>
    <w:p w14:paraId="4A230C22" w14:textId="77777777" w:rsidR="00EF5B27" w:rsidRDefault="00EF5B27">
      <w:pPr>
        <w:pStyle w:val="BodyText"/>
      </w:pPr>
    </w:p>
    <w:p w14:paraId="3D954C18" w14:textId="77777777" w:rsidR="00EF5B27" w:rsidRDefault="00EF5B27">
      <w:pPr>
        <w:pStyle w:val="BodyText"/>
      </w:pPr>
    </w:p>
    <w:p w14:paraId="23950319" w14:textId="77777777" w:rsidR="00EF5B27" w:rsidRDefault="00EF5B27">
      <w:pPr>
        <w:pStyle w:val="BodyText"/>
      </w:pPr>
    </w:p>
    <w:p w14:paraId="26A48969" w14:textId="77777777" w:rsidR="00EF5B27" w:rsidRDefault="00EF5B27">
      <w:pPr>
        <w:pStyle w:val="BodyText"/>
      </w:pPr>
    </w:p>
    <w:p w14:paraId="113844E2" w14:textId="77777777" w:rsidR="00EF5B27" w:rsidRDefault="00EF5B27">
      <w:pPr>
        <w:pStyle w:val="BodyText"/>
      </w:pPr>
    </w:p>
    <w:p w14:paraId="36B74D5F" w14:textId="77777777" w:rsidR="00EF5B27" w:rsidRDefault="00EF5B27">
      <w:pPr>
        <w:pStyle w:val="BodyText"/>
      </w:pPr>
    </w:p>
    <w:p w14:paraId="312002FD" w14:textId="77777777" w:rsidR="00EF5B27" w:rsidRDefault="00EF5B27">
      <w:pPr>
        <w:pStyle w:val="BodyText"/>
      </w:pPr>
    </w:p>
    <w:p w14:paraId="341F76B5" w14:textId="77777777" w:rsidR="00EF5B27" w:rsidRDefault="00EF5B27">
      <w:pPr>
        <w:pStyle w:val="BodyText"/>
      </w:pPr>
    </w:p>
    <w:p w14:paraId="3619CC94" w14:textId="77777777" w:rsidR="00EF5B27" w:rsidRDefault="00000000">
      <w:pPr>
        <w:pStyle w:val="BodyText"/>
        <w:spacing w:before="8"/>
        <w:rPr>
          <w:sz w:val="12"/>
        </w:rPr>
      </w:pPr>
      <w:r>
        <w:pict w14:anchorId="589B14FE">
          <v:line id="_x0000_s2675" style="position:absolute;z-index:251652608;mso-wrap-distance-left:0;mso-wrap-distance-right:0;mso-position-horizontal-relative:page" from="181.4pt,9.95pt" to="538.6pt,9.95pt" strokecolor="#4d4d4f" strokeweight=".5pt">
            <w10:wrap type="topAndBottom" anchorx="page"/>
          </v:line>
        </w:pict>
      </w:r>
    </w:p>
    <w:p w14:paraId="16CA26E8" w14:textId="77777777" w:rsidR="00EF5B27" w:rsidRDefault="00000000">
      <w:pPr>
        <w:pStyle w:val="ListParagraph"/>
        <w:numPr>
          <w:ilvl w:val="0"/>
          <w:numId w:val="19"/>
        </w:numPr>
        <w:tabs>
          <w:tab w:val="left" w:pos="2836"/>
        </w:tabs>
        <w:spacing w:before="83" w:line="143" w:lineRule="exact"/>
        <w:rPr>
          <w:sz w:val="12"/>
        </w:rPr>
      </w:pPr>
      <w:r>
        <w:rPr>
          <w:color w:val="4D4D4F"/>
          <w:sz w:val="12"/>
        </w:rPr>
        <w:t>State</w:t>
      </w:r>
      <w:r>
        <w:rPr>
          <w:color w:val="4D4D4F"/>
          <w:spacing w:val="4"/>
          <w:sz w:val="12"/>
        </w:rPr>
        <w:t xml:space="preserve"> </w:t>
      </w:r>
      <w:r>
        <w:rPr>
          <w:color w:val="4D4D4F"/>
          <w:sz w:val="12"/>
        </w:rPr>
        <w:t>Government</w:t>
      </w:r>
      <w:r>
        <w:rPr>
          <w:color w:val="4D4D4F"/>
          <w:spacing w:val="4"/>
          <w:sz w:val="12"/>
        </w:rPr>
        <w:t xml:space="preserve"> </w:t>
      </w:r>
      <w:r>
        <w:rPr>
          <w:color w:val="4D4D4F"/>
          <w:sz w:val="12"/>
        </w:rPr>
        <w:t>of</w:t>
      </w:r>
      <w:r>
        <w:rPr>
          <w:color w:val="4D4D4F"/>
          <w:spacing w:val="4"/>
          <w:sz w:val="12"/>
        </w:rPr>
        <w:t xml:space="preserve"> </w:t>
      </w:r>
      <w:r>
        <w:rPr>
          <w:color w:val="4D4D4F"/>
          <w:sz w:val="12"/>
        </w:rPr>
        <w:t>Victoria</w:t>
      </w:r>
      <w:r>
        <w:rPr>
          <w:color w:val="4D4D4F"/>
          <w:spacing w:val="4"/>
          <w:sz w:val="12"/>
        </w:rPr>
        <w:t xml:space="preserve"> </w:t>
      </w:r>
      <w:r>
        <w:rPr>
          <w:color w:val="4D4D4F"/>
          <w:spacing w:val="3"/>
          <w:sz w:val="12"/>
        </w:rPr>
        <w:t>2003,</w:t>
      </w:r>
      <w:r>
        <w:rPr>
          <w:color w:val="4D4D4F"/>
          <w:spacing w:val="4"/>
          <w:sz w:val="12"/>
        </w:rPr>
        <w:t xml:space="preserve"> </w:t>
      </w:r>
      <w:r>
        <w:rPr>
          <w:color w:val="4D4D4F"/>
          <w:sz w:val="12"/>
        </w:rPr>
        <w:t>‘Commissioner</w:t>
      </w:r>
      <w:r>
        <w:rPr>
          <w:color w:val="4D4D4F"/>
          <w:spacing w:val="4"/>
          <w:sz w:val="12"/>
        </w:rPr>
        <w:t xml:space="preserve"> </w:t>
      </w:r>
      <w:r>
        <w:rPr>
          <w:color w:val="4D4D4F"/>
          <w:sz w:val="12"/>
        </w:rPr>
        <w:t>for</w:t>
      </w:r>
      <w:r>
        <w:rPr>
          <w:color w:val="4D4D4F"/>
          <w:spacing w:val="4"/>
          <w:sz w:val="12"/>
        </w:rPr>
        <w:t xml:space="preserve"> </w:t>
      </w:r>
      <w:r>
        <w:rPr>
          <w:color w:val="4D4D4F"/>
          <w:sz w:val="12"/>
        </w:rPr>
        <w:t>Environmental</w:t>
      </w:r>
      <w:r>
        <w:rPr>
          <w:color w:val="4D4D4F"/>
          <w:spacing w:val="4"/>
          <w:sz w:val="12"/>
        </w:rPr>
        <w:t xml:space="preserve"> </w:t>
      </w:r>
      <w:r>
        <w:rPr>
          <w:color w:val="4D4D4F"/>
          <w:sz w:val="12"/>
        </w:rPr>
        <w:t>Sustainability</w:t>
      </w:r>
      <w:r>
        <w:rPr>
          <w:color w:val="4D4D4F"/>
          <w:spacing w:val="4"/>
          <w:sz w:val="12"/>
        </w:rPr>
        <w:t xml:space="preserve"> </w:t>
      </w:r>
      <w:r>
        <w:rPr>
          <w:color w:val="4D4D4F"/>
          <w:spacing w:val="2"/>
          <w:sz w:val="12"/>
        </w:rPr>
        <w:t>Act</w:t>
      </w:r>
      <w:r>
        <w:rPr>
          <w:color w:val="4D4D4F"/>
          <w:spacing w:val="4"/>
          <w:sz w:val="12"/>
        </w:rPr>
        <w:t xml:space="preserve"> </w:t>
      </w:r>
      <w:r>
        <w:rPr>
          <w:color w:val="4D4D4F"/>
          <w:spacing w:val="2"/>
          <w:sz w:val="12"/>
        </w:rPr>
        <w:t>2003’,</w:t>
      </w:r>
      <w:r>
        <w:rPr>
          <w:color w:val="4D4D4F"/>
          <w:spacing w:val="4"/>
          <w:sz w:val="12"/>
        </w:rPr>
        <w:t xml:space="preserve"> </w:t>
      </w:r>
      <w:r>
        <w:rPr>
          <w:color w:val="4D4D4F"/>
          <w:sz w:val="12"/>
        </w:rPr>
        <w:t>Melbourne,</w:t>
      </w:r>
      <w:r>
        <w:rPr>
          <w:color w:val="4D4D4F"/>
          <w:spacing w:val="4"/>
          <w:sz w:val="12"/>
        </w:rPr>
        <w:t xml:space="preserve"> </w:t>
      </w:r>
      <w:r>
        <w:rPr>
          <w:color w:val="4D4D4F"/>
          <w:sz w:val="12"/>
        </w:rPr>
        <w:t>Victoria.</w:t>
      </w:r>
    </w:p>
    <w:p w14:paraId="64433D4A" w14:textId="77777777" w:rsidR="00EF5B27" w:rsidRDefault="00000000">
      <w:pPr>
        <w:pStyle w:val="ListParagraph"/>
        <w:numPr>
          <w:ilvl w:val="0"/>
          <w:numId w:val="19"/>
        </w:numPr>
        <w:tabs>
          <w:tab w:val="left" w:pos="2836"/>
        </w:tabs>
        <w:spacing w:line="140" w:lineRule="exact"/>
        <w:rPr>
          <w:sz w:val="12"/>
        </w:rPr>
      </w:pPr>
      <w:r>
        <w:rPr>
          <w:color w:val="4D4D4F"/>
          <w:sz w:val="12"/>
        </w:rPr>
        <w:t>DEPI</w:t>
      </w:r>
      <w:r>
        <w:rPr>
          <w:color w:val="4D4D4F"/>
          <w:spacing w:val="4"/>
          <w:sz w:val="12"/>
        </w:rPr>
        <w:t xml:space="preserve"> </w:t>
      </w:r>
      <w:r>
        <w:rPr>
          <w:color w:val="4D4D4F"/>
          <w:sz w:val="12"/>
        </w:rPr>
        <w:t>2009,</w:t>
      </w:r>
      <w:r>
        <w:rPr>
          <w:color w:val="4D4D4F"/>
          <w:spacing w:val="5"/>
          <w:sz w:val="12"/>
        </w:rPr>
        <w:t xml:space="preserve"> </w:t>
      </w:r>
      <w:r>
        <w:rPr>
          <w:color w:val="4D4D4F"/>
          <w:sz w:val="12"/>
        </w:rPr>
        <w:t>‘Delivering</w:t>
      </w:r>
      <w:r>
        <w:rPr>
          <w:color w:val="4D4D4F"/>
          <w:spacing w:val="5"/>
          <w:sz w:val="12"/>
        </w:rPr>
        <w:t xml:space="preserve"> </w:t>
      </w:r>
      <w:r>
        <w:rPr>
          <w:color w:val="4D4D4F"/>
          <w:sz w:val="12"/>
        </w:rPr>
        <w:t>Melbourne’s</w:t>
      </w:r>
      <w:r>
        <w:rPr>
          <w:color w:val="4D4D4F"/>
          <w:spacing w:val="5"/>
          <w:sz w:val="12"/>
        </w:rPr>
        <w:t xml:space="preserve"> </w:t>
      </w:r>
      <w:r>
        <w:rPr>
          <w:color w:val="4D4D4F"/>
          <w:sz w:val="12"/>
        </w:rPr>
        <w:t>Newest</w:t>
      </w:r>
      <w:r>
        <w:rPr>
          <w:color w:val="4D4D4F"/>
          <w:spacing w:val="5"/>
          <w:sz w:val="12"/>
        </w:rPr>
        <w:t xml:space="preserve"> </w:t>
      </w:r>
      <w:r>
        <w:rPr>
          <w:color w:val="4D4D4F"/>
          <w:sz w:val="12"/>
        </w:rPr>
        <w:t>Sustainable</w:t>
      </w:r>
      <w:r>
        <w:rPr>
          <w:color w:val="4D4D4F"/>
          <w:spacing w:val="5"/>
          <w:sz w:val="12"/>
        </w:rPr>
        <w:t xml:space="preserve"> </w:t>
      </w:r>
      <w:r>
        <w:rPr>
          <w:color w:val="4D4D4F"/>
          <w:sz w:val="12"/>
        </w:rPr>
        <w:t>Communities:</w:t>
      </w:r>
      <w:r>
        <w:rPr>
          <w:color w:val="4D4D4F"/>
          <w:spacing w:val="5"/>
          <w:sz w:val="12"/>
        </w:rPr>
        <w:t xml:space="preserve"> </w:t>
      </w:r>
      <w:r>
        <w:rPr>
          <w:color w:val="4D4D4F"/>
          <w:spacing w:val="2"/>
          <w:sz w:val="12"/>
        </w:rPr>
        <w:t>Program</w:t>
      </w:r>
      <w:r>
        <w:rPr>
          <w:color w:val="4D4D4F"/>
          <w:spacing w:val="4"/>
          <w:sz w:val="12"/>
        </w:rPr>
        <w:t xml:space="preserve"> </w:t>
      </w:r>
      <w:r>
        <w:rPr>
          <w:color w:val="4D4D4F"/>
          <w:sz w:val="12"/>
        </w:rPr>
        <w:t>Report’,</w:t>
      </w:r>
      <w:r>
        <w:rPr>
          <w:color w:val="4D4D4F"/>
          <w:spacing w:val="5"/>
          <w:sz w:val="12"/>
        </w:rPr>
        <w:t xml:space="preserve"> </w:t>
      </w:r>
      <w:r>
        <w:rPr>
          <w:color w:val="4D4D4F"/>
          <w:sz w:val="12"/>
        </w:rPr>
        <w:t>East</w:t>
      </w:r>
      <w:r>
        <w:rPr>
          <w:color w:val="4D4D4F"/>
          <w:spacing w:val="5"/>
          <w:sz w:val="12"/>
        </w:rPr>
        <w:t xml:space="preserve"> </w:t>
      </w:r>
      <w:r>
        <w:rPr>
          <w:color w:val="4D4D4F"/>
          <w:sz w:val="12"/>
        </w:rPr>
        <w:t>Melbourne,</w:t>
      </w:r>
      <w:r>
        <w:rPr>
          <w:color w:val="4D4D4F"/>
          <w:spacing w:val="5"/>
          <w:sz w:val="12"/>
        </w:rPr>
        <w:t xml:space="preserve"> </w:t>
      </w:r>
      <w:r>
        <w:rPr>
          <w:color w:val="4D4D4F"/>
          <w:sz w:val="12"/>
        </w:rPr>
        <w:t>Victoria.</w:t>
      </w:r>
    </w:p>
    <w:p w14:paraId="029323C4" w14:textId="77777777" w:rsidR="00EF5B27" w:rsidRDefault="00000000">
      <w:pPr>
        <w:pStyle w:val="ListParagraph"/>
        <w:numPr>
          <w:ilvl w:val="0"/>
          <w:numId w:val="19"/>
        </w:numPr>
        <w:tabs>
          <w:tab w:val="left" w:pos="2836"/>
        </w:tabs>
        <w:spacing w:line="140" w:lineRule="exact"/>
        <w:rPr>
          <w:sz w:val="12"/>
        </w:rPr>
      </w:pPr>
      <w:r>
        <w:rPr>
          <w:color w:val="4D4D4F"/>
          <w:sz w:val="12"/>
        </w:rPr>
        <w:t>DEPI</w:t>
      </w:r>
      <w:r>
        <w:rPr>
          <w:color w:val="4D4D4F"/>
          <w:spacing w:val="11"/>
          <w:sz w:val="12"/>
        </w:rPr>
        <w:t xml:space="preserve"> </w:t>
      </w:r>
      <w:r>
        <w:rPr>
          <w:color w:val="4D4D4F"/>
          <w:sz w:val="12"/>
        </w:rPr>
        <w:t>2009,</w:t>
      </w:r>
      <w:r>
        <w:rPr>
          <w:color w:val="4D4D4F"/>
          <w:spacing w:val="11"/>
          <w:sz w:val="12"/>
        </w:rPr>
        <w:t xml:space="preserve"> </w:t>
      </w:r>
      <w:r>
        <w:rPr>
          <w:color w:val="4D4D4F"/>
          <w:sz w:val="12"/>
        </w:rPr>
        <w:t>‘Delivering</w:t>
      </w:r>
      <w:r>
        <w:rPr>
          <w:color w:val="4D4D4F"/>
          <w:spacing w:val="11"/>
          <w:sz w:val="12"/>
        </w:rPr>
        <w:t xml:space="preserve"> </w:t>
      </w:r>
      <w:r>
        <w:rPr>
          <w:color w:val="4D4D4F"/>
          <w:sz w:val="12"/>
        </w:rPr>
        <w:t>Melbourne’s</w:t>
      </w:r>
      <w:r>
        <w:rPr>
          <w:color w:val="4D4D4F"/>
          <w:spacing w:val="12"/>
          <w:sz w:val="12"/>
        </w:rPr>
        <w:t xml:space="preserve"> </w:t>
      </w:r>
      <w:r>
        <w:rPr>
          <w:color w:val="4D4D4F"/>
          <w:sz w:val="12"/>
        </w:rPr>
        <w:t>Newest</w:t>
      </w:r>
      <w:r>
        <w:rPr>
          <w:color w:val="4D4D4F"/>
          <w:spacing w:val="11"/>
          <w:sz w:val="12"/>
        </w:rPr>
        <w:t xml:space="preserve"> </w:t>
      </w:r>
      <w:r>
        <w:rPr>
          <w:color w:val="4D4D4F"/>
          <w:sz w:val="12"/>
        </w:rPr>
        <w:t>Sustainable</w:t>
      </w:r>
      <w:r>
        <w:rPr>
          <w:color w:val="4D4D4F"/>
          <w:spacing w:val="11"/>
          <w:sz w:val="12"/>
        </w:rPr>
        <w:t xml:space="preserve"> </w:t>
      </w:r>
      <w:r>
        <w:rPr>
          <w:color w:val="4D4D4F"/>
          <w:sz w:val="12"/>
        </w:rPr>
        <w:t>Communities:</w:t>
      </w:r>
      <w:r>
        <w:rPr>
          <w:color w:val="4D4D4F"/>
          <w:spacing w:val="12"/>
          <w:sz w:val="12"/>
        </w:rPr>
        <w:t xml:space="preserve"> </w:t>
      </w:r>
      <w:r>
        <w:rPr>
          <w:color w:val="4D4D4F"/>
          <w:sz w:val="12"/>
        </w:rPr>
        <w:t>Strategic</w:t>
      </w:r>
      <w:r>
        <w:rPr>
          <w:color w:val="4D4D4F"/>
          <w:spacing w:val="11"/>
          <w:sz w:val="12"/>
        </w:rPr>
        <w:t xml:space="preserve"> </w:t>
      </w:r>
      <w:r>
        <w:rPr>
          <w:color w:val="4D4D4F"/>
          <w:spacing w:val="2"/>
          <w:sz w:val="12"/>
        </w:rPr>
        <w:t>Impact</w:t>
      </w:r>
      <w:r>
        <w:rPr>
          <w:color w:val="4D4D4F"/>
          <w:spacing w:val="11"/>
          <w:sz w:val="12"/>
        </w:rPr>
        <w:t xml:space="preserve"> </w:t>
      </w:r>
      <w:r>
        <w:rPr>
          <w:color w:val="4D4D4F"/>
          <w:sz w:val="12"/>
        </w:rPr>
        <w:t>Assessment</w:t>
      </w:r>
      <w:r>
        <w:rPr>
          <w:color w:val="4D4D4F"/>
          <w:spacing w:val="11"/>
          <w:sz w:val="12"/>
        </w:rPr>
        <w:t xml:space="preserve"> </w:t>
      </w:r>
      <w:r>
        <w:rPr>
          <w:color w:val="4D4D4F"/>
          <w:sz w:val="12"/>
        </w:rPr>
        <w:t>Report’,</w:t>
      </w:r>
      <w:r>
        <w:rPr>
          <w:color w:val="4D4D4F"/>
          <w:spacing w:val="12"/>
          <w:sz w:val="12"/>
        </w:rPr>
        <w:t xml:space="preserve"> </w:t>
      </w:r>
      <w:r>
        <w:rPr>
          <w:color w:val="4D4D4F"/>
          <w:sz w:val="12"/>
        </w:rPr>
        <w:t>East</w:t>
      </w:r>
      <w:r>
        <w:rPr>
          <w:color w:val="4D4D4F"/>
          <w:spacing w:val="11"/>
          <w:sz w:val="12"/>
        </w:rPr>
        <w:t xml:space="preserve"> </w:t>
      </w:r>
      <w:r>
        <w:rPr>
          <w:color w:val="4D4D4F"/>
          <w:sz w:val="12"/>
        </w:rPr>
        <w:t>Melbourne,</w:t>
      </w:r>
      <w:r>
        <w:rPr>
          <w:color w:val="4D4D4F"/>
          <w:spacing w:val="11"/>
          <w:sz w:val="12"/>
        </w:rPr>
        <w:t xml:space="preserve"> </w:t>
      </w:r>
      <w:r>
        <w:rPr>
          <w:color w:val="4D4D4F"/>
          <w:sz w:val="12"/>
        </w:rPr>
        <w:t>Victoria.</w:t>
      </w:r>
    </w:p>
    <w:p w14:paraId="61CFCE8C" w14:textId="77777777" w:rsidR="00EF5B27" w:rsidRDefault="00000000">
      <w:pPr>
        <w:pStyle w:val="ListParagraph"/>
        <w:numPr>
          <w:ilvl w:val="0"/>
          <w:numId w:val="19"/>
        </w:numPr>
        <w:tabs>
          <w:tab w:val="left" w:pos="2836"/>
        </w:tabs>
        <w:spacing w:line="143" w:lineRule="exact"/>
        <w:rPr>
          <w:sz w:val="12"/>
        </w:rPr>
      </w:pPr>
      <w:r>
        <w:rPr>
          <w:color w:val="4D4D4F"/>
          <w:sz w:val="12"/>
        </w:rPr>
        <w:t>DEPI</w:t>
      </w:r>
      <w:r>
        <w:rPr>
          <w:color w:val="4D4D4F"/>
          <w:spacing w:val="4"/>
          <w:sz w:val="12"/>
        </w:rPr>
        <w:t xml:space="preserve"> </w:t>
      </w:r>
      <w:r>
        <w:rPr>
          <w:color w:val="4D4D4F"/>
          <w:sz w:val="12"/>
        </w:rPr>
        <w:t>2013,</w:t>
      </w:r>
      <w:r>
        <w:rPr>
          <w:color w:val="4D4D4F"/>
          <w:spacing w:val="4"/>
          <w:sz w:val="12"/>
        </w:rPr>
        <w:t xml:space="preserve"> </w:t>
      </w:r>
      <w:r>
        <w:rPr>
          <w:color w:val="4D4D4F"/>
          <w:sz w:val="12"/>
        </w:rPr>
        <w:t>‘Biodiversity</w:t>
      </w:r>
      <w:r>
        <w:rPr>
          <w:color w:val="4D4D4F"/>
          <w:spacing w:val="4"/>
          <w:sz w:val="12"/>
        </w:rPr>
        <w:t xml:space="preserve"> </w:t>
      </w:r>
      <w:r>
        <w:rPr>
          <w:color w:val="4D4D4F"/>
          <w:spacing w:val="2"/>
          <w:sz w:val="12"/>
        </w:rPr>
        <w:t>Conservation</w:t>
      </w:r>
      <w:r>
        <w:rPr>
          <w:color w:val="4D4D4F"/>
          <w:spacing w:val="4"/>
          <w:sz w:val="12"/>
        </w:rPr>
        <w:t xml:space="preserve"> </w:t>
      </w:r>
      <w:r>
        <w:rPr>
          <w:color w:val="4D4D4F"/>
          <w:sz w:val="12"/>
        </w:rPr>
        <w:t>Strategy</w:t>
      </w:r>
      <w:r>
        <w:rPr>
          <w:color w:val="4D4D4F"/>
          <w:spacing w:val="4"/>
          <w:sz w:val="12"/>
        </w:rPr>
        <w:t xml:space="preserve"> </w:t>
      </w:r>
      <w:r>
        <w:rPr>
          <w:color w:val="4D4D4F"/>
          <w:sz w:val="12"/>
        </w:rPr>
        <w:t>for</w:t>
      </w:r>
      <w:r>
        <w:rPr>
          <w:color w:val="4D4D4F"/>
          <w:spacing w:val="5"/>
          <w:sz w:val="12"/>
        </w:rPr>
        <w:t xml:space="preserve"> </w:t>
      </w:r>
      <w:r>
        <w:rPr>
          <w:color w:val="4D4D4F"/>
          <w:sz w:val="12"/>
        </w:rPr>
        <w:t>Melbourne’s</w:t>
      </w:r>
      <w:r>
        <w:rPr>
          <w:color w:val="4D4D4F"/>
          <w:spacing w:val="4"/>
          <w:sz w:val="12"/>
        </w:rPr>
        <w:t xml:space="preserve"> </w:t>
      </w:r>
      <w:r>
        <w:rPr>
          <w:color w:val="4D4D4F"/>
          <w:spacing w:val="2"/>
          <w:sz w:val="12"/>
        </w:rPr>
        <w:t>Growth</w:t>
      </w:r>
      <w:r>
        <w:rPr>
          <w:color w:val="4D4D4F"/>
          <w:spacing w:val="4"/>
          <w:sz w:val="12"/>
        </w:rPr>
        <w:t xml:space="preserve"> </w:t>
      </w:r>
      <w:r>
        <w:rPr>
          <w:color w:val="4D4D4F"/>
          <w:sz w:val="12"/>
        </w:rPr>
        <w:t>Corridors’,</w:t>
      </w:r>
      <w:r>
        <w:rPr>
          <w:color w:val="4D4D4F"/>
          <w:spacing w:val="4"/>
          <w:sz w:val="12"/>
        </w:rPr>
        <w:t xml:space="preserve"> </w:t>
      </w:r>
      <w:r>
        <w:rPr>
          <w:color w:val="4D4D4F"/>
          <w:sz w:val="12"/>
        </w:rPr>
        <w:t>East</w:t>
      </w:r>
      <w:r>
        <w:rPr>
          <w:color w:val="4D4D4F"/>
          <w:spacing w:val="4"/>
          <w:sz w:val="12"/>
        </w:rPr>
        <w:t xml:space="preserve"> </w:t>
      </w:r>
      <w:r>
        <w:rPr>
          <w:color w:val="4D4D4F"/>
          <w:sz w:val="12"/>
        </w:rPr>
        <w:t>Melbourne,</w:t>
      </w:r>
      <w:r>
        <w:rPr>
          <w:color w:val="4D4D4F"/>
          <w:spacing w:val="4"/>
          <w:sz w:val="12"/>
        </w:rPr>
        <w:t xml:space="preserve"> </w:t>
      </w:r>
      <w:r>
        <w:rPr>
          <w:color w:val="4D4D4F"/>
          <w:sz w:val="12"/>
        </w:rPr>
        <w:t>Victoria.</w:t>
      </w:r>
    </w:p>
    <w:p w14:paraId="7C33C17A"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68925663" w14:textId="77777777" w:rsidR="00EF5B27" w:rsidRDefault="00000000">
      <w:pPr>
        <w:pStyle w:val="BodyText"/>
      </w:pPr>
      <w:r>
        <w:lastRenderedPageBreak/>
        <w:pict w14:anchorId="50813E25">
          <v:group id="_x0000_s2667" style="position:absolute;margin-left:587.05pt;margin-top:183.4pt;width:8.25pt;height:153.1pt;z-index:251737600;mso-position-horizontal-relative:page;mso-position-vertical-relative:page" coordorigin="11741,3668" coordsize="165,3062">
            <v:shape id="_x0000_s2674" style="position:absolute;left:11741;top:3668;width:165;height:561" coordorigin="11741,3668" coordsize="165,561" path="m11906,3668r-165,l11741,4228r165,-18l11906,3668xe" fillcolor="#00aed9" stroked="f">
              <v:path arrowok="t"/>
            </v:shape>
            <v:shape id="_x0000_s2673" style="position:absolute;left:11741;top:4118;width:165;height:425" coordorigin="11741,4118" coordsize="165,425" path="m11906,4118r-165,14l11741,4531r165,12l11906,4118xe" fillcolor="#047ebc" stroked="f">
              <v:path arrowok="t"/>
            </v:shape>
            <v:shape id="_x0000_s2672" type="#_x0000_t75" style="position:absolute;left:11741;top:4355;width:165;height:587">
              <v:imagedata r:id="rId42" o:title=""/>
            </v:shape>
            <v:shape id="_x0000_s2671" style="position:absolute;left:11741;top:5343;width:165;height:536" coordorigin="11741,5343" coordsize="165,536" path="m11741,5343r,535l11906,5872r,-525l11741,5343xe" fillcolor="#f36a2e" stroked="f">
              <v:path arrowok="t"/>
            </v:shape>
            <v:shape id="_x0000_s2670" style="position:absolute;left:11741;top:4925;width:165;height:501" coordorigin="11741,4926" coordsize="165,501" path="m11741,4926r,500l11906,5426r,-485l11741,4926xe" fillcolor="#49783f" stroked="f">
              <v:path arrowok="t"/>
            </v:shape>
            <v:shape id="_x0000_s2669" style="position:absolute;left:11741;top:5781;width:165;height:268" coordorigin="11741,5782" coordsize="165,268" path="m11906,5782r-165,8l11741,6039r165,10l11906,5782xe" fillcolor="#f99f2a" stroked="f">
              <v:path arrowok="t"/>
            </v:shape>
            <v:shape id="_x0000_s2668" style="position:absolute;left:11741;top:6023;width:165;height:707" coordorigin="11741,6023" coordsize="165,707" path="m11741,6023r,706l11906,6729r,-690l11741,6023xe" fillcolor="#ef412c" stroked="f">
              <v:path arrowok="t"/>
            </v:shape>
            <w10:wrap anchorx="page" anchory="page"/>
          </v:group>
        </w:pict>
      </w:r>
    </w:p>
    <w:p w14:paraId="5108F18D" w14:textId="77777777" w:rsidR="00EF5B27" w:rsidRDefault="00EF5B27">
      <w:pPr>
        <w:pStyle w:val="BodyText"/>
      </w:pPr>
    </w:p>
    <w:p w14:paraId="5F27830A" w14:textId="77777777" w:rsidR="00EF5B27" w:rsidRDefault="00EF5B27">
      <w:pPr>
        <w:pStyle w:val="BodyText"/>
      </w:pPr>
    </w:p>
    <w:p w14:paraId="09DB0827" w14:textId="77777777" w:rsidR="00EF5B27" w:rsidRDefault="00EF5B27">
      <w:pPr>
        <w:pStyle w:val="BodyText"/>
        <w:spacing w:before="4"/>
        <w:rPr>
          <w:sz w:val="25"/>
        </w:rPr>
      </w:pPr>
    </w:p>
    <w:p w14:paraId="32D47AC3" w14:textId="77777777" w:rsidR="00EF5B27" w:rsidRDefault="00000000">
      <w:pPr>
        <w:pStyle w:val="BodyText"/>
        <w:spacing w:before="100" w:line="254" w:lineRule="auto"/>
        <w:ind w:left="2608" w:right="221"/>
      </w:pPr>
      <w:r>
        <w:rPr>
          <w:color w:val="4D4D4F"/>
        </w:rPr>
        <w:t>DELWP is obligated to fulfill the requirements of the Commonwealth-approved MSA program</w:t>
      </w:r>
      <w:r>
        <w:rPr>
          <w:color w:val="4D4D4F"/>
          <w:position w:val="7"/>
          <w:sz w:val="11"/>
        </w:rPr>
        <w:t xml:space="preserve">285 </w:t>
      </w:r>
      <w:r>
        <w:rPr>
          <w:color w:val="4D4D4F"/>
        </w:rPr>
        <w:t>and Biodiversity Conservation Strategy</w:t>
      </w:r>
      <w:r>
        <w:rPr>
          <w:color w:val="4D4D4F"/>
          <w:position w:val="7"/>
          <w:sz w:val="11"/>
        </w:rPr>
        <w:t xml:space="preserve">286 </w:t>
      </w:r>
      <w:r>
        <w:rPr>
          <w:color w:val="4D4D4F"/>
        </w:rPr>
        <w:t>(BCS). These requirements are based on timestamped native vegetation datasets and values assessments performed in the original 2010 strategic assessment, and include:</w:t>
      </w:r>
    </w:p>
    <w:p w14:paraId="1C766654" w14:textId="77777777" w:rsidR="00EF5B27" w:rsidRDefault="00000000">
      <w:pPr>
        <w:pStyle w:val="ListParagraph"/>
        <w:numPr>
          <w:ilvl w:val="0"/>
          <w:numId w:val="34"/>
        </w:numPr>
        <w:tabs>
          <w:tab w:val="left" w:pos="2779"/>
        </w:tabs>
        <w:spacing w:before="119" w:line="254" w:lineRule="auto"/>
        <w:ind w:right="1169"/>
        <w:rPr>
          <w:sz w:val="20"/>
        </w:rPr>
      </w:pPr>
      <w:r>
        <w:rPr>
          <w:color w:val="4D4D4F"/>
          <w:sz w:val="20"/>
        </w:rPr>
        <w:t xml:space="preserve">defined areas </w:t>
      </w:r>
      <w:r>
        <w:rPr>
          <w:color w:val="4D4D4F"/>
          <w:spacing w:val="-4"/>
          <w:sz w:val="20"/>
        </w:rPr>
        <w:t xml:space="preserve">(as </w:t>
      </w:r>
      <w:r>
        <w:rPr>
          <w:color w:val="4D4D4F"/>
          <w:sz w:val="20"/>
        </w:rPr>
        <w:t>defined by the BCS) of high biodiversity value in which environmental impacts must be avoided (not be developed</w:t>
      </w:r>
      <w:r>
        <w:rPr>
          <w:color w:val="4D4D4F"/>
          <w:spacing w:val="20"/>
          <w:sz w:val="20"/>
        </w:rPr>
        <w:t xml:space="preserve"> </w:t>
      </w:r>
      <w:r>
        <w:rPr>
          <w:color w:val="4D4D4F"/>
          <w:spacing w:val="-3"/>
          <w:sz w:val="20"/>
        </w:rPr>
        <w:t>on)</w:t>
      </w:r>
    </w:p>
    <w:p w14:paraId="0540760B" w14:textId="77777777" w:rsidR="00EF5B27" w:rsidRDefault="00000000">
      <w:pPr>
        <w:pStyle w:val="ListParagraph"/>
        <w:numPr>
          <w:ilvl w:val="0"/>
          <w:numId w:val="34"/>
        </w:numPr>
        <w:tabs>
          <w:tab w:val="left" w:pos="2779"/>
        </w:tabs>
        <w:spacing w:before="116" w:line="254" w:lineRule="auto"/>
        <w:ind w:right="884"/>
        <w:rPr>
          <w:sz w:val="20"/>
        </w:rPr>
      </w:pPr>
      <w:r>
        <w:rPr>
          <w:color w:val="4D4D4F"/>
          <w:sz w:val="20"/>
        </w:rPr>
        <w:t>defined areas in which environmental impacts are minimised through close regulation during precinct structure</w:t>
      </w:r>
      <w:r>
        <w:rPr>
          <w:color w:val="4D4D4F"/>
          <w:spacing w:val="20"/>
          <w:sz w:val="20"/>
        </w:rPr>
        <w:t xml:space="preserve"> </w:t>
      </w:r>
      <w:r>
        <w:rPr>
          <w:color w:val="4D4D4F"/>
          <w:sz w:val="20"/>
        </w:rPr>
        <w:t>planning</w:t>
      </w:r>
    </w:p>
    <w:p w14:paraId="14FD2917" w14:textId="77777777" w:rsidR="00EF5B27" w:rsidRDefault="00000000">
      <w:pPr>
        <w:pStyle w:val="ListParagraph"/>
        <w:numPr>
          <w:ilvl w:val="0"/>
          <w:numId w:val="34"/>
        </w:numPr>
        <w:tabs>
          <w:tab w:val="left" w:pos="2779"/>
        </w:tabs>
        <w:spacing w:before="115"/>
        <w:rPr>
          <w:sz w:val="20"/>
        </w:rPr>
      </w:pPr>
      <w:r>
        <w:rPr>
          <w:color w:val="4D4D4F"/>
          <w:sz w:val="20"/>
        </w:rPr>
        <w:t>defined areas of low biodiversity value that can be cleared and</w:t>
      </w:r>
      <w:r>
        <w:rPr>
          <w:color w:val="4D4D4F"/>
          <w:spacing w:val="43"/>
          <w:sz w:val="20"/>
        </w:rPr>
        <w:t xml:space="preserve"> </w:t>
      </w:r>
      <w:r>
        <w:rPr>
          <w:color w:val="4D4D4F"/>
          <w:sz w:val="20"/>
        </w:rPr>
        <w:t>offset</w:t>
      </w:r>
    </w:p>
    <w:p w14:paraId="4F1E0775" w14:textId="77777777" w:rsidR="00EF5B27" w:rsidRDefault="00000000">
      <w:pPr>
        <w:pStyle w:val="ListParagraph"/>
        <w:numPr>
          <w:ilvl w:val="0"/>
          <w:numId w:val="34"/>
        </w:numPr>
        <w:tabs>
          <w:tab w:val="left" w:pos="2779"/>
        </w:tabs>
        <w:spacing w:before="130" w:line="254" w:lineRule="auto"/>
        <w:ind w:right="789"/>
        <w:jc w:val="both"/>
        <w:rPr>
          <w:sz w:val="20"/>
        </w:rPr>
      </w:pPr>
      <w:r>
        <w:rPr>
          <w:color w:val="4D4D4F"/>
          <w:sz w:val="20"/>
        </w:rPr>
        <w:t>the application of consolidated levy fees which developers pay the Victorian Government. The Government uses this revenue to buy and manage land on developers’</w:t>
      </w:r>
      <w:r>
        <w:rPr>
          <w:color w:val="4D4D4F"/>
          <w:spacing w:val="3"/>
          <w:sz w:val="20"/>
        </w:rPr>
        <w:t xml:space="preserve"> </w:t>
      </w:r>
      <w:r>
        <w:rPr>
          <w:color w:val="4D4D4F"/>
          <w:sz w:val="20"/>
        </w:rPr>
        <w:t>behalf.</w:t>
      </w:r>
    </w:p>
    <w:p w14:paraId="4E1104DF" w14:textId="77777777" w:rsidR="00EF5B27" w:rsidRDefault="00000000">
      <w:pPr>
        <w:pStyle w:val="BodyText"/>
        <w:spacing w:before="117" w:line="254" w:lineRule="auto"/>
        <w:ind w:left="2608" w:right="134"/>
      </w:pPr>
      <w:r>
        <w:rPr>
          <w:color w:val="4D4D4F"/>
        </w:rPr>
        <w:t>The MSA program’s strategic biodiversity offsetting program was established to   ensure NNL was achieved for biodiversity throughout implementation of Growth Area Framework</w:t>
      </w:r>
      <w:r>
        <w:rPr>
          <w:color w:val="4D4D4F"/>
          <w:spacing w:val="6"/>
        </w:rPr>
        <w:t xml:space="preserve"> </w:t>
      </w:r>
      <w:r>
        <w:rPr>
          <w:color w:val="4D4D4F"/>
        </w:rPr>
        <w:t>Plans.</w:t>
      </w:r>
      <w:r>
        <w:rPr>
          <w:color w:val="4D4D4F"/>
          <w:spacing w:val="6"/>
        </w:rPr>
        <w:t xml:space="preserve"> </w:t>
      </w:r>
      <w:r>
        <w:rPr>
          <w:color w:val="4D4D4F"/>
        </w:rPr>
        <w:t>Major</w:t>
      </w:r>
      <w:r>
        <w:rPr>
          <w:color w:val="4D4D4F"/>
          <w:spacing w:val="6"/>
        </w:rPr>
        <w:t xml:space="preserve"> </w:t>
      </w:r>
      <w:r>
        <w:rPr>
          <w:color w:val="4D4D4F"/>
        </w:rPr>
        <w:t>offsets</w:t>
      </w:r>
      <w:r>
        <w:rPr>
          <w:color w:val="4D4D4F"/>
          <w:spacing w:val="6"/>
        </w:rPr>
        <w:t xml:space="preserve"> </w:t>
      </w:r>
      <w:r>
        <w:rPr>
          <w:color w:val="4D4D4F"/>
        </w:rPr>
        <w:t>under</w:t>
      </w:r>
      <w:r>
        <w:rPr>
          <w:color w:val="4D4D4F"/>
          <w:spacing w:val="7"/>
        </w:rPr>
        <w:t xml:space="preserve"> </w:t>
      </w:r>
      <w:r>
        <w:rPr>
          <w:color w:val="4D4D4F"/>
        </w:rPr>
        <w:t>the</w:t>
      </w:r>
      <w:r>
        <w:rPr>
          <w:color w:val="4D4D4F"/>
          <w:spacing w:val="6"/>
        </w:rPr>
        <w:t xml:space="preserve"> </w:t>
      </w:r>
      <w:r>
        <w:rPr>
          <w:color w:val="4D4D4F"/>
        </w:rPr>
        <w:t>MSA</w:t>
      </w:r>
      <w:r>
        <w:rPr>
          <w:color w:val="4D4D4F"/>
          <w:spacing w:val="6"/>
        </w:rPr>
        <w:t xml:space="preserve"> </w:t>
      </w:r>
      <w:r>
        <w:rPr>
          <w:color w:val="4D4D4F"/>
        </w:rPr>
        <w:t>program</w:t>
      </w:r>
      <w:r>
        <w:rPr>
          <w:color w:val="4D4D4F"/>
          <w:spacing w:val="6"/>
        </w:rPr>
        <w:t xml:space="preserve"> </w:t>
      </w:r>
      <w:r>
        <w:rPr>
          <w:color w:val="4D4D4F"/>
        </w:rPr>
        <w:t>include</w:t>
      </w:r>
      <w:r>
        <w:rPr>
          <w:color w:val="4D4D4F"/>
          <w:spacing w:val="6"/>
        </w:rPr>
        <w:t xml:space="preserve"> </w:t>
      </w:r>
      <w:r>
        <w:rPr>
          <w:color w:val="4D4D4F"/>
        </w:rPr>
        <w:t>the</w:t>
      </w:r>
      <w:r>
        <w:rPr>
          <w:color w:val="4D4D4F"/>
          <w:spacing w:val="7"/>
        </w:rPr>
        <w:t xml:space="preserve"> </w:t>
      </w:r>
      <w:r>
        <w:rPr>
          <w:color w:val="4D4D4F"/>
        </w:rPr>
        <w:t>establishment</w:t>
      </w:r>
      <w:r>
        <w:rPr>
          <w:color w:val="4D4D4F"/>
          <w:spacing w:val="6"/>
        </w:rPr>
        <w:t xml:space="preserve"> </w:t>
      </w:r>
      <w:r>
        <w:rPr>
          <w:color w:val="4D4D4F"/>
        </w:rPr>
        <w:t>of:</w:t>
      </w:r>
    </w:p>
    <w:p w14:paraId="7DF4B207" w14:textId="77777777" w:rsidR="00EF5B27" w:rsidRDefault="00000000">
      <w:pPr>
        <w:pStyle w:val="ListParagraph"/>
        <w:numPr>
          <w:ilvl w:val="0"/>
          <w:numId w:val="34"/>
        </w:numPr>
        <w:tabs>
          <w:tab w:val="left" w:pos="2779"/>
        </w:tabs>
        <w:spacing w:before="117"/>
        <w:rPr>
          <w:sz w:val="20"/>
        </w:rPr>
      </w:pPr>
      <w:r>
        <w:rPr>
          <w:color w:val="4D4D4F"/>
          <w:sz w:val="20"/>
        </w:rPr>
        <w:t>A 15,000 ha Western Grassland Reserve near</w:t>
      </w:r>
      <w:r>
        <w:rPr>
          <w:color w:val="4D4D4F"/>
          <w:spacing w:val="32"/>
          <w:sz w:val="20"/>
        </w:rPr>
        <w:t xml:space="preserve"> </w:t>
      </w:r>
      <w:r>
        <w:rPr>
          <w:color w:val="4D4D4F"/>
          <w:sz w:val="20"/>
        </w:rPr>
        <w:t>Werribee</w:t>
      </w:r>
    </w:p>
    <w:p w14:paraId="2F5EC0A3" w14:textId="77777777" w:rsidR="00EF5B27" w:rsidRDefault="00000000">
      <w:pPr>
        <w:pStyle w:val="ListParagraph"/>
        <w:numPr>
          <w:ilvl w:val="0"/>
          <w:numId w:val="34"/>
        </w:numPr>
        <w:tabs>
          <w:tab w:val="left" w:pos="2779"/>
        </w:tabs>
        <w:spacing w:before="129"/>
        <w:rPr>
          <w:sz w:val="20"/>
        </w:rPr>
      </w:pPr>
      <w:r>
        <w:rPr>
          <w:color w:val="4D4D4F"/>
          <w:sz w:val="20"/>
        </w:rPr>
        <w:t>A 1,200 ha Grassy Eucalypt Woodland protected area near</w:t>
      </w:r>
      <w:r>
        <w:rPr>
          <w:color w:val="4D4D4F"/>
          <w:spacing w:val="33"/>
          <w:sz w:val="20"/>
        </w:rPr>
        <w:t xml:space="preserve"> </w:t>
      </w:r>
      <w:r>
        <w:rPr>
          <w:color w:val="4D4D4F"/>
          <w:sz w:val="20"/>
        </w:rPr>
        <w:t>Whittlesea</w:t>
      </w:r>
    </w:p>
    <w:p w14:paraId="6110FE10" w14:textId="77777777" w:rsidR="00EF5B27" w:rsidRDefault="00000000">
      <w:pPr>
        <w:pStyle w:val="ListParagraph"/>
        <w:numPr>
          <w:ilvl w:val="0"/>
          <w:numId w:val="34"/>
        </w:numPr>
        <w:tabs>
          <w:tab w:val="left" w:pos="2779"/>
        </w:tabs>
        <w:spacing w:before="129"/>
        <w:rPr>
          <w:sz w:val="20"/>
        </w:rPr>
      </w:pPr>
      <w:r>
        <w:rPr>
          <w:color w:val="4D4D4F"/>
          <w:sz w:val="20"/>
        </w:rPr>
        <w:t xml:space="preserve">4,000 ha of reserve, across 36 </w:t>
      </w:r>
      <w:r>
        <w:rPr>
          <w:color w:val="4D4D4F"/>
          <w:spacing w:val="-3"/>
          <w:sz w:val="20"/>
        </w:rPr>
        <w:t xml:space="preserve">Conservation </w:t>
      </w:r>
      <w:r>
        <w:rPr>
          <w:color w:val="4D4D4F"/>
          <w:sz w:val="20"/>
        </w:rPr>
        <w:t xml:space="preserve">Areas, </w:t>
      </w:r>
      <w:r>
        <w:rPr>
          <w:color w:val="4D4D4F"/>
          <w:spacing w:val="-4"/>
          <w:sz w:val="20"/>
        </w:rPr>
        <w:t xml:space="preserve">within </w:t>
      </w:r>
      <w:r>
        <w:rPr>
          <w:color w:val="4D4D4F"/>
          <w:sz w:val="20"/>
        </w:rPr>
        <w:t xml:space="preserve">new </w:t>
      </w:r>
      <w:r>
        <w:rPr>
          <w:color w:val="4D4D4F"/>
          <w:spacing w:val="-3"/>
          <w:sz w:val="20"/>
        </w:rPr>
        <w:t xml:space="preserve">suburbs </w:t>
      </w:r>
      <w:r>
        <w:rPr>
          <w:color w:val="4D4D4F"/>
          <w:spacing w:val="-4"/>
          <w:sz w:val="20"/>
        </w:rPr>
        <w:t xml:space="preserve">inside </w:t>
      </w:r>
      <w:r>
        <w:rPr>
          <w:color w:val="4D4D4F"/>
          <w:spacing w:val="-3"/>
          <w:sz w:val="20"/>
        </w:rPr>
        <w:t>the</w:t>
      </w:r>
      <w:r>
        <w:rPr>
          <w:color w:val="4D4D4F"/>
          <w:spacing w:val="6"/>
          <w:sz w:val="20"/>
        </w:rPr>
        <w:t xml:space="preserve"> </w:t>
      </w:r>
      <w:r>
        <w:rPr>
          <w:color w:val="4D4D4F"/>
          <w:spacing w:val="-3"/>
          <w:sz w:val="20"/>
        </w:rPr>
        <w:t>UGB.</w:t>
      </w:r>
    </w:p>
    <w:p w14:paraId="63EF8546" w14:textId="77777777" w:rsidR="00EF5B27" w:rsidRDefault="00000000">
      <w:pPr>
        <w:pStyle w:val="BodyText"/>
        <w:spacing w:before="129" w:line="254" w:lineRule="auto"/>
        <w:ind w:left="2608" w:right="112"/>
      </w:pPr>
      <w:r>
        <w:rPr>
          <w:color w:val="4D4D4F"/>
        </w:rPr>
        <w:t xml:space="preserve">The MSA program’s scope also included objectives and actions to enable protection of areas supporting functioning and </w:t>
      </w:r>
      <w:r>
        <w:rPr>
          <w:color w:val="4D4D4F"/>
          <w:spacing w:val="-3"/>
        </w:rPr>
        <w:t xml:space="preserve">sustainable </w:t>
      </w:r>
      <w:r>
        <w:rPr>
          <w:color w:val="4D4D4F"/>
        </w:rPr>
        <w:t>populations of the Growling Grass Frog and the Southern Brown Bandicoot, among several other important biodiversity</w:t>
      </w:r>
      <w:r>
        <w:rPr>
          <w:color w:val="4D4D4F"/>
          <w:spacing w:val="5"/>
        </w:rPr>
        <w:t xml:space="preserve"> </w:t>
      </w:r>
      <w:r>
        <w:rPr>
          <w:color w:val="4D4D4F"/>
        </w:rPr>
        <w:t>values.</w:t>
      </w:r>
    </w:p>
    <w:p w14:paraId="76D8C9FC" w14:textId="77777777" w:rsidR="00EF5B27" w:rsidRDefault="00000000">
      <w:pPr>
        <w:pStyle w:val="BodyText"/>
        <w:spacing w:before="117" w:line="254" w:lineRule="auto"/>
        <w:ind w:left="2608" w:right="308"/>
      </w:pPr>
      <w:r>
        <w:rPr>
          <w:color w:val="4D4D4F"/>
        </w:rPr>
        <w:t xml:space="preserve">Under the MSA program, the Victorian government committed to establishing a Natural Temperate Grassland reserve as an offset by 2022, via acquisition through   use of a </w:t>
      </w:r>
      <w:r>
        <w:rPr>
          <w:color w:val="4D4D4F"/>
          <w:spacing w:val="-3"/>
        </w:rPr>
        <w:t xml:space="preserve">PAO. </w:t>
      </w:r>
      <w:r>
        <w:rPr>
          <w:color w:val="4D4D4F"/>
        </w:rPr>
        <w:t xml:space="preserve">A </w:t>
      </w:r>
      <w:r>
        <w:rPr>
          <w:color w:val="4D4D4F"/>
          <w:spacing w:val="-3"/>
        </w:rPr>
        <w:t xml:space="preserve">PAO </w:t>
      </w:r>
      <w:r>
        <w:rPr>
          <w:color w:val="4D4D4F"/>
        </w:rPr>
        <w:t>is a planning mechanism that is used by the government to earmark areas for protection through planning scheme amendments on Crown land. The government also committed to establishing a Grassy Eucalypt Woodland reserve as an offset by</w:t>
      </w:r>
      <w:r>
        <w:rPr>
          <w:color w:val="4D4D4F"/>
          <w:spacing w:val="15"/>
        </w:rPr>
        <w:t xml:space="preserve"> </w:t>
      </w:r>
      <w:r>
        <w:rPr>
          <w:color w:val="4D4D4F"/>
        </w:rPr>
        <w:t>2020.</w:t>
      </w:r>
    </w:p>
    <w:p w14:paraId="75C9B68A" w14:textId="77777777" w:rsidR="00EF5B27" w:rsidRDefault="00000000">
      <w:pPr>
        <w:pStyle w:val="BodyText"/>
        <w:spacing w:before="121" w:line="254" w:lineRule="auto"/>
        <w:ind w:left="2608" w:right="221"/>
      </w:pPr>
      <w:r>
        <w:rPr>
          <w:color w:val="4D4D4F"/>
        </w:rPr>
        <w:t>Natural Temperate Grassland used to be widespread across the Victorian Volcanic Plain, in the state’s south-west. While these grasslands once covered over a third of the state, they are now small and fragmented. They are considered two of Victoria’s most important and biodiverse ecological communities.</w:t>
      </w:r>
    </w:p>
    <w:p w14:paraId="566CBED9" w14:textId="77777777" w:rsidR="00EF5B27" w:rsidRDefault="00000000">
      <w:pPr>
        <w:pStyle w:val="BodyText"/>
        <w:spacing w:before="118" w:line="254" w:lineRule="auto"/>
        <w:ind w:left="2608" w:right="151"/>
      </w:pPr>
      <w:r>
        <w:rPr>
          <w:color w:val="4D4D4F"/>
        </w:rPr>
        <w:t>In June 2008 and June 2009, the Australian Government listed Natural Temperate Grassland and Grassy Eucalypt Woodland respectively as critically endangered under the Environment Protection and Biodiversity Conservation Act 1999 (EPBC Act).</w:t>
      </w:r>
    </w:p>
    <w:p w14:paraId="24E26845" w14:textId="77777777" w:rsidR="00EF5B27" w:rsidRDefault="00000000">
      <w:pPr>
        <w:pStyle w:val="Heading3"/>
        <w:spacing w:before="121"/>
      </w:pPr>
      <w:r>
        <w:rPr>
          <w:color w:val="F99F2A"/>
        </w:rPr>
        <w:t>The MSA program’s conservation commitments</w:t>
      </w:r>
    </w:p>
    <w:p w14:paraId="1CC6E5F3" w14:textId="77777777" w:rsidR="00EF5B27" w:rsidRDefault="00000000">
      <w:pPr>
        <w:pStyle w:val="BodyText"/>
        <w:spacing w:before="108" w:line="254" w:lineRule="auto"/>
        <w:ind w:left="2608" w:right="308"/>
      </w:pPr>
      <w:r>
        <w:rPr>
          <w:color w:val="4D4D4F"/>
        </w:rPr>
        <w:t>Along with the MSA Program Report, DELWP’s MSA Biodiversity Conservation Strategy (BCS)</w:t>
      </w:r>
      <w:r>
        <w:rPr>
          <w:color w:val="4D4D4F"/>
          <w:position w:val="7"/>
          <w:sz w:val="11"/>
        </w:rPr>
        <w:t xml:space="preserve">287 </w:t>
      </w:r>
      <w:r>
        <w:rPr>
          <w:color w:val="4D4D4F"/>
        </w:rPr>
        <w:t>and Sub Regional Species Strategies were the initial documents approved by the Commonwealth Government to define conservation objectives for MNES under MSA management.</w:t>
      </w:r>
    </w:p>
    <w:p w14:paraId="15706EAD" w14:textId="77777777" w:rsidR="00EF5B27" w:rsidRDefault="00EF5B27">
      <w:pPr>
        <w:pStyle w:val="BodyText"/>
      </w:pPr>
    </w:p>
    <w:p w14:paraId="15529CB2" w14:textId="77777777" w:rsidR="00EF5B27" w:rsidRDefault="00000000">
      <w:pPr>
        <w:pStyle w:val="BodyText"/>
        <w:spacing w:before="10"/>
        <w:rPr>
          <w:sz w:val="23"/>
        </w:rPr>
      </w:pPr>
      <w:r>
        <w:pict w14:anchorId="093A0489">
          <v:line id="_x0000_s2666" style="position:absolute;z-index:251653632;mso-wrap-distance-left:0;mso-wrap-distance-right:0;mso-position-horizontal-relative:page" from="181.4pt,16.75pt" to="538.6pt,16.75pt" strokecolor="#4d4d4f" strokeweight=".5pt">
            <w10:wrap type="topAndBottom" anchorx="page"/>
          </v:line>
        </w:pict>
      </w:r>
    </w:p>
    <w:p w14:paraId="1D5214D5" w14:textId="77777777" w:rsidR="00EF5B27" w:rsidRDefault="00000000">
      <w:pPr>
        <w:pStyle w:val="ListParagraph"/>
        <w:numPr>
          <w:ilvl w:val="0"/>
          <w:numId w:val="19"/>
        </w:numPr>
        <w:tabs>
          <w:tab w:val="left" w:pos="2836"/>
        </w:tabs>
        <w:spacing w:before="83" w:line="143" w:lineRule="exact"/>
        <w:rPr>
          <w:sz w:val="12"/>
        </w:rPr>
      </w:pPr>
      <w:r>
        <w:rPr>
          <w:color w:val="4D4D4F"/>
          <w:sz w:val="12"/>
        </w:rPr>
        <w:t>DEPI</w:t>
      </w:r>
      <w:r>
        <w:rPr>
          <w:color w:val="4D4D4F"/>
          <w:spacing w:val="4"/>
          <w:sz w:val="12"/>
        </w:rPr>
        <w:t xml:space="preserve"> </w:t>
      </w:r>
      <w:r>
        <w:rPr>
          <w:color w:val="4D4D4F"/>
          <w:sz w:val="12"/>
        </w:rPr>
        <w:t>2009,</w:t>
      </w:r>
      <w:r>
        <w:rPr>
          <w:color w:val="4D4D4F"/>
          <w:spacing w:val="5"/>
          <w:sz w:val="12"/>
        </w:rPr>
        <w:t xml:space="preserve"> </w:t>
      </w:r>
      <w:r>
        <w:rPr>
          <w:color w:val="4D4D4F"/>
          <w:sz w:val="12"/>
        </w:rPr>
        <w:t>‘Delivering</w:t>
      </w:r>
      <w:r>
        <w:rPr>
          <w:color w:val="4D4D4F"/>
          <w:spacing w:val="5"/>
          <w:sz w:val="12"/>
        </w:rPr>
        <w:t xml:space="preserve"> </w:t>
      </w:r>
      <w:r>
        <w:rPr>
          <w:color w:val="4D4D4F"/>
          <w:sz w:val="12"/>
        </w:rPr>
        <w:t>Melbourne’s</w:t>
      </w:r>
      <w:r>
        <w:rPr>
          <w:color w:val="4D4D4F"/>
          <w:spacing w:val="5"/>
          <w:sz w:val="12"/>
        </w:rPr>
        <w:t xml:space="preserve"> </w:t>
      </w:r>
      <w:r>
        <w:rPr>
          <w:color w:val="4D4D4F"/>
          <w:sz w:val="12"/>
        </w:rPr>
        <w:t>Newest</w:t>
      </w:r>
      <w:r>
        <w:rPr>
          <w:color w:val="4D4D4F"/>
          <w:spacing w:val="5"/>
          <w:sz w:val="12"/>
        </w:rPr>
        <w:t xml:space="preserve"> </w:t>
      </w:r>
      <w:r>
        <w:rPr>
          <w:color w:val="4D4D4F"/>
          <w:sz w:val="12"/>
        </w:rPr>
        <w:t>Sustainable</w:t>
      </w:r>
      <w:r>
        <w:rPr>
          <w:color w:val="4D4D4F"/>
          <w:spacing w:val="5"/>
          <w:sz w:val="12"/>
        </w:rPr>
        <w:t xml:space="preserve"> </w:t>
      </w:r>
      <w:r>
        <w:rPr>
          <w:color w:val="4D4D4F"/>
          <w:sz w:val="12"/>
        </w:rPr>
        <w:t>Communities:</w:t>
      </w:r>
      <w:r>
        <w:rPr>
          <w:color w:val="4D4D4F"/>
          <w:spacing w:val="5"/>
          <w:sz w:val="12"/>
        </w:rPr>
        <w:t xml:space="preserve"> </w:t>
      </w:r>
      <w:r>
        <w:rPr>
          <w:color w:val="4D4D4F"/>
          <w:spacing w:val="2"/>
          <w:sz w:val="12"/>
        </w:rPr>
        <w:t>Program</w:t>
      </w:r>
      <w:r>
        <w:rPr>
          <w:color w:val="4D4D4F"/>
          <w:spacing w:val="4"/>
          <w:sz w:val="12"/>
        </w:rPr>
        <w:t xml:space="preserve"> </w:t>
      </w:r>
      <w:r>
        <w:rPr>
          <w:color w:val="4D4D4F"/>
          <w:sz w:val="12"/>
        </w:rPr>
        <w:t>Report’,</w:t>
      </w:r>
      <w:r>
        <w:rPr>
          <w:color w:val="4D4D4F"/>
          <w:spacing w:val="5"/>
          <w:sz w:val="12"/>
        </w:rPr>
        <w:t xml:space="preserve"> </w:t>
      </w:r>
      <w:r>
        <w:rPr>
          <w:color w:val="4D4D4F"/>
          <w:sz w:val="12"/>
        </w:rPr>
        <w:t>East</w:t>
      </w:r>
      <w:r>
        <w:rPr>
          <w:color w:val="4D4D4F"/>
          <w:spacing w:val="5"/>
          <w:sz w:val="12"/>
        </w:rPr>
        <w:t xml:space="preserve"> </w:t>
      </w:r>
      <w:r>
        <w:rPr>
          <w:color w:val="4D4D4F"/>
          <w:sz w:val="12"/>
        </w:rPr>
        <w:t>Melbourne,</w:t>
      </w:r>
      <w:r>
        <w:rPr>
          <w:color w:val="4D4D4F"/>
          <w:spacing w:val="5"/>
          <w:sz w:val="12"/>
        </w:rPr>
        <w:t xml:space="preserve"> </w:t>
      </w:r>
      <w:r>
        <w:rPr>
          <w:color w:val="4D4D4F"/>
          <w:sz w:val="12"/>
        </w:rPr>
        <w:t>Victoria.</w:t>
      </w:r>
    </w:p>
    <w:p w14:paraId="70F603BF" w14:textId="77777777" w:rsidR="00EF5B27" w:rsidRDefault="00000000">
      <w:pPr>
        <w:pStyle w:val="ListParagraph"/>
        <w:numPr>
          <w:ilvl w:val="0"/>
          <w:numId w:val="19"/>
        </w:numPr>
        <w:tabs>
          <w:tab w:val="left" w:pos="2836"/>
        </w:tabs>
        <w:spacing w:line="140" w:lineRule="exact"/>
        <w:rPr>
          <w:sz w:val="12"/>
        </w:rPr>
      </w:pPr>
      <w:r>
        <w:rPr>
          <w:color w:val="4D4D4F"/>
          <w:sz w:val="12"/>
        </w:rPr>
        <w:t>DEPI</w:t>
      </w:r>
      <w:r>
        <w:rPr>
          <w:color w:val="4D4D4F"/>
          <w:spacing w:val="14"/>
          <w:sz w:val="12"/>
        </w:rPr>
        <w:t xml:space="preserve"> </w:t>
      </w:r>
      <w:r>
        <w:rPr>
          <w:color w:val="4D4D4F"/>
          <w:sz w:val="12"/>
        </w:rPr>
        <w:t>2013,</w:t>
      </w:r>
      <w:r>
        <w:rPr>
          <w:color w:val="4D4D4F"/>
          <w:spacing w:val="15"/>
          <w:sz w:val="12"/>
        </w:rPr>
        <w:t xml:space="preserve"> </w:t>
      </w:r>
      <w:r>
        <w:rPr>
          <w:color w:val="4D4D4F"/>
          <w:sz w:val="12"/>
        </w:rPr>
        <w:t>‘Biodiversity</w:t>
      </w:r>
      <w:r>
        <w:rPr>
          <w:color w:val="4D4D4F"/>
          <w:spacing w:val="15"/>
          <w:sz w:val="12"/>
        </w:rPr>
        <w:t xml:space="preserve"> </w:t>
      </w:r>
      <w:r>
        <w:rPr>
          <w:color w:val="4D4D4F"/>
          <w:spacing w:val="2"/>
          <w:sz w:val="12"/>
        </w:rPr>
        <w:t>Conservation</w:t>
      </w:r>
      <w:r>
        <w:rPr>
          <w:color w:val="4D4D4F"/>
          <w:spacing w:val="14"/>
          <w:sz w:val="12"/>
        </w:rPr>
        <w:t xml:space="preserve"> </w:t>
      </w:r>
      <w:r>
        <w:rPr>
          <w:color w:val="4D4D4F"/>
          <w:sz w:val="12"/>
        </w:rPr>
        <w:t>Strategy</w:t>
      </w:r>
      <w:r>
        <w:rPr>
          <w:color w:val="4D4D4F"/>
          <w:spacing w:val="15"/>
          <w:sz w:val="12"/>
        </w:rPr>
        <w:t xml:space="preserve"> </w:t>
      </w:r>
      <w:r>
        <w:rPr>
          <w:color w:val="4D4D4F"/>
          <w:sz w:val="12"/>
        </w:rPr>
        <w:t>for</w:t>
      </w:r>
      <w:r>
        <w:rPr>
          <w:color w:val="4D4D4F"/>
          <w:spacing w:val="15"/>
          <w:sz w:val="12"/>
        </w:rPr>
        <w:t xml:space="preserve"> </w:t>
      </w:r>
      <w:r>
        <w:rPr>
          <w:color w:val="4D4D4F"/>
          <w:sz w:val="12"/>
        </w:rPr>
        <w:t>Melbourne’s</w:t>
      </w:r>
      <w:r>
        <w:rPr>
          <w:color w:val="4D4D4F"/>
          <w:spacing w:val="15"/>
          <w:sz w:val="12"/>
        </w:rPr>
        <w:t xml:space="preserve"> </w:t>
      </w:r>
      <w:r>
        <w:rPr>
          <w:color w:val="4D4D4F"/>
          <w:spacing w:val="2"/>
          <w:sz w:val="12"/>
        </w:rPr>
        <w:t>Growth</w:t>
      </w:r>
      <w:r>
        <w:rPr>
          <w:color w:val="4D4D4F"/>
          <w:spacing w:val="14"/>
          <w:sz w:val="12"/>
        </w:rPr>
        <w:t xml:space="preserve"> </w:t>
      </w:r>
      <w:r>
        <w:rPr>
          <w:color w:val="4D4D4F"/>
          <w:sz w:val="12"/>
        </w:rPr>
        <w:t>Corridors’,</w:t>
      </w:r>
      <w:r>
        <w:rPr>
          <w:color w:val="4D4D4F"/>
          <w:spacing w:val="15"/>
          <w:sz w:val="12"/>
        </w:rPr>
        <w:t xml:space="preserve"> </w:t>
      </w:r>
      <w:r>
        <w:rPr>
          <w:color w:val="4D4D4F"/>
          <w:sz w:val="12"/>
        </w:rPr>
        <w:t>East</w:t>
      </w:r>
      <w:r>
        <w:rPr>
          <w:color w:val="4D4D4F"/>
          <w:spacing w:val="15"/>
          <w:sz w:val="12"/>
        </w:rPr>
        <w:t xml:space="preserve"> </w:t>
      </w:r>
      <w:r>
        <w:rPr>
          <w:color w:val="4D4D4F"/>
          <w:sz w:val="12"/>
        </w:rPr>
        <w:t>Melbourne,</w:t>
      </w:r>
      <w:r>
        <w:rPr>
          <w:color w:val="4D4D4F"/>
          <w:spacing w:val="15"/>
          <w:sz w:val="12"/>
        </w:rPr>
        <w:t xml:space="preserve"> </w:t>
      </w:r>
      <w:r>
        <w:rPr>
          <w:color w:val="4D4D4F"/>
          <w:sz w:val="12"/>
        </w:rPr>
        <w:t>Victoria.</w:t>
      </w:r>
    </w:p>
    <w:p w14:paraId="28FAA475" w14:textId="77777777" w:rsidR="00EF5B27" w:rsidRDefault="00000000">
      <w:pPr>
        <w:pStyle w:val="ListParagraph"/>
        <w:numPr>
          <w:ilvl w:val="0"/>
          <w:numId w:val="19"/>
        </w:numPr>
        <w:tabs>
          <w:tab w:val="left" w:pos="2836"/>
        </w:tabs>
        <w:spacing w:line="143" w:lineRule="exact"/>
        <w:rPr>
          <w:sz w:val="12"/>
        </w:rPr>
      </w:pPr>
      <w:r>
        <w:rPr>
          <w:color w:val="4D4D4F"/>
          <w:sz w:val="12"/>
        </w:rPr>
        <w:t>DEPI</w:t>
      </w:r>
      <w:r>
        <w:rPr>
          <w:color w:val="4D4D4F"/>
          <w:spacing w:val="14"/>
          <w:sz w:val="12"/>
        </w:rPr>
        <w:t xml:space="preserve"> </w:t>
      </w:r>
      <w:r>
        <w:rPr>
          <w:color w:val="4D4D4F"/>
          <w:sz w:val="12"/>
        </w:rPr>
        <w:t>2013,</w:t>
      </w:r>
      <w:r>
        <w:rPr>
          <w:color w:val="4D4D4F"/>
          <w:spacing w:val="15"/>
          <w:sz w:val="12"/>
        </w:rPr>
        <w:t xml:space="preserve"> </w:t>
      </w:r>
      <w:r>
        <w:rPr>
          <w:color w:val="4D4D4F"/>
          <w:sz w:val="12"/>
        </w:rPr>
        <w:t>‘Biodiversity</w:t>
      </w:r>
      <w:r>
        <w:rPr>
          <w:color w:val="4D4D4F"/>
          <w:spacing w:val="15"/>
          <w:sz w:val="12"/>
        </w:rPr>
        <w:t xml:space="preserve"> </w:t>
      </w:r>
      <w:r>
        <w:rPr>
          <w:color w:val="4D4D4F"/>
          <w:spacing w:val="2"/>
          <w:sz w:val="12"/>
        </w:rPr>
        <w:t>Conservation</w:t>
      </w:r>
      <w:r>
        <w:rPr>
          <w:color w:val="4D4D4F"/>
          <w:spacing w:val="14"/>
          <w:sz w:val="12"/>
        </w:rPr>
        <w:t xml:space="preserve"> </w:t>
      </w:r>
      <w:r>
        <w:rPr>
          <w:color w:val="4D4D4F"/>
          <w:sz w:val="12"/>
        </w:rPr>
        <w:t>Strategy</w:t>
      </w:r>
      <w:r>
        <w:rPr>
          <w:color w:val="4D4D4F"/>
          <w:spacing w:val="15"/>
          <w:sz w:val="12"/>
        </w:rPr>
        <w:t xml:space="preserve"> </w:t>
      </w:r>
      <w:r>
        <w:rPr>
          <w:color w:val="4D4D4F"/>
          <w:sz w:val="12"/>
        </w:rPr>
        <w:t>for</w:t>
      </w:r>
      <w:r>
        <w:rPr>
          <w:color w:val="4D4D4F"/>
          <w:spacing w:val="15"/>
          <w:sz w:val="12"/>
        </w:rPr>
        <w:t xml:space="preserve"> </w:t>
      </w:r>
      <w:r>
        <w:rPr>
          <w:color w:val="4D4D4F"/>
          <w:sz w:val="12"/>
        </w:rPr>
        <w:t>Melbourne’s</w:t>
      </w:r>
      <w:r>
        <w:rPr>
          <w:color w:val="4D4D4F"/>
          <w:spacing w:val="15"/>
          <w:sz w:val="12"/>
        </w:rPr>
        <w:t xml:space="preserve"> </w:t>
      </w:r>
      <w:r>
        <w:rPr>
          <w:color w:val="4D4D4F"/>
          <w:spacing w:val="2"/>
          <w:sz w:val="12"/>
        </w:rPr>
        <w:t>Growth</w:t>
      </w:r>
      <w:r>
        <w:rPr>
          <w:color w:val="4D4D4F"/>
          <w:spacing w:val="14"/>
          <w:sz w:val="12"/>
        </w:rPr>
        <w:t xml:space="preserve"> </w:t>
      </w:r>
      <w:r>
        <w:rPr>
          <w:color w:val="4D4D4F"/>
          <w:sz w:val="12"/>
        </w:rPr>
        <w:t>Corridors’,</w:t>
      </w:r>
      <w:r>
        <w:rPr>
          <w:color w:val="4D4D4F"/>
          <w:spacing w:val="15"/>
          <w:sz w:val="12"/>
        </w:rPr>
        <w:t xml:space="preserve"> </w:t>
      </w:r>
      <w:r>
        <w:rPr>
          <w:color w:val="4D4D4F"/>
          <w:sz w:val="12"/>
        </w:rPr>
        <w:t>East</w:t>
      </w:r>
      <w:r>
        <w:rPr>
          <w:color w:val="4D4D4F"/>
          <w:spacing w:val="15"/>
          <w:sz w:val="12"/>
        </w:rPr>
        <w:t xml:space="preserve"> </w:t>
      </w:r>
      <w:r>
        <w:rPr>
          <w:color w:val="4D4D4F"/>
          <w:sz w:val="12"/>
        </w:rPr>
        <w:t>Melbourne,</w:t>
      </w:r>
      <w:r>
        <w:rPr>
          <w:color w:val="4D4D4F"/>
          <w:spacing w:val="15"/>
          <w:sz w:val="12"/>
        </w:rPr>
        <w:t xml:space="preserve"> </w:t>
      </w:r>
      <w:r>
        <w:rPr>
          <w:color w:val="4D4D4F"/>
          <w:sz w:val="12"/>
        </w:rPr>
        <w:t>Victoria.</w:t>
      </w:r>
    </w:p>
    <w:p w14:paraId="3283EFE6"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0A972AC4" w14:textId="77777777" w:rsidR="00EF5B27" w:rsidRDefault="00000000">
      <w:pPr>
        <w:pStyle w:val="BodyText"/>
      </w:pPr>
      <w:r>
        <w:lastRenderedPageBreak/>
        <w:pict w14:anchorId="11CCAF40">
          <v:group id="_x0000_s2658" style="position:absolute;margin-left:587.05pt;margin-top:183.4pt;width:8.25pt;height:153.1pt;z-index:251738624;mso-position-horizontal-relative:page;mso-position-vertical-relative:page" coordorigin="11741,3668" coordsize="165,3062">
            <v:shape id="_x0000_s2665" style="position:absolute;left:11741;top:3668;width:165;height:561" coordorigin="11741,3668" coordsize="165,561" path="m11906,3668r-165,l11741,4228r165,-18l11906,3668xe" fillcolor="#00aed9" stroked="f">
              <v:path arrowok="t"/>
            </v:shape>
            <v:shape id="_x0000_s2664" style="position:absolute;left:11741;top:4118;width:165;height:425" coordorigin="11741,4118" coordsize="165,425" path="m11906,4118r-165,14l11741,4531r165,12l11906,4118xe" fillcolor="#047ebc" stroked="f">
              <v:path arrowok="t"/>
            </v:shape>
            <v:shape id="_x0000_s2663" type="#_x0000_t75" style="position:absolute;left:11741;top:4355;width:165;height:587">
              <v:imagedata r:id="rId42" o:title=""/>
            </v:shape>
            <v:shape id="_x0000_s2662" style="position:absolute;left:11741;top:5343;width:165;height:536" coordorigin="11741,5343" coordsize="165,536" path="m11741,5343r,535l11906,5872r,-525l11741,5343xe" fillcolor="#f36a2e" stroked="f">
              <v:path arrowok="t"/>
            </v:shape>
            <v:shape id="_x0000_s2661" style="position:absolute;left:11741;top:4925;width:165;height:501" coordorigin="11741,4926" coordsize="165,501" path="m11741,4926r,500l11906,5426r,-485l11741,4926xe" fillcolor="#49783f" stroked="f">
              <v:path arrowok="t"/>
            </v:shape>
            <v:shape id="_x0000_s2660" style="position:absolute;left:11741;top:5781;width:165;height:268" coordorigin="11741,5782" coordsize="165,268" path="m11906,5782r-165,8l11741,6039r165,10l11906,5782xe" fillcolor="#f99f2a" stroked="f">
              <v:path arrowok="t"/>
            </v:shape>
            <v:shape id="_x0000_s2659" style="position:absolute;left:11741;top:6023;width:165;height:707" coordorigin="11741,6023" coordsize="165,707" path="m11741,6023r,706l11906,6729r,-690l11741,6023xe" fillcolor="#ef412c" stroked="f">
              <v:path arrowok="t"/>
            </v:shape>
            <w10:wrap anchorx="page" anchory="page"/>
          </v:group>
        </w:pict>
      </w:r>
    </w:p>
    <w:p w14:paraId="64505D5E" w14:textId="77777777" w:rsidR="00EF5B27" w:rsidRDefault="00EF5B27">
      <w:pPr>
        <w:pStyle w:val="BodyText"/>
      </w:pPr>
    </w:p>
    <w:p w14:paraId="7A1AD9E1" w14:textId="77777777" w:rsidR="00EF5B27" w:rsidRDefault="00EF5B27">
      <w:pPr>
        <w:pStyle w:val="BodyText"/>
      </w:pPr>
    </w:p>
    <w:p w14:paraId="73257ACE" w14:textId="77777777" w:rsidR="00EF5B27" w:rsidRDefault="00EF5B27">
      <w:pPr>
        <w:pStyle w:val="BodyText"/>
        <w:spacing w:before="4"/>
        <w:rPr>
          <w:sz w:val="25"/>
        </w:rPr>
      </w:pPr>
    </w:p>
    <w:p w14:paraId="7FE52A97" w14:textId="77777777" w:rsidR="00EF5B27" w:rsidRDefault="00000000">
      <w:pPr>
        <w:pStyle w:val="BodyText"/>
        <w:spacing w:before="100" w:line="254" w:lineRule="auto"/>
        <w:ind w:left="2608" w:right="152"/>
      </w:pPr>
      <w:r>
        <w:rPr>
          <w:color w:val="4D4D4F"/>
        </w:rPr>
        <w:t xml:space="preserve">The requirement to prepare the BCS arose from the Program Report, which committed to: </w:t>
      </w:r>
      <w:r>
        <w:rPr>
          <w:color w:val="4D4D4F"/>
          <w:spacing w:val="-3"/>
        </w:rPr>
        <w:t xml:space="preserve">‘An </w:t>
      </w:r>
      <w:r>
        <w:rPr>
          <w:color w:val="4D4D4F"/>
        </w:rPr>
        <w:t xml:space="preserve">overarching Biodiversity Conservation Strategy </w:t>
      </w:r>
      <w:r>
        <w:rPr>
          <w:color w:val="4D4D4F"/>
          <w:spacing w:val="-5"/>
        </w:rPr>
        <w:t xml:space="preserve">[…] </w:t>
      </w:r>
      <w:r>
        <w:rPr>
          <w:color w:val="4D4D4F"/>
        </w:rPr>
        <w:t>for each of the expanded growth corridors.’</w:t>
      </w:r>
      <w:r>
        <w:rPr>
          <w:color w:val="4D4D4F"/>
          <w:position w:val="7"/>
          <w:sz w:val="11"/>
        </w:rPr>
        <w:t xml:space="preserve">288 </w:t>
      </w:r>
      <w:r>
        <w:rPr>
          <w:color w:val="4D4D4F"/>
        </w:rPr>
        <w:t xml:space="preserve">This strategy was intended to inform the preparation of the Growth Area Framework Plans </w:t>
      </w:r>
      <w:r>
        <w:rPr>
          <w:color w:val="4D4D4F"/>
          <w:spacing w:val="-3"/>
        </w:rPr>
        <w:t xml:space="preserve">(and </w:t>
      </w:r>
      <w:r>
        <w:rPr>
          <w:color w:val="4D4D4F"/>
        </w:rPr>
        <w:t xml:space="preserve">subsequent Precinct Structure Plans) and to provide high-level guidance for practitioners. It outlines how the areas of biodiversity value </w:t>
      </w:r>
      <w:r>
        <w:rPr>
          <w:color w:val="4D4D4F"/>
          <w:spacing w:val="-3"/>
        </w:rPr>
        <w:t xml:space="preserve">(State </w:t>
      </w:r>
      <w:r>
        <w:rPr>
          <w:color w:val="4D4D4F"/>
        </w:rPr>
        <w:t>and Commonwealth) within the growth areas will be managed and how outcomes for MNES will be</w:t>
      </w:r>
      <w:r>
        <w:rPr>
          <w:color w:val="4D4D4F"/>
          <w:spacing w:val="20"/>
        </w:rPr>
        <w:t xml:space="preserve"> </w:t>
      </w:r>
      <w:r>
        <w:rPr>
          <w:color w:val="4D4D4F"/>
        </w:rPr>
        <w:t>delivered.</w:t>
      </w:r>
    </w:p>
    <w:p w14:paraId="159FE981" w14:textId="77777777" w:rsidR="00EF5B27" w:rsidRDefault="00000000">
      <w:pPr>
        <w:pStyle w:val="BodyText"/>
        <w:spacing w:before="122"/>
        <w:ind w:left="2608"/>
      </w:pPr>
      <w:r>
        <w:rPr>
          <w:color w:val="4D4D4F"/>
        </w:rPr>
        <w:t>According to DELWP,</w:t>
      </w:r>
      <w:r>
        <w:rPr>
          <w:color w:val="4D4D4F"/>
          <w:position w:val="7"/>
          <w:sz w:val="11"/>
        </w:rPr>
        <w:t xml:space="preserve">289 </w:t>
      </w:r>
      <w:r>
        <w:rPr>
          <w:color w:val="4D4D4F"/>
        </w:rPr>
        <w:t>the purpose of the BCS is to:</w:t>
      </w:r>
    </w:p>
    <w:p w14:paraId="32CDBD13" w14:textId="77777777" w:rsidR="00EF5B27" w:rsidRDefault="00000000">
      <w:pPr>
        <w:pStyle w:val="ListParagraph"/>
        <w:numPr>
          <w:ilvl w:val="0"/>
          <w:numId w:val="34"/>
        </w:numPr>
        <w:tabs>
          <w:tab w:val="left" w:pos="2779"/>
        </w:tabs>
        <w:spacing w:before="130" w:line="254" w:lineRule="auto"/>
        <w:ind w:right="151"/>
        <w:rPr>
          <w:sz w:val="20"/>
        </w:rPr>
      </w:pPr>
      <w:r>
        <w:rPr>
          <w:color w:val="4D4D4F"/>
          <w:sz w:val="20"/>
        </w:rPr>
        <w:t>inform and guide the preparation of Growth Area Framework Plans and subsequent Precinct Structure</w:t>
      </w:r>
      <w:r>
        <w:rPr>
          <w:color w:val="4D4D4F"/>
          <w:spacing w:val="9"/>
          <w:sz w:val="20"/>
        </w:rPr>
        <w:t xml:space="preserve"> </w:t>
      </w:r>
      <w:r>
        <w:rPr>
          <w:color w:val="4D4D4F"/>
          <w:sz w:val="20"/>
        </w:rPr>
        <w:t>Plans</w:t>
      </w:r>
    </w:p>
    <w:p w14:paraId="19DB591F" w14:textId="77777777" w:rsidR="00EF5B27" w:rsidRDefault="00000000">
      <w:pPr>
        <w:pStyle w:val="ListParagraph"/>
        <w:numPr>
          <w:ilvl w:val="0"/>
          <w:numId w:val="34"/>
        </w:numPr>
        <w:tabs>
          <w:tab w:val="left" w:pos="2779"/>
        </w:tabs>
        <w:spacing w:before="115" w:line="254" w:lineRule="auto"/>
        <w:ind w:right="648"/>
        <w:jc w:val="both"/>
        <w:rPr>
          <w:sz w:val="20"/>
        </w:rPr>
      </w:pPr>
      <w:r>
        <w:rPr>
          <w:color w:val="4D4D4F"/>
          <w:sz w:val="20"/>
        </w:rPr>
        <w:t xml:space="preserve">outline how the conservation outcomes for matters of national environmental significance in the program </w:t>
      </w:r>
      <w:r>
        <w:rPr>
          <w:color w:val="4D4D4F"/>
          <w:spacing w:val="2"/>
          <w:sz w:val="20"/>
        </w:rPr>
        <w:t xml:space="preserve">report </w:t>
      </w:r>
      <w:r>
        <w:rPr>
          <w:color w:val="4D4D4F"/>
          <w:sz w:val="20"/>
        </w:rPr>
        <w:t>will be achieved spatially within the growth corridors and how impacts on these matters will be</w:t>
      </w:r>
      <w:r>
        <w:rPr>
          <w:color w:val="4D4D4F"/>
          <w:spacing w:val="44"/>
          <w:sz w:val="20"/>
        </w:rPr>
        <w:t xml:space="preserve"> </w:t>
      </w:r>
      <w:r>
        <w:rPr>
          <w:color w:val="4D4D4F"/>
          <w:sz w:val="20"/>
        </w:rPr>
        <w:t>mitigated</w:t>
      </w:r>
    </w:p>
    <w:p w14:paraId="0EF6BE3A" w14:textId="77777777" w:rsidR="00EF5B27" w:rsidRDefault="00000000">
      <w:pPr>
        <w:pStyle w:val="ListParagraph"/>
        <w:numPr>
          <w:ilvl w:val="0"/>
          <w:numId w:val="34"/>
        </w:numPr>
        <w:tabs>
          <w:tab w:val="left" w:pos="2779"/>
        </w:tabs>
        <w:spacing w:before="117" w:line="254" w:lineRule="auto"/>
        <w:ind w:right="263"/>
        <w:rPr>
          <w:sz w:val="20"/>
        </w:rPr>
      </w:pPr>
      <w:r>
        <w:rPr>
          <w:color w:val="4D4D4F"/>
          <w:sz w:val="20"/>
        </w:rPr>
        <w:t>identify the land within the growth corridors that is required to be protected due  to the sub-regional species strategies and the prescriptions for matters of national environmental</w:t>
      </w:r>
      <w:r>
        <w:rPr>
          <w:color w:val="4D4D4F"/>
          <w:spacing w:val="4"/>
          <w:sz w:val="20"/>
        </w:rPr>
        <w:t xml:space="preserve"> </w:t>
      </w:r>
      <w:r>
        <w:rPr>
          <w:color w:val="4D4D4F"/>
          <w:sz w:val="20"/>
        </w:rPr>
        <w:t>significance</w:t>
      </w:r>
    </w:p>
    <w:p w14:paraId="2AEC60E2" w14:textId="77777777" w:rsidR="00EF5B27" w:rsidRDefault="00000000">
      <w:pPr>
        <w:pStyle w:val="ListParagraph"/>
        <w:numPr>
          <w:ilvl w:val="0"/>
          <w:numId w:val="34"/>
        </w:numPr>
        <w:tabs>
          <w:tab w:val="left" w:pos="2779"/>
        </w:tabs>
        <w:spacing w:before="117"/>
        <w:rPr>
          <w:sz w:val="20"/>
        </w:rPr>
      </w:pPr>
      <w:r>
        <w:rPr>
          <w:color w:val="4D4D4F"/>
          <w:sz w:val="20"/>
        </w:rPr>
        <w:t>identify how areas set aside for conservation will be</w:t>
      </w:r>
      <w:r>
        <w:rPr>
          <w:color w:val="4D4D4F"/>
          <w:spacing w:val="39"/>
          <w:sz w:val="20"/>
        </w:rPr>
        <w:t xml:space="preserve"> </w:t>
      </w:r>
      <w:r>
        <w:rPr>
          <w:color w:val="4D4D4F"/>
          <w:sz w:val="20"/>
        </w:rPr>
        <w:t>managed</w:t>
      </w:r>
    </w:p>
    <w:p w14:paraId="494D7F37" w14:textId="77777777" w:rsidR="00EF5B27" w:rsidRDefault="00000000">
      <w:pPr>
        <w:pStyle w:val="ListParagraph"/>
        <w:numPr>
          <w:ilvl w:val="0"/>
          <w:numId w:val="34"/>
        </w:numPr>
        <w:tabs>
          <w:tab w:val="left" w:pos="2779"/>
        </w:tabs>
        <w:spacing w:before="130" w:line="367" w:lineRule="auto"/>
        <w:ind w:left="2608" w:right="2637" w:firstLine="0"/>
        <w:rPr>
          <w:sz w:val="20"/>
        </w:rPr>
      </w:pPr>
      <w:r>
        <w:rPr>
          <w:color w:val="4D4D4F"/>
          <w:sz w:val="20"/>
        </w:rPr>
        <w:t>outline how mitigation measures will be implemented. These conservation measures aim to</w:t>
      </w:r>
      <w:r>
        <w:rPr>
          <w:color w:val="4D4D4F"/>
          <w:spacing w:val="29"/>
          <w:sz w:val="20"/>
        </w:rPr>
        <w:t xml:space="preserve"> </w:t>
      </w:r>
      <w:r>
        <w:rPr>
          <w:color w:val="4D4D4F"/>
          <w:sz w:val="20"/>
        </w:rPr>
        <w:t>comprise:</w:t>
      </w:r>
    </w:p>
    <w:p w14:paraId="3D1634E7" w14:textId="77777777" w:rsidR="00EF5B27" w:rsidRDefault="00000000">
      <w:pPr>
        <w:pStyle w:val="ListParagraph"/>
        <w:numPr>
          <w:ilvl w:val="0"/>
          <w:numId w:val="34"/>
        </w:numPr>
        <w:tabs>
          <w:tab w:val="left" w:pos="2779"/>
        </w:tabs>
        <w:spacing w:line="254" w:lineRule="auto"/>
        <w:ind w:right="515"/>
        <w:rPr>
          <w:sz w:val="20"/>
        </w:rPr>
      </w:pPr>
      <w:r>
        <w:rPr>
          <w:color w:val="4D4D4F"/>
          <w:sz w:val="20"/>
        </w:rPr>
        <w:t>the protection and management of land of high biodiversity value within defined conservation areas and areas outside the</w:t>
      </w:r>
      <w:r>
        <w:rPr>
          <w:color w:val="4D4D4F"/>
          <w:spacing w:val="28"/>
          <w:sz w:val="20"/>
        </w:rPr>
        <w:t xml:space="preserve"> </w:t>
      </w:r>
      <w:r>
        <w:rPr>
          <w:color w:val="4D4D4F"/>
          <w:sz w:val="20"/>
        </w:rPr>
        <w:t>UGB</w:t>
      </w:r>
    </w:p>
    <w:p w14:paraId="17F8462E" w14:textId="77777777" w:rsidR="00EF5B27" w:rsidRDefault="00000000">
      <w:pPr>
        <w:pStyle w:val="ListParagraph"/>
        <w:numPr>
          <w:ilvl w:val="0"/>
          <w:numId w:val="34"/>
        </w:numPr>
        <w:tabs>
          <w:tab w:val="left" w:pos="2779"/>
        </w:tabs>
        <w:spacing w:before="115" w:line="254" w:lineRule="auto"/>
        <w:ind w:right="155"/>
        <w:rPr>
          <w:sz w:val="20"/>
        </w:rPr>
      </w:pPr>
      <w:r>
        <w:rPr>
          <w:color w:val="4D4D4F"/>
          <w:spacing w:val="-4"/>
          <w:sz w:val="20"/>
        </w:rPr>
        <w:t xml:space="preserve">requirements </w:t>
      </w:r>
      <w:r>
        <w:rPr>
          <w:color w:val="4D4D4F"/>
          <w:spacing w:val="-3"/>
          <w:sz w:val="20"/>
        </w:rPr>
        <w:t xml:space="preserve">to </w:t>
      </w:r>
      <w:r>
        <w:rPr>
          <w:color w:val="4D4D4F"/>
          <w:spacing w:val="-4"/>
          <w:sz w:val="20"/>
        </w:rPr>
        <w:t xml:space="preserve">provide </w:t>
      </w:r>
      <w:r>
        <w:rPr>
          <w:color w:val="4D4D4F"/>
          <w:spacing w:val="-3"/>
          <w:sz w:val="20"/>
        </w:rPr>
        <w:t xml:space="preserve">offsets </w:t>
      </w:r>
      <w:r>
        <w:rPr>
          <w:color w:val="4D4D4F"/>
          <w:spacing w:val="-4"/>
          <w:sz w:val="20"/>
        </w:rPr>
        <w:t xml:space="preserve">for removal </w:t>
      </w:r>
      <w:r>
        <w:rPr>
          <w:color w:val="4D4D4F"/>
          <w:spacing w:val="-3"/>
          <w:sz w:val="20"/>
        </w:rPr>
        <w:t xml:space="preserve">of </w:t>
      </w:r>
      <w:r>
        <w:rPr>
          <w:color w:val="4D4D4F"/>
          <w:spacing w:val="-4"/>
          <w:sz w:val="20"/>
        </w:rPr>
        <w:t xml:space="preserve">native </w:t>
      </w:r>
      <w:r>
        <w:rPr>
          <w:color w:val="4D4D4F"/>
          <w:spacing w:val="-5"/>
          <w:sz w:val="20"/>
        </w:rPr>
        <w:t xml:space="preserve">vegetation </w:t>
      </w:r>
      <w:r>
        <w:rPr>
          <w:color w:val="4D4D4F"/>
          <w:spacing w:val="-3"/>
          <w:sz w:val="20"/>
        </w:rPr>
        <w:t xml:space="preserve">and </w:t>
      </w:r>
      <w:r>
        <w:rPr>
          <w:color w:val="4D4D4F"/>
          <w:spacing w:val="-4"/>
          <w:sz w:val="20"/>
        </w:rPr>
        <w:t xml:space="preserve">threatened species </w:t>
      </w:r>
      <w:r>
        <w:rPr>
          <w:color w:val="4D4D4F"/>
          <w:sz w:val="20"/>
        </w:rPr>
        <w:t>habitat on land not required for conservation and suitable for urban</w:t>
      </w:r>
      <w:r>
        <w:rPr>
          <w:color w:val="4D4D4F"/>
          <w:spacing w:val="26"/>
          <w:sz w:val="20"/>
        </w:rPr>
        <w:t xml:space="preserve"> </w:t>
      </w:r>
      <w:r>
        <w:rPr>
          <w:color w:val="4D4D4F"/>
          <w:sz w:val="20"/>
        </w:rPr>
        <w:t>development</w:t>
      </w:r>
    </w:p>
    <w:p w14:paraId="2AA91865" w14:textId="77777777" w:rsidR="00EF5B27" w:rsidRDefault="00000000">
      <w:pPr>
        <w:pStyle w:val="ListParagraph"/>
        <w:numPr>
          <w:ilvl w:val="0"/>
          <w:numId w:val="34"/>
        </w:numPr>
        <w:tabs>
          <w:tab w:val="left" w:pos="2779"/>
        </w:tabs>
        <w:spacing w:before="116" w:line="254" w:lineRule="auto"/>
        <w:ind w:right="171"/>
        <w:rPr>
          <w:sz w:val="20"/>
        </w:rPr>
      </w:pPr>
      <w:r>
        <w:rPr>
          <w:color w:val="4D4D4F"/>
          <w:sz w:val="20"/>
        </w:rPr>
        <w:t>requirements to salvage and translocate certain threatened species prior to removal of</w:t>
      </w:r>
      <w:r>
        <w:rPr>
          <w:color w:val="4D4D4F"/>
          <w:spacing w:val="-6"/>
          <w:sz w:val="20"/>
        </w:rPr>
        <w:t xml:space="preserve"> </w:t>
      </w:r>
      <w:r>
        <w:rPr>
          <w:color w:val="4D4D4F"/>
          <w:sz w:val="20"/>
        </w:rPr>
        <w:t>habitat</w:t>
      </w:r>
      <w:r>
        <w:rPr>
          <w:color w:val="4D4D4F"/>
          <w:spacing w:val="-5"/>
          <w:sz w:val="20"/>
        </w:rPr>
        <w:t xml:space="preserve"> </w:t>
      </w:r>
      <w:r>
        <w:rPr>
          <w:color w:val="4D4D4F"/>
          <w:sz w:val="20"/>
        </w:rPr>
        <w:t>on</w:t>
      </w:r>
      <w:r>
        <w:rPr>
          <w:color w:val="4D4D4F"/>
          <w:spacing w:val="-6"/>
          <w:sz w:val="20"/>
        </w:rPr>
        <w:t xml:space="preserve"> </w:t>
      </w:r>
      <w:r>
        <w:rPr>
          <w:color w:val="4D4D4F"/>
          <w:sz w:val="20"/>
        </w:rPr>
        <w:t>land</w:t>
      </w:r>
      <w:r>
        <w:rPr>
          <w:color w:val="4D4D4F"/>
          <w:spacing w:val="-5"/>
          <w:sz w:val="20"/>
        </w:rPr>
        <w:t xml:space="preserve"> </w:t>
      </w:r>
      <w:r>
        <w:rPr>
          <w:color w:val="4D4D4F"/>
          <w:sz w:val="20"/>
        </w:rPr>
        <w:t>not</w:t>
      </w:r>
      <w:r>
        <w:rPr>
          <w:color w:val="4D4D4F"/>
          <w:spacing w:val="-6"/>
          <w:sz w:val="20"/>
        </w:rPr>
        <w:t xml:space="preserve"> </w:t>
      </w:r>
      <w:r>
        <w:rPr>
          <w:color w:val="4D4D4F"/>
          <w:sz w:val="20"/>
        </w:rPr>
        <w:t>required</w:t>
      </w:r>
      <w:r>
        <w:rPr>
          <w:color w:val="4D4D4F"/>
          <w:spacing w:val="-5"/>
          <w:sz w:val="20"/>
        </w:rPr>
        <w:t xml:space="preserve"> </w:t>
      </w:r>
      <w:r>
        <w:rPr>
          <w:color w:val="4D4D4F"/>
          <w:sz w:val="20"/>
        </w:rPr>
        <w:t>for</w:t>
      </w:r>
      <w:r>
        <w:rPr>
          <w:color w:val="4D4D4F"/>
          <w:spacing w:val="-6"/>
          <w:sz w:val="20"/>
        </w:rPr>
        <w:t xml:space="preserve"> </w:t>
      </w:r>
      <w:r>
        <w:rPr>
          <w:color w:val="4D4D4F"/>
          <w:sz w:val="20"/>
        </w:rPr>
        <w:t>conservation</w:t>
      </w:r>
      <w:r>
        <w:rPr>
          <w:color w:val="4D4D4F"/>
          <w:spacing w:val="-5"/>
          <w:sz w:val="20"/>
        </w:rPr>
        <w:t xml:space="preserve"> </w:t>
      </w:r>
      <w:r>
        <w:rPr>
          <w:color w:val="4D4D4F"/>
          <w:sz w:val="20"/>
        </w:rPr>
        <w:t>and</w:t>
      </w:r>
      <w:r>
        <w:rPr>
          <w:color w:val="4D4D4F"/>
          <w:spacing w:val="-6"/>
          <w:sz w:val="20"/>
        </w:rPr>
        <w:t xml:space="preserve"> </w:t>
      </w:r>
      <w:r>
        <w:rPr>
          <w:color w:val="4D4D4F"/>
          <w:sz w:val="20"/>
        </w:rPr>
        <w:t>suitable</w:t>
      </w:r>
      <w:r>
        <w:rPr>
          <w:color w:val="4D4D4F"/>
          <w:spacing w:val="-5"/>
          <w:sz w:val="20"/>
        </w:rPr>
        <w:t xml:space="preserve"> </w:t>
      </w:r>
      <w:r>
        <w:rPr>
          <w:color w:val="4D4D4F"/>
          <w:sz w:val="20"/>
        </w:rPr>
        <w:t>for</w:t>
      </w:r>
      <w:r>
        <w:rPr>
          <w:color w:val="4D4D4F"/>
          <w:spacing w:val="-6"/>
          <w:sz w:val="20"/>
        </w:rPr>
        <w:t xml:space="preserve"> </w:t>
      </w:r>
      <w:r>
        <w:rPr>
          <w:color w:val="4D4D4F"/>
          <w:sz w:val="20"/>
        </w:rPr>
        <w:t>urban</w:t>
      </w:r>
      <w:r>
        <w:rPr>
          <w:color w:val="4D4D4F"/>
          <w:spacing w:val="-5"/>
          <w:sz w:val="20"/>
        </w:rPr>
        <w:t xml:space="preserve"> </w:t>
      </w:r>
      <w:r>
        <w:rPr>
          <w:color w:val="4D4D4F"/>
          <w:sz w:val="20"/>
        </w:rPr>
        <w:t>development.</w:t>
      </w:r>
    </w:p>
    <w:p w14:paraId="3419B1AF" w14:textId="77777777" w:rsidR="00EF5B27" w:rsidRDefault="00000000">
      <w:pPr>
        <w:pStyle w:val="BodyText"/>
        <w:spacing w:before="116" w:line="254" w:lineRule="auto"/>
        <w:ind w:left="2608"/>
      </w:pPr>
      <w:r>
        <w:rPr>
          <w:color w:val="4D4D4F"/>
        </w:rPr>
        <w:t>The BCS aims to apply the requirements of the MNES prescriptions and the Native Vegetation Management Framework</w:t>
      </w:r>
      <w:r>
        <w:rPr>
          <w:color w:val="4D4D4F"/>
          <w:position w:val="7"/>
          <w:sz w:val="11"/>
        </w:rPr>
        <w:t xml:space="preserve">290 </w:t>
      </w:r>
      <w:r>
        <w:rPr>
          <w:color w:val="4D4D4F"/>
        </w:rPr>
        <w:t>strategically, at a growth corridor level,</w:t>
      </w:r>
    </w:p>
    <w:p w14:paraId="58C25BFE" w14:textId="77777777" w:rsidR="00EF5B27" w:rsidRDefault="00000000">
      <w:pPr>
        <w:pStyle w:val="BodyText"/>
        <w:spacing w:before="2" w:line="254" w:lineRule="auto"/>
        <w:ind w:left="2608" w:right="151"/>
        <w:rPr>
          <w:sz w:val="11"/>
        </w:rPr>
      </w:pPr>
      <w:r>
        <w:rPr>
          <w:color w:val="4D4D4F"/>
        </w:rPr>
        <w:t>to identify conservation areas and to remove the need to protect additional land resulting from these requirements at the precinct structure planning stage, or other development approval stages.</w:t>
      </w:r>
      <w:r>
        <w:rPr>
          <w:color w:val="4D4D4F"/>
          <w:position w:val="7"/>
          <w:sz w:val="11"/>
        </w:rPr>
        <w:t>291</w:t>
      </w:r>
    </w:p>
    <w:p w14:paraId="334FFBD0" w14:textId="77777777" w:rsidR="00EF5B27" w:rsidRDefault="00EF5B27">
      <w:pPr>
        <w:pStyle w:val="BodyText"/>
        <w:spacing w:before="2"/>
        <w:rPr>
          <w:sz w:val="19"/>
        </w:rPr>
      </w:pPr>
    </w:p>
    <w:p w14:paraId="1E7C1A8E" w14:textId="77777777" w:rsidR="00EF5B27" w:rsidRDefault="00000000">
      <w:pPr>
        <w:pStyle w:val="Heading3"/>
      </w:pPr>
      <w:r>
        <w:rPr>
          <w:color w:val="F99F2A"/>
          <w:spacing w:val="-7"/>
        </w:rPr>
        <w:t xml:space="preserve">MSA </w:t>
      </w:r>
      <w:r>
        <w:rPr>
          <w:color w:val="F99F2A"/>
          <w:spacing w:val="-10"/>
        </w:rPr>
        <w:t xml:space="preserve">Conservation Outcomes </w:t>
      </w:r>
      <w:r>
        <w:rPr>
          <w:color w:val="F99F2A"/>
          <w:spacing w:val="-8"/>
        </w:rPr>
        <w:t xml:space="preserve">for MNES </w:t>
      </w:r>
      <w:r>
        <w:rPr>
          <w:color w:val="F99F2A"/>
          <w:spacing w:val="-10"/>
        </w:rPr>
        <w:t xml:space="preserve">under </w:t>
      </w:r>
      <w:r>
        <w:rPr>
          <w:color w:val="F99F2A"/>
          <w:spacing w:val="-9"/>
        </w:rPr>
        <w:t xml:space="preserve">Victorian </w:t>
      </w:r>
      <w:r>
        <w:rPr>
          <w:color w:val="F99F2A"/>
          <w:spacing w:val="-13"/>
        </w:rPr>
        <w:t>legislation</w:t>
      </w:r>
    </w:p>
    <w:p w14:paraId="1A1371B6" w14:textId="77777777" w:rsidR="00EF5B27" w:rsidRDefault="00000000">
      <w:pPr>
        <w:pStyle w:val="BodyText"/>
        <w:spacing w:before="222" w:line="254" w:lineRule="auto"/>
        <w:ind w:left="2608" w:right="387"/>
      </w:pPr>
      <w:r>
        <w:rPr>
          <w:color w:val="4D4D4F"/>
        </w:rPr>
        <w:t xml:space="preserve">The MSA program’s implementation of its conservation outcomes has been   brought under Victorian regulation through introduction of the </w:t>
      </w:r>
      <w:r>
        <w:rPr>
          <w:rFonts w:ascii="Arial Narrow" w:hAnsi="Arial Narrow"/>
          <w:i/>
          <w:color w:val="4D4D4F"/>
        </w:rPr>
        <w:t xml:space="preserve">Melbourne </w:t>
      </w:r>
      <w:r>
        <w:rPr>
          <w:rFonts w:ascii="Arial Narrow" w:hAnsi="Arial Narrow"/>
          <w:i/>
          <w:color w:val="4D4D4F"/>
          <w:spacing w:val="-3"/>
        </w:rPr>
        <w:t xml:space="preserve">Strategic </w:t>
      </w:r>
      <w:r>
        <w:rPr>
          <w:rFonts w:ascii="Arial Narrow" w:hAnsi="Arial Narrow"/>
          <w:i/>
          <w:color w:val="4D4D4F"/>
        </w:rPr>
        <w:t>Assessment</w:t>
      </w:r>
      <w:r>
        <w:rPr>
          <w:rFonts w:ascii="Arial Narrow" w:hAnsi="Arial Narrow"/>
          <w:i/>
          <w:color w:val="4D4D4F"/>
          <w:spacing w:val="10"/>
        </w:rPr>
        <w:t xml:space="preserve"> </w:t>
      </w:r>
      <w:r>
        <w:rPr>
          <w:rFonts w:ascii="Arial Narrow" w:hAnsi="Arial Narrow"/>
          <w:i/>
          <w:color w:val="4D4D4F"/>
        </w:rPr>
        <w:t>Act</w:t>
      </w:r>
      <w:r>
        <w:rPr>
          <w:rFonts w:ascii="Arial Narrow" w:hAnsi="Arial Narrow"/>
          <w:i/>
          <w:color w:val="4D4D4F"/>
          <w:spacing w:val="11"/>
        </w:rPr>
        <w:t xml:space="preserve"> </w:t>
      </w:r>
      <w:r>
        <w:rPr>
          <w:color w:val="4D4D4F"/>
        </w:rPr>
        <w:t>2020.</w:t>
      </w:r>
      <w:r>
        <w:rPr>
          <w:color w:val="4D4D4F"/>
          <w:spacing w:val="11"/>
        </w:rPr>
        <w:t xml:space="preserve"> </w:t>
      </w:r>
      <w:r>
        <w:rPr>
          <w:color w:val="4D4D4F"/>
        </w:rPr>
        <w:t>The</w:t>
      </w:r>
      <w:r>
        <w:rPr>
          <w:color w:val="4D4D4F"/>
          <w:spacing w:val="11"/>
        </w:rPr>
        <w:t xml:space="preserve"> </w:t>
      </w:r>
      <w:r>
        <w:rPr>
          <w:color w:val="4D4D4F"/>
        </w:rPr>
        <w:t>Conservation</w:t>
      </w:r>
      <w:r>
        <w:rPr>
          <w:color w:val="4D4D4F"/>
          <w:spacing w:val="11"/>
        </w:rPr>
        <w:t xml:space="preserve"> </w:t>
      </w:r>
      <w:r>
        <w:rPr>
          <w:color w:val="4D4D4F"/>
        </w:rPr>
        <w:t>Outcomes</w:t>
      </w:r>
      <w:r>
        <w:rPr>
          <w:color w:val="4D4D4F"/>
          <w:spacing w:val="11"/>
        </w:rPr>
        <w:t xml:space="preserve"> </w:t>
      </w:r>
      <w:r>
        <w:rPr>
          <w:color w:val="4D4D4F"/>
        </w:rPr>
        <w:t>are</w:t>
      </w:r>
      <w:r>
        <w:rPr>
          <w:color w:val="4D4D4F"/>
          <w:spacing w:val="11"/>
        </w:rPr>
        <w:t xml:space="preserve"> </w:t>
      </w:r>
      <w:r>
        <w:rPr>
          <w:color w:val="4D4D4F"/>
        </w:rPr>
        <w:t>formally</w:t>
      </w:r>
      <w:r>
        <w:rPr>
          <w:color w:val="4D4D4F"/>
          <w:spacing w:val="11"/>
        </w:rPr>
        <w:t xml:space="preserve"> </w:t>
      </w:r>
      <w:r>
        <w:rPr>
          <w:color w:val="4D4D4F"/>
        </w:rPr>
        <w:t>defined</w:t>
      </w:r>
      <w:r>
        <w:rPr>
          <w:color w:val="4D4D4F"/>
          <w:spacing w:val="11"/>
        </w:rPr>
        <w:t xml:space="preserve"> </w:t>
      </w:r>
      <w:r>
        <w:rPr>
          <w:color w:val="4D4D4F"/>
        </w:rPr>
        <w:t>by</w:t>
      </w:r>
      <w:r>
        <w:rPr>
          <w:color w:val="4D4D4F"/>
          <w:spacing w:val="11"/>
        </w:rPr>
        <w:t xml:space="preserve"> </w:t>
      </w:r>
      <w:r>
        <w:rPr>
          <w:color w:val="4D4D4F"/>
        </w:rPr>
        <w:t>notice</w:t>
      </w:r>
      <w:r>
        <w:rPr>
          <w:color w:val="4D4D4F"/>
          <w:spacing w:val="11"/>
        </w:rPr>
        <w:t xml:space="preserve"> </w:t>
      </w:r>
      <w:r>
        <w:rPr>
          <w:color w:val="4D4D4F"/>
        </w:rPr>
        <w:t>in</w:t>
      </w:r>
    </w:p>
    <w:p w14:paraId="76FE0877" w14:textId="77777777" w:rsidR="00EF5B27" w:rsidRDefault="00000000">
      <w:pPr>
        <w:pStyle w:val="BodyText"/>
        <w:spacing w:before="3" w:line="254" w:lineRule="auto"/>
        <w:ind w:left="2608" w:hanging="1"/>
      </w:pPr>
      <w:r>
        <w:rPr>
          <w:color w:val="4D4D4F"/>
        </w:rPr>
        <w:t>the Victorian Government Gazette (Part 6, section 93 of the MSA Act)</w:t>
      </w:r>
      <w:r>
        <w:rPr>
          <w:color w:val="4D4D4F"/>
          <w:position w:val="7"/>
          <w:sz w:val="11"/>
        </w:rPr>
        <w:t xml:space="preserve">292 </w:t>
      </w:r>
      <w:r>
        <w:rPr>
          <w:color w:val="4D4D4F"/>
        </w:rPr>
        <w:t>and set out a range of measures to limit and offset the impacts of urban development on threatened species and ecological communities listed as MNES in the growth areas of Melbourne.</w:t>
      </w:r>
    </w:p>
    <w:p w14:paraId="0A97A3A9" w14:textId="77777777" w:rsidR="00EF5B27" w:rsidRDefault="00EF5B27">
      <w:pPr>
        <w:pStyle w:val="BodyText"/>
      </w:pPr>
    </w:p>
    <w:p w14:paraId="766E498E" w14:textId="77777777" w:rsidR="00EF5B27" w:rsidRDefault="00000000">
      <w:pPr>
        <w:pStyle w:val="BodyText"/>
        <w:spacing w:before="12"/>
        <w:rPr>
          <w:sz w:val="10"/>
        </w:rPr>
      </w:pPr>
      <w:r>
        <w:pict w14:anchorId="746BD58E">
          <v:line id="_x0000_s2657" style="position:absolute;z-index:251654656;mso-wrap-distance-left:0;mso-wrap-distance-right:0;mso-position-horizontal-relative:page" from="181.4pt,8.9pt" to="538.6pt,8.9pt" strokecolor="#4d4d4f" strokeweight=".5pt">
            <w10:wrap type="topAndBottom" anchorx="page"/>
          </v:line>
        </w:pict>
      </w:r>
    </w:p>
    <w:p w14:paraId="0008D183" w14:textId="77777777" w:rsidR="00EF5B27" w:rsidRDefault="00000000">
      <w:pPr>
        <w:pStyle w:val="ListParagraph"/>
        <w:numPr>
          <w:ilvl w:val="0"/>
          <w:numId w:val="19"/>
        </w:numPr>
        <w:tabs>
          <w:tab w:val="left" w:pos="2836"/>
        </w:tabs>
        <w:spacing w:before="83" w:line="143" w:lineRule="exact"/>
        <w:rPr>
          <w:sz w:val="12"/>
        </w:rPr>
      </w:pPr>
      <w:r>
        <w:rPr>
          <w:color w:val="4D4D4F"/>
          <w:sz w:val="12"/>
        </w:rPr>
        <w:t>DEPI</w:t>
      </w:r>
      <w:r>
        <w:rPr>
          <w:color w:val="4D4D4F"/>
          <w:spacing w:val="4"/>
          <w:sz w:val="12"/>
        </w:rPr>
        <w:t xml:space="preserve"> </w:t>
      </w:r>
      <w:r>
        <w:rPr>
          <w:color w:val="4D4D4F"/>
          <w:sz w:val="12"/>
        </w:rPr>
        <w:t>2009,</w:t>
      </w:r>
      <w:r>
        <w:rPr>
          <w:color w:val="4D4D4F"/>
          <w:spacing w:val="5"/>
          <w:sz w:val="12"/>
        </w:rPr>
        <w:t xml:space="preserve"> </w:t>
      </w:r>
      <w:r>
        <w:rPr>
          <w:color w:val="4D4D4F"/>
          <w:sz w:val="12"/>
        </w:rPr>
        <w:t>‘Delivering</w:t>
      </w:r>
      <w:r>
        <w:rPr>
          <w:color w:val="4D4D4F"/>
          <w:spacing w:val="5"/>
          <w:sz w:val="12"/>
        </w:rPr>
        <w:t xml:space="preserve"> </w:t>
      </w:r>
      <w:r>
        <w:rPr>
          <w:color w:val="4D4D4F"/>
          <w:sz w:val="12"/>
        </w:rPr>
        <w:t>Melbourne’s</w:t>
      </w:r>
      <w:r>
        <w:rPr>
          <w:color w:val="4D4D4F"/>
          <w:spacing w:val="5"/>
          <w:sz w:val="12"/>
        </w:rPr>
        <w:t xml:space="preserve"> </w:t>
      </w:r>
      <w:r>
        <w:rPr>
          <w:color w:val="4D4D4F"/>
          <w:sz w:val="12"/>
        </w:rPr>
        <w:t>Newest</w:t>
      </w:r>
      <w:r>
        <w:rPr>
          <w:color w:val="4D4D4F"/>
          <w:spacing w:val="5"/>
          <w:sz w:val="12"/>
        </w:rPr>
        <w:t xml:space="preserve"> </w:t>
      </w:r>
      <w:r>
        <w:rPr>
          <w:color w:val="4D4D4F"/>
          <w:sz w:val="12"/>
        </w:rPr>
        <w:t>Sustainable</w:t>
      </w:r>
      <w:r>
        <w:rPr>
          <w:color w:val="4D4D4F"/>
          <w:spacing w:val="5"/>
          <w:sz w:val="12"/>
        </w:rPr>
        <w:t xml:space="preserve"> </w:t>
      </w:r>
      <w:r>
        <w:rPr>
          <w:color w:val="4D4D4F"/>
          <w:sz w:val="12"/>
        </w:rPr>
        <w:t>Communities:</w:t>
      </w:r>
      <w:r>
        <w:rPr>
          <w:color w:val="4D4D4F"/>
          <w:spacing w:val="5"/>
          <w:sz w:val="12"/>
        </w:rPr>
        <w:t xml:space="preserve"> </w:t>
      </w:r>
      <w:r>
        <w:rPr>
          <w:color w:val="4D4D4F"/>
          <w:spacing w:val="2"/>
          <w:sz w:val="12"/>
        </w:rPr>
        <w:t>Program</w:t>
      </w:r>
      <w:r>
        <w:rPr>
          <w:color w:val="4D4D4F"/>
          <w:spacing w:val="4"/>
          <w:sz w:val="12"/>
        </w:rPr>
        <w:t xml:space="preserve"> </w:t>
      </w:r>
      <w:r>
        <w:rPr>
          <w:color w:val="4D4D4F"/>
          <w:sz w:val="12"/>
        </w:rPr>
        <w:t>Report’,</w:t>
      </w:r>
      <w:r>
        <w:rPr>
          <w:color w:val="4D4D4F"/>
          <w:spacing w:val="5"/>
          <w:sz w:val="12"/>
        </w:rPr>
        <w:t xml:space="preserve"> </w:t>
      </w:r>
      <w:r>
        <w:rPr>
          <w:color w:val="4D4D4F"/>
          <w:sz w:val="12"/>
        </w:rPr>
        <w:t>East</w:t>
      </w:r>
      <w:r>
        <w:rPr>
          <w:color w:val="4D4D4F"/>
          <w:spacing w:val="5"/>
          <w:sz w:val="12"/>
        </w:rPr>
        <w:t xml:space="preserve"> </w:t>
      </w:r>
      <w:r>
        <w:rPr>
          <w:color w:val="4D4D4F"/>
          <w:sz w:val="12"/>
        </w:rPr>
        <w:t>Melbourne,</w:t>
      </w:r>
      <w:r>
        <w:rPr>
          <w:color w:val="4D4D4F"/>
          <w:spacing w:val="5"/>
          <w:sz w:val="12"/>
        </w:rPr>
        <w:t xml:space="preserve"> </w:t>
      </w:r>
      <w:r>
        <w:rPr>
          <w:color w:val="4D4D4F"/>
          <w:sz w:val="12"/>
        </w:rPr>
        <w:t>Victoria.</w:t>
      </w:r>
    </w:p>
    <w:p w14:paraId="6D5A4B0E" w14:textId="77777777" w:rsidR="00EF5B27" w:rsidRDefault="00000000">
      <w:pPr>
        <w:pStyle w:val="ListParagraph"/>
        <w:numPr>
          <w:ilvl w:val="0"/>
          <w:numId w:val="19"/>
        </w:numPr>
        <w:tabs>
          <w:tab w:val="left" w:pos="2836"/>
        </w:tabs>
        <w:spacing w:line="140" w:lineRule="exact"/>
        <w:rPr>
          <w:sz w:val="12"/>
        </w:rPr>
      </w:pPr>
      <w:r>
        <w:rPr>
          <w:color w:val="4D4D4F"/>
          <w:sz w:val="12"/>
        </w:rPr>
        <w:t>DELWP Officer, personal communication, 23 August</w:t>
      </w:r>
      <w:r>
        <w:rPr>
          <w:color w:val="4D4D4F"/>
          <w:spacing w:val="14"/>
          <w:sz w:val="12"/>
        </w:rPr>
        <w:t xml:space="preserve"> </w:t>
      </w:r>
      <w:r>
        <w:rPr>
          <w:color w:val="4D4D4F"/>
          <w:sz w:val="12"/>
        </w:rPr>
        <w:t>2021.</w:t>
      </w:r>
    </w:p>
    <w:p w14:paraId="3BFE4855" w14:textId="77777777" w:rsidR="00EF5B27" w:rsidRDefault="00000000">
      <w:pPr>
        <w:pStyle w:val="ListParagraph"/>
        <w:numPr>
          <w:ilvl w:val="0"/>
          <w:numId w:val="19"/>
        </w:numPr>
        <w:tabs>
          <w:tab w:val="left" w:pos="2836"/>
        </w:tabs>
        <w:spacing w:line="140" w:lineRule="exact"/>
        <w:rPr>
          <w:sz w:val="12"/>
        </w:rPr>
      </w:pPr>
      <w:r>
        <w:rPr>
          <w:color w:val="4D4D4F"/>
          <w:sz w:val="12"/>
        </w:rPr>
        <w:t xml:space="preserve">Department of Sustainability and Environment (DSE) </w:t>
      </w:r>
      <w:r>
        <w:rPr>
          <w:color w:val="4D4D4F"/>
          <w:spacing w:val="-3"/>
          <w:sz w:val="12"/>
        </w:rPr>
        <w:t xml:space="preserve">2011, </w:t>
      </w:r>
      <w:r>
        <w:rPr>
          <w:color w:val="4D4D4F"/>
          <w:sz w:val="12"/>
        </w:rPr>
        <w:t>‘Native Vegetation Management – A Framework for Action’, Melbourne,</w:t>
      </w:r>
      <w:r>
        <w:rPr>
          <w:color w:val="4D4D4F"/>
          <w:spacing w:val="6"/>
          <w:sz w:val="12"/>
        </w:rPr>
        <w:t xml:space="preserve"> </w:t>
      </w:r>
      <w:r>
        <w:rPr>
          <w:color w:val="4D4D4F"/>
          <w:sz w:val="12"/>
        </w:rPr>
        <w:t>Victoria.</w:t>
      </w:r>
    </w:p>
    <w:p w14:paraId="2529A9E4" w14:textId="77777777" w:rsidR="00EF5B27" w:rsidRDefault="00000000">
      <w:pPr>
        <w:pStyle w:val="ListParagraph"/>
        <w:numPr>
          <w:ilvl w:val="0"/>
          <w:numId w:val="19"/>
        </w:numPr>
        <w:tabs>
          <w:tab w:val="left" w:pos="2836"/>
        </w:tabs>
        <w:spacing w:line="140" w:lineRule="exact"/>
        <w:rPr>
          <w:sz w:val="12"/>
        </w:rPr>
      </w:pPr>
      <w:r>
        <w:rPr>
          <w:color w:val="4D4D4F"/>
          <w:sz w:val="12"/>
        </w:rPr>
        <w:t>DEPI</w:t>
      </w:r>
      <w:r>
        <w:rPr>
          <w:color w:val="4D4D4F"/>
          <w:spacing w:val="4"/>
          <w:sz w:val="12"/>
        </w:rPr>
        <w:t xml:space="preserve"> </w:t>
      </w:r>
      <w:r>
        <w:rPr>
          <w:color w:val="4D4D4F"/>
          <w:sz w:val="12"/>
        </w:rPr>
        <w:t>2013,</w:t>
      </w:r>
      <w:r>
        <w:rPr>
          <w:color w:val="4D4D4F"/>
          <w:spacing w:val="4"/>
          <w:sz w:val="12"/>
        </w:rPr>
        <w:t xml:space="preserve"> </w:t>
      </w:r>
      <w:r>
        <w:rPr>
          <w:color w:val="4D4D4F"/>
          <w:sz w:val="12"/>
        </w:rPr>
        <w:t>‘Biodiversity</w:t>
      </w:r>
      <w:r>
        <w:rPr>
          <w:color w:val="4D4D4F"/>
          <w:spacing w:val="4"/>
          <w:sz w:val="12"/>
        </w:rPr>
        <w:t xml:space="preserve"> </w:t>
      </w:r>
      <w:r>
        <w:rPr>
          <w:color w:val="4D4D4F"/>
          <w:spacing w:val="2"/>
          <w:sz w:val="12"/>
        </w:rPr>
        <w:t>Conservation</w:t>
      </w:r>
      <w:r>
        <w:rPr>
          <w:color w:val="4D4D4F"/>
          <w:spacing w:val="4"/>
          <w:sz w:val="12"/>
        </w:rPr>
        <w:t xml:space="preserve"> </w:t>
      </w:r>
      <w:r>
        <w:rPr>
          <w:color w:val="4D4D4F"/>
          <w:sz w:val="12"/>
        </w:rPr>
        <w:t>Strategy</w:t>
      </w:r>
      <w:r>
        <w:rPr>
          <w:color w:val="4D4D4F"/>
          <w:spacing w:val="4"/>
          <w:sz w:val="12"/>
        </w:rPr>
        <w:t xml:space="preserve"> </w:t>
      </w:r>
      <w:r>
        <w:rPr>
          <w:color w:val="4D4D4F"/>
          <w:sz w:val="12"/>
        </w:rPr>
        <w:t>for</w:t>
      </w:r>
      <w:r>
        <w:rPr>
          <w:color w:val="4D4D4F"/>
          <w:spacing w:val="5"/>
          <w:sz w:val="12"/>
        </w:rPr>
        <w:t xml:space="preserve"> </w:t>
      </w:r>
      <w:r>
        <w:rPr>
          <w:color w:val="4D4D4F"/>
          <w:sz w:val="12"/>
        </w:rPr>
        <w:t>Melbourne’s</w:t>
      </w:r>
      <w:r>
        <w:rPr>
          <w:color w:val="4D4D4F"/>
          <w:spacing w:val="4"/>
          <w:sz w:val="12"/>
        </w:rPr>
        <w:t xml:space="preserve"> </w:t>
      </w:r>
      <w:r>
        <w:rPr>
          <w:color w:val="4D4D4F"/>
          <w:spacing w:val="2"/>
          <w:sz w:val="12"/>
        </w:rPr>
        <w:t>Growth</w:t>
      </w:r>
      <w:r>
        <w:rPr>
          <w:color w:val="4D4D4F"/>
          <w:spacing w:val="4"/>
          <w:sz w:val="12"/>
        </w:rPr>
        <w:t xml:space="preserve"> </w:t>
      </w:r>
      <w:r>
        <w:rPr>
          <w:color w:val="4D4D4F"/>
          <w:sz w:val="12"/>
        </w:rPr>
        <w:t>Corridors’,</w:t>
      </w:r>
      <w:r>
        <w:rPr>
          <w:color w:val="4D4D4F"/>
          <w:spacing w:val="4"/>
          <w:sz w:val="12"/>
        </w:rPr>
        <w:t xml:space="preserve"> </w:t>
      </w:r>
      <w:r>
        <w:rPr>
          <w:color w:val="4D4D4F"/>
          <w:sz w:val="12"/>
        </w:rPr>
        <w:t>East</w:t>
      </w:r>
      <w:r>
        <w:rPr>
          <w:color w:val="4D4D4F"/>
          <w:spacing w:val="4"/>
          <w:sz w:val="12"/>
        </w:rPr>
        <w:t xml:space="preserve"> </w:t>
      </w:r>
      <w:r>
        <w:rPr>
          <w:color w:val="4D4D4F"/>
          <w:sz w:val="12"/>
        </w:rPr>
        <w:t>Melbourne,</w:t>
      </w:r>
      <w:r>
        <w:rPr>
          <w:color w:val="4D4D4F"/>
          <w:spacing w:val="4"/>
          <w:sz w:val="12"/>
        </w:rPr>
        <w:t xml:space="preserve"> </w:t>
      </w:r>
      <w:r>
        <w:rPr>
          <w:color w:val="4D4D4F"/>
          <w:sz w:val="12"/>
        </w:rPr>
        <w:t>Victoria.</w:t>
      </w:r>
    </w:p>
    <w:p w14:paraId="4A674E78" w14:textId="77777777" w:rsidR="00EF5B27" w:rsidRDefault="00000000">
      <w:pPr>
        <w:pStyle w:val="ListParagraph"/>
        <w:numPr>
          <w:ilvl w:val="0"/>
          <w:numId w:val="19"/>
        </w:numPr>
        <w:tabs>
          <w:tab w:val="left" w:pos="2836"/>
        </w:tabs>
        <w:spacing w:before="2" w:line="230" w:lineRule="auto"/>
        <w:ind w:right="111"/>
        <w:jc w:val="both"/>
        <w:rPr>
          <w:sz w:val="12"/>
        </w:rPr>
      </w:pPr>
      <w:r>
        <w:rPr>
          <w:color w:val="4D4D4F"/>
          <w:sz w:val="12"/>
        </w:rPr>
        <w:t xml:space="preserve">State Government of Victoria </w:t>
      </w:r>
      <w:r>
        <w:rPr>
          <w:color w:val="4D4D4F"/>
          <w:spacing w:val="2"/>
          <w:sz w:val="12"/>
        </w:rPr>
        <w:t xml:space="preserve">2022, </w:t>
      </w:r>
      <w:r>
        <w:rPr>
          <w:color w:val="4D4D4F"/>
          <w:sz w:val="12"/>
        </w:rPr>
        <w:t xml:space="preserve">Victorian Government Gazette, Issue </w:t>
      </w:r>
      <w:r>
        <w:rPr>
          <w:color w:val="4D4D4F"/>
          <w:spacing w:val="2"/>
          <w:sz w:val="12"/>
        </w:rPr>
        <w:t xml:space="preserve">G4, </w:t>
      </w:r>
      <w:r>
        <w:rPr>
          <w:color w:val="4D4D4F"/>
          <w:sz w:val="12"/>
        </w:rPr>
        <w:t xml:space="preserve">‘Melbourne Strategic Assessment (Environment Mitigation Levy) </w:t>
      </w:r>
      <w:r>
        <w:rPr>
          <w:color w:val="4D4D4F"/>
          <w:spacing w:val="2"/>
          <w:sz w:val="12"/>
        </w:rPr>
        <w:t xml:space="preserve">Act 2020 </w:t>
      </w:r>
      <w:r>
        <w:rPr>
          <w:color w:val="4D4D4F"/>
          <w:sz w:val="12"/>
        </w:rPr>
        <w:t xml:space="preserve">– Notice of the </w:t>
      </w:r>
      <w:r>
        <w:rPr>
          <w:color w:val="4D4D4F"/>
          <w:spacing w:val="2"/>
          <w:sz w:val="12"/>
        </w:rPr>
        <w:t xml:space="preserve">Conservation </w:t>
      </w:r>
      <w:r>
        <w:rPr>
          <w:color w:val="4D4D4F"/>
          <w:sz w:val="12"/>
        </w:rPr>
        <w:t>Outcomes’,</w:t>
      </w:r>
      <w:r>
        <w:rPr>
          <w:color w:val="F36A2E"/>
          <w:sz w:val="12"/>
        </w:rPr>
        <w:t xml:space="preserve"> </w:t>
      </w:r>
      <w:hyperlink r:id="rId169">
        <w:r>
          <w:rPr>
            <w:color w:val="F36A2E"/>
            <w:sz w:val="12"/>
            <w:u w:val="single" w:color="F36A2E"/>
          </w:rPr>
          <w:t>http://www.gazette.vic.gov.au/gazette/Gazettes2022/GG2022G004.pd</w:t>
        </w:r>
        <w:r>
          <w:rPr>
            <w:color w:val="F36A2E"/>
            <w:sz w:val="12"/>
          </w:rPr>
          <w:t xml:space="preserve">f </w:t>
        </w:r>
      </w:hyperlink>
      <w:r>
        <w:rPr>
          <w:color w:val="4D4D4F"/>
          <w:spacing w:val="2"/>
          <w:sz w:val="12"/>
        </w:rPr>
        <w:t xml:space="preserve">Accessed </w:t>
      </w:r>
      <w:r>
        <w:rPr>
          <w:color w:val="4D4D4F"/>
          <w:sz w:val="12"/>
        </w:rPr>
        <w:t>27 January</w:t>
      </w:r>
      <w:r>
        <w:rPr>
          <w:color w:val="4D4D4F"/>
          <w:spacing w:val="4"/>
          <w:sz w:val="12"/>
        </w:rPr>
        <w:t xml:space="preserve"> </w:t>
      </w:r>
      <w:r>
        <w:rPr>
          <w:color w:val="4D4D4F"/>
          <w:spacing w:val="2"/>
          <w:sz w:val="12"/>
        </w:rPr>
        <w:t>2022.</w:t>
      </w:r>
    </w:p>
    <w:p w14:paraId="783A25BC" w14:textId="77777777" w:rsidR="00EF5B27" w:rsidRDefault="00EF5B27">
      <w:pPr>
        <w:spacing w:line="230" w:lineRule="auto"/>
        <w:jc w:val="both"/>
        <w:rPr>
          <w:sz w:val="12"/>
        </w:rPr>
        <w:sectPr w:rsidR="00EF5B27">
          <w:pgSz w:w="11910" w:h="16840"/>
          <w:pgMar w:top="1080" w:right="1020" w:bottom="860" w:left="1020" w:header="537" w:footer="678" w:gutter="0"/>
          <w:cols w:space="720"/>
        </w:sectPr>
      </w:pPr>
    </w:p>
    <w:p w14:paraId="69C69CD3" w14:textId="77777777" w:rsidR="00EF5B27" w:rsidRDefault="00000000">
      <w:pPr>
        <w:pStyle w:val="BodyText"/>
      </w:pPr>
      <w:r>
        <w:lastRenderedPageBreak/>
        <w:pict w14:anchorId="67ECA856">
          <v:group id="_x0000_s2649" style="position:absolute;margin-left:587.05pt;margin-top:183.4pt;width:8.25pt;height:153.1pt;z-index:251739648;mso-position-horizontal-relative:page;mso-position-vertical-relative:page" coordorigin="11741,3668" coordsize="165,3062">
            <v:shape id="_x0000_s2656" style="position:absolute;left:11741;top:3668;width:165;height:561" coordorigin="11741,3668" coordsize="165,561" path="m11906,3668r-165,l11741,4228r165,-18l11906,3668xe" fillcolor="#00aed9" stroked="f">
              <v:path arrowok="t"/>
            </v:shape>
            <v:shape id="_x0000_s2655" style="position:absolute;left:11741;top:4118;width:165;height:425" coordorigin="11741,4118" coordsize="165,425" path="m11906,4118r-165,14l11741,4531r165,12l11906,4118xe" fillcolor="#047ebc" stroked="f">
              <v:path arrowok="t"/>
            </v:shape>
            <v:shape id="_x0000_s2654" type="#_x0000_t75" style="position:absolute;left:11741;top:4355;width:165;height:587">
              <v:imagedata r:id="rId42" o:title=""/>
            </v:shape>
            <v:shape id="_x0000_s2653" style="position:absolute;left:11741;top:5343;width:165;height:536" coordorigin="11741,5343" coordsize="165,536" path="m11741,5343r,535l11906,5872r,-525l11741,5343xe" fillcolor="#f36a2e" stroked="f">
              <v:path arrowok="t"/>
            </v:shape>
            <v:shape id="_x0000_s2652" style="position:absolute;left:11741;top:4925;width:165;height:501" coordorigin="11741,4926" coordsize="165,501" path="m11741,4926r,500l11906,5426r,-485l11741,4926xe" fillcolor="#49783f" stroked="f">
              <v:path arrowok="t"/>
            </v:shape>
            <v:shape id="_x0000_s2651" style="position:absolute;left:11741;top:5781;width:165;height:268" coordorigin="11741,5782" coordsize="165,268" path="m11906,5782r-165,8l11741,6039r165,10l11906,5782xe" fillcolor="#f99f2a" stroked="f">
              <v:path arrowok="t"/>
            </v:shape>
            <v:shape id="_x0000_s2650" style="position:absolute;left:11741;top:6023;width:165;height:707" coordorigin="11741,6023" coordsize="165,707" path="m11741,6023r,706l11906,6729r,-690l11741,6023xe" fillcolor="#ef412c" stroked="f">
              <v:path arrowok="t"/>
            </v:shape>
            <w10:wrap anchorx="page" anchory="page"/>
          </v:group>
        </w:pict>
      </w:r>
    </w:p>
    <w:p w14:paraId="037B2A7D" w14:textId="77777777" w:rsidR="00EF5B27" w:rsidRDefault="00EF5B27">
      <w:pPr>
        <w:pStyle w:val="BodyText"/>
      </w:pPr>
    </w:p>
    <w:p w14:paraId="2719BD1A" w14:textId="77777777" w:rsidR="00EF5B27" w:rsidRDefault="00EF5B27">
      <w:pPr>
        <w:pStyle w:val="BodyText"/>
      </w:pPr>
    </w:p>
    <w:p w14:paraId="2178510F" w14:textId="77777777" w:rsidR="00EF5B27" w:rsidRDefault="00EF5B27">
      <w:pPr>
        <w:pStyle w:val="BodyText"/>
        <w:spacing w:before="4"/>
        <w:rPr>
          <w:sz w:val="25"/>
        </w:rPr>
      </w:pPr>
    </w:p>
    <w:p w14:paraId="1FCA7249" w14:textId="77777777" w:rsidR="00EF5B27" w:rsidRDefault="00000000">
      <w:pPr>
        <w:pStyle w:val="BodyText"/>
        <w:spacing w:before="100" w:line="254" w:lineRule="auto"/>
        <w:ind w:left="2608"/>
      </w:pPr>
      <w:r>
        <w:rPr>
          <w:color w:val="4D4D4F"/>
        </w:rPr>
        <w:t>The Commonwealth approved 2015 MSA Monitoring and Reporting Framework</w:t>
      </w:r>
      <w:r>
        <w:rPr>
          <w:color w:val="4D4D4F"/>
          <w:position w:val="7"/>
          <w:sz w:val="11"/>
        </w:rPr>
        <w:t xml:space="preserve">293 </w:t>
      </w:r>
      <w:r>
        <w:rPr>
          <w:color w:val="4D4D4F"/>
        </w:rPr>
        <w:t>(MRF) formally defined outcomes for MNES – and DELWP has subsequently structured these using as a simple two-tier objectives hierarchy,</w:t>
      </w:r>
      <w:r>
        <w:rPr>
          <w:color w:val="4D4D4F"/>
          <w:position w:val="7"/>
          <w:sz w:val="11"/>
        </w:rPr>
        <w:t xml:space="preserve">294 </w:t>
      </w:r>
      <w:r>
        <w:rPr>
          <w:color w:val="4D4D4F"/>
        </w:rPr>
        <w:t>with a single overarching desired outcome for each species and community, each with associated KPIs.</w:t>
      </w:r>
    </w:p>
    <w:p w14:paraId="348F1916" w14:textId="77777777" w:rsidR="00EF5B27" w:rsidRDefault="00000000">
      <w:pPr>
        <w:pStyle w:val="BodyText"/>
        <w:spacing w:before="119" w:line="254" w:lineRule="auto"/>
        <w:ind w:left="2608" w:right="308"/>
      </w:pPr>
      <w:r>
        <w:rPr>
          <w:color w:val="4D4D4F"/>
        </w:rPr>
        <w:t>The following single outcome statements, one for each species or community, form the basis of the KPIs:</w:t>
      </w:r>
    </w:p>
    <w:p w14:paraId="70C22E2A" w14:textId="77777777" w:rsidR="00EF5B27" w:rsidRDefault="00000000">
      <w:pPr>
        <w:pStyle w:val="ListParagraph"/>
        <w:numPr>
          <w:ilvl w:val="0"/>
          <w:numId w:val="34"/>
        </w:numPr>
        <w:tabs>
          <w:tab w:val="left" w:pos="2779"/>
        </w:tabs>
        <w:spacing w:before="116" w:line="254" w:lineRule="auto"/>
        <w:ind w:right="564"/>
        <w:rPr>
          <w:sz w:val="20"/>
        </w:rPr>
      </w:pPr>
      <w:r>
        <w:rPr>
          <w:color w:val="4D4D4F"/>
          <w:sz w:val="20"/>
        </w:rPr>
        <w:t>The composition, structure and function of Natural Temperate Grassland of the Victorian Volcanic Plain</w:t>
      </w:r>
      <w:r>
        <w:rPr>
          <w:color w:val="4D4D4F"/>
          <w:spacing w:val="13"/>
          <w:sz w:val="20"/>
        </w:rPr>
        <w:t xml:space="preserve"> </w:t>
      </w:r>
      <w:r>
        <w:rPr>
          <w:color w:val="4D4D4F"/>
          <w:sz w:val="20"/>
        </w:rPr>
        <w:t>improves</w:t>
      </w:r>
    </w:p>
    <w:p w14:paraId="647204E8" w14:textId="77777777" w:rsidR="00EF5B27" w:rsidRDefault="00000000">
      <w:pPr>
        <w:pStyle w:val="ListParagraph"/>
        <w:numPr>
          <w:ilvl w:val="0"/>
          <w:numId w:val="34"/>
        </w:numPr>
        <w:tabs>
          <w:tab w:val="left" w:pos="2779"/>
        </w:tabs>
        <w:spacing w:before="115" w:line="254" w:lineRule="auto"/>
        <w:ind w:right="797"/>
        <w:rPr>
          <w:sz w:val="20"/>
        </w:rPr>
      </w:pPr>
      <w:r>
        <w:rPr>
          <w:color w:val="4D4D4F"/>
          <w:sz w:val="20"/>
        </w:rPr>
        <w:t>The composition, structure and function of Grassy Eucalypt Woodland of the Victorian Volcanic Plain</w:t>
      </w:r>
      <w:r>
        <w:rPr>
          <w:color w:val="4D4D4F"/>
          <w:spacing w:val="13"/>
          <w:sz w:val="20"/>
        </w:rPr>
        <w:t xml:space="preserve"> </w:t>
      </w:r>
      <w:r>
        <w:rPr>
          <w:color w:val="4D4D4F"/>
          <w:sz w:val="20"/>
        </w:rPr>
        <w:t>improves</w:t>
      </w:r>
    </w:p>
    <w:p w14:paraId="053317AB" w14:textId="77777777" w:rsidR="00EF5B27" w:rsidRDefault="00000000">
      <w:pPr>
        <w:pStyle w:val="ListParagraph"/>
        <w:numPr>
          <w:ilvl w:val="0"/>
          <w:numId w:val="34"/>
        </w:numPr>
        <w:tabs>
          <w:tab w:val="left" w:pos="2779"/>
        </w:tabs>
        <w:spacing w:before="116" w:line="254" w:lineRule="auto"/>
        <w:ind w:right="391"/>
        <w:rPr>
          <w:sz w:val="20"/>
        </w:rPr>
      </w:pPr>
      <w:r>
        <w:rPr>
          <w:color w:val="4D4D4F"/>
          <w:sz w:val="20"/>
        </w:rPr>
        <w:t>The composition, structure and function of Seasonal Herbaceous Wetlands of the Temperate Lowland Plains</w:t>
      </w:r>
      <w:r>
        <w:rPr>
          <w:color w:val="4D4D4F"/>
          <w:spacing w:val="13"/>
          <w:sz w:val="20"/>
        </w:rPr>
        <w:t xml:space="preserve"> </w:t>
      </w:r>
      <w:r>
        <w:rPr>
          <w:color w:val="4D4D4F"/>
          <w:sz w:val="20"/>
        </w:rPr>
        <w:t>improves</w:t>
      </w:r>
    </w:p>
    <w:p w14:paraId="141FB75E" w14:textId="77777777" w:rsidR="00EF5B27" w:rsidRDefault="00000000">
      <w:pPr>
        <w:pStyle w:val="ListParagraph"/>
        <w:numPr>
          <w:ilvl w:val="0"/>
          <w:numId w:val="34"/>
        </w:numPr>
        <w:tabs>
          <w:tab w:val="left" w:pos="2779"/>
        </w:tabs>
        <w:spacing w:before="116"/>
        <w:rPr>
          <w:sz w:val="20"/>
        </w:rPr>
      </w:pPr>
      <w:r>
        <w:rPr>
          <w:color w:val="4D4D4F"/>
          <w:sz w:val="20"/>
        </w:rPr>
        <w:t>No substantial negative change to populations of Button</w:t>
      </w:r>
      <w:r>
        <w:rPr>
          <w:color w:val="4D4D4F"/>
          <w:spacing w:val="28"/>
          <w:sz w:val="20"/>
        </w:rPr>
        <w:t xml:space="preserve"> </w:t>
      </w:r>
      <w:r>
        <w:rPr>
          <w:color w:val="4D4D4F"/>
          <w:sz w:val="20"/>
        </w:rPr>
        <w:t>Wrinklewort</w:t>
      </w:r>
    </w:p>
    <w:p w14:paraId="1FCA4620" w14:textId="77777777" w:rsidR="00EF5B27" w:rsidRDefault="00000000">
      <w:pPr>
        <w:pStyle w:val="ListParagraph"/>
        <w:numPr>
          <w:ilvl w:val="0"/>
          <w:numId w:val="34"/>
        </w:numPr>
        <w:tabs>
          <w:tab w:val="left" w:pos="2779"/>
        </w:tabs>
        <w:spacing w:before="129"/>
        <w:rPr>
          <w:sz w:val="20"/>
        </w:rPr>
      </w:pPr>
      <w:r>
        <w:rPr>
          <w:color w:val="4D4D4F"/>
          <w:sz w:val="20"/>
        </w:rPr>
        <w:t>No substantial negative change to populations of Large-fruit</w:t>
      </w:r>
      <w:r>
        <w:rPr>
          <w:color w:val="4D4D4F"/>
          <w:spacing w:val="41"/>
          <w:sz w:val="20"/>
        </w:rPr>
        <w:t xml:space="preserve"> </w:t>
      </w:r>
      <w:r>
        <w:rPr>
          <w:color w:val="4D4D4F"/>
          <w:sz w:val="20"/>
        </w:rPr>
        <w:t>Groundsel</w:t>
      </w:r>
    </w:p>
    <w:p w14:paraId="2DF0FD36" w14:textId="77777777" w:rsidR="00EF5B27" w:rsidRDefault="00000000">
      <w:pPr>
        <w:pStyle w:val="ListParagraph"/>
        <w:numPr>
          <w:ilvl w:val="0"/>
          <w:numId w:val="34"/>
        </w:numPr>
        <w:tabs>
          <w:tab w:val="left" w:pos="2779"/>
        </w:tabs>
        <w:spacing w:before="130"/>
        <w:rPr>
          <w:sz w:val="20"/>
        </w:rPr>
      </w:pPr>
      <w:r>
        <w:rPr>
          <w:color w:val="4D4D4F"/>
          <w:sz w:val="20"/>
        </w:rPr>
        <w:t>No substantial negative change to Small Golden Moths</w:t>
      </w:r>
      <w:r>
        <w:rPr>
          <w:color w:val="4D4D4F"/>
          <w:spacing w:val="31"/>
          <w:sz w:val="20"/>
        </w:rPr>
        <w:t xml:space="preserve"> </w:t>
      </w:r>
      <w:r>
        <w:rPr>
          <w:color w:val="4D4D4F"/>
          <w:sz w:val="20"/>
        </w:rPr>
        <w:t>Orchid</w:t>
      </w:r>
    </w:p>
    <w:p w14:paraId="112ED451" w14:textId="77777777" w:rsidR="00EF5B27" w:rsidRDefault="00000000">
      <w:pPr>
        <w:pStyle w:val="ListParagraph"/>
        <w:numPr>
          <w:ilvl w:val="0"/>
          <w:numId w:val="34"/>
        </w:numPr>
        <w:tabs>
          <w:tab w:val="left" w:pos="2779"/>
        </w:tabs>
        <w:spacing w:before="129"/>
        <w:rPr>
          <w:sz w:val="20"/>
        </w:rPr>
      </w:pPr>
      <w:r>
        <w:rPr>
          <w:color w:val="4D4D4F"/>
          <w:w w:val="105"/>
          <w:sz w:val="20"/>
        </w:rPr>
        <w:t>Matted Flax-lily</w:t>
      </w:r>
      <w:r>
        <w:rPr>
          <w:color w:val="4D4D4F"/>
          <w:spacing w:val="2"/>
          <w:w w:val="105"/>
          <w:sz w:val="20"/>
        </w:rPr>
        <w:t xml:space="preserve"> </w:t>
      </w:r>
      <w:r>
        <w:rPr>
          <w:color w:val="4D4D4F"/>
          <w:w w:val="105"/>
          <w:sz w:val="20"/>
        </w:rPr>
        <w:t>persists</w:t>
      </w:r>
    </w:p>
    <w:p w14:paraId="4C93D6C8" w14:textId="77777777" w:rsidR="00EF5B27" w:rsidRDefault="00000000">
      <w:pPr>
        <w:pStyle w:val="ListParagraph"/>
        <w:numPr>
          <w:ilvl w:val="0"/>
          <w:numId w:val="34"/>
        </w:numPr>
        <w:tabs>
          <w:tab w:val="left" w:pos="2779"/>
        </w:tabs>
        <w:spacing w:before="129" w:line="254" w:lineRule="auto"/>
        <w:ind w:right="674"/>
        <w:rPr>
          <w:sz w:val="20"/>
        </w:rPr>
      </w:pPr>
      <w:r>
        <w:rPr>
          <w:color w:val="4D4D4F"/>
          <w:sz w:val="20"/>
        </w:rPr>
        <w:t>No substantial negative change to the population of Spiny Rice-flower, and the population is</w:t>
      </w:r>
      <w:r>
        <w:rPr>
          <w:color w:val="4D4D4F"/>
          <w:spacing w:val="8"/>
          <w:sz w:val="20"/>
        </w:rPr>
        <w:t xml:space="preserve"> </w:t>
      </w:r>
      <w:r>
        <w:rPr>
          <w:color w:val="4D4D4F"/>
          <w:sz w:val="20"/>
        </w:rPr>
        <w:t>self-sustaining</w:t>
      </w:r>
    </w:p>
    <w:p w14:paraId="5EA388B4" w14:textId="77777777" w:rsidR="00EF5B27" w:rsidRDefault="00000000">
      <w:pPr>
        <w:pStyle w:val="ListParagraph"/>
        <w:numPr>
          <w:ilvl w:val="0"/>
          <w:numId w:val="34"/>
        </w:numPr>
        <w:tabs>
          <w:tab w:val="left" w:pos="2779"/>
        </w:tabs>
        <w:spacing w:before="116"/>
        <w:rPr>
          <w:sz w:val="20"/>
        </w:rPr>
      </w:pPr>
      <w:r>
        <w:rPr>
          <w:color w:val="4D4D4F"/>
          <w:w w:val="105"/>
          <w:sz w:val="20"/>
        </w:rPr>
        <w:t>Golden Sun Moth</w:t>
      </w:r>
      <w:r>
        <w:rPr>
          <w:color w:val="4D4D4F"/>
          <w:spacing w:val="2"/>
          <w:w w:val="105"/>
          <w:sz w:val="20"/>
        </w:rPr>
        <w:t xml:space="preserve"> </w:t>
      </w:r>
      <w:r>
        <w:rPr>
          <w:color w:val="4D4D4F"/>
          <w:w w:val="105"/>
          <w:sz w:val="20"/>
        </w:rPr>
        <w:t>persists</w:t>
      </w:r>
    </w:p>
    <w:p w14:paraId="42C03742" w14:textId="77777777" w:rsidR="00EF5B27" w:rsidRDefault="00000000">
      <w:pPr>
        <w:pStyle w:val="ListParagraph"/>
        <w:numPr>
          <w:ilvl w:val="0"/>
          <w:numId w:val="34"/>
        </w:numPr>
        <w:tabs>
          <w:tab w:val="left" w:pos="2779"/>
        </w:tabs>
        <w:spacing w:before="129"/>
        <w:rPr>
          <w:sz w:val="20"/>
        </w:rPr>
      </w:pPr>
      <w:r>
        <w:rPr>
          <w:color w:val="4D4D4F"/>
          <w:w w:val="105"/>
          <w:sz w:val="20"/>
        </w:rPr>
        <w:t>Growling Grass Frog</w:t>
      </w:r>
      <w:r>
        <w:rPr>
          <w:color w:val="4D4D4F"/>
          <w:spacing w:val="5"/>
          <w:w w:val="105"/>
          <w:sz w:val="20"/>
        </w:rPr>
        <w:t xml:space="preserve"> </w:t>
      </w:r>
      <w:r>
        <w:rPr>
          <w:color w:val="4D4D4F"/>
          <w:w w:val="105"/>
          <w:sz w:val="20"/>
        </w:rPr>
        <w:t>persists</w:t>
      </w:r>
    </w:p>
    <w:p w14:paraId="6314BEF5" w14:textId="77777777" w:rsidR="00EF5B27" w:rsidRDefault="00000000">
      <w:pPr>
        <w:pStyle w:val="ListParagraph"/>
        <w:numPr>
          <w:ilvl w:val="0"/>
          <w:numId w:val="34"/>
        </w:numPr>
        <w:tabs>
          <w:tab w:val="left" w:pos="2779"/>
        </w:tabs>
        <w:spacing w:before="129"/>
        <w:rPr>
          <w:sz w:val="20"/>
        </w:rPr>
      </w:pPr>
      <w:r>
        <w:rPr>
          <w:color w:val="4D4D4F"/>
          <w:sz w:val="20"/>
        </w:rPr>
        <w:t>Southern Brown Bandicoot</w:t>
      </w:r>
      <w:r>
        <w:rPr>
          <w:color w:val="4D4D4F"/>
          <w:spacing w:val="14"/>
          <w:sz w:val="20"/>
        </w:rPr>
        <w:t xml:space="preserve"> </w:t>
      </w:r>
      <w:r>
        <w:rPr>
          <w:color w:val="4D4D4F"/>
          <w:sz w:val="20"/>
        </w:rPr>
        <w:t>persists</w:t>
      </w:r>
    </w:p>
    <w:p w14:paraId="2DEEB0FF" w14:textId="77777777" w:rsidR="00EF5B27" w:rsidRDefault="00000000">
      <w:pPr>
        <w:pStyle w:val="ListParagraph"/>
        <w:numPr>
          <w:ilvl w:val="0"/>
          <w:numId w:val="34"/>
        </w:numPr>
        <w:tabs>
          <w:tab w:val="left" w:pos="2779"/>
        </w:tabs>
        <w:spacing w:before="130"/>
        <w:rPr>
          <w:sz w:val="20"/>
        </w:rPr>
      </w:pPr>
      <w:r>
        <w:rPr>
          <w:color w:val="4D4D4F"/>
          <w:w w:val="105"/>
          <w:sz w:val="20"/>
        </w:rPr>
        <w:t>Striped Legless Lizard</w:t>
      </w:r>
      <w:r>
        <w:rPr>
          <w:color w:val="4D4D4F"/>
          <w:spacing w:val="5"/>
          <w:w w:val="105"/>
          <w:sz w:val="20"/>
        </w:rPr>
        <w:t xml:space="preserve"> </w:t>
      </w:r>
      <w:r>
        <w:rPr>
          <w:color w:val="4D4D4F"/>
          <w:w w:val="105"/>
          <w:sz w:val="20"/>
        </w:rPr>
        <w:t>persists.</w:t>
      </w:r>
    </w:p>
    <w:p w14:paraId="3908E102" w14:textId="77777777" w:rsidR="00EF5B27" w:rsidRDefault="00000000">
      <w:pPr>
        <w:pStyle w:val="BodyText"/>
        <w:spacing w:before="129" w:line="254" w:lineRule="auto"/>
        <w:ind w:left="2608" w:right="131"/>
        <w:rPr>
          <w:sz w:val="11"/>
        </w:rPr>
      </w:pPr>
      <w:r>
        <w:rPr>
          <w:color w:val="4D4D4F"/>
        </w:rPr>
        <w:t xml:space="preserve">DELWP treats each of these as independent outcomes, all of which must be achieved </w:t>
      </w:r>
      <w:r>
        <w:rPr>
          <w:color w:val="4D4D4F"/>
          <w:spacing w:val="-2"/>
        </w:rPr>
        <w:t xml:space="preserve">for </w:t>
      </w:r>
      <w:r>
        <w:rPr>
          <w:color w:val="4D4D4F"/>
        </w:rPr>
        <w:t xml:space="preserve">the MSA to be </w:t>
      </w:r>
      <w:r>
        <w:rPr>
          <w:color w:val="4D4D4F"/>
          <w:spacing w:val="-4"/>
        </w:rPr>
        <w:t xml:space="preserve">fulfilling </w:t>
      </w:r>
      <w:r>
        <w:rPr>
          <w:color w:val="4D4D4F"/>
        </w:rPr>
        <w:t>its obligations.</w:t>
      </w:r>
      <w:r>
        <w:rPr>
          <w:color w:val="4D4D4F"/>
          <w:position w:val="7"/>
          <w:sz w:val="11"/>
        </w:rPr>
        <w:t xml:space="preserve">295 </w:t>
      </w:r>
      <w:r>
        <w:rPr>
          <w:color w:val="4D4D4F"/>
        </w:rPr>
        <w:t xml:space="preserve">They have not been afforded different </w:t>
      </w:r>
      <w:r>
        <w:rPr>
          <w:color w:val="4D4D4F"/>
          <w:spacing w:val="-3"/>
        </w:rPr>
        <w:t xml:space="preserve">levels </w:t>
      </w:r>
      <w:r>
        <w:rPr>
          <w:color w:val="4D4D4F"/>
        </w:rPr>
        <w:t xml:space="preserve">of importance or </w:t>
      </w:r>
      <w:r>
        <w:rPr>
          <w:color w:val="4D4D4F"/>
          <w:spacing w:val="-3"/>
        </w:rPr>
        <w:t xml:space="preserve">integrated </w:t>
      </w:r>
      <w:r>
        <w:rPr>
          <w:color w:val="4D4D4F"/>
          <w:spacing w:val="-4"/>
        </w:rPr>
        <w:t xml:space="preserve">into </w:t>
      </w:r>
      <w:r>
        <w:rPr>
          <w:color w:val="4D4D4F"/>
          <w:spacing w:val="-3"/>
        </w:rPr>
        <w:t xml:space="preserve">any </w:t>
      </w:r>
      <w:r>
        <w:rPr>
          <w:color w:val="4D4D4F"/>
        </w:rPr>
        <w:t>system which permits trade-offs between them.</w:t>
      </w:r>
      <w:r>
        <w:rPr>
          <w:color w:val="4D4D4F"/>
          <w:position w:val="7"/>
          <w:sz w:val="11"/>
        </w:rPr>
        <w:t>296</w:t>
      </w:r>
    </w:p>
    <w:p w14:paraId="24ACD050" w14:textId="77777777" w:rsidR="00EF5B27" w:rsidRDefault="00EF5B27">
      <w:pPr>
        <w:pStyle w:val="BodyText"/>
        <w:spacing w:before="2"/>
        <w:rPr>
          <w:sz w:val="19"/>
        </w:rPr>
      </w:pPr>
    </w:p>
    <w:p w14:paraId="14C04496" w14:textId="77777777" w:rsidR="00EF5B27" w:rsidRDefault="00000000">
      <w:pPr>
        <w:pStyle w:val="Heading3"/>
        <w:ind w:right="1488"/>
      </w:pPr>
      <w:r>
        <w:rPr>
          <w:color w:val="F99F2A"/>
          <w:spacing w:val="-5"/>
        </w:rPr>
        <w:t xml:space="preserve">Reporting </w:t>
      </w:r>
      <w:r>
        <w:rPr>
          <w:color w:val="F99F2A"/>
          <w:spacing w:val="-6"/>
        </w:rPr>
        <w:t xml:space="preserve">challenges </w:t>
      </w:r>
      <w:r>
        <w:rPr>
          <w:color w:val="F99F2A"/>
          <w:spacing w:val="-3"/>
        </w:rPr>
        <w:t xml:space="preserve">for </w:t>
      </w:r>
      <w:r>
        <w:rPr>
          <w:color w:val="F99F2A"/>
          <w:spacing w:val="-4"/>
        </w:rPr>
        <w:t xml:space="preserve">the </w:t>
      </w:r>
      <w:r>
        <w:rPr>
          <w:color w:val="F99F2A"/>
          <w:spacing w:val="-5"/>
        </w:rPr>
        <w:t xml:space="preserve">inaugural </w:t>
      </w:r>
      <w:r>
        <w:rPr>
          <w:color w:val="F99F2A"/>
          <w:spacing w:val="-3"/>
        </w:rPr>
        <w:t xml:space="preserve">MSA </w:t>
      </w:r>
      <w:r>
        <w:rPr>
          <w:color w:val="F99F2A"/>
        </w:rPr>
        <w:t xml:space="preserve">report </w:t>
      </w:r>
      <w:r>
        <w:rPr>
          <w:color w:val="F99F2A"/>
          <w:spacing w:val="-3"/>
        </w:rPr>
        <w:t xml:space="preserve">by </w:t>
      </w:r>
      <w:r>
        <w:rPr>
          <w:color w:val="F99F2A"/>
          <w:spacing w:val="-4"/>
        </w:rPr>
        <w:t xml:space="preserve">the </w:t>
      </w:r>
      <w:r>
        <w:rPr>
          <w:color w:val="F99F2A"/>
          <w:spacing w:val="-6"/>
        </w:rPr>
        <w:t>Commissioner</w:t>
      </w:r>
    </w:p>
    <w:p w14:paraId="2F13F8D3" w14:textId="77777777" w:rsidR="00EF5B27" w:rsidRDefault="00000000">
      <w:pPr>
        <w:pStyle w:val="BodyText"/>
        <w:spacing w:before="219" w:line="254" w:lineRule="auto"/>
        <w:ind w:left="2608" w:right="147"/>
      </w:pPr>
      <w:r>
        <w:rPr>
          <w:color w:val="4D4D4F"/>
        </w:rPr>
        <w:t xml:space="preserve">This Strategic Audit of the </w:t>
      </w:r>
      <w:r>
        <w:rPr>
          <w:color w:val="4D4D4F"/>
          <w:spacing w:val="-3"/>
        </w:rPr>
        <w:t xml:space="preserve">Implementation </w:t>
      </w:r>
      <w:r>
        <w:rPr>
          <w:color w:val="4D4D4F"/>
        </w:rPr>
        <w:t>of MSA Conservation Outcomes 2022 Report presents data supplied by DELWP and Parks Victoria in relation to status and trend information</w:t>
      </w:r>
      <w:r>
        <w:rPr>
          <w:color w:val="4D4D4F"/>
          <w:spacing w:val="-6"/>
        </w:rPr>
        <w:t xml:space="preserve"> </w:t>
      </w:r>
      <w:r>
        <w:rPr>
          <w:color w:val="4D4D4F"/>
        </w:rPr>
        <w:t>against</w:t>
      </w:r>
      <w:r>
        <w:rPr>
          <w:color w:val="4D4D4F"/>
          <w:spacing w:val="-5"/>
        </w:rPr>
        <w:t xml:space="preserve"> </w:t>
      </w:r>
      <w:r>
        <w:rPr>
          <w:color w:val="4D4D4F"/>
        </w:rPr>
        <w:t>conservation</w:t>
      </w:r>
      <w:r>
        <w:rPr>
          <w:color w:val="4D4D4F"/>
          <w:spacing w:val="-6"/>
        </w:rPr>
        <w:t xml:space="preserve"> </w:t>
      </w:r>
      <w:r>
        <w:rPr>
          <w:color w:val="4D4D4F"/>
        </w:rPr>
        <w:t>outcomes</w:t>
      </w:r>
      <w:r>
        <w:rPr>
          <w:color w:val="4D4D4F"/>
          <w:spacing w:val="-5"/>
        </w:rPr>
        <w:t xml:space="preserve"> </w:t>
      </w:r>
      <w:r>
        <w:rPr>
          <w:color w:val="4D4D4F"/>
        </w:rPr>
        <w:t>for</w:t>
      </w:r>
      <w:r>
        <w:rPr>
          <w:color w:val="4D4D4F"/>
          <w:spacing w:val="-6"/>
        </w:rPr>
        <w:t xml:space="preserve"> </w:t>
      </w:r>
      <w:r>
        <w:rPr>
          <w:color w:val="4D4D4F"/>
        </w:rPr>
        <w:t>MNES</w:t>
      </w:r>
      <w:r>
        <w:rPr>
          <w:color w:val="4D4D4F"/>
          <w:spacing w:val="-5"/>
        </w:rPr>
        <w:t xml:space="preserve"> </w:t>
      </w:r>
      <w:r>
        <w:rPr>
          <w:color w:val="4D4D4F"/>
        </w:rPr>
        <w:t>defined</w:t>
      </w:r>
      <w:r>
        <w:rPr>
          <w:color w:val="4D4D4F"/>
          <w:spacing w:val="-6"/>
        </w:rPr>
        <w:t xml:space="preserve"> </w:t>
      </w:r>
      <w:r>
        <w:rPr>
          <w:color w:val="4D4D4F"/>
        </w:rPr>
        <w:t>in</w:t>
      </w:r>
      <w:r>
        <w:rPr>
          <w:color w:val="4D4D4F"/>
          <w:spacing w:val="-5"/>
        </w:rPr>
        <w:t xml:space="preserve"> </w:t>
      </w:r>
      <w:r>
        <w:rPr>
          <w:color w:val="4D4D4F"/>
        </w:rPr>
        <w:t>the</w:t>
      </w:r>
      <w:r>
        <w:rPr>
          <w:color w:val="4D4D4F"/>
          <w:spacing w:val="-6"/>
        </w:rPr>
        <w:t xml:space="preserve"> </w:t>
      </w:r>
      <w:r>
        <w:rPr>
          <w:color w:val="4D4D4F"/>
        </w:rPr>
        <w:t>MRF</w:t>
      </w:r>
      <w:r>
        <w:rPr>
          <w:color w:val="4D4D4F"/>
          <w:spacing w:val="-5"/>
        </w:rPr>
        <w:t xml:space="preserve"> </w:t>
      </w:r>
      <w:r>
        <w:rPr>
          <w:color w:val="4D4D4F"/>
        </w:rPr>
        <w:t>and</w:t>
      </w:r>
      <w:r>
        <w:rPr>
          <w:color w:val="4D4D4F"/>
          <w:spacing w:val="-6"/>
        </w:rPr>
        <w:t xml:space="preserve"> </w:t>
      </w:r>
      <w:r>
        <w:rPr>
          <w:color w:val="4D4D4F"/>
        </w:rPr>
        <w:t xml:space="preserve">published in the Victorian Government Gazette, </w:t>
      </w:r>
      <w:r>
        <w:rPr>
          <w:color w:val="4D4D4F"/>
          <w:position w:val="7"/>
          <w:sz w:val="11"/>
        </w:rPr>
        <w:t xml:space="preserve">297 </w:t>
      </w:r>
      <w:r>
        <w:rPr>
          <w:color w:val="4D4D4F"/>
        </w:rPr>
        <w:t xml:space="preserve">covering the reporting period 1 July 2020 to  30 June 2022. This </w:t>
      </w:r>
      <w:r>
        <w:rPr>
          <w:color w:val="4D4D4F"/>
          <w:spacing w:val="2"/>
        </w:rPr>
        <w:t xml:space="preserve">report </w:t>
      </w:r>
      <w:r>
        <w:rPr>
          <w:color w:val="4D4D4F"/>
        </w:rPr>
        <w:t>also addresses issues and limitations in the current MRF regarding its assessment of the conservation</w:t>
      </w:r>
      <w:r>
        <w:rPr>
          <w:color w:val="4D4D4F"/>
          <w:spacing w:val="30"/>
        </w:rPr>
        <w:t xml:space="preserve"> </w:t>
      </w:r>
      <w:r>
        <w:rPr>
          <w:color w:val="4D4D4F"/>
        </w:rPr>
        <w:t>outcomes.</w:t>
      </w:r>
    </w:p>
    <w:p w14:paraId="2C3D7153" w14:textId="77777777" w:rsidR="00EF5B27" w:rsidRDefault="00000000">
      <w:pPr>
        <w:pStyle w:val="BodyText"/>
        <w:spacing w:before="121" w:line="254" w:lineRule="auto"/>
        <w:ind w:left="2608" w:right="294"/>
      </w:pPr>
      <w:r>
        <w:rPr>
          <w:color w:val="4D4D4F"/>
        </w:rPr>
        <w:t>A significant number of MNES cannot be fully assessed in this first reporting period for</w:t>
      </w:r>
      <w:r>
        <w:rPr>
          <w:color w:val="4D4D4F"/>
          <w:spacing w:val="5"/>
        </w:rPr>
        <w:t xml:space="preserve"> </w:t>
      </w:r>
      <w:r>
        <w:rPr>
          <w:color w:val="4D4D4F"/>
        </w:rPr>
        <w:t>multiple</w:t>
      </w:r>
      <w:r>
        <w:rPr>
          <w:color w:val="4D4D4F"/>
          <w:spacing w:val="6"/>
        </w:rPr>
        <w:t xml:space="preserve"> </w:t>
      </w:r>
      <w:r>
        <w:rPr>
          <w:color w:val="4D4D4F"/>
        </w:rPr>
        <w:t>reasons</w:t>
      </w:r>
      <w:r>
        <w:rPr>
          <w:color w:val="4D4D4F"/>
          <w:spacing w:val="5"/>
        </w:rPr>
        <w:t xml:space="preserve"> </w:t>
      </w:r>
      <w:r>
        <w:rPr>
          <w:color w:val="4D4D4F"/>
        </w:rPr>
        <w:t>including</w:t>
      </w:r>
      <w:r>
        <w:rPr>
          <w:color w:val="4D4D4F"/>
          <w:spacing w:val="6"/>
        </w:rPr>
        <w:t xml:space="preserve"> </w:t>
      </w:r>
      <w:r>
        <w:rPr>
          <w:color w:val="4D4D4F"/>
        </w:rPr>
        <w:t>lack</w:t>
      </w:r>
      <w:r>
        <w:rPr>
          <w:color w:val="4D4D4F"/>
          <w:spacing w:val="5"/>
        </w:rPr>
        <w:t xml:space="preserve"> </w:t>
      </w:r>
      <w:r>
        <w:rPr>
          <w:color w:val="4D4D4F"/>
        </w:rPr>
        <w:t>of</w:t>
      </w:r>
      <w:r>
        <w:rPr>
          <w:color w:val="4D4D4F"/>
          <w:spacing w:val="6"/>
        </w:rPr>
        <w:t xml:space="preserve"> </w:t>
      </w:r>
      <w:r>
        <w:rPr>
          <w:color w:val="4D4D4F"/>
        </w:rPr>
        <w:t>data</w:t>
      </w:r>
      <w:r>
        <w:rPr>
          <w:color w:val="4D4D4F"/>
          <w:spacing w:val="5"/>
        </w:rPr>
        <w:t xml:space="preserve"> </w:t>
      </w:r>
      <w:r>
        <w:rPr>
          <w:color w:val="4D4D4F"/>
        </w:rPr>
        <w:t>and</w:t>
      </w:r>
      <w:r>
        <w:rPr>
          <w:color w:val="4D4D4F"/>
          <w:spacing w:val="6"/>
        </w:rPr>
        <w:t xml:space="preserve"> </w:t>
      </w:r>
      <w:r>
        <w:rPr>
          <w:color w:val="4D4D4F"/>
        </w:rPr>
        <w:t>the</w:t>
      </w:r>
      <w:r>
        <w:rPr>
          <w:color w:val="4D4D4F"/>
          <w:spacing w:val="5"/>
        </w:rPr>
        <w:t xml:space="preserve"> </w:t>
      </w:r>
      <w:r>
        <w:rPr>
          <w:color w:val="4D4D4F"/>
        </w:rPr>
        <w:t>baseline</w:t>
      </w:r>
      <w:r>
        <w:rPr>
          <w:color w:val="4D4D4F"/>
          <w:spacing w:val="6"/>
        </w:rPr>
        <w:t xml:space="preserve"> </w:t>
      </w:r>
      <w:r>
        <w:rPr>
          <w:color w:val="4D4D4F"/>
        </w:rPr>
        <w:t>for</w:t>
      </w:r>
      <w:r>
        <w:rPr>
          <w:color w:val="4D4D4F"/>
          <w:spacing w:val="5"/>
        </w:rPr>
        <w:t xml:space="preserve"> </w:t>
      </w:r>
      <w:r>
        <w:rPr>
          <w:color w:val="4D4D4F"/>
        </w:rPr>
        <w:t>the</w:t>
      </w:r>
      <w:r>
        <w:rPr>
          <w:color w:val="4D4D4F"/>
          <w:spacing w:val="6"/>
        </w:rPr>
        <w:t xml:space="preserve"> </w:t>
      </w:r>
      <w:r>
        <w:rPr>
          <w:color w:val="4D4D4F"/>
        </w:rPr>
        <w:t>KPI</w:t>
      </w:r>
      <w:r>
        <w:rPr>
          <w:color w:val="4D4D4F"/>
          <w:spacing w:val="5"/>
        </w:rPr>
        <w:t xml:space="preserve"> </w:t>
      </w:r>
      <w:r>
        <w:rPr>
          <w:color w:val="4D4D4F"/>
        </w:rPr>
        <w:t>not</w:t>
      </w:r>
      <w:r>
        <w:rPr>
          <w:color w:val="4D4D4F"/>
          <w:spacing w:val="6"/>
        </w:rPr>
        <w:t xml:space="preserve"> </w:t>
      </w:r>
      <w:r>
        <w:rPr>
          <w:color w:val="4D4D4F"/>
        </w:rPr>
        <w:t>being</w:t>
      </w:r>
      <w:r>
        <w:rPr>
          <w:color w:val="4D4D4F"/>
          <w:spacing w:val="5"/>
        </w:rPr>
        <w:t xml:space="preserve"> </w:t>
      </w:r>
      <w:r>
        <w:rPr>
          <w:color w:val="4D4D4F"/>
        </w:rPr>
        <w:t>set.</w:t>
      </w:r>
    </w:p>
    <w:p w14:paraId="4C31393F" w14:textId="77777777" w:rsidR="00EF5B27" w:rsidRDefault="00000000">
      <w:pPr>
        <w:pStyle w:val="BodyText"/>
        <w:spacing w:before="9"/>
        <w:rPr>
          <w:sz w:val="29"/>
        </w:rPr>
      </w:pPr>
      <w:r>
        <w:pict w14:anchorId="7D02DFE7">
          <v:line id="_x0000_s2648" style="position:absolute;z-index:251657728;mso-wrap-distance-left:0;mso-wrap-distance-right:0;mso-position-horizontal-relative:page" from="181.4pt,20.35pt" to="538.6pt,20.35pt" strokecolor="#4d4d4f" strokeweight=".5pt">
            <w10:wrap type="topAndBottom" anchorx="page"/>
          </v:line>
        </w:pict>
      </w:r>
    </w:p>
    <w:p w14:paraId="176DF34A" w14:textId="77777777" w:rsidR="00EF5B27" w:rsidRDefault="00000000">
      <w:pPr>
        <w:pStyle w:val="ListParagraph"/>
        <w:numPr>
          <w:ilvl w:val="0"/>
          <w:numId w:val="19"/>
        </w:numPr>
        <w:tabs>
          <w:tab w:val="left" w:pos="2836"/>
        </w:tabs>
        <w:spacing w:before="83" w:line="143" w:lineRule="exact"/>
        <w:rPr>
          <w:sz w:val="12"/>
        </w:rPr>
      </w:pPr>
      <w:r>
        <w:rPr>
          <w:color w:val="4D4D4F"/>
          <w:sz w:val="12"/>
        </w:rPr>
        <w:t>DELWP</w:t>
      </w:r>
      <w:r>
        <w:rPr>
          <w:color w:val="4D4D4F"/>
          <w:spacing w:val="4"/>
          <w:sz w:val="12"/>
        </w:rPr>
        <w:t xml:space="preserve"> </w:t>
      </w:r>
      <w:r>
        <w:rPr>
          <w:color w:val="4D4D4F"/>
          <w:sz w:val="12"/>
        </w:rPr>
        <w:t>2015,</w:t>
      </w:r>
      <w:r>
        <w:rPr>
          <w:color w:val="4D4D4F"/>
          <w:spacing w:val="5"/>
          <w:sz w:val="12"/>
        </w:rPr>
        <w:t xml:space="preserve"> </w:t>
      </w:r>
      <w:r>
        <w:rPr>
          <w:color w:val="4D4D4F"/>
          <w:sz w:val="12"/>
        </w:rPr>
        <w:t>‘Monitoring</w:t>
      </w:r>
      <w:r>
        <w:rPr>
          <w:color w:val="4D4D4F"/>
          <w:spacing w:val="5"/>
          <w:sz w:val="12"/>
        </w:rPr>
        <w:t xml:space="preserve"> </w:t>
      </w:r>
      <w:r>
        <w:rPr>
          <w:color w:val="4D4D4F"/>
          <w:sz w:val="12"/>
        </w:rPr>
        <w:t>and</w:t>
      </w:r>
      <w:r>
        <w:rPr>
          <w:color w:val="4D4D4F"/>
          <w:spacing w:val="5"/>
          <w:sz w:val="12"/>
        </w:rPr>
        <w:t xml:space="preserve"> </w:t>
      </w:r>
      <w:r>
        <w:rPr>
          <w:color w:val="4D4D4F"/>
          <w:sz w:val="12"/>
        </w:rPr>
        <w:t>Reporting</w:t>
      </w:r>
      <w:r>
        <w:rPr>
          <w:color w:val="4D4D4F"/>
          <w:spacing w:val="5"/>
          <w:sz w:val="12"/>
        </w:rPr>
        <w:t xml:space="preserve"> </w:t>
      </w:r>
      <w:r>
        <w:rPr>
          <w:color w:val="4D4D4F"/>
          <w:sz w:val="12"/>
        </w:rPr>
        <w:t>Framework</w:t>
      </w:r>
      <w:r>
        <w:rPr>
          <w:color w:val="4D4D4F"/>
          <w:spacing w:val="5"/>
          <w:sz w:val="12"/>
        </w:rPr>
        <w:t xml:space="preserve"> </w:t>
      </w:r>
      <w:r>
        <w:rPr>
          <w:color w:val="4D4D4F"/>
          <w:sz w:val="12"/>
        </w:rPr>
        <w:t>–</w:t>
      </w:r>
      <w:r>
        <w:rPr>
          <w:color w:val="4D4D4F"/>
          <w:spacing w:val="5"/>
          <w:sz w:val="12"/>
        </w:rPr>
        <w:t xml:space="preserve"> </w:t>
      </w:r>
      <w:r>
        <w:rPr>
          <w:color w:val="4D4D4F"/>
          <w:sz w:val="12"/>
        </w:rPr>
        <w:t>Melbourne</w:t>
      </w:r>
      <w:r>
        <w:rPr>
          <w:color w:val="4D4D4F"/>
          <w:spacing w:val="5"/>
          <w:sz w:val="12"/>
        </w:rPr>
        <w:t xml:space="preserve"> </w:t>
      </w:r>
      <w:r>
        <w:rPr>
          <w:color w:val="4D4D4F"/>
          <w:sz w:val="12"/>
        </w:rPr>
        <w:t>Strategic</w:t>
      </w:r>
      <w:r>
        <w:rPr>
          <w:color w:val="4D4D4F"/>
          <w:spacing w:val="5"/>
          <w:sz w:val="12"/>
        </w:rPr>
        <w:t xml:space="preserve"> </w:t>
      </w:r>
      <w:r>
        <w:rPr>
          <w:color w:val="4D4D4F"/>
          <w:sz w:val="12"/>
        </w:rPr>
        <w:t>Assessment’,</w:t>
      </w:r>
      <w:r>
        <w:rPr>
          <w:color w:val="4D4D4F"/>
          <w:spacing w:val="5"/>
          <w:sz w:val="12"/>
        </w:rPr>
        <w:t xml:space="preserve"> </w:t>
      </w:r>
      <w:r>
        <w:rPr>
          <w:color w:val="4D4D4F"/>
          <w:sz w:val="12"/>
        </w:rPr>
        <w:t>East</w:t>
      </w:r>
      <w:r>
        <w:rPr>
          <w:color w:val="4D4D4F"/>
          <w:spacing w:val="5"/>
          <w:sz w:val="12"/>
        </w:rPr>
        <w:t xml:space="preserve"> </w:t>
      </w:r>
      <w:r>
        <w:rPr>
          <w:color w:val="4D4D4F"/>
          <w:sz w:val="12"/>
        </w:rPr>
        <w:t>Melbourne,</w:t>
      </w:r>
      <w:r>
        <w:rPr>
          <w:color w:val="4D4D4F"/>
          <w:spacing w:val="5"/>
          <w:sz w:val="12"/>
        </w:rPr>
        <w:t xml:space="preserve"> </w:t>
      </w:r>
      <w:r>
        <w:rPr>
          <w:color w:val="4D4D4F"/>
          <w:sz w:val="12"/>
        </w:rPr>
        <w:t>Victoria.</w:t>
      </w:r>
    </w:p>
    <w:p w14:paraId="701B29B5" w14:textId="77777777" w:rsidR="00EF5B27" w:rsidRDefault="00000000">
      <w:pPr>
        <w:pStyle w:val="ListParagraph"/>
        <w:numPr>
          <w:ilvl w:val="0"/>
          <w:numId w:val="19"/>
        </w:numPr>
        <w:tabs>
          <w:tab w:val="left" w:pos="2836"/>
        </w:tabs>
        <w:spacing w:before="2" w:line="230" w:lineRule="auto"/>
        <w:ind w:right="111"/>
        <w:jc w:val="both"/>
        <w:rPr>
          <w:sz w:val="12"/>
        </w:rPr>
      </w:pPr>
      <w:r>
        <w:rPr>
          <w:color w:val="4D4D4F"/>
          <w:sz w:val="12"/>
        </w:rPr>
        <w:t xml:space="preserve">Biggs HC, and </w:t>
      </w:r>
      <w:r>
        <w:rPr>
          <w:color w:val="4D4D4F"/>
          <w:spacing w:val="2"/>
          <w:sz w:val="12"/>
        </w:rPr>
        <w:t xml:space="preserve">Rogers </w:t>
      </w:r>
      <w:r>
        <w:rPr>
          <w:color w:val="4D4D4F"/>
          <w:sz w:val="12"/>
        </w:rPr>
        <w:t xml:space="preserve">KH </w:t>
      </w:r>
      <w:r>
        <w:rPr>
          <w:color w:val="4D4D4F"/>
          <w:spacing w:val="3"/>
          <w:sz w:val="12"/>
        </w:rPr>
        <w:t xml:space="preserve">2003, </w:t>
      </w:r>
      <w:r>
        <w:rPr>
          <w:color w:val="4D4D4F"/>
          <w:sz w:val="12"/>
        </w:rPr>
        <w:t xml:space="preserve">‘An adaptive system to link science, monitoring, and management in </w:t>
      </w:r>
      <w:r>
        <w:rPr>
          <w:color w:val="4D4D4F"/>
          <w:spacing w:val="2"/>
          <w:sz w:val="12"/>
        </w:rPr>
        <w:t xml:space="preserve">practice. </w:t>
      </w:r>
      <w:r>
        <w:rPr>
          <w:color w:val="4D4D4F"/>
          <w:sz w:val="12"/>
        </w:rPr>
        <w:t xml:space="preserve">In </w:t>
      </w:r>
      <w:r>
        <w:rPr>
          <w:color w:val="4D4D4F"/>
          <w:spacing w:val="2"/>
          <w:sz w:val="12"/>
        </w:rPr>
        <w:t xml:space="preserve">The Kruger Experience: </w:t>
      </w:r>
      <w:r>
        <w:rPr>
          <w:color w:val="4D4D4F"/>
          <w:sz w:val="12"/>
        </w:rPr>
        <w:t>Ecology</w:t>
      </w:r>
      <w:r>
        <w:rPr>
          <w:color w:val="4D4D4F"/>
          <w:spacing w:val="9"/>
          <w:sz w:val="12"/>
        </w:rPr>
        <w:t xml:space="preserve"> </w:t>
      </w:r>
      <w:r>
        <w:rPr>
          <w:color w:val="4D4D4F"/>
          <w:sz w:val="12"/>
        </w:rPr>
        <w:t>and</w:t>
      </w:r>
      <w:r>
        <w:rPr>
          <w:color w:val="4D4D4F"/>
          <w:spacing w:val="9"/>
          <w:sz w:val="12"/>
        </w:rPr>
        <w:t xml:space="preserve"> </w:t>
      </w:r>
      <w:r>
        <w:rPr>
          <w:color w:val="4D4D4F"/>
          <w:sz w:val="12"/>
        </w:rPr>
        <w:t>Management</w:t>
      </w:r>
      <w:r>
        <w:rPr>
          <w:color w:val="4D4D4F"/>
          <w:spacing w:val="10"/>
          <w:sz w:val="12"/>
        </w:rPr>
        <w:t xml:space="preserve"> </w:t>
      </w:r>
      <w:r>
        <w:rPr>
          <w:color w:val="4D4D4F"/>
          <w:sz w:val="12"/>
        </w:rPr>
        <w:t>of</w:t>
      </w:r>
      <w:r>
        <w:rPr>
          <w:color w:val="4D4D4F"/>
          <w:spacing w:val="9"/>
          <w:sz w:val="12"/>
        </w:rPr>
        <w:t xml:space="preserve"> </w:t>
      </w:r>
      <w:r>
        <w:rPr>
          <w:color w:val="4D4D4F"/>
          <w:sz w:val="12"/>
        </w:rPr>
        <w:t>Savanna</w:t>
      </w:r>
      <w:r>
        <w:rPr>
          <w:color w:val="4D4D4F"/>
          <w:spacing w:val="10"/>
          <w:sz w:val="12"/>
        </w:rPr>
        <w:t xml:space="preserve"> </w:t>
      </w:r>
      <w:r>
        <w:rPr>
          <w:color w:val="4D4D4F"/>
          <w:sz w:val="12"/>
        </w:rPr>
        <w:t>Heterogeneity’</w:t>
      </w:r>
      <w:r>
        <w:rPr>
          <w:color w:val="4D4D4F"/>
          <w:spacing w:val="9"/>
          <w:sz w:val="12"/>
        </w:rPr>
        <w:t xml:space="preserve"> </w:t>
      </w:r>
      <w:r>
        <w:rPr>
          <w:color w:val="4D4D4F"/>
          <w:sz w:val="12"/>
        </w:rPr>
        <w:t>du</w:t>
      </w:r>
      <w:r>
        <w:rPr>
          <w:color w:val="4D4D4F"/>
          <w:spacing w:val="10"/>
          <w:sz w:val="12"/>
        </w:rPr>
        <w:t xml:space="preserve"> </w:t>
      </w:r>
      <w:r>
        <w:rPr>
          <w:color w:val="4D4D4F"/>
          <w:sz w:val="12"/>
        </w:rPr>
        <w:t>Toit</w:t>
      </w:r>
      <w:r>
        <w:rPr>
          <w:color w:val="4D4D4F"/>
          <w:spacing w:val="9"/>
          <w:sz w:val="12"/>
        </w:rPr>
        <w:t xml:space="preserve"> </w:t>
      </w:r>
      <w:r>
        <w:rPr>
          <w:color w:val="4D4D4F"/>
          <w:sz w:val="12"/>
        </w:rPr>
        <w:t>JT,</w:t>
      </w:r>
      <w:r>
        <w:rPr>
          <w:color w:val="4D4D4F"/>
          <w:spacing w:val="10"/>
          <w:sz w:val="12"/>
        </w:rPr>
        <w:t xml:space="preserve"> </w:t>
      </w:r>
      <w:r>
        <w:rPr>
          <w:color w:val="4D4D4F"/>
          <w:spacing w:val="2"/>
          <w:sz w:val="12"/>
        </w:rPr>
        <w:t>Rogers</w:t>
      </w:r>
      <w:r>
        <w:rPr>
          <w:color w:val="4D4D4F"/>
          <w:spacing w:val="9"/>
          <w:sz w:val="12"/>
        </w:rPr>
        <w:t xml:space="preserve"> </w:t>
      </w:r>
      <w:r>
        <w:rPr>
          <w:color w:val="4D4D4F"/>
          <w:spacing w:val="2"/>
          <w:sz w:val="12"/>
        </w:rPr>
        <w:t>KH,</w:t>
      </w:r>
      <w:r>
        <w:rPr>
          <w:color w:val="4D4D4F"/>
          <w:spacing w:val="10"/>
          <w:sz w:val="12"/>
        </w:rPr>
        <w:t xml:space="preserve"> </w:t>
      </w:r>
      <w:r>
        <w:rPr>
          <w:color w:val="4D4D4F"/>
          <w:sz w:val="12"/>
        </w:rPr>
        <w:t>and</w:t>
      </w:r>
      <w:r>
        <w:rPr>
          <w:color w:val="4D4D4F"/>
          <w:spacing w:val="9"/>
          <w:sz w:val="12"/>
        </w:rPr>
        <w:t xml:space="preserve"> </w:t>
      </w:r>
      <w:r>
        <w:rPr>
          <w:color w:val="4D4D4F"/>
          <w:sz w:val="12"/>
        </w:rPr>
        <w:t>Biggs</w:t>
      </w:r>
      <w:r>
        <w:rPr>
          <w:color w:val="4D4D4F"/>
          <w:spacing w:val="10"/>
          <w:sz w:val="12"/>
        </w:rPr>
        <w:t xml:space="preserve"> </w:t>
      </w:r>
      <w:r>
        <w:rPr>
          <w:color w:val="4D4D4F"/>
          <w:sz w:val="12"/>
        </w:rPr>
        <w:t>HC,</w:t>
      </w:r>
      <w:r>
        <w:rPr>
          <w:color w:val="4D4D4F"/>
          <w:spacing w:val="9"/>
          <w:sz w:val="12"/>
        </w:rPr>
        <w:t xml:space="preserve"> </w:t>
      </w:r>
      <w:r>
        <w:rPr>
          <w:color w:val="4D4D4F"/>
          <w:sz w:val="12"/>
        </w:rPr>
        <w:t>eds.</w:t>
      </w:r>
      <w:r>
        <w:rPr>
          <w:color w:val="4D4D4F"/>
          <w:spacing w:val="10"/>
          <w:sz w:val="12"/>
        </w:rPr>
        <w:t xml:space="preserve"> </w:t>
      </w:r>
      <w:r>
        <w:rPr>
          <w:color w:val="4D4D4F"/>
          <w:sz w:val="12"/>
        </w:rPr>
        <w:t>Washington,</w:t>
      </w:r>
      <w:r>
        <w:rPr>
          <w:color w:val="4D4D4F"/>
          <w:spacing w:val="9"/>
          <w:sz w:val="12"/>
        </w:rPr>
        <w:t xml:space="preserve"> </w:t>
      </w:r>
      <w:r>
        <w:rPr>
          <w:color w:val="4D4D4F"/>
          <w:sz w:val="12"/>
        </w:rPr>
        <w:t>D.C.:</w:t>
      </w:r>
      <w:r>
        <w:rPr>
          <w:color w:val="4D4D4F"/>
          <w:spacing w:val="10"/>
          <w:sz w:val="12"/>
        </w:rPr>
        <w:t xml:space="preserve"> </w:t>
      </w:r>
      <w:r>
        <w:rPr>
          <w:color w:val="4D4D4F"/>
          <w:sz w:val="12"/>
        </w:rPr>
        <w:t>Island</w:t>
      </w:r>
      <w:r>
        <w:rPr>
          <w:color w:val="4D4D4F"/>
          <w:spacing w:val="9"/>
          <w:sz w:val="12"/>
        </w:rPr>
        <w:t xml:space="preserve"> </w:t>
      </w:r>
      <w:r>
        <w:rPr>
          <w:color w:val="4D4D4F"/>
          <w:spacing w:val="2"/>
          <w:sz w:val="12"/>
        </w:rPr>
        <w:t>Press,</w:t>
      </w:r>
      <w:r>
        <w:rPr>
          <w:color w:val="4D4D4F"/>
          <w:spacing w:val="10"/>
          <w:sz w:val="12"/>
        </w:rPr>
        <w:t xml:space="preserve"> </w:t>
      </w:r>
      <w:r>
        <w:rPr>
          <w:color w:val="4D4D4F"/>
          <w:sz w:val="12"/>
        </w:rPr>
        <w:t>59–80.</w:t>
      </w:r>
    </w:p>
    <w:p w14:paraId="5D1BFE10" w14:textId="77777777" w:rsidR="00EF5B27" w:rsidRDefault="00000000">
      <w:pPr>
        <w:pStyle w:val="ListParagraph"/>
        <w:numPr>
          <w:ilvl w:val="0"/>
          <w:numId w:val="19"/>
        </w:numPr>
        <w:tabs>
          <w:tab w:val="left" w:pos="2836"/>
        </w:tabs>
        <w:spacing w:line="230" w:lineRule="auto"/>
        <w:ind w:right="111"/>
        <w:jc w:val="both"/>
        <w:rPr>
          <w:sz w:val="12"/>
        </w:rPr>
      </w:pPr>
      <w:r>
        <w:rPr>
          <w:color w:val="4D4D4F"/>
          <w:spacing w:val="2"/>
          <w:sz w:val="12"/>
        </w:rPr>
        <w:t xml:space="preserve">Bruce </w:t>
      </w:r>
      <w:r>
        <w:rPr>
          <w:color w:val="4D4D4F"/>
          <w:sz w:val="12"/>
        </w:rPr>
        <w:t xml:space="preserve">M, Batpurev </w:t>
      </w:r>
      <w:r>
        <w:rPr>
          <w:color w:val="4D4D4F"/>
          <w:spacing w:val="2"/>
          <w:sz w:val="12"/>
        </w:rPr>
        <w:t xml:space="preserve">K, </w:t>
      </w:r>
      <w:r>
        <w:rPr>
          <w:color w:val="4D4D4F"/>
          <w:sz w:val="12"/>
        </w:rPr>
        <w:t xml:space="preserve">Bryant D, Sinclair S and Kohout M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Department of Environment, Land, Water and Planning, Heidelberg,</w:t>
      </w:r>
      <w:r>
        <w:rPr>
          <w:color w:val="4D4D4F"/>
          <w:spacing w:val="24"/>
          <w:sz w:val="12"/>
        </w:rPr>
        <w:t xml:space="preserve"> </w:t>
      </w:r>
      <w:r>
        <w:rPr>
          <w:color w:val="4D4D4F"/>
          <w:sz w:val="12"/>
        </w:rPr>
        <w:t>Victoria.</w:t>
      </w:r>
    </w:p>
    <w:p w14:paraId="15EE88A7" w14:textId="77777777" w:rsidR="00EF5B27" w:rsidRDefault="00000000">
      <w:pPr>
        <w:pStyle w:val="ListParagraph"/>
        <w:numPr>
          <w:ilvl w:val="0"/>
          <w:numId w:val="19"/>
        </w:numPr>
        <w:tabs>
          <w:tab w:val="left" w:pos="2835"/>
        </w:tabs>
        <w:spacing w:line="230" w:lineRule="auto"/>
        <w:ind w:left="2834" w:right="111" w:hanging="226"/>
        <w:jc w:val="both"/>
        <w:rPr>
          <w:sz w:val="12"/>
        </w:rPr>
      </w:pPr>
      <w:r>
        <w:rPr>
          <w:color w:val="4D4D4F"/>
          <w:spacing w:val="2"/>
          <w:sz w:val="12"/>
        </w:rPr>
        <w:t xml:space="preserve">Bruce </w:t>
      </w:r>
      <w:r>
        <w:rPr>
          <w:color w:val="4D4D4F"/>
          <w:sz w:val="12"/>
        </w:rPr>
        <w:t xml:space="preserve">M, Batpurev </w:t>
      </w:r>
      <w:r>
        <w:rPr>
          <w:color w:val="4D4D4F"/>
          <w:spacing w:val="2"/>
          <w:sz w:val="12"/>
        </w:rPr>
        <w:t xml:space="preserve">K, </w:t>
      </w:r>
      <w:r>
        <w:rPr>
          <w:color w:val="4D4D4F"/>
          <w:sz w:val="12"/>
        </w:rPr>
        <w:t xml:space="preserve">Bryant D, Sinclair S and Kohout M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Department of Environment, Land, Water and Planning, Heidelberg,</w:t>
      </w:r>
      <w:r>
        <w:rPr>
          <w:color w:val="4D4D4F"/>
          <w:spacing w:val="24"/>
          <w:sz w:val="12"/>
        </w:rPr>
        <w:t xml:space="preserve"> </w:t>
      </w:r>
      <w:r>
        <w:rPr>
          <w:color w:val="4D4D4F"/>
          <w:sz w:val="12"/>
        </w:rPr>
        <w:t>Victoria.</w:t>
      </w:r>
    </w:p>
    <w:p w14:paraId="7AFD242A" w14:textId="77777777" w:rsidR="00EF5B27" w:rsidRDefault="00000000">
      <w:pPr>
        <w:pStyle w:val="ListParagraph"/>
        <w:numPr>
          <w:ilvl w:val="0"/>
          <w:numId w:val="19"/>
        </w:numPr>
        <w:tabs>
          <w:tab w:val="left" w:pos="2835"/>
        </w:tabs>
        <w:spacing w:line="230" w:lineRule="auto"/>
        <w:ind w:left="2834" w:right="112" w:hanging="226"/>
        <w:jc w:val="both"/>
        <w:rPr>
          <w:sz w:val="12"/>
        </w:rPr>
      </w:pPr>
      <w:r>
        <w:rPr>
          <w:color w:val="4D4D4F"/>
          <w:sz w:val="12"/>
        </w:rPr>
        <w:t xml:space="preserve">State Government of Victoria </w:t>
      </w:r>
      <w:r>
        <w:rPr>
          <w:color w:val="4D4D4F"/>
          <w:spacing w:val="2"/>
          <w:sz w:val="12"/>
        </w:rPr>
        <w:t xml:space="preserve">2022, </w:t>
      </w:r>
      <w:r>
        <w:rPr>
          <w:color w:val="4D4D4F"/>
          <w:sz w:val="12"/>
        </w:rPr>
        <w:t xml:space="preserve">Victorian Government Gazette, Issue </w:t>
      </w:r>
      <w:r>
        <w:rPr>
          <w:color w:val="4D4D4F"/>
          <w:spacing w:val="2"/>
          <w:sz w:val="12"/>
        </w:rPr>
        <w:t xml:space="preserve">G4, </w:t>
      </w:r>
      <w:r>
        <w:rPr>
          <w:color w:val="4D4D4F"/>
          <w:sz w:val="12"/>
        </w:rPr>
        <w:t xml:space="preserve">‘Melbourne Strategic Assessment (Environment Mitigation Levy) </w:t>
      </w:r>
      <w:r>
        <w:rPr>
          <w:color w:val="4D4D4F"/>
          <w:spacing w:val="2"/>
          <w:sz w:val="12"/>
        </w:rPr>
        <w:t xml:space="preserve">Act 2020 </w:t>
      </w:r>
      <w:r>
        <w:rPr>
          <w:color w:val="4D4D4F"/>
          <w:sz w:val="12"/>
        </w:rPr>
        <w:t xml:space="preserve">– Notice of the </w:t>
      </w:r>
      <w:r>
        <w:rPr>
          <w:color w:val="4D4D4F"/>
          <w:spacing w:val="2"/>
          <w:sz w:val="12"/>
        </w:rPr>
        <w:t xml:space="preserve">Conservation </w:t>
      </w:r>
      <w:r>
        <w:rPr>
          <w:color w:val="4D4D4F"/>
          <w:sz w:val="12"/>
        </w:rPr>
        <w:t>Outcomes’,</w:t>
      </w:r>
      <w:r>
        <w:rPr>
          <w:color w:val="F36A2E"/>
          <w:sz w:val="12"/>
        </w:rPr>
        <w:t xml:space="preserve"> </w:t>
      </w:r>
      <w:hyperlink r:id="rId170">
        <w:r>
          <w:rPr>
            <w:color w:val="F36A2E"/>
            <w:sz w:val="12"/>
            <w:u w:val="single" w:color="F36A2E"/>
          </w:rPr>
          <w:t>http://www.gazette.vic.gov.au/gazette/Gazettes2022/GG2022G004.pd</w:t>
        </w:r>
        <w:r>
          <w:rPr>
            <w:color w:val="F36A2E"/>
            <w:sz w:val="12"/>
          </w:rPr>
          <w:t xml:space="preserve">f </w:t>
        </w:r>
      </w:hyperlink>
      <w:r>
        <w:rPr>
          <w:color w:val="4D4D4F"/>
          <w:spacing w:val="2"/>
          <w:sz w:val="12"/>
        </w:rPr>
        <w:t xml:space="preserve">Accessed </w:t>
      </w:r>
      <w:r>
        <w:rPr>
          <w:color w:val="4D4D4F"/>
          <w:sz w:val="12"/>
        </w:rPr>
        <w:t>27 January</w:t>
      </w:r>
      <w:r>
        <w:rPr>
          <w:color w:val="4D4D4F"/>
          <w:spacing w:val="4"/>
          <w:sz w:val="12"/>
        </w:rPr>
        <w:t xml:space="preserve"> </w:t>
      </w:r>
      <w:r>
        <w:rPr>
          <w:color w:val="4D4D4F"/>
          <w:spacing w:val="2"/>
          <w:sz w:val="12"/>
        </w:rPr>
        <w:t>2022.</w:t>
      </w:r>
    </w:p>
    <w:p w14:paraId="5C61539F" w14:textId="77777777" w:rsidR="00EF5B27" w:rsidRDefault="00EF5B27">
      <w:pPr>
        <w:spacing w:line="230" w:lineRule="auto"/>
        <w:jc w:val="both"/>
        <w:rPr>
          <w:sz w:val="12"/>
        </w:rPr>
        <w:sectPr w:rsidR="00EF5B27">
          <w:footerReference w:type="default" r:id="rId171"/>
          <w:pgSz w:w="11910" w:h="16840"/>
          <w:pgMar w:top="1080" w:right="1020" w:bottom="860" w:left="1020" w:header="537" w:footer="678" w:gutter="0"/>
          <w:cols w:space="720"/>
        </w:sectPr>
      </w:pPr>
    </w:p>
    <w:p w14:paraId="1CD1D80D" w14:textId="77777777" w:rsidR="00EF5B27" w:rsidRDefault="00000000">
      <w:pPr>
        <w:pStyle w:val="BodyText"/>
      </w:pPr>
      <w:r>
        <w:lastRenderedPageBreak/>
        <w:pict w14:anchorId="72549A00">
          <v:group id="_x0000_s2640" style="position:absolute;margin-left:587.05pt;margin-top:183.4pt;width:8.25pt;height:153.1pt;z-index:251740672;mso-position-horizontal-relative:page;mso-position-vertical-relative:page" coordorigin="11741,3668" coordsize="165,3062">
            <v:shape id="_x0000_s2647" style="position:absolute;left:11741;top:3668;width:165;height:561" coordorigin="11741,3668" coordsize="165,561" path="m11906,3668r-165,l11741,4228r165,-18l11906,3668xe" fillcolor="#00aed9" stroked="f">
              <v:path arrowok="t"/>
            </v:shape>
            <v:shape id="_x0000_s2646" style="position:absolute;left:11741;top:4118;width:165;height:425" coordorigin="11741,4118" coordsize="165,425" path="m11906,4118r-165,14l11741,4531r165,12l11906,4118xe" fillcolor="#047ebc" stroked="f">
              <v:path arrowok="t"/>
            </v:shape>
            <v:shape id="_x0000_s2645" type="#_x0000_t75" style="position:absolute;left:11741;top:4355;width:165;height:587">
              <v:imagedata r:id="rId42" o:title=""/>
            </v:shape>
            <v:shape id="_x0000_s2644" style="position:absolute;left:11741;top:5343;width:165;height:536" coordorigin="11741,5343" coordsize="165,536" path="m11741,5343r,535l11906,5872r,-525l11741,5343xe" fillcolor="#f36a2e" stroked="f">
              <v:path arrowok="t"/>
            </v:shape>
            <v:shape id="_x0000_s2643" style="position:absolute;left:11741;top:4925;width:165;height:501" coordorigin="11741,4926" coordsize="165,501" path="m11741,4926r,500l11906,5426r,-485l11741,4926xe" fillcolor="#49783f" stroked="f">
              <v:path arrowok="t"/>
            </v:shape>
            <v:shape id="_x0000_s2642" style="position:absolute;left:11741;top:5781;width:165;height:268" coordorigin="11741,5782" coordsize="165,268" path="m11906,5782r-165,8l11741,6039r165,10l11906,5782xe" fillcolor="#f99f2a" stroked="f">
              <v:path arrowok="t"/>
            </v:shape>
            <v:shape id="_x0000_s2641" style="position:absolute;left:11741;top:6023;width:165;height:707" coordorigin="11741,6023" coordsize="165,707" path="m11741,6023r,706l11906,6729r,-690l11741,6023xe" fillcolor="#ef412c" stroked="f">
              <v:path arrowok="t"/>
            </v:shape>
            <w10:wrap anchorx="page" anchory="page"/>
          </v:group>
        </w:pict>
      </w:r>
    </w:p>
    <w:p w14:paraId="395A23AB" w14:textId="77777777" w:rsidR="00EF5B27" w:rsidRDefault="00EF5B27">
      <w:pPr>
        <w:pStyle w:val="BodyText"/>
      </w:pPr>
    </w:p>
    <w:p w14:paraId="521732C2" w14:textId="77777777" w:rsidR="00EF5B27" w:rsidRDefault="00EF5B27">
      <w:pPr>
        <w:pStyle w:val="BodyText"/>
      </w:pPr>
    </w:p>
    <w:p w14:paraId="5F031BEF" w14:textId="77777777" w:rsidR="00EF5B27" w:rsidRDefault="00EF5B27">
      <w:pPr>
        <w:pStyle w:val="BodyText"/>
        <w:spacing w:before="4"/>
        <w:rPr>
          <w:sz w:val="25"/>
        </w:rPr>
      </w:pPr>
    </w:p>
    <w:p w14:paraId="15538967" w14:textId="77777777" w:rsidR="00EF5B27" w:rsidRDefault="00000000">
      <w:pPr>
        <w:pStyle w:val="BodyText"/>
        <w:spacing w:before="100"/>
        <w:ind w:left="2608"/>
      </w:pPr>
      <w:bookmarkStart w:id="109" w:name="_bookmark72"/>
      <w:bookmarkEnd w:id="109"/>
      <w:r>
        <w:rPr>
          <w:color w:val="4D4D4F"/>
        </w:rPr>
        <w:t>Tables 6 to 8 demonstrate the status of MNES at 30 June 2022.</w:t>
      </w:r>
    </w:p>
    <w:p w14:paraId="40CAE546" w14:textId="77777777" w:rsidR="00EF5B27" w:rsidRDefault="00000000">
      <w:pPr>
        <w:pStyle w:val="BodyText"/>
        <w:spacing w:before="130" w:line="254" w:lineRule="auto"/>
        <w:ind w:left="2608"/>
      </w:pPr>
      <w:r>
        <w:rPr>
          <w:color w:val="4D4D4F"/>
        </w:rPr>
        <w:t>Current definitions of the conservation outcomes and performance indicators are presented in the Notice of the MSA Conservation Outcomes published in the Victorian Government Gazette and DELWP’s MSA Ecological Outcomes Report 2014–2020.</w:t>
      </w:r>
    </w:p>
    <w:p w14:paraId="42CA7264" w14:textId="77777777" w:rsidR="00EF5B27" w:rsidRDefault="00000000">
      <w:pPr>
        <w:pStyle w:val="BodyText"/>
        <w:spacing w:before="117" w:line="254" w:lineRule="auto"/>
        <w:ind w:left="2608" w:right="305"/>
      </w:pPr>
      <w:r>
        <w:rPr>
          <w:color w:val="4D4D4F"/>
        </w:rPr>
        <w:t xml:space="preserve">It should be noted that DELWP’s gazetted conservation outcomes statements include some that, technically by definition in DELWP’s MSA </w:t>
      </w:r>
      <w:r>
        <w:rPr>
          <w:color w:val="4D4D4F"/>
          <w:spacing w:val="-5"/>
        </w:rPr>
        <w:t xml:space="preserve">MRF, </w:t>
      </w:r>
      <w:r>
        <w:rPr>
          <w:color w:val="4D4D4F"/>
        </w:rPr>
        <w:t xml:space="preserve">are MSA program outputs performance measures and, as such, will not be analysed in this report. There are  also discrepancies between the gazetted outcomes and the outcomes statements contained within the </w:t>
      </w:r>
      <w:r>
        <w:rPr>
          <w:color w:val="4D4D4F"/>
          <w:spacing w:val="-5"/>
        </w:rPr>
        <w:t xml:space="preserve">MRF, </w:t>
      </w:r>
      <w:r>
        <w:rPr>
          <w:color w:val="4D4D4F"/>
        </w:rPr>
        <w:t xml:space="preserve">in terms of the language used to define the conservation outcomes. </w:t>
      </w:r>
      <w:r>
        <w:rPr>
          <w:color w:val="4D4D4F"/>
          <w:spacing w:val="-7"/>
        </w:rPr>
        <w:t xml:space="preserve">To </w:t>
      </w:r>
      <w:r>
        <w:rPr>
          <w:color w:val="4D4D4F"/>
        </w:rPr>
        <w:t xml:space="preserve">avoid potential confusion, both the gazetted outcomes and MRF outcomes definitions are presented in this </w:t>
      </w:r>
      <w:r>
        <w:rPr>
          <w:color w:val="4D4D4F"/>
          <w:spacing w:val="2"/>
        </w:rPr>
        <w:t xml:space="preserve">report </w:t>
      </w:r>
      <w:r>
        <w:rPr>
          <w:color w:val="4D4D4F"/>
        </w:rPr>
        <w:t xml:space="preserve">for each MNES. Associated KPIs have been obtained from the </w:t>
      </w:r>
      <w:r>
        <w:rPr>
          <w:color w:val="4D4D4F"/>
          <w:spacing w:val="-4"/>
        </w:rPr>
        <w:t xml:space="preserve">2015 </w:t>
      </w:r>
      <w:r>
        <w:rPr>
          <w:color w:val="4D4D4F"/>
        </w:rPr>
        <w:t xml:space="preserve">MSA </w:t>
      </w:r>
      <w:r>
        <w:rPr>
          <w:color w:val="4D4D4F"/>
          <w:spacing w:val="-5"/>
        </w:rPr>
        <w:t xml:space="preserve">MRF, </w:t>
      </w:r>
      <w:r>
        <w:rPr>
          <w:color w:val="4D4D4F"/>
        </w:rPr>
        <w:t>as these were not included with the gazetted conservation</w:t>
      </w:r>
      <w:r>
        <w:rPr>
          <w:color w:val="4D4D4F"/>
          <w:spacing w:val="8"/>
        </w:rPr>
        <w:t xml:space="preserve"> </w:t>
      </w:r>
      <w:r>
        <w:rPr>
          <w:color w:val="4D4D4F"/>
        </w:rPr>
        <w:t>outcomes</w:t>
      </w:r>
    </w:p>
    <w:p w14:paraId="6B933680" w14:textId="77777777" w:rsidR="00EF5B27" w:rsidRDefault="00000000">
      <w:pPr>
        <w:pStyle w:val="BodyText"/>
        <w:spacing w:before="124" w:line="254" w:lineRule="auto"/>
        <w:ind w:left="2608" w:right="151"/>
      </w:pPr>
      <w:r>
        <w:rPr>
          <w:color w:val="4D4D4F"/>
        </w:rPr>
        <w:t>Informal changes to the MRF have been proposed since the official publication of this document in 2015. ARI detailed these in their MSA Outcomes Report 2014–2020. ARI has since proposed further informal updates to the monitoring protocol for 2020–2022 via an internal document,</w:t>
      </w:r>
      <w:r>
        <w:rPr>
          <w:color w:val="4D4D4F"/>
          <w:position w:val="7"/>
          <w:sz w:val="11"/>
        </w:rPr>
        <w:t xml:space="preserve">298 </w:t>
      </w:r>
      <w:r>
        <w:rPr>
          <w:color w:val="4D4D4F"/>
        </w:rPr>
        <w:t>and these changes are documented in Appendix 2.</w:t>
      </w:r>
    </w:p>
    <w:p w14:paraId="099EB3FB" w14:textId="77777777" w:rsidR="00EF5B27" w:rsidRDefault="00EF5B27">
      <w:pPr>
        <w:pStyle w:val="BodyText"/>
        <w:spacing w:before="10"/>
        <w:rPr>
          <w:sz w:val="23"/>
        </w:rPr>
      </w:pPr>
    </w:p>
    <w:p w14:paraId="286B51D1" w14:textId="77777777" w:rsidR="00EF5B27" w:rsidRDefault="00000000">
      <w:pPr>
        <w:spacing w:before="100"/>
        <w:ind w:left="2608"/>
        <w:rPr>
          <w:sz w:val="16"/>
        </w:rPr>
      </w:pPr>
      <w:r>
        <w:rPr>
          <w:color w:val="4D4D4F"/>
          <w:sz w:val="16"/>
        </w:rPr>
        <w:t>Table 5: Monitoring timeframes</w:t>
      </w:r>
    </w:p>
    <w:p w14:paraId="382E8A28" w14:textId="77777777" w:rsidR="00EF5B27" w:rsidRDefault="00EF5B27">
      <w:pPr>
        <w:pStyle w:val="BodyText"/>
        <w:spacing w:before="5"/>
        <w:rPr>
          <w:sz w:val="10"/>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37"/>
        <w:gridCol w:w="1361"/>
        <w:gridCol w:w="737"/>
        <w:gridCol w:w="1474"/>
        <w:gridCol w:w="2041"/>
        <w:gridCol w:w="2154"/>
        <w:gridCol w:w="1134"/>
      </w:tblGrid>
      <w:tr w:rsidR="00EF5B27" w14:paraId="2E4E1B76" w14:textId="77777777">
        <w:trPr>
          <w:trHeight w:val="732"/>
        </w:trPr>
        <w:tc>
          <w:tcPr>
            <w:tcW w:w="737" w:type="dxa"/>
            <w:shd w:val="clear" w:color="auto" w:fill="FECC91"/>
          </w:tcPr>
          <w:p w14:paraId="6C76E217" w14:textId="77777777" w:rsidR="00EF5B27" w:rsidRDefault="00000000">
            <w:pPr>
              <w:pStyle w:val="TableParagraph"/>
              <w:spacing w:before="176"/>
              <w:ind w:left="162"/>
              <w:rPr>
                <w:b/>
                <w:sz w:val="16"/>
              </w:rPr>
            </w:pPr>
            <w:r>
              <w:rPr>
                <w:b/>
                <w:w w:val="105"/>
                <w:sz w:val="16"/>
              </w:rPr>
              <w:t>MNES</w:t>
            </w:r>
          </w:p>
          <w:p w14:paraId="27CC8A16" w14:textId="77777777" w:rsidR="00EF5B27" w:rsidRDefault="00000000">
            <w:pPr>
              <w:pStyle w:val="TableParagraph"/>
              <w:spacing w:before="4"/>
              <w:ind w:left="94"/>
              <w:rPr>
                <w:b/>
                <w:sz w:val="16"/>
              </w:rPr>
            </w:pPr>
            <w:r>
              <w:rPr>
                <w:b/>
                <w:sz w:val="16"/>
              </w:rPr>
              <w:t>Number</w:t>
            </w:r>
          </w:p>
        </w:tc>
        <w:tc>
          <w:tcPr>
            <w:tcW w:w="1361" w:type="dxa"/>
            <w:shd w:val="clear" w:color="auto" w:fill="FECC91"/>
          </w:tcPr>
          <w:p w14:paraId="6CDA4009" w14:textId="77777777" w:rsidR="00EF5B27" w:rsidRDefault="00EF5B27">
            <w:pPr>
              <w:pStyle w:val="TableParagraph"/>
              <w:spacing w:before="7"/>
            </w:pPr>
          </w:p>
          <w:p w14:paraId="0BD79581" w14:textId="77777777" w:rsidR="00EF5B27" w:rsidRDefault="00000000">
            <w:pPr>
              <w:pStyle w:val="TableParagraph"/>
              <w:ind w:left="268"/>
              <w:rPr>
                <w:b/>
                <w:sz w:val="16"/>
              </w:rPr>
            </w:pPr>
            <w:r>
              <w:rPr>
                <w:b/>
                <w:sz w:val="16"/>
              </w:rPr>
              <w:t>MNES name</w:t>
            </w:r>
          </w:p>
        </w:tc>
        <w:tc>
          <w:tcPr>
            <w:tcW w:w="737" w:type="dxa"/>
            <w:shd w:val="clear" w:color="auto" w:fill="FECC91"/>
          </w:tcPr>
          <w:p w14:paraId="688F2FA1" w14:textId="77777777" w:rsidR="00EF5B27" w:rsidRDefault="00000000">
            <w:pPr>
              <w:pStyle w:val="TableParagraph"/>
              <w:spacing w:before="176"/>
              <w:ind w:left="79" w:right="74"/>
              <w:jc w:val="center"/>
              <w:rPr>
                <w:b/>
                <w:sz w:val="16"/>
              </w:rPr>
            </w:pPr>
            <w:r>
              <w:rPr>
                <w:b/>
                <w:w w:val="110"/>
                <w:sz w:val="16"/>
              </w:rPr>
              <w:t>KPI</w:t>
            </w:r>
          </w:p>
          <w:p w14:paraId="5823356A" w14:textId="77777777" w:rsidR="00EF5B27" w:rsidRDefault="00000000">
            <w:pPr>
              <w:pStyle w:val="TableParagraph"/>
              <w:spacing w:before="4"/>
              <w:ind w:left="79" w:right="75"/>
              <w:jc w:val="center"/>
              <w:rPr>
                <w:b/>
                <w:sz w:val="16"/>
              </w:rPr>
            </w:pPr>
            <w:r>
              <w:rPr>
                <w:b/>
                <w:sz w:val="16"/>
              </w:rPr>
              <w:t>number</w:t>
            </w:r>
          </w:p>
        </w:tc>
        <w:tc>
          <w:tcPr>
            <w:tcW w:w="1474" w:type="dxa"/>
            <w:shd w:val="clear" w:color="auto" w:fill="FECC91"/>
          </w:tcPr>
          <w:p w14:paraId="59C4FBFF" w14:textId="77777777" w:rsidR="00EF5B27" w:rsidRDefault="00EF5B27">
            <w:pPr>
              <w:pStyle w:val="TableParagraph"/>
              <w:spacing w:before="7"/>
            </w:pPr>
          </w:p>
          <w:p w14:paraId="75045354" w14:textId="77777777" w:rsidR="00EF5B27" w:rsidRDefault="00000000">
            <w:pPr>
              <w:pStyle w:val="TableParagraph"/>
              <w:ind w:left="123" w:right="120"/>
              <w:jc w:val="center"/>
              <w:rPr>
                <w:b/>
                <w:sz w:val="16"/>
              </w:rPr>
            </w:pPr>
            <w:r>
              <w:rPr>
                <w:b/>
                <w:w w:val="105"/>
                <w:sz w:val="16"/>
              </w:rPr>
              <w:t>KPI type</w:t>
            </w:r>
          </w:p>
        </w:tc>
        <w:tc>
          <w:tcPr>
            <w:tcW w:w="2041" w:type="dxa"/>
            <w:shd w:val="clear" w:color="auto" w:fill="FECC91"/>
          </w:tcPr>
          <w:p w14:paraId="41FDBAB9" w14:textId="77777777" w:rsidR="00EF5B27" w:rsidRDefault="00EF5B27">
            <w:pPr>
              <w:pStyle w:val="TableParagraph"/>
              <w:spacing w:before="7"/>
            </w:pPr>
          </w:p>
          <w:p w14:paraId="3DF112C4" w14:textId="77777777" w:rsidR="00EF5B27" w:rsidRDefault="00000000">
            <w:pPr>
              <w:pStyle w:val="TableParagraph"/>
              <w:ind w:left="153" w:right="150"/>
              <w:jc w:val="center"/>
              <w:rPr>
                <w:b/>
                <w:sz w:val="16"/>
              </w:rPr>
            </w:pPr>
            <w:r>
              <w:rPr>
                <w:b/>
                <w:sz w:val="16"/>
              </w:rPr>
              <w:t>Location</w:t>
            </w:r>
          </w:p>
        </w:tc>
        <w:tc>
          <w:tcPr>
            <w:tcW w:w="2154" w:type="dxa"/>
            <w:shd w:val="clear" w:color="auto" w:fill="FECC91"/>
          </w:tcPr>
          <w:p w14:paraId="6469AE96" w14:textId="77777777" w:rsidR="00EF5B27" w:rsidRDefault="00000000">
            <w:pPr>
              <w:pStyle w:val="TableParagraph"/>
              <w:spacing w:before="76"/>
              <w:ind w:left="87"/>
              <w:rPr>
                <w:b/>
                <w:sz w:val="16"/>
              </w:rPr>
            </w:pPr>
            <w:r>
              <w:rPr>
                <w:b/>
                <w:sz w:val="16"/>
              </w:rPr>
              <w:t>First year of MSA monitoring</w:t>
            </w:r>
          </w:p>
          <w:p w14:paraId="455B91F9" w14:textId="77777777" w:rsidR="00EF5B27" w:rsidRDefault="00000000">
            <w:pPr>
              <w:pStyle w:val="TableParagraph"/>
              <w:spacing w:before="4" w:line="244" w:lineRule="auto"/>
              <w:ind w:left="128" w:right="122"/>
              <w:jc w:val="center"/>
              <w:rPr>
                <w:b/>
                <w:sz w:val="16"/>
              </w:rPr>
            </w:pPr>
            <w:r>
              <w:rPr>
                <w:b/>
                <w:sz w:val="16"/>
              </w:rPr>
              <w:t>/year that monitoring is expected to commence</w:t>
            </w:r>
          </w:p>
        </w:tc>
        <w:tc>
          <w:tcPr>
            <w:tcW w:w="1134" w:type="dxa"/>
            <w:shd w:val="clear" w:color="auto" w:fill="FECC91"/>
          </w:tcPr>
          <w:p w14:paraId="64FBE35C" w14:textId="77777777" w:rsidR="00EF5B27" w:rsidRDefault="00000000">
            <w:pPr>
              <w:pStyle w:val="TableParagraph"/>
              <w:spacing w:before="76" w:line="244" w:lineRule="auto"/>
              <w:ind w:left="81" w:right="75"/>
              <w:jc w:val="center"/>
              <w:rPr>
                <w:b/>
                <w:sz w:val="16"/>
              </w:rPr>
            </w:pPr>
            <w:r>
              <w:rPr>
                <w:b/>
                <w:sz w:val="16"/>
              </w:rPr>
              <w:t>Year that baseline was/ will be set</w:t>
            </w:r>
          </w:p>
        </w:tc>
      </w:tr>
      <w:tr w:rsidR="00EF5B27" w14:paraId="1A81EC75" w14:textId="77777777">
        <w:trPr>
          <w:trHeight w:val="448"/>
        </w:trPr>
        <w:tc>
          <w:tcPr>
            <w:tcW w:w="737" w:type="dxa"/>
          </w:tcPr>
          <w:p w14:paraId="05804BF2" w14:textId="77777777" w:rsidR="00EF5B27" w:rsidRDefault="00EF5B27">
            <w:pPr>
              <w:pStyle w:val="TableParagraph"/>
              <w:spacing w:before="11"/>
              <w:rPr>
                <w:sz w:val="11"/>
              </w:rPr>
            </w:pPr>
          </w:p>
          <w:p w14:paraId="25EE40BB" w14:textId="77777777" w:rsidR="00EF5B27" w:rsidRDefault="00000000">
            <w:pPr>
              <w:pStyle w:val="TableParagraph"/>
              <w:ind w:left="5"/>
              <w:jc w:val="center"/>
              <w:rPr>
                <w:sz w:val="14"/>
              </w:rPr>
            </w:pPr>
            <w:r>
              <w:rPr>
                <w:color w:val="4D4D4F"/>
                <w:w w:val="96"/>
                <w:sz w:val="14"/>
              </w:rPr>
              <w:t>1</w:t>
            </w:r>
          </w:p>
        </w:tc>
        <w:tc>
          <w:tcPr>
            <w:tcW w:w="1361" w:type="dxa"/>
          </w:tcPr>
          <w:p w14:paraId="40361A27" w14:textId="77777777" w:rsidR="00EF5B27" w:rsidRDefault="00000000">
            <w:pPr>
              <w:pStyle w:val="TableParagraph"/>
              <w:spacing w:before="55"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76962A4C" w14:textId="77777777" w:rsidR="00EF5B27" w:rsidRDefault="00EF5B27">
            <w:pPr>
              <w:pStyle w:val="TableParagraph"/>
              <w:spacing w:before="11"/>
              <w:rPr>
                <w:sz w:val="11"/>
              </w:rPr>
            </w:pPr>
          </w:p>
          <w:p w14:paraId="79E1A788" w14:textId="77777777" w:rsidR="00EF5B27" w:rsidRDefault="00000000">
            <w:pPr>
              <w:pStyle w:val="TableParagraph"/>
              <w:ind w:right="327"/>
              <w:jc w:val="right"/>
              <w:rPr>
                <w:sz w:val="14"/>
              </w:rPr>
            </w:pPr>
            <w:r>
              <w:rPr>
                <w:color w:val="4D4D4F"/>
                <w:w w:val="96"/>
                <w:sz w:val="14"/>
              </w:rPr>
              <w:t>1</w:t>
            </w:r>
          </w:p>
        </w:tc>
        <w:tc>
          <w:tcPr>
            <w:tcW w:w="1474" w:type="dxa"/>
          </w:tcPr>
          <w:p w14:paraId="60E50B68" w14:textId="77777777" w:rsidR="00EF5B27" w:rsidRDefault="00EF5B27">
            <w:pPr>
              <w:pStyle w:val="TableParagraph"/>
              <w:spacing w:before="11"/>
              <w:rPr>
                <w:sz w:val="11"/>
              </w:rPr>
            </w:pPr>
          </w:p>
          <w:p w14:paraId="4DF3907D" w14:textId="77777777" w:rsidR="00EF5B27" w:rsidRDefault="00000000">
            <w:pPr>
              <w:pStyle w:val="TableParagraph"/>
              <w:ind w:left="124" w:right="120"/>
              <w:jc w:val="center"/>
              <w:rPr>
                <w:sz w:val="14"/>
              </w:rPr>
            </w:pPr>
            <w:r>
              <w:rPr>
                <w:color w:val="4D4D4F"/>
                <w:w w:val="105"/>
                <w:sz w:val="14"/>
              </w:rPr>
              <w:t>States</w:t>
            </w:r>
          </w:p>
        </w:tc>
        <w:tc>
          <w:tcPr>
            <w:tcW w:w="2041" w:type="dxa"/>
          </w:tcPr>
          <w:p w14:paraId="13FAE0FB" w14:textId="77777777" w:rsidR="00EF5B27" w:rsidRDefault="00EF5B27">
            <w:pPr>
              <w:pStyle w:val="TableParagraph"/>
              <w:spacing w:before="11"/>
              <w:rPr>
                <w:sz w:val="11"/>
              </w:rPr>
            </w:pPr>
          </w:p>
          <w:p w14:paraId="1A95C14C" w14:textId="77777777" w:rsidR="00EF5B27" w:rsidRDefault="00000000">
            <w:pPr>
              <w:pStyle w:val="TableParagraph"/>
              <w:ind w:left="154" w:right="150"/>
              <w:jc w:val="center"/>
              <w:rPr>
                <w:sz w:val="14"/>
              </w:rPr>
            </w:pPr>
            <w:r>
              <w:rPr>
                <w:color w:val="4D4D4F"/>
                <w:w w:val="105"/>
                <w:sz w:val="14"/>
              </w:rPr>
              <w:t>Herb-rich grassland</w:t>
            </w:r>
          </w:p>
        </w:tc>
        <w:tc>
          <w:tcPr>
            <w:tcW w:w="2154" w:type="dxa"/>
          </w:tcPr>
          <w:p w14:paraId="7E25385A" w14:textId="77777777" w:rsidR="00EF5B27" w:rsidRDefault="00EF5B27">
            <w:pPr>
              <w:pStyle w:val="TableParagraph"/>
              <w:spacing w:before="11"/>
              <w:rPr>
                <w:sz w:val="11"/>
              </w:rPr>
            </w:pPr>
          </w:p>
          <w:p w14:paraId="74EFDA4A" w14:textId="77777777" w:rsidR="00EF5B27" w:rsidRDefault="00000000">
            <w:pPr>
              <w:pStyle w:val="TableParagraph"/>
              <w:ind w:left="940"/>
              <w:rPr>
                <w:sz w:val="14"/>
              </w:rPr>
            </w:pPr>
            <w:r>
              <w:rPr>
                <w:color w:val="4D4D4F"/>
                <w:sz w:val="14"/>
              </w:rPr>
              <w:t>2013</w:t>
            </w:r>
          </w:p>
        </w:tc>
        <w:tc>
          <w:tcPr>
            <w:tcW w:w="1134" w:type="dxa"/>
          </w:tcPr>
          <w:p w14:paraId="309643FE" w14:textId="77777777" w:rsidR="00EF5B27" w:rsidRDefault="00EF5B27">
            <w:pPr>
              <w:pStyle w:val="TableParagraph"/>
              <w:spacing w:before="11"/>
              <w:rPr>
                <w:sz w:val="11"/>
              </w:rPr>
            </w:pPr>
          </w:p>
          <w:p w14:paraId="0FBB2B89" w14:textId="77777777" w:rsidR="00EF5B27" w:rsidRDefault="00000000">
            <w:pPr>
              <w:pStyle w:val="TableParagraph"/>
              <w:ind w:left="455"/>
              <w:rPr>
                <w:sz w:val="14"/>
              </w:rPr>
            </w:pPr>
            <w:r>
              <w:rPr>
                <w:color w:val="4D4D4F"/>
                <w:w w:val="105"/>
                <w:sz w:val="14"/>
              </w:rPr>
              <w:t>N/A</w:t>
            </w:r>
          </w:p>
        </w:tc>
      </w:tr>
      <w:tr w:rsidR="00EF5B27" w14:paraId="08F652E2" w14:textId="77777777">
        <w:trPr>
          <w:trHeight w:val="448"/>
        </w:trPr>
        <w:tc>
          <w:tcPr>
            <w:tcW w:w="737" w:type="dxa"/>
          </w:tcPr>
          <w:p w14:paraId="0558F523" w14:textId="77777777" w:rsidR="00EF5B27" w:rsidRDefault="00EF5B27">
            <w:pPr>
              <w:pStyle w:val="TableParagraph"/>
              <w:spacing w:before="11"/>
              <w:rPr>
                <w:sz w:val="11"/>
              </w:rPr>
            </w:pPr>
          </w:p>
          <w:p w14:paraId="40C0EEC5" w14:textId="77777777" w:rsidR="00EF5B27" w:rsidRDefault="00000000">
            <w:pPr>
              <w:pStyle w:val="TableParagraph"/>
              <w:ind w:left="4"/>
              <w:jc w:val="center"/>
              <w:rPr>
                <w:sz w:val="14"/>
              </w:rPr>
            </w:pPr>
            <w:r>
              <w:rPr>
                <w:color w:val="4D4D4F"/>
                <w:w w:val="96"/>
                <w:sz w:val="14"/>
              </w:rPr>
              <w:t>1</w:t>
            </w:r>
          </w:p>
        </w:tc>
        <w:tc>
          <w:tcPr>
            <w:tcW w:w="1361" w:type="dxa"/>
          </w:tcPr>
          <w:p w14:paraId="4494D81A" w14:textId="77777777" w:rsidR="00EF5B27" w:rsidRDefault="00000000">
            <w:pPr>
              <w:pStyle w:val="TableParagraph"/>
              <w:spacing w:before="55"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1D3343CD" w14:textId="77777777" w:rsidR="00EF5B27" w:rsidRDefault="00EF5B27">
            <w:pPr>
              <w:pStyle w:val="TableParagraph"/>
              <w:spacing w:before="11"/>
              <w:rPr>
                <w:sz w:val="11"/>
              </w:rPr>
            </w:pPr>
          </w:p>
          <w:p w14:paraId="52BCC798" w14:textId="77777777" w:rsidR="00EF5B27" w:rsidRDefault="00000000">
            <w:pPr>
              <w:pStyle w:val="TableParagraph"/>
              <w:ind w:right="327"/>
              <w:jc w:val="right"/>
              <w:rPr>
                <w:sz w:val="14"/>
              </w:rPr>
            </w:pPr>
            <w:r>
              <w:rPr>
                <w:color w:val="4D4D4F"/>
                <w:w w:val="96"/>
                <w:sz w:val="14"/>
              </w:rPr>
              <w:t>1</w:t>
            </w:r>
          </w:p>
        </w:tc>
        <w:tc>
          <w:tcPr>
            <w:tcW w:w="1474" w:type="dxa"/>
          </w:tcPr>
          <w:p w14:paraId="2F41EDEF" w14:textId="77777777" w:rsidR="00EF5B27" w:rsidRDefault="00EF5B27">
            <w:pPr>
              <w:pStyle w:val="TableParagraph"/>
              <w:spacing w:before="11"/>
              <w:rPr>
                <w:sz w:val="11"/>
              </w:rPr>
            </w:pPr>
          </w:p>
          <w:p w14:paraId="0F51A9E4" w14:textId="77777777" w:rsidR="00EF5B27" w:rsidRDefault="00000000">
            <w:pPr>
              <w:pStyle w:val="TableParagraph"/>
              <w:ind w:left="124" w:right="120"/>
              <w:jc w:val="center"/>
              <w:rPr>
                <w:sz w:val="14"/>
              </w:rPr>
            </w:pPr>
            <w:r>
              <w:rPr>
                <w:color w:val="4D4D4F"/>
                <w:w w:val="105"/>
                <w:sz w:val="14"/>
              </w:rPr>
              <w:t>States</w:t>
            </w:r>
          </w:p>
        </w:tc>
        <w:tc>
          <w:tcPr>
            <w:tcW w:w="2041" w:type="dxa"/>
          </w:tcPr>
          <w:p w14:paraId="4AEF4EEB" w14:textId="77777777" w:rsidR="00EF5B27" w:rsidRDefault="00EF5B27">
            <w:pPr>
              <w:pStyle w:val="TableParagraph"/>
              <w:spacing w:before="11"/>
              <w:rPr>
                <w:sz w:val="11"/>
              </w:rPr>
            </w:pPr>
          </w:p>
          <w:p w14:paraId="59B364F6" w14:textId="77777777" w:rsidR="00EF5B27" w:rsidRDefault="00000000">
            <w:pPr>
              <w:pStyle w:val="TableParagraph"/>
              <w:ind w:left="153" w:right="15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5235182B" w14:textId="77777777" w:rsidR="00EF5B27" w:rsidRDefault="00EF5B27">
            <w:pPr>
              <w:pStyle w:val="TableParagraph"/>
              <w:spacing w:before="11"/>
              <w:rPr>
                <w:sz w:val="11"/>
              </w:rPr>
            </w:pPr>
          </w:p>
          <w:p w14:paraId="59ED0B8D" w14:textId="77777777" w:rsidR="00EF5B27" w:rsidRDefault="00000000">
            <w:pPr>
              <w:pStyle w:val="TableParagraph"/>
              <w:ind w:left="940"/>
              <w:rPr>
                <w:sz w:val="14"/>
              </w:rPr>
            </w:pPr>
            <w:r>
              <w:rPr>
                <w:color w:val="4D4D4F"/>
                <w:sz w:val="14"/>
              </w:rPr>
              <w:t>2013</w:t>
            </w:r>
          </w:p>
        </w:tc>
        <w:tc>
          <w:tcPr>
            <w:tcW w:w="1134" w:type="dxa"/>
          </w:tcPr>
          <w:p w14:paraId="75E10992" w14:textId="77777777" w:rsidR="00EF5B27" w:rsidRDefault="00EF5B27">
            <w:pPr>
              <w:pStyle w:val="TableParagraph"/>
              <w:spacing w:before="11"/>
              <w:rPr>
                <w:sz w:val="11"/>
              </w:rPr>
            </w:pPr>
          </w:p>
          <w:p w14:paraId="55390EB7" w14:textId="77777777" w:rsidR="00EF5B27" w:rsidRDefault="00000000">
            <w:pPr>
              <w:pStyle w:val="TableParagraph"/>
              <w:ind w:left="455"/>
              <w:rPr>
                <w:sz w:val="14"/>
              </w:rPr>
            </w:pPr>
            <w:r>
              <w:rPr>
                <w:color w:val="4D4D4F"/>
                <w:w w:val="105"/>
                <w:sz w:val="14"/>
              </w:rPr>
              <w:t>N/A</w:t>
            </w:r>
          </w:p>
        </w:tc>
      </w:tr>
      <w:tr w:rsidR="00EF5B27" w14:paraId="7110CF07" w14:textId="77777777">
        <w:trPr>
          <w:trHeight w:val="448"/>
        </w:trPr>
        <w:tc>
          <w:tcPr>
            <w:tcW w:w="737" w:type="dxa"/>
          </w:tcPr>
          <w:p w14:paraId="6CD657C1" w14:textId="77777777" w:rsidR="00EF5B27" w:rsidRDefault="00EF5B27">
            <w:pPr>
              <w:pStyle w:val="TableParagraph"/>
              <w:spacing w:before="11"/>
              <w:rPr>
                <w:sz w:val="11"/>
              </w:rPr>
            </w:pPr>
          </w:p>
          <w:p w14:paraId="75F17508" w14:textId="77777777" w:rsidR="00EF5B27" w:rsidRDefault="00000000">
            <w:pPr>
              <w:pStyle w:val="TableParagraph"/>
              <w:ind w:left="4"/>
              <w:jc w:val="center"/>
              <w:rPr>
                <w:sz w:val="14"/>
              </w:rPr>
            </w:pPr>
            <w:r>
              <w:rPr>
                <w:color w:val="4D4D4F"/>
                <w:w w:val="96"/>
                <w:sz w:val="14"/>
              </w:rPr>
              <w:t>1</w:t>
            </w:r>
          </w:p>
        </w:tc>
        <w:tc>
          <w:tcPr>
            <w:tcW w:w="1361" w:type="dxa"/>
          </w:tcPr>
          <w:p w14:paraId="4B239FBA" w14:textId="77777777" w:rsidR="00EF5B27" w:rsidRDefault="00000000">
            <w:pPr>
              <w:pStyle w:val="TableParagraph"/>
              <w:spacing w:before="55"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30B38B19" w14:textId="77777777" w:rsidR="00EF5B27" w:rsidRDefault="00EF5B27">
            <w:pPr>
              <w:pStyle w:val="TableParagraph"/>
              <w:spacing w:before="11"/>
              <w:rPr>
                <w:sz w:val="11"/>
              </w:rPr>
            </w:pPr>
          </w:p>
          <w:p w14:paraId="72EC0077" w14:textId="77777777" w:rsidR="00EF5B27" w:rsidRDefault="00000000">
            <w:pPr>
              <w:pStyle w:val="TableParagraph"/>
              <w:ind w:right="327"/>
              <w:jc w:val="right"/>
              <w:rPr>
                <w:sz w:val="14"/>
              </w:rPr>
            </w:pPr>
            <w:r>
              <w:rPr>
                <w:color w:val="4D4D4F"/>
                <w:w w:val="96"/>
                <w:sz w:val="14"/>
              </w:rPr>
              <w:t>1</w:t>
            </w:r>
          </w:p>
        </w:tc>
        <w:tc>
          <w:tcPr>
            <w:tcW w:w="1474" w:type="dxa"/>
          </w:tcPr>
          <w:p w14:paraId="62DAD2E2" w14:textId="77777777" w:rsidR="00EF5B27" w:rsidRDefault="00EF5B27">
            <w:pPr>
              <w:pStyle w:val="TableParagraph"/>
              <w:spacing w:before="11"/>
              <w:rPr>
                <w:sz w:val="11"/>
              </w:rPr>
            </w:pPr>
          </w:p>
          <w:p w14:paraId="7FD91977" w14:textId="77777777" w:rsidR="00EF5B27" w:rsidRDefault="00000000">
            <w:pPr>
              <w:pStyle w:val="TableParagraph"/>
              <w:ind w:left="123" w:right="120"/>
              <w:jc w:val="center"/>
              <w:rPr>
                <w:sz w:val="14"/>
              </w:rPr>
            </w:pPr>
            <w:r>
              <w:rPr>
                <w:color w:val="4D4D4F"/>
                <w:w w:val="105"/>
                <w:sz w:val="14"/>
              </w:rPr>
              <w:t>States</w:t>
            </w:r>
          </w:p>
        </w:tc>
        <w:tc>
          <w:tcPr>
            <w:tcW w:w="2041" w:type="dxa"/>
          </w:tcPr>
          <w:p w14:paraId="46B2E39D" w14:textId="77777777" w:rsidR="00EF5B27" w:rsidRDefault="00EF5B27">
            <w:pPr>
              <w:pStyle w:val="TableParagraph"/>
              <w:spacing w:before="11"/>
              <w:rPr>
                <w:sz w:val="11"/>
              </w:rPr>
            </w:pPr>
          </w:p>
          <w:p w14:paraId="57D2E1C3" w14:textId="77777777" w:rsidR="00EF5B27" w:rsidRDefault="00000000">
            <w:pPr>
              <w:pStyle w:val="TableParagraph"/>
              <w:ind w:left="153" w:right="150"/>
              <w:jc w:val="center"/>
              <w:rPr>
                <w:sz w:val="14"/>
              </w:rPr>
            </w:pPr>
            <w:r>
              <w:rPr>
                <w:color w:val="4D4D4F"/>
                <w:w w:val="105"/>
                <w:sz w:val="14"/>
              </w:rPr>
              <w:t>C3 grassland</w:t>
            </w:r>
          </w:p>
        </w:tc>
        <w:tc>
          <w:tcPr>
            <w:tcW w:w="2154" w:type="dxa"/>
          </w:tcPr>
          <w:p w14:paraId="502BECFA" w14:textId="77777777" w:rsidR="00EF5B27" w:rsidRDefault="00EF5B27">
            <w:pPr>
              <w:pStyle w:val="TableParagraph"/>
              <w:spacing w:before="11"/>
              <w:rPr>
                <w:sz w:val="11"/>
              </w:rPr>
            </w:pPr>
          </w:p>
          <w:p w14:paraId="402F0551" w14:textId="77777777" w:rsidR="00EF5B27" w:rsidRDefault="00000000">
            <w:pPr>
              <w:pStyle w:val="TableParagraph"/>
              <w:ind w:left="940"/>
              <w:rPr>
                <w:sz w:val="14"/>
              </w:rPr>
            </w:pPr>
            <w:r>
              <w:rPr>
                <w:color w:val="4D4D4F"/>
                <w:sz w:val="14"/>
              </w:rPr>
              <w:t>2013</w:t>
            </w:r>
          </w:p>
        </w:tc>
        <w:tc>
          <w:tcPr>
            <w:tcW w:w="1134" w:type="dxa"/>
          </w:tcPr>
          <w:p w14:paraId="66EBCDBD" w14:textId="77777777" w:rsidR="00EF5B27" w:rsidRDefault="00EF5B27">
            <w:pPr>
              <w:pStyle w:val="TableParagraph"/>
              <w:spacing w:before="11"/>
              <w:rPr>
                <w:sz w:val="11"/>
              </w:rPr>
            </w:pPr>
          </w:p>
          <w:p w14:paraId="7F40B947" w14:textId="77777777" w:rsidR="00EF5B27" w:rsidRDefault="00000000">
            <w:pPr>
              <w:pStyle w:val="TableParagraph"/>
              <w:ind w:left="455"/>
              <w:rPr>
                <w:sz w:val="14"/>
              </w:rPr>
            </w:pPr>
            <w:r>
              <w:rPr>
                <w:color w:val="4D4D4F"/>
                <w:w w:val="105"/>
                <w:sz w:val="14"/>
              </w:rPr>
              <w:t>N/A</w:t>
            </w:r>
          </w:p>
        </w:tc>
      </w:tr>
      <w:tr w:rsidR="00EF5B27" w14:paraId="2286AC20" w14:textId="77777777">
        <w:trPr>
          <w:trHeight w:val="448"/>
        </w:trPr>
        <w:tc>
          <w:tcPr>
            <w:tcW w:w="737" w:type="dxa"/>
          </w:tcPr>
          <w:p w14:paraId="2CE331A9" w14:textId="77777777" w:rsidR="00EF5B27" w:rsidRDefault="00EF5B27">
            <w:pPr>
              <w:pStyle w:val="TableParagraph"/>
              <w:spacing w:before="11"/>
              <w:rPr>
                <w:sz w:val="11"/>
              </w:rPr>
            </w:pPr>
          </w:p>
          <w:p w14:paraId="22F4EC73" w14:textId="77777777" w:rsidR="00EF5B27" w:rsidRDefault="00000000">
            <w:pPr>
              <w:pStyle w:val="TableParagraph"/>
              <w:ind w:left="4"/>
              <w:jc w:val="center"/>
              <w:rPr>
                <w:sz w:val="14"/>
              </w:rPr>
            </w:pPr>
            <w:r>
              <w:rPr>
                <w:color w:val="4D4D4F"/>
                <w:w w:val="96"/>
                <w:sz w:val="14"/>
              </w:rPr>
              <w:t>1</w:t>
            </w:r>
          </w:p>
        </w:tc>
        <w:tc>
          <w:tcPr>
            <w:tcW w:w="1361" w:type="dxa"/>
          </w:tcPr>
          <w:p w14:paraId="291FB944" w14:textId="77777777" w:rsidR="00EF5B27" w:rsidRDefault="00000000">
            <w:pPr>
              <w:pStyle w:val="TableParagraph"/>
              <w:spacing w:before="55"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4113361A" w14:textId="77777777" w:rsidR="00EF5B27" w:rsidRDefault="00EF5B27">
            <w:pPr>
              <w:pStyle w:val="TableParagraph"/>
              <w:spacing w:before="11"/>
              <w:rPr>
                <w:sz w:val="11"/>
              </w:rPr>
            </w:pPr>
          </w:p>
          <w:p w14:paraId="190F5977" w14:textId="77777777" w:rsidR="00EF5B27" w:rsidRDefault="00000000">
            <w:pPr>
              <w:pStyle w:val="TableParagraph"/>
              <w:ind w:right="329"/>
              <w:jc w:val="right"/>
              <w:rPr>
                <w:sz w:val="14"/>
              </w:rPr>
            </w:pPr>
            <w:r>
              <w:rPr>
                <w:color w:val="4D4D4F"/>
                <w:w w:val="96"/>
                <w:sz w:val="14"/>
              </w:rPr>
              <w:t>1</w:t>
            </w:r>
          </w:p>
        </w:tc>
        <w:tc>
          <w:tcPr>
            <w:tcW w:w="1474" w:type="dxa"/>
          </w:tcPr>
          <w:p w14:paraId="7CE7F1C9" w14:textId="77777777" w:rsidR="00EF5B27" w:rsidRDefault="00EF5B27">
            <w:pPr>
              <w:pStyle w:val="TableParagraph"/>
              <w:spacing w:before="11"/>
              <w:rPr>
                <w:sz w:val="11"/>
              </w:rPr>
            </w:pPr>
          </w:p>
          <w:p w14:paraId="693397C4" w14:textId="77777777" w:rsidR="00EF5B27" w:rsidRDefault="00000000">
            <w:pPr>
              <w:pStyle w:val="TableParagraph"/>
              <w:ind w:left="123" w:right="120"/>
              <w:jc w:val="center"/>
              <w:rPr>
                <w:sz w:val="14"/>
              </w:rPr>
            </w:pPr>
            <w:r>
              <w:rPr>
                <w:color w:val="4D4D4F"/>
                <w:w w:val="105"/>
                <w:sz w:val="14"/>
              </w:rPr>
              <w:t>States</w:t>
            </w:r>
          </w:p>
        </w:tc>
        <w:tc>
          <w:tcPr>
            <w:tcW w:w="2041" w:type="dxa"/>
          </w:tcPr>
          <w:p w14:paraId="7B521BD5" w14:textId="77777777" w:rsidR="00EF5B27" w:rsidRDefault="00EF5B27">
            <w:pPr>
              <w:pStyle w:val="TableParagraph"/>
              <w:spacing w:before="11"/>
              <w:rPr>
                <w:sz w:val="11"/>
              </w:rPr>
            </w:pPr>
          </w:p>
          <w:p w14:paraId="1802AE39" w14:textId="77777777" w:rsidR="00EF5B27" w:rsidRDefault="00000000">
            <w:pPr>
              <w:pStyle w:val="TableParagraph"/>
              <w:ind w:left="153" w:right="150"/>
              <w:jc w:val="center"/>
              <w:rPr>
                <w:sz w:val="14"/>
              </w:rPr>
            </w:pPr>
            <w:r>
              <w:rPr>
                <w:color w:val="4D4D4F"/>
                <w:w w:val="105"/>
                <w:sz w:val="14"/>
              </w:rPr>
              <w:t>Nutrient-enriched grassland</w:t>
            </w:r>
          </w:p>
        </w:tc>
        <w:tc>
          <w:tcPr>
            <w:tcW w:w="2154" w:type="dxa"/>
          </w:tcPr>
          <w:p w14:paraId="39E26D4A" w14:textId="77777777" w:rsidR="00EF5B27" w:rsidRDefault="00EF5B27">
            <w:pPr>
              <w:pStyle w:val="TableParagraph"/>
              <w:spacing w:before="11"/>
              <w:rPr>
                <w:sz w:val="11"/>
              </w:rPr>
            </w:pPr>
          </w:p>
          <w:p w14:paraId="3E878CA5" w14:textId="77777777" w:rsidR="00EF5B27" w:rsidRDefault="00000000">
            <w:pPr>
              <w:pStyle w:val="TableParagraph"/>
              <w:ind w:left="940"/>
              <w:rPr>
                <w:sz w:val="14"/>
              </w:rPr>
            </w:pPr>
            <w:r>
              <w:rPr>
                <w:color w:val="4D4D4F"/>
                <w:sz w:val="14"/>
              </w:rPr>
              <w:t>2013</w:t>
            </w:r>
          </w:p>
        </w:tc>
        <w:tc>
          <w:tcPr>
            <w:tcW w:w="1134" w:type="dxa"/>
          </w:tcPr>
          <w:p w14:paraId="712B6AD5" w14:textId="77777777" w:rsidR="00EF5B27" w:rsidRDefault="00EF5B27">
            <w:pPr>
              <w:pStyle w:val="TableParagraph"/>
              <w:spacing w:before="11"/>
              <w:rPr>
                <w:sz w:val="11"/>
              </w:rPr>
            </w:pPr>
          </w:p>
          <w:p w14:paraId="29AE65DE" w14:textId="77777777" w:rsidR="00EF5B27" w:rsidRDefault="00000000">
            <w:pPr>
              <w:pStyle w:val="TableParagraph"/>
              <w:ind w:left="455"/>
              <w:rPr>
                <w:sz w:val="14"/>
              </w:rPr>
            </w:pPr>
            <w:r>
              <w:rPr>
                <w:color w:val="4D4D4F"/>
                <w:w w:val="105"/>
                <w:sz w:val="14"/>
              </w:rPr>
              <w:t>N/A</w:t>
            </w:r>
          </w:p>
        </w:tc>
      </w:tr>
      <w:tr w:rsidR="00EF5B27" w14:paraId="4F062846" w14:textId="77777777">
        <w:trPr>
          <w:trHeight w:val="448"/>
        </w:trPr>
        <w:tc>
          <w:tcPr>
            <w:tcW w:w="737" w:type="dxa"/>
          </w:tcPr>
          <w:p w14:paraId="2385FD20" w14:textId="77777777" w:rsidR="00EF5B27" w:rsidRDefault="00EF5B27">
            <w:pPr>
              <w:pStyle w:val="TableParagraph"/>
              <w:spacing w:before="11"/>
              <w:rPr>
                <w:sz w:val="11"/>
              </w:rPr>
            </w:pPr>
          </w:p>
          <w:p w14:paraId="664C82A0" w14:textId="77777777" w:rsidR="00EF5B27" w:rsidRDefault="00000000">
            <w:pPr>
              <w:pStyle w:val="TableParagraph"/>
              <w:ind w:left="3"/>
              <w:jc w:val="center"/>
              <w:rPr>
                <w:sz w:val="14"/>
              </w:rPr>
            </w:pPr>
            <w:r>
              <w:rPr>
                <w:color w:val="4D4D4F"/>
                <w:w w:val="96"/>
                <w:sz w:val="14"/>
              </w:rPr>
              <w:t>1</w:t>
            </w:r>
          </w:p>
        </w:tc>
        <w:tc>
          <w:tcPr>
            <w:tcW w:w="1361" w:type="dxa"/>
          </w:tcPr>
          <w:p w14:paraId="203C1157" w14:textId="77777777" w:rsidR="00EF5B27" w:rsidRDefault="00000000">
            <w:pPr>
              <w:pStyle w:val="TableParagraph"/>
              <w:spacing w:before="55"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3B71E895" w14:textId="77777777" w:rsidR="00EF5B27" w:rsidRDefault="00EF5B27">
            <w:pPr>
              <w:pStyle w:val="TableParagraph"/>
              <w:spacing w:before="11"/>
              <w:rPr>
                <w:sz w:val="11"/>
              </w:rPr>
            </w:pPr>
          </w:p>
          <w:p w14:paraId="1BF47BE4" w14:textId="77777777" w:rsidR="00EF5B27" w:rsidRDefault="00000000">
            <w:pPr>
              <w:pStyle w:val="TableParagraph"/>
              <w:ind w:right="328"/>
              <w:jc w:val="right"/>
              <w:rPr>
                <w:sz w:val="14"/>
              </w:rPr>
            </w:pPr>
            <w:r>
              <w:rPr>
                <w:color w:val="4D4D4F"/>
                <w:w w:val="96"/>
                <w:sz w:val="14"/>
              </w:rPr>
              <w:t>1</w:t>
            </w:r>
          </w:p>
        </w:tc>
        <w:tc>
          <w:tcPr>
            <w:tcW w:w="1474" w:type="dxa"/>
          </w:tcPr>
          <w:p w14:paraId="0D41928D" w14:textId="77777777" w:rsidR="00EF5B27" w:rsidRDefault="00EF5B27">
            <w:pPr>
              <w:pStyle w:val="TableParagraph"/>
              <w:spacing w:before="11"/>
              <w:rPr>
                <w:sz w:val="11"/>
              </w:rPr>
            </w:pPr>
          </w:p>
          <w:p w14:paraId="279FF1F5" w14:textId="77777777" w:rsidR="00EF5B27" w:rsidRDefault="00000000">
            <w:pPr>
              <w:pStyle w:val="TableParagraph"/>
              <w:ind w:left="123" w:right="120"/>
              <w:jc w:val="center"/>
              <w:rPr>
                <w:sz w:val="14"/>
              </w:rPr>
            </w:pPr>
            <w:r>
              <w:rPr>
                <w:color w:val="4D4D4F"/>
                <w:w w:val="105"/>
                <w:sz w:val="14"/>
              </w:rPr>
              <w:t>States</w:t>
            </w:r>
          </w:p>
        </w:tc>
        <w:tc>
          <w:tcPr>
            <w:tcW w:w="2041" w:type="dxa"/>
          </w:tcPr>
          <w:p w14:paraId="3E120976" w14:textId="77777777" w:rsidR="00EF5B27" w:rsidRDefault="00EF5B27">
            <w:pPr>
              <w:pStyle w:val="TableParagraph"/>
              <w:spacing w:before="11"/>
              <w:rPr>
                <w:sz w:val="11"/>
              </w:rPr>
            </w:pPr>
          </w:p>
          <w:p w14:paraId="5501DC51" w14:textId="77777777" w:rsidR="00EF5B27" w:rsidRDefault="00000000">
            <w:pPr>
              <w:pStyle w:val="TableParagraph"/>
              <w:ind w:left="153" w:right="150"/>
              <w:jc w:val="center"/>
              <w:rPr>
                <w:sz w:val="14"/>
              </w:rPr>
            </w:pPr>
            <w:r>
              <w:rPr>
                <w:color w:val="4D4D4F"/>
                <w:w w:val="105"/>
                <w:sz w:val="14"/>
              </w:rPr>
              <w:t>De-rocked grassland</w:t>
            </w:r>
          </w:p>
        </w:tc>
        <w:tc>
          <w:tcPr>
            <w:tcW w:w="2154" w:type="dxa"/>
          </w:tcPr>
          <w:p w14:paraId="436DF135" w14:textId="77777777" w:rsidR="00EF5B27" w:rsidRDefault="00EF5B27">
            <w:pPr>
              <w:pStyle w:val="TableParagraph"/>
              <w:spacing w:before="11"/>
              <w:rPr>
                <w:sz w:val="11"/>
              </w:rPr>
            </w:pPr>
          </w:p>
          <w:p w14:paraId="6BCB59AA" w14:textId="77777777" w:rsidR="00EF5B27" w:rsidRDefault="00000000">
            <w:pPr>
              <w:pStyle w:val="TableParagraph"/>
              <w:ind w:left="940"/>
              <w:rPr>
                <w:sz w:val="14"/>
              </w:rPr>
            </w:pPr>
            <w:r>
              <w:rPr>
                <w:color w:val="4D4D4F"/>
                <w:sz w:val="14"/>
              </w:rPr>
              <w:t>2013</w:t>
            </w:r>
          </w:p>
        </w:tc>
        <w:tc>
          <w:tcPr>
            <w:tcW w:w="1134" w:type="dxa"/>
          </w:tcPr>
          <w:p w14:paraId="733BBFAC" w14:textId="77777777" w:rsidR="00EF5B27" w:rsidRDefault="00EF5B27">
            <w:pPr>
              <w:pStyle w:val="TableParagraph"/>
              <w:spacing w:before="11"/>
              <w:rPr>
                <w:sz w:val="11"/>
              </w:rPr>
            </w:pPr>
          </w:p>
          <w:p w14:paraId="56351F7F" w14:textId="77777777" w:rsidR="00EF5B27" w:rsidRDefault="00000000">
            <w:pPr>
              <w:pStyle w:val="TableParagraph"/>
              <w:ind w:left="455"/>
              <w:rPr>
                <w:sz w:val="14"/>
              </w:rPr>
            </w:pPr>
            <w:r>
              <w:rPr>
                <w:color w:val="4D4D4F"/>
                <w:w w:val="105"/>
                <w:sz w:val="14"/>
              </w:rPr>
              <w:t>N/A</w:t>
            </w:r>
          </w:p>
        </w:tc>
      </w:tr>
      <w:tr w:rsidR="00EF5B27" w14:paraId="2B311C68" w14:textId="77777777">
        <w:trPr>
          <w:trHeight w:val="448"/>
        </w:trPr>
        <w:tc>
          <w:tcPr>
            <w:tcW w:w="737" w:type="dxa"/>
          </w:tcPr>
          <w:p w14:paraId="3A43D6CD" w14:textId="77777777" w:rsidR="00EF5B27" w:rsidRDefault="00EF5B27">
            <w:pPr>
              <w:pStyle w:val="TableParagraph"/>
              <w:spacing w:before="11"/>
              <w:rPr>
                <w:sz w:val="11"/>
              </w:rPr>
            </w:pPr>
          </w:p>
          <w:p w14:paraId="57945A5A" w14:textId="77777777" w:rsidR="00EF5B27" w:rsidRDefault="00000000">
            <w:pPr>
              <w:pStyle w:val="TableParagraph"/>
              <w:ind w:left="3"/>
              <w:jc w:val="center"/>
              <w:rPr>
                <w:sz w:val="14"/>
              </w:rPr>
            </w:pPr>
            <w:r>
              <w:rPr>
                <w:color w:val="4D4D4F"/>
                <w:w w:val="96"/>
                <w:sz w:val="14"/>
              </w:rPr>
              <w:t>1</w:t>
            </w:r>
          </w:p>
        </w:tc>
        <w:tc>
          <w:tcPr>
            <w:tcW w:w="1361" w:type="dxa"/>
          </w:tcPr>
          <w:p w14:paraId="715B0D67" w14:textId="77777777" w:rsidR="00EF5B27" w:rsidRDefault="00000000">
            <w:pPr>
              <w:pStyle w:val="TableParagraph"/>
              <w:spacing w:before="55"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4D1E1909" w14:textId="77777777" w:rsidR="00EF5B27" w:rsidRDefault="00EF5B27">
            <w:pPr>
              <w:pStyle w:val="TableParagraph"/>
              <w:spacing w:before="11"/>
              <w:rPr>
                <w:sz w:val="11"/>
              </w:rPr>
            </w:pPr>
          </w:p>
          <w:p w14:paraId="16B34869" w14:textId="77777777" w:rsidR="00EF5B27" w:rsidRDefault="00000000">
            <w:pPr>
              <w:pStyle w:val="TableParagraph"/>
              <w:ind w:right="328"/>
              <w:jc w:val="right"/>
              <w:rPr>
                <w:sz w:val="14"/>
              </w:rPr>
            </w:pPr>
            <w:r>
              <w:rPr>
                <w:color w:val="4D4D4F"/>
                <w:w w:val="96"/>
                <w:sz w:val="14"/>
              </w:rPr>
              <w:t>2</w:t>
            </w:r>
          </w:p>
        </w:tc>
        <w:tc>
          <w:tcPr>
            <w:tcW w:w="1474" w:type="dxa"/>
          </w:tcPr>
          <w:p w14:paraId="76EDAB53" w14:textId="77777777" w:rsidR="00EF5B27" w:rsidRDefault="00EF5B27">
            <w:pPr>
              <w:pStyle w:val="TableParagraph"/>
              <w:spacing w:before="11"/>
              <w:rPr>
                <w:sz w:val="11"/>
              </w:rPr>
            </w:pPr>
          </w:p>
          <w:p w14:paraId="16D27E6C" w14:textId="77777777" w:rsidR="00EF5B27" w:rsidRDefault="00000000">
            <w:pPr>
              <w:pStyle w:val="TableParagraph"/>
              <w:ind w:left="123" w:right="120"/>
              <w:jc w:val="center"/>
              <w:rPr>
                <w:sz w:val="14"/>
              </w:rPr>
            </w:pPr>
            <w:r>
              <w:rPr>
                <w:color w:val="4D4D4F"/>
                <w:w w:val="105"/>
                <w:sz w:val="14"/>
              </w:rPr>
              <w:t>Forb cover</w:t>
            </w:r>
          </w:p>
        </w:tc>
        <w:tc>
          <w:tcPr>
            <w:tcW w:w="2041" w:type="dxa"/>
          </w:tcPr>
          <w:p w14:paraId="2448C509" w14:textId="77777777" w:rsidR="00EF5B27" w:rsidRDefault="00EF5B27">
            <w:pPr>
              <w:pStyle w:val="TableParagraph"/>
              <w:spacing w:before="11"/>
              <w:rPr>
                <w:sz w:val="11"/>
              </w:rPr>
            </w:pPr>
          </w:p>
          <w:p w14:paraId="16BBAEE8" w14:textId="77777777" w:rsidR="00EF5B27" w:rsidRDefault="00000000">
            <w:pPr>
              <w:pStyle w:val="TableParagraph"/>
              <w:ind w:left="153" w:right="150"/>
              <w:jc w:val="center"/>
              <w:rPr>
                <w:sz w:val="14"/>
              </w:rPr>
            </w:pPr>
            <w:r>
              <w:rPr>
                <w:color w:val="4D4D4F"/>
                <w:w w:val="105"/>
                <w:sz w:val="14"/>
              </w:rPr>
              <w:t>Herb-rich grassland</w:t>
            </w:r>
          </w:p>
        </w:tc>
        <w:tc>
          <w:tcPr>
            <w:tcW w:w="2154" w:type="dxa"/>
          </w:tcPr>
          <w:p w14:paraId="3931BC72" w14:textId="77777777" w:rsidR="00EF5B27" w:rsidRDefault="00EF5B27">
            <w:pPr>
              <w:pStyle w:val="TableParagraph"/>
              <w:spacing w:before="11"/>
              <w:rPr>
                <w:sz w:val="11"/>
              </w:rPr>
            </w:pPr>
          </w:p>
          <w:p w14:paraId="441723CD" w14:textId="77777777" w:rsidR="00EF5B27" w:rsidRDefault="00000000">
            <w:pPr>
              <w:pStyle w:val="TableParagraph"/>
              <w:ind w:left="940"/>
              <w:rPr>
                <w:sz w:val="14"/>
              </w:rPr>
            </w:pPr>
            <w:r>
              <w:rPr>
                <w:color w:val="4D4D4F"/>
                <w:sz w:val="14"/>
              </w:rPr>
              <w:t>2013</w:t>
            </w:r>
          </w:p>
        </w:tc>
        <w:tc>
          <w:tcPr>
            <w:tcW w:w="1134" w:type="dxa"/>
          </w:tcPr>
          <w:p w14:paraId="46C546C4" w14:textId="77777777" w:rsidR="00EF5B27" w:rsidRDefault="00EF5B27">
            <w:pPr>
              <w:pStyle w:val="TableParagraph"/>
              <w:spacing w:before="11"/>
              <w:rPr>
                <w:sz w:val="11"/>
              </w:rPr>
            </w:pPr>
          </w:p>
          <w:p w14:paraId="19389822" w14:textId="77777777" w:rsidR="00EF5B27" w:rsidRDefault="00000000">
            <w:pPr>
              <w:pStyle w:val="TableParagraph"/>
              <w:ind w:left="430"/>
              <w:rPr>
                <w:sz w:val="14"/>
              </w:rPr>
            </w:pPr>
            <w:r>
              <w:rPr>
                <w:color w:val="4D4D4F"/>
                <w:sz w:val="14"/>
              </w:rPr>
              <w:t>2019</w:t>
            </w:r>
          </w:p>
        </w:tc>
      </w:tr>
      <w:tr w:rsidR="00EF5B27" w14:paraId="438121A4" w14:textId="77777777">
        <w:trPr>
          <w:trHeight w:val="448"/>
        </w:trPr>
        <w:tc>
          <w:tcPr>
            <w:tcW w:w="737" w:type="dxa"/>
          </w:tcPr>
          <w:p w14:paraId="161B8345" w14:textId="77777777" w:rsidR="00EF5B27" w:rsidRDefault="00EF5B27">
            <w:pPr>
              <w:pStyle w:val="TableParagraph"/>
              <w:spacing w:before="11"/>
              <w:rPr>
                <w:sz w:val="11"/>
              </w:rPr>
            </w:pPr>
          </w:p>
          <w:p w14:paraId="3887BE77" w14:textId="77777777" w:rsidR="00EF5B27" w:rsidRDefault="00000000">
            <w:pPr>
              <w:pStyle w:val="TableParagraph"/>
              <w:ind w:left="3"/>
              <w:jc w:val="center"/>
              <w:rPr>
                <w:sz w:val="14"/>
              </w:rPr>
            </w:pPr>
            <w:r>
              <w:rPr>
                <w:color w:val="4D4D4F"/>
                <w:w w:val="96"/>
                <w:sz w:val="14"/>
              </w:rPr>
              <w:t>1</w:t>
            </w:r>
          </w:p>
        </w:tc>
        <w:tc>
          <w:tcPr>
            <w:tcW w:w="1361" w:type="dxa"/>
          </w:tcPr>
          <w:p w14:paraId="4AA2B13F" w14:textId="77777777" w:rsidR="00EF5B27" w:rsidRDefault="00000000">
            <w:pPr>
              <w:pStyle w:val="TableParagraph"/>
              <w:spacing w:before="56"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5E76ABCE" w14:textId="77777777" w:rsidR="00EF5B27" w:rsidRDefault="00EF5B27">
            <w:pPr>
              <w:pStyle w:val="TableParagraph"/>
              <w:spacing w:before="11"/>
              <w:rPr>
                <w:sz w:val="11"/>
              </w:rPr>
            </w:pPr>
          </w:p>
          <w:p w14:paraId="09A9E996" w14:textId="77777777" w:rsidR="00EF5B27" w:rsidRDefault="00000000">
            <w:pPr>
              <w:pStyle w:val="TableParagraph"/>
              <w:ind w:right="328"/>
              <w:jc w:val="right"/>
              <w:rPr>
                <w:sz w:val="14"/>
              </w:rPr>
            </w:pPr>
            <w:r>
              <w:rPr>
                <w:color w:val="4D4D4F"/>
                <w:w w:val="96"/>
                <w:sz w:val="14"/>
              </w:rPr>
              <w:t>2</w:t>
            </w:r>
          </w:p>
        </w:tc>
        <w:tc>
          <w:tcPr>
            <w:tcW w:w="1474" w:type="dxa"/>
          </w:tcPr>
          <w:p w14:paraId="5672DA9C" w14:textId="77777777" w:rsidR="00EF5B27" w:rsidRDefault="00EF5B27">
            <w:pPr>
              <w:pStyle w:val="TableParagraph"/>
              <w:spacing w:before="11"/>
              <w:rPr>
                <w:sz w:val="11"/>
              </w:rPr>
            </w:pPr>
          </w:p>
          <w:p w14:paraId="0F397894" w14:textId="77777777" w:rsidR="00EF5B27" w:rsidRDefault="00000000">
            <w:pPr>
              <w:pStyle w:val="TableParagraph"/>
              <w:ind w:left="123" w:right="120"/>
              <w:jc w:val="center"/>
              <w:rPr>
                <w:sz w:val="14"/>
              </w:rPr>
            </w:pPr>
            <w:r>
              <w:rPr>
                <w:color w:val="4D4D4F"/>
                <w:w w:val="105"/>
                <w:sz w:val="14"/>
              </w:rPr>
              <w:t>Forb cover</w:t>
            </w:r>
          </w:p>
        </w:tc>
        <w:tc>
          <w:tcPr>
            <w:tcW w:w="2041" w:type="dxa"/>
          </w:tcPr>
          <w:p w14:paraId="2AD37A71" w14:textId="77777777" w:rsidR="00EF5B27" w:rsidRDefault="00EF5B27">
            <w:pPr>
              <w:pStyle w:val="TableParagraph"/>
              <w:spacing w:before="11"/>
              <w:rPr>
                <w:sz w:val="11"/>
              </w:rPr>
            </w:pPr>
          </w:p>
          <w:p w14:paraId="0E0D0F21" w14:textId="77777777" w:rsidR="00EF5B27" w:rsidRDefault="00000000">
            <w:pPr>
              <w:pStyle w:val="TableParagraph"/>
              <w:ind w:left="153" w:right="15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260A22CE" w14:textId="77777777" w:rsidR="00EF5B27" w:rsidRDefault="00EF5B27">
            <w:pPr>
              <w:pStyle w:val="TableParagraph"/>
              <w:spacing w:before="11"/>
              <w:rPr>
                <w:sz w:val="11"/>
              </w:rPr>
            </w:pPr>
          </w:p>
          <w:p w14:paraId="6DE60D0E" w14:textId="77777777" w:rsidR="00EF5B27" w:rsidRDefault="00000000">
            <w:pPr>
              <w:pStyle w:val="TableParagraph"/>
              <w:ind w:left="939"/>
              <w:rPr>
                <w:sz w:val="14"/>
              </w:rPr>
            </w:pPr>
            <w:r>
              <w:rPr>
                <w:color w:val="4D4D4F"/>
                <w:sz w:val="14"/>
              </w:rPr>
              <w:t>2014</w:t>
            </w:r>
          </w:p>
        </w:tc>
        <w:tc>
          <w:tcPr>
            <w:tcW w:w="1134" w:type="dxa"/>
          </w:tcPr>
          <w:p w14:paraId="2D8FB238" w14:textId="77777777" w:rsidR="00EF5B27" w:rsidRDefault="00EF5B27">
            <w:pPr>
              <w:pStyle w:val="TableParagraph"/>
              <w:spacing w:before="11"/>
              <w:rPr>
                <w:sz w:val="11"/>
              </w:rPr>
            </w:pPr>
          </w:p>
          <w:p w14:paraId="7CB4E9FA" w14:textId="77777777" w:rsidR="00EF5B27" w:rsidRDefault="00000000">
            <w:pPr>
              <w:pStyle w:val="TableParagraph"/>
              <w:ind w:left="430"/>
              <w:rPr>
                <w:sz w:val="14"/>
              </w:rPr>
            </w:pPr>
            <w:r>
              <w:rPr>
                <w:color w:val="4D4D4F"/>
                <w:sz w:val="14"/>
              </w:rPr>
              <w:t>2018</w:t>
            </w:r>
          </w:p>
        </w:tc>
      </w:tr>
      <w:tr w:rsidR="00EF5B27" w14:paraId="103B8CE1" w14:textId="77777777">
        <w:trPr>
          <w:trHeight w:val="448"/>
        </w:trPr>
        <w:tc>
          <w:tcPr>
            <w:tcW w:w="737" w:type="dxa"/>
          </w:tcPr>
          <w:p w14:paraId="4BF47A4D" w14:textId="77777777" w:rsidR="00EF5B27" w:rsidRDefault="00EF5B27">
            <w:pPr>
              <w:pStyle w:val="TableParagraph"/>
              <w:spacing w:before="11"/>
              <w:rPr>
                <w:sz w:val="11"/>
              </w:rPr>
            </w:pPr>
          </w:p>
          <w:p w14:paraId="7D04C11F" w14:textId="77777777" w:rsidR="00EF5B27" w:rsidRDefault="00000000">
            <w:pPr>
              <w:pStyle w:val="TableParagraph"/>
              <w:ind w:left="3"/>
              <w:jc w:val="center"/>
              <w:rPr>
                <w:sz w:val="14"/>
              </w:rPr>
            </w:pPr>
            <w:r>
              <w:rPr>
                <w:color w:val="4D4D4F"/>
                <w:w w:val="96"/>
                <w:sz w:val="14"/>
              </w:rPr>
              <w:t>1</w:t>
            </w:r>
          </w:p>
        </w:tc>
        <w:tc>
          <w:tcPr>
            <w:tcW w:w="1361" w:type="dxa"/>
          </w:tcPr>
          <w:p w14:paraId="3A71CAB5" w14:textId="77777777" w:rsidR="00EF5B27" w:rsidRDefault="00000000">
            <w:pPr>
              <w:pStyle w:val="TableParagraph"/>
              <w:spacing w:before="56" w:line="252" w:lineRule="auto"/>
              <w:ind w:left="376" w:hanging="255"/>
              <w:rPr>
                <w:sz w:val="14"/>
              </w:rPr>
            </w:pPr>
            <w:r>
              <w:rPr>
                <w:color w:val="4D4D4F"/>
                <w:sz w:val="14"/>
              </w:rPr>
              <w:t xml:space="preserve">Natural Temperate </w:t>
            </w:r>
            <w:r>
              <w:rPr>
                <w:color w:val="4D4D4F"/>
                <w:w w:val="105"/>
                <w:sz w:val="14"/>
              </w:rPr>
              <w:t>Grassland</w:t>
            </w:r>
          </w:p>
        </w:tc>
        <w:tc>
          <w:tcPr>
            <w:tcW w:w="737" w:type="dxa"/>
          </w:tcPr>
          <w:p w14:paraId="3A7A52C1" w14:textId="77777777" w:rsidR="00EF5B27" w:rsidRDefault="00EF5B27">
            <w:pPr>
              <w:pStyle w:val="TableParagraph"/>
              <w:spacing w:before="11"/>
              <w:rPr>
                <w:sz w:val="11"/>
              </w:rPr>
            </w:pPr>
          </w:p>
          <w:p w14:paraId="01C57728" w14:textId="77777777" w:rsidR="00EF5B27" w:rsidRDefault="00000000">
            <w:pPr>
              <w:pStyle w:val="TableParagraph"/>
              <w:ind w:right="328"/>
              <w:jc w:val="right"/>
              <w:rPr>
                <w:sz w:val="14"/>
              </w:rPr>
            </w:pPr>
            <w:r>
              <w:rPr>
                <w:color w:val="4D4D4F"/>
                <w:w w:val="96"/>
                <w:sz w:val="14"/>
              </w:rPr>
              <w:t>2</w:t>
            </w:r>
          </w:p>
        </w:tc>
        <w:tc>
          <w:tcPr>
            <w:tcW w:w="1474" w:type="dxa"/>
          </w:tcPr>
          <w:p w14:paraId="0F78E01F" w14:textId="77777777" w:rsidR="00EF5B27" w:rsidRDefault="00EF5B27">
            <w:pPr>
              <w:pStyle w:val="TableParagraph"/>
              <w:spacing w:before="11"/>
              <w:rPr>
                <w:sz w:val="11"/>
              </w:rPr>
            </w:pPr>
          </w:p>
          <w:p w14:paraId="2B3ACDA5" w14:textId="77777777" w:rsidR="00EF5B27" w:rsidRDefault="00000000">
            <w:pPr>
              <w:pStyle w:val="TableParagraph"/>
              <w:ind w:left="122" w:right="120"/>
              <w:jc w:val="center"/>
              <w:rPr>
                <w:sz w:val="14"/>
              </w:rPr>
            </w:pPr>
            <w:r>
              <w:rPr>
                <w:color w:val="4D4D4F"/>
                <w:w w:val="105"/>
                <w:sz w:val="14"/>
              </w:rPr>
              <w:t>Forb cover</w:t>
            </w:r>
          </w:p>
        </w:tc>
        <w:tc>
          <w:tcPr>
            <w:tcW w:w="2041" w:type="dxa"/>
          </w:tcPr>
          <w:p w14:paraId="09F00F42" w14:textId="77777777" w:rsidR="00EF5B27" w:rsidRDefault="00EF5B27">
            <w:pPr>
              <w:pStyle w:val="TableParagraph"/>
              <w:spacing w:before="11"/>
              <w:rPr>
                <w:sz w:val="11"/>
              </w:rPr>
            </w:pPr>
          </w:p>
          <w:p w14:paraId="5986020F" w14:textId="77777777" w:rsidR="00EF5B27" w:rsidRDefault="00000000">
            <w:pPr>
              <w:pStyle w:val="TableParagraph"/>
              <w:ind w:left="153" w:right="150"/>
              <w:jc w:val="center"/>
              <w:rPr>
                <w:sz w:val="14"/>
              </w:rPr>
            </w:pPr>
            <w:r>
              <w:rPr>
                <w:color w:val="4D4D4F"/>
                <w:w w:val="105"/>
                <w:sz w:val="14"/>
              </w:rPr>
              <w:t>C3 grassland</w:t>
            </w:r>
          </w:p>
        </w:tc>
        <w:tc>
          <w:tcPr>
            <w:tcW w:w="2154" w:type="dxa"/>
          </w:tcPr>
          <w:p w14:paraId="0509E44D" w14:textId="77777777" w:rsidR="00EF5B27" w:rsidRDefault="00EF5B27">
            <w:pPr>
              <w:pStyle w:val="TableParagraph"/>
              <w:spacing w:before="11"/>
              <w:rPr>
                <w:sz w:val="11"/>
              </w:rPr>
            </w:pPr>
          </w:p>
          <w:p w14:paraId="67881232" w14:textId="77777777" w:rsidR="00EF5B27" w:rsidRDefault="00000000">
            <w:pPr>
              <w:pStyle w:val="TableParagraph"/>
              <w:ind w:left="940"/>
              <w:rPr>
                <w:sz w:val="14"/>
              </w:rPr>
            </w:pPr>
            <w:r>
              <w:rPr>
                <w:color w:val="4D4D4F"/>
                <w:sz w:val="14"/>
              </w:rPr>
              <w:t>2013</w:t>
            </w:r>
          </w:p>
        </w:tc>
        <w:tc>
          <w:tcPr>
            <w:tcW w:w="1134" w:type="dxa"/>
          </w:tcPr>
          <w:p w14:paraId="6A2EF927" w14:textId="77777777" w:rsidR="00EF5B27" w:rsidRDefault="00EF5B27">
            <w:pPr>
              <w:pStyle w:val="TableParagraph"/>
              <w:spacing w:before="11"/>
              <w:rPr>
                <w:sz w:val="11"/>
              </w:rPr>
            </w:pPr>
          </w:p>
          <w:p w14:paraId="27194A13" w14:textId="77777777" w:rsidR="00EF5B27" w:rsidRDefault="00000000">
            <w:pPr>
              <w:pStyle w:val="TableParagraph"/>
              <w:ind w:left="423"/>
              <w:rPr>
                <w:sz w:val="14"/>
              </w:rPr>
            </w:pPr>
            <w:r>
              <w:rPr>
                <w:color w:val="4D4D4F"/>
                <w:sz w:val="14"/>
              </w:rPr>
              <w:t>2022</w:t>
            </w:r>
          </w:p>
        </w:tc>
      </w:tr>
      <w:tr w:rsidR="00EF5B27" w14:paraId="7D0E4298" w14:textId="77777777">
        <w:trPr>
          <w:trHeight w:val="448"/>
        </w:trPr>
        <w:tc>
          <w:tcPr>
            <w:tcW w:w="737" w:type="dxa"/>
          </w:tcPr>
          <w:p w14:paraId="57983C46" w14:textId="77777777" w:rsidR="00EF5B27" w:rsidRDefault="00EF5B27">
            <w:pPr>
              <w:pStyle w:val="TableParagraph"/>
              <w:spacing w:before="11"/>
              <w:rPr>
                <w:sz w:val="11"/>
              </w:rPr>
            </w:pPr>
          </w:p>
          <w:p w14:paraId="064D2D8A" w14:textId="77777777" w:rsidR="00EF5B27" w:rsidRDefault="00000000">
            <w:pPr>
              <w:pStyle w:val="TableParagraph"/>
              <w:ind w:left="3"/>
              <w:jc w:val="center"/>
              <w:rPr>
                <w:sz w:val="14"/>
              </w:rPr>
            </w:pPr>
            <w:r>
              <w:rPr>
                <w:color w:val="4D4D4F"/>
                <w:w w:val="96"/>
                <w:sz w:val="14"/>
              </w:rPr>
              <w:t>1</w:t>
            </w:r>
          </w:p>
        </w:tc>
        <w:tc>
          <w:tcPr>
            <w:tcW w:w="1361" w:type="dxa"/>
          </w:tcPr>
          <w:p w14:paraId="59D8AE05" w14:textId="77777777" w:rsidR="00EF5B27" w:rsidRDefault="00000000">
            <w:pPr>
              <w:pStyle w:val="TableParagraph"/>
              <w:spacing w:before="56" w:line="252" w:lineRule="auto"/>
              <w:ind w:left="376" w:hanging="255"/>
              <w:rPr>
                <w:sz w:val="14"/>
              </w:rPr>
            </w:pPr>
            <w:r>
              <w:rPr>
                <w:color w:val="4D4D4F"/>
                <w:sz w:val="14"/>
              </w:rPr>
              <w:t xml:space="preserve">Natural Temperate </w:t>
            </w:r>
            <w:r>
              <w:rPr>
                <w:color w:val="4D4D4F"/>
                <w:w w:val="105"/>
                <w:sz w:val="14"/>
              </w:rPr>
              <w:t>Grassland</w:t>
            </w:r>
          </w:p>
        </w:tc>
        <w:tc>
          <w:tcPr>
            <w:tcW w:w="737" w:type="dxa"/>
          </w:tcPr>
          <w:p w14:paraId="6898DA11" w14:textId="77777777" w:rsidR="00EF5B27" w:rsidRDefault="00EF5B27">
            <w:pPr>
              <w:pStyle w:val="TableParagraph"/>
              <w:spacing w:before="11"/>
              <w:rPr>
                <w:sz w:val="11"/>
              </w:rPr>
            </w:pPr>
          </w:p>
          <w:p w14:paraId="4AF2BFBA" w14:textId="77777777" w:rsidR="00EF5B27" w:rsidRDefault="00000000">
            <w:pPr>
              <w:pStyle w:val="TableParagraph"/>
              <w:ind w:right="328"/>
              <w:jc w:val="right"/>
              <w:rPr>
                <w:sz w:val="14"/>
              </w:rPr>
            </w:pPr>
            <w:r>
              <w:rPr>
                <w:color w:val="4D4D4F"/>
                <w:w w:val="96"/>
                <w:sz w:val="14"/>
              </w:rPr>
              <w:t>2</w:t>
            </w:r>
          </w:p>
        </w:tc>
        <w:tc>
          <w:tcPr>
            <w:tcW w:w="1474" w:type="dxa"/>
          </w:tcPr>
          <w:p w14:paraId="5DB21E95" w14:textId="77777777" w:rsidR="00EF5B27" w:rsidRDefault="00EF5B27">
            <w:pPr>
              <w:pStyle w:val="TableParagraph"/>
              <w:spacing w:before="11"/>
              <w:rPr>
                <w:sz w:val="11"/>
              </w:rPr>
            </w:pPr>
          </w:p>
          <w:p w14:paraId="154C1612" w14:textId="77777777" w:rsidR="00EF5B27" w:rsidRDefault="00000000">
            <w:pPr>
              <w:pStyle w:val="TableParagraph"/>
              <w:ind w:left="122" w:right="120"/>
              <w:jc w:val="center"/>
              <w:rPr>
                <w:sz w:val="14"/>
              </w:rPr>
            </w:pPr>
            <w:r>
              <w:rPr>
                <w:color w:val="4D4D4F"/>
                <w:w w:val="105"/>
                <w:sz w:val="14"/>
              </w:rPr>
              <w:t>Forb cover</w:t>
            </w:r>
          </w:p>
        </w:tc>
        <w:tc>
          <w:tcPr>
            <w:tcW w:w="2041" w:type="dxa"/>
          </w:tcPr>
          <w:p w14:paraId="22F75F26" w14:textId="77777777" w:rsidR="00EF5B27" w:rsidRDefault="00EF5B27">
            <w:pPr>
              <w:pStyle w:val="TableParagraph"/>
              <w:spacing w:before="11"/>
              <w:rPr>
                <w:sz w:val="11"/>
              </w:rPr>
            </w:pPr>
          </w:p>
          <w:p w14:paraId="0709E789" w14:textId="77777777" w:rsidR="00EF5B27" w:rsidRDefault="00000000">
            <w:pPr>
              <w:pStyle w:val="TableParagraph"/>
              <w:ind w:left="152" w:right="150"/>
              <w:jc w:val="center"/>
              <w:rPr>
                <w:sz w:val="14"/>
              </w:rPr>
            </w:pPr>
            <w:r>
              <w:rPr>
                <w:color w:val="4D4D4F"/>
                <w:w w:val="105"/>
                <w:sz w:val="14"/>
              </w:rPr>
              <w:t>Nutrient-enriched grassland</w:t>
            </w:r>
          </w:p>
        </w:tc>
        <w:tc>
          <w:tcPr>
            <w:tcW w:w="2154" w:type="dxa"/>
          </w:tcPr>
          <w:p w14:paraId="22042520" w14:textId="77777777" w:rsidR="00EF5B27" w:rsidRDefault="00EF5B27">
            <w:pPr>
              <w:pStyle w:val="TableParagraph"/>
              <w:spacing w:before="11"/>
              <w:rPr>
                <w:sz w:val="11"/>
              </w:rPr>
            </w:pPr>
          </w:p>
          <w:p w14:paraId="1410F280" w14:textId="77777777" w:rsidR="00EF5B27" w:rsidRDefault="00000000">
            <w:pPr>
              <w:pStyle w:val="TableParagraph"/>
              <w:ind w:left="940"/>
              <w:rPr>
                <w:sz w:val="14"/>
              </w:rPr>
            </w:pPr>
            <w:r>
              <w:rPr>
                <w:color w:val="4D4D4F"/>
                <w:sz w:val="14"/>
              </w:rPr>
              <w:t>2013</w:t>
            </w:r>
          </w:p>
        </w:tc>
        <w:tc>
          <w:tcPr>
            <w:tcW w:w="1134" w:type="dxa"/>
          </w:tcPr>
          <w:p w14:paraId="6933E2FA" w14:textId="77777777" w:rsidR="00EF5B27" w:rsidRDefault="00EF5B27">
            <w:pPr>
              <w:pStyle w:val="TableParagraph"/>
              <w:spacing w:before="11"/>
              <w:rPr>
                <w:sz w:val="11"/>
              </w:rPr>
            </w:pPr>
          </w:p>
          <w:p w14:paraId="06977FCB" w14:textId="77777777" w:rsidR="00EF5B27" w:rsidRDefault="00000000">
            <w:pPr>
              <w:pStyle w:val="TableParagraph"/>
              <w:ind w:left="431"/>
              <w:rPr>
                <w:sz w:val="14"/>
              </w:rPr>
            </w:pPr>
            <w:r>
              <w:rPr>
                <w:color w:val="4D4D4F"/>
                <w:sz w:val="14"/>
              </w:rPr>
              <w:t>2017</w:t>
            </w:r>
          </w:p>
        </w:tc>
      </w:tr>
      <w:tr w:rsidR="00EF5B27" w14:paraId="2CFFE19F" w14:textId="77777777">
        <w:trPr>
          <w:trHeight w:val="448"/>
        </w:trPr>
        <w:tc>
          <w:tcPr>
            <w:tcW w:w="737" w:type="dxa"/>
          </w:tcPr>
          <w:p w14:paraId="271DB5BC" w14:textId="77777777" w:rsidR="00EF5B27" w:rsidRDefault="00EF5B27">
            <w:pPr>
              <w:pStyle w:val="TableParagraph"/>
              <w:spacing w:before="11"/>
              <w:rPr>
                <w:sz w:val="11"/>
              </w:rPr>
            </w:pPr>
          </w:p>
          <w:p w14:paraId="39D1B228" w14:textId="77777777" w:rsidR="00EF5B27" w:rsidRDefault="00000000">
            <w:pPr>
              <w:pStyle w:val="TableParagraph"/>
              <w:ind w:left="3"/>
              <w:jc w:val="center"/>
              <w:rPr>
                <w:sz w:val="14"/>
              </w:rPr>
            </w:pPr>
            <w:r>
              <w:rPr>
                <w:color w:val="4D4D4F"/>
                <w:w w:val="96"/>
                <w:sz w:val="14"/>
              </w:rPr>
              <w:t>1</w:t>
            </w:r>
          </w:p>
        </w:tc>
        <w:tc>
          <w:tcPr>
            <w:tcW w:w="1361" w:type="dxa"/>
          </w:tcPr>
          <w:p w14:paraId="3CAC7F99" w14:textId="77777777" w:rsidR="00EF5B27" w:rsidRDefault="00000000">
            <w:pPr>
              <w:pStyle w:val="TableParagraph"/>
              <w:spacing w:before="56"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40A7ECF8" w14:textId="77777777" w:rsidR="00EF5B27" w:rsidRDefault="00EF5B27">
            <w:pPr>
              <w:pStyle w:val="TableParagraph"/>
              <w:spacing w:before="11"/>
              <w:rPr>
                <w:sz w:val="11"/>
              </w:rPr>
            </w:pPr>
          </w:p>
          <w:p w14:paraId="053ABE83" w14:textId="77777777" w:rsidR="00EF5B27" w:rsidRDefault="00000000">
            <w:pPr>
              <w:pStyle w:val="TableParagraph"/>
              <w:ind w:right="328"/>
              <w:jc w:val="right"/>
              <w:rPr>
                <w:sz w:val="14"/>
              </w:rPr>
            </w:pPr>
            <w:r>
              <w:rPr>
                <w:color w:val="4D4D4F"/>
                <w:w w:val="96"/>
                <w:sz w:val="14"/>
              </w:rPr>
              <w:t>2</w:t>
            </w:r>
          </w:p>
        </w:tc>
        <w:tc>
          <w:tcPr>
            <w:tcW w:w="1474" w:type="dxa"/>
          </w:tcPr>
          <w:p w14:paraId="39AB67F4" w14:textId="77777777" w:rsidR="00EF5B27" w:rsidRDefault="00EF5B27">
            <w:pPr>
              <w:pStyle w:val="TableParagraph"/>
              <w:spacing w:before="11"/>
              <w:rPr>
                <w:sz w:val="11"/>
              </w:rPr>
            </w:pPr>
          </w:p>
          <w:p w14:paraId="7FBFD69A" w14:textId="77777777" w:rsidR="00EF5B27" w:rsidRDefault="00000000">
            <w:pPr>
              <w:pStyle w:val="TableParagraph"/>
              <w:ind w:left="123" w:right="120"/>
              <w:jc w:val="center"/>
              <w:rPr>
                <w:sz w:val="14"/>
              </w:rPr>
            </w:pPr>
            <w:r>
              <w:rPr>
                <w:color w:val="4D4D4F"/>
                <w:w w:val="105"/>
                <w:sz w:val="14"/>
              </w:rPr>
              <w:t>Forb cover</w:t>
            </w:r>
          </w:p>
        </w:tc>
        <w:tc>
          <w:tcPr>
            <w:tcW w:w="2041" w:type="dxa"/>
          </w:tcPr>
          <w:p w14:paraId="7D98BF6A" w14:textId="77777777" w:rsidR="00EF5B27" w:rsidRDefault="00EF5B27">
            <w:pPr>
              <w:pStyle w:val="TableParagraph"/>
              <w:spacing w:before="11"/>
              <w:rPr>
                <w:sz w:val="11"/>
              </w:rPr>
            </w:pPr>
          </w:p>
          <w:p w14:paraId="67F42DE1" w14:textId="77777777" w:rsidR="00EF5B27" w:rsidRDefault="00000000">
            <w:pPr>
              <w:pStyle w:val="TableParagraph"/>
              <w:ind w:left="153" w:right="150"/>
              <w:jc w:val="center"/>
              <w:rPr>
                <w:sz w:val="14"/>
              </w:rPr>
            </w:pPr>
            <w:r>
              <w:rPr>
                <w:color w:val="4D4D4F"/>
                <w:w w:val="105"/>
                <w:sz w:val="14"/>
              </w:rPr>
              <w:t>De-rocked grassland</w:t>
            </w:r>
          </w:p>
        </w:tc>
        <w:tc>
          <w:tcPr>
            <w:tcW w:w="2154" w:type="dxa"/>
          </w:tcPr>
          <w:p w14:paraId="1D9111FE" w14:textId="77777777" w:rsidR="00EF5B27" w:rsidRDefault="00EF5B27">
            <w:pPr>
              <w:pStyle w:val="TableParagraph"/>
              <w:spacing w:before="11"/>
              <w:rPr>
                <w:sz w:val="11"/>
              </w:rPr>
            </w:pPr>
          </w:p>
          <w:p w14:paraId="616BFD69" w14:textId="77777777" w:rsidR="00EF5B27" w:rsidRDefault="00000000">
            <w:pPr>
              <w:pStyle w:val="TableParagraph"/>
              <w:ind w:left="940"/>
              <w:rPr>
                <w:sz w:val="14"/>
              </w:rPr>
            </w:pPr>
            <w:r>
              <w:rPr>
                <w:color w:val="4D4D4F"/>
                <w:sz w:val="14"/>
              </w:rPr>
              <w:t>2019</w:t>
            </w:r>
          </w:p>
        </w:tc>
        <w:tc>
          <w:tcPr>
            <w:tcW w:w="1134" w:type="dxa"/>
          </w:tcPr>
          <w:p w14:paraId="06E59192" w14:textId="77777777" w:rsidR="00EF5B27" w:rsidRDefault="00EF5B27">
            <w:pPr>
              <w:pStyle w:val="TableParagraph"/>
              <w:spacing w:before="11"/>
              <w:rPr>
                <w:sz w:val="11"/>
              </w:rPr>
            </w:pPr>
          </w:p>
          <w:p w14:paraId="300E3B26" w14:textId="77777777" w:rsidR="00EF5B27" w:rsidRDefault="00000000">
            <w:pPr>
              <w:pStyle w:val="TableParagraph"/>
              <w:ind w:left="423"/>
              <w:rPr>
                <w:sz w:val="14"/>
              </w:rPr>
            </w:pPr>
            <w:r>
              <w:rPr>
                <w:color w:val="4D4D4F"/>
                <w:sz w:val="14"/>
              </w:rPr>
              <w:t>2023</w:t>
            </w:r>
          </w:p>
        </w:tc>
      </w:tr>
      <w:tr w:rsidR="00EF5B27" w14:paraId="7CE48DC2" w14:textId="77777777">
        <w:trPr>
          <w:trHeight w:val="448"/>
        </w:trPr>
        <w:tc>
          <w:tcPr>
            <w:tcW w:w="737" w:type="dxa"/>
          </w:tcPr>
          <w:p w14:paraId="6F7F48CE" w14:textId="77777777" w:rsidR="00EF5B27" w:rsidRDefault="00EF5B27">
            <w:pPr>
              <w:pStyle w:val="TableParagraph"/>
              <w:spacing w:before="11"/>
              <w:rPr>
                <w:sz w:val="11"/>
              </w:rPr>
            </w:pPr>
          </w:p>
          <w:p w14:paraId="011901F3" w14:textId="77777777" w:rsidR="00EF5B27" w:rsidRDefault="00000000">
            <w:pPr>
              <w:pStyle w:val="TableParagraph"/>
              <w:ind w:left="3"/>
              <w:jc w:val="center"/>
              <w:rPr>
                <w:sz w:val="14"/>
              </w:rPr>
            </w:pPr>
            <w:r>
              <w:rPr>
                <w:color w:val="4D4D4F"/>
                <w:w w:val="96"/>
                <w:sz w:val="14"/>
              </w:rPr>
              <w:t>1</w:t>
            </w:r>
          </w:p>
        </w:tc>
        <w:tc>
          <w:tcPr>
            <w:tcW w:w="1361" w:type="dxa"/>
          </w:tcPr>
          <w:p w14:paraId="376C652D" w14:textId="77777777" w:rsidR="00EF5B27" w:rsidRDefault="00000000">
            <w:pPr>
              <w:pStyle w:val="TableParagraph"/>
              <w:spacing w:before="56" w:line="252" w:lineRule="auto"/>
              <w:ind w:left="376" w:hanging="255"/>
              <w:rPr>
                <w:sz w:val="14"/>
              </w:rPr>
            </w:pPr>
            <w:r>
              <w:rPr>
                <w:color w:val="4D4D4F"/>
                <w:sz w:val="14"/>
              </w:rPr>
              <w:t xml:space="preserve">Natural Temperate </w:t>
            </w:r>
            <w:r>
              <w:rPr>
                <w:color w:val="4D4D4F"/>
                <w:w w:val="105"/>
                <w:sz w:val="14"/>
              </w:rPr>
              <w:t>Grassland</w:t>
            </w:r>
          </w:p>
        </w:tc>
        <w:tc>
          <w:tcPr>
            <w:tcW w:w="737" w:type="dxa"/>
          </w:tcPr>
          <w:p w14:paraId="54723508" w14:textId="77777777" w:rsidR="00EF5B27" w:rsidRDefault="00EF5B27">
            <w:pPr>
              <w:pStyle w:val="TableParagraph"/>
              <w:spacing w:before="11"/>
              <w:rPr>
                <w:sz w:val="11"/>
              </w:rPr>
            </w:pPr>
          </w:p>
          <w:p w14:paraId="3C69565D" w14:textId="77777777" w:rsidR="00EF5B27" w:rsidRDefault="00000000">
            <w:pPr>
              <w:pStyle w:val="TableParagraph"/>
              <w:ind w:right="328"/>
              <w:jc w:val="right"/>
              <w:rPr>
                <w:sz w:val="14"/>
              </w:rPr>
            </w:pPr>
            <w:r>
              <w:rPr>
                <w:color w:val="4D4D4F"/>
                <w:w w:val="96"/>
                <w:sz w:val="14"/>
              </w:rPr>
              <w:t>3</w:t>
            </w:r>
          </w:p>
        </w:tc>
        <w:tc>
          <w:tcPr>
            <w:tcW w:w="1474" w:type="dxa"/>
          </w:tcPr>
          <w:p w14:paraId="3022FB30" w14:textId="77777777" w:rsidR="00EF5B27" w:rsidRDefault="00EF5B27">
            <w:pPr>
              <w:pStyle w:val="TableParagraph"/>
              <w:spacing w:before="11"/>
              <w:rPr>
                <w:sz w:val="11"/>
              </w:rPr>
            </w:pPr>
          </w:p>
          <w:p w14:paraId="490B2C44" w14:textId="77777777" w:rsidR="00EF5B27" w:rsidRDefault="00000000">
            <w:pPr>
              <w:pStyle w:val="TableParagraph"/>
              <w:ind w:left="122" w:right="120"/>
              <w:jc w:val="center"/>
              <w:rPr>
                <w:sz w:val="14"/>
              </w:rPr>
            </w:pPr>
            <w:r>
              <w:rPr>
                <w:color w:val="4D4D4F"/>
                <w:w w:val="105"/>
                <w:sz w:val="14"/>
              </w:rPr>
              <w:t>Forb richness</w:t>
            </w:r>
          </w:p>
        </w:tc>
        <w:tc>
          <w:tcPr>
            <w:tcW w:w="2041" w:type="dxa"/>
          </w:tcPr>
          <w:p w14:paraId="4CADFFA6" w14:textId="77777777" w:rsidR="00EF5B27" w:rsidRDefault="00EF5B27">
            <w:pPr>
              <w:pStyle w:val="TableParagraph"/>
              <w:spacing w:before="11"/>
              <w:rPr>
                <w:sz w:val="11"/>
              </w:rPr>
            </w:pPr>
          </w:p>
          <w:p w14:paraId="4A356011" w14:textId="77777777" w:rsidR="00EF5B27" w:rsidRDefault="00000000">
            <w:pPr>
              <w:pStyle w:val="TableParagraph"/>
              <w:ind w:left="152" w:right="150"/>
              <w:jc w:val="center"/>
              <w:rPr>
                <w:sz w:val="14"/>
              </w:rPr>
            </w:pPr>
            <w:r>
              <w:rPr>
                <w:color w:val="4D4D4F"/>
                <w:w w:val="105"/>
                <w:sz w:val="14"/>
              </w:rPr>
              <w:t>Herb-rich grassland</w:t>
            </w:r>
          </w:p>
        </w:tc>
        <w:tc>
          <w:tcPr>
            <w:tcW w:w="2154" w:type="dxa"/>
          </w:tcPr>
          <w:p w14:paraId="7CB34111" w14:textId="77777777" w:rsidR="00EF5B27" w:rsidRDefault="00EF5B27">
            <w:pPr>
              <w:pStyle w:val="TableParagraph"/>
              <w:spacing w:before="11"/>
              <w:rPr>
                <w:sz w:val="11"/>
              </w:rPr>
            </w:pPr>
          </w:p>
          <w:p w14:paraId="03D421AA" w14:textId="77777777" w:rsidR="00EF5B27" w:rsidRDefault="00000000">
            <w:pPr>
              <w:pStyle w:val="TableParagraph"/>
              <w:ind w:left="940"/>
              <w:rPr>
                <w:sz w:val="14"/>
              </w:rPr>
            </w:pPr>
            <w:r>
              <w:rPr>
                <w:color w:val="4D4D4F"/>
                <w:sz w:val="14"/>
              </w:rPr>
              <w:t>2013</w:t>
            </w:r>
          </w:p>
        </w:tc>
        <w:tc>
          <w:tcPr>
            <w:tcW w:w="1134" w:type="dxa"/>
          </w:tcPr>
          <w:p w14:paraId="7C1C2D3A" w14:textId="77777777" w:rsidR="00EF5B27" w:rsidRDefault="00EF5B27">
            <w:pPr>
              <w:pStyle w:val="TableParagraph"/>
              <w:spacing w:before="11"/>
              <w:rPr>
                <w:sz w:val="11"/>
              </w:rPr>
            </w:pPr>
          </w:p>
          <w:p w14:paraId="60000C4B" w14:textId="77777777" w:rsidR="00EF5B27" w:rsidRDefault="00000000">
            <w:pPr>
              <w:pStyle w:val="TableParagraph"/>
              <w:ind w:left="430"/>
              <w:rPr>
                <w:sz w:val="14"/>
              </w:rPr>
            </w:pPr>
            <w:r>
              <w:rPr>
                <w:color w:val="4D4D4F"/>
                <w:sz w:val="14"/>
              </w:rPr>
              <w:t>2017</w:t>
            </w:r>
          </w:p>
        </w:tc>
      </w:tr>
      <w:tr w:rsidR="00EF5B27" w14:paraId="0F4EFE7B" w14:textId="77777777">
        <w:trPr>
          <w:trHeight w:val="448"/>
        </w:trPr>
        <w:tc>
          <w:tcPr>
            <w:tcW w:w="737" w:type="dxa"/>
          </w:tcPr>
          <w:p w14:paraId="671F369F" w14:textId="77777777" w:rsidR="00EF5B27" w:rsidRDefault="00EF5B27">
            <w:pPr>
              <w:pStyle w:val="TableParagraph"/>
              <w:spacing w:before="11"/>
              <w:rPr>
                <w:sz w:val="11"/>
              </w:rPr>
            </w:pPr>
          </w:p>
          <w:p w14:paraId="337F6860" w14:textId="77777777" w:rsidR="00EF5B27" w:rsidRDefault="00000000">
            <w:pPr>
              <w:pStyle w:val="TableParagraph"/>
              <w:spacing w:before="1"/>
              <w:ind w:left="3"/>
              <w:jc w:val="center"/>
              <w:rPr>
                <w:sz w:val="14"/>
              </w:rPr>
            </w:pPr>
            <w:r>
              <w:rPr>
                <w:color w:val="4D4D4F"/>
                <w:w w:val="96"/>
                <w:sz w:val="14"/>
              </w:rPr>
              <w:t>1</w:t>
            </w:r>
          </w:p>
        </w:tc>
        <w:tc>
          <w:tcPr>
            <w:tcW w:w="1361" w:type="dxa"/>
          </w:tcPr>
          <w:p w14:paraId="39D3F2F5" w14:textId="77777777" w:rsidR="00EF5B27" w:rsidRDefault="00000000">
            <w:pPr>
              <w:pStyle w:val="TableParagraph"/>
              <w:spacing w:before="56" w:line="252" w:lineRule="auto"/>
              <w:ind w:left="376" w:hanging="255"/>
              <w:rPr>
                <w:sz w:val="14"/>
              </w:rPr>
            </w:pPr>
            <w:r>
              <w:rPr>
                <w:color w:val="4D4D4F"/>
                <w:sz w:val="14"/>
              </w:rPr>
              <w:t xml:space="preserve">Natural Temperate </w:t>
            </w:r>
            <w:r>
              <w:rPr>
                <w:color w:val="4D4D4F"/>
                <w:w w:val="105"/>
                <w:sz w:val="14"/>
              </w:rPr>
              <w:t>Grassland</w:t>
            </w:r>
          </w:p>
        </w:tc>
        <w:tc>
          <w:tcPr>
            <w:tcW w:w="737" w:type="dxa"/>
          </w:tcPr>
          <w:p w14:paraId="131C70CE" w14:textId="77777777" w:rsidR="00EF5B27" w:rsidRDefault="00EF5B27">
            <w:pPr>
              <w:pStyle w:val="TableParagraph"/>
              <w:spacing w:before="11"/>
              <w:rPr>
                <w:sz w:val="11"/>
              </w:rPr>
            </w:pPr>
          </w:p>
          <w:p w14:paraId="45205378" w14:textId="77777777" w:rsidR="00EF5B27" w:rsidRDefault="00000000">
            <w:pPr>
              <w:pStyle w:val="TableParagraph"/>
              <w:spacing w:before="1"/>
              <w:ind w:right="328"/>
              <w:jc w:val="right"/>
              <w:rPr>
                <w:sz w:val="14"/>
              </w:rPr>
            </w:pPr>
            <w:r>
              <w:rPr>
                <w:color w:val="4D4D4F"/>
                <w:w w:val="96"/>
                <w:sz w:val="14"/>
              </w:rPr>
              <w:t>3</w:t>
            </w:r>
          </w:p>
        </w:tc>
        <w:tc>
          <w:tcPr>
            <w:tcW w:w="1474" w:type="dxa"/>
          </w:tcPr>
          <w:p w14:paraId="042F0B1F" w14:textId="77777777" w:rsidR="00EF5B27" w:rsidRDefault="00EF5B27">
            <w:pPr>
              <w:pStyle w:val="TableParagraph"/>
              <w:spacing w:before="11"/>
              <w:rPr>
                <w:sz w:val="11"/>
              </w:rPr>
            </w:pPr>
          </w:p>
          <w:p w14:paraId="1BCA66A7" w14:textId="77777777" w:rsidR="00EF5B27" w:rsidRDefault="00000000">
            <w:pPr>
              <w:pStyle w:val="TableParagraph"/>
              <w:spacing w:before="1"/>
              <w:ind w:left="122" w:right="120"/>
              <w:jc w:val="center"/>
              <w:rPr>
                <w:sz w:val="14"/>
              </w:rPr>
            </w:pPr>
            <w:r>
              <w:rPr>
                <w:color w:val="4D4D4F"/>
                <w:w w:val="105"/>
                <w:sz w:val="14"/>
              </w:rPr>
              <w:t>Forb richness</w:t>
            </w:r>
          </w:p>
        </w:tc>
        <w:tc>
          <w:tcPr>
            <w:tcW w:w="2041" w:type="dxa"/>
          </w:tcPr>
          <w:p w14:paraId="3ED0C599" w14:textId="77777777" w:rsidR="00EF5B27" w:rsidRDefault="00EF5B27">
            <w:pPr>
              <w:pStyle w:val="TableParagraph"/>
              <w:spacing w:before="11"/>
              <w:rPr>
                <w:sz w:val="11"/>
              </w:rPr>
            </w:pPr>
          </w:p>
          <w:p w14:paraId="6A394982" w14:textId="77777777" w:rsidR="00EF5B27" w:rsidRDefault="00000000">
            <w:pPr>
              <w:pStyle w:val="TableParagraph"/>
              <w:spacing w:before="1"/>
              <w:ind w:left="152" w:right="15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32C5F2A5" w14:textId="77777777" w:rsidR="00EF5B27" w:rsidRDefault="00EF5B27">
            <w:pPr>
              <w:pStyle w:val="TableParagraph"/>
              <w:spacing w:before="11"/>
              <w:rPr>
                <w:sz w:val="11"/>
              </w:rPr>
            </w:pPr>
          </w:p>
          <w:p w14:paraId="6EFA656D" w14:textId="77777777" w:rsidR="00EF5B27" w:rsidRDefault="00000000">
            <w:pPr>
              <w:pStyle w:val="TableParagraph"/>
              <w:spacing w:before="1"/>
              <w:ind w:left="939"/>
              <w:rPr>
                <w:sz w:val="14"/>
              </w:rPr>
            </w:pPr>
            <w:r>
              <w:rPr>
                <w:color w:val="4D4D4F"/>
                <w:sz w:val="14"/>
              </w:rPr>
              <w:t>2014</w:t>
            </w:r>
          </w:p>
        </w:tc>
        <w:tc>
          <w:tcPr>
            <w:tcW w:w="1134" w:type="dxa"/>
          </w:tcPr>
          <w:p w14:paraId="1711FD5D" w14:textId="77777777" w:rsidR="00EF5B27" w:rsidRDefault="00EF5B27">
            <w:pPr>
              <w:pStyle w:val="TableParagraph"/>
              <w:spacing w:before="11"/>
              <w:rPr>
                <w:sz w:val="11"/>
              </w:rPr>
            </w:pPr>
          </w:p>
          <w:p w14:paraId="28318884" w14:textId="77777777" w:rsidR="00EF5B27" w:rsidRDefault="00000000">
            <w:pPr>
              <w:pStyle w:val="TableParagraph"/>
              <w:spacing w:before="1"/>
              <w:ind w:left="429"/>
              <w:rPr>
                <w:sz w:val="14"/>
              </w:rPr>
            </w:pPr>
            <w:r>
              <w:rPr>
                <w:color w:val="4D4D4F"/>
                <w:sz w:val="14"/>
              </w:rPr>
              <w:t>2018</w:t>
            </w:r>
          </w:p>
        </w:tc>
      </w:tr>
      <w:tr w:rsidR="00EF5B27" w14:paraId="5D32FE56" w14:textId="77777777">
        <w:trPr>
          <w:trHeight w:val="448"/>
        </w:trPr>
        <w:tc>
          <w:tcPr>
            <w:tcW w:w="737" w:type="dxa"/>
          </w:tcPr>
          <w:p w14:paraId="648575F2" w14:textId="77777777" w:rsidR="00EF5B27" w:rsidRDefault="00EF5B27">
            <w:pPr>
              <w:pStyle w:val="TableParagraph"/>
              <w:spacing w:before="11"/>
              <w:rPr>
                <w:sz w:val="11"/>
              </w:rPr>
            </w:pPr>
          </w:p>
          <w:p w14:paraId="6F0AA6C5" w14:textId="77777777" w:rsidR="00EF5B27" w:rsidRDefault="00000000">
            <w:pPr>
              <w:pStyle w:val="TableParagraph"/>
              <w:spacing w:before="1"/>
              <w:ind w:left="3"/>
              <w:jc w:val="center"/>
              <w:rPr>
                <w:sz w:val="14"/>
              </w:rPr>
            </w:pPr>
            <w:r>
              <w:rPr>
                <w:color w:val="4D4D4F"/>
                <w:w w:val="96"/>
                <w:sz w:val="14"/>
              </w:rPr>
              <w:t>1</w:t>
            </w:r>
          </w:p>
        </w:tc>
        <w:tc>
          <w:tcPr>
            <w:tcW w:w="1361" w:type="dxa"/>
          </w:tcPr>
          <w:p w14:paraId="06ACB5F3" w14:textId="77777777" w:rsidR="00EF5B27" w:rsidRDefault="00000000">
            <w:pPr>
              <w:pStyle w:val="TableParagraph"/>
              <w:spacing w:before="56" w:line="252" w:lineRule="auto"/>
              <w:ind w:left="376" w:hanging="255"/>
              <w:rPr>
                <w:sz w:val="14"/>
              </w:rPr>
            </w:pPr>
            <w:r>
              <w:rPr>
                <w:color w:val="4D4D4F"/>
                <w:sz w:val="14"/>
              </w:rPr>
              <w:t xml:space="preserve">Natural Temperate </w:t>
            </w:r>
            <w:r>
              <w:rPr>
                <w:color w:val="4D4D4F"/>
                <w:w w:val="105"/>
                <w:sz w:val="14"/>
              </w:rPr>
              <w:t>Grassland</w:t>
            </w:r>
          </w:p>
        </w:tc>
        <w:tc>
          <w:tcPr>
            <w:tcW w:w="737" w:type="dxa"/>
          </w:tcPr>
          <w:p w14:paraId="2ACCF1C9" w14:textId="77777777" w:rsidR="00EF5B27" w:rsidRDefault="00EF5B27">
            <w:pPr>
              <w:pStyle w:val="TableParagraph"/>
              <w:spacing w:before="11"/>
              <w:rPr>
                <w:sz w:val="11"/>
              </w:rPr>
            </w:pPr>
          </w:p>
          <w:p w14:paraId="136482F0" w14:textId="77777777" w:rsidR="00EF5B27" w:rsidRDefault="00000000">
            <w:pPr>
              <w:pStyle w:val="TableParagraph"/>
              <w:spacing w:before="1"/>
              <w:ind w:right="328"/>
              <w:jc w:val="right"/>
              <w:rPr>
                <w:sz w:val="14"/>
              </w:rPr>
            </w:pPr>
            <w:r>
              <w:rPr>
                <w:color w:val="4D4D4F"/>
                <w:w w:val="96"/>
                <w:sz w:val="14"/>
              </w:rPr>
              <w:t>3</w:t>
            </w:r>
          </w:p>
        </w:tc>
        <w:tc>
          <w:tcPr>
            <w:tcW w:w="1474" w:type="dxa"/>
          </w:tcPr>
          <w:p w14:paraId="11FFFFA4" w14:textId="77777777" w:rsidR="00EF5B27" w:rsidRDefault="00EF5B27">
            <w:pPr>
              <w:pStyle w:val="TableParagraph"/>
              <w:spacing w:before="11"/>
              <w:rPr>
                <w:sz w:val="11"/>
              </w:rPr>
            </w:pPr>
          </w:p>
          <w:p w14:paraId="24FEF0E0" w14:textId="77777777" w:rsidR="00EF5B27" w:rsidRDefault="00000000">
            <w:pPr>
              <w:pStyle w:val="TableParagraph"/>
              <w:spacing w:before="1"/>
              <w:ind w:left="122" w:right="120"/>
              <w:jc w:val="center"/>
              <w:rPr>
                <w:sz w:val="14"/>
              </w:rPr>
            </w:pPr>
            <w:r>
              <w:rPr>
                <w:color w:val="4D4D4F"/>
                <w:w w:val="105"/>
                <w:sz w:val="14"/>
              </w:rPr>
              <w:t>Forb richness</w:t>
            </w:r>
          </w:p>
        </w:tc>
        <w:tc>
          <w:tcPr>
            <w:tcW w:w="2041" w:type="dxa"/>
          </w:tcPr>
          <w:p w14:paraId="636B80FD" w14:textId="77777777" w:rsidR="00EF5B27" w:rsidRDefault="00EF5B27">
            <w:pPr>
              <w:pStyle w:val="TableParagraph"/>
              <w:spacing w:before="11"/>
              <w:rPr>
                <w:sz w:val="11"/>
              </w:rPr>
            </w:pPr>
          </w:p>
          <w:p w14:paraId="2E404BEB" w14:textId="77777777" w:rsidR="00EF5B27" w:rsidRDefault="00000000">
            <w:pPr>
              <w:pStyle w:val="TableParagraph"/>
              <w:spacing w:before="1"/>
              <w:ind w:left="152" w:right="150"/>
              <w:jc w:val="center"/>
              <w:rPr>
                <w:sz w:val="14"/>
              </w:rPr>
            </w:pPr>
            <w:r>
              <w:rPr>
                <w:color w:val="4D4D4F"/>
                <w:w w:val="105"/>
                <w:sz w:val="14"/>
              </w:rPr>
              <w:t>C3 grassland</w:t>
            </w:r>
          </w:p>
        </w:tc>
        <w:tc>
          <w:tcPr>
            <w:tcW w:w="2154" w:type="dxa"/>
          </w:tcPr>
          <w:p w14:paraId="73AD4053" w14:textId="77777777" w:rsidR="00EF5B27" w:rsidRDefault="00EF5B27">
            <w:pPr>
              <w:pStyle w:val="TableParagraph"/>
              <w:spacing w:before="11"/>
              <w:rPr>
                <w:sz w:val="11"/>
              </w:rPr>
            </w:pPr>
          </w:p>
          <w:p w14:paraId="588994B4" w14:textId="77777777" w:rsidR="00EF5B27" w:rsidRDefault="00000000">
            <w:pPr>
              <w:pStyle w:val="TableParagraph"/>
              <w:spacing w:before="1"/>
              <w:ind w:left="939"/>
              <w:rPr>
                <w:sz w:val="14"/>
              </w:rPr>
            </w:pPr>
            <w:r>
              <w:rPr>
                <w:color w:val="4D4D4F"/>
                <w:sz w:val="14"/>
              </w:rPr>
              <w:t>2013</w:t>
            </w:r>
          </w:p>
        </w:tc>
        <w:tc>
          <w:tcPr>
            <w:tcW w:w="1134" w:type="dxa"/>
          </w:tcPr>
          <w:p w14:paraId="311AB49A" w14:textId="77777777" w:rsidR="00EF5B27" w:rsidRDefault="00EF5B27">
            <w:pPr>
              <w:pStyle w:val="TableParagraph"/>
              <w:spacing w:before="11"/>
              <w:rPr>
                <w:sz w:val="11"/>
              </w:rPr>
            </w:pPr>
          </w:p>
          <w:p w14:paraId="688F5168" w14:textId="77777777" w:rsidR="00EF5B27" w:rsidRDefault="00000000">
            <w:pPr>
              <w:pStyle w:val="TableParagraph"/>
              <w:spacing w:before="1"/>
              <w:ind w:left="422"/>
              <w:rPr>
                <w:sz w:val="14"/>
              </w:rPr>
            </w:pPr>
            <w:r>
              <w:rPr>
                <w:color w:val="4D4D4F"/>
                <w:sz w:val="14"/>
              </w:rPr>
              <w:t>2022</w:t>
            </w:r>
          </w:p>
        </w:tc>
      </w:tr>
    </w:tbl>
    <w:p w14:paraId="0854173E" w14:textId="77777777" w:rsidR="00EF5B27" w:rsidRDefault="00EF5B27">
      <w:pPr>
        <w:pStyle w:val="BodyText"/>
      </w:pPr>
    </w:p>
    <w:p w14:paraId="1D0C4B84" w14:textId="77777777" w:rsidR="00EF5B27" w:rsidRDefault="00000000">
      <w:pPr>
        <w:pStyle w:val="BodyText"/>
        <w:spacing w:before="6"/>
        <w:rPr>
          <w:sz w:val="21"/>
        </w:rPr>
      </w:pPr>
      <w:r>
        <w:pict w14:anchorId="32A4E038">
          <v:line id="_x0000_s2639" style="position:absolute;z-index:251659776;mso-wrap-distance-left:0;mso-wrap-distance-right:0;mso-position-horizontal-relative:page" from="181.4pt,15.35pt" to="538.6pt,15.35pt" strokecolor="#4d4d4f" strokeweight=".5pt">
            <w10:wrap type="topAndBottom" anchorx="page"/>
          </v:line>
        </w:pict>
      </w:r>
    </w:p>
    <w:p w14:paraId="7BB9BDF2" w14:textId="77777777" w:rsidR="00EF5B27" w:rsidRDefault="00000000">
      <w:pPr>
        <w:pStyle w:val="ListParagraph"/>
        <w:numPr>
          <w:ilvl w:val="0"/>
          <w:numId w:val="19"/>
        </w:numPr>
        <w:tabs>
          <w:tab w:val="left" w:pos="2836"/>
        </w:tabs>
        <w:spacing w:before="83"/>
        <w:rPr>
          <w:sz w:val="12"/>
        </w:rPr>
      </w:pPr>
      <w:r>
        <w:rPr>
          <w:color w:val="4D4D4F"/>
          <w:sz w:val="12"/>
        </w:rPr>
        <w:t xml:space="preserve">DELWP, internal document, </w:t>
      </w:r>
      <w:r>
        <w:rPr>
          <w:color w:val="4D4D4F"/>
          <w:spacing w:val="2"/>
          <w:sz w:val="12"/>
        </w:rPr>
        <w:t xml:space="preserve">Accessed </w:t>
      </w:r>
      <w:r>
        <w:rPr>
          <w:color w:val="4D4D4F"/>
          <w:sz w:val="12"/>
        </w:rPr>
        <w:t xml:space="preserve">6 </w:t>
      </w:r>
      <w:r>
        <w:rPr>
          <w:color w:val="4D4D4F"/>
          <w:spacing w:val="2"/>
          <w:sz w:val="12"/>
        </w:rPr>
        <w:t>February</w:t>
      </w:r>
      <w:r>
        <w:rPr>
          <w:color w:val="4D4D4F"/>
          <w:spacing w:val="11"/>
          <w:sz w:val="12"/>
        </w:rPr>
        <w:t xml:space="preserve"> </w:t>
      </w:r>
      <w:r>
        <w:rPr>
          <w:color w:val="4D4D4F"/>
          <w:spacing w:val="2"/>
          <w:sz w:val="12"/>
        </w:rPr>
        <w:t>2022.</w:t>
      </w:r>
    </w:p>
    <w:p w14:paraId="1FB8F98F" w14:textId="77777777" w:rsidR="00EF5B27" w:rsidRDefault="00EF5B27">
      <w:pPr>
        <w:rPr>
          <w:sz w:val="12"/>
        </w:rPr>
        <w:sectPr w:rsidR="00EF5B27">
          <w:pgSz w:w="11910" w:h="16840"/>
          <w:pgMar w:top="1080" w:right="1020" w:bottom="860" w:left="1020" w:header="537" w:footer="678" w:gutter="0"/>
          <w:cols w:space="720"/>
        </w:sectPr>
      </w:pPr>
    </w:p>
    <w:p w14:paraId="164A942E" w14:textId="77777777" w:rsidR="00EF5B27" w:rsidRDefault="00000000">
      <w:pPr>
        <w:pStyle w:val="BodyText"/>
        <w:rPr>
          <w:rFonts w:ascii="Times New Roman"/>
        </w:rPr>
      </w:pPr>
      <w:r>
        <w:lastRenderedPageBreak/>
        <w:pict w14:anchorId="7A3AA5AC">
          <v:group id="_x0000_s2631" style="position:absolute;margin-left:587.05pt;margin-top:183.4pt;width:8.25pt;height:153.1pt;z-index:251741696;mso-position-horizontal-relative:page;mso-position-vertical-relative:page" coordorigin="11741,3668" coordsize="165,3062">
            <v:shape id="_x0000_s2638" style="position:absolute;left:11741;top:3668;width:165;height:561" coordorigin="11741,3668" coordsize="165,561" path="m11906,3668r-165,l11741,4228r165,-18l11906,3668xe" fillcolor="#00aed9" stroked="f">
              <v:path arrowok="t"/>
            </v:shape>
            <v:shape id="_x0000_s2637" style="position:absolute;left:11741;top:4118;width:165;height:425" coordorigin="11741,4118" coordsize="165,425" path="m11906,4118r-165,14l11741,4531r165,12l11906,4118xe" fillcolor="#047ebc" stroked="f">
              <v:path arrowok="t"/>
            </v:shape>
            <v:shape id="_x0000_s2636" type="#_x0000_t75" style="position:absolute;left:11741;top:4355;width:165;height:587">
              <v:imagedata r:id="rId42" o:title=""/>
            </v:shape>
            <v:shape id="_x0000_s2635" style="position:absolute;left:11741;top:5343;width:165;height:536" coordorigin="11741,5343" coordsize="165,536" path="m11741,5343r,535l11906,5872r,-525l11741,5343xe" fillcolor="#f36a2e" stroked="f">
              <v:path arrowok="t"/>
            </v:shape>
            <v:shape id="_x0000_s2634" style="position:absolute;left:11741;top:4925;width:165;height:501" coordorigin="11741,4926" coordsize="165,501" path="m11741,4926r,500l11906,5426r,-485l11741,4926xe" fillcolor="#49783f" stroked="f">
              <v:path arrowok="t"/>
            </v:shape>
            <v:shape id="_x0000_s2633" style="position:absolute;left:11741;top:5781;width:165;height:268" coordorigin="11741,5782" coordsize="165,268" path="m11906,5782r-165,8l11741,6039r165,10l11906,5782xe" fillcolor="#f99f2a" stroked="f">
              <v:path arrowok="t"/>
            </v:shape>
            <v:shape id="_x0000_s2632" style="position:absolute;left:11741;top:6023;width:165;height:707" coordorigin="11741,6023" coordsize="165,707" path="m11741,6023r,706l11906,6729r,-690l11741,6023xe" fillcolor="#ef412c" stroked="f">
              <v:path arrowok="t"/>
            </v:shape>
            <w10:wrap anchorx="page" anchory="page"/>
          </v:group>
        </w:pict>
      </w:r>
    </w:p>
    <w:p w14:paraId="46236926" w14:textId="77777777" w:rsidR="00EF5B27" w:rsidRDefault="00EF5B27">
      <w:pPr>
        <w:pStyle w:val="BodyText"/>
        <w:rPr>
          <w:rFonts w:ascii="Times New Roman"/>
        </w:rPr>
      </w:pPr>
    </w:p>
    <w:p w14:paraId="5785B8BC" w14:textId="77777777" w:rsidR="00EF5B27" w:rsidRDefault="00EF5B27">
      <w:pPr>
        <w:pStyle w:val="BodyText"/>
        <w:rPr>
          <w:rFonts w:ascii="Times New Roman"/>
        </w:rPr>
      </w:pPr>
    </w:p>
    <w:p w14:paraId="400CEDA5" w14:textId="77777777" w:rsidR="00EF5B27" w:rsidRDefault="00EF5B27">
      <w:pPr>
        <w:pStyle w:val="BodyText"/>
        <w:rPr>
          <w:rFonts w:ascii="Times New Roman"/>
        </w:rPr>
      </w:pPr>
    </w:p>
    <w:p w14:paraId="4B05BB9E" w14:textId="77777777" w:rsidR="00EF5B27" w:rsidRDefault="00EF5B27">
      <w:pPr>
        <w:pStyle w:val="BodyText"/>
        <w:spacing w:before="4"/>
        <w:rPr>
          <w:rFonts w:ascii="Times New Roman"/>
          <w:sz w:val="22"/>
        </w:rPr>
      </w:pPr>
    </w:p>
    <w:tbl>
      <w:tblPr>
        <w:tblW w:w="0" w:type="auto"/>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37"/>
        <w:gridCol w:w="1361"/>
        <w:gridCol w:w="737"/>
        <w:gridCol w:w="1474"/>
        <w:gridCol w:w="2041"/>
        <w:gridCol w:w="2154"/>
        <w:gridCol w:w="1134"/>
      </w:tblGrid>
      <w:tr w:rsidR="00EF5B27" w14:paraId="5DB5C11B" w14:textId="77777777">
        <w:trPr>
          <w:trHeight w:val="732"/>
        </w:trPr>
        <w:tc>
          <w:tcPr>
            <w:tcW w:w="737" w:type="dxa"/>
            <w:tcBorders>
              <w:bottom w:val="single" w:sz="4" w:space="0" w:color="000000"/>
            </w:tcBorders>
            <w:shd w:val="clear" w:color="auto" w:fill="FECC91"/>
          </w:tcPr>
          <w:p w14:paraId="35FB6CB9" w14:textId="77777777" w:rsidR="00EF5B27" w:rsidRDefault="00000000">
            <w:pPr>
              <w:pStyle w:val="TableParagraph"/>
              <w:spacing w:before="176"/>
              <w:ind w:left="162"/>
              <w:rPr>
                <w:b/>
                <w:sz w:val="16"/>
              </w:rPr>
            </w:pPr>
            <w:r>
              <w:rPr>
                <w:b/>
                <w:w w:val="105"/>
                <w:sz w:val="16"/>
              </w:rPr>
              <w:t>MNES</w:t>
            </w:r>
          </w:p>
          <w:p w14:paraId="0986C443" w14:textId="77777777" w:rsidR="00EF5B27" w:rsidRDefault="00000000">
            <w:pPr>
              <w:pStyle w:val="TableParagraph"/>
              <w:spacing w:before="4"/>
              <w:ind w:left="94"/>
              <w:rPr>
                <w:b/>
                <w:sz w:val="16"/>
              </w:rPr>
            </w:pPr>
            <w:r>
              <w:rPr>
                <w:b/>
                <w:sz w:val="16"/>
              </w:rPr>
              <w:t>Number</w:t>
            </w:r>
          </w:p>
        </w:tc>
        <w:tc>
          <w:tcPr>
            <w:tcW w:w="1361" w:type="dxa"/>
            <w:tcBorders>
              <w:bottom w:val="single" w:sz="4" w:space="0" w:color="000000"/>
            </w:tcBorders>
            <w:shd w:val="clear" w:color="auto" w:fill="FECC91"/>
          </w:tcPr>
          <w:p w14:paraId="1223E3A8" w14:textId="77777777" w:rsidR="00EF5B27" w:rsidRDefault="00EF5B27">
            <w:pPr>
              <w:pStyle w:val="TableParagraph"/>
              <w:rPr>
                <w:rFonts w:ascii="Times New Roman"/>
                <w:sz w:val="24"/>
              </w:rPr>
            </w:pPr>
          </w:p>
          <w:p w14:paraId="05E1690B" w14:textId="77777777" w:rsidR="00EF5B27" w:rsidRDefault="00000000">
            <w:pPr>
              <w:pStyle w:val="TableParagraph"/>
              <w:ind w:left="268"/>
              <w:rPr>
                <w:b/>
                <w:sz w:val="16"/>
              </w:rPr>
            </w:pPr>
            <w:r>
              <w:rPr>
                <w:b/>
                <w:sz w:val="16"/>
              </w:rPr>
              <w:t>MNES name</w:t>
            </w:r>
          </w:p>
        </w:tc>
        <w:tc>
          <w:tcPr>
            <w:tcW w:w="737" w:type="dxa"/>
            <w:tcBorders>
              <w:bottom w:val="single" w:sz="4" w:space="0" w:color="000000"/>
            </w:tcBorders>
            <w:shd w:val="clear" w:color="auto" w:fill="FECC91"/>
          </w:tcPr>
          <w:p w14:paraId="338789A3" w14:textId="77777777" w:rsidR="00EF5B27" w:rsidRDefault="00000000">
            <w:pPr>
              <w:pStyle w:val="TableParagraph"/>
              <w:spacing w:before="176"/>
              <w:ind w:left="79" w:right="74"/>
              <w:jc w:val="center"/>
              <w:rPr>
                <w:b/>
                <w:sz w:val="16"/>
              </w:rPr>
            </w:pPr>
            <w:r>
              <w:rPr>
                <w:b/>
                <w:w w:val="110"/>
                <w:sz w:val="16"/>
              </w:rPr>
              <w:t>KPI</w:t>
            </w:r>
          </w:p>
          <w:p w14:paraId="71B8065B" w14:textId="77777777" w:rsidR="00EF5B27" w:rsidRDefault="00000000">
            <w:pPr>
              <w:pStyle w:val="TableParagraph"/>
              <w:spacing w:before="4"/>
              <w:ind w:left="79" w:right="75"/>
              <w:jc w:val="center"/>
              <w:rPr>
                <w:b/>
                <w:sz w:val="16"/>
              </w:rPr>
            </w:pPr>
            <w:r>
              <w:rPr>
                <w:b/>
                <w:sz w:val="16"/>
              </w:rPr>
              <w:t>number</w:t>
            </w:r>
          </w:p>
        </w:tc>
        <w:tc>
          <w:tcPr>
            <w:tcW w:w="1474" w:type="dxa"/>
            <w:tcBorders>
              <w:bottom w:val="single" w:sz="4" w:space="0" w:color="000000"/>
            </w:tcBorders>
            <w:shd w:val="clear" w:color="auto" w:fill="FECC91"/>
          </w:tcPr>
          <w:p w14:paraId="3BD8D096" w14:textId="77777777" w:rsidR="00EF5B27" w:rsidRDefault="00EF5B27">
            <w:pPr>
              <w:pStyle w:val="TableParagraph"/>
              <w:rPr>
                <w:rFonts w:ascii="Times New Roman"/>
                <w:sz w:val="24"/>
              </w:rPr>
            </w:pPr>
          </w:p>
          <w:p w14:paraId="07C6EA54" w14:textId="77777777" w:rsidR="00EF5B27" w:rsidRDefault="00000000">
            <w:pPr>
              <w:pStyle w:val="TableParagraph"/>
              <w:ind w:left="123" w:right="120"/>
              <w:jc w:val="center"/>
              <w:rPr>
                <w:b/>
                <w:sz w:val="16"/>
              </w:rPr>
            </w:pPr>
            <w:r>
              <w:rPr>
                <w:b/>
                <w:w w:val="105"/>
                <w:sz w:val="16"/>
              </w:rPr>
              <w:t>KPI type</w:t>
            </w:r>
          </w:p>
        </w:tc>
        <w:tc>
          <w:tcPr>
            <w:tcW w:w="2041" w:type="dxa"/>
            <w:tcBorders>
              <w:bottom w:val="single" w:sz="4" w:space="0" w:color="000000"/>
            </w:tcBorders>
            <w:shd w:val="clear" w:color="auto" w:fill="FECC91"/>
          </w:tcPr>
          <w:p w14:paraId="75185834" w14:textId="77777777" w:rsidR="00EF5B27" w:rsidRDefault="00EF5B27">
            <w:pPr>
              <w:pStyle w:val="TableParagraph"/>
              <w:rPr>
                <w:rFonts w:ascii="Times New Roman"/>
                <w:sz w:val="24"/>
              </w:rPr>
            </w:pPr>
          </w:p>
          <w:p w14:paraId="41FCABDE" w14:textId="77777777" w:rsidR="00EF5B27" w:rsidRDefault="00000000">
            <w:pPr>
              <w:pStyle w:val="TableParagraph"/>
              <w:ind w:left="153" w:right="150"/>
              <w:jc w:val="center"/>
              <w:rPr>
                <w:b/>
                <w:sz w:val="16"/>
              </w:rPr>
            </w:pPr>
            <w:r>
              <w:rPr>
                <w:b/>
                <w:sz w:val="16"/>
              </w:rPr>
              <w:t>Location</w:t>
            </w:r>
          </w:p>
        </w:tc>
        <w:tc>
          <w:tcPr>
            <w:tcW w:w="2154" w:type="dxa"/>
            <w:tcBorders>
              <w:bottom w:val="single" w:sz="4" w:space="0" w:color="000000"/>
            </w:tcBorders>
            <w:shd w:val="clear" w:color="auto" w:fill="FECC91"/>
          </w:tcPr>
          <w:p w14:paraId="155A298F" w14:textId="77777777" w:rsidR="00EF5B27" w:rsidRDefault="00000000">
            <w:pPr>
              <w:pStyle w:val="TableParagraph"/>
              <w:spacing w:before="76"/>
              <w:ind w:left="87"/>
              <w:rPr>
                <w:b/>
                <w:sz w:val="16"/>
              </w:rPr>
            </w:pPr>
            <w:r>
              <w:rPr>
                <w:b/>
                <w:sz w:val="16"/>
              </w:rPr>
              <w:t>First year of MSA monitoring</w:t>
            </w:r>
          </w:p>
          <w:p w14:paraId="3EF9187C" w14:textId="77777777" w:rsidR="00EF5B27" w:rsidRDefault="00000000">
            <w:pPr>
              <w:pStyle w:val="TableParagraph"/>
              <w:spacing w:before="4" w:line="244" w:lineRule="auto"/>
              <w:ind w:left="128" w:right="122"/>
              <w:jc w:val="center"/>
              <w:rPr>
                <w:b/>
                <w:sz w:val="16"/>
              </w:rPr>
            </w:pPr>
            <w:r>
              <w:rPr>
                <w:b/>
                <w:sz w:val="16"/>
              </w:rPr>
              <w:t>/year that monitoring is expected to commence</w:t>
            </w:r>
          </w:p>
        </w:tc>
        <w:tc>
          <w:tcPr>
            <w:tcW w:w="1134" w:type="dxa"/>
            <w:tcBorders>
              <w:bottom w:val="single" w:sz="4" w:space="0" w:color="000000"/>
            </w:tcBorders>
            <w:shd w:val="clear" w:color="auto" w:fill="FECC91"/>
          </w:tcPr>
          <w:p w14:paraId="752D1619" w14:textId="77777777" w:rsidR="00EF5B27" w:rsidRDefault="00000000">
            <w:pPr>
              <w:pStyle w:val="TableParagraph"/>
              <w:spacing w:before="76" w:line="244" w:lineRule="auto"/>
              <w:ind w:left="81" w:right="75"/>
              <w:jc w:val="center"/>
              <w:rPr>
                <w:b/>
                <w:sz w:val="16"/>
              </w:rPr>
            </w:pPr>
            <w:r>
              <w:rPr>
                <w:b/>
                <w:sz w:val="16"/>
              </w:rPr>
              <w:t>Year that baseline was/ will be set</w:t>
            </w:r>
          </w:p>
        </w:tc>
      </w:tr>
      <w:tr w:rsidR="00EF5B27" w14:paraId="42CEB750" w14:textId="77777777">
        <w:trPr>
          <w:trHeight w:val="448"/>
        </w:trPr>
        <w:tc>
          <w:tcPr>
            <w:tcW w:w="737" w:type="dxa"/>
            <w:tcBorders>
              <w:top w:val="single" w:sz="4" w:space="0" w:color="000000"/>
            </w:tcBorders>
          </w:tcPr>
          <w:p w14:paraId="20BE04BF" w14:textId="77777777" w:rsidR="00EF5B27" w:rsidRDefault="00EF5B27">
            <w:pPr>
              <w:pStyle w:val="TableParagraph"/>
              <w:spacing w:before="7"/>
              <w:rPr>
                <w:rFonts w:ascii="Times New Roman"/>
                <w:sz w:val="12"/>
              </w:rPr>
            </w:pPr>
          </w:p>
          <w:p w14:paraId="34C8E85B" w14:textId="77777777" w:rsidR="00EF5B27" w:rsidRDefault="00000000">
            <w:pPr>
              <w:pStyle w:val="TableParagraph"/>
              <w:ind w:left="5"/>
              <w:jc w:val="center"/>
              <w:rPr>
                <w:sz w:val="14"/>
              </w:rPr>
            </w:pPr>
            <w:r>
              <w:rPr>
                <w:color w:val="4D4D4F"/>
                <w:w w:val="96"/>
                <w:sz w:val="14"/>
              </w:rPr>
              <w:t>1</w:t>
            </w:r>
          </w:p>
        </w:tc>
        <w:tc>
          <w:tcPr>
            <w:tcW w:w="1361" w:type="dxa"/>
            <w:tcBorders>
              <w:top w:val="single" w:sz="4" w:space="0" w:color="000000"/>
            </w:tcBorders>
          </w:tcPr>
          <w:p w14:paraId="1A86C427" w14:textId="77777777" w:rsidR="00EF5B27" w:rsidRDefault="00000000">
            <w:pPr>
              <w:pStyle w:val="TableParagraph"/>
              <w:spacing w:before="55" w:line="252" w:lineRule="auto"/>
              <w:ind w:left="377" w:hanging="255"/>
              <w:rPr>
                <w:sz w:val="14"/>
              </w:rPr>
            </w:pPr>
            <w:r>
              <w:rPr>
                <w:color w:val="4D4D4F"/>
                <w:sz w:val="14"/>
              </w:rPr>
              <w:t xml:space="preserve">Natural Temperate </w:t>
            </w:r>
            <w:r>
              <w:rPr>
                <w:color w:val="4D4D4F"/>
                <w:w w:val="105"/>
                <w:sz w:val="14"/>
              </w:rPr>
              <w:t>Grassland</w:t>
            </w:r>
          </w:p>
        </w:tc>
        <w:tc>
          <w:tcPr>
            <w:tcW w:w="737" w:type="dxa"/>
            <w:tcBorders>
              <w:top w:val="single" w:sz="4" w:space="0" w:color="000000"/>
            </w:tcBorders>
          </w:tcPr>
          <w:p w14:paraId="3F1FBE85" w14:textId="77777777" w:rsidR="00EF5B27" w:rsidRDefault="00EF5B27">
            <w:pPr>
              <w:pStyle w:val="TableParagraph"/>
              <w:spacing w:before="7"/>
              <w:rPr>
                <w:rFonts w:ascii="Times New Roman"/>
                <w:sz w:val="12"/>
              </w:rPr>
            </w:pPr>
          </w:p>
          <w:p w14:paraId="3FDCD08E" w14:textId="77777777" w:rsidR="00EF5B27" w:rsidRDefault="00000000">
            <w:pPr>
              <w:pStyle w:val="TableParagraph"/>
              <w:ind w:left="4"/>
              <w:jc w:val="center"/>
              <w:rPr>
                <w:sz w:val="14"/>
              </w:rPr>
            </w:pPr>
            <w:r>
              <w:rPr>
                <w:color w:val="4D4D4F"/>
                <w:w w:val="96"/>
                <w:sz w:val="14"/>
              </w:rPr>
              <w:t>3</w:t>
            </w:r>
          </w:p>
        </w:tc>
        <w:tc>
          <w:tcPr>
            <w:tcW w:w="1474" w:type="dxa"/>
            <w:tcBorders>
              <w:top w:val="single" w:sz="4" w:space="0" w:color="000000"/>
            </w:tcBorders>
          </w:tcPr>
          <w:p w14:paraId="1539A211" w14:textId="77777777" w:rsidR="00EF5B27" w:rsidRDefault="00EF5B27">
            <w:pPr>
              <w:pStyle w:val="TableParagraph"/>
              <w:spacing w:before="7"/>
              <w:rPr>
                <w:rFonts w:ascii="Times New Roman"/>
                <w:sz w:val="12"/>
              </w:rPr>
            </w:pPr>
          </w:p>
          <w:p w14:paraId="5F0B2EC8" w14:textId="77777777" w:rsidR="00EF5B27" w:rsidRDefault="00000000">
            <w:pPr>
              <w:pStyle w:val="TableParagraph"/>
              <w:ind w:left="124" w:right="120"/>
              <w:jc w:val="center"/>
              <w:rPr>
                <w:sz w:val="14"/>
              </w:rPr>
            </w:pPr>
            <w:r>
              <w:rPr>
                <w:color w:val="4D4D4F"/>
                <w:w w:val="105"/>
                <w:sz w:val="14"/>
              </w:rPr>
              <w:t>Forb richness</w:t>
            </w:r>
          </w:p>
        </w:tc>
        <w:tc>
          <w:tcPr>
            <w:tcW w:w="2041" w:type="dxa"/>
            <w:tcBorders>
              <w:top w:val="single" w:sz="4" w:space="0" w:color="000000"/>
            </w:tcBorders>
          </w:tcPr>
          <w:p w14:paraId="4B0E88DF" w14:textId="77777777" w:rsidR="00EF5B27" w:rsidRDefault="00EF5B27">
            <w:pPr>
              <w:pStyle w:val="TableParagraph"/>
              <w:spacing w:before="7"/>
              <w:rPr>
                <w:rFonts w:ascii="Times New Roman"/>
                <w:sz w:val="12"/>
              </w:rPr>
            </w:pPr>
          </w:p>
          <w:p w14:paraId="07A5A12A" w14:textId="77777777" w:rsidR="00EF5B27" w:rsidRDefault="00000000">
            <w:pPr>
              <w:pStyle w:val="TableParagraph"/>
              <w:ind w:left="153" w:right="150"/>
              <w:jc w:val="center"/>
              <w:rPr>
                <w:sz w:val="14"/>
              </w:rPr>
            </w:pPr>
            <w:r>
              <w:rPr>
                <w:color w:val="4D4D4F"/>
                <w:w w:val="105"/>
                <w:sz w:val="14"/>
              </w:rPr>
              <w:t>Nutrient-enriched grassland</w:t>
            </w:r>
          </w:p>
        </w:tc>
        <w:tc>
          <w:tcPr>
            <w:tcW w:w="2154" w:type="dxa"/>
            <w:tcBorders>
              <w:top w:val="single" w:sz="4" w:space="0" w:color="000000"/>
            </w:tcBorders>
          </w:tcPr>
          <w:p w14:paraId="78248D0A" w14:textId="77777777" w:rsidR="00EF5B27" w:rsidRDefault="00EF5B27">
            <w:pPr>
              <w:pStyle w:val="TableParagraph"/>
              <w:spacing w:before="7"/>
              <w:rPr>
                <w:rFonts w:ascii="Times New Roman"/>
                <w:sz w:val="12"/>
              </w:rPr>
            </w:pPr>
          </w:p>
          <w:p w14:paraId="2D43AF19" w14:textId="77777777" w:rsidR="00EF5B27" w:rsidRDefault="00000000">
            <w:pPr>
              <w:pStyle w:val="TableParagraph"/>
              <w:ind w:left="940"/>
              <w:rPr>
                <w:sz w:val="14"/>
              </w:rPr>
            </w:pPr>
            <w:r>
              <w:rPr>
                <w:color w:val="4D4D4F"/>
                <w:sz w:val="14"/>
              </w:rPr>
              <w:t>2013</w:t>
            </w:r>
          </w:p>
        </w:tc>
        <w:tc>
          <w:tcPr>
            <w:tcW w:w="1134" w:type="dxa"/>
            <w:tcBorders>
              <w:top w:val="single" w:sz="4" w:space="0" w:color="000000"/>
            </w:tcBorders>
          </w:tcPr>
          <w:p w14:paraId="18A10C4E" w14:textId="77777777" w:rsidR="00EF5B27" w:rsidRDefault="00EF5B27">
            <w:pPr>
              <w:pStyle w:val="TableParagraph"/>
              <w:spacing w:before="7"/>
              <w:rPr>
                <w:rFonts w:ascii="Times New Roman"/>
                <w:sz w:val="12"/>
              </w:rPr>
            </w:pPr>
          </w:p>
          <w:p w14:paraId="7561C4FB" w14:textId="77777777" w:rsidR="00EF5B27" w:rsidRDefault="00000000">
            <w:pPr>
              <w:pStyle w:val="TableParagraph"/>
              <w:ind w:left="81" w:right="77"/>
              <w:jc w:val="center"/>
              <w:rPr>
                <w:sz w:val="14"/>
              </w:rPr>
            </w:pPr>
            <w:r>
              <w:rPr>
                <w:color w:val="4D4D4F"/>
                <w:sz w:val="14"/>
              </w:rPr>
              <w:t>2017</w:t>
            </w:r>
          </w:p>
        </w:tc>
      </w:tr>
      <w:tr w:rsidR="00EF5B27" w14:paraId="2C65F4BE" w14:textId="77777777">
        <w:trPr>
          <w:trHeight w:val="448"/>
        </w:trPr>
        <w:tc>
          <w:tcPr>
            <w:tcW w:w="737" w:type="dxa"/>
          </w:tcPr>
          <w:p w14:paraId="0F5B41B8" w14:textId="77777777" w:rsidR="00EF5B27" w:rsidRDefault="00EF5B27">
            <w:pPr>
              <w:pStyle w:val="TableParagraph"/>
              <w:spacing w:before="7"/>
              <w:rPr>
                <w:rFonts w:ascii="Times New Roman"/>
                <w:sz w:val="12"/>
              </w:rPr>
            </w:pPr>
          </w:p>
          <w:p w14:paraId="3AF4F886" w14:textId="77777777" w:rsidR="00EF5B27" w:rsidRDefault="00000000">
            <w:pPr>
              <w:pStyle w:val="TableParagraph"/>
              <w:ind w:left="5"/>
              <w:jc w:val="center"/>
              <w:rPr>
                <w:sz w:val="14"/>
              </w:rPr>
            </w:pPr>
            <w:r>
              <w:rPr>
                <w:color w:val="4D4D4F"/>
                <w:w w:val="96"/>
                <w:sz w:val="14"/>
              </w:rPr>
              <w:t>1</w:t>
            </w:r>
          </w:p>
        </w:tc>
        <w:tc>
          <w:tcPr>
            <w:tcW w:w="1361" w:type="dxa"/>
          </w:tcPr>
          <w:p w14:paraId="62EF0DDC" w14:textId="77777777" w:rsidR="00EF5B27" w:rsidRDefault="00000000">
            <w:pPr>
              <w:pStyle w:val="TableParagraph"/>
              <w:spacing w:before="55"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07F3A151" w14:textId="77777777" w:rsidR="00EF5B27" w:rsidRDefault="00EF5B27">
            <w:pPr>
              <w:pStyle w:val="TableParagraph"/>
              <w:spacing w:before="7"/>
              <w:rPr>
                <w:rFonts w:ascii="Times New Roman"/>
                <w:sz w:val="12"/>
              </w:rPr>
            </w:pPr>
          </w:p>
          <w:p w14:paraId="28806596" w14:textId="77777777" w:rsidR="00EF5B27" w:rsidRDefault="00000000">
            <w:pPr>
              <w:pStyle w:val="TableParagraph"/>
              <w:ind w:left="4"/>
              <w:jc w:val="center"/>
              <w:rPr>
                <w:sz w:val="14"/>
              </w:rPr>
            </w:pPr>
            <w:r>
              <w:rPr>
                <w:color w:val="4D4D4F"/>
                <w:w w:val="96"/>
                <w:sz w:val="14"/>
              </w:rPr>
              <w:t>3</w:t>
            </w:r>
          </w:p>
        </w:tc>
        <w:tc>
          <w:tcPr>
            <w:tcW w:w="1474" w:type="dxa"/>
          </w:tcPr>
          <w:p w14:paraId="60C5F811" w14:textId="77777777" w:rsidR="00EF5B27" w:rsidRDefault="00EF5B27">
            <w:pPr>
              <w:pStyle w:val="TableParagraph"/>
              <w:spacing w:before="7"/>
              <w:rPr>
                <w:rFonts w:ascii="Times New Roman"/>
                <w:sz w:val="12"/>
              </w:rPr>
            </w:pPr>
          </w:p>
          <w:p w14:paraId="25CA9671" w14:textId="77777777" w:rsidR="00EF5B27" w:rsidRDefault="00000000">
            <w:pPr>
              <w:pStyle w:val="TableParagraph"/>
              <w:ind w:left="124" w:right="120"/>
              <w:jc w:val="center"/>
              <w:rPr>
                <w:sz w:val="14"/>
              </w:rPr>
            </w:pPr>
            <w:r>
              <w:rPr>
                <w:color w:val="4D4D4F"/>
                <w:w w:val="105"/>
                <w:sz w:val="14"/>
              </w:rPr>
              <w:t>Forb richness</w:t>
            </w:r>
          </w:p>
        </w:tc>
        <w:tc>
          <w:tcPr>
            <w:tcW w:w="2041" w:type="dxa"/>
          </w:tcPr>
          <w:p w14:paraId="67FA46F6" w14:textId="77777777" w:rsidR="00EF5B27" w:rsidRDefault="00EF5B27">
            <w:pPr>
              <w:pStyle w:val="TableParagraph"/>
              <w:spacing w:before="7"/>
              <w:rPr>
                <w:rFonts w:ascii="Times New Roman"/>
                <w:sz w:val="12"/>
              </w:rPr>
            </w:pPr>
          </w:p>
          <w:p w14:paraId="07814A60" w14:textId="77777777" w:rsidR="00EF5B27" w:rsidRDefault="00000000">
            <w:pPr>
              <w:pStyle w:val="TableParagraph"/>
              <w:ind w:left="154" w:right="150"/>
              <w:jc w:val="center"/>
              <w:rPr>
                <w:sz w:val="14"/>
              </w:rPr>
            </w:pPr>
            <w:r>
              <w:rPr>
                <w:color w:val="4D4D4F"/>
                <w:w w:val="105"/>
                <w:sz w:val="14"/>
              </w:rPr>
              <w:t>De-rocked grassland</w:t>
            </w:r>
          </w:p>
        </w:tc>
        <w:tc>
          <w:tcPr>
            <w:tcW w:w="2154" w:type="dxa"/>
          </w:tcPr>
          <w:p w14:paraId="060EF3C9" w14:textId="77777777" w:rsidR="00EF5B27" w:rsidRDefault="00EF5B27">
            <w:pPr>
              <w:pStyle w:val="TableParagraph"/>
              <w:spacing w:before="7"/>
              <w:rPr>
                <w:rFonts w:ascii="Times New Roman"/>
                <w:sz w:val="12"/>
              </w:rPr>
            </w:pPr>
          </w:p>
          <w:p w14:paraId="06AB0E43" w14:textId="77777777" w:rsidR="00EF5B27" w:rsidRDefault="00000000">
            <w:pPr>
              <w:pStyle w:val="TableParagraph"/>
              <w:ind w:left="965"/>
              <w:rPr>
                <w:sz w:val="14"/>
              </w:rPr>
            </w:pPr>
            <w:r>
              <w:rPr>
                <w:color w:val="4D4D4F"/>
                <w:w w:val="105"/>
                <w:sz w:val="14"/>
              </w:rPr>
              <w:t>N/A</w:t>
            </w:r>
          </w:p>
        </w:tc>
        <w:tc>
          <w:tcPr>
            <w:tcW w:w="1134" w:type="dxa"/>
          </w:tcPr>
          <w:p w14:paraId="6B4EC235" w14:textId="77777777" w:rsidR="00EF5B27" w:rsidRDefault="00EF5B27">
            <w:pPr>
              <w:pStyle w:val="TableParagraph"/>
              <w:spacing w:before="7"/>
              <w:rPr>
                <w:rFonts w:ascii="Times New Roman"/>
                <w:sz w:val="12"/>
              </w:rPr>
            </w:pPr>
          </w:p>
          <w:p w14:paraId="477D48FD" w14:textId="77777777" w:rsidR="00EF5B27" w:rsidRDefault="00000000">
            <w:pPr>
              <w:pStyle w:val="TableParagraph"/>
              <w:ind w:left="81" w:right="77"/>
              <w:jc w:val="center"/>
              <w:rPr>
                <w:sz w:val="14"/>
              </w:rPr>
            </w:pPr>
            <w:r>
              <w:rPr>
                <w:color w:val="4D4D4F"/>
                <w:w w:val="105"/>
                <w:sz w:val="14"/>
              </w:rPr>
              <w:t>Unclear</w:t>
            </w:r>
          </w:p>
        </w:tc>
      </w:tr>
      <w:tr w:rsidR="00EF5B27" w14:paraId="3A7622A1" w14:textId="77777777">
        <w:trPr>
          <w:trHeight w:val="448"/>
        </w:trPr>
        <w:tc>
          <w:tcPr>
            <w:tcW w:w="737" w:type="dxa"/>
          </w:tcPr>
          <w:p w14:paraId="5E6AE6E7" w14:textId="77777777" w:rsidR="00EF5B27" w:rsidRDefault="00EF5B27">
            <w:pPr>
              <w:pStyle w:val="TableParagraph"/>
              <w:spacing w:before="7"/>
              <w:rPr>
                <w:rFonts w:ascii="Times New Roman"/>
                <w:sz w:val="12"/>
              </w:rPr>
            </w:pPr>
          </w:p>
          <w:p w14:paraId="46290981" w14:textId="77777777" w:rsidR="00EF5B27" w:rsidRDefault="00000000">
            <w:pPr>
              <w:pStyle w:val="TableParagraph"/>
              <w:ind w:left="5"/>
              <w:jc w:val="center"/>
              <w:rPr>
                <w:sz w:val="14"/>
              </w:rPr>
            </w:pPr>
            <w:r>
              <w:rPr>
                <w:color w:val="4D4D4F"/>
                <w:w w:val="96"/>
                <w:sz w:val="14"/>
              </w:rPr>
              <w:t>1</w:t>
            </w:r>
          </w:p>
        </w:tc>
        <w:tc>
          <w:tcPr>
            <w:tcW w:w="1361" w:type="dxa"/>
          </w:tcPr>
          <w:p w14:paraId="2F5E6EAF" w14:textId="77777777" w:rsidR="00EF5B27" w:rsidRDefault="00000000">
            <w:pPr>
              <w:pStyle w:val="TableParagraph"/>
              <w:spacing w:before="55"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54C8FABA" w14:textId="77777777" w:rsidR="00EF5B27" w:rsidRDefault="00EF5B27">
            <w:pPr>
              <w:pStyle w:val="TableParagraph"/>
              <w:spacing w:before="7"/>
              <w:rPr>
                <w:rFonts w:ascii="Times New Roman"/>
                <w:sz w:val="12"/>
              </w:rPr>
            </w:pPr>
          </w:p>
          <w:p w14:paraId="3D479287" w14:textId="77777777" w:rsidR="00EF5B27" w:rsidRDefault="00000000">
            <w:pPr>
              <w:pStyle w:val="TableParagraph"/>
              <w:ind w:left="4"/>
              <w:jc w:val="center"/>
              <w:rPr>
                <w:sz w:val="14"/>
              </w:rPr>
            </w:pPr>
            <w:r>
              <w:rPr>
                <w:color w:val="4D4D4F"/>
                <w:w w:val="96"/>
                <w:sz w:val="14"/>
              </w:rPr>
              <w:t>4</w:t>
            </w:r>
          </w:p>
        </w:tc>
        <w:tc>
          <w:tcPr>
            <w:tcW w:w="1474" w:type="dxa"/>
          </w:tcPr>
          <w:p w14:paraId="7DCD2087" w14:textId="77777777" w:rsidR="00EF5B27" w:rsidRDefault="00EF5B27">
            <w:pPr>
              <w:pStyle w:val="TableParagraph"/>
              <w:spacing w:before="9"/>
              <w:rPr>
                <w:rFonts w:ascii="Times New Roman"/>
                <w:sz w:val="12"/>
              </w:rPr>
            </w:pPr>
          </w:p>
          <w:p w14:paraId="4165D2EE" w14:textId="77777777" w:rsidR="00EF5B27" w:rsidRDefault="00000000">
            <w:pPr>
              <w:pStyle w:val="TableParagraph"/>
              <w:ind w:left="124" w:right="120"/>
              <w:jc w:val="center"/>
              <w:rPr>
                <w:rFonts w:ascii="Arial Narrow"/>
                <w:i/>
                <w:sz w:val="14"/>
              </w:rPr>
            </w:pPr>
            <w:r>
              <w:rPr>
                <w:rFonts w:ascii="Arial Narrow"/>
                <w:i/>
                <w:color w:val="4D4D4F"/>
                <w:w w:val="110"/>
                <w:sz w:val="14"/>
              </w:rPr>
              <w:t>Themeda</w:t>
            </w:r>
          </w:p>
        </w:tc>
        <w:tc>
          <w:tcPr>
            <w:tcW w:w="2041" w:type="dxa"/>
          </w:tcPr>
          <w:p w14:paraId="7A59BFE9" w14:textId="77777777" w:rsidR="00EF5B27" w:rsidRDefault="00EF5B27">
            <w:pPr>
              <w:pStyle w:val="TableParagraph"/>
              <w:spacing w:before="7"/>
              <w:rPr>
                <w:rFonts w:ascii="Times New Roman"/>
                <w:sz w:val="12"/>
              </w:rPr>
            </w:pPr>
          </w:p>
          <w:p w14:paraId="60244A79" w14:textId="77777777" w:rsidR="00EF5B27" w:rsidRDefault="00000000">
            <w:pPr>
              <w:pStyle w:val="TableParagraph"/>
              <w:ind w:left="154" w:right="150"/>
              <w:jc w:val="center"/>
              <w:rPr>
                <w:sz w:val="14"/>
              </w:rPr>
            </w:pPr>
            <w:r>
              <w:rPr>
                <w:color w:val="4D4D4F"/>
                <w:w w:val="105"/>
                <w:sz w:val="14"/>
              </w:rPr>
              <w:t>Herb-rich grassland</w:t>
            </w:r>
          </w:p>
        </w:tc>
        <w:tc>
          <w:tcPr>
            <w:tcW w:w="2154" w:type="dxa"/>
          </w:tcPr>
          <w:p w14:paraId="6B49F579" w14:textId="77777777" w:rsidR="00EF5B27" w:rsidRDefault="00EF5B27">
            <w:pPr>
              <w:pStyle w:val="TableParagraph"/>
              <w:spacing w:before="7"/>
              <w:rPr>
                <w:rFonts w:ascii="Times New Roman"/>
                <w:sz w:val="12"/>
              </w:rPr>
            </w:pPr>
          </w:p>
          <w:p w14:paraId="0F5B03EB" w14:textId="77777777" w:rsidR="00EF5B27" w:rsidRDefault="00000000">
            <w:pPr>
              <w:pStyle w:val="TableParagraph"/>
              <w:ind w:left="941"/>
              <w:rPr>
                <w:sz w:val="14"/>
              </w:rPr>
            </w:pPr>
            <w:r>
              <w:rPr>
                <w:color w:val="4D4D4F"/>
                <w:sz w:val="14"/>
              </w:rPr>
              <w:t>2013</w:t>
            </w:r>
          </w:p>
        </w:tc>
        <w:tc>
          <w:tcPr>
            <w:tcW w:w="1134" w:type="dxa"/>
          </w:tcPr>
          <w:p w14:paraId="31B203A5" w14:textId="77777777" w:rsidR="00EF5B27" w:rsidRDefault="00EF5B27">
            <w:pPr>
              <w:pStyle w:val="TableParagraph"/>
              <w:spacing w:before="7"/>
              <w:rPr>
                <w:rFonts w:ascii="Times New Roman"/>
                <w:sz w:val="12"/>
              </w:rPr>
            </w:pPr>
          </w:p>
          <w:p w14:paraId="1542B067" w14:textId="77777777" w:rsidR="00EF5B27" w:rsidRDefault="00000000">
            <w:pPr>
              <w:pStyle w:val="TableParagraph"/>
              <w:ind w:left="81" w:right="77"/>
              <w:jc w:val="center"/>
              <w:rPr>
                <w:sz w:val="14"/>
              </w:rPr>
            </w:pPr>
            <w:r>
              <w:rPr>
                <w:color w:val="4D4D4F"/>
                <w:sz w:val="14"/>
              </w:rPr>
              <w:t>2017</w:t>
            </w:r>
          </w:p>
        </w:tc>
      </w:tr>
      <w:tr w:rsidR="00EF5B27" w14:paraId="3B249B3C" w14:textId="77777777">
        <w:trPr>
          <w:trHeight w:val="448"/>
        </w:trPr>
        <w:tc>
          <w:tcPr>
            <w:tcW w:w="737" w:type="dxa"/>
          </w:tcPr>
          <w:p w14:paraId="611B51B4" w14:textId="77777777" w:rsidR="00EF5B27" w:rsidRDefault="00EF5B27">
            <w:pPr>
              <w:pStyle w:val="TableParagraph"/>
              <w:spacing w:before="7"/>
              <w:rPr>
                <w:rFonts w:ascii="Times New Roman"/>
                <w:sz w:val="12"/>
              </w:rPr>
            </w:pPr>
          </w:p>
          <w:p w14:paraId="701A50B6" w14:textId="77777777" w:rsidR="00EF5B27" w:rsidRDefault="00000000">
            <w:pPr>
              <w:pStyle w:val="TableParagraph"/>
              <w:ind w:left="5"/>
              <w:jc w:val="center"/>
              <w:rPr>
                <w:sz w:val="14"/>
              </w:rPr>
            </w:pPr>
            <w:r>
              <w:rPr>
                <w:color w:val="4D4D4F"/>
                <w:w w:val="96"/>
                <w:sz w:val="14"/>
              </w:rPr>
              <w:t>1</w:t>
            </w:r>
          </w:p>
        </w:tc>
        <w:tc>
          <w:tcPr>
            <w:tcW w:w="1361" w:type="dxa"/>
          </w:tcPr>
          <w:p w14:paraId="3C974CA7" w14:textId="77777777" w:rsidR="00EF5B27" w:rsidRDefault="00000000">
            <w:pPr>
              <w:pStyle w:val="TableParagraph"/>
              <w:spacing w:before="55"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13648A4C" w14:textId="77777777" w:rsidR="00EF5B27" w:rsidRDefault="00EF5B27">
            <w:pPr>
              <w:pStyle w:val="TableParagraph"/>
              <w:spacing w:before="7"/>
              <w:rPr>
                <w:rFonts w:ascii="Times New Roman"/>
                <w:sz w:val="12"/>
              </w:rPr>
            </w:pPr>
          </w:p>
          <w:p w14:paraId="131A411B" w14:textId="77777777" w:rsidR="00EF5B27" w:rsidRDefault="00000000">
            <w:pPr>
              <w:pStyle w:val="TableParagraph"/>
              <w:ind w:left="4"/>
              <w:jc w:val="center"/>
              <w:rPr>
                <w:sz w:val="14"/>
              </w:rPr>
            </w:pPr>
            <w:r>
              <w:rPr>
                <w:color w:val="4D4D4F"/>
                <w:w w:val="96"/>
                <w:sz w:val="14"/>
              </w:rPr>
              <w:t>4</w:t>
            </w:r>
          </w:p>
        </w:tc>
        <w:tc>
          <w:tcPr>
            <w:tcW w:w="1474" w:type="dxa"/>
          </w:tcPr>
          <w:p w14:paraId="714064D3" w14:textId="77777777" w:rsidR="00EF5B27" w:rsidRDefault="00EF5B27">
            <w:pPr>
              <w:pStyle w:val="TableParagraph"/>
              <w:spacing w:before="9"/>
              <w:rPr>
                <w:rFonts w:ascii="Times New Roman"/>
                <w:sz w:val="12"/>
              </w:rPr>
            </w:pPr>
          </w:p>
          <w:p w14:paraId="4E68DF73" w14:textId="77777777" w:rsidR="00EF5B27" w:rsidRDefault="00000000">
            <w:pPr>
              <w:pStyle w:val="TableParagraph"/>
              <w:spacing w:before="1"/>
              <w:ind w:left="124" w:right="120"/>
              <w:jc w:val="center"/>
              <w:rPr>
                <w:rFonts w:ascii="Arial Narrow"/>
                <w:i/>
                <w:sz w:val="14"/>
              </w:rPr>
            </w:pPr>
            <w:r>
              <w:rPr>
                <w:rFonts w:ascii="Arial Narrow"/>
                <w:i/>
                <w:color w:val="4D4D4F"/>
                <w:w w:val="110"/>
                <w:sz w:val="14"/>
              </w:rPr>
              <w:t>Themeda</w:t>
            </w:r>
          </w:p>
        </w:tc>
        <w:tc>
          <w:tcPr>
            <w:tcW w:w="2041" w:type="dxa"/>
          </w:tcPr>
          <w:p w14:paraId="28510EBA" w14:textId="77777777" w:rsidR="00EF5B27" w:rsidRDefault="00EF5B27">
            <w:pPr>
              <w:pStyle w:val="TableParagraph"/>
              <w:spacing w:before="7"/>
              <w:rPr>
                <w:rFonts w:ascii="Times New Roman"/>
                <w:sz w:val="12"/>
              </w:rPr>
            </w:pPr>
          </w:p>
          <w:p w14:paraId="48AEC824" w14:textId="77777777" w:rsidR="00EF5B27" w:rsidRDefault="00000000">
            <w:pPr>
              <w:pStyle w:val="TableParagraph"/>
              <w:ind w:left="154" w:right="15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7440ED5C" w14:textId="77777777" w:rsidR="00EF5B27" w:rsidRDefault="00EF5B27">
            <w:pPr>
              <w:pStyle w:val="TableParagraph"/>
              <w:spacing w:before="7"/>
              <w:rPr>
                <w:rFonts w:ascii="Times New Roman"/>
                <w:sz w:val="12"/>
              </w:rPr>
            </w:pPr>
          </w:p>
          <w:p w14:paraId="79DECBEB" w14:textId="77777777" w:rsidR="00EF5B27" w:rsidRDefault="00000000">
            <w:pPr>
              <w:pStyle w:val="TableParagraph"/>
              <w:ind w:left="940"/>
              <w:rPr>
                <w:sz w:val="14"/>
              </w:rPr>
            </w:pPr>
            <w:r>
              <w:rPr>
                <w:color w:val="4D4D4F"/>
                <w:sz w:val="14"/>
              </w:rPr>
              <w:t>2013</w:t>
            </w:r>
          </w:p>
        </w:tc>
        <w:tc>
          <w:tcPr>
            <w:tcW w:w="1134" w:type="dxa"/>
          </w:tcPr>
          <w:p w14:paraId="7341ECFB" w14:textId="77777777" w:rsidR="00EF5B27" w:rsidRDefault="00EF5B27">
            <w:pPr>
              <w:pStyle w:val="TableParagraph"/>
              <w:spacing w:before="7"/>
              <w:rPr>
                <w:rFonts w:ascii="Times New Roman"/>
                <w:sz w:val="12"/>
              </w:rPr>
            </w:pPr>
          </w:p>
          <w:p w14:paraId="432D47B4" w14:textId="77777777" w:rsidR="00EF5B27" w:rsidRDefault="00000000">
            <w:pPr>
              <w:pStyle w:val="TableParagraph"/>
              <w:ind w:left="81" w:right="77"/>
              <w:jc w:val="center"/>
              <w:rPr>
                <w:sz w:val="14"/>
              </w:rPr>
            </w:pPr>
            <w:r>
              <w:rPr>
                <w:color w:val="4D4D4F"/>
                <w:sz w:val="14"/>
              </w:rPr>
              <w:t>2017</w:t>
            </w:r>
          </w:p>
        </w:tc>
      </w:tr>
      <w:tr w:rsidR="00EF5B27" w14:paraId="0243838E" w14:textId="77777777">
        <w:trPr>
          <w:trHeight w:val="448"/>
        </w:trPr>
        <w:tc>
          <w:tcPr>
            <w:tcW w:w="737" w:type="dxa"/>
          </w:tcPr>
          <w:p w14:paraId="06641448" w14:textId="77777777" w:rsidR="00EF5B27" w:rsidRDefault="00EF5B27">
            <w:pPr>
              <w:pStyle w:val="TableParagraph"/>
              <w:spacing w:before="7"/>
              <w:rPr>
                <w:rFonts w:ascii="Times New Roman"/>
                <w:sz w:val="12"/>
              </w:rPr>
            </w:pPr>
          </w:p>
          <w:p w14:paraId="486ACC92" w14:textId="77777777" w:rsidR="00EF5B27" w:rsidRDefault="00000000">
            <w:pPr>
              <w:pStyle w:val="TableParagraph"/>
              <w:ind w:left="5"/>
              <w:jc w:val="center"/>
              <w:rPr>
                <w:sz w:val="14"/>
              </w:rPr>
            </w:pPr>
            <w:r>
              <w:rPr>
                <w:color w:val="4D4D4F"/>
                <w:w w:val="96"/>
                <w:sz w:val="14"/>
              </w:rPr>
              <w:t>1</w:t>
            </w:r>
          </w:p>
        </w:tc>
        <w:tc>
          <w:tcPr>
            <w:tcW w:w="1361" w:type="dxa"/>
          </w:tcPr>
          <w:p w14:paraId="4436E2A4" w14:textId="77777777" w:rsidR="00EF5B27" w:rsidRDefault="00000000">
            <w:pPr>
              <w:pStyle w:val="TableParagraph"/>
              <w:spacing w:before="55"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08A1931C" w14:textId="77777777" w:rsidR="00EF5B27" w:rsidRDefault="00EF5B27">
            <w:pPr>
              <w:pStyle w:val="TableParagraph"/>
              <w:spacing w:before="7"/>
              <w:rPr>
                <w:rFonts w:ascii="Times New Roman"/>
                <w:sz w:val="12"/>
              </w:rPr>
            </w:pPr>
          </w:p>
          <w:p w14:paraId="3995515E" w14:textId="77777777" w:rsidR="00EF5B27" w:rsidRDefault="00000000">
            <w:pPr>
              <w:pStyle w:val="TableParagraph"/>
              <w:ind w:left="4"/>
              <w:jc w:val="center"/>
              <w:rPr>
                <w:sz w:val="14"/>
              </w:rPr>
            </w:pPr>
            <w:r>
              <w:rPr>
                <w:color w:val="4D4D4F"/>
                <w:w w:val="96"/>
                <w:sz w:val="14"/>
              </w:rPr>
              <w:t>4</w:t>
            </w:r>
          </w:p>
        </w:tc>
        <w:tc>
          <w:tcPr>
            <w:tcW w:w="1474" w:type="dxa"/>
          </w:tcPr>
          <w:p w14:paraId="305F65D5" w14:textId="77777777" w:rsidR="00EF5B27" w:rsidRDefault="00EF5B27">
            <w:pPr>
              <w:pStyle w:val="TableParagraph"/>
              <w:spacing w:before="9"/>
              <w:rPr>
                <w:rFonts w:ascii="Times New Roman"/>
                <w:sz w:val="12"/>
              </w:rPr>
            </w:pPr>
          </w:p>
          <w:p w14:paraId="56D25852" w14:textId="77777777" w:rsidR="00EF5B27" w:rsidRDefault="00000000">
            <w:pPr>
              <w:pStyle w:val="TableParagraph"/>
              <w:spacing w:before="1"/>
              <w:ind w:left="124" w:right="120"/>
              <w:jc w:val="center"/>
              <w:rPr>
                <w:rFonts w:ascii="Arial Narrow"/>
                <w:i/>
                <w:sz w:val="14"/>
              </w:rPr>
            </w:pPr>
            <w:r>
              <w:rPr>
                <w:rFonts w:ascii="Arial Narrow"/>
                <w:i/>
                <w:color w:val="4D4D4F"/>
                <w:w w:val="110"/>
                <w:sz w:val="14"/>
              </w:rPr>
              <w:t>Themeda</w:t>
            </w:r>
          </w:p>
        </w:tc>
        <w:tc>
          <w:tcPr>
            <w:tcW w:w="2041" w:type="dxa"/>
          </w:tcPr>
          <w:p w14:paraId="5E93279D" w14:textId="77777777" w:rsidR="00EF5B27" w:rsidRDefault="00EF5B27">
            <w:pPr>
              <w:pStyle w:val="TableParagraph"/>
              <w:spacing w:before="7"/>
              <w:rPr>
                <w:rFonts w:ascii="Times New Roman"/>
                <w:sz w:val="12"/>
              </w:rPr>
            </w:pPr>
          </w:p>
          <w:p w14:paraId="4E63AC78" w14:textId="77777777" w:rsidR="00EF5B27" w:rsidRDefault="00000000">
            <w:pPr>
              <w:pStyle w:val="TableParagraph"/>
              <w:ind w:left="154" w:right="150"/>
              <w:jc w:val="center"/>
              <w:rPr>
                <w:sz w:val="14"/>
              </w:rPr>
            </w:pPr>
            <w:r>
              <w:rPr>
                <w:color w:val="4D4D4F"/>
                <w:w w:val="105"/>
                <w:sz w:val="14"/>
              </w:rPr>
              <w:t>C3 grassland</w:t>
            </w:r>
          </w:p>
        </w:tc>
        <w:tc>
          <w:tcPr>
            <w:tcW w:w="2154" w:type="dxa"/>
          </w:tcPr>
          <w:p w14:paraId="60DC49CA" w14:textId="77777777" w:rsidR="00EF5B27" w:rsidRDefault="00EF5B27">
            <w:pPr>
              <w:pStyle w:val="TableParagraph"/>
              <w:spacing w:before="7"/>
              <w:rPr>
                <w:rFonts w:ascii="Times New Roman"/>
                <w:sz w:val="12"/>
              </w:rPr>
            </w:pPr>
          </w:p>
          <w:p w14:paraId="7E07AE2F" w14:textId="77777777" w:rsidR="00EF5B27" w:rsidRDefault="00000000">
            <w:pPr>
              <w:pStyle w:val="TableParagraph"/>
              <w:ind w:left="965"/>
              <w:rPr>
                <w:sz w:val="14"/>
              </w:rPr>
            </w:pPr>
            <w:r>
              <w:rPr>
                <w:color w:val="4D4D4F"/>
                <w:w w:val="105"/>
                <w:sz w:val="14"/>
              </w:rPr>
              <w:t>N/A</w:t>
            </w:r>
          </w:p>
        </w:tc>
        <w:tc>
          <w:tcPr>
            <w:tcW w:w="1134" w:type="dxa"/>
          </w:tcPr>
          <w:p w14:paraId="07B23F2F" w14:textId="77777777" w:rsidR="00EF5B27" w:rsidRDefault="00EF5B27">
            <w:pPr>
              <w:pStyle w:val="TableParagraph"/>
              <w:spacing w:before="7"/>
              <w:rPr>
                <w:rFonts w:ascii="Times New Roman"/>
                <w:sz w:val="12"/>
              </w:rPr>
            </w:pPr>
          </w:p>
          <w:p w14:paraId="5C2E9629" w14:textId="77777777" w:rsidR="00EF5B27" w:rsidRDefault="00000000">
            <w:pPr>
              <w:pStyle w:val="TableParagraph"/>
              <w:ind w:left="81" w:right="77"/>
              <w:jc w:val="center"/>
              <w:rPr>
                <w:sz w:val="14"/>
              </w:rPr>
            </w:pPr>
            <w:r>
              <w:rPr>
                <w:color w:val="4D4D4F"/>
                <w:w w:val="105"/>
                <w:sz w:val="14"/>
              </w:rPr>
              <w:t>Unclear</w:t>
            </w:r>
          </w:p>
        </w:tc>
      </w:tr>
      <w:tr w:rsidR="00EF5B27" w14:paraId="79AF5350" w14:textId="77777777">
        <w:trPr>
          <w:trHeight w:val="448"/>
        </w:trPr>
        <w:tc>
          <w:tcPr>
            <w:tcW w:w="737" w:type="dxa"/>
          </w:tcPr>
          <w:p w14:paraId="731A9E33" w14:textId="77777777" w:rsidR="00EF5B27" w:rsidRDefault="00EF5B27">
            <w:pPr>
              <w:pStyle w:val="TableParagraph"/>
              <w:spacing w:before="7"/>
              <w:rPr>
                <w:rFonts w:ascii="Times New Roman"/>
                <w:sz w:val="12"/>
              </w:rPr>
            </w:pPr>
          </w:p>
          <w:p w14:paraId="5F33EC89" w14:textId="77777777" w:rsidR="00EF5B27" w:rsidRDefault="00000000">
            <w:pPr>
              <w:pStyle w:val="TableParagraph"/>
              <w:ind w:left="5"/>
              <w:jc w:val="center"/>
              <w:rPr>
                <w:sz w:val="14"/>
              </w:rPr>
            </w:pPr>
            <w:r>
              <w:rPr>
                <w:color w:val="4D4D4F"/>
                <w:w w:val="96"/>
                <w:sz w:val="14"/>
              </w:rPr>
              <w:t>1</w:t>
            </w:r>
          </w:p>
        </w:tc>
        <w:tc>
          <w:tcPr>
            <w:tcW w:w="1361" w:type="dxa"/>
          </w:tcPr>
          <w:p w14:paraId="660624CD" w14:textId="77777777" w:rsidR="00EF5B27" w:rsidRDefault="00000000">
            <w:pPr>
              <w:pStyle w:val="TableParagraph"/>
              <w:spacing w:before="55"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14BEAEEE" w14:textId="77777777" w:rsidR="00EF5B27" w:rsidRDefault="00EF5B27">
            <w:pPr>
              <w:pStyle w:val="TableParagraph"/>
              <w:spacing w:before="7"/>
              <w:rPr>
                <w:rFonts w:ascii="Times New Roman"/>
                <w:sz w:val="12"/>
              </w:rPr>
            </w:pPr>
          </w:p>
          <w:p w14:paraId="7249ADDC" w14:textId="77777777" w:rsidR="00EF5B27" w:rsidRDefault="00000000">
            <w:pPr>
              <w:pStyle w:val="TableParagraph"/>
              <w:ind w:left="4"/>
              <w:jc w:val="center"/>
              <w:rPr>
                <w:sz w:val="14"/>
              </w:rPr>
            </w:pPr>
            <w:r>
              <w:rPr>
                <w:color w:val="4D4D4F"/>
                <w:w w:val="96"/>
                <w:sz w:val="14"/>
              </w:rPr>
              <w:t>4</w:t>
            </w:r>
          </w:p>
        </w:tc>
        <w:tc>
          <w:tcPr>
            <w:tcW w:w="1474" w:type="dxa"/>
          </w:tcPr>
          <w:p w14:paraId="0F9FC31E" w14:textId="77777777" w:rsidR="00EF5B27" w:rsidRDefault="00EF5B27">
            <w:pPr>
              <w:pStyle w:val="TableParagraph"/>
              <w:spacing w:before="9"/>
              <w:rPr>
                <w:rFonts w:ascii="Times New Roman"/>
                <w:sz w:val="12"/>
              </w:rPr>
            </w:pPr>
          </w:p>
          <w:p w14:paraId="7F0D027A" w14:textId="77777777" w:rsidR="00EF5B27" w:rsidRDefault="00000000">
            <w:pPr>
              <w:pStyle w:val="TableParagraph"/>
              <w:spacing w:before="1"/>
              <w:ind w:left="124" w:right="120"/>
              <w:jc w:val="center"/>
              <w:rPr>
                <w:rFonts w:ascii="Arial Narrow"/>
                <w:i/>
                <w:sz w:val="14"/>
              </w:rPr>
            </w:pPr>
            <w:r>
              <w:rPr>
                <w:rFonts w:ascii="Arial Narrow"/>
                <w:i/>
                <w:color w:val="4D4D4F"/>
                <w:w w:val="110"/>
                <w:sz w:val="14"/>
              </w:rPr>
              <w:t>Themeda</w:t>
            </w:r>
          </w:p>
        </w:tc>
        <w:tc>
          <w:tcPr>
            <w:tcW w:w="2041" w:type="dxa"/>
          </w:tcPr>
          <w:p w14:paraId="31250572" w14:textId="77777777" w:rsidR="00EF5B27" w:rsidRDefault="00EF5B27">
            <w:pPr>
              <w:pStyle w:val="TableParagraph"/>
              <w:spacing w:before="7"/>
              <w:rPr>
                <w:rFonts w:ascii="Times New Roman"/>
                <w:sz w:val="12"/>
              </w:rPr>
            </w:pPr>
          </w:p>
          <w:p w14:paraId="744EBB74" w14:textId="77777777" w:rsidR="00EF5B27" w:rsidRDefault="00000000">
            <w:pPr>
              <w:pStyle w:val="TableParagraph"/>
              <w:ind w:left="153" w:right="150"/>
              <w:jc w:val="center"/>
              <w:rPr>
                <w:sz w:val="14"/>
              </w:rPr>
            </w:pPr>
            <w:r>
              <w:rPr>
                <w:color w:val="4D4D4F"/>
                <w:w w:val="105"/>
                <w:sz w:val="14"/>
              </w:rPr>
              <w:t>Nutrient-enriched grassland</w:t>
            </w:r>
          </w:p>
        </w:tc>
        <w:tc>
          <w:tcPr>
            <w:tcW w:w="2154" w:type="dxa"/>
          </w:tcPr>
          <w:p w14:paraId="0B7A5791" w14:textId="77777777" w:rsidR="00EF5B27" w:rsidRDefault="00EF5B27">
            <w:pPr>
              <w:pStyle w:val="TableParagraph"/>
              <w:spacing w:before="7"/>
              <w:rPr>
                <w:rFonts w:ascii="Times New Roman"/>
                <w:sz w:val="12"/>
              </w:rPr>
            </w:pPr>
          </w:p>
          <w:p w14:paraId="6F7E040E" w14:textId="77777777" w:rsidR="00EF5B27" w:rsidRDefault="00000000">
            <w:pPr>
              <w:pStyle w:val="TableParagraph"/>
              <w:ind w:left="940"/>
              <w:rPr>
                <w:sz w:val="14"/>
              </w:rPr>
            </w:pPr>
            <w:r>
              <w:rPr>
                <w:color w:val="4D4D4F"/>
                <w:sz w:val="14"/>
              </w:rPr>
              <w:t>2013</w:t>
            </w:r>
          </w:p>
        </w:tc>
        <w:tc>
          <w:tcPr>
            <w:tcW w:w="1134" w:type="dxa"/>
          </w:tcPr>
          <w:p w14:paraId="506E77A2" w14:textId="77777777" w:rsidR="00EF5B27" w:rsidRDefault="00EF5B27">
            <w:pPr>
              <w:pStyle w:val="TableParagraph"/>
              <w:spacing w:before="7"/>
              <w:rPr>
                <w:rFonts w:ascii="Times New Roman"/>
                <w:sz w:val="12"/>
              </w:rPr>
            </w:pPr>
          </w:p>
          <w:p w14:paraId="38F06715" w14:textId="77777777" w:rsidR="00EF5B27" w:rsidRDefault="00000000">
            <w:pPr>
              <w:pStyle w:val="TableParagraph"/>
              <w:ind w:left="81" w:right="77"/>
              <w:jc w:val="center"/>
              <w:rPr>
                <w:sz w:val="14"/>
              </w:rPr>
            </w:pPr>
            <w:r>
              <w:rPr>
                <w:color w:val="4D4D4F"/>
                <w:sz w:val="14"/>
              </w:rPr>
              <w:t>2017</w:t>
            </w:r>
          </w:p>
        </w:tc>
      </w:tr>
      <w:tr w:rsidR="00EF5B27" w14:paraId="7CB48699" w14:textId="77777777">
        <w:trPr>
          <w:trHeight w:val="448"/>
        </w:trPr>
        <w:tc>
          <w:tcPr>
            <w:tcW w:w="737" w:type="dxa"/>
          </w:tcPr>
          <w:p w14:paraId="561C173A" w14:textId="77777777" w:rsidR="00EF5B27" w:rsidRDefault="00EF5B27">
            <w:pPr>
              <w:pStyle w:val="TableParagraph"/>
              <w:spacing w:before="7"/>
              <w:rPr>
                <w:rFonts w:ascii="Times New Roman"/>
                <w:sz w:val="12"/>
              </w:rPr>
            </w:pPr>
          </w:p>
          <w:p w14:paraId="0EB3ECF5" w14:textId="77777777" w:rsidR="00EF5B27" w:rsidRDefault="00000000">
            <w:pPr>
              <w:pStyle w:val="TableParagraph"/>
              <w:spacing w:before="1"/>
              <w:ind w:left="5"/>
              <w:jc w:val="center"/>
              <w:rPr>
                <w:sz w:val="14"/>
              </w:rPr>
            </w:pPr>
            <w:r>
              <w:rPr>
                <w:color w:val="4D4D4F"/>
                <w:w w:val="96"/>
                <w:sz w:val="14"/>
              </w:rPr>
              <w:t>1</w:t>
            </w:r>
          </w:p>
        </w:tc>
        <w:tc>
          <w:tcPr>
            <w:tcW w:w="1361" w:type="dxa"/>
          </w:tcPr>
          <w:p w14:paraId="27962129" w14:textId="77777777" w:rsidR="00EF5B27" w:rsidRDefault="00000000">
            <w:pPr>
              <w:pStyle w:val="TableParagraph"/>
              <w:spacing w:before="56"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4582F78A" w14:textId="77777777" w:rsidR="00EF5B27" w:rsidRDefault="00EF5B27">
            <w:pPr>
              <w:pStyle w:val="TableParagraph"/>
              <w:spacing w:before="7"/>
              <w:rPr>
                <w:rFonts w:ascii="Times New Roman"/>
                <w:sz w:val="12"/>
              </w:rPr>
            </w:pPr>
          </w:p>
          <w:p w14:paraId="4C5F3436" w14:textId="77777777" w:rsidR="00EF5B27" w:rsidRDefault="00000000">
            <w:pPr>
              <w:pStyle w:val="TableParagraph"/>
              <w:spacing w:before="1"/>
              <w:ind w:left="4"/>
              <w:jc w:val="center"/>
              <w:rPr>
                <w:sz w:val="14"/>
              </w:rPr>
            </w:pPr>
            <w:r>
              <w:rPr>
                <w:color w:val="4D4D4F"/>
                <w:w w:val="96"/>
                <w:sz w:val="14"/>
              </w:rPr>
              <w:t>4</w:t>
            </w:r>
          </w:p>
        </w:tc>
        <w:tc>
          <w:tcPr>
            <w:tcW w:w="1474" w:type="dxa"/>
          </w:tcPr>
          <w:p w14:paraId="7B62D59A" w14:textId="77777777" w:rsidR="00EF5B27" w:rsidRDefault="00EF5B27">
            <w:pPr>
              <w:pStyle w:val="TableParagraph"/>
              <w:spacing w:before="9"/>
              <w:rPr>
                <w:rFonts w:ascii="Times New Roman"/>
                <w:sz w:val="12"/>
              </w:rPr>
            </w:pPr>
          </w:p>
          <w:p w14:paraId="19A97AEB" w14:textId="77777777" w:rsidR="00EF5B27" w:rsidRDefault="00000000">
            <w:pPr>
              <w:pStyle w:val="TableParagraph"/>
              <w:spacing w:before="1"/>
              <w:ind w:left="124" w:right="120"/>
              <w:jc w:val="center"/>
              <w:rPr>
                <w:rFonts w:ascii="Arial Narrow"/>
                <w:i/>
                <w:sz w:val="14"/>
              </w:rPr>
            </w:pPr>
            <w:r>
              <w:rPr>
                <w:rFonts w:ascii="Arial Narrow"/>
                <w:i/>
                <w:color w:val="4D4D4F"/>
                <w:w w:val="110"/>
                <w:sz w:val="14"/>
              </w:rPr>
              <w:t>Themeda</w:t>
            </w:r>
          </w:p>
        </w:tc>
        <w:tc>
          <w:tcPr>
            <w:tcW w:w="2041" w:type="dxa"/>
          </w:tcPr>
          <w:p w14:paraId="15DD5A85" w14:textId="77777777" w:rsidR="00EF5B27" w:rsidRDefault="00EF5B27">
            <w:pPr>
              <w:pStyle w:val="TableParagraph"/>
              <w:spacing w:before="7"/>
              <w:rPr>
                <w:rFonts w:ascii="Times New Roman"/>
                <w:sz w:val="12"/>
              </w:rPr>
            </w:pPr>
          </w:p>
          <w:p w14:paraId="67E66F4A" w14:textId="77777777" w:rsidR="00EF5B27" w:rsidRDefault="00000000">
            <w:pPr>
              <w:pStyle w:val="TableParagraph"/>
              <w:spacing w:before="1"/>
              <w:ind w:left="154" w:right="150"/>
              <w:jc w:val="center"/>
              <w:rPr>
                <w:sz w:val="14"/>
              </w:rPr>
            </w:pPr>
            <w:r>
              <w:rPr>
                <w:color w:val="4D4D4F"/>
                <w:w w:val="105"/>
                <w:sz w:val="14"/>
              </w:rPr>
              <w:t>De-rocked grassland</w:t>
            </w:r>
          </w:p>
        </w:tc>
        <w:tc>
          <w:tcPr>
            <w:tcW w:w="2154" w:type="dxa"/>
          </w:tcPr>
          <w:p w14:paraId="0E4854F5" w14:textId="77777777" w:rsidR="00EF5B27" w:rsidRDefault="00EF5B27">
            <w:pPr>
              <w:pStyle w:val="TableParagraph"/>
              <w:spacing w:before="7"/>
              <w:rPr>
                <w:rFonts w:ascii="Times New Roman"/>
                <w:sz w:val="12"/>
              </w:rPr>
            </w:pPr>
          </w:p>
          <w:p w14:paraId="07F00423" w14:textId="77777777" w:rsidR="00EF5B27" w:rsidRDefault="00000000">
            <w:pPr>
              <w:pStyle w:val="TableParagraph"/>
              <w:spacing w:before="1"/>
              <w:ind w:left="965"/>
              <w:rPr>
                <w:sz w:val="14"/>
              </w:rPr>
            </w:pPr>
            <w:r>
              <w:rPr>
                <w:color w:val="4D4D4F"/>
                <w:w w:val="105"/>
                <w:sz w:val="14"/>
              </w:rPr>
              <w:t>N/A</w:t>
            </w:r>
          </w:p>
        </w:tc>
        <w:tc>
          <w:tcPr>
            <w:tcW w:w="1134" w:type="dxa"/>
          </w:tcPr>
          <w:p w14:paraId="1DDB70FC" w14:textId="77777777" w:rsidR="00EF5B27" w:rsidRDefault="00EF5B27">
            <w:pPr>
              <w:pStyle w:val="TableParagraph"/>
              <w:spacing w:before="7"/>
              <w:rPr>
                <w:rFonts w:ascii="Times New Roman"/>
                <w:sz w:val="12"/>
              </w:rPr>
            </w:pPr>
          </w:p>
          <w:p w14:paraId="068A24DB" w14:textId="77777777" w:rsidR="00EF5B27" w:rsidRDefault="00000000">
            <w:pPr>
              <w:pStyle w:val="TableParagraph"/>
              <w:spacing w:before="1"/>
              <w:ind w:left="81" w:right="77"/>
              <w:jc w:val="center"/>
              <w:rPr>
                <w:sz w:val="14"/>
              </w:rPr>
            </w:pPr>
            <w:r>
              <w:rPr>
                <w:color w:val="4D4D4F"/>
                <w:w w:val="105"/>
                <w:sz w:val="14"/>
              </w:rPr>
              <w:t>Unclear</w:t>
            </w:r>
          </w:p>
        </w:tc>
      </w:tr>
      <w:tr w:rsidR="00EF5B27" w14:paraId="68726AE7" w14:textId="77777777">
        <w:trPr>
          <w:trHeight w:val="448"/>
        </w:trPr>
        <w:tc>
          <w:tcPr>
            <w:tcW w:w="737" w:type="dxa"/>
          </w:tcPr>
          <w:p w14:paraId="349C9FC2" w14:textId="77777777" w:rsidR="00EF5B27" w:rsidRDefault="00EF5B27">
            <w:pPr>
              <w:pStyle w:val="TableParagraph"/>
              <w:spacing w:before="7"/>
              <w:rPr>
                <w:rFonts w:ascii="Times New Roman"/>
                <w:sz w:val="12"/>
              </w:rPr>
            </w:pPr>
          </w:p>
          <w:p w14:paraId="77A998D6" w14:textId="77777777" w:rsidR="00EF5B27" w:rsidRDefault="00000000">
            <w:pPr>
              <w:pStyle w:val="TableParagraph"/>
              <w:spacing w:before="1"/>
              <w:ind w:left="5"/>
              <w:jc w:val="center"/>
              <w:rPr>
                <w:sz w:val="14"/>
              </w:rPr>
            </w:pPr>
            <w:r>
              <w:rPr>
                <w:color w:val="4D4D4F"/>
                <w:w w:val="96"/>
                <w:sz w:val="14"/>
              </w:rPr>
              <w:t>1</w:t>
            </w:r>
          </w:p>
        </w:tc>
        <w:tc>
          <w:tcPr>
            <w:tcW w:w="1361" w:type="dxa"/>
          </w:tcPr>
          <w:p w14:paraId="40592EE5" w14:textId="77777777" w:rsidR="00EF5B27" w:rsidRDefault="00000000">
            <w:pPr>
              <w:pStyle w:val="TableParagraph"/>
              <w:spacing w:before="56"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3868E96C" w14:textId="77777777" w:rsidR="00EF5B27" w:rsidRDefault="00EF5B27">
            <w:pPr>
              <w:pStyle w:val="TableParagraph"/>
              <w:spacing w:before="7"/>
              <w:rPr>
                <w:rFonts w:ascii="Times New Roman"/>
                <w:sz w:val="12"/>
              </w:rPr>
            </w:pPr>
          </w:p>
          <w:p w14:paraId="2BCFB318" w14:textId="77777777" w:rsidR="00EF5B27" w:rsidRDefault="00000000">
            <w:pPr>
              <w:pStyle w:val="TableParagraph"/>
              <w:spacing w:before="1"/>
              <w:ind w:left="4"/>
              <w:jc w:val="center"/>
              <w:rPr>
                <w:sz w:val="14"/>
              </w:rPr>
            </w:pPr>
            <w:r>
              <w:rPr>
                <w:color w:val="4D4D4F"/>
                <w:w w:val="96"/>
                <w:sz w:val="14"/>
              </w:rPr>
              <w:t>5</w:t>
            </w:r>
          </w:p>
        </w:tc>
        <w:tc>
          <w:tcPr>
            <w:tcW w:w="1474" w:type="dxa"/>
          </w:tcPr>
          <w:p w14:paraId="5A1677E8" w14:textId="77777777" w:rsidR="00EF5B27" w:rsidRDefault="00000000">
            <w:pPr>
              <w:pStyle w:val="TableParagraph"/>
              <w:spacing w:before="56" w:line="252" w:lineRule="auto"/>
              <w:ind w:left="126" w:hanging="42"/>
              <w:rPr>
                <w:sz w:val="14"/>
              </w:rPr>
            </w:pPr>
            <w:r>
              <w:rPr>
                <w:color w:val="4D4D4F"/>
                <w:w w:val="105"/>
                <w:sz w:val="14"/>
              </w:rPr>
              <w:t xml:space="preserve">Perennial grass cover (excluding </w:t>
            </w:r>
            <w:r>
              <w:rPr>
                <w:rFonts w:ascii="Arial Narrow"/>
                <w:i/>
                <w:color w:val="4D4D4F"/>
                <w:w w:val="105"/>
                <w:sz w:val="14"/>
              </w:rPr>
              <w:t>Themeda</w:t>
            </w:r>
            <w:r>
              <w:rPr>
                <w:color w:val="4D4D4F"/>
                <w:w w:val="105"/>
                <w:sz w:val="14"/>
              </w:rPr>
              <w:t>)</w:t>
            </w:r>
          </w:p>
        </w:tc>
        <w:tc>
          <w:tcPr>
            <w:tcW w:w="2041" w:type="dxa"/>
          </w:tcPr>
          <w:p w14:paraId="2B02F778" w14:textId="77777777" w:rsidR="00EF5B27" w:rsidRDefault="00EF5B27">
            <w:pPr>
              <w:pStyle w:val="TableParagraph"/>
              <w:spacing w:before="7"/>
              <w:rPr>
                <w:rFonts w:ascii="Times New Roman"/>
                <w:sz w:val="12"/>
              </w:rPr>
            </w:pPr>
          </w:p>
          <w:p w14:paraId="2BDC778F" w14:textId="77777777" w:rsidR="00EF5B27" w:rsidRDefault="00000000">
            <w:pPr>
              <w:pStyle w:val="TableParagraph"/>
              <w:spacing w:before="1"/>
              <w:ind w:left="154" w:right="150"/>
              <w:jc w:val="center"/>
              <w:rPr>
                <w:sz w:val="14"/>
              </w:rPr>
            </w:pPr>
            <w:r>
              <w:rPr>
                <w:color w:val="4D4D4F"/>
                <w:w w:val="105"/>
                <w:sz w:val="14"/>
              </w:rPr>
              <w:t>Herb-rich grassland</w:t>
            </w:r>
          </w:p>
        </w:tc>
        <w:tc>
          <w:tcPr>
            <w:tcW w:w="2154" w:type="dxa"/>
          </w:tcPr>
          <w:p w14:paraId="43E36EEF" w14:textId="77777777" w:rsidR="00EF5B27" w:rsidRDefault="00EF5B27">
            <w:pPr>
              <w:pStyle w:val="TableParagraph"/>
              <w:spacing w:before="7"/>
              <w:rPr>
                <w:rFonts w:ascii="Times New Roman"/>
                <w:sz w:val="12"/>
              </w:rPr>
            </w:pPr>
          </w:p>
          <w:p w14:paraId="07239354" w14:textId="77777777" w:rsidR="00EF5B27" w:rsidRDefault="00000000">
            <w:pPr>
              <w:pStyle w:val="TableParagraph"/>
              <w:spacing w:before="1"/>
              <w:ind w:left="941"/>
              <w:rPr>
                <w:sz w:val="14"/>
              </w:rPr>
            </w:pPr>
            <w:r>
              <w:rPr>
                <w:color w:val="4D4D4F"/>
                <w:sz w:val="14"/>
              </w:rPr>
              <w:t>2013</w:t>
            </w:r>
          </w:p>
        </w:tc>
        <w:tc>
          <w:tcPr>
            <w:tcW w:w="1134" w:type="dxa"/>
          </w:tcPr>
          <w:p w14:paraId="7AD7C272" w14:textId="77777777" w:rsidR="00EF5B27" w:rsidRDefault="00EF5B27">
            <w:pPr>
              <w:pStyle w:val="TableParagraph"/>
              <w:spacing w:before="7"/>
              <w:rPr>
                <w:rFonts w:ascii="Times New Roman"/>
                <w:sz w:val="12"/>
              </w:rPr>
            </w:pPr>
          </w:p>
          <w:p w14:paraId="424B93D0" w14:textId="77777777" w:rsidR="00EF5B27" w:rsidRDefault="00000000">
            <w:pPr>
              <w:pStyle w:val="TableParagraph"/>
              <w:spacing w:before="1"/>
              <w:ind w:left="81" w:right="81"/>
              <w:jc w:val="center"/>
              <w:rPr>
                <w:sz w:val="14"/>
              </w:rPr>
            </w:pPr>
            <w:r>
              <w:rPr>
                <w:color w:val="4D4D4F"/>
                <w:sz w:val="14"/>
              </w:rPr>
              <w:t>2013</w:t>
            </w:r>
          </w:p>
        </w:tc>
      </w:tr>
      <w:tr w:rsidR="00EF5B27" w14:paraId="26118668" w14:textId="77777777">
        <w:trPr>
          <w:trHeight w:val="448"/>
        </w:trPr>
        <w:tc>
          <w:tcPr>
            <w:tcW w:w="737" w:type="dxa"/>
          </w:tcPr>
          <w:p w14:paraId="087BFFAE" w14:textId="77777777" w:rsidR="00EF5B27" w:rsidRDefault="00EF5B27">
            <w:pPr>
              <w:pStyle w:val="TableParagraph"/>
              <w:spacing w:before="7"/>
              <w:rPr>
                <w:rFonts w:ascii="Times New Roman"/>
                <w:sz w:val="12"/>
              </w:rPr>
            </w:pPr>
          </w:p>
          <w:p w14:paraId="180C6EEF" w14:textId="77777777" w:rsidR="00EF5B27" w:rsidRDefault="00000000">
            <w:pPr>
              <w:pStyle w:val="TableParagraph"/>
              <w:spacing w:before="1"/>
              <w:ind w:left="5"/>
              <w:jc w:val="center"/>
              <w:rPr>
                <w:sz w:val="14"/>
              </w:rPr>
            </w:pPr>
            <w:r>
              <w:rPr>
                <w:color w:val="4D4D4F"/>
                <w:w w:val="96"/>
                <w:sz w:val="14"/>
              </w:rPr>
              <w:t>1</w:t>
            </w:r>
          </w:p>
        </w:tc>
        <w:tc>
          <w:tcPr>
            <w:tcW w:w="1361" w:type="dxa"/>
          </w:tcPr>
          <w:p w14:paraId="30088D8F" w14:textId="77777777" w:rsidR="00EF5B27" w:rsidRDefault="00000000">
            <w:pPr>
              <w:pStyle w:val="TableParagraph"/>
              <w:spacing w:before="56"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532B6C68" w14:textId="77777777" w:rsidR="00EF5B27" w:rsidRDefault="00EF5B27">
            <w:pPr>
              <w:pStyle w:val="TableParagraph"/>
              <w:spacing w:before="7"/>
              <w:rPr>
                <w:rFonts w:ascii="Times New Roman"/>
                <w:sz w:val="12"/>
              </w:rPr>
            </w:pPr>
          </w:p>
          <w:p w14:paraId="43EABA3B" w14:textId="77777777" w:rsidR="00EF5B27" w:rsidRDefault="00000000">
            <w:pPr>
              <w:pStyle w:val="TableParagraph"/>
              <w:spacing w:before="1"/>
              <w:ind w:left="5"/>
              <w:jc w:val="center"/>
              <w:rPr>
                <w:sz w:val="14"/>
              </w:rPr>
            </w:pPr>
            <w:r>
              <w:rPr>
                <w:color w:val="4D4D4F"/>
                <w:w w:val="96"/>
                <w:sz w:val="14"/>
              </w:rPr>
              <w:t>5</w:t>
            </w:r>
          </w:p>
        </w:tc>
        <w:tc>
          <w:tcPr>
            <w:tcW w:w="1474" w:type="dxa"/>
          </w:tcPr>
          <w:p w14:paraId="1EF74B38" w14:textId="77777777" w:rsidR="00EF5B27" w:rsidRDefault="00000000">
            <w:pPr>
              <w:pStyle w:val="TableParagraph"/>
              <w:spacing w:before="56" w:line="252" w:lineRule="auto"/>
              <w:ind w:left="148" w:hanging="64"/>
              <w:rPr>
                <w:rFonts w:ascii="Arial Narrow"/>
                <w:i/>
                <w:sz w:val="14"/>
              </w:rPr>
            </w:pPr>
            <w:r>
              <w:rPr>
                <w:color w:val="4D4D4F"/>
                <w:w w:val="105"/>
                <w:sz w:val="14"/>
              </w:rPr>
              <w:t xml:space="preserve">Perennial grass cover (excluding </w:t>
            </w:r>
            <w:r>
              <w:rPr>
                <w:rFonts w:ascii="Arial Narrow"/>
                <w:i/>
                <w:color w:val="4D4D4F"/>
                <w:w w:val="105"/>
                <w:sz w:val="14"/>
              </w:rPr>
              <w:t>Themeda</w:t>
            </w:r>
          </w:p>
        </w:tc>
        <w:tc>
          <w:tcPr>
            <w:tcW w:w="2041" w:type="dxa"/>
          </w:tcPr>
          <w:p w14:paraId="100D5865" w14:textId="77777777" w:rsidR="00EF5B27" w:rsidRDefault="00EF5B27">
            <w:pPr>
              <w:pStyle w:val="TableParagraph"/>
              <w:spacing w:before="7"/>
              <w:rPr>
                <w:rFonts w:ascii="Times New Roman"/>
                <w:sz w:val="12"/>
              </w:rPr>
            </w:pPr>
          </w:p>
          <w:p w14:paraId="6B04E53E" w14:textId="77777777" w:rsidR="00EF5B27" w:rsidRDefault="00000000">
            <w:pPr>
              <w:pStyle w:val="TableParagraph"/>
              <w:spacing w:before="1"/>
              <w:ind w:left="155" w:right="15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35DB7176" w14:textId="77777777" w:rsidR="00EF5B27" w:rsidRDefault="00EF5B27">
            <w:pPr>
              <w:pStyle w:val="TableParagraph"/>
              <w:spacing w:before="7"/>
              <w:rPr>
                <w:rFonts w:ascii="Times New Roman"/>
                <w:sz w:val="12"/>
              </w:rPr>
            </w:pPr>
          </w:p>
          <w:p w14:paraId="3E9C921C" w14:textId="77777777" w:rsidR="00EF5B27" w:rsidRDefault="00000000">
            <w:pPr>
              <w:pStyle w:val="TableParagraph"/>
              <w:spacing w:before="1"/>
              <w:ind w:left="941"/>
              <w:rPr>
                <w:sz w:val="14"/>
              </w:rPr>
            </w:pPr>
            <w:r>
              <w:rPr>
                <w:color w:val="4D4D4F"/>
                <w:sz w:val="14"/>
              </w:rPr>
              <w:t>2013</w:t>
            </w:r>
          </w:p>
        </w:tc>
        <w:tc>
          <w:tcPr>
            <w:tcW w:w="1134" w:type="dxa"/>
          </w:tcPr>
          <w:p w14:paraId="179E18A3" w14:textId="77777777" w:rsidR="00EF5B27" w:rsidRDefault="00EF5B27">
            <w:pPr>
              <w:pStyle w:val="TableParagraph"/>
              <w:spacing w:before="7"/>
              <w:rPr>
                <w:rFonts w:ascii="Times New Roman"/>
                <w:sz w:val="12"/>
              </w:rPr>
            </w:pPr>
          </w:p>
          <w:p w14:paraId="2723DE3D" w14:textId="77777777" w:rsidR="00EF5B27" w:rsidRDefault="00000000">
            <w:pPr>
              <w:pStyle w:val="TableParagraph"/>
              <w:spacing w:before="1"/>
              <w:ind w:left="81" w:right="81"/>
              <w:jc w:val="center"/>
              <w:rPr>
                <w:sz w:val="14"/>
              </w:rPr>
            </w:pPr>
            <w:r>
              <w:rPr>
                <w:color w:val="4D4D4F"/>
                <w:sz w:val="14"/>
              </w:rPr>
              <w:t>2013</w:t>
            </w:r>
          </w:p>
        </w:tc>
      </w:tr>
      <w:tr w:rsidR="00EF5B27" w14:paraId="519CC402" w14:textId="77777777">
        <w:trPr>
          <w:trHeight w:val="448"/>
        </w:trPr>
        <w:tc>
          <w:tcPr>
            <w:tcW w:w="737" w:type="dxa"/>
          </w:tcPr>
          <w:p w14:paraId="095DF8C2" w14:textId="77777777" w:rsidR="00EF5B27" w:rsidRDefault="00EF5B27">
            <w:pPr>
              <w:pStyle w:val="TableParagraph"/>
              <w:spacing w:before="8"/>
              <w:rPr>
                <w:rFonts w:ascii="Times New Roman"/>
                <w:sz w:val="12"/>
              </w:rPr>
            </w:pPr>
          </w:p>
          <w:p w14:paraId="751CEE0F" w14:textId="77777777" w:rsidR="00EF5B27" w:rsidRDefault="00000000">
            <w:pPr>
              <w:pStyle w:val="TableParagraph"/>
              <w:ind w:left="5"/>
              <w:jc w:val="center"/>
              <w:rPr>
                <w:sz w:val="14"/>
              </w:rPr>
            </w:pPr>
            <w:r>
              <w:rPr>
                <w:color w:val="4D4D4F"/>
                <w:w w:val="96"/>
                <w:sz w:val="14"/>
              </w:rPr>
              <w:t>1</w:t>
            </w:r>
          </w:p>
        </w:tc>
        <w:tc>
          <w:tcPr>
            <w:tcW w:w="1361" w:type="dxa"/>
          </w:tcPr>
          <w:p w14:paraId="71E5AF81" w14:textId="77777777" w:rsidR="00EF5B27" w:rsidRDefault="00000000">
            <w:pPr>
              <w:pStyle w:val="TableParagraph"/>
              <w:spacing w:before="56"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138AE406" w14:textId="77777777" w:rsidR="00EF5B27" w:rsidRDefault="00EF5B27">
            <w:pPr>
              <w:pStyle w:val="TableParagraph"/>
              <w:spacing w:before="8"/>
              <w:rPr>
                <w:rFonts w:ascii="Times New Roman"/>
                <w:sz w:val="12"/>
              </w:rPr>
            </w:pPr>
          </w:p>
          <w:p w14:paraId="525A6CE8" w14:textId="77777777" w:rsidR="00EF5B27" w:rsidRDefault="00000000">
            <w:pPr>
              <w:pStyle w:val="TableParagraph"/>
              <w:ind w:left="5"/>
              <w:jc w:val="center"/>
              <w:rPr>
                <w:sz w:val="14"/>
              </w:rPr>
            </w:pPr>
            <w:r>
              <w:rPr>
                <w:color w:val="4D4D4F"/>
                <w:w w:val="96"/>
                <w:sz w:val="14"/>
              </w:rPr>
              <w:t>5</w:t>
            </w:r>
          </w:p>
        </w:tc>
        <w:tc>
          <w:tcPr>
            <w:tcW w:w="1474" w:type="dxa"/>
          </w:tcPr>
          <w:p w14:paraId="7210D8FE" w14:textId="77777777" w:rsidR="00EF5B27" w:rsidRDefault="00000000">
            <w:pPr>
              <w:pStyle w:val="TableParagraph"/>
              <w:spacing w:before="56" w:line="252" w:lineRule="auto"/>
              <w:ind w:left="127" w:hanging="42"/>
              <w:rPr>
                <w:sz w:val="14"/>
              </w:rPr>
            </w:pPr>
            <w:r>
              <w:rPr>
                <w:color w:val="4D4D4F"/>
                <w:w w:val="105"/>
                <w:sz w:val="14"/>
              </w:rPr>
              <w:t xml:space="preserve">Perennial grass cover (excluding </w:t>
            </w:r>
            <w:r>
              <w:rPr>
                <w:rFonts w:ascii="Arial Narrow"/>
                <w:i/>
                <w:color w:val="4D4D4F"/>
                <w:w w:val="105"/>
                <w:sz w:val="14"/>
              </w:rPr>
              <w:t>Themeda</w:t>
            </w:r>
            <w:r>
              <w:rPr>
                <w:color w:val="4D4D4F"/>
                <w:w w:val="105"/>
                <w:sz w:val="14"/>
              </w:rPr>
              <w:t>)</w:t>
            </w:r>
          </w:p>
        </w:tc>
        <w:tc>
          <w:tcPr>
            <w:tcW w:w="2041" w:type="dxa"/>
          </w:tcPr>
          <w:p w14:paraId="0B618AE1" w14:textId="77777777" w:rsidR="00EF5B27" w:rsidRDefault="00EF5B27">
            <w:pPr>
              <w:pStyle w:val="TableParagraph"/>
              <w:spacing w:before="8"/>
              <w:rPr>
                <w:rFonts w:ascii="Times New Roman"/>
                <w:sz w:val="12"/>
              </w:rPr>
            </w:pPr>
          </w:p>
          <w:p w14:paraId="38197DEE" w14:textId="77777777" w:rsidR="00EF5B27" w:rsidRDefault="00000000">
            <w:pPr>
              <w:pStyle w:val="TableParagraph"/>
              <w:ind w:left="155" w:right="150"/>
              <w:jc w:val="center"/>
              <w:rPr>
                <w:sz w:val="14"/>
              </w:rPr>
            </w:pPr>
            <w:r>
              <w:rPr>
                <w:color w:val="4D4D4F"/>
                <w:w w:val="105"/>
                <w:sz w:val="14"/>
              </w:rPr>
              <w:t>C3 grassland</w:t>
            </w:r>
          </w:p>
        </w:tc>
        <w:tc>
          <w:tcPr>
            <w:tcW w:w="2154" w:type="dxa"/>
          </w:tcPr>
          <w:p w14:paraId="4500E309" w14:textId="77777777" w:rsidR="00EF5B27" w:rsidRDefault="00EF5B27">
            <w:pPr>
              <w:pStyle w:val="TableParagraph"/>
              <w:spacing w:before="8"/>
              <w:rPr>
                <w:rFonts w:ascii="Times New Roman"/>
                <w:sz w:val="12"/>
              </w:rPr>
            </w:pPr>
          </w:p>
          <w:p w14:paraId="4E12A65D" w14:textId="77777777" w:rsidR="00EF5B27" w:rsidRDefault="00000000">
            <w:pPr>
              <w:pStyle w:val="TableParagraph"/>
              <w:ind w:left="966"/>
              <w:rPr>
                <w:sz w:val="14"/>
              </w:rPr>
            </w:pPr>
            <w:r>
              <w:rPr>
                <w:color w:val="4D4D4F"/>
                <w:w w:val="105"/>
                <w:sz w:val="14"/>
              </w:rPr>
              <w:t>N/A</w:t>
            </w:r>
          </w:p>
        </w:tc>
        <w:tc>
          <w:tcPr>
            <w:tcW w:w="1134" w:type="dxa"/>
          </w:tcPr>
          <w:p w14:paraId="3C850C4F" w14:textId="77777777" w:rsidR="00EF5B27" w:rsidRDefault="00EF5B27">
            <w:pPr>
              <w:pStyle w:val="TableParagraph"/>
              <w:spacing w:before="8"/>
              <w:rPr>
                <w:rFonts w:ascii="Times New Roman"/>
                <w:sz w:val="12"/>
              </w:rPr>
            </w:pPr>
          </w:p>
          <w:p w14:paraId="57361A53" w14:textId="77777777" w:rsidR="00EF5B27" w:rsidRDefault="00000000">
            <w:pPr>
              <w:pStyle w:val="TableParagraph"/>
              <w:ind w:left="81" w:right="76"/>
              <w:jc w:val="center"/>
              <w:rPr>
                <w:sz w:val="14"/>
              </w:rPr>
            </w:pPr>
            <w:r>
              <w:rPr>
                <w:color w:val="4D4D4F"/>
                <w:w w:val="105"/>
                <w:sz w:val="14"/>
              </w:rPr>
              <w:t>Unclear</w:t>
            </w:r>
          </w:p>
        </w:tc>
      </w:tr>
      <w:tr w:rsidR="00EF5B27" w14:paraId="0074BE3E" w14:textId="77777777">
        <w:trPr>
          <w:trHeight w:val="448"/>
        </w:trPr>
        <w:tc>
          <w:tcPr>
            <w:tcW w:w="737" w:type="dxa"/>
          </w:tcPr>
          <w:p w14:paraId="0618631C" w14:textId="77777777" w:rsidR="00EF5B27" w:rsidRDefault="00EF5B27">
            <w:pPr>
              <w:pStyle w:val="TableParagraph"/>
              <w:spacing w:before="8"/>
              <w:rPr>
                <w:rFonts w:ascii="Times New Roman"/>
                <w:sz w:val="12"/>
              </w:rPr>
            </w:pPr>
          </w:p>
          <w:p w14:paraId="709EEF9A" w14:textId="77777777" w:rsidR="00EF5B27" w:rsidRDefault="00000000">
            <w:pPr>
              <w:pStyle w:val="TableParagraph"/>
              <w:ind w:left="6"/>
              <w:jc w:val="center"/>
              <w:rPr>
                <w:sz w:val="14"/>
              </w:rPr>
            </w:pPr>
            <w:r>
              <w:rPr>
                <w:color w:val="4D4D4F"/>
                <w:w w:val="96"/>
                <w:sz w:val="14"/>
              </w:rPr>
              <w:t>1</w:t>
            </w:r>
          </w:p>
        </w:tc>
        <w:tc>
          <w:tcPr>
            <w:tcW w:w="1361" w:type="dxa"/>
          </w:tcPr>
          <w:p w14:paraId="1C5ADD42" w14:textId="77777777" w:rsidR="00EF5B27" w:rsidRDefault="00000000">
            <w:pPr>
              <w:pStyle w:val="TableParagraph"/>
              <w:spacing w:before="56" w:line="252" w:lineRule="auto"/>
              <w:ind w:left="378" w:hanging="255"/>
              <w:rPr>
                <w:sz w:val="14"/>
              </w:rPr>
            </w:pPr>
            <w:r>
              <w:rPr>
                <w:color w:val="4D4D4F"/>
                <w:sz w:val="14"/>
              </w:rPr>
              <w:t xml:space="preserve">Natural Temperate </w:t>
            </w:r>
            <w:r>
              <w:rPr>
                <w:color w:val="4D4D4F"/>
                <w:w w:val="105"/>
                <w:sz w:val="14"/>
              </w:rPr>
              <w:t>Grassland</w:t>
            </w:r>
          </w:p>
        </w:tc>
        <w:tc>
          <w:tcPr>
            <w:tcW w:w="737" w:type="dxa"/>
          </w:tcPr>
          <w:p w14:paraId="64E6FF9F" w14:textId="77777777" w:rsidR="00EF5B27" w:rsidRDefault="00EF5B27">
            <w:pPr>
              <w:pStyle w:val="TableParagraph"/>
              <w:spacing w:before="8"/>
              <w:rPr>
                <w:rFonts w:ascii="Times New Roman"/>
                <w:sz w:val="12"/>
              </w:rPr>
            </w:pPr>
          </w:p>
          <w:p w14:paraId="0CE95E04" w14:textId="77777777" w:rsidR="00EF5B27" w:rsidRDefault="00000000">
            <w:pPr>
              <w:pStyle w:val="TableParagraph"/>
              <w:ind w:left="5"/>
              <w:jc w:val="center"/>
              <w:rPr>
                <w:sz w:val="14"/>
              </w:rPr>
            </w:pPr>
            <w:r>
              <w:rPr>
                <w:color w:val="4D4D4F"/>
                <w:w w:val="96"/>
                <w:sz w:val="14"/>
              </w:rPr>
              <w:t>5</w:t>
            </w:r>
          </w:p>
        </w:tc>
        <w:tc>
          <w:tcPr>
            <w:tcW w:w="1474" w:type="dxa"/>
          </w:tcPr>
          <w:p w14:paraId="6FC87E77" w14:textId="77777777" w:rsidR="00EF5B27" w:rsidRDefault="00000000">
            <w:pPr>
              <w:pStyle w:val="TableParagraph"/>
              <w:spacing w:before="56" w:line="252" w:lineRule="auto"/>
              <w:ind w:left="127" w:hanging="42"/>
              <w:rPr>
                <w:sz w:val="14"/>
              </w:rPr>
            </w:pPr>
            <w:r>
              <w:rPr>
                <w:color w:val="4D4D4F"/>
                <w:w w:val="105"/>
                <w:sz w:val="14"/>
              </w:rPr>
              <w:t xml:space="preserve">Perennial grass cover (excluding </w:t>
            </w:r>
            <w:r>
              <w:rPr>
                <w:rFonts w:ascii="Arial Narrow"/>
                <w:i/>
                <w:color w:val="4D4D4F"/>
                <w:w w:val="105"/>
                <w:sz w:val="14"/>
              </w:rPr>
              <w:t>Themeda</w:t>
            </w:r>
            <w:r>
              <w:rPr>
                <w:color w:val="4D4D4F"/>
                <w:w w:val="105"/>
                <w:sz w:val="14"/>
              </w:rPr>
              <w:t>)</w:t>
            </w:r>
          </w:p>
        </w:tc>
        <w:tc>
          <w:tcPr>
            <w:tcW w:w="2041" w:type="dxa"/>
          </w:tcPr>
          <w:p w14:paraId="79A89237" w14:textId="77777777" w:rsidR="00EF5B27" w:rsidRDefault="00EF5B27">
            <w:pPr>
              <w:pStyle w:val="TableParagraph"/>
              <w:spacing w:before="8"/>
              <w:rPr>
                <w:rFonts w:ascii="Times New Roman"/>
                <w:sz w:val="12"/>
              </w:rPr>
            </w:pPr>
          </w:p>
          <w:p w14:paraId="52FE32E7" w14:textId="77777777" w:rsidR="00EF5B27" w:rsidRDefault="00000000">
            <w:pPr>
              <w:pStyle w:val="TableParagraph"/>
              <w:ind w:left="155" w:right="150"/>
              <w:jc w:val="center"/>
              <w:rPr>
                <w:sz w:val="14"/>
              </w:rPr>
            </w:pPr>
            <w:r>
              <w:rPr>
                <w:color w:val="4D4D4F"/>
                <w:w w:val="105"/>
                <w:sz w:val="14"/>
              </w:rPr>
              <w:t>Nutrient-enriched grassland</w:t>
            </w:r>
          </w:p>
        </w:tc>
        <w:tc>
          <w:tcPr>
            <w:tcW w:w="2154" w:type="dxa"/>
          </w:tcPr>
          <w:p w14:paraId="7CF3A98C" w14:textId="77777777" w:rsidR="00EF5B27" w:rsidRDefault="00EF5B27">
            <w:pPr>
              <w:pStyle w:val="TableParagraph"/>
              <w:spacing w:before="8"/>
              <w:rPr>
                <w:rFonts w:ascii="Times New Roman"/>
                <w:sz w:val="12"/>
              </w:rPr>
            </w:pPr>
          </w:p>
          <w:p w14:paraId="2ABC53B3" w14:textId="77777777" w:rsidR="00EF5B27" w:rsidRDefault="00000000">
            <w:pPr>
              <w:pStyle w:val="TableParagraph"/>
              <w:ind w:left="941"/>
              <w:rPr>
                <w:sz w:val="14"/>
              </w:rPr>
            </w:pPr>
            <w:r>
              <w:rPr>
                <w:color w:val="4D4D4F"/>
                <w:sz w:val="14"/>
              </w:rPr>
              <w:t>2013</w:t>
            </w:r>
          </w:p>
        </w:tc>
        <w:tc>
          <w:tcPr>
            <w:tcW w:w="1134" w:type="dxa"/>
          </w:tcPr>
          <w:p w14:paraId="15E3CCFA" w14:textId="77777777" w:rsidR="00EF5B27" w:rsidRDefault="00EF5B27">
            <w:pPr>
              <w:pStyle w:val="TableParagraph"/>
              <w:spacing w:before="8"/>
              <w:rPr>
                <w:rFonts w:ascii="Times New Roman"/>
                <w:sz w:val="12"/>
              </w:rPr>
            </w:pPr>
          </w:p>
          <w:p w14:paraId="5F3B4937" w14:textId="77777777" w:rsidR="00EF5B27" w:rsidRDefault="00000000">
            <w:pPr>
              <w:pStyle w:val="TableParagraph"/>
              <w:ind w:left="81" w:right="80"/>
              <w:jc w:val="center"/>
              <w:rPr>
                <w:sz w:val="14"/>
              </w:rPr>
            </w:pPr>
            <w:r>
              <w:rPr>
                <w:color w:val="4D4D4F"/>
                <w:sz w:val="14"/>
              </w:rPr>
              <w:t>2013</w:t>
            </w:r>
          </w:p>
        </w:tc>
      </w:tr>
      <w:tr w:rsidR="00EF5B27" w14:paraId="13CD6415" w14:textId="77777777">
        <w:trPr>
          <w:trHeight w:val="448"/>
        </w:trPr>
        <w:tc>
          <w:tcPr>
            <w:tcW w:w="737" w:type="dxa"/>
          </w:tcPr>
          <w:p w14:paraId="19B2FC49" w14:textId="77777777" w:rsidR="00EF5B27" w:rsidRDefault="00EF5B27">
            <w:pPr>
              <w:pStyle w:val="TableParagraph"/>
              <w:spacing w:before="8"/>
              <w:rPr>
                <w:rFonts w:ascii="Times New Roman"/>
                <w:sz w:val="12"/>
              </w:rPr>
            </w:pPr>
          </w:p>
          <w:p w14:paraId="028532FF" w14:textId="77777777" w:rsidR="00EF5B27" w:rsidRDefault="00000000">
            <w:pPr>
              <w:pStyle w:val="TableParagraph"/>
              <w:ind w:left="6"/>
              <w:jc w:val="center"/>
              <w:rPr>
                <w:sz w:val="14"/>
              </w:rPr>
            </w:pPr>
            <w:r>
              <w:rPr>
                <w:color w:val="4D4D4F"/>
                <w:w w:val="96"/>
                <w:sz w:val="14"/>
              </w:rPr>
              <w:t>1</w:t>
            </w:r>
          </w:p>
        </w:tc>
        <w:tc>
          <w:tcPr>
            <w:tcW w:w="1361" w:type="dxa"/>
          </w:tcPr>
          <w:p w14:paraId="4B0221A3" w14:textId="77777777" w:rsidR="00EF5B27" w:rsidRDefault="00000000">
            <w:pPr>
              <w:pStyle w:val="TableParagraph"/>
              <w:spacing w:before="56" w:line="252" w:lineRule="auto"/>
              <w:ind w:left="378" w:hanging="255"/>
              <w:rPr>
                <w:sz w:val="14"/>
              </w:rPr>
            </w:pPr>
            <w:r>
              <w:rPr>
                <w:color w:val="4D4D4F"/>
                <w:sz w:val="14"/>
              </w:rPr>
              <w:t xml:space="preserve">Natural Temperate </w:t>
            </w:r>
            <w:r>
              <w:rPr>
                <w:color w:val="4D4D4F"/>
                <w:w w:val="105"/>
                <w:sz w:val="14"/>
              </w:rPr>
              <w:t>Grassland</w:t>
            </w:r>
          </w:p>
        </w:tc>
        <w:tc>
          <w:tcPr>
            <w:tcW w:w="737" w:type="dxa"/>
          </w:tcPr>
          <w:p w14:paraId="2BD146DE" w14:textId="77777777" w:rsidR="00EF5B27" w:rsidRDefault="00EF5B27">
            <w:pPr>
              <w:pStyle w:val="TableParagraph"/>
              <w:spacing w:before="8"/>
              <w:rPr>
                <w:rFonts w:ascii="Times New Roman"/>
                <w:sz w:val="12"/>
              </w:rPr>
            </w:pPr>
          </w:p>
          <w:p w14:paraId="169880E0" w14:textId="77777777" w:rsidR="00EF5B27" w:rsidRDefault="00000000">
            <w:pPr>
              <w:pStyle w:val="TableParagraph"/>
              <w:ind w:left="5"/>
              <w:jc w:val="center"/>
              <w:rPr>
                <w:sz w:val="14"/>
              </w:rPr>
            </w:pPr>
            <w:r>
              <w:rPr>
                <w:color w:val="4D4D4F"/>
                <w:w w:val="96"/>
                <w:sz w:val="14"/>
              </w:rPr>
              <w:t>5</w:t>
            </w:r>
          </w:p>
        </w:tc>
        <w:tc>
          <w:tcPr>
            <w:tcW w:w="1474" w:type="dxa"/>
          </w:tcPr>
          <w:p w14:paraId="7394DD20" w14:textId="77777777" w:rsidR="00EF5B27" w:rsidRDefault="00000000">
            <w:pPr>
              <w:pStyle w:val="TableParagraph"/>
              <w:spacing w:before="56" w:line="252" w:lineRule="auto"/>
              <w:ind w:left="127" w:hanging="42"/>
              <w:rPr>
                <w:sz w:val="14"/>
              </w:rPr>
            </w:pPr>
            <w:r>
              <w:rPr>
                <w:color w:val="4D4D4F"/>
                <w:w w:val="105"/>
                <w:sz w:val="14"/>
              </w:rPr>
              <w:t xml:space="preserve">Perennial grass cover (excluding </w:t>
            </w:r>
            <w:r>
              <w:rPr>
                <w:rFonts w:ascii="Arial Narrow"/>
                <w:i/>
                <w:color w:val="4D4D4F"/>
                <w:w w:val="105"/>
                <w:sz w:val="14"/>
              </w:rPr>
              <w:t>Themeda</w:t>
            </w:r>
            <w:r>
              <w:rPr>
                <w:color w:val="4D4D4F"/>
                <w:w w:val="105"/>
                <w:sz w:val="14"/>
              </w:rPr>
              <w:t>)</w:t>
            </w:r>
          </w:p>
        </w:tc>
        <w:tc>
          <w:tcPr>
            <w:tcW w:w="2041" w:type="dxa"/>
          </w:tcPr>
          <w:p w14:paraId="30F406F8" w14:textId="77777777" w:rsidR="00EF5B27" w:rsidRDefault="00EF5B27">
            <w:pPr>
              <w:pStyle w:val="TableParagraph"/>
              <w:spacing w:before="8"/>
              <w:rPr>
                <w:rFonts w:ascii="Times New Roman"/>
                <w:sz w:val="12"/>
              </w:rPr>
            </w:pPr>
          </w:p>
          <w:p w14:paraId="1CBC12C4" w14:textId="77777777" w:rsidR="00EF5B27" w:rsidRDefault="00000000">
            <w:pPr>
              <w:pStyle w:val="TableParagraph"/>
              <w:ind w:left="156" w:right="150"/>
              <w:jc w:val="center"/>
              <w:rPr>
                <w:sz w:val="14"/>
              </w:rPr>
            </w:pPr>
            <w:r>
              <w:rPr>
                <w:color w:val="4D4D4F"/>
                <w:w w:val="105"/>
                <w:sz w:val="14"/>
              </w:rPr>
              <w:t>De-rocked grassland</w:t>
            </w:r>
          </w:p>
        </w:tc>
        <w:tc>
          <w:tcPr>
            <w:tcW w:w="2154" w:type="dxa"/>
          </w:tcPr>
          <w:p w14:paraId="7628A54B" w14:textId="77777777" w:rsidR="00EF5B27" w:rsidRDefault="00EF5B27">
            <w:pPr>
              <w:pStyle w:val="TableParagraph"/>
              <w:spacing w:before="8"/>
              <w:rPr>
                <w:rFonts w:ascii="Times New Roman"/>
                <w:sz w:val="12"/>
              </w:rPr>
            </w:pPr>
          </w:p>
          <w:p w14:paraId="105A2203" w14:textId="77777777" w:rsidR="00EF5B27" w:rsidRDefault="00000000">
            <w:pPr>
              <w:pStyle w:val="TableParagraph"/>
              <w:ind w:left="966"/>
              <w:rPr>
                <w:sz w:val="14"/>
              </w:rPr>
            </w:pPr>
            <w:r>
              <w:rPr>
                <w:color w:val="4D4D4F"/>
                <w:w w:val="105"/>
                <w:sz w:val="14"/>
              </w:rPr>
              <w:t>N/A</w:t>
            </w:r>
          </w:p>
        </w:tc>
        <w:tc>
          <w:tcPr>
            <w:tcW w:w="1134" w:type="dxa"/>
          </w:tcPr>
          <w:p w14:paraId="6CD798FD" w14:textId="77777777" w:rsidR="00EF5B27" w:rsidRDefault="00EF5B27">
            <w:pPr>
              <w:pStyle w:val="TableParagraph"/>
              <w:spacing w:before="8"/>
              <w:rPr>
                <w:rFonts w:ascii="Times New Roman"/>
                <w:sz w:val="12"/>
              </w:rPr>
            </w:pPr>
          </w:p>
          <w:p w14:paraId="26152230" w14:textId="77777777" w:rsidR="00EF5B27" w:rsidRDefault="00000000">
            <w:pPr>
              <w:pStyle w:val="TableParagraph"/>
              <w:ind w:left="81" w:right="75"/>
              <w:jc w:val="center"/>
              <w:rPr>
                <w:sz w:val="14"/>
              </w:rPr>
            </w:pPr>
            <w:r>
              <w:rPr>
                <w:color w:val="4D4D4F"/>
                <w:w w:val="105"/>
                <w:sz w:val="14"/>
              </w:rPr>
              <w:t>Unclear</w:t>
            </w:r>
          </w:p>
        </w:tc>
      </w:tr>
      <w:tr w:rsidR="00EF5B27" w14:paraId="1A1A24F8" w14:textId="77777777">
        <w:trPr>
          <w:trHeight w:val="448"/>
        </w:trPr>
        <w:tc>
          <w:tcPr>
            <w:tcW w:w="737" w:type="dxa"/>
          </w:tcPr>
          <w:p w14:paraId="49852889" w14:textId="77777777" w:rsidR="00EF5B27" w:rsidRDefault="00EF5B27">
            <w:pPr>
              <w:pStyle w:val="TableParagraph"/>
              <w:spacing w:before="8"/>
              <w:rPr>
                <w:rFonts w:ascii="Times New Roman"/>
                <w:sz w:val="12"/>
              </w:rPr>
            </w:pPr>
          </w:p>
          <w:p w14:paraId="1470DE5F" w14:textId="77777777" w:rsidR="00EF5B27" w:rsidRDefault="00000000">
            <w:pPr>
              <w:pStyle w:val="TableParagraph"/>
              <w:ind w:left="7"/>
              <w:jc w:val="center"/>
              <w:rPr>
                <w:sz w:val="14"/>
              </w:rPr>
            </w:pPr>
            <w:r>
              <w:rPr>
                <w:color w:val="4D4D4F"/>
                <w:w w:val="96"/>
                <w:sz w:val="14"/>
              </w:rPr>
              <w:t>1</w:t>
            </w:r>
          </w:p>
        </w:tc>
        <w:tc>
          <w:tcPr>
            <w:tcW w:w="1361" w:type="dxa"/>
          </w:tcPr>
          <w:p w14:paraId="490FAABE" w14:textId="77777777" w:rsidR="00EF5B27" w:rsidRDefault="00000000">
            <w:pPr>
              <w:pStyle w:val="TableParagraph"/>
              <w:spacing w:before="56" w:line="252" w:lineRule="auto"/>
              <w:ind w:left="378" w:hanging="255"/>
              <w:rPr>
                <w:sz w:val="14"/>
              </w:rPr>
            </w:pPr>
            <w:r>
              <w:rPr>
                <w:color w:val="4D4D4F"/>
                <w:sz w:val="14"/>
              </w:rPr>
              <w:t xml:space="preserve">Natural Temperate </w:t>
            </w:r>
            <w:r>
              <w:rPr>
                <w:color w:val="4D4D4F"/>
                <w:w w:val="105"/>
                <w:sz w:val="14"/>
              </w:rPr>
              <w:t>Grassland</w:t>
            </w:r>
          </w:p>
        </w:tc>
        <w:tc>
          <w:tcPr>
            <w:tcW w:w="737" w:type="dxa"/>
          </w:tcPr>
          <w:p w14:paraId="791618C1" w14:textId="77777777" w:rsidR="00EF5B27" w:rsidRDefault="00EF5B27">
            <w:pPr>
              <w:pStyle w:val="TableParagraph"/>
              <w:spacing w:before="8"/>
              <w:rPr>
                <w:rFonts w:ascii="Times New Roman"/>
                <w:sz w:val="12"/>
              </w:rPr>
            </w:pPr>
          </w:p>
          <w:p w14:paraId="5FC0AD3B" w14:textId="77777777" w:rsidR="00EF5B27" w:rsidRDefault="00000000">
            <w:pPr>
              <w:pStyle w:val="TableParagraph"/>
              <w:ind w:left="6"/>
              <w:jc w:val="center"/>
              <w:rPr>
                <w:sz w:val="14"/>
              </w:rPr>
            </w:pPr>
            <w:r>
              <w:rPr>
                <w:color w:val="4D4D4F"/>
                <w:w w:val="96"/>
                <w:sz w:val="14"/>
              </w:rPr>
              <w:t>6</w:t>
            </w:r>
          </w:p>
        </w:tc>
        <w:tc>
          <w:tcPr>
            <w:tcW w:w="1474" w:type="dxa"/>
          </w:tcPr>
          <w:p w14:paraId="7DC299DB" w14:textId="77777777" w:rsidR="00EF5B27" w:rsidRDefault="00000000">
            <w:pPr>
              <w:pStyle w:val="TableParagraph"/>
              <w:spacing w:before="56" w:line="252" w:lineRule="auto"/>
              <w:ind w:left="326" w:firstLine="104"/>
              <w:rPr>
                <w:sz w:val="14"/>
              </w:rPr>
            </w:pPr>
            <w:r>
              <w:rPr>
                <w:color w:val="4D4D4F"/>
                <w:sz w:val="14"/>
              </w:rPr>
              <w:t>Structural heterogeneity</w:t>
            </w:r>
          </w:p>
        </w:tc>
        <w:tc>
          <w:tcPr>
            <w:tcW w:w="2041" w:type="dxa"/>
          </w:tcPr>
          <w:p w14:paraId="2D955634" w14:textId="77777777" w:rsidR="00EF5B27" w:rsidRDefault="00EF5B27">
            <w:pPr>
              <w:pStyle w:val="TableParagraph"/>
              <w:spacing w:before="8"/>
              <w:rPr>
                <w:rFonts w:ascii="Times New Roman"/>
                <w:sz w:val="12"/>
              </w:rPr>
            </w:pPr>
          </w:p>
          <w:p w14:paraId="5518D53E" w14:textId="77777777" w:rsidR="00EF5B27" w:rsidRDefault="00000000">
            <w:pPr>
              <w:pStyle w:val="TableParagraph"/>
              <w:ind w:left="156" w:right="150"/>
              <w:jc w:val="center"/>
              <w:rPr>
                <w:sz w:val="14"/>
              </w:rPr>
            </w:pPr>
            <w:r>
              <w:rPr>
                <w:color w:val="4D4D4F"/>
                <w:w w:val="105"/>
                <w:sz w:val="14"/>
              </w:rPr>
              <w:t>Herb-rich grassland</w:t>
            </w:r>
          </w:p>
        </w:tc>
        <w:tc>
          <w:tcPr>
            <w:tcW w:w="2154" w:type="dxa"/>
          </w:tcPr>
          <w:p w14:paraId="34B988E3" w14:textId="77777777" w:rsidR="00EF5B27" w:rsidRDefault="00EF5B27">
            <w:pPr>
              <w:pStyle w:val="TableParagraph"/>
              <w:spacing w:before="8"/>
              <w:rPr>
                <w:rFonts w:ascii="Times New Roman"/>
                <w:sz w:val="12"/>
              </w:rPr>
            </w:pPr>
          </w:p>
          <w:p w14:paraId="4CC52C61" w14:textId="77777777" w:rsidR="00EF5B27" w:rsidRDefault="00000000">
            <w:pPr>
              <w:pStyle w:val="TableParagraph"/>
              <w:ind w:left="942"/>
              <w:rPr>
                <w:sz w:val="14"/>
              </w:rPr>
            </w:pPr>
            <w:r>
              <w:rPr>
                <w:color w:val="4D4D4F"/>
                <w:sz w:val="14"/>
              </w:rPr>
              <w:t>2013</w:t>
            </w:r>
          </w:p>
        </w:tc>
        <w:tc>
          <w:tcPr>
            <w:tcW w:w="1134" w:type="dxa"/>
          </w:tcPr>
          <w:p w14:paraId="43445CC1" w14:textId="77777777" w:rsidR="00EF5B27" w:rsidRDefault="00EF5B27">
            <w:pPr>
              <w:pStyle w:val="TableParagraph"/>
              <w:spacing w:before="8"/>
              <w:rPr>
                <w:rFonts w:ascii="Times New Roman"/>
                <w:sz w:val="12"/>
              </w:rPr>
            </w:pPr>
          </w:p>
          <w:p w14:paraId="30A737F3" w14:textId="77777777" w:rsidR="00EF5B27" w:rsidRDefault="00000000">
            <w:pPr>
              <w:pStyle w:val="TableParagraph"/>
              <w:ind w:left="81" w:right="81"/>
              <w:jc w:val="center"/>
              <w:rPr>
                <w:sz w:val="14"/>
              </w:rPr>
            </w:pPr>
            <w:r>
              <w:rPr>
                <w:color w:val="4D4D4F"/>
                <w:w w:val="105"/>
                <w:sz w:val="14"/>
              </w:rPr>
              <w:t>N/A</w:t>
            </w:r>
          </w:p>
        </w:tc>
      </w:tr>
      <w:tr w:rsidR="00EF5B27" w14:paraId="1B276185" w14:textId="77777777">
        <w:trPr>
          <w:trHeight w:val="448"/>
        </w:trPr>
        <w:tc>
          <w:tcPr>
            <w:tcW w:w="737" w:type="dxa"/>
          </w:tcPr>
          <w:p w14:paraId="780900B4" w14:textId="77777777" w:rsidR="00EF5B27" w:rsidRDefault="00EF5B27">
            <w:pPr>
              <w:pStyle w:val="TableParagraph"/>
              <w:spacing w:before="8"/>
              <w:rPr>
                <w:rFonts w:ascii="Times New Roman"/>
                <w:sz w:val="12"/>
              </w:rPr>
            </w:pPr>
          </w:p>
          <w:p w14:paraId="0C6CE597" w14:textId="77777777" w:rsidR="00EF5B27" w:rsidRDefault="00000000">
            <w:pPr>
              <w:pStyle w:val="TableParagraph"/>
              <w:ind w:left="7"/>
              <w:jc w:val="center"/>
              <w:rPr>
                <w:sz w:val="14"/>
              </w:rPr>
            </w:pPr>
            <w:r>
              <w:rPr>
                <w:color w:val="4D4D4F"/>
                <w:w w:val="96"/>
                <w:sz w:val="14"/>
              </w:rPr>
              <w:t>1</w:t>
            </w:r>
          </w:p>
        </w:tc>
        <w:tc>
          <w:tcPr>
            <w:tcW w:w="1361" w:type="dxa"/>
          </w:tcPr>
          <w:p w14:paraId="48B0906C" w14:textId="77777777" w:rsidR="00EF5B27" w:rsidRDefault="00000000">
            <w:pPr>
              <w:pStyle w:val="TableParagraph"/>
              <w:spacing w:before="56" w:line="252" w:lineRule="auto"/>
              <w:ind w:left="378" w:hanging="255"/>
              <w:rPr>
                <w:sz w:val="14"/>
              </w:rPr>
            </w:pPr>
            <w:r>
              <w:rPr>
                <w:color w:val="4D4D4F"/>
                <w:sz w:val="14"/>
              </w:rPr>
              <w:t xml:space="preserve">Natural Temperate </w:t>
            </w:r>
            <w:r>
              <w:rPr>
                <w:color w:val="4D4D4F"/>
                <w:w w:val="105"/>
                <w:sz w:val="14"/>
              </w:rPr>
              <w:t>Grassland</w:t>
            </w:r>
          </w:p>
        </w:tc>
        <w:tc>
          <w:tcPr>
            <w:tcW w:w="737" w:type="dxa"/>
          </w:tcPr>
          <w:p w14:paraId="38A14C69" w14:textId="77777777" w:rsidR="00EF5B27" w:rsidRDefault="00EF5B27">
            <w:pPr>
              <w:pStyle w:val="TableParagraph"/>
              <w:spacing w:before="8"/>
              <w:rPr>
                <w:rFonts w:ascii="Times New Roman"/>
                <w:sz w:val="12"/>
              </w:rPr>
            </w:pPr>
          </w:p>
          <w:p w14:paraId="1EFD356F" w14:textId="77777777" w:rsidR="00EF5B27" w:rsidRDefault="00000000">
            <w:pPr>
              <w:pStyle w:val="TableParagraph"/>
              <w:ind w:left="6"/>
              <w:jc w:val="center"/>
              <w:rPr>
                <w:sz w:val="14"/>
              </w:rPr>
            </w:pPr>
            <w:r>
              <w:rPr>
                <w:color w:val="4D4D4F"/>
                <w:w w:val="96"/>
                <w:sz w:val="14"/>
              </w:rPr>
              <w:t>6</w:t>
            </w:r>
          </w:p>
        </w:tc>
        <w:tc>
          <w:tcPr>
            <w:tcW w:w="1474" w:type="dxa"/>
          </w:tcPr>
          <w:p w14:paraId="72F79C44" w14:textId="77777777" w:rsidR="00EF5B27" w:rsidRDefault="00000000">
            <w:pPr>
              <w:pStyle w:val="TableParagraph"/>
              <w:spacing w:before="56" w:line="252" w:lineRule="auto"/>
              <w:ind w:left="326" w:firstLine="104"/>
              <w:rPr>
                <w:sz w:val="14"/>
              </w:rPr>
            </w:pPr>
            <w:r>
              <w:rPr>
                <w:color w:val="4D4D4F"/>
                <w:sz w:val="14"/>
              </w:rPr>
              <w:t>Structural heterogeneity</w:t>
            </w:r>
          </w:p>
        </w:tc>
        <w:tc>
          <w:tcPr>
            <w:tcW w:w="2041" w:type="dxa"/>
          </w:tcPr>
          <w:p w14:paraId="2032DEB5" w14:textId="77777777" w:rsidR="00EF5B27" w:rsidRDefault="00EF5B27">
            <w:pPr>
              <w:pStyle w:val="TableParagraph"/>
              <w:spacing w:before="8"/>
              <w:rPr>
                <w:rFonts w:ascii="Times New Roman"/>
                <w:sz w:val="12"/>
              </w:rPr>
            </w:pPr>
          </w:p>
          <w:p w14:paraId="5A967EEC" w14:textId="77777777" w:rsidR="00EF5B27" w:rsidRDefault="00000000">
            <w:pPr>
              <w:pStyle w:val="TableParagraph"/>
              <w:ind w:left="156" w:right="15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5A901446" w14:textId="77777777" w:rsidR="00EF5B27" w:rsidRDefault="00EF5B27">
            <w:pPr>
              <w:pStyle w:val="TableParagraph"/>
              <w:spacing w:before="8"/>
              <w:rPr>
                <w:rFonts w:ascii="Times New Roman"/>
                <w:sz w:val="12"/>
              </w:rPr>
            </w:pPr>
          </w:p>
          <w:p w14:paraId="6466BAE3" w14:textId="77777777" w:rsidR="00EF5B27" w:rsidRDefault="00000000">
            <w:pPr>
              <w:pStyle w:val="TableParagraph"/>
              <w:ind w:left="942"/>
              <w:rPr>
                <w:sz w:val="14"/>
              </w:rPr>
            </w:pPr>
            <w:r>
              <w:rPr>
                <w:color w:val="4D4D4F"/>
                <w:sz w:val="14"/>
              </w:rPr>
              <w:t>2013</w:t>
            </w:r>
          </w:p>
        </w:tc>
        <w:tc>
          <w:tcPr>
            <w:tcW w:w="1134" w:type="dxa"/>
          </w:tcPr>
          <w:p w14:paraId="541C8129" w14:textId="77777777" w:rsidR="00EF5B27" w:rsidRDefault="00EF5B27">
            <w:pPr>
              <w:pStyle w:val="TableParagraph"/>
              <w:spacing w:before="8"/>
              <w:rPr>
                <w:rFonts w:ascii="Times New Roman"/>
                <w:sz w:val="12"/>
              </w:rPr>
            </w:pPr>
          </w:p>
          <w:p w14:paraId="6493F4E8" w14:textId="77777777" w:rsidR="00EF5B27" w:rsidRDefault="00000000">
            <w:pPr>
              <w:pStyle w:val="TableParagraph"/>
              <w:ind w:left="81" w:right="82"/>
              <w:jc w:val="center"/>
              <w:rPr>
                <w:sz w:val="14"/>
              </w:rPr>
            </w:pPr>
            <w:r>
              <w:rPr>
                <w:color w:val="4D4D4F"/>
                <w:w w:val="105"/>
                <w:sz w:val="14"/>
              </w:rPr>
              <w:t>N/A</w:t>
            </w:r>
          </w:p>
        </w:tc>
      </w:tr>
      <w:tr w:rsidR="00EF5B27" w14:paraId="259C023F" w14:textId="77777777">
        <w:trPr>
          <w:trHeight w:val="448"/>
        </w:trPr>
        <w:tc>
          <w:tcPr>
            <w:tcW w:w="737" w:type="dxa"/>
          </w:tcPr>
          <w:p w14:paraId="50D4DABF" w14:textId="77777777" w:rsidR="00EF5B27" w:rsidRDefault="00EF5B27">
            <w:pPr>
              <w:pStyle w:val="TableParagraph"/>
              <w:spacing w:before="8"/>
              <w:rPr>
                <w:rFonts w:ascii="Times New Roman"/>
                <w:sz w:val="12"/>
              </w:rPr>
            </w:pPr>
          </w:p>
          <w:p w14:paraId="10D8AA68" w14:textId="77777777" w:rsidR="00EF5B27" w:rsidRDefault="00000000">
            <w:pPr>
              <w:pStyle w:val="TableParagraph"/>
              <w:ind w:left="6"/>
              <w:jc w:val="center"/>
              <w:rPr>
                <w:sz w:val="14"/>
              </w:rPr>
            </w:pPr>
            <w:r>
              <w:rPr>
                <w:color w:val="4D4D4F"/>
                <w:w w:val="96"/>
                <w:sz w:val="14"/>
              </w:rPr>
              <w:t>1</w:t>
            </w:r>
          </w:p>
        </w:tc>
        <w:tc>
          <w:tcPr>
            <w:tcW w:w="1361" w:type="dxa"/>
          </w:tcPr>
          <w:p w14:paraId="630E032A" w14:textId="77777777" w:rsidR="00EF5B27" w:rsidRDefault="00000000">
            <w:pPr>
              <w:pStyle w:val="TableParagraph"/>
              <w:spacing w:before="56" w:line="252" w:lineRule="auto"/>
              <w:ind w:left="378" w:hanging="255"/>
              <w:rPr>
                <w:sz w:val="14"/>
              </w:rPr>
            </w:pPr>
            <w:r>
              <w:rPr>
                <w:color w:val="4D4D4F"/>
                <w:sz w:val="14"/>
              </w:rPr>
              <w:t xml:space="preserve">Natural Temperate </w:t>
            </w:r>
            <w:r>
              <w:rPr>
                <w:color w:val="4D4D4F"/>
                <w:w w:val="105"/>
                <w:sz w:val="14"/>
              </w:rPr>
              <w:t>Grassland</w:t>
            </w:r>
          </w:p>
        </w:tc>
        <w:tc>
          <w:tcPr>
            <w:tcW w:w="737" w:type="dxa"/>
          </w:tcPr>
          <w:p w14:paraId="2B9C429E" w14:textId="77777777" w:rsidR="00EF5B27" w:rsidRDefault="00EF5B27">
            <w:pPr>
              <w:pStyle w:val="TableParagraph"/>
              <w:spacing w:before="8"/>
              <w:rPr>
                <w:rFonts w:ascii="Times New Roman"/>
                <w:sz w:val="12"/>
              </w:rPr>
            </w:pPr>
          </w:p>
          <w:p w14:paraId="24B47181" w14:textId="77777777" w:rsidR="00EF5B27" w:rsidRDefault="00000000">
            <w:pPr>
              <w:pStyle w:val="TableParagraph"/>
              <w:ind w:left="6"/>
              <w:jc w:val="center"/>
              <w:rPr>
                <w:sz w:val="14"/>
              </w:rPr>
            </w:pPr>
            <w:r>
              <w:rPr>
                <w:color w:val="4D4D4F"/>
                <w:w w:val="96"/>
                <w:sz w:val="14"/>
              </w:rPr>
              <w:t>6</w:t>
            </w:r>
          </w:p>
        </w:tc>
        <w:tc>
          <w:tcPr>
            <w:tcW w:w="1474" w:type="dxa"/>
          </w:tcPr>
          <w:p w14:paraId="39732DFE" w14:textId="77777777" w:rsidR="00EF5B27" w:rsidRDefault="00000000">
            <w:pPr>
              <w:pStyle w:val="TableParagraph"/>
              <w:spacing w:before="56" w:line="252" w:lineRule="auto"/>
              <w:ind w:left="326" w:firstLine="104"/>
              <w:rPr>
                <w:sz w:val="14"/>
              </w:rPr>
            </w:pPr>
            <w:r>
              <w:rPr>
                <w:color w:val="4D4D4F"/>
                <w:sz w:val="14"/>
              </w:rPr>
              <w:t>Structural heterogeneity</w:t>
            </w:r>
          </w:p>
        </w:tc>
        <w:tc>
          <w:tcPr>
            <w:tcW w:w="2041" w:type="dxa"/>
          </w:tcPr>
          <w:p w14:paraId="12B831BB" w14:textId="77777777" w:rsidR="00EF5B27" w:rsidRDefault="00EF5B27">
            <w:pPr>
              <w:pStyle w:val="TableParagraph"/>
              <w:spacing w:before="8"/>
              <w:rPr>
                <w:rFonts w:ascii="Times New Roman"/>
                <w:sz w:val="12"/>
              </w:rPr>
            </w:pPr>
          </w:p>
          <w:p w14:paraId="3F589F36" w14:textId="77777777" w:rsidR="00EF5B27" w:rsidRDefault="00000000">
            <w:pPr>
              <w:pStyle w:val="TableParagraph"/>
              <w:ind w:left="156" w:right="150"/>
              <w:jc w:val="center"/>
              <w:rPr>
                <w:sz w:val="14"/>
              </w:rPr>
            </w:pPr>
            <w:r>
              <w:rPr>
                <w:color w:val="4D4D4F"/>
                <w:w w:val="105"/>
                <w:sz w:val="14"/>
              </w:rPr>
              <w:t>C3 grassland</w:t>
            </w:r>
          </w:p>
        </w:tc>
        <w:tc>
          <w:tcPr>
            <w:tcW w:w="2154" w:type="dxa"/>
          </w:tcPr>
          <w:p w14:paraId="45E0B102" w14:textId="77777777" w:rsidR="00EF5B27" w:rsidRDefault="00EF5B27">
            <w:pPr>
              <w:pStyle w:val="TableParagraph"/>
              <w:spacing w:before="8"/>
              <w:rPr>
                <w:rFonts w:ascii="Times New Roman"/>
                <w:sz w:val="12"/>
              </w:rPr>
            </w:pPr>
          </w:p>
          <w:p w14:paraId="57F38420" w14:textId="77777777" w:rsidR="00EF5B27" w:rsidRDefault="00000000">
            <w:pPr>
              <w:pStyle w:val="TableParagraph"/>
              <w:ind w:left="942"/>
              <w:rPr>
                <w:sz w:val="14"/>
              </w:rPr>
            </w:pPr>
            <w:r>
              <w:rPr>
                <w:color w:val="4D4D4F"/>
                <w:sz w:val="14"/>
              </w:rPr>
              <w:t>2013</w:t>
            </w:r>
          </w:p>
        </w:tc>
        <w:tc>
          <w:tcPr>
            <w:tcW w:w="1134" w:type="dxa"/>
          </w:tcPr>
          <w:p w14:paraId="342096C5" w14:textId="77777777" w:rsidR="00EF5B27" w:rsidRDefault="00EF5B27">
            <w:pPr>
              <w:pStyle w:val="TableParagraph"/>
              <w:spacing w:before="8"/>
              <w:rPr>
                <w:rFonts w:ascii="Times New Roman"/>
                <w:sz w:val="12"/>
              </w:rPr>
            </w:pPr>
          </w:p>
          <w:p w14:paraId="6144C08E" w14:textId="77777777" w:rsidR="00EF5B27" w:rsidRDefault="00000000">
            <w:pPr>
              <w:pStyle w:val="TableParagraph"/>
              <w:ind w:left="81" w:right="82"/>
              <w:jc w:val="center"/>
              <w:rPr>
                <w:sz w:val="14"/>
              </w:rPr>
            </w:pPr>
            <w:r>
              <w:rPr>
                <w:color w:val="4D4D4F"/>
                <w:w w:val="105"/>
                <w:sz w:val="14"/>
              </w:rPr>
              <w:t>N/A</w:t>
            </w:r>
          </w:p>
        </w:tc>
      </w:tr>
      <w:tr w:rsidR="00EF5B27" w14:paraId="469BF10A" w14:textId="77777777">
        <w:trPr>
          <w:trHeight w:val="448"/>
        </w:trPr>
        <w:tc>
          <w:tcPr>
            <w:tcW w:w="737" w:type="dxa"/>
          </w:tcPr>
          <w:p w14:paraId="6D0EEB9F" w14:textId="77777777" w:rsidR="00EF5B27" w:rsidRDefault="00EF5B27">
            <w:pPr>
              <w:pStyle w:val="TableParagraph"/>
              <w:spacing w:before="8"/>
              <w:rPr>
                <w:rFonts w:ascii="Times New Roman"/>
                <w:sz w:val="12"/>
              </w:rPr>
            </w:pPr>
          </w:p>
          <w:p w14:paraId="70723090" w14:textId="77777777" w:rsidR="00EF5B27" w:rsidRDefault="00000000">
            <w:pPr>
              <w:pStyle w:val="TableParagraph"/>
              <w:ind w:left="6"/>
              <w:jc w:val="center"/>
              <w:rPr>
                <w:sz w:val="14"/>
              </w:rPr>
            </w:pPr>
            <w:r>
              <w:rPr>
                <w:color w:val="4D4D4F"/>
                <w:w w:val="96"/>
                <w:sz w:val="14"/>
              </w:rPr>
              <w:t>1</w:t>
            </w:r>
          </w:p>
        </w:tc>
        <w:tc>
          <w:tcPr>
            <w:tcW w:w="1361" w:type="dxa"/>
          </w:tcPr>
          <w:p w14:paraId="67BE039D" w14:textId="77777777" w:rsidR="00EF5B27" w:rsidRDefault="00000000">
            <w:pPr>
              <w:pStyle w:val="TableParagraph"/>
              <w:spacing w:before="56" w:line="252" w:lineRule="auto"/>
              <w:ind w:left="378" w:hanging="255"/>
              <w:rPr>
                <w:sz w:val="14"/>
              </w:rPr>
            </w:pPr>
            <w:r>
              <w:rPr>
                <w:color w:val="4D4D4F"/>
                <w:sz w:val="14"/>
              </w:rPr>
              <w:t xml:space="preserve">Natural Temperate </w:t>
            </w:r>
            <w:r>
              <w:rPr>
                <w:color w:val="4D4D4F"/>
                <w:w w:val="105"/>
                <w:sz w:val="14"/>
              </w:rPr>
              <w:t>Grassland</w:t>
            </w:r>
          </w:p>
        </w:tc>
        <w:tc>
          <w:tcPr>
            <w:tcW w:w="737" w:type="dxa"/>
          </w:tcPr>
          <w:p w14:paraId="7F9D8F40" w14:textId="77777777" w:rsidR="00EF5B27" w:rsidRDefault="00EF5B27">
            <w:pPr>
              <w:pStyle w:val="TableParagraph"/>
              <w:spacing w:before="8"/>
              <w:rPr>
                <w:rFonts w:ascii="Times New Roman"/>
                <w:sz w:val="12"/>
              </w:rPr>
            </w:pPr>
          </w:p>
          <w:p w14:paraId="5A8D75B2" w14:textId="77777777" w:rsidR="00EF5B27" w:rsidRDefault="00000000">
            <w:pPr>
              <w:pStyle w:val="TableParagraph"/>
              <w:ind w:left="6"/>
              <w:jc w:val="center"/>
              <w:rPr>
                <w:sz w:val="14"/>
              </w:rPr>
            </w:pPr>
            <w:r>
              <w:rPr>
                <w:color w:val="4D4D4F"/>
                <w:w w:val="96"/>
                <w:sz w:val="14"/>
              </w:rPr>
              <w:t>6</w:t>
            </w:r>
          </w:p>
        </w:tc>
        <w:tc>
          <w:tcPr>
            <w:tcW w:w="1474" w:type="dxa"/>
          </w:tcPr>
          <w:p w14:paraId="7FE919C8" w14:textId="77777777" w:rsidR="00EF5B27" w:rsidRDefault="00000000">
            <w:pPr>
              <w:pStyle w:val="TableParagraph"/>
              <w:spacing w:before="56" w:line="252" w:lineRule="auto"/>
              <w:ind w:left="326" w:firstLine="104"/>
              <w:rPr>
                <w:sz w:val="14"/>
              </w:rPr>
            </w:pPr>
            <w:r>
              <w:rPr>
                <w:color w:val="4D4D4F"/>
                <w:sz w:val="14"/>
              </w:rPr>
              <w:t>Structural heterogeneity</w:t>
            </w:r>
          </w:p>
        </w:tc>
        <w:tc>
          <w:tcPr>
            <w:tcW w:w="2041" w:type="dxa"/>
          </w:tcPr>
          <w:p w14:paraId="2C8F11FB" w14:textId="77777777" w:rsidR="00EF5B27" w:rsidRDefault="00EF5B27">
            <w:pPr>
              <w:pStyle w:val="TableParagraph"/>
              <w:spacing w:before="8"/>
              <w:rPr>
                <w:rFonts w:ascii="Times New Roman"/>
                <w:sz w:val="12"/>
              </w:rPr>
            </w:pPr>
          </w:p>
          <w:p w14:paraId="07B19BA2" w14:textId="77777777" w:rsidR="00EF5B27" w:rsidRDefault="00000000">
            <w:pPr>
              <w:pStyle w:val="TableParagraph"/>
              <w:ind w:left="156" w:right="150"/>
              <w:jc w:val="center"/>
              <w:rPr>
                <w:sz w:val="14"/>
              </w:rPr>
            </w:pPr>
            <w:r>
              <w:rPr>
                <w:color w:val="4D4D4F"/>
                <w:w w:val="105"/>
                <w:sz w:val="14"/>
              </w:rPr>
              <w:t>Nutrient-enriched grassland</w:t>
            </w:r>
          </w:p>
        </w:tc>
        <w:tc>
          <w:tcPr>
            <w:tcW w:w="2154" w:type="dxa"/>
          </w:tcPr>
          <w:p w14:paraId="43AC5A56" w14:textId="77777777" w:rsidR="00EF5B27" w:rsidRDefault="00EF5B27">
            <w:pPr>
              <w:pStyle w:val="TableParagraph"/>
              <w:spacing w:before="8"/>
              <w:rPr>
                <w:rFonts w:ascii="Times New Roman"/>
                <w:sz w:val="12"/>
              </w:rPr>
            </w:pPr>
          </w:p>
          <w:p w14:paraId="46126FD5" w14:textId="77777777" w:rsidR="00EF5B27" w:rsidRDefault="00000000">
            <w:pPr>
              <w:pStyle w:val="TableParagraph"/>
              <w:ind w:left="942"/>
              <w:rPr>
                <w:sz w:val="14"/>
              </w:rPr>
            </w:pPr>
            <w:r>
              <w:rPr>
                <w:color w:val="4D4D4F"/>
                <w:sz w:val="14"/>
              </w:rPr>
              <w:t>2013</w:t>
            </w:r>
          </w:p>
        </w:tc>
        <w:tc>
          <w:tcPr>
            <w:tcW w:w="1134" w:type="dxa"/>
          </w:tcPr>
          <w:p w14:paraId="4C590902" w14:textId="77777777" w:rsidR="00EF5B27" w:rsidRDefault="00EF5B27">
            <w:pPr>
              <w:pStyle w:val="TableParagraph"/>
              <w:spacing w:before="8"/>
              <w:rPr>
                <w:rFonts w:ascii="Times New Roman"/>
                <w:sz w:val="12"/>
              </w:rPr>
            </w:pPr>
          </w:p>
          <w:p w14:paraId="0EBB6846" w14:textId="77777777" w:rsidR="00EF5B27" w:rsidRDefault="00000000">
            <w:pPr>
              <w:pStyle w:val="TableParagraph"/>
              <w:ind w:left="81" w:right="82"/>
              <w:jc w:val="center"/>
              <w:rPr>
                <w:sz w:val="14"/>
              </w:rPr>
            </w:pPr>
            <w:r>
              <w:rPr>
                <w:color w:val="4D4D4F"/>
                <w:w w:val="105"/>
                <w:sz w:val="14"/>
              </w:rPr>
              <w:t>N/A</w:t>
            </w:r>
          </w:p>
        </w:tc>
      </w:tr>
      <w:tr w:rsidR="00EF5B27" w14:paraId="73075C65" w14:textId="77777777">
        <w:trPr>
          <w:trHeight w:val="448"/>
        </w:trPr>
        <w:tc>
          <w:tcPr>
            <w:tcW w:w="737" w:type="dxa"/>
          </w:tcPr>
          <w:p w14:paraId="677ADB88" w14:textId="77777777" w:rsidR="00EF5B27" w:rsidRDefault="00EF5B27">
            <w:pPr>
              <w:pStyle w:val="TableParagraph"/>
              <w:spacing w:before="8"/>
              <w:rPr>
                <w:rFonts w:ascii="Times New Roman"/>
                <w:sz w:val="12"/>
              </w:rPr>
            </w:pPr>
          </w:p>
          <w:p w14:paraId="6F44D482" w14:textId="77777777" w:rsidR="00EF5B27" w:rsidRDefault="00000000">
            <w:pPr>
              <w:pStyle w:val="TableParagraph"/>
              <w:ind w:left="6"/>
              <w:jc w:val="center"/>
              <w:rPr>
                <w:sz w:val="14"/>
              </w:rPr>
            </w:pPr>
            <w:r>
              <w:rPr>
                <w:color w:val="4D4D4F"/>
                <w:w w:val="96"/>
                <w:sz w:val="14"/>
              </w:rPr>
              <w:t>1</w:t>
            </w:r>
          </w:p>
        </w:tc>
        <w:tc>
          <w:tcPr>
            <w:tcW w:w="1361" w:type="dxa"/>
          </w:tcPr>
          <w:p w14:paraId="3E9972D7" w14:textId="77777777" w:rsidR="00EF5B27" w:rsidRDefault="00000000">
            <w:pPr>
              <w:pStyle w:val="TableParagraph"/>
              <w:spacing w:before="56" w:line="252" w:lineRule="auto"/>
              <w:ind w:left="378" w:hanging="255"/>
              <w:rPr>
                <w:sz w:val="14"/>
              </w:rPr>
            </w:pPr>
            <w:r>
              <w:rPr>
                <w:color w:val="4D4D4F"/>
                <w:sz w:val="14"/>
              </w:rPr>
              <w:t xml:space="preserve">Natural Temperate </w:t>
            </w:r>
            <w:r>
              <w:rPr>
                <w:color w:val="4D4D4F"/>
                <w:w w:val="105"/>
                <w:sz w:val="14"/>
              </w:rPr>
              <w:t>Grassland</w:t>
            </w:r>
          </w:p>
        </w:tc>
        <w:tc>
          <w:tcPr>
            <w:tcW w:w="737" w:type="dxa"/>
          </w:tcPr>
          <w:p w14:paraId="1FD78670" w14:textId="77777777" w:rsidR="00EF5B27" w:rsidRDefault="00EF5B27">
            <w:pPr>
              <w:pStyle w:val="TableParagraph"/>
              <w:spacing w:before="8"/>
              <w:rPr>
                <w:rFonts w:ascii="Times New Roman"/>
                <w:sz w:val="12"/>
              </w:rPr>
            </w:pPr>
          </w:p>
          <w:p w14:paraId="2A4D327B" w14:textId="77777777" w:rsidR="00EF5B27" w:rsidRDefault="00000000">
            <w:pPr>
              <w:pStyle w:val="TableParagraph"/>
              <w:ind w:left="6"/>
              <w:jc w:val="center"/>
              <w:rPr>
                <w:sz w:val="14"/>
              </w:rPr>
            </w:pPr>
            <w:r>
              <w:rPr>
                <w:color w:val="4D4D4F"/>
                <w:w w:val="96"/>
                <w:sz w:val="14"/>
              </w:rPr>
              <w:t>6</w:t>
            </w:r>
          </w:p>
        </w:tc>
        <w:tc>
          <w:tcPr>
            <w:tcW w:w="1474" w:type="dxa"/>
          </w:tcPr>
          <w:p w14:paraId="6E967092" w14:textId="77777777" w:rsidR="00EF5B27" w:rsidRDefault="00000000">
            <w:pPr>
              <w:pStyle w:val="TableParagraph"/>
              <w:spacing w:before="56" w:line="252" w:lineRule="auto"/>
              <w:ind w:left="326" w:firstLine="104"/>
              <w:rPr>
                <w:sz w:val="14"/>
              </w:rPr>
            </w:pPr>
            <w:r>
              <w:rPr>
                <w:color w:val="4D4D4F"/>
                <w:sz w:val="14"/>
              </w:rPr>
              <w:t>Structural heterogeneity</w:t>
            </w:r>
          </w:p>
        </w:tc>
        <w:tc>
          <w:tcPr>
            <w:tcW w:w="2041" w:type="dxa"/>
          </w:tcPr>
          <w:p w14:paraId="1C6993B7" w14:textId="77777777" w:rsidR="00EF5B27" w:rsidRDefault="00EF5B27">
            <w:pPr>
              <w:pStyle w:val="TableParagraph"/>
              <w:spacing w:before="8"/>
              <w:rPr>
                <w:rFonts w:ascii="Times New Roman"/>
                <w:sz w:val="12"/>
              </w:rPr>
            </w:pPr>
          </w:p>
          <w:p w14:paraId="1954A4EE" w14:textId="77777777" w:rsidR="00EF5B27" w:rsidRDefault="00000000">
            <w:pPr>
              <w:pStyle w:val="TableParagraph"/>
              <w:ind w:left="156" w:right="150"/>
              <w:jc w:val="center"/>
              <w:rPr>
                <w:sz w:val="14"/>
              </w:rPr>
            </w:pPr>
            <w:r>
              <w:rPr>
                <w:color w:val="4D4D4F"/>
                <w:w w:val="105"/>
                <w:sz w:val="14"/>
              </w:rPr>
              <w:t>De-rocked grassland</w:t>
            </w:r>
          </w:p>
        </w:tc>
        <w:tc>
          <w:tcPr>
            <w:tcW w:w="2154" w:type="dxa"/>
          </w:tcPr>
          <w:p w14:paraId="5F4802F2" w14:textId="77777777" w:rsidR="00EF5B27" w:rsidRDefault="00EF5B27">
            <w:pPr>
              <w:pStyle w:val="TableParagraph"/>
              <w:spacing w:before="8"/>
              <w:rPr>
                <w:rFonts w:ascii="Times New Roman"/>
                <w:sz w:val="12"/>
              </w:rPr>
            </w:pPr>
          </w:p>
          <w:p w14:paraId="68A5D880" w14:textId="77777777" w:rsidR="00EF5B27" w:rsidRDefault="00000000">
            <w:pPr>
              <w:pStyle w:val="TableParagraph"/>
              <w:ind w:left="942"/>
              <w:rPr>
                <w:sz w:val="14"/>
              </w:rPr>
            </w:pPr>
            <w:r>
              <w:rPr>
                <w:color w:val="4D4D4F"/>
                <w:sz w:val="14"/>
              </w:rPr>
              <w:t>2013</w:t>
            </w:r>
          </w:p>
        </w:tc>
        <w:tc>
          <w:tcPr>
            <w:tcW w:w="1134" w:type="dxa"/>
          </w:tcPr>
          <w:p w14:paraId="3D6F977E" w14:textId="77777777" w:rsidR="00EF5B27" w:rsidRDefault="00EF5B27">
            <w:pPr>
              <w:pStyle w:val="TableParagraph"/>
              <w:spacing w:before="8"/>
              <w:rPr>
                <w:rFonts w:ascii="Times New Roman"/>
                <w:sz w:val="12"/>
              </w:rPr>
            </w:pPr>
          </w:p>
          <w:p w14:paraId="7D139350" w14:textId="77777777" w:rsidR="00EF5B27" w:rsidRDefault="00000000">
            <w:pPr>
              <w:pStyle w:val="TableParagraph"/>
              <w:ind w:left="81" w:right="81"/>
              <w:jc w:val="center"/>
              <w:rPr>
                <w:sz w:val="14"/>
              </w:rPr>
            </w:pPr>
            <w:r>
              <w:rPr>
                <w:color w:val="4D4D4F"/>
                <w:w w:val="105"/>
                <w:sz w:val="14"/>
              </w:rPr>
              <w:t>N/A</w:t>
            </w:r>
          </w:p>
        </w:tc>
      </w:tr>
      <w:tr w:rsidR="00EF5B27" w14:paraId="511813D9" w14:textId="77777777">
        <w:trPr>
          <w:trHeight w:val="448"/>
        </w:trPr>
        <w:tc>
          <w:tcPr>
            <w:tcW w:w="737" w:type="dxa"/>
          </w:tcPr>
          <w:p w14:paraId="7C70841A" w14:textId="77777777" w:rsidR="00EF5B27" w:rsidRDefault="00EF5B27">
            <w:pPr>
              <w:pStyle w:val="TableParagraph"/>
              <w:spacing w:before="8"/>
              <w:rPr>
                <w:rFonts w:ascii="Times New Roman"/>
                <w:sz w:val="12"/>
              </w:rPr>
            </w:pPr>
          </w:p>
          <w:p w14:paraId="0388CB91" w14:textId="77777777" w:rsidR="00EF5B27" w:rsidRDefault="00000000">
            <w:pPr>
              <w:pStyle w:val="TableParagraph"/>
              <w:ind w:left="7"/>
              <w:jc w:val="center"/>
              <w:rPr>
                <w:sz w:val="14"/>
              </w:rPr>
            </w:pPr>
            <w:r>
              <w:rPr>
                <w:color w:val="4D4D4F"/>
                <w:w w:val="96"/>
                <w:sz w:val="14"/>
              </w:rPr>
              <w:t>1</w:t>
            </w:r>
          </w:p>
        </w:tc>
        <w:tc>
          <w:tcPr>
            <w:tcW w:w="1361" w:type="dxa"/>
          </w:tcPr>
          <w:p w14:paraId="31F61F5E" w14:textId="77777777" w:rsidR="00EF5B27" w:rsidRDefault="00000000">
            <w:pPr>
              <w:pStyle w:val="TableParagraph"/>
              <w:spacing w:before="56" w:line="252" w:lineRule="auto"/>
              <w:ind w:left="378" w:hanging="255"/>
              <w:rPr>
                <w:sz w:val="14"/>
              </w:rPr>
            </w:pPr>
            <w:r>
              <w:rPr>
                <w:color w:val="4D4D4F"/>
                <w:sz w:val="14"/>
              </w:rPr>
              <w:t xml:space="preserve">Natural Temperate </w:t>
            </w:r>
            <w:r>
              <w:rPr>
                <w:color w:val="4D4D4F"/>
                <w:w w:val="105"/>
                <w:sz w:val="14"/>
              </w:rPr>
              <w:t>Grassland</w:t>
            </w:r>
          </w:p>
        </w:tc>
        <w:tc>
          <w:tcPr>
            <w:tcW w:w="737" w:type="dxa"/>
          </w:tcPr>
          <w:p w14:paraId="4A1E1AA3" w14:textId="77777777" w:rsidR="00EF5B27" w:rsidRDefault="00EF5B27">
            <w:pPr>
              <w:pStyle w:val="TableParagraph"/>
              <w:spacing w:before="8"/>
              <w:rPr>
                <w:rFonts w:ascii="Times New Roman"/>
                <w:sz w:val="12"/>
              </w:rPr>
            </w:pPr>
          </w:p>
          <w:p w14:paraId="7FF0AF9C" w14:textId="77777777" w:rsidR="00EF5B27" w:rsidRDefault="00000000">
            <w:pPr>
              <w:pStyle w:val="TableParagraph"/>
              <w:ind w:left="6"/>
              <w:jc w:val="center"/>
              <w:rPr>
                <w:sz w:val="14"/>
              </w:rPr>
            </w:pPr>
            <w:r>
              <w:rPr>
                <w:color w:val="4D4D4F"/>
                <w:w w:val="96"/>
                <w:sz w:val="14"/>
              </w:rPr>
              <w:t>7</w:t>
            </w:r>
          </w:p>
        </w:tc>
        <w:tc>
          <w:tcPr>
            <w:tcW w:w="1474" w:type="dxa"/>
          </w:tcPr>
          <w:p w14:paraId="4F8DF00D" w14:textId="77777777" w:rsidR="00EF5B27" w:rsidRDefault="00EF5B27">
            <w:pPr>
              <w:pStyle w:val="TableParagraph"/>
              <w:spacing w:before="8"/>
              <w:rPr>
                <w:rFonts w:ascii="Times New Roman"/>
                <w:sz w:val="12"/>
              </w:rPr>
            </w:pPr>
          </w:p>
          <w:p w14:paraId="133F10A5" w14:textId="77777777" w:rsidR="00EF5B27" w:rsidRDefault="00000000">
            <w:pPr>
              <w:pStyle w:val="TableParagraph"/>
              <w:ind w:left="126" w:right="120"/>
              <w:jc w:val="center"/>
              <w:rPr>
                <w:sz w:val="14"/>
              </w:rPr>
            </w:pPr>
            <w:r>
              <w:rPr>
                <w:color w:val="4D4D4F"/>
                <w:sz w:val="14"/>
              </w:rPr>
              <w:t>Weeds</w:t>
            </w:r>
          </w:p>
        </w:tc>
        <w:tc>
          <w:tcPr>
            <w:tcW w:w="2041" w:type="dxa"/>
          </w:tcPr>
          <w:p w14:paraId="756E4F52" w14:textId="77777777" w:rsidR="00EF5B27" w:rsidRDefault="00EF5B27">
            <w:pPr>
              <w:pStyle w:val="TableParagraph"/>
              <w:spacing w:before="8"/>
              <w:rPr>
                <w:rFonts w:ascii="Times New Roman"/>
                <w:sz w:val="12"/>
              </w:rPr>
            </w:pPr>
          </w:p>
          <w:p w14:paraId="23E604A3" w14:textId="77777777" w:rsidR="00EF5B27" w:rsidRDefault="00000000">
            <w:pPr>
              <w:pStyle w:val="TableParagraph"/>
              <w:ind w:left="156" w:right="150"/>
              <w:jc w:val="center"/>
              <w:rPr>
                <w:sz w:val="14"/>
              </w:rPr>
            </w:pPr>
            <w:r>
              <w:rPr>
                <w:color w:val="4D4D4F"/>
                <w:w w:val="105"/>
                <w:sz w:val="14"/>
              </w:rPr>
              <w:t>Herb-rich grassland</w:t>
            </w:r>
          </w:p>
        </w:tc>
        <w:tc>
          <w:tcPr>
            <w:tcW w:w="2154" w:type="dxa"/>
          </w:tcPr>
          <w:p w14:paraId="4A4CA0D4" w14:textId="77777777" w:rsidR="00EF5B27" w:rsidRDefault="00EF5B27">
            <w:pPr>
              <w:pStyle w:val="TableParagraph"/>
              <w:spacing w:before="8"/>
              <w:rPr>
                <w:rFonts w:ascii="Times New Roman"/>
                <w:sz w:val="12"/>
              </w:rPr>
            </w:pPr>
          </w:p>
          <w:p w14:paraId="78C2C705" w14:textId="77777777" w:rsidR="00EF5B27" w:rsidRDefault="00000000">
            <w:pPr>
              <w:pStyle w:val="TableParagraph"/>
              <w:ind w:left="942"/>
              <w:rPr>
                <w:sz w:val="14"/>
              </w:rPr>
            </w:pPr>
            <w:r>
              <w:rPr>
                <w:color w:val="4D4D4F"/>
                <w:sz w:val="14"/>
              </w:rPr>
              <w:t>2013</w:t>
            </w:r>
          </w:p>
        </w:tc>
        <w:tc>
          <w:tcPr>
            <w:tcW w:w="1134" w:type="dxa"/>
          </w:tcPr>
          <w:p w14:paraId="6359FB22" w14:textId="77777777" w:rsidR="00EF5B27" w:rsidRDefault="00EF5B27">
            <w:pPr>
              <w:pStyle w:val="TableParagraph"/>
              <w:spacing w:before="8"/>
              <w:rPr>
                <w:rFonts w:ascii="Times New Roman"/>
                <w:sz w:val="12"/>
              </w:rPr>
            </w:pPr>
          </w:p>
          <w:p w14:paraId="0E042BFC" w14:textId="77777777" w:rsidR="00EF5B27" w:rsidRDefault="00000000">
            <w:pPr>
              <w:pStyle w:val="TableParagraph"/>
              <w:ind w:left="81" w:right="75"/>
              <w:jc w:val="center"/>
              <w:rPr>
                <w:sz w:val="14"/>
              </w:rPr>
            </w:pPr>
            <w:r>
              <w:rPr>
                <w:color w:val="4D4D4F"/>
                <w:sz w:val="14"/>
              </w:rPr>
              <w:t>2017</w:t>
            </w:r>
          </w:p>
        </w:tc>
      </w:tr>
      <w:tr w:rsidR="00EF5B27" w14:paraId="30FA4908" w14:textId="77777777">
        <w:trPr>
          <w:trHeight w:val="448"/>
        </w:trPr>
        <w:tc>
          <w:tcPr>
            <w:tcW w:w="737" w:type="dxa"/>
          </w:tcPr>
          <w:p w14:paraId="23BE599B" w14:textId="77777777" w:rsidR="00EF5B27" w:rsidRDefault="00EF5B27">
            <w:pPr>
              <w:pStyle w:val="TableParagraph"/>
              <w:spacing w:before="8"/>
              <w:rPr>
                <w:rFonts w:ascii="Times New Roman"/>
                <w:sz w:val="12"/>
              </w:rPr>
            </w:pPr>
          </w:p>
          <w:p w14:paraId="588046C1" w14:textId="77777777" w:rsidR="00EF5B27" w:rsidRDefault="00000000">
            <w:pPr>
              <w:pStyle w:val="TableParagraph"/>
              <w:ind w:left="7"/>
              <w:jc w:val="center"/>
              <w:rPr>
                <w:sz w:val="14"/>
              </w:rPr>
            </w:pPr>
            <w:r>
              <w:rPr>
                <w:color w:val="4D4D4F"/>
                <w:w w:val="96"/>
                <w:sz w:val="14"/>
              </w:rPr>
              <w:t>1</w:t>
            </w:r>
          </w:p>
        </w:tc>
        <w:tc>
          <w:tcPr>
            <w:tcW w:w="1361" w:type="dxa"/>
          </w:tcPr>
          <w:p w14:paraId="4C2743D6" w14:textId="77777777" w:rsidR="00EF5B27" w:rsidRDefault="00000000">
            <w:pPr>
              <w:pStyle w:val="TableParagraph"/>
              <w:spacing w:before="56" w:line="252" w:lineRule="auto"/>
              <w:ind w:left="378" w:hanging="255"/>
              <w:rPr>
                <w:sz w:val="14"/>
              </w:rPr>
            </w:pPr>
            <w:r>
              <w:rPr>
                <w:color w:val="4D4D4F"/>
                <w:sz w:val="14"/>
              </w:rPr>
              <w:t xml:space="preserve">Natural Temperate </w:t>
            </w:r>
            <w:r>
              <w:rPr>
                <w:color w:val="4D4D4F"/>
                <w:w w:val="105"/>
                <w:sz w:val="14"/>
              </w:rPr>
              <w:t>Grassland</w:t>
            </w:r>
          </w:p>
        </w:tc>
        <w:tc>
          <w:tcPr>
            <w:tcW w:w="737" w:type="dxa"/>
          </w:tcPr>
          <w:p w14:paraId="19624DE6" w14:textId="77777777" w:rsidR="00EF5B27" w:rsidRDefault="00EF5B27">
            <w:pPr>
              <w:pStyle w:val="TableParagraph"/>
              <w:spacing w:before="8"/>
              <w:rPr>
                <w:rFonts w:ascii="Times New Roman"/>
                <w:sz w:val="12"/>
              </w:rPr>
            </w:pPr>
          </w:p>
          <w:p w14:paraId="6B532C45" w14:textId="77777777" w:rsidR="00EF5B27" w:rsidRDefault="00000000">
            <w:pPr>
              <w:pStyle w:val="TableParagraph"/>
              <w:ind w:left="6"/>
              <w:jc w:val="center"/>
              <w:rPr>
                <w:sz w:val="14"/>
              </w:rPr>
            </w:pPr>
            <w:r>
              <w:rPr>
                <w:color w:val="4D4D4F"/>
                <w:w w:val="96"/>
                <w:sz w:val="14"/>
              </w:rPr>
              <w:t>7</w:t>
            </w:r>
          </w:p>
        </w:tc>
        <w:tc>
          <w:tcPr>
            <w:tcW w:w="1474" w:type="dxa"/>
          </w:tcPr>
          <w:p w14:paraId="70D64A59" w14:textId="77777777" w:rsidR="00EF5B27" w:rsidRDefault="00EF5B27">
            <w:pPr>
              <w:pStyle w:val="TableParagraph"/>
              <w:spacing w:before="8"/>
              <w:rPr>
                <w:rFonts w:ascii="Times New Roman"/>
                <w:sz w:val="12"/>
              </w:rPr>
            </w:pPr>
          </w:p>
          <w:p w14:paraId="67EF3F20" w14:textId="77777777" w:rsidR="00EF5B27" w:rsidRDefault="00000000">
            <w:pPr>
              <w:pStyle w:val="TableParagraph"/>
              <w:ind w:left="126" w:right="120"/>
              <w:jc w:val="center"/>
              <w:rPr>
                <w:sz w:val="14"/>
              </w:rPr>
            </w:pPr>
            <w:r>
              <w:rPr>
                <w:color w:val="4D4D4F"/>
                <w:sz w:val="14"/>
              </w:rPr>
              <w:t>Weeds</w:t>
            </w:r>
          </w:p>
        </w:tc>
        <w:tc>
          <w:tcPr>
            <w:tcW w:w="2041" w:type="dxa"/>
          </w:tcPr>
          <w:p w14:paraId="6055A622" w14:textId="77777777" w:rsidR="00EF5B27" w:rsidRDefault="00EF5B27">
            <w:pPr>
              <w:pStyle w:val="TableParagraph"/>
              <w:spacing w:before="8"/>
              <w:rPr>
                <w:rFonts w:ascii="Times New Roman"/>
                <w:sz w:val="12"/>
              </w:rPr>
            </w:pPr>
          </w:p>
          <w:p w14:paraId="50D35BB0" w14:textId="77777777" w:rsidR="00EF5B27" w:rsidRDefault="00000000">
            <w:pPr>
              <w:pStyle w:val="TableParagraph"/>
              <w:ind w:left="156" w:right="15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57715A02" w14:textId="77777777" w:rsidR="00EF5B27" w:rsidRDefault="00EF5B27">
            <w:pPr>
              <w:pStyle w:val="TableParagraph"/>
              <w:spacing w:before="8"/>
              <w:rPr>
                <w:rFonts w:ascii="Times New Roman"/>
                <w:sz w:val="12"/>
              </w:rPr>
            </w:pPr>
          </w:p>
          <w:p w14:paraId="3296EE39" w14:textId="77777777" w:rsidR="00EF5B27" w:rsidRDefault="00000000">
            <w:pPr>
              <w:pStyle w:val="TableParagraph"/>
              <w:ind w:left="941"/>
              <w:rPr>
                <w:sz w:val="14"/>
              </w:rPr>
            </w:pPr>
            <w:r>
              <w:rPr>
                <w:color w:val="4D4D4F"/>
                <w:sz w:val="14"/>
              </w:rPr>
              <w:t>2013</w:t>
            </w:r>
          </w:p>
        </w:tc>
        <w:tc>
          <w:tcPr>
            <w:tcW w:w="1134" w:type="dxa"/>
          </w:tcPr>
          <w:p w14:paraId="633DBEF8" w14:textId="77777777" w:rsidR="00EF5B27" w:rsidRDefault="00EF5B27">
            <w:pPr>
              <w:pStyle w:val="TableParagraph"/>
              <w:spacing w:before="8"/>
              <w:rPr>
                <w:rFonts w:ascii="Times New Roman"/>
                <w:sz w:val="12"/>
              </w:rPr>
            </w:pPr>
          </w:p>
          <w:p w14:paraId="52D42E1F" w14:textId="77777777" w:rsidR="00EF5B27" w:rsidRDefault="00000000">
            <w:pPr>
              <w:pStyle w:val="TableParagraph"/>
              <w:ind w:left="81" w:right="75"/>
              <w:jc w:val="center"/>
              <w:rPr>
                <w:sz w:val="14"/>
              </w:rPr>
            </w:pPr>
            <w:r>
              <w:rPr>
                <w:color w:val="4D4D4F"/>
                <w:sz w:val="14"/>
              </w:rPr>
              <w:t>2017</w:t>
            </w:r>
          </w:p>
        </w:tc>
      </w:tr>
      <w:tr w:rsidR="00EF5B27" w14:paraId="50139199" w14:textId="77777777">
        <w:trPr>
          <w:trHeight w:val="448"/>
        </w:trPr>
        <w:tc>
          <w:tcPr>
            <w:tcW w:w="737" w:type="dxa"/>
          </w:tcPr>
          <w:p w14:paraId="0CD095B8" w14:textId="77777777" w:rsidR="00EF5B27" w:rsidRDefault="00EF5B27">
            <w:pPr>
              <w:pStyle w:val="TableParagraph"/>
              <w:spacing w:before="8"/>
              <w:rPr>
                <w:rFonts w:ascii="Times New Roman"/>
                <w:sz w:val="12"/>
              </w:rPr>
            </w:pPr>
          </w:p>
          <w:p w14:paraId="390C7734" w14:textId="77777777" w:rsidR="00EF5B27" w:rsidRDefault="00000000">
            <w:pPr>
              <w:pStyle w:val="TableParagraph"/>
              <w:ind w:left="6"/>
              <w:jc w:val="center"/>
              <w:rPr>
                <w:sz w:val="14"/>
              </w:rPr>
            </w:pPr>
            <w:r>
              <w:rPr>
                <w:color w:val="4D4D4F"/>
                <w:w w:val="96"/>
                <w:sz w:val="14"/>
              </w:rPr>
              <w:t>1</w:t>
            </w:r>
          </w:p>
        </w:tc>
        <w:tc>
          <w:tcPr>
            <w:tcW w:w="1361" w:type="dxa"/>
          </w:tcPr>
          <w:p w14:paraId="2E45EB0C" w14:textId="77777777" w:rsidR="00EF5B27" w:rsidRDefault="00000000">
            <w:pPr>
              <w:pStyle w:val="TableParagraph"/>
              <w:spacing w:before="56" w:line="252" w:lineRule="auto"/>
              <w:ind w:left="378" w:hanging="255"/>
              <w:rPr>
                <w:sz w:val="14"/>
              </w:rPr>
            </w:pPr>
            <w:r>
              <w:rPr>
                <w:color w:val="4D4D4F"/>
                <w:sz w:val="14"/>
              </w:rPr>
              <w:t xml:space="preserve">Natural Temperate </w:t>
            </w:r>
            <w:r>
              <w:rPr>
                <w:color w:val="4D4D4F"/>
                <w:w w:val="105"/>
                <w:sz w:val="14"/>
              </w:rPr>
              <w:t>Grassland</w:t>
            </w:r>
          </w:p>
        </w:tc>
        <w:tc>
          <w:tcPr>
            <w:tcW w:w="737" w:type="dxa"/>
          </w:tcPr>
          <w:p w14:paraId="4B56E714" w14:textId="77777777" w:rsidR="00EF5B27" w:rsidRDefault="00EF5B27">
            <w:pPr>
              <w:pStyle w:val="TableParagraph"/>
              <w:spacing w:before="8"/>
              <w:rPr>
                <w:rFonts w:ascii="Times New Roman"/>
                <w:sz w:val="12"/>
              </w:rPr>
            </w:pPr>
          </w:p>
          <w:p w14:paraId="5FEBBB30" w14:textId="77777777" w:rsidR="00EF5B27" w:rsidRDefault="00000000">
            <w:pPr>
              <w:pStyle w:val="TableParagraph"/>
              <w:ind w:left="6"/>
              <w:jc w:val="center"/>
              <w:rPr>
                <w:sz w:val="14"/>
              </w:rPr>
            </w:pPr>
            <w:r>
              <w:rPr>
                <w:color w:val="4D4D4F"/>
                <w:w w:val="96"/>
                <w:sz w:val="14"/>
              </w:rPr>
              <w:t>7</w:t>
            </w:r>
          </w:p>
        </w:tc>
        <w:tc>
          <w:tcPr>
            <w:tcW w:w="1474" w:type="dxa"/>
          </w:tcPr>
          <w:p w14:paraId="717900DE" w14:textId="77777777" w:rsidR="00EF5B27" w:rsidRDefault="00EF5B27">
            <w:pPr>
              <w:pStyle w:val="TableParagraph"/>
              <w:spacing w:before="8"/>
              <w:rPr>
                <w:rFonts w:ascii="Times New Roman"/>
                <w:sz w:val="12"/>
              </w:rPr>
            </w:pPr>
          </w:p>
          <w:p w14:paraId="4A233C15" w14:textId="77777777" w:rsidR="00EF5B27" w:rsidRDefault="00000000">
            <w:pPr>
              <w:pStyle w:val="TableParagraph"/>
              <w:ind w:left="126" w:right="120"/>
              <w:jc w:val="center"/>
              <w:rPr>
                <w:sz w:val="14"/>
              </w:rPr>
            </w:pPr>
            <w:r>
              <w:rPr>
                <w:color w:val="4D4D4F"/>
                <w:sz w:val="14"/>
              </w:rPr>
              <w:t>Weeds</w:t>
            </w:r>
          </w:p>
        </w:tc>
        <w:tc>
          <w:tcPr>
            <w:tcW w:w="2041" w:type="dxa"/>
          </w:tcPr>
          <w:p w14:paraId="44C4E026" w14:textId="77777777" w:rsidR="00EF5B27" w:rsidRDefault="00EF5B27">
            <w:pPr>
              <w:pStyle w:val="TableParagraph"/>
              <w:spacing w:before="8"/>
              <w:rPr>
                <w:rFonts w:ascii="Times New Roman"/>
                <w:sz w:val="12"/>
              </w:rPr>
            </w:pPr>
          </w:p>
          <w:p w14:paraId="4FD7E892" w14:textId="77777777" w:rsidR="00EF5B27" w:rsidRDefault="00000000">
            <w:pPr>
              <w:pStyle w:val="TableParagraph"/>
              <w:ind w:left="156" w:right="150"/>
              <w:jc w:val="center"/>
              <w:rPr>
                <w:sz w:val="14"/>
              </w:rPr>
            </w:pPr>
            <w:r>
              <w:rPr>
                <w:color w:val="4D4D4F"/>
                <w:w w:val="105"/>
                <w:sz w:val="14"/>
              </w:rPr>
              <w:t>C3 grassland</w:t>
            </w:r>
          </w:p>
        </w:tc>
        <w:tc>
          <w:tcPr>
            <w:tcW w:w="2154" w:type="dxa"/>
          </w:tcPr>
          <w:p w14:paraId="29020FEB" w14:textId="77777777" w:rsidR="00EF5B27" w:rsidRDefault="00EF5B27">
            <w:pPr>
              <w:pStyle w:val="TableParagraph"/>
              <w:spacing w:before="8"/>
              <w:rPr>
                <w:rFonts w:ascii="Times New Roman"/>
                <w:sz w:val="12"/>
              </w:rPr>
            </w:pPr>
          </w:p>
          <w:p w14:paraId="4F296CE8" w14:textId="77777777" w:rsidR="00EF5B27" w:rsidRDefault="00000000">
            <w:pPr>
              <w:pStyle w:val="TableParagraph"/>
              <w:ind w:left="966"/>
              <w:rPr>
                <w:sz w:val="14"/>
              </w:rPr>
            </w:pPr>
            <w:r>
              <w:rPr>
                <w:color w:val="4D4D4F"/>
                <w:w w:val="105"/>
                <w:sz w:val="14"/>
              </w:rPr>
              <w:t>N/A</w:t>
            </w:r>
          </w:p>
        </w:tc>
        <w:tc>
          <w:tcPr>
            <w:tcW w:w="1134" w:type="dxa"/>
          </w:tcPr>
          <w:p w14:paraId="0343E583" w14:textId="77777777" w:rsidR="00EF5B27" w:rsidRDefault="00EF5B27">
            <w:pPr>
              <w:pStyle w:val="TableParagraph"/>
              <w:spacing w:before="8"/>
              <w:rPr>
                <w:rFonts w:ascii="Times New Roman"/>
                <w:sz w:val="12"/>
              </w:rPr>
            </w:pPr>
          </w:p>
          <w:p w14:paraId="5EC89546" w14:textId="77777777" w:rsidR="00EF5B27" w:rsidRDefault="00000000">
            <w:pPr>
              <w:pStyle w:val="TableParagraph"/>
              <w:ind w:left="81" w:right="75"/>
              <w:jc w:val="center"/>
              <w:rPr>
                <w:sz w:val="14"/>
              </w:rPr>
            </w:pPr>
            <w:r>
              <w:rPr>
                <w:color w:val="4D4D4F"/>
                <w:w w:val="105"/>
                <w:sz w:val="14"/>
              </w:rPr>
              <w:t>Unclear</w:t>
            </w:r>
          </w:p>
        </w:tc>
      </w:tr>
      <w:tr w:rsidR="00EF5B27" w14:paraId="7CDB78BC" w14:textId="77777777">
        <w:trPr>
          <w:trHeight w:val="448"/>
        </w:trPr>
        <w:tc>
          <w:tcPr>
            <w:tcW w:w="737" w:type="dxa"/>
          </w:tcPr>
          <w:p w14:paraId="19C56C08" w14:textId="77777777" w:rsidR="00EF5B27" w:rsidRDefault="00EF5B27">
            <w:pPr>
              <w:pStyle w:val="TableParagraph"/>
              <w:spacing w:before="8"/>
              <w:rPr>
                <w:rFonts w:ascii="Times New Roman"/>
                <w:sz w:val="12"/>
              </w:rPr>
            </w:pPr>
          </w:p>
          <w:p w14:paraId="45CE3364" w14:textId="77777777" w:rsidR="00EF5B27" w:rsidRDefault="00000000">
            <w:pPr>
              <w:pStyle w:val="TableParagraph"/>
              <w:ind w:left="6"/>
              <w:jc w:val="center"/>
              <w:rPr>
                <w:sz w:val="14"/>
              </w:rPr>
            </w:pPr>
            <w:r>
              <w:rPr>
                <w:color w:val="4D4D4F"/>
                <w:w w:val="96"/>
                <w:sz w:val="14"/>
              </w:rPr>
              <w:t>1</w:t>
            </w:r>
          </w:p>
        </w:tc>
        <w:tc>
          <w:tcPr>
            <w:tcW w:w="1361" w:type="dxa"/>
          </w:tcPr>
          <w:p w14:paraId="12965DEB" w14:textId="77777777" w:rsidR="00EF5B27" w:rsidRDefault="00000000">
            <w:pPr>
              <w:pStyle w:val="TableParagraph"/>
              <w:spacing w:before="56" w:line="252" w:lineRule="auto"/>
              <w:ind w:left="378" w:hanging="255"/>
              <w:rPr>
                <w:sz w:val="14"/>
              </w:rPr>
            </w:pPr>
            <w:r>
              <w:rPr>
                <w:color w:val="4D4D4F"/>
                <w:sz w:val="14"/>
              </w:rPr>
              <w:t xml:space="preserve">Natural Temperate </w:t>
            </w:r>
            <w:r>
              <w:rPr>
                <w:color w:val="4D4D4F"/>
                <w:w w:val="105"/>
                <w:sz w:val="14"/>
              </w:rPr>
              <w:t>Grassland</w:t>
            </w:r>
          </w:p>
        </w:tc>
        <w:tc>
          <w:tcPr>
            <w:tcW w:w="737" w:type="dxa"/>
          </w:tcPr>
          <w:p w14:paraId="2D9DCB00" w14:textId="77777777" w:rsidR="00EF5B27" w:rsidRDefault="00EF5B27">
            <w:pPr>
              <w:pStyle w:val="TableParagraph"/>
              <w:spacing w:before="8"/>
              <w:rPr>
                <w:rFonts w:ascii="Times New Roman"/>
                <w:sz w:val="12"/>
              </w:rPr>
            </w:pPr>
          </w:p>
          <w:p w14:paraId="1981958B" w14:textId="77777777" w:rsidR="00EF5B27" w:rsidRDefault="00000000">
            <w:pPr>
              <w:pStyle w:val="TableParagraph"/>
              <w:ind w:left="6"/>
              <w:jc w:val="center"/>
              <w:rPr>
                <w:sz w:val="14"/>
              </w:rPr>
            </w:pPr>
            <w:r>
              <w:rPr>
                <w:color w:val="4D4D4F"/>
                <w:w w:val="96"/>
                <w:sz w:val="14"/>
              </w:rPr>
              <w:t>7</w:t>
            </w:r>
          </w:p>
        </w:tc>
        <w:tc>
          <w:tcPr>
            <w:tcW w:w="1474" w:type="dxa"/>
          </w:tcPr>
          <w:p w14:paraId="1B52C778" w14:textId="77777777" w:rsidR="00EF5B27" w:rsidRDefault="00EF5B27">
            <w:pPr>
              <w:pStyle w:val="TableParagraph"/>
              <w:spacing w:before="8"/>
              <w:rPr>
                <w:rFonts w:ascii="Times New Roman"/>
                <w:sz w:val="12"/>
              </w:rPr>
            </w:pPr>
          </w:p>
          <w:p w14:paraId="51BB157E" w14:textId="77777777" w:rsidR="00EF5B27" w:rsidRDefault="00000000">
            <w:pPr>
              <w:pStyle w:val="TableParagraph"/>
              <w:ind w:left="126" w:right="120"/>
              <w:jc w:val="center"/>
              <w:rPr>
                <w:sz w:val="14"/>
              </w:rPr>
            </w:pPr>
            <w:r>
              <w:rPr>
                <w:color w:val="4D4D4F"/>
                <w:sz w:val="14"/>
              </w:rPr>
              <w:t>Weeds</w:t>
            </w:r>
          </w:p>
        </w:tc>
        <w:tc>
          <w:tcPr>
            <w:tcW w:w="2041" w:type="dxa"/>
          </w:tcPr>
          <w:p w14:paraId="113466E1" w14:textId="77777777" w:rsidR="00EF5B27" w:rsidRDefault="00EF5B27">
            <w:pPr>
              <w:pStyle w:val="TableParagraph"/>
              <w:spacing w:before="8"/>
              <w:rPr>
                <w:rFonts w:ascii="Times New Roman"/>
                <w:sz w:val="12"/>
              </w:rPr>
            </w:pPr>
          </w:p>
          <w:p w14:paraId="225B92FE" w14:textId="77777777" w:rsidR="00EF5B27" w:rsidRDefault="00000000">
            <w:pPr>
              <w:pStyle w:val="TableParagraph"/>
              <w:ind w:left="155" w:right="150"/>
              <w:jc w:val="center"/>
              <w:rPr>
                <w:sz w:val="14"/>
              </w:rPr>
            </w:pPr>
            <w:r>
              <w:rPr>
                <w:color w:val="4D4D4F"/>
                <w:w w:val="105"/>
                <w:sz w:val="14"/>
              </w:rPr>
              <w:t>Nutrient-enriched grassland</w:t>
            </w:r>
          </w:p>
        </w:tc>
        <w:tc>
          <w:tcPr>
            <w:tcW w:w="2154" w:type="dxa"/>
          </w:tcPr>
          <w:p w14:paraId="2E22D82A" w14:textId="77777777" w:rsidR="00EF5B27" w:rsidRDefault="00EF5B27">
            <w:pPr>
              <w:pStyle w:val="TableParagraph"/>
              <w:spacing w:before="8"/>
              <w:rPr>
                <w:rFonts w:ascii="Times New Roman"/>
                <w:sz w:val="12"/>
              </w:rPr>
            </w:pPr>
          </w:p>
          <w:p w14:paraId="09CB9E73" w14:textId="77777777" w:rsidR="00EF5B27" w:rsidRDefault="00000000">
            <w:pPr>
              <w:pStyle w:val="TableParagraph"/>
              <w:ind w:left="941"/>
              <w:rPr>
                <w:sz w:val="14"/>
              </w:rPr>
            </w:pPr>
            <w:r>
              <w:rPr>
                <w:color w:val="4D4D4F"/>
                <w:sz w:val="14"/>
              </w:rPr>
              <w:t>2013</w:t>
            </w:r>
          </w:p>
        </w:tc>
        <w:tc>
          <w:tcPr>
            <w:tcW w:w="1134" w:type="dxa"/>
          </w:tcPr>
          <w:p w14:paraId="638A576D" w14:textId="77777777" w:rsidR="00EF5B27" w:rsidRDefault="00EF5B27">
            <w:pPr>
              <w:pStyle w:val="TableParagraph"/>
              <w:spacing w:before="8"/>
              <w:rPr>
                <w:rFonts w:ascii="Times New Roman"/>
                <w:sz w:val="12"/>
              </w:rPr>
            </w:pPr>
          </w:p>
          <w:p w14:paraId="4D48CC89" w14:textId="77777777" w:rsidR="00EF5B27" w:rsidRDefault="00000000">
            <w:pPr>
              <w:pStyle w:val="TableParagraph"/>
              <w:ind w:left="81" w:right="75"/>
              <w:jc w:val="center"/>
              <w:rPr>
                <w:sz w:val="14"/>
              </w:rPr>
            </w:pPr>
            <w:r>
              <w:rPr>
                <w:color w:val="4D4D4F"/>
                <w:sz w:val="14"/>
              </w:rPr>
              <w:t>2017</w:t>
            </w:r>
          </w:p>
        </w:tc>
      </w:tr>
      <w:tr w:rsidR="00EF5B27" w14:paraId="3A088E6D" w14:textId="77777777">
        <w:trPr>
          <w:trHeight w:val="448"/>
        </w:trPr>
        <w:tc>
          <w:tcPr>
            <w:tcW w:w="737" w:type="dxa"/>
          </w:tcPr>
          <w:p w14:paraId="0AB3C3C1" w14:textId="77777777" w:rsidR="00EF5B27" w:rsidRDefault="00EF5B27">
            <w:pPr>
              <w:pStyle w:val="TableParagraph"/>
              <w:spacing w:before="8"/>
              <w:rPr>
                <w:rFonts w:ascii="Times New Roman"/>
                <w:sz w:val="12"/>
              </w:rPr>
            </w:pPr>
          </w:p>
          <w:p w14:paraId="2D69758B" w14:textId="77777777" w:rsidR="00EF5B27" w:rsidRDefault="00000000">
            <w:pPr>
              <w:pStyle w:val="TableParagraph"/>
              <w:ind w:left="6"/>
              <w:jc w:val="center"/>
              <w:rPr>
                <w:sz w:val="14"/>
              </w:rPr>
            </w:pPr>
            <w:r>
              <w:rPr>
                <w:color w:val="4D4D4F"/>
                <w:w w:val="96"/>
                <w:sz w:val="14"/>
              </w:rPr>
              <w:t>1</w:t>
            </w:r>
          </w:p>
        </w:tc>
        <w:tc>
          <w:tcPr>
            <w:tcW w:w="1361" w:type="dxa"/>
          </w:tcPr>
          <w:p w14:paraId="41CF1257" w14:textId="77777777" w:rsidR="00EF5B27" w:rsidRDefault="00000000">
            <w:pPr>
              <w:pStyle w:val="TableParagraph"/>
              <w:spacing w:before="56" w:line="252" w:lineRule="auto"/>
              <w:ind w:left="378" w:hanging="255"/>
              <w:rPr>
                <w:sz w:val="14"/>
              </w:rPr>
            </w:pPr>
            <w:r>
              <w:rPr>
                <w:color w:val="4D4D4F"/>
                <w:sz w:val="14"/>
              </w:rPr>
              <w:t xml:space="preserve">Natural Temperate </w:t>
            </w:r>
            <w:r>
              <w:rPr>
                <w:color w:val="4D4D4F"/>
                <w:w w:val="105"/>
                <w:sz w:val="14"/>
              </w:rPr>
              <w:t>Grassland</w:t>
            </w:r>
          </w:p>
        </w:tc>
        <w:tc>
          <w:tcPr>
            <w:tcW w:w="737" w:type="dxa"/>
          </w:tcPr>
          <w:p w14:paraId="3FFF59F7" w14:textId="77777777" w:rsidR="00EF5B27" w:rsidRDefault="00EF5B27">
            <w:pPr>
              <w:pStyle w:val="TableParagraph"/>
              <w:spacing w:before="8"/>
              <w:rPr>
                <w:rFonts w:ascii="Times New Roman"/>
                <w:sz w:val="12"/>
              </w:rPr>
            </w:pPr>
          </w:p>
          <w:p w14:paraId="422B21B6" w14:textId="77777777" w:rsidR="00EF5B27" w:rsidRDefault="00000000">
            <w:pPr>
              <w:pStyle w:val="TableParagraph"/>
              <w:ind w:left="6"/>
              <w:jc w:val="center"/>
              <w:rPr>
                <w:sz w:val="14"/>
              </w:rPr>
            </w:pPr>
            <w:r>
              <w:rPr>
                <w:color w:val="4D4D4F"/>
                <w:w w:val="96"/>
                <w:sz w:val="14"/>
              </w:rPr>
              <w:t>7</w:t>
            </w:r>
          </w:p>
        </w:tc>
        <w:tc>
          <w:tcPr>
            <w:tcW w:w="1474" w:type="dxa"/>
          </w:tcPr>
          <w:p w14:paraId="0BB919D0" w14:textId="77777777" w:rsidR="00EF5B27" w:rsidRDefault="00EF5B27">
            <w:pPr>
              <w:pStyle w:val="TableParagraph"/>
              <w:spacing w:before="8"/>
              <w:rPr>
                <w:rFonts w:ascii="Times New Roman"/>
                <w:sz w:val="12"/>
              </w:rPr>
            </w:pPr>
          </w:p>
          <w:p w14:paraId="571FFA1B" w14:textId="77777777" w:rsidR="00EF5B27" w:rsidRDefault="00000000">
            <w:pPr>
              <w:pStyle w:val="TableParagraph"/>
              <w:ind w:left="126" w:right="120"/>
              <w:jc w:val="center"/>
              <w:rPr>
                <w:sz w:val="14"/>
              </w:rPr>
            </w:pPr>
            <w:r>
              <w:rPr>
                <w:color w:val="4D4D4F"/>
                <w:sz w:val="14"/>
              </w:rPr>
              <w:t>Weeds</w:t>
            </w:r>
          </w:p>
        </w:tc>
        <w:tc>
          <w:tcPr>
            <w:tcW w:w="2041" w:type="dxa"/>
          </w:tcPr>
          <w:p w14:paraId="00CACAD5" w14:textId="77777777" w:rsidR="00EF5B27" w:rsidRDefault="00EF5B27">
            <w:pPr>
              <w:pStyle w:val="TableParagraph"/>
              <w:spacing w:before="8"/>
              <w:rPr>
                <w:rFonts w:ascii="Times New Roman"/>
                <w:sz w:val="12"/>
              </w:rPr>
            </w:pPr>
          </w:p>
          <w:p w14:paraId="7ED40BDE" w14:textId="77777777" w:rsidR="00EF5B27" w:rsidRDefault="00000000">
            <w:pPr>
              <w:pStyle w:val="TableParagraph"/>
              <w:ind w:left="156" w:right="150"/>
              <w:jc w:val="center"/>
              <w:rPr>
                <w:sz w:val="14"/>
              </w:rPr>
            </w:pPr>
            <w:r>
              <w:rPr>
                <w:color w:val="4D4D4F"/>
                <w:w w:val="105"/>
                <w:sz w:val="14"/>
              </w:rPr>
              <w:t>De-rocked grassland</w:t>
            </w:r>
          </w:p>
        </w:tc>
        <w:tc>
          <w:tcPr>
            <w:tcW w:w="2154" w:type="dxa"/>
          </w:tcPr>
          <w:p w14:paraId="27D83039" w14:textId="77777777" w:rsidR="00EF5B27" w:rsidRDefault="00EF5B27">
            <w:pPr>
              <w:pStyle w:val="TableParagraph"/>
              <w:spacing w:before="8"/>
              <w:rPr>
                <w:rFonts w:ascii="Times New Roman"/>
                <w:sz w:val="12"/>
              </w:rPr>
            </w:pPr>
          </w:p>
          <w:p w14:paraId="2BBEC15E" w14:textId="77777777" w:rsidR="00EF5B27" w:rsidRDefault="00000000">
            <w:pPr>
              <w:pStyle w:val="TableParagraph"/>
              <w:ind w:left="966"/>
              <w:rPr>
                <w:sz w:val="14"/>
              </w:rPr>
            </w:pPr>
            <w:r>
              <w:rPr>
                <w:color w:val="4D4D4F"/>
                <w:w w:val="105"/>
                <w:sz w:val="14"/>
              </w:rPr>
              <w:t>N/A</w:t>
            </w:r>
          </w:p>
        </w:tc>
        <w:tc>
          <w:tcPr>
            <w:tcW w:w="1134" w:type="dxa"/>
          </w:tcPr>
          <w:p w14:paraId="500CF1A3" w14:textId="77777777" w:rsidR="00EF5B27" w:rsidRDefault="00EF5B27">
            <w:pPr>
              <w:pStyle w:val="TableParagraph"/>
              <w:spacing w:before="8"/>
              <w:rPr>
                <w:rFonts w:ascii="Times New Roman"/>
                <w:sz w:val="12"/>
              </w:rPr>
            </w:pPr>
          </w:p>
          <w:p w14:paraId="1B9EE6CA" w14:textId="77777777" w:rsidR="00EF5B27" w:rsidRDefault="00000000">
            <w:pPr>
              <w:pStyle w:val="TableParagraph"/>
              <w:ind w:left="81" w:right="75"/>
              <w:jc w:val="center"/>
              <w:rPr>
                <w:sz w:val="14"/>
              </w:rPr>
            </w:pPr>
            <w:r>
              <w:rPr>
                <w:color w:val="4D4D4F"/>
                <w:w w:val="105"/>
                <w:sz w:val="14"/>
              </w:rPr>
              <w:t>Unclear</w:t>
            </w:r>
          </w:p>
        </w:tc>
      </w:tr>
      <w:tr w:rsidR="00EF5B27" w14:paraId="2A8F6B77" w14:textId="77777777">
        <w:trPr>
          <w:trHeight w:val="448"/>
        </w:trPr>
        <w:tc>
          <w:tcPr>
            <w:tcW w:w="737" w:type="dxa"/>
          </w:tcPr>
          <w:p w14:paraId="754CCA87" w14:textId="77777777" w:rsidR="00EF5B27" w:rsidRDefault="00EF5B27">
            <w:pPr>
              <w:pStyle w:val="TableParagraph"/>
              <w:spacing w:before="8"/>
              <w:rPr>
                <w:rFonts w:ascii="Times New Roman"/>
                <w:sz w:val="12"/>
              </w:rPr>
            </w:pPr>
          </w:p>
          <w:p w14:paraId="1E02A291" w14:textId="77777777" w:rsidR="00EF5B27" w:rsidRDefault="00000000">
            <w:pPr>
              <w:pStyle w:val="TableParagraph"/>
              <w:ind w:left="7"/>
              <w:jc w:val="center"/>
              <w:rPr>
                <w:sz w:val="14"/>
              </w:rPr>
            </w:pPr>
            <w:r>
              <w:rPr>
                <w:color w:val="4D4D4F"/>
                <w:w w:val="96"/>
                <w:sz w:val="14"/>
              </w:rPr>
              <w:t>2</w:t>
            </w:r>
          </w:p>
        </w:tc>
        <w:tc>
          <w:tcPr>
            <w:tcW w:w="1361" w:type="dxa"/>
          </w:tcPr>
          <w:p w14:paraId="66236286" w14:textId="77777777" w:rsidR="00EF5B27" w:rsidRDefault="00000000">
            <w:pPr>
              <w:pStyle w:val="TableParagraph"/>
              <w:spacing w:before="56" w:line="252" w:lineRule="auto"/>
              <w:ind w:left="385" w:hanging="184"/>
              <w:rPr>
                <w:sz w:val="14"/>
              </w:rPr>
            </w:pPr>
            <w:r>
              <w:rPr>
                <w:color w:val="4D4D4F"/>
                <w:w w:val="105"/>
                <w:sz w:val="14"/>
              </w:rPr>
              <w:t>Grassy Eucalypt Woodland</w:t>
            </w:r>
          </w:p>
        </w:tc>
        <w:tc>
          <w:tcPr>
            <w:tcW w:w="737" w:type="dxa"/>
          </w:tcPr>
          <w:p w14:paraId="7687A450" w14:textId="77777777" w:rsidR="00EF5B27" w:rsidRDefault="00EF5B27">
            <w:pPr>
              <w:pStyle w:val="TableParagraph"/>
              <w:spacing w:before="8"/>
              <w:rPr>
                <w:rFonts w:ascii="Times New Roman"/>
                <w:sz w:val="12"/>
              </w:rPr>
            </w:pPr>
          </w:p>
          <w:p w14:paraId="4CB79802" w14:textId="77777777" w:rsidR="00EF5B27" w:rsidRDefault="00000000">
            <w:pPr>
              <w:pStyle w:val="TableParagraph"/>
              <w:ind w:left="6"/>
              <w:jc w:val="center"/>
              <w:rPr>
                <w:sz w:val="14"/>
              </w:rPr>
            </w:pPr>
            <w:r>
              <w:rPr>
                <w:color w:val="4D4D4F"/>
                <w:w w:val="96"/>
                <w:sz w:val="14"/>
              </w:rPr>
              <w:t>1</w:t>
            </w:r>
          </w:p>
        </w:tc>
        <w:tc>
          <w:tcPr>
            <w:tcW w:w="1474" w:type="dxa"/>
          </w:tcPr>
          <w:p w14:paraId="3A4F63D0" w14:textId="77777777" w:rsidR="00EF5B27" w:rsidRDefault="00EF5B27">
            <w:pPr>
              <w:pStyle w:val="TableParagraph"/>
              <w:spacing w:before="8"/>
              <w:rPr>
                <w:rFonts w:ascii="Times New Roman"/>
                <w:sz w:val="12"/>
              </w:rPr>
            </w:pPr>
          </w:p>
          <w:p w14:paraId="12B4E94C" w14:textId="77777777" w:rsidR="00EF5B27" w:rsidRDefault="00000000">
            <w:pPr>
              <w:pStyle w:val="TableParagraph"/>
              <w:ind w:left="126" w:right="120"/>
              <w:jc w:val="center"/>
              <w:rPr>
                <w:sz w:val="14"/>
              </w:rPr>
            </w:pPr>
            <w:r>
              <w:rPr>
                <w:color w:val="4D4D4F"/>
                <w:w w:val="105"/>
                <w:sz w:val="14"/>
              </w:rPr>
              <w:t>States</w:t>
            </w:r>
          </w:p>
        </w:tc>
        <w:tc>
          <w:tcPr>
            <w:tcW w:w="2041" w:type="dxa"/>
          </w:tcPr>
          <w:p w14:paraId="4166CE11" w14:textId="77777777" w:rsidR="00EF5B27" w:rsidRDefault="00EF5B27">
            <w:pPr>
              <w:pStyle w:val="TableParagraph"/>
              <w:spacing w:before="8"/>
              <w:rPr>
                <w:rFonts w:ascii="Times New Roman"/>
                <w:sz w:val="12"/>
              </w:rPr>
            </w:pPr>
          </w:p>
          <w:p w14:paraId="1FFC4AA1" w14:textId="77777777" w:rsidR="00EF5B27" w:rsidRDefault="00000000">
            <w:pPr>
              <w:pStyle w:val="TableParagraph"/>
              <w:ind w:left="156" w:right="150"/>
              <w:jc w:val="center"/>
              <w:rPr>
                <w:sz w:val="14"/>
              </w:rPr>
            </w:pPr>
            <w:r>
              <w:rPr>
                <w:color w:val="4D4D4F"/>
                <w:w w:val="105"/>
                <w:sz w:val="14"/>
              </w:rPr>
              <w:t>Herb-rich grassland</w:t>
            </w:r>
          </w:p>
        </w:tc>
        <w:tc>
          <w:tcPr>
            <w:tcW w:w="2154" w:type="dxa"/>
          </w:tcPr>
          <w:p w14:paraId="2CC7BDE8" w14:textId="77777777" w:rsidR="00EF5B27" w:rsidRDefault="00EF5B27">
            <w:pPr>
              <w:pStyle w:val="TableParagraph"/>
              <w:spacing w:before="8"/>
              <w:rPr>
                <w:rFonts w:ascii="Times New Roman"/>
                <w:sz w:val="12"/>
              </w:rPr>
            </w:pPr>
          </w:p>
          <w:p w14:paraId="05CD48B3" w14:textId="77777777" w:rsidR="00EF5B27" w:rsidRDefault="00000000">
            <w:pPr>
              <w:pStyle w:val="TableParagraph"/>
              <w:ind w:left="934"/>
              <w:rPr>
                <w:sz w:val="14"/>
              </w:rPr>
            </w:pPr>
            <w:r>
              <w:rPr>
                <w:color w:val="4D4D4F"/>
                <w:sz w:val="14"/>
              </w:rPr>
              <w:t>2022</w:t>
            </w:r>
          </w:p>
        </w:tc>
        <w:tc>
          <w:tcPr>
            <w:tcW w:w="1134" w:type="dxa"/>
          </w:tcPr>
          <w:p w14:paraId="2F6A9F38" w14:textId="77777777" w:rsidR="00EF5B27" w:rsidRDefault="00EF5B27">
            <w:pPr>
              <w:pStyle w:val="TableParagraph"/>
              <w:spacing w:before="8"/>
              <w:rPr>
                <w:rFonts w:ascii="Times New Roman"/>
                <w:sz w:val="12"/>
              </w:rPr>
            </w:pPr>
          </w:p>
          <w:p w14:paraId="286AF6EB" w14:textId="77777777" w:rsidR="00EF5B27" w:rsidRDefault="00000000">
            <w:pPr>
              <w:pStyle w:val="TableParagraph"/>
              <w:ind w:left="81" w:right="81"/>
              <w:jc w:val="center"/>
              <w:rPr>
                <w:sz w:val="14"/>
              </w:rPr>
            </w:pPr>
            <w:r>
              <w:rPr>
                <w:color w:val="4D4D4F"/>
                <w:w w:val="105"/>
                <w:sz w:val="14"/>
              </w:rPr>
              <w:t>N/A</w:t>
            </w:r>
          </w:p>
        </w:tc>
      </w:tr>
      <w:tr w:rsidR="00EF5B27" w14:paraId="53830F94" w14:textId="77777777">
        <w:trPr>
          <w:trHeight w:val="448"/>
        </w:trPr>
        <w:tc>
          <w:tcPr>
            <w:tcW w:w="737" w:type="dxa"/>
          </w:tcPr>
          <w:p w14:paraId="5B1A82C1" w14:textId="77777777" w:rsidR="00EF5B27" w:rsidRDefault="00EF5B27">
            <w:pPr>
              <w:pStyle w:val="TableParagraph"/>
              <w:spacing w:before="8"/>
              <w:rPr>
                <w:rFonts w:ascii="Times New Roman"/>
                <w:sz w:val="12"/>
              </w:rPr>
            </w:pPr>
          </w:p>
          <w:p w14:paraId="23170DBE" w14:textId="77777777" w:rsidR="00EF5B27" w:rsidRDefault="00000000">
            <w:pPr>
              <w:pStyle w:val="TableParagraph"/>
              <w:spacing w:before="1"/>
              <w:ind w:left="7"/>
              <w:jc w:val="center"/>
              <w:rPr>
                <w:sz w:val="14"/>
              </w:rPr>
            </w:pPr>
            <w:r>
              <w:rPr>
                <w:color w:val="4D4D4F"/>
                <w:w w:val="96"/>
                <w:sz w:val="14"/>
              </w:rPr>
              <w:t>2</w:t>
            </w:r>
          </w:p>
        </w:tc>
        <w:tc>
          <w:tcPr>
            <w:tcW w:w="1361" w:type="dxa"/>
          </w:tcPr>
          <w:p w14:paraId="4676ED84" w14:textId="77777777" w:rsidR="00EF5B27" w:rsidRDefault="00000000">
            <w:pPr>
              <w:pStyle w:val="TableParagraph"/>
              <w:spacing w:before="56" w:line="252" w:lineRule="auto"/>
              <w:ind w:left="385" w:hanging="184"/>
              <w:rPr>
                <w:sz w:val="14"/>
              </w:rPr>
            </w:pPr>
            <w:r>
              <w:rPr>
                <w:color w:val="4D4D4F"/>
                <w:w w:val="105"/>
                <w:sz w:val="14"/>
              </w:rPr>
              <w:t>Grassy Eucalypt Woodland</w:t>
            </w:r>
          </w:p>
        </w:tc>
        <w:tc>
          <w:tcPr>
            <w:tcW w:w="737" w:type="dxa"/>
          </w:tcPr>
          <w:p w14:paraId="5B82C355" w14:textId="77777777" w:rsidR="00EF5B27" w:rsidRDefault="00EF5B27">
            <w:pPr>
              <w:pStyle w:val="TableParagraph"/>
              <w:spacing w:before="8"/>
              <w:rPr>
                <w:rFonts w:ascii="Times New Roman"/>
                <w:sz w:val="12"/>
              </w:rPr>
            </w:pPr>
          </w:p>
          <w:p w14:paraId="428C80AD" w14:textId="77777777" w:rsidR="00EF5B27" w:rsidRDefault="00000000">
            <w:pPr>
              <w:pStyle w:val="TableParagraph"/>
              <w:spacing w:before="1"/>
              <w:ind w:left="6"/>
              <w:jc w:val="center"/>
              <w:rPr>
                <w:sz w:val="14"/>
              </w:rPr>
            </w:pPr>
            <w:r>
              <w:rPr>
                <w:color w:val="4D4D4F"/>
                <w:w w:val="96"/>
                <w:sz w:val="14"/>
              </w:rPr>
              <w:t>1</w:t>
            </w:r>
          </w:p>
        </w:tc>
        <w:tc>
          <w:tcPr>
            <w:tcW w:w="1474" w:type="dxa"/>
          </w:tcPr>
          <w:p w14:paraId="23313CCC" w14:textId="77777777" w:rsidR="00EF5B27" w:rsidRDefault="00EF5B27">
            <w:pPr>
              <w:pStyle w:val="TableParagraph"/>
              <w:spacing w:before="8"/>
              <w:rPr>
                <w:rFonts w:ascii="Times New Roman"/>
                <w:sz w:val="12"/>
              </w:rPr>
            </w:pPr>
          </w:p>
          <w:p w14:paraId="32F630AE" w14:textId="77777777" w:rsidR="00EF5B27" w:rsidRDefault="00000000">
            <w:pPr>
              <w:pStyle w:val="TableParagraph"/>
              <w:spacing w:before="1"/>
              <w:ind w:left="126" w:right="120"/>
              <w:jc w:val="center"/>
              <w:rPr>
                <w:sz w:val="14"/>
              </w:rPr>
            </w:pPr>
            <w:r>
              <w:rPr>
                <w:color w:val="4D4D4F"/>
                <w:w w:val="105"/>
                <w:sz w:val="14"/>
              </w:rPr>
              <w:t>States</w:t>
            </w:r>
          </w:p>
        </w:tc>
        <w:tc>
          <w:tcPr>
            <w:tcW w:w="2041" w:type="dxa"/>
          </w:tcPr>
          <w:p w14:paraId="29B6637F" w14:textId="77777777" w:rsidR="00EF5B27" w:rsidRDefault="00EF5B27">
            <w:pPr>
              <w:pStyle w:val="TableParagraph"/>
              <w:spacing w:before="8"/>
              <w:rPr>
                <w:rFonts w:ascii="Times New Roman"/>
                <w:sz w:val="12"/>
              </w:rPr>
            </w:pPr>
          </w:p>
          <w:p w14:paraId="5513C246" w14:textId="77777777" w:rsidR="00EF5B27" w:rsidRDefault="00000000">
            <w:pPr>
              <w:pStyle w:val="TableParagraph"/>
              <w:spacing w:before="1"/>
              <w:ind w:left="156" w:right="15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7210C7AD" w14:textId="77777777" w:rsidR="00EF5B27" w:rsidRDefault="00EF5B27">
            <w:pPr>
              <w:pStyle w:val="TableParagraph"/>
              <w:spacing w:before="8"/>
              <w:rPr>
                <w:rFonts w:ascii="Times New Roman"/>
                <w:sz w:val="12"/>
              </w:rPr>
            </w:pPr>
          </w:p>
          <w:p w14:paraId="08C9264C" w14:textId="77777777" w:rsidR="00EF5B27" w:rsidRDefault="00000000">
            <w:pPr>
              <w:pStyle w:val="TableParagraph"/>
              <w:spacing w:before="1"/>
              <w:ind w:left="934"/>
              <w:rPr>
                <w:sz w:val="14"/>
              </w:rPr>
            </w:pPr>
            <w:r>
              <w:rPr>
                <w:color w:val="4D4D4F"/>
                <w:sz w:val="14"/>
              </w:rPr>
              <w:t>2022</w:t>
            </w:r>
          </w:p>
        </w:tc>
        <w:tc>
          <w:tcPr>
            <w:tcW w:w="1134" w:type="dxa"/>
          </w:tcPr>
          <w:p w14:paraId="27CEDB32" w14:textId="77777777" w:rsidR="00EF5B27" w:rsidRDefault="00EF5B27">
            <w:pPr>
              <w:pStyle w:val="TableParagraph"/>
              <w:spacing w:before="8"/>
              <w:rPr>
                <w:rFonts w:ascii="Times New Roman"/>
                <w:sz w:val="12"/>
              </w:rPr>
            </w:pPr>
          </w:p>
          <w:p w14:paraId="45BBDFBC" w14:textId="77777777" w:rsidR="00EF5B27" w:rsidRDefault="00000000">
            <w:pPr>
              <w:pStyle w:val="TableParagraph"/>
              <w:spacing w:before="1"/>
              <w:ind w:left="81" w:right="81"/>
              <w:jc w:val="center"/>
              <w:rPr>
                <w:sz w:val="14"/>
              </w:rPr>
            </w:pPr>
            <w:r>
              <w:rPr>
                <w:color w:val="4D4D4F"/>
                <w:w w:val="105"/>
                <w:sz w:val="14"/>
              </w:rPr>
              <w:t>N/A</w:t>
            </w:r>
          </w:p>
        </w:tc>
      </w:tr>
      <w:tr w:rsidR="00EF5B27" w14:paraId="1C7221F0" w14:textId="77777777">
        <w:trPr>
          <w:trHeight w:val="448"/>
        </w:trPr>
        <w:tc>
          <w:tcPr>
            <w:tcW w:w="737" w:type="dxa"/>
          </w:tcPr>
          <w:p w14:paraId="65F98A43" w14:textId="77777777" w:rsidR="00EF5B27" w:rsidRDefault="00EF5B27">
            <w:pPr>
              <w:pStyle w:val="TableParagraph"/>
              <w:spacing w:before="8"/>
              <w:rPr>
                <w:rFonts w:ascii="Times New Roman"/>
                <w:sz w:val="12"/>
              </w:rPr>
            </w:pPr>
          </w:p>
          <w:p w14:paraId="313A22F4" w14:textId="77777777" w:rsidR="00EF5B27" w:rsidRDefault="00000000">
            <w:pPr>
              <w:pStyle w:val="TableParagraph"/>
              <w:spacing w:before="1"/>
              <w:ind w:left="7"/>
              <w:jc w:val="center"/>
              <w:rPr>
                <w:sz w:val="14"/>
              </w:rPr>
            </w:pPr>
            <w:r>
              <w:rPr>
                <w:color w:val="4D4D4F"/>
                <w:w w:val="96"/>
                <w:sz w:val="14"/>
              </w:rPr>
              <w:t>2</w:t>
            </w:r>
          </w:p>
        </w:tc>
        <w:tc>
          <w:tcPr>
            <w:tcW w:w="1361" w:type="dxa"/>
          </w:tcPr>
          <w:p w14:paraId="1E5BB2B9" w14:textId="77777777" w:rsidR="00EF5B27" w:rsidRDefault="00000000">
            <w:pPr>
              <w:pStyle w:val="TableParagraph"/>
              <w:spacing w:before="57" w:line="252" w:lineRule="auto"/>
              <w:ind w:left="385" w:hanging="184"/>
              <w:rPr>
                <w:sz w:val="14"/>
              </w:rPr>
            </w:pPr>
            <w:r>
              <w:rPr>
                <w:color w:val="4D4D4F"/>
                <w:w w:val="105"/>
                <w:sz w:val="14"/>
              </w:rPr>
              <w:t>Grassy Eucalypt Woodland</w:t>
            </w:r>
          </w:p>
        </w:tc>
        <w:tc>
          <w:tcPr>
            <w:tcW w:w="737" w:type="dxa"/>
          </w:tcPr>
          <w:p w14:paraId="3EE43302" w14:textId="77777777" w:rsidR="00EF5B27" w:rsidRDefault="00EF5B27">
            <w:pPr>
              <w:pStyle w:val="TableParagraph"/>
              <w:spacing w:before="8"/>
              <w:rPr>
                <w:rFonts w:ascii="Times New Roman"/>
                <w:sz w:val="12"/>
              </w:rPr>
            </w:pPr>
          </w:p>
          <w:p w14:paraId="5385985C" w14:textId="77777777" w:rsidR="00EF5B27" w:rsidRDefault="00000000">
            <w:pPr>
              <w:pStyle w:val="TableParagraph"/>
              <w:spacing w:before="1"/>
              <w:ind w:left="6"/>
              <w:jc w:val="center"/>
              <w:rPr>
                <w:sz w:val="14"/>
              </w:rPr>
            </w:pPr>
            <w:r>
              <w:rPr>
                <w:color w:val="4D4D4F"/>
                <w:w w:val="96"/>
                <w:sz w:val="14"/>
              </w:rPr>
              <w:t>1</w:t>
            </w:r>
          </w:p>
        </w:tc>
        <w:tc>
          <w:tcPr>
            <w:tcW w:w="1474" w:type="dxa"/>
          </w:tcPr>
          <w:p w14:paraId="4732E9F2" w14:textId="77777777" w:rsidR="00EF5B27" w:rsidRDefault="00EF5B27">
            <w:pPr>
              <w:pStyle w:val="TableParagraph"/>
              <w:spacing w:before="8"/>
              <w:rPr>
                <w:rFonts w:ascii="Times New Roman"/>
                <w:sz w:val="12"/>
              </w:rPr>
            </w:pPr>
          </w:p>
          <w:p w14:paraId="0745D1AB" w14:textId="77777777" w:rsidR="00EF5B27" w:rsidRDefault="00000000">
            <w:pPr>
              <w:pStyle w:val="TableParagraph"/>
              <w:spacing w:before="1"/>
              <w:ind w:left="126" w:right="120"/>
              <w:jc w:val="center"/>
              <w:rPr>
                <w:sz w:val="14"/>
              </w:rPr>
            </w:pPr>
            <w:r>
              <w:rPr>
                <w:color w:val="4D4D4F"/>
                <w:w w:val="105"/>
                <w:sz w:val="14"/>
              </w:rPr>
              <w:t>States</w:t>
            </w:r>
          </w:p>
        </w:tc>
        <w:tc>
          <w:tcPr>
            <w:tcW w:w="2041" w:type="dxa"/>
          </w:tcPr>
          <w:p w14:paraId="1C893E0D" w14:textId="77777777" w:rsidR="00EF5B27" w:rsidRDefault="00EF5B27">
            <w:pPr>
              <w:pStyle w:val="TableParagraph"/>
              <w:spacing w:before="8"/>
              <w:rPr>
                <w:rFonts w:ascii="Times New Roman"/>
                <w:sz w:val="12"/>
              </w:rPr>
            </w:pPr>
          </w:p>
          <w:p w14:paraId="581E43A6" w14:textId="77777777" w:rsidR="00EF5B27" w:rsidRDefault="00000000">
            <w:pPr>
              <w:pStyle w:val="TableParagraph"/>
              <w:spacing w:before="1"/>
              <w:ind w:left="156" w:right="150"/>
              <w:jc w:val="center"/>
              <w:rPr>
                <w:sz w:val="14"/>
              </w:rPr>
            </w:pPr>
            <w:r>
              <w:rPr>
                <w:color w:val="4D4D4F"/>
                <w:w w:val="105"/>
                <w:sz w:val="14"/>
              </w:rPr>
              <w:t>C3 grassland</w:t>
            </w:r>
          </w:p>
        </w:tc>
        <w:tc>
          <w:tcPr>
            <w:tcW w:w="2154" w:type="dxa"/>
          </w:tcPr>
          <w:p w14:paraId="1C1629B9" w14:textId="77777777" w:rsidR="00EF5B27" w:rsidRDefault="00EF5B27">
            <w:pPr>
              <w:pStyle w:val="TableParagraph"/>
              <w:spacing w:before="8"/>
              <w:rPr>
                <w:rFonts w:ascii="Times New Roman"/>
                <w:sz w:val="12"/>
              </w:rPr>
            </w:pPr>
          </w:p>
          <w:p w14:paraId="194B5FB2" w14:textId="77777777" w:rsidR="00EF5B27" w:rsidRDefault="00000000">
            <w:pPr>
              <w:pStyle w:val="TableParagraph"/>
              <w:spacing w:before="1"/>
              <w:ind w:left="934"/>
              <w:rPr>
                <w:sz w:val="14"/>
              </w:rPr>
            </w:pPr>
            <w:r>
              <w:rPr>
                <w:color w:val="4D4D4F"/>
                <w:sz w:val="14"/>
              </w:rPr>
              <w:t>2022</w:t>
            </w:r>
          </w:p>
        </w:tc>
        <w:tc>
          <w:tcPr>
            <w:tcW w:w="1134" w:type="dxa"/>
          </w:tcPr>
          <w:p w14:paraId="7BA3000F" w14:textId="77777777" w:rsidR="00EF5B27" w:rsidRDefault="00EF5B27">
            <w:pPr>
              <w:pStyle w:val="TableParagraph"/>
              <w:spacing w:before="8"/>
              <w:rPr>
                <w:rFonts w:ascii="Times New Roman"/>
                <w:sz w:val="12"/>
              </w:rPr>
            </w:pPr>
          </w:p>
          <w:p w14:paraId="37463BD5" w14:textId="77777777" w:rsidR="00EF5B27" w:rsidRDefault="00000000">
            <w:pPr>
              <w:pStyle w:val="TableParagraph"/>
              <w:spacing w:before="1"/>
              <w:ind w:left="81" w:right="81"/>
              <w:jc w:val="center"/>
              <w:rPr>
                <w:sz w:val="14"/>
              </w:rPr>
            </w:pPr>
            <w:r>
              <w:rPr>
                <w:color w:val="4D4D4F"/>
                <w:w w:val="105"/>
                <w:sz w:val="14"/>
              </w:rPr>
              <w:t>N/A</w:t>
            </w:r>
          </w:p>
        </w:tc>
      </w:tr>
      <w:tr w:rsidR="00EF5B27" w14:paraId="30A0E71F" w14:textId="77777777">
        <w:trPr>
          <w:trHeight w:val="448"/>
        </w:trPr>
        <w:tc>
          <w:tcPr>
            <w:tcW w:w="737" w:type="dxa"/>
          </w:tcPr>
          <w:p w14:paraId="618CB992" w14:textId="77777777" w:rsidR="00EF5B27" w:rsidRDefault="00EF5B27">
            <w:pPr>
              <w:pStyle w:val="TableParagraph"/>
              <w:spacing w:before="8"/>
              <w:rPr>
                <w:rFonts w:ascii="Times New Roman"/>
                <w:sz w:val="12"/>
              </w:rPr>
            </w:pPr>
          </w:p>
          <w:p w14:paraId="6EB7F785" w14:textId="77777777" w:rsidR="00EF5B27" w:rsidRDefault="00000000">
            <w:pPr>
              <w:pStyle w:val="TableParagraph"/>
              <w:spacing w:before="1"/>
              <w:ind w:left="7"/>
              <w:jc w:val="center"/>
              <w:rPr>
                <w:sz w:val="14"/>
              </w:rPr>
            </w:pPr>
            <w:r>
              <w:rPr>
                <w:color w:val="4D4D4F"/>
                <w:w w:val="96"/>
                <w:sz w:val="14"/>
              </w:rPr>
              <w:t>2</w:t>
            </w:r>
          </w:p>
        </w:tc>
        <w:tc>
          <w:tcPr>
            <w:tcW w:w="1361" w:type="dxa"/>
          </w:tcPr>
          <w:p w14:paraId="229F8F39" w14:textId="77777777" w:rsidR="00EF5B27" w:rsidRDefault="00000000">
            <w:pPr>
              <w:pStyle w:val="TableParagraph"/>
              <w:spacing w:before="57" w:line="252" w:lineRule="auto"/>
              <w:ind w:left="385" w:hanging="184"/>
              <w:rPr>
                <w:sz w:val="14"/>
              </w:rPr>
            </w:pPr>
            <w:r>
              <w:rPr>
                <w:color w:val="4D4D4F"/>
                <w:w w:val="105"/>
                <w:sz w:val="14"/>
              </w:rPr>
              <w:t>Grassy Eucalypt Woodland</w:t>
            </w:r>
          </w:p>
        </w:tc>
        <w:tc>
          <w:tcPr>
            <w:tcW w:w="737" w:type="dxa"/>
          </w:tcPr>
          <w:p w14:paraId="5E463261" w14:textId="77777777" w:rsidR="00EF5B27" w:rsidRDefault="00EF5B27">
            <w:pPr>
              <w:pStyle w:val="TableParagraph"/>
              <w:spacing w:before="8"/>
              <w:rPr>
                <w:rFonts w:ascii="Times New Roman"/>
                <w:sz w:val="12"/>
              </w:rPr>
            </w:pPr>
          </w:p>
          <w:p w14:paraId="4607A7AD" w14:textId="77777777" w:rsidR="00EF5B27" w:rsidRDefault="00000000">
            <w:pPr>
              <w:pStyle w:val="TableParagraph"/>
              <w:spacing w:before="1"/>
              <w:ind w:left="6"/>
              <w:jc w:val="center"/>
              <w:rPr>
                <w:sz w:val="14"/>
              </w:rPr>
            </w:pPr>
            <w:r>
              <w:rPr>
                <w:color w:val="4D4D4F"/>
                <w:w w:val="96"/>
                <w:sz w:val="14"/>
              </w:rPr>
              <w:t>1</w:t>
            </w:r>
          </w:p>
        </w:tc>
        <w:tc>
          <w:tcPr>
            <w:tcW w:w="1474" w:type="dxa"/>
          </w:tcPr>
          <w:p w14:paraId="2EB87C07" w14:textId="77777777" w:rsidR="00EF5B27" w:rsidRDefault="00EF5B27">
            <w:pPr>
              <w:pStyle w:val="TableParagraph"/>
              <w:spacing w:before="8"/>
              <w:rPr>
                <w:rFonts w:ascii="Times New Roman"/>
                <w:sz w:val="12"/>
              </w:rPr>
            </w:pPr>
          </w:p>
          <w:p w14:paraId="767AECC2" w14:textId="77777777" w:rsidR="00EF5B27" w:rsidRDefault="00000000">
            <w:pPr>
              <w:pStyle w:val="TableParagraph"/>
              <w:spacing w:before="1"/>
              <w:ind w:left="126" w:right="120"/>
              <w:jc w:val="center"/>
              <w:rPr>
                <w:sz w:val="14"/>
              </w:rPr>
            </w:pPr>
            <w:r>
              <w:rPr>
                <w:color w:val="4D4D4F"/>
                <w:w w:val="105"/>
                <w:sz w:val="14"/>
              </w:rPr>
              <w:t>States</w:t>
            </w:r>
          </w:p>
        </w:tc>
        <w:tc>
          <w:tcPr>
            <w:tcW w:w="2041" w:type="dxa"/>
          </w:tcPr>
          <w:p w14:paraId="64D9D4F9" w14:textId="77777777" w:rsidR="00EF5B27" w:rsidRDefault="00EF5B27">
            <w:pPr>
              <w:pStyle w:val="TableParagraph"/>
              <w:spacing w:before="8"/>
              <w:rPr>
                <w:rFonts w:ascii="Times New Roman"/>
                <w:sz w:val="12"/>
              </w:rPr>
            </w:pPr>
          </w:p>
          <w:p w14:paraId="13CC3019" w14:textId="77777777" w:rsidR="00EF5B27" w:rsidRDefault="00000000">
            <w:pPr>
              <w:pStyle w:val="TableParagraph"/>
              <w:spacing w:before="1"/>
              <w:ind w:left="156" w:right="150"/>
              <w:jc w:val="center"/>
              <w:rPr>
                <w:sz w:val="14"/>
              </w:rPr>
            </w:pPr>
            <w:r>
              <w:rPr>
                <w:color w:val="4D4D4F"/>
                <w:w w:val="105"/>
                <w:sz w:val="14"/>
              </w:rPr>
              <w:t>Nutrient-enriched grassland</w:t>
            </w:r>
          </w:p>
        </w:tc>
        <w:tc>
          <w:tcPr>
            <w:tcW w:w="2154" w:type="dxa"/>
          </w:tcPr>
          <w:p w14:paraId="1B5DE82E" w14:textId="77777777" w:rsidR="00EF5B27" w:rsidRDefault="00EF5B27">
            <w:pPr>
              <w:pStyle w:val="TableParagraph"/>
              <w:spacing w:before="8"/>
              <w:rPr>
                <w:rFonts w:ascii="Times New Roman"/>
                <w:sz w:val="12"/>
              </w:rPr>
            </w:pPr>
          </w:p>
          <w:p w14:paraId="7CA0EFEB" w14:textId="77777777" w:rsidR="00EF5B27" w:rsidRDefault="00000000">
            <w:pPr>
              <w:pStyle w:val="TableParagraph"/>
              <w:spacing w:before="1"/>
              <w:ind w:left="934"/>
              <w:rPr>
                <w:sz w:val="14"/>
              </w:rPr>
            </w:pPr>
            <w:r>
              <w:rPr>
                <w:color w:val="4D4D4F"/>
                <w:sz w:val="14"/>
              </w:rPr>
              <w:t>2022</w:t>
            </w:r>
          </w:p>
        </w:tc>
        <w:tc>
          <w:tcPr>
            <w:tcW w:w="1134" w:type="dxa"/>
          </w:tcPr>
          <w:p w14:paraId="452107F3" w14:textId="77777777" w:rsidR="00EF5B27" w:rsidRDefault="00EF5B27">
            <w:pPr>
              <w:pStyle w:val="TableParagraph"/>
              <w:spacing w:before="8"/>
              <w:rPr>
                <w:rFonts w:ascii="Times New Roman"/>
                <w:sz w:val="12"/>
              </w:rPr>
            </w:pPr>
          </w:p>
          <w:p w14:paraId="1F3ADF9A" w14:textId="77777777" w:rsidR="00EF5B27" w:rsidRDefault="00000000">
            <w:pPr>
              <w:pStyle w:val="TableParagraph"/>
              <w:spacing w:before="1"/>
              <w:ind w:left="81" w:right="81"/>
              <w:jc w:val="center"/>
              <w:rPr>
                <w:sz w:val="14"/>
              </w:rPr>
            </w:pPr>
            <w:r>
              <w:rPr>
                <w:color w:val="4D4D4F"/>
                <w:w w:val="105"/>
                <w:sz w:val="14"/>
              </w:rPr>
              <w:t>N/A</w:t>
            </w:r>
          </w:p>
        </w:tc>
      </w:tr>
      <w:tr w:rsidR="00EF5B27" w14:paraId="7A1B7E40" w14:textId="77777777">
        <w:trPr>
          <w:trHeight w:val="448"/>
        </w:trPr>
        <w:tc>
          <w:tcPr>
            <w:tcW w:w="737" w:type="dxa"/>
          </w:tcPr>
          <w:p w14:paraId="27CF5160" w14:textId="77777777" w:rsidR="00EF5B27" w:rsidRDefault="00EF5B27">
            <w:pPr>
              <w:pStyle w:val="TableParagraph"/>
              <w:spacing w:before="8"/>
              <w:rPr>
                <w:rFonts w:ascii="Times New Roman"/>
                <w:sz w:val="12"/>
              </w:rPr>
            </w:pPr>
          </w:p>
          <w:p w14:paraId="5771A3CB" w14:textId="77777777" w:rsidR="00EF5B27" w:rsidRDefault="00000000">
            <w:pPr>
              <w:pStyle w:val="TableParagraph"/>
              <w:spacing w:before="1"/>
              <w:ind w:left="7"/>
              <w:jc w:val="center"/>
              <w:rPr>
                <w:sz w:val="14"/>
              </w:rPr>
            </w:pPr>
            <w:r>
              <w:rPr>
                <w:color w:val="4D4D4F"/>
                <w:w w:val="96"/>
                <w:sz w:val="14"/>
              </w:rPr>
              <w:t>2</w:t>
            </w:r>
          </w:p>
        </w:tc>
        <w:tc>
          <w:tcPr>
            <w:tcW w:w="1361" w:type="dxa"/>
          </w:tcPr>
          <w:p w14:paraId="3DA58D5F" w14:textId="77777777" w:rsidR="00EF5B27" w:rsidRDefault="00000000">
            <w:pPr>
              <w:pStyle w:val="TableParagraph"/>
              <w:spacing w:before="57" w:line="252" w:lineRule="auto"/>
              <w:ind w:left="385" w:hanging="184"/>
              <w:rPr>
                <w:sz w:val="14"/>
              </w:rPr>
            </w:pPr>
            <w:r>
              <w:rPr>
                <w:color w:val="4D4D4F"/>
                <w:w w:val="105"/>
                <w:sz w:val="14"/>
              </w:rPr>
              <w:t>Grassy Eucalypt Woodland</w:t>
            </w:r>
          </w:p>
        </w:tc>
        <w:tc>
          <w:tcPr>
            <w:tcW w:w="737" w:type="dxa"/>
          </w:tcPr>
          <w:p w14:paraId="132D3B33" w14:textId="77777777" w:rsidR="00EF5B27" w:rsidRDefault="00EF5B27">
            <w:pPr>
              <w:pStyle w:val="TableParagraph"/>
              <w:spacing w:before="8"/>
              <w:rPr>
                <w:rFonts w:ascii="Times New Roman"/>
                <w:sz w:val="12"/>
              </w:rPr>
            </w:pPr>
          </w:p>
          <w:p w14:paraId="4944C428" w14:textId="77777777" w:rsidR="00EF5B27" w:rsidRDefault="00000000">
            <w:pPr>
              <w:pStyle w:val="TableParagraph"/>
              <w:spacing w:before="1"/>
              <w:ind w:left="6"/>
              <w:jc w:val="center"/>
              <w:rPr>
                <w:sz w:val="14"/>
              </w:rPr>
            </w:pPr>
            <w:r>
              <w:rPr>
                <w:color w:val="4D4D4F"/>
                <w:w w:val="96"/>
                <w:sz w:val="14"/>
              </w:rPr>
              <w:t>1</w:t>
            </w:r>
          </w:p>
        </w:tc>
        <w:tc>
          <w:tcPr>
            <w:tcW w:w="1474" w:type="dxa"/>
          </w:tcPr>
          <w:p w14:paraId="6E2607F2" w14:textId="77777777" w:rsidR="00EF5B27" w:rsidRDefault="00EF5B27">
            <w:pPr>
              <w:pStyle w:val="TableParagraph"/>
              <w:spacing w:before="8"/>
              <w:rPr>
                <w:rFonts w:ascii="Times New Roman"/>
                <w:sz w:val="12"/>
              </w:rPr>
            </w:pPr>
          </w:p>
          <w:p w14:paraId="440BD1D0" w14:textId="77777777" w:rsidR="00EF5B27" w:rsidRDefault="00000000">
            <w:pPr>
              <w:pStyle w:val="TableParagraph"/>
              <w:spacing w:before="1"/>
              <w:ind w:left="126" w:right="120"/>
              <w:jc w:val="center"/>
              <w:rPr>
                <w:sz w:val="14"/>
              </w:rPr>
            </w:pPr>
            <w:r>
              <w:rPr>
                <w:color w:val="4D4D4F"/>
                <w:w w:val="105"/>
                <w:sz w:val="14"/>
              </w:rPr>
              <w:t>States</w:t>
            </w:r>
          </w:p>
        </w:tc>
        <w:tc>
          <w:tcPr>
            <w:tcW w:w="2041" w:type="dxa"/>
          </w:tcPr>
          <w:p w14:paraId="147CFEFE" w14:textId="77777777" w:rsidR="00EF5B27" w:rsidRDefault="00EF5B27">
            <w:pPr>
              <w:pStyle w:val="TableParagraph"/>
              <w:spacing w:before="8"/>
              <w:rPr>
                <w:rFonts w:ascii="Times New Roman"/>
                <w:sz w:val="12"/>
              </w:rPr>
            </w:pPr>
          </w:p>
          <w:p w14:paraId="1A4F155E" w14:textId="77777777" w:rsidR="00EF5B27" w:rsidRDefault="00000000">
            <w:pPr>
              <w:pStyle w:val="TableParagraph"/>
              <w:spacing w:before="1"/>
              <w:ind w:left="156" w:right="150"/>
              <w:jc w:val="center"/>
              <w:rPr>
                <w:sz w:val="14"/>
              </w:rPr>
            </w:pPr>
            <w:r>
              <w:rPr>
                <w:color w:val="4D4D4F"/>
                <w:w w:val="105"/>
                <w:sz w:val="14"/>
              </w:rPr>
              <w:t>De-rocked grassland</w:t>
            </w:r>
          </w:p>
        </w:tc>
        <w:tc>
          <w:tcPr>
            <w:tcW w:w="2154" w:type="dxa"/>
          </w:tcPr>
          <w:p w14:paraId="66F36860" w14:textId="77777777" w:rsidR="00EF5B27" w:rsidRDefault="00EF5B27">
            <w:pPr>
              <w:pStyle w:val="TableParagraph"/>
              <w:spacing w:before="8"/>
              <w:rPr>
                <w:rFonts w:ascii="Times New Roman"/>
                <w:sz w:val="12"/>
              </w:rPr>
            </w:pPr>
          </w:p>
          <w:p w14:paraId="22F811AE" w14:textId="77777777" w:rsidR="00EF5B27" w:rsidRDefault="00000000">
            <w:pPr>
              <w:pStyle w:val="TableParagraph"/>
              <w:spacing w:before="1"/>
              <w:ind w:left="934"/>
              <w:rPr>
                <w:sz w:val="14"/>
              </w:rPr>
            </w:pPr>
            <w:r>
              <w:rPr>
                <w:color w:val="4D4D4F"/>
                <w:sz w:val="14"/>
              </w:rPr>
              <w:t>2022</w:t>
            </w:r>
          </w:p>
        </w:tc>
        <w:tc>
          <w:tcPr>
            <w:tcW w:w="1134" w:type="dxa"/>
          </w:tcPr>
          <w:p w14:paraId="21CAFBC8" w14:textId="77777777" w:rsidR="00EF5B27" w:rsidRDefault="00EF5B27">
            <w:pPr>
              <w:pStyle w:val="TableParagraph"/>
              <w:spacing w:before="8"/>
              <w:rPr>
                <w:rFonts w:ascii="Times New Roman"/>
                <w:sz w:val="12"/>
              </w:rPr>
            </w:pPr>
          </w:p>
          <w:p w14:paraId="0329EAA5" w14:textId="77777777" w:rsidR="00EF5B27" w:rsidRDefault="00000000">
            <w:pPr>
              <w:pStyle w:val="TableParagraph"/>
              <w:spacing w:before="1"/>
              <w:ind w:left="81" w:right="81"/>
              <w:jc w:val="center"/>
              <w:rPr>
                <w:sz w:val="14"/>
              </w:rPr>
            </w:pPr>
            <w:r>
              <w:rPr>
                <w:color w:val="4D4D4F"/>
                <w:w w:val="105"/>
                <w:sz w:val="14"/>
              </w:rPr>
              <w:t>N/A</w:t>
            </w:r>
          </w:p>
        </w:tc>
      </w:tr>
    </w:tbl>
    <w:p w14:paraId="0BC753F1" w14:textId="77777777" w:rsidR="00EF5B27" w:rsidRDefault="00EF5B27">
      <w:pPr>
        <w:jc w:val="center"/>
        <w:rPr>
          <w:sz w:val="14"/>
        </w:rPr>
        <w:sectPr w:rsidR="00EF5B27">
          <w:pgSz w:w="11910" w:h="16840"/>
          <w:pgMar w:top="1080" w:right="1020" w:bottom="860" w:left="1020" w:header="537" w:footer="678" w:gutter="0"/>
          <w:cols w:space="720"/>
        </w:sectPr>
      </w:pPr>
    </w:p>
    <w:p w14:paraId="78EC0450" w14:textId="77777777" w:rsidR="00EF5B27" w:rsidRDefault="00000000">
      <w:pPr>
        <w:pStyle w:val="BodyText"/>
        <w:rPr>
          <w:rFonts w:ascii="Times New Roman"/>
        </w:rPr>
      </w:pPr>
      <w:r>
        <w:lastRenderedPageBreak/>
        <w:pict w14:anchorId="36F2B5D0">
          <v:group id="_x0000_s2623" style="position:absolute;margin-left:587.05pt;margin-top:183.4pt;width:8.25pt;height:153.1pt;z-index:251742720;mso-position-horizontal-relative:page;mso-position-vertical-relative:page" coordorigin="11741,3668" coordsize="165,3062">
            <v:shape id="_x0000_s2630" style="position:absolute;left:11741;top:3668;width:165;height:561" coordorigin="11741,3668" coordsize="165,561" path="m11906,3668r-165,l11741,4228r165,-18l11906,3668xe" fillcolor="#00aed9" stroked="f">
              <v:path arrowok="t"/>
            </v:shape>
            <v:shape id="_x0000_s2629" style="position:absolute;left:11741;top:4118;width:165;height:425" coordorigin="11741,4118" coordsize="165,425" path="m11906,4118r-165,14l11741,4531r165,12l11906,4118xe" fillcolor="#047ebc" stroked="f">
              <v:path arrowok="t"/>
            </v:shape>
            <v:shape id="_x0000_s2628" type="#_x0000_t75" style="position:absolute;left:11741;top:4355;width:165;height:587">
              <v:imagedata r:id="rId42" o:title=""/>
            </v:shape>
            <v:shape id="_x0000_s2627" style="position:absolute;left:11741;top:5343;width:165;height:536" coordorigin="11741,5343" coordsize="165,536" path="m11741,5343r,535l11906,5872r,-525l11741,5343xe" fillcolor="#f36a2e" stroked="f">
              <v:path arrowok="t"/>
            </v:shape>
            <v:shape id="_x0000_s2626" style="position:absolute;left:11741;top:4925;width:165;height:501" coordorigin="11741,4926" coordsize="165,501" path="m11741,4926r,500l11906,5426r,-485l11741,4926xe" fillcolor="#49783f" stroked="f">
              <v:path arrowok="t"/>
            </v:shape>
            <v:shape id="_x0000_s2625" style="position:absolute;left:11741;top:5781;width:165;height:268" coordorigin="11741,5782" coordsize="165,268" path="m11906,5782r-165,8l11741,6039r165,10l11906,5782xe" fillcolor="#f99f2a" stroked="f">
              <v:path arrowok="t"/>
            </v:shape>
            <v:shape id="_x0000_s2624" style="position:absolute;left:11741;top:6023;width:165;height:707" coordorigin="11741,6023" coordsize="165,707" path="m11741,6023r,706l11906,6729r,-690l11741,6023xe" fillcolor="#ef412c" stroked="f">
              <v:path arrowok="t"/>
            </v:shape>
            <w10:wrap anchorx="page" anchory="page"/>
          </v:group>
        </w:pict>
      </w:r>
    </w:p>
    <w:p w14:paraId="116E6102" w14:textId="77777777" w:rsidR="00EF5B27" w:rsidRDefault="00EF5B27">
      <w:pPr>
        <w:pStyle w:val="BodyText"/>
        <w:rPr>
          <w:rFonts w:ascii="Times New Roman"/>
        </w:rPr>
      </w:pPr>
    </w:p>
    <w:p w14:paraId="528C4B96" w14:textId="77777777" w:rsidR="00EF5B27" w:rsidRDefault="00EF5B27">
      <w:pPr>
        <w:pStyle w:val="BodyText"/>
        <w:rPr>
          <w:rFonts w:ascii="Times New Roman"/>
        </w:rPr>
      </w:pPr>
    </w:p>
    <w:p w14:paraId="6B3CACBB" w14:textId="77777777" w:rsidR="00EF5B27" w:rsidRDefault="00EF5B27">
      <w:pPr>
        <w:pStyle w:val="BodyText"/>
        <w:rPr>
          <w:rFonts w:ascii="Times New Roman"/>
        </w:rPr>
      </w:pPr>
    </w:p>
    <w:p w14:paraId="11BB69B6" w14:textId="77777777" w:rsidR="00EF5B27" w:rsidRDefault="00EF5B27">
      <w:pPr>
        <w:pStyle w:val="BodyText"/>
        <w:spacing w:before="4"/>
        <w:rPr>
          <w:rFonts w:ascii="Times New Roman"/>
          <w:sz w:val="22"/>
        </w:rPr>
      </w:pPr>
    </w:p>
    <w:tbl>
      <w:tblPr>
        <w:tblW w:w="0" w:type="auto"/>
        <w:tblInd w:w="11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37"/>
        <w:gridCol w:w="1361"/>
        <w:gridCol w:w="737"/>
        <w:gridCol w:w="1474"/>
        <w:gridCol w:w="2041"/>
        <w:gridCol w:w="2154"/>
        <w:gridCol w:w="1134"/>
      </w:tblGrid>
      <w:tr w:rsidR="00EF5B27" w14:paraId="1519DC69" w14:textId="77777777">
        <w:trPr>
          <w:trHeight w:val="732"/>
        </w:trPr>
        <w:tc>
          <w:tcPr>
            <w:tcW w:w="737" w:type="dxa"/>
            <w:tcBorders>
              <w:bottom w:val="single" w:sz="4" w:space="0" w:color="000000"/>
            </w:tcBorders>
            <w:shd w:val="clear" w:color="auto" w:fill="FECC91"/>
          </w:tcPr>
          <w:p w14:paraId="5DD3349F" w14:textId="77777777" w:rsidR="00EF5B27" w:rsidRDefault="00000000">
            <w:pPr>
              <w:pStyle w:val="TableParagraph"/>
              <w:spacing w:before="176"/>
              <w:ind w:left="155"/>
              <w:rPr>
                <w:b/>
                <w:sz w:val="16"/>
              </w:rPr>
            </w:pPr>
            <w:r>
              <w:rPr>
                <w:b/>
                <w:w w:val="105"/>
                <w:sz w:val="16"/>
              </w:rPr>
              <w:t>MNES</w:t>
            </w:r>
          </w:p>
          <w:p w14:paraId="0A9698DF" w14:textId="77777777" w:rsidR="00EF5B27" w:rsidRDefault="00000000">
            <w:pPr>
              <w:pStyle w:val="TableParagraph"/>
              <w:spacing w:before="4"/>
              <w:ind w:left="86"/>
              <w:rPr>
                <w:b/>
                <w:sz w:val="16"/>
              </w:rPr>
            </w:pPr>
            <w:r>
              <w:rPr>
                <w:b/>
                <w:sz w:val="16"/>
              </w:rPr>
              <w:t>Number</w:t>
            </w:r>
          </w:p>
        </w:tc>
        <w:tc>
          <w:tcPr>
            <w:tcW w:w="1361" w:type="dxa"/>
            <w:tcBorders>
              <w:bottom w:val="single" w:sz="4" w:space="0" w:color="000000"/>
            </w:tcBorders>
            <w:shd w:val="clear" w:color="auto" w:fill="FECC91"/>
          </w:tcPr>
          <w:p w14:paraId="4E736612" w14:textId="77777777" w:rsidR="00EF5B27" w:rsidRDefault="00EF5B27">
            <w:pPr>
              <w:pStyle w:val="TableParagraph"/>
              <w:rPr>
                <w:rFonts w:ascii="Times New Roman"/>
                <w:sz w:val="24"/>
              </w:rPr>
            </w:pPr>
          </w:p>
          <w:p w14:paraId="3C1FB02F" w14:textId="77777777" w:rsidR="00EF5B27" w:rsidRDefault="00000000">
            <w:pPr>
              <w:pStyle w:val="TableParagraph"/>
              <w:ind w:left="260"/>
              <w:rPr>
                <w:b/>
                <w:sz w:val="16"/>
              </w:rPr>
            </w:pPr>
            <w:r>
              <w:rPr>
                <w:b/>
                <w:sz w:val="16"/>
              </w:rPr>
              <w:t>MNES name</w:t>
            </w:r>
          </w:p>
        </w:tc>
        <w:tc>
          <w:tcPr>
            <w:tcW w:w="737" w:type="dxa"/>
            <w:tcBorders>
              <w:bottom w:val="single" w:sz="4" w:space="0" w:color="000000"/>
            </w:tcBorders>
            <w:shd w:val="clear" w:color="auto" w:fill="FECC91"/>
          </w:tcPr>
          <w:p w14:paraId="26B6C747" w14:textId="77777777" w:rsidR="00EF5B27" w:rsidRDefault="00000000">
            <w:pPr>
              <w:pStyle w:val="TableParagraph"/>
              <w:spacing w:before="176"/>
              <w:ind w:left="73" w:right="80"/>
              <w:jc w:val="center"/>
              <w:rPr>
                <w:b/>
                <w:sz w:val="16"/>
              </w:rPr>
            </w:pPr>
            <w:r>
              <w:rPr>
                <w:b/>
                <w:w w:val="110"/>
                <w:sz w:val="16"/>
              </w:rPr>
              <w:t>KPI</w:t>
            </w:r>
          </w:p>
          <w:p w14:paraId="4D07BE37" w14:textId="77777777" w:rsidR="00EF5B27" w:rsidRDefault="00000000">
            <w:pPr>
              <w:pStyle w:val="TableParagraph"/>
              <w:spacing w:before="4"/>
              <w:ind w:left="72" w:right="80"/>
              <w:jc w:val="center"/>
              <w:rPr>
                <w:b/>
                <w:sz w:val="16"/>
              </w:rPr>
            </w:pPr>
            <w:r>
              <w:rPr>
                <w:b/>
                <w:sz w:val="16"/>
              </w:rPr>
              <w:t>number</w:t>
            </w:r>
          </w:p>
        </w:tc>
        <w:tc>
          <w:tcPr>
            <w:tcW w:w="1474" w:type="dxa"/>
            <w:tcBorders>
              <w:bottom w:val="single" w:sz="4" w:space="0" w:color="000000"/>
            </w:tcBorders>
            <w:shd w:val="clear" w:color="auto" w:fill="FECC91"/>
          </w:tcPr>
          <w:p w14:paraId="3D193280" w14:textId="77777777" w:rsidR="00EF5B27" w:rsidRDefault="00EF5B27">
            <w:pPr>
              <w:pStyle w:val="TableParagraph"/>
              <w:rPr>
                <w:rFonts w:ascii="Times New Roman"/>
                <w:sz w:val="24"/>
              </w:rPr>
            </w:pPr>
          </w:p>
          <w:p w14:paraId="0AB32F45" w14:textId="77777777" w:rsidR="00EF5B27" w:rsidRDefault="00000000">
            <w:pPr>
              <w:pStyle w:val="TableParagraph"/>
              <w:ind w:left="111" w:right="120"/>
              <w:jc w:val="center"/>
              <w:rPr>
                <w:b/>
                <w:sz w:val="16"/>
              </w:rPr>
            </w:pPr>
            <w:r>
              <w:rPr>
                <w:b/>
                <w:w w:val="105"/>
                <w:sz w:val="16"/>
              </w:rPr>
              <w:t>KPI type</w:t>
            </w:r>
          </w:p>
        </w:tc>
        <w:tc>
          <w:tcPr>
            <w:tcW w:w="2041" w:type="dxa"/>
            <w:tcBorders>
              <w:bottom w:val="single" w:sz="4" w:space="0" w:color="000000"/>
            </w:tcBorders>
            <w:shd w:val="clear" w:color="auto" w:fill="FECC91"/>
          </w:tcPr>
          <w:p w14:paraId="17292A95" w14:textId="77777777" w:rsidR="00EF5B27" w:rsidRDefault="00EF5B27">
            <w:pPr>
              <w:pStyle w:val="TableParagraph"/>
              <w:rPr>
                <w:rFonts w:ascii="Times New Roman"/>
                <w:sz w:val="24"/>
              </w:rPr>
            </w:pPr>
          </w:p>
          <w:p w14:paraId="215358AB" w14:textId="77777777" w:rsidR="00EF5B27" w:rsidRDefault="00000000">
            <w:pPr>
              <w:pStyle w:val="TableParagraph"/>
              <w:ind w:left="141" w:right="150"/>
              <w:jc w:val="center"/>
              <w:rPr>
                <w:b/>
                <w:sz w:val="16"/>
              </w:rPr>
            </w:pPr>
            <w:r>
              <w:rPr>
                <w:b/>
                <w:sz w:val="16"/>
              </w:rPr>
              <w:t>Location</w:t>
            </w:r>
          </w:p>
        </w:tc>
        <w:tc>
          <w:tcPr>
            <w:tcW w:w="2154" w:type="dxa"/>
            <w:tcBorders>
              <w:bottom w:val="single" w:sz="4" w:space="0" w:color="000000"/>
            </w:tcBorders>
            <w:shd w:val="clear" w:color="auto" w:fill="FECC91"/>
          </w:tcPr>
          <w:p w14:paraId="157D56FD" w14:textId="77777777" w:rsidR="00EF5B27" w:rsidRDefault="00000000">
            <w:pPr>
              <w:pStyle w:val="TableParagraph"/>
              <w:spacing w:before="76"/>
              <w:ind w:left="79"/>
              <w:rPr>
                <w:b/>
                <w:sz w:val="16"/>
              </w:rPr>
            </w:pPr>
            <w:r>
              <w:rPr>
                <w:b/>
                <w:sz w:val="16"/>
              </w:rPr>
              <w:t>First year of MSA monitoring</w:t>
            </w:r>
          </w:p>
          <w:p w14:paraId="047EEA9A" w14:textId="77777777" w:rsidR="00EF5B27" w:rsidRDefault="00000000">
            <w:pPr>
              <w:pStyle w:val="TableParagraph"/>
              <w:spacing w:before="4" w:line="244" w:lineRule="auto"/>
              <w:ind w:left="112" w:right="122"/>
              <w:jc w:val="center"/>
              <w:rPr>
                <w:b/>
                <w:sz w:val="16"/>
              </w:rPr>
            </w:pPr>
            <w:r>
              <w:rPr>
                <w:b/>
                <w:sz w:val="16"/>
              </w:rPr>
              <w:t>/year that monitoring is expected to commence</w:t>
            </w:r>
          </w:p>
        </w:tc>
        <w:tc>
          <w:tcPr>
            <w:tcW w:w="1134" w:type="dxa"/>
            <w:tcBorders>
              <w:bottom w:val="single" w:sz="4" w:space="0" w:color="000000"/>
            </w:tcBorders>
            <w:shd w:val="clear" w:color="auto" w:fill="FECC91"/>
          </w:tcPr>
          <w:p w14:paraId="13FABC63" w14:textId="77777777" w:rsidR="00EF5B27" w:rsidRDefault="00000000">
            <w:pPr>
              <w:pStyle w:val="TableParagraph"/>
              <w:spacing w:before="76" w:line="244" w:lineRule="auto"/>
              <w:ind w:left="74" w:right="83"/>
              <w:jc w:val="center"/>
              <w:rPr>
                <w:b/>
                <w:sz w:val="16"/>
              </w:rPr>
            </w:pPr>
            <w:r>
              <w:rPr>
                <w:b/>
                <w:sz w:val="16"/>
              </w:rPr>
              <w:t>Year that baseline was/ will be set</w:t>
            </w:r>
          </w:p>
        </w:tc>
      </w:tr>
      <w:tr w:rsidR="00EF5B27" w14:paraId="6FE813D1" w14:textId="77777777">
        <w:trPr>
          <w:trHeight w:val="448"/>
        </w:trPr>
        <w:tc>
          <w:tcPr>
            <w:tcW w:w="737" w:type="dxa"/>
            <w:tcBorders>
              <w:top w:val="single" w:sz="4" w:space="0" w:color="000000"/>
            </w:tcBorders>
          </w:tcPr>
          <w:p w14:paraId="1C2975B3" w14:textId="77777777" w:rsidR="00EF5B27" w:rsidRDefault="00EF5B27">
            <w:pPr>
              <w:pStyle w:val="TableParagraph"/>
              <w:spacing w:before="7"/>
              <w:rPr>
                <w:rFonts w:ascii="Times New Roman"/>
                <w:sz w:val="12"/>
              </w:rPr>
            </w:pPr>
          </w:p>
          <w:p w14:paraId="7D95076D" w14:textId="77777777" w:rsidR="00EF5B27" w:rsidRDefault="00000000">
            <w:pPr>
              <w:pStyle w:val="TableParagraph"/>
              <w:ind w:left="20"/>
              <w:jc w:val="center"/>
              <w:rPr>
                <w:sz w:val="14"/>
              </w:rPr>
            </w:pPr>
            <w:r>
              <w:rPr>
                <w:color w:val="4D4D4F"/>
                <w:w w:val="96"/>
                <w:sz w:val="14"/>
              </w:rPr>
              <w:t>2</w:t>
            </w:r>
          </w:p>
        </w:tc>
        <w:tc>
          <w:tcPr>
            <w:tcW w:w="1361" w:type="dxa"/>
            <w:tcBorders>
              <w:top w:val="single" w:sz="4" w:space="0" w:color="000000"/>
            </w:tcBorders>
          </w:tcPr>
          <w:p w14:paraId="594AD1AA" w14:textId="77777777" w:rsidR="00EF5B27" w:rsidRDefault="00000000">
            <w:pPr>
              <w:pStyle w:val="TableParagraph"/>
              <w:spacing w:before="55" w:line="252" w:lineRule="auto"/>
              <w:ind w:left="392" w:hanging="184"/>
              <w:rPr>
                <w:sz w:val="14"/>
              </w:rPr>
            </w:pPr>
            <w:r>
              <w:rPr>
                <w:color w:val="4D4D4F"/>
                <w:w w:val="105"/>
                <w:sz w:val="14"/>
              </w:rPr>
              <w:t>Grassy Eucalypt Woodland</w:t>
            </w:r>
          </w:p>
        </w:tc>
        <w:tc>
          <w:tcPr>
            <w:tcW w:w="737" w:type="dxa"/>
            <w:tcBorders>
              <w:top w:val="single" w:sz="4" w:space="0" w:color="000000"/>
            </w:tcBorders>
          </w:tcPr>
          <w:p w14:paraId="265A4458" w14:textId="77777777" w:rsidR="00EF5B27" w:rsidRDefault="00EF5B27">
            <w:pPr>
              <w:pStyle w:val="TableParagraph"/>
              <w:spacing w:before="7"/>
              <w:rPr>
                <w:rFonts w:ascii="Times New Roman"/>
                <w:sz w:val="12"/>
              </w:rPr>
            </w:pPr>
          </w:p>
          <w:p w14:paraId="6FFCB8C9" w14:textId="77777777" w:rsidR="00EF5B27" w:rsidRDefault="00000000">
            <w:pPr>
              <w:pStyle w:val="TableParagraph"/>
              <w:ind w:left="19"/>
              <w:jc w:val="center"/>
              <w:rPr>
                <w:sz w:val="14"/>
              </w:rPr>
            </w:pPr>
            <w:r>
              <w:rPr>
                <w:color w:val="4D4D4F"/>
                <w:w w:val="96"/>
                <w:sz w:val="14"/>
              </w:rPr>
              <w:t>2</w:t>
            </w:r>
          </w:p>
        </w:tc>
        <w:tc>
          <w:tcPr>
            <w:tcW w:w="1474" w:type="dxa"/>
            <w:tcBorders>
              <w:top w:val="single" w:sz="4" w:space="0" w:color="000000"/>
            </w:tcBorders>
          </w:tcPr>
          <w:p w14:paraId="4D49E889" w14:textId="77777777" w:rsidR="00EF5B27" w:rsidRDefault="00EF5B27">
            <w:pPr>
              <w:pStyle w:val="TableParagraph"/>
              <w:spacing w:before="7"/>
              <w:rPr>
                <w:rFonts w:ascii="Times New Roman"/>
                <w:sz w:val="12"/>
              </w:rPr>
            </w:pPr>
          </w:p>
          <w:p w14:paraId="276AB0CE" w14:textId="77777777" w:rsidR="00EF5B27" w:rsidRDefault="00000000">
            <w:pPr>
              <w:pStyle w:val="TableParagraph"/>
              <w:ind w:left="133" w:right="114"/>
              <w:jc w:val="center"/>
              <w:rPr>
                <w:sz w:val="14"/>
              </w:rPr>
            </w:pPr>
            <w:r>
              <w:rPr>
                <w:color w:val="4D4D4F"/>
                <w:w w:val="105"/>
                <w:sz w:val="14"/>
              </w:rPr>
              <w:t>Forb cover</w:t>
            </w:r>
          </w:p>
        </w:tc>
        <w:tc>
          <w:tcPr>
            <w:tcW w:w="2041" w:type="dxa"/>
            <w:tcBorders>
              <w:top w:val="single" w:sz="4" w:space="0" w:color="000000"/>
            </w:tcBorders>
          </w:tcPr>
          <w:p w14:paraId="430D8AEE" w14:textId="77777777" w:rsidR="00EF5B27" w:rsidRDefault="00EF5B27">
            <w:pPr>
              <w:pStyle w:val="TableParagraph"/>
              <w:spacing w:before="7"/>
              <w:rPr>
                <w:rFonts w:ascii="Times New Roman"/>
                <w:sz w:val="12"/>
              </w:rPr>
            </w:pPr>
          </w:p>
          <w:p w14:paraId="799799DC" w14:textId="77777777" w:rsidR="00EF5B27" w:rsidRDefault="00000000">
            <w:pPr>
              <w:pStyle w:val="TableParagraph"/>
              <w:ind w:left="162" w:right="143"/>
              <w:jc w:val="center"/>
              <w:rPr>
                <w:sz w:val="14"/>
              </w:rPr>
            </w:pPr>
            <w:r>
              <w:rPr>
                <w:color w:val="4D4D4F"/>
                <w:w w:val="105"/>
                <w:sz w:val="14"/>
              </w:rPr>
              <w:t>Herb-rich grassland</w:t>
            </w:r>
          </w:p>
        </w:tc>
        <w:tc>
          <w:tcPr>
            <w:tcW w:w="2154" w:type="dxa"/>
            <w:tcBorders>
              <w:top w:val="single" w:sz="4" w:space="0" w:color="000000"/>
            </w:tcBorders>
          </w:tcPr>
          <w:p w14:paraId="47F67F1D" w14:textId="77777777" w:rsidR="00EF5B27" w:rsidRDefault="00EF5B27">
            <w:pPr>
              <w:pStyle w:val="TableParagraph"/>
              <w:spacing w:before="7"/>
              <w:rPr>
                <w:rFonts w:ascii="Times New Roman"/>
                <w:sz w:val="12"/>
              </w:rPr>
            </w:pPr>
          </w:p>
          <w:p w14:paraId="56774E7B" w14:textId="77777777" w:rsidR="00EF5B27" w:rsidRDefault="00000000">
            <w:pPr>
              <w:pStyle w:val="TableParagraph"/>
              <w:ind w:right="919"/>
              <w:jc w:val="right"/>
              <w:rPr>
                <w:sz w:val="14"/>
              </w:rPr>
            </w:pPr>
            <w:r>
              <w:rPr>
                <w:color w:val="4D4D4F"/>
                <w:w w:val="95"/>
                <w:sz w:val="14"/>
              </w:rPr>
              <w:t>2022</w:t>
            </w:r>
          </w:p>
        </w:tc>
        <w:tc>
          <w:tcPr>
            <w:tcW w:w="1134" w:type="dxa"/>
            <w:tcBorders>
              <w:top w:val="single" w:sz="4" w:space="0" w:color="000000"/>
            </w:tcBorders>
          </w:tcPr>
          <w:p w14:paraId="3A0AA172" w14:textId="77777777" w:rsidR="00EF5B27" w:rsidRDefault="00EF5B27">
            <w:pPr>
              <w:pStyle w:val="TableParagraph"/>
              <w:spacing w:before="7"/>
              <w:rPr>
                <w:rFonts w:ascii="Times New Roman"/>
                <w:sz w:val="12"/>
              </w:rPr>
            </w:pPr>
          </w:p>
          <w:p w14:paraId="44E0674F" w14:textId="77777777" w:rsidR="00EF5B27" w:rsidRDefault="00000000">
            <w:pPr>
              <w:pStyle w:val="TableParagraph"/>
              <w:ind w:left="81" w:right="60"/>
              <w:jc w:val="center"/>
              <w:rPr>
                <w:sz w:val="14"/>
              </w:rPr>
            </w:pPr>
            <w:r>
              <w:rPr>
                <w:color w:val="4D4D4F"/>
                <w:sz w:val="14"/>
              </w:rPr>
              <w:t>2026</w:t>
            </w:r>
          </w:p>
        </w:tc>
      </w:tr>
      <w:tr w:rsidR="00EF5B27" w14:paraId="4F82C360" w14:textId="77777777">
        <w:trPr>
          <w:trHeight w:val="448"/>
        </w:trPr>
        <w:tc>
          <w:tcPr>
            <w:tcW w:w="737" w:type="dxa"/>
          </w:tcPr>
          <w:p w14:paraId="354D3C20" w14:textId="77777777" w:rsidR="00EF5B27" w:rsidRDefault="00EF5B27">
            <w:pPr>
              <w:pStyle w:val="TableParagraph"/>
              <w:spacing w:before="7"/>
              <w:rPr>
                <w:rFonts w:ascii="Times New Roman"/>
                <w:sz w:val="12"/>
              </w:rPr>
            </w:pPr>
          </w:p>
          <w:p w14:paraId="6F08738F" w14:textId="77777777" w:rsidR="00EF5B27" w:rsidRDefault="00000000">
            <w:pPr>
              <w:pStyle w:val="TableParagraph"/>
              <w:ind w:left="20"/>
              <w:jc w:val="center"/>
              <w:rPr>
                <w:sz w:val="14"/>
              </w:rPr>
            </w:pPr>
            <w:r>
              <w:rPr>
                <w:color w:val="4D4D4F"/>
                <w:w w:val="96"/>
                <w:sz w:val="14"/>
              </w:rPr>
              <w:t>2</w:t>
            </w:r>
          </w:p>
        </w:tc>
        <w:tc>
          <w:tcPr>
            <w:tcW w:w="1361" w:type="dxa"/>
          </w:tcPr>
          <w:p w14:paraId="32463048" w14:textId="77777777" w:rsidR="00EF5B27" w:rsidRDefault="00000000">
            <w:pPr>
              <w:pStyle w:val="TableParagraph"/>
              <w:spacing w:before="55" w:line="252" w:lineRule="auto"/>
              <w:ind w:left="392" w:hanging="184"/>
              <w:rPr>
                <w:sz w:val="14"/>
              </w:rPr>
            </w:pPr>
            <w:r>
              <w:rPr>
                <w:color w:val="4D4D4F"/>
                <w:w w:val="105"/>
                <w:sz w:val="14"/>
              </w:rPr>
              <w:t>Grassy Eucalypt Woodland</w:t>
            </w:r>
          </w:p>
        </w:tc>
        <w:tc>
          <w:tcPr>
            <w:tcW w:w="737" w:type="dxa"/>
          </w:tcPr>
          <w:p w14:paraId="49B71365" w14:textId="77777777" w:rsidR="00EF5B27" w:rsidRDefault="00EF5B27">
            <w:pPr>
              <w:pStyle w:val="TableParagraph"/>
              <w:spacing w:before="7"/>
              <w:rPr>
                <w:rFonts w:ascii="Times New Roman"/>
                <w:sz w:val="12"/>
              </w:rPr>
            </w:pPr>
          </w:p>
          <w:p w14:paraId="0F6FF059" w14:textId="77777777" w:rsidR="00EF5B27" w:rsidRDefault="00000000">
            <w:pPr>
              <w:pStyle w:val="TableParagraph"/>
              <w:ind w:left="20"/>
              <w:jc w:val="center"/>
              <w:rPr>
                <w:sz w:val="14"/>
              </w:rPr>
            </w:pPr>
            <w:r>
              <w:rPr>
                <w:color w:val="4D4D4F"/>
                <w:w w:val="96"/>
                <w:sz w:val="14"/>
              </w:rPr>
              <w:t>2</w:t>
            </w:r>
          </w:p>
        </w:tc>
        <w:tc>
          <w:tcPr>
            <w:tcW w:w="1474" w:type="dxa"/>
          </w:tcPr>
          <w:p w14:paraId="546433F6" w14:textId="77777777" w:rsidR="00EF5B27" w:rsidRDefault="00EF5B27">
            <w:pPr>
              <w:pStyle w:val="TableParagraph"/>
              <w:spacing w:before="7"/>
              <w:rPr>
                <w:rFonts w:ascii="Times New Roman"/>
                <w:sz w:val="12"/>
              </w:rPr>
            </w:pPr>
          </w:p>
          <w:p w14:paraId="232A55F6" w14:textId="77777777" w:rsidR="00EF5B27" w:rsidRDefault="00000000">
            <w:pPr>
              <w:pStyle w:val="TableParagraph"/>
              <w:ind w:left="133" w:right="113"/>
              <w:jc w:val="center"/>
              <w:rPr>
                <w:sz w:val="14"/>
              </w:rPr>
            </w:pPr>
            <w:r>
              <w:rPr>
                <w:color w:val="4D4D4F"/>
                <w:w w:val="105"/>
                <w:sz w:val="14"/>
              </w:rPr>
              <w:t>Forb cover</w:t>
            </w:r>
          </w:p>
        </w:tc>
        <w:tc>
          <w:tcPr>
            <w:tcW w:w="2041" w:type="dxa"/>
          </w:tcPr>
          <w:p w14:paraId="2A307FEE" w14:textId="77777777" w:rsidR="00EF5B27" w:rsidRDefault="00EF5B27">
            <w:pPr>
              <w:pStyle w:val="TableParagraph"/>
              <w:spacing w:before="7"/>
              <w:rPr>
                <w:rFonts w:ascii="Times New Roman"/>
                <w:sz w:val="12"/>
              </w:rPr>
            </w:pPr>
          </w:p>
          <w:p w14:paraId="21A8A4D4" w14:textId="77777777" w:rsidR="00EF5B27" w:rsidRDefault="00000000">
            <w:pPr>
              <w:pStyle w:val="TableParagraph"/>
              <w:ind w:left="162" w:right="142"/>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5DC82AE9" w14:textId="77777777" w:rsidR="00EF5B27" w:rsidRDefault="00EF5B27">
            <w:pPr>
              <w:pStyle w:val="TableParagraph"/>
              <w:spacing w:before="7"/>
              <w:rPr>
                <w:rFonts w:ascii="Times New Roman"/>
                <w:sz w:val="12"/>
              </w:rPr>
            </w:pPr>
          </w:p>
          <w:p w14:paraId="63231AF0" w14:textId="77777777" w:rsidR="00EF5B27" w:rsidRDefault="00000000">
            <w:pPr>
              <w:pStyle w:val="TableParagraph"/>
              <w:ind w:right="919"/>
              <w:jc w:val="right"/>
              <w:rPr>
                <w:sz w:val="14"/>
              </w:rPr>
            </w:pPr>
            <w:r>
              <w:rPr>
                <w:color w:val="4D4D4F"/>
                <w:w w:val="95"/>
                <w:sz w:val="14"/>
              </w:rPr>
              <w:t>2022</w:t>
            </w:r>
          </w:p>
        </w:tc>
        <w:tc>
          <w:tcPr>
            <w:tcW w:w="1134" w:type="dxa"/>
          </w:tcPr>
          <w:p w14:paraId="54CD5169" w14:textId="77777777" w:rsidR="00EF5B27" w:rsidRDefault="00EF5B27">
            <w:pPr>
              <w:pStyle w:val="TableParagraph"/>
              <w:spacing w:before="7"/>
              <w:rPr>
                <w:rFonts w:ascii="Times New Roman"/>
                <w:sz w:val="12"/>
              </w:rPr>
            </w:pPr>
          </w:p>
          <w:p w14:paraId="63B91C62" w14:textId="77777777" w:rsidR="00EF5B27" w:rsidRDefault="00000000">
            <w:pPr>
              <w:pStyle w:val="TableParagraph"/>
              <w:ind w:left="81" w:right="60"/>
              <w:jc w:val="center"/>
              <w:rPr>
                <w:sz w:val="14"/>
              </w:rPr>
            </w:pPr>
            <w:r>
              <w:rPr>
                <w:color w:val="4D4D4F"/>
                <w:sz w:val="14"/>
              </w:rPr>
              <w:t>2026</w:t>
            </w:r>
          </w:p>
        </w:tc>
      </w:tr>
      <w:tr w:rsidR="00EF5B27" w14:paraId="0BA96C9C" w14:textId="77777777">
        <w:trPr>
          <w:trHeight w:val="448"/>
        </w:trPr>
        <w:tc>
          <w:tcPr>
            <w:tcW w:w="737" w:type="dxa"/>
          </w:tcPr>
          <w:p w14:paraId="668E29AA" w14:textId="77777777" w:rsidR="00EF5B27" w:rsidRDefault="00EF5B27">
            <w:pPr>
              <w:pStyle w:val="TableParagraph"/>
              <w:spacing w:before="7"/>
              <w:rPr>
                <w:rFonts w:ascii="Times New Roman"/>
                <w:sz w:val="12"/>
              </w:rPr>
            </w:pPr>
          </w:p>
          <w:p w14:paraId="76E15F42" w14:textId="77777777" w:rsidR="00EF5B27" w:rsidRDefault="00000000">
            <w:pPr>
              <w:pStyle w:val="TableParagraph"/>
              <w:ind w:left="20"/>
              <w:jc w:val="center"/>
              <w:rPr>
                <w:sz w:val="14"/>
              </w:rPr>
            </w:pPr>
            <w:r>
              <w:rPr>
                <w:color w:val="4D4D4F"/>
                <w:w w:val="96"/>
                <w:sz w:val="14"/>
              </w:rPr>
              <w:t>2</w:t>
            </w:r>
          </w:p>
        </w:tc>
        <w:tc>
          <w:tcPr>
            <w:tcW w:w="1361" w:type="dxa"/>
          </w:tcPr>
          <w:p w14:paraId="3F105486" w14:textId="77777777" w:rsidR="00EF5B27" w:rsidRDefault="00000000">
            <w:pPr>
              <w:pStyle w:val="TableParagraph"/>
              <w:spacing w:before="55" w:line="252" w:lineRule="auto"/>
              <w:ind w:left="392" w:hanging="184"/>
              <w:rPr>
                <w:sz w:val="14"/>
              </w:rPr>
            </w:pPr>
            <w:r>
              <w:rPr>
                <w:color w:val="4D4D4F"/>
                <w:w w:val="105"/>
                <w:sz w:val="14"/>
              </w:rPr>
              <w:t>Grassy Eucalypt Woodland</w:t>
            </w:r>
          </w:p>
        </w:tc>
        <w:tc>
          <w:tcPr>
            <w:tcW w:w="737" w:type="dxa"/>
          </w:tcPr>
          <w:p w14:paraId="708761BB" w14:textId="77777777" w:rsidR="00EF5B27" w:rsidRDefault="00EF5B27">
            <w:pPr>
              <w:pStyle w:val="TableParagraph"/>
              <w:spacing w:before="7"/>
              <w:rPr>
                <w:rFonts w:ascii="Times New Roman"/>
                <w:sz w:val="12"/>
              </w:rPr>
            </w:pPr>
          </w:p>
          <w:p w14:paraId="14BD46F6" w14:textId="77777777" w:rsidR="00EF5B27" w:rsidRDefault="00000000">
            <w:pPr>
              <w:pStyle w:val="TableParagraph"/>
              <w:ind w:left="20"/>
              <w:jc w:val="center"/>
              <w:rPr>
                <w:sz w:val="14"/>
              </w:rPr>
            </w:pPr>
            <w:r>
              <w:rPr>
                <w:color w:val="4D4D4F"/>
                <w:w w:val="96"/>
                <w:sz w:val="14"/>
              </w:rPr>
              <w:t>2</w:t>
            </w:r>
          </w:p>
        </w:tc>
        <w:tc>
          <w:tcPr>
            <w:tcW w:w="1474" w:type="dxa"/>
          </w:tcPr>
          <w:p w14:paraId="3C5800F1" w14:textId="77777777" w:rsidR="00EF5B27" w:rsidRDefault="00EF5B27">
            <w:pPr>
              <w:pStyle w:val="TableParagraph"/>
              <w:spacing w:before="7"/>
              <w:rPr>
                <w:rFonts w:ascii="Times New Roman"/>
                <w:sz w:val="12"/>
              </w:rPr>
            </w:pPr>
          </w:p>
          <w:p w14:paraId="1728F286" w14:textId="77777777" w:rsidR="00EF5B27" w:rsidRDefault="00000000">
            <w:pPr>
              <w:pStyle w:val="TableParagraph"/>
              <w:ind w:left="133" w:right="113"/>
              <w:jc w:val="center"/>
              <w:rPr>
                <w:sz w:val="14"/>
              </w:rPr>
            </w:pPr>
            <w:r>
              <w:rPr>
                <w:color w:val="4D4D4F"/>
                <w:w w:val="105"/>
                <w:sz w:val="14"/>
              </w:rPr>
              <w:t>Forb cover</w:t>
            </w:r>
          </w:p>
        </w:tc>
        <w:tc>
          <w:tcPr>
            <w:tcW w:w="2041" w:type="dxa"/>
          </w:tcPr>
          <w:p w14:paraId="18ECB169" w14:textId="77777777" w:rsidR="00EF5B27" w:rsidRDefault="00EF5B27">
            <w:pPr>
              <w:pStyle w:val="TableParagraph"/>
              <w:spacing w:before="7"/>
              <w:rPr>
                <w:rFonts w:ascii="Times New Roman"/>
                <w:sz w:val="12"/>
              </w:rPr>
            </w:pPr>
          </w:p>
          <w:p w14:paraId="4B5EBB7F" w14:textId="77777777" w:rsidR="00EF5B27" w:rsidRDefault="00000000">
            <w:pPr>
              <w:pStyle w:val="TableParagraph"/>
              <w:ind w:left="162" w:right="142"/>
              <w:jc w:val="center"/>
              <w:rPr>
                <w:sz w:val="14"/>
              </w:rPr>
            </w:pPr>
            <w:r>
              <w:rPr>
                <w:color w:val="4D4D4F"/>
                <w:w w:val="105"/>
                <w:sz w:val="14"/>
              </w:rPr>
              <w:t>C3 grassland</w:t>
            </w:r>
          </w:p>
        </w:tc>
        <w:tc>
          <w:tcPr>
            <w:tcW w:w="2154" w:type="dxa"/>
          </w:tcPr>
          <w:p w14:paraId="0C4BD360" w14:textId="77777777" w:rsidR="00EF5B27" w:rsidRDefault="00EF5B27">
            <w:pPr>
              <w:pStyle w:val="TableParagraph"/>
              <w:spacing w:before="7"/>
              <w:rPr>
                <w:rFonts w:ascii="Times New Roman"/>
                <w:sz w:val="12"/>
              </w:rPr>
            </w:pPr>
          </w:p>
          <w:p w14:paraId="53F8D45A" w14:textId="77777777" w:rsidR="00EF5B27" w:rsidRDefault="00000000">
            <w:pPr>
              <w:pStyle w:val="TableParagraph"/>
              <w:ind w:right="919"/>
              <w:jc w:val="right"/>
              <w:rPr>
                <w:sz w:val="14"/>
              </w:rPr>
            </w:pPr>
            <w:r>
              <w:rPr>
                <w:color w:val="4D4D4F"/>
                <w:w w:val="95"/>
                <w:sz w:val="14"/>
              </w:rPr>
              <w:t>2022</w:t>
            </w:r>
          </w:p>
        </w:tc>
        <w:tc>
          <w:tcPr>
            <w:tcW w:w="1134" w:type="dxa"/>
          </w:tcPr>
          <w:p w14:paraId="0BF76FAB" w14:textId="77777777" w:rsidR="00EF5B27" w:rsidRDefault="00EF5B27">
            <w:pPr>
              <w:pStyle w:val="TableParagraph"/>
              <w:spacing w:before="7"/>
              <w:rPr>
                <w:rFonts w:ascii="Times New Roman"/>
                <w:sz w:val="12"/>
              </w:rPr>
            </w:pPr>
          </w:p>
          <w:p w14:paraId="2E83A6F9" w14:textId="77777777" w:rsidR="00EF5B27" w:rsidRDefault="00000000">
            <w:pPr>
              <w:pStyle w:val="TableParagraph"/>
              <w:ind w:left="81" w:right="59"/>
              <w:jc w:val="center"/>
              <w:rPr>
                <w:sz w:val="14"/>
              </w:rPr>
            </w:pPr>
            <w:r>
              <w:rPr>
                <w:color w:val="4D4D4F"/>
                <w:sz w:val="14"/>
              </w:rPr>
              <w:t>2026</w:t>
            </w:r>
          </w:p>
        </w:tc>
      </w:tr>
      <w:tr w:rsidR="00EF5B27" w14:paraId="12D6C1CE" w14:textId="77777777">
        <w:trPr>
          <w:trHeight w:val="448"/>
        </w:trPr>
        <w:tc>
          <w:tcPr>
            <w:tcW w:w="737" w:type="dxa"/>
          </w:tcPr>
          <w:p w14:paraId="7DB86174" w14:textId="77777777" w:rsidR="00EF5B27" w:rsidRDefault="00EF5B27">
            <w:pPr>
              <w:pStyle w:val="TableParagraph"/>
              <w:spacing w:before="7"/>
              <w:rPr>
                <w:rFonts w:ascii="Times New Roman"/>
                <w:sz w:val="12"/>
              </w:rPr>
            </w:pPr>
          </w:p>
          <w:p w14:paraId="257F959B" w14:textId="77777777" w:rsidR="00EF5B27" w:rsidRDefault="00000000">
            <w:pPr>
              <w:pStyle w:val="TableParagraph"/>
              <w:ind w:left="21"/>
              <w:jc w:val="center"/>
              <w:rPr>
                <w:sz w:val="14"/>
              </w:rPr>
            </w:pPr>
            <w:r>
              <w:rPr>
                <w:color w:val="4D4D4F"/>
                <w:w w:val="96"/>
                <w:sz w:val="14"/>
              </w:rPr>
              <w:t>2</w:t>
            </w:r>
          </w:p>
        </w:tc>
        <w:tc>
          <w:tcPr>
            <w:tcW w:w="1361" w:type="dxa"/>
          </w:tcPr>
          <w:p w14:paraId="2A9B1588" w14:textId="77777777" w:rsidR="00EF5B27" w:rsidRDefault="00000000">
            <w:pPr>
              <w:pStyle w:val="TableParagraph"/>
              <w:spacing w:before="55" w:line="252" w:lineRule="auto"/>
              <w:ind w:left="392" w:hanging="184"/>
              <w:rPr>
                <w:sz w:val="14"/>
              </w:rPr>
            </w:pPr>
            <w:r>
              <w:rPr>
                <w:color w:val="4D4D4F"/>
                <w:w w:val="105"/>
                <w:sz w:val="14"/>
              </w:rPr>
              <w:t>Grassy Eucalypt Woodland</w:t>
            </w:r>
          </w:p>
        </w:tc>
        <w:tc>
          <w:tcPr>
            <w:tcW w:w="737" w:type="dxa"/>
          </w:tcPr>
          <w:p w14:paraId="1A95BB0E" w14:textId="77777777" w:rsidR="00EF5B27" w:rsidRDefault="00EF5B27">
            <w:pPr>
              <w:pStyle w:val="TableParagraph"/>
              <w:spacing w:before="7"/>
              <w:rPr>
                <w:rFonts w:ascii="Times New Roman"/>
                <w:sz w:val="12"/>
              </w:rPr>
            </w:pPr>
          </w:p>
          <w:p w14:paraId="7D35C7D9" w14:textId="77777777" w:rsidR="00EF5B27" w:rsidRDefault="00000000">
            <w:pPr>
              <w:pStyle w:val="TableParagraph"/>
              <w:ind w:left="20"/>
              <w:jc w:val="center"/>
              <w:rPr>
                <w:sz w:val="14"/>
              </w:rPr>
            </w:pPr>
            <w:r>
              <w:rPr>
                <w:color w:val="4D4D4F"/>
                <w:w w:val="96"/>
                <w:sz w:val="14"/>
              </w:rPr>
              <w:t>2</w:t>
            </w:r>
          </w:p>
        </w:tc>
        <w:tc>
          <w:tcPr>
            <w:tcW w:w="1474" w:type="dxa"/>
          </w:tcPr>
          <w:p w14:paraId="1340BFC7" w14:textId="77777777" w:rsidR="00EF5B27" w:rsidRDefault="00EF5B27">
            <w:pPr>
              <w:pStyle w:val="TableParagraph"/>
              <w:spacing w:before="7"/>
              <w:rPr>
                <w:rFonts w:ascii="Times New Roman"/>
                <w:sz w:val="12"/>
              </w:rPr>
            </w:pPr>
          </w:p>
          <w:p w14:paraId="3609F728" w14:textId="77777777" w:rsidR="00EF5B27" w:rsidRDefault="00000000">
            <w:pPr>
              <w:pStyle w:val="TableParagraph"/>
              <w:ind w:left="133" w:right="113"/>
              <w:jc w:val="center"/>
              <w:rPr>
                <w:sz w:val="14"/>
              </w:rPr>
            </w:pPr>
            <w:r>
              <w:rPr>
                <w:color w:val="4D4D4F"/>
                <w:w w:val="105"/>
                <w:sz w:val="14"/>
              </w:rPr>
              <w:t>Forb cover</w:t>
            </w:r>
          </w:p>
        </w:tc>
        <w:tc>
          <w:tcPr>
            <w:tcW w:w="2041" w:type="dxa"/>
          </w:tcPr>
          <w:p w14:paraId="375B8669" w14:textId="77777777" w:rsidR="00EF5B27" w:rsidRDefault="00EF5B27">
            <w:pPr>
              <w:pStyle w:val="TableParagraph"/>
              <w:spacing w:before="7"/>
              <w:rPr>
                <w:rFonts w:ascii="Times New Roman"/>
                <w:sz w:val="12"/>
              </w:rPr>
            </w:pPr>
          </w:p>
          <w:p w14:paraId="4D402B8E" w14:textId="77777777" w:rsidR="00EF5B27" w:rsidRDefault="00000000">
            <w:pPr>
              <w:pStyle w:val="TableParagraph"/>
              <w:ind w:left="162" w:right="142"/>
              <w:jc w:val="center"/>
              <w:rPr>
                <w:sz w:val="14"/>
              </w:rPr>
            </w:pPr>
            <w:r>
              <w:rPr>
                <w:color w:val="4D4D4F"/>
                <w:w w:val="105"/>
                <w:sz w:val="14"/>
              </w:rPr>
              <w:t>Nutrient-enriched grassland</w:t>
            </w:r>
          </w:p>
        </w:tc>
        <w:tc>
          <w:tcPr>
            <w:tcW w:w="2154" w:type="dxa"/>
          </w:tcPr>
          <w:p w14:paraId="31D3D661" w14:textId="77777777" w:rsidR="00EF5B27" w:rsidRDefault="00EF5B27">
            <w:pPr>
              <w:pStyle w:val="TableParagraph"/>
              <w:spacing w:before="7"/>
              <w:rPr>
                <w:rFonts w:ascii="Times New Roman"/>
                <w:sz w:val="12"/>
              </w:rPr>
            </w:pPr>
          </w:p>
          <w:p w14:paraId="26D42161" w14:textId="77777777" w:rsidR="00EF5B27" w:rsidRDefault="00000000">
            <w:pPr>
              <w:pStyle w:val="TableParagraph"/>
              <w:ind w:right="919"/>
              <w:jc w:val="right"/>
              <w:rPr>
                <w:sz w:val="14"/>
              </w:rPr>
            </w:pPr>
            <w:r>
              <w:rPr>
                <w:color w:val="4D4D4F"/>
                <w:w w:val="95"/>
                <w:sz w:val="14"/>
              </w:rPr>
              <w:t>2022</w:t>
            </w:r>
          </w:p>
        </w:tc>
        <w:tc>
          <w:tcPr>
            <w:tcW w:w="1134" w:type="dxa"/>
          </w:tcPr>
          <w:p w14:paraId="33114D6C" w14:textId="77777777" w:rsidR="00EF5B27" w:rsidRDefault="00EF5B27">
            <w:pPr>
              <w:pStyle w:val="TableParagraph"/>
              <w:spacing w:before="7"/>
              <w:rPr>
                <w:rFonts w:ascii="Times New Roman"/>
                <w:sz w:val="12"/>
              </w:rPr>
            </w:pPr>
          </w:p>
          <w:p w14:paraId="39D3F124" w14:textId="77777777" w:rsidR="00EF5B27" w:rsidRDefault="00000000">
            <w:pPr>
              <w:pStyle w:val="TableParagraph"/>
              <w:ind w:left="81" w:right="59"/>
              <w:jc w:val="center"/>
              <w:rPr>
                <w:sz w:val="14"/>
              </w:rPr>
            </w:pPr>
            <w:r>
              <w:rPr>
                <w:color w:val="4D4D4F"/>
                <w:sz w:val="14"/>
              </w:rPr>
              <w:t>2026</w:t>
            </w:r>
          </w:p>
        </w:tc>
      </w:tr>
      <w:tr w:rsidR="00EF5B27" w14:paraId="75A8BE4E" w14:textId="77777777">
        <w:trPr>
          <w:trHeight w:val="448"/>
        </w:trPr>
        <w:tc>
          <w:tcPr>
            <w:tcW w:w="737" w:type="dxa"/>
          </w:tcPr>
          <w:p w14:paraId="53D5B980" w14:textId="77777777" w:rsidR="00EF5B27" w:rsidRDefault="00EF5B27">
            <w:pPr>
              <w:pStyle w:val="TableParagraph"/>
              <w:spacing w:before="7"/>
              <w:rPr>
                <w:rFonts w:ascii="Times New Roman"/>
                <w:sz w:val="12"/>
              </w:rPr>
            </w:pPr>
          </w:p>
          <w:p w14:paraId="493A5025" w14:textId="77777777" w:rsidR="00EF5B27" w:rsidRDefault="00000000">
            <w:pPr>
              <w:pStyle w:val="TableParagraph"/>
              <w:ind w:left="21"/>
              <w:jc w:val="center"/>
              <w:rPr>
                <w:sz w:val="14"/>
              </w:rPr>
            </w:pPr>
            <w:r>
              <w:rPr>
                <w:color w:val="4D4D4F"/>
                <w:w w:val="96"/>
                <w:sz w:val="14"/>
              </w:rPr>
              <w:t>2</w:t>
            </w:r>
          </w:p>
        </w:tc>
        <w:tc>
          <w:tcPr>
            <w:tcW w:w="1361" w:type="dxa"/>
          </w:tcPr>
          <w:p w14:paraId="5D2183D1" w14:textId="77777777" w:rsidR="00EF5B27" w:rsidRDefault="00000000">
            <w:pPr>
              <w:pStyle w:val="TableParagraph"/>
              <w:spacing w:before="55" w:line="252" w:lineRule="auto"/>
              <w:ind w:left="392" w:hanging="184"/>
              <w:rPr>
                <w:sz w:val="14"/>
              </w:rPr>
            </w:pPr>
            <w:r>
              <w:rPr>
                <w:color w:val="4D4D4F"/>
                <w:w w:val="105"/>
                <w:sz w:val="14"/>
              </w:rPr>
              <w:t>Grassy Eucalypt Woodland</w:t>
            </w:r>
          </w:p>
        </w:tc>
        <w:tc>
          <w:tcPr>
            <w:tcW w:w="737" w:type="dxa"/>
          </w:tcPr>
          <w:p w14:paraId="69CAC3BD" w14:textId="77777777" w:rsidR="00EF5B27" w:rsidRDefault="00EF5B27">
            <w:pPr>
              <w:pStyle w:val="TableParagraph"/>
              <w:spacing w:before="7"/>
              <w:rPr>
                <w:rFonts w:ascii="Times New Roman"/>
                <w:sz w:val="12"/>
              </w:rPr>
            </w:pPr>
          </w:p>
          <w:p w14:paraId="22C40932" w14:textId="77777777" w:rsidR="00EF5B27" w:rsidRDefault="00000000">
            <w:pPr>
              <w:pStyle w:val="TableParagraph"/>
              <w:ind w:left="20"/>
              <w:jc w:val="center"/>
              <w:rPr>
                <w:sz w:val="14"/>
              </w:rPr>
            </w:pPr>
            <w:r>
              <w:rPr>
                <w:color w:val="4D4D4F"/>
                <w:w w:val="96"/>
                <w:sz w:val="14"/>
              </w:rPr>
              <w:t>2</w:t>
            </w:r>
          </w:p>
        </w:tc>
        <w:tc>
          <w:tcPr>
            <w:tcW w:w="1474" w:type="dxa"/>
          </w:tcPr>
          <w:p w14:paraId="55A18D58" w14:textId="77777777" w:rsidR="00EF5B27" w:rsidRDefault="00EF5B27">
            <w:pPr>
              <w:pStyle w:val="TableParagraph"/>
              <w:spacing w:before="7"/>
              <w:rPr>
                <w:rFonts w:ascii="Times New Roman"/>
                <w:sz w:val="12"/>
              </w:rPr>
            </w:pPr>
          </w:p>
          <w:p w14:paraId="31B83C11" w14:textId="77777777" w:rsidR="00EF5B27" w:rsidRDefault="00000000">
            <w:pPr>
              <w:pStyle w:val="TableParagraph"/>
              <w:ind w:left="133" w:right="113"/>
              <w:jc w:val="center"/>
              <w:rPr>
                <w:sz w:val="14"/>
              </w:rPr>
            </w:pPr>
            <w:r>
              <w:rPr>
                <w:color w:val="4D4D4F"/>
                <w:w w:val="105"/>
                <w:sz w:val="14"/>
              </w:rPr>
              <w:t>Forb cover</w:t>
            </w:r>
          </w:p>
        </w:tc>
        <w:tc>
          <w:tcPr>
            <w:tcW w:w="2041" w:type="dxa"/>
          </w:tcPr>
          <w:p w14:paraId="03E51C84" w14:textId="77777777" w:rsidR="00EF5B27" w:rsidRDefault="00EF5B27">
            <w:pPr>
              <w:pStyle w:val="TableParagraph"/>
              <w:spacing w:before="7"/>
              <w:rPr>
                <w:rFonts w:ascii="Times New Roman"/>
                <w:sz w:val="12"/>
              </w:rPr>
            </w:pPr>
          </w:p>
          <w:p w14:paraId="07839A3F" w14:textId="77777777" w:rsidR="00EF5B27" w:rsidRDefault="00000000">
            <w:pPr>
              <w:pStyle w:val="TableParagraph"/>
              <w:ind w:left="162" w:right="142"/>
              <w:jc w:val="center"/>
              <w:rPr>
                <w:sz w:val="14"/>
              </w:rPr>
            </w:pPr>
            <w:r>
              <w:rPr>
                <w:color w:val="4D4D4F"/>
                <w:w w:val="105"/>
                <w:sz w:val="14"/>
              </w:rPr>
              <w:t>De-rocked grassland</w:t>
            </w:r>
          </w:p>
        </w:tc>
        <w:tc>
          <w:tcPr>
            <w:tcW w:w="2154" w:type="dxa"/>
          </w:tcPr>
          <w:p w14:paraId="5EC10F64" w14:textId="77777777" w:rsidR="00EF5B27" w:rsidRDefault="00EF5B27">
            <w:pPr>
              <w:pStyle w:val="TableParagraph"/>
              <w:spacing w:before="7"/>
              <w:rPr>
                <w:rFonts w:ascii="Times New Roman"/>
                <w:sz w:val="12"/>
              </w:rPr>
            </w:pPr>
          </w:p>
          <w:p w14:paraId="2F786B7C" w14:textId="77777777" w:rsidR="00EF5B27" w:rsidRDefault="00000000">
            <w:pPr>
              <w:pStyle w:val="TableParagraph"/>
              <w:ind w:right="919"/>
              <w:jc w:val="right"/>
              <w:rPr>
                <w:sz w:val="14"/>
              </w:rPr>
            </w:pPr>
            <w:r>
              <w:rPr>
                <w:color w:val="4D4D4F"/>
                <w:w w:val="95"/>
                <w:sz w:val="14"/>
              </w:rPr>
              <w:t>2022</w:t>
            </w:r>
          </w:p>
        </w:tc>
        <w:tc>
          <w:tcPr>
            <w:tcW w:w="1134" w:type="dxa"/>
          </w:tcPr>
          <w:p w14:paraId="39C04D10" w14:textId="77777777" w:rsidR="00EF5B27" w:rsidRDefault="00EF5B27">
            <w:pPr>
              <w:pStyle w:val="TableParagraph"/>
              <w:spacing w:before="7"/>
              <w:rPr>
                <w:rFonts w:ascii="Times New Roman"/>
                <w:sz w:val="12"/>
              </w:rPr>
            </w:pPr>
          </w:p>
          <w:p w14:paraId="21593090" w14:textId="77777777" w:rsidR="00EF5B27" w:rsidRDefault="00000000">
            <w:pPr>
              <w:pStyle w:val="TableParagraph"/>
              <w:ind w:left="81" w:right="59"/>
              <w:jc w:val="center"/>
              <w:rPr>
                <w:sz w:val="14"/>
              </w:rPr>
            </w:pPr>
            <w:r>
              <w:rPr>
                <w:color w:val="4D4D4F"/>
                <w:sz w:val="14"/>
              </w:rPr>
              <w:t>2026</w:t>
            </w:r>
          </w:p>
        </w:tc>
      </w:tr>
      <w:tr w:rsidR="00EF5B27" w14:paraId="64237802" w14:textId="77777777">
        <w:trPr>
          <w:trHeight w:val="448"/>
        </w:trPr>
        <w:tc>
          <w:tcPr>
            <w:tcW w:w="737" w:type="dxa"/>
          </w:tcPr>
          <w:p w14:paraId="6599A6CD" w14:textId="77777777" w:rsidR="00EF5B27" w:rsidRDefault="00EF5B27">
            <w:pPr>
              <w:pStyle w:val="TableParagraph"/>
              <w:spacing w:before="7"/>
              <w:rPr>
                <w:rFonts w:ascii="Times New Roman"/>
                <w:sz w:val="12"/>
              </w:rPr>
            </w:pPr>
          </w:p>
          <w:p w14:paraId="52A0F90A" w14:textId="77777777" w:rsidR="00EF5B27" w:rsidRDefault="00000000">
            <w:pPr>
              <w:pStyle w:val="TableParagraph"/>
              <w:ind w:left="21"/>
              <w:jc w:val="center"/>
              <w:rPr>
                <w:sz w:val="14"/>
              </w:rPr>
            </w:pPr>
            <w:r>
              <w:rPr>
                <w:color w:val="4D4D4F"/>
                <w:w w:val="96"/>
                <w:sz w:val="14"/>
              </w:rPr>
              <w:t>2</w:t>
            </w:r>
          </w:p>
        </w:tc>
        <w:tc>
          <w:tcPr>
            <w:tcW w:w="1361" w:type="dxa"/>
          </w:tcPr>
          <w:p w14:paraId="047EC410" w14:textId="77777777" w:rsidR="00EF5B27" w:rsidRDefault="00000000">
            <w:pPr>
              <w:pStyle w:val="TableParagraph"/>
              <w:spacing w:before="55" w:line="252" w:lineRule="auto"/>
              <w:ind w:left="392" w:hanging="184"/>
              <w:rPr>
                <w:sz w:val="14"/>
              </w:rPr>
            </w:pPr>
            <w:r>
              <w:rPr>
                <w:color w:val="4D4D4F"/>
                <w:w w:val="105"/>
                <w:sz w:val="14"/>
              </w:rPr>
              <w:t>Grassy Eucalypt Woodland</w:t>
            </w:r>
          </w:p>
        </w:tc>
        <w:tc>
          <w:tcPr>
            <w:tcW w:w="737" w:type="dxa"/>
          </w:tcPr>
          <w:p w14:paraId="0E343B9C" w14:textId="77777777" w:rsidR="00EF5B27" w:rsidRDefault="00EF5B27">
            <w:pPr>
              <w:pStyle w:val="TableParagraph"/>
              <w:spacing w:before="7"/>
              <w:rPr>
                <w:rFonts w:ascii="Times New Roman"/>
                <w:sz w:val="12"/>
              </w:rPr>
            </w:pPr>
          </w:p>
          <w:p w14:paraId="04DF8014" w14:textId="77777777" w:rsidR="00EF5B27" w:rsidRDefault="00000000">
            <w:pPr>
              <w:pStyle w:val="TableParagraph"/>
              <w:ind w:left="20"/>
              <w:jc w:val="center"/>
              <w:rPr>
                <w:sz w:val="14"/>
              </w:rPr>
            </w:pPr>
            <w:r>
              <w:rPr>
                <w:color w:val="4D4D4F"/>
                <w:w w:val="96"/>
                <w:sz w:val="14"/>
              </w:rPr>
              <w:t>3</w:t>
            </w:r>
          </w:p>
        </w:tc>
        <w:tc>
          <w:tcPr>
            <w:tcW w:w="1474" w:type="dxa"/>
          </w:tcPr>
          <w:p w14:paraId="0D413FC8" w14:textId="77777777" w:rsidR="00EF5B27" w:rsidRDefault="00EF5B27">
            <w:pPr>
              <w:pStyle w:val="TableParagraph"/>
              <w:spacing w:before="7"/>
              <w:rPr>
                <w:rFonts w:ascii="Times New Roman"/>
                <w:sz w:val="12"/>
              </w:rPr>
            </w:pPr>
          </w:p>
          <w:p w14:paraId="1B389E32" w14:textId="77777777" w:rsidR="00EF5B27" w:rsidRDefault="00000000">
            <w:pPr>
              <w:pStyle w:val="TableParagraph"/>
              <w:ind w:left="133" w:right="113"/>
              <w:jc w:val="center"/>
              <w:rPr>
                <w:sz w:val="14"/>
              </w:rPr>
            </w:pPr>
            <w:r>
              <w:rPr>
                <w:color w:val="4D4D4F"/>
                <w:w w:val="105"/>
                <w:sz w:val="14"/>
              </w:rPr>
              <w:t>Forb richness</w:t>
            </w:r>
          </w:p>
        </w:tc>
        <w:tc>
          <w:tcPr>
            <w:tcW w:w="2041" w:type="dxa"/>
          </w:tcPr>
          <w:p w14:paraId="6619A307" w14:textId="77777777" w:rsidR="00EF5B27" w:rsidRDefault="00EF5B27">
            <w:pPr>
              <w:pStyle w:val="TableParagraph"/>
              <w:spacing w:before="7"/>
              <w:rPr>
                <w:rFonts w:ascii="Times New Roman"/>
                <w:sz w:val="12"/>
              </w:rPr>
            </w:pPr>
          </w:p>
          <w:p w14:paraId="00902C99" w14:textId="77777777" w:rsidR="00EF5B27" w:rsidRDefault="00000000">
            <w:pPr>
              <w:pStyle w:val="TableParagraph"/>
              <w:ind w:left="162" w:right="142"/>
              <w:jc w:val="center"/>
              <w:rPr>
                <w:sz w:val="14"/>
              </w:rPr>
            </w:pPr>
            <w:r>
              <w:rPr>
                <w:color w:val="4D4D4F"/>
                <w:w w:val="105"/>
                <w:sz w:val="14"/>
              </w:rPr>
              <w:t>Herb-rich grassland</w:t>
            </w:r>
          </w:p>
        </w:tc>
        <w:tc>
          <w:tcPr>
            <w:tcW w:w="2154" w:type="dxa"/>
          </w:tcPr>
          <w:p w14:paraId="360B9005" w14:textId="77777777" w:rsidR="00EF5B27" w:rsidRDefault="00EF5B27">
            <w:pPr>
              <w:pStyle w:val="TableParagraph"/>
              <w:spacing w:before="7"/>
              <w:rPr>
                <w:rFonts w:ascii="Times New Roman"/>
                <w:sz w:val="12"/>
              </w:rPr>
            </w:pPr>
          </w:p>
          <w:p w14:paraId="74A0F09F" w14:textId="77777777" w:rsidR="00EF5B27" w:rsidRDefault="00000000">
            <w:pPr>
              <w:pStyle w:val="TableParagraph"/>
              <w:ind w:right="919"/>
              <w:jc w:val="right"/>
              <w:rPr>
                <w:sz w:val="14"/>
              </w:rPr>
            </w:pPr>
            <w:r>
              <w:rPr>
                <w:color w:val="4D4D4F"/>
                <w:w w:val="95"/>
                <w:sz w:val="14"/>
              </w:rPr>
              <w:t>2022</w:t>
            </w:r>
          </w:p>
        </w:tc>
        <w:tc>
          <w:tcPr>
            <w:tcW w:w="1134" w:type="dxa"/>
          </w:tcPr>
          <w:p w14:paraId="5D3C0323" w14:textId="77777777" w:rsidR="00EF5B27" w:rsidRDefault="00EF5B27">
            <w:pPr>
              <w:pStyle w:val="TableParagraph"/>
              <w:spacing w:before="7"/>
              <w:rPr>
                <w:rFonts w:ascii="Times New Roman"/>
                <w:sz w:val="12"/>
              </w:rPr>
            </w:pPr>
          </w:p>
          <w:p w14:paraId="62514DD3" w14:textId="77777777" w:rsidR="00EF5B27" w:rsidRDefault="00000000">
            <w:pPr>
              <w:pStyle w:val="TableParagraph"/>
              <w:ind w:left="81" w:right="59"/>
              <w:jc w:val="center"/>
              <w:rPr>
                <w:sz w:val="14"/>
              </w:rPr>
            </w:pPr>
            <w:r>
              <w:rPr>
                <w:color w:val="4D4D4F"/>
                <w:sz w:val="14"/>
              </w:rPr>
              <w:t>2026</w:t>
            </w:r>
          </w:p>
        </w:tc>
      </w:tr>
      <w:tr w:rsidR="00EF5B27" w14:paraId="5CFA4373" w14:textId="77777777">
        <w:trPr>
          <w:trHeight w:val="448"/>
        </w:trPr>
        <w:tc>
          <w:tcPr>
            <w:tcW w:w="737" w:type="dxa"/>
          </w:tcPr>
          <w:p w14:paraId="3FBFD532" w14:textId="77777777" w:rsidR="00EF5B27" w:rsidRDefault="00EF5B27">
            <w:pPr>
              <w:pStyle w:val="TableParagraph"/>
              <w:spacing w:before="7"/>
              <w:rPr>
                <w:rFonts w:ascii="Times New Roman"/>
                <w:sz w:val="12"/>
              </w:rPr>
            </w:pPr>
          </w:p>
          <w:p w14:paraId="3D62AB4B" w14:textId="77777777" w:rsidR="00EF5B27" w:rsidRDefault="00000000">
            <w:pPr>
              <w:pStyle w:val="TableParagraph"/>
              <w:spacing w:before="1"/>
              <w:ind w:left="21"/>
              <w:jc w:val="center"/>
              <w:rPr>
                <w:sz w:val="14"/>
              </w:rPr>
            </w:pPr>
            <w:r>
              <w:rPr>
                <w:color w:val="4D4D4F"/>
                <w:w w:val="96"/>
                <w:sz w:val="14"/>
              </w:rPr>
              <w:t>2</w:t>
            </w:r>
          </w:p>
        </w:tc>
        <w:tc>
          <w:tcPr>
            <w:tcW w:w="1361" w:type="dxa"/>
          </w:tcPr>
          <w:p w14:paraId="0D5224B5" w14:textId="77777777" w:rsidR="00EF5B27" w:rsidRDefault="00000000">
            <w:pPr>
              <w:pStyle w:val="TableParagraph"/>
              <w:spacing w:before="56" w:line="252" w:lineRule="auto"/>
              <w:ind w:left="392" w:hanging="184"/>
              <w:rPr>
                <w:sz w:val="14"/>
              </w:rPr>
            </w:pPr>
            <w:r>
              <w:rPr>
                <w:color w:val="4D4D4F"/>
                <w:w w:val="105"/>
                <w:sz w:val="14"/>
              </w:rPr>
              <w:t>Grassy Eucalypt Woodland</w:t>
            </w:r>
          </w:p>
        </w:tc>
        <w:tc>
          <w:tcPr>
            <w:tcW w:w="737" w:type="dxa"/>
          </w:tcPr>
          <w:p w14:paraId="2356D9AB" w14:textId="77777777" w:rsidR="00EF5B27" w:rsidRDefault="00EF5B27">
            <w:pPr>
              <w:pStyle w:val="TableParagraph"/>
              <w:spacing w:before="7"/>
              <w:rPr>
                <w:rFonts w:ascii="Times New Roman"/>
                <w:sz w:val="12"/>
              </w:rPr>
            </w:pPr>
          </w:p>
          <w:p w14:paraId="55E94B83" w14:textId="77777777" w:rsidR="00EF5B27" w:rsidRDefault="00000000">
            <w:pPr>
              <w:pStyle w:val="TableParagraph"/>
              <w:spacing w:before="1"/>
              <w:ind w:left="20"/>
              <w:jc w:val="center"/>
              <w:rPr>
                <w:sz w:val="14"/>
              </w:rPr>
            </w:pPr>
            <w:r>
              <w:rPr>
                <w:color w:val="4D4D4F"/>
                <w:w w:val="96"/>
                <w:sz w:val="14"/>
              </w:rPr>
              <w:t>3</w:t>
            </w:r>
          </w:p>
        </w:tc>
        <w:tc>
          <w:tcPr>
            <w:tcW w:w="1474" w:type="dxa"/>
          </w:tcPr>
          <w:p w14:paraId="7202CAFC" w14:textId="77777777" w:rsidR="00EF5B27" w:rsidRDefault="00EF5B27">
            <w:pPr>
              <w:pStyle w:val="TableParagraph"/>
              <w:spacing w:before="7"/>
              <w:rPr>
                <w:rFonts w:ascii="Times New Roman"/>
                <w:sz w:val="12"/>
              </w:rPr>
            </w:pPr>
          </w:p>
          <w:p w14:paraId="7032230D" w14:textId="77777777" w:rsidR="00EF5B27" w:rsidRDefault="00000000">
            <w:pPr>
              <w:pStyle w:val="TableParagraph"/>
              <w:spacing w:before="1"/>
              <w:ind w:left="133" w:right="113"/>
              <w:jc w:val="center"/>
              <w:rPr>
                <w:sz w:val="14"/>
              </w:rPr>
            </w:pPr>
            <w:r>
              <w:rPr>
                <w:color w:val="4D4D4F"/>
                <w:w w:val="105"/>
                <w:sz w:val="14"/>
              </w:rPr>
              <w:t>Forb richness</w:t>
            </w:r>
          </w:p>
        </w:tc>
        <w:tc>
          <w:tcPr>
            <w:tcW w:w="2041" w:type="dxa"/>
          </w:tcPr>
          <w:p w14:paraId="4E778D27" w14:textId="77777777" w:rsidR="00EF5B27" w:rsidRDefault="00EF5B27">
            <w:pPr>
              <w:pStyle w:val="TableParagraph"/>
              <w:spacing w:before="7"/>
              <w:rPr>
                <w:rFonts w:ascii="Times New Roman"/>
                <w:sz w:val="12"/>
              </w:rPr>
            </w:pPr>
          </w:p>
          <w:p w14:paraId="5B6EEC81" w14:textId="77777777" w:rsidR="00EF5B27" w:rsidRDefault="00000000">
            <w:pPr>
              <w:pStyle w:val="TableParagraph"/>
              <w:spacing w:before="1"/>
              <w:ind w:left="162" w:right="142"/>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4973FAD0" w14:textId="77777777" w:rsidR="00EF5B27" w:rsidRDefault="00EF5B27">
            <w:pPr>
              <w:pStyle w:val="TableParagraph"/>
              <w:spacing w:before="7"/>
              <w:rPr>
                <w:rFonts w:ascii="Times New Roman"/>
                <w:sz w:val="12"/>
              </w:rPr>
            </w:pPr>
          </w:p>
          <w:p w14:paraId="0169D143" w14:textId="77777777" w:rsidR="00EF5B27" w:rsidRDefault="00000000">
            <w:pPr>
              <w:pStyle w:val="TableParagraph"/>
              <w:spacing w:before="1"/>
              <w:ind w:right="919"/>
              <w:jc w:val="right"/>
              <w:rPr>
                <w:sz w:val="14"/>
              </w:rPr>
            </w:pPr>
            <w:r>
              <w:rPr>
                <w:color w:val="4D4D4F"/>
                <w:w w:val="95"/>
                <w:sz w:val="14"/>
              </w:rPr>
              <w:t>2022</w:t>
            </w:r>
          </w:p>
        </w:tc>
        <w:tc>
          <w:tcPr>
            <w:tcW w:w="1134" w:type="dxa"/>
          </w:tcPr>
          <w:p w14:paraId="538DA6B2" w14:textId="77777777" w:rsidR="00EF5B27" w:rsidRDefault="00EF5B27">
            <w:pPr>
              <w:pStyle w:val="TableParagraph"/>
              <w:spacing w:before="7"/>
              <w:rPr>
                <w:rFonts w:ascii="Times New Roman"/>
                <w:sz w:val="12"/>
              </w:rPr>
            </w:pPr>
          </w:p>
          <w:p w14:paraId="7C40CCB5" w14:textId="77777777" w:rsidR="00EF5B27" w:rsidRDefault="00000000">
            <w:pPr>
              <w:pStyle w:val="TableParagraph"/>
              <w:spacing w:before="1"/>
              <w:ind w:left="81" w:right="59"/>
              <w:jc w:val="center"/>
              <w:rPr>
                <w:sz w:val="14"/>
              </w:rPr>
            </w:pPr>
            <w:r>
              <w:rPr>
                <w:color w:val="4D4D4F"/>
                <w:sz w:val="14"/>
              </w:rPr>
              <w:t>2026</w:t>
            </w:r>
          </w:p>
        </w:tc>
      </w:tr>
      <w:tr w:rsidR="00EF5B27" w14:paraId="66E395C6" w14:textId="77777777">
        <w:trPr>
          <w:trHeight w:val="448"/>
        </w:trPr>
        <w:tc>
          <w:tcPr>
            <w:tcW w:w="737" w:type="dxa"/>
          </w:tcPr>
          <w:p w14:paraId="07FA6AD2" w14:textId="77777777" w:rsidR="00EF5B27" w:rsidRDefault="00EF5B27">
            <w:pPr>
              <w:pStyle w:val="TableParagraph"/>
              <w:spacing w:before="7"/>
              <w:rPr>
                <w:rFonts w:ascii="Times New Roman"/>
                <w:sz w:val="12"/>
              </w:rPr>
            </w:pPr>
          </w:p>
          <w:p w14:paraId="2CE0BE2D" w14:textId="77777777" w:rsidR="00EF5B27" w:rsidRDefault="00000000">
            <w:pPr>
              <w:pStyle w:val="TableParagraph"/>
              <w:spacing w:before="1"/>
              <w:ind w:left="21"/>
              <w:jc w:val="center"/>
              <w:rPr>
                <w:sz w:val="14"/>
              </w:rPr>
            </w:pPr>
            <w:r>
              <w:rPr>
                <w:color w:val="4D4D4F"/>
                <w:w w:val="96"/>
                <w:sz w:val="14"/>
              </w:rPr>
              <w:t>2</w:t>
            </w:r>
          </w:p>
        </w:tc>
        <w:tc>
          <w:tcPr>
            <w:tcW w:w="1361" w:type="dxa"/>
          </w:tcPr>
          <w:p w14:paraId="44EC8D8D" w14:textId="77777777" w:rsidR="00EF5B27" w:rsidRDefault="00000000">
            <w:pPr>
              <w:pStyle w:val="TableParagraph"/>
              <w:spacing w:before="56" w:line="252" w:lineRule="auto"/>
              <w:ind w:left="392" w:hanging="184"/>
              <w:rPr>
                <w:sz w:val="14"/>
              </w:rPr>
            </w:pPr>
            <w:r>
              <w:rPr>
                <w:color w:val="4D4D4F"/>
                <w:w w:val="105"/>
                <w:sz w:val="14"/>
              </w:rPr>
              <w:t>Grassy Eucalypt Woodland</w:t>
            </w:r>
          </w:p>
        </w:tc>
        <w:tc>
          <w:tcPr>
            <w:tcW w:w="737" w:type="dxa"/>
          </w:tcPr>
          <w:p w14:paraId="41FF45D2" w14:textId="77777777" w:rsidR="00EF5B27" w:rsidRDefault="00EF5B27">
            <w:pPr>
              <w:pStyle w:val="TableParagraph"/>
              <w:spacing w:before="7"/>
              <w:rPr>
                <w:rFonts w:ascii="Times New Roman"/>
                <w:sz w:val="12"/>
              </w:rPr>
            </w:pPr>
          </w:p>
          <w:p w14:paraId="79265CD5" w14:textId="77777777" w:rsidR="00EF5B27" w:rsidRDefault="00000000">
            <w:pPr>
              <w:pStyle w:val="TableParagraph"/>
              <w:spacing w:before="1"/>
              <w:ind w:left="20"/>
              <w:jc w:val="center"/>
              <w:rPr>
                <w:sz w:val="14"/>
              </w:rPr>
            </w:pPr>
            <w:r>
              <w:rPr>
                <w:color w:val="4D4D4F"/>
                <w:w w:val="96"/>
                <w:sz w:val="14"/>
              </w:rPr>
              <w:t>3</w:t>
            </w:r>
          </w:p>
        </w:tc>
        <w:tc>
          <w:tcPr>
            <w:tcW w:w="1474" w:type="dxa"/>
          </w:tcPr>
          <w:p w14:paraId="4FC44586" w14:textId="77777777" w:rsidR="00EF5B27" w:rsidRDefault="00EF5B27">
            <w:pPr>
              <w:pStyle w:val="TableParagraph"/>
              <w:spacing w:before="7"/>
              <w:rPr>
                <w:rFonts w:ascii="Times New Roman"/>
                <w:sz w:val="12"/>
              </w:rPr>
            </w:pPr>
          </w:p>
          <w:p w14:paraId="37AC001E" w14:textId="77777777" w:rsidR="00EF5B27" w:rsidRDefault="00000000">
            <w:pPr>
              <w:pStyle w:val="TableParagraph"/>
              <w:spacing w:before="1"/>
              <w:ind w:left="133" w:right="113"/>
              <w:jc w:val="center"/>
              <w:rPr>
                <w:sz w:val="14"/>
              </w:rPr>
            </w:pPr>
            <w:r>
              <w:rPr>
                <w:color w:val="4D4D4F"/>
                <w:w w:val="105"/>
                <w:sz w:val="14"/>
              </w:rPr>
              <w:t>Forb richness</w:t>
            </w:r>
          </w:p>
        </w:tc>
        <w:tc>
          <w:tcPr>
            <w:tcW w:w="2041" w:type="dxa"/>
          </w:tcPr>
          <w:p w14:paraId="5C8D61F4" w14:textId="77777777" w:rsidR="00EF5B27" w:rsidRDefault="00EF5B27">
            <w:pPr>
              <w:pStyle w:val="TableParagraph"/>
              <w:spacing w:before="7"/>
              <w:rPr>
                <w:rFonts w:ascii="Times New Roman"/>
                <w:sz w:val="12"/>
              </w:rPr>
            </w:pPr>
          </w:p>
          <w:p w14:paraId="36F3AC6D" w14:textId="77777777" w:rsidR="00EF5B27" w:rsidRDefault="00000000">
            <w:pPr>
              <w:pStyle w:val="TableParagraph"/>
              <w:spacing w:before="1"/>
              <w:ind w:left="162" w:right="142"/>
              <w:jc w:val="center"/>
              <w:rPr>
                <w:sz w:val="14"/>
              </w:rPr>
            </w:pPr>
            <w:r>
              <w:rPr>
                <w:color w:val="4D4D4F"/>
                <w:w w:val="105"/>
                <w:sz w:val="14"/>
              </w:rPr>
              <w:t>C3 grassland</w:t>
            </w:r>
          </w:p>
        </w:tc>
        <w:tc>
          <w:tcPr>
            <w:tcW w:w="2154" w:type="dxa"/>
          </w:tcPr>
          <w:p w14:paraId="3D2AA2D2" w14:textId="77777777" w:rsidR="00EF5B27" w:rsidRDefault="00EF5B27">
            <w:pPr>
              <w:pStyle w:val="TableParagraph"/>
              <w:spacing w:before="7"/>
              <w:rPr>
                <w:rFonts w:ascii="Times New Roman"/>
                <w:sz w:val="12"/>
              </w:rPr>
            </w:pPr>
          </w:p>
          <w:p w14:paraId="27B5283C" w14:textId="77777777" w:rsidR="00EF5B27" w:rsidRDefault="00000000">
            <w:pPr>
              <w:pStyle w:val="TableParagraph"/>
              <w:spacing w:before="1"/>
              <w:ind w:right="919"/>
              <w:jc w:val="right"/>
              <w:rPr>
                <w:sz w:val="14"/>
              </w:rPr>
            </w:pPr>
            <w:r>
              <w:rPr>
                <w:color w:val="4D4D4F"/>
                <w:w w:val="95"/>
                <w:sz w:val="14"/>
              </w:rPr>
              <w:t>2022</w:t>
            </w:r>
          </w:p>
        </w:tc>
        <w:tc>
          <w:tcPr>
            <w:tcW w:w="1134" w:type="dxa"/>
          </w:tcPr>
          <w:p w14:paraId="6BD54662" w14:textId="77777777" w:rsidR="00EF5B27" w:rsidRDefault="00EF5B27">
            <w:pPr>
              <w:pStyle w:val="TableParagraph"/>
              <w:spacing w:before="7"/>
              <w:rPr>
                <w:rFonts w:ascii="Times New Roman"/>
                <w:sz w:val="12"/>
              </w:rPr>
            </w:pPr>
          </w:p>
          <w:p w14:paraId="6FFA0D78" w14:textId="77777777" w:rsidR="00EF5B27" w:rsidRDefault="00000000">
            <w:pPr>
              <w:pStyle w:val="TableParagraph"/>
              <w:spacing w:before="1"/>
              <w:ind w:left="81" w:right="59"/>
              <w:jc w:val="center"/>
              <w:rPr>
                <w:sz w:val="14"/>
              </w:rPr>
            </w:pPr>
            <w:r>
              <w:rPr>
                <w:color w:val="4D4D4F"/>
                <w:sz w:val="14"/>
              </w:rPr>
              <w:t>2026</w:t>
            </w:r>
          </w:p>
        </w:tc>
      </w:tr>
      <w:tr w:rsidR="00EF5B27" w14:paraId="57B8D6B8" w14:textId="77777777">
        <w:trPr>
          <w:trHeight w:val="448"/>
        </w:trPr>
        <w:tc>
          <w:tcPr>
            <w:tcW w:w="737" w:type="dxa"/>
          </w:tcPr>
          <w:p w14:paraId="43F5BD66" w14:textId="77777777" w:rsidR="00EF5B27" w:rsidRDefault="00EF5B27">
            <w:pPr>
              <w:pStyle w:val="TableParagraph"/>
              <w:spacing w:before="7"/>
              <w:rPr>
                <w:rFonts w:ascii="Times New Roman"/>
                <w:sz w:val="12"/>
              </w:rPr>
            </w:pPr>
          </w:p>
          <w:p w14:paraId="456FBE2F" w14:textId="77777777" w:rsidR="00EF5B27" w:rsidRDefault="00000000">
            <w:pPr>
              <w:pStyle w:val="TableParagraph"/>
              <w:spacing w:before="1"/>
              <w:ind w:left="21"/>
              <w:jc w:val="center"/>
              <w:rPr>
                <w:sz w:val="14"/>
              </w:rPr>
            </w:pPr>
            <w:r>
              <w:rPr>
                <w:color w:val="4D4D4F"/>
                <w:w w:val="96"/>
                <w:sz w:val="14"/>
              </w:rPr>
              <w:t>2</w:t>
            </w:r>
          </w:p>
        </w:tc>
        <w:tc>
          <w:tcPr>
            <w:tcW w:w="1361" w:type="dxa"/>
          </w:tcPr>
          <w:p w14:paraId="6ADFD987" w14:textId="77777777" w:rsidR="00EF5B27" w:rsidRDefault="00000000">
            <w:pPr>
              <w:pStyle w:val="TableParagraph"/>
              <w:spacing w:before="56" w:line="252" w:lineRule="auto"/>
              <w:ind w:left="392" w:hanging="184"/>
              <w:rPr>
                <w:sz w:val="14"/>
              </w:rPr>
            </w:pPr>
            <w:r>
              <w:rPr>
                <w:color w:val="4D4D4F"/>
                <w:w w:val="105"/>
                <w:sz w:val="14"/>
              </w:rPr>
              <w:t>Grassy Eucalypt Woodland</w:t>
            </w:r>
          </w:p>
        </w:tc>
        <w:tc>
          <w:tcPr>
            <w:tcW w:w="737" w:type="dxa"/>
          </w:tcPr>
          <w:p w14:paraId="28A902AF" w14:textId="77777777" w:rsidR="00EF5B27" w:rsidRDefault="00EF5B27">
            <w:pPr>
              <w:pStyle w:val="TableParagraph"/>
              <w:spacing w:before="7"/>
              <w:rPr>
                <w:rFonts w:ascii="Times New Roman"/>
                <w:sz w:val="12"/>
              </w:rPr>
            </w:pPr>
          </w:p>
          <w:p w14:paraId="76D8CA1D" w14:textId="77777777" w:rsidR="00EF5B27" w:rsidRDefault="00000000">
            <w:pPr>
              <w:pStyle w:val="TableParagraph"/>
              <w:spacing w:before="1"/>
              <w:ind w:left="20"/>
              <w:jc w:val="center"/>
              <w:rPr>
                <w:sz w:val="14"/>
              </w:rPr>
            </w:pPr>
            <w:r>
              <w:rPr>
                <w:color w:val="4D4D4F"/>
                <w:w w:val="96"/>
                <w:sz w:val="14"/>
              </w:rPr>
              <w:t>3</w:t>
            </w:r>
          </w:p>
        </w:tc>
        <w:tc>
          <w:tcPr>
            <w:tcW w:w="1474" w:type="dxa"/>
          </w:tcPr>
          <w:p w14:paraId="75CEB2DE" w14:textId="77777777" w:rsidR="00EF5B27" w:rsidRDefault="00EF5B27">
            <w:pPr>
              <w:pStyle w:val="TableParagraph"/>
              <w:spacing w:before="7"/>
              <w:rPr>
                <w:rFonts w:ascii="Times New Roman"/>
                <w:sz w:val="12"/>
              </w:rPr>
            </w:pPr>
          </w:p>
          <w:p w14:paraId="15B0E410" w14:textId="77777777" w:rsidR="00EF5B27" w:rsidRDefault="00000000">
            <w:pPr>
              <w:pStyle w:val="TableParagraph"/>
              <w:spacing w:before="1"/>
              <w:ind w:left="133" w:right="113"/>
              <w:jc w:val="center"/>
              <w:rPr>
                <w:sz w:val="14"/>
              </w:rPr>
            </w:pPr>
            <w:r>
              <w:rPr>
                <w:color w:val="4D4D4F"/>
                <w:w w:val="105"/>
                <w:sz w:val="14"/>
              </w:rPr>
              <w:t>Forb richness</w:t>
            </w:r>
          </w:p>
        </w:tc>
        <w:tc>
          <w:tcPr>
            <w:tcW w:w="2041" w:type="dxa"/>
          </w:tcPr>
          <w:p w14:paraId="3E2A0591" w14:textId="77777777" w:rsidR="00EF5B27" w:rsidRDefault="00EF5B27">
            <w:pPr>
              <w:pStyle w:val="TableParagraph"/>
              <w:spacing w:before="7"/>
              <w:rPr>
                <w:rFonts w:ascii="Times New Roman"/>
                <w:sz w:val="12"/>
              </w:rPr>
            </w:pPr>
          </w:p>
          <w:p w14:paraId="6D2457A7" w14:textId="77777777" w:rsidR="00EF5B27" w:rsidRDefault="00000000">
            <w:pPr>
              <w:pStyle w:val="TableParagraph"/>
              <w:spacing w:before="1"/>
              <w:ind w:left="162" w:right="142"/>
              <w:jc w:val="center"/>
              <w:rPr>
                <w:sz w:val="14"/>
              </w:rPr>
            </w:pPr>
            <w:r>
              <w:rPr>
                <w:color w:val="4D4D4F"/>
                <w:w w:val="105"/>
                <w:sz w:val="14"/>
              </w:rPr>
              <w:t>Nutrient-enriched grassland</w:t>
            </w:r>
          </w:p>
        </w:tc>
        <w:tc>
          <w:tcPr>
            <w:tcW w:w="2154" w:type="dxa"/>
          </w:tcPr>
          <w:p w14:paraId="2643828D" w14:textId="77777777" w:rsidR="00EF5B27" w:rsidRDefault="00EF5B27">
            <w:pPr>
              <w:pStyle w:val="TableParagraph"/>
              <w:spacing w:before="7"/>
              <w:rPr>
                <w:rFonts w:ascii="Times New Roman"/>
                <w:sz w:val="12"/>
              </w:rPr>
            </w:pPr>
          </w:p>
          <w:p w14:paraId="06F42FD2" w14:textId="77777777" w:rsidR="00EF5B27" w:rsidRDefault="00000000">
            <w:pPr>
              <w:pStyle w:val="TableParagraph"/>
              <w:spacing w:before="1"/>
              <w:ind w:right="919"/>
              <w:jc w:val="right"/>
              <w:rPr>
                <w:sz w:val="14"/>
              </w:rPr>
            </w:pPr>
            <w:r>
              <w:rPr>
                <w:color w:val="4D4D4F"/>
                <w:w w:val="95"/>
                <w:sz w:val="14"/>
              </w:rPr>
              <w:t>2022</w:t>
            </w:r>
          </w:p>
        </w:tc>
        <w:tc>
          <w:tcPr>
            <w:tcW w:w="1134" w:type="dxa"/>
          </w:tcPr>
          <w:p w14:paraId="60DB4189" w14:textId="77777777" w:rsidR="00EF5B27" w:rsidRDefault="00EF5B27">
            <w:pPr>
              <w:pStyle w:val="TableParagraph"/>
              <w:spacing w:before="7"/>
              <w:rPr>
                <w:rFonts w:ascii="Times New Roman"/>
                <w:sz w:val="12"/>
              </w:rPr>
            </w:pPr>
          </w:p>
          <w:p w14:paraId="566E1217" w14:textId="77777777" w:rsidR="00EF5B27" w:rsidRDefault="00000000">
            <w:pPr>
              <w:pStyle w:val="TableParagraph"/>
              <w:spacing w:before="1"/>
              <w:ind w:left="81" w:right="59"/>
              <w:jc w:val="center"/>
              <w:rPr>
                <w:sz w:val="14"/>
              </w:rPr>
            </w:pPr>
            <w:r>
              <w:rPr>
                <w:color w:val="4D4D4F"/>
                <w:sz w:val="14"/>
              </w:rPr>
              <w:t>2026</w:t>
            </w:r>
          </w:p>
        </w:tc>
      </w:tr>
      <w:tr w:rsidR="00EF5B27" w14:paraId="246D1155" w14:textId="77777777">
        <w:trPr>
          <w:trHeight w:val="448"/>
        </w:trPr>
        <w:tc>
          <w:tcPr>
            <w:tcW w:w="737" w:type="dxa"/>
          </w:tcPr>
          <w:p w14:paraId="69122CEE" w14:textId="77777777" w:rsidR="00EF5B27" w:rsidRDefault="00EF5B27">
            <w:pPr>
              <w:pStyle w:val="TableParagraph"/>
              <w:spacing w:before="8"/>
              <w:rPr>
                <w:rFonts w:ascii="Times New Roman"/>
                <w:sz w:val="12"/>
              </w:rPr>
            </w:pPr>
          </w:p>
          <w:p w14:paraId="7952895D" w14:textId="77777777" w:rsidR="00EF5B27" w:rsidRDefault="00000000">
            <w:pPr>
              <w:pStyle w:val="TableParagraph"/>
              <w:ind w:left="21"/>
              <w:jc w:val="center"/>
              <w:rPr>
                <w:sz w:val="14"/>
              </w:rPr>
            </w:pPr>
            <w:r>
              <w:rPr>
                <w:color w:val="4D4D4F"/>
                <w:w w:val="96"/>
                <w:sz w:val="14"/>
              </w:rPr>
              <w:t>2</w:t>
            </w:r>
          </w:p>
        </w:tc>
        <w:tc>
          <w:tcPr>
            <w:tcW w:w="1361" w:type="dxa"/>
          </w:tcPr>
          <w:p w14:paraId="6E6CABFE" w14:textId="77777777" w:rsidR="00EF5B27" w:rsidRDefault="00000000">
            <w:pPr>
              <w:pStyle w:val="TableParagraph"/>
              <w:spacing w:before="56" w:line="252" w:lineRule="auto"/>
              <w:ind w:left="392" w:hanging="184"/>
              <w:rPr>
                <w:sz w:val="14"/>
              </w:rPr>
            </w:pPr>
            <w:r>
              <w:rPr>
                <w:color w:val="4D4D4F"/>
                <w:w w:val="105"/>
                <w:sz w:val="14"/>
              </w:rPr>
              <w:t>Grassy Eucalypt Woodland</w:t>
            </w:r>
          </w:p>
        </w:tc>
        <w:tc>
          <w:tcPr>
            <w:tcW w:w="737" w:type="dxa"/>
          </w:tcPr>
          <w:p w14:paraId="5A0F2F2D" w14:textId="77777777" w:rsidR="00EF5B27" w:rsidRDefault="00EF5B27">
            <w:pPr>
              <w:pStyle w:val="TableParagraph"/>
              <w:spacing w:before="8"/>
              <w:rPr>
                <w:rFonts w:ascii="Times New Roman"/>
                <w:sz w:val="12"/>
              </w:rPr>
            </w:pPr>
          </w:p>
          <w:p w14:paraId="1391AD96" w14:textId="77777777" w:rsidR="00EF5B27" w:rsidRDefault="00000000">
            <w:pPr>
              <w:pStyle w:val="TableParagraph"/>
              <w:ind w:left="20"/>
              <w:jc w:val="center"/>
              <w:rPr>
                <w:sz w:val="14"/>
              </w:rPr>
            </w:pPr>
            <w:r>
              <w:rPr>
                <w:color w:val="4D4D4F"/>
                <w:w w:val="96"/>
                <w:sz w:val="14"/>
              </w:rPr>
              <w:t>3</w:t>
            </w:r>
          </w:p>
        </w:tc>
        <w:tc>
          <w:tcPr>
            <w:tcW w:w="1474" w:type="dxa"/>
          </w:tcPr>
          <w:p w14:paraId="56BD1DF8" w14:textId="77777777" w:rsidR="00EF5B27" w:rsidRDefault="00EF5B27">
            <w:pPr>
              <w:pStyle w:val="TableParagraph"/>
              <w:spacing w:before="8"/>
              <w:rPr>
                <w:rFonts w:ascii="Times New Roman"/>
                <w:sz w:val="12"/>
              </w:rPr>
            </w:pPr>
          </w:p>
          <w:p w14:paraId="3033A210" w14:textId="77777777" w:rsidR="00EF5B27" w:rsidRDefault="00000000">
            <w:pPr>
              <w:pStyle w:val="TableParagraph"/>
              <w:ind w:left="133" w:right="113"/>
              <w:jc w:val="center"/>
              <w:rPr>
                <w:sz w:val="14"/>
              </w:rPr>
            </w:pPr>
            <w:r>
              <w:rPr>
                <w:color w:val="4D4D4F"/>
                <w:w w:val="105"/>
                <w:sz w:val="14"/>
              </w:rPr>
              <w:t>Forb richness</w:t>
            </w:r>
          </w:p>
        </w:tc>
        <w:tc>
          <w:tcPr>
            <w:tcW w:w="2041" w:type="dxa"/>
          </w:tcPr>
          <w:p w14:paraId="47DD1A07" w14:textId="77777777" w:rsidR="00EF5B27" w:rsidRDefault="00EF5B27">
            <w:pPr>
              <w:pStyle w:val="TableParagraph"/>
              <w:spacing w:before="8"/>
              <w:rPr>
                <w:rFonts w:ascii="Times New Roman"/>
                <w:sz w:val="12"/>
              </w:rPr>
            </w:pPr>
          </w:p>
          <w:p w14:paraId="083C4CB2" w14:textId="77777777" w:rsidR="00EF5B27" w:rsidRDefault="00000000">
            <w:pPr>
              <w:pStyle w:val="TableParagraph"/>
              <w:ind w:left="162" w:right="142"/>
              <w:jc w:val="center"/>
              <w:rPr>
                <w:sz w:val="14"/>
              </w:rPr>
            </w:pPr>
            <w:r>
              <w:rPr>
                <w:color w:val="4D4D4F"/>
                <w:w w:val="105"/>
                <w:sz w:val="14"/>
              </w:rPr>
              <w:t>De-rocked grassland</w:t>
            </w:r>
          </w:p>
        </w:tc>
        <w:tc>
          <w:tcPr>
            <w:tcW w:w="2154" w:type="dxa"/>
          </w:tcPr>
          <w:p w14:paraId="0C570D74" w14:textId="77777777" w:rsidR="00EF5B27" w:rsidRDefault="00EF5B27">
            <w:pPr>
              <w:pStyle w:val="TableParagraph"/>
              <w:spacing w:before="8"/>
              <w:rPr>
                <w:rFonts w:ascii="Times New Roman"/>
                <w:sz w:val="12"/>
              </w:rPr>
            </w:pPr>
          </w:p>
          <w:p w14:paraId="02ABC4E1" w14:textId="77777777" w:rsidR="00EF5B27" w:rsidRDefault="00000000">
            <w:pPr>
              <w:pStyle w:val="TableParagraph"/>
              <w:ind w:right="919"/>
              <w:jc w:val="right"/>
              <w:rPr>
                <w:sz w:val="14"/>
              </w:rPr>
            </w:pPr>
            <w:r>
              <w:rPr>
                <w:color w:val="4D4D4F"/>
                <w:w w:val="95"/>
                <w:sz w:val="14"/>
              </w:rPr>
              <w:t>2022</w:t>
            </w:r>
          </w:p>
        </w:tc>
        <w:tc>
          <w:tcPr>
            <w:tcW w:w="1134" w:type="dxa"/>
          </w:tcPr>
          <w:p w14:paraId="12ACA5E3" w14:textId="77777777" w:rsidR="00EF5B27" w:rsidRDefault="00EF5B27">
            <w:pPr>
              <w:pStyle w:val="TableParagraph"/>
              <w:spacing w:before="8"/>
              <w:rPr>
                <w:rFonts w:ascii="Times New Roman"/>
                <w:sz w:val="12"/>
              </w:rPr>
            </w:pPr>
          </w:p>
          <w:p w14:paraId="0464A726" w14:textId="77777777" w:rsidR="00EF5B27" w:rsidRDefault="00000000">
            <w:pPr>
              <w:pStyle w:val="TableParagraph"/>
              <w:ind w:left="81" w:right="59"/>
              <w:jc w:val="center"/>
              <w:rPr>
                <w:sz w:val="14"/>
              </w:rPr>
            </w:pPr>
            <w:r>
              <w:rPr>
                <w:color w:val="4D4D4F"/>
                <w:sz w:val="14"/>
              </w:rPr>
              <w:t>2026</w:t>
            </w:r>
          </w:p>
        </w:tc>
      </w:tr>
      <w:tr w:rsidR="00EF5B27" w14:paraId="28F8BB42" w14:textId="77777777">
        <w:trPr>
          <w:trHeight w:val="448"/>
        </w:trPr>
        <w:tc>
          <w:tcPr>
            <w:tcW w:w="737" w:type="dxa"/>
          </w:tcPr>
          <w:p w14:paraId="073EAA05" w14:textId="77777777" w:rsidR="00EF5B27" w:rsidRDefault="00EF5B27">
            <w:pPr>
              <w:pStyle w:val="TableParagraph"/>
              <w:spacing w:before="8"/>
              <w:rPr>
                <w:rFonts w:ascii="Times New Roman"/>
                <w:sz w:val="12"/>
              </w:rPr>
            </w:pPr>
          </w:p>
          <w:p w14:paraId="0A0D47E1" w14:textId="77777777" w:rsidR="00EF5B27" w:rsidRDefault="00000000">
            <w:pPr>
              <w:pStyle w:val="TableParagraph"/>
              <w:ind w:left="21"/>
              <w:jc w:val="center"/>
              <w:rPr>
                <w:sz w:val="14"/>
              </w:rPr>
            </w:pPr>
            <w:r>
              <w:rPr>
                <w:color w:val="4D4D4F"/>
                <w:w w:val="96"/>
                <w:sz w:val="14"/>
              </w:rPr>
              <w:t>2</w:t>
            </w:r>
          </w:p>
        </w:tc>
        <w:tc>
          <w:tcPr>
            <w:tcW w:w="1361" w:type="dxa"/>
          </w:tcPr>
          <w:p w14:paraId="3A8B2FD9" w14:textId="77777777" w:rsidR="00EF5B27" w:rsidRDefault="00000000">
            <w:pPr>
              <w:pStyle w:val="TableParagraph"/>
              <w:spacing w:before="56" w:line="252" w:lineRule="auto"/>
              <w:ind w:left="392" w:hanging="184"/>
              <w:rPr>
                <w:sz w:val="14"/>
              </w:rPr>
            </w:pPr>
            <w:r>
              <w:rPr>
                <w:color w:val="4D4D4F"/>
                <w:w w:val="105"/>
                <w:sz w:val="14"/>
              </w:rPr>
              <w:t>Grassy Eucalypt Woodland</w:t>
            </w:r>
          </w:p>
        </w:tc>
        <w:tc>
          <w:tcPr>
            <w:tcW w:w="737" w:type="dxa"/>
          </w:tcPr>
          <w:p w14:paraId="08B758A6" w14:textId="77777777" w:rsidR="00EF5B27" w:rsidRDefault="00EF5B27">
            <w:pPr>
              <w:pStyle w:val="TableParagraph"/>
              <w:spacing w:before="8"/>
              <w:rPr>
                <w:rFonts w:ascii="Times New Roman"/>
                <w:sz w:val="12"/>
              </w:rPr>
            </w:pPr>
          </w:p>
          <w:p w14:paraId="7CD09059" w14:textId="77777777" w:rsidR="00EF5B27" w:rsidRDefault="00000000">
            <w:pPr>
              <w:pStyle w:val="TableParagraph"/>
              <w:ind w:left="20"/>
              <w:jc w:val="center"/>
              <w:rPr>
                <w:sz w:val="14"/>
              </w:rPr>
            </w:pPr>
            <w:r>
              <w:rPr>
                <w:color w:val="4D4D4F"/>
                <w:w w:val="96"/>
                <w:sz w:val="14"/>
              </w:rPr>
              <w:t>4</w:t>
            </w:r>
          </w:p>
        </w:tc>
        <w:tc>
          <w:tcPr>
            <w:tcW w:w="1474" w:type="dxa"/>
          </w:tcPr>
          <w:p w14:paraId="683EA170" w14:textId="77777777" w:rsidR="00EF5B27" w:rsidRDefault="00EF5B27">
            <w:pPr>
              <w:pStyle w:val="TableParagraph"/>
              <w:spacing w:before="8"/>
              <w:rPr>
                <w:rFonts w:ascii="Times New Roman"/>
                <w:sz w:val="12"/>
              </w:rPr>
            </w:pPr>
          </w:p>
          <w:p w14:paraId="45C4304F" w14:textId="77777777" w:rsidR="00EF5B27" w:rsidRDefault="00000000">
            <w:pPr>
              <w:pStyle w:val="TableParagraph"/>
              <w:ind w:left="133" w:right="113"/>
              <w:jc w:val="center"/>
              <w:rPr>
                <w:sz w:val="14"/>
              </w:rPr>
            </w:pPr>
            <w:r>
              <w:rPr>
                <w:rFonts w:ascii="Arial Narrow"/>
                <w:i/>
                <w:color w:val="4D4D4F"/>
                <w:w w:val="105"/>
                <w:sz w:val="14"/>
              </w:rPr>
              <w:t>Themeda</w:t>
            </w:r>
            <w:r>
              <w:rPr>
                <w:color w:val="4D4D4F"/>
                <w:w w:val="105"/>
                <w:sz w:val="14"/>
              </w:rPr>
              <w:t>, Poa cover</w:t>
            </w:r>
          </w:p>
        </w:tc>
        <w:tc>
          <w:tcPr>
            <w:tcW w:w="2041" w:type="dxa"/>
          </w:tcPr>
          <w:p w14:paraId="127E32C0" w14:textId="77777777" w:rsidR="00EF5B27" w:rsidRDefault="00EF5B27">
            <w:pPr>
              <w:pStyle w:val="TableParagraph"/>
              <w:spacing w:before="8"/>
              <w:rPr>
                <w:rFonts w:ascii="Times New Roman"/>
                <w:sz w:val="12"/>
              </w:rPr>
            </w:pPr>
          </w:p>
          <w:p w14:paraId="0E6DA062" w14:textId="77777777" w:rsidR="00EF5B27" w:rsidRDefault="00000000">
            <w:pPr>
              <w:pStyle w:val="TableParagraph"/>
              <w:ind w:left="162" w:right="142"/>
              <w:jc w:val="center"/>
              <w:rPr>
                <w:sz w:val="14"/>
              </w:rPr>
            </w:pPr>
            <w:r>
              <w:rPr>
                <w:color w:val="4D4D4F"/>
                <w:w w:val="105"/>
                <w:sz w:val="14"/>
              </w:rPr>
              <w:t>Herb-rich grassland</w:t>
            </w:r>
          </w:p>
        </w:tc>
        <w:tc>
          <w:tcPr>
            <w:tcW w:w="2154" w:type="dxa"/>
          </w:tcPr>
          <w:p w14:paraId="1EAE7EA9" w14:textId="77777777" w:rsidR="00EF5B27" w:rsidRDefault="00EF5B27">
            <w:pPr>
              <w:pStyle w:val="TableParagraph"/>
              <w:spacing w:before="8"/>
              <w:rPr>
                <w:rFonts w:ascii="Times New Roman"/>
                <w:sz w:val="12"/>
              </w:rPr>
            </w:pPr>
          </w:p>
          <w:p w14:paraId="273DCF92" w14:textId="77777777" w:rsidR="00EF5B27" w:rsidRDefault="00000000">
            <w:pPr>
              <w:pStyle w:val="TableParagraph"/>
              <w:ind w:right="919"/>
              <w:jc w:val="right"/>
              <w:rPr>
                <w:sz w:val="14"/>
              </w:rPr>
            </w:pPr>
            <w:r>
              <w:rPr>
                <w:color w:val="4D4D4F"/>
                <w:w w:val="95"/>
                <w:sz w:val="14"/>
              </w:rPr>
              <w:t>2022</w:t>
            </w:r>
          </w:p>
        </w:tc>
        <w:tc>
          <w:tcPr>
            <w:tcW w:w="1134" w:type="dxa"/>
          </w:tcPr>
          <w:p w14:paraId="0950D408" w14:textId="77777777" w:rsidR="00EF5B27" w:rsidRDefault="00EF5B27">
            <w:pPr>
              <w:pStyle w:val="TableParagraph"/>
              <w:spacing w:before="8"/>
              <w:rPr>
                <w:rFonts w:ascii="Times New Roman"/>
                <w:sz w:val="12"/>
              </w:rPr>
            </w:pPr>
          </w:p>
          <w:p w14:paraId="7CE2EF06" w14:textId="77777777" w:rsidR="00EF5B27" w:rsidRDefault="00000000">
            <w:pPr>
              <w:pStyle w:val="TableParagraph"/>
              <w:ind w:left="81" w:right="59"/>
              <w:jc w:val="center"/>
              <w:rPr>
                <w:sz w:val="14"/>
              </w:rPr>
            </w:pPr>
            <w:r>
              <w:rPr>
                <w:color w:val="4D4D4F"/>
                <w:sz w:val="14"/>
              </w:rPr>
              <w:t>2026</w:t>
            </w:r>
          </w:p>
        </w:tc>
      </w:tr>
      <w:tr w:rsidR="00EF5B27" w14:paraId="1CBFCEB2" w14:textId="77777777">
        <w:trPr>
          <w:trHeight w:val="448"/>
        </w:trPr>
        <w:tc>
          <w:tcPr>
            <w:tcW w:w="737" w:type="dxa"/>
          </w:tcPr>
          <w:p w14:paraId="6934930A" w14:textId="77777777" w:rsidR="00EF5B27" w:rsidRDefault="00EF5B27">
            <w:pPr>
              <w:pStyle w:val="TableParagraph"/>
              <w:spacing w:before="8"/>
              <w:rPr>
                <w:rFonts w:ascii="Times New Roman"/>
                <w:sz w:val="12"/>
              </w:rPr>
            </w:pPr>
          </w:p>
          <w:p w14:paraId="20F9CC17" w14:textId="77777777" w:rsidR="00EF5B27" w:rsidRDefault="00000000">
            <w:pPr>
              <w:pStyle w:val="TableParagraph"/>
              <w:ind w:left="21"/>
              <w:jc w:val="center"/>
              <w:rPr>
                <w:sz w:val="14"/>
              </w:rPr>
            </w:pPr>
            <w:r>
              <w:rPr>
                <w:color w:val="4D4D4F"/>
                <w:w w:val="96"/>
                <w:sz w:val="14"/>
              </w:rPr>
              <w:t>2</w:t>
            </w:r>
          </w:p>
        </w:tc>
        <w:tc>
          <w:tcPr>
            <w:tcW w:w="1361" w:type="dxa"/>
          </w:tcPr>
          <w:p w14:paraId="2A173F96" w14:textId="77777777" w:rsidR="00EF5B27" w:rsidRDefault="00000000">
            <w:pPr>
              <w:pStyle w:val="TableParagraph"/>
              <w:spacing w:before="56" w:line="252" w:lineRule="auto"/>
              <w:ind w:left="392" w:hanging="184"/>
              <w:rPr>
                <w:sz w:val="14"/>
              </w:rPr>
            </w:pPr>
            <w:r>
              <w:rPr>
                <w:color w:val="4D4D4F"/>
                <w:w w:val="105"/>
                <w:sz w:val="14"/>
              </w:rPr>
              <w:t>Grassy Eucalypt Woodland</w:t>
            </w:r>
          </w:p>
        </w:tc>
        <w:tc>
          <w:tcPr>
            <w:tcW w:w="737" w:type="dxa"/>
          </w:tcPr>
          <w:p w14:paraId="58EF1DEE" w14:textId="77777777" w:rsidR="00EF5B27" w:rsidRDefault="00EF5B27">
            <w:pPr>
              <w:pStyle w:val="TableParagraph"/>
              <w:spacing w:before="8"/>
              <w:rPr>
                <w:rFonts w:ascii="Times New Roman"/>
                <w:sz w:val="12"/>
              </w:rPr>
            </w:pPr>
          </w:p>
          <w:p w14:paraId="685C1564" w14:textId="77777777" w:rsidR="00EF5B27" w:rsidRDefault="00000000">
            <w:pPr>
              <w:pStyle w:val="TableParagraph"/>
              <w:ind w:left="20"/>
              <w:jc w:val="center"/>
              <w:rPr>
                <w:sz w:val="14"/>
              </w:rPr>
            </w:pPr>
            <w:r>
              <w:rPr>
                <w:color w:val="4D4D4F"/>
                <w:w w:val="96"/>
                <w:sz w:val="14"/>
              </w:rPr>
              <w:t>4</w:t>
            </w:r>
          </w:p>
        </w:tc>
        <w:tc>
          <w:tcPr>
            <w:tcW w:w="1474" w:type="dxa"/>
          </w:tcPr>
          <w:p w14:paraId="2FAD86AE" w14:textId="77777777" w:rsidR="00EF5B27" w:rsidRDefault="00EF5B27">
            <w:pPr>
              <w:pStyle w:val="TableParagraph"/>
              <w:spacing w:before="8"/>
              <w:rPr>
                <w:rFonts w:ascii="Times New Roman"/>
                <w:sz w:val="12"/>
              </w:rPr>
            </w:pPr>
          </w:p>
          <w:p w14:paraId="2F148386" w14:textId="77777777" w:rsidR="00EF5B27" w:rsidRDefault="00000000">
            <w:pPr>
              <w:pStyle w:val="TableParagraph"/>
              <w:ind w:left="133" w:right="113"/>
              <w:jc w:val="center"/>
              <w:rPr>
                <w:sz w:val="14"/>
              </w:rPr>
            </w:pPr>
            <w:r>
              <w:rPr>
                <w:rFonts w:ascii="Arial Narrow"/>
                <w:i/>
                <w:color w:val="4D4D4F"/>
                <w:w w:val="105"/>
                <w:sz w:val="14"/>
              </w:rPr>
              <w:t>Themeda</w:t>
            </w:r>
            <w:r>
              <w:rPr>
                <w:color w:val="4D4D4F"/>
                <w:w w:val="105"/>
                <w:sz w:val="14"/>
              </w:rPr>
              <w:t>, Poa cover</w:t>
            </w:r>
          </w:p>
        </w:tc>
        <w:tc>
          <w:tcPr>
            <w:tcW w:w="2041" w:type="dxa"/>
          </w:tcPr>
          <w:p w14:paraId="41067C01" w14:textId="77777777" w:rsidR="00EF5B27" w:rsidRDefault="00EF5B27">
            <w:pPr>
              <w:pStyle w:val="TableParagraph"/>
              <w:spacing w:before="8"/>
              <w:rPr>
                <w:rFonts w:ascii="Times New Roman"/>
                <w:sz w:val="12"/>
              </w:rPr>
            </w:pPr>
          </w:p>
          <w:p w14:paraId="30D0016A" w14:textId="77777777" w:rsidR="00EF5B27" w:rsidRDefault="00000000">
            <w:pPr>
              <w:pStyle w:val="TableParagraph"/>
              <w:ind w:left="162" w:right="142"/>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36D30B30" w14:textId="77777777" w:rsidR="00EF5B27" w:rsidRDefault="00EF5B27">
            <w:pPr>
              <w:pStyle w:val="TableParagraph"/>
              <w:spacing w:before="8"/>
              <w:rPr>
                <w:rFonts w:ascii="Times New Roman"/>
                <w:sz w:val="12"/>
              </w:rPr>
            </w:pPr>
          </w:p>
          <w:p w14:paraId="5960F572" w14:textId="77777777" w:rsidR="00EF5B27" w:rsidRDefault="00000000">
            <w:pPr>
              <w:pStyle w:val="TableParagraph"/>
              <w:ind w:right="919"/>
              <w:jc w:val="right"/>
              <w:rPr>
                <w:sz w:val="14"/>
              </w:rPr>
            </w:pPr>
            <w:r>
              <w:rPr>
                <w:color w:val="4D4D4F"/>
                <w:w w:val="95"/>
                <w:sz w:val="14"/>
              </w:rPr>
              <w:t>2022</w:t>
            </w:r>
          </w:p>
        </w:tc>
        <w:tc>
          <w:tcPr>
            <w:tcW w:w="1134" w:type="dxa"/>
          </w:tcPr>
          <w:p w14:paraId="77B4FB6A" w14:textId="77777777" w:rsidR="00EF5B27" w:rsidRDefault="00EF5B27">
            <w:pPr>
              <w:pStyle w:val="TableParagraph"/>
              <w:spacing w:before="8"/>
              <w:rPr>
                <w:rFonts w:ascii="Times New Roman"/>
                <w:sz w:val="12"/>
              </w:rPr>
            </w:pPr>
          </w:p>
          <w:p w14:paraId="751E0C03" w14:textId="77777777" w:rsidR="00EF5B27" w:rsidRDefault="00000000">
            <w:pPr>
              <w:pStyle w:val="TableParagraph"/>
              <w:ind w:left="81" w:right="59"/>
              <w:jc w:val="center"/>
              <w:rPr>
                <w:sz w:val="14"/>
              </w:rPr>
            </w:pPr>
            <w:r>
              <w:rPr>
                <w:color w:val="4D4D4F"/>
                <w:sz w:val="14"/>
              </w:rPr>
              <w:t>2026</w:t>
            </w:r>
          </w:p>
        </w:tc>
      </w:tr>
      <w:tr w:rsidR="00EF5B27" w14:paraId="31DCC67E" w14:textId="77777777">
        <w:trPr>
          <w:trHeight w:val="448"/>
        </w:trPr>
        <w:tc>
          <w:tcPr>
            <w:tcW w:w="737" w:type="dxa"/>
          </w:tcPr>
          <w:p w14:paraId="05694308" w14:textId="77777777" w:rsidR="00EF5B27" w:rsidRDefault="00EF5B27">
            <w:pPr>
              <w:pStyle w:val="TableParagraph"/>
              <w:spacing w:before="8"/>
              <w:rPr>
                <w:rFonts w:ascii="Times New Roman"/>
                <w:sz w:val="12"/>
              </w:rPr>
            </w:pPr>
          </w:p>
          <w:p w14:paraId="323D3E82" w14:textId="77777777" w:rsidR="00EF5B27" w:rsidRDefault="00000000">
            <w:pPr>
              <w:pStyle w:val="TableParagraph"/>
              <w:ind w:left="21"/>
              <w:jc w:val="center"/>
              <w:rPr>
                <w:sz w:val="14"/>
              </w:rPr>
            </w:pPr>
            <w:r>
              <w:rPr>
                <w:color w:val="4D4D4F"/>
                <w:w w:val="96"/>
                <w:sz w:val="14"/>
              </w:rPr>
              <w:t>2</w:t>
            </w:r>
          </w:p>
        </w:tc>
        <w:tc>
          <w:tcPr>
            <w:tcW w:w="1361" w:type="dxa"/>
          </w:tcPr>
          <w:p w14:paraId="7293C855" w14:textId="77777777" w:rsidR="00EF5B27" w:rsidRDefault="00000000">
            <w:pPr>
              <w:pStyle w:val="TableParagraph"/>
              <w:spacing w:before="56" w:line="252" w:lineRule="auto"/>
              <w:ind w:left="392" w:hanging="184"/>
              <w:rPr>
                <w:sz w:val="14"/>
              </w:rPr>
            </w:pPr>
            <w:r>
              <w:rPr>
                <w:color w:val="4D4D4F"/>
                <w:w w:val="105"/>
                <w:sz w:val="14"/>
              </w:rPr>
              <w:t>Grassy Eucalypt Woodland</w:t>
            </w:r>
          </w:p>
        </w:tc>
        <w:tc>
          <w:tcPr>
            <w:tcW w:w="737" w:type="dxa"/>
          </w:tcPr>
          <w:p w14:paraId="2A794D2E" w14:textId="77777777" w:rsidR="00EF5B27" w:rsidRDefault="00EF5B27">
            <w:pPr>
              <w:pStyle w:val="TableParagraph"/>
              <w:spacing w:before="8"/>
              <w:rPr>
                <w:rFonts w:ascii="Times New Roman"/>
                <w:sz w:val="12"/>
              </w:rPr>
            </w:pPr>
          </w:p>
          <w:p w14:paraId="0A92B18F" w14:textId="77777777" w:rsidR="00EF5B27" w:rsidRDefault="00000000">
            <w:pPr>
              <w:pStyle w:val="TableParagraph"/>
              <w:ind w:left="20"/>
              <w:jc w:val="center"/>
              <w:rPr>
                <w:sz w:val="14"/>
              </w:rPr>
            </w:pPr>
            <w:r>
              <w:rPr>
                <w:color w:val="4D4D4F"/>
                <w:w w:val="96"/>
                <w:sz w:val="14"/>
              </w:rPr>
              <w:t>4</w:t>
            </w:r>
          </w:p>
        </w:tc>
        <w:tc>
          <w:tcPr>
            <w:tcW w:w="1474" w:type="dxa"/>
          </w:tcPr>
          <w:p w14:paraId="38B2783E" w14:textId="77777777" w:rsidR="00EF5B27" w:rsidRDefault="00EF5B27">
            <w:pPr>
              <w:pStyle w:val="TableParagraph"/>
              <w:spacing w:before="8"/>
              <w:rPr>
                <w:rFonts w:ascii="Times New Roman"/>
                <w:sz w:val="12"/>
              </w:rPr>
            </w:pPr>
          </w:p>
          <w:p w14:paraId="31BBAC54" w14:textId="77777777" w:rsidR="00EF5B27" w:rsidRDefault="00000000">
            <w:pPr>
              <w:pStyle w:val="TableParagraph"/>
              <w:ind w:left="133" w:right="113"/>
              <w:jc w:val="center"/>
              <w:rPr>
                <w:sz w:val="14"/>
              </w:rPr>
            </w:pPr>
            <w:r>
              <w:rPr>
                <w:rFonts w:ascii="Arial Narrow"/>
                <w:i/>
                <w:color w:val="4D4D4F"/>
                <w:w w:val="105"/>
                <w:sz w:val="14"/>
              </w:rPr>
              <w:t>Themeda</w:t>
            </w:r>
            <w:r>
              <w:rPr>
                <w:color w:val="4D4D4F"/>
                <w:w w:val="105"/>
                <w:sz w:val="14"/>
              </w:rPr>
              <w:t>, Poa cover</w:t>
            </w:r>
          </w:p>
        </w:tc>
        <w:tc>
          <w:tcPr>
            <w:tcW w:w="2041" w:type="dxa"/>
          </w:tcPr>
          <w:p w14:paraId="07CEE923" w14:textId="77777777" w:rsidR="00EF5B27" w:rsidRDefault="00EF5B27">
            <w:pPr>
              <w:pStyle w:val="TableParagraph"/>
              <w:spacing w:before="8"/>
              <w:rPr>
                <w:rFonts w:ascii="Times New Roman"/>
                <w:sz w:val="12"/>
              </w:rPr>
            </w:pPr>
          </w:p>
          <w:p w14:paraId="27D2964B" w14:textId="77777777" w:rsidR="00EF5B27" w:rsidRDefault="00000000">
            <w:pPr>
              <w:pStyle w:val="TableParagraph"/>
              <w:ind w:left="162" w:right="142"/>
              <w:jc w:val="center"/>
              <w:rPr>
                <w:sz w:val="14"/>
              </w:rPr>
            </w:pPr>
            <w:r>
              <w:rPr>
                <w:color w:val="4D4D4F"/>
                <w:w w:val="105"/>
                <w:sz w:val="14"/>
              </w:rPr>
              <w:t>C3 grassland</w:t>
            </w:r>
          </w:p>
        </w:tc>
        <w:tc>
          <w:tcPr>
            <w:tcW w:w="2154" w:type="dxa"/>
          </w:tcPr>
          <w:p w14:paraId="54DC8606" w14:textId="77777777" w:rsidR="00EF5B27" w:rsidRDefault="00EF5B27">
            <w:pPr>
              <w:pStyle w:val="TableParagraph"/>
              <w:spacing w:before="8"/>
              <w:rPr>
                <w:rFonts w:ascii="Times New Roman"/>
                <w:sz w:val="12"/>
              </w:rPr>
            </w:pPr>
          </w:p>
          <w:p w14:paraId="2B0E78A9" w14:textId="77777777" w:rsidR="00EF5B27" w:rsidRDefault="00000000">
            <w:pPr>
              <w:pStyle w:val="TableParagraph"/>
              <w:ind w:right="918"/>
              <w:jc w:val="right"/>
              <w:rPr>
                <w:sz w:val="14"/>
              </w:rPr>
            </w:pPr>
            <w:r>
              <w:rPr>
                <w:color w:val="4D4D4F"/>
                <w:w w:val="95"/>
                <w:sz w:val="14"/>
              </w:rPr>
              <w:t>2022</w:t>
            </w:r>
          </w:p>
        </w:tc>
        <w:tc>
          <w:tcPr>
            <w:tcW w:w="1134" w:type="dxa"/>
          </w:tcPr>
          <w:p w14:paraId="6537B51F" w14:textId="77777777" w:rsidR="00EF5B27" w:rsidRDefault="00EF5B27">
            <w:pPr>
              <w:pStyle w:val="TableParagraph"/>
              <w:spacing w:before="8"/>
              <w:rPr>
                <w:rFonts w:ascii="Times New Roman"/>
                <w:sz w:val="12"/>
              </w:rPr>
            </w:pPr>
          </w:p>
          <w:p w14:paraId="252C5C47" w14:textId="77777777" w:rsidR="00EF5B27" w:rsidRDefault="00000000">
            <w:pPr>
              <w:pStyle w:val="TableParagraph"/>
              <w:ind w:left="81" w:right="59"/>
              <w:jc w:val="center"/>
              <w:rPr>
                <w:sz w:val="14"/>
              </w:rPr>
            </w:pPr>
            <w:r>
              <w:rPr>
                <w:color w:val="4D4D4F"/>
                <w:sz w:val="14"/>
              </w:rPr>
              <w:t>2026</w:t>
            </w:r>
          </w:p>
        </w:tc>
      </w:tr>
      <w:tr w:rsidR="00EF5B27" w14:paraId="764F74BE" w14:textId="77777777">
        <w:trPr>
          <w:trHeight w:val="448"/>
        </w:trPr>
        <w:tc>
          <w:tcPr>
            <w:tcW w:w="737" w:type="dxa"/>
          </w:tcPr>
          <w:p w14:paraId="7DB79A2C" w14:textId="77777777" w:rsidR="00EF5B27" w:rsidRDefault="00EF5B27">
            <w:pPr>
              <w:pStyle w:val="TableParagraph"/>
              <w:spacing w:before="8"/>
              <w:rPr>
                <w:rFonts w:ascii="Times New Roman"/>
                <w:sz w:val="12"/>
              </w:rPr>
            </w:pPr>
          </w:p>
          <w:p w14:paraId="07A2985A" w14:textId="77777777" w:rsidR="00EF5B27" w:rsidRDefault="00000000">
            <w:pPr>
              <w:pStyle w:val="TableParagraph"/>
              <w:ind w:left="21"/>
              <w:jc w:val="center"/>
              <w:rPr>
                <w:sz w:val="14"/>
              </w:rPr>
            </w:pPr>
            <w:r>
              <w:rPr>
                <w:color w:val="4D4D4F"/>
                <w:w w:val="96"/>
                <w:sz w:val="14"/>
              </w:rPr>
              <w:t>2</w:t>
            </w:r>
          </w:p>
        </w:tc>
        <w:tc>
          <w:tcPr>
            <w:tcW w:w="1361" w:type="dxa"/>
          </w:tcPr>
          <w:p w14:paraId="03BB6CAC" w14:textId="77777777" w:rsidR="00EF5B27" w:rsidRDefault="00000000">
            <w:pPr>
              <w:pStyle w:val="TableParagraph"/>
              <w:spacing w:before="56" w:line="252" w:lineRule="auto"/>
              <w:ind w:left="392" w:hanging="184"/>
              <w:rPr>
                <w:sz w:val="14"/>
              </w:rPr>
            </w:pPr>
            <w:r>
              <w:rPr>
                <w:color w:val="4D4D4F"/>
                <w:w w:val="105"/>
                <w:sz w:val="14"/>
              </w:rPr>
              <w:t>Grassy Eucalypt Woodland</w:t>
            </w:r>
          </w:p>
        </w:tc>
        <w:tc>
          <w:tcPr>
            <w:tcW w:w="737" w:type="dxa"/>
          </w:tcPr>
          <w:p w14:paraId="4844A9E5" w14:textId="77777777" w:rsidR="00EF5B27" w:rsidRDefault="00EF5B27">
            <w:pPr>
              <w:pStyle w:val="TableParagraph"/>
              <w:spacing w:before="8"/>
              <w:rPr>
                <w:rFonts w:ascii="Times New Roman"/>
                <w:sz w:val="12"/>
              </w:rPr>
            </w:pPr>
          </w:p>
          <w:p w14:paraId="0D36A4DD" w14:textId="77777777" w:rsidR="00EF5B27" w:rsidRDefault="00000000">
            <w:pPr>
              <w:pStyle w:val="TableParagraph"/>
              <w:ind w:left="20"/>
              <w:jc w:val="center"/>
              <w:rPr>
                <w:sz w:val="14"/>
              </w:rPr>
            </w:pPr>
            <w:r>
              <w:rPr>
                <w:color w:val="4D4D4F"/>
                <w:w w:val="96"/>
                <w:sz w:val="14"/>
              </w:rPr>
              <w:t>4</w:t>
            </w:r>
          </w:p>
        </w:tc>
        <w:tc>
          <w:tcPr>
            <w:tcW w:w="1474" w:type="dxa"/>
          </w:tcPr>
          <w:p w14:paraId="045F70A1" w14:textId="77777777" w:rsidR="00EF5B27" w:rsidRDefault="00EF5B27">
            <w:pPr>
              <w:pStyle w:val="TableParagraph"/>
              <w:spacing w:before="8"/>
              <w:rPr>
                <w:rFonts w:ascii="Times New Roman"/>
                <w:sz w:val="12"/>
              </w:rPr>
            </w:pPr>
          </w:p>
          <w:p w14:paraId="5C7088C2" w14:textId="77777777" w:rsidR="00EF5B27" w:rsidRDefault="00000000">
            <w:pPr>
              <w:pStyle w:val="TableParagraph"/>
              <w:ind w:left="133" w:right="112"/>
              <w:jc w:val="center"/>
              <w:rPr>
                <w:sz w:val="14"/>
              </w:rPr>
            </w:pPr>
            <w:r>
              <w:rPr>
                <w:rFonts w:ascii="Arial Narrow"/>
                <w:i/>
                <w:color w:val="4D4D4F"/>
                <w:w w:val="105"/>
                <w:sz w:val="14"/>
              </w:rPr>
              <w:t>Themeda</w:t>
            </w:r>
            <w:r>
              <w:rPr>
                <w:color w:val="4D4D4F"/>
                <w:w w:val="105"/>
                <w:sz w:val="14"/>
              </w:rPr>
              <w:t>, Poa cover</w:t>
            </w:r>
          </w:p>
        </w:tc>
        <w:tc>
          <w:tcPr>
            <w:tcW w:w="2041" w:type="dxa"/>
          </w:tcPr>
          <w:p w14:paraId="643B6420" w14:textId="77777777" w:rsidR="00EF5B27" w:rsidRDefault="00EF5B27">
            <w:pPr>
              <w:pStyle w:val="TableParagraph"/>
              <w:spacing w:before="8"/>
              <w:rPr>
                <w:rFonts w:ascii="Times New Roman"/>
                <w:sz w:val="12"/>
              </w:rPr>
            </w:pPr>
          </w:p>
          <w:p w14:paraId="557CFDCF" w14:textId="77777777" w:rsidR="00EF5B27" w:rsidRDefault="00000000">
            <w:pPr>
              <w:pStyle w:val="TableParagraph"/>
              <w:ind w:left="162" w:right="142"/>
              <w:jc w:val="center"/>
              <w:rPr>
                <w:sz w:val="14"/>
              </w:rPr>
            </w:pPr>
            <w:r>
              <w:rPr>
                <w:color w:val="4D4D4F"/>
                <w:w w:val="105"/>
                <w:sz w:val="14"/>
              </w:rPr>
              <w:t>Nutrient-enriched grassland</w:t>
            </w:r>
          </w:p>
        </w:tc>
        <w:tc>
          <w:tcPr>
            <w:tcW w:w="2154" w:type="dxa"/>
          </w:tcPr>
          <w:p w14:paraId="3721D467" w14:textId="77777777" w:rsidR="00EF5B27" w:rsidRDefault="00EF5B27">
            <w:pPr>
              <w:pStyle w:val="TableParagraph"/>
              <w:spacing w:before="8"/>
              <w:rPr>
                <w:rFonts w:ascii="Times New Roman"/>
                <w:sz w:val="12"/>
              </w:rPr>
            </w:pPr>
          </w:p>
          <w:p w14:paraId="27DE43F8" w14:textId="77777777" w:rsidR="00EF5B27" w:rsidRDefault="00000000">
            <w:pPr>
              <w:pStyle w:val="TableParagraph"/>
              <w:ind w:right="918"/>
              <w:jc w:val="right"/>
              <w:rPr>
                <w:sz w:val="14"/>
              </w:rPr>
            </w:pPr>
            <w:r>
              <w:rPr>
                <w:color w:val="4D4D4F"/>
                <w:w w:val="95"/>
                <w:sz w:val="14"/>
              </w:rPr>
              <w:t>2022</w:t>
            </w:r>
          </w:p>
        </w:tc>
        <w:tc>
          <w:tcPr>
            <w:tcW w:w="1134" w:type="dxa"/>
          </w:tcPr>
          <w:p w14:paraId="14E23EB0" w14:textId="77777777" w:rsidR="00EF5B27" w:rsidRDefault="00EF5B27">
            <w:pPr>
              <w:pStyle w:val="TableParagraph"/>
              <w:spacing w:before="8"/>
              <w:rPr>
                <w:rFonts w:ascii="Times New Roman"/>
                <w:sz w:val="12"/>
              </w:rPr>
            </w:pPr>
          </w:p>
          <w:p w14:paraId="468BA540" w14:textId="77777777" w:rsidR="00EF5B27" w:rsidRDefault="00000000">
            <w:pPr>
              <w:pStyle w:val="TableParagraph"/>
              <w:ind w:left="81" w:right="58"/>
              <w:jc w:val="center"/>
              <w:rPr>
                <w:sz w:val="14"/>
              </w:rPr>
            </w:pPr>
            <w:r>
              <w:rPr>
                <w:color w:val="4D4D4F"/>
                <w:sz w:val="14"/>
              </w:rPr>
              <w:t>2026</w:t>
            </w:r>
          </w:p>
        </w:tc>
      </w:tr>
      <w:tr w:rsidR="00EF5B27" w14:paraId="01C7E828" w14:textId="77777777">
        <w:trPr>
          <w:trHeight w:val="448"/>
        </w:trPr>
        <w:tc>
          <w:tcPr>
            <w:tcW w:w="737" w:type="dxa"/>
          </w:tcPr>
          <w:p w14:paraId="613E9DD3" w14:textId="77777777" w:rsidR="00EF5B27" w:rsidRDefault="00EF5B27">
            <w:pPr>
              <w:pStyle w:val="TableParagraph"/>
              <w:spacing w:before="8"/>
              <w:rPr>
                <w:rFonts w:ascii="Times New Roman"/>
                <w:sz w:val="12"/>
              </w:rPr>
            </w:pPr>
          </w:p>
          <w:p w14:paraId="3A398AC8" w14:textId="77777777" w:rsidR="00EF5B27" w:rsidRDefault="00000000">
            <w:pPr>
              <w:pStyle w:val="TableParagraph"/>
              <w:ind w:left="21"/>
              <w:jc w:val="center"/>
              <w:rPr>
                <w:sz w:val="14"/>
              </w:rPr>
            </w:pPr>
            <w:r>
              <w:rPr>
                <w:color w:val="4D4D4F"/>
                <w:w w:val="96"/>
                <w:sz w:val="14"/>
              </w:rPr>
              <w:t>2</w:t>
            </w:r>
          </w:p>
        </w:tc>
        <w:tc>
          <w:tcPr>
            <w:tcW w:w="1361" w:type="dxa"/>
          </w:tcPr>
          <w:p w14:paraId="4C8E0069" w14:textId="77777777" w:rsidR="00EF5B27" w:rsidRDefault="00000000">
            <w:pPr>
              <w:pStyle w:val="TableParagraph"/>
              <w:spacing w:before="56" w:line="252" w:lineRule="auto"/>
              <w:ind w:left="393" w:hanging="184"/>
              <w:rPr>
                <w:sz w:val="14"/>
              </w:rPr>
            </w:pPr>
            <w:r>
              <w:rPr>
                <w:color w:val="4D4D4F"/>
                <w:w w:val="105"/>
                <w:sz w:val="14"/>
              </w:rPr>
              <w:t>Grassy Eucalypt Woodland</w:t>
            </w:r>
          </w:p>
        </w:tc>
        <w:tc>
          <w:tcPr>
            <w:tcW w:w="737" w:type="dxa"/>
          </w:tcPr>
          <w:p w14:paraId="7EB2893E" w14:textId="77777777" w:rsidR="00EF5B27" w:rsidRDefault="00EF5B27">
            <w:pPr>
              <w:pStyle w:val="TableParagraph"/>
              <w:spacing w:before="8"/>
              <w:rPr>
                <w:rFonts w:ascii="Times New Roman"/>
                <w:sz w:val="12"/>
              </w:rPr>
            </w:pPr>
          </w:p>
          <w:p w14:paraId="22480C35" w14:textId="77777777" w:rsidR="00EF5B27" w:rsidRDefault="00000000">
            <w:pPr>
              <w:pStyle w:val="TableParagraph"/>
              <w:ind w:left="21"/>
              <w:jc w:val="center"/>
              <w:rPr>
                <w:sz w:val="14"/>
              </w:rPr>
            </w:pPr>
            <w:r>
              <w:rPr>
                <w:color w:val="4D4D4F"/>
                <w:w w:val="96"/>
                <w:sz w:val="14"/>
              </w:rPr>
              <w:t>4</w:t>
            </w:r>
          </w:p>
        </w:tc>
        <w:tc>
          <w:tcPr>
            <w:tcW w:w="1474" w:type="dxa"/>
          </w:tcPr>
          <w:p w14:paraId="41090A52" w14:textId="77777777" w:rsidR="00EF5B27" w:rsidRDefault="00EF5B27">
            <w:pPr>
              <w:pStyle w:val="TableParagraph"/>
              <w:spacing w:before="8"/>
              <w:rPr>
                <w:rFonts w:ascii="Times New Roman"/>
                <w:sz w:val="12"/>
              </w:rPr>
            </w:pPr>
          </w:p>
          <w:p w14:paraId="12DDC70E" w14:textId="77777777" w:rsidR="00EF5B27" w:rsidRDefault="00000000">
            <w:pPr>
              <w:pStyle w:val="TableParagraph"/>
              <w:ind w:left="133" w:right="112"/>
              <w:jc w:val="center"/>
              <w:rPr>
                <w:sz w:val="14"/>
              </w:rPr>
            </w:pPr>
            <w:r>
              <w:rPr>
                <w:rFonts w:ascii="Arial Narrow"/>
                <w:i/>
                <w:color w:val="4D4D4F"/>
                <w:w w:val="105"/>
                <w:sz w:val="14"/>
              </w:rPr>
              <w:t>Themeda</w:t>
            </w:r>
            <w:r>
              <w:rPr>
                <w:color w:val="4D4D4F"/>
                <w:w w:val="105"/>
                <w:sz w:val="14"/>
              </w:rPr>
              <w:t>, Poa cover</w:t>
            </w:r>
          </w:p>
        </w:tc>
        <w:tc>
          <w:tcPr>
            <w:tcW w:w="2041" w:type="dxa"/>
          </w:tcPr>
          <w:p w14:paraId="612A20B4" w14:textId="77777777" w:rsidR="00EF5B27" w:rsidRDefault="00EF5B27">
            <w:pPr>
              <w:pStyle w:val="TableParagraph"/>
              <w:spacing w:before="8"/>
              <w:rPr>
                <w:rFonts w:ascii="Times New Roman"/>
                <w:sz w:val="12"/>
              </w:rPr>
            </w:pPr>
          </w:p>
          <w:p w14:paraId="28357135" w14:textId="77777777" w:rsidR="00EF5B27" w:rsidRDefault="00000000">
            <w:pPr>
              <w:pStyle w:val="TableParagraph"/>
              <w:ind w:left="162" w:right="141"/>
              <w:jc w:val="center"/>
              <w:rPr>
                <w:sz w:val="14"/>
              </w:rPr>
            </w:pPr>
            <w:r>
              <w:rPr>
                <w:color w:val="4D4D4F"/>
                <w:w w:val="105"/>
                <w:sz w:val="14"/>
              </w:rPr>
              <w:t>De-rocked grassland</w:t>
            </w:r>
          </w:p>
        </w:tc>
        <w:tc>
          <w:tcPr>
            <w:tcW w:w="2154" w:type="dxa"/>
          </w:tcPr>
          <w:p w14:paraId="2544D399" w14:textId="77777777" w:rsidR="00EF5B27" w:rsidRDefault="00EF5B27">
            <w:pPr>
              <w:pStyle w:val="TableParagraph"/>
              <w:spacing w:before="8"/>
              <w:rPr>
                <w:rFonts w:ascii="Times New Roman"/>
                <w:sz w:val="12"/>
              </w:rPr>
            </w:pPr>
          </w:p>
          <w:p w14:paraId="5C766A26" w14:textId="77777777" w:rsidR="00EF5B27" w:rsidRDefault="00000000">
            <w:pPr>
              <w:pStyle w:val="TableParagraph"/>
              <w:ind w:right="918"/>
              <w:jc w:val="right"/>
              <w:rPr>
                <w:sz w:val="14"/>
              </w:rPr>
            </w:pPr>
            <w:r>
              <w:rPr>
                <w:color w:val="4D4D4F"/>
                <w:w w:val="95"/>
                <w:sz w:val="14"/>
              </w:rPr>
              <w:t>2022</w:t>
            </w:r>
          </w:p>
        </w:tc>
        <w:tc>
          <w:tcPr>
            <w:tcW w:w="1134" w:type="dxa"/>
          </w:tcPr>
          <w:p w14:paraId="45D31E47" w14:textId="77777777" w:rsidR="00EF5B27" w:rsidRDefault="00EF5B27">
            <w:pPr>
              <w:pStyle w:val="TableParagraph"/>
              <w:spacing w:before="8"/>
              <w:rPr>
                <w:rFonts w:ascii="Times New Roman"/>
                <w:sz w:val="12"/>
              </w:rPr>
            </w:pPr>
          </w:p>
          <w:p w14:paraId="4F3D67E7" w14:textId="77777777" w:rsidR="00EF5B27" w:rsidRDefault="00000000">
            <w:pPr>
              <w:pStyle w:val="TableParagraph"/>
              <w:ind w:left="81" w:right="58"/>
              <w:jc w:val="center"/>
              <w:rPr>
                <w:sz w:val="14"/>
              </w:rPr>
            </w:pPr>
            <w:r>
              <w:rPr>
                <w:color w:val="4D4D4F"/>
                <w:sz w:val="14"/>
              </w:rPr>
              <w:t>2026</w:t>
            </w:r>
          </w:p>
        </w:tc>
      </w:tr>
      <w:tr w:rsidR="00EF5B27" w14:paraId="68187A64" w14:textId="77777777">
        <w:trPr>
          <w:trHeight w:val="448"/>
        </w:trPr>
        <w:tc>
          <w:tcPr>
            <w:tcW w:w="737" w:type="dxa"/>
          </w:tcPr>
          <w:p w14:paraId="6D21F4D6" w14:textId="77777777" w:rsidR="00EF5B27" w:rsidRDefault="00EF5B27">
            <w:pPr>
              <w:pStyle w:val="TableParagraph"/>
              <w:spacing w:before="8"/>
              <w:rPr>
                <w:rFonts w:ascii="Times New Roman"/>
                <w:sz w:val="12"/>
              </w:rPr>
            </w:pPr>
          </w:p>
          <w:p w14:paraId="4ABA9953" w14:textId="77777777" w:rsidR="00EF5B27" w:rsidRDefault="00000000">
            <w:pPr>
              <w:pStyle w:val="TableParagraph"/>
              <w:ind w:left="21"/>
              <w:jc w:val="center"/>
              <w:rPr>
                <w:sz w:val="14"/>
              </w:rPr>
            </w:pPr>
            <w:r>
              <w:rPr>
                <w:color w:val="4D4D4F"/>
                <w:w w:val="96"/>
                <w:sz w:val="14"/>
              </w:rPr>
              <w:t>2</w:t>
            </w:r>
          </w:p>
        </w:tc>
        <w:tc>
          <w:tcPr>
            <w:tcW w:w="1361" w:type="dxa"/>
          </w:tcPr>
          <w:p w14:paraId="7398DEFD" w14:textId="77777777" w:rsidR="00EF5B27" w:rsidRDefault="00000000">
            <w:pPr>
              <w:pStyle w:val="TableParagraph"/>
              <w:spacing w:before="56" w:line="252" w:lineRule="auto"/>
              <w:ind w:left="393" w:hanging="184"/>
              <w:rPr>
                <w:sz w:val="14"/>
              </w:rPr>
            </w:pPr>
            <w:r>
              <w:rPr>
                <w:color w:val="4D4D4F"/>
                <w:w w:val="105"/>
                <w:sz w:val="14"/>
              </w:rPr>
              <w:t>Grassy Eucalypt Woodland</w:t>
            </w:r>
          </w:p>
        </w:tc>
        <w:tc>
          <w:tcPr>
            <w:tcW w:w="737" w:type="dxa"/>
          </w:tcPr>
          <w:p w14:paraId="4AAF87F2" w14:textId="77777777" w:rsidR="00EF5B27" w:rsidRDefault="00EF5B27">
            <w:pPr>
              <w:pStyle w:val="TableParagraph"/>
              <w:spacing w:before="8"/>
              <w:rPr>
                <w:rFonts w:ascii="Times New Roman"/>
                <w:sz w:val="12"/>
              </w:rPr>
            </w:pPr>
          </w:p>
          <w:p w14:paraId="4AFF2874" w14:textId="77777777" w:rsidR="00EF5B27" w:rsidRDefault="00000000">
            <w:pPr>
              <w:pStyle w:val="TableParagraph"/>
              <w:ind w:left="21"/>
              <w:jc w:val="center"/>
              <w:rPr>
                <w:sz w:val="14"/>
              </w:rPr>
            </w:pPr>
            <w:r>
              <w:rPr>
                <w:color w:val="4D4D4F"/>
                <w:w w:val="96"/>
                <w:sz w:val="14"/>
              </w:rPr>
              <w:t>5</w:t>
            </w:r>
          </w:p>
        </w:tc>
        <w:tc>
          <w:tcPr>
            <w:tcW w:w="1474" w:type="dxa"/>
          </w:tcPr>
          <w:p w14:paraId="39BFC64E" w14:textId="77777777" w:rsidR="00EF5B27" w:rsidRDefault="00000000">
            <w:pPr>
              <w:pStyle w:val="TableParagraph"/>
              <w:spacing w:before="56" w:line="252" w:lineRule="auto"/>
              <w:ind w:left="333" w:firstLine="104"/>
              <w:rPr>
                <w:sz w:val="14"/>
              </w:rPr>
            </w:pPr>
            <w:r>
              <w:rPr>
                <w:color w:val="4D4D4F"/>
                <w:sz w:val="14"/>
              </w:rPr>
              <w:t>Structural heterogeneity</w:t>
            </w:r>
          </w:p>
        </w:tc>
        <w:tc>
          <w:tcPr>
            <w:tcW w:w="2041" w:type="dxa"/>
          </w:tcPr>
          <w:p w14:paraId="0D2761DA" w14:textId="77777777" w:rsidR="00EF5B27" w:rsidRDefault="00EF5B27">
            <w:pPr>
              <w:pStyle w:val="TableParagraph"/>
              <w:spacing w:before="8"/>
              <w:rPr>
                <w:rFonts w:ascii="Times New Roman"/>
                <w:sz w:val="12"/>
              </w:rPr>
            </w:pPr>
          </w:p>
          <w:p w14:paraId="3AE18E8F" w14:textId="77777777" w:rsidR="00EF5B27" w:rsidRDefault="00000000">
            <w:pPr>
              <w:pStyle w:val="TableParagraph"/>
              <w:ind w:left="162" w:right="141"/>
              <w:jc w:val="center"/>
              <w:rPr>
                <w:sz w:val="14"/>
              </w:rPr>
            </w:pPr>
            <w:r>
              <w:rPr>
                <w:color w:val="4D4D4F"/>
                <w:w w:val="105"/>
                <w:sz w:val="14"/>
              </w:rPr>
              <w:t>Herb-rich grassland</w:t>
            </w:r>
          </w:p>
        </w:tc>
        <w:tc>
          <w:tcPr>
            <w:tcW w:w="2154" w:type="dxa"/>
          </w:tcPr>
          <w:p w14:paraId="7A26DDC9" w14:textId="77777777" w:rsidR="00EF5B27" w:rsidRDefault="00EF5B27">
            <w:pPr>
              <w:pStyle w:val="TableParagraph"/>
              <w:spacing w:before="8"/>
              <w:rPr>
                <w:rFonts w:ascii="Times New Roman"/>
                <w:sz w:val="12"/>
              </w:rPr>
            </w:pPr>
          </w:p>
          <w:p w14:paraId="4017600E" w14:textId="77777777" w:rsidR="00EF5B27" w:rsidRDefault="00000000">
            <w:pPr>
              <w:pStyle w:val="TableParagraph"/>
              <w:ind w:right="918"/>
              <w:jc w:val="right"/>
              <w:rPr>
                <w:sz w:val="14"/>
              </w:rPr>
            </w:pPr>
            <w:r>
              <w:rPr>
                <w:color w:val="4D4D4F"/>
                <w:w w:val="95"/>
                <w:sz w:val="14"/>
              </w:rPr>
              <w:t>2022</w:t>
            </w:r>
          </w:p>
        </w:tc>
        <w:tc>
          <w:tcPr>
            <w:tcW w:w="1134" w:type="dxa"/>
          </w:tcPr>
          <w:p w14:paraId="5BCCD2A0" w14:textId="77777777" w:rsidR="00EF5B27" w:rsidRDefault="00EF5B27">
            <w:pPr>
              <w:pStyle w:val="TableParagraph"/>
              <w:spacing w:before="8"/>
              <w:rPr>
                <w:rFonts w:ascii="Times New Roman"/>
                <w:sz w:val="12"/>
              </w:rPr>
            </w:pPr>
          </w:p>
          <w:p w14:paraId="5BB92049" w14:textId="77777777" w:rsidR="00EF5B27" w:rsidRDefault="00000000">
            <w:pPr>
              <w:pStyle w:val="TableParagraph"/>
              <w:ind w:left="81" w:right="67"/>
              <w:jc w:val="center"/>
              <w:rPr>
                <w:sz w:val="14"/>
              </w:rPr>
            </w:pPr>
            <w:r>
              <w:rPr>
                <w:color w:val="4D4D4F"/>
                <w:w w:val="105"/>
                <w:sz w:val="14"/>
              </w:rPr>
              <w:t>N/A</w:t>
            </w:r>
          </w:p>
        </w:tc>
      </w:tr>
      <w:tr w:rsidR="00EF5B27" w14:paraId="6D2E039B" w14:textId="77777777">
        <w:trPr>
          <w:trHeight w:val="448"/>
        </w:trPr>
        <w:tc>
          <w:tcPr>
            <w:tcW w:w="737" w:type="dxa"/>
          </w:tcPr>
          <w:p w14:paraId="0E1C416C" w14:textId="77777777" w:rsidR="00EF5B27" w:rsidRDefault="00EF5B27">
            <w:pPr>
              <w:pStyle w:val="TableParagraph"/>
              <w:spacing w:before="8"/>
              <w:rPr>
                <w:rFonts w:ascii="Times New Roman"/>
                <w:sz w:val="12"/>
              </w:rPr>
            </w:pPr>
          </w:p>
          <w:p w14:paraId="6D067FB5" w14:textId="77777777" w:rsidR="00EF5B27" w:rsidRDefault="00000000">
            <w:pPr>
              <w:pStyle w:val="TableParagraph"/>
              <w:ind w:left="22"/>
              <w:jc w:val="center"/>
              <w:rPr>
                <w:sz w:val="14"/>
              </w:rPr>
            </w:pPr>
            <w:r>
              <w:rPr>
                <w:color w:val="4D4D4F"/>
                <w:w w:val="96"/>
                <w:sz w:val="14"/>
              </w:rPr>
              <w:t>2</w:t>
            </w:r>
          </w:p>
        </w:tc>
        <w:tc>
          <w:tcPr>
            <w:tcW w:w="1361" w:type="dxa"/>
          </w:tcPr>
          <w:p w14:paraId="2D5E3ACA" w14:textId="77777777" w:rsidR="00EF5B27" w:rsidRDefault="00000000">
            <w:pPr>
              <w:pStyle w:val="TableParagraph"/>
              <w:spacing w:before="56" w:line="252" w:lineRule="auto"/>
              <w:ind w:left="393" w:hanging="184"/>
              <w:rPr>
                <w:sz w:val="14"/>
              </w:rPr>
            </w:pPr>
            <w:r>
              <w:rPr>
                <w:color w:val="4D4D4F"/>
                <w:w w:val="105"/>
                <w:sz w:val="14"/>
              </w:rPr>
              <w:t>Grassy Eucalypt Woodland</w:t>
            </w:r>
          </w:p>
        </w:tc>
        <w:tc>
          <w:tcPr>
            <w:tcW w:w="737" w:type="dxa"/>
          </w:tcPr>
          <w:p w14:paraId="130230ED" w14:textId="77777777" w:rsidR="00EF5B27" w:rsidRDefault="00EF5B27">
            <w:pPr>
              <w:pStyle w:val="TableParagraph"/>
              <w:spacing w:before="8"/>
              <w:rPr>
                <w:rFonts w:ascii="Times New Roman"/>
                <w:sz w:val="12"/>
              </w:rPr>
            </w:pPr>
          </w:p>
          <w:p w14:paraId="561BA9E5" w14:textId="77777777" w:rsidR="00EF5B27" w:rsidRDefault="00000000">
            <w:pPr>
              <w:pStyle w:val="TableParagraph"/>
              <w:ind w:left="21"/>
              <w:jc w:val="center"/>
              <w:rPr>
                <w:sz w:val="14"/>
              </w:rPr>
            </w:pPr>
            <w:r>
              <w:rPr>
                <w:color w:val="4D4D4F"/>
                <w:w w:val="96"/>
                <w:sz w:val="14"/>
              </w:rPr>
              <w:t>5</w:t>
            </w:r>
          </w:p>
        </w:tc>
        <w:tc>
          <w:tcPr>
            <w:tcW w:w="1474" w:type="dxa"/>
          </w:tcPr>
          <w:p w14:paraId="7E51A010" w14:textId="77777777" w:rsidR="00EF5B27" w:rsidRDefault="00000000">
            <w:pPr>
              <w:pStyle w:val="TableParagraph"/>
              <w:spacing w:before="56" w:line="252" w:lineRule="auto"/>
              <w:ind w:left="333" w:firstLine="104"/>
              <w:rPr>
                <w:sz w:val="14"/>
              </w:rPr>
            </w:pPr>
            <w:r>
              <w:rPr>
                <w:color w:val="4D4D4F"/>
                <w:sz w:val="14"/>
              </w:rPr>
              <w:t>Structural heterogeneity</w:t>
            </w:r>
          </w:p>
        </w:tc>
        <w:tc>
          <w:tcPr>
            <w:tcW w:w="2041" w:type="dxa"/>
          </w:tcPr>
          <w:p w14:paraId="1C7678E8" w14:textId="77777777" w:rsidR="00EF5B27" w:rsidRDefault="00EF5B27">
            <w:pPr>
              <w:pStyle w:val="TableParagraph"/>
              <w:spacing w:before="8"/>
              <w:rPr>
                <w:rFonts w:ascii="Times New Roman"/>
                <w:sz w:val="12"/>
              </w:rPr>
            </w:pPr>
          </w:p>
          <w:p w14:paraId="08090FC3" w14:textId="77777777" w:rsidR="00EF5B27" w:rsidRDefault="00000000">
            <w:pPr>
              <w:pStyle w:val="TableParagraph"/>
              <w:ind w:left="162" w:right="141"/>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5EAE5726" w14:textId="77777777" w:rsidR="00EF5B27" w:rsidRDefault="00EF5B27">
            <w:pPr>
              <w:pStyle w:val="TableParagraph"/>
              <w:spacing w:before="8"/>
              <w:rPr>
                <w:rFonts w:ascii="Times New Roman"/>
                <w:sz w:val="12"/>
              </w:rPr>
            </w:pPr>
          </w:p>
          <w:p w14:paraId="61522631" w14:textId="77777777" w:rsidR="00EF5B27" w:rsidRDefault="00000000">
            <w:pPr>
              <w:pStyle w:val="TableParagraph"/>
              <w:ind w:right="918"/>
              <w:jc w:val="right"/>
              <w:rPr>
                <w:sz w:val="14"/>
              </w:rPr>
            </w:pPr>
            <w:r>
              <w:rPr>
                <w:color w:val="4D4D4F"/>
                <w:w w:val="95"/>
                <w:sz w:val="14"/>
              </w:rPr>
              <w:t>2022</w:t>
            </w:r>
          </w:p>
        </w:tc>
        <w:tc>
          <w:tcPr>
            <w:tcW w:w="1134" w:type="dxa"/>
          </w:tcPr>
          <w:p w14:paraId="27901A64" w14:textId="77777777" w:rsidR="00EF5B27" w:rsidRDefault="00EF5B27">
            <w:pPr>
              <w:pStyle w:val="TableParagraph"/>
              <w:spacing w:before="8"/>
              <w:rPr>
                <w:rFonts w:ascii="Times New Roman"/>
                <w:sz w:val="12"/>
              </w:rPr>
            </w:pPr>
          </w:p>
          <w:p w14:paraId="5E513A14" w14:textId="77777777" w:rsidR="00EF5B27" w:rsidRDefault="00000000">
            <w:pPr>
              <w:pStyle w:val="TableParagraph"/>
              <w:ind w:left="81" w:right="67"/>
              <w:jc w:val="center"/>
              <w:rPr>
                <w:sz w:val="14"/>
              </w:rPr>
            </w:pPr>
            <w:r>
              <w:rPr>
                <w:color w:val="4D4D4F"/>
                <w:w w:val="105"/>
                <w:sz w:val="14"/>
              </w:rPr>
              <w:t>N/A</w:t>
            </w:r>
          </w:p>
        </w:tc>
      </w:tr>
      <w:tr w:rsidR="00EF5B27" w14:paraId="4CBCE240" w14:textId="77777777">
        <w:trPr>
          <w:trHeight w:val="448"/>
        </w:trPr>
        <w:tc>
          <w:tcPr>
            <w:tcW w:w="737" w:type="dxa"/>
          </w:tcPr>
          <w:p w14:paraId="194D3232" w14:textId="77777777" w:rsidR="00EF5B27" w:rsidRDefault="00EF5B27">
            <w:pPr>
              <w:pStyle w:val="TableParagraph"/>
              <w:spacing w:before="8"/>
              <w:rPr>
                <w:rFonts w:ascii="Times New Roman"/>
                <w:sz w:val="12"/>
              </w:rPr>
            </w:pPr>
          </w:p>
          <w:p w14:paraId="418B5665" w14:textId="77777777" w:rsidR="00EF5B27" w:rsidRDefault="00000000">
            <w:pPr>
              <w:pStyle w:val="TableParagraph"/>
              <w:ind w:left="22"/>
              <w:jc w:val="center"/>
              <w:rPr>
                <w:sz w:val="14"/>
              </w:rPr>
            </w:pPr>
            <w:r>
              <w:rPr>
                <w:color w:val="4D4D4F"/>
                <w:w w:val="96"/>
                <w:sz w:val="14"/>
              </w:rPr>
              <w:t>2</w:t>
            </w:r>
          </w:p>
        </w:tc>
        <w:tc>
          <w:tcPr>
            <w:tcW w:w="1361" w:type="dxa"/>
          </w:tcPr>
          <w:p w14:paraId="197E3D4E" w14:textId="77777777" w:rsidR="00EF5B27" w:rsidRDefault="00000000">
            <w:pPr>
              <w:pStyle w:val="TableParagraph"/>
              <w:spacing w:before="56" w:line="252" w:lineRule="auto"/>
              <w:ind w:left="393" w:hanging="184"/>
              <w:rPr>
                <w:sz w:val="14"/>
              </w:rPr>
            </w:pPr>
            <w:r>
              <w:rPr>
                <w:color w:val="4D4D4F"/>
                <w:w w:val="105"/>
                <w:sz w:val="14"/>
              </w:rPr>
              <w:t>Grassy Eucalypt Woodland</w:t>
            </w:r>
          </w:p>
        </w:tc>
        <w:tc>
          <w:tcPr>
            <w:tcW w:w="737" w:type="dxa"/>
          </w:tcPr>
          <w:p w14:paraId="1B02A04C" w14:textId="77777777" w:rsidR="00EF5B27" w:rsidRDefault="00EF5B27">
            <w:pPr>
              <w:pStyle w:val="TableParagraph"/>
              <w:spacing w:before="8"/>
              <w:rPr>
                <w:rFonts w:ascii="Times New Roman"/>
                <w:sz w:val="12"/>
              </w:rPr>
            </w:pPr>
          </w:p>
          <w:p w14:paraId="4ECC379C" w14:textId="77777777" w:rsidR="00EF5B27" w:rsidRDefault="00000000">
            <w:pPr>
              <w:pStyle w:val="TableParagraph"/>
              <w:ind w:left="21"/>
              <w:jc w:val="center"/>
              <w:rPr>
                <w:sz w:val="14"/>
              </w:rPr>
            </w:pPr>
            <w:r>
              <w:rPr>
                <w:color w:val="4D4D4F"/>
                <w:w w:val="96"/>
                <w:sz w:val="14"/>
              </w:rPr>
              <w:t>5</w:t>
            </w:r>
          </w:p>
        </w:tc>
        <w:tc>
          <w:tcPr>
            <w:tcW w:w="1474" w:type="dxa"/>
          </w:tcPr>
          <w:p w14:paraId="0B7E37C3" w14:textId="77777777" w:rsidR="00EF5B27" w:rsidRDefault="00000000">
            <w:pPr>
              <w:pStyle w:val="TableParagraph"/>
              <w:spacing w:before="56" w:line="252" w:lineRule="auto"/>
              <w:ind w:left="333" w:firstLine="104"/>
              <w:rPr>
                <w:sz w:val="14"/>
              </w:rPr>
            </w:pPr>
            <w:r>
              <w:rPr>
                <w:color w:val="4D4D4F"/>
                <w:sz w:val="14"/>
              </w:rPr>
              <w:t>Structural heterogeneity</w:t>
            </w:r>
          </w:p>
        </w:tc>
        <w:tc>
          <w:tcPr>
            <w:tcW w:w="2041" w:type="dxa"/>
          </w:tcPr>
          <w:p w14:paraId="042DF063" w14:textId="77777777" w:rsidR="00EF5B27" w:rsidRDefault="00EF5B27">
            <w:pPr>
              <w:pStyle w:val="TableParagraph"/>
              <w:spacing w:before="8"/>
              <w:rPr>
                <w:rFonts w:ascii="Times New Roman"/>
                <w:sz w:val="12"/>
              </w:rPr>
            </w:pPr>
          </w:p>
          <w:p w14:paraId="716BB072" w14:textId="77777777" w:rsidR="00EF5B27" w:rsidRDefault="00000000">
            <w:pPr>
              <w:pStyle w:val="TableParagraph"/>
              <w:ind w:left="162" w:right="141"/>
              <w:jc w:val="center"/>
              <w:rPr>
                <w:sz w:val="14"/>
              </w:rPr>
            </w:pPr>
            <w:r>
              <w:rPr>
                <w:color w:val="4D4D4F"/>
                <w:w w:val="105"/>
                <w:sz w:val="14"/>
              </w:rPr>
              <w:t>C3 grassland</w:t>
            </w:r>
          </w:p>
        </w:tc>
        <w:tc>
          <w:tcPr>
            <w:tcW w:w="2154" w:type="dxa"/>
          </w:tcPr>
          <w:p w14:paraId="4B5D053E" w14:textId="77777777" w:rsidR="00EF5B27" w:rsidRDefault="00EF5B27">
            <w:pPr>
              <w:pStyle w:val="TableParagraph"/>
              <w:spacing w:before="8"/>
              <w:rPr>
                <w:rFonts w:ascii="Times New Roman"/>
                <w:sz w:val="12"/>
              </w:rPr>
            </w:pPr>
          </w:p>
          <w:p w14:paraId="4A9EF0DE" w14:textId="77777777" w:rsidR="00EF5B27" w:rsidRDefault="00000000">
            <w:pPr>
              <w:pStyle w:val="TableParagraph"/>
              <w:ind w:right="918"/>
              <w:jc w:val="right"/>
              <w:rPr>
                <w:sz w:val="14"/>
              </w:rPr>
            </w:pPr>
            <w:r>
              <w:rPr>
                <w:color w:val="4D4D4F"/>
                <w:w w:val="95"/>
                <w:sz w:val="14"/>
              </w:rPr>
              <w:t>2022</w:t>
            </w:r>
          </w:p>
        </w:tc>
        <w:tc>
          <w:tcPr>
            <w:tcW w:w="1134" w:type="dxa"/>
          </w:tcPr>
          <w:p w14:paraId="4E8B4A37" w14:textId="77777777" w:rsidR="00EF5B27" w:rsidRDefault="00EF5B27">
            <w:pPr>
              <w:pStyle w:val="TableParagraph"/>
              <w:spacing w:before="8"/>
              <w:rPr>
                <w:rFonts w:ascii="Times New Roman"/>
                <w:sz w:val="12"/>
              </w:rPr>
            </w:pPr>
          </w:p>
          <w:p w14:paraId="50AB0A74" w14:textId="77777777" w:rsidR="00EF5B27" w:rsidRDefault="00000000">
            <w:pPr>
              <w:pStyle w:val="TableParagraph"/>
              <w:ind w:left="81" w:right="67"/>
              <w:jc w:val="center"/>
              <w:rPr>
                <w:sz w:val="14"/>
              </w:rPr>
            </w:pPr>
            <w:r>
              <w:rPr>
                <w:color w:val="4D4D4F"/>
                <w:w w:val="105"/>
                <w:sz w:val="14"/>
              </w:rPr>
              <w:t>N/A</w:t>
            </w:r>
          </w:p>
        </w:tc>
      </w:tr>
      <w:tr w:rsidR="00EF5B27" w14:paraId="2238C194" w14:textId="77777777">
        <w:trPr>
          <w:trHeight w:val="448"/>
        </w:trPr>
        <w:tc>
          <w:tcPr>
            <w:tcW w:w="737" w:type="dxa"/>
          </w:tcPr>
          <w:p w14:paraId="0540907D" w14:textId="77777777" w:rsidR="00EF5B27" w:rsidRDefault="00EF5B27">
            <w:pPr>
              <w:pStyle w:val="TableParagraph"/>
              <w:spacing w:before="8"/>
              <w:rPr>
                <w:rFonts w:ascii="Times New Roman"/>
                <w:sz w:val="12"/>
              </w:rPr>
            </w:pPr>
          </w:p>
          <w:p w14:paraId="18F3B9B8" w14:textId="77777777" w:rsidR="00EF5B27" w:rsidRDefault="00000000">
            <w:pPr>
              <w:pStyle w:val="TableParagraph"/>
              <w:ind w:left="22"/>
              <w:jc w:val="center"/>
              <w:rPr>
                <w:sz w:val="14"/>
              </w:rPr>
            </w:pPr>
            <w:r>
              <w:rPr>
                <w:color w:val="4D4D4F"/>
                <w:w w:val="96"/>
                <w:sz w:val="14"/>
              </w:rPr>
              <w:t>2</w:t>
            </w:r>
          </w:p>
        </w:tc>
        <w:tc>
          <w:tcPr>
            <w:tcW w:w="1361" w:type="dxa"/>
          </w:tcPr>
          <w:p w14:paraId="5928850F" w14:textId="77777777" w:rsidR="00EF5B27" w:rsidRDefault="00000000">
            <w:pPr>
              <w:pStyle w:val="TableParagraph"/>
              <w:spacing w:before="56" w:line="252" w:lineRule="auto"/>
              <w:ind w:left="393" w:hanging="184"/>
              <w:rPr>
                <w:sz w:val="14"/>
              </w:rPr>
            </w:pPr>
            <w:r>
              <w:rPr>
                <w:color w:val="4D4D4F"/>
                <w:w w:val="105"/>
                <w:sz w:val="14"/>
              </w:rPr>
              <w:t>Grassy Eucalypt Woodland</w:t>
            </w:r>
          </w:p>
        </w:tc>
        <w:tc>
          <w:tcPr>
            <w:tcW w:w="737" w:type="dxa"/>
          </w:tcPr>
          <w:p w14:paraId="028579A7" w14:textId="77777777" w:rsidR="00EF5B27" w:rsidRDefault="00EF5B27">
            <w:pPr>
              <w:pStyle w:val="TableParagraph"/>
              <w:spacing w:before="8"/>
              <w:rPr>
                <w:rFonts w:ascii="Times New Roman"/>
                <w:sz w:val="12"/>
              </w:rPr>
            </w:pPr>
          </w:p>
          <w:p w14:paraId="5598B00B" w14:textId="77777777" w:rsidR="00EF5B27" w:rsidRDefault="00000000">
            <w:pPr>
              <w:pStyle w:val="TableParagraph"/>
              <w:ind w:left="21"/>
              <w:jc w:val="center"/>
              <w:rPr>
                <w:sz w:val="14"/>
              </w:rPr>
            </w:pPr>
            <w:r>
              <w:rPr>
                <w:color w:val="4D4D4F"/>
                <w:w w:val="96"/>
                <w:sz w:val="14"/>
              </w:rPr>
              <w:t>5</w:t>
            </w:r>
          </w:p>
        </w:tc>
        <w:tc>
          <w:tcPr>
            <w:tcW w:w="1474" w:type="dxa"/>
          </w:tcPr>
          <w:p w14:paraId="5DA66E90" w14:textId="77777777" w:rsidR="00EF5B27" w:rsidRDefault="00000000">
            <w:pPr>
              <w:pStyle w:val="TableParagraph"/>
              <w:spacing w:before="56" w:line="252" w:lineRule="auto"/>
              <w:ind w:left="334" w:firstLine="104"/>
              <w:rPr>
                <w:sz w:val="14"/>
              </w:rPr>
            </w:pPr>
            <w:r>
              <w:rPr>
                <w:color w:val="4D4D4F"/>
                <w:sz w:val="14"/>
              </w:rPr>
              <w:t>Structural heterogeneity</w:t>
            </w:r>
          </w:p>
        </w:tc>
        <w:tc>
          <w:tcPr>
            <w:tcW w:w="2041" w:type="dxa"/>
          </w:tcPr>
          <w:p w14:paraId="54EC6F9D" w14:textId="77777777" w:rsidR="00EF5B27" w:rsidRDefault="00EF5B27">
            <w:pPr>
              <w:pStyle w:val="TableParagraph"/>
              <w:spacing w:before="8"/>
              <w:rPr>
                <w:rFonts w:ascii="Times New Roman"/>
                <w:sz w:val="12"/>
              </w:rPr>
            </w:pPr>
          </w:p>
          <w:p w14:paraId="0D82CA0E" w14:textId="77777777" w:rsidR="00EF5B27" w:rsidRDefault="00000000">
            <w:pPr>
              <w:pStyle w:val="TableParagraph"/>
              <w:ind w:left="162" w:right="141"/>
              <w:jc w:val="center"/>
              <w:rPr>
                <w:sz w:val="14"/>
              </w:rPr>
            </w:pPr>
            <w:r>
              <w:rPr>
                <w:color w:val="4D4D4F"/>
                <w:w w:val="105"/>
                <w:sz w:val="14"/>
              </w:rPr>
              <w:t>Nutrient-enriched grassland</w:t>
            </w:r>
          </w:p>
        </w:tc>
        <w:tc>
          <w:tcPr>
            <w:tcW w:w="2154" w:type="dxa"/>
          </w:tcPr>
          <w:p w14:paraId="6D8E43C4" w14:textId="77777777" w:rsidR="00EF5B27" w:rsidRDefault="00EF5B27">
            <w:pPr>
              <w:pStyle w:val="TableParagraph"/>
              <w:spacing w:before="8"/>
              <w:rPr>
                <w:rFonts w:ascii="Times New Roman"/>
                <w:sz w:val="12"/>
              </w:rPr>
            </w:pPr>
          </w:p>
          <w:p w14:paraId="05CA9764" w14:textId="77777777" w:rsidR="00EF5B27" w:rsidRDefault="00000000">
            <w:pPr>
              <w:pStyle w:val="TableParagraph"/>
              <w:ind w:right="918"/>
              <w:jc w:val="right"/>
              <w:rPr>
                <w:sz w:val="14"/>
              </w:rPr>
            </w:pPr>
            <w:r>
              <w:rPr>
                <w:color w:val="4D4D4F"/>
                <w:w w:val="95"/>
                <w:sz w:val="14"/>
              </w:rPr>
              <w:t>2022</w:t>
            </w:r>
          </w:p>
        </w:tc>
        <w:tc>
          <w:tcPr>
            <w:tcW w:w="1134" w:type="dxa"/>
          </w:tcPr>
          <w:p w14:paraId="481E7B12" w14:textId="77777777" w:rsidR="00EF5B27" w:rsidRDefault="00EF5B27">
            <w:pPr>
              <w:pStyle w:val="TableParagraph"/>
              <w:spacing w:before="8"/>
              <w:rPr>
                <w:rFonts w:ascii="Times New Roman"/>
                <w:sz w:val="12"/>
              </w:rPr>
            </w:pPr>
          </w:p>
          <w:p w14:paraId="54642DAA" w14:textId="77777777" w:rsidR="00EF5B27" w:rsidRDefault="00000000">
            <w:pPr>
              <w:pStyle w:val="TableParagraph"/>
              <w:ind w:left="81" w:right="67"/>
              <w:jc w:val="center"/>
              <w:rPr>
                <w:sz w:val="14"/>
              </w:rPr>
            </w:pPr>
            <w:r>
              <w:rPr>
                <w:color w:val="4D4D4F"/>
                <w:w w:val="105"/>
                <w:sz w:val="14"/>
              </w:rPr>
              <w:t>N/A</w:t>
            </w:r>
          </w:p>
        </w:tc>
      </w:tr>
      <w:tr w:rsidR="00EF5B27" w14:paraId="5F41BF52" w14:textId="77777777">
        <w:trPr>
          <w:trHeight w:val="448"/>
        </w:trPr>
        <w:tc>
          <w:tcPr>
            <w:tcW w:w="737" w:type="dxa"/>
          </w:tcPr>
          <w:p w14:paraId="7667170A" w14:textId="77777777" w:rsidR="00EF5B27" w:rsidRDefault="00EF5B27">
            <w:pPr>
              <w:pStyle w:val="TableParagraph"/>
              <w:spacing w:before="8"/>
              <w:rPr>
                <w:rFonts w:ascii="Times New Roman"/>
                <w:sz w:val="12"/>
              </w:rPr>
            </w:pPr>
          </w:p>
          <w:p w14:paraId="6BEBD763" w14:textId="77777777" w:rsidR="00EF5B27" w:rsidRDefault="00000000">
            <w:pPr>
              <w:pStyle w:val="TableParagraph"/>
              <w:ind w:left="22"/>
              <w:jc w:val="center"/>
              <w:rPr>
                <w:sz w:val="14"/>
              </w:rPr>
            </w:pPr>
            <w:r>
              <w:rPr>
                <w:color w:val="4D4D4F"/>
                <w:w w:val="96"/>
                <w:sz w:val="14"/>
              </w:rPr>
              <w:t>2</w:t>
            </w:r>
          </w:p>
        </w:tc>
        <w:tc>
          <w:tcPr>
            <w:tcW w:w="1361" w:type="dxa"/>
          </w:tcPr>
          <w:p w14:paraId="51B2DB70" w14:textId="77777777" w:rsidR="00EF5B27" w:rsidRDefault="00000000">
            <w:pPr>
              <w:pStyle w:val="TableParagraph"/>
              <w:spacing w:before="56" w:line="252" w:lineRule="auto"/>
              <w:ind w:left="393" w:hanging="184"/>
              <w:rPr>
                <w:sz w:val="14"/>
              </w:rPr>
            </w:pPr>
            <w:r>
              <w:rPr>
                <w:color w:val="4D4D4F"/>
                <w:w w:val="105"/>
                <w:sz w:val="14"/>
              </w:rPr>
              <w:t>Grassy Eucalypt Woodland</w:t>
            </w:r>
          </w:p>
        </w:tc>
        <w:tc>
          <w:tcPr>
            <w:tcW w:w="737" w:type="dxa"/>
          </w:tcPr>
          <w:p w14:paraId="559935DF" w14:textId="77777777" w:rsidR="00EF5B27" w:rsidRDefault="00EF5B27">
            <w:pPr>
              <w:pStyle w:val="TableParagraph"/>
              <w:spacing w:before="8"/>
              <w:rPr>
                <w:rFonts w:ascii="Times New Roman"/>
                <w:sz w:val="12"/>
              </w:rPr>
            </w:pPr>
          </w:p>
          <w:p w14:paraId="71B49236" w14:textId="77777777" w:rsidR="00EF5B27" w:rsidRDefault="00000000">
            <w:pPr>
              <w:pStyle w:val="TableParagraph"/>
              <w:ind w:left="22"/>
              <w:jc w:val="center"/>
              <w:rPr>
                <w:sz w:val="14"/>
              </w:rPr>
            </w:pPr>
            <w:r>
              <w:rPr>
                <w:color w:val="4D4D4F"/>
                <w:w w:val="96"/>
                <w:sz w:val="14"/>
              </w:rPr>
              <w:t>5</w:t>
            </w:r>
          </w:p>
        </w:tc>
        <w:tc>
          <w:tcPr>
            <w:tcW w:w="1474" w:type="dxa"/>
          </w:tcPr>
          <w:p w14:paraId="375A1887" w14:textId="77777777" w:rsidR="00EF5B27" w:rsidRDefault="00000000">
            <w:pPr>
              <w:pStyle w:val="TableParagraph"/>
              <w:spacing w:before="56" w:line="252" w:lineRule="auto"/>
              <w:ind w:left="334" w:firstLine="104"/>
              <w:rPr>
                <w:sz w:val="14"/>
              </w:rPr>
            </w:pPr>
            <w:r>
              <w:rPr>
                <w:color w:val="4D4D4F"/>
                <w:sz w:val="14"/>
              </w:rPr>
              <w:t>Structural heterogeneity</w:t>
            </w:r>
          </w:p>
        </w:tc>
        <w:tc>
          <w:tcPr>
            <w:tcW w:w="2041" w:type="dxa"/>
          </w:tcPr>
          <w:p w14:paraId="166BD713" w14:textId="77777777" w:rsidR="00EF5B27" w:rsidRDefault="00EF5B27">
            <w:pPr>
              <w:pStyle w:val="TableParagraph"/>
              <w:spacing w:before="8"/>
              <w:rPr>
                <w:rFonts w:ascii="Times New Roman"/>
                <w:sz w:val="12"/>
              </w:rPr>
            </w:pPr>
          </w:p>
          <w:p w14:paraId="4226BA2F" w14:textId="77777777" w:rsidR="00EF5B27" w:rsidRDefault="00000000">
            <w:pPr>
              <w:pStyle w:val="TableParagraph"/>
              <w:ind w:left="162" w:right="140"/>
              <w:jc w:val="center"/>
              <w:rPr>
                <w:sz w:val="14"/>
              </w:rPr>
            </w:pPr>
            <w:r>
              <w:rPr>
                <w:color w:val="4D4D4F"/>
                <w:w w:val="105"/>
                <w:sz w:val="14"/>
              </w:rPr>
              <w:t>De-rocked grassland</w:t>
            </w:r>
          </w:p>
        </w:tc>
        <w:tc>
          <w:tcPr>
            <w:tcW w:w="2154" w:type="dxa"/>
          </w:tcPr>
          <w:p w14:paraId="62C18573" w14:textId="77777777" w:rsidR="00EF5B27" w:rsidRDefault="00EF5B27">
            <w:pPr>
              <w:pStyle w:val="TableParagraph"/>
              <w:spacing w:before="8"/>
              <w:rPr>
                <w:rFonts w:ascii="Times New Roman"/>
                <w:sz w:val="12"/>
              </w:rPr>
            </w:pPr>
          </w:p>
          <w:p w14:paraId="35296797" w14:textId="77777777" w:rsidR="00EF5B27" w:rsidRDefault="00000000">
            <w:pPr>
              <w:pStyle w:val="TableParagraph"/>
              <w:ind w:right="918"/>
              <w:jc w:val="right"/>
              <w:rPr>
                <w:sz w:val="14"/>
              </w:rPr>
            </w:pPr>
            <w:r>
              <w:rPr>
                <w:color w:val="4D4D4F"/>
                <w:w w:val="95"/>
                <w:sz w:val="14"/>
              </w:rPr>
              <w:t>2022</w:t>
            </w:r>
          </w:p>
        </w:tc>
        <w:tc>
          <w:tcPr>
            <w:tcW w:w="1134" w:type="dxa"/>
          </w:tcPr>
          <w:p w14:paraId="1077EB64" w14:textId="77777777" w:rsidR="00EF5B27" w:rsidRDefault="00EF5B27">
            <w:pPr>
              <w:pStyle w:val="TableParagraph"/>
              <w:spacing w:before="8"/>
              <w:rPr>
                <w:rFonts w:ascii="Times New Roman"/>
                <w:sz w:val="12"/>
              </w:rPr>
            </w:pPr>
          </w:p>
          <w:p w14:paraId="638E2581" w14:textId="77777777" w:rsidR="00EF5B27" w:rsidRDefault="00000000">
            <w:pPr>
              <w:pStyle w:val="TableParagraph"/>
              <w:ind w:left="81" w:right="67"/>
              <w:jc w:val="center"/>
              <w:rPr>
                <w:sz w:val="14"/>
              </w:rPr>
            </w:pPr>
            <w:r>
              <w:rPr>
                <w:color w:val="4D4D4F"/>
                <w:w w:val="105"/>
                <w:sz w:val="14"/>
              </w:rPr>
              <w:t>N/A</w:t>
            </w:r>
          </w:p>
        </w:tc>
      </w:tr>
      <w:tr w:rsidR="00EF5B27" w14:paraId="0529C591" w14:textId="77777777">
        <w:trPr>
          <w:trHeight w:val="448"/>
        </w:trPr>
        <w:tc>
          <w:tcPr>
            <w:tcW w:w="737" w:type="dxa"/>
          </w:tcPr>
          <w:p w14:paraId="7855977C" w14:textId="77777777" w:rsidR="00EF5B27" w:rsidRDefault="00EF5B27">
            <w:pPr>
              <w:pStyle w:val="TableParagraph"/>
              <w:spacing w:before="8"/>
              <w:rPr>
                <w:rFonts w:ascii="Times New Roman"/>
                <w:sz w:val="12"/>
              </w:rPr>
            </w:pPr>
          </w:p>
          <w:p w14:paraId="06A16311" w14:textId="77777777" w:rsidR="00EF5B27" w:rsidRDefault="00000000">
            <w:pPr>
              <w:pStyle w:val="TableParagraph"/>
              <w:ind w:left="23"/>
              <w:jc w:val="center"/>
              <w:rPr>
                <w:sz w:val="14"/>
              </w:rPr>
            </w:pPr>
            <w:r>
              <w:rPr>
                <w:color w:val="4D4D4F"/>
                <w:w w:val="96"/>
                <w:sz w:val="14"/>
              </w:rPr>
              <w:t>2</w:t>
            </w:r>
          </w:p>
        </w:tc>
        <w:tc>
          <w:tcPr>
            <w:tcW w:w="1361" w:type="dxa"/>
          </w:tcPr>
          <w:p w14:paraId="78622FC1" w14:textId="77777777" w:rsidR="00EF5B27" w:rsidRDefault="00000000">
            <w:pPr>
              <w:pStyle w:val="TableParagraph"/>
              <w:spacing w:before="56" w:line="252" w:lineRule="auto"/>
              <w:ind w:left="393" w:hanging="184"/>
              <w:rPr>
                <w:sz w:val="14"/>
              </w:rPr>
            </w:pPr>
            <w:r>
              <w:rPr>
                <w:color w:val="4D4D4F"/>
                <w:w w:val="105"/>
                <w:sz w:val="14"/>
              </w:rPr>
              <w:t>Grassy Eucalypt Woodland</w:t>
            </w:r>
          </w:p>
        </w:tc>
        <w:tc>
          <w:tcPr>
            <w:tcW w:w="737" w:type="dxa"/>
          </w:tcPr>
          <w:p w14:paraId="69CF023C" w14:textId="77777777" w:rsidR="00EF5B27" w:rsidRDefault="00EF5B27">
            <w:pPr>
              <w:pStyle w:val="TableParagraph"/>
              <w:spacing w:before="8"/>
              <w:rPr>
                <w:rFonts w:ascii="Times New Roman"/>
                <w:sz w:val="12"/>
              </w:rPr>
            </w:pPr>
          </w:p>
          <w:p w14:paraId="4595B334" w14:textId="77777777" w:rsidR="00EF5B27" w:rsidRDefault="00000000">
            <w:pPr>
              <w:pStyle w:val="TableParagraph"/>
              <w:ind w:left="22"/>
              <w:jc w:val="center"/>
              <w:rPr>
                <w:sz w:val="14"/>
              </w:rPr>
            </w:pPr>
            <w:r>
              <w:rPr>
                <w:color w:val="4D4D4F"/>
                <w:w w:val="96"/>
                <w:sz w:val="14"/>
              </w:rPr>
              <w:t>6</w:t>
            </w:r>
          </w:p>
        </w:tc>
        <w:tc>
          <w:tcPr>
            <w:tcW w:w="1474" w:type="dxa"/>
          </w:tcPr>
          <w:p w14:paraId="1B08B1F4" w14:textId="77777777" w:rsidR="00EF5B27" w:rsidRDefault="00EF5B27">
            <w:pPr>
              <w:pStyle w:val="TableParagraph"/>
              <w:spacing w:before="8"/>
              <w:rPr>
                <w:rFonts w:ascii="Times New Roman"/>
                <w:sz w:val="12"/>
              </w:rPr>
            </w:pPr>
          </w:p>
          <w:p w14:paraId="379F8BDF" w14:textId="77777777" w:rsidR="00EF5B27" w:rsidRDefault="00000000">
            <w:pPr>
              <w:pStyle w:val="TableParagraph"/>
              <w:ind w:left="133" w:right="111"/>
              <w:jc w:val="center"/>
              <w:rPr>
                <w:sz w:val="14"/>
              </w:rPr>
            </w:pPr>
            <w:r>
              <w:rPr>
                <w:color w:val="4D4D4F"/>
                <w:w w:val="105"/>
                <w:sz w:val="14"/>
              </w:rPr>
              <w:t>Recruits</w:t>
            </w:r>
          </w:p>
        </w:tc>
        <w:tc>
          <w:tcPr>
            <w:tcW w:w="2041" w:type="dxa"/>
          </w:tcPr>
          <w:p w14:paraId="7EC5C69F" w14:textId="77777777" w:rsidR="00EF5B27" w:rsidRDefault="00EF5B27">
            <w:pPr>
              <w:pStyle w:val="TableParagraph"/>
              <w:spacing w:before="8"/>
              <w:rPr>
                <w:rFonts w:ascii="Times New Roman"/>
                <w:sz w:val="12"/>
              </w:rPr>
            </w:pPr>
          </w:p>
          <w:p w14:paraId="0461AF16" w14:textId="77777777" w:rsidR="00EF5B27" w:rsidRDefault="00000000">
            <w:pPr>
              <w:pStyle w:val="TableParagraph"/>
              <w:ind w:left="162" w:right="140"/>
              <w:jc w:val="center"/>
              <w:rPr>
                <w:sz w:val="14"/>
              </w:rPr>
            </w:pPr>
            <w:r>
              <w:rPr>
                <w:color w:val="4D4D4F"/>
                <w:w w:val="105"/>
                <w:sz w:val="14"/>
              </w:rPr>
              <w:t>Herb-rich grassland</w:t>
            </w:r>
          </w:p>
        </w:tc>
        <w:tc>
          <w:tcPr>
            <w:tcW w:w="2154" w:type="dxa"/>
          </w:tcPr>
          <w:p w14:paraId="32869312" w14:textId="77777777" w:rsidR="00EF5B27" w:rsidRDefault="00EF5B27">
            <w:pPr>
              <w:pStyle w:val="TableParagraph"/>
              <w:spacing w:before="8"/>
              <w:rPr>
                <w:rFonts w:ascii="Times New Roman"/>
                <w:sz w:val="12"/>
              </w:rPr>
            </w:pPr>
          </w:p>
          <w:p w14:paraId="6FC4D63A" w14:textId="77777777" w:rsidR="00EF5B27" w:rsidRDefault="00000000">
            <w:pPr>
              <w:pStyle w:val="TableParagraph"/>
              <w:ind w:right="918"/>
              <w:jc w:val="right"/>
              <w:rPr>
                <w:sz w:val="14"/>
              </w:rPr>
            </w:pPr>
            <w:r>
              <w:rPr>
                <w:color w:val="4D4D4F"/>
                <w:w w:val="95"/>
                <w:sz w:val="14"/>
              </w:rPr>
              <w:t>2022</w:t>
            </w:r>
          </w:p>
        </w:tc>
        <w:tc>
          <w:tcPr>
            <w:tcW w:w="1134" w:type="dxa"/>
          </w:tcPr>
          <w:p w14:paraId="6D5B7437" w14:textId="77777777" w:rsidR="00EF5B27" w:rsidRDefault="00EF5B27">
            <w:pPr>
              <w:pStyle w:val="TableParagraph"/>
              <w:spacing w:before="8"/>
              <w:rPr>
                <w:rFonts w:ascii="Times New Roman"/>
                <w:sz w:val="12"/>
              </w:rPr>
            </w:pPr>
          </w:p>
          <w:p w14:paraId="688659A4" w14:textId="77777777" w:rsidR="00EF5B27" w:rsidRDefault="00000000">
            <w:pPr>
              <w:pStyle w:val="TableParagraph"/>
              <w:ind w:left="81" w:right="66"/>
              <w:jc w:val="center"/>
              <w:rPr>
                <w:sz w:val="14"/>
              </w:rPr>
            </w:pPr>
            <w:r>
              <w:rPr>
                <w:color w:val="4D4D4F"/>
                <w:w w:val="105"/>
                <w:sz w:val="14"/>
              </w:rPr>
              <w:t>N/A</w:t>
            </w:r>
          </w:p>
        </w:tc>
      </w:tr>
      <w:tr w:rsidR="00EF5B27" w14:paraId="4A17A2E6" w14:textId="77777777">
        <w:trPr>
          <w:trHeight w:val="448"/>
        </w:trPr>
        <w:tc>
          <w:tcPr>
            <w:tcW w:w="737" w:type="dxa"/>
          </w:tcPr>
          <w:p w14:paraId="2E8D0F1D" w14:textId="77777777" w:rsidR="00EF5B27" w:rsidRDefault="00EF5B27">
            <w:pPr>
              <w:pStyle w:val="TableParagraph"/>
              <w:spacing w:before="8"/>
              <w:rPr>
                <w:rFonts w:ascii="Times New Roman"/>
                <w:sz w:val="12"/>
              </w:rPr>
            </w:pPr>
          </w:p>
          <w:p w14:paraId="7489914A" w14:textId="77777777" w:rsidR="00EF5B27" w:rsidRDefault="00000000">
            <w:pPr>
              <w:pStyle w:val="TableParagraph"/>
              <w:ind w:left="23"/>
              <w:jc w:val="center"/>
              <w:rPr>
                <w:sz w:val="14"/>
              </w:rPr>
            </w:pPr>
            <w:r>
              <w:rPr>
                <w:color w:val="4D4D4F"/>
                <w:w w:val="96"/>
                <w:sz w:val="14"/>
              </w:rPr>
              <w:t>2</w:t>
            </w:r>
          </w:p>
        </w:tc>
        <w:tc>
          <w:tcPr>
            <w:tcW w:w="1361" w:type="dxa"/>
          </w:tcPr>
          <w:p w14:paraId="5C97C834" w14:textId="77777777" w:rsidR="00EF5B27" w:rsidRDefault="00000000">
            <w:pPr>
              <w:pStyle w:val="TableParagraph"/>
              <w:spacing w:before="56" w:line="252" w:lineRule="auto"/>
              <w:ind w:left="393" w:hanging="184"/>
              <w:rPr>
                <w:sz w:val="14"/>
              </w:rPr>
            </w:pPr>
            <w:r>
              <w:rPr>
                <w:color w:val="4D4D4F"/>
                <w:w w:val="105"/>
                <w:sz w:val="14"/>
              </w:rPr>
              <w:t>Grassy Eucalypt Woodland</w:t>
            </w:r>
          </w:p>
        </w:tc>
        <w:tc>
          <w:tcPr>
            <w:tcW w:w="737" w:type="dxa"/>
          </w:tcPr>
          <w:p w14:paraId="45E86AB3" w14:textId="77777777" w:rsidR="00EF5B27" w:rsidRDefault="00EF5B27">
            <w:pPr>
              <w:pStyle w:val="TableParagraph"/>
              <w:spacing w:before="8"/>
              <w:rPr>
                <w:rFonts w:ascii="Times New Roman"/>
                <w:sz w:val="12"/>
              </w:rPr>
            </w:pPr>
          </w:p>
          <w:p w14:paraId="00523FE1" w14:textId="77777777" w:rsidR="00EF5B27" w:rsidRDefault="00000000">
            <w:pPr>
              <w:pStyle w:val="TableParagraph"/>
              <w:ind w:left="22"/>
              <w:jc w:val="center"/>
              <w:rPr>
                <w:sz w:val="14"/>
              </w:rPr>
            </w:pPr>
            <w:r>
              <w:rPr>
                <w:color w:val="4D4D4F"/>
                <w:w w:val="96"/>
                <w:sz w:val="14"/>
              </w:rPr>
              <w:t>6</w:t>
            </w:r>
          </w:p>
        </w:tc>
        <w:tc>
          <w:tcPr>
            <w:tcW w:w="1474" w:type="dxa"/>
          </w:tcPr>
          <w:p w14:paraId="6E694EF6" w14:textId="77777777" w:rsidR="00EF5B27" w:rsidRDefault="00EF5B27">
            <w:pPr>
              <w:pStyle w:val="TableParagraph"/>
              <w:spacing w:before="8"/>
              <w:rPr>
                <w:rFonts w:ascii="Times New Roman"/>
                <w:sz w:val="12"/>
              </w:rPr>
            </w:pPr>
          </w:p>
          <w:p w14:paraId="5907245C" w14:textId="77777777" w:rsidR="00EF5B27" w:rsidRDefault="00000000">
            <w:pPr>
              <w:pStyle w:val="TableParagraph"/>
              <w:ind w:left="133" w:right="111"/>
              <w:jc w:val="center"/>
              <w:rPr>
                <w:sz w:val="14"/>
              </w:rPr>
            </w:pPr>
            <w:r>
              <w:rPr>
                <w:color w:val="4D4D4F"/>
                <w:w w:val="105"/>
                <w:sz w:val="14"/>
              </w:rPr>
              <w:t>Recruits</w:t>
            </w:r>
          </w:p>
        </w:tc>
        <w:tc>
          <w:tcPr>
            <w:tcW w:w="2041" w:type="dxa"/>
          </w:tcPr>
          <w:p w14:paraId="020AC25B" w14:textId="77777777" w:rsidR="00EF5B27" w:rsidRDefault="00EF5B27">
            <w:pPr>
              <w:pStyle w:val="TableParagraph"/>
              <w:spacing w:before="8"/>
              <w:rPr>
                <w:rFonts w:ascii="Times New Roman"/>
                <w:sz w:val="12"/>
              </w:rPr>
            </w:pPr>
          </w:p>
          <w:p w14:paraId="71CEC3DE" w14:textId="77777777" w:rsidR="00EF5B27" w:rsidRDefault="00000000">
            <w:pPr>
              <w:pStyle w:val="TableParagraph"/>
              <w:ind w:left="162" w:right="14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243D1F4D" w14:textId="77777777" w:rsidR="00EF5B27" w:rsidRDefault="00EF5B27">
            <w:pPr>
              <w:pStyle w:val="TableParagraph"/>
              <w:spacing w:before="8"/>
              <w:rPr>
                <w:rFonts w:ascii="Times New Roman"/>
                <w:sz w:val="12"/>
              </w:rPr>
            </w:pPr>
          </w:p>
          <w:p w14:paraId="57E69CEC" w14:textId="77777777" w:rsidR="00EF5B27" w:rsidRDefault="00000000">
            <w:pPr>
              <w:pStyle w:val="TableParagraph"/>
              <w:ind w:right="918"/>
              <w:jc w:val="right"/>
              <w:rPr>
                <w:sz w:val="14"/>
              </w:rPr>
            </w:pPr>
            <w:r>
              <w:rPr>
                <w:color w:val="4D4D4F"/>
                <w:w w:val="95"/>
                <w:sz w:val="14"/>
              </w:rPr>
              <w:t>2022</w:t>
            </w:r>
          </w:p>
        </w:tc>
        <w:tc>
          <w:tcPr>
            <w:tcW w:w="1134" w:type="dxa"/>
          </w:tcPr>
          <w:p w14:paraId="451EDC4E" w14:textId="77777777" w:rsidR="00EF5B27" w:rsidRDefault="00EF5B27">
            <w:pPr>
              <w:pStyle w:val="TableParagraph"/>
              <w:spacing w:before="8"/>
              <w:rPr>
                <w:rFonts w:ascii="Times New Roman"/>
                <w:sz w:val="12"/>
              </w:rPr>
            </w:pPr>
          </w:p>
          <w:p w14:paraId="4BF67C9E" w14:textId="77777777" w:rsidR="00EF5B27" w:rsidRDefault="00000000">
            <w:pPr>
              <w:pStyle w:val="TableParagraph"/>
              <w:ind w:left="81" w:right="66"/>
              <w:jc w:val="center"/>
              <w:rPr>
                <w:sz w:val="14"/>
              </w:rPr>
            </w:pPr>
            <w:r>
              <w:rPr>
                <w:color w:val="4D4D4F"/>
                <w:w w:val="105"/>
                <w:sz w:val="14"/>
              </w:rPr>
              <w:t>N/A</w:t>
            </w:r>
          </w:p>
        </w:tc>
      </w:tr>
      <w:tr w:rsidR="00EF5B27" w14:paraId="624DDAA5" w14:textId="77777777">
        <w:trPr>
          <w:trHeight w:val="448"/>
        </w:trPr>
        <w:tc>
          <w:tcPr>
            <w:tcW w:w="737" w:type="dxa"/>
          </w:tcPr>
          <w:p w14:paraId="07D121CF" w14:textId="77777777" w:rsidR="00EF5B27" w:rsidRDefault="00EF5B27">
            <w:pPr>
              <w:pStyle w:val="TableParagraph"/>
              <w:spacing w:before="8"/>
              <w:rPr>
                <w:rFonts w:ascii="Times New Roman"/>
                <w:sz w:val="12"/>
              </w:rPr>
            </w:pPr>
          </w:p>
          <w:p w14:paraId="7D0AA3EA" w14:textId="77777777" w:rsidR="00EF5B27" w:rsidRDefault="00000000">
            <w:pPr>
              <w:pStyle w:val="TableParagraph"/>
              <w:ind w:left="23"/>
              <w:jc w:val="center"/>
              <w:rPr>
                <w:sz w:val="14"/>
              </w:rPr>
            </w:pPr>
            <w:r>
              <w:rPr>
                <w:color w:val="4D4D4F"/>
                <w:w w:val="96"/>
                <w:sz w:val="14"/>
              </w:rPr>
              <w:t>2</w:t>
            </w:r>
          </w:p>
        </w:tc>
        <w:tc>
          <w:tcPr>
            <w:tcW w:w="1361" w:type="dxa"/>
          </w:tcPr>
          <w:p w14:paraId="1C3F3E2C" w14:textId="77777777" w:rsidR="00EF5B27" w:rsidRDefault="00000000">
            <w:pPr>
              <w:pStyle w:val="TableParagraph"/>
              <w:spacing w:before="56" w:line="252" w:lineRule="auto"/>
              <w:ind w:left="393" w:hanging="184"/>
              <w:rPr>
                <w:sz w:val="14"/>
              </w:rPr>
            </w:pPr>
            <w:r>
              <w:rPr>
                <w:color w:val="4D4D4F"/>
                <w:w w:val="105"/>
                <w:sz w:val="14"/>
              </w:rPr>
              <w:t>Grassy Eucalypt Woodland</w:t>
            </w:r>
          </w:p>
        </w:tc>
        <w:tc>
          <w:tcPr>
            <w:tcW w:w="737" w:type="dxa"/>
          </w:tcPr>
          <w:p w14:paraId="4140E2B2" w14:textId="77777777" w:rsidR="00EF5B27" w:rsidRDefault="00EF5B27">
            <w:pPr>
              <w:pStyle w:val="TableParagraph"/>
              <w:spacing w:before="8"/>
              <w:rPr>
                <w:rFonts w:ascii="Times New Roman"/>
                <w:sz w:val="12"/>
              </w:rPr>
            </w:pPr>
          </w:p>
          <w:p w14:paraId="71458FCB" w14:textId="77777777" w:rsidR="00EF5B27" w:rsidRDefault="00000000">
            <w:pPr>
              <w:pStyle w:val="TableParagraph"/>
              <w:ind w:left="22"/>
              <w:jc w:val="center"/>
              <w:rPr>
                <w:sz w:val="14"/>
              </w:rPr>
            </w:pPr>
            <w:r>
              <w:rPr>
                <w:color w:val="4D4D4F"/>
                <w:w w:val="96"/>
                <w:sz w:val="14"/>
              </w:rPr>
              <w:t>6</w:t>
            </w:r>
          </w:p>
        </w:tc>
        <w:tc>
          <w:tcPr>
            <w:tcW w:w="1474" w:type="dxa"/>
          </w:tcPr>
          <w:p w14:paraId="14AA4361" w14:textId="77777777" w:rsidR="00EF5B27" w:rsidRDefault="00EF5B27">
            <w:pPr>
              <w:pStyle w:val="TableParagraph"/>
              <w:spacing w:before="8"/>
              <w:rPr>
                <w:rFonts w:ascii="Times New Roman"/>
                <w:sz w:val="12"/>
              </w:rPr>
            </w:pPr>
          </w:p>
          <w:p w14:paraId="62E7919D" w14:textId="77777777" w:rsidR="00EF5B27" w:rsidRDefault="00000000">
            <w:pPr>
              <w:pStyle w:val="TableParagraph"/>
              <w:ind w:left="133" w:right="111"/>
              <w:jc w:val="center"/>
              <w:rPr>
                <w:sz w:val="14"/>
              </w:rPr>
            </w:pPr>
            <w:r>
              <w:rPr>
                <w:color w:val="4D4D4F"/>
                <w:w w:val="105"/>
                <w:sz w:val="14"/>
              </w:rPr>
              <w:t>Recruits</w:t>
            </w:r>
          </w:p>
        </w:tc>
        <w:tc>
          <w:tcPr>
            <w:tcW w:w="2041" w:type="dxa"/>
          </w:tcPr>
          <w:p w14:paraId="68CA28C5" w14:textId="77777777" w:rsidR="00EF5B27" w:rsidRDefault="00EF5B27">
            <w:pPr>
              <w:pStyle w:val="TableParagraph"/>
              <w:spacing w:before="8"/>
              <w:rPr>
                <w:rFonts w:ascii="Times New Roman"/>
                <w:sz w:val="12"/>
              </w:rPr>
            </w:pPr>
          </w:p>
          <w:p w14:paraId="2E8B0D9F" w14:textId="77777777" w:rsidR="00EF5B27" w:rsidRDefault="00000000">
            <w:pPr>
              <w:pStyle w:val="TableParagraph"/>
              <w:ind w:left="162" w:right="140"/>
              <w:jc w:val="center"/>
              <w:rPr>
                <w:sz w:val="14"/>
              </w:rPr>
            </w:pPr>
            <w:r>
              <w:rPr>
                <w:color w:val="4D4D4F"/>
                <w:w w:val="105"/>
                <w:sz w:val="14"/>
              </w:rPr>
              <w:t>C3 grassland</w:t>
            </w:r>
          </w:p>
        </w:tc>
        <w:tc>
          <w:tcPr>
            <w:tcW w:w="2154" w:type="dxa"/>
          </w:tcPr>
          <w:p w14:paraId="27965080" w14:textId="77777777" w:rsidR="00EF5B27" w:rsidRDefault="00EF5B27">
            <w:pPr>
              <w:pStyle w:val="TableParagraph"/>
              <w:spacing w:before="8"/>
              <w:rPr>
                <w:rFonts w:ascii="Times New Roman"/>
                <w:sz w:val="12"/>
              </w:rPr>
            </w:pPr>
          </w:p>
          <w:p w14:paraId="4C9AF9C5" w14:textId="77777777" w:rsidR="00EF5B27" w:rsidRDefault="00000000">
            <w:pPr>
              <w:pStyle w:val="TableParagraph"/>
              <w:ind w:right="917"/>
              <w:jc w:val="right"/>
              <w:rPr>
                <w:sz w:val="14"/>
              </w:rPr>
            </w:pPr>
            <w:r>
              <w:rPr>
                <w:color w:val="4D4D4F"/>
                <w:w w:val="95"/>
                <w:sz w:val="14"/>
              </w:rPr>
              <w:t>2022</w:t>
            </w:r>
          </w:p>
        </w:tc>
        <w:tc>
          <w:tcPr>
            <w:tcW w:w="1134" w:type="dxa"/>
          </w:tcPr>
          <w:p w14:paraId="706CC80A" w14:textId="77777777" w:rsidR="00EF5B27" w:rsidRDefault="00EF5B27">
            <w:pPr>
              <w:pStyle w:val="TableParagraph"/>
              <w:spacing w:before="8"/>
              <w:rPr>
                <w:rFonts w:ascii="Times New Roman"/>
                <w:sz w:val="12"/>
              </w:rPr>
            </w:pPr>
          </w:p>
          <w:p w14:paraId="184320CB" w14:textId="77777777" w:rsidR="00EF5B27" w:rsidRDefault="00000000">
            <w:pPr>
              <w:pStyle w:val="TableParagraph"/>
              <w:ind w:left="81" w:right="66"/>
              <w:jc w:val="center"/>
              <w:rPr>
                <w:sz w:val="14"/>
              </w:rPr>
            </w:pPr>
            <w:r>
              <w:rPr>
                <w:color w:val="4D4D4F"/>
                <w:w w:val="105"/>
                <w:sz w:val="14"/>
              </w:rPr>
              <w:t>N/A</w:t>
            </w:r>
          </w:p>
        </w:tc>
      </w:tr>
      <w:tr w:rsidR="00EF5B27" w14:paraId="436A5ED5" w14:textId="77777777">
        <w:trPr>
          <w:trHeight w:val="448"/>
        </w:trPr>
        <w:tc>
          <w:tcPr>
            <w:tcW w:w="737" w:type="dxa"/>
          </w:tcPr>
          <w:p w14:paraId="5FC9D00B" w14:textId="77777777" w:rsidR="00EF5B27" w:rsidRDefault="00EF5B27">
            <w:pPr>
              <w:pStyle w:val="TableParagraph"/>
              <w:spacing w:before="8"/>
              <w:rPr>
                <w:rFonts w:ascii="Times New Roman"/>
                <w:sz w:val="12"/>
              </w:rPr>
            </w:pPr>
          </w:p>
          <w:p w14:paraId="5C3F299C" w14:textId="77777777" w:rsidR="00EF5B27" w:rsidRDefault="00000000">
            <w:pPr>
              <w:pStyle w:val="TableParagraph"/>
              <w:spacing w:before="1"/>
              <w:ind w:left="23"/>
              <w:jc w:val="center"/>
              <w:rPr>
                <w:sz w:val="14"/>
              </w:rPr>
            </w:pPr>
            <w:r>
              <w:rPr>
                <w:color w:val="4D4D4F"/>
                <w:w w:val="96"/>
                <w:sz w:val="14"/>
              </w:rPr>
              <w:t>2</w:t>
            </w:r>
          </w:p>
        </w:tc>
        <w:tc>
          <w:tcPr>
            <w:tcW w:w="1361" w:type="dxa"/>
          </w:tcPr>
          <w:p w14:paraId="7E2C29EC" w14:textId="77777777" w:rsidR="00EF5B27" w:rsidRDefault="00000000">
            <w:pPr>
              <w:pStyle w:val="TableParagraph"/>
              <w:spacing w:before="56" w:line="252" w:lineRule="auto"/>
              <w:ind w:left="393" w:hanging="184"/>
              <w:rPr>
                <w:sz w:val="14"/>
              </w:rPr>
            </w:pPr>
            <w:r>
              <w:rPr>
                <w:color w:val="4D4D4F"/>
                <w:w w:val="105"/>
                <w:sz w:val="14"/>
              </w:rPr>
              <w:t>Grassy Eucalypt Woodland</w:t>
            </w:r>
          </w:p>
        </w:tc>
        <w:tc>
          <w:tcPr>
            <w:tcW w:w="737" w:type="dxa"/>
          </w:tcPr>
          <w:p w14:paraId="7F514448" w14:textId="77777777" w:rsidR="00EF5B27" w:rsidRDefault="00EF5B27">
            <w:pPr>
              <w:pStyle w:val="TableParagraph"/>
              <w:spacing w:before="8"/>
              <w:rPr>
                <w:rFonts w:ascii="Times New Roman"/>
                <w:sz w:val="12"/>
              </w:rPr>
            </w:pPr>
          </w:p>
          <w:p w14:paraId="6BB5809B" w14:textId="77777777" w:rsidR="00EF5B27" w:rsidRDefault="00000000">
            <w:pPr>
              <w:pStyle w:val="TableParagraph"/>
              <w:spacing w:before="1"/>
              <w:ind w:left="22"/>
              <w:jc w:val="center"/>
              <w:rPr>
                <w:sz w:val="14"/>
              </w:rPr>
            </w:pPr>
            <w:r>
              <w:rPr>
                <w:color w:val="4D4D4F"/>
                <w:w w:val="96"/>
                <w:sz w:val="14"/>
              </w:rPr>
              <w:t>6</w:t>
            </w:r>
          </w:p>
        </w:tc>
        <w:tc>
          <w:tcPr>
            <w:tcW w:w="1474" w:type="dxa"/>
          </w:tcPr>
          <w:p w14:paraId="2D139D4A" w14:textId="77777777" w:rsidR="00EF5B27" w:rsidRDefault="00EF5B27">
            <w:pPr>
              <w:pStyle w:val="TableParagraph"/>
              <w:spacing w:before="8"/>
              <w:rPr>
                <w:rFonts w:ascii="Times New Roman"/>
                <w:sz w:val="12"/>
              </w:rPr>
            </w:pPr>
          </w:p>
          <w:p w14:paraId="6485F7C6" w14:textId="77777777" w:rsidR="00EF5B27" w:rsidRDefault="00000000">
            <w:pPr>
              <w:pStyle w:val="TableParagraph"/>
              <w:spacing w:before="1"/>
              <w:ind w:left="133" w:right="110"/>
              <w:jc w:val="center"/>
              <w:rPr>
                <w:sz w:val="14"/>
              </w:rPr>
            </w:pPr>
            <w:r>
              <w:rPr>
                <w:color w:val="4D4D4F"/>
                <w:w w:val="105"/>
                <w:sz w:val="14"/>
              </w:rPr>
              <w:t>Recruits</w:t>
            </w:r>
          </w:p>
        </w:tc>
        <w:tc>
          <w:tcPr>
            <w:tcW w:w="2041" w:type="dxa"/>
          </w:tcPr>
          <w:p w14:paraId="027F433F" w14:textId="77777777" w:rsidR="00EF5B27" w:rsidRDefault="00EF5B27">
            <w:pPr>
              <w:pStyle w:val="TableParagraph"/>
              <w:spacing w:before="8"/>
              <w:rPr>
                <w:rFonts w:ascii="Times New Roman"/>
                <w:sz w:val="12"/>
              </w:rPr>
            </w:pPr>
          </w:p>
          <w:p w14:paraId="674372F8" w14:textId="77777777" w:rsidR="00EF5B27" w:rsidRDefault="00000000">
            <w:pPr>
              <w:pStyle w:val="TableParagraph"/>
              <w:spacing w:before="1"/>
              <w:ind w:left="162" w:right="140"/>
              <w:jc w:val="center"/>
              <w:rPr>
                <w:sz w:val="14"/>
              </w:rPr>
            </w:pPr>
            <w:r>
              <w:rPr>
                <w:color w:val="4D4D4F"/>
                <w:w w:val="105"/>
                <w:sz w:val="14"/>
              </w:rPr>
              <w:t>Nutrient-enriched grassland</w:t>
            </w:r>
          </w:p>
        </w:tc>
        <w:tc>
          <w:tcPr>
            <w:tcW w:w="2154" w:type="dxa"/>
          </w:tcPr>
          <w:p w14:paraId="219E7EF2" w14:textId="77777777" w:rsidR="00EF5B27" w:rsidRDefault="00EF5B27">
            <w:pPr>
              <w:pStyle w:val="TableParagraph"/>
              <w:spacing w:before="8"/>
              <w:rPr>
                <w:rFonts w:ascii="Times New Roman"/>
                <w:sz w:val="12"/>
              </w:rPr>
            </w:pPr>
          </w:p>
          <w:p w14:paraId="5878D524" w14:textId="77777777" w:rsidR="00EF5B27" w:rsidRDefault="00000000">
            <w:pPr>
              <w:pStyle w:val="TableParagraph"/>
              <w:spacing w:before="1"/>
              <w:ind w:right="917"/>
              <w:jc w:val="right"/>
              <w:rPr>
                <w:sz w:val="14"/>
              </w:rPr>
            </w:pPr>
            <w:r>
              <w:rPr>
                <w:color w:val="4D4D4F"/>
                <w:w w:val="95"/>
                <w:sz w:val="14"/>
              </w:rPr>
              <w:t>2022</w:t>
            </w:r>
          </w:p>
        </w:tc>
        <w:tc>
          <w:tcPr>
            <w:tcW w:w="1134" w:type="dxa"/>
          </w:tcPr>
          <w:p w14:paraId="2E95AE01" w14:textId="77777777" w:rsidR="00EF5B27" w:rsidRDefault="00EF5B27">
            <w:pPr>
              <w:pStyle w:val="TableParagraph"/>
              <w:spacing w:before="8"/>
              <w:rPr>
                <w:rFonts w:ascii="Times New Roman"/>
                <w:sz w:val="12"/>
              </w:rPr>
            </w:pPr>
          </w:p>
          <w:p w14:paraId="3F4133BB" w14:textId="77777777" w:rsidR="00EF5B27" w:rsidRDefault="00000000">
            <w:pPr>
              <w:pStyle w:val="TableParagraph"/>
              <w:spacing w:before="1"/>
              <w:ind w:left="81" w:right="66"/>
              <w:jc w:val="center"/>
              <w:rPr>
                <w:sz w:val="14"/>
              </w:rPr>
            </w:pPr>
            <w:r>
              <w:rPr>
                <w:color w:val="4D4D4F"/>
                <w:w w:val="105"/>
                <w:sz w:val="14"/>
              </w:rPr>
              <w:t>N/A</w:t>
            </w:r>
          </w:p>
        </w:tc>
      </w:tr>
      <w:tr w:rsidR="00EF5B27" w14:paraId="57D962E4" w14:textId="77777777">
        <w:trPr>
          <w:trHeight w:val="448"/>
        </w:trPr>
        <w:tc>
          <w:tcPr>
            <w:tcW w:w="737" w:type="dxa"/>
          </w:tcPr>
          <w:p w14:paraId="62C4D94F" w14:textId="77777777" w:rsidR="00EF5B27" w:rsidRDefault="00EF5B27">
            <w:pPr>
              <w:pStyle w:val="TableParagraph"/>
              <w:spacing w:before="8"/>
              <w:rPr>
                <w:rFonts w:ascii="Times New Roman"/>
                <w:sz w:val="12"/>
              </w:rPr>
            </w:pPr>
          </w:p>
          <w:p w14:paraId="34D193ED" w14:textId="77777777" w:rsidR="00EF5B27" w:rsidRDefault="00000000">
            <w:pPr>
              <w:pStyle w:val="TableParagraph"/>
              <w:spacing w:before="1"/>
              <w:ind w:left="23"/>
              <w:jc w:val="center"/>
              <w:rPr>
                <w:sz w:val="14"/>
              </w:rPr>
            </w:pPr>
            <w:r>
              <w:rPr>
                <w:color w:val="4D4D4F"/>
                <w:w w:val="96"/>
                <w:sz w:val="14"/>
              </w:rPr>
              <w:t>2</w:t>
            </w:r>
          </w:p>
        </w:tc>
        <w:tc>
          <w:tcPr>
            <w:tcW w:w="1361" w:type="dxa"/>
          </w:tcPr>
          <w:p w14:paraId="6724B7F9" w14:textId="77777777" w:rsidR="00EF5B27" w:rsidRDefault="00000000">
            <w:pPr>
              <w:pStyle w:val="TableParagraph"/>
              <w:spacing w:before="57" w:line="252" w:lineRule="auto"/>
              <w:ind w:left="394" w:hanging="184"/>
              <w:rPr>
                <w:sz w:val="14"/>
              </w:rPr>
            </w:pPr>
            <w:r>
              <w:rPr>
                <w:color w:val="4D4D4F"/>
                <w:w w:val="105"/>
                <w:sz w:val="14"/>
              </w:rPr>
              <w:t>Grassy Eucalypt Woodland</w:t>
            </w:r>
          </w:p>
        </w:tc>
        <w:tc>
          <w:tcPr>
            <w:tcW w:w="737" w:type="dxa"/>
          </w:tcPr>
          <w:p w14:paraId="06B2B33D" w14:textId="77777777" w:rsidR="00EF5B27" w:rsidRDefault="00EF5B27">
            <w:pPr>
              <w:pStyle w:val="TableParagraph"/>
              <w:spacing w:before="8"/>
              <w:rPr>
                <w:rFonts w:ascii="Times New Roman"/>
                <w:sz w:val="12"/>
              </w:rPr>
            </w:pPr>
          </w:p>
          <w:p w14:paraId="1092CE3B" w14:textId="77777777" w:rsidR="00EF5B27" w:rsidRDefault="00000000">
            <w:pPr>
              <w:pStyle w:val="TableParagraph"/>
              <w:spacing w:before="1"/>
              <w:ind w:left="23"/>
              <w:jc w:val="center"/>
              <w:rPr>
                <w:sz w:val="14"/>
              </w:rPr>
            </w:pPr>
            <w:r>
              <w:rPr>
                <w:color w:val="4D4D4F"/>
                <w:w w:val="96"/>
                <w:sz w:val="14"/>
              </w:rPr>
              <w:t>6</w:t>
            </w:r>
          </w:p>
        </w:tc>
        <w:tc>
          <w:tcPr>
            <w:tcW w:w="1474" w:type="dxa"/>
          </w:tcPr>
          <w:p w14:paraId="6AFE6135" w14:textId="77777777" w:rsidR="00EF5B27" w:rsidRDefault="00EF5B27">
            <w:pPr>
              <w:pStyle w:val="TableParagraph"/>
              <w:spacing w:before="8"/>
              <w:rPr>
                <w:rFonts w:ascii="Times New Roman"/>
                <w:sz w:val="12"/>
              </w:rPr>
            </w:pPr>
          </w:p>
          <w:p w14:paraId="3BE41BCD" w14:textId="77777777" w:rsidR="00EF5B27" w:rsidRDefault="00000000">
            <w:pPr>
              <w:pStyle w:val="TableParagraph"/>
              <w:spacing w:before="1"/>
              <w:ind w:left="133" w:right="110"/>
              <w:jc w:val="center"/>
              <w:rPr>
                <w:sz w:val="14"/>
              </w:rPr>
            </w:pPr>
            <w:r>
              <w:rPr>
                <w:color w:val="4D4D4F"/>
                <w:w w:val="105"/>
                <w:sz w:val="14"/>
              </w:rPr>
              <w:t>Recruits</w:t>
            </w:r>
          </w:p>
        </w:tc>
        <w:tc>
          <w:tcPr>
            <w:tcW w:w="2041" w:type="dxa"/>
          </w:tcPr>
          <w:p w14:paraId="390B5087" w14:textId="77777777" w:rsidR="00EF5B27" w:rsidRDefault="00EF5B27">
            <w:pPr>
              <w:pStyle w:val="TableParagraph"/>
              <w:spacing w:before="8"/>
              <w:rPr>
                <w:rFonts w:ascii="Times New Roman"/>
                <w:sz w:val="12"/>
              </w:rPr>
            </w:pPr>
          </w:p>
          <w:p w14:paraId="021D28B5" w14:textId="77777777" w:rsidR="00EF5B27" w:rsidRDefault="00000000">
            <w:pPr>
              <w:pStyle w:val="TableParagraph"/>
              <w:spacing w:before="1"/>
              <w:ind w:left="162" w:right="139"/>
              <w:jc w:val="center"/>
              <w:rPr>
                <w:sz w:val="14"/>
              </w:rPr>
            </w:pPr>
            <w:r>
              <w:rPr>
                <w:color w:val="4D4D4F"/>
                <w:w w:val="105"/>
                <w:sz w:val="14"/>
              </w:rPr>
              <w:t>De-rocked grassland</w:t>
            </w:r>
          </w:p>
        </w:tc>
        <w:tc>
          <w:tcPr>
            <w:tcW w:w="2154" w:type="dxa"/>
          </w:tcPr>
          <w:p w14:paraId="33AF5D2E" w14:textId="77777777" w:rsidR="00EF5B27" w:rsidRDefault="00EF5B27">
            <w:pPr>
              <w:pStyle w:val="TableParagraph"/>
              <w:spacing w:before="8"/>
              <w:rPr>
                <w:rFonts w:ascii="Times New Roman"/>
                <w:sz w:val="12"/>
              </w:rPr>
            </w:pPr>
          </w:p>
          <w:p w14:paraId="699674BE" w14:textId="77777777" w:rsidR="00EF5B27" w:rsidRDefault="00000000">
            <w:pPr>
              <w:pStyle w:val="TableParagraph"/>
              <w:spacing w:before="1"/>
              <w:ind w:right="917"/>
              <w:jc w:val="right"/>
              <w:rPr>
                <w:sz w:val="14"/>
              </w:rPr>
            </w:pPr>
            <w:r>
              <w:rPr>
                <w:color w:val="4D4D4F"/>
                <w:w w:val="95"/>
                <w:sz w:val="14"/>
              </w:rPr>
              <w:t>2022</w:t>
            </w:r>
          </w:p>
        </w:tc>
        <w:tc>
          <w:tcPr>
            <w:tcW w:w="1134" w:type="dxa"/>
          </w:tcPr>
          <w:p w14:paraId="4C09955C" w14:textId="77777777" w:rsidR="00EF5B27" w:rsidRDefault="00EF5B27">
            <w:pPr>
              <w:pStyle w:val="TableParagraph"/>
              <w:spacing w:before="8"/>
              <w:rPr>
                <w:rFonts w:ascii="Times New Roman"/>
                <w:sz w:val="12"/>
              </w:rPr>
            </w:pPr>
          </w:p>
          <w:p w14:paraId="26B3B953" w14:textId="77777777" w:rsidR="00EF5B27" w:rsidRDefault="00000000">
            <w:pPr>
              <w:pStyle w:val="TableParagraph"/>
              <w:spacing w:before="1"/>
              <w:ind w:left="81" w:right="66"/>
              <w:jc w:val="center"/>
              <w:rPr>
                <w:sz w:val="14"/>
              </w:rPr>
            </w:pPr>
            <w:r>
              <w:rPr>
                <w:color w:val="4D4D4F"/>
                <w:w w:val="105"/>
                <w:sz w:val="14"/>
              </w:rPr>
              <w:t>N/A</w:t>
            </w:r>
          </w:p>
        </w:tc>
      </w:tr>
      <w:tr w:rsidR="00EF5B27" w14:paraId="3264A60C" w14:textId="77777777">
        <w:trPr>
          <w:trHeight w:val="448"/>
        </w:trPr>
        <w:tc>
          <w:tcPr>
            <w:tcW w:w="737" w:type="dxa"/>
          </w:tcPr>
          <w:p w14:paraId="49B3B871" w14:textId="77777777" w:rsidR="00EF5B27" w:rsidRDefault="00EF5B27">
            <w:pPr>
              <w:pStyle w:val="TableParagraph"/>
              <w:spacing w:before="8"/>
              <w:rPr>
                <w:rFonts w:ascii="Times New Roman"/>
                <w:sz w:val="12"/>
              </w:rPr>
            </w:pPr>
          </w:p>
          <w:p w14:paraId="0EB7AB4F" w14:textId="77777777" w:rsidR="00EF5B27" w:rsidRDefault="00000000">
            <w:pPr>
              <w:pStyle w:val="TableParagraph"/>
              <w:spacing w:before="1"/>
              <w:ind w:left="23"/>
              <w:jc w:val="center"/>
              <w:rPr>
                <w:sz w:val="14"/>
              </w:rPr>
            </w:pPr>
            <w:r>
              <w:rPr>
                <w:color w:val="4D4D4F"/>
                <w:w w:val="96"/>
                <w:sz w:val="14"/>
              </w:rPr>
              <w:t>2</w:t>
            </w:r>
          </w:p>
        </w:tc>
        <w:tc>
          <w:tcPr>
            <w:tcW w:w="1361" w:type="dxa"/>
          </w:tcPr>
          <w:p w14:paraId="3733AA86" w14:textId="77777777" w:rsidR="00EF5B27" w:rsidRDefault="00000000">
            <w:pPr>
              <w:pStyle w:val="TableParagraph"/>
              <w:spacing w:before="57" w:line="252" w:lineRule="auto"/>
              <w:ind w:left="394" w:hanging="184"/>
              <w:rPr>
                <w:sz w:val="14"/>
              </w:rPr>
            </w:pPr>
            <w:r>
              <w:rPr>
                <w:color w:val="4D4D4F"/>
                <w:w w:val="105"/>
                <w:sz w:val="14"/>
              </w:rPr>
              <w:t>Grassy Eucalypt Woodland</w:t>
            </w:r>
          </w:p>
        </w:tc>
        <w:tc>
          <w:tcPr>
            <w:tcW w:w="737" w:type="dxa"/>
          </w:tcPr>
          <w:p w14:paraId="5421B2B1" w14:textId="77777777" w:rsidR="00EF5B27" w:rsidRDefault="00EF5B27">
            <w:pPr>
              <w:pStyle w:val="TableParagraph"/>
              <w:spacing w:before="8"/>
              <w:rPr>
                <w:rFonts w:ascii="Times New Roman"/>
                <w:sz w:val="12"/>
              </w:rPr>
            </w:pPr>
          </w:p>
          <w:p w14:paraId="2BD10C3D" w14:textId="77777777" w:rsidR="00EF5B27" w:rsidRDefault="00000000">
            <w:pPr>
              <w:pStyle w:val="TableParagraph"/>
              <w:spacing w:before="1"/>
              <w:ind w:left="23"/>
              <w:jc w:val="center"/>
              <w:rPr>
                <w:sz w:val="14"/>
              </w:rPr>
            </w:pPr>
            <w:r>
              <w:rPr>
                <w:color w:val="4D4D4F"/>
                <w:w w:val="96"/>
                <w:sz w:val="14"/>
              </w:rPr>
              <w:t>7</w:t>
            </w:r>
          </w:p>
        </w:tc>
        <w:tc>
          <w:tcPr>
            <w:tcW w:w="1474" w:type="dxa"/>
          </w:tcPr>
          <w:p w14:paraId="0DCF5522" w14:textId="77777777" w:rsidR="00EF5B27" w:rsidRDefault="00EF5B27">
            <w:pPr>
              <w:pStyle w:val="TableParagraph"/>
              <w:spacing w:before="8"/>
              <w:rPr>
                <w:rFonts w:ascii="Times New Roman"/>
                <w:sz w:val="12"/>
              </w:rPr>
            </w:pPr>
          </w:p>
          <w:p w14:paraId="6601AC13" w14:textId="77777777" w:rsidR="00EF5B27" w:rsidRDefault="00000000">
            <w:pPr>
              <w:pStyle w:val="TableParagraph"/>
              <w:spacing w:before="1"/>
              <w:ind w:left="133" w:right="110"/>
              <w:jc w:val="center"/>
              <w:rPr>
                <w:sz w:val="14"/>
              </w:rPr>
            </w:pPr>
            <w:r>
              <w:rPr>
                <w:color w:val="4D4D4F"/>
                <w:sz w:val="14"/>
              </w:rPr>
              <w:t>Weeds</w:t>
            </w:r>
          </w:p>
        </w:tc>
        <w:tc>
          <w:tcPr>
            <w:tcW w:w="2041" w:type="dxa"/>
          </w:tcPr>
          <w:p w14:paraId="693353FB" w14:textId="77777777" w:rsidR="00EF5B27" w:rsidRDefault="00EF5B27">
            <w:pPr>
              <w:pStyle w:val="TableParagraph"/>
              <w:spacing w:before="8"/>
              <w:rPr>
                <w:rFonts w:ascii="Times New Roman"/>
                <w:sz w:val="12"/>
              </w:rPr>
            </w:pPr>
          </w:p>
          <w:p w14:paraId="7129A06B" w14:textId="77777777" w:rsidR="00EF5B27" w:rsidRDefault="00000000">
            <w:pPr>
              <w:pStyle w:val="TableParagraph"/>
              <w:spacing w:before="1"/>
              <w:ind w:left="162" w:right="140"/>
              <w:jc w:val="center"/>
              <w:rPr>
                <w:sz w:val="14"/>
              </w:rPr>
            </w:pPr>
            <w:r>
              <w:rPr>
                <w:color w:val="4D4D4F"/>
                <w:w w:val="105"/>
                <w:sz w:val="14"/>
              </w:rPr>
              <w:t>Herb-rich grassland</w:t>
            </w:r>
          </w:p>
        </w:tc>
        <w:tc>
          <w:tcPr>
            <w:tcW w:w="2154" w:type="dxa"/>
          </w:tcPr>
          <w:p w14:paraId="64FC19B6" w14:textId="77777777" w:rsidR="00EF5B27" w:rsidRDefault="00EF5B27">
            <w:pPr>
              <w:pStyle w:val="TableParagraph"/>
              <w:spacing w:before="8"/>
              <w:rPr>
                <w:rFonts w:ascii="Times New Roman"/>
                <w:sz w:val="12"/>
              </w:rPr>
            </w:pPr>
          </w:p>
          <w:p w14:paraId="36734A3D" w14:textId="77777777" w:rsidR="00EF5B27" w:rsidRDefault="00000000">
            <w:pPr>
              <w:pStyle w:val="TableParagraph"/>
              <w:spacing w:before="1"/>
              <w:ind w:right="917"/>
              <w:jc w:val="right"/>
              <w:rPr>
                <w:sz w:val="14"/>
              </w:rPr>
            </w:pPr>
            <w:r>
              <w:rPr>
                <w:color w:val="4D4D4F"/>
                <w:w w:val="95"/>
                <w:sz w:val="14"/>
              </w:rPr>
              <w:t>2022</w:t>
            </w:r>
          </w:p>
        </w:tc>
        <w:tc>
          <w:tcPr>
            <w:tcW w:w="1134" w:type="dxa"/>
          </w:tcPr>
          <w:p w14:paraId="7FF3C7F2" w14:textId="77777777" w:rsidR="00EF5B27" w:rsidRDefault="00EF5B27">
            <w:pPr>
              <w:pStyle w:val="TableParagraph"/>
              <w:spacing w:before="8"/>
              <w:rPr>
                <w:rFonts w:ascii="Times New Roman"/>
                <w:sz w:val="12"/>
              </w:rPr>
            </w:pPr>
          </w:p>
          <w:p w14:paraId="464A7B2F" w14:textId="77777777" w:rsidR="00EF5B27" w:rsidRDefault="00000000">
            <w:pPr>
              <w:pStyle w:val="TableParagraph"/>
              <w:spacing w:before="1"/>
              <w:ind w:left="81" w:right="57"/>
              <w:jc w:val="center"/>
              <w:rPr>
                <w:sz w:val="14"/>
              </w:rPr>
            </w:pPr>
            <w:r>
              <w:rPr>
                <w:color w:val="4D4D4F"/>
                <w:sz w:val="14"/>
              </w:rPr>
              <w:t>2026</w:t>
            </w:r>
          </w:p>
        </w:tc>
      </w:tr>
      <w:tr w:rsidR="00EF5B27" w14:paraId="3538209C" w14:textId="77777777">
        <w:trPr>
          <w:trHeight w:val="448"/>
        </w:trPr>
        <w:tc>
          <w:tcPr>
            <w:tcW w:w="737" w:type="dxa"/>
          </w:tcPr>
          <w:p w14:paraId="5A42EA62" w14:textId="77777777" w:rsidR="00EF5B27" w:rsidRDefault="00EF5B27">
            <w:pPr>
              <w:pStyle w:val="TableParagraph"/>
              <w:spacing w:before="8"/>
              <w:rPr>
                <w:rFonts w:ascii="Times New Roman"/>
                <w:sz w:val="12"/>
              </w:rPr>
            </w:pPr>
          </w:p>
          <w:p w14:paraId="54268B24" w14:textId="77777777" w:rsidR="00EF5B27" w:rsidRDefault="00000000">
            <w:pPr>
              <w:pStyle w:val="TableParagraph"/>
              <w:spacing w:before="1"/>
              <w:ind w:left="23"/>
              <w:jc w:val="center"/>
              <w:rPr>
                <w:sz w:val="14"/>
              </w:rPr>
            </w:pPr>
            <w:r>
              <w:rPr>
                <w:color w:val="4D4D4F"/>
                <w:w w:val="96"/>
                <w:sz w:val="14"/>
              </w:rPr>
              <w:t>2</w:t>
            </w:r>
          </w:p>
        </w:tc>
        <w:tc>
          <w:tcPr>
            <w:tcW w:w="1361" w:type="dxa"/>
          </w:tcPr>
          <w:p w14:paraId="65B4C03D" w14:textId="77777777" w:rsidR="00EF5B27" w:rsidRDefault="00000000">
            <w:pPr>
              <w:pStyle w:val="TableParagraph"/>
              <w:spacing w:before="57" w:line="252" w:lineRule="auto"/>
              <w:ind w:left="394" w:hanging="184"/>
              <w:rPr>
                <w:sz w:val="14"/>
              </w:rPr>
            </w:pPr>
            <w:r>
              <w:rPr>
                <w:color w:val="4D4D4F"/>
                <w:w w:val="105"/>
                <w:sz w:val="14"/>
              </w:rPr>
              <w:t>Grassy Eucalypt Woodland</w:t>
            </w:r>
          </w:p>
        </w:tc>
        <w:tc>
          <w:tcPr>
            <w:tcW w:w="737" w:type="dxa"/>
          </w:tcPr>
          <w:p w14:paraId="623FCE08" w14:textId="77777777" w:rsidR="00EF5B27" w:rsidRDefault="00EF5B27">
            <w:pPr>
              <w:pStyle w:val="TableParagraph"/>
              <w:spacing w:before="8"/>
              <w:rPr>
                <w:rFonts w:ascii="Times New Roman"/>
                <w:sz w:val="12"/>
              </w:rPr>
            </w:pPr>
          </w:p>
          <w:p w14:paraId="44CFFBFF" w14:textId="77777777" w:rsidR="00EF5B27" w:rsidRDefault="00000000">
            <w:pPr>
              <w:pStyle w:val="TableParagraph"/>
              <w:spacing w:before="1"/>
              <w:ind w:left="23"/>
              <w:jc w:val="center"/>
              <w:rPr>
                <w:sz w:val="14"/>
              </w:rPr>
            </w:pPr>
            <w:r>
              <w:rPr>
                <w:color w:val="4D4D4F"/>
                <w:w w:val="96"/>
                <w:sz w:val="14"/>
              </w:rPr>
              <w:t>7</w:t>
            </w:r>
          </w:p>
        </w:tc>
        <w:tc>
          <w:tcPr>
            <w:tcW w:w="1474" w:type="dxa"/>
          </w:tcPr>
          <w:p w14:paraId="7A033F79" w14:textId="77777777" w:rsidR="00EF5B27" w:rsidRDefault="00EF5B27">
            <w:pPr>
              <w:pStyle w:val="TableParagraph"/>
              <w:spacing w:before="8"/>
              <w:rPr>
                <w:rFonts w:ascii="Times New Roman"/>
                <w:sz w:val="12"/>
              </w:rPr>
            </w:pPr>
          </w:p>
          <w:p w14:paraId="69A6FCFD" w14:textId="77777777" w:rsidR="00EF5B27" w:rsidRDefault="00000000">
            <w:pPr>
              <w:pStyle w:val="TableParagraph"/>
              <w:spacing w:before="1"/>
              <w:ind w:left="133" w:right="110"/>
              <w:jc w:val="center"/>
              <w:rPr>
                <w:sz w:val="14"/>
              </w:rPr>
            </w:pPr>
            <w:r>
              <w:rPr>
                <w:color w:val="4D4D4F"/>
                <w:sz w:val="14"/>
              </w:rPr>
              <w:t>Weeds</w:t>
            </w:r>
          </w:p>
        </w:tc>
        <w:tc>
          <w:tcPr>
            <w:tcW w:w="2041" w:type="dxa"/>
          </w:tcPr>
          <w:p w14:paraId="464475D0" w14:textId="77777777" w:rsidR="00EF5B27" w:rsidRDefault="00EF5B27">
            <w:pPr>
              <w:pStyle w:val="TableParagraph"/>
              <w:spacing w:before="8"/>
              <w:rPr>
                <w:rFonts w:ascii="Times New Roman"/>
                <w:sz w:val="12"/>
              </w:rPr>
            </w:pPr>
          </w:p>
          <w:p w14:paraId="4B6888B9" w14:textId="77777777" w:rsidR="00EF5B27" w:rsidRDefault="00000000">
            <w:pPr>
              <w:pStyle w:val="TableParagraph"/>
              <w:spacing w:before="1"/>
              <w:ind w:left="162" w:right="14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04520B16" w14:textId="77777777" w:rsidR="00EF5B27" w:rsidRDefault="00EF5B27">
            <w:pPr>
              <w:pStyle w:val="TableParagraph"/>
              <w:spacing w:before="8"/>
              <w:rPr>
                <w:rFonts w:ascii="Times New Roman"/>
                <w:sz w:val="12"/>
              </w:rPr>
            </w:pPr>
          </w:p>
          <w:p w14:paraId="5A7FF15B" w14:textId="77777777" w:rsidR="00EF5B27" w:rsidRDefault="00000000">
            <w:pPr>
              <w:pStyle w:val="TableParagraph"/>
              <w:spacing w:before="1"/>
              <w:ind w:right="917"/>
              <w:jc w:val="right"/>
              <w:rPr>
                <w:sz w:val="14"/>
              </w:rPr>
            </w:pPr>
            <w:r>
              <w:rPr>
                <w:color w:val="4D4D4F"/>
                <w:w w:val="95"/>
                <w:sz w:val="14"/>
              </w:rPr>
              <w:t>2022</w:t>
            </w:r>
          </w:p>
        </w:tc>
        <w:tc>
          <w:tcPr>
            <w:tcW w:w="1134" w:type="dxa"/>
          </w:tcPr>
          <w:p w14:paraId="795B09E5" w14:textId="77777777" w:rsidR="00EF5B27" w:rsidRDefault="00EF5B27">
            <w:pPr>
              <w:pStyle w:val="TableParagraph"/>
              <w:spacing w:before="8"/>
              <w:rPr>
                <w:rFonts w:ascii="Times New Roman"/>
                <w:sz w:val="12"/>
              </w:rPr>
            </w:pPr>
          </w:p>
          <w:p w14:paraId="34978E3A" w14:textId="77777777" w:rsidR="00EF5B27" w:rsidRDefault="00000000">
            <w:pPr>
              <w:pStyle w:val="TableParagraph"/>
              <w:spacing w:before="1"/>
              <w:ind w:left="81" w:right="57"/>
              <w:jc w:val="center"/>
              <w:rPr>
                <w:sz w:val="14"/>
              </w:rPr>
            </w:pPr>
            <w:r>
              <w:rPr>
                <w:color w:val="4D4D4F"/>
                <w:sz w:val="14"/>
              </w:rPr>
              <w:t>2026</w:t>
            </w:r>
          </w:p>
        </w:tc>
      </w:tr>
    </w:tbl>
    <w:p w14:paraId="4547DCD5" w14:textId="77777777" w:rsidR="00EF5B27" w:rsidRDefault="00EF5B27">
      <w:pPr>
        <w:jc w:val="center"/>
        <w:rPr>
          <w:sz w:val="14"/>
        </w:rPr>
        <w:sectPr w:rsidR="00EF5B27">
          <w:pgSz w:w="11910" w:h="16840"/>
          <w:pgMar w:top="1080" w:right="1020" w:bottom="860" w:left="1020" w:header="537" w:footer="678" w:gutter="0"/>
          <w:cols w:space="720"/>
        </w:sectPr>
      </w:pPr>
    </w:p>
    <w:p w14:paraId="70EFC140" w14:textId="77777777" w:rsidR="00EF5B27" w:rsidRDefault="00000000">
      <w:pPr>
        <w:pStyle w:val="BodyText"/>
        <w:rPr>
          <w:rFonts w:ascii="Times New Roman"/>
        </w:rPr>
      </w:pPr>
      <w:r>
        <w:lastRenderedPageBreak/>
        <w:pict w14:anchorId="1835CFFF">
          <v:group id="_x0000_s2615" style="position:absolute;margin-left:587.05pt;margin-top:183.4pt;width:8.25pt;height:153.1pt;z-index:251743744;mso-position-horizontal-relative:page;mso-position-vertical-relative:page" coordorigin="11741,3668" coordsize="165,3062">
            <v:shape id="_x0000_s2622" style="position:absolute;left:11741;top:3668;width:165;height:561" coordorigin="11741,3668" coordsize="165,561" path="m11906,3668r-165,l11741,4228r165,-18l11906,3668xe" fillcolor="#00aed9" stroked="f">
              <v:path arrowok="t"/>
            </v:shape>
            <v:shape id="_x0000_s2621" style="position:absolute;left:11741;top:4118;width:165;height:425" coordorigin="11741,4118" coordsize="165,425" path="m11906,4118r-165,14l11741,4531r165,12l11906,4118xe" fillcolor="#047ebc" stroked="f">
              <v:path arrowok="t"/>
            </v:shape>
            <v:shape id="_x0000_s2620" type="#_x0000_t75" style="position:absolute;left:11741;top:4355;width:165;height:587">
              <v:imagedata r:id="rId42" o:title=""/>
            </v:shape>
            <v:shape id="_x0000_s2619" style="position:absolute;left:11741;top:5343;width:165;height:536" coordorigin="11741,5343" coordsize="165,536" path="m11741,5343r,535l11906,5872r,-525l11741,5343xe" fillcolor="#f36a2e" stroked="f">
              <v:path arrowok="t"/>
            </v:shape>
            <v:shape id="_x0000_s2618" style="position:absolute;left:11741;top:4925;width:165;height:501" coordorigin="11741,4926" coordsize="165,501" path="m11741,4926r,500l11906,5426r,-485l11741,4926xe" fillcolor="#49783f" stroked="f">
              <v:path arrowok="t"/>
            </v:shape>
            <v:shape id="_x0000_s2617" style="position:absolute;left:11741;top:5781;width:165;height:268" coordorigin="11741,5782" coordsize="165,268" path="m11906,5782r-165,8l11741,6039r165,10l11906,5782xe" fillcolor="#f99f2a" stroked="f">
              <v:path arrowok="t"/>
            </v:shape>
            <v:shape id="_x0000_s2616" style="position:absolute;left:11741;top:6023;width:165;height:707" coordorigin="11741,6023" coordsize="165,707" path="m11741,6023r,706l11906,6729r,-690l11741,6023xe" fillcolor="#ef412c" stroked="f">
              <v:path arrowok="t"/>
            </v:shape>
            <w10:wrap anchorx="page" anchory="page"/>
          </v:group>
        </w:pict>
      </w:r>
    </w:p>
    <w:p w14:paraId="38D5A757" w14:textId="77777777" w:rsidR="00EF5B27" w:rsidRDefault="00EF5B27">
      <w:pPr>
        <w:pStyle w:val="BodyText"/>
        <w:rPr>
          <w:rFonts w:ascii="Times New Roman"/>
        </w:rPr>
      </w:pPr>
    </w:p>
    <w:p w14:paraId="77818E71" w14:textId="77777777" w:rsidR="00EF5B27" w:rsidRDefault="00EF5B27">
      <w:pPr>
        <w:pStyle w:val="BodyText"/>
        <w:rPr>
          <w:rFonts w:ascii="Times New Roman"/>
        </w:rPr>
      </w:pPr>
    </w:p>
    <w:p w14:paraId="40427D16" w14:textId="77777777" w:rsidR="00EF5B27" w:rsidRDefault="00EF5B27">
      <w:pPr>
        <w:pStyle w:val="BodyText"/>
        <w:rPr>
          <w:rFonts w:ascii="Times New Roman"/>
        </w:rPr>
      </w:pPr>
    </w:p>
    <w:p w14:paraId="51C58E88" w14:textId="77777777" w:rsidR="00EF5B27" w:rsidRDefault="00EF5B27">
      <w:pPr>
        <w:pStyle w:val="BodyText"/>
        <w:spacing w:before="4"/>
        <w:rPr>
          <w:rFonts w:ascii="Times New Roman"/>
          <w:sz w:val="22"/>
        </w:rPr>
      </w:pPr>
    </w:p>
    <w:tbl>
      <w:tblPr>
        <w:tblW w:w="0" w:type="auto"/>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37"/>
        <w:gridCol w:w="1361"/>
        <w:gridCol w:w="737"/>
        <w:gridCol w:w="1474"/>
        <w:gridCol w:w="2041"/>
        <w:gridCol w:w="2154"/>
        <w:gridCol w:w="1134"/>
      </w:tblGrid>
      <w:tr w:rsidR="00EF5B27" w14:paraId="6D143D28" w14:textId="77777777">
        <w:trPr>
          <w:trHeight w:val="732"/>
        </w:trPr>
        <w:tc>
          <w:tcPr>
            <w:tcW w:w="737" w:type="dxa"/>
            <w:tcBorders>
              <w:bottom w:val="single" w:sz="4" w:space="0" w:color="000000"/>
            </w:tcBorders>
            <w:shd w:val="clear" w:color="auto" w:fill="FECC91"/>
          </w:tcPr>
          <w:p w14:paraId="22F9D392" w14:textId="77777777" w:rsidR="00EF5B27" w:rsidRDefault="00000000">
            <w:pPr>
              <w:pStyle w:val="TableParagraph"/>
              <w:spacing w:before="176"/>
              <w:ind w:left="162"/>
              <w:rPr>
                <w:b/>
                <w:sz w:val="16"/>
              </w:rPr>
            </w:pPr>
            <w:r>
              <w:rPr>
                <w:b/>
                <w:w w:val="105"/>
                <w:sz w:val="16"/>
              </w:rPr>
              <w:t>MNES</w:t>
            </w:r>
          </w:p>
          <w:p w14:paraId="65364B8C" w14:textId="77777777" w:rsidR="00EF5B27" w:rsidRDefault="00000000">
            <w:pPr>
              <w:pStyle w:val="TableParagraph"/>
              <w:spacing w:before="4"/>
              <w:ind w:left="94"/>
              <w:rPr>
                <w:b/>
                <w:sz w:val="16"/>
              </w:rPr>
            </w:pPr>
            <w:r>
              <w:rPr>
                <w:b/>
                <w:sz w:val="16"/>
              </w:rPr>
              <w:t>Number</w:t>
            </w:r>
          </w:p>
        </w:tc>
        <w:tc>
          <w:tcPr>
            <w:tcW w:w="1361" w:type="dxa"/>
            <w:tcBorders>
              <w:bottom w:val="single" w:sz="4" w:space="0" w:color="000000"/>
            </w:tcBorders>
            <w:shd w:val="clear" w:color="auto" w:fill="FECC91"/>
          </w:tcPr>
          <w:p w14:paraId="6EFD2CF2" w14:textId="77777777" w:rsidR="00EF5B27" w:rsidRDefault="00EF5B27">
            <w:pPr>
              <w:pStyle w:val="TableParagraph"/>
              <w:rPr>
                <w:rFonts w:ascii="Times New Roman"/>
                <w:sz w:val="24"/>
              </w:rPr>
            </w:pPr>
          </w:p>
          <w:p w14:paraId="01B2401F" w14:textId="77777777" w:rsidR="00EF5B27" w:rsidRDefault="00000000">
            <w:pPr>
              <w:pStyle w:val="TableParagraph"/>
              <w:ind w:left="91" w:right="87"/>
              <w:jc w:val="center"/>
              <w:rPr>
                <w:b/>
                <w:sz w:val="16"/>
              </w:rPr>
            </w:pPr>
            <w:r>
              <w:rPr>
                <w:b/>
                <w:sz w:val="16"/>
              </w:rPr>
              <w:t>MNES name</w:t>
            </w:r>
          </w:p>
        </w:tc>
        <w:tc>
          <w:tcPr>
            <w:tcW w:w="737" w:type="dxa"/>
            <w:tcBorders>
              <w:bottom w:val="single" w:sz="4" w:space="0" w:color="000000"/>
            </w:tcBorders>
            <w:shd w:val="clear" w:color="auto" w:fill="FECC91"/>
          </w:tcPr>
          <w:p w14:paraId="2E5290A6" w14:textId="77777777" w:rsidR="00EF5B27" w:rsidRDefault="00000000">
            <w:pPr>
              <w:pStyle w:val="TableParagraph"/>
              <w:spacing w:before="176"/>
              <w:ind w:left="79" w:right="74"/>
              <w:jc w:val="center"/>
              <w:rPr>
                <w:b/>
                <w:sz w:val="16"/>
              </w:rPr>
            </w:pPr>
            <w:r>
              <w:rPr>
                <w:b/>
                <w:w w:val="110"/>
                <w:sz w:val="16"/>
              </w:rPr>
              <w:t>KPI</w:t>
            </w:r>
          </w:p>
          <w:p w14:paraId="3083EA4E" w14:textId="77777777" w:rsidR="00EF5B27" w:rsidRDefault="00000000">
            <w:pPr>
              <w:pStyle w:val="TableParagraph"/>
              <w:spacing w:before="4"/>
              <w:ind w:left="79" w:right="75"/>
              <w:jc w:val="center"/>
              <w:rPr>
                <w:b/>
                <w:sz w:val="16"/>
              </w:rPr>
            </w:pPr>
            <w:r>
              <w:rPr>
                <w:b/>
                <w:sz w:val="16"/>
              </w:rPr>
              <w:t>number</w:t>
            </w:r>
          </w:p>
        </w:tc>
        <w:tc>
          <w:tcPr>
            <w:tcW w:w="1474" w:type="dxa"/>
            <w:tcBorders>
              <w:bottom w:val="single" w:sz="4" w:space="0" w:color="000000"/>
            </w:tcBorders>
            <w:shd w:val="clear" w:color="auto" w:fill="FECC91"/>
          </w:tcPr>
          <w:p w14:paraId="4FC06D14" w14:textId="77777777" w:rsidR="00EF5B27" w:rsidRDefault="00EF5B27">
            <w:pPr>
              <w:pStyle w:val="TableParagraph"/>
              <w:rPr>
                <w:rFonts w:ascii="Times New Roman"/>
                <w:sz w:val="24"/>
              </w:rPr>
            </w:pPr>
          </w:p>
          <w:p w14:paraId="242581B1" w14:textId="77777777" w:rsidR="00EF5B27" w:rsidRDefault="00000000">
            <w:pPr>
              <w:pStyle w:val="TableParagraph"/>
              <w:ind w:left="123" w:right="120"/>
              <w:jc w:val="center"/>
              <w:rPr>
                <w:b/>
                <w:sz w:val="16"/>
              </w:rPr>
            </w:pPr>
            <w:r>
              <w:rPr>
                <w:b/>
                <w:w w:val="105"/>
                <w:sz w:val="16"/>
              </w:rPr>
              <w:t>KPI type</w:t>
            </w:r>
          </w:p>
        </w:tc>
        <w:tc>
          <w:tcPr>
            <w:tcW w:w="2041" w:type="dxa"/>
            <w:tcBorders>
              <w:bottom w:val="single" w:sz="4" w:space="0" w:color="000000"/>
            </w:tcBorders>
            <w:shd w:val="clear" w:color="auto" w:fill="FECC91"/>
          </w:tcPr>
          <w:p w14:paraId="4DED2C95" w14:textId="77777777" w:rsidR="00EF5B27" w:rsidRDefault="00EF5B27">
            <w:pPr>
              <w:pStyle w:val="TableParagraph"/>
              <w:rPr>
                <w:rFonts w:ascii="Times New Roman"/>
                <w:sz w:val="24"/>
              </w:rPr>
            </w:pPr>
          </w:p>
          <w:p w14:paraId="1ED41C55" w14:textId="77777777" w:rsidR="00EF5B27" w:rsidRDefault="00000000">
            <w:pPr>
              <w:pStyle w:val="TableParagraph"/>
              <w:ind w:left="153" w:right="150"/>
              <w:jc w:val="center"/>
              <w:rPr>
                <w:b/>
                <w:sz w:val="16"/>
              </w:rPr>
            </w:pPr>
            <w:r>
              <w:rPr>
                <w:b/>
                <w:sz w:val="16"/>
              </w:rPr>
              <w:t>Location</w:t>
            </w:r>
          </w:p>
        </w:tc>
        <w:tc>
          <w:tcPr>
            <w:tcW w:w="2154" w:type="dxa"/>
            <w:tcBorders>
              <w:bottom w:val="single" w:sz="4" w:space="0" w:color="000000"/>
            </w:tcBorders>
            <w:shd w:val="clear" w:color="auto" w:fill="FECC91"/>
          </w:tcPr>
          <w:p w14:paraId="4A4FB84D" w14:textId="77777777" w:rsidR="00EF5B27" w:rsidRDefault="00000000">
            <w:pPr>
              <w:pStyle w:val="TableParagraph"/>
              <w:spacing w:before="76"/>
              <w:ind w:left="87"/>
              <w:rPr>
                <w:b/>
                <w:sz w:val="16"/>
              </w:rPr>
            </w:pPr>
            <w:r>
              <w:rPr>
                <w:b/>
                <w:sz w:val="16"/>
              </w:rPr>
              <w:t>First year of MSA monitoring</w:t>
            </w:r>
          </w:p>
          <w:p w14:paraId="6F5E507D" w14:textId="77777777" w:rsidR="00EF5B27" w:rsidRDefault="00000000">
            <w:pPr>
              <w:pStyle w:val="TableParagraph"/>
              <w:spacing w:before="4" w:line="244" w:lineRule="auto"/>
              <w:ind w:left="128" w:right="122"/>
              <w:jc w:val="center"/>
              <w:rPr>
                <w:b/>
                <w:sz w:val="16"/>
              </w:rPr>
            </w:pPr>
            <w:r>
              <w:rPr>
                <w:b/>
                <w:sz w:val="16"/>
              </w:rPr>
              <w:t>/year that monitoring is expected to commence</w:t>
            </w:r>
          </w:p>
        </w:tc>
        <w:tc>
          <w:tcPr>
            <w:tcW w:w="1134" w:type="dxa"/>
            <w:tcBorders>
              <w:bottom w:val="single" w:sz="4" w:space="0" w:color="000000"/>
            </w:tcBorders>
            <w:shd w:val="clear" w:color="auto" w:fill="FECC91"/>
          </w:tcPr>
          <w:p w14:paraId="1042C88B" w14:textId="77777777" w:rsidR="00EF5B27" w:rsidRDefault="00000000">
            <w:pPr>
              <w:pStyle w:val="TableParagraph"/>
              <w:spacing w:before="76" w:line="244" w:lineRule="auto"/>
              <w:ind w:left="81" w:right="75"/>
              <w:jc w:val="center"/>
              <w:rPr>
                <w:b/>
                <w:sz w:val="16"/>
              </w:rPr>
            </w:pPr>
            <w:r>
              <w:rPr>
                <w:b/>
                <w:sz w:val="16"/>
              </w:rPr>
              <w:t>Year that baseline was/ will be set</w:t>
            </w:r>
          </w:p>
        </w:tc>
      </w:tr>
      <w:tr w:rsidR="00EF5B27" w14:paraId="54EECACC" w14:textId="77777777">
        <w:trPr>
          <w:trHeight w:val="448"/>
        </w:trPr>
        <w:tc>
          <w:tcPr>
            <w:tcW w:w="737" w:type="dxa"/>
            <w:tcBorders>
              <w:top w:val="single" w:sz="4" w:space="0" w:color="000000"/>
            </w:tcBorders>
          </w:tcPr>
          <w:p w14:paraId="3C7B1E5E" w14:textId="77777777" w:rsidR="00EF5B27" w:rsidRDefault="00EF5B27">
            <w:pPr>
              <w:pStyle w:val="TableParagraph"/>
              <w:spacing w:before="7"/>
              <w:rPr>
                <w:rFonts w:ascii="Times New Roman"/>
                <w:sz w:val="12"/>
              </w:rPr>
            </w:pPr>
          </w:p>
          <w:p w14:paraId="5A48D948" w14:textId="77777777" w:rsidR="00EF5B27" w:rsidRDefault="00000000">
            <w:pPr>
              <w:pStyle w:val="TableParagraph"/>
              <w:ind w:left="5"/>
              <w:jc w:val="center"/>
              <w:rPr>
                <w:sz w:val="14"/>
              </w:rPr>
            </w:pPr>
            <w:r>
              <w:rPr>
                <w:color w:val="4D4D4F"/>
                <w:w w:val="96"/>
                <w:sz w:val="14"/>
              </w:rPr>
              <w:t>2</w:t>
            </w:r>
          </w:p>
        </w:tc>
        <w:tc>
          <w:tcPr>
            <w:tcW w:w="1361" w:type="dxa"/>
            <w:tcBorders>
              <w:top w:val="single" w:sz="4" w:space="0" w:color="000000"/>
            </w:tcBorders>
          </w:tcPr>
          <w:p w14:paraId="37C496E4" w14:textId="77777777" w:rsidR="00EF5B27" w:rsidRDefault="00000000">
            <w:pPr>
              <w:pStyle w:val="TableParagraph"/>
              <w:spacing w:before="55" w:line="252" w:lineRule="auto"/>
              <w:ind w:left="384" w:hanging="184"/>
              <w:rPr>
                <w:sz w:val="14"/>
              </w:rPr>
            </w:pPr>
            <w:r>
              <w:rPr>
                <w:color w:val="4D4D4F"/>
                <w:w w:val="105"/>
                <w:sz w:val="14"/>
              </w:rPr>
              <w:t>Grassy Eucalypt Woodland</w:t>
            </w:r>
          </w:p>
        </w:tc>
        <w:tc>
          <w:tcPr>
            <w:tcW w:w="737" w:type="dxa"/>
            <w:tcBorders>
              <w:top w:val="single" w:sz="4" w:space="0" w:color="000000"/>
            </w:tcBorders>
          </w:tcPr>
          <w:p w14:paraId="0BDD8CB6" w14:textId="77777777" w:rsidR="00EF5B27" w:rsidRDefault="00EF5B27">
            <w:pPr>
              <w:pStyle w:val="TableParagraph"/>
              <w:spacing w:before="7"/>
              <w:rPr>
                <w:rFonts w:ascii="Times New Roman"/>
                <w:sz w:val="12"/>
              </w:rPr>
            </w:pPr>
          </w:p>
          <w:p w14:paraId="4D6BDA76" w14:textId="77777777" w:rsidR="00EF5B27" w:rsidRDefault="00000000">
            <w:pPr>
              <w:pStyle w:val="TableParagraph"/>
              <w:ind w:left="4"/>
              <w:jc w:val="center"/>
              <w:rPr>
                <w:sz w:val="14"/>
              </w:rPr>
            </w:pPr>
            <w:r>
              <w:rPr>
                <w:color w:val="4D4D4F"/>
                <w:w w:val="96"/>
                <w:sz w:val="14"/>
              </w:rPr>
              <w:t>7</w:t>
            </w:r>
          </w:p>
        </w:tc>
        <w:tc>
          <w:tcPr>
            <w:tcW w:w="1474" w:type="dxa"/>
            <w:tcBorders>
              <w:top w:val="single" w:sz="4" w:space="0" w:color="000000"/>
            </w:tcBorders>
          </w:tcPr>
          <w:p w14:paraId="3DA8D17C" w14:textId="77777777" w:rsidR="00EF5B27" w:rsidRDefault="00EF5B27">
            <w:pPr>
              <w:pStyle w:val="TableParagraph"/>
              <w:spacing w:before="7"/>
              <w:rPr>
                <w:rFonts w:ascii="Times New Roman"/>
                <w:sz w:val="12"/>
              </w:rPr>
            </w:pPr>
          </w:p>
          <w:p w14:paraId="10795C1D" w14:textId="77777777" w:rsidR="00EF5B27" w:rsidRDefault="00000000">
            <w:pPr>
              <w:pStyle w:val="TableParagraph"/>
              <w:ind w:left="124" w:right="120"/>
              <w:jc w:val="center"/>
              <w:rPr>
                <w:sz w:val="14"/>
              </w:rPr>
            </w:pPr>
            <w:r>
              <w:rPr>
                <w:color w:val="4D4D4F"/>
                <w:sz w:val="14"/>
              </w:rPr>
              <w:t>Weeds</w:t>
            </w:r>
          </w:p>
        </w:tc>
        <w:tc>
          <w:tcPr>
            <w:tcW w:w="2041" w:type="dxa"/>
            <w:tcBorders>
              <w:top w:val="single" w:sz="4" w:space="0" w:color="000000"/>
            </w:tcBorders>
          </w:tcPr>
          <w:p w14:paraId="1ACF84C0" w14:textId="77777777" w:rsidR="00EF5B27" w:rsidRDefault="00EF5B27">
            <w:pPr>
              <w:pStyle w:val="TableParagraph"/>
              <w:spacing w:before="7"/>
              <w:rPr>
                <w:rFonts w:ascii="Times New Roman"/>
                <w:sz w:val="12"/>
              </w:rPr>
            </w:pPr>
          </w:p>
          <w:p w14:paraId="262486C7" w14:textId="77777777" w:rsidR="00EF5B27" w:rsidRDefault="00000000">
            <w:pPr>
              <w:pStyle w:val="TableParagraph"/>
              <w:ind w:left="154" w:right="150"/>
              <w:jc w:val="center"/>
              <w:rPr>
                <w:sz w:val="14"/>
              </w:rPr>
            </w:pPr>
            <w:r>
              <w:rPr>
                <w:color w:val="4D4D4F"/>
                <w:w w:val="105"/>
                <w:sz w:val="14"/>
              </w:rPr>
              <w:t>C3 grassland</w:t>
            </w:r>
          </w:p>
        </w:tc>
        <w:tc>
          <w:tcPr>
            <w:tcW w:w="2154" w:type="dxa"/>
            <w:tcBorders>
              <w:top w:val="single" w:sz="4" w:space="0" w:color="000000"/>
            </w:tcBorders>
          </w:tcPr>
          <w:p w14:paraId="62534FA4" w14:textId="77777777" w:rsidR="00EF5B27" w:rsidRDefault="00EF5B27">
            <w:pPr>
              <w:pStyle w:val="TableParagraph"/>
              <w:spacing w:before="7"/>
              <w:rPr>
                <w:rFonts w:ascii="Times New Roman"/>
                <w:sz w:val="12"/>
              </w:rPr>
            </w:pPr>
          </w:p>
          <w:p w14:paraId="31232E21" w14:textId="77777777" w:rsidR="00EF5B27" w:rsidRDefault="00000000">
            <w:pPr>
              <w:pStyle w:val="TableParagraph"/>
              <w:ind w:left="933"/>
              <w:rPr>
                <w:sz w:val="14"/>
              </w:rPr>
            </w:pPr>
            <w:r>
              <w:rPr>
                <w:color w:val="4D4D4F"/>
                <w:sz w:val="14"/>
              </w:rPr>
              <w:t>2022</w:t>
            </w:r>
          </w:p>
        </w:tc>
        <w:tc>
          <w:tcPr>
            <w:tcW w:w="1134" w:type="dxa"/>
            <w:tcBorders>
              <w:top w:val="single" w:sz="4" w:space="0" w:color="000000"/>
            </w:tcBorders>
          </w:tcPr>
          <w:p w14:paraId="2DAD82E1" w14:textId="77777777" w:rsidR="00EF5B27" w:rsidRDefault="00EF5B27">
            <w:pPr>
              <w:pStyle w:val="TableParagraph"/>
              <w:spacing w:before="7"/>
              <w:rPr>
                <w:rFonts w:ascii="Times New Roman"/>
                <w:sz w:val="12"/>
              </w:rPr>
            </w:pPr>
          </w:p>
          <w:p w14:paraId="7482B1E0" w14:textId="77777777" w:rsidR="00EF5B27" w:rsidRDefault="00000000">
            <w:pPr>
              <w:pStyle w:val="TableParagraph"/>
              <w:ind w:left="425"/>
              <w:rPr>
                <w:sz w:val="14"/>
              </w:rPr>
            </w:pPr>
            <w:r>
              <w:rPr>
                <w:color w:val="4D4D4F"/>
                <w:sz w:val="14"/>
              </w:rPr>
              <w:t>2026</w:t>
            </w:r>
          </w:p>
        </w:tc>
      </w:tr>
      <w:tr w:rsidR="00EF5B27" w14:paraId="5CEBC74B" w14:textId="77777777">
        <w:trPr>
          <w:trHeight w:val="448"/>
        </w:trPr>
        <w:tc>
          <w:tcPr>
            <w:tcW w:w="737" w:type="dxa"/>
          </w:tcPr>
          <w:p w14:paraId="67E6C7A7" w14:textId="77777777" w:rsidR="00EF5B27" w:rsidRDefault="00EF5B27">
            <w:pPr>
              <w:pStyle w:val="TableParagraph"/>
              <w:spacing w:before="7"/>
              <w:rPr>
                <w:rFonts w:ascii="Times New Roman"/>
                <w:sz w:val="12"/>
              </w:rPr>
            </w:pPr>
          </w:p>
          <w:p w14:paraId="1B863FD1" w14:textId="77777777" w:rsidR="00EF5B27" w:rsidRDefault="00000000">
            <w:pPr>
              <w:pStyle w:val="TableParagraph"/>
              <w:ind w:left="5"/>
              <w:jc w:val="center"/>
              <w:rPr>
                <w:sz w:val="14"/>
              </w:rPr>
            </w:pPr>
            <w:r>
              <w:rPr>
                <w:color w:val="4D4D4F"/>
                <w:w w:val="96"/>
                <w:sz w:val="14"/>
              </w:rPr>
              <w:t>2</w:t>
            </w:r>
          </w:p>
        </w:tc>
        <w:tc>
          <w:tcPr>
            <w:tcW w:w="1361" w:type="dxa"/>
          </w:tcPr>
          <w:p w14:paraId="084AE8DB" w14:textId="77777777" w:rsidR="00EF5B27" w:rsidRDefault="00000000">
            <w:pPr>
              <w:pStyle w:val="TableParagraph"/>
              <w:spacing w:before="55" w:line="252" w:lineRule="auto"/>
              <w:ind w:left="384" w:hanging="184"/>
              <w:rPr>
                <w:sz w:val="14"/>
              </w:rPr>
            </w:pPr>
            <w:r>
              <w:rPr>
                <w:color w:val="4D4D4F"/>
                <w:w w:val="105"/>
                <w:sz w:val="14"/>
              </w:rPr>
              <w:t>Grassy Eucalypt Woodland</w:t>
            </w:r>
          </w:p>
        </w:tc>
        <w:tc>
          <w:tcPr>
            <w:tcW w:w="737" w:type="dxa"/>
          </w:tcPr>
          <w:p w14:paraId="3CD3C850" w14:textId="77777777" w:rsidR="00EF5B27" w:rsidRDefault="00EF5B27">
            <w:pPr>
              <w:pStyle w:val="TableParagraph"/>
              <w:spacing w:before="7"/>
              <w:rPr>
                <w:rFonts w:ascii="Times New Roman"/>
                <w:sz w:val="12"/>
              </w:rPr>
            </w:pPr>
          </w:p>
          <w:p w14:paraId="23B88C17" w14:textId="77777777" w:rsidR="00EF5B27" w:rsidRDefault="00000000">
            <w:pPr>
              <w:pStyle w:val="TableParagraph"/>
              <w:ind w:left="4"/>
              <w:jc w:val="center"/>
              <w:rPr>
                <w:sz w:val="14"/>
              </w:rPr>
            </w:pPr>
            <w:r>
              <w:rPr>
                <w:color w:val="4D4D4F"/>
                <w:w w:val="96"/>
                <w:sz w:val="14"/>
              </w:rPr>
              <w:t>7</w:t>
            </w:r>
          </w:p>
        </w:tc>
        <w:tc>
          <w:tcPr>
            <w:tcW w:w="1474" w:type="dxa"/>
          </w:tcPr>
          <w:p w14:paraId="79E31ED3" w14:textId="77777777" w:rsidR="00EF5B27" w:rsidRDefault="00EF5B27">
            <w:pPr>
              <w:pStyle w:val="TableParagraph"/>
              <w:spacing w:before="7"/>
              <w:rPr>
                <w:rFonts w:ascii="Times New Roman"/>
                <w:sz w:val="12"/>
              </w:rPr>
            </w:pPr>
          </w:p>
          <w:p w14:paraId="19228801" w14:textId="77777777" w:rsidR="00EF5B27" w:rsidRDefault="00000000">
            <w:pPr>
              <w:pStyle w:val="TableParagraph"/>
              <w:ind w:left="124" w:right="120"/>
              <w:jc w:val="center"/>
              <w:rPr>
                <w:sz w:val="14"/>
              </w:rPr>
            </w:pPr>
            <w:r>
              <w:rPr>
                <w:color w:val="4D4D4F"/>
                <w:sz w:val="14"/>
              </w:rPr>
              <w:t>Weeds</w:t>
            </w:r>
          </w:p>
        </w:tc>
        <w:tc>
          <w:tcPr>
            <w:tcW w:w="2041" w:type="dxa"/>
          </w:tcPr>
          <w:p w14:paraId="5CC851DF" w14:textId="77777777" w:rsidR="00EF5B27" w:rsidRDefault="00EF5B27">
            <w:pPr>
              <w:pStyle w:val="TableParagraph"/>
              <w:spacing w:before="7"/>
              <w:rPr>
                <w:rFonts w:ascii="Times New Roman"/>
                <w:sz w:val="12"/>
              </w:rPr>
            </w:pPr>
          </w:p>
          <w:p w14:paraId="0BF9CB1B" w14:textId="77777777" w:rsidR="00EF5B27" w:rsidRDefault="00000000">
            <w:pPr>
              <w:pStyle w:val="TableParagraph"/>
              <w:ind w:left="153" w:right="150"/>
              <w:jc w:val="center"/>
              <w:rPr>
                <w:sz w:val="14"/>
              </w:rPr>
            </w:pPr>
            <w:r>
              <w:rPr>
                <w:color w:val="4D4D4F"/>
                <w:w w:val="105"/>
                <w:sz w:val="14"/>
              </w:rPr>
              <w:t>Nutrient-enriched grassland</w:t>
            </w:r>
          </w:p>
        </w:tc>
        <w:tc>
          <w:tcPr>
            <w:tcW w:w="2154" w:type="dxa"/>
          </w:tcPr>
          <w:p w14:paraId="08F17E4A" w14:textId="77777777" w:rsidR="00EF5B27" w:rsidRDefault="00EF5B27">
            <w:pPr>
              <w:pStyle w:val="TableParagraph"/>
              <w:spacing w:before="7"/>
              <w:rPr>
                <w:rFonts w:ascii="Times New Roman"/>
                <w:sz w:val="12"/>
              </w:rPr>
            </w:pPr>
          </w:p>
          <w:p w14:paraId="33868831" w14:textId="77777777" w:rsidR="00EF5B27" w:rsidRDefault="00000000">
            <w:pPr>
              <w:pStyle w:val="TableParagraph"/>
              <w:ind w:left="933"/>
              <w:rPr>
                <w:sz w:val="14"/>
              </w:rPr>
            </w:pPr>
            <w:r>
              <w:rPr>
                <w:color w:val="4D4D4F"/>
                <w:sz w:val="14"/>
              </w:rPr>
              <w:t>2022</w:t>
            </w:r>
          </w:p>
        </w:tc>
        <w:tc>
          <w:tcPr>
            <w:tcW w:w="1134" w:type="dxa"/>
          </w:tcPr>
          <w:p w14:paraId="4B239931" w14:textId="77777777" w:rsidR="00EF5B27" w:rsidRDefault="00EF5B27">
            <w:pPr>
              <w:pStyle w:val="TableParagraph"/>
              <w:spacing w:before="7"/>
              <w:rPr>
                <w:rFonts w:ascii="Times New Roman"/>
                <w:sz w:val="12"/>
              </w:rPr>
            </w:pPr>
          </w:p>
          <w:p w14:paraId="2FB8BB07" w14:textId="77777777" w:rsidR="00EF5B27" w:rsidRDefault="00000000">
            <w:pPr>
              <w:pStyle w:val="TableParagraph"/>
              <w:ind w:left="425"/>
              <w:rPr>
                <w:sz w:val="14"/>
              </w:rPr>
            </w:pPr>
            <w:r>
              <w:rPr>
                <w:color w:val="4D4D4F"/>
                <w:sz w:val="14"/>
              </w:rPr>
              <w:t>2026</w:t>
            </w:r>
          </w:p>
        </w:tc>
      </w:tr>
      <w:tr w:rsidR="00EF5B27" w14:paraId="316B161C" w14:textId="77777777">
        <w:trPr>
          <w:trHeight w:val="448"/>
        </w:trPr>
        <w:tc>
          <w:tcPr>
            <w:tcW w:w="737" w:type="dxa"/>
          </w:tcPr>
          <w:p w14:paraId="5C497A96" w14:textId="77777777" w:rsidR="00EF5B27" w:rsidRDefault="00EF5B27">
            <w:pPr>
              <w:pStyle w:val="TableParagraph"/>
              <w:spacing w:before="7"/>
              <w:rPr>
                <w:rFonts w:ascii="Times New Roman"/>
                <w:sz w:val="12"/>
              </w:rPr>
            </w:pPr>
          </w:p>
          <w:p w14:paraId="09F0AD61" w14:textId="77777777" w:rsidR="00EF5B27" w:rsidRDefault="00000000">
            <w:pPr>
              <w:pStyle w:val="TableParagraph"/>
              <w:ind w:left="5"/>
              <w:jc w:val="center"/>
              <w:rPr>
                <w:sz w:val="14"/>
              </w:rPr>
            </w:pPr>
            <w:r>
              <w:rPr>
                <w:color w:val="4D4D4F"/>
                <w:w w:val="96"/>
                <w:sz w:val="14"/>
              </w:rPr>
              <w:t>2</w:t>
            </w:r>
          </w:p>
        </w:tc>
        <w:tc>
          <w:tcPr>
            <w:tcW w:w="1361" w:type="dxa"/>
          </w:tcPr>
          <w:p w14:paraId="71381064" w14:textId="77777777" w:rsidR="00EF5B27" w:rsidRDefault="00000000">
            <w:pPr>
              <w:pStyle w:val="TableParagraph"/>
              <w:spacing w:before="55" w:line="252" w:lineRule="auto"/>
              <w:ind w:left="384" w:hanging="184"/>
              <w:rPr>
                <w:sz w:val="14"/>
              </w:rPr>
            </w:pPr>
            <w:r>
              <w:rPr>
                <w:color w:val="4D4D4F"/>
                <w:w w:val="105"/>
                <w:sz w:val="14"/>
              </w:rPr>
              <w:t>Grassy Eucalypt Woodland</w:t>
            </w:r>
          </w:p>
        </w:tc>
        <w:tc>
          <w:tcPr>
            <w:tcW w:w="737" w:type="dxa"/>
          </w:tcPr>
          <w:p w14:paraId="0ED9C856" w14:textId="77777777" w:rsidR="00EF5B27" w:rsidRDefault="00EF5B27">
            <w:pPr>
              <w:pStyle w:val="TableParagraph"/>
              <w:spacing w:before="7"/>
              <w:rPr>
                <w:rFonts w:ascii="Times New Roman"/>
                <w:sz w:val="12"/>
              </w:rPr>
            </w:pPr>
          </w:p>
          <w:p w14:paraId="53E75665" w14:textId="77777777" w:rsidR="00EF5B27" w:rsidRDefault="00000000">
            <w:pPr>
              <w:pStyle w:val="TableParagraph"/>
              <w:ind w:left="4"/>
              <w:jc w:val="center"/>
              <w:rPr>
                <w:sz w:val="14"/>
              </w:rPr>
            </w:pPr>
            <w:r>
              <w:rPr>
                <w:color w:val="4D4D4F"/>
                <w:w w:val="96"/>
                <w:sz w:val="14"/>
              </w:rPr>
              <w:t>7</w:t>
            </w:r>
          </w:p>
        </w:tc>
        <w:tc>
          <w:tcPr>
            <w:tcW w:w="1474" w:type="dxa"/>
          </w:tcPr>
          <w:p w14:paraId="6CEA41A5" w14:textId="77777777" w:rsidR="00EF5B27" w:rsidRDefault="00EF5B27">
            <w:pPr>
              <w:pStyle w:val="TableParagraph"/>
              <w:spacing w:before="7"/>
              <w:rPr>
                <w:rFonts w:ascii="Times New Roman"/>
                <w:sz w:val="12"/>
              </w:rPr>
            </w:pPr>
          </w:p>
          <w:p w14:paraId="71E558CA" w14:textId="77777777" w:rsidR="00EF5B27" w:rsidRDefault="00000000">
            <w:pPr>
              <w:pStyle w:val="TableParagraph"/>
              <w:ind w:left="124" w:right="120"/>
              <w:jc w:val="center"/>
              <w:rPr>
                <w:sz w:val="14"/>
              </w:rPr>
            </w:pPr>
            <w:r>
              <w:rPr>
                <w:color w:val="4D4D4F"/>
                <w:sz w:val="14"/>
              </w:rPr>
              <w:t>Weeds</w:t>
            </w:r>
          </w:p>
        </w:tc>
        <w:tc>
          <w:tcPr>
            <w:tcW w:w="2041" w:type="dxa"/>
          </w:tcPr>
          <w:p w14:paraId="068C3559" w14:textId="77777777" w:rsidR="00EF5B27" w:rsidRDefault="00EF5B27">
            <w:pPr>
              <w:pStyle w:val="TableParagraph"/>
              <w:spacing w:before="7"/>
              <w:rPr>
                <w:rFonts w:ascii="Times New Roman"/>
                <w:sz w:val="12"/>
              </w:rPr>
            </w:pPr>
          </w:p>
          <w:p w14:paraId="4BE74377" w14:textId="77777777" w:rsidR="00EF5B27" w:rsidRDefault="00000000">
            <w:pPr>
              <w:pStyle w:val="TableParagraph"/>
              <w:ind w:left="154" w:right="150"/>
              <w:jc w:val="center"/>
              <w:rPr>
                <w:sz w:val="14"/>
              </w:rPr>
            </w:pPr>
            <w:r>
              <w:rPr>
                <w:color w:val="4D4D4F"/>
                <w:w w:val="105"/>
                <w:sz w:val="14"/>
              </w:rPr>
              <w:t>De-rocked grassland</w:t>
            </w:r>
          </w:p>
        </w:tc>
        <w:tc>
          <w:tcPr>
            <w:tcW w:w="2154" w:type="dxa"/>
          </w:tcPr>
          <w:p w14:paraId="0214058D" w14:textId="77777777" w:rsidR="00EF5B27" w:rsidRDefault="00EF5B27">
            <w:pPr>
              <w:pStyle w:val="TableParagraph"/>
              <w:spacing w:before="7"/>
              <w:rPr>
                <w:rFonts w:ascii="Times New Roman"/>
                <w:sz w:val="12"/>
              </w:rPr>
            </w:pPr>
          </w:p>
          <w:p w14:paraId="5525931D" w14:textId="77777777" w:rsidR="00EF5B27" w:rsidRDefault="00000000">
            <w:pPr>
              <w:pStyle w:val="TableParagraph"/>
              <w:ind w:left="933"/>
              <w:rPr>
                <w:sz w:val="14"/>
              </w:rPr>
            </w:pPr>
            <w:r>
              <w:rPr>
                <w:color w:val="4D4D4F"/>
                <w:sz w:val="14"/>
              </w:rPr>
              <w:t>2022</w:t>
            </w:r>
          </w:p>
        </w:tc>
        <w:tc>
          <w:tcPr>
            <w:tcW w:w="1134" w:type="dxa"/>
          </w:tcPr>
          <w:p w14:paraId="1D89B5C7" w14:textId="77777777" w:rsidR="00EF5B27" w:rsidRDefault="00EF5B27">
            <w:pPr>
              <w:pStyle w:val="TableParagraph"/>
              <w:spacing w:before="7"/>
              <w:rPr>
                <w:rFonts w:ascii="Times New Roman"/>
                <w:sz w:val="12"/>
              </w:rPr>
            </w:pPr>
          </w:p>
          <w:p w14:paraId="470F4F89" w14:textId="77777777" w:rsidR="00EF5B27" w:rsidRDefault="00000000">
            <w:pPr>
              <w:pStyle w:val="TableParagraph"/>
              <w:ind w:left="425"/>
              <w:rPr>
                <w:sz w:val="14"/>
              </w:rPr>
            </w:pPr>
            <w:r>
              <w:rPr>
                <w:color w:val="4D4D4F"/>
                <w:sz w:val="14"/>
              </w:rPr>
              <w:t>2026</w:t>
            </w:r>
          </w:p>
        </w:tc>
      </w:tr>
      <w:tr w:rsidR="00EF5B27" w14:paraId="62994F8F" w14:textId="77777777">
        <w:trPr>
          <w:trHeight w:val="675"/>
        </w:trPr>
        <w:tc>
          <w:tcPr>
            <w:tcW w:w="737" w:type="dxa"/>
          </w:tcPr>
          <w:p w14:paraId="743BF3C1" w14:textId="77777777" w:rsidR="00EF5B27" w:rsidRDefault="00EF5B27">
            <w:pPr>
              <w:pStyle w:val="TableParagraph"/>
              <w:spacing w:before="5"/>
              <w:rPr>
                <w:rFonts w:ascii="Times New Roman"/>
              </w:rPr>
            </w:pPr>
          </w:p>
          <w:p w14:paraId="3B032D2C" w14:textId="77777777" w:rsidR="00EF5B27" w:rsidRDefault="00000000">
            <w:pPr>
              <w:pStyle w:val="TableParagraph"/>
              <w:spacing w:before="1"/>
              <w:ind w:left="5"/>
              <w:jc w:val="center"/>
              <w:rPr>
                <w:sz w:val="14"/>
              </w:rPr>
            </w:pPr>
            <w:r>
              <w:rPr>
                <w:color w:val="4D4D4F"/>
                <w:w w:val="96"/>
                <w:sz w:val="14"/>
              </w:rPr>
              <w:t>3</w:t>
            </w:r>
          </w:p>
        </w:tc>
        <w:tc>
          <w:tcPr>
            <w:tcW w:w="1361" w:type="dxa"/>
          </w:tcPr>
          <w:p w14:paraId="03E8C6C8" w14:textId="77777777" w:rsidR="00EF5B27" w:rsidRDefault="00000000">
            <w:pPr>
              <w:pStyle w:val="TableParagraph"/>
              <w:spacing w:before="79" w:line="252" w:lineRule="auto"/>
              <w:ind w:left="324" w:right="317"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141E9950" w14:textId="77777777" w:rsidR="00EF5B27" w:rsidRDefault="00EF5B27">
            <w:pPr>
              <w:pStyle w:val="TableParagraph"/>
              <w:spacing w:before="5"/>
              <w:rPr>
                <w:rFonts w:ascii="Times New Roman"/>
              </w:rPr>
            </w:pPr>
          </w:p>
          <w:p w14:paraId="74EC3D71" w14:textId="77777777" w:rsidR="00EF5B27" w:rsidRDefault="00000000">
            <w:pPr>
              <w:pStyle w:val="TableParagraph"/>
              <w:spacing w:before="1"/>
              <w:ind w:left="4"/>
              <w:jc w:val="center"/>
              <w:rPr>
                <w:sz w:val="14"/>
              </w:rPr>
            </w:pPr>
            <w:r>
              <w:rPr>
                <w:color w:val="4D4D4F"/>
                <w:w w:val="96"/>
                <w:sz w:val="14"/>
              </w:rPr>
              <w:t>1</w:t>
            </w:r>
          </w:p>
        </w:tc>
        <w:tc>
          <w:tcPr>
            <w:tcW w:w="1474" w:type="dxa"/>
          </w:tcPr>
          <w:p w14:paraId="25FE1EC6" w14:textId="77777777" w:rsidR="00EF5B27" w:rsidRDefault="00EF5B27">
            <w:pPr>
              <w:pStyle w:val="TableParagraph"/>
              <w:spacing w:before="7"/>
              <w:rPr>
                <w:rFonts w:ascii="Times New Roman"/>
                <w:sz w:val="14"/>
              </w:rPr>
            </w:pPr>
          </w:p>
          <w:p w14:paraId="20EF5C30" w14:textId="77777777" w:rsidR="00EF5B27" w:rsidRDefault="00000000">
            <w:pPr>
              <w:pStyle w:val="TableParagraph"/>
              <w:spacing w:before="1" w:line="252" w:lineRule="auto"/>
              <w:ind w:left="490" w:hanging="406"/>
              <w:rPr>
                <w:sz w:val="14"/>
              </w:rPr>
            </w:pPr>
            <w:r>
              <w:rPr>
                <w:color w:val="4D4D4F"/>
                <w:w w:val="105"/>
                <w:sz w:val="14"/>
              </w:rPr>
              <w:t>Forb-richness spring- summer</w:t>
            </w:r>
          </w:p>
        </w:tc>
        <w:tc>
          <w:tcPr>
            <w:tcW w:w="2041" w:type="dxa"/>
          </w:tcPr>
          <w:p w14:paraId="19B05124" w14:textId="77777777" w:rsidR="00EF5B27" w:rsidRDefault="00EF5B27">
            <w:pPr>
              <w:pStyle w:val="TableParagraph"/>
              <w:spacing w:before="7"/>
              <w:rPr>
                <w:rFonts w:ascii="Times New Roman"/>
                <w:sz w:val="14"/>
              </w:rPr>
            </w:pPr>
          </w:p>
          <w:p w14:paraId="1C25924B" w14:textId="77777777" w:rsidR="00EF5B27" w:rsidRDefault="00000000">
            <w:pPr>
              <w:pStyle w:val="TableParagraph"/>
              <w:spacing w:before="1" w:line="252" w:lineRule="auto"/>
              <w:ind w:left="515" w:right="50" w:hanging="343"/>
              <w:rPr>
                <w:sz w:val="14"/>
              </w:rPr>
            </w:pPr>
            <w:r>
              <w:rPr>
                <w:color w:val="4D4D4F"/>
                <w:w w:val="105"/>
                <w:sz w:val="14"/>
              </w:rPr>
              <w:t>Western Grassland Reserve, Cobbledicks Rise</w:t>
            </w:r>
          </w:p>
        </w:tc>
        <w:tc>
          <w:tcPr>
            <w:tcW w:w="2154" w:type="dxa"/>
          </w:tcPr>
          <w:p w14:paraId="686A1445" w14:textId="77777777" w:rsidR="00EF5B27" w:rsidRDefault="00EF5B27">
            <w:pPr>
              <w:pStyle w:val="TableParagraph"/>
              <w:spacing w:before="5"/>
              <w:rPr>
                <w:rFonts w:ascii="Times New Roman"/>
              </w:rPr>
            </w:pPr>
          </w:p>
          <w:p w14:paraId="489890C7" w14:textId="77777777" w:rsidR="00EF5B27" w:rsidRDefault="00000000">
            <w:pPr>
              <w:pStyle w:val="TableParagraph"/>
              <w:spacing w:before="1"/>
              <w:ind w:left="940"/>
              <w:rPr>
                <w:sz w:val="14"/>
              </w:rPr>
            </w:pPr>
            <w:r>
              <w:rPr>
                <w:color w:val="4D4D4F"/>
                <w:sz w:val="14"/>
              </w:rPr>
              <w:t>2014</w:t>
            </w:r>
          </w:p>
        </w:tc>
        <w:tc>
          <w:tcPr>
            <w:tcW w:w="1134" w:type="dxa"/>
          </w:tcPr>
          <w:p w14:paraId="1FF709D9" w14:textId="77777777" w:rsidR="00EF5B27" w:rsidRDefault="00EF5B27">
            <w:pPr>
              <w:pStyle w:val="TableParagraph"/>
              <w:spacing w:before="5"/>
              <w:rPr>
                <w:rFonts w:ascii="Times New Roman"/>
              </w:rPr>
            </w:pPr>
          </w:p>
          <w:p w14:paraId="63417E5B" w14:textId="77777777" w:rsidR="00EF5B27" w:rsidRDefault="00000000">
            <w:pPr>
              <w:pStyle w:val="TableParagraph"/>
              <w:spacing w:before="1"/>
              <w:ind w:left="430"/>
              <w:rPr>
                <w:sz w:val="14"/>
              </w:rPr>
            </w:pPr>
            <w:r>
              <w:rPr>
                <w:color w:val="4D4D4F"/>
                <w:sz w:val="14"/>
              </w:rPr>
              <w:t>2018</w:t>
            </w:r>
          </w:p>
        </w:tc>
      </w:tr>
      <w:tr w:rsidR="00EF5B27" w14:paraId="3AE24E90" w14:textId="77777777">
        <w:trPr>
          <w:trHeight w:val="675"/>
        </w:trPr>
        <w:tc>
          <w:tcPr>
            <w:tcW w:w="737" w:type="dxa"/>
          </w:tcPr>
          <w:p w14:paraId="2E8E0D5F" w14:textId="77777777" w:rsidR="00EF5B27" w:rsidRDefault="00EF5B27">
            <w:pPr>
              <w:pStyle w:val="TableParagraph"/>
              <w:spacing w:before="5"/>
              <w:rPr>
                <w:rFonts w:ascii="Times New Roman"/>
              </w:rPr>
            </w:pPr>
          </w:p>
          <w:p w14:paraId="1AA3C8FC" w14:textId="77777777" w:rsidR="00EF5B27" w:rsidRDefault="00000000">
            <w:pPr>
              <w:pStyle w:val="TableParagraph"/>
              <w:spacing w:before="1"/>
              <w:ind w:left="4"/>
              <w:jc w:val="center"/>
              <w:rPr>
                <w:sz w:val="14"/>
              </w:rPr>
            </w:pPr>
            <w:r>
              <w:rPr>
                <w:color w:val="4D4D4F"/>
                <w:w w:val="96"/>
                <w:sz w:val="14"/>
              </w:rPr>
              <w:t>3</w:t>
            </w:r>
          </w:p>
        </w:tc>
        <w:tc>
          <w:tcPr>
            <w:tcW w:w="1361" w:type="dxa"/>
          </w:tcPr>
          <w:p w14:paraId="18622C5D" w14:textId="77777777" w:rsidR="00EF5B27" w:rsidRDefault="00000000">
            <w:pPr>
              <w:pStyle w:val="TableParagraph"/>
              <w:spacing w:before="79" w:line="252" w:lineRule="auto"/>
              <w:ind w:left="324" w:right="317"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094CA3D6" w14:textId="77777777" w:rsidR="00EF5B27" w:rsidRDefault="00EF5B27">
            <w:pPr>
              <w:pStyle w:val="TableParagraph"/>
              <w:spacing w:before="5"/>
              <w:rPr>
                <w:rFonts w:ascii="Times New Roman"/>
              </w:rPr>
            </w:pPr>
          </w:p>
          <w:p w14:paraId="5C35F71F" w14:textId="77777777" w:rsidR="00EF5B27" w:rsidRDefault="00000000">
            <w:pPr>
              <w:pStyle w:val="TableParagraph"/>
              <w:spacing w:before="1"/>
              <w:ind w:left="4"/>
              <w:jc w:val="center"/>
              <w:rPr>
                <w:sz w:val="14"/>
              </w:rPr>
            </w:pPr>
            <w:r>
              <w:rPr>
                <w:color w:val="4D4D4F"/>
                <w:w w:val="96"/>
                <w:sz w:val="14"/>
              </w:rPr>
              <w:t>1</w:t>
            </w:r>
          </w:p>
        </w:tc>
        <w:tc>
          <w:tcPr>
            <w:tcW w:w="1474" w:type="dxa"/>
          </w:tcPr>
          <w:p w14:paraId="1D564AD0" w14:textId="77777777" w:rsidR="00EF5B27" w:rsidRDefault="00EF5B27">
            <w:pPr>
              <w:pStyle w:val="TableParagraph"/>
              <w:spacing w:before="7"/>
              <w:rPr>
                <w:rFonts w:ascii="Times New Roman"/>
                <w:sz w:val="14"/>
              </w:rPr>
            </w:pPr>
          </w:p>
          <w:p w14:paraId="1280CC48" w14:textId="77777777" w:rsidR="00EF5B27" w:rsidRDefault="00000000">
            <w:pPr>
              <w:pStyle w:val="TableParagraph"/>
              <w:spacing w:before="1" w:line="252" w:lineRule="auto"/>
              <w:ind w:left="490" w:hanging="406"/>
              <w:rPr>
                <w:sz w:val="14"/>
              </w:rPr>
            </w:pPr>
            <w:r>
              <w:rPr>
                <w:color w:val="4D4D4F"/>
                <w:w w:val="105"/>
                <w:sz w:val="14"/>
              </w:rPr>
              <w:t>Forb-richness spring- summer</w:t>
            </w:r>
          </w:p>
        </w:tc>
        <w:tc>
          <w:tcPr>
            <w:tcW w:w="2041" w:type="dxa"/>
          </w:tcPr>
          <w:p w14:paraId="72299AE7" w14:textId="77777777" w:rsidR="00EF5B27" w:rsidRDefault="00EF5B27">
            <w:pPr>
              <w:pStyle w:val="TableParagraph"/>
              <w:spacing w:before="7"/>
              <w:rPr>
                <w:rFonts w:ascii="Times New Roman"/>
                <w:sz w:val="14"/>
              </w:rPr>
            </w:pPr>
          </w:p>
          <w:p w14:paraId="41288B53" w14:textId="77777777" w:rsidR="00EF5B27" w:rsidRDefault="00000000">
            <w:pPr>
              <w:pStyle w:val="TableParagraph"/>
              <w:spacing w:before="1" w:line="252" w:lineRule="auto"/>
              <w:ind w:left="615" w:right="50" w:hanging="444"/>
              <w:rPr>
                <w:sz w:val="14"/>
              </w:rPr>
            </w:pPr>
            <w:r>
              <w:rPr>
                <w:color w:val="4D4D4F"/>
                <w:w w:val="105"/>
                <w:sz w:val="14"/>
              </w:rPr>
              <w:t>Western Grassland Reserve, Windmill Rise</w:t>
            </w:r>
          </w:p>
        </w:tc>
        <w:tc>
          <w:tcPr>
            <w:tcW w:w="2154" w:type="dxa"/>
          </w:tcPr>
          <w:p w14:paraId="4B75CF49" w14:textId="77777777" w:rsidR="00EF5B27" w:rsidRDefault="00EF5B27">
            <w:pPr>
              <w:pStyle w:val="TableParagraph"/>
              <w:spacing w:before="5"/>
              <w:rPr>
                <w:rFonts w:ascii="Times New Roman"/>
              </w:rPr>
            </w:pPr>
          </w:p>
          <w:p w14:paraId="019DFF16" w14:textId="77777777" w:rsidR="00EF5B27" w:rsidRDefault="00000000">
            <w:pPr>
              <w:pStyle w:val="TableParagraph"/>
              <w:spacing w:before="1"/>
              <w:ind w:left="940"/>
              <w:rPr>
                <w:sz w:val="14"/>
              </w:rPr>
            </w:pPr>
            <w:r>
              <w:rPr>
                <w:color w:val="4D4D4F"/>
                <w:sz w:val="14"/>
              </w:rPr>
              <w:t>2014</w:t>
            </w:r>
          </w:p>
        </w:tc>
        <w:tc>
          <w:tcPr>
            <w:tcW w:w="1134" w:type="dxa"/>
          </w:tcPr>
          <w:p w14:paraId="254FA11F" w14:textId="77777777" w:rsidR="00EF5B27" w:rsidRDefault="00EF5B27">
            <w:pPr>
              <w:pStyle w:val="TableParagraph"/>
              <w:spacing w:before="5"/>
              <w:rPr>
                <w:rFonts w:ascii="Times New Roman"/>
              </w:rPr>
            </w:pPr>
          </w:p>
          <w:p w14:paraId="7AE4E997" w14:textId="77777777" w:rsidR="00EF5B27" w:rsidRDefault="00000000">
            <w:pPr>
              <w:pStyle w:val="TableParagraph"/>
              <w:spacing w:before="1"/>
              <w:ind w:left="430"/>
              <w:rPr>
                <w:sz w:val="14"/>
              </w:rPr>
            </w:pPr>
            <w:r>
              <w:rPr>
                <w:color w:val="4D4D4F"/>
                <w:sz w:val="14"/>
              </w:rPr>
              <w:t>2018</w:t>
            </w:r>
          </w:p>
        </w:tc>
      </w:tr>
      <w:tr w:rsidR="00EF5B27" w14:paraId="6C8C2CFF" w14:textId="77777777">
        <w:trPr>
          <w:trHeight w:val="675"/>
        </w:trPr>
        <w:tc>
          <w:tcPr>
            <w:tcW w:w="737" w:type="dxa"/>
          </w:tcPr>
          <w:p w14:paraId="16ECC08F" w14:textId="77777777" w:rsidR="00EF5B27" w:rsidRDefault="00EF5B27">
            <w:pPr>
              <w:pStyle w:val="TableParagraph"/>
              <w:spacing w:before="5"/>
              <w:rPr>
                <w:rFonts w:ascii="Times New Roman"/>
              </w:rPr>
            </w:pPr>
          </w:p>
          <w:p w14:paraId="13A3E40D" w14:textId="77777777" w:rsidR="00EF5B27" w:rsidRDefault="00000000">
            <w:pPr>
              <w:pStyle w:val="TableParagraph"/>
              <w:spacing w:before="1"/>
              <w:ind w:left="4"/>
              <w:jc w:val="center"/>
              <w:rPr>
                <w:sz w:val="14"/>
              </w:rPr>
            </w:pPr>
            <w:r>
              <w:rPr>
                <w:color w:val="4D4D4F"/>
                <w:w w:val="96"/>
                <w:sz w:val="14"/>
              </w:rPr>
              <w:t>3</w:t>
            </w:r>
          </w:p>
        </w:tc>
        <w:tc>
          <w:tcPr>
            <w:tcW w:w="1361" w:type="dxa"/>
          </w:tcPr>
          <w:p w14:paraId="11707FBF" w14:textId="77777777" w:rsidR="00EF5B27" w:rsidRDefault="00000000">
            <w:pPr>
              <w:pStyle w:val="TableParagraph"/>
              <w:spacing w:before="78" w:line="252" w:lineRule="auto"/>
              <w:ind w:left="324" w:right="318"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23E17EA2" w14:textId="77777777" w:rsidR="00EF5B27" w:rsidRDefault="00EF5B27">
            <w:pPr>
              <w:pStyle w:val="TableParagraph"/>
              <w:spacing w:before="5"/>
              <w:rPr>
                <w:rFonts w:ascii="Times New Roman"/>
              </w:rPr>
            </w:pPr>
          </w:p>
          <w:p w14:paraId="1CC3C1D4" w14:textId="77777777" w:rsidR="00EF5B27" w:rsidRDefault="00000000">
            <w:pPr>
              <w:pStyle w:val="TableParagraph"/>
              <w:spacing w:before="1"/>
              <w:ind w:left="3"/>
              <w:jc w:val="center"/>
              <w:rPr>
                <w:sz w:val="14"/>
              </w:rPr>
            </w:pPr>
            <w:r>
              <w:rPr>
                <w:color w:val="4D4D4F"/>
                <w:w w:val="96"/>
                <w:sz w:val="14"/>
              </w:rPr>
              <w:t>1</w:t>
            </w:r>
          </w:p>
        </w:tc>
        <w:tc>
          <w:tcPr>
            <w:tcW w:w="1474" w:type="dxa"/>
          </w:tcPr>
          <w:p w14:paraId="1CEFA59A" w14:textId="77777777" w:rsidR="00EF5B27" w:rsidRDefault="00EF5B27">
            <w:pPr>
              <w:pStyle w:val="TableParagraph"/>
              <w:spacing w:before="7"/>
              <w:rPr>
                <w:rFonts w:ascii="Times New Roman"/>
                <w:sz w:val="14"/>
              </w:rPr>
            </w:pPr>
          </w:p>
          <w:p w14:paraId="30B0D8A4" w14:textId="77777777" w:rsidR="00EF5B27" w:rsidRDefault="00000000">
            <w:pPr>
              <w:pStyle w:val="TableParagraph"/>
              <w:spacing w:before="1" w:line="252" w:lineRule="auto"/>
              <w:ind w:left="490" w:hanging="406"/>
              <w:rPr>
                <w:sz w:val="14"/>
              </w:rPr>
            </w:pPr>
            <w:r>
              <w:rPr>
                <w:color w:val="4D4D4F"/>
                <w:w w:val="105"/>
                <w:sz w:val="14"/>
              </w:rPr>
              <w:t>Forb-richness spring- summer</w:t>
            </w:r>
          </w:p>
        </w:tc>
        <w:tc>
          <w:tcPr>
            <w:tcW w:w="2041" w:type="dxa"/>
          </w:tcPr>
          <w:p w14:paraId="0B73E14D" w14:textId="77777777" w:rsidR="00EF5B27" w:rsidRDefault="00EF5B27">
            <w:pPr>
              <w:pStyle w:val="TableParagraph"/>
              <w:spacing w:before="7"/>
              <w:rPr>
                <w:rFonts w:ascii="Times New Roman"/>
                <w:sz w:val="14"/>
              </w:rPr>
            </w:pPr>
          </w:p>
          <w:p w14:paraId="7796F2A7" w14:textId="77777777" w:rsidR="00EF5B27" w:rsidRDefault="00000000">
            <w:pPr>
              <w:pStyle w:val="TableParagraph"/>
              <w:spacing w:before="1" w:line="252" w:lineRule="auto"/>
              <w:ind w:left="612" w:right="50" w:hanging="440"/>
              <w:rPr>
                <w:sz w:val="14"/>
              </w:rPr>
            </w:pPr>
            <w:r>
              <w:rPr>
                <w:color w:val="4D4D4F"/>
                <w:sz w:val="14"/>
              </w:rPr>
              <w:t>Western Grassland Reserve, One Tree Rise</w:t>
            </w:r>
          </w:p>
        </w:tc>
        <w:tc>
          <w:tcPr>
            <w:tcW w:w="2154" w:type="dxa"/>
          </w:tcPr>
          <w:p w14:paraId="74E7ECE5" w14:textId="77777777" w:rsidR="00EF5B27" w:rsidRDefault="00EF5B27">
            <w:pPr>
              <w:pStyle w:val="TableParagraph"/>
              <w:spacing w:before="5"/>
              <w:rPr>
                <w:rFonts w:ascii="Times New Roman"/>
              </w:rPr>
            </w:pPr>
          </w:p>
          <w:p w14:paraId="007813B1" w14:textId="77777777" w:rsidR="00EF5B27" w:rsidRDefault="00000000">
            <w:pPr>
              <w:pStyle w:val="TableParagraph"/>
              <w:spacing w:before="1"/>
              <w:ind w:left="940"/>
              <w:rPr>
                <w:sz w:val="14"/>
              </w:rPr>
            </w:pPr>
            <w:r>
              <w:rPr>
                <w:color w:val="4D4D4F"/>
                <w:sz w:val="14"/>
              </w:rPr>
              <w:t>2014</w:t>
            </w:r>
          </w:p>
        </w:tc>
        <w:tc>
          <w:tcPr>
            <w:tcW w:w="1134" w:type="dxa"/>
          </w:tcPr>
          <w:p w14:paraId="19982294" w14:textId="77777777" w:rsidR="00EF5B27" w:rsidRDefault="00EF5B27">
            <w:pPr>
              <w:pStyle w:val="TableParagraph"/>
              <w:spacing w:before="5"/>
              <w:rPr>
                <w:rFonts w:ascii="Times New Roman"/>
              </w:rPr>
            </w:pPr>
          </w:p>
          <w:p w14:paraId="7C7340DC" w14:textId="77777777" w:rsidR="00EF5B27" w:rsidRDefault="00000000">
            <w:pPr>
              <w:pStyle w:val="TableParagraph"/>
              <w:spacing w:before="1"/>
              <w:ind w:left="430"/>
              <w:rPr>
                <w:sz w:val="14"/>
              </w:rPr>
            </w:pPr>
            <w:r>
              <w:rPr>
                <w:color w:val="4D4D4F"/>
                <w:sz w:val="14"/>
              </w:rPr>
              <w:t>2018</w:t>
            </w:r>
          </w:p>
        </w:tc>
      </w:tr>
      <w:tr w:rsidR="00EF5B27" w14:paraId="75E4B647" w14:textId="77777777">
        <w:trPr>
          <w:trHeight w:val="675"/>
        </w:trPr>
        <w:tc>
          <w:tcPr>
            <w:tcW w:w="737" w:type="dxa"/>
          </w:tcPr>
          <w:p w14:paraId="58A7189D" w14:textId="77777777" w:rsidR="00EF5B27" w:rsidRDefault="00EF5B27">
            <w:pPr>
              <w:pStyle w:val="TableParagraph"/>
              <w:spacing w:before="5"/>
              <w:rPr>
                <w:rFonts w:ascii="Times New Roman"/>
              </w:rPr>
            </w:pPr>
          </w:p>
          <w:p w14:paraId="1D68211E" w14:textId="77777777" w:rsidR="00EF5B27" w:rsidRDefault="00000000">
            <w:pPr>
              <w:pStyle w:val="TableParagraph"/>
              <w:ind w:left="4"/>
              <w:jc w:val="center"/>
              <w:rPr>
                <w:sz w:val="14"/>
              </w:rPr>
            </w:pPr>
            <w:r>
              <w:rPr>
                <w:color w:val="4D4D4F"/>
                <w:w w:val="96"/>
                <w:sz w:val="14"/>
              </w:rPr>
              <w:t>3</w:t>
            </w:r>
          </w:p>
        </w:tc>
        <w:tc>
          <w:tcPr>
            <w:tcW w:w="1361" w:type="dxa"/>
          </w:tcPr>
          <w:p w14:paraId="3ECB4CD2" w14:textId="77777777" w:rsidR="00EF5B27" w:rsidRDefault="00000000">
            <w:pPr>
              <w:pStyle w:val="TableParagraph"/>
              <w:spacing w:before="78" w:line="252" w:lineRule="auto"/>
              <w:ind w:left="323" w:right="318"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184EF4B9" w14:textId="77777777" w:rsidR="00EF5B27" w:rsidRDefault="00EF5B27">
            <w:pPr>
              <w:pStyle w:val="TableParagraph"/>
              <w:spacing w:before="5"/>
              <w:rPr>
                <w:rFonts w:ascii="Times New Roman"/>
              </w:rPr>
            </w:pPr>
          </w:p>
          <w:p w14:paraId="280F2E48" w14:textId="77777777" w:rsidR="00EF5B27" w:rsidRDefault="00000000">
            <w:pPr>
              <w:pStyle w:val="TableParagraph"/>
              <w:ind w:left="3"/>
              <w:jc w:val="center"/>
              <w:rPr>
                <w:sz w:val="14"/>
              </w:rPr>
            </w:pPr>
            <w:r>
              <w:rPr>
                <w:color w:val="4D4D4F"/>
                <w:w w:val="96"/>
                <w:sz w:val="14"/>
              </w:rPr>
              <w:t>2</w:t>
            </w:r>
          </w:p>
        </w:tc>
        <w:tc>
          <w:tcPr>
            <w:tcW w:w="1474" w:type="dxa"/>
          </w:tcPr>
          <w:p w14:paraId="696F4829" w14:textId="77777777" w:rsidR="00EF5B27" w:rsidRDefault="00EF5B27">
            <w:pPr>
              <w:pStyle w:val="TableParagraph"/>
              <w:spacing w:before="7"/>
              <w:rPr>
                <w:rFonts w:ascii="Times New Roman"/>
                <w:sz w:val="14"/>
              </w:rPr>
            </w:pPr>
          </w:p>
          <w:p w14:paraId="6D303C16" w14:textId="77777777" w:rsidR="00EF5B27" w:rsidRDefault="00000000">
            <w:pPr>
              <w:pStyle w:val="TableParagraph"/>
              <w:spacing w:line="252" w:lineRule="auto"/>
              <w:ind w:left="423" w:hanging="99"/>
              <w:rPr>
                <w:sz w:val="14"/>
              </w:rPr>
            </w:pPr>
            <w:r>
              <w:rPr>
                <w:color w:val="4D4D4F"/>
                <w:w w:val="105"/>
                <w:sz w:val="14"/>
              </w:rPr>
              <w:t>Forb richness drawdown</w:t>
            </w:r>
          </w:p>
        </w:tc>
        <w:tc>
          <w:tcPr>
            <w:tcW w:w="2041" w:type="dxa"/>
          </w:tcPr>
          <w:p w14:paraId="6E7E071C" w14:textId="77777777" w:rsidR="00EF5B27" w:rsidRDefault="00EF5B27">
            <w:pPr>
              <w:pStyle w:val="TableParagraph"/>
              <w:spacing w:before="7"/>
              <w:rPr>
                <w:rFonts w:ascii="Times New Roman"/>
                <w:sz w:val="14"/>
              </w:rPr>
            </w:pPr>
          </w:p>
          <w:p w14:paraId="73E3A565" w14:textId="77777777" w:rsidR="00EF5B27" w:rsidRDefault="00000000">
            <w:pPr>
              <w:pStyle w:val="TableParagraph"/>
              <w:spacing w:line="252" w:lineRule="auto"/>
              <w:ind w:left="515" w:right="166" w:hanging="343"/>
              <w:rPr>
                <w:sz w:val="14"/>
              </w:rPr>
            </w:pPr>
            <w:r>
              <w:rPr>
                <w:color w:val="4D4D4F"/>
                <w:w w:val="105"/>
                <w:sz w:val="14"/>
              </w:rPr>
              <w:t>Western Grassland Reserve, Cobbledicks Rise</w:t>
            </w:r>
          </w:p>
        </w:tc>
        <w:tc>
          <w:tcPr>
            <w:tcW w:w="2154" w:type="dxa"/>
          </w:tcPr>
          <w:p w14:paraId="7F4D0701" w14:textId="77777777" w:rsidR="00EF5B27" w:rsidRDefault="00EF5B27">
            <w:pPr>
              <w:pStyle w:val="TableParagraph"/>
              <w:spacing w:before="5"/>
              <w:rPr>
                <w:rFonts w:ascii="Times New Roman"/>
              </w:rPr>
            </w:pPr>
          </w:p>
          <w:p w14:paraId="4912A02F" w14:textId="77777777" w:rsidR="00EF5B27" w:rsidRDefault="00000000">
            <w:pPr>
              <w:pStyle w:val="TableParagraph"/>
              <w:ind w:left="941"/>
              <w:rPr>
                <w:sz w:val="14"/>
              </w:rPr>
            </w:pPr>
            <w:r>
              <w:rPr>
                <w:color w:val="4D4D4F"/>
                <w:sz w:val="14"/>
              </w:rPr>
              <w:t>2017</w:t>
            </w:r>
          </w:p>
        </w:tc>
        <w:tc>
          <w:tcPr>
            <w:tcW w:w="1134" w:type="dxa"/>
          </w:tcPr>
          <w:p w14:paraId="6A97F76D" w14:textId="77777777" w:rsidR="00EF5B27" w:rsidRDefault="00EF5B27">
            <w:pPr>
              <w:pStyle w:val="TableParagraph"/>
              <w:spacing w:before="5"/>
              <w:rPr>
                <w:rFonts w:ascii="Times New Roman"/>
              </w:rPr>
            </w:pPr>
          </w:p>
          <w:p w14:paraId="62FBEDF5" w14:textId="77777777" w:rsidR="00EF5B27" w:rsidRDefault="00000000">
            <w:pPr>
              <w:pStyle w:val="TableParagraph"/>
              <w:ind w:left="431"/>
              <w:rPr>
                <w:sz w:val="14"/>
              </w:rPr>
            </w:pPr>
            <w:r>
              <w:rPr>
                <w:color w:val="4D4D4F"/>
                <w:sz w:val="14"/>
              </w:rPr>
              <w:t>2017</w:t>
            </w:r>
          </w:p>
        </w:tc>
      </w:tr>
      <w:tr w:rsidR="00EF5B27" w14:paraId="080A604E" w14:textId="77777777">
        <w:trPr>
          <w:trHeight w:val="675"/>
        </w:trPr>
        <w:tc>
          <w:tcPr>
            <w:tcW w:w="737" w:type="dxa"/>
          </w:tcPr>
          <w:p w14:paraId="6231BFAC" w14:textId="77777777" w:rsidR="00EF5B27" w:rsidRDefault="00EF5B27">
            <w:pPr>
              <w:pStyle w:val="TableParagraph"/>
              <w:spacing w:before="5"/>
              <w:rPr>
                <w:rFonts w:ascii="Times New Roman"/>
              </w:rPr>
            </w:pPr>
          </w:p>
          <w:p w14:paraId="29930952" w14:textId="77777777" w:rsidR="00EF5B27" w:rsidRDefault="00000000">
            <w:pPr>
              <w:pStyle w:val="TableParagraph"/>
              <w:ind w:left="4"/>
              <w:jc w:val="center"/>
              <w:rPr>
                <w:sz w:val="14"/>
              </w:rPr>
            </w:pPr>
            <w:r>
              <w:rPr>
                <w:color w:val="4D4D4F"/>
                <w:w w:val="96"/>
                <w:sz w:val="14"/>
              </w:rPr>
              <w:t>3</w:t>
            </w:r>
          </w:p>
        </w:tc>
        <w:tc>
          <w:tcPr>
            <w:tcW w:w="1361" w:type="dxa"/>
          </w:tcPr>
          <w:p w14:paraId="08D94E7B" w14:textId="77777777" w:rsidR="00EF5B27" w:rsidRDefault="00000000">
            <w:pPr>
              <w:pStyle w:val="TableParagraph"/>
              <w:spacing w:before="78" w:line="252" w:lineRule="auto"/>
              <w:ind w:left="324" w:right="318"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13A4874C" w14:textId="77777777" w:rsidR="00EF5B27" w:rsidRDefault="00EF5B27">
            <w:pPr>
              <w:pStyle w:val="TableParagraph"/>
              <w:spacing w:before="5"/>
              <w:rPr>
                <w:rFonts w:ascii="Times New Roman"/>
              </w:rPr>
            </w:pPr>
          </w:p>
          <w:p w14:paraId="29E73472" w14:textId="77777777" w:rsidR="00EF5B27" w:rsidRDefault="00000000">
            <w:pPr>
              <w:pStyle w:val="TableParagraph"/>
              <w:ind w:left="3"/>
              <w:jc w:val="center"/>
              <w:rPr>
                <w:sz w:val="14"/>
              </w:rPr>
            </w:pPr>
            <w:r>
              <w:rPr>
                <w:color w:val="4D4D4F"/>
                <w:w w:val="96"/>
                <w:sz w:val="14"/>
              </w:rPr>
              <w:t>2</w:t>
            </w:r>
          </w:p>
        </w:tc>
        <w:tc>
          <w:tcPr>
            <w:tcW w:w="1474" w:type="dxa"/>
          </w:tcPr>
          <w:p w14:paraId="25D3B7FB" w14:textId="77777777" w:rsidR="00EF5B27" w:rsidRDefault="00EF5B27">
            <w:pPr>
              <w:pStyle w:val="TableParagraph"/>
              <w:spacing w:before="7"/>
              <w:rPr>
                <w:rFonts w:ascii="Times New Roman"/>
                <w:sz w:val="14"/>
              </w:rPr>
            </w:pPr>
          </w:p>
          <w:p w14:paraId="4645E55C" w14:textId="77777777" w:rsidR="00EF5B27" w:rsidRDefault="00000000">
            <w:pPr>
              <w:pStyle w:val="TableParagraph"/>
              <w:spacing w:line="252" w:lineRule="auto"/>
              <w:ind w:left="423" w:hanging="99"/>
              <w:rPr>
                <w:sz w:val="14"/>
              </w:rPr>
            </w:pPr>
            <w:r>
              <w:rPr>
                <w:color w:val="4D4D4F"/>
                <w:w w:val="105"/>
                <w:sz w:val="14"/>
              </w:rPr>
              <w:t>Forb richness drawdown</w:t>
            </w:r>
          </w:p>
        </w:tc>
        <w:tc>
          <w:tcPr>
            <w:tcW w:w="2041" w:type="dxa"/>
          </w:tcPr>
          <w:p w14:paraId="027CD7B6" w14:textId="77777777" w:rsidR="00EF5B27" w:rsidRDefault="00EF5B27">
            <w:pPr>
              <w:pStyle w:val="TableParagraph"/>
              <w:spacing w:before="7"/>
              <w:rPr>
                <w:rFonts w:ascii="Times New Roman"/>
                <w:sz w:val="14"/>
              </w:rPr>
            </w:pPr>
          </w:p>
          <w:p w14:paraId="0A6C1A11" w14:textId="77777777" w:rsidR="00EF5B27" w:rsidRDefault="00000000">
            <w:pPr>
              <w:pStyle w:val="TableParagraph"/>
              <w:spacing w:line="252" w:lineRule="auto"/>
              <w:ind w:left="615" w:right="50" w:hanging="444"/>
              <w:rPr>
                <w:sz w:val="14"/>
              </w:rPr>
            </w:pPr>
            <w:r>
              <w:rPr>
                <w:color w:val="4D4D4F"/>
                <w:w w:val="105"/>
                <w:sz w:val="14"/>
              </w:rPr>
              <w:t>Western Grassland Reserve, Windmill Rise</w:t>
            </w:r>
          </w:p>
        </w:tc>
        <w:tc>
          <w:tcPr>
            <w:tcW w:w="2154" w:type="dxa"/>
          </w:tcPr>
          <w:p w14:paraId="7030B373" w14:textId="77777777" w:rsidR="00EF5B27" w:rsidRDefault="00EF5B27">
            <w:pPr>
              <w:pStyle w:val="TableParagraph"/>
              <w:spacing w:before="5"/>
              <w:rPr>
                <w:rFonts w:ascii="Times New Roman"/>
              </w:rPr>
            </w:pPr>
          </w:p>
          <w:p w14:paraId="1761393B" w14:textId="77777777" w:rsidR="00EF5B27" w:rsidRDefault="00000000">
            <w:pPr>
              <w:pStyle w:val="TableParagraph"/>
              <w:ind w:left="941"/>
              <w:rPr>
                <w:sz w:val="14"/>
              </w:rPr>
            </w:pPr>
            <w:r>
              <w:rPr>
                <w:color w:val="4D4D4F"/>
                <w:sz w:val="14"/>
              </w:rPr>
              <w:t>2017</w:t>
            </w:r>
          </w:p>
        </w:tc>
        <w:tc>
          <w:tcPr>
            <w:tcW w:w="1134" w:type="dxa"/>
          </w:tcPr>
          <w:p w14:paraId="07DD5DBC" w14:textId="77777777" w:rsidR="00EF5B27" w:rsidRDefault="00EF5B27">
            <w:pPr>
              <w:pStyle w:val="TableParagraph"/>
              <w:spacing w:before="5"/>
              <w:rPr>
                <w:rFonts w:ascii="Times New Roman"/>
              </w:rPr>
            </w:pPr>
          </w:p>
          <w:p w14:paraId="5261ABD8" w14:textId="77777777" w:rsidR="00EF5B27" w:rsidRDefault="00000000">
            <w:pPr>
              <w:pStyle w:val="TableParagraph"/>
              <w:ind w:left="431"/>
              <w:rPr>
                <w:sz w:val="14"/>
              </w:rPr>
            </w:pPr>
            <w:r>
              <w:rPr>
                <w:color w:val="4D4D4F"/>
                <w:sz w:val="14"/>
              </w:rPr>
              <w:t>2017</w:t>
            </w:r>
          </w:p>
        </w:tc>
      </w:tr>
      <w:tr w:rsidR="00EF5B27" w14:paraId="33DD1F0C" w14:textId="77777777">
        <w:trPr>
          <w:trHeight w:val="675"/>
        </w:trPr>
        <w:tc>
          <w:tcPr>
            <w:tcW w:w="737" w:type="dxa"/>
          </w:tcPr>
          <w:p w14:paraId="111D33DB" w14:textId="77777777" w:rsidR="00EF5B27" w:rsidRDefault="00EF5B27">
            <w:pPr>
              <w:pStyle w:val="TableParagraph"/>
              <w:spacing w:before="5"/>
              <w:rPr>
                <w:rFonts w:ascii="Times New Roman"/>
              </w:rPr>
            </w:pPr>
          </w:p>
          <w:p w14:paraId="285B0FC8" w14:textId="77777777" w:rsidR="00EF5B27" w:rsidRDefault="00000000">
            <w:pPr>
              <w:pStyle w:val="TableParagraph"/>
              <w:ind w:left="5"/>
              <w:jc w:val="center"/>
              <w:rPr>
                <w:sz w:val="14"/>
              </w:rPr>
            </w:pPr>
            <w:r>
              <w:rPr>
                <w:color w:val="4D4D4F"/>
                <w:w w:val="96"/>
                <w:sz w:val="14"/>
              </w:rPr>
              <w:t>3</w:t>
            </w:r>
          </w:p>
        </w:tc>
        <w:tc>
          <w:tcPr>
            <w:tcW w:w="1361" w:type="dxa"/>
          </w:tcPr>
          <w:p w14:paraId="4879407A" w14:textId="77777777" w:rsidR="00EF5B27" w:rsidRDefault="00000000">
            <w:pPr>
              <w:pStyle w:val="TableParagraph"/>
              <w:spacing w:before="78" w:line="252" w:lineRule="auto"/>
              <w:ind w:left="324" w:right="317"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6EAB5379" w14:textId="77777777" w:rsidR="00EF5B27" w:rsidRDefault="00EF5B27">
            <w:pPr>
              <w:pStyle w:val="TableParagraph"/>
              <w:spacing w:before="5"/>
              <w:rPr>
                <w:rFonts w:ascii="Times New Roman"/>
              </w:rPr>
            </w:pPr>
          </w:p>
          <w:p w14:paraId="3DAE29EA" w14:textId="77777777" w:rsidR="00EF5B27" w:rsidRDefault="00000000">
            <w:pPr>
              <w:pStyle w:val="TableParagraph"/>
              <w:ind w:left="4"/>
              <w:jc w:val="center"/>
              <w:rPr>
                <w:sz w:val="14"/>
              </w:rPr>
            </w:pPr>
            <w:r>
              <w:rPr>
                <w:color w:val="4D4D4F"/>
                <w:w w:val="96"/>
                <w:sz w:val="14"/>
              </w:rPr>
              <w:t>2</w:t>
            </w:r>
          </w:p>
        </w:tc>
        <w:tc>
          <w:tcPr>
            <w:tcW w:w="1474" w:type="dxa"/>
          </w:tcPr>
          <w:p w14:paraId="5D8AD1A5" w14:textId="77777777" w:rsidR="00EF5B27" w:rsidRDefault="00EF5B27">
            <w:pPr>
              <w:pStyle w:val="TableParagraph"/>
              <w:spacing w:before="7"/>
              <w:rPr>
                <w:rFonts w:ascii="Times New Roman"/>
                <w:sz w:val="14"/>
              </w:rPr>
            </w:pPr>
          </w:p>
          <w:p w14:paraId="31998667" w14:textId="77777777" w:rsidR="00EF5B27" w:rsidRDefault="00000000">
            <w:pPr>
              <w:pStyle w:val="TableParagraph"/>
              <w:spacing w:line="252" w:lineRule="auto"/>
              <w:ind w:left="423" w:hanging="99"/>
              <w:rPr>
                <w:sz w:val="14"/>
              </w:rPr>
            </w:pPr>
            <w:r>
              <w:rPr>
                <w:color w:val="4D4D4F"/>
                <w:w w:val="105"/>
                <w:sz w:val="14"/>
              </w:rPr>
              <w:t>Forb richness drawdown</w:t>
            </w:r>
          </w:p>
        </w:tc>
        <w:tc>
          <w:tcPr>
            <w:tcW w:w="2041" w:type="dxa"/>
          </w:tcPr>
          <w:p w14:paraId="69C5E0A0" w14:textId="77777777" w:rsidR="00EF5B27" w:rsidRDefault="00EF5B27">
            <w:pPr>
              <w:pStyle w:val="TableParagraph"/>
              <w:spacing w:before="7"/>
              <w:rPr>
                <w:rFonts w:ascii="Times New Roman"/>
                <w:sz w:val="14"/>
              </w:rPr>
            </w:pPr>
          </w:p>
          <w:p w14:paraId="674757B4" w14:textId="77777777" w:rsidR="00EF5B27" w:rsidRDefault="00000000">
            <w:pPr>
              <w:pStyle w:val="TableParagraph"/>
              <w:spacing w:line="252" w:lineRule="auto"/>
              <w:ind w:left="612" w:right="50" w:hanging="440"/>
              <w:rPr>
                <w:sz w:val="14"/>
              </w:rPr>
            </w:pPr>
            <w:r>
              <w:rPr>
                <w:color w:val="4D4D4F"/>
                <w:sz w:val="14"/>
              </w:rPr>
              <w:t>Western Grassland Reserve, One Tree Rise</w:t>
            </w:r>
          </w:p>
        </w:tc>
        <w:tc>
          <w:tcPr>
            <w:tcW w:w="2154" w:type="dxa"/>
          </w:tcPr>
          <w:p w14:paraId="36FC7EB7" w14:textId="77777777" w:rsidR="00EF5B27" w:rsidRDefault="00EF5B27">
            <w:pPr>
              <w:pStyle w:val="TableParagraph"/>
              <w:spacing w:before="5"/>
              <w:rPr>
                <w:rFonts w:ascii="Times New Roman"/>
              </w:rPr>
            </w:pPr>
          </w:p>
          <w:p w14:paraId="0F9602A8" w14:textId="77777777" w:rsidR="00EF5B27" w:rsidRDefault="00000000">
            <w:pPr>
              <w:pStyle w:val="TableParagraph"/>
              <w:ind w:left="965"/>
              <w:rPr>
                <w:sz w:val="14"/>
              </w:rPr>
            </w:pPr>
            <w:r>
              <w:rPr>
                <w:color w:val="4D4D4F"/>
                <w:w w:val="105"/>
                <w:sz w:val="14"/>
              </w:rPr>
              <w:t>N/A</w:t>
            </w:r>
          </w:p>
        </w:tc>
        <w:tc>
          <w:tcPr>
            <w:tcW w:w="1134" w:type="dxa"/>
          </w:tcPr>
          <w:p w14:paraId="08F0A826" w14:textId="77777777" w:rsidR="00EF5B27" w:rsidRDefault="00EF5B27">
            <w:pPr>
              <w:pStyle w:val="TableParagraph"/>
              <w:spacing w:before="5"/>
              <w:rPr>
                <w:rFonts w:ascii="Times New Roman"/>
              </w:rPr>
            </w:pPr>
          </w:p>
          <w:p w14:paraId="136F675D" w14:textId="77777777" w:rsidR="00EF5B27" w:rsidRDefault="00000000">
            <w:pPr>
              <w:pStyle w:val="TableParagraph"/>
              <w:ind w:left="455"/>
              <w:rPr>
                <w:sz w:val="14"/>
              </w:rPr>
            </w:pPr>
            <w:r>
              <w:rPr>
                <w:color w:val="4D4D4F"/>
                <w:w w:val="105"/>
                <w:sz w:val="14"/>
              </w:rPr>
              <w:t>N/A</w:t>
            </w:r>
          </w:p>
        </w:tc>
      </w:tr>
      <w:tr w:rsidR="00EF5B27" w14:paraId="24C0FBFE" w14:textId="77777777">
        <w:trPr>
          <w:trHeight w:val="675"/>
        </w:trPr>
        <w:tc>
          <w:tcPr>
            <w:tcW w:w="737" w:type="dxa"/>
          </w:tcPr>
          <w:p w14:paraId="44FCD50B" w14:textId="77777777" w:rsidR="00EF5B27" w:rsidRDefault="00EF5B27">
            <w:pPr>
              <w:pStyle w:val="TableParagraph"/>
              <w:spacing w:before="5"/>
              <w:rPr>
                <w:rFonts w:ascii="Times New Roman"/>
              </w:rPr>
            </w:pPr>
          </w:p>
          <w:p w14:paraId="3285DDFD" w14:textId="77777777" w:rsidR="00EF5B27" w:rsidRDefault="00000000">
            <w:pPr>
              <w:pStyle w:val="TableParagraph"/>
              <w:ind w:left="5"/>
              <w:jc w:val="center"/>
              <w:rPr>
                <w:sz w:val="14"/>
              </w:rPr>
            </w:pPr>
            <w:r>
              <w:rPr>
                <w:color w:val="4D4D4F"/>
                <w:w w:val="96"/>
                <w:sz w:val="14"/>
              </w:rPr>
              <w:t>3</w:t>
            </w:r>
          </w:p>
        </w:tc>
        <w:tc>
          <w:tcPr>
            <w:tcW w:w="1361" w:type="dxa"/>
          </w:tcPr>
          <w:p w14:paraId="54A20854" w14:textId="77777777" w:rsidR="00EF5B27" w:rsidRDefault="00000000">
            <w:pPr>
              <w:pStyle w:val="TableParagraph"/>
              <w:spacing w:before="78" w:line="252" w:lineRule="auto"/>
              <w:ind w:left="324" w:right="317"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67265B0D" w14:textId="77777777" w:rsidR="00EF5B27" w:rsidRDefault="00EF5B27">
            <w:pPr>
              <w:pStyle w:val="TableParagraph"/>
              <w:spacing w:before="5"/>
              <w:rPr>
                <w:rFonts w:ascii="Times New Roman"/>
              </w:rPr>
            </w:pPr>
          </w:p>
          <w:p w14:paraId="457FE813" w14:textId="77777777" w:rsidR="00EF5B27" w:rsidRDefault="00000000">
            <w:pPr>
              <w:pStyle w:val="TableParagraph"/>
              <w:ind w:left="4"/>
              <w:jc w:val="center"/>
              <w:rPr>
                <w:sz w:val="14"/>
              </w:rPr>
            </w:pPr>
            <w:r>
              <w:rPr>
                <w:color w:val="4D4D4F"/>
                <w:w w:val="96"/>
                <w:sz w:val="14"/>
              </w:rPr>
              <w:t>3</w:t>
            </w:r>
          </w:p>
        </w:tc>
        <w:tc>
          <w:tcPr>
            <w:tcW w:w="1474" w:type="dxa"/>
          </w:tcPr>
          <w:p w14:paraId="56F6FF63" w14:textId="77777777" w:rsidR="00EF5B27" w:rsidRDefault="00EF5B27">
            <w:pPr>
              <w:pStyle w:val="TableParagraph"/>
              <w:spacing w:before="7"/>
              <w:rPr>
                <w:rFonts w:ascii="Times New Roman"/>
                <w:sz w:val="14"/>
              </w:rPr>
            </w:pPr>
          </w:p>
          <w:p w14:paraId="5CB054AD" w14:textId="77777777" w:rsidR="00EF5B27" w:rsidRDefault="00000000">
            <w:pPr>
              <w:pStyle w:val="TableParagraph"/>
              <w:spacing w:line="252" w:lineRule="auto"/>
              <w:ind w:left="491" w:right="283" w:hanging="182"/>
              <w:rPr>
                <w:sz w:val="14"/>
              </w:rPr>
            </w:pPr>
            <w:r>
              <w:rPr>
                <w:color w:val="4D4D4F"/>
                <w:w w:val="105"/>
                <w:sz w:val="14"/>
              </w:rPr>
              <w:t>Weeds spring- summer</w:t>
            </w:r>
          </w:p>
        </w:tc>
        <w:tc>
          <w:tcPr>
            <w:tcW w:w="2041" w:type="dxa"/>
          </w:tcPr>
          <w:p w14:paraId="73AD5746" w14:textId="77777777" w:rsidR="00EF5B27" w:rsidRDefault="00EF5B27">
            <w:pPr>
              <w:pStyle w:val="TableParagraph"/>
              <w:spacing w:before="7"/>
              <w:rPr>
                <w:rFonts w:ascii="Times New Roman"/>
                <w:sz w:val="14"/>
              </w:rPr>
            </w:pPr>
          </w:p>
          <w:p w14:paraId="5BF9FDE2" w14:textId="77777777" w:rsidR="00EF5B27" w:rsidRDefault="00000000">
            <w:pPr>
              <w:pStyle w:val="TableParagraph"/>
              <w:spacing w:line="252" w:lineRule="auto"/>
              <w:ind w:left="515" w:right="50" w:hanging="343"/>
              <w:rPr>
                <w:sz w:val="14"/>
              </w:rPr>
            </w:pPr>
            <w:r>
              <w:rPr>
                <w:color w:val="4D4D4F"/>
                <w:w w:val="105"/>
                <w:sz w:val="14"/>
              </w:rPr>
              <w:t>Western Grassland Reserve, Cobbledicks Rise</w:t>
            </w:r>
          </w:p>
        </w:tc>
        <w:tc>
          <w:tcPr>
            <w:tcW w:w="2154" w:type="dxa"/>
          </w:tcPr>
          <w:p w14:paraId="208D9ED8" w14:textId="77777777" w:rsidR="00EF5B27" w:rsidRDefault="00EF5B27">
            <w:pPr>
              <w:pStyle w:val="TableParagraph"/>
              <w:spacing w:before="5"/>
              <w:rPr>
                <w:rFonts w:ascii="Times New Roman"/>
              </w:rPr>
            </w:pPr>
          </w:p>
          <w:p w14:paraId="741392D7" w14:textId="77777777" w:rsidR="00EF5B27" w:rsidRDefault="00000000">
            <w:pPr>
              <w:pStyle w:val="TableParagraph"/>
              <w:ind w:left="940"/>
              <w:rPr>
                <w:sz w:val="14"/>
              </w:rPr>
            </w:pPr>
            <w:r>
              <w:rPr>
                <w:color w:val="4D4D4F"/>
                <w:sz w:val="14"/>
              </w:rPr>
              <w:t>2014</w:t>
            </w:r>
          </w:p>
        </w:tc>
        <w:tc>
          <w:tcPr>
            <w:tcW w:w="1134" w:type="dxa"/>
          </w:tcPr>
          <w:p w14:paraId="2DF54229" w14:textId="77777777" w:rsidR="00EF5B27" w:rsidRDefault="00EF5B27">
            <w:pPr>
              <w:pStyle w:val="TableParagraph"/>
              <w:spacing w:before="5"/>
              <w:rPr>
                <w:rFonts w:ascii="Times New Roman"/>
              </w:rPr>
            </w:pPr>
          </w:p>
          <w:p w14:paraId="34F7E2B5" w14:textId="77777777" w:rsidR="00EF5B27" w:rsidRDefault="00000000">
            <w:pPr>
              <w:pStyle w:val="TableParagraph"/>
              <w:ind w:left="430"/>
              <w:rPr>
                <w:sz w:val="14"/>
              </w:rPr>
            </w:pPr>
            <w:r>
              <w:rPr>
                <w:color w:val="4D4D4F"/>
                <w:sz w:val="14"/>
              </w:rPr>
              <w:t>2018</w:t>
            </w:r>
          </w:p>
        </w:tc>
      </w:tr>
      <w:tr w:rsidR="00EF5B27" w14:paraId="12598431" w14:textId="77777777">
        <w:trPr>
          <w:trHeight w:val="675"/>
        </w:trPr>
        <w:tc>
          <w:tcPr>
            <w:tcW w:w="737" w:type="dxa"/>
          </w:tcPr>
          <w:p w14:paraId="1A9008A1" w14:textId="77777777" w:rsidR="00EF5B27" w:rsidRDefault="00EF5B27">
            <w:pPr>
              <w:pStyle w:val="TableParagraph"/>
              <w:spacing w:before="5"/>
              <w:rPr>
                <w:rFonts w:ascii="Times New Roman"/>
              </w:rPr>
            </w:pPr>
          </w:p>
          <w:p w14:paraId="22A7DBA9" w14:textId="77777777" w:rsidR="00EF5B27" w:rsidRDefault="00000000">
            <w:pPr>
              <w:pStyle w:val="TableParagraph"/>
              <w:ind w:left="5"/>
              <w:jc w:val="center"/>
              <w:rPr>
                <w:sz w:val="14"/>
              </w:rPr>
            </w:pPr>
            <w:r>
              <w:rPr>
                <w:color w:val="4D4D4F"/>
                <w:w w:val="96"/>
                <w:sz w:val="14"/>
              </w:rPr>
              <w:t>3</w:t>
            </w:r>
          </w:p>
        </w:tc>
        <w:tc>
          <w:tcPr>
            <w:tcW w:w="1361" w:type="dxa"/>
          </w:tcPr>
          <w:p w14:paraId="1CA2ADB3" w14:textId="77777777" w:rsidR="00EF5B27" w:rsidRDefault="00000000">
            <w:pPr>
              <w:pStyle w:val="TableParagraph"/>
              <w:spacing w:before="78" w:line="252" w:lineRule="auto"/>
              <w:ind w:left="324" w:right="317"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27EE748F" w14:textId="77777777" w:rsidR="00EF5B27" w:rsidRDefault="00EF5B27">
            <w:pPr>
              <w:pStyle w:val="TableParagraph"/>
              <w:spacing w:before="5"/>
              <w:rPr>
                <w:rFonts w:ascii="Times New Roman"/>
              </w:rPr>
            </w:pPr>
          </w:p>
          <w:p w14:paraId="01FA6533" w14:textId="77777777" w:rsidR="00EF5B27" w:rsidRDefault="00000000">
            <w:pPr>
              <w:pStyle w:val="TableParagraph"/>
              <w:ind w:left="4"/>
              <w:jc w:val="center"/>
              <w:rPr>
                <w:sz w:val="14"/>
              </w:rPr>
            </w:pPr>
            <w:r>
              <w:rPr>
                <w:color w:val="4D4D4F"/>
                <w:w w:val="96"/>
                <w:sz w:val="14"/>
              </w:rPr>
              <w:t>3</w:t>
            </w:r>
          </w:p>
        </w:tc>
        <w:tc>
          <w:tcPr>
            <w:tcW w:w="1474" w:type="dxa"/>
          </w:tcPr>
          <w:p w14:paraId="7E09016F" w14:textId="77777777" w:rsidR="00EF5B27" w:rsidRDefault="00EF5B27">
            <w:pPr>
              <w:pStyle w:val="TableParagraph"/>
              <w:spacing w:before="7"/>
              <w:rPr>
                <w:rFonts w:ascii="Times New Roman"/>
                <w:sz w:val="14"/>
              </w:rPr>
            </w:pPr>
          </w:p>
          <w:p w14:paraId="3A88EA1A" w14:textId="77777777" w:rsidR="00EF5B27" w:rsidRDefault="00000000">
            <w:pPr>
              <w:pStyle w:val="TableParagraph"/>
              <w:spacing w:line="252" w:lineRule="auto"/>
              <w:ind w:left="490" w:right="284" w:hanging="182"/>
              <w:rPr>
                <w:sz w:val="14"/>
              </w:rPr>
            </w:pPr>
            <w:r>
              <w:rPr>
                <w:color w:val="4D4D4F"/>
                <w:w w:val="105"/>
                <w:sz w:val="14"/>
              </w:rPr>
              <w:t>Weeds spring- summer</w:t>
            </w:r>
          </w:p>
        </w:tc>
        <w:tc>
          <w:tcPr>
            <w:tcW w:w="2041" w:type="dxa"/>
          </w:tcPr>
          <w:p w14:paraId="3189ABB5" w14:textId="77777777" w:rsidR="00EF5B27" w:rsidRDefault="00EF5B27">
            <w:pPr>
              <w:pStyle w:val="TableParagraph"/>
              <w:spacing w:before="7"/>
              <w:rPr>
                <w:rFonts w:ascii="Times New Roman"/>
                <w:sz w:val="14"/>
              </w:rPr>
            </w:pPr>
          </w:p>
          <w:p w14:paraId="098D0471" w14:textId="77777777" w:rsidR="00EF5B27" w:rsidRDefault="00000000">
            <w:pPr>
              <w:pStyle w:val="TableParagraph"/>
              <w:spacing w:line="252" w:lineRule="auto"/>
              <w:ind w:left="615" w:right="50" w:hanging="444"/>
              <w:rPr>
                <w:sz w:val="14"/>
              </w:rPr>
            </w:pPr>
            <w:r>
              <w:rPr>
                <w:color w:val="4D4D4F"/>
                <w:w w:val="105"/>
                <w:sz w:val="14"/>
              </w:rPr>
              <w:t>Western Grassland Reserve, Windmill Rise</w:t>
            </w:r>
          </w:p>
        </w:tc>
        <w:tc>
          <w:tcPr>
            <w:tcW w:w="2154" w:type="dxa"/>
          </w:tcPr>
          <w:p w14:paraId="01F013AF" w14:textId="77777777" w:rsidR="00EF5B27" w:rsidRDefault="00EF5B27">
            <w:pPr>
              <w:pStyle w:val="TableParagraph"/>
              <w:spacing w:before="5"/>
              <w:rPr>
                <w:rFonts w:ascii="Times New Roman"/>
              </w:rPr>
            </w:pPr>
          </w:p>
          <w:p w14:paraId="722FCFA0" w14:textId="77777777" w:rsidR="00EF5B27" w:rsidRDefault="00000000">
            <w:pPr>
              <w:pStyle w:val="TableParagraph"/>
              <w:ind w:left="940"/>
              <w:rPr>
                <w:sz w:val="14"/>
              </w:rPr>
            </w:pPr>
            <w:r>
              <w:rPr>
                <w:color w:val="4D4D4F"/>
                <w:sz w:val="14"/>
              </w:rPr>
              <w:t>2014</w:t>
            </w:r>
          </w:p>
        </w:tc>
        <w:tc>
          <w:tcPr>
            <w:tcW w:w="1134" w:type="dxa"/>
          </w:tcPr>
          <w:p w14:paraId="2F3D3007" w14:textId="77777777" w:rsidR="00EF5B27" w:rsidRDefault="00EF5B27">
            <w:pPr>
              <w:pStyle w:val="TableParagraph"/>
              <w:spacing w:before="5"/>
              <w:rPr>
                <w:rFonts w:ascii="Times New Roman"/>
              </w:rPr>
            </w:pPr>
          </w:p>
          <w:p w14:paraId="59685389" w14:textId="77777777" w:rsidR="00EF5B27" w:rsidRDefault="00000000">
            <w:pPr>
              <w:pStyle w:val="TableParagraph"/>
              <w:ind w:left="430"/>
              <w:rPr>
                <w:sz w:val="14"/>
              </w:rPr>
            </w:pPr>
            <w:r>
              <w:rPr>
                <w:color w:val="4D4D4F"/>
                <w:sz w:val="14"/>
              </w:rPr>
              <w:t>2018</w:t>
            </w:r>
          </w:p>
        </w:tc>
      </w:tr>
      <w:tr w:rsidR="00EF5B27" w14:paraId="50F18C3A" w14:textId="77777777">
        <w:trPr>
          <w:trHeight w:val="675"/>
        </w:trPr>
        <w:tc>
          <w:tcPr>
            <w:tcW w:w="737" w:type="dxa"/>
          </w:tcPr>
          <w:p w14:paraId="0F3101FA" w14:textId="77777777" w:rsidR="00EF5B27" w:rsidRDefault="00EF5B27">
            <w:pPr>
              <w:pStyle w:val="TableParagraph"/>
              <w:spacing w:before="5"/>
              <w:rPr>
                <w:rFonts w:ascii="Times New Roman"/>
              </w:rPr>
            </w:pPr>
          </w:p>
          <w:p w14:paraId="662593CF" w14:textId="77777777" w:rsidR="00EF5B27" w:rsidRDefault="00000000">
            <w:pPr>
              <w:pStyle w:val="TableParagraph"/>
              <w:ind w:left="4"/>
              <w:jc w:val="center"/>
              <w:rPr>
                <w:sz w:val="14"/>
              </w:rPr>
            </w:pPr>
            <w:r>
              <w:rPr>
                <w:color w:val="4D4D4F"/>
                <w:w w:val="96"/>
                <w:sz w:val="14"/>
              </w:rPr>
              <w:t>3</w:t>
            </w:r>
          </w:p>
        </w:tc>
        <w:tc>
          <w:tcPr>
            <w:tcW w:w="1361" w:type="dxa"/>
          </w:tcPr>
          <w:p w14:paraId="4AA44AAF" w14:textId="77777777" w:rsidR="00EF5B27" w:rsidRDefault="00000000">
            <w:pPr>
              <w:pStyle w:val="TableParagraph"/>
              <w:spacing w:before="78" w:line="252" w:lineRule="auto"/>
              <w:ind w:left="324" w:right="317"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1BD1F74A" w14:textId="77777777" w:rsidR="00EF5B27" w:rsidRDefault="00EF5B27">
            <w:pPr>
              <w:pStyle w:val="TableParagraph"/>
              <w:spacing w:before="5"/>
              <w:rPr>
                <w:rFonts w:ascii="Times New Roman"/>
              </w:rPr>
            </w:pPr>
          </w:p>
          <w:p w14:paraId="610891F2" w14:textId="77777777" w:rsidR="00EF5B27" w:rsidRDefault="00000000">
            <w:pPr>
              <w:pStyle w:val="TableParagraph"/>
              <w:ind w:left="4"/>
              <w:jc w:val="center"/>
              <w:rPr>
                <w:sz w:val="14"/>
              </w:rPr>
            </w:pPr>
            <w:r>
              <w:rPr>
                <w:color w:val="4D4D4F"/>
                <w:w w:val="96"/>
                <w:sz w:val="14"/>
              </w:rPr>
              <w:t>3</w:t>
            </w:r>
          </w:p>
        </w:tc>
        <w:tc>
          <w:tcPr>
            <w:tcW w:w="1474" w:type="dxa"/>
          </w:tcPr>
          <w:p w14:paraId="20D3D65F" w14:textId="77777777" w:rsidR="00EF5B27" w:rsidRDefault="00EF5B27">
            <w:pPr>
              <w:pStyle w:val="TableParagraph"/>
              <w:spacing w:before="7"/>
              <w:rPr>
                <w:rFonts w:ascii="Times New Roman"/>
                <w:sz w:val="14"/>
              </w:rPr>
            </w:pPr>
          </w:p>
          <w:p w14:paraId="79D3ABBD" w14:textId="77777777" w:rsidR="00EF5B27" w:rsidRDefault="00000000">
            <w:pPr>
              <w:pStyle w:val="TableParagraph"/>
              <w:spacing w:line="252" w:lineRule="auto"/>
              <w:ind w:left="490" w:right="284" w:hanging="182"/>
              <w:rPr>
                <w:sz w:val="14"/>
              </w:rPr>
            </w:pPr>
            <w:r>
              <w:rPr>
                <w:color w:val="4D4D4F"/>
                <w:w w:val="105"/>
                <w:sz w:val="14"/>
              </w:rPr>
              <w:t>Weeds spring- summer</w:t>
            </w:r>
          </w:p>
        </w:tc>
        <w:tc>
          <w:tcPr>
            <w:tcW w:w="2041" w:type="dxa"/>
          </w:tcPr>
          <w:p w14:paraId="48705876" w14:textId="77777777" w:rsidR="00EF5B27" w:rsidRDefault="00EF5B27">
            <w:pPr>
              <w:pStyle w:val="TableParagraph"/>
              <w:spacing w:before="7"/>
              <w:rPr>
                <w:rFonts w:ascii="Times New Roman"/>
                <w:sz w:val="14"/>
              </w:rPr>
            </w:pPr>
          </w:p>
          <w:p w14:paraId="18FE88CD" w14:textId="77777777" w:rsidR="00EF5B27" w:rsidRDefault="00000000">
            <w:pPr>
              <w:pStyle w:val="TableParagraph"/>
              <w:spacing w:line="252" w:lineRule="auto"/>
              <w:ind w:left="612" w:right="50" w:hanging="440"/>
              <w:rPr>
                <w:sz w:val="14"/>
              </w:rPr>
            </w:pPr>
            <w:r>
              <w:rPr>
                <w:color w:val="4D4D4F"/>
                <w:sz w:val="14"/>
              </w:rPr>
              <w:t>Western Grassland Reserve, One Tree Rise</w:t>
            </w:r>
          </w:p>
        </w:tc>
        <w:tc>
          <w:tcPr>
            <w:tcW w:w="2154" w:type="dxa"/>
          </w:tcPr>
          <w:p w14:paraId="77D2E375" w14:textId="77777777" w:rsidR="00EF5B27" w:rsidRDefault="00EF5B27">
            <w:pPr>
              <w:pStyle w:val="TableParagraph"/>
              <w:spacing w:before="5"/>
              <w:rPr>
                <w:rFonts w:ascii="Times New Roman"/>
              </w:rPr>
            </w:pPr>
          </w:p>
          <w:p w14:paraId="706CE82D" w14:textId="77777777" w:rsidR="00EF5B27" w:rsidRDefault="00000000">
            <w:pPr>
              <w:pStyle w:val="TableParagraph"/>
              <w:ind w:left="940"/>
              <w:rPr>
                <w:sz w:val="14"/>
              </w:rPr>
            </w:pPr>
            <w:r>
              <w:rPr>
                <w:color w:val="4D4D4F"/>
                <w:sz w:val="14"/>
              </w:rPr>
              <w:t>2014</w:t>
            </w:r>
          </w:p>
        </w:tc>
        <w:tc>
          <w:tcPr>
            <w:tcW w:w="1134" w:type="dxa"/>
          </w:tcPr>
          <w:p w14:paraId="1D13FD1D" w14:textId="77777777" w:rsidR="00EF5B27" w:rsidRDefault="00EF5B27">
            <w:pPr>
              <w:pStyle w:val="TableParagraph"/>
              <w:spacing w:before="5"/>
              <w:rPr>
                <w:rFonts w:ascii="Times New Roman"/>
              </w:rPr>
            </w:pPr>
          </w:p>
          <w:p w14:paraId="22E1F144" w14:textId="77777777" w:rsidR="00EF5B27" w:rsidRDefault="00000000">
            <w:pPr>
              <w:pStyle w:val="TableParagraph"/>
              <w:ind w:left="430"/>
              <w:rPr>
                <w:sz w:val="14"/>
              </w:rPr>
            </w:pPr>
            <w:r>
              <w:rPr>
                <w:color w:val="4D4D4F"/>
                <w:sz w:val="14"/>
              </w:rPr>
              <w:t>2018</w:t>
            </w:r>
          </w:p>
        </w:tc>
      </w:tr>
      <w:tr w:rsidR="00EF5B27" w14:paraId="60A2DA4E" w14:textId="77777777">
        <w:trPr>
          <w:trHeight w:val="675"/>
        </w:trPr>
        <w:tc>
          <w:tcPr>
            <w:tcW w:w="737" w:type="dxa"/>
          </w:tcPr>
          <w:p w14:paraId="5D9D74B2" w14:textId="77777777" w:rsidR="00EF5B27" w:rsidRDefault="00EF5B27">
            <w:pPr>
              <w:pStyle w:val="TableParagraph"/>
              <w:spacing w:before="5"/>
              <w:rPr>
                <w:rFonts w:ascii="Times New Roman"/>
              </w:rPr>
            </w:pPr>
          </w:p>
          <w:p w14:paraId="7C92B284" w14:textId="77777777" w:rsidR="00EF5B27" w:rsidRDefault="00000000">
            <w:pPr>
              <w:pStyle w:val="TableParagraph"/>
              <w:ind w:left="4"/>
              <w:jc w:val="center"/>
              <w:rPr>
                <w:sz w:val="14"/>
              </w:rPr>
            </w:pPr>
            <w:r>
              <w:rPr>
                <w:color w:val="4D4D4F"/>
                <w:w w:val="96"/>
                <w:sz w:val="14"/>
              </w:rPr>
              <w:t>3</w:t>
            </w:r>
          </w:p>
        </w:tc>
        <w:tc>
          <w:tcPr>
            <w:tcW w:w="1361" w:type="dxa"/>
          </w:tcPr>
          <w:p w14:paraId="22D77AB3" w14:textId="77777777" w:rsidR="00EF5B27" w:rsidRDefault="00000000">
            <w:pPr>
              <w:pStyle w:val="TableParagraph"/>
              <w:spacing w:before="78" w:line="252" w:lineRule="auto"/>
              <w:ind w:left="324" w:right="318"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3F8AEB89" w14:textId="77777777" w:rsidR="00EF5B27" w:rsidRDefault="00EF5B27">
            <w:pPr>
              <w:pStyle w:val="TableParagraph"/>
              <w:spacing w:before="5"/>
              <w:rPr>
                <w:rFonts w:ascii="Times New Roman"/>
              </w:rPr>
            </w:pPr>
          </w:p>
          <w:p w14:paraId="4F7ABDB0" w14:textId="77777777" w:rsidR="00EF5B27" w:rsidRDefault="00000000">
            <w:pPr>
              <w:pStyle w:val="TableParagraph"/>
              <w:ind w:left="3"/>
              <w:jc w:val="center"/>
              <w:rPr>
                <w:sz w:val="14"/>
              </w:rPr>
            </w:pPr>
            <w:r>
              <w:rPr>
                <w:color w:val="4D4D4F"/>
                <w:w w:val="96"/>
                <w:sz w:val="14"/>
              </w:rPr>
              <w:t>4</w:t>
            </w:r>
          </w:p>
        </w:tc>
        <w:tc>
          <w:tcPr>
            <w:tcW w:w="1474" w:type="dxa"/>
          </w:tcPr>
          <w:p w14:paraId="32CBD763" w14:textId="77777777" w:rsidR="00EF5B27" w:rsidRDefault="00EF5B27">
            <w:pPr>
              <w:pStyle w:val="TableParagraph"/>
              <w:spacing w:before="5"/>
              <w:rPr>
                <w:rFonts w:ascii="Times New Roman"/>
              </w:rPr>
            </w:pPr>
          </w:p>
          <w:p w14:paraId="5112D19F" w14:textId="77777777" w:rsidR="00EF5B27" w:rsidRDefault="00000000">
            <w:pPr>
              <w:pStyle w:val="TableParagraph"/>
              <w:ind w:left="123" w:right="120"/>
              <w:jc w:val="center"/>
              <w:rPr>
                <w:sz w:val="14"/>
              </w:rPr>
            </w:pPr>
            <w:r>
              <w:rPr>
                <w:color w:val="4D4D4F"/>
                <w:sz w:val="14"/>
              </w:rPr>
              <w:t>Weeds drawdown</w:t>
            </w:r>
          </w:p>
        </w:tc>
        <w:tc>
          <w:tcPr>
            <w:tcW w:w="2041" w:type="dxa"/>
          </w:tcPr>
          <w:p w14:paraId="5A00A6BD" w14:textId="77777777" w:rsidR="00EF5B27" w:rsidRDefault="00EF5B27">
            <w:pPr>
              <w:pStyle w:val="TableParagraph"/>
              <w:spacing w:before="7"/>
              <w:rPr>
                <w:rFonts w:ascii="Times New Roman"/>
                <w:sz w:val="14"/>
              </w:rPr>
            </w:pPr>
          </w:p>
          <w:p w14:paraId="660982AA" w14:textId="77777777" w:rsidR="00EF5B27" w:rsidRDefault="00000000">
            <w:pPr>
              <w:pStyle w:val="TableParagraph"/>
              <w:spacing w:line="252" w:lineRule="auto"/>
              <w:ind w:left="515" w:right="50" w:hanging="343"/>
              <w:rPr>
                <w:sz w:val="14"/>
              </w:rPr>
            </w:pPr>
            <w:r>
              <w:rPr>
                <w:color w:val="4D4D4F"/>
                <w:w w:val="105"/>
                <w:sz w:val="14"/>
              </w:rPr>
              <w:t>Western Grassland Reserve, Cobbledicks Rise</w:t>
            </w:r>
          </w:p>
        </w:tc>
        <w:tc>
          <w:tcPr>
            <w:tcW w:w="2154" w:type="dxa"/>
          </w:tcPr>
          <w:p w14:paraId="15E6A414" w14:textId="77777777" w:rsidR="00EF5B27" w:rsidRDefault="00EF5B27">
            <w:pPr>
              <w:pStyle w:val="TableParagraph"/>
              <w:spacing w:before="5"/>
              <w:rPr>
                <w:rFonts w:ascii="Times New Roman"/>
              </w:rPr>
            </w:pPr>
          </w:p>
          <w:p w14:paraId="4C315175" w14:textId="77777777" w:rsidR="00EF5B27" w:rsidRDefault="00000000">
            <w:pPr>
              <w:pStyle w:val="TableParagraph"/>
              <w:ind w:left="941"/>
              <w:rPr>
                <w:sz w:val="14"/>
              </w:rPr>
            </w:pPr>
            <w:r>
              <w:rPr>
                <w:color w:val="4D4D4F"/>
                <w:sz w:val="14"/>
              </w:rPr>
              <w:t>2017</w:t>
            </w:r>
          </w:p>
        </w:tc>
        <w:tc>
          <w:tcPr>
            <w:tcW w:w="1134" w:type="dxa"/>
          </w:tcPr>
          <w:p w14:paraId="1B0EC634" w14:textId="77777777" w:rsidR="00EF5B27" w:rsidRDefault="00EF5B27">
            <w:pPr>
              <w:pStyle w:val="TableParagraph"/>
              <w:spacing w:before="5"/>
              <w:rPr>
                <w:rFonts w:ascii="Times New Roman"/>
              </w:rPr>
            </w:pPr>
          </w:p>
          <w:p w14:paraId="20D6846C" w14:textId="77777777" w:rsidR="00EF5B27" w:rsidRDefault="00000000">
            <w:pPr>
              <w:pStyle w:val="TableParagraph"/>
              <w:ind w:left="431"/>
              <w:rPr>
                <w:sz w:val="14"/>
              </w:rPr>
            </w:pPr>
            <w:r>
              <w:rPr>
                <w:color w:val="4D4D4F"/>
                <w:sz w:val="14"/>
              </w:rPr>
              <w:t>2017</w:t>
            </w:r>
          </w:p>
        </w:tc>
      </w:tr>
      <w:tr w:rsidR="00EF5B27" w14:paraId="6B8A11A6" w14:textId="77777777">
        <w:trPr>
          <w:trHeight w:val="675"/>
        </w:trPr>
        <w:tc>
          <w:tcPr>
            <w:tcW w:w="737" w:type="dxa"/>
          </w:tcPr>
          <w:p w14:paraId="629DCF94" w14:textId="77777777" w:rsidR="00EF5B27" w:rsidRDefault="00EF5B27">
            <w:pPr>
              <w:pStyle w:val="TableParagraph"/>
              <w:spacing w:before="5"/>
              <w:rPr>
                <w:rFonts w:ascii="Times New Roman"/>
              </w:rPr>
            </w:pPr>
          </w:p>
          <w:p w14:paraId="5B315A86" w14:textId="77777777" w:rsidR="00EF5B27" w:rsidRDefault="00000000">
            <w:pPr>
              <w:pStyle w:val="TableParagraph"/>
              <w:ind w:left="4"/>
              <w:jc w:val="center"/>
              <w:rPr>
                <w:sz w:val="14"/>
              </w:rPr>
            </w:pPr>
            <w:r>
              <w:rPr>
                <w:color w:val="4D4D4F"/>
                <w:w w:val="96"/>
                <w:sz w:val="14"/>
              </w:rPr>
              <w:t>3</w:t>
            </w:r>
          </w:p>
        </w:tc>
        <w:tc>
          <w:tcPr>
            <w:tcW w:w="1361" w:type="dxa"/>
          </w:tcPr>
          <w:p w14:paraId="0F6AA6E4" w14:textId="77777777" w:rsidR="00EF5B27" w:rsidRDefault="00000000">
            <w:pPr>
              <w:pStyle w:val="TableParagraph"/>
              <w:spacing w:before="78" w:line="252" w:lineRule="auto"/>
              <w:ind w:left="324" w:right="317"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09913500" w14:textId="77777777" w:rsidR="00EF5B27" w:rsidRDefault="00EF5B27">
            <w:pPr>
              <w:pStyle w:val="TableParagraph"/>
              <w:spacing w:before="5"/>
              <w:rPr>
                <w:rFonts w:ascii="Times New Roman"/>
              </w:rPr>
            </w:pPr>
          </w:p>
          <w:p w14:paraId="22AAEF02" w14:textId="77777777" w:rsidR="00EF5B27" w:rsidRDefault="00000000">
            <w:pPr>
              <w:pStyle w:val="TableParagraph"/>
              <w:ind w:left="4"/>
              <w:jc w:val="center"/>
              <w:rPr>
                <w:sz w:val="14"/>
              </w:rPr>
            </w:pPr>
            <w:r>
              <w:rPr>
                <w:color w:val="4D4D4F"/>
                <w:w w:val="96"/>
                <w:sz w:val="14"/>
              </w:rPr>
              <w:t>4</w:t>
            </w:r>
          </w:p>
        </w:tc>
        <w:tc>
          <w:tcPr>
            <w:tcW w:w="1474" w:type="dxa"/>
          </w:tcPr>
          <w:p w14:paraId="129FE770" w14:textId="77777777" w:rsidR="00EF5B27" w:rsidRDefault="00EF5B27">
            <w:pPr>
              <w:pStyle w:val="TableParagraph"/>
              <w:spacing w:before="5"/>
              <w:rPr>
                <w:rFonts w:ascii="Times New Roman"/>
              </w:rPr>
            </w:pPr>
          </w:p>
          <w:p w14:paraId="1B7E60A6" w14:textId="77777777" w:rsidR="00EF5B27" w:rsidRDefault="00000000">
            <w:pPr>
              <w:pStyle w:val="TableParagraph"/>
              <w:ind w:left="124" w:right="120"/>
              <w:jc w:val="center"/>
              <w:rPr>
                <w:sz w:val="14"/>
              </w:rPr>
            </w:pPr>
            <w:r>
              <w:rPr>
                <w:color w:val="4D4D4F"/>
                <w:sz w:val="14"/>
              </w:rPr>
              <w:t>Weeds drawdown</w:t>
            </w:r>
          </w:p>
        </w:tc>
        <w:tc>
          <w:tcPr>
            <w:tcW w:w="2041" w:type="dxa"/>
          </w:tcPr>
          <w:p w14:paraId="5A4E732E" w14:textId="77777777" w:rsidR="00EF5B27" w:rsidRDefault="00EF5B27">
            <w:pPr>
              <w:pStyle w:val="TableParagraph"/>
              <w:spacing w:before="7"/>
              <w:rPr>
                <w:rFonts w:ascii="Times New Roman"/>
                <w:sz w:val="14"/>
              </w:rPr>
            </w:pPr>
          </w:p>
          <w:p w14:paraId="0EA5925E" w14:textId="77777777" w:rsidR="00EF5B27" w:rsidRDefault="00000000">
            <w:pPr>
              <w:pStyle w:val="TableParagraph"/>
              <w:spacing w:line="252" w:lineRule="auto"/>
              <w:ind w:left="615" w:right="50" w:hanging="444"/>
              <w:rPr>
                <w:sz w:val="14"/>
              </w:rPr>
            </w:pPr>
            <w:r>
              <w:rPr>
                <w:color w:val="4D4D4F"/>
                <w:w w:val="105"/>
                <w:sz w:val="14"/>
              </w:rPr>
              <w:t>Western Grassland Reserve, Windmill Rise</w:t>
            </w:r>
          </w:p>
        </w:tc>
        <w:tc>
          <w:tcPr>
            <w:tcW w:w="2154" w:type="dxa"/>
          </w:tcPr>
          <w:p w14:paraId="00ECCDC9" w14:textId="77777777" w:rsidR="00EF5B27" w:rsidRDefault="00EF5B27">
            <w:pPr>
              <w:pStyle w:val="TableParagraph"/>
              <w:spacing w:before="5"/>
              <w:rPr>
                <w:rFonts w:ascii="Times New Roman"/>
              </w:rPr>
            </w:pPr>
          </w:p>
          <w:p w14:paraId="179F3CE3" w14:textId="77777777" w:rsidR="00EF5B27" w:rsidRDefault="00000000">
            <w:pPr>
              <w:pStyle w:val="TableParagraph"/>
              <w:ind w:left="941"/>
              <w:rPr>
                <w:sz w:val="14"/>
              </w:rPr>
            </w:pPr>
            <w:r>
              <w:rPr>
                <w:color w:val="4D4D4F"/>
                <w:sz w:val="14"/>
              </w:rPr>
              <w:t>2017</w:t>
            </w:r>
          </w:p>
        </w:tc>
        <w:tc>
          <w:tcPr>
            <w:tcW w:w="1134" w:type="dxa"/>
          </w:tcPr>
          <w:p w14:paraId="52EF9207" w14:textId="77777777" w:rsidR="00EF5B27" w:rsidRDefault="00EF5B27">
            <w:pPr>
              <w:pStyle w:val="TableParagraph"/>
              <w:spacing w:before="5"/>
              <w:rPr>
                <w:rFonts w:ascii="Times New Roman"/>
              </w:rPr>
            </w:pPr>
          </w:p>
          <w:p w14:paraId="4BC1F969" w14:textId="77777777" w:rsidR="00EF5B27" w:rsidRDefault="00000000">
            <w:pPr>
              <w:pStyle w:val="TableParagraph"/>
              <w:ind w:left="431"/>
              <w:rPr>
                <w:sz w:val="14"/>
              </w:rPr>
            </w:pPr>
            <w:r>
              <w:rPr>
                <w:color w:val="4D4D4F"/>
                <w:sz w:val="14"/>
              </w:rPr>
              <w:t>2017</w:t>
            </w:r>
          </w:p>
        </w:tc>
      </w:tr>
      <w:tr w:rsidR="00EF5B27" w14:paraId="3008A8DB" w14:textId="77777777">
        <w:trPr>
          <w:trHeight w:val="675"/>
        </w:trPr>
        <w:tc>
          <w:tcPr>
            <w:tcW w:w="737" w:type="dxa"/>
          </w:tcPr>
          <w:p w14:paraId="2AD40BB6" w14:textId="77777777" w:rsidR="00EF5B27" w:rsidRDefault="00EF5B27">
            <w:pPr>
              <w:pStyle w:val="TableParagraph"/>
              <w:spacing w:before="5"/>
              <w:rPr>
                <w:rFonts w:ascii="Times New Roman"/>
              </w:rPr>
            </w:pPr>
          </w:p>
          <w:p w14:paraId="23D20914" w14:textId="77777777" w:rsidR="00EF5B27" w:rsidRDefault="00000000">
            <w:pPr>
              <w:pStyle w:val="TableParagraph"/>
              <w:ind w:left="5"/>
              <w:jc w:val="center"/>
              <w:rPr>
                <w:sz w:val="14"/>
              </w:rPr>
            </w:pPr>
            <w:r>
              <w:rPr>
                <w:color w:val="4D4D4F"/>
                <w:w w:val="96"/>
                <w:sz w:val="14"/>
              </w:rPr>
              <w:t>3</w:t>
            </w:r>
          </w:p>
        </w:tc>
        <w:tc>
          <w:tcPr>
            <w:tcW w:w="1361" w:type="dxa"/>
          </w:tcPr>
          <w:p w14:paraId="4BB31470" w14:textId="77777777" w:rsidR="00EF5B27" w:rsidRDefault="00000000">
            <w:pPr>
              <w:pStyle w:val="TableParagraph"/>
              <w:spacing w:before="78" w:line="252" w:lineRule="auto"/>
              <w:ind w:left="324" w:right="317"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3023F42A" w14:textId="77777777" w:rsidR="00EF5B27" w:rsidRDefault="00EF5B27">
            <w:pPr>
              <w:pStyle w:val="TableParagraph"/>
              <w:spacing w:before="5"/>
              <w:rPr>
                <w:rFonts w:ascii="Times New Roman"/>
              </w:rPr>
            </w:pPr>
          </w:p>
          <w:p w14:paraId="6E5AC32D" w14:textId="77777777" w:rsidR="00EF5B27" w:rsidRDefault="00000000">
            <w:pPr>
              <w:pStyle w:val="TableParagraph"/>
              <w:ind w:left="4"/>
              <w:jc w:val="center"/>
              <w:rPr>
                <w:sz w:val="14"/>
              </w:rPr>
            </w:pPr>
            <w:r>
              <w:rPr>
                <w:color w:val="4D4D4F"/>
                <w:w w:val="96"/>
                <w:sz w:val="14"/>
              </w:rPr>
              <w:t>4</w:t>
            </w:r>
          </w:p>
        </w:tc>
        <w:tc>
          <w:tcPr>
            <w:tcW w:w="1474" w:type="dxa"/>
          </w:tcPr>
          <w:p w14:paraId="2AFE7FF9" w14:textId="77777777" w:rsidR="00EF5B27" w:rsidRDefault="00EF5B27">
            <w:pPr>
              <w:pStyle w:val="TableParagraph"/>
              <w:spacing w:before="5"/>
              <w:rPr>
                <w:rFonts w:ascii="Times New Roman"/>
              </w:rPr>
            </w:pPr>
          </w:p>
          <w:p w14:paraId="00803938" w14:textId="77777777" w:rsidR="00EF5B27" w:rsidRDefault="00000000">
            <w:pPr>
              <w:pStyle w:val="TableParagraph"/>
              <w:ind w:left="124" w:right="120"/>
              <w:jc w:val="center"/>
              <w:rPr>
                <w:sz w:val="14"/>
              </w:rPr>
            </w:pPr>
            <w:r>
              <w:rPr>
                <w:color w:val="4D4D4F"/>
                <w:sz w:val="14"/>
              </w:rPr>
              <w:t>Weeds drawdown</w:t>
            </w:r>
          </w:p>
        </w:tc>
        <w:tc>
          <w:tcPr>
            <w:tcW w:w="2041" w:type="dxa"/>
          </w:tcPr>
          <w:p w14:paraId="521FD0F1" w14:textId="77777777" w:rsidR="00EF5B27" w:rsidRDefault="00EF5B27">
            <w:pPr>
              <w:pStyle w:val="TableParagraph"/>
              <w:spacing w:before="7"/>
              <w:rPr>
                <w:rFonts w:ascii="Times New Roman"/>
                <w:sz w:val="14"/>
              </w:rPr>
            </w:pPr>
          </w:p>
          <w:p w14:paraId="299F7EDA" w14:textId="77777777" w:rsidR="00EF5B27" w:rsidRDefault="00000000">
            <w:pPr>
              <w:pStyle w:val="TableParagraph"/>
              <w:spacing w:line="252" w:lineRule="auto"/>
              <w:ind w:left="612" w:right="50" w:hanging="440"/>
              <w:rPr>
                <w:sz w:val="14"/>
              </w:rPr>
            </w:pPr>
            <w:r>
              <w:rPr>
                <w:color w:val="4D4D4F"/>
                <w:sz w:val="14"/>
              </w:rPr>
              <w:t>Western Grassland Reserve, One Tree Rise</w:t>
            </w:r>
          </w:p>
        </w:tc>
        <w:tc>
          <w:tcPr>
            <w:tcW w:w="2154" w:type="dxa"/>
          </w:tcPr>
          <w:p w14:paraId="66D23335" w14:textId="77777777" w:rsidR="00EF5B27" w:rsidRDefault="00EF5B27">
            <w:pPr>
              <w:pStyle w:val="TableParagraph"/>
              <w:spacing w:before="5"/>
              <w:rPr>
                <w:rFonts w:ascii="Times New Roman"/>
              </w:rPr>
            </w:pPr>
          </w:p>
          <w:p w14:paraId="29035312" w14:textId="77777777" w:rsidR="00EF5B27" w:rsidRDefault="00000000">
            <w:pPr>
              <w:pStyle w:val="TableParagraph"/>
              <w:ind w:left="965"/>
              <w:rPr>
                <w:sz w:val="14"/>
              </w:rPr>
            </w:pPr>
            <w:r>
              <w:rPr>
                <w:color w:val="4D4D4F"/>
                <w:w w:val="105"/>
                <w:sz w:val="14"/>
              </w:rPr>
              <w:t>N/A</w:t>
            </w:r>
          </w:p>
        </w:tc>
        <w:tc>
          <w:tcPr>
            <w:tcW w:w="1134" w:type="dxa"/>
          </w:tcPr>
          <w:p w14:paraId="7F9692B5" w14:textId="77777777" w:rsidR="00EF5B27" w:rsidRDefault="00EF5B27">
            <w:pPr>
              <w:pStyle w:val="TableParagraph"/>
              <w:spacing w:before="5"/>
              <w:rPr>
                <w:rFonts w:ascii="Times New Roman"/>
              </w:rPr>
            </w:pPr>
          </w:p>
          <w:p w14:paraId="4E871A4C" w14:textId="77777777" w:rsidR="00EF5B27" w:rsidRDefault="00000000">
            <w:pPr>
              <w:pStyle w:val="TableParagraph"/>
              <w:ind w:left="455"/>
              <w:rPr>
                <w:sz w:val="14"/>
              </w:rPr>
            </w:pPr>
            <w:r>
              <w:rPr>
                <w:color w:val="4D4D4F"/>
                <w:w w:val="105"/>
                <w:sz w:val="14"/>
              </w:rPr>
              <w:t>N/A</w:t>
            </w:r>
          </w:p>
        </w:tc>
      </w:tr>
      <w:tr w:rsidR="00EF5B27" w14:paraId="432A1878" w14:textId="77777777">
        <w:trPr>
          <w:trHeight w:val="448"/>
        </w:trPr>
        <w:tc>
          <w:tcPr>
            <w:tcW w:w="737" w:type="dxa"/>
          </w:tcPr>
          <w:p w14:paraId="5742ABD4" w14:textId="77777777" w:rsidR="00EF5B27" w:rsidRDefault="00EF5B27">
            <w:pPr>
              <w:pStyle w:val="TableParagraph"/>
              <w:spacing w:before="6"/>
              <w:rPr>
                <w:rFonts w:ascii="Times New Roman"/>
                <w:sz w:val="12"/>
              </w:rPr>
            </w:pPr>
          </w:p>
          <w:p w14:paraId="33C6CECA" w14:textId="77777777" w:rsidR="00EF5B27" w:rsidRDefault="00000000">
            <w:pPr>
              <w:pStyle w:val="TableParagraph"/>
              <w:spacing w:before="1"/>
              <w:ind w:left="5"/>
              <w:jc w:val="center"/>
              <w:rPr>
                <w:sz w:val="14"/>
              </w:rPr>
            </w:pPr>
            <w:r>
              <w:rPr>
                <w:color w:val="4D4D4F"/>
                <w:w w:val="96"/>
                <w:sz w:val="14"/>
              </w:rPr>
              <w:t>4</w:t>
            </w:r>
          </w:p>
        </w:tc>
        <w:tc>
          <w:tcPr>
            <w:tcW w:w="1361" w:type="dxa"/>
          </w:tcPr>
          <w:p w14:paraId="6CF7EF00" w14:textId="77777777" w:rsidR="00EF5B27" w:rsidRDefault="00EF5B27">
            <w:pPr>
              <w:pStyle w:val="TableParagraph"/>
              <w:spacing w:before="6"/>
              <w:rPr>
                <w:rFonts w:ascii="Times New Roman"/>
                <w:sz w:val="12"/>
              </w:rPr>
            </w:pPr>
          </w:p>
          <w:p w14:paraId="7E98C81C" w14:textId="77777777" w:rsidR="00EF5B27" w:rsidRDefault="00000000">
            <w:pPr>
              <w:pStyle w:val="TableParagraph"/>
              <w:spacing w:before="1"/>
              <w:ind w:left="91" w:right="86"/>
              <w:jc w:val="center"/>
              <w:rPr>
                <w:sz w:val="14"/>
              </w:rPr>
            </w:pPr>
            <w:r>
              <w:rPr>
                <w:color w:val="4D4D4F"/>
                <w:sz w:val="14"/>
              </w:rPr>
              <w:t>Golden Sun Moth</w:t>
            </w:r>
          </w:p>
        </w:tc>
        <w:tc>
          <w:tcPr>
            <w:tcW w:w="737" w:type="dxa"/>
          </w:tcPr>
          <w:p w14:paraId="4641D6C7" w14:textId="77777777" w:rsidR="00EF5B27" w:rsidRDefault="00EF5B27">
            <w:pPr>
              <w:pStyle w:val="TableParagraph"/>
              <w:spacing w:before="6"/>
              <w:rPr>
                <w:rFonts w:ascii="Times New Roman"/>
                <w:sz w:val="12"/>
              </w:rPr>
            </w:pPr>
          </w:p>
          <w:p w14:paraId="66D96CD4" w14:textId="77777777" w:rsidR="00EF5B27" w:rsidRDefault="00000000">
            <w:pPr>
              <w:pStyle w:val="TableParagraph"/>
              <w:spacing w:before="1"/>
              <w:ind w:left="5"/>
              <w:jc w:val="center"/>
              <w:rPr>
                <w:sz w:val="14"/>
              </w:rPr>
            </w:pPr>
            <w:r>
              <w:rPr>
                <w:color w:val="4D4D4F"/>
                <w:w w:val="96"/>
                <w:sz w:val="14"/>
              </w:rPr>
              <w:t>1</w:t>
            </w:r>
          </w:p>
        </w:tc>
        <w:tc>
          <w:tcPr>
            <w:tcW w:w="1474" w:type="dxa"/>
          </w:tcPr>
          <w:p w14:paraId="3E30E75E" w14:textId="77777777" w:rsidR="00EF5B27" w:rsidRDefault="00EF5B27">
            <w:pPr>
              <w:pStyle w:val="TableParagraph"/>
              <w:spacing w:before="6"/>
              <w:rPr>
                <w:rFonts w:ascii="Times New Roman"/>
                <w:sz w:val="12"/>
              </w:rPr>
            </w:pPr>
          </w:p>
          <w:p w14:paraId="7528DFA1" w14:textId="77777777" w:rsidR="00EF5B27" w:rsidRDefault="00000000">
            <w:pPr>
              <w:pStyle w:val="TableParagraph"/>
              <w:spacing w:before="1"/>
              <w:ind w:left="124" w:right="120"/>
              <w:jc w:val="center"/>
              <w:rPr>
                <w:sz w:val="14"/>
              </w:rPr>
            </w:pPr>
            <w:r>
              <w:rPr>
                <w:color w:val="4D4D4F"/>
                <w:sz w:val="14"/>
              </w:rPr>
              <w:t>Occupancy</w:t>
            </w:r>
          </w:p>
        </w:tc>
        <w:tc>
          <w:tcPr>
            <w:tcW w:w="2041" w:type="dxa"/>
          </w:tcPr>
          <w:p w14:paraId="3C182590" w14:textId="77777777" w:rsidR="00EF5B27" w:rsidRDefault="00EF5B27">
            <w:pPr>
              <w:pStyle w:val="TableParagraph"/>
              <w:spacing w:before="6"/>
              <w:rPr>
                <w:rFonts w:ascii="Times New Roman"/>
                <w:sz w:val="12"/>
              </w:rPr>
            </w:pPr>
          </w:p>
          <w:p w14:paraId="0565EBBE" w14:textId="77777777" w:rsidR="00EF5B27" w:rsidRDefault="00000000">
            <w:pPr>
              <w:pStyle w:val="TableParagraph"/>
              <w:spacing w:before="1"/>
              <w:ind w:left="155" w:right="150"/>
              <w:jc w:val="center"/>
              <w:rPr>
                <w:sz w:val="14"/>
              </w:rPr>
            </w:pPr>
            <w:r>
              <w:rPr>
                <w:color w:val="4D4D4F"/>
                <w:w w:val="105"/>
                <w:sz w:val="14"/>
              </w:rPr>
              <w:t>All locations</w:t>
            </w:r>
          </w:p>
        </w:tc>
        <w:tc>
          <w:tcPr>
            <w:tcW w:w="2154" w:type="dxa"/>
          </w:tcPr>
          <w:p w14:paraId="3211971D" w14:textId="77777777" w:rsidR="00EF5B27" w:rsidRDefault="00EF5B27">
            <w:pPr>
              <w:pStyle w:val="TableParagraph"/>
              <w:spacing w:before="6"/>
              <w:rPr>
                <w:rFonts w:ascii="Times New Roman"/>
                <w:sz w:val="12"/>
              </w:rPr>
            </w:pPr>
          </w:p>
          <w:p w14:paraId="67DF0B20" w14:textId="77777777" w:rsidR="00EF5B27" w:rsidRDefault="00000000">
            <w:pPr>
              <w:pStyle w:val="TableParagraph"/>
              <w:spacing w:before="1"/>
              <w:ind w:left="940"/>
              <w:rPr>
                <w:sz w:val="14"/>
              </w:rPr>
            </w:pPr>
            <w:r>
              <w:rPr>
                <w:color w:val="4D4D4F"/>
                <w:sz w:val="14"/>
              </w:rPr>
              <w:t>2014</w:t>
            </w:r>
          </w:p>
        </w:tc>
        <w:tc>
          <w:tcPr>
            <w:tcW w:w="1134" w:type="dxa"/>
          </w:tcPr>
          <w:p w14:paraId="72BAB16D" w14:textId="77777777" w:rsidR="00EF5B27" w:rsidRDefault="00EF5B27">
            <w:pPr>
              <w:pStyle w:val="TableParagraph"/>
              <w:spacing w:before="6"/>
              <w:rPr>
                <w:rFonts w:ascii="Times New Roman"/>
                <w:sz w:val="12"/>
              </w:rPr>
            </w:pPr>
          </w:p>
          <w:p w14:paraId="7F358487" w14:textId="77777777" w:rsidR="00EF5B27" w:rsidRDefault="00000000">
            <w:pPr>
              <w:pStyle w:val="TableParagraph"/>
              <w:spacing w:before="1"/>
              <w:ind w:left="431"/>
              <w:rPr>
                <w:sz w:val="14"/>
              </w:rPr>
            </w:pPr>
            <w:r>
              <w:rPr>
                <w:color w:val="4D4D4F"/>
                <w:sz w:val="14"/>
              </w:rPr>
              <w:t>2018</w:t>
            </w:r>
          </w:p>
        </w:tc>
      </w:tr>
      <w:tr w:rsidR="00EF5B27" w14:paraId="05CA277F" w14:textId="77777777">
        <w:trPr>
          <w:trHeight w:val="448"/>
        </w:trPr>
        <w:tc>
          <w:tcPr>
            <w:tcW w:w="737" w:type="dxa"/>
          </w:tcPr>
          <w:p w14:paraId="40F97CF3" w14:textId="77777777" w:rsidR="00EF5B27" w:rsidRDefault="00EF5B27">
            <w:pPr>
              <w:pStyle w:val="TableParagraph"/>
              <w:spacing w:before="6"/>
              <w:rPr>
                <w:rFonts w:ascii="Times New Roman"/>
                <w:sz w:val="12"/>
              </w:rPr>
            </w:pPr>
          </w:p>
          <w:p w14:paraId="3E3B4973" w14:textId="77777777" w:rsidR="00EF5B27" w:rsidRDefault="00000000">
            <w:pPr>
              <w:pStyle w:val="TableParagraph"/>
              <w:spacing w:before="1"/>
              <w:ind w:left="5"/>
              <w:jc w:val="center"/>
              <w:rPr>
                <w:sz w:val="14"/>
              </w:rPr>
            </w:pPr>
            <w:r>
              <w:rPr>
                <w:color w:val="4D4D4F"/>
                <w:w w:val="96"/>
                <w:sz w:val="14"/>
              </w:rPr>
              <w:t>5</w:t>
            </w:r>
          </w:p>
        </w:tc>
        <w:tc>
          <w:tcPr>
            <w:tcW w:w="1361" w:type="dxa"/>
          </w:tcPr>
          <w:p w14:paraId="037D8C16" w14:textId="77777777" w:rsidR="00EF5B27" w:rsidRDefault="00EF5B27">
            <w:pPr>
              <w:pStyle w:val="TableParagraph"/>
              <w:spacing w:before="6"/>
              <w:rPr>
                <w:rFonts w:ascii="Times New Roman"/>
                <w:sz w:val="12"/>
              </w:rPr>
            </w:pPr>
          </w:p>
          <w:p w14:paraId="0273CA2A" w14:textId="77777777" w:rsidR="00EF5B27" w:rsidRDefault="00000000">
            <w:pPr>
              <w:pStyle w:val="TableParagraph"/>
              <w:spacing w:before="1"/>
              <w:ind w:left="91" w:right="86"/>
              <w:jc w:val="center"/>
              <w:rPr>
                <w:sz w:val="14"/>
              </w:rPr>
            </w:pPr>
            <w:r>
              <w:rPr>
                <w:color w:val="4D4D4F"/>
                <w:w w:val="105"/>
                <w:sz w:val="14"/>
              </w:rPr>
              <w:t>Matted Flax-lily</w:t>
            </w:r>
          </w:p>
        </w:tc>
        <w:tc>
          <w:tcPr>
            <w:tcW w:w="737" w:type="dxa"/>
          </w:tcPr>
          <w:p w14:paraId="2F1F5A24" w14:textId="77777777" w:rsidR="00EF5B27" w:rsidRDefault="00EF5B27">
            <w:pPr>
              <w:pStyle w:val="TableParagraph"/>
              <w:spacing w:before="6"/>
              <w:rPr>
                <w:rFonts w:ascii="Times New Roman"/>
                <w:sz w:val="12"/>
              </w:rPr>
            </w:pPr>
          </w:p>
          <w:p w14:paraId="60D1E95A" w14:textId="77777777" w:rsidR="00EF5B27" w:rsidRDefault="00000000">
            <w:pPr>
              <w:pStyle w:val="TableParagraph"/>
              <w:spacing w:before="1"/>
              <w:ind w:left="4"/>
              <w:jc w:val="center"/>
              <w:rPr>
                <w:sz w:val="14"/>
              </w:rPr>
            </w:pPr>
            <w:r>
              <w:rPr>
                <w:color w:val="4D4D4F"/>
                <w:w w:val="96"/>
                <w:sz w:val="14"/>
              </w:rPr>
              <w:t>1</w:t>
            </w:r>
          </w:p>
        </w:tc>
        <w:tc>
          <w:tcPr>
            <w:tcW w:w="1474" w:type="dxa"/>
          </w:tcPr>
          <w:p w14:paraId="6FF1FD1B" w14:textId="77777777" w:rsidR="00EF5B27" w:rsidRDefault="00EF5B27">
            <w:pPr>
              <w:pStyle w:val="TableParagraph"/>
              <w:spacing w:before="6"/>
              <w:rPr>
                <w:rFonts w:ascii="Times New Roman"/>
                <w:sz w:val="12"/>
              </w:rPr>
            </w:pPr>
          </w:p>
          <w:p w14:paraId="3187E5BA" w14:textId="77777777" w:rsidR="00EF5B27" w:rsidRDefault="00000000">
            <w:pPr>
              <w:pStyle w:val="TableParagraph"/>
              <w:spacing w:before="1"/>
              <w:ind w:left="125" w:right="120"/>
              <w:jc w:val="center"/>
              <w:rPr>
                <w:sz w:val="14"/>
              </w:rPr>
            </w:pPr>
            <w:r>
              <w:rPr>
                <w:color w:val="4D4D4F"/>
                <w:sz w:val="14"/>
              </w:rPr>
              <w:t>Count</w:t>
            </w:r>
          </w:p>
        </w:tc>
        <w:tc>
          <w:tcPr>
            <w:tcW w:w="2041" w:type="dxa"/>
          </w:tcPr>
          <w:p w14:paraId="4584E038" w14:textId="77777777" w:rsidR="00EF5B27" w:rsidRDefault="00EF5B27">
            <w:pPr>
              <w:pStyle w:val="TableParagraph"/>
              <w:spacing w:before="6"/>
              <w:rPr>
                <w:rFonts w:ascii="Times New Roman"/>
                <w:sz w:val="12"/>
              </w:rPr>
            </w:pPr>
          </w:p>
          <w:p w14:paraId="159AA168" w14:textId="77777777" w:rsidR="00EF5B27" w:rsidRDefault="00000000">
            <w:pPr>
              <w:pStyle w:val="TableParagraph"/>
              <w:spacing w:before="1"/>
              <w:ind w:left="156" w:right="150"/>
              <w:jc w:val="center"/>
              <w:rPr>
                <w:sz w:val="14"/>
              </w:rPr>
            </w:pPr>
            <w:r>
              <w:rPr>
                <w:color w:val="4D4D4F"/>
                <w:sz w:val="14"/>
              </w:rPr>
              <w:t>Mt Ridley</w:t>
            </w:r>
          </w:p>
        </w:tc>
        <w:tc>
          <w:tcPr>
            <w:tcW w:w="2154" w:type="dxa"/>
          </w:tcPr>
          <w:p w14:paraId="682EDD2F" w14:textId="77777777" w:rsidR="00EF5B27" w:rsidRDefault="00EF5B27">
            <w:pPr>
              <w:pStyle w:val="TableParagraph"/>
              <w:spacing w:before="6"/>
              <w:rPr>
                <w:rFonts w:ascii="Times New Roman"/>
                <w:sz w:val="12"/>
              </w:rPr>
            </w:pPr>
          </w:p>
          <w:p w14:paraId="68E83C13" w14:textId="77777777" w:rsidR="00EF5B27" w:rsidRDefault="00000000">
            <w:pPr>
              <w:pStyle w:val="TableParagraph"/>
              <w:spacing w:before="1"/>
              <w:ind w:left="936"/>
              <w:rPr>
                <w:sz w:val="14"/>
              </w:rPr>
            </w:pPr>
            <w:r>
              <w:rPr>
                <w:color w:val="4D4D4F"/>
                <w:sz w:val="14"/>
              </w:rPr>
              <w:t>2021</w:t>
            </w:r>
          </w:p>
        </w:tc>
        <w:tc>
          <w:tcPr>
            <w:tcW w:w="1134" w:type="dxa"/>
          </w:tcPr>
          <w:p w14:paraId="3055833D" w14:textId="77777777" w:rsidR="00EF5B27" w:rsidRDefault="00EF5B27">
            <w:pPr>
              <w:pStyle w:val="TableParagraph"/>
              <w:spacing w:before="6"/>
              <w:rPr>
                <w:rFonts w:ascii="Times New Roman"/>
                <w:sz w:val="12"/>
              </w:rPr>
            </w:pPr>
          </w:p>
          <w:p w14:paraId="5B9888EF" w14:textId="77777777" w:rsidR="00EF5B27" w:rsidRDefault="00000000">
            <w:pPr>
              <w:pStyle w:val="TableParagraph"/>
              <w:spacing w:before="1"/>
              <w:ind w:left="424"/>
              <w:rPr>
                <w:sz w:val="14"/>
              </w:rPr>
            </w:pPr>
            <w:r>
              <w:rPr>
                <w:color w:val="4D4D4F"/>
                <w:sz w:val="14"/>
              </w:rPr>
              <w:t>2025</w:t>
            </w:r>
          </w:p>
        </w:tc>
      </w:tr>
      <w:tr w:rsidR="00EF5B27" w14:paraId="5693A690" w14:textId="77777777">
        <w:trPr>
          <w:trHeight w:val="448"/>
        </w:trPr>
        <w:tc>
          <w:tcPr>
            <w:tcW w:w="737" w:type="dxa"/>
          </w:tcPr>
          <w:p w14:paraId="3759F17A" w14:textId="77777777" w:rsidR="00EF5B27" w:rsidRDefault="00EF5B27">
            <w:pPr>
              <w:pStyle w:val="TableParagraph"/>
              <w:spacing w:before="7"/>
              <w:rPr>
                <w:rFonts w:ascii="Times New Roman"/>
                <w:sz w:val="12"/>
              </w:rPr>
            </w:pPr>
          </w:p>
          <w:p w14:paraId="1091B3F5" w14:textId="77777777" w:rsidR="00EF5B27" w:rsidRDefault="00000000">
            <w:pPr>
              <w:pStyle w:val="TableParagraph"/>
              <w:ind w:left="5"/>
              <w:jc w:val="center"/>
              <w:rPr>
                <w:sz w:val="14"/>
              </w:rPr>
            </w:pPr>
            <w:r>
              <w:rPr>
                <w:color w:val="4D4D4F"/>
                <w:w w:val="96"/>
                <w:sz w:val="14"/>
              </w:rPr>
              <w:t>5</w:t>
            </w:r>
          </w:p>
        </w:tc>
        <w:tc>
          <w:tcPr>
            <w:tcW w:w="1361" w:type="dxa"/>
          </w:tcPr>
          <w:p w14:paraId="40B1814A" w14:textId="77777777" w:rsidR="00EF5B27" w:rsidRDefault="00EF5B27">
            <w:pPr>
              <w:pStyle w:val="TableParagraph"/>
              <w:spacing w:before="7"/>
              <w:rPr>
                <w:rFonts w:ascii="Times New Roman"/>
                <w:sz w:val="12"/>
              </w:rPr>
            </w:pPr>
          </w:p>
          <w:p w14:paraId="74B9D211" w14:textId="77777777" w:rsidR="00EF5B27" w:rsidRDefault="00000000">
            <w:pPr>
              <w:pStyle w:val="TableParagraph"/>
              <w:ind w:left="91" w:right="86"/>
              <w:jc w:val="center"/>
              <w:rPr>
                <w:sz w:val="14"/>
              </w:rPr>
            </w:pPr>
            <w:r>
              <w:rPr>
                <w:color w:val="4D4D4F"/>
                <w:w w:val="105"/>
                <w:sz w:val="14"/>
              </w:rPr>
              <w:t>Matted Flax-lily</w:t>
            </w:r>
          </w:p>
        </w:tc>
        <w:tc>
          <w:tcPr>
            <w:tcW w:w="737" w:type="dxa"/>
          </w:tcPr>
          <w:p w14:paraId="17BCBC61" w14:textId="77777777" w:rsidR="00EF5B27" w:rsidRDefault="00EF5B27">
            <w:pPr>
              <w:pStyle w:val="TableParagraph"/>
              <w:spacing w:before="7"/>
              <w:rPr>
                <w:rFonts w:ascii="Times New Roman"/>
                <w:sz w:val="12"/>
              </w:rPr>
            </w:pPr>
          </w:p>
          <w:p w14:paraId="3E93A5C9" w14:textId="77777777" w:rsidR="00EF5B27" w:rsidRDefault="00000000">
            <w:pPr>
              <w:pStyle w:val="TableParagraph"/>
              <w:ind w:left="5"/>
              <w:jc w:val="center"/>
              <w:rPr>
                <w:sz w:val="14"/>
              </w:rPr>
            </w:pPr>
            <w:r>
              <w:rPr>
                <w:color w:val="4D4D4F"/>
                <w:w w:val="96"/>
                <w:sz w:val="14"/>
              </w:rPr>
              <w:t>1</w:t>
            </w:r>
          </w:p>
        </w:tc>
        <w:tc>
          <w:tcPr>
            <w:tcW w:w="1474" w:type="dxa"/>
          </w:tcPr>
          <w:p w14:paraId="414BF3F9" w14:textId="77777777" w:rsidR="00EF5B27" w:rsidRDefault="00EF5B27">
            <w:pPr>
              <w:pStyle w:val="TableParagraph"/>
              <w:spacing w:before="7"/>
              <w:rPr>
                <w:rFonts w:ascii="Times New Roman"/>
                <w:sz w:val="12"/>
              </w:rPr>
            </w:pPr>
          </w:p>
          <w:p w14:paraId="19DB7D23" w14:textId="77777777" w:rsidR="00EF5B27" w:rsidRDefault="00000000">
            <w:pPr>
              <w:pStyle w:val="TableParagraph"/>
              <w:ind w:left="125" w:right="120"/>
              <w:jc w:val="center"/>
              <w:rPr>
                <w:sz w:val="14"/>
              </w:rPr>
            </w:pPr>
            <w:r>
              <w:rPr>
                <w:color w:val="4D4D4F"/>
                <w:sz w:val="14"/>
              </w:rPr>
              <w:t>Count</w:t>
            </w:r>
          </w:p>
        </w:tc>
        <w:tc>
          <w:tcPr>
            <w:tcW w:w="2041" w:type="dxa"/>
          </w:tcPr>
          <w:p w14:paraId="145C6DDA" w14:textId="77777777" w:rsidR="00EF5B27" w:rsidRDefault="00EF5B27">
            <w:pPr>
              <w:pStyle w:val="TableParagraph"/>
              <w:spacing w:before="7"/>
              <w:rPr>
                <w:rFonts w:ascii="Times New Roman"/>
                <w:sz w:val="12"/>
              </w:rPr>
            </w:pPr>
          </w:p>
          <w:p w14:paraId="38EEF845" w14:textId="77777777" w:rsidR="00EF5B27" w:rsidRDefault="00000000">
            <w:pPr>
              <w:pStyle w:val="TableParagraph"/>
              <w:ind w:left="157" w:right="150"/>
              <w:jc w:val="center"/>
              <w:rPr>
                <w:sz w:val="14"/>
              </w:rPr>
            </w:pPr>
            <w:r>
              <w:rPr>
                <w:color w:val="4D4D4F"/>
                <w:w w:val="105"/>
                <w:sz w:val="14"/>
              </w:rPr>
              <w:t>Kalkallo Common</w:t>
            </w:r>
          </w:p>
        </w:tc>
        <w:tc>
          <w:tcPr>
            <w:tcW w:w="2154" w:type="dxa"/>
          </w:tcPr>
          <w:p w14:paraId="42B7521F" w14:textId="77777777" w:rsidR="00EF5B27" w:rsidRDefault="00EF5B27">
            <w:pPr>
              <w:pStyle w:val="TableParagraph"/>
              <w:spacing w:before="7"/>
              <w:rPr>
                <w:rFonts w:ascii="Times New Roman"/>
                <w:sz w:val="12"/>
              </w:rPr>
            </w:pPr>
          </w:p>
          <w:p w14:paraId="0DD64E0D" w14:textId="77777777" w:rsidR="00EF5B27" w:rsidRDefault="00000000">
            <w:pPr>
              <w:pStyle w:val="TableParagraph"/>
              <w:ind w:left="941"/>
              <w:rPr>
                <w:sz w:val="14"/>
              </w:rPr>
            </w:pPr>
            <w:r>
              <w:rPr>
                <w:color w:val="4D4D4F"/>
                <w:sz w:val="14"/>
              </w:rPr>
              <w:t>2016</w:t>
            </w:r>
          </w:p>
        </w:tc>
        <w:tc>
          <w:tcPr>
            <w:tcW w:w="1134" w:type="dxa"/>
          </w:tcPr>
          <w:p w14:paraId="717CF394" w14:textId="77777777" w:rsidR="00EF5B27" w:rsidRDefault="00EF5B27">
            <w:pPr>
              <w:pStyle w:val="TableParagraph"/>
              <w:spacing w:before="7"/>
              <w:rPr>
                <w:rFonts w:ascii="Times New Roman"/>
                <w:sz w:val="12"/>
              </w:rPr>
            </w:pPr>
          </w:p>
          <w:p w14:paraId="61997112" w14:textId="77777777" w:rsidR="00EF5B27" w:rsidRDefault="00000000">
            <w:pPr>
              <w:pStyle w:val="TableParagraph"/>
              <w:ind w:left="424"/>
              <w:rPr>
                <w:sz w:val="14"/>
              </w:rPr>
            </w:pPr>
            <w:r>
              <w:rPr>
                <w:color w:val="4D4D4F"/>
                <w:sz w:val="14"/>
              </w:rPr>
              <w:t>2022</w:t>
            </w:r>
          </w:p>
        </w:tc>
      </w:tr>
      <w:tr w:rsidR="00EF5B27" w14:paraId="48FE346A" w14:textId="77777777">
        <w:trPr>
          <w:trHeight w:val="448"/>
        </w:trPr>
        <w:tc>
          <w:tcPr>
            <w:tcW w:w="737" w:type="dxa"/>
          </w:tcPr>
          <w:p w14:paraId="7969D925" w14:textId="77777777" w:rsidR="00EF5B27" w:rsidRDefault="00EF5B27">
            <w:pPr>
              <w:pStyle w:val="TableParagraph"/>
              <w:spacing w:before="7"/>
              <w:rPr>
                <w:rFonts w:ascii="Times New Roman"/>
                <w:sz w:val="12"/>
              </w:rPr>
            </w:pPr>
          </w:p>
          <w:p w14:paraId="6CBC63CA" w14:textId="77777777" w:rsidR="00EF5B27" w:rsidRDefault="00000000">
            <w:pPr>
              <w:pStyle w:val="TableParagraph"/>
              <w:ind w:left="5"/>
              <w:jc w:val="center"/>
              <w:rPr>
                <w:sz w:val="14"/>
              </w:rPr>
            </w:pPr>
            <w:r>
              <w:rPr>
                <w:color w:val="4D4D4F"/>
                <w:w w:val="96"/>
                <w:sz w:val="14"/>
              </w:rPr>
              <w:t>6</w:t>
            </w:r>
          </w:p>
        </w:tc>
        <w:tc>
          <w:tcPr>
            <w:tcW w:w="1361" w:type="dxa"/>
          </w:tcPr>
          <w:p w14:paraId="124D2642" w14:textId="77777777" w:rsidR="00EF5B27" w:rsidRDefault="00EF5B27">
            <w:pPr>
              <w:pStyle w:val="TableParagraph"/>
              <w:spacing w:before="7"/>
              <w:rPr>
                <w:rFonts w:ascii="Times New Roman"/>
                <w:sz w:val="12"/>
              </w:rPr>
            </w:pPr>
          </w:p>
          <w:p w14:paraId="34C17EC7" w14:textId="77777777" w:rsidR="00EF5B27" w:rsidRDefault="00000000">
            <w:pPr>
              <w:pStyle w:val="TableParagraph"/>
              <w:ind w:left="91" w:right="86"/>
              <w:jc w:val="center"/>
              <w:rPr>
                <w:sz w:val="14"/>
              </w:rPr>
            </w:pPr>
            <w:r>
              <w:rPr>
                <w:color w:val="4D4D4F"/>
                <w:sz w:val="14"/>
              </w:rPr>
              <w:t>Spiny Rice-flower</w:t>
            </w:r>
          </w:p>
        </w:tc>
        <w:tc>
          <w:tcPr>
            <w:tcW w:w="737" w:type="dxa"/>
          </w:tcPr>
          <w:p w14:paraId="7E297919" w14:textId="77777777" w:rsidR="00EF5B27" w:rsidRDefault="00EF5B27">
            <w:pPr>
              <w:pStyle w:val="TableParagraph"/>
              <w:spacing w:before="7"/>
              <w:rPr>
                <w:rFonts w:ascii="Times New Roman"/>
                <w:sz w:val="12"/>
              </w:rPr>
            </w:pPr>
          </w:p>
          <w:p w14:paraId="1817A800" w14:textId="77777777" w:rsidR="00EF5B27" w:rsidRDefault="00000000">
            <w:pPr>
              <w:pStyle w:val="TableParagraph"/>
              <w:ind w:left="4"/>
              <w:jc w:val="center"/>
              <w:rPr>
                <w:sz w:val="14"/>
              </w:rPr>
            </w:pPr>
            <w:r>
              <w:rPr>
                <w:color w:val="4D4D4F"/>
                <w:w w:val="96"/>
                <w:sz w:val="14"/>
              </w:rPr>
              <w:t>1</w:t>
            </w:r>
          </w:p>
        </w:tc>
        <w:tc>
          <w:tcPr>
            <w:tcW w:w="1474" w:type="dxa"/>
          </w:tcPr>
          <w:p w14:paraId="5E94BB79" w14:textId="77777777" w:rsidR="00EF5B27" w:rsidRDefault="00EF5B27">
            <w:pPr>
              <w:pStyle w:val="TableParagraph"/>
              <w:spacing w:before="7"/>
              <w:rPr>
                <w:rFonts w:ascii="Times New Roman"/>
                <w:sz w:val="12"/>
              </w:rPr>
            </w:pPr>
          </w:p>
          <w:p w14:paraId="0AE908FF" w14:textId="77777777" w:rsidR="00EF5B27" w:rsidRDefault="00000000">
            <w:pPr>
              <w:pStyle w:val="TableParagraph"/>
              <w:ind w:left="125" w:right="120"/>
              <w:jc w:val="center"/>
              <w:rPr>
                <w:sz w:val="14"/>
              </w:rPr>
            </w:pPr>
            <w:r>
              <w:rPr>
                <w:color w:val="4D4D4F"/>
                <w:sz w:val="14"/>
              </w:rPr>
              <w:t>Count</w:t>
            </w:r>
          </w:p>
        </w:tc>
        <w:tc>
          <w:tcPr>
            <w:tcW w:w="2041" w:type="dxa"/>
          </w:tcPr>
          <w:p w14:paraId="290AD1AA" w14:textId="77777777" w:rsidR="00EF5B27" w:rsidRDefault="00000000">
            <w:pPr>
              <w:pStyle w:val="TableParagraph"/>
              <w:spacing w:before="55" w:line="252" w:lineRule="auto"/>
              <w:ind w:left="344" w:right="50" w:hanging="247"/>
              <w:rPr>
                <w:sz w:val="14"/>
              </w:rPr>
            </w:pPr>
            <w:r>
              <w:rPr>
                <w:color w:val="4D4D4F"/>
                <w:sz w:val="14"/>
              </w:rPr>
              <w:t>Truganina Cemetery Grassland (Conservation Area 10)</w:t>
            </w:r>
          </w:p>
        </w:tc>
        <w:tc>
          <w:tcPr>
            <w:tcW w:w="2154" w:type="dxa"/>
          </w:tcPr>
          <w:p w14:paraId="1F1A34FC" w14:textId="77777777" w:rsidR="00EF5B27" w:rsidRDefault="00EF5B27">
            <w:pPr>
              <w:pStyle w:val="TableParagraph"/>
              <w:spacing w:before="7"/>
              <w:rPr>
                <w:rFonts w:ascii="Times New Roman"/>
                <w:sz w:val="12"/>
              </w:rPr>
            </w:pPr>
          </w:p>
          <w:p w14:paraId="4B6F734D" w14:textId="77777777" w:rsidR="00EF5B27" w:rsidRDefault="00000000">
            <w:pPr>
              <w:pStyle w:val="TableParagraph"/>
              <w:ind w:left="941"/>
              <w:rPr>
                <w:sz w:val="14"/>
              </w:rPr>
            </w:pPr>
            <w:r>
              <w:rPr>
                <w:color w:val="4D4D4F"/>
                <w:sz w:val="14"/>
              </w:rPr>
              <w:t>2019</w:t>
            </w:r>
          </w:p>
        </w:tc>
        <w:tc>
          <w:tcPr>
            <w:tcW w:w="1134" w:type="dxa"/>
          </w:tcPr>
          <w:p w14:paraId="0DA71CF4" w14:textId="77777777" w:rsidR="00EF5B27" w:rsidRDefault="00EF5B27">
            <w:pPr>
              <w:pStyle w:val="TableParagraph"/>
              <w:spacing w:before="7"/>
              <w:rPr>
                <w:rFonts w:ascii="Times New Roman"/>
                <w:sz w:val="12"/>
              </w:rPr>
            </w:pPr>
          </w:p>
          <w:p w14:paraId="5F0E7728" w14:textId="77777777" w:rsidR="00EF5B27" w:rsidRDefault="00000000">
            <w:pPr>
              <w:pStyle w:val="TableParagraph"/>
              <w:ind w:left="425"/>
              <w:rPr>
                <w:sz w:val="14"/>
              </w:rPr>
            </w:pPr>
            <w:r>
              <w:rPr>
                <w:color w:val="4D4D4F"/>
                <w:sz w:val="14"/>
              </w:rPr>
              <w:t>2024</w:t>
            </w:r>
          </w:p>
        </w:tc>
      </w:tr>
      <w:tr w:rsidR="00EF5B27" w14:paraId="1533C376" w14:textId="77777777">
        <w:trPr>
          <w:trHeight w:val="448"/>
        </w:trPr>
        <w:tc>
          <w:tcPr>
            <w:tcW w:w="737" w:type="dxa"/>
          </w:tcPr>
          <w:p w14:paraId="5B2D9C26" w14:textId="77777777" w:rsidR="00EF5B27" w:rsidRDefault="00EF5B27">
            <w:pPr>
              <w:pStyle w:val="TableParagraph"/>
              <w:spacing w:before="7"/>
              <w:rPr>
                <w:rFonts w:ascii="Times New Roman"/>
                <w:sz w:val="12"/>
              </w:rPr>
            </w:pPr>
          </w:p>
          <w:p w14:paraId="7FCC4F3E" w14:textId="77777777" w:rsidR="00EF5B27" w:rsidRDefault="00000000">
            <w:pPr>
              <w:pStyle w:val="TableParagraph"/>
              <w:ind w:left="5"/>
              <w:jc w:val="center"/>
              <w:rPr>
                <w:sz w:val="14"/>
              </w:rPr>
            </w:pPr>
            <w:r>
              <w:rPr>
                <w:color w:val="4D4D4F"/>
                <w:w w:val="96"/>
                <w:sz w:val="14"/>
              </w:rPr>
              <w:t>6</w:t>
            </w:r>
          </w:p>
        </w:tc>
        <w:tc>
          <w:tcPr>
            <w:tcW w:w="1361" w:type="dxa"/>
          </w:tcPr>
          <w:p w14:paraId="5C08FDE0" w14:textId="77777777" w:rsidR="00EF5B27" w:rsidRDefault="00EF5B27">
            <w:pPr>
              <w:pStyle w:val="TableParagraph"/>
              <w:spacing w:before="7"/>
              <w:rPr>
                <w:rFonts w:ascii="Times New Roman"/>
                <w:sz w:val="12"/>
              </w:rPr>
            </w:pPr>
          </w:p>
          <w:p w14:paraId="60005A0F" w14:textId="77777777" w:rsidR="00EF5B27" w:rsidRDefault="00000000">
            <w:pPr>
              <w:pStyle w:val="TableParagraph"/>
              <w:ind w:left="91" w:right="86"/>
              <w:jc w:val="center"/>
              <w:rPr>
                <w:sz w:val="14"/>
              </w:rPr>
            </w:pPr>
            <w:r>
              <w:rPr>
                <w:color w:val="4D4D4F"/>
                <w:sz w:val="14"/>
              </w:rPr>
              <w:t>Spiny Rice-flower</w:t>
            </w:r>
          </w:p>
        </w:tc>
        <w:tc>
          <w:tcPr>
            <w:tcW w:w="737" w:type="dxa"/>
          </w:tcPr>
          <w:p w14:paraId="088BC992" w14:textId="77777777" w:rsidR="00EF5B27" w:rsidRDefault="00EF5B27">
            <w:pPr>
              <w:pStyle w:val="TableParagraph"/>
              <w:spacing w:before="7"/>
              <w:rPr>
                <w:rFonts w:ascii="Times New Roman"/>
                <w:sz w:val="12"/>
              </w:rPr>
            </w:pPr>
          </w:p>
          <w:p w14:paraId="75C08A87" w14:textId="77777777" w:rsidR="00EF5B27" w:rsidRDefault="00000000">
            <w:pPr>
              <w:pStyle w:val="TableParagraph"/>
              <w:ind w:left="5"/>
              <w:jc w:val="center"/>
              <w:rPr>
                <w:sz w:val="14"/>
              </w:rPr>
            </w:pPr>
            <w:r>
              <w:rPr>
                <w:color w:val="4D4D4F"/>
                <w:w w:val="96"/>
                <w:sz w:val="14"/>
              </w:rPr>
              <w:t>1</w:t>
            </w:r>
          </w:p>
        </w:tc>
        <w:tc>
          <w:tcPr>
            <w:tcW w:w="1474" w:type="dxa"/>
          </w:tcPr>
          <w:p w14:paraId="768F487D" w14:textId="77777777" w:rsidR="00EF5B27" w:rsidRDefault="00EF5B27">
            <w:pPr>
              <w:pStyle w:val="TableParagraph"/>
              <w:spacing w:before="7"/>
              <w:rPr>
                <w:rFonts w:ascii="Times New Roman"/>
                <w:sz w:val="12"/>
              </w:rPr>
            </w:pPr>
          </w:p>
          <w:p w14:paraId="71DCCF87" w14:textId="77777777" w:rsidR="00EF5B27" w:rsidRDefault="00000000">
            <w:pPr>
              <w:pStyle w:val="TableParagraph"/>
              <w:ind w:left="125" w:right="120"/>
              <w:jc w:val="center"/>
              <w:rPr>
                <w:sz w:val="14"/>
              </w:rPr>
            </w:pPr>
            <w:r>
              <w:rPr>
                <w:color w:val="4D4D4F"/>
                <w:sz w:val="14"/>
              </w:rPr>
              <w:t>Count</w:t>
            </w:r>
          </w:p>
        </w:tc>
        <w:tc>
          <w:tcPr>
            <w:tcW w:w="2041" w:type="dxa"/>
          </w:tcPr>
          <w:p w14:paraId="3F127271" w14:textId="77777777" w:rsidR="00EF5B27" w:rsidRDefault="00000000">
            <w:pPr>
              <w:pStyle w:val="TableParagraph"/>
              <w:spacing w:before="55" w:line="252" w:lineRule="auto"/>
              <w:ind w:left="677" w:right="50" w:hanging="505"/>
              <w:rPr>
                <w:sz w:val="14"/>
              </w:rPr>
            </w:pPr>
            <w:r>
              <w:rPr>
                <w:color w:val="4D4D4F"/>
                <w:w w:val="105"/>
                <w:sz w:val="14"/>
              </w:rPr>
              <w:t>Western Grassland Reserve, Radio block</w:t>
            </w:r>
          </w:p>
        </w:tc>
        <w:tc>
          <w:tcPr>
            <w:tcW w:w="2154" w:type="dxa"/>
          </w:tcPr>
          <w:p w14:paraId="41BD3164" w14:textId="77777777" w:rsidR="00EF5B27" w:rsidRDefault="00EF5B27">
            <w:pPr>
              <w:pStyle w:val="TableParagraph"/>
              <w:spacing w:before="7"/>
              <w:rPr>
                <w:rFonts w:ascii="Times New Roman"/>
                <w:sz w:val="12"/>
              </w:rPr>
            </w:pPr>
          </w:p>
          <w:p w14:paraId="121CA917" w14:textId="77777777" w:rsidR="00EF5B27" w:rsidRDefault="00000000">
            <w:pPr>
              <w:pStyle w:val="TableParagraph"/>
              <w:ind w:left="941"/>
              <w:rPr>
                <w:sz w:val="14"/>
              </w:rPr>
            </w:pPr>
            <w:r>
              <w:rPr>
                <w:color w:val="4D4D4F"/>
                <w:sz w:val="14"/>
              </w:rPr>
              <w:t>2019</w:t>
            </w:r>
          </w:p>
        </w:tc>
        <w:tc>
          <w:tcPr>
            <w:tcW w:w="1134" w:type="dxa"/>
          </w:tcPr>
          <w:p w14:paraId="708F9013" w14:textId="77777777" w:rsidR="00EF5B27" w:rsidRDefault="00EF5B27">
            <w:pPr>
              <w:pStyle w:val="TableParagraph"/>
              <w:spacing w:before="7"/>
              <w:rPr>
                <w:rFonts w:ascii="Times New Roman"/>
                <w:sz w:val="12"/>
              </w:rPr>
            </w:pPr>
          </w:p>
          <w:p w14:paraId="4E9715FF" w14:textId="77777777" w:rsidR="00EF5B27" w:rsidRDefault="00000000">
            <w:pPr>
              <w:pStyle w:val="TableParagraph"/>
              <w:ind w:left="425"/>
              <w:rPr>
                <w:sz w:val="14"/>
              </w:rPr>
            </w:pPr>
            <w:r>
              <w:rPr>
                <w:color w:val="4D4D4F"/>
                <w:sz w:val="14"/>
              </w:rPr>
              <w:t>2024</w:t>
            </w:r>
          </w:p>
        </w:tc>
      </w:tr>
      <w:tr w:rsidR="00EF5B27" w14:paraId="14A99D73" w14:textId="77777777">
        <w:trPr>
          <w:trHeight w:val="448"/>
        </w:trPr>
        <w:tc>
          <w:tcPr>
            <w:tcW w:w="737" w:type="dxa"/>
          </w:tcPr>
          <w:p w14:paraId="7DDE47F3" w14:textId="77777777" w:rsidR="00EF5B27" w:rsidRDefault="00EF5B27">
            <w:pPr>
              <w:pStyle w:val="TableParagraph"/>
              <w:spacing w:before="7"/>
              <w:rPr>
                <w:rFonts w:ascii="Times New Roman"/>
                <w:sz w:val="12"/>
              </w:rPr>
            </w:pPr>
          </w:p>
          <w:p w14:paraId="537B3D6C" w14:textId="77777777" w:rsidR="00EF5B27" w:rsidRDefault="00000000">
            <w:pPr>
              <w:pStyle w:val="TableParagraph"/>
              <w:ind w:left="6"/>
              <w:jc w:val="center"/>
              <w:rPr>
                <w:sz w:val="14"/>
              </w:rPr>
            </w:pPr>
            <w:r>
              <w:rPr>
                <w:color w:val="4D4D4F"/>
                <w:w w:val="96"/>
                <w:sz w:val="14"/>
              </w:rPr>
              <w:t>6</w:t>
            </w:r>
          </w:p>
        </w:tc>
        <w:tc>
          <w:tcPr>
            <w:tcW w:w="1361" w:type="dxa"/>
          </w:tcPr>
          <w:p w14:paraId="39F033B9" w14:textId="77777777" w:rsidR="00EF5B27" w:rsidRDefault="00EF5B27">
            <w:pPr>
              <w:pStyle w:val="TableParagraph"/>
              <w:spacing w:before="7"/>
              <w:rPr>
                <w:rFonts w:ascii="Times New Roman"/>
                <w:sz w:val="12"/>
              </w:rPr>
            </w:pPr>
          </w:p>
          <w:p w14:paraId="4EFD11BA" w14:textId="77777777" w:rsidR="00EF5B27" w:rsidRDefault="00000000">
            <w:pPr>
              <w:pStyle w:val="TableParagraph"/>
              <w:ind w:left="91" w:right="86"/>
              <w:jc w:val="center"/>
              <w:rPr>
                <w:sz w:val="14"/>
              </w:rPr>
            </w:pPr>
            <w:r>
              <w:rPr>
                <w:color w:val="4D4D4F"/>
                <w:sz w:val="14"/>
              </w:rPr>
              <w:t>Spiny Rice-flower</w:t>
            </w:r>
          </w:p>
        </w:tc>
        <w:tc>
          <w:tcPr>
            <w:tcW w:w="737" w:type="dxa"/>
          </w:tcPr>
          <w:p w14:paraId="5D9DFE63" w14:textId="77777777" w:rsidR="00EF5B27" w:rsidRDefault="00EF5B27">
            <w:pPr>
              <w:pStyle w:val="TableParagraph"/>
              <w:spacing w:before="7"/>
              <w:rPr>
                <w:rFonts w:ascii="Times New Roman"/>
                <w:sz w:val="12"/>
              </w:rPr>
            </w:pPr>
          </w:p>
          <w:p w14:paraId="1134F26F" w14:textId="77777777" w:rsidR="00EF5B27" w:rsidRDefault="00000000">
            <w:pPr>
              <w:pStyle w:val="TableParagraph"/>
              <w:ind w:left="5"/>
              <w:jc w:val="center"/>
              <w:rPr>
                <w:sz w:val="14"/>
              </w:rPr>
            </w:pPr>
            <w:r>
              <w:rPr>
                <w:color w:val="4D4D4F"/>
                <w:w w:val="96"/>
                <w:sz w:val="14"/>
              </w:rPr>
              <w:t>2</w:t>
            </w:r>
          </w:p>
        </w:tc>
        <w:tc>
          <w:tcPr>
            <w:tcW w:w="1474" w:type="dxa"/>
          </w:tcPr>
          <w:p w14:paraId="37455754" w14:textId="77777777" w:rsidR="00EF5B27" w:rsidRDefault="00EF5B27">
            <w:pPr>
              <w:pStyle w:val="TableParagraph"/>
              <w:spacing w:before="7"/>
              <w:rPr>
                <w:rFonts w:ascii="Times New Roman"/>
                <w:sz w:val="12"/>
              </w:rPr>
            </w:pPr>
          </w:p>
          <w:p w14:paraId="7A340488" w14:textId="77777777" w:rsidR="00EF5B27" w:rsidRDefault="00000000">
            <w:pPr>
              <w:pStyle w:val="TableParagraph"/>
              <w:ind w:left="125" w:right="120"/>
              <w:jc w:val="center"/>
              <w:rPr>
                <w:sz w:val="14"/>
              </w:rPr>
            </w:pPr>
            <w:r>
              <w:rPr>
                <w:color w:val="4D4D4F"/>
                <w:w w:val="105"/>
                <w:sz w:val="14"/>
              </w:rPr>
              <w:t>Recruits</w:t>
            </w:r>
          </w:p>
        </w:tc>
        <w:tc>
          <w:tcPr>
            <w:tcW w:w="2041" w:type="dxa"/>
          </w:tcPr>
          <w:p w14:paraId="389EDF80" w14:textId="77777777" w:rsidR="00EF5B27" w:rsidRDefault="00000000">
            <w:pPr>
              <w:pStyle w:val="TableParagraph"/>
              <w:spacing w:before="55" w:line="252" w:lineRule="auto"/>
              <w:ind w:left="344" w:right="50" w:hanging="247"/>
              <w:rPr>
                <w:sz w:val="14"/>
              </w:rPr>
            </w:pPr>
            <w:r>
              <w:rPr>
                <w:color w:val="4D4D4F"/>
                <w:sz w:val="14"/>
              </w:rPr>
              <w:t>Truganina Cemetery Grassland (Conservation Area 10)</w:t>
            </w:r>
          </w:p>
        </w:tc>
        <w:tc>
          <w:tcPr>
            <w:tcW w:w="2154" w:type="dxa"/>
          </w:tcPr>
          <w:p w14:paraId="41F10259" w14:textId="77777777" w:rsidR="00EF5B27" w:rsidRDefault="00EF5B27">
            <w:pPr>
              <w:pStyle w:val="TableParagraph"/>
              <w:spacing w:before="7"/>
              <w:rPr>
                <w:rFonts w:ascii="Times New Roman"/>
                <w:sz w:val="12"/>
              </w:rPr>
            </w:pPr>
          </w:p>
          <w:p w14:paraId="55F3E9CC" w14:textId="77777777" w:rsidR="00EF5B27" w:rsidRDefault="00000000">
            <w:pPr>
              <w:pStyle w:val="TableParagraph"/>
              <w:ind w:left="941"/>
              <w:rPr>
                <w:sz w:val="14"/>
              </w:rPr>
            </w:pPr>
            <w:r>
              <w:rPr>
                <w:color w:val="4D4D4F"/>
                <w:sz w:val="14"/>
              </w:rPr>
              <w:t>2019</w:t>
            </w:r>
          </w:p>
        </w:tc>
        <w:tc>
          <w:tcPr>
            <w:tcW w:w="1134" w:type="dxa"/>
          </w:tcPr>
          <w:p w14:paraId="095D0C4E" w14:textId="77777777" w:rsidR="00EF5B27" w:rsidRDefault="00EF5B27">
            <w:pPr>
              <w:pStyle w:val="TableParagraph"/>
              <w:spacing w:before="7"/>
              <w:rPr>
                <w:rFonts w:ascii="Times New Roman"/>
                <w:sz w:val="12"/>
              </w:rPr>
            </w:pPr>
          </w:p>
          <w:p w14:paraId="51ADD3F7" w14:textId="77777777" w:rsidR="00EF5B27" w:rsidRDefault="00000000">
            <w:pPr>
              <w:pStyle w:val="TableParagraph"/>
              <w:ind w:left="425"/>
              <w:rPr>
                <w:sz w:val="14"/>
              </w:rPr>
            </w:pPr>
            <w:r>
              <w:rPr>
                <w:color w:val="4D4D4F"/>
                <w:sz w:val="14"/>
              </w:rPr>
              <w:t>2024</w:t>
            </w:r>
          </w:p>
        </w:tc>
      </w:tr>
    </w:tbl>
    <w:p w14:paraId="4A09FBC6" w14:textId="77777777" w:rsidR="00EF5B27" w:rsidRDefault="00EF5B27">
      <w:pPr>
        <w:rPr>
          <w:sz w:val="14"/>
        </w:rPr>
        <w:sectPr w:rsidR="00EF5B27">
          <w:pgSz w:w="11910" w:h="16840"/>
          <w:pgMar w:top="1080" w:right="1020" w:bottom="860" w:left="1020" w:header="537" w:footer="678" w:gutter="0"/>
          <w:cols w:space="720"/>
        </w:sectPr>
      </w:pPr>
    </w:p>
    <w:p w14:paraId="7C0CC134" w14:textId="77777777" w:rsidR="00EF5B27" w:rsidRDefault="00000000">
      <w:pPr>
        <w:pStyle w:val="BodyText"/>
        <w:rPr>
          <w:rFonts w:ascii="Times New Roman"/>
        </w:rPr>
      </w:pPr>
      <w:r>
        <w:lastRenderedPageBreak/>
        <w:pict w14:anchorId="63791E89">
          <v:group id="_x0000_s2607" style="position:absolute;margin-left:587.05pt;margin-top:183.4pt;width:8.25pt;height:153.1pt;z-index:251744768;mso-position-horizontal-relative:page;mso-position-vertical-relative:page" coordorigin="11741,3668" coordsize="165,3062">
            <v:shape id="_x0000_s2614" style="position:absolute;left:11741;top:3668;width:165;height:561" coordorigin="11741,3668" coordsize="165,561" path="m11906,3668r-165,l11741,4228r165,-18l11906,3668xe" fillcolor="#00aed9" stroked="f">
              <v:path arrowok="t"/>
            </v:shape>
            <v:shape id="_x0000_s2613" style="position:absolute;left:11741;top:4118;width:165;height:425" coordorigin="11741,4118" coordsize="165,425" path="m11906,4118r-165,14l11741,4531r165,12l11906,4118xe" fillcolor="#047ebc" stroked="f">
              <v:path arrowok="t"/>
            </v:shape>
            <v:shape id="_x0000_s2612" type="#_x0000_t75" style="position:absolute;left:11741;top:4355;width:165;height:587">
              <v:imagedata r:id="rId42" o:title=""/>
            </v:shape>
            <v:shape id="_x0000_s2611" style="position:absolute;left:11741;top:5343;width:165;height:536" coordorigin="11741,5343" coordsize="165,536" path="m11741,5343r,535l11906,5872r,-525l11741,5343xe" fillcolor="#f36a2e" stroked="f">
              <v:path arrowok="t"/>
            </v:shape>
            <v:shape id="_x0000_s2610" style="position:absolute;left:11741;top:4925;width:165;height:501" coordorigin="11741,4926" coordsize="165,501" path="m11741,4926r,500l11906,5426r,-485l11741,4926xe" fillcolor="#49783f" stroked="f">
              <v:path arrowok="t"/>
            </v:shape>
            <v:shape id="_x0000_s2609" style="position:absolute;left:11741;top:5781;width:165;height:268" coordorigin="11741,5782" coordsize="165,268" path="m11906,5782r-165,8l11741,6039r165,10l11906,5782xe" fillcolor="#f99f2a" stroked="f">
              <v:path arrowok="t"/>
            </v:shape>
            <v:shape id="_x0000_s2608" style="position:absolute;left:11741;top:6023;width:165;height:707" coordorigin="11741,6023" coordsize="165,707" path="m11741,6023r,706l11906,6729r,-690l11741,6023xe" fillcolor="#ef412c" stroked="f">
              <v:path arrowok="t"/>
            </v:shape>
            <w10:wrap anchorx="page" anchory="page"/>
          </v:group>
        </w:pict>
      </w:r>
    </w:p>
    <w:p w14:paraId="105CE5C6" w14:textId="77777777" w:rsidR="00EF5B27" w:rsidRDefault="00EF5B27">
      <w:pPr>
        <w:pStyle w:val="BodyText"/>
        <w:rPr>
          <w:rFonts w:ascii="Times New Roman"/>
        </w:rPr>
      </w:pPr>
    </w:p>
    <w:p w14:paraId="56E79666" w14:textId="77777777" w:rsidR="00EF5B27" w:rsidRDefault="00EF5B27">
      <w:pPr>
        <w:pStyle w:val="BodyText"/>
        <w:rPr>
          <w:rFonts w:ascii="Times New Roman"/>
        </w:rPr>
      </w:pPr>
    </w:p>
    <w:p w14:paraId="0D81AD1C" w14:textId="77777777" w:rsidR="00EF5B27" w:rsidRDefault="00EF5B27">
      <w:pPr>
        <w:pStyle w:val="BodyText"/>
        <w:rPr>
          <w:rFonts w:ascii="Times New Roman"/>
        </w:rPr>
      </w:pPr>
    </w:p>
    <w:p w14:paraId="42DACDC9" w14:textId="77777777" w:rsidR="00EF5B27" w:rsidRDefault="00EF5B27">
      <w:pPr>
        <w:pStyle w:val="BodyText"/>
        <w:spacing w:before="4"/>
        <w:rPr>
          <w:rFonts w:ascii="Times New Roman"/>
          <w:sz w:val="22"/>
        </w:rPr>
      </w:pPr>
    </w:p>
    <w:tbl>
      <w:tblPr>
        <w:tblW w:w="0" w:type="auto"/>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37"/>
        <w:gridCol w:w="1361"/>
        <w:gridCol w:w="737"/>
        <w:gridCol w:w="1474"/>
        <w:gridCol w:w="2041"/>
        <w:gridCol w:w="2154"/>
        <w:gridCol w:w="1134"/>
      </w:tblGrid>
      <w:tr w:rsidR="00EF5B27" w14:paraId="6A2EBFE9" w14:textId="77777777">
        <w:trPr>
          <w:trHeight w:val="732"/>
        </w:trPr>
        <w:tc>
          <w:tcPr>
            <w:tcW w:w="737" w:type="dxa"/>
            <w:tcBorders>
              <w:bottom w:val="single" w:sz="4" w:space="0" w:color="000000"/>
            </w:tcBorders>
            <w:shd w:val="clear" w:color="auto" w:fill="FECC91"/>
          </w:tcPr>
          <w:p w14:paraId="5F155DDA" w14:textId="77777777" w:rsidR="00EF5B27" w:rsidRDefault="00000000">
            <w:pPr>
              <w:pStyle w:val="TableParagraph"/>
              <w:spacing w:before="176"/>
              <w:ind w:left="162"/>
              <w:rPr>
                <w:b/>
                <w:sz w:val="16"/>
              </w:rPr>
            </w:pPr>
            <w:r>
              <w:rPr>
                <w:b/>
                <w:w w:val="105"/>
                <w:sz w:val="16"/>
              </w:rPr>
              <w:t>MNES</w:t>
            </w:r>
          </w:p>
          <w:p w14:paraId="51BE591F" w14:textId="77777777" w:rsidR="00EF5B27" w:rsidRDefault="00000000">
            <w:pPr>
              <w:pStyle w:val="TableParagraph"/>
              <w:spacing w:before="4"/>
              <w:ind w:left="94"/>
              <w:rPr>
                <w:b/>
                <w:sz w:val="16"/>
              </w:rPr>
            </w:pPr>
            <w:r>
              <w:rPr>
                <w:b/>
                <w:sz w:val="16"/>
              </w:rPr>
              <w:t>Number</w:t>
            </w:r>
          </w:p>
        </w:tc>
        <w:tc>
          <w:tcPr>
            <w:tcW w:w="1361" w:type="dxa"/>
            <w:tcBorders>
              <w:bottom w:val="single" w:sz="4" w:space="0" w:color="000000"/>
            </w:tcBorders>
            <w:shd w:val="clear" w:color="auto" w:fill="FECC91"/>
          </w:tcPr>
          <w:p w14:paraId="0E6DEDCE" w14:textId="77777777" w:rsidR="00EF5B27" w:rsidRDefault="00EF5B27">
            <w:pPr>
              <w:pStyle w:val="TableParagraph"/>
              <w:rPr>
                <w:rFonts w:ascii="Times New Roman"/>
                <w:sz w:val="24"/>
              </w:rPr>
            </w:pPr>
          </w:p>
          <w:p w14:paraId="2A48AEC3" w14:textId="77777777" w:rsidR="00EF5B27" w:rsidRDefault="00000000">
            <w:pPr>
              <w:pStyle w:val="TableParagraph"/>
              <w:ind w:left="268"/>
              <w:rPr>
                <w:b/>
                <w:sz w:val="16"/>
              </w:rPr>
            </w:pPr>
            <w:r>
              <w:rPr>
                <w:b/>
                <w:sz w:val="16"/>
              </w:rPr>
              <w:t>MNES name</w:t>
            </w:r>
          </w:p>
        </w:tc>
        <w:tc>
          <w:tcPr>
            <w:tcW w:w="737" w:type="dxa"/>
            <w:tcBorders>
              <w:bottom w:val="single" w:sz="4" w:space="0" w:color="000000"/>
            </w:tcBorders>
            <w:shd w:val="clear" w:color="auto" w:fill="FECC91"/>
          </w:tcPr>
          <w:p w14:paraId="416527C9" w14:textId="77777777" w:rsidR="00EF5B27" w:rsidRDefault="00000000">
            <w:pPr>
              <w:pStyle w:val="TableParagraph"/>
              <w:spacing w:before="176"/>
              <w:ind w:left="79" w:right="74"/>
              <w:jc w:val="center"/>
              <w:rPr>
                <w:b/>
                <w:sz w:val="16"/>
              </w:rPr>
            </w:pPr>
            <w:r>
              <w:rPr>
                <w:b/>
                <w:w w:val="110"/>
                <w:sz w:val="16"/>
              </w:rPr>
              <w:t>KPI</w:t>
            </w:r>
          </w:p>
          <w:p w14:paraId="60B425A8" w14:textId="77777777" w:rsidR="00EF5B27" w:rsidRDefault="00000000">
            <w:pPr>
              <w:pStyle w:val="TableParagraph"/>
              <w:spacing w:before="4"/>
              <w:ind w:left="79" w:right="75"/>
              <w:jc w:val="center"/>
              <w:rPr>
                <w:b/>
                <w:sz w:val="16"/>
              </w:rPr>
            </w:pPr>
            <w:r>
              <w:rPr>
                <w:b/>
                <w:sz w:val="16"/>
              </w:rPr>
              <w:t>number</w:t>
            </w:r>
          </w:p>
        </w:tc>
        <w:tc>
          <w:tcPr>
            <w:tcW w:w="1474" w:type="dxa"/>
            <w:tcBorders>
              <w:bottom w:val="single" w:sz="4" w:space="0" w:color="000000"/>
            </w:tcBorders>
            <w:shd w:val="clear" w:color="auto" w:fill="FECC91"/>
          </w:tcPr>
          <w:p w14:paraId="7A157D7D" w14:textId="77777777" w:rsidR="00EF5B27" w:rsidRDefault="00EF5B27">
            <w:pPr>
              <w:pStyle w:val="TableParagraph"/>
              <w:rPr>
                <w:rFonts w:ascii="Times New Roman"/>
                <w:sz w:val="24"/>
              </w:rPr>
            </w:pPr>
          </w:p>
          <w:p w14:paraId="257C0DFC" w14:textId="77777777" w:rsidR="00EF5B27" w:rsidRDefault="00000000">
            <w:pPr>
              <w:pStyle w:val="TableParagraph"/>
              <w:ind w:left="123" w:right="120"/>
              <w:jc w:val="center"/>
              <w:rPr>
                <w:b/>
                <w:sz w:val="16"/>
              </w:rPr>
            </w:pPr>
            <w:r>
              <w:rPr>
                <w:b/>
                <w:w w:val="105"/>
                <w:sz w:val="16"/>
              </w:rPr>
              <w:t>KPI type</w:t>
            </w:r>
          </w:p>
        </w:tc>
        <w:tc>
          <w:tcPr>
            <w:tcW w:w="2041" w:type="dxa"/>
            <w:tcBorders>
              <w:bottom w:val="single" w:sz="4" w:space="0" w:color="000000"/>
            </w:tcBorders>
            <w:shd w:val="clear" w:color="auto" w:fill="FECC91"/>
          </w:tcPr>
          <w:p w14:paraId="233153D7" w14:textId="77777777" w:rsidR="00EF5B27" w:rsidRDefault="00EF5B27">
            <w:pPr>
              <w:pStyle w:val="TableParagraph"/>
              <w:rPr>
                <w:rFonts w:ascii="Times New Roman"/>
                <w:sz w:val="24"/>
              </w:rPr>
            </w:pPr>
          </w:p>
          <w:p w14:paraId="366A2A09" w14:textId="77777777" w:rsidR="00EF5B27" w:rsidRDefault="00000000">
            <w:pPr>
              <w:pStyle w:val="TableParagraph"/>
              <w:ind w:left="153" w:right="150"/>
              <w:jc w:val="center"/>
              <w:rPr>
                <w:b/>
                <w:sz w:val="16"/>
              </w:rPr>
            </w:pPr>
            <w:r>
              <w:rPr>
                <w:b/>
                <w:sz w:val="16"/>
              </w:rPr>
              <w:t>Location</w:t>
            </w:r>
          </w:p>
        </w:tc>
        <w:tc>
          <w:tcPr>
            <w:tcW w:w="2154" w:type="dxa"/>
            <w:tcBorders>
              <w:bottom w:val="single" w:sz="4" w:space="0" w:color="000000"/>
            </w:tcBorders>
            <w:shd w:val="clear" w:color="auto" w:fill="FECC91"/>
          </w:tcPr>
          <w:p w14:paraId="21DB6753" w14:textId="77777777" w:rsidR="00EF5B27" w:rsidRDefault="00000000">
            <w:pPr>
              <w:pStyle w:val="TableParagraph"/>
              <w:spacing w:before="76"/>
              <w:ind w:left="87"/>
              <w:rPr>
                <w:b/>
                <w:sz w:val="16"/>
              </w:rPr>
            </w:pPr>
            <w:r>
              <w:rPr>
                <w:b/>
                <w:sz w:val="16"/>
              </w:rPr>
              <w:t>First year of MSA monitoring</w:t>
            </w:r>
          </w:p>
          <w:p w14:paraId="79179CA3" w14:textId="77777777" w:rsidR="00EF5B27" w:rsidRDefault="00000000">
            <w:pPr>
              <w:pStyle w:val="TableParagraph"/>
              <w:spacing w:before="4" w:line="244" w:lineRule="auto"/>
              <w:ind w:left="128" w:right="122"/>
              <w:jc w:val="center"/>
              <w:rPr>
                <w:b/>
                <w:sz w:val="16"/>
              </w:rPr>
            </w:pPr>
            <w:r>
              <w:rPr>
                <w:b/>
                <w:sz w:val="16"/>
              </w:rPr>
              <w:t>/year that monitoring is expected to commence</w:t>
            </w:r>
          </w:p>
        </w:tc>
        <w:tc>
          <w:tcPr>
            <w:tcW w:w="1134" w:type="dxa"/>
            <w:tcBorders>
              <w:bottom w:val="single" w:sz="4" w:space="0" w:color="000000"/>
            </w:tcBorders>
            <w:shd w:val="clear" w:color="auto" w:fill="FECC91"/>
          </w:tcPr>
          <w:p w14:paraId="19E10FFB" w14:textId="77777777" w:rsidR="00EF5B27" w:rsidRDefault="00000000">
            <w:pPr>
              <w:pStyle w:val="TableParagraph"/>
              <w:spacing w:before="76" w:line="244" w:lineRule="auto"/>
              <w:ind w:left="81" w:right="75"/>
              <w:jc w:val="center"/>
              <w:rPr>
                <w:b/>
                <w:sz w:val="16"/>
              </w:rPr>
            </w:pPr>
            <w:r>
              <w:rPr>
                <w:b/>
                <w:sz w:val="16"/>
              </w:rPr>
              <w:t>Year that baseline was/ will be set</w:t>
            </w:r>
          </w:p>
        </w:tc>
      </w:tr>
      <w:tr w:rsidR="00EF5B27" w14:paraId="702E7C0F" w14:textId="77777777">
        <w:trPr>
          <w:trHeight w:val="448"/>
        </w:trPr>
        <w:tc>
          <w:tcPr>
            <w:tcW w:w="737" w:type="dxa"/>
            <w:tcBorders>
              <w:top w:val="single" w:sz="4" w:space="0" w:color="000000"/>
            </w:tcBorders>
          </w:tcPr>
          <w:p w14:paraId="1E854289" w14:textId="77777777" w:rsidR="00EF5B27" w:rsidRDefault="00EF5B27">
            <w:pPr>
              <w:pStyle w:val="TableParagraph"/>
              <w:spacing w:before="7"/>
              <w:rPr>
                <w:rFonts w:ascii="Times New Roman"/>
                <w:sz w:val="12"/>
              </w:rPr>
            </w:pPr>
          </w:p>
          <w:p w14:paraId="79564307" w14:textId="77777777" w:rsidR="00EF5B27" w:rsidRDefault="00000000">
            <w:pPr>
              <w:pStyle w:val="TableParagraph"/>
              <w:ind w:left="5"/>
              <w:jc w:val="center"/>
              <w:rPr>
                <w:sz w:val="14"/>
              </w:rPr>
            </w:pPr>
            <w:r>
              <w:rPr>
                <w:color w:val="4D4D4F"/>
                <w:w w:val="96"/>
                <w:sz w:val="14"/>
              </w:rPr>
              <w:t>6</w:t>
            </w:r>
          </w:p>
        </w:tc>
        <w:tc>
          <w:tcPr>
            <w:tcW w:w="1361" w:type="dxa"/>
            <w:tcBorders>
              <w:top w:val="single" w:sz="4" w:space="0" w:color="000000"/>
            </w:tcBorders>
          </w:tcPr>
          <w:p w14:paraId="7D566BC2" w14:textId="77777777" w:rsidR="00EF5B27" w:rsidRDefault="00EF5B27">
            <w:pPr>
              <w:pStyle w:val="TableParagraph"/>
              <w:spacing w:before="7"/>
              <w:rPr>
                <w:rFonts w:ascii="Times New Roman"/>
                <w:sz w:val="12"/>
              </w:rPr>
            </w:pPr>
          </w:p>
          <w:p w14:paraId="7770FA5E" w14:textId="77777777" w:rsidR="00EF5B27" w:rsidRDefault="00000000">
            <w:pPr>
              <w:pStyle w:val="TableParagraph"/>
              <w:ind w:left="163"/>
              <w:rPr>
                <w:sz w:val="14"/>
              </w:rPr>
            </w:pPr>
            <w:r>
              <w:rPr>
                <w:color w:val="4D4D4F"/>
                <w:sz w:val="14"/>
              </w:rPr>
              <w:t>Spiny Rice-flower</w:t>
            </w:r>
          </w:p>
        </w:tc>
        <w:tc>
          <w:tcPr>
            <w:tcW w:w="737" w:type="dxa"/>
            <w:tcBorders>
              <w:top w:val="single" w:sz="4" w:space="0" w:color="000000"/>
            </w:tcBorders>
          </w:tcPr>
          <w:p w14:paraId="4441E2F5" w14:textId="77777777" w:rsidR="00EF5B27" w:rsidRDefault="00EF5B27">
            <w:pPr>
              <w:pStyle w:val="TableParagraph"/>
              <w:spacing w:before="7"/>
              <w:rPr>
                <w:rFonts w:ascii="Times New Roman"/>
                <w:sz w:val="12"/>
              </w:rPr>
            </w:pPr>
          </w:p>
          <w:p w14:paraId="2EAC9FC1" w14:textId="77777777" w:rsidR="00EF5B27" w:rsidRDefault="00000000">
            <w:pPr>
              <w:pStyle w:val="TableParagraph"/>
              <w:ind w:left="4"/>
              <w:jc w:val="center"/>
              <w:rPr>
                <w:sz w:val="14"/>
              </w:rPr>
            </w:pPr>
            <w:r>
              <w:rPr>
                <w:color w:val="4D4D4F"/>
                <w:w w:val="96"/>
                <w:sz w:val="14"/>
              </w:rPr>
              <w:t>2</w:t>
            </w:r>
          </w:p>
        </w:tc>
        <w:tc>
          <w:tcPr>
            <w:tcW w:w="1474" w:type="dxa"/>
            <w:tcBorders>
              <w:top w:val="single" w:sz="4" w:space="0" w:color="000000"/>
            </w:tcBorders>
          </w:tcPr>
          <w:p w14:paraId="2F798548" w14:textId="77777777" w:rsidR="00EF5B27" w:rsidRDefault="00EF5B27">
            <w:pPr>
              <w:pStyle w:val="TableParagraph"/>
              <w:spacing w:before="7"/>
              <w:rPr>
                <w:rFonts w:ascii="Times New Roman"/>
                <w:sz w:val="12"/>
              </w:rPr>
            </w:pPr>
          </w:p>
          <w:p w14:paraId="63FAF0A6" w14:textId="77777777" w:rsidR="00EF5B27" w:rsidRDefault="00000000">
            <w:pPr>
              <w:pStyle w:val="TableParagraph"/>
              <w:ind w:left="124" w:right="120"/>
              <w:jc w:val="center"/>
              <w:rPr>
                <w:sz w:val="14"/>
              </w:rPr>
            </w:pPr>
            <w:r>
              <w:rPr>
                <w:color w:val="4D4D4F"/>
                <w:w w:val="105"/>
                <w:sz w:val="14"/>
              </w:rPr>
              <w:t>Recruits</w:t>
            </w:r>
          </w:p>
        </w:tc>
        <w:tc>
          <w:tcPr>
            <w:tcW w:w="2041" w:type="dxa"/>
            <w:tcBorders>
              <w:top w:val="single" w:sz="4" w:space="0" w:color="000000"/>
            </w:tcBorders>
          </w:tcPr>
          <w:p w14:paraId="2CEEF3D0" w14:textId="77777777" w:rsidR="00EF5B27" w:rsidRDefault="00000000">
            <w:pPr>
              <w:pStyle w:val="TableParagraph"/>
              <w:spacing w:before="55" w:line="252" w:lineRule="auto"/>
              <w:ind w:left="677" w:right="50" w:hanging="505"/>
              <w:rPr>
                <w:sz w:val="14"/>
              </w:rPr>
            </w:pPr>
            <w:r>
              <w:rPr>
                <w:color w:val="4D4D4F"/>
                <w:w w:val="105"/>
                <w:sz w:val="14"/>
              </w:rPr>
              <w:t>Western Grassland Reserve, Radio block</w:t>
            </w:r>
          </w:p>
        </w:tc>
        <w:tc>
          <w:tcPr>
            <w:tcW w:w="2154" w:type="dxa"/>
            <w:tcBorders>
              <w:top w:val="single" w:sz="4" w:space="0" w:color="000000"/>
            </w:tcBorders>
          </w:tcPr>
          <w:p w14:paraId="660C2E6E" w14:textId="77777777" w:rsidR="00EF5B27" w:rsidRDefault="00EF5B27">
            <w:pPr>
              <w:pStyle w:val="TableParagraph"/>
              <w:spacing w:before="7"/>
              <w:rPr>
                <w:rFonts w:ascii="Times New Roman"/>
                <w:sz w:val="12"/>
              </w:rPr>
            </w:pPr>
          </w:p>
          <w:p w14:paraId="7C5E10D1" w14:textId="77777777" w:rsidR="00EF5B27" w:rsidRDefault="00000000">
            <w:pPr>
              <w:pStyle w:val="TableParagraph"/>
              <w:ind w:left="941"/>
              <w:rPr>
                <w:sz w:val="14"/>
              </w:rPr>
            </w:pPr>
            <w:r>
              <w:rPr>
                <w:color w:val="4D4D4F"/>
                <w:sz w:val="14"/>
              </w:rPr>
              <w:t>2019</w:t>
            </w:r>
          </w:p>
        </w:tc>
        <w:tc>
          <w:tcPr>
            <w:tcW w:w="1134" w:type="dxa"/>
            <w:tcBorders>
              <w:top w:val="single" w:sz="4" w:space="0" w:color="000000"/>
            </w:tcBorders>
          </w:tcPr>
          <w:p w14:paraId="3FB8207B" w14:textId="77777777" w:rsidR="00EF5B27" w:rsidRDefault="00EF5B27">
            <w:pPr>
              <w:pStyle w:val="TableParagraph"/>
              <w:spacing w:before="7"/>
              <w:rPr>
                <w:rFonts w:ascii="Times New Roman"/>
                <w:sz w:val="12"/>
              </w:rPr>
            </w:pPr>
          </w:p>
          <w:p w14:paraId="15C2E095" w14:textId="77777777" w:rsidR="00EF5B27" w:rsidRDefault="00000000">
            <w:pPr>
              <w:pStyle w:val="TableParagraph"/>
              <w:ind w:left="81" w:right="75"/>
              <w:jc w:val="center"/>
              <w:rPr>
                <w:sz w:val="14"/>
              </w:rPr>
            </w:pPr>
            <w:r>
              <w:rPr>
                <w:color w:val="4D4D4F"/>
                <w:sz w:val="14"/>
              </w:rPr>
              <w:t>2024</w:t>
            </w:r>
          </w:p>
        </w:tc>
      </w:tr>
      <w:tr w:rsidR="00EF5B27" w14:paraId="46C5A3EC" w14:textId="77777777">
        <w:trPr>
          <w:trHeight w:val="448"/>
        </w:trPr>
        <w:tc>
          <w:tcPr>
            <w:tcW w:w="737" w:type="dxa"/>
          </w:tcPr>
          <w:p w14:paraId="425A33AD" w14:textId="77777777" w:rsidR="00EF5B27" w:rsidRDefault="00EF5B27">
            <w:pPr>
              <w:pStyle w:val="TableParagraph"/>
              <w:spacing w:before="7"/>
              <w:rPr>
                <w:rFonts w:ascii="Times New Roman"/>
                <w:sz w:val="12"/>
              </w:rPr>
            </w:pPr>
          </w:p>
          <w:p w14:paraId="197D40CD" w14:textId="77777777" w:rsidR="00EF5B27" w:rsidRDefault="00000000">
            <w:pPr>
              <w:pStyle w:val="TableParagraph"/>
              <w:ind w:left="5"/>
              <w:jc w:val="center"/>
              <w:rPr>
                <w:sz w:val="14"/>
              </w:rPr>
            </w:pPr>
            <w:r>
              <w:rPr>
                <w:color w:val="4D4D4F"/>
                <w:w w:val="96"/>
                <w:sz w:val="14"/>
              </w:rPr>
              <w:t>7</w:t>
            </w:r>
          </w:p>
        </w:tc>
        <w:tc>
          <w:tcPr>
            <w:tcW w:w="1361" w:type="dxa"/>
          </w:tcPr>
          <w:p w14:paraId="752BC0DA" w14:textId="77777777" w:rsidR="00EF5B27" w:rsidRDefault="00000000">
            <w:pPr>
              <w:pStyle w:val="TableParagraph"/>
              <w:spacing w:before="55" w:line="252" w:lineRule="auto"/>
              <w:ind w:left="385" w:hanging="196"/>
              <w:rPr>
                <w:sz w:val="14"/>
              </w:rPr>
            </w:pPr>
            <w:r>
              <w:rPr>
                <w:color w:val="4D4D4F"/>
                <w:sz w:val="14"/>
              </w:rPr>
              <w:t>Southern Brown Bandicoot</w:t>
            </w:r>
          </w:p>
        </w:tc>
        <w:tc>
          <w:tcPr>
            <w:tcW w:w="737" w:type="dxa"/>
          </w:tcPr>
          <w:p w14:paraId="2A9256DE" w14:textId="77777777" w:rsidR="00EF5B27" w:rsidRDefault="00EF5B27">
            <w:pPr>
              <w:pStyle w:val="TableParagraph"/>
              <w:spacing w:before="7"/>
              <w:rPr>
                <w:rFonts w:ascii="Times New Roman"/>
                <w:sz w:val="12"/>
              </w:rPr>
            </w:pPr>
          </w:p>
          <w:p w14:paraId="4B1B5D3D" w14:textId="77777777" w:rsidR="00EF5B27" w:rsidRDefault="00000000">
            <w:pPr>
              <w:pStyle w:val="TableParagraph"/>
              <w:ind w:left="4"/>
              <w:jc w:val="center"/>
              <w:rPr>
                <w:sz w:val="14"/>
              </w:rPr>
            </w:pPr>
            <w:r>
              <w:rPr>
                <w:color w:val="4D4D4F"/>
                <w:w w:val="96"/>
                <w:sz w:val="14"/>
              </w:rPr>
              <w:t>1</w:t>
            </w:r>
          </w:p>
        </w:tc>
        <w:tc>
          <w:tcPr>
            <w:tcW w:w="1474" w:type="dxa"/>
          </w:tcPr>
          <w:p w14:paraId="73D4B7C9" w14:textId="77777777" w:rsidR="00EF5B27" w:rsidRDefault="00EF5B27">
            <w:pPr>
              <w:pStyle w:val="TableParagraph"/>
              <w:spacing w:before="7"/>
              <w:rPr>
                <w:rFonts w:ascii="Times New Roman"/>
                <w:sz w:val="12"/>
              </w:rPr>
            </w:pPr>
          </w:p>
          <w:p w14:paraId="429B96ED" w14:textId="77777777" w:rsidR="00EF5B27" w:rsidRDefault="00000000">
            <w:pPr>
              <w:pStyle w:val="TableParagraph"/>
              <w:ind w:left="124" w:right="120"/>
              <w:jc w:val="center"/>
              <w:rPr>
                <w:sz w:val="14"/>
              </w:rPr>
            </w:pPr>
            <w:r>
              <w:rPr>
                <w:color w:val="4D4D4F"/>
                <w:sz w:val="14"/>
              </w:rPr>
              <w:t>Occupancy</w:t>
            </w:r>
          </w:p>
        </w:tc>
        <w:tc>
          <w:tcPr>
            <w:tcW w:w="2041" w:type="dxa"/>
          </w:tcPr>
          <w:p w14:paraId="65F9D424" w14:textId="77777777" w:rsidR="00EF5B27" w:rsidRDefault="00000000">
            <w:pPr>
              <w:pStyle w:val="TableParagraph"/>
              <w:spacing w:before="55" w:line="252" w:lineRule="auto"/>
              <w:ind w:left="289" w:right="50" w:hanging="72"/>
              <w:rPr>
                <w:sz w:val="14"/>
              </w:rPr>
            </w:pPr>
            <w:r>
              <w:rPr>
                <w:color w:val="4D4D4F"/>
                <w:sz w:val="14"/>
              </w:rPr>
              <w:t>Southern Brown Bandicoot Management Area, canal</w:t>
            </w:r>
          </w:p>
        </w:tc>
        <w:tc>
          <w:tcPr>
            <w:tcW w:w="2154" w:type="dxa"/>
          </w:tcPr>
          <w:p w14:paraId="3C4C654F" w14:textId="77777777" w:rsidR="00EF5B27" w:rsidRDefault="00EF5B27">
            <w:pPr>
              <w:pStyle w:val="TableParagraph"/>
              <w:spacing w:before="7"/>
              <w:rPr>
                <w:rFonts w:ascii="Times New Roman"/>
                <w:sz w:val="12"/>
              </w:rPr>
            </w:pPr>
          </w:p>
          <w:p w14:paraId="59D767AE" w14:textId="77777777" w:rsidR="00EF5B27" w:rsidRDefault="00000000">
            <w:pPr>
              <w:pStyle w:val="TableParagraph"/>
              <w:ind w:left="941"/>
              <w:rPr>
                <w:sz w:val="14"/>
              </w:rPr>
            </w:pPr>
            <w:r>
              <w:rPr>
                <w:color w:val="4D4D4F"/>
                <w:sz w:val="14"/>
              </w:rPr>
              <w:t>2019</w:t>
            </w:r>
          </w:p>
        </w:tc>
        <w:tc>
          <w:tcPr>
            <w:tcW w:w="1134" w:type="dxa"/>
          </w:tcPr>
          <w:p w14:paraId="37B17233" w14:textId="77777777" w:rsidR="00EF5B27" w:rsidRDefault="00EF5B27">
            <w:pPr>
              <w:pStyle w:val="TableParagraph"/>
              <w:spacing w:before="7"/>
              <w:rPr>
                <w:rFonts w:ascii="Times New Roman"/>
                <w:sz w:val="12"/>
              </w:rPr>
            </w:pPr>
          </w:p>
          <w:p w14:paraId="2D76EF43" w14:textId="77777777" w:rsidR="00EF5B27" w:rsidRDefault="00000000">
            <w:pPr>
              <w:pStyle w:val="TableParagraph"/>
              <w:ind w:left="81" w:right="81"/>
              <w:jc w:val="center"/>
              <w:rPr>
                <w:sz w:val="14"/>
              </w:rPr>
            </w:pPr>
            <w:r>
              <w:rPr>
                <w:color w:val="4D4D4F"/>
                <w:sz w:val="14"/>
              </w:rPr>
              <w:t>2019</w:t>
            </w:r>
          </w:p>
        </w:tc>
      </w:tr>
      <w:tr w:rsidR="00EF5B27" w14:paraId="3BF96F24" w14:textId="77777777">
        <w:trPr>
          <w:trHeight w:val="448"/>
        </w:trPr>
        <w:tc>
          <w:tcPr>
            <w:tcW w:w="737" w:type="dxa"/>
          </w:tcPr>
          <w:p w14:paraId="272E729F" w14:textId="77777777" w:rsidR="00EF5B27" w:rsidRDefault="00EF5B27">
            <w:pPr>
              <w:pStyle w:val="TableParagraph"/>
              <w:spacing w:before="7"/>
              <w:rPr>
                <w:rFonts w:ascii="Times New Roman"/>
                <w:sz w:val="12"/>
              </w:rPr>
            </w:pPr>
          </w:p>
          <w:p w14:paraId="3BF00817" w14:textId="77777777" w:rsidR="00EF5B27" w:rsidRDefault="00000000">
            <w:pPr>
              <w:pStyle w:val="TableParagraph"/>
              <w:ind w:left="5"/>
              <w:jc w:val="center"/>
              <w:rPr>
                <w:sz w:val="14"/>
              </w:rPr>
            </w:pPr>
            <w:r>
              <w:rPr>
                <w:color w:val="4D4D4F"/>
                <w:w w:val="96"/>
                <w:sz w:val="14"/>
              </w:rPr>
              <w:t>7</w:t>
            </w:r>
          </w:p>
        </w:tc>
        <w:tc>
          <w:tcPr>
            <w:tcW w:w="1361" w:type="dxa"/>
          </w:tcPr>
          <w:p w14:paraId="02733B64" w14:textId="77777777" w:rsidR="00EF5B27" w:rsidRDefault="00000000">
            <w:pPr>
              <w:pStyle w:val="TableParagraph"/>
              <w:spacing w:before="55" w:line="252" w:lineRule="auto"/>
              <w:ind w:left="385" w:hanging="196"/>
              <w:rPr>
                <w:sz w:val="14"/>
              </w:rPr>
            </w:pPr>
            <w:r>
              <w:rPr>
                <w:color w:val="4D4D4F"/>
                <w:sz w:val="14"/>
              </w:rPr>
              <w:t>Southern Brown Bandicoot</w:t>
            </w:r>
          </w:p>
        </w:tc>
        <w:tc>
          <w:tcPr>
            <w:tcW w:w="737" w:type="dxa"/>
          </w:tcPr>
          <w:p w14:paraId="19BA276C" w14:textId="77777777" w:rsidR="00EF5B27" w:rsidRDefault="00EF5B27">
            <w:pPr>
              <w:pStyle w:val="TableParagraph"/>
              <w:spacing w:before="7"/>
              <w:rPr>
                <w:rFonts w:ascii="Times New Roman"/>
                <w:sz w:val="12"/>
              </w:rPr>
            </w:pPr>
          </w:p>
          <w:p w14:paraId="158727A4" w14:textId="77777777" w:rsidR="00EF5B27" w:rsidRDefault="00000000">
            <w:pPr>
              <w:pStyle w:val="TableParagraph"/>
              <w:ind w:left="5"/>
              <w:jc w:val="center"/>
              <w:rPr>
                <w:sz w:val="14"/>
              </w:rPr>
            </w:pPr>
            <w:r>
              <w:rPr>
                <w:color w:val="4D4D4F"/>
                <w:w w:val="96"/>
                <w:sz w:val="14"/>
              </w:rPr>
              <w:t>1</w:t>
            </w:r>
          </w:p>
        </w:tc>
        <w:tc>
          <w:tcPr>
            <w:tcW w:w="1474" w:type="dxa"/>
          </w:tcPr>
          <w:p w14:paraId="7D087B0B" w14:textId="77777777" w:rsidR="00EF5B27" w:rsidRDefault="00EF5B27">
            <w:pPr>
              <w:pStyle w:val="TableParagraph"/>
              <w:spacing w:before="7"/>
              <w:rPr>
                <w:rFonts w:ascii="Times New Roman"/>
                <w:sz w:val="12"/>
              </w:rPr>
            </w:pPr>
          </w:p>
          <w:p w14:paraId="4965453D" w14:textId="77777777" w:rsidR="00EF5B27" w:rsidRDefault="00000000">
            <w:pPr>
              <w:pStyle w:val="TableParagraph"/>
              <w:ind w:left="124" w:right="120"/>
              <w:jc w:val="center"/>
              <w:rPr>
                <w:sz w:val="14"/>
              </w:rPr>
            </w:pPr>
            <w:r>
              <w:rPr>
                <w:color w:val="4D4D4F"/>
                <w:sz w:val="14"/>
              </w:rPr>
              <w:t>Occupancy</w:t>
            </w:r>
          </w:p>
        </w:tc>
        <w:tc>
          <w:tcPr>
            <w:tcW w:w="2041" w:type="dxa"/>
          </w:tcPr>
          <w:p w14:paraId="4D1E12E5" w14:textId="77777777" w:rsidR="00EF5B27" w:rsidRDefault="00000000">
            <w:pPr>
              <w:pStyle w:val="TableParagraph"/>
              <w:spacing w:before="55" w:line="252" w:lineRule="auto"/>
              <w:ind w:left="216" w:right="50" w:firstLine="1"/>
              <w:rPr>
                <w:sz w:val="14"/>
              </w:rPr>
            </w:pPr>
            <w:r>
              <w:rPr>
                <w:color w:val="4D4D4F"/>
                <w:sz w:val="14"/>
              </w:rPr>
              <w:t>Southern Brown Bandicoot Management Area, reserve</w:t>
            </w:r>
          </w:p>
        </w:tc>
        <w:tc>
          <w:tcPr>
            <w:tcW w:w="2154" w:type="dxa"/>
          </w:tcPr>
          <w:p w14:paraId="15C7BDF3" w14:textId="77777777" w:rsidR="00EF5B27" w:rsidRDefault="00EF5B27">
            <w:pPr>
              <w:pStyle w:val="TableParagraph"/>
              <w:spacing w:before="7"/>
              <w:rPr>
                <w:rFonts w:ascii="Times New Roman"/>
                <w:sz w:val="12"/>
              </w:rPr>
            </w:pPr>
          </w:p>
          <w:p w14:paraId="2ACED631" w14:textId="77777777" w:rsidR="00EF5B27" w:rsidRDefault="00000000">
            <w:pPr>
              <w:pStyle w:val="TableParagraph"/>
              <w:ind w:left="941"/>
              <w:rPr>
                <w:sz w:val="14"/>
              </w:rPr>
            </w:pPr>
            <w:r>
              <w:rPr>
                <w:color w:val="4D4D4F"/>
                <w:sz w:val="14"/>
              </w:rPr>
              <w:t>2019</w:t>
            </w:r>
          </w:p>
        </w:tc>
        <w:tc>
          <w:tcPr>
            <w:tcW w:w="1134" w:type="dxa"/>
          </w:tcPr>
          <w:p w14:paraId="5BFBD125" w14:textId="77777777" w:rsidR="00EF5B27" w:rsidRDefault="00EF5B27">
            <w:pPr>
              <w:pStyle w:val="TableParagraph"/>
              <w:spacing w:before="7"/>
              <w:rPr>
                <w:rFonts w:ascii="Times New Roman"/>
                <w:sz w:val="12"/>
              </w:rPr>
            </w:pPr>
          </w:p>
          <w:p w14:paraId="66934CE2" w14:textId="77777777" w:rsidR="00EF5B27" w:rsidRDefault="00000000">
            <w:pPr>
              <w:pStyle w:val="TableParagraph"/>
              <w:ind w:left="81" w:right="81"/>
              <w:jc w:val="center"/>
              <w:rPr>
                <w:sz w:val="14"/>
              </w:rPr>
            </w:pPr>
            <w:r>
              <w:rPr>
                <w:color w:val="4D4D4F"/>
                <w:sz w:val="14"/>
              </w:rPr>
              <w:t>2019</w:t>
            </w:r>
          </w:p>
        </w:tc>
      </w:tr>
      <w:tr w:rsidR="00EF5B27" w14:paraId="372CE09D" w14:textId="77777777">
        <w:trPr>
          <w:trHeight w:val="448"/>
        </w:trPr>
        <w:tc>
          <w:tcPr>
            <w:tcW w:w="737" w:type="dxa"/>
          </w:tcPr>
          <w:p w14:paraId="6B298746" w14:textId="77777777" w:rsidR="00EF5B27" w:rsidRDefault="00EF5B27">
            <w:pPr>
              <w:pStyle w:val="TableParagraph"/>
              <w:spacing w:before="7"/>
              <w:rPr>
                <w:rFonts w:ascii="Times New Roman"/>
                <w:sz w:val="12"/>
              </w:rPr>
            </w:pPr>
          </w:p>
          <w:p w14:paraId="33378869" w14:textId="77777777" w:rsidR="00EF5B27" w:rsidRDefault="00000000">
            <w:pPr>
              <w:pStyle w:val="TableParagraph"/>
              <w:ind w:left="5"/>
              <w:jc w:val="center"/>
              <w:rPr>
                <w:sz w:val="14"/>
              </w:rPr>
            </w:pPr>
            <w:r>
              <w:rPr>
                <w:color w:val="4D4D4F"/>
                <w:w w:val="96"/>
                <w:sz w:val="14"/>
              </w:rPr>
              <w:t>7</w:t>
            </w:r>
          </w:p>
        </w:tc>
        <w:tc>
          <w:tcPr>
            <w:tcW w:w="1361" w:type="dxa"/>
          </w:tcPr>
          <w:p w14:paraId="7478E0E9" w14:textId="77777777" w:rsidR="00EF5B27" w:rsidRDefault="00000000">
            <w:pPr>
              <w:pStyle w:val="TableParagraph"/>
              <w:spacing w:before="55" w:line="252" w:lineRule="auto"/>
              <w:ind w:left="385" w:hanging="196"/>
              <w:rPr>
                <w:sz w:val="14"/>
              </w:rPr>
            </w:pPr>
            <w:r>
              <w:rPr>
                <w:color w:val="4D4D4F"/>
                <w:sz w:val="14"/>
              </w:rPr>
              <w:t>Southern Brown Bandicoot</w:t>
            </w:r>
          </w:p>
        </w:tc>
        <w:tc>
          <w:tcPr>
            <w:tcW w:w="737" w:type="dxa"/>
          </w:tcPr>
          <w:p w14:paraId="5C593065" w14:textId="77777777" w:rsidR="00EF5B27" w:rsidRDefault="00EF5B27">
            <w:pPr>
              <w:pStyle w:val="TableParagraph"/>
              <w:spacing w:before="7"/>
              <w:rPr>
                <w:rFonts w:ascii="Times New Roman"/>
                <w:sz w:val="12"/>
              </w:rPr>
            </w:pPr>
          </w:p>
          <w:p w14:paraId="64A2864E" w14:textId="77777777" w:rsidR="00EF5B27" w:rsidRDefault="00000000">
            <w:pPr>
              <w:pStyle w:val="TableParagraph"/>
              <w:ind w:left="5"/>
              <w:jc w:val="center"/>
              <w:rPr>
                <w:sz w:val="14"/>
              </w:rPr>
            </w:pPr>
            <w:r>
              <w:rPr>
                <w:color w:val="4D4D4F"/>
                <w:w w:val="96"/>
                <w:sz w:val="14"/>
              </w:rPr>
              <w:t>1</w:t>
            </w:r>
          </w:p>
        </w:tc>
        <w:tc>
          <w:tcPr>
            <w:tcW w:w="1474" w:type="dxa"/>
          </w:tcPr>
          <w:p w14:paraId="4A074297" w14:textId="77777777" w:rsidR="00EF5B27" w:rsidRDefault="00EF5B27">
            <w:pPr>
              <w:pStyle w:val="TableParagraph"/>
              <w:spacing w:before="7"/>
              <w:rPr>
                <w:rFonts w:ascii="Times New Roman"/>
                <w:sz w:val="12"/>
              </w:rPr>
            </w:pPr>
          </w:p>
          <w:p w14:paraId="1392760C" w14:textId="77777777" w:rsidR="00EF5B27" w:rsidRDefault="00000000">
            <w:pPr>
              <w:pStyle w:val="TableParagraph"/>
              <w:ind w:left="124" w:right="120"/>
              <w:jc w:val="center"/>
              <w:rPr>
                <w:sz w:val="14"/>
              </w:rPr>
            </w:pPr>
            <w:r>
              <w:rPr>
                <w:color w:val="4D4D4F"/>
                <w:sz w:val="14"/>
              </w:rPr>
              <w:t>Occupancy</w:t>
            </w:r>
          </w:p>
        </w:tc>
        <w:tc>
          <w:tcPr>
            <w:tcW w:w="2041" w:type="dxa"/>
          </w:tcPr>
          <w:p w14:paraId="74C76001" w14:textId="77777777" w:rsidR="00EF5B27" w:rsidRDefault="00000000">
            <w:pPr>
              <w:pStyle w:val="TableParagraph"/>
              <w:spacing w:before="55" w:line="252" w:lineRule="auto"/>
              <w:ind w:left="311" w:right="50" w:hanging="95"/>
              <w:rPr>
                <w:sz w:val="14"/>
              </w:rPr>
            </w:pPr>
            <w:r>
              <w:rPr>
                <w:color w:val="4D4D4F"/>
                <w:sz w:val="14"/>
              </w:rPr>
              <w:t>Southern Brown Bandicoot Management Area, road</w:t>
            </w:r>
          </w:p>
        </w:tc>
        <w:tc>
          <w:tcPr>
            <w:tcW w:w="2154" w:type="dxa"/>
          </w:tcPr>
          <w:p w14:paraId="1FBB08AA" w14:textId="77777777" w:rsidR="00EF5B27" w:rsidRDefault="00EF5B27">
            <w:pPr>
              <w:pStyle w:val="TableParagraph"/>
              <w:spacing w:before="7"/>
              <w:rPr>
                <w:rFonts w:ascii="Times New Roman"/>
                <w:sz w:val="12"/>
              </w:rPr>
            </w:pPr>
          </w:p>
          <w:p w14:paraId="654836CD" w14:textId="77777777" w:rsidR="00EF5B27" w:rsidRDefault="00000000">
            <w:pPr>
              <w:pStyle w:val="TableParagraph"/>
              <w:ind w:left="941"/>
              <w:rPr>
                <w:sz w:val="14"/>
              </w:rPr>
            </w:pPr>
            <w:r>
              <w:rPr>
                <w:color w:val="4D4D4F"/>
                <w:sz w:val="14"/>
              </w:rPr>
              <w:t>2019</w:t>
            </w:r>
          </w:p>
        </w:tc>
        <w:tc>
          <w:tcPr>
            <w:tcW w:w="1134" w:type="dxa"/>
          </w:tcPr>
          <w:p w14:paraId="1E6B3688" w14:textId="77777777" w:rsidR="00EF5B27" w:rsidRDefault="00EF5B27">
            <w:pPr>
              <w:pStyle w:val="TableParagraph"/>
              <w:spacing w:before="7"/>
              <w:rPr>
                <w:rFonts w:ascii="Times New Roman"/>
                <w:sz w:val="12"/>
              </w:rPr>
            </w:pPr>
          </w:p>
          <w:p w14:paraId="1217D401" w14:textId="77777777" w:rsidR="00EF5B27" w:rsidRDefault="00000000">
            <w:pPr>
              <w:pStyle w:val="TableParagraph"/>
              <w:ind w:left="81" w:right="81"/>
              <w:jc w:val="center"/>
              <w:rPr>
                <w:sz w:val="14"/>
              </w:rPr>
            </w:pPr>
            <w:r>
              <w:rPr>
                <w:color w:val="4D4D4F"/>
                <w:sz w:val="14"/>
              </w:rPr>
              <w:t>2019</w:t>
            </w:r>
          </w:p>
        </w:tc>
      </w:tr>
      <w:tr w:rsidR="00EF5B27" w14:paraId="5ED8F53D" w14:textId="77777777">
        <w:trPr>
          <w:trHeight w:val="448"/>
        </w:trPr>
        <w:tc>
          <w:tcPr>
            <w:tcW w:w="737" w:type="dxa"/>
          </w:tcPr>
          <w:p w14:paraId="4FB1ADFE" w14:textId="77777777" w:rsidR="00EF5B27" w:rsidRDefault="00EF5B27">
            <w:pPr>
              <w:pStyle w:val="TableParagraph"/>
              <w:spacing w:before="7"/>
              <w:rPr>
                <w:rFonts w:ascii="Times New Roman"/>
                <w:sz w:val="12"/>
              </w:rPr>
            </w:pPr>
          </w:p>
          <w:p w14:paraId="6E6CC3A2" w14:textId="77777777" w:rsidR="00EF5B27" w:rsidRDefault="00000000">
            <w:pPr>
              <w:pStyle w:val="TableParagraph"/>
              <w:ind w:left="5"/>
              <w:jc w:val="center"/>
              <w:rPr>
                <w:sz w:val="14"/>
              </w:rPr>
            </w:pPr>
            <w:r>
              <w:rPr>
                <w:color w:val="4D4D4F"/>
                <w:w w:val="96"/>
                <w:sz w:val="14"/>
              </w:rPr>
              <w:t>8</w:t>
            </w:r>
          </w:p>
        </w:tc>
        <w:tc>
          <w:tcPr>
            <w:tcW w:w="1361" w:type="dxa"/>
          </w:tcPr>
          <w:p w14:paraId="5D9A204D" w14:textId="77777777" w:rsidR="00EF5B27" w:rsidRDefault="00000000">
            <w:pPr>
              <w:pStyle w:val="TableParagraph"/>
              <w:spacing w:before="55" w:line="252" w:lineRule="auto"/>
              <w:ind w:left="541" w:right="212" w:hanging="321"/>
              <w:rPr>
                <w:sz w:val="14"/>
              </w:rPr>
            </w:pPr>
            <w:r>
              <w:rPr>
                <w:color w:val="4D4D4F"/>
                <w:w w:val="105"/>
                <w:sz w:val="14"/>
              </w:rPr>
              <w:t>Growling Grass Frog</w:t>
            </w:r>
          </w:p>
        </w:tc>
        <w:tc>
          <w:tcPr>
            <w:tcW w:w="737" w:type="dxa"/>
          </w:tcPr>
          <w:p w14:paraId="7CD60CF3" w14:textId="77777777" w:rsidR="00EF5B27" w:rsidRDefault="00EF5B27">
            <w:pPr>
              <w:pStyle w:val="TableParagraph"/>
              <w:spacing w:before="7"/>
              <w:rPr>
                <w:rFonts w:ascii="Times New Roman"/>
                <w:sz w:val="12"/>
              </w:rPr>
            </w:pPr>
          </w:p>
          <w:p w14:paraId="3ABBC475" w14:textId="77777777" w:rsidR="00EF5B27" w:rsidRDefault="00000000">
            <w:pPr>
              <w:pStyle w:val="TableParagraph"/>
              <w:ind w:left="4"/>
              <w:jc w:val="center"/>
              <w:rPr>
                <w:sz w:val="14"/>
              </w:rPr>
            </w:pPr>
            <w:r>
              <w:rPr>
                <w:color w:val="4D4D4F"/>
                <w:w w:val="96"/>
                <w:sz w:val="14"/>
              </w:rPr>
              <w:t>1</w:t>
            </w:r>
          </w:p>
        </w:tc>
        <w:tc>
          <w:tcPr>
            <w:tcW w:w="1474" w:type="dxa"/>
          </w:tcPr>
          <w:p w14:paraId="506C91D9" w14:textId="77777777" w:rsidR="00EF5B27" w:rsidRDefault="00EF5B27">
            <w:pPr>
              <w:pStyle w:val="TableParagraph"/>
              <w:spacing w:before="7"/>
              <w:rPr>
                <w:rFonts w:ascii="Times New Roman"/>
                <w:sz w:val="12"/>
              </w:rPr>
            </w:pPr>
          </w:p>
          <w:p w14:paraId="70240766" w14:textId="77777777" w:rsidR="00EF5B27" w:rsidRDefault="00000000">
            <w:pPr>
              <w:pStyle w:val="TableParagraph"/>
              <w:ind w:left="124" w:right="120"/>
              <w:jc w:val="center"/>
              <w:rPr>
                <w:sz w:val="14"/>
              </w:rPr>
            </w:pPr>
            <w:r>
              <w:rPr>
                <w:color w:val="4D4D4F"/>
                <w:w w:val="110"/>
                <w:sz w:val="14"/>
              </w:rPr>
              <w:t>Risk</w:t>
            </w:r>
          </w:p>
        </w:tc>
        <w:tc>
          <w:tcPr>
            <w:tcW w:w="2041" w:type="dxa"/>
          </w:tcPr>
          <w:p w14:paraId="313CBE87" w14:textId="77777777" w:rsidR="00EF5B27" w:rsidRDefault="00EF5B27">
            <w:pPr>
              <w:pStyle w:val="TableParagraph"/>
              <w:spacing w:before="7"/>
              <w:rPr>
                <w:rFonts w:ascii="Times New Roman"/>
                <w:sz w:val="12"/>
              </w:rPr>
            </w:pPr>
          </w:p>
          <w:p w14:paraId="02661F3B" w14:textId="77777777" w:rsidR="00EF5B27" w:rsidRDefault="00000000">
            <w:pPr>
              <w:pStyle w:val="TableParagraph"/>
              <w:ind w:left="154" w:right="150"/>
              <w:jc w:val="center"/>
              <w:rPr>
                <w:sz w:val="14"/>
              </w:rPr>
            </w:pPr>
            <w:r>
              <w:rPr>
                <w:color w:val="4D4D4F"/>
                <w:w w:val="105"/>
                <w:sz w:val="14"/>
              </w:rPr>
              <w:t>All locations</w:t>
            </w:r>
          </w:p>
        </w:tc>
        <w:tc>
          <w:tcPr>
            <w:tcW w:w="2154" w:type="dxa"/>
          </w:tcPr>
          <w:p w14:paraId="22C8DA46" w14:textId="77777777" w:rsidR="00EF5B27" w:rsidRDefault="00EF5B27">
            <w:pPr>
              <w:pStyle w:val="TableParagraph"/>
              <w:spacing w:before="7"/>
              <w:rPr>
                <w:rFonts w:ascii="Times New Roman"/>
                <w:sz w:val="12"/>
              </w:rPr>
            </w:pPr>
          </w:p>
          <w:p w14:paraId="0E6A7FFC" w14:textId="77777777" w:rsidR="00EF5B27" w:rsidRDefault="00000000">
            <w:pPr>
              <w:pStyle w:val="TableParagraph"/>
              <w:ind w:left="933"/>
              <w:rPr>
                <w:sz w:val="14"/>
              </w:rPr>
            </w:pPr>
            <w:r>
              <w:rPr>
                <w:color w:val="4D4D4F"/>
                <w:sz w:val="14"/>
              </w:rPr>
              <w:t>2022</w:t>
            </w:r>
          </w:p>
        </w:tc>
        <w:tc>
          <w:tcPr>
            <w:tcW w:w="1134" w:type="dxa"/>
          </w:tcPr>
          <w:p w14:paraId="26BC94C8" w14:textId="77777777" w:rsidR="00EF5B27" w:rsidRDefault="00EF5B27">
            <w:pPr>
              <w:pStyle w:val="TableParagraph"/>
              <w:spacing w:before="7"/>
              <w:rPr>
                <w:rFonts w:ascii="Times New Roman"/>
                <w:sz w:val="12"/>
              </w:rPr>
            </w:pPr>
          </w:p>
          <w:p w14:paraId="2BA472E8" w14:textId="77777777" w:rsidR="00EF5B27" w:rsidRDefault="00000000">
            <w:pPr>
              <w:pStyle w:val="TableParagraph"/>
              <w:ind w:left="81" w:right="76"/>
              <w:jc w:val="center"/>
              <w:rPr>
                <w:sz w:val="14"/>
              </w:rPr>
            </w:pPr>
            <w:r>
              <w:rPr>
                <w:color w:val="4D4D4F"/>
                <w:sz w:val="14"/>
              </w:rPr>
              <w:t>2022</w:t>
            </w:r>
          </w:p>
        </w:tc>
      </w:tr>
      <w:tr w:rsidR="00EF5B27" w14:paraId="7FC1C554" w14:textId="77777777">
        <w:trPr>
          <w:trHeight w:val="448"/>
        </w:trPr>
        <w:tc>
          <w:tcPr>
            <w:tcW w:w="737" w:type="dxa"/>
          </w:tcPr>
          <w:p w14:paraId="4444FF86" w14:textId="77777777" w:rsidR="00EF5B27" w:rsidRDefault="00EF5B27">
            <w:pPr>
              <w:pStyle w:val="TableParagraph"/>
              <w:spacing w:before="7"/>
              <w:rPr>
                <w:rFonts w:ascii="Times New Roman"/>
                <w:sz w:val="12"/>
              </w:rPr>
            </w:pPr>
          </w:p>
          <w:p w14:paraId="260B93C5" w14:textId="77777777" w:rsidR="00EF5B27" w:rsidRDefault="00000000">
            <w:pPr>
              <w:pStyle w:val="TableParagraph"/>
              <w:ind w:left="5"/>
              <w:jc w:val="center"/>
              <w:rPr>
                <w:sz w:val="14"/>
              </w:rPr>
            </w:pPr>
            <w:r>
              <w:rPr>
                <w:color w:val="4D4D4F"/>
                <w:w w:val="96"/>
                <w:sz w:val="14"/>
              </w:rPr>
              <w:t>9</w:t>
            </w:r>
          </w:p>
        </w:tc>
        <w:tc>
          <w:tcPr>
            <w:tcW w:w="1361" w:type="dxa"/>
          </w:tcPr>
          <w:p w14:paraId="2530A91C" w14:textId="77777777" w:rsidR="00EF5B27" w:rsidRDefault="00000000">
            <w:pPr>
              <w:pStyle w:val="TableParagraph"/>
              <w:spacing w:before="55" w:line="252" w:lineRule="auto"/>
              <w:ind w:left="485" w:hanging="399"/>
              <w:rPr>
                <w:sz w:val="14"/>
              </w:rPr>
            </w:pPr>
            <w:r>
              <w:rPr>
                <w:color w:val="4D4D4F"/>
                <w:sz w:val="14"/>
              </w:rPr>
              <w:t>Small Golden Moths Orchid</w:t>
            </w:r>
          </w:p>
        </w:tc>
        <w:tc>
          <w:tcPr>
            <w:tcW w:w="737" w:type="dxa"/>
          </w:tcPr>
          <w:p w14:paraId="56D46805" w14:textId="77777777" w:rsidR="00EF5B27" w:rsidRDefault="00EF5B27">
            <w:pPr>
              <w:pStyle w:val="TableParagraph"/>
              <w:spacing w:before="7"/>
              <w:rPr>
                <w:rFonts w:ascii="Times New Roman"/>
                <w:sz w:val="12"/>
              </w:rPr>
            </w:pPr>
          </w:p>
          <w:p w14:paraId="2DA76148" w14:textId="77777777" w:rsidR="00EF5B27" w:rsidRDefault="00000000">
            <w:pPr>
              <w:pStyle w:val="TableParagraph"/>
              <w:ind w:left="4"/>
              <w:jc w:val="center"/>
              <w:rPr>
                <w:sz w:val="14"/>
              </w:rPr>
            </w:pPr>
            <w:r>
              <w:rPr>
                <w:color w:val="4D4D4F"/>
                <w:w w:val="96"/>
                <w:sz w:val="14"/>
              </w:rPr>
              <w:t>1</w:t>
            </w:r>
          </w:p>
        </w:tc>
        <w:tc>
          <w:tcPr>
            <w:tcW w:w="1474" w:type="dxa"/>
          </w:tcPr>
          <w:p w14:paraId="094BDC5A" w14:textId="77777777" w:rsidR="00EF5B27" w:rsidRDefault="00EF5B27">
            <w:pPr>
              <w:pStyle w:val="TableParagraph"/>
              <w:spacing w:before="7"/>
              <w:rPr>
                <w:rFonts w:ascii="Times New Roman"/>
                <w:sz w:val="12"/>
              </w:rPr>
            </w:pPr>
          </w:p>
          <w:p w14:paraId="3E513054" w14:textId="77777777" w:rsidR="00EF5B27" w:rsidRDefault="00000000">
            <w:pPr>
              <w:pStyle w:val="TableParagraph"/>
              <w:ind w:left="125" w:right="120"/>
              <w:jc w:val="center"/>
              <w:rPr>
                <w:sz w:val="14"/>
              </w:rPr>
            </w:pPr>
            <w:r>
              <w:rPr>
                <w:color w:val="4D4D4F"/>
                <w:sz w:val="14"/>
              </w:rPr>
              <w:t>Count</w:t>
            </w:r>
          </w:p>
        </w:tc>
        <w:tc>
          <w:tcPr>
            <w:tcW w:w="2041" w:type="dxa"/>
          </w:tcPr>
          <w:p w14:paraId="4BB7D2DE" w14:textId="77777777" w:rsidR="00EF5B27" w:rsidRDefault="00EF5B27">
            <w:pPr>
              <w:pStyle w:val="TableParagraph"/>
              <w:spacing w:before="7"/>
              <w:rPr>
                <w:rFonts w:ascii="Times New Roman"/>
                <w:sz w:val="12"/>
              </w:rPr>
            </w:pPr>
          </w:p>
          <w:p w14:paraId="66216C02" w14:textId="77777777" w:rsidR="00EF5B27" w:rsidRDefault="00000000">
            <w:pPr>
              <w:pStyle w:val="TableParagraph"/>
              <w:ind w:left="154" w:right="150"/>
              <w:jc w:val="center"/>
              <w:rPr>
                <w:sz w:val="14"/>
              </w:rPr>
            </w:pPr>
            <w:r>
              <w:rPr>
                <w:color w:val="4D4D4F"/>
                <w:sz w:val="14"/>
              </w:rPr>
              <w:t>Conservation Area 3</w:t>
            </w:r>
          </w:p>
        </w:tc>
        <w:tc>
          <w:tcPr>
            <w:tcW w:w="2154" w:type="dxa"/>
          </w:tcPr>
          <w:p w14:paraId="2B396F01" w14:textId="77777777" w:rsidR="00EF5B27" w:rsidRDefault="00EF5B27">
            <w:pPr>
              <w:pStyle w:val="TableParagraph"/>
              <w:spacing w:before="7"/>
              <w:rPr>
                <w:rFonts w:ascii="Times New Roman"/>
                <w:sz w:val="12"/>
              </w:rPr>
            </w:pPr>
          </w:p>
          <w:p w14:paraId="556450E1" w14:textId="77777777" w:rsidR="00EF5B27" w:rsidRDefault="00000000">
            <w:pPr>
              <w:pStyle w:val="TableParagraph"/>
              <w:ind w:left="965"/>
              <w:rPr>
                <w:sz w:val="14"/>
              </w:rPr>
            </w:pPr>
            <w:r>
              <w:rPr>
                <w:color w:val="4D4D4F"/>
                <w:w w:val="105"/>
                <w:sz w:val="14"/>
              </w:rPr>
              <w:t>N/A</w:t>
            </w:r>
          </w:p>
        </w:tc>
        <w:tc>
          <w:tcPr>
            <w:tcW w:w="1134" w:type="dxa"/>
          </w:tcPr>
          <w:p w14:paraId="047FA793" w14:textId="77777777" w:rsidR="00EF5B27" w:rsidRDefault="00EF5B27">
            <w:pPr>
              <w:pStyle w:val="TableParagraph"/>
              <w:spacing w:before="7"/>
              <w:rPr>
                <w:rFonts w:ascii="Times New Roman"/>
                <w:sz w:val="12"/>
              </w:rPr>
            </w:pPr>
          </w:p>
          <w:p w14:paraId="304C7218" w14:textId="77777777" w:rsidR="00EF5B27" w:rsidRDefault="00000000">
            <w:pPr>
              <w:pStyle w:val="TableParagraph"/>
              <w:ind w:left="81" w:right="81"/>
              <w:jc w:val="center"/>
              <w:rPr>
                <w:sz w:val="14"/>
              </w:rPr>
            </w:pPr>
            <w:r>
              <w:rPr>
                <w:color w:val="4D4D4F"/>
                <w:w w:val="105"/>
                <w:sz w:val="14"/>
              </w:rPr>
              <w:t>N/A</w:t>
            </w:r>
          </w:p>
        </w:tc>
      </w:tr>
      <w:tr w:rsidR="00EF5B27" w14:paraId="6ED221E6" w14:textId="77777777">
        <w:trPr>
          <w:trHeight w:val="448"/>
        </w:trPr>
        <w:tc>
          <w:tcPr>
            <w:tcW w:w="737" w:type="dxa"/>
          </w:tcPr>
          <w:p w14:paraId="47BC13B6" w14:textId="77777777" w:rsidR="00EF5B27" w:rsidRDefault="00EF5B27">
            <w:pPr>
              <w:pStyle w:val="TableParagraph"/>
              <w:spacing w:before="7"/>
              <w:rPr>
                <w:rFonts w:ascii="Times New Roman"/>
                <w:sz w:val="12"/>
              </w:rPr>
            </w:pPr>
          </w:p>
          <w:p w14:paraId="154D120C" w14:textId="77777777" w:rsidR="00EF5B27" w:rsidRDefault="00000000">
            <w:pPr>
              <w:pStyle w:val="TableParagraph"/>
              <w:spacing w:before="1"/>
              <w:ind w:left="79" w:right="78"/>
              <w:jc w:val="center"/>
              <w:rPr>
                <w:sz w:val="14"/>
              </w:rPr>
            </w:pPr>
            <w:r>
              <w:rPr>
                <w:color w:val="4D4D4F"/>
                <w:sz w:val="14"/>
              </w:rPr>
              <w:t>10</w:t>
            </w:r>
          </w:p>
        </w:tc>
        <w:tc>
          <w:tcPr>
            <w:tcW w:w="1361" w:type="dxa"/>
          </w:tcPr>
          <w:p w14:paraId="48BA2389" w14:textId="77777777" w:rsidR="00EF5B27" w:rsidRDefault="00000000">
            <w:pPr>
              <w:pStyle w:val="TableParagraph"/>
              <w:spacing w:before="56" w:line="252" w:lineRule="auto"/>
              <w:ind w:left="495" w:hanging="278"/>
              <w:rPr>
                <w:sz w:val="14"/>
              </w:rPr>
            </w:pPr>
            <w:r>
              <w:rPr>
                <w:color w:val="4D4D4F"/>
                <w:w w:val="110"/>
                <w:sz w:val="14"/>
              </w:rPr>
              <w:t>Striped Legless Lizard</w:t>
            </w:r>
          </w:p>
        </w:tc>
        <w:tc>
          <w:tcPr>
            <w:tcW w:w="737" w:type="dxa"/>
          </w:tcPr>
          <w:p w14:paraId="27F21C0F" w14:textId="77777777" w:rsidR="00EF5B27" w:rsidRDefault="00EF5B27">
            <w:pPr>
              <w:pStyle w:val="TableParagraph"/>
              <w:spacing w:before="7"/>
              <w:rPr>
                <w:rFonts w:ascii="Times New Roman"/>
                <w:sz w:val="12"/>
              </w:rPr>
            </w:pPr>
          </w:p>
          <w:p w14:paraId="0E2B2466" w14:textId="77777777" w:rsidR="00EF5B27" w:rsidRDefault="00000000">
            <w:pPr>
              <w:pStyle w:val="TableParagraph"/>
              <w:spacing w:before="1"/>
              <w:ind w:left="5"/>
              <w:jc w:val="center"/>
              <w:rPr>
                <w:sz w:val="14"/>
              </w:rPr>
            </w:pPr>
            <w:r>
              <w:rPr>
                <w:color w:val="4D4D4F"/>
                <w:w w:val="96"/>
                <w:sz w:val="14"/>
              </w:rPr>
              <w:t>1</w:t>
            </w:r>
          </w:p>
        </w:tc>
        <w:tc>
          <w:tcPr>
            <w:tcW w:w="1474" w:type="dxa"/>
          </w:tcPr>
          <w:p w14:paraId="28201255" w14:textId="77777777" w:rsidR="00EF5B27" w:rsidRDefault="00EF5B27">
            <w:pPr>
              <w:pStyle w:val="TableParagraph"/>
              <w:spacing w:before="7"/>
              <w:rPr>
                <w:rFonts w:ascii="Times New Roman"/>
                <w:sz w:val="12"/>
              </w:rPr>
            </w:pPr>
          </w:p>
          <w:p w14:paraId="716BFFF9" w14:textId="77777777" w:rsidR="00EF5B27" w:rsidRDefault="00000000">
            <w:pPr>
              <w:pStyle w:val="TableParagraph"/>
              <w:spacing w:before="1"/>
              <w:ind w:left="125" w:right="120"/>
              <w:jc w:val="center"/>
              <w:rPr>
                <w:sz w:val="14"/>
              </w:rPr>
            </w:pPr>
            <w:r>
              <w:rPr>
                <w:color w:val="4D4D4F"/>
                <w:sz w:val="14"/>
              </w:rPr>
              <w:t>Occupancy</w:t>
            </w:r>
          </w:p>
        </w:tc>
        <w:tc>
          <w:tcPr>
            <w:tcW w:w="2041" w:type="dxa"/>
          </w:tcPr>
          <w:p w14:paraId="5747DD08" w14:textId="77777777" w:rsidR="00EF5B27" w:rsidRDefault="00EF5B27">
            <w:pPr>
              <w:pStyle w:val="TableParagraph"/>
              <w:spacing w:before="7"/>
              <w:rPr>
                <w:rFonts w:ascii="Times New Roman"/>
                <w:sz w:val="12"/>
              </w:rPr>
            </w:pPr>
          </w:p>
          <w:p w14:paraId="7AF75332" w14:textId="77777777" w:rsidR="00EF5B27" w:rsidRDefault="00000000">
            <w:pPr>
              <w:pStyle w:val="TableParagraph"/>
              <w:spacing w:before="1"/>
              <w:ind w:left="155" w:right="150"/>
              <w:jc w:val="center"/>
              <w:rPr>
                <w:sz w:val="14"/>
              </w:rPr>
            </w:pPr>
            <w:r>
              <w:rPr>
                <w:color w:val="4D4D4F"/>
                <w:w w:val="105"/>
                <w:sz w:val="14"/>
              </w:rPr>
              <w:t>Mount Cottrell NCR</w:t>
            </w:r>
          </w:p>
        </w:tc>
        <w:tc>
          <w:tcPr>
            <w:tcW w:w="2154" w:type="dxa"/>
          </w:tcPr>
          <w:p w14:paraId="7D3F9674" w14:textId="77777777" w:rsidR="00EF5B27" w:rsidRDefault="00EF5B27">
            <w:pPr>
              <w:pStyle w:val="TableParagraph"/>
              <w:spacing w:before="7"/>
              <w:rPr>
                <w:rFonts w:ascii="Times New Roman"/>
                <w:sz w:val="12"/>
              </w:rPr>
            </w:pPr>
          </w:p>
          <w:p w14:paraId="0B7BD28F" w14:textId="77777777" w:rsidR="00EF5B27" w:rsidRDefault="00000000">
            <w:pPr>
              <w:pStyle w:val="TableParagraph"/>
              <w:spacing w:before="1"/>
              <w:ind w:left="941"/>
              <w:rPr>
                <w:sz w:val="14"/>
              </w:rPr>
            </w:pPr>
            <w:r>
              <w:rPr>
                <w:color w:val="4D4D4F"/>
                <w:sz w:val="14"/>
              </w:rPr>
              <w:t>2016</w:t>
            </w:r>
          </w:p>
        </w:tc>
        <w:tc>
          <w:tcPr>
            <w:tcW w:w="1134" w:type="dxa"/>
          </w:tcPr>
          <w:p w14:paraId="28497983" w14:textId="77777777" w:rsidR="00EF5B27" w:rsidRDefault="00EF5B27">
            <w:pPr>
              <w:pStyle w:val="TableParagraph"/>
              <w:spacing w:before="7"/>
              <w:rPr>
                <w:rFonts w:ascii="Times New Roman"/>
                <w:sz w:val="12"/>
              </w:rPr>
            </w:pPr>
          </w:p>
          <w:p w14:paraId="25C76DF5" w14:textId="77777777" w:rsidR="00EF5B27" w:rsidRDefault="00000000">
            <w:pPr>
              <w:pStyle w:val="TableParagraph"/>
              <w:spacing w:before="1"/>
              <w:ind w:left="81" w:right="82"/>
              <w:jc w:val="center"/>
              <w:rPr>
                <w:sz w:val="14"/>
              </w:rPr>
            </w:pPr>
            <w:r>
              <w:rPr>
                <w:color w:val="4D4D4F"/>
                <w:w w:val="105"/>
                <w:sz w:val="14"/>
              </w:rPr>
              <w:t>N/A</w:t>
            </w:r>
          </w:p>
        </w:tc>
      </w:tr>
      <w:tr w:rsidR="00EF5B27" w14:paraId="0EF708A3" w14:textId="77777777">
        <w:trPr>
          <w:trHeight w:val="448"/>
        </w:trPr>
        <w:tc>
          <w:tcPr>
            <w:tcW w:w="737" w:type="dxa"/>
          </w:tcPr>
          <w:p w14:paraId="0E6B62DA" w14:textId="77777777" w:rsidR="00EF5B27" w:rsidRDefault="00EF5B27">
            <w:pPr>
              <w:pStyle w:val="TableParagraph"/>
              <w:spacing w:before="7"/>
              <w:rPr>
                <w:rFonts w:ascii="Times New Roman"/>
                <w:sz w:val="12"/>
              </w:rPr>
            </w:pPr>
          </w:p>
          <w:p w14:paraId="48BC070F" w14:textId="77777777" w:rsidR="00EF5B27" w:rsidRDefault="00000000">
            <w:pPr>
              <w:pStyle w:val="TableParagraph"/>
              <w:spacing w:before="1"/>
              <w:ind w:left="79" w:right="77"/>
              <w:jc w:val="center"/>
              <w:rPr>
                <w:sz w:val="14"/>
              </w:rPr>
            </w:pPr>
            <w:r>
              <w:rPr>
                <w:color w:val="4D4D4F"/>
                <w:sz w:val="14"/>
              </w:rPr>
              <w:t>10</w:t>
            </w:r>
          </w:p>
        </w:tc>
        <w:tc>
          <w:tcPr>
            <w:tcW w:w="1361" w:type="dxa"/>
          </w:tcPr>
          <w:p w14:paraId="70679753" w14:textId="77777777" w:rsidR="00EF5B27" w:rsidRDefault="00000000">
            <w:pPr>
              <w:pStyle w:val="TableParagraph"/>
              <w:spacing w:before="56" w:line="252" w:lineRule="auto"/>
              <w:ind w:left="495" w:hanging="278"/>
              <w:rPr>
                <w:sz w:val="14"/>
              </w:rPr>
            </w:pPr>
            <w:r>
              <w:rPr>
                <w:color w:val="4D4D4F"/>
                <w:w w:val="110"/>
                <w:sz w:val="14"/>
              </w:rPr>
              <w:t>Striped Legless Lizard</w:t>
            </w:r>
          </w:p>
        </w:tc>
        <w:tc>
          <w:tcPr>
            <w:tcW w:w="737" w:type="dxa"/>
          </w:tcPr>
          <w:p w14:paraId="512532ED" w14:textId="77777777" w:rsidR="00EF5B27" w:rsidRDefault="00EF5B27">
            <w:pPr>
              <w:pStyle w:val="TableParagraph"/>
              <w:spacing w:before="7"/>
              <w:rPr>
                <w:rFonts w:ascii="Times New Roman"/>
                <w:sz w:val="12"/>
              </w:rPr>
            </w:pPr>
          </w:p>
          <w:p w14:paraId="1B1F9DF8" w14:textId="77777777" w:rsidR="00EF5B27" w:rsidRDefault="00000000">
            <w:pPr>
              <w:pStyle w:val="TableParagraph"/>
              <w:spacing w:before="1"/>
              <w:ind w:left="5"/>
              <w:jc w:val="center"/>
              <w:rPr>
                <w:sz w:val="14"/>
              </w:rPr>
            </w:pPr>
            <w:r>
              <w:rPr>
                <w:color w:val="4D4D4F"/>
                <w:w w:val="96"/>
                <w:sz w:val="14"/>
              </w:rPr>
              <w:t>1</w:t>
            </w:r>
          </w:p>
        </w:tc>
        <w:tc>
          <w:tcPr>
            <w:tcW w:w="1474" w:type="dxa"/>
          </w:tcPr>
          <w:p w14:paraId="26FBEDD7" w14:textId="77777777" w:rsidR="00EF5B27" w:rsidRDefault="00EF5B27">
            <w:pPr>
              <w:pStyle w:val="TableParagraph"/>
              <w:spacing w:before="7"/>
              <w:rPr>
                <w:rFonts w:ascii="Times New Roman"/>
                <w:sz w:val="12"/>
              </w:rPr>
            </w:pPr>
          </w:p>
          <w:p w14:paraId="29E0142B" w14:textId="77777777" w:rsidR="00EF5B27" w:rsidRDefault="00000000">
            <w:pPr>
              <w:pStyle w:val="TableParagraph"/>
              <w:spacing w:before="1"/>
              <w:ind w:left="125" w:right="120"/>
              <w:jc w:val="center"/>
              <w:rPr>
                <w:sz w:val="14"/>
              </w:rPr>
            </w:pPr>
            <w:r>
              <w:rPr>
                <w:color w:val="4D4D4F"/>
                <w:sz w:val="14"/>
              </w:rPr>
              <w:t>Occupancy</w:t>
            </w:r>
          </w:p>
        </w:tc>
        <w:tc>
          <w:tcPr>
            <w:tcW w:w="2041" w:type="dxa"/>
          </w:tcPr>
          <w:p w14:paraId="14727EE7" w14:textId="77777777" w:rsidR="00EF5B27" w:rsidRDefault="00EF5B27">
            <w:pPr>
              <w:pStyle w:val="TableParagraph"/>
              <w:spacing w:before="7"/>
              <w:rPr>
                <w:rFonts w:ascii="Times New Roman"/>
                <w:sz w:val="12"/>
              </w:rPr>
            </w:pPr>
          </w:p>
          <w:p w14:paraId="077B3020" w14:textId="77777777" w:rsidR="00EF5B27" w:rsidRDefault="00000000">
            <w:pPr>
              <w:pStyle w:val="TableParagraph"/>
              <w:spacing w:before="1"/>
              <w:ind w:left="155" w:right="150"/>
              <w:jc w:val="center"/>
              <w:rPr>
                <w:sz w:val="14"/>
              </w:rPr>
            </w:pPr>
            <w:r>
              <w:rPr>
                <w:color w:val="4D4D4F"/>
                <w:w w:val="105"/>
                <w:sz w:val="14"/>
              </w:rPr>
              <w:t>Truganina South NCR</w:t>
            </w:r>
          </w:p>
        </w:tc>
        <w:tc>
          <w:tcPr>
            <w:tcW w:w="2154" w:type="dxa"/>
          </w:tcPr>
          <w:p w14:paraId="1BF1E4B0" w14:textId="77777777" w:rsidR="00EF5B27" w:rsidRDefault="00EF5B27">
            <w:pPr>
              <w:pStyle w:val="TableParagraph"/>
              <w:spacing w:before="7"/>
              <w:rPr>
                <w:rFonts w:ascii="Times New Roman"/>
                <w:sz w:val="12"/>
              </w:rPr>
            </w:pPr>
          </w:p>
          <w:p w14:paraId="29DEFC18" w14:textId="77777777" w:rsidR="00EF5B27" w:rsidRDefault="00000000">
            <w:pPr>
              <w:pStyle w:val="TableParagraph"/>
              <w:spacing w:before="1"/>
              <w:ind w:left="941"/>
              <w:rPr>
                <w:sz w:val="14"/>
              </w:rPr>
            </w:pPr>
            <w:r>
              <w:rPr>
                <w:color w:val="4D4D4F"/>
                <w:sz w:val="14"/>
              </w:rPr>
              <w:t>2019</w:t>
            </w:r>
          </w:p>
        </w:tc>
        <w:tc>
          <w:tcPr>
            <w:tcW w:w="1134" w:type="dxa"/>
          </w:tcPr>
          <w:p w14:paraId="6A79FB7C" w14:textId="77777777" w:rsidR="00EF5B27" w:rsidRDefault="00EF5B27">
            <w:pPr>
              <w:pStyle w:val="TableParagraph"/>
              <w:spacing w:before="7"/>
              <w:rPr>
                <w:rFonts w:ascii="Times New Roman"/>
                <w:sz w:val="12"/>
              </w:rPr>
            </w:pPr>
          </w:p>
          <w:p w14:paraId="64B1AAEC" w14:textId="77777777" w:rsidR="00EF5B27" w:rsidRDefault="00000000">
            <w:pPr>
              <w:pStyle w:val="TableParagraph"/>
              <w:spacing w:before="1"/>
              <w:ind w:left="81" w:right="82"/>
              <w:jc w:val="center"/>
              <w:rPr>
                <w:sz w:val="14"/>
              </w:rPr>
            </w:pPr>
            <w:r>
              <w:rPr>
                <w:color w:val="4D4D4F"/>
                <w:w w:val="105"/>
                <w:sz w:val="14"/>
              </w:rPr>
              <w:t>N/A</w:t>
            </w:r>
          </w:p>
        </w:tc>
      </w:tr>
      <w:tr w:rsidR="00EF5B27" w14:paraId="20737270" w14:textId="77777777">
        <w:trPr>
          <w:trHeight w:val="448"/>
        </w:trPr>
        <w:tc>
          <w:tcPr>
            <w:tcW w:w="737" w:type="dxa"/>
          </w:tcPr>
          <w:p w14:paraId="36131415" w14:textId="77777777" w:rsidR="00EF5B27" w:rsidRDefault="00EF5B27">
            <w:pPr>
              <w:pStyle w:val="TableParagraph"/>
              <w:spacing w:before="7"/>
              <w:rPr>
                <w:rFonts w:ascii="Times New Roman"/>
                <w:sz w:val="12"/>
              </w:rPr>
            </w:pPr>
          </w:p>
          <w:p w14:paraId="14F62C51" w14:textId="77777777" w:rsidR="00EF5B27" w:rsidRDefault="00000000">
            <w:pPr>
              <w:pStyle w:val="TableParagraph"/>
              <w:spacing w:before="1"/>
              <w:ind w:left="79" w:right="77"/>
              <w:jc w:val="center"/>
              <w:rPr>
                <w:sz w:val="14"/>
              </w:rPr>
            </w:pPr>
            <w:r>
              <w:rPr>
                <w:color w:val="4D4D4F"/>
                <w:sz w:val="14"/>
              </w:rPr>
              <w:t>10</w:t>
            </w:r>
          </w:p>
        </w:tc>
        <w:tc>
          <w:tcPr>
            <w:tcW w:w="1361" w:type="dxa"/>
          </w:tcPr>
          <w:p w14:paraId="430EEC3A" w14:textId="77777777" w:rsidR="00EF5B27" w:rsidRDefault="00000000">
            <w:pPr>
              <w:pStyle w:val="TableParagraph"/>
              <w:spacing w:before="56" w:line="252" w:lineRule="auto"/>
              <w:ind w:left="495" w:hanging="278"/>
              <w:rPr>
                <w:sz w:val="14"/>
              </w:rPr>
            </w:pPr>
            <w:r>
              <w:rPr>
                <w:color w:val="4D4D4F"/>
                <w:w w:val="110"/>
                <w:sz w:val="14"/>
              </w:rPr>
              <w:t>Striped Legless Lizard</w:t>
            </w:r>
          </w:p>
        </w:tc>
        <w:tc>
          <w:tcPr>
            <w:tcW w:w="737" w:type="dxa"/>
          </w:tcPr>
          <w:p w14:paraId="2E894DE1" w14:textId="77777777" w:rsidR="00EF5B27" w:rsidRDefault="00EF5B27">
            <w:pPr>
              <w:pStyle w:val="TableParagraph"/>
              <w:spacing w:before="7"/>
              <w:rPr>
                <w:rFonts w:ascii="Times New Roman"/>
                <w:sz w:val="12"/>
              </w:rPr>
            </w:pPr>
          </w:p>
          <w:p w14:paraId="647D7E4A" w14:textId="77777777" w:rsidR="00EF5B27" w:rsidRDefault="00000000">
            <w:pPr>
              <w:pStyle w:val="TableParagraph"/>
              <w:spacing w:before="1"/>
              <w:ind w:left="5"/>
              <w:jc w:val="center"/>
              <w:rPr>
                <w:sz w:val="14"/>
              </w:rPr>
            </w:pPr>
            <w:r>
              <w:rPr>
                <w:color w:val="4D4D4F"/>
                <w:w w:val="96"/>
                <w:sz w:val="14"/>
              </w:rPr>
              <w:t>1</w:t>
            </w:r>
          </w:p>
        </w:tc>
        <w:tc>
          <w:tcPr>
            <w:tcW w:w="1474" w:type="dxa"/>
          </w:tcPr>
          <w:p w14:paraId="3D62B6A6" w14:textId="77777777" w:rsidR="00EF5B27" w:rsidRDefault="00EF5B27">
            <w:pPr>
              <w:pStyle w:val="TableParagraph"/>
              <w:spacing w:before="7"/>
              <w:rPr>
                <w:rFonts w:ascii="Times New Roman"/>
                <w:sz w:val="12"/>
              </w:rPr>
            </w:pPr>
          </w:p>
          <w:p w14:paraId="0F05C903" w14:textId="77777777" w:rsidR="00EF5B27" w:rsidRDefault="00000000">
            <w:pPr>
              <w:pStyle w:val="TableParagraph"/>
              <w:spacing w:before="1"/>
              <w:ind w:left="125" w:right="120"/>
              <w:jc w:val="center"/>
              <w:rPr>
                <w:sz w:val="14"/>
              </w:rPr>
            </w:pPr>
            <w:r>
              <w:rPr>
                <w:color w:val="4D4D4F"/>
                <w:sz w:val="14"/>
              </w:rPr>
              <w:t>Occupancy</w:t>
            </w:r>
          </w:p>
        </w:tc>
        <w:tc>
          <w:tcPr>
            <w:tcW w:w="2041" w:type="dxa"/>
          </w:tcPr>
          <w:p w14:paraId="6BFD2F3C" w14:textId="77777777" w:rsidR="00EF5B27" w:rsidRDefault="00EF5B27">
            <w:pPr>
              <w:pStyle w:val="TableParagraph"/>
              <w:spacing w:before="7"/>
              <w:rPr>
                <w:rFonts w:ascii="Times New Roman"/>
                <w:sz w:val="12"/>
              </w:rPr>
            </w:pPr>
          </w:p>
          <w:p w14:paraId="6B0A0502" w14:textId="77777777" w:rsidR="00EF5B27" w:rsidRDefault="00000000">
            <w:pPr>
              <w:pStyle w:val="TableParagraph"/>
              <w:spacing w:before="1"/>
              <w:ind w:left="155" w:right="150"/>
              <w:jc w:val="center"/>
              <w:rPr>
                <w:sz w:val="14"/>
              </w:rPr>
            </w:pPr>
            <w:r>
              <w:rPr>
                <w:color w:val="4D4D4F"/>
                <w:sz w:val="14"/>
              </w:rPr>
              <w:t>Werribee River easement</w:t>
            </w:r>
          </w:p>
        </w:tc>
        <w:tc>
          <w:tcPr>
            <w:tcW w:w="2154" w:type="dxa"/>
          </w:tcPr>
          <w:p w14:paraId="7A6F1370" w14:textId="77777777" w:rsidR="00EF5B27" w:rsidRDefault="00EF5B27">
            <w:pPr>
              <w:pStyle w:val="TableParagraph"/>
              <w:spacing w:before="7"/>
              <w:rPr>
                <w:rFonts w:ascii="Times New Roman"/>
                <w:sz w:val="12"/>
              </w:rPr>
            </w:pPr>
          </w:p>
          <w:p w14:paraId="12499751" w14:textId="77777777" w:rsidR="00EF5B27" w:rsidRDefault="00000000">
            <w:pPr>
              <w:pStyle w:val="TableParagraph"/>
              <w:spacing w:before="1"/>
              <w:ind w:left="942"/>
              <w:rPr>
                <w:sz w:val="14"/>
              </w:rPr>
            </w:pPr>
            <w:r>
              <w:rPr>
                <w:color w:val="4D4D4F"/>
                <w:sz w:val="14"/>
              </w:rPr>
              <w:t>2019</w:t>
            </w:r>
          </w:p>
        </w:tc>
        <w:tc>
          <w:tcPr>
            <w:tcW w:w="1134" w:type="dxa"/>
          </w:tcPr>
          <w:p w14:paraId="2C3EB9FF" w14:textId="77777777" w:rsidR="00EF5B27" w:rsidRDefault="00EF5B27">
            <w:pPr>
              <w:pStyle w:val="TableParagraph"/>
              <w:spacing w:before="7"/>
              <w:rPr>
                <w:rFonts w:ascii="Times New Roman"/>
                <w:sz w:val="12"/>
              </w:rPr>
            </w:pPr>
          </w:p>
          <w:p w14:paraId="7D722E9F" w14:textId="77777777" w:rsidR="00EF5B27" w:rsidRDefault="00000000">
            <w:pPr>
              <w:pStyle w:val="TableParagraph"/>
              <w:spacing w:before="1"/>
              <w:ind w:left="81" w:right="82"/>
              <w:jc w:val="center"/>
              <w:rPr>
                <w:sz w:val="14"/>
              </w:rPr>
            </w:pPr>
            <w:r>
              <w:rPr>
                <w:color w:val="4D4D4F"/>
                <w:w w:val="105"/>
                <w:sz w:val="14"/>
              </w:rPr>
              <w:t>N/A</w:t>
            </w:r>
          </w:p>
        </w:tc>
      </w:tr>
      <w:tr w:rsidR="00EF5B27" w14:paraId="667929F4" w14:textId="77777777">
        <w:trPr>
          <w:trHeight w:val="448"/>
        </w:trPr>
        <w:tc>
          <w:tcPr>
            <w:tcW w:w="737" w:type="dxa"/>
          </w:tcPr>
          <w:p w14:paraId="07FA0317" w14:textId="77777777" w:rsidR="00EF5B27" w:rsidRDefault="00EF5B27">
            <w:pPr>
              <w:pStyle w:val="TableParagraph"/>
              <w:spacing w:before="8"/>
              <w:rPr>
                <w:rFonts w:ascii="Times New Roman"/>
                <w:sz w:val="12"/>
              </w:rPr>
            </w:pPr>
          </w:p>
          <w:p w14:paraId="1D553903" w14:textId="77777777" w:rsidR="00EF5B27" w:rsidRDefault="00000000">
            <w:pPr>
              <w:pStyle w:val="TableParagraph"/>
              <w:ind w:left="79" w:right="77"/>
              <w:jc w:val="center"/>
              <w:rPr>
                <w:sz w:val="14"/>
              </w:rPr>
            </w:pPr>
            <w:r>
              <w:rPr>
                <w:color w:val="4D4D4F"/>
                <w:sz w:val="14"/>
              </w:rPr>
              <w:t>10</w:t>
            </w:r>
          </w:p>
        </w:tc>
        <w:tc>
          <w:tcPr>
            <w:tcW w:w="1361" w:type="dxa"/>
          </w:tcPr>
          <w:p w14:paraId="6978EFA5" w14:textId="77777777" w:rsidR="00EF5B27" w:rsidRDefault="00000000">
            <w:pPr>
              <w:pStyle w:val="TableParagraph"/>
              <w:spacing w:before="56" w:line="252" w:lineRule="auto"/>
              <w:ind w:left="495" w:hanging="278"/>
              <w:rPr>
                <w:sz w:val="14"/>
              </w:rPr>
            </w:pPr>
            <w:r>
              <w:rPr>
                <w:color w:val="4D4D4F"/>
                <w:w w:val="110"/>
                <w:sz w:val="14"/>
              </w:rPr>
              <w:t>Striped Legless Lizard</w:t>
            </w:r>
          </w:p>
        </w:tc>
        <w:tc>
          <w:tcPr>
            <w:tcW w:w="737" w:type="dxa"/>
          </w:tcPr>
          <w:p w14:paraId="5F8E78B0" w14:textId="77777777" w:rsidR="00EF5B27" w:rsidRDefault="00EF5B27">
            <w:pPr>
              <w:pStyle w:val="TableParagraph"/>
              <w:spacing w:before="8"/>
              <w:rPr>
                <w:rFonts w:ascii="Times New Roman"/>
                <w:sz w:val="12"/>
              </w:rPr>
            </w:pPr>
          </w:p>
          <w:p w14:paraId="77B8D96B" w14:textId="77777777" w:rsidR="00EF5B27" w:rsidRDefault="00000000">
            <w:pPr>
              <w:pStyle w:val="TableParagraph"/>
              <w:ind w:left="6"/>
              <w:jc w:val="center"/>
              <w:rPr>
                <w:sz w:val="14"/>
              </w:rPr>
            </w:pPr>
            <w:r>
              <w:rPr>
                <w:color w:val="4D4D4F"/>
                <w:w w:val="96"/>
                <w:sz w:val="14"/>
              </w:rPr>
              <w:t>1</w:t>
            </w:r>
          </w:p>
        </w:tc>
        <w:tc>
          <w:tcPr>
            <w:tcW w:w="1474" w:type="dxa"/>
          </w:tcPr>
          <w:p w14:paraId="0979C3C7" w14:textId="77777777" w:rsidR="00EF5B27" w:rsidRDefault="00EF5B27">
            <w:pPr>
              <w:pStyle w:val="TableParagraph"/>
              <w:spacing w:before="8"/>
              <w:rPr>
                <w:rFonts w:ascii="Times New Roman"/>
                <w:sz w:val="12"/>
              </w:rPr>
            </w:pPr>
          </w:p>
          <w:p w14:paraId="1F585DF8" w14:textId="77777777" w:rsidR="00EF5B27" w:rsidRDefault="00000000">
            <w:pPr>
              <w:pStyle w:val="TableParagraph"/>
              <w:ind w:left="126" w:right="120"/>
              <w:jc w:val="center"/>
              <w:rPr>
                <w:sz w:val="14"/>
              </w:rPr>
            </w:pPr>
            <w:r>
              <w:rPr>
                <w:color w:val="4D4D4F"/>
                <w:sz w:val="14"/>
              </w:rPr>
              <w:t>Occupancy</w:t>
            </w:r>
          </w:p>
        </w:tc>
        <w:tc>
          <w:tcPr>
            <w:tcW w:w="2041" w:type="dxa"/>
          </w:tcPr>
          <w:p w14:paraId="1C19C12C" w14:textId="77777777" w:rsidR="00EF5B27" w:rsidRDefault="00000000">
            <w:pPr>
              <w:pStyle w:val="TableParagraph"/>
              <w:spacing w:before="56" w:line="252" w:lineRule="auto"/>
              <w:ind w:left="450" w:right="50" w:hanging="263"/>
              <w:rPr>
                <w:sz w:val="14"/>
              </w:rPr>
            </w:pPr>
            <w:r>
              <w:rPr>
                <w:color w:val="4D4D4F"/>
                <w:w w:val="105"/>
                <w:sz w:val="14"/>
              </w:rPr>
              <w:t>Western Grassland Reserve (all other locations)</w:t>
            </w:r>
          </w:p>
        </w:tc>
        <w:tc>
          <w:tcPr>
            <w:tcW w:w="2154" w:type="dxa"/>
          </w:tcPr>
          <w:p w14:paraId="231472CD" w14:textId="77777777" w:rsidR="00EF5B27" w:rsidRDefault="00EF5B27">
            <w:pPr>
              <w:pStyle w:val="TableParagraph"/>
              <w:spacing w:before="8"/>
              <w:rPr>
                <w:rFonts w:ascii="Times New Roman"/>
                <w:sz w:val="12"/>
              </w:rPr>
            </w:pPr>
          </w:p>
          <w:p w14:paraId="6284F6B1" w14:textId="77777777" w:rsidR="00EF5B27" w:rsidRDefault="00000000">
            <w:pPr>
              <w:pStyle w:val="TableParagraph"/>
              <w:ind w:left="942"/>
              <w:rPr>
                <w:sz w:val="14"/>
              </w:rPr>
            </w:pPr>
            <w:r>
              <w:rPr>
                <w:color w:val="4D4D4F"/>
                <w:sz w:val="14"/>
              </w:rPr>
              <w:t>2019</w:t>
            </w:r>
          </w:p>
        </w:tc>
        <w:tc>
          <w:tcPr>
            <w:tcW w:w="1134" w:type="dxa"/>
          </w:tcPr>
          <w:p w14:paraId="21F8C470" w14:textId="77777777" w:rsidR="00EF5B27" w:rsidRDefault="00EF5B27">
            <w:pPr>
              <w:pStyle w:val="TableParagraph"/>
              <w:spacing w:before="8"/>
              <w:rPr>
                <w:rFonts w:ascii="Times New Roman"/>
                <w:sz w:val="12"/>
              </w:rPr>
            </w:pPr>
          </w:p>
          <w:p w14:paraId="5F94B1E3" w14:textId="77777777" w:rsidR="00EF5B27" w:rsidRDefault="00000000">
            <w:pPr>
              <w:pStyle w:val="TableParagraph"/>
              <w:ind w:left="81" w:right="82"/>
              <w:jc w:val="center"/>
              <w:rPr>
                <w:sz w:val="14"/>
              </w:rPr>
            </w:pPr>
            <w:r>
              <w:rPr>
                <w:color w:val="4D4D4F"/>
                <w:w w:val="105"/>
                <w:sz w:val="14"/>
              </w:rPr>
              <w:t>N/A</w:t>
            </w:r>
          </w:p>
        </w:tc>
      </w:tr>
      <w:tr w:rsidR="00EF5B27" w14:paraId="1BEDD868" w14:textId="77777777">
        <w:trPr>
          <w:trHeight w:val="448"/>
        </w:trPr>
        <w:tc>
          <w:tcPr>
            <w:tcW w:w="737" w:type="dxa"/>
          </w:tcPr>
          <w:p w14:paraId="514B6356" w14:textId="77777777" w:rsidR="00EF5B27" w:rsidRDefault="00EF5B27">
            <w:pPr>
              <w:pStyle w:val="TableParagraph"/>
              <w:spacing w:before="8"/>
              <w:rPr>
                <w:rFonts w:ascii="Times New Roman"/>
                <w:sz w:val="12"/>
              </w:rPr>
            </w:pPr>
          </w:p>
          <w:p w14:paraId="542EB115" w14:textId="77777777" w:rsidR="00EF5B27" w:rsidRDefault="00000000">
            <w:pPr>
              <w:pStyle w:val="TableParagraph"/>
              <w:ind w:left="78" w:right="80"/>
              <w:jc w:val="center"/>
              <w:rPr>
                <w:sz w:val="14"/>
              </w:rPr>
            </w:pPr>
            <w:r>
              <w:rPr>
                <w:color w:val="4D4D4F"/>
                <w:sz w:val="14"/>
              </w:rPr>
              <w:t>11</w:t>
            </w:r>
          </w:p>
        </w:tc>
        <w:tc>
          <w:tcPr>
            <w:tcW w:w="1361" w:type="dxa"/>
          </w:tcPr>
          <w:p w14:paraId="1E4C607A" w14:textId="77777777" w:rsidR="00EF5B27" w:rsidRDefault="00EF5B27">
            <w:pPr>
              <w:pStyle w:val="TableParagraph"/>
              <w:spacing w:before="8"/>
              <w:rPr>
                <w:rFonts w:ascii="Times New Roman"/>
                <w:sz w:val="12"/>
              </w:rPr>
            </w:pPr>
          </w:p>
          <w:p w14:paraId="731DE6BC" w14:textId="77777777" w:rsidR="00EF5B27" w:rsidRDefault="00000000">
            <w:pPr>
              <w:pStyle w:val="TableParagraph"/>
              <w:ind w:left="96"/>
              <w:rPr>
                <w:sz w:val="14"/>
              </w:rPr>
            </w:pPr>
            <w:r>
              <w:rPr>
                <w:color w:val="4D4D4F"/>
                <w:sz w:val="14"/>
              </w:rPr>
              <w:t>Button Wrinklewort</w:t>
            </w:r>
          </w:p>
        </w:tc>
        <w:tc>
          <w:tcPr>
            <w:tcW w:w="737" w:type="dxa"/>
          </w:tcPr>
          <w:p w14:paraId="5D299FE6" w14:textId="77777777" w:rsidR="00EF5B27" w:rsidRDefault="00EF5B27">
            <w:pPr>
              <w:pStyle w:val="TableParagraph"/>
              <w:spacing w:before="8"/>
              <w:rPr>
                <w:rFonts w:ascii="Times New Roman"/>
                <w:sz w:val="12"/>
              </w:rPr>
            </w:pPr>
          </w:p>
          <w:p w14:paraId="20E82016" w14:textId="77777777" w:rsidR="00EF5B27" w:rsidRDefault="00000000">
            <w:pPr>
              <w:pStyle w:val="TableParagraph"/>
              <w:ind w:left="6"/>
              <w:jc w:val="center"/>
              <w:rPr>
                <w:sz w:val="14"/>
              </w:rPr>
            </w:pPr>
            <w:r>
              <w:rPr>
                <w:color w:val="4D4D4F"/>
                <w:w w:val="96"/>
                <w:sz w:val="14"/>
              </w:rPr>
              <w:t>1</w:t>
            </w:r>
          </w:p>
        </w:tc>
        <w:tc>
          <w:tcPr>
            <w:tcW w:w="1474" w:type="dxa"/>
          </w:tcPr>
          <w:p w14:paraId="0423A431" w14:textId="77777777" w:rsidR="00EF5B27" w:rsidRDefault="00EF5B27">
            <w:pPr>
              <w:pStyle w:val="TableParagraph"/>
              <w:spacing w:before="8"/>
              <w:rPr>
                <w:rFonts w:ascii="Times New Roman"/>
                <w:sz w:val="12"/>
              </w:rPr>
            </w:pPr>
          </w:p>
          <w:p w14:paraId="665EA81E" w14:textId="77777777" w:rsidR="00EF5B27" w:rsidRDefault="00000000">
            <w:pPr>
              <w:pStyle w:val="TableParagraph"/>
              <w:ind w:left="126" w:right="120"/>
              <w:jc w:val="center"/>
              <w:rPr>
                <w:sz w:val="14"/>
              </w:rPr>
            </w:pPr>
            <w:r>
              <w:rPr>
                <w:color w:val="4D4D4F"/>
                <w:sz w:val="14"/>
              </w:rPr>
              <w:t>Count</w:t>
            </w:r>
          </w:p>
        </w:tc>
        <w:tc>
          <w:tcPr>
            <w:tcW w:w="2041" w:type="dxa"/>
          </w:tcPr>
          <w:p w14:paraId="58646934" w14:textId="77777777" w:rsidR="00EF5B27" w:rsidRDefault="00000000">
            <w:pPr>
              <w:pStyle w:val="TableParagraph"/>
              <w:spacing w:before="56" w:line="252" w:lineRule="auto"/>
              <w:ind w:left="345" w:right="50" w:hanging="247"/>
              <w:rPr>
                <w:sz w:val="14"/>
              </w:rPr>
            </w:pPr>
            <w:r>
              <w:rPr>
                <w:color w:val="4D4D4F"/>
                <w:sz w:val="14"/>
              </w:rPr>
              <w:t>Truganina Cemetery Grassland (Conservation Area 10)</w:t>
            </w:r>
          </w:p>
        </w:tc>
        <w:tc>
          <w:tcPr>
            <w:tcW w:w="2154" w:type="dxa"/>
          </w:tcPr>
          <w:p w14:paraId="1F24D5B8" w14:textId="77777777" w:rsidR="00EF5B27" w:rsidRDefault="00EF5B27">
            <w:pPr>
              <w:pStyle w:val="TableParagraph"/>
              <w:spacing w:before="8"/>
              <w:rPr>
                <w:rFonts w:ascii="Times New Roman"/>
                <w:sz w:val="12"/>
              </w:rPr>
            </w:pPr>
          </w:p>
          <w:p w14:paraId="6327C7E9" w14:textId="77777777" w:rsidR="00EF5B27" w:rsidRDefault="00000000">
            <w:pPr>
              <w:pStyle w:val="TableParagraph"/>
              <w:ind w:left="942"/>
              <w:rPr>
                <w:sz w:val="14"/>
              </w:rPr>
            </w:pPr>
            <w:r>
              <w:rPr>
                <w:color w:val="4D4D4F"/>
                <w:sz w:val="14"/>
              </w:rPr>
              <w:t>2015</w:t>
            </w:r>
          </w:p>
        </w:tc>
        <w:tc>
          <w:tcPr>
            <w:tcW w:w="1134" w:type="dxa"/>
          </w:tcPr>
          <w:p w14:paraId="082D2E35" w14:textId="77777777" w:rsidR="00EF5B27" w:rsidRDefault="00EF5B27">
            <w:pPr>
              <w:pStyle w:val="TableParagraph"/>
              <w:spacing w:before="8"/>
              <w:rPr>
                <w:rFonts w:ascii="Times New Roman"/>
                <w:sz w:val="12"/>
              </w:rPr>
            </w:pPr>
          </w:p>
          <w:p w14:paraId="485264B2" w14:textId="77777777" w:rsidR="00EF5B27" w:rsidRDefault="00000000">
            <w:pPr>
              <w:pStyle w:val="TableParagraph"/>
              <w:ind w:left="81" w:right="80"/>
              <w:jc w:val="center"/>
              <w:rPr>
                <w:sz w:val="14"/>
              </w:rPr>
            </w:pPr>
            <w:r>
              <w:rPr>
                <w:color w:val="4D4D4F"/>
                <w:sz w:val="14"/>
              </w:rPr>
              <w:t>2019</w:t>
            </w:r>
          </w:p>
        </w:tc>
      </w:tr>
      <w:tr w:rsidR="00EF5B27" w14:paraId="4F8317E5" w14:textId="77777777">
        <w:trPr>
          <w:trHeight w:val="448"/>
        </w:trPr>
        <w:tc>
          <w:tcPr>
            <w:tcW w:w="737" w:type="dxa"/>
          </w:tcPr>
          <w:p w14:paraId="0E93DC29" w14:textId="77777777" w:rsidR="00EF5B27" w:rsidRDefault="00EF5B27">
            <w:pPr>
              <w:pStyle w:val="TableParagraph"/>
              <w:spacing w:before="8"/>
              <w:rPr>
                <w:rFonts w:ascii="Times New Roman"/>
                <w:sz w:val="12"/>
              </w:rPr>
            </w:pPr>
          </w:p>
          <w:p w14:paraId="5971C438" w14:textId="77777777" w:rsidR="00EF5B27" w:rsidRDefault="00000000">
            <w:pPr>
              <w:pStyle w:val="TableParagraph"/>
              <w:ind w:left="79" w:right="78"/>
              <w:jc w:val="center"/>
              <w:rPr>
                <w:sz w:val="14"/>
              </w:rPr>
            </w:pPr>
            <w:r>
              <w:rPr>
                <w:color w:val="4D4D4F"/>
                <w:sz w:val="14"/>
              </w:rPr>
              <w:t>12</w:t>
            </w:r>
          </w:p>
        </w:tc>
        <w:tc>
          <w:tcPr>
            <w:tcW w:w="1361" w:type="dxa"/>
          </w:tcPr>
          <w:p w14:paraId="7C818270" w14:textId="77777777" w:rsidR="00EF5B27" w:rsidRDefault="00000000">
            <w:pPr>
              <w:pStyle w:val="TableParagraph"/>
              <w:spacing w:before="56" w:line="252" w:lineRule="auto"/>
              <w:ind w:left="373" w:right="345" w:hanging="17"/>
              <w:rPr>
                <w:sz w:val="14"/>
              </w:rPr>
            </w:pPr>
            <w:r>
              <w:rPr>
                <w:color w:val="4D4D4F"/>
                <w:w w:val="105"/>
                <w:sz w:val="14"/>
              </w:rPr>
              <w:t>Large-fruit Groundsel</w:t>
            </w:r>
          </w:p>
        </w:tc>
        <w:tc>
          <w:tcPr>
            <w:tcW w:w="737" w:type="dxa"/>
          </w:tcPr>
          <w:p w14:paraId="0F760AB0" w14:textId="77777777" w:rsidR="00EF5B27" w:rsidRDefault="00EF5B27">
            <w:pPr>
              <w:pStyle w:val="TableParagraph"/>
              <w:spacing w:before="8"/>
              <w:rPr>
                <w:rFonts w:ascii="Times New Roman"/>
                <w:sz w:val="12"/>
              </w:rPr>
            </w:pPr>
          </w:p>
          <w:p w14:paraId="3E84A920" w14:textId="77777777" w:rsidR="00EF5B27" w:rsidRDefault="00000000">
            <w:pPr>
              <w:pStyle w:val="TableParagraph"/>
              <w:ind w:left="6"/>
              <w:jc w:val="center"/>
              <w:rPr>
                <w:sz w:val="14"/>
              </w:rPr>
            </w:pPr>
            <w:r>
              <w:rPr>
                <w:color w:val="4D4D4F"/>
                <w:w w:val="96"/>
                <w:sz w:val="14"/>
              </w:rPr>
              <w:t>1</w:t>
            </w:r>
          </w:p>
        </w:tc>
        <w:tc>
          <w:tcPr>
            <w:tcW w:w="1474" w:type="dxa"/>
          </w:tcPr>
          <w:p w14:paraId="02590A65" w14:textId="77777777" w:rsidR="00EF5B27" w:rsidRDefault="00EF5B27">
            <w:pPr>
              <w:pStyle w:val="TableParagraph"/>
              <w:spacing w:before="8"/>
              <w:rPr>
                <w:rFonts w:ascii="Times New Roman"/>
                <w:sz w:val="12"/>
              </w:rPr>
            </w:pPr>
          </w:p>
          <w:p w14:paraId="2CF06908" w14:textId="77777777" w:rsidR="00EF5B27" w:rsidRDefault="00000000">
            <w:pPr>
              <w:pStyle w:val="TableParagraph"/>
              <w:ind w:left="126" w:right="120"/>
              <w:jc w:val="center"/>
              <w:rPr>
                <w:sz w:val="14"/>
              </w:rPr>
            </w:pPr>
            <w:r>
              <w:rPr>
                <w:color w:val="4D4D4F"/>
                <w:sz w:val="14"/>
              </w:rPr>
              <w:t>Count</w:t>
            </w:r>
          </w:p>
        </w:tc>
        <w:tc>
          <w:tcPr>
            <w:tcW w:w="2041" w:type="dxa"/>
          </w:tcPr>
          <w:p w14:paraId="1DFA356C" w14:textId="77777777" w:rsidR="00EF5B27" w:rsidRDefault="00EF5B27">
            <w:pPr>
              <w:pStyle w:val="TableParagraph"/>
              <w:spacing w:before="8"/>
              <w:rPr>
                <w:rFonts w:ascii="Times New Roman"/>
                <w:sz w:val="12"/>
              </w:rPr>
            </w:pPr>
          </w:p>
          <w:p w14:paraId="22E02EBA" w14:textId="77777777" w:rsidR="00EF5B27" w:rsidRDefault="00000000">
            <w:pPr>
              <w:pStyle w:val="TableParagraph"/>
              <w:ind w:left="156" w:right="150"/>
              <w:jc w:val="center"/>
              <w:rPr>
                <w:sz w:val="14"/>
              </w:rPr>
            </w:pPr>
            <w:r>
              <w:rPr>
                <w:color w:val="4D4D4F"/>
                <w:sz w:val="14"/>
              </w:rPr>
              <w:t>Conservation Area 5</w:t>
            </w:r>
          </w:p>
        </w:tc>
        <w:tc>
          <w:tcPr>
            <w:tcW w:w="2154" w:type="dxa"/>
          </w:tcPr>
          <w:p w14:paraId="0D6D5BC8" w14:textId="77777777" w:rsidR="00EF5B27" w:rsidRDefault="00EF5B27">
            <w:pPr>
              <w:pStyle w:val="TableParagraph"/>
              <w:spacing w:before="8"/>
              <w:rPr>
                <w:rFonts w:ascii="Times New Roman"/>
                <w:sz w:val="12"/>
              </w:rPr>
            </w:pPr>
          </w:p>
          <w:p w14:paraId="3766C2B3" w14:textId="77777777" w:rsidR="00EF5B27" w:rsidRDefault="00000000">
            <w:pPr>
              <w:pStyle w:val="TableParagraph"/>
              <w:ind w:left="966"/>
              <w:rPr>
                <w:sz w:val="14"/>
              </w:rPr>
            </w:pPr>
            <w:r>
              <w:rPr>
                <w:color w:val="4D4D4F"/>
                <w:w w:val="105"/>
                <w:sz w:val="14"/>
              </w:rPr>
              <w:t>N/A</w:t>
            </w:r>
          </w:p>
        </w:tc>
        <w:tc>
          <w:tcPr>
            <w:tcW w:w="1134" w:type="dxa"/>
          </w:tcPr>
          <w:p w14:paraId="7C482BF5" w14:textId="77777777" w:rsidR="00EF5B27" w:rsidRDefault="00EF5B27">
            <w:pPr>
              <w:pStyle w:val="TableParagraph"/>
              <w:spacing w:before="8"/>
              <w:rPr>
                <w:rFonts w:ascii="Times New Roman"/>
                <w:sz w:val="12"/>
              </w:rPr>
            </w:pPr>
          </w:p>
          <w:p w14:paraId="77CB5B86" w14:textId="77777777" w:rsidR="00EF5B27" w:rsidRDefault="00000000">
            <w:pPr>
              <w:pStyle w:val="TableParagraph"/>
              <w:ind w:left="81" w:right="74"/>
              <w:jc w:val="center"/>
              <w:rPr>
                <w:sz w:val="14"/>
              </w:rPr>
            </w:pPr>
            <w:r>
              <w:rPr>
                <w:color w:val="4D4D4F"/>
                <w:w w:val="105"/>
                <w:sz w:val="14"/>
              </w:rPr>
              <w:t>Unclear</w:t>
            </w:r>
          </w:p>
        </w:tc>
      </w:tr>
      <w:tr w:rsidR="00EF5B27" w14:paraId="2C75F8C0" w14:textId="77777777">
        <w:trPr>
          <w:trHeight w:val="448"/>
        </w:trPr>
        <w:tc>
          <w:tcPr>
            <w:tcW w:w="737" w:type="dxa"/>
          </w:tcPr>
          <w:p w14:paraId="73387B8A" w14:textId="77777777" w:rsidR="00EF5B27" w:rsidRDefault="00EF5B27">
            <w:pPr>
              <w:pStyle w:val="TableParagraph"/>
              <w:spacing w:before="8"/>
              <w:rPr>
                <w:rFonts w:ascii="Times New Roman"/>
                <w:sz w:val="12"/>
              </w:rPr>
            </w:pPr>
          </w:p>
          <w:p w14:paraId="58E844AF" w14:textId="77777777" w:rsidR="00EF5B27" w:rsidRDefault="00000000">
            <w:pPr>
              <w:pStyle w:val="TableParagraph"/>
              <w:ind w:left="79" w:right="78"/>
              <w:jc w:val="center"/>
              <w:rPr>
                <w:sz w:val="14"/>
              </w:rPr>
            </w:pPr>
            <w:r>
              <w:rPr>
                <w:color w:val="4D4D4F"/>
                <w:sz w:val="14"/>
              </w:rPr>
              <w:t>12</w:t>
            </w:r>
          </w:p>
        </w:tc>
        <w:tc>
          <w:tcPr>
            <w:tcW w:w="1361" w:type="dxa"/>
          </w:tcPr>
          <w:p w14:paraId="619FC89C" w14:textId="77777777" w:rsidR="00EF5B27" w:rsidRDefault="00000000">
            <w:pPr>
              <w:pStyle w:val="TableParagraph"/>
              <w:spacing w:before="56" w:line="252" w:lineRule="auto"/>
              <w:ind w:left="373" w:right="345" w:hanging="17"/>
              <w:rPr>
                <w:sz w:val="14"/>
              </w:rPr>
            </w:pPr>
            <w:r>
              <w:rPr>
                <w:color w:val="4D4D4F"/>
                <w:w w:val="105"/>
                <w:sz w:val="14"/>
              </w:rPr>
              <w:t>Large-fruit Groundsel</w:t>
            </w:r>
          </w:p>
        </w:tc>
        <w:tc>
          <w:tcPr>
            <w:tcW w:w="737" w:type="dxa"/>
          </w:tcPr>
          <w:p w14:paraId="49DFFD1C" w14:textId="77777777" w:rsidR="00EF5B27" w:rsidRDefault="00EF5B27">
            <w:pPr>
              <w:pStyle w:val="TableParagraph"/>
              <w:spacing w:before="8"/>
              <w:rPr>
                <w:rFonts w:ascii="Times New Roman"/>
                <w:sz w:val="12"/>
              </w:rPr>
            </w:pPr>
          </w:p>
          <w:p w14:paraId="30FDFF5A" w14:textId="77777777" w:rsidR="00EF5B27" w:rsidRDefault="00000000">
            <w:pPr>
              <w:pStyle w:val="TableParagraph"/>
              <w:ind w:left="6"/>
              <w:jc w:val="center"/>
              <w:rPr>
                <w:sz w:val="14"/>
              </w:rPr>
            </w:pPr>
            <w:r>
              <w:rPr>
                <w:color w:val="4D4D4F"/>
                <w:w w:val="96"/>
                <w:sz w:val="14"/>
              </w:rPr>
              <w:t>1</w:t>
            </w:r>
          </w:p>
        </w:tc>
        <w:tc>
          <w:tcPr>
            <w:tcW w:w="1474" w:type="dxa"/>
          </w:tcPr>
          <w:p w14:paraId="1B39F3EB" w14:textId="77777777" w:rsidR="00EF5B27" w:rsidRDefault="00EF5B27">
            <w:pPr>
              <w:pStyle w:val="TableParagraph"/>
              <w:spacing w:before="8"/>
              <w:rPr>
                <w:rFonts w:ascii="Times New Roman"/>
                <w:sz w:val="12"/>
              </w:rPr>
            </w:pPr>
          </w:p>
          <w:p w14:paraId="194F3825" w14:textId="77777777" w:rsidR="00EF5B27" w:rsidRDefault="00000000">
            <w:pPr>
              <w:pStyle w:val="TableParagraph"/>
              <w:ind w:left="127" w:right="120"/>
              <w:jc w:val="center"/>
              <w:rPr>
                <w:sz w:val="14"/>
              </w:rPr>
            </w:pPr>
            <w:r>
              <w:rPr>
                <w:color w:val="4D4D4F"/>
                <w:sz w:val="14"/>
              </w:rPr>
              <w:t>Count</w:t>
            </w:r>
          </w:p>
        </w:tc>
        <w:tc>
          <w:tcPr>
            <w:tcW w:w="2041" w:type="dxa"/>
          </w:tcPr>
          <w:p w14:paraId="0F2998A5" w14:textId="77777777" w:rsidR="00EF5B27" w:rsidRDefault="00EF5B27">
            <w:pPr>
              <w:pStyle w:val="TableParagraph"/>
              <w:spacing w:before="8"/>
              <w:rPr>
                <w:rFonts w:ascii="Times New Roman"/>
                <w:sz w:val="12"/>
              </w:rPr>
            </w:pPr>
          </w:p>
          <w:p w14:paraId="49D1A411" w14:textId="77777777" w:rsidR="00EF5B27" w:rsidRDefault="00000000">
            <w:pPr>
              <w:pStyle w:val="TableParagraph"/>
              <w:ind w:left="158" w:right="150"/>
              <w:jc w:val="center"/>
              <w:rPr>
                <w:sz w:val="14"/>
              </w:rPr>
            </w:pPr>
            <w:r>
              <w:rPr>
                <w:color w:val="4D4D4F"/>
                <w:w w:val="105"/>
                <w:sz w:val="14"/>
              </w:rPr>
              <w:t>Little Raven</w:t>
            </w:r>
          </w:p>
        </w:tc>
        <w:tc>
          <w:tcPr>
            <w:tcW w:w="2154" w:type="dxa"/>
          </w:tcPr>
          <w:p w14:paraId="0A900DE0" w14:textId="77777777" w:rsidR="00EF5B27" w:rsidRDefault="00EF5B27">
            <w:pPr>
              <w:pStyle w:val="TableParagraph"/>
              <w:spacing w:before="8"/>
              <w:rPr>
                <w:rFonts w:ascii="Times New Roman"/>
                <w:sz w:val="12"/>
              </w:rPr>
            </w:pPr>
          </w:p>
          <w:p w14:paraId="5370FADA" w14:textId="77777777" w:rsidR="00EF5B27" w:rsidRDefault="00000000">
            <w:pPr>
              <w:pStyle w:val="TableParagraph"/>
              <w:ind w:left="942"/>
              <w:rPr>
                <w:sz w:val="14"/>
              </w:rPr>
            </w:pPr>
            <w:r>
              <w:rPr>
                <w:color w:val="4D4D4F"/>
                <w:sz w:val="14"/>
              </w:rPr>
              <w:t>2017</w:t>
            </w:r>
          </w:p>
        </w:tc>
        <w:tc>
          <w:tcPr>
            <w:tcW w:w="1134" w:type="dxa"/>
          </w:tcPr>
          <w:p w14:paraId="30546B0B" w14:textId="77777777" w:rsidR="00EF5B27" w:rsidRDefault="00EF5B27">
            <w:pPr>
              <w:pStyle w:val="TableParagraph"/>
              <w:spacing w:before="8"/>
              <w:rPr>
                <w:rFonts w:ascii="Times New Roman"/>
                <w:sz w:val="12"/>
              </w:rPr>
            </w:pPr>
          </w:p>
          <w:p w14:paraId="319B436A" w14:textId="77777777" w:rsidR="00EF5B27" w:rsidRDefault="00000000">
            <w:pPr>
              <w:pStyle w:val="TableParagraph"/>
              <w:ind w:left="81" w:right="76"/>
              <w:jc w:val="center"/>
              <w:rPr>
                <w:sz w:val="14"/>
              </w:rPr>
            </w:pPr>
            <w:r>
              <w:rPr>
                <w:color w:val="4D4D4F"/>
                <w:sz w:val="14"/>
              </w:rPr>
              <w:t>2021</w:t>
            </w:r>
          </w:p>
        </w:tc>
      </w:tr>
    </w:tbl>
    <w:p w14:paraId="44D49CEA" w14:textId="77777777" w:rsidR="00EF5B27" w:rsidRDefault="00EF5B27">
      <w:pPr>
        <w:pStyle w:val="BodyText"/>
        <w:spacing w:before="9"/>
        <w:rPr>
          <w:rFonts w:ascii="Times New Roman"/>
          <w:sz w:val="6"/>
        </w:rPr>
      </w:pPr>
    </w:p>
    <w:p w14:paraId="2B949B92" w14:textId="77777777" w:rsidR="00EF5B27" w:rsidRDefault="00000000">
      <w:pPr>
        <w:spacing w:before="96"/>
        <w:ind w:left="4008"/>
        <w:rPr>
          <w:rFonts w:ascii="Century Gothic"/>
          <w:i/>
          <w:sz w:val="12"/>
        </w:rPr>
      </w:pPr>
      <w:r>
        <w:rPr>
          <w:rFonts w:ascii="Century Gothic"/>
          <w:i/>
          <w:color w:val="4D4D4F"/>
          <w:w w:val="90"/>
          <w:sz w:val="12"/>
        </w:rPr>
        <w:t>Source: Compiled by the Victorian Commissioner for Environmental Sustainability with data sourced from DELWP</w:t>
      </w:r>
    </w:p>
    <w:p w14:paraId="7F20EC5A" w14:textId="77777777" w:rsidR="00EF5B27" w:rsidRDefault="00EF5B27">
      <w:pPr>
        <w:rPr>
          <w:rFonts w:ascii="Century Gothic"/>
          <w:sz w:val="12"/>
        </w:rPr>
        <w:sectPr w:rsidR="00EF5B27">
          <w:pgSz w:w="11910" w:h="16840"/>
          <w:pgMar w:top="1080" w:right="1020" w:bottom="860" w:left="1020" w:header="537" w:footer="678" w:gutter="0"/>
          <w:cols w:space="720"/>
        </w:sectPr>
      </w:pPr>
    </w:p>
    <w:p w14:paraId="2D18415E" w14:textId="77777777" w:rsidR="00EF5B27" w:rsidRDefault="00000000">
      <w:pPr>
        <w:pStyle w:val="BodyText"/>
        <w:rPr>
          <w:rFonts w:ascii="Century Gothic"/>
          <w:i/>
        </w:rPr>
      </w:pPr>
      <w:r>
        <w:lastRenderedPageBreak/>
        <w:pict w14:anchorId="389550C0">
          <v:group id="_x0000_s2599" style="position:absolute;margin-left:587.05pt;margin-top:183.4pt;width:8.25pt;height:153.1pt;z-index:251745792;mso-position-horizontal-relative:page;mso-position-vertical-relative:page" coordorigin="11741,3668" coordsize="165,3062">
            <v:shape id="_x0000_s2606" style="position:absolute;left:11741;top:3668;width:165;height:561" coordorigin="11741,3668" coordsize="165,561" path="m11906,3668r-165,l11741,4228r165,-18l11906,3668xe" fillcolor="#00aed9" stroked="f">
              <v:path arrowok="t"/>
            </v:shape>
            <v:shape id="_x0000_s2605" style="position:absolute;left:11741;top:4118;width:165;height:425" coordorigin="11741,4118" coordsize="165,425" path="m11906,4118r-165,14l11741,4531r165,12l11906,4118xe" fillcolor="#047ebc" stroked="f">
              <v:path arrowok="t"/>
            </v:shape>
            <v:shape id="_x0000_s2604" type="#_x0000_t75" style="position:absolute;left:11741;top:4355;width:165;height:587">
              <v:imagedata r:id="rId42" o:title=""/>
            </v:shape>
            <v:shape id="_x0000_s2603" style="position:absolute;left:11741;top:5343;width:165;height:536" coordorigin="11741,5343" coordsize="165,536" path="m11741,5343r,535l11906,5872r,-525l11741,5343xe" fillcolor="#f36a2e" stroked="f">
              <v:path arrowok="t"/>
            </v:shape>
            <v:shape id="_x0000_s2602" style="position:absolute;left:11741;top:4925;width:165;height:501" coordorigin="11741,4926" coordsize="165,501" path="m11741,4926r,500l11906,5426r,-485l11741,4926xe" fillcolor="#49783f" stroked="f">
              <v:path arrowok="t"/>
            </v:shape>
            <v:shape id="_x0000_s2601" style="position:absolute;left:11741;top:5781;width:165;height:268" coordorigin="11741,5782" coordsize="165,268" path="m11906,5782r-165,8l11741,6039r165,10l11906,5782xe" fillcolor="#f99f2a" stroked="f">
              <v:path arrowok="t"/>
            </v:shape>
            <v:shape id="_x0000_s2600" style="position:absolute;left:11741;top:6023;width:165;height:707" coordorigin="11741,6023" coordsize="165,707" path="m11741,6023r,706l11906,6729r,-690l11741,6023xe" fillcolor="#ef412c" stroked="f">
              <v:path arrowok="t"/>
            </v:shape>
            <w10:wrap anchorx="page" anchory="page"/>
          </v:group>
        </w:pict>
      </w:r>
    </w:p>
    <w:p w14:paraId="1690729E" w14:textId="77777777" w:rsidR="00EF5B27" w:rsidRDefault="00EF5B27">
      <w:pPr>
        <w:pStyle w:val="BodyText"/>
        <w:rPr>
          <w:rFonts w:ascii="Century Gothic"/>
          <w:i/>
        </w:rPr>
      </w:pPr>
    </w:p>
    <w:p w14:paraId="3E89C51B" w14:textId="77777777" w:rsidR="00EF5B27" w:rsidRDefault="00EF5B27">
      <w:pPr>
        <w:pStyle w:val="BodyText"/>
        <w:rPr>
          <w:rFonts w:ascii="Century Gothic"/>
          <w:i/>
        </w:rPr>
      </w:pPr>
    </w:p>
    <w:p w14:paraId="465B6F01" w14:textId="77777777" w:rsidR="00EF5B27" w:rsidRDefault="00EF5B27">
      <w:pPr>
        <w:pStyle w:val="BodyText"/>
        <w:spacing w:before="6"/>
        <w:rPr>
          <w:rFonts w:ascii="Century Gothic"/>
          <w:i/>
          <w:sz w:val="25"/>
        </w:rPr>
      </w:pPr>
    </w:p>
    <w:p w14:paraId="3CBE5D2B" w14:textId="77777777" w:rsidR="00EF5B27" w:rsidRDefault="00000000">
      <w:pPr>
        <w:spacing w:before="101"/>
        <w:ind w:left="113"/>
        <w:rPr>
          <w:sz w:val="16"/>
        </w:rPr>
      </w:pPr>
      <w:bookmarkStart w:id="110" w:name="_bookmark73"/>
      <w:bookmarkEnd w:id="110"/>
      <w:r>
        <w:rPr>
          <w:color w:val="4D4D4F"/>
          <w:sz w:val="16"/>
        </w:rPr>
        <w:t>Table 6: KPIs met as at 28 February 2022</w:t>
      </w:r>
    </w:p>
    <w:p w14:paraId="6E09125C" w14:textId="77777777" w:rsidR="00EF5B27" w:rsidRDefault="00EF5B27">
      <w:pPr>
        <w:pStyle w:val="BodyText"/>
        <w:spacing w:before="5"/>
        <w:rPr>
          <w:sz w:val="10"/>
        </w:rPr>
      </w:pPr>
    </w:p>
    <w:tbl>
      <w:tblPr>
        <w:tblW w:w="0" w:type="auto"/>
        <w:tblInd w:w="12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37"/>
        <w:gridCol w:w="1361"/>
        <w:gridCol w:w="737"/>
        <w:gridCol w:w="1474"/>
        <w:gridCol w:w="2041"/>
        <w:gridCol w:w="2154"/>
        <w:gridCol w:w="1134"/>
      </w:tblGrid>
      <w:tr w:rsidR="00EF5B27" w14:paraId="3A9EC601" w14:textId="77777777">
        <w:trPr>
          <w:trHeight w:val="732"/>
        </w:trPr>
        <w:tc>
          <w:tcPr>
            <w:tcW w:w="737" w:type="dxa"/>
            <w:shd w:val="clear" w:color="auto" w:fill="FECC91"/>
          </w:tcPr>
          <w:p w14:paraId="6D124828" w14:textId="77777777" w:rsidR="00EF5B27" w:rsidRDefault="00000000">
            <w:pPr>
              <w:pStyle w:val="TableParagraph"/>
              <w:spacing w:before="176"/>
              <w:ind w:left="162"/>
              <w:rPr>
                <w:b/>
                <w:sz w:val="16"/>
              </w:rPr>
            </w:pPr>
            <w:r>
              <w:rPr>
                <w:b/>
                <w:w w:val="105"/>
                <w:sz w:val="16"/>
              </w:rPr>
              <w:t>MNES</w:t>
            </w:r>
          </w:p>
          <w:p w14:paraId="716726BB" w14:textId="77777777" w:rsidR="00EF5B27" w:rsidRDefault="00000000">
            <w:pPr>
              <w:pStyle w:val="TableParagraph"/>
              <w:spacing w:before="4"/>
              <w:ind w:left="104"/>
              <w:rPr>
                <w:b/>
                <w:sz w:val="16"/>
              </w:rPr>
            </w:pPr>
            <w:r>
              <w:rPr>
                <w:b/>
                <w:sz w:val="16"/>
              </w:rPr>
              <w:t>number</w:t>
            </w:r>
          </w:p>
        </w:tc>
        <w:tc>
          <w:tcPr>
            <w:tcW w:w="1361" w:type="dxa"/>
            <w:shd w:val="clear" w:color="auto" w:fill="FECC91"/>
          </w:tcPr>
          <w:p w14:paraId="1D45CC0C" w14:textId="77777777" w:rsidR="00EF5B27" w:rsidRDefault="00EF5B27">
            <w:pPr>
              <w:pStyle w:val="TableParagraph"/>
              <w:spacing w:before="7"/>
            </w:pPr>
          </w:p>
          <w:p w14:paraId="19B1A26E" w14:textId="77777777" w:rsidR="00EF5B27" w:rsidRDefault="00000000">
            <w:pPr>
              <w:pStyle w:val="TableParagraph"/>
              <w:ind w:left="268"/>
              <w:rPr>
                <w:b/>
                <w:sz w:val="16"/>
              </w:rPr>
            </w:pPr>
            <w:r>
              <w:rPr>
                <w:b/>
                <w:sz w:val="16"/>
              </w:rPr>
              <w:t>MNES name</w:t>
            </w:r>
          </w:p>
        </w:tc>
        <w:tc>
          <w:tcPr>
            <w:tcW w:w="737" w:type="dxa"/>
            <w:shd w:val="clear" w:color="auto" w:fill="FECC91"/>
          </w:tcPr>
          <w:p w14:paraId="4EB12708" w14:textId="77777777" w:rsidR="00EF5B27" w:rsidRDefault="00000000">
            <w:pPr>
              <w:pStyle w:val="TableParagraph"/>
              <w:spacing w:before="176"/>
              <w:ind w:left="79" w:right="75"/>
              <w:jc w:val="center"/>
              <w:rPr>
                <w:b/>
                <w:sz w:val="16"/>
              </w:rPr>
            </w:pPr>
            <w:r>
              <w:rPr>
                <w:b/>
                <w:w w:val="110"/>
                <w:sz w:val="16"/>
              </w:rPr>
              <w:t>KPI</w:t>
            </w:r>
          </w:p>
          <w:p w14:paraId="7D334C46" w14:textId="77777777" w:rsidR="00EF5B27" w:rsidRDefault="00000000">
            <w:pPr>
              <w:pStyle w:val="TableParagraph"/>
              <w:spacing w:before="4"/>
              <w:ind w:left="79" w:right="74"/>
              <w:jc w:val="center"/>
              <w:rPr>
                <w:b/>
                <w:sz w:val="16"/>
              </w:rPr>
            </w:pPr>
            <w:r>
              <w:rPr>
                <w:b/>
                <w:sz w:val="16"/>
              </w:rPr>
              <w:t>number</w:t>
            </w:r>
          </w:p>
        </w:tc>
        <w:tc>
          <w:tcPr>
            <w:tcW w:w="1474" w:type="dxa"/>
            <w:shd w:val="clear" w:color="auto" w:fill="FECC91"/>
          </w:tcPr>
          <w:p w14:paraId="340208A0" w14:textId="77777777" w:rsidR="00EF5B27" w:rsidRDefault="00EF5B27">
            <w:pPr>
              <w:pStyle w:val="TableParagraph"/>
              <w:spacing w:before="7"/>
            </w:pPr>
          </w:p>
          <w:p w14:paraId="4D11AAE1" w14:textId="77777777" w:rsidR="00EF5B27" w:rsidRDefault="00000000">
            <w:pPr>
              <w:pStyle w:val="TableParagraph"/>
              <w:ind w:left="124" w:right="120"/>
              <w:jc w:val="center"/>
              <w:rPr>
                <w:b/>
                <w:sz w:val="16"/>
              </w:rPr>
            </w:pPr>
            <w:r>
              <w:rPr>
                <w:b/>
                <w:w w:val="105"/>
                <w:sz w:val="16"/>
              </w:rPr>
              <w:t>KPI type</w:t>
            </w:r>
          </w:p>
        </w:tc>
        <w:tc>
          <w:tcPr>
            <w:tcW w:w="2041" w:type="dxa"/>
            <w:shd w:val="clear" w:color="auto" w:fill="FECC91"/>
          </w:tcPr>
          <w:p w14:paraId="39D561E4" w14:textId="77777777" w:rsidR="00EF5B27" w:rsidRDefault="00EF5B27">
            <w:pPr>
              <w:pStyle w:val="TableParagraph"/>
              <w:spacing w:before="7"/>
            </w:pPr>
          </w:p>
          <w:p w14:paraId="4A192DBC" w14:textId="77777777" w:rsidR="00EF5B27" w:rsidRDefault="00000000">
            <w:pPr>
              <w:pStyle w:val="TableParagraph"/>
              <w:ind w:left="154" w:right="150"/>
              <w:jc w:val="center"/>
              <w:rPr>
                <w:b/>
                <w:sz w:val="16"/>
              </w:rPr>
            </w:pPr>
            <w:r>
              <w:rPr>
                <w:b/>
                <w:sz w:val="16"/>
              </w:rPr>
              <w:t>Location</w:t>
            </w:r>
          </w:p>
        </w:tc>
        <w:tc>
          <w:tcPr>
            <w:tcW w:w="2154" w:type="dxa"/>
            <w:shd w:val="clear" w:color="auto" w:fill="FECC91"/>
          </w:tcPr>
          <w:p w14:paraId="42FC7132" w14:textId="77777777" w:rsidR="00EF5B27" w:rsidRDefault="00000000">
            <w:pPr>
              <w:pStyle w:val="TableParagraph"/>
              <w:spacing w:before="176" w:line="244" w:lineRule="auto"/>
              <w:ind w:left="735" w:hanging="342"/>
              <w:rPr>
                <w:b/>
                <w:sz w:val="16"/>
              </w:rPr>
            </w:pPr>
            <w:r>
              <w:rPr>
                <w:b/>
                <w:sz w:val="16"/>
              </w:rPr>
              <w:t>Threshold of impact (negative)</w:t>
            </w:r>
          </w:p>
        </w:tc>
        <w:tc>
          <w:tcPr>
            <w:tcW w:w="1134" w:type="dxa"/>
            <w:shd w:val="clear" w:color="auto" w:fill="FECC91"/>
          </w:tcPr>
          <w:p w14:paraId="698F5438" w14:textId="77777777" w:rsidR="00EF5B27" w:rsidRDefault="00000000">
            <w:pPr>
              <w:pStyle w:val="TableParagraph"/>
              <w:spacing w:before="176" w:line="244" w:lineRule="auto"/>
              <w:ind w:left="147" w:right="96" w:firstLine="31"/>
              <w:rPr>
                <w:b/>
                <w:sz w:val="16"/>
              </w:rPr>
            </w:pPr>
            <w:r>
              <w:rPr>
                <w:b/>
                <w:sz w:val="16"/>
              </w:rPr>
              <w:t>Outcome at 28 Feb 2022</w:t>
            </w:r>
          </w:p>
        </w:tc>
      </w:tr>
      <w:tr w:rsidR="00EF5B27" w14:paraId="5C611686" w14:textId="77777777">
        <w:trPr>
          <w:trHeight w:val="845"/>
        </w:trPr>
        <w:tc>
          <w:tcPr>
            <w:tcW w:w="737" w:type="dxa"/>
          </w:tcPr>
          <w:p w14:paraId="781EF026" w14:textId="77777777" w:rsidR="00EF5B27" w:rsidRDefault="00EF5B27">
            <w:pPr>
              <w:pStyle w:val="TableParagraph"/>
              <w:rPr>
                <w:sz w:val="16"/>
              </w:rPr>
            </w:pPr>
          </w:p>
          <w:p w14:paraId="55EFCF33" w14:textId="77777777" w:rsidR="00EF5B27" w:rsidRDefault="00EF5B27">
            <w:pPr>
              <w:pStyle w:val="TableParagraph"/>
              <w:spacing w:before="2"/>
              <w:rPr>
                <w:sz w:val="12"/>
              </w:rPr>
            </w:pPr>
          </w:p>
          <w:p w14:paraId="6BECB8DB" w14:textId="77777777" w:rsidR="00EF5B27" w:rsidRDefault="00000000">
            <w:pPr>
              <w:pStyle w:val="TableParagraph"/>
              <w:ind w:left="5"/>
              <w:jc w:val="center"/>
              <w:rPr>
                <w:sz w:val="14"/>
              </w:rPr>
            </w:pPr>
            <w:r>
              <w:rPr>
                <w:color w:val="4D4D4F"/>
                <w:w w:val="96"/>
                <w:sz w:val="14"/>
              </w:rPr>
              <w:t>1</w:t>
            </w:r>
          </w:p>
        </w:tc>
        <w:tc>
          <w:tcPr>
            <w:tcW w:w="1361" w:type="dxa"/>
          </w:tcPr>
          <w:p w14:paraId="737CA7E3" w14:textId="77777777" w:rsidR="00EF5B27" w:rsidRDefault="00EF5B27">
            <w:pPr>
              <w:pStyle w:val="TableParagraph"/>
              <w:spacing w:before="9"/>
              <w:rPr>
                <w:sz w:val="20"/>
              </w:rPr>
            </w:pPr>
          </w:p>
          <w:p w14:paraId="104192E6" w14:textId="77777777" w:rsidR="00EF5B27" w:rsidRDefault="00000000">
            <w:pPr>
              <w:pStyle w:val="TableParagraph"/>
              <w:spacing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3EAD3688" w14:textId="77777777" w:rsidR="00EF5B27" w:rsidRDefault="00EF5B27">
            <w:pPr>
              <w:pStyle w:val="TableParagraph"/>
              <w:rPr>
                <w:sz w:val="16"/>
              </w:rPr>
            </w:pPr>
          </w:p>
          <w:p w14:paraId="1611C2FF" w14:textId="77777777" w:rsidR="00EF5B27" w:rsidRDefault="00EF5B27">
            <w:pPr>
              <w:pStyle w:val="TableParagraph"/>
              <w:spacing w:before="2"/>
              <w:rPr>
                <w:sz w:val="12"/>
              </w:rPr>
            </w:pPr>
          </w:p>
          <w:p w14:paraId="42725DF8" w14:textId="77777777" w:rsidR="00EF5B27" w:rsidRDefault="00000000">
            <w:pPr>
              <w:pStyle w:val="TableParagraph"/>
              <w:ind w:left="4"/>
              <w:jc w:val="center"/>
              <w:rPr>
                <w:sz w:val="14"/>
              </w:rPr>
            </w:pPr>
            <w:r>
              <w:rPr>
                <w:color w:val="4D4D4F"/>
                <w:w w:val="96"/>
                <w:sz w:val="14"/>
              </w:rPr>
              <w:t>2</w:t>
            </w:r>
          </w:p>
        </w:tc>
        <w:tc>
          <w:tcPr>
            <w:tcW w:w="1474" w:type="dxa"/>
          </w:tcPr>
          <w:p w14:paraId="388BC8D0" w14:textId="77777777" w:rsidR="00EF5B27" w:rsidRDefault="00EF5B27">
            <w:pPr>
              <w:pStyle w:val="TableParagraph"/>
              <w:rPr>
                <w:sz w:val="16"/>
              </w:rPr>
            </w:pPr>
          </w:p>
          <w:p w14:paraId="65A3A59B" w14:textId="77777777" w:rsidR="00EF5B27" w:rsidRDefault="00EF5B27">
            <w:pPr>
              <w:pStyle w:val="TableParagraph"/>
              <w:spacing w:before="2"/>
              <w:rPr>
                <w:sz w:val="12"/>
              </w:rPr>
            </w:pPr>
          </w:p>
          <w:p w14:paraId="5215278A" w14:textId="77777777" w:rsidR="00EF5B27" w:rsidRDefault="00000000">
            <w:pPr>
              <w:pStyle w:val="TableParagraph"/>
              <w:ind w:left="124" w:right="120"/>
              <w:jc w:val="center"/>
              <w:rPr>
                <w:sz w:val="14"/>
              </w:rPr>
            </w:pPr>
            <w:r>
              <w:rPr>
                <w:color w:val="4D4D4F"/>
                <w:w w:val="105"/>
                <w:sz w:val="14"/>
              </w:rPr>
              <w:t>Forb cover</w:t>
            </w:r>
          </w:p>
        </w:tc>
        <w:tc>
          <w:tcPr>
            <w:tcW w:w="2041" w:type="dxa"/>
          </w:tcPr>
          <w:p w14:paraId="109AB91F" w14:textId="77777777" w:rsidR="00EF5B27" w:rsidRDefault="00EF5B27">
            <w:pPr>
              <w:pStyle w:val="TableParagraph"/>
              <w:rPr>
                <w:sz w:val="16"/>
              </w:rPr>
            </w:pPr>
          </w:p>
          <w:p w14:paraId="1ABC8187" w14:textId="77777777" w:rsidR="00EF5B27" w:rsidRDefault="00EF5B27">
            <w:pPr>
              <w:pStyle w:val="TableParagraph"/>
              <w:spacing w:before="2"/>
              <w:rPr>
                <w:sz w:val="12"/>
              </w:rPr>
            </w:pPr>
          </w:p>
          <w:p w14:paraId="4CC1D269" w14:textId="77777777" w:rsidR="00EF5B27" w:rsidRDefault="00000000">
            <w:pPr>
              <w:pStyle w:val="TableParagraph"/>
              <w:ind w:left="154" w:right="150"/>
              <w:jc w:val="center"/>
              <w:rPr>
                <w:sz w:val="14"/>
              </w:rPr>
            </w:pPr>
            <w:r>
              <w:rPr>
                <w:color w:val="4D4D4F"/>
                <w:w w:val="105"/>
                <w:sz w:val="14"/>
              </w:rPr>
              <w:t>Herb-rich grassland</w:t>
            </w:r>
          </w:p>
        </w:tc>
        <w:tc>
          <w:tcPr>
            <w:tcW w:w="2154" w:type="dxa"/>
          </w:tcPr>
          <w:p w14:paraId="42B1F317" w14:textId="77777777" w:rsidR="00EF5B27" w:rsidRDefault="00000000">
            <w:pPr>
              <w:pStyle w:val="TableParagraph"/>
              <w:spacing w:before="74" w:line="252" w:lineRule="auto"/>
              <w:ind w:left="128" w:right="122"/>
              <w:jc w:val="center"/>
              <w:rPr>
                <w:sz w:val="14"/>
              </w:rPr>
            </w:pPr>
            <w:r>
              <w:rPr>
                <w:color w:val="4D4D4F"/>
                <w:sz w:val="14"/>
              </w:rPr>
              <w:t>KPI measure 95% confidence interval falls below the baseline (this is assumed, although hasn't been explicitly stated)</w:t>
            </w:r>
          </w:p>
        </w:tc>
        <w:tc>
          <w:tcPr>
            <w:tcW w:w="1134" w:type="dxa"/>
          </w:tcPr>
          <w:p w14:paraId="3FC7973E" w14:textId="77777777" w:rsidR="00EF5B27" w:rsidRDefault="00EF5B27">
            <w:pPr>
              <w:pStyle w:val="TableParagraph"/>
              <w:rPr>
                <w:sz w:val="16"/>
              </w:rPr>
            </w:pPr>
          </w:p>
          <w:p w14:paraId="6701EFDA" w14:textId="77777777" w:rsidR="00EF5B27" w:rsidRDefault="00EF5B27">
            <w:pPr>
              <w:pStyle w:val="TableParagraph"/>
              <w:spacing w:before="2"/>
              <w:rPr>
                <w:sz w:val="12"/>
              </w:rPr>
            </w:pPr>
          </w:p>
          <w:p w14:paraId="505B5F3A" w14:textId="77777777" w:rsidR="00EF5B27" w:rsidRDefault="00000000">
            <w:pPr>
              <w:pStyle w:val="TableParagraph"/>
              <w:ind w:left="457"/>
              <w:rPr>
                <w:sz w:val="14"/>
              </w:rPr>
            </w:pPr>
            <w:r>
              <w:rPr>
                <w:color w:val="4D4D4F"/>
                <w:sz w:val="14"/>
              </w:rPr>
              <w:t>Met</w:t>
            </w:r>
          </w:p>
        </w:tc>
      </w:tr>
      <w:tr w:rsidR="00EF5B27" w14:paraId="1C972355" w14:textId="77777777">
        <w:trPr>
          <w:trHeight w:val="845"/>
        </w:trPr>
        <w:tc>
          <w:tcPr>
            <w:tcW w:w="737" w:type="dxa"/>
          </w:tcPr>
          <w:p w14:paraId="13AA0672" w14:textId="77777777" w:rsidR="00EF5B27" w:rsidRDefault="00EF5B27">
            <w:pPr>
              <w:pStyle w:val="TableParagraph"/>
              <w:rPr>
                <w:sz w:val="16"/>
              </w:rPr>
            </w:pPr>
          </w:p>
          <w:p w14:paraId="7CC60F3D" w14:textId="77777777" w:rsidR="00EF5B27" w:rsidRDefault="00EF5B27">
            <w:pPr>
              <w:pStyle w:val="TableParagraph"/>
              <w:spacing w:before="2"/>
              <w:rPr>
                <w:sz w:val="12"/>
              </w:rPr>
            </w:pPr>
          </w:p>
          <w:p w14:paraId="55439078" w14:textId="77777777" w:rsidR="00EF5B27" w:rsidRDefault="00000000">
            <w:pPr>
              <w:pStyle w:val="TableParagraph"/>
              <w:ind w:left="5"/>
              <w:jc w:val="center"/>
              <w:rPr>
                <w:sz w:val="14"/>
              </w:rPr>
            </w:pPr>
            <w:r>
              <w:rPr>
                <w:color w:val="4D4D4F"/>
                <w:w w:val="96"/>
                <w:sz w:val="14"/>
              </w:rPr>
              <w:t>1</w:t>
            </w:r>
          </w:p>
        </w:tc>
        <w:tc>
          <w:tcPr>
            <w:tcW w:w="1361" w:type="dxa"/>
          </w:tcPr>
          <w:p w14:paraId="1C0A286F" w14:textId="77777777" w:rsidR="00EF5B27" w:rsidRDefault="00EF5B27">
            <w:pPr>
              <w:pStyle w:val="TableParagraph"/>
              <w:spacing w:before="9"/>
              <w:rPr>
                <w:sz w:val="20"/>
              </w:rPr>
            </w:pPr>
          </w:p>
          <w:p w14:paraId="4CBDDFD3" w14:textId="77777777" w:rsidR="00EF5B27" w:rsidRDefault="00000000">
            <w:pPr>
              <w:pStyle w:val="TableParagraph"/>
              <w:spacing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2B406FA7" w14:textId="77777777" w:rsidR="00EF5B27" w:rsidRDefault="00EF5B27">
            <w:pPr>
              <w:pStyle w:val="TableParagraph"/>
              <w:rPr>
                <w:sz w:val="16"/>
              </w:rPr>
            </w:pPr>
          </w:p>
          <w:p w14:paraId="620836E1" w14:textId="77777777" w:rsidR="00EF5B27" w:rsidRDefault="00EF5B27">
            <w:pPr>
              <w:pStyle w:val="TableParagraph"/>
              <w:spacing w:before="2"/>
              <w:rPr>
                <w:sz w:val="12"/>
              </w:rPr>
            </w:pPr>
          </w:p>
          <w:p w14:paraId="702E2E13" w14:textId="77777777" w:rsidR="00EF5B27" w:rsidRDefault="00000000">
            <w:pPr>
              <w:pStyle w:val="TableParagraph"/>
              <w:ind w:left="4"/>
              <w:jc w:val="center"/>
              <w:rPr>
                <w:sz w:val="14"/>
              </w:rPr>
            </w:pPr>
            <w:r>
              <w:rPr>
                <w:color w:val="4D4D4F"/>
                <w:w w:val="96"/>
                <w:sz w:val="14"/>
              </w:rPr>
              <w:t>2</w:t>
            </w:r>
          </w:p>
        </w:tc>
        <w:tc>
          <w:tcPr>
            <w:tcW w:w="1474" w:type="dxa"/>
          </w:tcPr>
          <w:p w14:paraId="36AA9506" w14:textId="77777777" w:rsidR="00EF5B27" w:rsidRDefault="00EF5B27">
            <w:pPr>
              <w:pStyle w:val="TableParagraph"/>
              <w:rPr>
                <w:sz w:val="16"/>
              </w:rPr>
            </w:pPr>
          </w:p>
          <w:p w14:paraId="4923E66A" w14:textId="77777777" w:rsidR="00EF5B27" w:rsidRDefault="00EF5B27">
            <w:pPr>
              <w:pStyle w:val="TableParagraph"/>
              <w:spacing w:before="2"/>
              <w:rPr>
                <w:sz w:val="12"/>
              </w:rPr>
            </w:pPr>
          </w:p>
          <w:p w14:paraId="014B452E" w14:textId="77777777" w:rsidR="00EF5B27" w:rsidRDefault="00000000">
            <w:pPr>
              <w:pStyle w:val="TableParagraph"/>
              <w:ind w:left="124" w:right="120"/>
              <w:jc w:val="center"/>
              <w:rPr>
                <w:sz w:val="14"/>
              </w:rPr>
            </w:pPr>
            <w:r>
              <w:rPr>
                <w:color w:val="4D4D4F"/>
                <w:w w:val="105"/>
                <w:sz w:val="14"/>
              </w:rPr>
              <w:t>Forb cover</w:t>
            </w:r>
          </w:p>
        </w:tc>
        <w:tc>
          <w:tcPr>
            <w:tcW w:w="2041" w:type="dxa"/>
          </w:tcPr>
          <w:p w14:paraId="3FA9B2ED" w14:textId="77777777" w:rsidR="00EF5B27" w:rsidRDefault="00EF5B27">
            <w:pPr>
              <w:pStyle w:val="TableParagraph"/>
              <w:rPr>
                <w:sz w:val="16"/>
              </w:rPr>
            </w:pPr>
          </w:p>
          <w:p w14:paraId="6C42174C" w14:textId="77777777" w:rsidR="00EF5B27" w:rsidRDefault="00EF5B27">
            <w:pPr>
              <w:pStyle w:val="TableParagraph"/>
              <w:spacing w:before="2"/>
              <w:rPr>
                <w:sz w:val="12"/>
              </w:rPr>
            </w:pPr>
          </w:p>
          <w:p w14:paraId="3E84A4D0" w14:textId="77777777" w:rsidR="00EF5B27" w:rsidRDefault="00000000">
            <w:pPr>
              <w:pStyle w:val="TableParagraph"/>
              <w:ind w:left="154" w:right="15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01B3901D" w14:textId="77777777" w:rsidR="00EF5B27" w:rsidRDefault="00000000">
            <w:pPr>
              <w:pStyle w:val="TableParagraph"/>
              <w:spacing w:before="74" w:line="252" w:lineRule="auto"/>
              <w:ind w:left="128" w:right="122"/>
              <w:jc w:val="center"/>
              <w:rPr>
                <w:sz w:val="14"/>
              </w:rPr>
            </w:pPr>
            <w:r>
              <w:rPr>
                <w:color w:val="4D4D4F"/>
                <w:sz w:val="14"/>
              </w:rPr>
              <w:t>KPI measure 95% confidence interval falls below the baseline (this is assumed, although hasn't been explicitly stated)</w:t>
            </w:r>
          </w:p>
        </w:tc>
        <w:tc>
          <w:tcPr>
            <w:tcW w:w="1134" w:type="dxa"/>
          </w:tcPr>
          <w:p w14:paraId="60AC6620" w14:textId="77777777" w:rsidR="00EF5B27" w:rsidRDefault="00EF5B27">
            <w:pPr>
              <w:pStyle w:val="TableParagraph"/>
              <w:rPr>
                <w:sz w:val="16"/>
              </w:rPr>
            </w:pPr>
          </w:p>
          <w:p w14:paraId="50D6BF4E" w14:textId="77777777" w:rsidR="00EF5B27" w:rsidRDefault="00EF5B27">
            <w:pPr>
              <w:pStyle w:val="TableParagraph"/>
              <w:spacing w:before="2"/>
              <w:rPr>
                <w:sz w:val="12"/>
              </w:rPr>
            </w:pPr>
          </w:p>
          <w:p w14:paraId="5975F078" w14:textId="77777777" w:rsidR="00EF5B27" w:rsidRDefault="00000000">
            <w:pPr>
              <w:pStyle w:val="TableParagraph"/>
              <w:ind w:left="457"/>
              <w:rPr>
                <w:sz w:val="14"/>
              </w:rPr>
            </w:pPr>
            <w:r>
              <w:rPr>
                <w:color w:val="4D4D4F"/>
                <w:sz w:val="14"/>
              </w:rPr>
              <w:t>Met</w:t>
            </w:r>
          </w:p>
        </w:tc>
      </w:tr>
      <w:tr w:rsidR="00EF5B27" w14:paraId="05B2AF45" w14:textId="77777777">
        <w:trPr>
          <w:trHeight w:val="845"/>
        </w:trPr>
        <w:tc>
          <w:tcPr>
            <w:tcW w:w="737" w:type="dxa"/>
          </w:tcPr>
          <w:p w14:paraId="6D333165" w14:textId="77777777" w:rsidR="00EF5B27" w:rsidRDefault="00EF5B27">
            <w:pPr>
              <w:pStyle w:val="TableParagraph"/>
              <w:rPr>
                <w:sz w:val="16"/>
              </w:rPr>
            </w:pPr>
          </w:p>
          <w:p w14:paraId="5FFACE66" w14:textId="77777777" w:rsidR="00EF5B27" w:rsidRDefault="00EF5B27">
            <w:pPr>
              <w:pStyle w:val="TableParagraph"/>
              <w:spacing w:before="2"/>
              <w:rPr>
                <w:sz w:val="12"/>
              </w:rPr>
            </w:pPr>
          </w:p>
          <w:p w14:paraId="33CD0FAC" w14:textId="77777777" w:rsidR="00EF5B27" w:rsidRDefault="00000000">
            <w:pPr>
              <w:pStyle w:val="TableParagraph"/>
              <w:ind w:left="5"/>
              <w:jc w:val="center"/>
              <w:rPr>
                <w:sz w:val="14"/>
              </w:rPr>
            </w:pPr>
            <w:r>
              <w:rPr>
                <w:color w:val="4D4D4F"/>
                <w:w w:val="96"/>
                <w:sz w:val="14"/>
              </w:rPr>
              <w:t>1</w:t>
            </w:r>
          </w:p>
        </w:tc>
        <w:tc>
          <w:tcPr>
            <w:tcW w:w="1361" w:type="dxa"/>
          </w:tcPr>
          <w:p w14:paraId="5CDF138C" w14:textId="77777777" w:rsidR="00EF5B27" w:rsidRDefault="00EF5B27">
            <w:pPr>
              <w:pStyle w:val="TableParagraph"/>
              <w:spacing w:before="9"/>
              <w:rPr>
                <w:sz w:val="20"/>
              </w:rPr>
            </w:pPr>
          </w:p>
          <w:p w14:paraId="74FDC86F" w14:textId="77777777" w:rsidR="00EF5B27" w:rsidRDefault="00000000">
            <w:pPr>
              <w:pStyle w:val="TableParagraph"/>
              <w:spacing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46FF3DB7" w14:textId="77777777" w:rsidR="00EF5B27" w:rsidRDefault="00EF5B27">
            <w:pPr>
              <w:pStyle w:val="TableParagraph"/>
              <w:rPr>
                <w:sz w:val="16"/>
              </w:rPr>
            </w:pPr>
          </w:p>
          <w:p w14:paraId="48EF64D4" w14:textId="77777777" w:rsidR="00EF5B27" w:rsidRDefault="00EF5B27">
            <w:pPr>
              <w:pStyle w:val="TableParagraph"/>
              <w:spacing w:before="2"/>
              <w:rPr>
                <w:sz w:val="12"/>
              </w:rPr>
            </w:pPr>
          </w:p>
          <w:p w14:paraId="22FC0092" w14:textId="77777777" w:rsidR="00EF5B27" w:rsidRDefault="00000000">
            <w:pPr>
              <w:pStyle w:val="TableParagraph"/>
              <w:ind w:left="4"/>
              <w:jc w:val="center"/>
              <w:rPr>
                <w:sz w:val="14"/>
              </w:rPr>
            </w:pPr>
            <w:r>
              <w:rPr>
                <w:color w:val="4D4D4F"/>
                <w:w w:val="96"/>
                <w:sz w:val="14"/>
              </w:rPr>
              <w:t>3</w:t>
            </w:r>
          </w:p>
        </w:tc>
        <w:tc>
          <w:tcPr>
            <w:tcW w:w="1474" w:type="dxa"/>
          </w:tcPr>
          <w:p w14:paraId="38AE9591" w14:textId="77777777" w:rsidR="00EF5B27" w:rsidRDefault="00EF5B27">
            <w:pPr>
              <w:pStyle w:val="TableParagraph"/>
              <w:rPr>
                <w:sz w:val="16"/>
              </w:rPr>
            </w:pPr>
          </w:p>
          <w:p w14:paraId="1CAC9BD1" w14:textId="77777777" w:rsidR="00EF5B27" w:rsidRDefault="00EF5B27">
            <w:pPr>
              <w:pStyle w:val="TableParagraph"/>
              <w:spacing w:before="2"/>
              <w:rPr>
                <w:sz w:val="12"/>
              </w:rPr>
            </w:pPr>
          </w:p>
          <w:p w14:paraId="24E266FC" w14:textId="77777777" w:rsidR="00EF5B27" w:rsidRDefault="00000000">
            <w:pPr>
              <w:pStyle w:val="TableParagraph"/>
              <w:ind w:left="124" w:right="120"/>
              <w:jc w:val="center"/>
              <w:rPr>
                <w:sz w:val="14"/>
              </w:rPr>
            </w:pPr>
            <w:r>
              <w:rPr>
                <w:color w:val="4D4D4F"/>
                <w:w w:val="105"/>
                <w:sz w:val="14"/>
              </w:rPr>
              <w:t>Forb richness</w:t>
            </w:r>
          </w:p>
        </w:tc>
        <w:tc>
          <w:tcPr>
            <w:tcW w:w="2041" w:type="dxa"/>
          </w:tcPr>
          <w:p w14:paraId="1C95A505" w14:textId="77777777" w:rsidR="00EF5B27" w:rsidRDefault="00EF5B27">
            <w:pPr>
              <w:pStyle w:val="TableParagraph"/>
              <w:rPr>
                <w:sz w:val="16"/>
              </w:rPr>
            </w:pPr>
          </w:p>
          <w:p w14:paraId="33E871A1" w14:textId="77777777" w:rsidR="00EF5B27" w:rsidRDefault="00EF5B27">
            <w:pPr>
              <w:pStyle w:val="TableParagraph"/>
              <w:spacing w:before="2"/>
              <w:rPr>
                <w:sz w:val="12"/>
              </w:rPr>
            </w:pPr>
          </w:p>
          <w:p w14:paraId="775C0BE5" w14:textId="77777777" w:rsidR="00EF5B27" w:rsidRDefault="00000000">
            <w:pPr>
              <w:pStyle w:val="TableParagraph"/>
              <w:ind w:left="154" w:right="150"/>
              <w:jc w:val="center"/>
              <w:rPr>
                <w:sz w:val="14"/>
              </w:rPr>
            </w:pPr>
            <w:r>
              <w:rPr>
                <w:color w:val="4D4D4F"/>
                <w:w w:val="105"/>
                <w:sz w:val="14"/>
              </w:rPr>
              <w:t>Herb-rich grassland</w:t>
            </w:r>
          </w:p>
        </w:tc>
        <w:tc>
          <w:tcPr>
            <w:tcW w:w="2154" w:type="dxa"/>
          </w:tcPr>
          <w:p w14:paraId="21414B4D" w14:textId="77777777" w:rsidR="00EF5B27" w:rsidRDefault="00000000">
            <w:pPr>
              <w:pStyle w:val="TableParagraph"/>
              <w:spacing w:before="73" w:line="252" w:lineRule="auto"/>
              <w:ind w:left="128" w:right="122"/>
              <w:jc w:val="center"/>
              <w:rPr>
                <w:sz w:val="14"/>
              </w:rPr>
            </w:pPr>
            <w:r>
              <w:rPr>
                <w:color w:val="4D4D4F"/>
                <w:sz w:val="14"/>
              </w:rPr>
              <w:t>KPI measure 95% confidence interval falls below the baseline (this is assumed, although hasn't been explicitly stated)</w:t>
            </w:r>
          </w:p>
        </w:tc>
        <w:tc>
          <w:tcPr>
            <w:tcW w:w="1134" w:type="dxa"/>
          </w:tcPr>
          <w:p w14:paraId="60F28D3B" w14:textId="77777777" w:rsidR="00EF5B27" w:rsidRDefault="00EF5B27">
            <w:pPr>
              <w:pStyle w:val="TableParagraph"/>
              <w:rPr>
                <w:sz w:val="16"/>
              </w:rPr>
            </w:pPr>
          </w:p>
          <w:p w14:paraId="5420FC7B" w14:textId="77777777" w:rsidR="00EF5B27" w:rsidRDefault="00EF5B27">
            <w:pPr>
              <w:pStyle w:val="TableParagraph"/>
              <w:spacing w:before="2"/>
              <w:rPr>
                <w:sz w:val="12"/>
              </w:rPr>
            </w:pPr>
          </w:p>
          <w:p w14:paraId="1082D1AE" w14:textId="77777777" w:rsidR="00EF5B27" w:rsidRDefault="00000000">
            <w:pPr>
              <w:pStyle w:val="TableParagraph"/>
              <w:ind w:left="457"/>
              <w:rPr>
                <w:sz w:val="14"/>
              </w:rPr>
            </w:pPr>
            <w:r>
              <w:rPr>
                <w:color w:val="4D4D4F"/>
                <w:sz w:val="14"/>
              </w:rPr>
              <w:t>Met</w:t>
            </w:r>
          </w:p>
        </w:tc>
      </w:tr>
      <w:tr w:rsidR="00EF5B27" w14:paraId="3A2AC022" w14:textId="77777777">
        <w:trPr>
          <w:trHeight w:val="845"/>
        </w:trPr>
        <w:tc>
          <w:tcPr>
            <w:tcW w:w="737" w:type="dxa"/>
          </w:tcPr>
          <w:p w14:paraId="32FAA03E" w14:textId="77777777" w:rsidR="00EF5B27" w:rsidRDefault="00EF5B27">
            <w:pPr>
              <w:pStyle w:val="TableParagraph"/>
              <w:rPr>
                <w:sz w:val="16"/>
              </w:rPr>
            </w:pPr>
          </w:p>
          <w:p w14:paraId="53E22A83" w14:textId="77777777" w:rsidR="00EF5B27" w:rsidRDefault="00EF5B27">
            <w:pPr>
              <w:pStyle w:val="TableParagraph"/>
              <w:spacing w:before="2"/>
              <w:rPr>
                <w:sz w:val="12"/>
              </w:rPr>
            </w:pPr>
          </w:p>
          <w:p w14:paraId="2685C214" w14:textId="77777777" w:rsidR="00EF5B27" w:rsidRDefault="00000000">
            <w:pPr>
              <w:pStyle w:val="TableParagraph"/>
              <w:ind w:left="5"/>
              <w:jc w:val="center"/>
              <w:rPr>
                <w:sz w:val="14"/>
              </w:rPr>
            </w:pPr>
            <w:r>
              <w:rPr>
                <w:color w:val="4D4D4F"/>
                <w:w w:val="96"/>
                <w:sz w:val="14"/>
              </w:rPr>
              <w:t>1</w:t>
            </w:r>
          </w:p>
        </w:tc>
        <w:tc>
          <w:tcPr>
            <w:tcW w:w="1361" w:type="dxa"/>
          </w:tcPr>
          <w:p w14:paraId="74732E9D" w14:textId="77777777" w:rsidR="00EF5B27" w:rsidRDefault="00EF5B27">
            <w:pPr>
              <w:pStyle w:val="TableParagraph"/>
              <w:spacing w:before="9"/>
              <w:rPr>
                <w:sz w:val="20"/>
              </w:rPr>
            </w:pPr>
          </w:p>
          <w:p w14:paraId="01D02377" w14:textId="77777777" w:rsidR="00EF5B27" w:rsidRDefault="00000000">
            <w:pPr>
              <w:pStyle w:val="TableParagraph"/>
              <w:spacing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28ED4B66" w14:textId="77777777" w:rsidR="00EF5B27" w:rsidRDefault="00EF5B27">
            <w:pPr>
              <w:pStyle w:val="TableParagraph"/>
              <w:rPr>
                <w:sz w:val="16"/>
              </w:rPr>
            </w:pPr>
          </w:p>
          <w:p w14:paraId="32724041" w14:textId="77777777" w:rsidR="00EF5B27" w:rsidRDefault="00EF5B27">
            <w:pPr>
              <w:pStyle w:val="TableParagraph"/>
              <w:spacing w:before="2"/>
              <w:rPr>
                <w:sz w:val="12"/>
              </w:rPr>
            </w:pPr>
          </w:p>
          <w:p w14:paraId="6417D0EF" w14:textId="77777777" w:rsidR="00EF5B27" w:rsidRDefault="00000000">
            <w:pPr>
              <w:pStyle w:val="TableParagraph"/>
              <w:ind w:left="4"/>
              <w:jc w:val="center"/>
              <w:rPr>
                <w:sz w:val="14"/>
              </w:rPr>
            </w:pPr>
            <w:r>
              <w:rPr>
                <w:color w:val="4D4D4F"/>
                <w:w w:val="96"/>
                <w:sz w:val="14"/>
              </w:rPr>
              <w:t>3</w:t>
            </w:r>
          </w:p>
        </w:tc>
        <w:tc>
          <w:tcPr>
            <w:tcW w:w="1474" w:type="dxa"/>
          </w:tcPr>
          <w:p w14:paraId="00B73A11" w14:textId="77777777" w:rsidR="00EF5B27" w:rsidRDefault="00EF5B27">
            <w:pPr>
              <w:pStyle w:val="TableParagraph"/>
              <w:rPr>
                <w:sz w:val="16"/>
              </w:rPr>
            </w:pPr>
          </w:p>
          <w:p w14:paraId="103B5E78" w14:textId="77777777" w:rsidR="00EF5B27" w:rsidRDefault="00EF5B27">
            <w:pPr>
              <w:pStyle w:val="TableParagraph"/>
              <w:spacing w:before="2"/>
              <w:rPr>
                <w:sz w:val="12"/>
              </w:rPr>
            </w:pPr>
          </w:p>
          <w:p w14:paraId="50A3CF3A" w14:textId="77777777" w:rsidR="00EF5B27" w:rsidRDefault="00000000">
            <w:pPr>
              <w:pStyle w:val="TableParagraph"/>
              <w:ind w:left="124" w:right="120"/>
              <w:jc w:val="center"/>
              <w:rPr>
                <w:sz w:val="14"/>
              </w:rPr>
            </w:pPr>
            <w:r>
              <w:rPr>
                <w:color w:val="4D4D4F"/>
                <w:w w:val="105"/>
                <w:sz w:val="14"/>
              </w:rPr>
              <w:t>Forb richness</w:t>
            </w:r>
          </w:p>
        </w:tc>
        <w:tc>
          <w:tcPr>
            <w:tcW w:w="2041" w:type="dxa"/>
          </w:tcPr>
          <w:p w14:paraId="3751BACD" w14:textId="77777777" w:rsidR="00EF5B27" w:rsidRDefault="00EF5B27">
            <w:pPr>
              <w:pStyle w:val="TableParagraph"/>
              <w:rPr>
                <w:sz w:val="16"/>
              </w:rPr>
            </w:pPr>
          </w:p>
          <w:p w14:paraId="55781AA5" w14:textId="77777777" w:rsidR="00EF5B27" w:rsidRDefault="00EF5B27">
            <w:pPr>
              <w:pStyle w:val="TableParagraph"/>
              <w:spacing w:before="2"/>
              <w:rPr>
                <w:sz w:val="12"/>
              </w:rPr>
            </w:pPr>
          </w:p>
          <w:p w14:paraId="7BA3136A" w14:textId="77777777" w:rsidR="00EF5B27" w:rsidRDefault="00000000">
            <w:pPr>
              <w:pStyle w:val="TableParagraph"/>
              <w:ind w:left="154" w:right="15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3A2CC3CB" w14:textId="77777777" w:rsidR="00EF5B27" w:rsidRDefault="00000000">
            <w:pPr>
              <w:pStyle w:val="TableParagraph"/>
              <w:spacing w:before="73" w:line="252" w:lineRule="auto"/>
              <w:ind w:left="128" w:right="122"/>
              <w:jc w:val="center"/>
              <w:rPr>
                <w:sz w:val="14"/>
              </w:rPr>
            </w:pPr>
            <w:r>
              <w:rPr>
                <w:color w:val="4D4D4F"/>
                <w:sz w:val="14"/>
              </w:rPr>
              <w:t>KPI measure 95% confidence interval falls below the baseline (this is assumed, although hasn't been explicitly stated)</w:t>
            </w:r>
          </w:p>
        </w:tc>
        <w:tc>
          <w:tcPr>
            <w:tcW w:w="1134" w:type="dxa"/>
          </w:tcPr>
          <w:p w14:paraId="62600701" w14:textId="77777777" w:rsidR="00EF5B27" w:rsidRDefault="00EF5B27">
            <w:pPr>
              <w:pStyle w:val="TableParagraph"/>
              <w:rPr>
                <w:sz w:val="16"/>
              </w:rPr>
            </w:pPr>
          </w:p>
          <w:p w14:paraId="18F99D6A" w14:textId="77777777" w:rsidR="00EF5B27" w:rsidRDefault="00EF5B27">
            <w:pPr>
              <w:pStyle w:val="TableParagraph"/>
              <w:spacing w:before="2"/>
              <w:rPr>
                <w:sz w:val="12"/>
              </w:rPr>
            </w:pPr>
          </w:p>
          <w:p w14:paraId="3B189C23" w14:textId="77777777" w:rsidR="00EF5B27" w:rsidRDefault="00000000">
            <w:pPr>
              <w:pStyle w:val="TableParagraph"/>
              <w:ind w:left="457"/>
              <w:rPr>
                <w:sz w:val="14"/>
              </w:rPr>
            </w:pPr>
            <w:r>
              <w:rPr>
                <w:color w:val="4D4D4F"/>
                <w:sz w:val="14"/>
              </w:rPr>
              <w:t>Met</w:t>
            </w:r>
          </w:p>
        </w:tc>
      </w:tr>
      <w:tr w:rsidR="00EF5B27" w14:paraId="65E84581" w14:textId="77777777">
        <w:trPr>
          <w:trHeight w:val="845"/>
        </w:trPr>
        <w:tc>
          <w:tcPr>
            <w:tcW w:w="737" w:type="dxa"/>
          </w:tcPr>
          <w:p w14:paraId="1519B4E4" w14:textId="77777777" w:rsidR="00EF5B27" w:rsidRDefault="00EF5B27">
            <w:pPr>
              <w:pStyle w:val="TableParagraph"/>
              <w:rPr>
                <w:sz w:val="16"/>
              </w:rPr>
            </w:pPr>
          </w:p>
          <w:p w14:paraId="163D4ED2" w14:textId="77777777" w:rsidR="00EF5B27" w:rsidRDefault="00EF5B27">
            <w:pPr>
              <w:pStyle w:val="TableParagraph"/>
              <w:spacing w:before="2"/>
              <w:rPr>
                <w:sz w:val="12"/>
              </w:rPr>
            </w:pPr>
          </w:p>
          <w:p w14:paraId="49058669" w14:textId="77777777" w:rsidR="00EF5B27" w:rsidRDefault="00000000">
            <w:pPr>
              <w:pStyle w:val="TableParagraph"/>
              <w:ind w:left="5"/>
              <w:jc w:val="center"/>
              <w:rPr>
                <w:sz w:val="14"/>
              </w:rPr>
            </w:pPr>
            <w:r>
              <w:rPr>
                <w:color w:val="4D4D4F"/>
                <w:w w:val="96"/>
                <w:sz w:val="14"/>
              </w:rPr>
              <w:t>1</w:t>
            </w:r>
          </w:p>
        </w:tc>
        <w:tc>
          <w:tcPr>
            <w:tcW w:w="1361" w:type="dxa"/>
          </w:tcPr>
          <w:p w14:paraId="740245DB" w14:textId="77777777" w:rsidR="00EF5B27" w:rsidRDefault="00EF5B27">
            <w:pPr>
              <w:pStyle w:val="TableParagraph"/>
              <w:spacing w:before="9"/>
              <w:rPr>
                <w:sz w:val="20"/>
              </w:rPr>
            </w:pPr>
          </w:p>
          <w:p w14:paraId="163EC8FD" w14:textId="77777777" w:rsidR="00EF5B27" w:rsidRDefault="00000000">
            <w:pPr>
              <w:pStyle w:val="TableParagraph"/>
              <w:spacing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01B15114" w14:textId="77777777" w:rsidR="00EF5B27" w:rsidRDefault="00EF5B27">
            <w:pPr>
              <w:pStyle w:val="TableParagraph"/>
              <w:rPr>
                <w:sz w:val="16"/>
              </w:rPr>
            </w:pPr>
          </w:p>
          <w:p w14:paraId="0A802477" w14:textId="77777777" w:rsidR="00EF5B27" w:rsidRDefault="00EF5B27">
            <w:pPr>
              <w:pStyle w:val="TableParagraph"/>
              <w:spacing w:before="2"/>
              <w:rPr>
                <w:sz w:val="12"/>
              </w:rPr>
            </w:pPr>
          </w:p>
          <w:p w14:paraId="7103A58C" w14:textId="77777777" w:rsidR="00EF5B27" w:rsidRDefault="00000000">
            <w:pPr>
              <w:pStyle w:val="TableParagraph"/>
              <w:ind w:left="4"/>
              <w:jc w:val="center"/>
              <w:rPr>
                <w:sz w:val="14"/>
              </w:rPr>
            </w:pPr>
            <w:r>
              <w:rPr>
                <w:color w:val="4D4D4F"/>
                <w:w w:val="96"/>
                <w:sz w:val="14"/>
              </w:rPr>
              <w:t>3</w:t>
            </w:r>
          </w:p>
        </w:tc>
        <w:tc>
          <w:tcPr>
            <w:tcW w:w="1474" w:type="dxa"/>
          </w:tcPr>
          <w:p w14:paraId="33F2E529" w14:textId="77777777" w:rsidR="00EF5B27" w:rsidRDefault="00EF5B27">
            <w:pPr>
              <w:pStyle w:val="TableParagraph"/>
              <w:rPr>
                <w:sz w:val="16"/>
              </w:rPr>
            </w:pPr>
          </w:p>
          <w:p w14:paraId="084E2373" w14:textId="77777777" w:rsidR="00EF5B27" w:rsidRDefault="00EF5B27">
            <w:pPr>
              <w:pStyle w:val="TableParagraph"/>
              <w:spacing w:before="2"/>
              <w:rPr>
                <w:sz w:val="12"/>
              </w:rPr>
            </w:pPr>
          </w:p>
          <w:p w14:paraId="38B2A62E" w14:textId="77777777" w:rsidR="00EF5B27" w:rsidRDefault="00000000">
            <w:pPr>
              <w:pStyle w:val="TableParagraph"/>
              <w:ind w:left="124" w:right="120"/>
              <w:jc w:val="center"/>
              <w:rPr>
                <w:sz w:val="14"/>
              </w:rPr>
            </w:pPr>
            <w:r>
              <w:rPr>
                <w:color w:val="4D4D4F"/>
                <w:w w:val="105"/>
                <w:sz w:val="14"/>
              </w:rPr>
              <w:t>Forb richness</w:t>
            </w:r>
          </w:p>
        </w:tc>
        <w:tc>
          <w:tcPr>
            <w:tcW w:w="2041" w:type="dxa"/>
          </w:tcPr>
          <w:p w14:paraId="389DFD6A" w14:textId="77777777" w:rsidR="00EF5B27" w:rsidRDefault="00EF5B27">
            <w:pPr>
              <w:pStyle w:val="TableParagraph"/>
              <w:rPr>
                <w:sz w:val="16"/>
              </w:rPr>
            </w:pPr>
          </w:p>
          <w:p w14:paraId="200FA905" w14:textId="77777777" w:rsidR="00EF5B27" w:rsidRDefault="00EF5B27">
            <w:pPr>
              <w:pStyle w:val="TableParagraph"/>
              <w:spacing w:before="2"/>
              <w:rPr>
                <w:sz w:val="12"/>
              </w:rPr>
            </w:pPr>
          </w:p>
          <w:p w14:paraId="13D3F2AC" w14:textId="77777777" w:rsidR="00EF5B27" w:rsidRDefault="00000000">
            <w:pPr>
              <w:pStyle w:val="TableParagraph"/>
              <w:ind w:left="154" w:right="150"/>
              <w:jc w:val="center"/>
              <w:rPr>
                <w:sz w:val="14"/>
              </w:rPr>
            </w:pPr>
            <w:r>
              <w:rPr>
                <w:color w:val="4D4D4F"/>
                <w:w w:val="105"/>
                <w:sz w:val="14"/>
              </w:rPr>
              <w:t>Nutrient-enriched grassland</w:t>
            </w:r>
          </w:p>
        </w:tc>
        <w:tc>
          <w:tcPr>
            <w:tcW w:w="2154" w:type="dxa"/>
          </w:tcPr>
          <w:p w14:paraId="45115965" w14:textId="77777777" w:rsidR="00EF5B27" w:rsidRDefault="00000000">
            <w:pPr>
              <w:pStyle w:val="TableParagraph"/>
              <w:spacing w:before="73" w:line="252" w:lineRule="auto"/>
              <w:ind w:left="128" w:right="122"/>
              <w:jc w:val="center"/>
              <w:rPr>
                <w:sz w:val="14"/>
              </w:rPr>
            </w:pPr>
            <w:r>
              <w:rPr>
                <w:color w:val="4D4D4F"/>
                <w:sz w:val="14"/>
              </w:rPr>
              <w:t>KPI measure 95% confidence interval falls below the baseline (this is assumed, although hasn't been explicitly stated)</w:t>
            </w:r>
          </w:p>
        </w:tc>
        <w:tc>
          <w:tcPr>
            <w:tcW w:w="1134" w:type="dxa"/>
          </w:tcPr>
          <w:p w14:paraId="459F5846" w14:textId="77777777" w:rsidR="00EF5B27" w:rsidRDefault="00EF5B27">
            <w:pPr>
              <w:pStyle w:val="TableParagraph"/>
              <w:rPr>
                <w:sz w:val="16"/>
              </w:rPr>
            </w:pPr>
          </w:p>
          <w:p w14:paraId="0D0A5471" w14:textId="77777777" w:rsidR="00EF5B27" w:rsidRDefault="00EF5B27">
            <w:pPr>
              <w:pStyle w:val="TableParagraph"/>
              <w:spacing w:before="2"/>
              <w:rPr>
                <w:sz w:val="12"/>
              </w:rPr>
            </w:pPr>
          </w:p>
          <w:p w14:paraId="605632D0" w14:textId="77777777" w:rsidR="00EF5B27" w:rsidRDefault="00000000">
            <w:pPr>
              <w:pStyle w:val="TableParagraph"/>
              <w:ind w:left="457"/>
              <w:rPr>
                <w:sz w:val="14"/>
              </w:rPr>
            </w:pPr>
            <w:r>
              <w:rPr>
                <w:color w:val="4D4D4F"/>
                <w:sz w:val="14"/>
              </w:rPr>
              <w:t>Met</w:t>
            </w:r>
          </w:p>
        </w:tc>
      </w:tr>
      <w:tr w:rsidR="00EF5B27" w14:paraId="6060C9C6" w14:textId="77777777">
        <w:trPr>
          <w:trHeight w:val="845"/>
        </w:trPr>
        <w:tc>
          <w:tcPr>
            <w:tcW w:w="737" w:type="dxa"/>
          </w:tcPr>
          <w:p w14:paraId="1ABF4DF1" w14:textId="77777777" w:rsidR="00EF5B27" w:rsidRDefault="00EF5B27">
            <w:pPr>
              <w:pStyle w:val="TableParagraph"/>
              <w:rPr>
                <w:sz w:val="16"/>
              </w:rPr>
            </w:pPr>
          </w:p>
          <w:p w14:paraId="381DD57E" w14:textId="77777777" w:rsidR="00EF5B27" w:rsidRDefault="00EF5B27">
            <w:pPr>
              <w:pStyle w:val="TableParagraph"/>
              <w:spacing w:before="1"/>
              <w:rPr>
                <w:sz w:val="12"/>
              </w:rPr>
            </w:pPr>
          </w:p>
          <w:p w14:paraId="6B940C6D" w14:textId="77777777" w:rsidR="00EF5B27" w:rsidRDefault="00000000">
            <w:pPr>
              <w:pStyle w:val="TableParagraph"/>
              <w:spacing w:before="1"/>
              <w:ind w:left="5"/>
              <w:jc w:val="center"/>
              <w:rPr>
                <w:sz w:val="14"/>
              </w:rPr>
            </w:pPr>
            <w:r>
              <w:rPr>
                <w:color w:val="4D4D4F"/>
                <w:w w:val="96"/>
                <w:sz w:val="14"/>
              </w:rPr>
              <w:t>1</w:t>
            </w:r>
          </w:p>
        </w:tc>
        <w:tc>
          <w:tcPr>
            <w:tcW w:w="1361" w:type="dxa"/>
          </w:tcPr>
          <w:p w14:paraId="29ADA0A5" w14:textId="77777777" w:rsidR="00EF5B27" w:rsidRDefault="00EF5B27">
            <w:pPr>
              <w:pStyle w:val="TableParagraph"/>
              <w:spacing w:before="9"/>
              <w:rPr>
                <w:sz w:val="20"/>
              </w:rPr>
            </w:pPr>
          </w:p>
          <w:p w14:paraId="04F894EA" w14:textId="77777777" w:rsidR="00EF5B27" w:rsidRDefault="00000000">
            <w:pPr>
              <w:pStyle w:val="TableParagraph"/>
              <w:spacing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4F75869C" w14:textId="77777777" w:rsidR="00EF5B27" w:rsidRDefault="00EF5B27">
            <w:pPr>
              <w:pStyle w:val="TableParagraph"/>
              <w:rPr>
                <w:sz w:val="16"/>
              </w:rPr>
            </w:pPr>
          </w:p>
          <w:p w14:paraId="6AB9F1F3" w14:textId="77777777" w:rsidR="00EF5B27" w:rsidRDefault="00EF5B27">
            <w:pPr>
              <w:pStyle w:val="TableParagraph"/>
              <w:spacing w:before="1"/>
              <w:rPr>
                <w:sz w:val="12"/>
              </w:rPr>
            </w:pPr>
          </w:p>
          <w:p w14:paraId="7A83EAF7" w14:textId="77777777" w:rsidR="00EF5B27" w:rsidRDefault="00000000">
            <w:pPr>
              <w:pStyle w:val="TableParagraph"/>
              <w:spacing w:before="1"/>
              <w:ind w:left="4"/>
              <w:jc w:val="center"/>
              <w:rPr>
                <w:sz w:val="14"/>
              </w:rPr>
            </w:pPr>
            <w:r>
              <w:rPr>
                <w:color w:val="4D4D4F"/>
                <w:w w:val="96"/>
                <w:sz w:val="14"/>
              </w:rPr>
              <w:t>4</w:t>
            </w:r>
          </w:p>
        </w:tc>
        <w:tc>
          <w:tcPr>
            <w:tcW w:w="1474" w:type="dxa"/>
          </w:tcPr>
          <w:p w14:paraId="31D9F0F4" w14:textId="77777777" w:rsidR="00EF5B27" w:rsidRDefault="00EF5B27">
            <w:pPr>
              <w:pStyle w:val="TableParagraph"/>
              <w:rPr>
                <w:sz w:val="16"/>
              </w:rPr>
            </w:pPr>
          </w:p>
          <w:p w14:paraId="10FD97C9" w14:textId="77777777" w:rsidR="00EF5B27" w:rsidRDefault="00EF5B27">
            <w:pPr>
              <w:pStyle w:val="TableParagraph"/>
              <w:spacing w:before="4"/>
              <w:rPr>
                <w:sz w:val="12"/>
              </w:rPr>
            </w:pPr>
          </w:p>
          <w:p w14:paraId="6BB4B702" w14:textId="77777777" w:rsidR="00EF5B27" w:rsidRDefault="00000000">
            <w:pPr>
              <w:pStyle w:val="TableParagraph"/>
              <w:ind w:left="124" w:right="120"/>
              <w:jc w:val="center"/>
              <w:rPr>
                <w:rFonts w:ascii="Arial Narrow"/>
                <w:i/>
                <w:sz w:val="14"/>
              </w:rPr>
            </w:pPr>
            <w:r>
              <w:rPr>
                <w:rFonts w:ascii="Arial Narrow"/>
                <w:i/>
                <w:color w:val="4D4D4F"/>
                <w:w w:val="110"/>
                <w:sz w:val="14"/>
              </w:rPr>
              <w:t>Themeda</w:t>
            </w:r>
          </w:p>
        </w:tc>
        <w:tc>
          <w:tcPr>
            <w:tcW w:w="2041" w:type="dxa"/>
          </w:tcPr>
          <w:p w14:paraId="0EDDC263" w14:textId="77777777" w:rsidR="00EF5B27" w:rsidRDefault="00EF5B27">
            <w:pPr>
              <w:pStyle w:val="TableParagraph"/>
              <w:rPr>
                <w:sz w:val="16"/>
              </w:rPr>
            </w:pPr>
          </w:p>
          <w:p w14:paraId="6C7710C7" w14:textId="77777777" w:rsidR="00EF5B27" w:rsidRDefault="00EF5B27">
            <w:pPr>
              <w:pStyle w:val="TableParagraph"/>
              <w:spacing w:before="1"/>
              <w:rPr>
                <w:sz w:val="12"/>
              </w:rPr>
            </w:pPr>
          </w:p>
          <w:p w14:paraId="2ECB80B4" w14:textId="77777777" w:rsidR="00EF5B27" w:rsidRDefault="00000000">
            <w:pPr>
              <w:pStyle w:val="TableParagraph"/>
              <w:spacing w:before="1"/>
              <w:ind w:left="154" w:right="150"/>
              <w:jc w:val="center"/>
              <w:rPr>
                <w:sz w:val="14"/>
              </w:rPr>
            </w:pPr>
            <w:r>
              <w:rPr>
                <w:color w:val="4D4D4F"/>
                <w:w w:val="105"/>
                <w:sz w:val="14"/>
              </w:rPr>
              <w:t>Herb-rich grassland</w:t>
            </w:r>
          </w:p>
        </w:tc>
        <w:tc>
          <w:tcPr>
            <w:tcW w:w="2154" w:type="dxa"/>
          </w:tcPr>
          <w:p w14:paraId="50154E22" w14:textId="77777777" w:rsidR="00EF5B27" w:rsidRDefault="00000000">
            <w:pPr>
              <w:pStyle w:val="TableParagraph"/>
              <w:spacing w:before="73" w:line="252" w:lineRule="auto"/>
              <w:ind w:left="128" w:right="122"/>
              <w:jc w:val="center"/>
              <w:rPr>
                <w:sz w:val="14"/>
              </w:rPr>
            </w:pPr>
            <w:r>
              <w:rPr>
                <w:color w:val="4D4D4F"/>
                <w:sz w:val="14"/>
              </w:rPr>
              <w:t>KPI measure 95% confidence interval falls below the baseline (this is assumed, although hasn't been explicitly stated)</w:t>
            </w:r>
          </w:p>
        </w:tc>
        <w:tc>
          <w:tcPr>
            <w:tcW w:w="1134" w:type="dxa"/>
          </w:tcPr>
          <w:p w14:paraId="5C6358E6" w14:textId="77777777" w:rsidR="00EF5B27" w:rsidRDefault="00EF5B27">
            <w:pPr>
              <w:pStyle w:val="TableParagraph"/>
              <w:rPr>
                <w:sz w:val="16"/>
              </w:rPr>
            </w:pPr>
          </w:p>
          <w:p w14:paraId="6A5654A1" w14:textId="77777777" w:rsidR="00EF5B27" w:rsidRDefault="00EF5B27">
            <w:pPr>
              <w:pStyle w:val="TableParagraph"/>
              <w:spacing w:before="1"/>
              <w:rPr>
                <w:sz w:val="12"/>
              </w:rPr>
            </w:pPr>
          </w:p>
          <w:p w14:paraId="0CF9A5F8" w14:textId="77777777" w:rsidR="00EF5B27" w:rsidRDefault="00000000">
            <w:pPr>
              <w:pStyle w:val="TableParagraph"/>
              <w:spacing w:before="1"/>
              <w:ind w:left="457"/>
              <w:rPr>
                <w:sz w:val="14"/>
              </w:rPr>
            </w:pPr>
            <w:r>
              <w:rPr>
                <w:color w:val="4D4D4F"/>
                <w:sz w:val="14"/>
              </w:rPr>
              <w:t>Met</w:t>
            </w:r>
          </w:p>
        </w:tc>
      </w:tr>
      <w:tr w:rsidR="00EF5B27" w14:paraId="5D19CD40" w14:textId="77777777">
        <w:trPr>
          <w:trHeight w:val="845"/>
        </w:trPr>
        <w:tc>
          <w:tcPr>
            <w:tcW w:w="737" w:type="dxa"/>
          </w:tcPr>
          <w:p w14:paraId="7C2990FC" w14:textId="77777777" w:rsidR="00EF5B27" w:rsidRDefault="00EF5B27">
            <w:pPr>
              <w:pStyle w:val="TableParagraph"/>
              <w:rPr>
                <w:sz w:val="16"/>
              </w:rPr>
            </w:pPr>
          </w:p>
          <w:p w14:paraId="61AC0E81" w14:textId="77777777" w:rsidR="00EF5B27" w:rsidRDefault="00EF5B27">
            <w:pPr>
              <w:pStyle w:val="TableParagraph"/>
              <w:spacing w:before="1"/>
              <w:rPr>
                <w:sz w:val="12"/>
              </w:rPr>
            </w:pPr>
          </w:p>
          <w:p w14:paraId="20B5478D" w14:textId="77777777" w:rsidR="00EF5B27" w:rsidRDefault="00000000">
            <w:pPr>
              <w:pStyle w:val="TableParagraph"/>
              <w:spacing w:before="1"/>
              <w:ind w:left="5"/>
              <w:jc w:val="center"/>
              <w:rPr>
                <w:sz w:val="14"/>
              </w:rPr>
            </w:pPr>
            <w:r>
              <w:rPr>
                <w:color w:val="4D4D4F"/>
                <w:w w:val="96"/>
                <w:sz w:val="14"/>
              </w:rPr>
              <w:t>1</w:t>
            </w:r>
          </w:p>
        </w:tc>
        <w:tc>
          <w:tcPr>
            <w:tcW w:w="1361" w:type="dxa"/>
          </w:tcPr>
          <w:p w14:paraId="6586BA25" w14:textId="77777777" w:rsidR="00EF5B27" w:rsidRDefault="00EF5B27">
            <w:pPr>
              <w:pStyle w:val="TableParagraph"/>
              <w:spacing w:before="9"/>
              <w:rPr>
                <w:sz w:val="20"/>
              </w:rPr>
            </w:pPr>
          </w:p>
          <w:p w14:paraId="7CA01A0B" w14:textId="77777777" w:rsidR="00EF5B27" w:rsidRDefault="00000000">
            <w:pPr>
              <w:pStyle w:val="TableParagraph"/>
              <w:spacing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25141AD3" w14:textId="77777777" w:rsidR="00EF5B27" w:rsidRDefault="00EF5B27">
            <w:pPr>
              <w:pStyle w:val="TableParagraph"/>
              <w:rPr>
                <w:sz w:val="16"/>
              </w:rPr>
            </w:pPr>
          </w:p>
          <w:p w14:paraId="0F55C9D3" w14:textId="77777777" w:rsidR="00EF5B27" w:rsidRDefault="00EF5B27">
            <w:pPr>
              <w:pStyle w:val="TableParagraph"/>
              <w:spacing w:before="1"/>
              <w:rPr>
                <w:sz w:val="12"/>
              </w:rPr>
            </w:pPr>
          </w:p>
          <w:p w14:paraId="692C6DD4" w14:textId="77777777" w:rsidR="00EF5B27" w:rsidRDefault="00000000">
            <w:pPr>
              <w:pStyle w:val="TableParagraph"/>
              <w:spacing w:before="1"/>
              <w:ind w:left="4"/>
              <w:jc w:val="center"/>
              <w:rPr>
                <w:sz w:val="14"/>
              </w:rPr>
            </w:pPr>
            <w:r>
              <w:rPr>
                <w:color w:val="4D4D4F"/>
                <w:w w:val="96"/>
                <w:sz w:val="14"/>
              </w:rPr>
              <w:t>4</w:t>
            </w:r>
          </w:p>
        </w:tc>
        <w:tc>
          <w:tcPr>
            <w:tcW w:w="1474" w:type="dxa"/>
          </w:tcPr>
          <w:p w14:paraId="687E5779" w14:textId="77777777" w:rsidR="00EF5B27" w:rsidRDefault="00EF5B27">
            <w:pPr>
              <w:pStyle w:val="TableParagraph"/>
              <w:rPr>
                <w:sz w:val="16"/>
              </w:rPr>
            </w:pPr>
          </w:p>
          <w:p w14:paraId="51EEA7A7" w14:textId="77777777" w:rsidR="00EF5B27" w:rsidRDefault="00EF5B27">
            <w:pPr>
              <w:pStyle w:val="TableParagraph"/>
              <w:spacing w:before="4"/>
              <w:rPr>
                <w:sz w:val="12"/>
              </w:rPr>
            </w:pPr>
          </w:p>
          <w:p w14:paraId="4BA2A4AF" w14:textId="77777777" w:rsidR="00EF5B27" w:rsidRDefault="00000000">
            <w:pPr>
              <w:pStyle w:val="TableParagraph"/>
              <w:ind w:left="124" w:right="120"/>
              <w:jc w:val="center"/>
              <w:rPr>
                <w:rFonts w:ascii="Arial Narrow"/>
                <w:i/>
                <w:sz w:val="14"/>
              </w:rPr>
            </w:pPr>
            <w:r>
              <w:rPr>
                <w:rFonts w:ascii="Arial Narrow"/>
                <w:i/>
                <w:color w:val="4D4D4F"/>
                <w:w w:val="110"/>
                <w:sz w:val="14"/>
              </w:rPr>
              <w:t>Themeda</w:t>
            </w:r>
          </w:p>
        </w:tc>
        <w:tc>
          <w:tcPr>
            <w:tcW w:w="2041" w:type="dxa"/>
          </w:tcPr>
          <w:p w14:paraId="3994A072" w14:textId="77777777" w:rsidR="00EF5B27" w:rsidRDefault="00EF5B27">
            <w:pPr>
              <w:pStyle w:val="TableParagraph"/>
              <w:rPr>
                <w:sz w:val="16"/>
              </w:rPr>
            </w:pPr>
          </w:p>
          <w:p w14:paraId="15DC0B36" w14:textId="77777777" w:rsidR="00EF5B27" w:rsidRDefault="00EF5B27">
            <w:pPr>
              <w:pStyle w:val="TableParagraph"/>
              <w:spacing w:before="1"/>
              <w:rPr>
                <w:sz w:val="12"/>
              </w:rPr>
            </w:pPr>
          </w:p>
          <w:p w14:paraId="35A6C945" w14:textId="77777777" w:rsidR="00EF5B27" w:rsidRDefault="00000000">
            <w:pPr>
              <w:pStyle w:val="TableParagraph"/>
              <w:spacing w:before="1"/>
              <w:ind w:left="153" w:right="15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5A842DD0" w14:textId="77777777" w:rsidR="00EF5B27" w:rsidRDefault="00000000">
            <w:pPr>
              <w:pStyle w:val="TableParagraph"/>
              <w:spacing w:before="73" w:line="252" w:lineRule="auto"/>
              <w:ind w:left="128" w:right="122"/>
              <w:jc w:val="center"/>
              <w:rPr>
                <w:sz w:val="14"/>
              </w:rPr>
            </w:pPr>
            <w:r>
              <w:rPr>
                <w:color w:val="4D4D4F"/>
                <w:sz w:val="14"/>
              </w:rPr>
              <w:t>KPI measure 95% confidence interval falls below the baseline (this is assumed, although hasn't been explicitly stated)</w:t>
            </w:r>
          </w:p>
        </w:tc>
        <w:tc>
          <w:tcPr>
            <w:tcW w:w="1134" w:type="dxa"/>
          </w:tcPr>
          <w:p w14:paraId="1BDE64EC" w14:textId="77777777" w:rsidR="00EF5B27" w:rsidRDefault="00EF5B27">
            <w:pPr>
              <w:pStyle w:val="TableParagraph"/>
              <w:rPr>
                <w:sz w:val="16"/>
              </w:rPr>
            </w:pPr>
          </w:p>
          <w:p w14:paraId="3DD27BD7" w14:textId="77777777" w:rsidR="00EF5B27" w:rsidRDefault="00EF5B27">
            <w:pPr>
              <w:pStyle w:val="TableParagraph"/>
              <w:spacing w:before="1"/>
              <w:rPr>
                <w:sz w:val="12"/>
              </w:rPr>
            </w:pPr>
          </w:p>
          <w:p w14:paraId="4EE5B33B" w14:textId="77777777" w:rsidR="00EF5B27" w:rsidRDefault="00000000">
            <w:pPr>
              <w:pStyle w:val="TableParagraph"/>
              <w:spacing w:before="1"/>
              <w:ind w:left="456"/>
              <w:rPr>
                <w:sz w:val="14"/>
              </w:rPr>
            </w:pPr>
            <w:r>
              <w:rPr>
                <w:color w:val="4D4D4F"/>
                <w:sz w:val="14"/>
              </w:rPr>
              <w:t>Met</w:t>
            </w:r>
          </w:p>
        </w:tc>
      </w:tr>
      <w:tr w:rsidR="00EF5B27" w14:paraId="7A0770FB" w14:textId="77777777">
        <w:trPr>
          <w:trHeight w:val="845"/>
        </w:trPr>
        <w:tc>
          <w:tcPr>
            <w:tcW w:w="737" w:type="dxa"/>
          </w:tcPr>
          <w:p w14:paraId="41E402E4" w14:textId="77777777" w:rsidR="00EF5B27" w:rsidRDefault="00EF5B27">
            <w:pPr>
              <w:pStyle w:val="TableParagraph"/>
              <w:rPr>
                <w:sz w:val="16"/>
              </w:rPr>
            </w:pPr>
          </w:p>
          <w:p w14:paraId="634FBB38" w14:textId="77777777" w:rsidR="00EF5B27" w:rsidRDefault="00EF5B27">
            <w:pPr>
              <w:pStyle w:val="TableParagraph"/>
              <w:spacing w:before="1"/>
              <w:rPr>
                <w:sz w:val="12"/>
              </w:rPr>
            </w:pPr>
          </w:p>
          <w:p w14:paraId="04CE3DBF" w14:textId="77777777" w:rsidR="00EF5B27" w:rsidRDefault="00000000">
            <w:pPr>
              <w:pStyle w:val="TableParagraph"/>
              <w:spacing w:before="1"/>
              <w:ind w:left="4"/>
              <w:jc w:val="center"/>
              <w:rPr>
                <w:sz w:val="14"/>
              </w:rPr>
            </w:pPr>
            <w:r>
              <w:rPr>
                <w:color w:val="4D4D4F"/>
                <w:w w:val="96"/>
                <w:sz w:val="14"/>
              </w:rPr>
              <w:t>1</w:t>
            </w:r>
          </w:p>
        </w:tc>
        <w:tc>
          <w:tcPr>
            <w:tcW w:w="1361" w:type="dxa"/>
          </w:tcPr>
          <w:p w14:paraId="77237929" w14:textId="77777777" w:rsidR="00EF5B27" w:rsidRDefault="00EF5B27">
            <w:pPr>
              <w:pStyle w:val="TableParagraph"/>
              <w:spacing w:before="9"/>
              <w:rPr>
                <w:sz w:val="20"/>
              </w:rPr>
            </w:pPr>
          </w:p>
          <w:p w14:paraId="26EC239D" w14:textId="77777777" w:rsidR="00EF5B27" w:rsidRDefault="00000000">
            <w:pPr>
              <w:pStyle w:val="TableParagraph"/>
              <w:spacing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4C1F127B" w14:textId="77777777" w:rsidR="00EF5B27" w:rsidRDefault="00EF5B27">
            <w:pPr>
              <w:pStyle w:val="TableParagraph"/>
              <w:rPr>
                <w:sz w:val="16"/>
              </w:rPr>
            </w:pPr>
          </w:p>
          <w:p w14:paraId="5F14C75B" w14:textId="77777777" w:rsidR="00EF5B27" w:rsidRDefault="00EF5B27">
            <w:pPr>
              <w:pStyle w:val="TableParagraph"/>
              <w:spacing w:before="1"/>
              <w:rPr>
                <w:sz w:val="12"/>
              </w:rPr>
            </w:pPr>
          </w:p>
          <w:p w14:paraId="3B30E39F" w14:textId="77777777" w:rsidR="00EF5B27" w:rsidRDefault="00000000">
            <w:pPr>
              <w:pStyle w:val="TableParagraph"/>
              <w:spacing w:before="1"/>
              <w:ind w:left="3"/>
              <w:jc w:val="center"/>
              <w:rPr>
                <w:sz w:val="14"/>
              </w:rPr>
            </w:pPr>
            <w:r>
              <w:rPr>
                <w:color w:val="4D4D4F"/>
                <w:w w:val="96"/>
                <w:sz w:val="14"/>
              </w:rPr>
              <w:t>4</w:t>
            </w:r>
          </w:p>
        </w:tc>
        <w:tc>
          <w:tcPr>
            <w:tcW w:w="1474" w:type="dxa"/>
          </w:tcPr>
          <w:p w14:paraId="5D992460" w14:textId="77777777" w:rsidR="00EF5B27" w:rsidRDefault="00EF5B27">
            <w:pPr>
              <w:pStyle w:val="TableParagraph"/>
              <w:rPr>
                <w:sz w:val="16"/>
              </w:rPr>
            </w:pPr>
          </w:p>
          <w:p w14:paraId="57155A01" w14:textId="77777777" w:rsidR="00EF5B27" w:rsidRDefault="00EF5B27">
            <w:pPr>
              <w:pStyle w:val="TableParagraph"/>
              <w:spacing w:before="4"/>
              <w:rPr>
                <w:sz w:val="12"/>
              </w:rPr>
            </w:pPr>
          </w:p>
          <w:p w14:paraId="692ABE1D" w14:textId="77777777" w:rsidR="00EF5B27" w:rsidRDefault="00000000">
            <w:pPr>
              <w:pStyle w:val="TableParagraph"/>
              <w:ind w:left="123" w:right="120"/>
              <w:jc w:val="center"/>
              <w:rPr>
                <w:rFonts w:ascii="Arial Narrow"/>
                <w:i/>
                <w:sz w:val="14"/>
              </w:rPr>
            </w:pPr>
            <w:r>
              <w:rPr>
                <w:rFonts w:ascii="Arial Narrow"/>
                <w:i/>
                <w:color w:val="4D4D4F"/>
                <w:w w:val="110"/>
                <w:sz w:val="14"/>
              </w:rPr>
              <w:t>Themeda</w:t>
            </w:r>
          </w:p>
        </w:tc>
        <w:tc>
          <w:tcPr>
            <w:tcW w:w="2041" w:type="dxa"/>
          </w:tcPr>
          <w:p w14:paraId="27CC5200" w14:textId="77777777" w:rsidR="00EF5B27" w:rsidRDefault="00EF5B27">
            <w:pPr>
              <w:pStyle w:val="TableParagraph"/>
              <w:rPr>
                <w:sz w:val="16"/>
              </w:rPr>
            </w:pPr>
          </w:p>
          <w:p w14:paraId="6472A051" w14:textId="77777777" w:rsidR="00EF5B27" w:rsidRDefault="00EF5B27">
            <w:pPr>
              <w:pStyle w:val="TableParagraph"/>
              <w:spacing w:before="1"/>
              <w:rPr>
                <w:sz w:val="12"/>
              </w:rPr>
            </w:pPr>
          </w:p>
          <w:p w14:paraId="1C7D26DC" w14:textId="77777777" w:rsidR="00EF5B27" w:rsidRDefault="00000000">
            <w:pPr>
              <w:pStyle w:val="TableParagraph"/>
              <w:spacing w:before="1"/>
              <w:ind w:left="153" w:right="150"/>
              <w:jc w:val="center"/>
              <w:rPr>
                <w:sz w:val="14"/>
              </w:rPr>
            </w:pPr>
            <w:r>
              <w:rPr>
                <w:color w:val="4D4D4F"/>
                <w:w w:val="105"/>
                <w:sz w:val="14"/>
              </w:rPr>
              <w:t>Nutrient-enriched grassland</w:t>
            </w:r>
          </w:p>
        </w:tc>
        <w:tc>
          <w:tcPr>
            <w:tcW w:w="2154" w:type="dxa"/>
          </w:tcPr>
          <w:p w14:paraId="08487AD3" w14:textId="77777777" w:rsidR="00EF5B27" w:rsidRDefault="00000000">
            <w:pPr>
              <w:pStyle w:val="TableParagraph"/>
              <w:spacing w:before="73" w:line="252" w:lineRule="auto"/>
              <w:ind w:left="128" w:right="122"/>
              <w:jc w:val="center"/>
              <w:rPr>
                <w:sz w:val="14"/>
              </w:rPr>
            </w:pPr>
            <w:r>
              <w:rPr>
                <w:color w:val="4D4D4F"/>
                <w:sz w:val="14"/>
              </w:rPr>
              <w:t>KPI measure 95% confidence interval falls below the baseline (this is assumed, although hasn't been explicitly stated)</w:t>
            </w:r>
          </w:p>
        </w:tc>
        <w:tc>
          <w:tcPr>
            <w:tcW w:w="1134" w:type="dxa"/>
          </w:tcPr>
          <w:p w14:paraId="5F9CAD45" w14:textId="77777777" w:rsidR="00EF5B27" w:rsidRDefault="00EF5B27">
            <w:pPr>
              <w:pStyle w:val="TableParagraph"/>
              <w:rPr>
                <w:sz w:val="16"/>
              </w:rPr>
            </w:pPr>
          </w:p>
          <w:p w14:paraId="18B007E3" w14:textId="77777777" w:rsidR="00EF5B27" w:rsidRDefault="00EF5B27">
            <w:pPr>
              <w:pStyle w:val="TableParagraph"/>
              <w:spacing w:before="1"/>
              <w:rPr>
                <w:sz w:val="12"/>
              </w:rPr>
            </w:pPr>
          </w:p>
          <w:p w14:paraId="342B3E72" w14:textId="77777777" w:rsidR="00EF5B27" w:rsidRDefault="00000000">
            <w:pPr>
              <w:pStyle w:val="TableParagraph"/>
              <w:spacing w:before="1"/>
              <w:ind w:left="456"/>
              <w:rPr>
                <w:sz w:val="14"/>
              </w:rPr>
            </w:pPr>
            <w:r>
              <w:rPr>
                <w:color w:val="4D4D4F"/>
                <w:sz w:val="14"/>
              </w:rPr>
              <w:t>Met</w:t>
            </w:r>
          </w:p>
        </w:tc>
      </w:tr>
      <w:tr w:rsidR="00EF5B27" w14:paraId="7A2DEDF7" w14:textId="77777777">
        <w:trPr>
          <w:trHeight w:val="845"/>
        </w:trPr>
        <w:tc>
          <w:tcPr>
            <w:tcW w:w="737" w:type="dxa"/>
          </w:tcPr>
          <w:p w14:paraId="0A8637A9" w14:textId="77777777" w:rsidR="00EF5B27" w:rsidRDefault="00EF5B27">
            <w:pPr>
              <w:pStyle w:val="TableParagraph"/>
              <w:rPr>
                <w:sz w:val="16"/>
              </w:rPr>
            </w:pPr>
          </w:p>
          <w:p w14:paraId="5A120637" w14:textId="77777777" w:rsidR="00EF5B27" w:rsidRDefault="00EF5B27">
            <w:pPr>
              <w:pStyle w:val="TableParagraph"/>
              <w:spacing w:before="1"/>
              <w:rPr>
                <w:sz w:val="12"/>
              </w:rPr>
            </w:pPr>
          </w:p>
          <w:p w14:paraId="00855230" w14:textId="77777777" w:rsidR="00EF5B27" w:rsidRDefault="00000000">
            <w:pPr>
              <w:pStyle w:val="TableParagraph"/>
              <w:spacing w:before="1"/>
              <w:ind w:left="4"/>
              <w:jc w:val="center"/>
              <w:rPr>
                <w:sz w:val="14"/>
              </w:rPr>
            </w:pPr>
            <w:r>
              <w:rPr>
                <w:color w:val="4D4D4F"/>
                <w:w w:val="96"/>
                <w:sz w:val="14"/>
              </w:rPr>
              <w:t>1</w:t>
            </w:r>
          </w:p>
        </w:tc>
        <w:tc>
          <w:tcPr>
            <w:tcW w:w="1361" w:type="dxa"/>
          </w:tcPr>
          <w:p w14:paraId="15AEA5A0" w14:textId="77777777" w:rsidR="00EF5B27" w:rsidRDefault="00EF5B27">
            <w:pPr>
              <w:pStyle w:val="TableParagraph"/>
              <w:spacing w:before="9"/>
              <w:rPr>
                <w:sz w:val="20"/>
              </w:rPr>
            </w:pPr>
          </w:p>
          <w:p w14:paraId="6814A8B7" w14:textId="77777777" w:rsidR="00EF5B27" w:rsidRDefault="00000000">
            <w:pPr>
              <w:pStyle w:val="TableParagraph"/>
              <w:spacing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7B9965A8" w14:textId="77777777" w:rsidR="00EF5B27" w:rsidRDefault="00EF5B27">
            <w:pPr>
              <w:pStyle w:val="TableParagraph"/>
              <w:rPr>
                <w:sz w:val="16"/>
              </w:rPr>
            </w:pPr>
          </w:p>
          <w:p w14:paraId="46DDD937" w14:textId="77777777" w:rsidR="00EF5B27" w:rsidRDefault="00EF5B27">
            <w:pPr>
              <w:pStyle w:val="TableParagraph"/>
              <w:spacing w:before="1"/>
              <w:rPr>
                <w:sz w:val="12"/>
              </w:rPr>
            </w:pPr>
          </w:p>
          <w:p w14:paraId="47E2DE22" w14:textId="77777777" w:rsidR="00EF5B27" w:rsidRDefault="00000000">
            <w:pPr>
              <w:pStyle w:val="TableParagraph"/>
              <w:spacing w:before="1"/>
              <w:ind w:left="3"/>
              <w:jc w:val="center"/>
              <w:rPr>
                <w:sz w:val="14"/>
              </w:rPr>
            </w:pPr>
            <w:r>
              <w:rPr>
                <w:color w:val="4D4D4F"/>
                <w:w w:val="96"/>
                <w:sz w:val="14"/>
              </w:rPr>
              <w:t>5</w:t>
            </w:r>
          </w:p>
        </w:tc>
        <w:tc>
          <w:tcPr>
            <w:tcW w:w="1474" w:type="dxa"/>
          </w:tcPr>
          <w:p w14:paraId="65709F4F" w14:textId="77777777" w:rsidR="00EF5B27" w:rsidRDefault="00EF5B27">
            <w:pPr>
              <w:pStyle w:val="TableParagraph"/>
              <w:spacing w:before="4"/>
              <w:rPr>
                <w:sz w:val="13"/>
              </w:rPr>
            </w:pPr>
          </w:p>
          <w:p w14:paraId="2C9C7530" w14:textId="77777777" w:rsidR="00EF5B27" w:rsidRDefault="00000000">
            <w:pPr>
              <w:pStyle w:val="TableParagraph"/>
              <w:spacing w:before="1" w:line="252" w:lineRule="auto"/>
              <w:ind w:left="253" w:right="246" w:hanging="1"/>
              <w:jc w:val="center"/>
              <w:rPr>
                <w:sz w:val="14"/>
              </w:rPr>
            </w:pPr>
            <w:r>
              <w:rPr>
                <w:color w:val="4D4D4F"/>
                <w:w w:val="105"/>
                <w:sz w:val="14"/>
              </w:rPr>
              <w:t>Perennial grass cover</w:t>
            </w:r>
            <w:r>
              <w:rPr>
                <w:color w:val="4D4D4F"/>
                <w:spacing w:val="-21"/>
                <w:w w:val="105"/>
                <w:sz w:val="14"/>
              </w:rPr>
              <w:t xml:space="preserve"> </w:t>
            </w:r>
            <w:r>
              <w:rPr>
                <w:color w:val="4D4D4F"/>
                <w:w w:val="105"/>
                <w:sz w:val="14"/>
              </w:rPr>
              <w:t xml:space="preserve">(excluding </w:t>
            </w:r>
            <w:r>
              <w:rPr>
                <w:rFonts w:ascii="Arial Narrow"/>
                <w:i/>
                <w:color w:val="4D4D4F"/>
                <w:w w:val="105"/>
                <w:sz w:val="14"/>
              </w:rPr>
              <w:t>Themeda</w:t>
            </w:r>
            <w:r>
              <w:rPr>
                <w:color w:val="4D4D4F"/>
                <w:w w:val="105"/>
                <w:sz w:val="14"/>
              </w:rPr>
              <w:t>)</w:t>
            </w:r>
          </w:p>
        </w:tc>
        <w:tc>
          <w:tcPr>
            <w:tcW w:w="2041" w:type="dxa"/>
          </w:tcPr>
          <w:p w14:paraId="094883F7" w14:textId="77777777" w:rsidR="00EF5B27" w:rsidRDefault="00EF5B27">
            <w:pPr>
              <w:pStyle w:val="TableParagraph"/>
              <w:rPr>
                <w:sz w:val="16"/>
              </w:rPr>
            </w:pPr>
          </w:p>
          <w:p w14:paraId="3DFB3FD2" w14:textId="77777777" w:rsidR="00EF5B27" w:rsidRDefault="00EF5B27">
            <w:pPr>
              <w:pStyle w:val="TableParagraph"/>
              <w:spacing w:before="1"/>
              <w:rPr>
                <w:sz w:val="12"/>
              </w:rPr>
            </w:pPr>
          </w:p>
          <w:p w14:paraId="6ACC31C1" w14:textId="77777777" w:rsidR="00EF5B27" w:rsidRDefault="00000000">
            <w:pPr>
              <w:pStyle w:val="TableParagraph"/>
              <w:spacing w:before="1"/>
              <w:ind w:left="153" w:right="15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369DAA7B" w14:textId="77777777" w:rsidR="00EF5B27" w:rsidRDefault="00000000">
            <w:pPr>
              <w:pStyle w:val="TableParagraph"/>
              <w:spacing w:before="73" w:line="252" w:lineRule="auto"/>
              <w:ind w:left="128" w:right="122"/>
              <w:jc w:val="center"/>
              <w:rPr>
                <w:sz w:val="14"/>
              </w:rPr>
            </w:pPr>
            <w:r>
              <w:rPr>
                <w:color w:val="4D4D4F"/>
                <w:sz w:val="14"/>
              </w:rPr>
              <w:t>KPI measure 95% confidence interval falls below the baseline (this is assumed, although hasn't been explicitly stated)</w:t>
            </w:r>
          </w:p>
        </w:tc>
        <w:tc>
          <w:tcPr>
            <w:tcW w:w="1134" w:type="dxa"/>
          </w:tcPr>
          <w:p w14:paraId="59A203C7" w14:textId="77777777" w:rsidR="00EF5B27" w:rsidRDefault="00EF5B27">
            <w:pPr>
              <w:pStyle w:val="TableParagraph"/>
              <w:rPr>
                <w:sz w:val="16"/>
              </w:rPr>
            </w:pPr>
          </w:p>
          <w:p w14:paraId="3777D3FE" w14:textId="77777777" w:rsidR="00EF5B27" w:rsidRDefault="00EF5B27">
            <w:pPr>
              <w:pStyle w:val="TableParagraph"/>
              <w:spacing w:before="1"/>
              <w:rPr>
                <w:sz w:val="12"/>
              </w:rPr>
            </w:pPr>
          </w:p>
          <w:p w14:paraId="0B0C83EE" w14:textId="77777777" w:rsidR="00EF5B27" w:rsidRDefault="00000000">
            <w:pPr>
              <w:pStyle w:val="TableParagraph"/>
              <w:spacing w:before="1"/>
              <w:ind w:left="456"/>
              <w:rPr>
                <w:sz w:val="14"/>
              </w:rPr>
            </w:pPr>
            <w:r>
              <w:rPr>
                <w:color w:val="4D4D4F"/>
                <w:sz w:val="14"/>
              </w:rPr>
              <w:t>Met</w:t>
            </w:r>
          </w:p>
        </w:tc>
      </w:tr>
      <w:tr w:rsidR="00EF5B27" w14:paraId="085455C9" w14:textId="77777777">
        <w:trPr>
          <w:trHeight w:val="845"/>
        </w:trPr>
        <w:tc>
          <w:tcPr>
            <w:tcW w:w="737" w:type="dxa"/>
          </w:tcPr>
          <w:p w14:paraId="4F0F18E3" w14:textId="77777777" w:rsidR="00EF5B27" w:rsidRDefault="00EF5B27">
            <w:pPr>
              <w:pStyle w:val="TableParagraph"/>
              <w:rPr>
                <w:sz w:val="16"/>
              </w:rPr>
            </w:pPr>
          </w:p>
          <w:p w14:paraId="113A958F" w14:textId="77777777" w:rsidR="00EF5B27" w:rsidRDefault="00EF5B27">
            <w:pPr>
              <w:pStyle w:val="TableParagraph"/>
              <w:spacing w:before="1"/>
              <w:rPr>
                <w:sz w:val="12"/>
              </w:rPr>
            </w:pPr>
          </w:p>
          <w:p w14:paraId="0F88414E" w14:textId="77777777" w:rsidR="00EF5B27" w:rsidRDefault="00000000">
            <w:pPr>
              <w:pStyle w:val="TableParagraph"/>
              <w:spacing w:before="1"/>
              <w:ind w:left="4"/>
              <w:jc w:val="center"/>
              <w:rPr>
                <w:sz w:val="14"/>
              </w:rPr>
            </w:pPr>
            <w:r>
              <w:rPr>
                <w:color w:val="4D4D4F"/>
                <w:w w:val="96"/>
                <w:sz w:val="14"/>
              </w:rPr>
              <w:t>1</w:t>
            </w:r>
          </w:p>
        </w:tc>
        <w:tc>
          <w:tcPr>
            <w:tcW w:w="1361" w:type="dxa"/>
          </w:tcPr>
          <w:p w14:paraId="793E0335" w14:textId="77777777" w:rsidR="00EF5B27" w:rsidRDefault="00EF5B27">
            <w:pPr>
              <w:pStyle w:val="TableParagraph"/>
              <w:spacing w:before="9"/>
              <w:rPr>
                <w:sz w:val="20"/>
              </w:rPr>
            </w:pPr>
          </w:p>
          <w:p w14:paraId="5B0DF918" w14:textId="77777777" w:rsidR="00EF5B27" w:rsidRDefault="00000000">
            <w:pPr>
              <w:pStyle w:val="TableParagraph"/>
              <w:spacing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4219FCD6" w14:textId="77777777" w:rsidR="00EF5B27" w:rsidRDefault="00EF5B27">
            <w:pPr>
              <w:pStyle w:val="TableParagraph"/>
              <w:rPr>
                <w:sz w:val="16"/>
              </w:rPr>
            </w:pPr>
          </w:p>
          <w:p w14:paraId="7A0585E4" w14:textId="77777777" w:rsidR="00EF5B27" w:rsidRDefault="00EF5B27">
            <w:pPr>
              <w:pStyle w:val="TableParagraph"/>
              <w:spacing w:before="1"/>
              <w:rPr>
                <w:sz w:val="12"/>
              </w:rPr>
            </w:pPr>
          </w:p>
          <w:p w14:paraId="40EE681A" w14:textId="77777777" w:rsidR="00EF5B27" w:rsidRDefault="00000000">
            <w:pPr>
              <w:pStyle w:val="TableParagraph"/>
              <w:spacing w:before="1"/>
              <w:ind w:left="3"/>
              <w:jc w:val="center"/>
              <w:rPr>
                <w:sz w:val="14"/>
              </w:rPr>
            </w:pPr>
            <w:r>
              <w:rPr>
                <w:color w:val="4D4D4F"/>
                <w:w w:val="96"/>
                <w:sz w:val="14"/>
              </w:rPr>
              <w:t>5</w:t>
            </w:r>
          </w:p>
        </w:tc>
        <w:tc>
          <w:tcPr>
            <w:tcW w:w="1474" w:type="dxa"/>
          </w:tcPr>
          <w:p w14:paraId="151C730F" w14:textId="77777777" w:rsidR="00EF5B27" w:rsidRDefault="00EF5B27">
            <w:pPr>
              <w:pStyle w:val="TableParagraph"/>
              <w:spacing w:before="4"/>
              <w:rPr>
                <w:sz w:val="13"/>
              </w:rPr>
            </w:pPr>
          </w:p>
          <w:p w14:paraId="7F76B01B" w14:textId="77777777" w:rsidR="00EF5B27" w:rsidRDefault="00000000">
            <w:pPr>
              <w:pStyle w:val="TableParagraph"/>
              <w:spacing w:before="1" w:line="252" w:lineRule="auto"/>
              <w:ind w:left="253" w:right="246" w:hanging="1"/>
              <w:jc w:val="center"/>
              <w:rPr>
                <w:sz w:val="14"/>
              </w:rPr>
            </w:pPr>
            <w:r>
              <w:rPr>
                <w:color w:val="4D4D4F"/>
                <w:w w:val="105"/>
                <w:sz w:val="14"/>
              </w:rPr>
              <w:t>Perennial grass cover</w:t>
            </w:r>
            <w:r>
              <w:rPr>
                <w:color w:val="4D4D4F"/>
                <w:spacing w:val="-21"/>
                <w:w w:val="105"/>
                <w:sz w:val="14"/>
              </w:rPr>
              <w:t xml:space="preserve"> </w:t>
            </w:r>
            <w:r>
              <w:rPr>
                <w:color w:val="4D4D4F"/>
                <w:w w:val="105"/>
                <w:sz w:val="14"/>
              </w:rPr>
              <w:t xml:space="preserve">(excluding </w:t>
            </w:r>
            <w:r>
              <w:rPr>
                <w:rFonts w:ascii="Arial Narrow"/>
                <w:i/>
                <w:color w:val="4D4D4F"/>
                <w:w w:val="105"/>
                <w:sz w:val="14"/>
              </w:rPr>
              <w:t>Themeda</w:t>
            </w:r>
            <w:r>
              <w:rPr>
                <w:color w:val="4D4D4F"/>
                <w:w w:val="105"/>
                <w:sz w:val="14"/>
              </w:rPr>
              <w:t>)</w:t>
            </w:r>
          </w:p>
        </w:tc>
        <w:tc>
          <w:tcPr>
            <w:tcW w:w="2041" w:type="dxa"/>
          </w:tcPr>
          <w:p w14:paraId="074EFBB7" w14:textId="77777777" w:rsidR="00EF5B27" w:rsidRDefault="00EF5B27">
            <w:pPr>
              <w:pStyle w:val="TableParagraph"/>
              <w:rPr>
                <w:sz w:val="16"/>
              </w:rPr>
            </w:pPr>
          </w:p>
          <w:p w14:paraId="7C1B515A" w14:textId="77777777" w:rsidR="00EF5B27" w:rsidRDefault="00EF5B27">
            <w:pPr>
              <w:pStyle w:val="TableParagraph"/>
              <w:spacing w:before="1"/>
              <w:rPr>
                <w:sz w:val="12"/>
              </w:rPr>
            </w:pPr>
          </w:p>
          <w:p w14:paraId="3F0CDA8A" w14:textId="77777777" w:rsidR="00EF5B27" w:rsidRDefault="00000000">
            <w:pPr>
              <w:pStyle w:val="TableParagraph"/>
              <w:spacing w:before="1"/>
              <w:ind w:left="154" w:right="150"/>
              <w:jc w:val="center"/>
              <w:rPr>
                <w:sz w:val="14"/>
              </w:rPr>
            </w:pPr>
            <w:r>
              <w:rPr>
                <w:color w:val="4D4D4F"/>
                <w:w w:val="105"/>
                <w:sz w:val="14"/>
              </w:rPr>
              <w:t>Nutrient-enriched grassland</w:t>
            </w:r>
          </w:p>
        </w:tc>
        <w:tc>
          <w:tcPr>
            <w:tcW w:w="2154" w:type="dxa"/>
          </w:tcPr>
          <w:p w14:paraId="6B28A8E3" w14:textId="77777777" w:rsidR="00EF5B27" w:rsidRDefault="00000000">
            <w:pPr>
              <w:pStyle w:val="TableParagraph"/>
              <w:spacing w:before="73" w:line="252" w:lineRule="auto"/>
              <w:ind w:left="128" w:right="122"/>
              <w:jc w:val="center"/>
              <w:rPr>
                <w:sz w:val="14"/>
              </w:rPr>
            </w:pPr>
            <w:r>
              <w:rPr>
                <w:color w:val="4D4D4F"/>
                <w:sz w:val="14"/>
              </w:rPr>
              <w:t>KPI measure 95% confidence interval falls below the baseline (this is assumed, although hasn't been explicitly stated)</w:t>
            </w:r>
          </w:p>
        </w:tc>
        <w:tc>
          <w:tcPr>
            <w:tcW w:w="1134" w:type="dxa"/>
          </w:tcPr>
          <w:p w14:paraId="11E3F49E" w14:textId="77777777" w:rsidR="00EF5B27" w:rsidRDefault="00EF5B27">
            <w:pPr>
              <w:pStyle w:val="TableParagraph"/>
              <w:rPr>
                <w:sz w:val="16"/>
              </w:rPr>
            </w:pPr>
          </w:p>
          <w:p w14:paraId="712C1774" w14:textId="77777777" w:rsidR="00EF5B27" w:rsidRDefault="00EF5B27">
            <w:pPr>
              <w:pStyle w:val="TableParagraph"/>
              <w:spacing w:before="1"/>
              <w:rPr>
                <w:sz w:val="12"/>
              </w:rPr>
            </w:pPr>
          </w:p>
          <w:p w14:paraId="438CB6F9" w14:textId="77777777" w:rsidR="00EF5B27" w:rsidRDefault="00000000">
            <w:pPr>
              <w:pStyle w:val="TableParagraph"/>
              <w:spacing w:before="1"/>
              <w:ind w:left="457"/>
              <w:rPr>
                <w:sz w:val="14"/>
              </w:rPr>
            </w:pPr>
            <w:r>
              <w:rPr>
                <w:color w:val="4D4D4F"/>
                <w:sz w:val="14"/>
              </w:rPr>
              <w:t>Met</w:t>
            </w:r>
          </w:p>
        </w:tc>
      </w:tr>
      <w:tr w:rsidR="00EF5B27" w14:paraId="523B7712" w14:textId="77777777">
        <w:trPr>
          <w:trHeight w:val="505"/>
        </w:trPr>
        <w:tc>
          <w:tcPr>
            <w:tcW w:w="737" w:type="dxa"/>
          </w:tcPr>
          <w:p w14:paraId="266BC601" w14:textId="77777777" w:rsidR="00EF5B27" w:rsidRDefault="00EF5B27">
            <w:pPr>
              <w:pStyle w:val="TableParagraph"/>
              <w:spacing w:before="2"/>
              <w:rPr>
                <w:sz w:val="14"/>
              </w:rPr>
            </w:pPr>
          </w:p>
          <w:p w14:paraId="0F97E0DE" w14:textId="77777777" w:rsidR="00EF5B27" w:rsidRDefault="00000000">
            <w:pPr>
              <w:pStyle w:val="TableParagraph"/>
              <w:ind w:left="5"/>
              <w:jc w:val="center"/>
              <w:rPr>
                <w:sz w:val="14"/>
              </w:rPr>
            </w:pPr>
            <w:r>
              <w:rPr>
                <w:color w:val="4D4D4F"/>
                <w:w w:val="96"/>
                <w:sz w:val="14"/>
              </w:rPr>
              <w:t>1</w:t>
            </w:r>
          </w:p>
        </w:tc>
        <w:tc>
          <w:tcPr>
            <w:tcW w:w="1361" w:type="dxa"/>
          </w:tcPr>
          <w:p w14:paraId="509A6995" w14:textId="77777777" w:rsidR="00EF5B27" w:rsidRDefault="00000000">
            <w:pPr>
              <w:pStyle w:val="TableParagraph"/>
              <w:spacing w:before="83"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4ED1572A" w14:textId="77777777" w:rsidR="00EF5B27" w:rsidRDefault="00EF5B27">
            <w:pPr>
              <w:pStyle w:val="TableParagraph"/>
              <w:spacing w:before="2"/>
              <w:rPr>
                <w:sz w:val="14"/>
              </w:rPr>
            </w:pPr>
          </w:p>
          <w:p w14:paraId="5009BE86" w14:textId="77777777" w:rsidR="00EF5B27" w:rsidRDefault="00000000">
            <w:pPr>
              <w:pStyle w:val="TableParagraph"/>
              <w:ind w:left="4"/>
              <w:jc w:val="center"/>
              <w:rPr>
                <w:sz w:val="14"/>
              </w:rPr>
            </w:pPr>
            <w:r>
              <w:rPr>
                <w:color w:val="4D4D4F"/>
                <w:w w:val="96"/>
                <w:sz w:val="14"/>
              </w:rPr>
              <w:t>6</w:t>
            </w:r>
          </w:p>
        </w:tc>
        <w:tc>
          <w:tcPr>
            <w:tcW w:w="1474" w:type="dxa"/>
          </w:tcPr>
          <w:p w14:paraId="20DEF379" w14:textId="77777777" w:rsidR="00EF5B27" w:rsidRDefault="00000000">
            <w:pPr>
              <w:pStyle w:val="TableParagraph"/>
              <w:spacing w:before="83" w:line="252" w:lineRule="auto"/>
              <w:ind w:left="325" w:firstLine="104"/>
              <w:rPr>
                <w:sz w:val="14"/>
              </w:rPr>
            </w:pPr>
            <w:r>
              <w:rPr>
                <w:color w:val="4D4D4F"/>
                <w:sz w:val="14"/>
              </w:rPr>
              <w:t>Structural heterogeneity</w:t>
            </w:r>
          </w:p>
        </w:tc>
        <w:tc>
          <w:tcPr>
            <w:tcW w:w="2041" w:type="dxa"/>
          </w:tcPr>
          <w:p w14:paraId="242F25CD" w14:textId="77777777" w:rsidR="00EF5B27" w:rsidRDefault="00EF5B27">
            <w:pPr>
              <w:pStyle w:val="TableParagraph"/>
              <w:spacing w:before="2"/>
              <w:rPr>
                <w:sz w:val="14"/>
              </w:rPr>
            </w:pPr>
          </w:p>
          <w:p w14:paraId="3FC9EFD5" w14:textId="77777777" w:rsidR="00EF5B27" w:rsidRDefault="00000000">
            <w:pPr>
              <w:pStyle w:val="TableParagraph"/>
              <w:ind w:left="154" w:right="150"/>
              <w:jc w:val="center"/>
              <w:rPr>
                <w:sz w:val="14"/>
              </w:rPr>
            </w:pPr>
            <w:r>
              <w:rPr>
                <w:color w:val="4D4D4F"/>
                <w:w w:val="105"/>
                <w:sz w:val="14"/>
              </w:rPr>
              <w:t>Herb-rich grassland</w:t>
            </w:r>
          </w:p>
        </w:tc>
        <w:tc>
          <w:tcPr>
            <w:tcW w:w="2154" w:type="dxa"/>
          </w:tcPr>
          <w:p w14:paraId="4102875C" w14:textId="77777777" w:rsidR="00EF5B27" w:rsidRDefault="00000000">
            <w:pPr>
              <w:pStyle w:val="TableParagraph"/>
              <w:spacing w:before="83" w:line="252" w:lineRule="auto"/>
              <w:ind w:left="546" w:right="107" w:hanging="371"/>
              <w:rPr>
                <w:sz w:val="14"/>
              </w:rPr>
            </w:pPr>
            <w:r>
              <w:rPr>
                <w:color w:val="4D4D4F"/>
                <w:sz w:val="14"/>
              </w:rPr>
              <w:t>Percentage cover falls outside the 25–75% range</w:t>
            </w:r>
          </w:p>
        </w:tc>
        <w:tc>
          <w:tcPr>
            <w:tcW w:w="1134" w:type="dxa"/>
          </w:tcPr>
          <w:p w14:paraId="190FAB1E" w14:textId="77777777" w:rsidR="00EF5B27" w:rsidRDefault="00EF5B27">
            <w:pPr>
              <w:pStyle w:val="TableParagraph"/>
              <w:spacing w:before="2"/>
              <w:rPr>
                <w:sz w:val="14"/>
              </w:rPr>
            </w:pPr>
          </w:p>
          <w:p w14:paraId="09245772" w14:textId="77777777" w:rsidR="00EF5B27" w:rsidRDefault="00000000">
            <w:pPr>
              <w:pStyle w:val="TableParagraph"/>
              <w:ind w:left="457"/>
              <w:rPr>
                <w:sz w:val="14"/>
              </w:rPr>
            </w:pPr>
            <w:r>
              <w:rPr>
                <w:color w:val="4D4D4F"/>
                <w:sz w:val="14"/>
              </w:rPr>
              <w:t>Met</w:t>
            </w:r>
          </w:p>
        </w:tc>
      </w:tr>
      <w:tr w:rsidR="00EF5B27" w14:paraId="4DB28A28" w14:textId="77777777">
        <w:trPr>
          <w:trHeight w:val="505"/>
        </w:trPr>
        <w:tc>
          <w:tcPr>
            <w:tcW w:w="737" w:type="dxa"/>
          </w:tcPr>
          <w:p w14:paraId="4E53D264" w14:textId="77777777" w:rsidR="00EF5B27" w:rsidRDefault="00EF5B27">
            <w:pPr>
              <w:pStyle w:val="TableParagraph"/>
              <w:spacing w:before="2"/>
              <w:rPr>
                <w:sz w:val="14"/>
              </w:rPr>
            </w:pPr>
          </w:p>
          <w:p w14:paraId="00BB32E7" w14:textId="77777777" w:rsidR="00EF5B27" w:rsidRDefault="00000000">
            <w:pPr>
              <w:pStyle w:val="TableParagraph"/>
              <w:ind w:left="5"/>
              <w:jc w:val="center"/>
              <w:rPr>
                <w:sz w:val="14"/>
              </w:rPr>
            </w:pPr>
            <w:r>
              <w:rPr>
                <w:color w:val="4D4D4F"/>
                <w:w w:val="96"/>
                <w:sz w:val="14"/>
              </w:rPr>
              <w:t>1</w:t>
            </w:r>
          </w:p>
        </w:tc>
        <w:tc>
          <w:tcPr>
            <w:tcW w:w="1361" w:type="dxa"/>
          </w:tcPr>
          <w:p w14:paraId="289C82F7" w14:textId="77777777" w:rsidR="00EF5B27" w:rsidRDefault="00000000">
            <w:pPr>
              <w:pStyle w:val="TableParagraph"/>
              <w:spacing w:before="83"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1758F64E" w14:textId="77777777" w:rsidR="00EF5B27" w:rsidRDefault="00EF5B27">
            <w:pPr>
              <w:pStyle w:val="TableParagraph"/>
              <w:spacing w:before="2"/>
              <w:rPr>
                <w:sz w:val="14"/>
              </w:rPr>
            </w:pPr>
          </w:p>
          <w:p w14:paraId="4AEDD2A2" w14:textId="77777777" w:rsidR="00EF5B27" w:rsidRDefault="00000000">
            <w:pPr>
              <w:pStyle w:val="TableParagraph"/>
              <w:ind w:left="4"/>
              <w:jc w:val="center"/>
              <w:rPr>
                <w:sz w:val="14"/>
              </w:rPr>
            </w:pPr>
            <w:r>
              <w:rPr>
                <w:color w:val="4D4D4F"/>
                <w:w w:val="96"/>
                <w:sz w:val="14"/>
              </w:rPr>
              <w:t>6</w:t>
            </w:r>
          </w:p>
        </w:tc>
        <w:tc>
          <w:tcPr>
            <w:tcW w:w="1474" w:type="dxa"/>
          </w:tcPr>
          <w:p w14:paraId="20B66D34" w14:textId="77777777" w:rsidR="00EF5B27" w:rsidRDefault="00000000">
            <w:pPr>
              <w:pStyle w:val="TableParagraph"/>
              <w:spacing w:before="83" w:line="252" w:lineRule="auto"/>
              <w:ind w:left="325" w:firstLine="104"/>
              <w:rPr>
                <w:sz w:val="14"/>
              </w:rPr>
            </w:pPr>
            <w:r>
              <w:rPr>
                <w:color w:val="4D4D4F"/>
                <w:sz w:val="14"/>
              </w:rPr>
              <w:t>Structural heterogeneity</w:t>
            </w:r>
          </w:p>
        </w:tc>
        <w:tc>
          <w:tcPr>
            <w:tcW w:w="2041" w:type="dxa"/>
          </w:tcPr>
          <w:p w14:paraId="118825AE" w14:textId="77777777" w:rsidR="00EF5B27" w:rsidRDefault="00EF5B27">
            <w:pPr>
              <w:pStyle w:val="TableParagraph"/>
              <w:spacing w:before="2"/>
              <w:rPr>
                <w:sz w:val="14"/>
              </w:rPr>
            </w:pPr>
          </w:p>
          <w:p w14:paraId="2F1A4A1F" w14:textId="77777777" w:rsidR="00EF5B27" w:rsidRDefault="00000000">
            <w:pPr>
              <w:pStyle w:val="TableParagraph"/>
              <w:ind w:left="154" w:right="15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1E9A4CCC" w14:textId="77777777" w:rsidR="00EF5B27" w:rsidRDefault="00000000">
            <w:pPr>
              <w:pStyle w:val="TableParagraph"/>
              <w:spacing w:before="83" w:line="252" w:lineRule="auto"/>
              <w:ind w:left="546" w:right="107" w:hanging="371"/>
              <w:rPr>
                <w:sz w:val="14"/>
              </w:rPr>
            </w:pPr>
            <w:r>
              <w:rPr>
                <w:color w:val="4D4D4F"/>
                <w:sz w:val="14"/>
              </w:rPr>
              <w:t>Percentage cover falls outside the 25–75% range</w:t>
            </w:r>
          </w:p>
        </w:tc>
        <w:tc>
          <w:tcPr>
            <w:tcW w:w="1134" w:type="dxa"/>
          </w:tcPr>
          <w:p w14:paraId="2080F72B" w14:textId="77777777" w:rsidR="00EF5B27" w:rsidRDefault="00EF5B27">
            <w:pPr>
              <w:pStyle w:val="TableParagraph"/>
              <w:spacing w:before="2"/>
              <w:rPr>
                <w:sz w:val="14"/>
              </w:rPr>
            </w:pPr>
          </w:p>
          <w:p w14:paraId="0E96E3EC" w14:textId="77777777" w:rsidR="00EF5B27" w:rsidRDefault="00000000">
            <w:pPr>
              <w:pStyle w:val="TableParagraph"/>
              <w:ind w:left="457"/>
              <w:rPr>
                <w:sz w:val="14"/>
              </w:rPr>
            </w:pPr>
            <w:r>
              <w:rPr>
                <w:color w:val="4D4D4F"/>
                <w:sz w:val="14"/>
              </w:rPr>
              <w:t>Met</w:t>
            </w:r>
          </w:p>
        </w:tc>
      </w:tr>
      <w:tr w:rsidR="00EF5B27" w14:paraId="01E2F4E4" w14:textId="77777777">
        <w:trPr>
          <w:trHeight w:val="505"/>
        </w:trPr>
        <w:tc>
          <w:tcPr>
            <w:tcW w:w="737" w:type="dxa"/>
          </w:tcPr>
          <w:p w14:paraId="556B0DED" w14:textId="77777777" w:rsidR="00EF5B27" w:rsidRDefault="00EF5B27">
            <w:pPr>
              <w:pStyle w:val="TableParagraph"/>
              <w:spacing w:before="2"/>
              <w:rPr>
                <w:sz w:val="14"/>
              </w:rPr>
            </w:pPr>
          </w:p>
          <w:p w14:paraId="07021E6F" w14:textId="77777777" w:rsidR="00EF5B27" w:rsidRDefault="00000000">
            <w:pPr>
              <w:pStyle w:val="TableParagraph"/>
              <w:ind w:left="5"/>
              <w:jc w:val="center"/>
              <w:rPr>
                <w:sz w:val="14"/>
              </w:rPr>
            </w:pPr>
            <w:r>
              <w:rPr>
                <w:color w:val="4D4D4F"/>
                <w:w w:val="96"/>
                <w:sz w:val="14"/>
              </w:rPr>
              <w:t>1</w:t>
            </w:r>
          </w:p>
        </w:tc>
        <w:tc>
          <w:tcPr>
            <w:tcW w:w="1361" w:type="dxa"/>
          </w:tcPr>
          <w:p w14:paraId="775639EC" w14:textId="77777777" w:rsidR="00EF5B27" w:rsidRDefault="00000000">
            <w:pPr>
              <w:pStyle w:val="TableParagraph"/>
              <w:spacing w:before="83"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41F91C61" w14:textId="77777777" w:rsidR="00EF5B27" w:rsidRDefault="00EF5B27">
            <w:pPr>
              <w:pStyle w:val="TableParagraph"/>
              <w:spacing w:before="2"/>
              <w:rPr>
                <w:sz w:val="14"/>
              </w:rPr>
            </w:pPr>
          </w:p>
          <w:p w14:paraId="0CC282A5" w14:textId="77777777" w:rsidR="00EF5B27" w:rsidRDefault="00000000">
            <w:pPr>
              <w:pStyle w:val="TableParagraph"/>
              <w:ind w:left="4"/>
              <w:jc w:val="center"/>
              <w:rPr>
                <w:sz w:val="14"/>
              </w:rPr>
            </w:pPr>
            <w:r>
              <w:rPr>
                <w:color w:val="4D4D4F"/>
                <w:w w:val="96"/>
                <w:sz w:val="14"/>
              </w:rPr>
              <w:t>6</w:t>
            </w:r>
          </w:p>
        </w:tc>
        <w:tc>
          <w:tcPr>
            <w:tcW w:w="1474" w:type="dxa"/>
          </w:tcPr>
          <w:p w14:paraId="1D1A9968" w14:textId="77777777" w:rsidR="00EF5B27" w:rsidRDefault="00000000">
            <w:pPr>
              <w:pStyle w:val="TableParagraph"/>
              <w:spacing w:before="83" w:line="252" w:lineRule="auto"/>
              <w:ind w:left="325" w:firstLine="104"/>
              <w:rPr>
                <w:sz w:val="14"/>
              </w:rPr>
            </w:pPr>
            <w:r>
              <w:rPr>
                <w:color w:val="4D4D4F"/>
                <w:sz w:val="14"/>
              </w:rPr>
              <w:t>Structural heterogeneity</w:t>
            </w:r>
          </w:p>
        </w:tc>
        <w:tc>
          <w:tcPr>
            <w:tcW w:w="2041" w:type="dxa"/>
          </w:tcPr>
          <w:p w14:paraId="207BFDBB" w14:textId="77777777" w:rsidR="00EF5B27" w:rsidRDefault="00EF5B27">
            <w:pPr>
              <w:pStyle w:val="TableParagraph"/>
              <w:spacing w:before="2"/>
              <w:rPr>
                <w:sz w:val="14"/>
              </w:rPr>
            </w:pPr>
          </w:p>
          <w:p w14:paraId="4FC1A555" w14:textId="77777777" w:rsidR="00EF5B27" w:rsidRDefault="00000000">
            <w:pPr>
              <w:pStyle w:val="TableParagraph"/>
              <w:ind w:left="154" w:right="150"/>
              <w:jc w:val="center"/>
              <w:rPr>
                <w:sz w:val="14"/>
              </w:rPr>
            </w:pPr>
            <w:r>
              <w:rPr>
                <w:color w:val="4D4D4F"/>
                <w:w w:val="105"/>
                <w:sz w:val="14"/>
              </w:rPr>
              <w:t>C3 grassland</w:t>
            </w:r>
          </w:p>
        </w:tc>
        <w:tc>
          <w:tcPr>
            <w:tcW w:w="2154" w:type="dxa"/>
          </w:tcPr>
          <w:p w14:paraId="52F082C6" w14:textId="77777777" w:rsidR="00EF5B27" w:rsidRDefault="00000000">
            <w:pPr>
              <w:pStyle w:val="TableParagraph"/>
              <w:spacing w:before="83" w:line="252" w:lineRule="auto"/>
              <w:ind w:left="547" w:right="107" w:hanging="371"/>
              <w:rPr>
                <w:sz w:val="14"/>
              </w:rPr>
            </w:pPr>
            <w:r>
              <w:rPr>
                <w:color w:val="4D4D4F"/>
                <w:sz w:val="14"/>
              </w:rPr>
              <w:t>Percentage cover falls outside the 25–75% range</w:t>
            </w:r>
          </w:p>
        </w:tc>
        <w:tc>
          <w:tcPr>
            <w:tcW w:w="1134" w:type="dxa"/>
          </w:tcPr>
          <w:p w14:paraId="6FD5B80C" w14:textId="77777777" w:rsidR="00EF5B27" w:rsidRDefault="00EF5B27">
            <w:pPr>
              <w:pStyle w:val="TableParagraph"/>
              <w:spacing w:before="2"/>
              <w:rPr>
                <w:sz w:val="14"/>
              </w:rPr>
            </w:pPr>
          </w:p>
          <w:p w14:paraId="7502A78E" w14:textId="77777777" w:rsidR="00EF5B27" w:rsidRDefault="00000000">
            <w:pPr>
              <w:pStyle w:val="TableParagraph"/>
              <w:ind w:left="457"/>
              <w:rPr>
                <w:sz w:val="14"/>
              </w:rPr>
            </w:pPr>
            <w:r>
              <w:rPr>
                <w:color w:val="4D4D4F"/>
                <w:sz w:val="14"/>
              </w:rPr>
              <w:t>Met</w:t>
            </w:r>
          </w:p>
        </w:tc>
      </w:tr>
      <w:tr w:rsidR="00EF5B27" w14:paraId="68C1007C" w14:textId="77777777">
        <w:trPr>
          <w:trHeight w:val="505"/>
        </w:trPr>
        <w:tc>
          <w:tcPr>
            <w:tcW w:w="737" w:type="dxa"/>
          </w:tcPr>
          <w:p w14:paraId="7AD97D81" w14:textId="77777777" w:rsidR="00EF5B27" w:rsidRDefault="00EF5B27">
            <w:pPr>
              <w:pStyle w:val="TableParagraph"/>
              <w:spacing w:before="2"/>
              <w:rPr>
                <w:sz w:val="14"/>
              </w:rPr>
            </w:pPr>
          </w:p>
          <w:p w14:paraId="04B0C44A" w14:textId="77777777" w:rsidR="00EF5B27" w:rsidRDefault="00000000">
            <w:pPr>
              <w:pStyle w:val="TableParagraph"/>
              <w:ind w:left="5"/>
              <w:jc w:val="center"/>
              <w:rPr>
                <w:sz w:val="14"/>
              </w:rPr>
            </w:pPr>
            <w:r>
              <w:rPr>
                <w:color w:val="4D4D4F"/>
                <w:w w:val="96"/>
                <w:sz w:val="14"/>
              </w:rPr>
              <w:t>1</w:t>
            </w:r>
          </w:p>
        </w:tc>
        <w:tc>
          <w:tcPr>
            <w:tcW w:w="1361" w:type="dxa"/>
          </w:tcPr>
          <w:p w14:paraId="0C671032" w14:textId="77777777" w:rsidR="00EF5B27" w:rsidRDefault="00000000">
            <w:pPr>
              <w:pStyle w:val="TableParagraph"/>
              <w:spacing w:before="83"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68E50250" w14:textId="77777777" w:rsidR="00EF5B27" w:rsidRDefault="00EF5B27">
            <w:pPr>
              <w:pStyle w:val="TableParagraph"/>
              <w:spacing w:before="2"/>
              <w:rPr>
                <w:sz w:val="14"/>
              </w:rPr>
            </w:pPr>
          </w:p>
          <w:p w14:paraId="3496A116" w14:textId="77777777" w:rsidR="00EF5B27" w:rsidRDefault="00000000">
            <w:pPr>
              <w:pStyle w:val="TableParagraph"/>
              <w:ind w:left="4"/>
              <w:jc w:val="center"/>
              <w:rPr>
                <w:sz w:val="14"/>
              </w:rPr>
            </w:pPr>
            <w:r>
              <w:rPr>
                <w:color w:val="4D4D4F"/>
                <w:w w:val="96"/>
                <w:sz w:val="14"/>
              </w:rPr>
              <w:t>6</w:t>
            </w:r>
          </w:p>
        </w:tc>
        <w:tc>
          <w:tcPr>
            <w:tcW w:w="1474" w:type="dxa"/>
          </w:tcPr>
          <w:p w14:paraId="11AEA3A9" w14:textId="77777777" w:rsidR="00EF5B27" w:rsidRDefault="00000000">
            <w:pPr>
              <w:pStyle w:val="TableParagraph"/>
              <w:spacing w:before="83" w:line="252" w:lineRule="auto"/>
              <w:ind w:left="325" w:firstLine="104"/>
              <w:rPr>
                <w:sz w:val="14"/>
              </w:rPr>
            </w:pPr>
            <w:r>
              <w:rPr>
                <w:color w:val="4D4D4F"/>
                <w:sz w:val="14"/>
              </w:rPr>
              <w:t>Structural heterogeneity</w:t>
            </w:r>
          </w:p>
        </w:tc>
        <w:tc>
          <w:tcPr>
            <w:tcW w:w="2041" w:type="dxa"/>
          </w:tcPr>
          <w:p w14:paraId="73C935A0" w14:textId="77777777" w:rsidR="00EF5B27" w:rsidRDefault="00EF5B27">
            <w:pPr>
              <w:pStyle w:val="TableParagraph"/>
              <w:spacing w:before="2"/>
              <w:rPr>
                <w:sz w:val="14"/>
              </w:rPr>
            </w:pPr>
          </w:p>
          <w:p w14:paraId="091B33EA" w14:textId="77777777" w:rsidR="00EF5B27" w:rsidRDefault="00000000">
            <w:pPr>
              <w:pStyle w:val="TableParagraph"/>
              <w:ind w:left="154" w:right="150"/>
              <w:jc w:val="center"/>
              <w:rPr>
                <w:sz w:val="14"/>
              </w:rPr>
            </w:pPr>
            <w:r>
              <w:rPr>
                <w:color w:val="4D4D4F"/>
                <w:w w:val="105"/>
                <w:sz w:val="14"/>
              </w:rPr>
              <w:t>Nutrient-enriched grassland</w:t>
            </w:r>
          </w:p>
        </w:tc>
        <w:tc>
          <w:tcPr>
            <w:tcW w:w="2154" w:type="dxa"/>
          </w:tcPr>
          <w:p w14:paraId="73A343FD" w14:textId="77777777" w:rsidR="00EF5B27" w:rsidRDefault="00000000">
            <w:pPr>
              <w:pStyle w:val="TableParagraph"/>
              <w:spacing w:before="83" w:line="252" w:lineRule="auto"/>
              <w:ind w:left="547" w:right="107" w:hanging="371"/>
              <w:rPr>
                <w:sz w:val="14"/>
              </w:rPr>
            </w:pPr>
            <w:r>
              <w:rPr>
                <w:color w:val="4D4D4F"/>
                <w:sz w:val="14"/>
              </w:rPr>
              <w:t>Percentage cover falls outside the 25–75% range</w:t>
            </w:r>
          </w:p>
        </w:tc>
        <w:tc>
          <w:tcPr>
            <w:tcW w:w="1134" w:type="dxa"/>
          </w:tcPr>
          <w:p w14:paraId="597432A6" w14:textId="77777777" w:rsidR="00EF5B27" w:rsidRDefault="00EF5B27">
            <w:pPr>
              <w:pStyle w:val="TableParagraph"/>
              <w:spacing w:before="2"/>
              <w:rPr>
                <w:sz w:val="14"/>
              </w:rPr>
            </w:pPr>
          </w:p>
          <w:p w14:paraId="59C80051" w14:textId="77777777" w:rsidR="00EF5B27" w:rsidRDefault="00000000">
            <w:pPr>
              <w:pStyle w:val="TableParagraph"/>
              <w:ind w:left="457"/>
              <w:rPr>
                <w:sz w:val="14"/>
              </w:rPr>
            </w:pPr>
            <w:r>
              <w:rPr>
                <w:color w:val="4D4D4F"/>
                <w:sz w:val="14"/>
              </w:rPr>
              <w:t>Met</w:t>
            </w:r>
          </w:p>
        </w:tc>
      </w:tr>
      <w:tr w:rsidR="00EF5B27" w14:paraId="3531363F" w14:textId="77777777">
        <w:trPr>
          <w:trHeight w:val="505"/>
        </w:trPr>
        <w:tc>
          <w:tcPr>
            <w:tcW w:w="737" w:type="dxa"/>
          </w:tcPr>
          <w:p w14:paraId="4F3C85D0" w14:textId="77777777" w:rsidR="00EF5B27" w:rsidRDefault="00EF5B27">
            <w:pPr>
              <w:pStyle w:val="TableParagraph"/>
              <w:spacing w:before="2"/>
              <w:rPr>
                <w:sz w:val="14"/>
              </w:rPr>
            </w:pPr>
          </w:p>
          <w:p w14:paraId="5FE66490" w14:textId="77777777" w:rsidR="00EF5B27" w:rsidRDefault="00000000">
            <w:pPr>
              <w:pStyle w:val="TableParagraph"/>
              <w:spacing w:before="1"/>
              <w:ind w:left="5"/>
              <w:jc w:val="center"/>
              <w:rPr>
                <w:sz w:val="14"/>
              </w:rPr>
            </w:pPr>
            <w:r>
              <w:rPr>
                <w:color w:val="4D4D4F"/>
                <w:w w:val="96"/>
                <w:sz w:val="14"/>
              </w:rPr>
              <w:t>1</w:t>
            </w:r>
          </w:p>
        </w:tc>
        <w:tc>
          <w:tcPr>
            <w:tcW w:w="1361" w:type="dxa"/>
          </w:tcPr>
          <w:p w14:paraId="24ACC6A6" w14:textId="77777777" w:rsidR="00EF5B27" w:rsidRDefault="00000000">
            <w:pPr>
              <w:pStyle w:val="TableParagraph"/>
              <w:spacing w:before="83"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134D9C15" w14:textId="77777777" w:rsidR="00EF5B27" w:rsidRDefault="00EF5B27">
            <w:pPr>
              <w:pStyle w:val="TableParagraph"/>
              <w:spacing w:before="2"/>
              <w:rPr>
                <w:sz w:val="14"/>
              </w:rPr>
            </w:pPr>
          </w:p>
          <w:p w14:paraId="236999F0" w14:textId="77777777" w:rsidR="00EF5B27" w:rsidRDefault="00000000">
            <w:pPr>
              <w:pStyle w:val="TableParagraph"/>
              <w:spacing w:before="1"/>
              <w:ind w:left="5"/>
              <w:jc w:val="center"/>
              <w:rPr>
                <w:sz w:val="14"/>
              </w:rPr>
            </w:pPr>
            <w:r>
              <w:rPr>
                <w:color w:val="4D4D4F"/>
                <w:w w:val="96"/>
                <w:sz w:val="14"/>
              </w:rPr>
              <w:t>6</w:t>
            </w:r>
          </w:p>
        </w:tc>
        <w:tc>
          <w:tcPr>
            <w:tcW w:w="1474" w:type="dxa"/>
          </w:tcPr>
          <w:p w14:paraId="25434A88" w14:textId="77777777" w:rsidR="00EF5B27" w:rsidRDefault="00000000">
            <w:pPr>
              <w:pStyle w:val="TableParagraph"/>
              <w:spacing w:before="83" w:line="252" w:lineRule="auto"/>
              <w:ind w:left="325" w:firstLine="104"/>
              <w:rPr>
                <w:sz w:val="14"/>
              </w:rPr>
            </w:pPr>
            <w:r>
              <w:rPr>
                <w:color w:val="4D4D4F"/>
                <w:sz w:val="14"/>
              </w:rPr>
              <w:t>Structural heterogeneity</w:t>
            </w:r>
          </w:p>
        </w:tc>
        <w:tc>
          <w:tcPr>
            <w:tcW w:w="2041" w:type="dxa"/>
          </w:tcPr>
          <w:p w14:paraId="218EFBAE" w14:textId="77777777" w:rsidR="00EF5B27" w:rsidRDefault="00EF5B27">
            <w:pPr>
              <w:pStyle w:val="TableParagraph"/>
              <w:spacing w:before="2"/>
              <w:rPr>
                <w:sz w:val="14"/>
              </w:rPr>
            </w:pPr>
          </w:p>
          <w:p w14:paraId="055A0580" w14:textId="77777777" w:rsidR="00EF5B27" w:rsidRDefault="00000000">
            <w:pPr>
              <w:pStyle w:val="TableParagraph"/>
              <w:spacing w:before="1"/>
              <w:ind w:left="155" w:right="150"/>
              <w:jc w:val="center"/>
              <w:rPr>
                <w:sz w:val="14"/>
              </w:rPr>
            </w:pPr>
            <w:r>
              <w:rPr>
                <w:color w:val="4D4D4F"/>
                <w:w w:val="105"/>
                <w:sz w:val="14"/>
              </w:rPr>
              <w:t>De-rocked grassland</w:t>
            </w:r>
          </w:p>
        </w:tc>
        <w:tc>
          <w:tcPr>
            <w:tcW w:w="2154" w:type="dxa"/>
          </w:tcPr>
          <w:p w14:paraId="6991B752" w14:textId="77777777" w:rsidR="00EF5B27" w:rsidRDefault="00000000">
            <w:pPr>
              <w:pStyle w:val="TableParagraph"/>
              <w:spacing w:before="83" w:line="252" w:lineRule="auto"/>
              <w:ind w:left="547" w:right="107" w:hanging="371"/>
              <w:rPr>
                <w:sz w:val="14"/>
              </w:rPr>
            </w:pPr>
            <w:r>
              <w:rPr>
                <w:color w:val="4D4D4F"/>
                <w:sz w:val="14"/>
              </w:rPr>
              <w:t>Percentage cover falls outside the 25–75% range</w:t>
            </w:r>
          </w:p>
        </w:tc>
        <w:tc>
          <w:tcPr>
            <w:tcW w:w="1134" w:type="dxa"/>
          </w:tcPr>
          <w:p w14:paraId="1632AAFE" w14:textId="77777777" w:rsidR="00EF5B27" w:rsidRDefault="00EF5B27">
            <w:pPr>
              <w:pStyle w:val="TableParagraph"/>
              <w:spacing w:before="2"/>
              <w:rPr>
                <w:sz w:val="14"/>
              </w:rPr>
            </w:pPr>
          </w:p>
          <w:p w14:paraId="30D6A2D3" w14:textId="77777777" w:rsidR="00EF5B27" w:rsidRDefault="00000000">
            <w:pPr>
              <w:pStyle w:val="TableParagraph"/>
              <w:spacing w:before="1"/>
              <w:ind w:left="457"/>
              <w:rPr>
                <w:sz w:val="14"/>
              </w:rPr>
            </w:pPr>
            <w:r>
              <w:rPr>
                <w:color w:val="4D4D4F"/>
                <w:sz w:val="14"/>
              </w:rPr>
              <w:t>Met</w:t>
            </w:r>
          </w:p>
        </w:tc>
      </w:tr>
      <w:tr w:rsidR="00EF5B27" w14:paraId="5F146126" w14:textId="77777777">
        <w:trPr>
          <w:trHeight w:val="845"/>
        </w:trPr>
        <w:tc>
          <w:tcPr>
            <w:tcW w:w="737" w:type="dxa"/>
          </w:tcPr>
          <w:p w14:paraId="3BFACE34" w14:textId="77777777" w:rsidR="00EF5B27" w:rsidRDefault="00EF5B27">
            <w:pPr>
              <w:pStyle w:val="TableParagraph"/>
              <w:rPr>
                <w:sz w:val="16"/>
              </w:rPr>
            </w:pPr>
          </w:p>
          <w:p w14:paraId="1FC56707" w14:textId="77777777" w:rsidR="00EF5B27" w:rsidRDefault="00EF5B27">
            <w:pPr>
              <w:pStyle w:val="TableParagraph"/>
              <w:spacing w:before="1"/>
              <w:rPr>
                <w:sz w:val="12"/>
              </w:rPr>
            </w:pPr>
          </w:p>
          <w:p w14:paraId="730E2B9E" w14:textId="77777777" w:rsidR="00EF5B27" w:rsidRDefault="00000000">
            <w:pPr>
              <w:pStyle w:val="TableParagraph"/>
              <w:spacing w:before="1"/>
              <w:ind w:left="6"/>
              <w:jc w:val="center"/>
              <w:rPr>
                <w:sz w:val="14"/>
              </w:rPr>
            </w:pPr>
            <w:r>
              <w:rPr>
                <w:color w:val="4D4D4F"/>
                <w:w w:val="96"/>
                <w:sz w:val="14"/>
              </w:rPr>
              <w:t>1</w:t>
            </w:r>
          </w:p>
        </w:tc>
        <w:tc>
          <w:tcPr>
            <w:tcW w:w="1361" w:type="dxa"/>
          </w:tcPr>
          <w:p w14:paraId="01AC2F75" w14:textId="77777777" w:rsidR="00EF5B27" w:rsidRDefault="00EF5B27">
            <w:pPr>
              <w:pStyle w:val="TableParagraph"/>
              <w:spacing w:before="9"/>
              <w:rPr>
                <w:sz w:val="20"/>
              </w:rPr>
            </w:pPr>
          </w:p>
          <w:p w14:paraId="45A55413" w14:textId="77777777" w:rsidR="00EF5B27" w:rsidRDefault="00000000">
            <w:pPr>
              <w:pStyle w:val="TableParagraph"/>
              <w:spacing w:line="252" w:lineRule="auto"/>
              <w:ind w:left="378" w:hanging="255"/>
              <w:rPr>
                <w:sz w:val="14"/>
              </w:rPr>
            </w:pPr>
            <w:r>
              <w:rPr>
                <w:color w:val="4D4D4F"/>
                <w:sz w:val="14"/>
              </w:rPr>
              <w:t xml:space="preserve">Natural Temperate </w:t>
            </w:r>
            <w:r>
              <w:rPr>
                <w:color w:val="4D4D4F"/>
                <w:w w:val="105"/>
                <w:sz w:val="14"/>
              </w:rPr>
              <w:t>Grassland</w:t>
            </w:r>
          </w:p>
        </w:tc>
        <w:tc>
          <w:tcPr>
            <w:tcW w:w="737" w:type="dxa"/>
          </w:tcPr>
          <w:p w14:paraId="72973C10" w14:textId="77777777" w:rsidR="00EF5B27" w:rsidRDefault="00EF5B27">
            <w:pPr>
              <w:pStyle w:val="TableParagraph"/>
              <w:rPr>
                <w:sz w:val="16"/>
              </w:rPr>
            </w:pPr>
          </w:p>
          <w:p w14:paraId="2EE81684" w14:textId="77777777" w:rsidR="00EF5B27" w:rsidRDefault="00EF5B27">
            <w:pPr>
              <w:pStyle w:val="TableParagraph"/>
              <w:spacing w:before="1"/>
              <w:rPr>
                <w:sz w:val="12"/>
              </w:rPr>
            </w:pPr>
          </w:p>
          <w:p w14:paraId="18B4A497" w14:textId="77777777" w:rsidR="00EF5B27" w:rsidRDefault="00000000">
            <w:pPr>
              <w:pStyle w:val="TableParagraph"/>
              <w:spacing w:before="1"/>
              <w:ind w:left="5"/>
              <w:jc w:val="center"/>
              <w:rPr>
                <w:sz w:val="14"/>
              </w:rPr>
            </w:pPr>
            <w:r>
              <w:rPr>
                <w:color w:val="4D4D4F"/>
                <w:w w:val="96"/>
                <w:sz w:val="14"/>
              </w:rPr>
              <w:t>7</w:t>
            </w:r>
          </w:p>
        </w:tc>
        <w:tc>
          <w:tcPr>
            <w:tcW w:w="1474" w:type="dxa"/>
          </w:tcPr>
          <w:p w14:paraId="651AF824" w14:textId="77777777" w:rsidR="00EF5B27" w:rsidRDefault="00EF5B27">
            <w:pPr>
              <w:pStyle w:val="TableParagraph"/>
              <w:rPr>
                <w:sz w:val="16"/>
              </w:rPr>
            </w:pPr>
          </w:p>
          <w:p w14:paraId="56AE5B43" w14:textId="77777777" w:rsidR="00EF5B27" w:rsidRDefault="00EF5B27">
            <w:pPr>
              <w:pStyle w:val="TableParagraph"/>
              <w:spacing w:before="1"/>
              <w:rPr>
                <w:sz w:val="12"/>
              </w:rPr>
            </w:pPr>
          </w:p>
          <w:p w14:paraId="79EFFF8A" w14:textId="77777777" w:rsidR="00EF5B27" w:rsidRDefault="00000000">
            <w:pPr>
              <w:pStyle w:val="TableParagraph"/>
              <w:spacing w:before="1"/>
              <w:ind w:left="125" w:right="120"/>
              <w:jc w:val="center"/>
              <w:rPr>
                <w:sz w:val="14"/>
              </w:rPr>
            </w:pPr>
            <w:r>
              <w:rPr>
                <w:color w:val="4D4D4F"/>
                <w:sz w:val="14"/>
              </w:rPr>
              <w:t>Perennial Weeds</w:t>
            </w:r>
          </w:p>
        </w:tc>
        <w:tc>
          <w:tcPr>
            <w:tcW w:w="2041" w:type="dxa"/>
          </w:tcPr>
          <w:p w14:paraId="072B480C" w14:textId="77777777" w:rsidR="00EF5B27" w:rsidRDefault="00EF5B27">
            <w:pPr>
              <w:pStyle w:val="TableParagraph"/>
              <w:rPr>
                <w:sz w:val="16"/>
              </w:rPr>
            </w:pPr>
          </w:p>
          <w:p w14:paraId="2277B207" w14:textId="77777777" w:rsidR="00EF5B27" w:rsidRDefault="00EF5B27">
            <w:pPr>
              <w:pStyle w:val="TableParagraph"/>
              <w:spacing w:before="1"/>
              <w:rPr>
                <w:sz w:val="12"/>
              </w:rPr>
            </w:pPr>
          </w:p>
          <w:p w14:paraId="64F57CD3" w14:textId="77777777" w:rsidR="00EF5B27" w:rsidRDefault="00000000">
            <w:pPr>
              <w:pStyle w:val="TableParagraph"/>
              <w:spacing w:before="1"/>
              <w:ind w:left="155" w:right="150"/>
              <w:jc w:val="center"/>
              <w:rPr>
                <w:sz w:val="14"/>
              </w:rPr>
            </w:pPr>
            <w:r>
              <w:rPr>
                <w:color w:val="4D4D4F"/>
                <w:w w:val="105"/>
                <w:sz w:val="14"/>
              </w:rPr>
              <w:t>Herb-rich grassland</w:t>
            </w:r>
          </w:p>
        </w:tc>
        <w:tc>
          <w:tcPr>
            <w:tcW w:w="2154" w:type="dxa"/>
          </w:tcPr>
          <w:p w14:paraId="38C29307" w14:textId="77777777" w:rsidR="00EF5B27" w:rsidRDefault="00000000">
            <w:pPr>
              <w:pStyle w:val="TableParagraph"/>
              <w:spacing w:before="73" w:line="252" w:lineRule="auto"/>
              <w:ind w:left="129" w:right="121"/>
              <w:jc w:val="center"/>
              <w:rPr>
                <w:sz w:val="14"/>
              </w:rPr>
            </w:pPr>
            <w:r>
              <w:rPr>
                <w:color w:val="4D4D4F"/>
                <w:sz w:val="14"/>
              </w:rPr>
              <w:t>KPI measure 95% confidence interval falls above the baseline (this is assumed, although hasn't been explicitly stated)</w:t>
            </w:r>
          </w:p>
        </w:tc>
        <w:tc>
          <w:tcPr>
            <w:tcW w:w="1134" w:type="dxa"/>
          </w:tcPr>
          <w:p w14:paraId="1B8F4E5C" w14:textId="77777777" w:rsidR="00EF5B27" w:rsidRDefault="00EF5B27">
            <w:pPr>
              <w:pStyle w:val="TableParagraph"/>
              <w:rPr>
                <w:sz w:val="16"/>
              </w:rPr>
            </w:pPr>
          </w:p>
          <w:p w14:paraId="63BDD897" w14:textId="77777777" w:rsidR="00EF5B27" w:rsidRDefault="00EF5B27">
            <w:pPr>
              <w:pStyle w:val="TableParagraph"/>
              <w:spacing w:before="1"/>
              <w:rPr>
                <w:sz w:val="12"/>
              </w:rPr>
            </w:pPr>
          </w:p>
          <w:p w14:paraId="052B0967" w14:textId="77777777" w:rsidR="00EF5B27" w:rsidRDefault="00000000">
            <w:pPr>
              <w:pStyle w:val="TableParagraph"/>
              <w:spacing w:before="1"/>
              <w:ind w:left="457"/>
              <w:rPr>
                <w:sz w:val="14"/>
              </w:rPr>
            </w:pPr>
            <w:r>
              <w:rPr>
                <w:color w:val="4D4D4F"/>
                <w:sz w:val="14"/>
              </w:rPr>
              <w:t>Met</w:t>
            </w:r>
          </w:p>
        </w:tc>
      </w:tr>
    </w:tbl>
    <w:p w14:paraId="2BDFD981" w14:textId="77777777" w:rsidR="00EF5B27" w:rsidRDefault="00EF5B27">
      <w:pPr>
        <w:rPr>
          <w:sz w:val="14"/>
        </w:rPr>
        <w:sectPr w:rsidR="00EF5B27">
          <w:pgSz w:w="11910" w:h="16840"/>
          <w:pgMar w:top="1080" w:right="1020" w:bottom="860" w:left="1020" w:header="537" w:footer="678" w:gutter="0"/>
          <w:cols w:space="720"/>
        </w:sectPr>
      </w:pPr>
    </w:p>
    <w:p w14:paraId="45A7F684" w14:textId="77777777" w:rsidR="00EF5B27" w:rsidRDefault="00000000">
      <w:pPr>
        <w:pStyle w:val="BodyText"/>
      </w:pPr>
      <w:r>
        <w:lastRenderedPageBreak/>
        <w:pict w14:anchorId="5347AD91">
          <v:group id="_x0000_s2591" style="position:absolute;margin-left:587.05pt;margin-top:183.4pt;width:8.25pt;height:153.1pt;z-index:251746816;mso-position-horizontal-relative:page;mso-position-vertical-relative:page" coordorigin="11741,3668" coordsize="165,3062">
            <v:shape id="_x0000_s2598" style="position:absolute;left:11741;top:3668;width:165;height:561" coordorigin="11741,3668" coordsize="165,561" path="m11906,3668r-165,l11741,4228r165,-18l11906,3668xe" fillcolor="#00aed9" stroked="f">
              <v:path arrowok="t"/>
            </v:shape>
            <v:shape id="_x0000_s2597" style="position:absolute;left:11741;top:4118;width:165;height:425" coordorigin="11741,4118" coordsize="165,425" path="m11906,4118r-165,14l11741,4531r165,12l11906,4118xe" fillcolor="#047ebc" stroked="f">
              <v:path arrowok="t"/>
            </v:shape>
            <v:shape id="_x0000_s2596" type="#_x0000_t75" style="position:absolute;left:11741;top:4355;width:165;height:587">
              <v:imagedata r:id="rId42" o:title=""/>
            </v:shape>
            <v:shape id="_x0000_s2595" style="position:absolute;left:11741;top:5343;width:165;height:536" coordorigin="11741,5343" coordsize="165,536" path="m11741,5343r,535l11906,5872r,-525l11741,5343xe" fillcolor="#f36a2e" stroked="f">
              <v:path arrowok="t"/>
            </v:shape>
            <v:shape id="_x0000_s2594" style="position:absolute;left:11741;top:4925;width:165;height:501" coordorigin="11741,4926" coordsize="165,501" path="m11741,4926r,500l11906,5426r,-485l11741,4926xe" fillcolor="#49783f" stroked="f">
              <v:path arrowok="t"/>
            </v:shape>
            <v:shape id="_x0000_s2593" style="position:absolute;left:11741;top:5781;width:165;height:268" coordorigin="11741,5782" coordsize="165,268" path="m11906,5782r-165,8l11741,6039r165,10l11906,5782xe" fillcolor="#f99f2a" stroked="f">
              <v:path arrowok="t"/>
            </v:shape>
            <v:shape id="_x0000_s2592" style="position:absolute;left:11741;top:6023;width:165;height:707" coordorigin="11741,6023" coordsize="165,707" path="m11741,6023r,706l11906,6729r,-690l11741,6023xe" fillcolor="#ef412c" stroked="f">
              <v:path arrowok="t"/>
            </v:shape>
            <w10:wrap anchorx="page" anchory="page"/>
          </v:group>
        </w:pict>
      </w:r>
    </w:p>
    <w:p w14:paraId="57A8F8D3" w14:textId="77777777" w:rsidR="00EF5B27" w:rsidRDefault="00EF5B27">
      <w:pPr>
        <w:pStyle w:val="BodyText"/>
      </w:pPr>
    </w:p>
    <w:p w14:paraId="085E8C73" w14:textId="77777777" w:rsidR="00EF5B27" w:rsidRDefault="00EF5B27">
      <w:pPr>
        <w:pStyle w:val="BodyText"/>
      </w:pPr>
    </w:p>
    <w:p w14:paraId="2E3ECA6E" w14:textId="77777777" w:rsidR="00EF5B27" w:rsidRDefault="00EF5B27">
      <w:pPr>
        <w:pStyle w:val="BodyText"/>
      </w:pPr>
    </w:p>
    <w:p w14:paraId="39E8AFB5" w14:textId="77777777" w:rsidR="00EF5B27" w:rsidRDefault="00EF5B27">
      <w:pPr>
        <w:pStyle w:val="BodyText"/>
        <w:spacing w:before="5"/>
        <w:rPr>
          <w:sz w:val="16"/>
        </w:rPr>
      </w:pPr>
    </w:p>
    <w:tbl>
      <w:tblPr>
        <w:tblW w:w="0" w:type="auto"/>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37"/>
        <w:gridCol w:w="1361"/>
        <w:gridCol w:w="737"/>
        <w:gridCol w:w="1474"/>
        <w:gridCol w:w="2041"/>
        <w:gridCol w:w="2154"/>
        <w:gridCol w:w="1134"/>
      </w:tblGrid>
      <w:tr w:rsidR="00EF5B27" w14:paraId="1859830D" w14:textId="77777777">
        <w:trPr>
          <w:trHeight w:val="732"/>
        </w:trPr>
        <w:tc>
          <w:tcPr>
            <w:tcW w:w="737" w:type="dxa"/>
            <w:tcBorders>
              <w:bottom w:val="single" w:sz="4" w:space="0" w:color="000000"/>
            </w:tcBorders>
            <w:shd w:val="clear" w:color="auto" w:fill="FECC91"/>
          </w:tcPr>
          <w:p w14:paraId="2EA9931D" w14:textId="77777777" w:rsidR="00EF5B27" w:rsidRDefault="00000000">
            <w:pPr>
              <w:pStyle w:val="TableParagraph"/>
              <w:spacing w:before="176"/>
              <w:ind w:left="162"/>
              <w:rPr>
                <w:b/>
                <w:sz w:val="16"/>
              </w:rPr>
            </w:pPr>
            <w:r>
              <w:rPr>
                <w:b/>
                <w:w w:val="105"/>
                <w:sz w:val="16"/>
              </w:rPr>
              <w:t>MNES</w:t>
            </w:r>
          </w:p>
          <w:p w14:paraId="3A7D89A4" w14:textId="77777777" w:rsidR="00EF5B27" w:rsidRDefault="00000000">
            <w:pPr>
              <w:pStyle w:val="TableParagraph"/>
              <w:spacing w:before="4"/>
              <w:ind w:left="104"/>
              <w:rPr>
                <w:b/>
                <w:sz w:val="16"/>
              </w:rPr>
            </w:pPr>
            <w:r>
              <w:rPr>
                <w:b/>
                <w:sz w:val="16"/>
              </w:rPr>
              <w:t>number</w:t>
            </w:r>
          </w:p>
        </w:tc>
        <w:tc>
          <w:tcPr>
            <w:tcW w:w="1361" w:type="dxa"/>
            <w:tcBorders>
              <w:bottom w:val="single" w:sz="4" w:space="0" w:color="000000"/>
            </w:tcBorders>
            <w:shd w:val="clear" w:color="auto" w:fill="FECC91"/>
          </w:tcPr>
          <w:p w14:paraId="7D1624B4" w14:textId="77777777" w:rsidR="00EF5B27" w:rsidRDefault="00EF5B27">
            <w:pPr>
              <w:pStyle w:val="TableParagraph"/>
              <w:spacing w:before="7"/>
            </w:pPr>
          </w:p>
          <w:p w14:paraId="558AFC35" w14:textId="77777777" w:rsidR="00EF5B27" w:rsidRDefault="00000000">
            <w:pPr>
              <w:pStyle w:val="TableParagraph"/>
              <w:ind w:left="268"/>
              <w:rPr>
                <w:b/>
                <w:sz w:val="16"/>
              </w:rPr>
            </w:pPr>
            <w:r>
              <w:rPr>
                <w:b/>
                <w:sz w:val="16"/>
              </w:rPr>
              <w:t>MNES name</w:t>
            </w:r>
          </w:p>
        </w:tc>
        <w:tc>
          <w:tcPr>
            <w:tcW w:w="737" w:type="dxa"/>
            <w:tcBorders>
              <w:bottom w:val="single" w:sz="4" w:space="0" w:color="000000"/>
            </w:tcBorders>
            <w:shd w:val="clear" w:color="auto" w:fill="FECC91"/>
          </w:tcPr>
          <w:p w14:paraId="4FFA6FF8" w14:textId="77777777" w:rsidR="00EF5B27" w:rsidRDefault="00000000">
            <w:pPr>
              <w:pStyle w:val="TableParagraph"/>
              <w:spacing w:before="176"/>
              <w:ind w:left="79" w:right="75"/>
              <w:jc w:val="center"/>
              <w:rPr>
                <w:b/>
                <w:sz w:val="16"/>
              </w:rPr>
            </w:pPr>
            <w:r>
              <w:rPr>
                <w:b/>
                <w:w w:val="110"/>
                <w:sz w:val="16"/>
              </w:rPr>
              <w:t>KPI</w:t>
            </w:r>
          </w:p>
          <w:p w14:paraId="55A65A74" w14:textId="77777777" w:rsidR="00EF5B27" w:rsidRDefault="00000000">
            <w:pPr>
              <w:pStyle w:val="TableParagraph"/>
              <w:spacing w:before="4"/>
              <w:ind w:left="79" w:right="74"/>
              <w:jc w:val="center"/>
              <w:rPr>
                <w:b/>
                <w:sz w:val="16"/>
              </w:rPr>
            </w:pPr>
            <w:r>
              <w:rPr>
                <w:b/>
                <w:sz w:val="16"/>
              </w:rPr>
              <w:t>number</w:t>
            </w:r>
          </w:p>
        </w:tc>
        <w:tc>
          <w:tcPr>
            <w:tcW w:w="1474" w:type="dxa"/>
            <w:tcBorders>
              <w:bottom w:val="single" w:sz="4" w:space="0" w:color="000000"/>
            </w:tcBorders>
            <w:shd w:val="clear" w:color="auto" w:fill="FECC91"/>
          </w:tcPr>
          <w:p w14:paraId="69E8FA6A" w14:textId="77777777" w:rsidR="00EF5B27" w:rsidRDefault="00EF5B27">
            <w:pPr>
              <w:pStyle w:val="TableParagraph"/>
              <w:spacing w:before="7"/>
            </w:pPr>
          </w:p>
          <w:p w14:paraId="29DBB264" w14:textId="77777777" w:rsidR="00EF5B27" w:rsidRDefault="00000000">
            <w:pPr>
              <w:pStyle w:val="TableParagraph"/>
              <w:ind w:left="124" w:right="120"/>
              <w:jc w:val="center"/>
              <w:rPr>
                <w:b/>
                <w:sz w:val="16"/>
              </w:rPr>
            </w:pPr>
            <w:r>
              <w:rPr>
                <w:b/>
                <w:w w:val="105"/>
                <w:sz w:val="16"/>
              </w:rPr>
              <w:t>KPI type</w:t>
            </w:r>
          </w:p>
        </w:tc>
        <w:tc>
          <w:tcPr>
            <w:tcW w:w="2041" w:type="dxa"/>
            <w:tcBorders>
              <w:bottom w:val="single" w:sz="4" w:space="0" w:color="000000"/>
            </w:tcBorders>
            <w:shd w:val="clear" w:color="auto" w:fill="FECC91"/>
          </w:tcPr>
          <w:p w14:paraId="6C575FCC" w14:textId="77777777" w:rsidR="00EF5B27" w:rsidRDefault="00EF5B27">
            <w:pPr>
              <w:pStyle w:val="TableParagraph"/>
              <w:spacing w:before="7"/>
            </w:pPr>
          </w:p>
          <w:p w14:paraId="6F02FB29" w14:textId="77777777" w:rsidR="00EF5B27" w:rsidRDefault="00000000">
            <w:pPr>
              <w:pStyle w:val="TableParagraph"/>
              <w:ind w:left="154" w:right="150"/>
              <w:jc w:val="center"/>
              <w:rPr>
                <w:b/>
                <w:sz w:val="16"/>
              </w:rPr>
            </w:pPr>
            <w:r>
              <w:rPr>
                <w:b/>
                <w:sz w:val="16"/>
              </w:rPr>
              <w:t>Location</w:t>
            </w:r>
          </w:p>
        </w:tc>
        <w:tc>
          <w:tcPr>
            <w:tcW w:w="2154" w:type="dxa"/>
            <w:tcBorders>
              <w:bottom w:val="single" w:sz="4" w:space="0" w:color="000000"/>
            </w:tcBorders>
            <w:shd w:val="clear" w:color="auto" w:fill="FECC91"/>
          </w:tcPr>
          <w:p w14:paraId="606A3D04" w14:textId="77777777" w:rsidR="00EF5B27" w:rsidRDefault="00000000">
            <w:pPr>
              <w:pStyle w:val="TableParagraph"/>
              <w:spacing w:before="176" w:line="244" w:lineRule="auto"/>
              <w:ind w:left="735" w:hanging="342"/>
              <w:rPr>
                <w:b/>
                <w:sz w:val="16"/>
              </w:rPr>
            </w:pPr>
            <w:r>
              <w:rPr>
                <w:b/>
                <w:sz w:val="16"/>
              </w:rPr>
              <w:t>Threshold of impact (negative)</w:t>
            </w:r>
          </w:p>
        </w:tc>
        <w:tc>
          <w:tcPr>
            <w:tcW w:w="1134" w:type="dxa"/>
            <w:tcBorders>
              <w:bottom w:val="single" w:sz="4" w:space="0" w:color="000000"/>
            </w:tcBorders>
            <w:shd w:val="clear" w:color="auto" w:fill="FECC91"/>
          </w:tcPr>
          <w:p w14:paraId="66B3BCA9" w14:textId="77777777" w:rsidR="00EF5B27" w:rsidRDefault="00000000">
            <w:pPr>
              <w:pStyle w:val="TableParagraph"/>
              <w:spacing w:before="176" w:line="244" w:lineRule="auto"/>
              <w:ind w:left="147" w:right="96" w:firstLine="31"/>
              <w:rPr>
                <w:b/>
                <w:sz w:val="16"/>
              </w:rPr>
            </w:pPr>
            <w:r>
              <w:rPr>
                <w:b/>
                <w:sz w:val="16"/>
              </w:rPr>
              <w:t>Outcome at 28 Feb 2022</w:t>
            </w:r>
          </w:p>
        </w:tc>
      </w:tr>
      <w:tr w:rsidR="00EF5B27" w14:paraId="36089BC3" w14:textId="77777777">
        <w:trPr>
          <w:trHeight w:val="845"/>
        </w:trPr>
        <w:tc>
          <w:tcPr>
            <w:tcW w:w="737" w:type="dxa"/>
            <w:tcBorders>
              <w:top w:val="single" w:sz="4" w:space="0" w:color="000000"/>
            </w:tcBorders>
          </w:tcPr>
          <w:p w14:paraId="3D055387" w14:textId="77777777" w:rsidR="00EF5B27" w:rsidRDefault="00EF5B27">
            <w:pPr>
              <w:pStyle w:val="TableParagraph"/>
              <w:rPr>
                <w:sz w:val="16"/>
              </w:rPr>
            </w:pPr>
          </w:p>
          <w:p w14:paraId="106238AA" w14:textId="77777777" w:rsidR="00EF5B27" w:rsidRDefault="00EF5B27">
            <w:pPr>
              <w:pStyle w:val="TableParagraph"/>
              <w:spacing w:before="2"/>
              <w:rPr>
                <w:sz w:val="12"/>
              </w:rPr>
            </w:pPr>
          </w:p>
          <w:p w14:paraId="23248456" w14:textId="77777777" w:rsidR="00EF5B27" w:rsidRDefault="00000000">
            <w:pPr>
              <w:pStyle w:val="TableParagraph"/>
              <w:ind w:left="5"/>
              <w:jc w:val="center"/>
              <w:rPr>
                <w:sz w:val="14"/>
              </w:rPr>
            </w:pPr>
            <w:r>
              <w:rPr>
                <w:color w:val="4D4D4F"/>
                <w:w w:val="96"/>
                <w:sz w:val="14"/>
              </w:rPr>
              <w:t>1</w:t>
            </w:r>
          </w:p>
        </w:tc>
        <w:tc>
          <w:tcPr>
            <w:tcW w:w="1361" w:type="dxa"/>
            <w:tcBorders>
              <w:top w:val="single" w:sz="4" w:space="0" w:color="000000"/>
            </w:tcBorders>
          </w:tcPr>
          <w:p w14:paraId="4AF5A205" w14:textId="77777777" w:rsidR="00EF5B27" w:rsidRDefault="00EF5B27">
            <w:pPr>
              <w:pStyle w:val="TableParagraph"/>
              <w:spacing w:before="9"/>
              <w:rPr>
                <w:sz w:val="20"/>
              </w:rPr>
            </w:pPr>
          </w:p>
          <w:p w14:paraId="4C557E4B" w14:textId="77777777" w:rsidR="00EF5B27" w:rsidRDefault="00000000">
            <w:pPr>
              <w:pStyle w:val="TableParagraph"/>
              <w:spacing w:line="252" w:lineRule="auto"/>
              <w:ind w:left="377" w:hanging="255"/>
              <w:rPr>
                <w:sz w:val="14"/>
              </w:rPr>
            </w:pPr>
            <w:r>
              <w:rPr>
                <w:color w:val="4D4D4F"/>
                <w:sz w:val="14"/>
              </w:rPr>
              <w:t xml:space="preserve">Natural Temperate </w:t>
            </w:r>
            <w:r>
              <w:rPr>
                <w:color w:val="4D4D4F"/>
                <w:w w:val="105"/>
                <w:sz w:val="14"/>
              </w:rPr>
              <w:t>Grassland</w:t>
            </w:r>
          </w:p>
        </w:tc>
        <w:tc>
          <w:tcPr>
            <w:tcW w:w="737" w:type="dxa"/>
            <w:tcBorders>
              <w:top w:val="single" w:sz="4" w:space="0" w:color="000000"/>
            </w:tcBorders>
          </w:tcPr>
          <w:p w14:paraId="06DAF358" w14:textId="77777777" w:rsidR="00EF5B27" w:rsidRDefault="00EF5B27">
            <w:pPr>
              <w:pStyle w:val="TableParagraph"/>
              <w:rPr>
                <w:sz w:val="16"/>
              </w:rPr>
            </w:pPr>
          </w:p>
          <w:p w14:paraId="18B62042" w14:textId="77777777" w:rsidR="00EF5B27" w:rsidRDefault="00EF5B27">
            <w:pPr>
              <w:pStyle w:val="TableParagraph"/>
              <w:spacing w:before="2"/>
              <w:rPr>
                <w:sz w:val="12"/>
              </w:rPr>
            </w:pPr>
          </w:p>
          <w:p w14:paraId="1E003AAD" w14:textId="77777777" w:rsidR="00EF5B27" w:rsidRDefault="00000000">
            <w:pPr>
              <w:pStyle w:val="TableParagraph"/>
              <w:ind w:left="4"/>
              <w:jc w:val="center"/>
              <w:rPr>
                <w:sz w:val="14"/>
              </w:rPr>
            </w:pPr>
            <w:r>
              <w:rPr>
                <w:color w:val="4D4D4F"/>
                <w:w w:val="96"/>
                <w:sz w:val="14"/>
              </w:rPr>
              <w:t>7</w:t>
            </w:r>
          </w:p>
        </w:tc>
        <w:tc>
          <w:tcPr>
            <w:tcW w:w="1474" w:type="dxa"/>
            <w:tcBorders>
              <w:top w:val="single" w:sz="4" w:space="0" w:color="000000"/>
            </w:tcBorders>
          </w:tcPr>
          <w:p w14:paraId="09D7C941" w14:textId="77777777" w:rsidR="00EF5B27" w:rsidRDefault="00EF5B27">
            <w:pPr>
              <w:pStyle w:val="TableParagraph"/>
              <w:rPr>
                <w:sz w:val="16"/>
              </w:rPr>
            </w:pPr>
          </w:p>
          <w:p w14:paraId="36508440" w14:textId="77777777" w:rsidR="00EF5B27" w:rsidRDefault="00EF5B27">
            <w:pPr>
              <w:pStyle w:val="TableParagraph"/>
              <w:spacing w:before="2"/>
              <w:rPr>
                <w:sz w:val="12"/>
              </w:rPr>
            </w:pPr>
          </w:p>
          <w:p w14:paraId="49EE6996" w14:textId="77777777" w:rsidR="00EF5B27" w:rsidRDefault="00000000">
            <w:pPr>
              <w:pStyle w:val="TableParagraph"/>
              <w:ind w:left="124" w:right="120"/>
              <w:jc w:val="center"/>
              <w:rPr>
                <w:sz w:val="14"/>
              </w:rPr>
            </w:pPr>
            <w:r>
              <w:rPr>
                <w:color w:val="4D4D4F"/>
                <w:sz w:val="14"/>
              </w:rPr>
              <w:t>Weeds</w:t>
            </w:r>
          </w:p>
        </w:tc>
        <w:tc>
          <w:tcPr>
            <w:tcW w:w="2041" w:type="dxa"/>
            <w:tcBorders>
              <w:top w:val="single" w:sz="4" w:space="0" w:color="000000"/>
            </w:tcBorders>
          </w:tcPr>
          <w:p w14:paraId="5A556D44" w14:textId="77777777" w:rsidR="00EF5B27" w:rsidRDefault="00EF5B27">
            <w:pPr>
              <w:pStyle w:val="TableParagraph"/>
              <w:rPr>
                <w:sz w:val="16"/>
              </w:rPr>
            </w:pPr>
          </w:p>
          <w:p w14:paraId="1A4DB860" w14:textId="77777777" w:rsidR="00EF5B27" w:rsidRDefault="00EF5B27">
            <w:pPr>
              <w:pStyle w:val="TableParagraph"/>
              <w:spacing w:before="2"/>
              <w:rPr>
                <w:sz w:val="12"/>
              </w:rPr>
            </w:pPr>
          </w:p>
          <w:p w14:paraId="32A6F937" w14:textId="77777777" w:rsidR="00EF5B27" w:rsidRDefault="00000000">
            <w:pPr>
              <w:pStyle w:val="TableParagraph"/>
              <w:ind w:left="153" w:right="150"/>
              <w:jc w:val="center"/>
              <w:rPr>
                <w:sz w:val="14"/>
              </w:rPr>
            </w:pPr>
            <w:r>
              <w:rPr>
                <w:rFonts w:ascii="Arial Narrow"/>
                <w:i/>
                <w:color w:val="4D4D4F"/>
                <w:w w:val="110"/>
                <w:sz w:val="14"/>
              </w:rPr>
              <w:t xml:space="preserve">Themeda </w:t>
            </w:r>
            <w:r>
              <w:rPr>
                <w:color w:val="4D4D4F"/>
                <w:w w:val="110"/>
                <w:sz w:val="14"/>
              </w:rPr>
              <w:t>grassland</w:t>
            </w:r>
          </w:p>
        </w:tc>
        <w:tc>
          <w:tcPr>
            <w:tcW w:w="2154" w:type="dxa"/>
            <w:tcBorders>
              <w:top w:val="single" w:sz="4" w:space="0" w:color="000000"/>
            </w:tcBorders>
          </w:tcPr>
          <w:p w14:paraId="4AB3919D" w14:textId="77777777" w:rsidR="00EF5B27" w:rsidRDefault="00000000">
            <w:pPr>
              <w:pStyle w:val="TableParagraph"/>
              <w:spacing w:before="74" w:line="252" w:lineRule="auto"/>
              <w:ind w:left="128" w:right="122"/>
              <w:jc w:val="center"/>
              <w:rPr>
                <w:sz w:val="14"/>
              </w:rPr>
            </w:pPr>
            <w:r>
              <w:rPr>
                <w:color w:val="4D4D4F"/>
                <w:sz w:val="14"/>
              </w:rPr>
              <w:t>KPI measure 95% confidence interval falls above the baseline (this is assumed, although hasn't been explicitly stated)</w:t>
            </w:r>
          </w:p>
        </w:tc>
        <w:tc>
          <w:tcPr>
            <w:tcW w:w="1134" w:type="dxa"/>
            <w:tcBorders>
              <w:top w:val="single" w:sz="4" w:space="0" w:color="000000"/>
            </w:tcBorders>
          </w:tcPr>
          <w:p w14:paraId="65E61DAF" w14:textId="77777777" w:rsidR="00EF5B27" w:rsidRDefault="00EF5B27">
            <w:pPr>
              <w:pStyle w:val="TableParagraph"/>
              <w:rPr>
                <w:sz w:val="16"/>
              </w:rPr>
            </w:pPr>
          </w:p>
          <w:p w14:paraId="480DA0C2" w14:textId="77777777" w:rsidR="00EF5B27" w:rsidRDefault="00EF5B27">
            <w:pPr>
              <w:pStyle w:val="TableParagraph"/>
              <w:spacing w:before="2"/>
              <w:rPr>
                <w:sz w:val="12"/>
              </w:rPr>
            </w:pPr>
          </w:p>
          <w:p w14:paraId="4DDD18AE" w14:textId="77777777" w:rsidR="00EF5B27" w:rsidRDefault="00000000">
            <w:pPr>
              <w:pStyle w:val="TableParagraph"/>
              <w:ind w:left="456"/>
              <w:rPr>
                <w:sz w:val="14"/>
              </w:rPr>
            </w:pPr>
            <w:r>
              <w:rPr>
                <w:color w:val="4D4D4F"/>
                <w:sz w:val="14"/>
              </w:rPr>
              <w:t>Met</w:t>
            </w:r>
          </w:p>
        </w:tc>
      </w:tr>
      <w:tr w:rsidR="00EF5B27" w14:paraId="445E3805" w14:textId="77777777">
        <w:trPr>
          <w:trHeight w:val="845"/>
        </w:trPr>
        <w:tc>
          <w:tcPr>
            <w:tcW w:w="737" w:type="dxa"/>
          </w:tcPr>
          <w:p w14:paraId="034C456F" w14:textId="77777777" w:rsidR="00EF5B27" w:rsidRDefault="00EF5B27">
            <w:pPr>
              <w:pStyle w:val="TableParagraph"/>
              <w:rPr>
                <w:sz w:val="16"/>
              </w:rPr>
            </w:pPr>
          </w:p>
          <w:p w14:paraId="201072A4" w14:textId="77777777" w:rsidR="00EF5B27" w:rsidRDefault="00EF5B27">
            <w:pPr>
              <w:pStyle w:val="TableParagraph"/>
              <w:spacing w:before="2"/>
              <w:rPr>
                <w:sz w:val="12"/>
              </w:rPr>
            </w:pPr>
          </w:p>
          <w:p w14:paraId="320AC3B7" w14:textId="77777777" w:rsidR="00EF5B27" w:rsidRDefault="00000000">
            <w:pPr>
              <w:pStyle w:val="TableParagraph"/>
              <w:ind w:left="4"/>
              <w:jc w:val="center"/>
              <w:rPr>
                <w:sz w:val="14"/>
              </w:rPr>
            </w:pPr>
            <w:r>
              <w:rPr>
                <w:color w:val="4D4D4F"/>
                <w:w w:val="96"/>
                <w:sz w:val="14"/>
              </w:rPr>
              <w:t>1</w:t>
            </w:r>
          </w:p>
        </w:tc>
        <w:tc>
          <w:tcPr>
            <w:tcW w:w="1361" w:type="dxa"/>
          </w:tcPr>
          <w:p w14:paraId="62030E8F" w14:textId="77777777" w:rsidR="00EF5B27" w:rsidRDefault="00EF5B27">
            <w:pPr>
              <w:pStyle w:val="TableParagraph"/>
              <w:spacing w:before="9"/>
              <w:rPr>
                <w:sz w:val="20"/>
              </w:rPr>
            </w:pPr>
          </w:p>
          <w:p w14:paraId="2A525DF1" w14:textId="77777777" w:rsidR="00EF5B27" w:rsidRDefault="00000000">
            <w:pPr>
              <w:pStyle w:val="TableParagraph"/>
              <w:spacing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34EA9FCC" w14:textId="77777777" w:rsidR="00EF5B27" w:rsidRDefault="00EF5B27">
            <w:pPr>
              <w:pStyle w:val="TableParagraph"/>
              <w:rPr>
                <w:sz w:val="16"/>
              </w:rPr>
            </w:pPr>
          </w:p>
          <w:p w14:paraId="28012642" w14:textId="77777777" w:rsidR="00EF5B27" w:rsidRDefault="00EF5B27">
            <w:pPr>
              <w:pStyle w:val="TableParagraph"/>
              <w:spacing w:before="2"/>
              <w:rPr>
                <w:sz w:val="12"/>
              </w:rPr>
            </w:pPr>
          </w:p>
          <w:p w14:paraId="4F2580F3" w14:textId="77777777" w:rsidR="00EF5B27" w:rsidRDefault="00000000">
            <w:pPr>
              <w:pStyle w:val="TableParagraph"/>
              <w:ind w:left="3"/>
              <w:jc w:val="center"/>
              <w:rPr>
                <w:sz w:val="14"/>
              </w:rPr>
            </w:pPr>
            <w:r>
              <w:rPr>
                <w:color w:val="4D4D4F"/>
                <w:w w:val="96"/>
                <w:sz w:val="14"/>
              </w:rPr>
              <w:t>7</w:t>
            </w:r>
          </w:p>
        </w:tc>
        <w:tc>
          <w:tcPr>
            <w:tcW w:w="1474" w:type="dxa"/>
          </w:tcPr>
          <w:p w14:paraId="6CD0D559" w14:textId="77777777" w:rsidR="00EF5B27" w:rsidRDefault="00EF5B27">
            <w:pPr>
              <w:pStyle w:val="TableParagraph"/>
              <w:rPr>
                <w:sz w:val="16"/>
              </w:rPr>
            </w:pPr>
          </w:p>
          <w:p w14:paraId="2295A6D4" w14:textId="77777777" w:rsidR="00EF5B27" w:rsidRDefault="00EF5B27">
            <w:pPr>
              <w:pStyle w:val="TableParagraph"/>
              <w:spacing w:before="2"/>
              <w:rPr>
                <w:sz w:val="12"/>
              </w:rPr>
            </w:pPr>
          </w:p>
          <w:p w14:paraId="622DD147" w14:textId="77777777" w:rsidR="00EF5B27" w:rsidRDefault="00000000">
            <w:pPr>
              <w:pStyle w:val="TableParagraph"/>
              <w:ind w:left="123" w:right="120"/>
              <w:jc w:val="center"/>
              <w:rPr>
                <w:sz w:val="14"/>
              </w:rPr>
            </w:pPr>
            <w:r>
              <w:rPr>
                <w:color w:val="4D4D4F"/>
                <w:sz w:val="14"/>
              </w:rPr>
              <w:t>Weeds</w:t>
            </w:r>
          </w:p>
        </w:tc>
        <w:tc>
          <w:tcPr>
            <w:tcW w:w="2041" w:type="dxa"/>
          </w:tcPr>
          <w:p w14:paraId="12C28ED3" w14:textId="77777777" w:rsidR="00EF5B27" w:rsidRDefault="00EF5B27">
            <w:pPr>
              <w:pStyle w:val="TableParagraph"/>
              <w:rPr>
                <w:sz w:val="16"/>
              </w:rPr>
            </w:pPr>
          </w:p>
          <w:p w14:paraId="4CEDFC0F" w14:textId="77777777" w:rsidR="00EF5B27" w:rsidRDefault="00EF5B27">
            <w:pPr>
              <w:pStyle w:val="TableParagraph"/>
              <w:spacing w:before="2"/>
              <w:rPr>
                <w:sz w:val="12"/>
              </w:rPr>
            </w:pPr>
          </w:p>
          <w:p w14:paraId="60EBA942" w14:textId="77777777" w:rsidR="00EF5B27" w:rsidRDefault="00000000">
            <w:pPr>
              <w:pStyle w:val="TableParagraph"/>
              <w:ind w:left="153" w:right="150"/>
              <w:jc w:val="center"/>
              <w:rPr>
                <w:sz w:val="14"/>
              </w:rPr>
            </w:pPr>
            <w:r>
              <w:rPr>
                <w:color w:val="4D4D4F"/>
                <w:w w:val="105"/>
                <w:sz w:val="14"/>
              </w:rPr>
              <w:t>Nutrient-enriched grassland</w:t>
            </w:r>
          </w:p>
        </w:tc>
        <w:tc>
          <w:tcPr>
            <w:tcW w:w="2154" w:type="dxa"/>
          </w:tcPr>
          <w:p w14:paraId="4BC932B3" w14:textId="77777777" w:rsidR="00EF5B27" w:rsidRDefault="00000000">
            <w:pPr>
              <w:pStyle w:val="TableParagraph"/>
              <w:spacing w:before="74" w:line="252" w:lineRule="auto"/>
              <w:ind w:left="128" w:right="122"/>
              <w:jc w:val="center"/>
              <w:rPr>
                <w:sz w:val="14"/>
              </w:rPr>
            </w:pPr>
            <w:r>
              <w:rPr>
                <w:color w:val="4D4D4F"/>
                <w:sz w:val="14"/>
              </w:rPr>
              <w:t>KPI measure 95% confidence interval falls above the baseline (this is assumed, although hasn't been explicitly stated)</w:t>
            </w:r>
          </w:p>
        </w:tc>
        <w:tc>
          <w:tcPr>
            <w:tcW w:w="1134" w:type="dxa"/>
          </w:tcPr>
          <w:p w14:paraId="00AAE22F" w14:textId="77777777" w:rsidR="00EF5B27" w:rsidRDefault="00EF5B27">
            <w:pPr>
              <w:pStyle w:val="TableParagraph"/>
              <w:rPr>
                <w:sz w:val="16"/>
              </w:rPr>
            </w:pPr>
          </w:p>
          <w:p w14:paraId="36B3E0CB" w14:textId="77777777" w:rsidR="00EF5B27" w:rsidRDefault="00EF5B27">
            <w:pPr>
              <w:pStyle w:val="TableParagraph"/>
              <w:spacing w:before="2"/>
              <w:rPr>
                <w:sz w:val="12"/>
              </w:rPr>
            </w:pPr>
          </w:p>
          <w:p w14:paraId="2DC39CAC" w14:textId="77777777" w:rsidR="00EF5B27" w:rsidRDefault="00000000">
            <w:pPr>
              <w:pStyle w:val="TableParagraph"/>
              <w:ind w:left="456"/>
              <w:rPr>
                <w:sz w:val="14"/>
              </w:rPr>
            </w:pPr>
            <w:r>
              <w:rPr>
                <w:color w:val="4D4D4F"/>
                <w:sz w:val="14"/>
              </w:rPr>
              <w:t>Met</w:t>
            </w:r>
          </w:p>
        </w:tc>
      </w:tr>
      <w:tr w:rsidR="00EF5B27" w14:paraId="4E86AE33" w14:textId="77777777">
        <w:trPr>
          <w:trHeight w:val="845"/>
        </w:trPr>
        <w:tc>
          <w:tcPr>
            <w:tcW w:w="737" w:type="dxa"/>
          </w:tcPr>
          <w:p w14:paraId="6D97E0DE" w14:textId="77777777" w:rsidR="00EF5B27" w:rsidRDefault="00EF5B27">
            <w:pPr>
              <w:pStyle w:val="TableParagraph"/>
              <w:rPr>
                <w:sz w:val="16"/>
              </w:rPr>
            </w:pPr>
          </w:p>
          <w:p w14:paraId="769AA8AB" w14:textId="77777777" w:rsidR="00EF5B27" w:rsidRDefault="00EF5B27">
            <w:pPr>
              <w:pStyle w:val="TableParagraph"/>
              <w:spacing w:before="2"/>
              <w:rPr>
                <w:sz w:val="12"/>
              </w:rPr>
            </w:pPr>
          </w:p>
          <w:p w14:paraId="2645AA6C" w14:textId="77777777" w:rsidR="00EF5B27" w:rsidRDefault="00000000">
            <w:pPr>
              <w:pStyle w:val="TableParagraph"/>
              <w:ind w:left="4"/>
              <w:jc w:val="center"/>
              <w:rPr>
                <w:sz w:val="14"/>
              </w:rPr>
            </w:pPr>
            <w:r>
              <w:rPr>
                <w:color w:val="4D4D4F"/>
                <w:w w:val="96"/>
                <w:sz w:val="14"/>
              </w:rPr>
              <w:t>3</w:t>
            </w:r>
          </w:p>
        </w:tc>
        <w:tc>
          <w:tcPr>
            <w:tcW w:w="1361" w:type="dxa"/>
          </w:tcPr>
          <w:p w14:paraId="59A7C647" w14:textId="77777777" w:rsidR="00EF5B27" w:rsidRDefault="00EF5B27">
            <w:pPr>
              <w:pStyle w:val="TableParagraph"/>
              <w:spacing w:before="5"/>
              <w:rPr>
                <w:sz w:val="13"/>
              </w:rPr>
            </w:pPr>
          </w:p>
          <w:p w14:paraId="146E71DB" w14:textId="77777777" w:rsidR="00EF5B27" w:rsidRDefault="00000000">
            <w:pPr>
              <w:pStyle w:val="TableParagraph"/>
              <w:spacing w:line="252" w:lineRule="auto"/>
              <w:ind w:left="324" w:right="317"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6C128CC9" w14:textId="77777777" w:rsidR="00EF5B27" w:rsidRDefault="00EF5B27">
            <w:pPr>
              <w:pStyle w:val="TableParagraph"/>
              <w:rPr>
                <w:sz w:val="16"/>
              </w:rPr>
            </w:pPr>
          </w:p>
          <w:p w14:paraId="1EAFFDFF" w14:textId="77777777" w:rsidR="00EF5B27" w:rsidRDefault="00EF5B27">
            <w:pPr>
              <w:pStyle w:val="TableParagraph"/>
              <w:spacing w:before="2"/>
              <w:rPr>
                <w:sz w:val="12"/>
              </w:rPr>
            </w:pPr>
          </w:p>
          <w:p w14:paraId="60AFE698" w14:textId="77777777" w:rsidR="00EF5B27" w:rsidRDefault="00000000">
            <w:pPr>
              <w:pStyle w:val="TableParagraph"/>
              <w:ind w:left="4"/>
              <w:jc w:val="center"/>
              <w:rPr>
                <w:sz w:val="14"/>
              </w:rPr>
            </w:pPr>
            <w:r>
              <w:rPr>
                <w:color w:val="4D4D4F"/>
                <w:w w:val="96"/>
                <w:sz w:val="14"/>
              </w:rPr>
              <w:t>1</w:t>
            </w:r>
          </w:p>
        </w:tc>
        <w:tc>
          <w:tcPr>
            <w:tcW w:w="1474" w:type="dxa"/>
          </w:tcPr>
          <w:p w14:paraId="572E2F95" w14:textId="77777777" w:rsidR="00EF5B27" w:rsidRDefault="00EF5B27">
            <w:pPr>
              <w:pStyle w:val="TableParagraph"/>
              <w:spacing w:before="9"/>
              <w:rPr>
                <w:sz w:val="20"/>
              </w:rPr>
            </w:pPr>
          </w:p>
          <w:p w14:paraId="21E44338" w14:textId="77777777" w:rsidR="00EF5B27" w:rsidRDefault="00000000">
            <w:pPr>
              <w:pStyle w:val="TableParagraph"/>
              <w:spacing w:line="252" w:lineRule="auto"/>
              <w:ind w:left="490" w:hanging="406"/>
              <w:rPr>
                <w:sz w:val="14"/>
              </w:rPr>
            </w:pPr>
            <w:r>
              <w:rPr>
                <w:color w:val="4D4D4F"/>
                <w:w w:val="105"/>
                <w:sz w:val="14"/>
              </w:rPr>
              <w:t>Forb-richness spring- summer</w:t>
            </w:r>
          </w:p>
        </w:tc>
        <w:tc>
          <w:tcPr>
            <w:tcW w:w="2041" w:type="dxa"/>
          </w:tcPr>
          <w:p w14:paraId="4CF377E3" w14:textId="77777777" w:rsidR="00EF5B27" w:rsidRDefault="00EF5B27">
            <w:pPr>
              <w:pStyle w:val="TableParagraph"/>
              <w:spacing w:before="9"/>
              <w:rPr>
                <w:sz w:val="20"/>
              </w:rPr>
            </w:pPr>
          </w:p>
          <w:p w14:paraId="334B1050" w14:textId="77777777" w:rsidR="00EF5B27" w:rsidRDefault="00000000">
            <w:pPr>
              <w:pStyle w:val="TableParagraph"/>
              <w:spacing w:line="252" w:lineRule="auto"/>
              <w:ind w:left="515" w:right="50" w:hanging="343"/>
              <w:rPr>
                <w:sz w:val="14"/>
              </w:rPr>
            </w:pPr>
            <w:r>
              <w:rPr>
                <w:color w:val="4D4D4F"/>
                <w:w w:val="105"/>
                <w:sz w:val="14"/>
              </w:rPr>
              <w:t>Western Grassland Reserve, Cobbledicks Rise</w:t>
            </w:r>
          </w:p>
        </w:tc>
        <w:tc>
          <w:tcPr>
            <w:tcW w:w="2154" w:type="dxa"/>
          </w:tcPr>
          <w:p w14:paraId="61BDA686" w14:textId="77777777" w:rsidR="00EF5B27" w:rsidRDefault="00EF5B27">
            <w:pPr>
              <w:pStyle w:val="TableParagraph"/>
              <w:spacing w:before="9"/>
              <w:rPr>
                <w:sz w:val="20"/>
              </w:rPr>
            </w:pPr>
          </w:p>
          <w:p w14:paraId="43AA5E3D" w14:textId="77777777" w:rsidR="00EF5B27" w:rsidRDefault="00000000">
            <w:pPr>
              <w:pStyle w:val="TableParagraph"/>
              <w:spacing w:line="252" w:lineRule="auto"/>
              <w:ind w:left="133" w:firstLine="87"/>
              <w:rPr>
                <w:sz w:val="14"/>
              </w:rPr>
            </w:pPr>
            <w:r>
              <w:rPr>
                <w:color w:val="4D4D4F"/>
                <w:w w:val="105"/>
                <w:sz w:val="14"/>
              </w:rPr>
              <w:t>KPI measure 95% confidence interval falls below the baseline</w:t>
            </w:r>
          </w:p>
        </w:tc>
        <w:tc>
          <w:tcPr>
            <w:tcW w:w="1134" w:type="dxa"/>
          </w:tcPr>
          <w:p w14:paraId="79EE11CA" w14:textId="77777777" w:rsidR="00EF5B27" w:rsidRDefault="00EF5B27">
            <w:pPr>
              <w:pStyle w:val="TableParagraph"/>
              <w:rPr>
                <w:sz w:val="16"/>
              </w:rPr>
            </w:pPr>
          </w:p>
          <w:p w14:paraId="3D2D6519" w14:textId="77777777" w:rsidR="00EF5B27" w:rsidRDefault="00EF5B27">
            <w:pPr>
              <w:pStyle w:val="TableParagraph"/>
              <w:spacing w:before="2"/>
              <w:rPr>
                <w:sz w:val="12"/>
              </w:rPr>
            </w:pPr>
          </w:p>
          <w:p w14:paraId="118C4D85" w14:textId="77777777" w:rsidR="00EF5B27" w:rsidRDefault="00000000">
            <w:pPr>
              <w:pStyle w:val="TableParagraph"/>
              <w:ind w:left="456"/>
              <w:rPr>
                <w:sz w:val="14"/>
              </w:rPr>
            </w:pPr>
            <w:r>
              <w:rPr>
                <w:color w:val="4D4D4F"/>
                <w:sz w:val="14"/>
              </w:rPr>
              <w:t>Met</w:t>
            </w:r>
          </w:p>
        </w:tc>
      </w:tr>
      <w:tr w:rsidR="00EF5B27" w14:paraId="58A359FB" w14:textId="77777777">
        <w:trPr>
          <w:trHeight w:val="845"/>
        </w:trPr>
        <w:tc>
          <w:tcPr>
            <w:tcW w:w="737" w:type="dxa"/>
          </w:tcPr>
          <w:p w14:paraId="1FD5ADED" w14:textId="77777777" w:rsidR="00EF5B27" w:rsidRDefault="00EF5B27">
            <w:pPr>
              <w:pStyle w:val="TableParagraph"/>
              <w:rPr>
                <w:sz w:val="16"/>
              </w:rPr>
            </w:pPr>
          </w:p>
          <w:p w14:paraId="637E16F1" w14:textId="77777777" w:rsidR="00EF5B27" w:rsidRDefault="00EF5B27">
            <w:pPr>
              <w:pStyle w:val="TableParagraph"/>
              <w:spacing w:before="2"/>
              <w:rPr>
                <w:sz w:val="12"/>
              </w:rPr>
            </w:pPr>
          </w:p>
          <w:p w14:paraId="7742FE14" w14:textId="77777777" w:rsidR="00EF5B27" w:rsidRDefault="00000000">
            <w:pPr>
              <w:pStyle w:val="TableParagraph"/>
              <w:ind w:left="4"/>
              <w:jc w:val="center"/>
              <w:rPr>
                <w:sz w:val="14"/>
              </w:rPr>
            </w:pPr>
            <w:r>
              <w:rPr>
                <w:color w:val="4D4D4F"/>
                <w:w w:val="96"/>
                <w:sz w:val="14"/>
              </w:rPr>
              <w:t>3</w:t>
            </w:r>
          </w:p>
        </w:tc>
        <w:tc>
          <w:tcPr>
            <w:tcW w:w="1361" w:type="dxa"/>
          </w:tcPr>
          <w:p w14:paraId="601A3FFF" w14:textId="77777777" w:rsidR="00EF5B27" w:rsidRDefault="00EF5B27">
            <w:pPr>
              <w:pStyle w:val="TableParagraph"/>
              <w:spacing w:before="5"/>
              <w:rPr>
                <w:sz w:val="13"/>
              </w:rPr>
            </w:pPr>
          </w:p>
          <w:p w14:paraId="6A1607DB" w14:textId="77777777" w:rsidR="00EF5B27" w:rsidRDefault="00000000">
            <w:pPr>
              <w:pStyle w:val="TableParagraph"/>
              <w:spacing w:line="252" w:lineRule="auto"/>
              <w:ind w:left="324" w:right="317"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6A383DD0" w14:textId="77777777" w:rsidR="00EF5B27" w:rsidRDefault="00EF5B27">
            <w:pPr>
              <w:pStyle w:val="TableParagraph"/>
              <w:rPr>
                <w:sz w:val="16"/>
              </w:rPr>
            </w:pPr>
          </w:p>
          <w:p w14:paraId="0AA84BED" w14:textId="77777777" w:rsidR="00EF5B27" w:rsidRDefault="00EF5B27">
            <w:pPr>
              <w:pStyle w:val="TableParagraph"/>
              <w:spacing w:before="2"/>
              <w:rPr>
                <w:sz w:val="12"/>
              </w:rPr>
            </w:pPr>
          </w:p>
          <w:p w14:paraId="75758422" w14:textId="77777777" w:rsidR="00EF5B27" w:rsidRDefault="00000000">
            <w:pPr>
              <w:pStyle w:val="TableParagraph"/>
              <w:ind w:left="4"/>
              <w:jc w:val="center"/>
              <w:rPr>
                <w:sz w:val="14"/>
              </w:rPr>
            </w:pPr>
            <w:r>
              <w:rPr>
                <w:color w:val="4D4D4F"/>
                <w:w w:val="96"/>
                <w:sz w:val="14"/>
              </w:rPr>
              <w:t>1</w:t>
            </w:r>
          </w:p>
        </w:tc>
        <w:tc>
          <w:tcPr>
            <w:tcW w:w="1474" w:type="dxa"/>
          </w:tcPr>
          <w:p w14:paraId="385AFFAB" w14:textId="77777777" w:rsidR="00EF5B27" w:rsidRDefault="00EF5B27">
            <w:pPr>
              <w:pStyle w:val="TableParagraph"/>
              <w:spacing w:before="9"/>
              <w:rPr>
                <w:sz w:val="20"/>
              </w:rPr>
            </w:pPr>
          </w:p>
          <w:p w14:paraId="160F0B94" w14:textId="77777777" w:rsidR="00EF5B27" w:rsidRDefault="00000000">
            <w:pPr>
              <w:pStyle w:val="TableParagraph"/>
              <w:spacing w:line="252" w:lineRule="auto"/>
              <w:ind w:left="490" w:hanging="406"/>
              <w:rPr>
                <w:sz w:val="14"/>
              </w:rPr>
            </w:pPr>
            <w:r>
              <w:rPr>
                <w:color w:val="4D4D4F"/>
                <w:w w:val="105"/>
                <w:sz w:val="14"/>
              </w:rPr>
              <w:t>Forb-richness spring- summer</w:t>
            </w:r>
          </w:p>
        </w:tc>
        <w:tc>
          <w:tcPr>
            <w:tcW w:w="2041" w:type="dxa"/>
          </w:tcPr>
          <w:p w14:paraId="5A3BF90B" w14:textId="77777777" w:rsidR="00EF5B27" w:rsidRDefault="00EF5B27">
            <w:pPr>
              <w:pStyle w:val="TableParagraph"/>
              <w:spacing w:before="9"/>
              <w:rPr>
                <w:sz w:val="20"/>
              </w:rPr>
            </w:pPr>
          </w:p>
          <w:p w14:paraId="49CDF163" w14:textId="77777777" w:rsidR="00EF5B27" w:rsidRDefault="00000000">
            <w:pPr>
              <w:pStyle w:val="TableParagraph"/>
              <w:spacing w:line="252" w:lineRule="auto"/>
              <w:ind w:left="615" w:right="50" w:hanging="444"/>
              <w:rPr>
                <w:sz w:val="14"/>
              </w:rPr>
            </w:pPr>
            <w:r>
              <w:rPr>
                <w:color w:val="4D4D4F"/>
                <w:w w:val="105"/>
                <w:sz w:val="14"/>
              </w:rPr>
              <w:t>Western Grassland Reserve, Windmill Rise</w:t>
            </w:r>
          </w:p>
        </w:tc>
        <w:tc>
          <w:tcPr>
            <w:tcW w:w="2154" w:type="dxa"/>
          </w:tcPr>
          <w:p w14:paraId="7CB24D5C" w14:textId="77777777" w:rsidR="00EF5B27" w:rsidRDefault="00EF5B27">
            <w:pPr>
              <w:pStyle w:val="TableParagraph"/>
              <w:spacing w:before="9"/>
              <w:rPr>
                <w:sz w:val="20"/>
              </w:rPr>
            </w:pPr>
          </w:p>
          <w:p w14:paraId="5F4EBFED" w14:textId="77777777" w:rsidR="00EF5B27" w:rsidRDefault="00000000">
            <w:pPr>
              <w:pStyle w:val="TableParagraph"/>
              <w:spacing w:line="252" w:lineRule="auto"/>
              <w:ind w:left="133" w:firstLine="87"/>
              <w:rPr>
                <w:sz w:val="14"/>
              </w:rPr>
            </w:pPr>
            <w:r>
              <w:rPr>
                <w:color w:val="4D4D4F"/>
                <w:w w:val="105"/>
                <w:sz w:val="14"/>
              </w:rPr>
              <w:t>KPI measure 95% confidence interval falls below the baseline</w:t>
            </w:r>
          </w:p>
        </w:tc>
        <w:tc>
          <w:tcPr>
            <w:tcW w:w="1134" w:type="dxa"/>
          </w:tcPr>
          <w:p w14:paraId="6B25CA86" w14:textId="77777777" w:rsidR="00EF5B27" w:rsidRDefault="00EF5B27">
            <w:pPr>
              <w:pStyle w:val="TableParagraph"/>
              <w:rPr>
                <w:sz w:val="16"/>
              </w:rPr>
            </w:pPr>
          </w:p>
          <w:p w14:paraId="23D7784F" w14:textId="77777777" w:rsidR="00EF5B27" w:rsidRDefault="00EF5B27">
            <w:pPr>
              <w:pStyle w:val="TableParagraph"/>
              <w:spacing w:before="2"/>
              <w:rPr>
                <w:sz w:val="12"/>
              </w:rPr>
            </w:pPr>
          </w:p>
          <w:p w14:paraId="1C2F2B78" w14:textId="77777777" w:rsidR="00EF5B27" w:rsidRDefault="00000000">
            <w:pPr>
              <w:pStyle w:val="TableParagraph"/>
              <w:ind w:left="457"/>
              <w:rPr>
                <w:sz w:val="14"/>
              </w:rPr>
            </w:pPr>
            <w:r>
              <w:rPr>
                <w:color w:val="4D4D4F"/>
                <w:sz w:val="14"/>
              </w:rPr>
              <w:t>Met</w:t>
            </w:r>
          </w:p>
        </w:tc>
      </w:tr>
      <w:tr w:rsidR="00EF5B27" w14:paraId="2556C4F4" w14:textId="77777777">
        <w:trPr>
          <w:trHeight w:val="845"/>
        </w:trPr>
        <w:tc>
          <w:tcPr>
            <w:tcW w:w="737" w:type="dxa"/>
          </w:tcPr>
          <w:p w14:paraId="0DBFE5A7" w14:textId="77777777" w:rsidR="00EF5B27" w:rsidRDefault="00EF5B27">
            <w:pPr>
              <w:pStyle w:val="TableParagraph"/>
              <w:rPr>
                <w:sz w:val="16"/>
              </w:rPr>
            </w:pPr>
          </w:p>
          <w:p w14:paraId="15D9E7A0" w14:textId="77777777" w:rsidR="00EF5B27" w:rsidRDefault="00EF5B27">
            <w:pPr>
              <w:pStyle w:val="TableParagraph"/>
              <w:spacing w:before="2"/>
              <w:rPr>
                <w:sz w:val="12"/>
              </w:rPr>
            </w:pPr>
          </w:p>
          <w:p w14:paraId="6397A231" w14:textId="77777777" w:rsidR="00EF5B27" w:rsidRDefault="00000000">
            <w:pPr>
              <w:pStyle w:val="TableParagraph"/>
              <w:ind w:left="5"/>
              <w:jc w:val="center"/>
              <w:rPr>
                <w:sz w:val="14"/>
              </w:rPr>
            </w:pPr>
            <w:r>
              <w:rPr>
                <w:color w:val="4D4D4F"/>
                <w:w w:val="96"/>
                <w:sz w:val="14"/>
              </w:rPr>
              <w:t>3</w:t>
            </w:r>
          </w:p>
        </w:tc>
        <w:tc>
          <w:tcPr>
            <w:tcW w:w="1361" w:type="dxa"/>
          </w:tcPr>
          <w:p w14:paraId="4B360D10" w14:textId="77777777" w:rsidR="00EF5B27" w:rsidRDefault="00EF5B27">
            <w:pPr>
              <w:pStyle w:val="TableParagraph"/>
              <w:spacing w:before="5"/>
              <w:rPr>
                <w:sz w:val="13"/>
              </w:rPr>
            </w:pPr>
          </w:p>
          <w:p w14:paraId="73A001CA" w14:textId="77777777" w:rsidR="00EF5B27" w:rsidRDefault="00000000">
            <w:pPr>
              <w:pStyle w:val="TableParagraph"/>
              <w:spacing w:line="252" w:lineRule="auto"/>
              <w:ind w:left="324" w:right="317"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5C71A090" w14:textId="77777777" w:rsidR="00EF5B27" w:rsidRDefault="00EF5B27">
            <w:pPr>
              <w:pStyle w:val="TableParagraph"/>
              <w:rPr>
                <w:sz w:val="16"/>
              </w:rPr>
            </w:pPr>
          </w:p>
          <w:p w14:paraId="0E2989A9" w14:textId="77777777" w:rsidR="00EF5B27" w:rsidRDefault="00EF5B27">
            <w:pPr>
              <w:pStyle w:val="TableParagraph"/>
              <w:spacing w:before="2"/>
              <w:rPr>
                <w:sz w:val="12"/>
              </w:rPr>
            </w:pPr>
          </w:p>
          <w:p w14:paraId="6A92C799" w14:textId="77777777" w:rsidR="00EF5B27" w:rsidRDefault="00000000">
            <w:pPr>
              <w:pStyle w:val="TableParagraph"/>
              <w:ind w:left="4"/>
              <w:jc w:val="center"/>
              <w:rPr>
                <w:sz w:val="14"/>
              </w:rPr>
            </w:pPr>
            <w:r>
              <w:rPr>
                <w:color w:val="4D4D4F"/>
                <w:w w:val="96"/>
                <w:sz w:val="14"/>
              </w:rPr>
              <w:t>1</w:t>
            </w:r>
          </w:p>
        </w:tc>
        <w:tc>
          <w:tcPr>
            <w:tcW w:w="1474" w:type="dxa"/>
          </w:tcPr>
          <w:p w14:paraId="1C00230F" w14:textId="77777777" w:rsidR="00EF5B27" w:rsidRDefault="00EF5B27">
            <w:pPr>
              <w:pStyle w:val="TableParagraph"/>
              <w:spacing w:before="9"/>
              <w:rPr>
                <w:sz w:val="20"/>
              </w:rPr>
            </w:pPr>
          </w:p>
          <w:p w14:paraId="4C4DAE32" w14:textId="77777777" w:rsidR="00EF5B27" w:rsidRDefault="00000000">
            <w:pPr>
              <w:pStyle w:val="TableParagraph"/>
              <w:spacing w:line="252" w:lineRule="auto"/>
              <w:ind w:left="490" w:hanging="406"/>
              <w:rPr>
                <w:sz w:val="14"/>
              </w:rPr>
            </w:pPr>
            <w:r>
              <w:rPr>
                <w:color w:val="4D4D4F"/>
                <w:w w:val="105"/>
                <w:sz w:val="14"/>
              </w:rPr>
              <w:t>Forb-richness spring- summer</w:t>
            </w:r>
          </w:p>
        </w:tc>
        <w:tc>
          <w:tcPr>
            <w:tcW w:w="2041" w:type="dxa"/>
          </w:tcPr>
          <w:p w14:paraId="5B209366" w14:textId="77777777" w:rsidR="00EF5B27" w:rsidRDefault="00EF5B27">
            <w:pPr>
              <w:pStyle w:val="TableParagraph"/>
              <w:spacing w:before="9"/>
              <w:rPr>
                <w:sz w:val="20"/>
              </w:rPr>
            </w:pPr>
          </w:p>
          <w:p w14:paraId="0BC384BA" w14:textId="77777777" w:rsidR="00EF5B27" w:rsidRDefault="00000000">
            <w:pPr>
              <w:pStyle w:val="TableParagraph"/>
              <w:spacing w:line="252" w:lineRule="auto"/>
              <w:ind w:left="612" w:right="50" w:hanging="440"/>
              <w:rPr>
                <w:sz w:val="14"/>
              </w:rPr>
            </w:pPr>
            <w:r>
              <w:rPr>
                <w:color w:val="4D4D4F"/>
                <w:sz w:val="14"/>
              </w:rPr>
              <w:t>Western Grassland Reserve, One Tree Rise</w:t>
            </w:r>
          </w:p>
        </w:tc>
        <w:tc>
          <w:tcPr>
            <w:tcW w:w="2154" w:type="dxa"/>
          </w:tcPr>
          <w:p w14:paraId="66C790C9" w14:textId="77777777" w:rsidR="00EF5B27" w:rsidRDefault="00EF5B27">
            <w:pPr>
              <w:pStyle w:val="TableParagraph"/>
              <w:spacing w:before="9"/>
              <w:rPr>
                <w:sz w:val="20"/>
              </w:rPr>
            </w:pPr>
          </w:p>
          <w:p w14:paraId="110A5839" w14:textId="77777777" w:rsidR="00EF5B27" w:rsidRDefault="00000000">
            <w:pPr>
              <w:pStyle w:val="TableParagraph"/>
              <w:spacing w:line="252" w:lineRule="auto"/>
              <w:ind w:left="133" w:firstLine="87"/>
              <w:rPr>
                <w:sz w:val="14"/>
              </w:rPr>
            </w:pPr>
            <w:r>
              <w:rPr>
                <w:color w:val="4D4D4F"/>
                <w:w w:val="105"/>
                <w:sz w:val="14"/>
              </w:rPr>
              <w:t>KPI measure 95% confidence interval falls below the baseline</w:t>
            </w:r>
          </w:p>
        </w:tc>
        <w:tc>
          <w:tcPr>
            <w:tcW w:w="1134" w:type="dxa"/>
          </w:tcPr>
          <w:p w14:paraId="54E73715" w14:textId="77777777" w:rsidR="00EF5B27" w:rsidRDefault="00EF5B27">
            <w:pPr>
              <w:pStyle w:val="TableParagraph"/>
              <w:rPr>
                <w:sz w:val="16"/>
              </w:rPr>
            </w:pPr>
          </w:p>
          <w:p w14:paraId="4538F932" w14:textId="77777777" w:rsidR="00EF5B27" w:rsidRDefault="00EF5B27">
            <w:pPr>
              <w:pStyle w:val="TableParagraph"/>
              <w:spacing w:before="2"/>
              <w:rPr>
                <w:sz w:val="12"/>
              </w:rPr>
            </w:pPr>
          </w:p>
          <w:p w14:paraId="35BCC177" w14:textId="77777777" w:rsidR="00EF5B27" w:rsidRDefault="00000000">
            <w:pPr>
              <w:pStyle w:val="TableParagraph"/>
              <w:ind w:left="457"/>
              <w:rPr>
                <w:sz w:val="14"/>
              </w:rPr>
            </w:pPr>
            <w:r>
              <w:rPr>
                <w:color w:val="4D4D4F"/>
                <w:sz w:val="14"/>
              </w:rPr>
              <w:t>Met</w:t>
            </w:r>
          </w:p>
        </w:tc>
      </w:tr>
      <w:tr w:rsidR="00EF5B27" w14:paraId="30852041" w14:textId="77777777">
        <w:trPr>
          <w:trHeight w:val="845"/>
        </w:trPr>
        <w:tc>
          <w:tcPr>
            <w:tcW w:w="737" w:type="dxa"/>
          </w:tcPr>
          <w:p w14:paraId="0CCE8C80" w14:textId="77777777" w:rsidR="00EF5B27" w:rsidRDefault="00EF5B27">
            <w:pPr>
              <w:pStyle w:val="TableParagraph"/>
              <w:rPr>
                <w:sz w:val="16"/>
              </w:rPr>
            </w:pPr>
          </w:p>
          <w:p w14:paraId="6AF0C564" w14:textId="77777777" w:rsidR="00EF5B27" w:rsidRDefault="00EF5B27">
            <w:pPr>
              <w:pStyle w:val="TableParagraph"/>
              <w:spacing w:before="1"/>
              <w:rPr>
                <w:sz w:val="12"/>
              </w:rPr>
            </w:pPr>
          </w:p>
          <w:p w14:paraId="31D184B1" w14:textId="77777777" w:rsidR="00EF5B27" w:rsidRDefault="00000000">
            <w:pPr>
              <w:pStyle w:val="TableParagraph"/>
              <w:spacing w:before="1"/>
              <w:ind w:left="5"/>
              <w:jc w:val="center"/>
              <w:rPr>
                <w:sz w:val="14"/>
              </w:rPr>
            </w:pPr>
            <w:r>
              <w:rPr>
                <w:color w:val="4D4D4F"/>
                <w:w w:val="96"/>
                <w:sz w:val="14"/>
              </w:rPr>
              <w:t>3</w:t>
            </w:r>
          </w:p>
        </w:tc>
        <w:tc>
          <w:tcPr>
            <w:tcW w:w="1361" w:type="dxa"/>
          </w:tcPr>
          <w:p w14:paraId="4DDC3B6A" w14:textId="77777777" w:rsidR="00EF5B27" w:rsidRDefault="00EF5B27">
            <w:pPr>
              <w:pStyle w:val="TableParagraph"/>
              <w:spacing w:before="5"/>
              <w:rPr>
                <w:sz w:val="13"/>
              </w:rPr>
            </w:pPr>
          </w:p>
          <w:p w14:paraId="14E0256E" w14:textId="77777777" w:rsidR="00EF5B27" w:rsidRDefault="00000000">
            <w:pPr>
              <w:pStyle w:val="TableParagraph"/>
              <w:spacing w:line="252" w:lineRule="auto"/>
              <w:ind w:left="324" w:right="317"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7608B138" w14:textId="77777777" w:rsidR="00EF5B27" w:rsidRDefault="00EF5B27">
            <w:pPr>
              <w:pStyle w:val="TableParagraph"/>
              <w:rPr>
                <w:sz w:val="16"/>
              </w:rPr>
            </w:pPr>
          </w:p>
          <w:p w14:paraId="46839D64" w14:textId="77777777" w:rsidR="00EF5B27" w:rsidRDefault="00EF5B27">
            <w:pPr>
              <w:pStyle w:val="TableParagraph"/>
              <w:spacing w:before="1"/>
              <w:rPr>
                <w:sz w:val="12"/>
              </w:rPr>
            </w:pPr>
          </w:p>
          <w:p w14:paraId="4239DC78" w14:textId="77777777" w:rsidR="00EF5B27" w:rsidRDefault="00000000">
            <w:pPr>
              <w:pStyle w:val="TableParagraph"/>
              <w:spacing w:before="1"/>
              <w:ind w:left="4"/>
              <w:jc w:val="center"/>
              <w:rPr>
                <w:sz w:val="14"/>
              </w:rPr>
            </w:pPr>
            <w:r>
              <w:rPr>
                <w:color w:val="4D4D4F"/>
                <w:w w:val="96"/>
                <w:sz w:val="14"/>
              </w:rPr>
              <w:t>3</w:t>
            </w:r>
          </w:p>
        </w:tc>
        <w:tc>
          <w:tcPr>
            <w:tcW w:w="1474" w:type="dxa"/>
          </w:tcPr>
          <w:p w14:paraId="40CBCAF3" w14:textId="77777777" w:rsidR="00EF5B27" w:rsidRDefault="00EF5B27">
            <w:pPr>
              <w:pStyle w:val="TableParagraph"/>
              <w:spacing w:before="9"/>
              <w:rPr>
                <w:sz w:val="20"/>
              </w:rPr>
            </w:pPr>
          </w:p>
          <w:p w14:paraId="6535A092" w14:textId="77777777" w:rsidR="00EF5B27" w:rsidRDefault="00000000">
            <w:pPr>
              <w:pStyle w:val="TableParagraph"/>
              <w:spacing w:line="252" w:lineRule="auto"/>
              <w:ind w:left="490" w:right="284" w:hanging="182"/>
              <w:rPr>
                <w:sz w:val="14"/>
              </w:rPr>
            </w:pPr>
            <w:r>
              <w:rPr>
                <w:color w:val="4D4D4F"/>
                <w:w w:val="105"/>
                <w:sz w:val="14"/>
              </w:rPr>
              <w:t>Weeds spring- summer</w:t>
            </w:r>
          </w:p>
        </w:tc>
        <w:tc>
          <w:tcPr>
            <w:tcW w:w="2041" w:type="dxa"/>
          </w:tcPr>
          <w:p w14:paraId="555DE824" w14:textId="77777777" w:rsidR="00EF5B27" w:rsidRDefault="00EF5B27">
            <w:pPr>
              <w:pStyle w:val="TableParagraph"/>
              <w:spacing w:before="9"/>
              <w:rPr>
                <w:sz w:val="20"/>
              </w:rPr>
            </w:pPr>
          </w:p>
          <w:p w14:paraId="0E9F8486" w14:textId="77777777" w:rsidR="00EF5B27" w:rsidRDefault="00000000">
            <w:pPr>
              <w:pStyle w:val="TableParagraph"/>
              <w:spacing w:line="252" w:lineRule="auto"/>
              <w:ind w:left="515" w:right="50" w:hanging="343"/>
              <w:rPr>
                <w:sz w:val="14"/>
              </w:rPr>
            </w:pPr>
            <w:r>
              <w:rPr>
                <w:color w:val="4D4D4F"/>
                <w:w w:val="105"/>
                <w:sz w:val="14"/>
              </w:rPr>
              <w:t>Western Grassland Reserve, Cobbledicks Rise</w:t>
            </w:r>
          </w:p>
        </w:tc>
        <w:tc>
          <w:tcPr>
            <w:tcW w:w="2154" w:type="dxa"/>
          </w:tcPr>
          <w:p w14:paraId="18ABBB2F" w14:textId="77777777" w:rsidR="00EF5B27" w:rsidRDefault="00EF5B27">
            <w:pPr>
              <w:pStyle w:val="TableParagraph"/>
              <w:spacing w:before="9"/>
              <w:rPr>
                <w:sz w:val="20"/>
              </w:rPr>
            </w:pPr>
          </w:p>
          <w:p w14:paraId="0F38BDE3" w14:textId="77777777" w:rsidR="00EF5B27" w:rsidRDefault="00000000">
            <w:pPr>
              <w:pStyle w:val="TableParagraph"/>
              <w:spacing w:line="252" w:lineRule="auto"/>
              <w:ind w:left="133" w:right="107" w:firstLine="88"/>
              <w:rPr>
                <w:sz w:val="14"/>
              </w:rPr>
            </w:pPr>
            <w:r>
              <w:rPr>
                <w:color w:val="4D4D4F"/>
                <w:w w:val="105"/>
                <w:sz w:val="14"/>
              </w:rPr>
              <w:t>KPI measure 95% confidence interval falls above the baseline</w:t>
            </w:r>
          </w:p>
        </w:tc>
        <w:tc>
          <w:tcPr>
            <w:tcW w:w="1134" w:type="dxa"/>
          </w:tcPr>
          <w:p w14:paraId="0ED96FB4" w14:textId="77777777" w:rsidR="00EF5B27" w:rsidRDefault="00EF5B27">
            <w:pPr>
              <w:pStyle w:val="TableParagraph"/>
              <w:rPr>
                <w:sz w:val="16"/>
              </w:rPr>
            </w:pPr>
          </w:p>
          <w:p w14:paraId="469F15BF" w14:textId="77777777" w:rsidR="00EF5B27" w:rsidRDefault="00EF5B27">
            <w:pPr>
              <w:pStyle w:val="TableParagraph"/>
              <w:spacing w:before="1"/>
              <w:rPr>
                <w:sz w:val="12"/>
              </w:rPr>
            </w:pPr>
          </w:p>
          <w:p w14:paraId="6012138E" w14:textId="77777777" w:rsidR="00EF5B27" w:rsidRDefault="00000000">
            <w:pPr>
              <w:pStyle w:val="TableParagraph"/>
              <w:spacing w:before="1"/>
              <w:ind w:left="457"/>
              <w:rPr>
                <w:sz w:val="14"/>
              </w:rPr>
            </w:pPr>
            <w:r>
              <w:rPr>
                <w:color w:val="4D4D4F"/>
                <w:sz w:val="14"/>
              </w:rPr>
              <w:t>Met</w:t>
            </w:r>
          </w:p>
        </w:tc>
      </w:tr>
      <w:tr w:rsidR="00EF5B27" w14:paraId="167FCD70" w14:textId="77777777">
        <w:trPr>
          <w:trHeight w:val="845"/>
        </w:trPr>
        <w:tc>
          <w:tcPr>
            <w:tcW w:w="737" w:type="dxa"/>
          </w:tcPr>
          <w:p w14:paraId="7E332624" w14:textId="77777777" w:rsidR="00EF5B27" w:rsidRDefault="00EF5B27">
            <w:pPr>
              <w:pStyle w:val="TableParagraph"/>
              <w:rPr>
                <w:sz w:val="16"/>
              </w:rPr>
            </w:pPr>
          </w:p>
          <w:p w14:paraId="0B4B2CB1" w14:textId="77777777" w:rsidR="00EF5B27" w:rsidRDefault="00EF5B27">
            <w:pPr>
              <w:pStyle w:val="TableParagraph"/>
              <w:spacing w:before="1"/>
              <w:rPr>
                <w:sz w:val="12"/>
              </w:rPr>
            </w:pPr>
          </w:p>
          <w:p w14:paraId="5DFE2E48" w14:textId="77777777" w:rsidR="00EF5B27" w:rsidRDefault="00000000">
            <w:pPr>
              <w:pStyle w:val="TableParagraph"/>
              <w:spacing w:before="1"/>
              <w:ind w:left="5"/>
              <w:jc w:val="center"/>
              <w:rPr>
                <w:sz w:val="14"/>
              </w:rPr>
            </w:pPr>
            <w:r>
              <w:rPr>
                <w:color w:val="4D4D4F"/>
                <w:w w:val="96"/>
                <w:sz w:val="14"/>
              </w:rPr>
              <w:t>3</w:t>
            </w:r>
          </w:p>
        </w:tc>
        <w:tc>
          <w:tcPr>
            <w:tcW w:w="1361" w:type="dxa"/>
          </w:tcPr>
          <w:p w14:paraId="7B4271E5" w14:textId="77777777" w:rsidR="00EF5B27" w:rsidRDefault="00EF5B27">
            <w:pPr>
              <w:pStyle w:val="TableParagraph"/>
              <w:spacing w:before="5"/>
              <w:rPr>
                <w:sz w:val="13"/>
              </w:rPr>
            </w:pPr>
          </w:p>
          <w:p w14:paraId="3F18540E" w14:textId="77777777" w:rsidR="00EF5B27" w:rsidRDefault="00000000">
            <w:pPr>
              <w:pStyle w:val="TableParagraph"/>
              <w:spacing w:line="252" w:lineRule="auto"/>
              <w:ind w:left="324" w:right="317"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235D6C4A" w14:textId="77777777" w:rsidR="00EF5B27" w:rsidRDefault="00EF5B27">
            <w:pPr>
              <w:pStyle w:val="TableParagraph"/>
              <w:rPr>
                <w:sz w:val="16"/>
              </w:rPr>
            </w:pPr>
          </w:p>
          <w:p w14:paraId="52100622" w14:textId="77777777" w:rsidR="00EF5B27" w:rsidRDefault="00EF5B27">
            <w:pPr>
              <w:pStyle w:val="TableParagraph"/>
              <w:spacing w:before="1"/>
              <w:rPr>
                <w:sz w:val="12"/>
              </w:rPr>
            </w:pPr>
          </w:p>
          <w:p w14:paraId="4BC8297B" w14:textId="77777777" w:rsidR="00EF5B27" w:rsidRDefault="00000000">
            <w:pPr>
              <w:pStyle w:val="TableParagraph"/>
              <w:spacing w:before="1"/>
              <w:ind w:left="4"/>
              <w:jc w:val="center"/>
              <w:rPr>
                <w:sz w:val="14"/>
              </w:rPr>
            </w:pPr>
            <w:r>
              <w:rPr>
                <w:color w:val="4D4D4F"/>
                <w:w w:val="96"/>
                <w:sz w:val="14"/>
              </w:rPr>
              <w:t>3</w:t>
            </w:r>
          </w:p>
        </w:tc>
        <w:tc>
          <w:tcPr>
            <w:tcW w:w="1474" w:type="dxa"/>
          </w:tcPr>
          <w:p w14:paraId="58EC396F" w14:textId="77777777" w:rsidR="00EF5B27" w:rsidRDefault="00EF5B27">
            <w:pPr>
              <w:pStyle w:val="TableParagraph"/>
              <w:spacing w:before="9"/>
              <w:rPr>
                <w:sz w:val="20"/>
              </w:rPr>
            </w:pPr>
          </w:p>
          <w:p w14:paraId="79644AC9" w14:textId="77777777" w:rsidR="00EF5B27" w:rsidRDefault="00000000">
            <w:pPr>
              <w:pStyle w:val="TableParagraph"/>
              <w:spacing w:line="252" w:lineRule="auto"/>
              <w:ind w:left="491" w:right="283" w:hanging="182"/>
              <w:rPr>
                <w:sz w:val="14"/>
              </w:rPr>
            </w:pPr>
            <w:r>
              <w:rPr>
                <w:color w:val="4D4D4F"/>
                <w:w w:val="105"/>
                <w:sz w:val="14"/>
              </w:rPr>
              <w:t>Weeds spring- summer</w:t>
            </w:r>
          </w:p>
        </w:tc>
        <w:tc>
          <w:tcPr>
            <w:tcW w:w="2041" w:type="dxa"/>
          </w:tcPr>
          <w:p w14:paraId="1795FDB4" w14:textId="77777777" w:rsidR="00EF5B27" w:rsidRDefault="00EF5B27">
            <w:pPr>
              <w:pStyle w:val="TableParagraph"/>
              <w:spacing w:before="9"/>
              <w:rPr>
                <w:sz w:val="20"/>
              </w:rPr>
            </w:pPr>
          </w:p>
          <w:p w14:paraId="70329F74" w14:textId="77777777" w:rsidR="00EF5B27" w:rsidRDefault="00000000">
            <w:pPr>
              <w:pStyle w:val="TableParagraph"/>
              <w:spacing w:line="252" w:lineRule="auto"/>
              <w:ind w:left="616" w:right="50" w:hanging="444"/>
              <w:rPr>
                <w:sz w:val="14"/>
              </w:rPr>
            </w:pPr>
            <w:r>
              <w:rPr>
                <w:color w:val="4D4D4F"/>
                <w:w w:val="105"/>
                <w:sz w:val="14"/>
              </w:rPr>
              <w:t>Western Grassland Reserve, Windmill Rise</w:t>
            </w:r>
          </w:p>
        </w:tc>
        <w:tc>
          <w:tcPr>
            <w:tcW w:w="2154" w:type="dxa"/>
          </w:tcPr>
          <w:p w14:paraId="611C26C4" w14:textId="77777777" w:rsidR="00EF5B27" w:rsidRDefault="00EF5B27">
            <w:pPr>
              <w:pStyle w:val="TableParagraph"/>
              <w:spacing w:before="9"/>
              <w:rPr>
                <w:sz w:val="20"/>
              </w:rPr>
            </w:pPr>
          </w:p>
          <w:p w14:paraId="10081056" w14:textId="77777777" w:rsidR="00EF5B27" w:rsidRDefault="00000000">
            <w:pPr>
              <w:pStyle w:val="TableParagraph"/>
              <w:spacing w:line="252" w:lineRule="auto"/>
              <w:ind w:left="133" w:right="107" w:firstLine="88"/>
              <w:rPr>
                <w:sz w:val="14"/>
              </w:rPr>
            </w:pPr>
            <w:r>
              <w:rPr>
                <w:color w:val="4D4D4F"/>
                <w:w w:val="105"/>
                <w:sz w:val="14"/>
              </w:rPr>
              <w:t>KPI measure 95% confidence interval falls above the baseline</w:t>
            </w:r>
          </w:p>
        </w:tc>
        <w:tc>
          <w:tcPr>
            <w:tcW w:w="1134" w:type="dxa"/>
          </w:tcPr>
          <w:p w14:paraId="206772A2" w14:textId="77777777" w:rsidR="00EF5B27" w:rsidRDefault="00EF5B27">
            <w:pPr>
              <w:pStyle w:val="TableParagraph"/>
              <w:rPr>
                <w:sz w:val="16"/>
              </w:rPr>
            </w:pPr>
          </w:p>
          <w:p w14:paraId="3BA57DF4" w14:textId="77777777" w:rsidR="00EF5B27" w:rsidRDefault="00EF5B27">
            <w:pPr>
              <w:pStyle w:val="TableParagraph"/>
              <w:spacing w:before="1"/>
              <w:rPr>
                <w:sz w:val="12"/>
              </w:rPr>
            </w:pPr>
          </w:p>
          <w:p w14:paraId="56DDCFF5" w14:textId="77777777" w:rsidR="00EF5B27" w:rsidRDefault="00000000">
            <w:pPr>
              <w:pStyle w:val="TableParagraph"/>
              <w:spacing w:before="1"/>
              <w:ind w:left="457"/>
              <w:rPr>
                <w:sz w:val="14"/>
              </w:rPr>
            </w:pPr>
            <w:r>
              <w:rPr>
                <w:color w:val="4D4D4F"/>
                <w:sz w:val="14"/>
              </w:rPr>
              <w:t>Met</w:t>
            </w:r>
          </w:p>
        </w:tc>
      </w:tr>
      <w:tr w:rsidR="00EF5B27" w14:paraId="7592CFBC" w14:textId="77777777">
        <w:trPr>
          <w:trHeight w:val="845"/>
        </w:trPr>
        <w:tc>
          <w:tcPr>
            <w:tcW w:w="737" w:type="dxa"/>
          </w:tcPr>
          <w:p w14:paraId="3FF8F696" w14:textId="77777777" w:rsidR="00EF5B27" w:rsidRDefault="00EF5B27">
            <w:pPr>
              <w:pStyle w:val="TableParagraph"/>
              <w:rPr>
                <w:sz w:val="16"/>
              </w:rPr>
            </w:pPr>
          </w:p>
          <w:p w14:paraId="4D18BB79" w14:textId="77777777" w:rsidR="00EF5B27" w:rsidRDefault="00EF5B27">
            <w:pPr>
              <w:pStyle w:val="TableParagraph"/>
              <w:spacing w:before="1"/>
              <w:rPr>
                <w:sz w:val="12"/>
              </w:rPr>
            </w:pPr>
          </w:p>
          <w:p w14:paraId="48DCE8C6" w14:textId="77777777" w:rsidR="00EF5B27" w:rsidRDefault="00000000">
            <w:pPr>
              <w:pStyle w:val="TableParagraph"/>
              <w:spacing w:before="1"/>
              <w:ind w:left="5"/>
              <w:jc w:val="center"/>
              <w:rPr>
                <w:sz w:val="14"/>
              </w:rPr>
            </w:pPr>
            <w:r>
              <w:rPr>
                <w:color w:val="4D4D4F"/>
                <w:w w:val="96"/>
                <w:sz w:val="14"/>
              </w:rPr>
              <w:t>3</w:t>
            </w:r>
          </w:p>
        </w:tc>
        <w:tc>
          <w:tcPr>
            <w:tcW w:w="1361" w:type="dxa"/>
          </w:tcPr>
          <w:p w14:paraId="5DDAC946" w14:textId="77777777" w:rsidR="00EF5B27" w:rsidRDefault="00EF5B27">
            <w:pPr>
              <w:pStyle w:val="TableParagraph"/>
              <w:spacing w:before="4"/>
              <w:rPr>
                <w:sz w:val="13"/>
              </w:rPr>
            </w:pPr>
          </w:p>
          <w:p w14:paraId="2D685800" w14:textId="77777777" w:rsidR="00EF5B27" w:rsidRDefault="00000000">
            <w:pPr>
              <w:pStyle w:val="TableParagraph"/>
              <w:spacing w:before="1" w:line="252" w:lineRule="auto"/>
              <w:ind w:left="324" w:right="317"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1704BC1D" w14:textId="77777777" w:rsidR="00EF5B27" w:rsidRDefault="00EF5B27">
            <w:pPr>
              <w:pStyle w:val="TableParagraph"/>
              <w:rPr>
                <w:sz w:val="16"/>
              </w:rPr>
            </w:pPr>
          </w:p>
          <w:p w14:paraId="2BB15C49" w14:textId="77777777" w:rsidR="00EF5B27" w:rsidRDefault="00EF5B27">
            <w:pPr>
              <w:pStyle w:val="TableParagraph"/>
              <w:spacing w:before="1"/>
              <w:rPr>
                <w:sz w:val="12"/>
              </w:rPr>
            </w:pPr>
          </w:p>
          <w:p w14:paraId="4E2E1564" w14:textId="77777777" w:rsidR="00EF5B27" w:rsidRDefault="00000000">
            <w:pPr>
              <w:pStyle w:val="TableParagraph"/>
              <w:spacing w:before="1"/>
              <w:ind w:left="5"/>
              <w:jc w:val="center"/>
              <w:rPr>
                <w:sz w:val="14"/>
              </w:rPr>
            </w:pPr>
            <w:r>
              <w:rPr>
                <w:color w:val="4D4D4F"/>
                <w:w w:val="96"/>
                <w:sz w:val="14"/>
              </w:rPr>
              <w:t>3</w:t>
            </w:r>
          </w:p>
        </w:tc>
        <w:tc>
          <w:tcPr>
            <w:tcW w:w="1474" w:type="dxa"/>
          </w:tcPr>
          <w:p w14:paraId="58F771FF" w14:textId="77777777" w:rsidR="00EF5B27" w:rsidRDefault="00EF5B27">
            <w:pPr>
              <w:pStyle w:val="TableParagraph"/>
              <w:spacing w:before="9"/>
              <w:rPr>
                <w:sz w:val="20"/>
              </w:rPr>
            </w:pPr>
          </w:p>
          <w:p w14:paraId="27DD2738" w14:textId="77777777" w:rsidR="00EF5B27" w:rsidRDefault="00000000">
            <w:pPr>
              <w:pStyle w:val="TableParagraph"/>
              <w:spacing w:line="252" w:lineRule="auto"/>
              <w:ind w:left="491" w:right="283" w:hanging="182"/>
              <w:rPr>
                <w:sz w:val="14"/>
              </w:rPr>
            </w:pPr>
            <w:r>
              <w:rPr>
                <w:color w:val="4D4D4F"/>
                <w:w w:val="105"/>
                <w:sz w:val="14"/>
              </w:rPr>
              <w:t>Weeds spring- summer</w:t>
            </w:r>
          </w:p>
        </w:tc>
        <w:tc>
          <w:tcPr>
            <w:tcW w:w="2041" w:type="dxa"/>
          </w:tcPr>
          <w:p w14:paraId="6A36522D" w14:textId="77777777" w:rsidR="00EF5B27" w:rsidRDefault="00EF5B27">
            <w:pPr>
              <w:pStyle w:val="TableParagraph"/>
              <w:spacing w:before="9"/>
              <w:rPr>
                <w:sz w:val="20"/>
              </w:rPr>
            </w:pPr>
          </w:p>
          <w:p w14:paraId="40FB8973" w14:textId="77777777" w:rsidR="00EF5B27" w:rsidRDefault="00000000">
            <w:pPr>
              <w:pStyle w:val="TableParagraph"/>
              <w:spacing w:line="252" w:lineRule="auto"/>
              <w:ind w:left="613" w:right="50" w:hanging="440"/>
              <w:rPr>
                <w:sz w:val="14"/>
              </w:rPr>
            </w:pPr>
            <w:r>
              <w:rPr>
                <w:color w:val="4D4D4F"/>
                <w:sz w:val="14"/>
              </w:rPr>
              <w:t>Western Grassland Reserve, One Tree Rise</w:t>
            </w:r>
          </w:p>
        </w:tc>
        <w:tc>
          <w:tcPr>
            <w:tcW w:w="2154" w:type="dxa"/>
          </w:tcPr>
          <w:p w14:paraId="0CD4D959" w14:textId="77777777" w:rsidR="00EF5B27" w:rsidRDefault="00EF5B27">
            <w:pPr>
              <w:pStyle w:val="TableParagraph"/>
              <w:spacing w:before="9"/>
              <w:rPr>
                <w:sz w:val="20"/>
              </w:rPr>
            </w:pPr>
          </w:p>
          <w:p w14:paraId="5CA2D344" w14:textId="77777777" w:rsidR="00EF5B27" w:rsidRDefault="00000000">
            <w:pPr>
              <w:pStyle w:val="TableParagraph"/>
              <w:spacing w:line="252" w:lineRule="auto"/>
              <w:ind w:left="133" w:right="107" w:firstLine="88"/>
              <w:rPr>
                <w:sz w:val="14"/>
              </w:rPr>
            </w:pPr>
            <w:r>
              <w:rPr>
                <w:color w:val="4D4D4F"/>
                <w:w w:val="105"/>
                <w:sz w:val="14"/>
              </w:rPr>
              <w:t>KPI measure 95% confidence interval falls above the baseline</w:t>
            </w:r>
          </w:p>
        </w:tc>
        <w:tc>
          <w:tcPr>
            <w:tcW w:w="1134" w:type="dxa"/>
          </w:tcPr>
          <w:p w14:paraId="6D8FD0C9" w14:textId="77777777" w:rsidR="00EF5B27" w:rsidRDefault="00EF5B27">
            <w:pPr>
              <w:pStyle w:val="TableParagraph"/>
              <w:rPr>
                <w:sz w:val="16"/>
              </w:rPr>
            </w:pPr>
          </w:p>
          <w:p w14:paraId="41499D3D" w14:textId="77777777" w:rsidR="00EF5B27" w:rsidRDefault="00EF5B27">
            <w:pPr>
              <w:pStyle w:val="TableParagraph"/>
              <w:spacing w:before="1"/>
              <w:rPr>
                <w:sz w:val="12"/>
              </w:rPr>
            </w:pPr>
          </w:p>
          <w:p w14:paraId="40220E7E" w14:textId="77777777" w:rsidR="00EF5B27" w:rsidRDefault="00000000">
            <w:pPr>
              <w:pStyle w:val="TableParagraph"/>
              <w:spacing w:before="1"/>
              <w:ind w:left="457"/>
              <w:rPr>
                <w:sz w:val="14"/>
              </w:rPr>
            </w:pPr>
            <w:r>
              <w:rPr>
                <w:color w:val="4D4D4F"/>
                <w:sz w:val="14"/>
              </w:rPr>
              <w:t>Met</w:t>
            </w:r>
          </w:p>
        </w:tc>
      </w:tr>
      <w:tr w:rsidR="00EF5B27" w14:paraId="3F9FDF3C" w14:textId="77777777">
        <w:trPr>
          <w:trHeight w:val="845"/>
        </w:trPr>
        <w:tc>
          <w:tcPr>
            <w:tcW w:w="737" w:type="dxa"/>
          </w:tcPr>
          <w:p w14:paraId="1C3868F1" w14:textId="77777777" w:rsidR="00EF5B27" w:rsidRDefault="00EF5B27">
            <w:pPr>
              <w:pStyle w:val="TableParagraph"/>
              <w:rPr>
                <w:sz w:val="16"/>
              </w:rPr>
            </w:pPr>
          </w:p>
          <w:p w14:paraId="3B1EB2F4" w14:textId="77777777" w:rsidR="00EF5B27" w:rsidRDefault="00EF5B27">
            <w:pPr>
              <w:pStyle w:val="TableParagraph"/>
              <w:spacing w:before="1"/>
              <w:rPr>
                <w:sz w:val="12"/>
              </w:rPr>
            </w:pPr>
          </w:p>
          <w:p w14:paraId="23C40678" w14:textId="77777777" w:rsidR="00EF5B27" w:rsidRDefault="00000000">
            <w:pPr>
              <w:pStyle w:val="TableParagraph"/>
              <w:spacing w:before="1"/>
              <w:ind w:left="79" w:right="77"/>
              <w:jc w:val="center"/>
              <w:rPr>
                <w:sz w:val="14"/>
              </w:rPr>
            </w:pPr>
            <w:r>
              <w:rPr>
                <w:color w:val="4D4D4F"/>
                <w:sz w:val="14"/>
              </w:rPr>
              <w:t>10</w:t>
            </w:r>
          </w:p>
        </w:tc>
        <w:tc>
          <w:tcPr>
            <w:tcW w:w="1361" w:type="dxa"/>
          </w:tcPr>
          <w:p w14:paraId="3238FC8A" w14:textId="77777777" w:rsidR="00EF5B27" w:rsidRDefault="00EF5B27">
            <w:pPr>
              <w:pStyle w:val="TableParagraph"/>
              <w:spacing w:before="9"/>
              <w:rPr>
                <w:sz w:val="20"/>
              </w:rPr>
            </w:pPr>
          </w:p>
          <w:p w14:paraId="4F3D16E5" w14:textId="77777777" w:rsidR="00EF5B27" w:rsidRDefault="00000000">
            <w:pPr>
              <w:pStyle w:val="TableParagraph"/>
              <w:spacing w:line="252" w:lineRule="auto"/>
              <w:ind w:left="495" w:hanging="278"/>
              <w:rPr>
                <w:sz w:val="14"/>
              </w:rPr>
            </w:pPr>
            <w:r>
              <w:rPr>
                <w:color w:val="4D4D4F"/>
                <w:w w:val="110"/>
                <w:sz w:val="14"/>
              </w:rPr>
              <w:t>Striped Legless Lizard</w:t>
            </w:r>
          </w:p>
        </w:tc>
        <w:tc>
          <w:tcPr>
            <w:tcW w:w="737" w:type="dxa"/>
          </w:tcPr>
          <w:p w14:paraId="75A42415" w14:textId="77777777" w:rsidR="00EF5B27" w:rsidRDefault="00EF5B27">
            <w:pPr>
              <w:pStyle w:val="TableParagraph"/>
              <w:rPr>
                <w:sz w:val="16"/>
              </w:rPr>
            </w:pPr>
          </w:p>
          <w:p w14:paraId="3509321D" w14:textId="77777777" w:rsidR="00EF5B27" w:rsidRDefault="00EF5B27">
            <w:pPr>
              <w:pStyle w:val="TableParagraph"/>
              <w:spacing w:before="1"/>
              <w:rPr>
                <w:sz w:val="12"/>
              </w:rPr>
            </w:pPr>
          </w:p>
          <w:p w14:paraId="3CD45F5F" w14:textId="77777777" w:rsidR="00EF5B27" w:rsidRDefault="00000000">
            <w:pPr>
              <w:pStyle w:val="TableParagraph"/>
              <w:spacing w:before="1"/>
              <w:ind w:left="5"/>
              <w:jc w:val="center"/>
              <w:rPr>
                <w:sz w:val="14"/>
              </w:rPr>
            </w:pPr>
            <w:r>
              <w:rPr>
                <w:color w:val="4D4D4F"/>
                <w:w w:val="96"/>
                <w:sz w:val="14"/>
              </w:rPr>
              <w:t>1</w:t>
            </w:r>
          </w:p>
        </w:tc>
        <w:tc>
          <w:tcPr>
            <w:tcW w:w="1474" w:type="dxa"/>
          </w:tcPr>
          <w:p w14:paraId="3A5B9B60" w14:textId="77777777" w:rsidR="00EF5B27" w:rsidRDefault="00EF5B27">
            <w:pPr>
              <w:pStyle w:val="TableParagraph"/>
              <w:rPr>
                <w:sz w:val="16"/>
              </w:rPr>
            </w:pPr>
          </w:p>
          <w:p w14:paraId="67647FE0" w14:textId="77777777" w:rsidR="00EF5B27" w:rsidRDefault="00EF5B27">
            <w:pPr>
              <w:pStyle w:val="TableParagraph"/>
              <w:spacing w:before="1"/>
              <w:rPr>
                <w:sz w:val="12"/>
              </w:rPr>
            </w:pPr>
          </w:p>
          <w:p w14:paraId="158A9197" w14:textId="77777777" w:rsidR="00EF5B27" w:rsidRDefault="00000000">
            <w:pPr>
              <w:pStyle w:val="TableParagraph"/>
              <w:spacing w:before="1"/>
              <w:ind w:left="125" w:right="120"/>
              <w:jc w:val="center"/>
              <w:rPr>
                <w:sz w:val="14"/>
              </w:rPr>
            </w:pPr>
            <w:r>
              <w:rPr>
                <w:color w:val="4D4D4F"/>
                <w:sz w:val="14"/>
              </w:rPr>
              <w:t>Occupancy</w:t>
            </w:r>
          </w:p>
        </w:tc>
        <w:tc>
          <w:tcPr>
            <w:tcW w:w="2041" w:type="dxa"/>
          </w:tcPr>
          <w:p w14:paraId="7FFFFFD4" w14:textId="77777777" w:rsidR="00EF5B27" w:rsidRDefault="00EF5B27">
            <w:pPr>
              <w:pStyle w:val="TableParagraph"/>
              <w:rPr>
                <w:sz w:val="16"/>
              </w:rPr>
            </w:pPr>
          </w:p>
          <w:p w14:paraId="1B066E24" w14:textId="77777777" w:rsidR="00EF5B27" w:rsidRDefault="00EF5B27">
            <w:pPr>
              <w:pStyle w:val="TableParagraph"/>
              <w:spacing w:before="1"/>
              <w:rPr>
                <w:sz w:val="12"/>
              </w:rPr>
            </w:pPr>
          </w:p>
          <w:p w14:paraId="60BC13F2" w14:textId="77777777" w:rsidR="00EF5B27" w:rsidRDefault="00000000">
            <w:pPr>
              <w:pStyle w:val="TableParagraph"/>
              <w:spacing w:before="1"/>
              <w:ind w:left="155" w:right="150"/>
              <w:jc w:val="center"/>
              <w:rPr>
                <w:sz w:val="14"/>
              </w:rPr>
            </w:pPr>
            <w:r>
              <w:rPr>
                <w:color w:val="4D4D4F"/>
                <w:w w:val="105"/>
                <w:sz w:val="14"/>
              </w:rPr>
              <w:t>Mount Cottrell NCR</w:t>
            </w:r>
          </w:p>
        </w:tc>
        <w:tc>
          <w:tcPr>
            <w:tcW w:w="2154" w:type="dxa"/>
          </w:tcPr>
          <w:p w14:paraId="2A5625F3" w14:textId="77777777" w:rsidR="00EF5B27" w:rsidRDefault="00EF5B27">
            <w:pPr>
              <w:pStyle w:val="TableParagraph"/>
              <w:spacing w:before="4"/>
              <w:rPr>
                <w:sz w:val="13"/>
              </w:rPr>
            </w:pPr>
          </w:p>
          <w:p w14:paraId="45FA987E" w14:textId="77777777" w:rsidR="00EF5B27" w:rsidRDefault="00000000">
            <w:pPr>
              <w:pStyle w:val="TableParagraph"/>
              <w:spacing w:before="1" w:line="252" w:lineRule="auto"/>
              <w:ind w:left="106" w:right="98" w:hanging="1"/>
              <w:jc w:val="center"/>
              <w:rPr>
                <w:sz w:val="14"/>
              </w:rPr>
            </w:pPr>
            <w:r>
              <w:rPr>
                <w:color w:val="4D4D4F"/>
                <w:sz w:val="14"/>
              </w:rPr>
              <w:t>Is not detected at least once in every five-year period at 100% of permanent monitoring plots</w:t>
            </w:r>
          </w:p>
        </w:tc>
        <w:tc>
          <w:tcPr>
            <w:tcW w:w="1134" w:type="dxa"/>
          </w:tcPr>
          <w:p w14:paraId="39B902F9" w14:textId="77777777" w:rsidR="00EF5B27" w:rsidRDefault="00EF5B27">
            <w:pPr>
              <w:pStyle w:val="TableParagraph"/>
              <w:rPr>
                <w:sz w:val="16"/>
              </w:rPr>
            </w:pPr>
          </w:p>
          <w:p w14:paraId="09B3E533" w14:textId="77777777" w:rsidR="00EF5B27" w:rsidRDefault="00EF5B27">
            <w:pPr>
              <w:pStyle w:val="TableParagraph"/>
              <w:spacing w:before="1"/>
              <w:rPr>
                <w:sz w:val="12"/>
              </w:rPr>
            </w:pPr>
          </w:p>
          <w:p w14:paraId="556C87BA" w14:textId="77777777" w:rsidR="00EF5B27" w:rsidRDefault="00000000">
            <w:pPr>
              <w:pStyle w:val="TableParagraph"/>
              <w:spacing w:before="1"/>
              <w:ind w:left="457"/>
              <w:rPr>
                <w:sz w:val="14"/>
              </w:rPr>
            </w:pPr>
            <w:r>
              <w:rPr>
                <w:color w:val="4D4D4F"/>
                <w:sz w:val="14"/>
              </w:rPr>
              <w:t>Met</w:t>
            </w:r>
          </w:p>
        </w:tc>
      </w:tr>
      <w:tr w:rsidR="00EF5B27" w14:paraId="0EA1588A" w14:textId="77777777">
        <w:trPr>
          <w:trHeight w:val="845"/>
        </w:trPr>
        <w:tc>
          <w:tcPr>
            <w:tcW w:w="737" w:type="dxa"/>
          </w:tcPr>
          <w:p w14:paraId="7343D384" w14:textId="77777777" w:rsidR="00EF5B27" w:rsidRDefault="00EF5B27">
            <w:pPr>
              <w:pStyle w:val="TableParagraph"/>
              <w:rPr>
                <w:sz w:val="16"/>
              </w:rPr>
            </w:pPr>
          </w:p>
          <w:p w14:paraId="0C165D2D" w14:textId="77777777" w:rsidR="00EF5B27" w:rsidRDefault="00EF5B27">
            <w:pPr>
              <w:pStyle w:val="TableParagraph"/>
              <w:spacing w:before="1"/>
              <w:rPr>
                <w:sz w:val="12"/>
              </w:rPr>
            </w:pPr>
          </w:p>
          <w:p w14:paraId="51014251" w14:textId="77777777" w:rsidR="00EF5B27" w:rsidRDefault="00000000">
            <w:pPr>
              <w:pStyle w:val="TableParagraph"/>
              <w:spacing w:before="1"/>
              <w:ind w:left="79" w:right="77"/>
              <w:jc w:val="center"/>
              <w:rPr>
                <w:sz w:val="14"/>
              </w:rPr>
            </w:pPr>
            <w:r>
              <w:rPr>
                <w:color w:val="4D4D4F"/>
                <w:sz w:val="14"/>
              </w:rPr>
              <w:t>10</w:t>
            </w:r>
          </w:p>
        </w:tc>
        <w:tc>
          <w:tcPr>
            <w:tcW w:w="1361" w:type="dxa"/>
          </w:tcPr>
          <w:p w14:paraId="3859F564" w14:textId="77777777" w:rsidR="00EF5B27" w:rsidRDefault="00EF5B27">
            <w:pPr>
              <w:pStyle w:val="TableParagraph"/>
              <w:spacing w:before="9"/>
              <w:rPr>
                <w:sz w:val="20"/>
              </w:rPr>
            </w:pPr>
          </w:p>
          <w:p w14:paraId="6E27E09B" w14:textId="77777777" w:rsidR="00EF5B27" w:rsidRDefault="00000000">
            <w:pPr>
              <w:pStyle w:val="TableParagraph"/>
              <w:spacing w:line="252" w:lineRule="auto"/>
              <w:ind w:left="495" w:hanging="278"/>
              <w:rPr>
                <w:sz w:val="14"/>
              </w:rPr>
            </w:pPr>
            <w:r>
              <w:rPr>
                <w:color w:val="4D4D4F"/>
                <w:w w:val="110"/>
                <w:sz w:val="14"/>
              </w:rPr>
              <w:t>Striped Legless Lizard</w:t>
            </w:r>
          </w:p>
        </w:tc>
        <w:tc>
          <w:tcPr>
            <w:tcW w:w="737" w:type="dxa"/>
          </w:tcPr>
          <w:p w14:paraId="0AE08E00" w14:textId="77777777" w:rsidR="00EF5B27" w:rsidRDefault="00EF5B27">
            <w:pPr>
              <w:pStyle w:val="TableParagraph"/>
              <w:rPr>
                <w:sz w:val="16"/>
              </w:rPr>
            </w:pPr>
          </w:p>
          <w:p w14:paraId="63B45ADB" w14:textId="77777777" w:rsidR="00EF5B27" w:rsidRDefault="00EF5B27">
            <w:pPr>
              <w:pStyle w:val="TableParagraph"/>
              <w:spacing w:before="1"/>
              <w:rPr>
                <w:sz w:val="12"/>
              </w:rPr>
            </w:pPr>
          </w:p>
          <w:p w14:paraId="190E80FE" w14:textId="77777777" w:rsidR="00EF5B27" w:rsidRDefault="00000000">
            <w:pPr>
              <w:pStyle w:val="TableParagraph"/>
              <w:spacing w:before="1"/>
              <w:ind w:left="5"/>
              <w:jc w:val="center"/>
              <w:rPr>
                <w:sz w:val="14"/>
              </w:rPr>
            </w:pPr>
            <w:r>
              <w:rPr>
                <w:color w:val="4D4D4F"/>
                <w:w w:val="96"/>
                <w:sz w:val="14"/>
              </w:rPr>
              <w:t>1</w:t>
            </w:r>
          </w:p>
        </w:tc>
        <w:tc>
          <w:tcPr>
            <w:tcW w:w="1474" w:type="dxa"/>
          </w:tcPr>
          <w:p w14:paraId="5C77464C" w14:textId="77777777" w:rsidR="00EF5B27" w:rsidRDefault="00EF5B27">
            <w:pPr>
              <w:pStyle w:val="TableParagraph"/>
              <w:rPr>
                <w:sz w:val="16"/>
              </w:rPr>
            </w:pPr>
          </w:p>
          <w:p w14:paraId="66D0AA06" w14:textId="77777777" w:rsidR="00EF5B27" w:rsidRDefault="00EF5B27">
            <w:pPr>
              <w:pStyle w:val="TableParagraph"/>
              <w:spacing w:before="1"/>
              <w:rPr>
                <w:sz w:val="12"/>
              </w:rPr>
            </w:pPr>
          </w:p>
          <w:p w14:paraId="6E178EE7" w14:textId="77777777" w:rsidR="00EF5B27" w:rsidRDefault="00000000">
            <w:pPr>
              <w:pStyle w:val="TableParagraph"/>
              <w:spacing w:before="1"/>
              <w:ind w:left="125" w:right="120"/>
              <w:jc w:val="center"/>
              <w:rPr>
                <w:sz w:val="14"/>
              </w:rPr>
            </w:pPr>
            <w:r>
              <w:rPr>
                <w:color w:val="4D4D4F"/>
                <w:sz w:val="14"/>
              </w:rPr>
              <w:t>Occupancy</w:t>
            </w:r>
          </w:p>
        </w:tc>
        <w:tc>
          <w:tcPr>
            <w:tcW w:w="2041" w:type="dxa"/>
          </w:tcPr>
          <w:p w14:paraId="18D2353F" w14:textId="77777777" w:rsidR="00EF5B27" w:rsidRDefault="00EF5B27">
            <w:pPr>
              <w:pStyle w:val="TableParagraph"/>
              <w:rPr>
                <w:sz w:val="16"/>
              </w:rPr>
            </w:pPr>
          </w:p>
          <w:p w14:paraId="53517925" w14:textId="77777777" w:rsidR="00EF5B27" w:rsidRDefault="00EF5B27">
            <w:pPr>
              <w:pStyle w:val="TableParagraph"/>
              <w:spacing w:before="1"/>
              <w:rPr>
                <w:sz w:val="12"/>
              </w:rPr>
            </w:pPr>
          </w:p>
          <w:p w14:paraId="77A15050" w14:textId="77777777" w:rsidR="00EF5B27" w:rsidRDefault="00000000">
            <w:pPr>
              <w:pStyle w:val="TableParagraph"/>
              <w:spacing w:before="1"/>
              <w:ind w:left="155" w:right="150"/>
              <w:jc w:val="center"/>
              <w:rPr>
                <w:sz w:val="14"/>
              </w:rPr>
            </w:pPr>
            <w:r>
              <w:rPr>
                <w:color w:val="4D4D4F"/>
                <w:w w:val="105"/>
                <w:sz w:val="14"/>
              </w:rPr>
              <w:t>Truganina South NCR</w:t>
            </w:r>
          </w:p>
        </w:tc>
        <w:tc>
          <w:tcPr>
            <w:tcW w:w="2154" w:type="dxa"/>
          </w:tcPr>
          <w:p w14:paraId="0292FF08" w14:textId="77777777" w:rsidR="00EF5B27" w:rsidRDefault="00EF5B27">
            <w:pPr>
              <w:pStyle w:val="TableParagraph"/>
              <w:spacing w:before="4"/>
              <w:rPr>
                <w:sz w:val="13"/>
              </w:rPr>
            </w:pPr>
          </w:p>
          <w:p w14:paraId="5C4E9405" w14:textId="77777777" w:rsidR="00EF5B27" w:rsidRDefault="00000000">
            <w:pPr>
              <w:pStyle w:val="TableParagraph"/>
              <w:spacing w:before="1" w:line="252" w:lineRule="auto"/>
              <w:ind w:left="106" w:right="98" w:hanging="1"/>
              <w:jc w:val="center"/>
              <w:rPr>
                <w:sz w:val="14"/>
              </w:rPr>
            </w:pPr>
            <w:r>
              <w:rPr>
                <w:color w:val="4D4D4F"/>
                <w:sz w:val="14"/>
              </w:rPr>
              <w:t>Is not detected at least once in every five-year period at 100% of permanent monitoring plots</w:t>
            </w:r>
          </w:p>
        </w:tc>
        <w:tc>
          <w:tcPr>
            <w:tcW w:w="1134" w:type="dxa"/>
          </w:tcPr>
          <w:p w14:paraId="4D9173E9" w14:textId="77777777" w:rsidR="00EF5B27" w:rsidRDefault="00EF5B27">
            <w:pPr>
              <w:pStyle w:val="TableParagraph"/>
              <w:rPr>
                <w:sz w:val="16"/>
              </w:rPr>
            </w:pPr>
          </w:p>
          <w:p w14:paraId="6018984B" w14:textId="77777777" w:rsidR="00EF5B27" w:rsidRDefault="00EF5B27">
            <w:pPr>
              <w:pStyle w:val="TableParagraph"/>
              <w:spacing w:before="1"/>
              <w:rPr>
                <w:sz w:val="12"/>
              </w:rPr>
            </w:pPr>
          </w:p>
          <w:p w14:paraId="2A976F9B" w14:textId="77777777" w:rsidR="00EF5B27" w:rsidRDefault="00000000">
            <w:pPr>
              <w:pStyle w:val="TableParagraph"/>
              <w:spacing w:before="1"/>
              <w:ind w:left="457"/>
              <w:rPr>
                <w:sz w:val="14"/>
              </w:rPr>
            </w:pPr>
            <w:r>
              <w:rPr>
                <w:color w:val="4D4D4F"/>
                <w:sz w:val="14"/>
              </w:rPr>
              <w:t>Met</w:t>
            </w:r>
          </w:p>
        </w:tc>
      </w:tr>
      <w:tr w:rsidR="00EF5B27" w14:paraId="2AB13174" w14:textId="77777777">
        <w:trPr>
          <w:trHeight w:val="845"/>
        </w:trPr>
        <w:tc>
          <w:tcPr>
            <w:tcW w:w="737" w:type="dxa"/>
          </w:tcPr>
          <w:p w14:paraId="5ECE67B2" w14:textId="77777777" w:rsidR="00EF5B27" w:rsidRDefault="00EF5B27">
            <w:pPr>
              <w:pStyle w:val="TableParagraph"/>
              <w:rPr>
                <w:sz w:val="16"/>
              </w:rPr>
            </w:pPr>
          </w:p>
          <w:p w14:paraId="2F6CEF08" w14:textId="77777777" w:rsidR="00EF5B27" w:rsidRDefault="00EF5B27">
            <w:pPr>
              <w:pStyle w:val="TableParagraph"/>
              <w:spacing w:before="1"/>
              <w:rPr>
                <w:sz w:val="12"/>
              </w:rPr>
            </w:pPr>
          </w:p>
          <w:p w14:paraId="011AD7CF" w14:textId="77777777" w:rsidR="00EF5B27" w:rsidRDefault="00000000">
            <w:pPr>
              <w:pStyle w:val="TableParagraph"/>
              <w:ind w:left="79" w:right="77"/>
              <w:jc w:val="center"/>
              <w:rPr>
                <w:sz w:val="14"/>
              </w:rPr>
            </w:pPr>
            <w:r>
              <w:rPr>
                <w:color w:val="4D4D4F"/>
                <w:sz w:val="14"/>
              </w:rPr>
              <w:t>10</w:t>
            </w:r>
          </w:p>
        </w:tc>
        <w:tc>
          <w:tcPr>
            <w:tcW w:w="1361" w:type="dxa"/>
          </w:tcPr>
          <w:p w14:paraId="7DD5C1C3" w14:textId="77777777" w:rsidR="00EF5B27" w:rsidRDefault="00EF5B27">
            <w:pPr>
              <w:pStyle w:val="TableParagraph"/>
              <w:spacing w:before="9"/>
              <w:rPr>
                <w:sz w:val="20"/>
              </w:rPr>
            </w:pPr>
          </w:p>
          <w:p w14:paraId="0C77646F" w14:textId="77777777" w:rsidR="00EF5B27" w:rsidRDefault="00000000">
            <w:pPr>
              <w:pStyle w:val="TableParagraph"/>
              <w:spacing w:line="252" w:lineRule="auto"/>
              <w:ind w:left="495" w:hanging="278"/>
              <w:rPr>
                <w:sz w:val="14"/>
              </w:rPr>
            </w:pPr>
            <w:r>
              <w:rPr>
                <w:color w:val="4D4D4F"/>
                <w:w w:val="110"/>
                <w:sz w:val="14"/>
              </w:rPr>
              <w:t>Striped Legless Lizard</w:t>
            </w:r>
          </w:p>
        </w:tc>
        <w:tc>
          <w:tcPr>
            <w:tcW w:w="737" w:type="dxa"/>
          </w:tcPr>
          <w:p w14:paraId="5B54A873" w14:textId="77777777" w:rsidR="00EF5B27" w:rsidRDefault="00EF5B27">
            <w:pPr>
              <w:pStyle w:val="TableParagraph"/>
              <w:rPr>
                <w:sz w:val="16"/>
              </w:rPr>
            </w:pPr>
          </w:p>
          <w:p w14:paraId="59CF3179" w14:textId="77777777" w:rsidR="00EF5B27" w:rsidRDefault="00EF5B27">
            <w:pPr>
              <w:pStyle w:val="TableParagraph"/>
              <w:spacing w:before="1"/>
              <w:rPr>
                <w:sz w:val="12"/>
              </w:rPr>
            </w:pPr>
          </w:p>
          <w:p w14:paraId="7CA9C5CC" w14:textId="77777777" w:rsidR="00EF5B27" w:rsidRDefault="00000000">
            <w:pPr>
              <w:pStyle w:val="TableParagraph"/>
              <w:ind w:left="5"/>
              <w:jc w:val="center"/>
              <w:rPr>
                <w:sz w:val="14"/>
              </w:rPr>
            </w:pPr>
            <w:r>
              <w:rPr>
                <w:color w:val="4D4D4F"/>
                <w:w w:val="96"/>
                <w:sz w:val="14"/>
              </w:rPr>
              <w:t>1</w:t>
            </w:r>
          </w:p>
        </w:tc>
        <w:tc>
          <w:tcPr>
            <w:tcW w:w="1474" w:type="dxa"/>
          </w:tcPr>
          <w:p w14:paraId="181610F5" w14:textId="77777777" w:rsidR="00EF5B27" w:rsidRDefault="00EF5B27">
            <w:pPr>
              <w:pStyle w:val="TableParagraph"/>
              <w:rPr>
                <w:sz w:val="16"/>
              </w:rPr>
            </w:pPr>
          </w:p>
          <w:p w14:paraId="21954592" w14:textId="77777777" w:rsidR="00EF5B27" w:rsidRDefault="00EF5B27">
            <w:pPr>
              <w:pStyle w:val="TableParagraph"/>
              <w:spacing w:before="1"/>
              <w:rPr>
                <w:sz w:val="12"/>
              </w:rPr>
            </w:pPr>
          </w:p>
          <w:p w14:paraId="769ABF36" w14:textId="77777777" w:rsidR="00EF5B27" w:rsidRDefault="00000000">
            <w:pPr>
              <w:pStyle w:val="TableParagraph"/>
              <w:ind w:left="125" w:right="120"/>
              <w:jc w:val="center"/>
              <w:rPr>
                <w:sz w:val="14"/>
              </w:rPr>
            </w:pPr>
            <w:r>
              <w:rPr>
                <w:color w:val="4D4D4F"/>
                <w:sz w:val="14"/>
              </w:rPr>
              <w:t>Occupancy</w:t>
            </w:r>
          </w:p>
        </w:tc>
        <w:tc>
          <w:tcPr>
            <w:tcW w:w="2041" w:type="dxa"/>
          </w:tcPr>
          <w:p w14:paraId="29A67E45" w14:textId="77777777" w:rsidR="00EF5B27" w:rsidRDefault="00EF5B27">
            <w:pPr>
              <w:pStyle w:val="TableParagraph"/>
              <w:spacing w:before="9"/>
              <w:rPr>
                <w:sz w:val="20"/>
              </w:rPr>
            </w:pPr>
          </w:p>
          <w:p w14:paraId="7346D616" w14:textId="77777777" w:rsidR="00EF5B27" w:rsidRDefault="00000000">
            <w:pPr>
              <w:pStyle w:val="TableParagraph"/>
              <w:spacing w:line="252" w:lineRule="auto"/>
              <w:ind w:left="450" w:right="50" w:hanging="263"/>
              <w:rPr>
                <w:sz w:val="14"/>
              </w:rPr>
            </w:pPr>
            <w:r>
              <w:rPr>
                <w:color w:val="4D4D4F"/>
                <w:w w:val="105"/>
                <w:sz w:val="14"/>
              </w:rPr>
              <w:t>Western Grassland Reserve (all other locations)</w:t>
            </w:r>
          </w:p>
        </w:tc>
        <w:tc>
          <w:tcPr>
            <w:tcW w:w="2154" w:type="dxa"/>
          </w:tcPr>
          <w:p w14:paraId="7F8FEC98" w14:textId="77777777" w:rsidR="00EF5B27" w:rsidRDefault="00EF5B27">
            <w:pPr>
              <w:pStyle w:val="TableParagraph"/>
              <w:spacing w:before="4"/>
              <w:rPr>
                <w:sz w:val="13"/>
              </w:rPr>
            </w:pPr>
          </w:p>
          <w:p w14:paraId="4F7484EB" w14:textId="77777777" w:rsidR="00EF5B27" w:rsidRDefault="00000000">
            <w:pPr>
              <w:pStyle w:val="TableParagraph"/>
              <w:spacing w:before="1" w:line="252" w:lineRule="auto"/>
              <w:ind w:left="106" w:right="98" w:hanging="1"/>
              <w:jc w:val="center"/>
              <w:rPr>
                <w:sz w:val="14"/>
              </w:rPr>
            </w:pPr>
            <w:r>
              <w:rPr>
                <w:color w:val="4D4D4F"/>
                <w:sz w:val="14"/>
              </w:rPr>
              <w:t>Is not detected at least once in every five-year period at 100% of permanent monitoring plots</w:t>
            </w:r>
          </w:p>
        </w:tc>
        <w:tc>
          <w:tcPr>
            <w:tcW w:w="1134" w:type="dxa"/>
          </w:tcPr>
          <w:p w14:paraId="441C1565" w14:textId="77777777" w:rsidR="00EF5B27" w:rsidRDefault="00EF5B27">
            <w:pPr>
              <w:pStyle w:val="TableParagraph"/>
              <w:rPr>
                <w:sz w:val="16"/>
              </w:rPr>
            </w:pPr>
          </w:p>
          <w:p w14:paraId="046D9E5C" w14:textId="77777777" w:rsidR="00EF5B27" w:rsidRDefault="00EF5B27">
            <w:pPr>
              <w:pStyle w:val="TableParagraph"/>
              <w:spacing w:before="1"/>
              <w:rPr>
                <w:sz w:val="12"/>
              </w:rPr>
            </w:pPr>
          </w:p>
          <w:p w14:paraId="7C60DAA7" w14:textId="77777777" w:rsidR="00EF5B27" w:rsidRDefault="00000000">
            <w:pPr>
              <w:pStyle w:val="TableParagraph"/>
              <w:ind w:left="457"/>
              <w:rPr>
                <w:sz w:val="14"/>
              </w:rPr>
            </w:pPr>
            <w:r>
              <w:rPr>
                <w:color w:val="4D4D4F"/>
                <w:sz w:val="14"/>
              </w:rPr>
              <w:t>Met</w:t>
            </w:r>
          </w:p>
        </w:tc>
      </w:tr>
      <w:tr w:rsidR="00EF5B27" w14:paraId="016019D0" w14:textId="77777777">
        <w:trPr>
          <w:trHeight w:val="845"/>
        </w:trPr>
        <w:tc>
          <w:tcPr>
            <w:tcW w:w="737" w:type="dxa"/>
          </w:tcPr>
          <w:p w14:paraId="6AC3017C" w14:textId="77777777" w:rsidR="00EF5B27" w:rsidRDefault="00EF5B27">
            <w:pPr>
              <w:pStyle w:val="TableParagraph"/>
              <w:rPr>
                <w:sz w:val="16"/>
              </w:rPr>
            </w:pPr>
          </w:p>
          <w:p w14:paraId="561CE3C9" w14:textId="77777777" w:rsidR="00EF5B27" w:rsidRDefault="00EF5B27">
            <w:pPr>
              <w:pStyle w:val="TableParagraph"/>
              <w:spacing w:before="1"/>
              <w:rPr>
                <w:sz w:val="12"/>
              </w:rPr>
            </w:pPr>
          </w:p>
          <w:p w14:paraId="2D5B8BE2" w14:textId="77777777" w:rsidR="00EF5B27" w:rsidRDefault="00000000">
            <w:pPr>
              <w:pStyle w:val="TableParagraph"/>
              <w:ind w:left="79" w:right="77"/>
              <w:jc w:val="center"/>
              <w:rPr>
                <w:sz w:val="14"/>
              </w:rPr>
            </w:pPr>
            <w:r>
              <w:rPr>
                <w:color w:val="4D4D4F"/>
                <w:sz w:val="14"/>
              </w:rPr>
              <w:t>10</w:t>
            </w:r>
          </w:p>
        </w:tc>
        <w:tc>
          <w:tcPr>
            <w:tcW w:w="1361" w:type="dxa"/>
          </w:tcPr>
          <w:p w14:paraId="2C122C3A" w14:textId="77777777" w:rsidR="00EF5B27" w:rsidRDefault="00EF5B27">
            <w:pPr>
              <w:pStyle w:val="TableParagraph"/>
              <w:spacing w:before="9"/>
              <w:rPr>
                <w:sz w:val="20"/>
              </w:rPr>
            </w:pPr>
          </w:p>
          <w:p w14:paraId="50377FB7" w14:textId="77777777" w:rsidR="00EF5B27" w:rsidRDefault="00000000">
            <w:pPr>
              <w:pStyle w:val="TableParagraph"/>
              <w:spacing w:line="252" w:lineRule="auto"/>
              <w:ind w:left="495" w:hanging="278"/>
              <w:rPr>
                <w:sz w:val="14"/>
              </w:rPr>
            </w:pPr>
            <w:r>
              <w:rPr>
                <w:color w:val="4D4D4F"/>
                <w:w w:val="110"/>
                <w:sz w:val="14"/>
              </w:rPr>
              <w:t>Striped Legless Lizard</w:t>
            </w:r>
          </w:p>
        </w:tc>
        <w:tc>
          <w:tcPr>
            <w:tcW w:w="737" w:type="dxa"/>
          </w:tcPr>
          <w:p w14:paraId="7C2B76BA" w14:textId="77777777" w:rsidR="00EF5B27" w:rsidRDefault="00EF5B27">
            <w:pPr>
              <w:pStyle w:val="TableParagraph"/>
              <w:rPr>
                <w:sz w:val="16"/>
              </w:rPr>
            </w:pPr>
          </w:p>
          <w:p w14:paraId="2A76C950" w14:textId="77777777" w:rsidR="00EF5B27" w:rsidRDefault="00EF5B27">
            <w:pPr>
              <w:pStyle w:val="TableParagraph"/>
              <w:spacing w:before="1"/>
              <w:rPr>
                <w:sz w:val="12"/>
              </w:rPr>
            </w:pPr>
          </w:p>
          <w:p w14:paraId="2A15D2C3" w14:textId="77777777" w:rsidR="00EF5B27" w:rsidRDefault="00000000">
            <w:pPr>
              <w:pStyle w:val="TableParagraph"/>
              <w:ind w:left="5"/>
              <w:jc w:val="center"/>
              <w:rPr>
                <w:sz w:val="14"/>
              </w:rPr>
            </w:pPr>
            <w:r>
              <w:rPr>
                <w:color w:val="4D4D4F"/>
                <w:w w:val="96"/>
                <w:sz w:val="14"/>
              </w:rPr>
              <w:t>1</w:t>
            </w:r>
          </w:p>
        </w:tc>
        <w:tc>
          <w:tcPr>
            <w:tcW w:w="1474" w:type="dxa"/>
          </w:tcPr>
          <w:p w14:paraId="22434E5F" w14:textId="77777777" w:rsidR="00EF5B27" w:rsidRDefault="00EF5B27">
            <w:pPr>
              <w:pStyle w:val="TableParagraph"/>
              <w:rPr>
                <w:sz w:val="16"/>
              </w:rPr>
            </w:pPr>
          </w:p>
          <w:p w14:paraId="0B224996" w14:textId="77777777" w:rsidR="00EF5B27" w:rsidRDefault="00EF5B27">
            <w:pPr>
              <w:pStyle w:val="TableParagraph"/>
              <w:spacing w:before="1"/>
              <w:rPr>
                <w:sz w:val="12"/>
              </w:rPr>
            </w:pPr>
          </w:p>
          <w:p w14:paraId="3D6DC660" w14:textId="77777777" w:rsidR="00EF5B27" w:rsidRDefault="00000000">
            <w:pPr>
              <w:pStyle w:val="TableParagraph"/>
              <w:ind w:left="125" w:right="120"/>
              <w:jc w:val="center"/>
              <w:rPr>
                <w:sz w:val="14"/>
              </w:rPr>
            </w:pPr>
            <w:r>
              <w:rPr>
                <w:color w:val="4D4D4F"/>
                <w:sz w:val="14"/>
              </w:rPr>
              <w:t>Occupancy</w:t>
            </w:r>
          </w:p>
        </w:tc>
        <w:tc>
          <w:tcPr>
            <w:tcW w:w="2041" w:type="dxa"/>
          </w:tcPr>
          <w:p w14:paraId="37602445" w14:textId="77777777" w:rsidR="00EF5B27" w:rsidRDefault="00EF5B27">
            <w:pPr>
              <w:pStyle w:val="TableParagraph"/>
              <w:rPr>
                <w:sz w:val="16"/>
              </w:rPr>
            </w:pPr>
          </w:p>
          <w:p w14:paraId="7E5C4B45" w14:textId="77777777" w:rsidR="00EF5B27" w:rsidRDefault="00EF5B27">
            <w:pPr>
              <w:pStyle w:val="TableParagraph"/>
              <w:spacing w:before="1"/>
              <w:rPr>
                <w:sz w:val="12"/>
              </w:rPr>
            </w:pPr>
          </w:p>
          <w:p w14:paraId="35C09EF6" w14:textId="77777777" w:rsidR="00EF5B27" w:rsidRDefault="00000000">
            <w:pPr>
              <w:pStyle w:val="TableParagraph"/>
              <w:ind w:left="155" w:right="150"/>
              <w:jc w:val="center"/>
              <w:rPr>
                <w:sz w:val="14"/>
              </w:rPr>
            </w:pPr>
            <w:r>
              <w:rPr>
                <w:color w:val="4D4D4F"/>
                <w:sz w:val="14"/>
              </w:rPr>
              <w:t>Werribee River easement</w:t>
            </w:r>
          </w:p>
        </w:tc>
        <w:tc>
          <w:tcPr>
            <w:tcW w:w="2154" w:type="dxa"/>
          </w:tcPr>
          <w:p w14:paraId="399F17D0" w14:textId="77777777" w:rsidR="00EF5B27" w:rsidRDefault="00EF5B27">
            <w:pPr>
              <w:pStyle w:val="TableParagraph"/>
              <w:spacing w:before="4"/>
              <w:rPr>
                <w:sz w:val="13"/>
              </w:rPr>
            </w:pPr>
          </w:p>
          <w:p w14:paraId="2761553D" w14:textId="77777777" w:rsidR="00EF5B27" w:rsidRDefault="00000000">
            <w:pPr>
              <w:pStyle w:val="TableParagraph"/>
              <w:spacing w:before="1" w:line="252" w:lineRule="auto"/>
              <w:ind w:left="106" w:right="98" w:hanging="1"/>
              <w:jc w:val="center"/>
              <w:rPr>
                <w:sz w:val="14"/>
              </w:rPr>
            </w:pPr>
            <w:r>
              <w:rPr>
                <w:color w:val="4D4D4F"/>
                <w:sz w:val="14"/>
              </w:rPr>
              <w:t>Is not detected at least once in every five-year period at 100% of permanent monitoring plots</w:t>
            </w:r>
          </w:p>
        </w:tc>
        <w:tc>
          <w:tcPr>
            <w:tcW w:w="1134" w:type="dxa"/>
          </w:tcPr>
          <w:p w14:paraId="5C0FD45C" w14:textId="77777777" w:rsidR="00EF5B27" w:rsidRDefault="00EF5B27">
            <w:pPr>
              <w:pStyle w:val="TableParagraph"/>
              <w:rPr>
                <w:sz w:val="16"/>
              </w:rPr>
            </w:pPr>
          </w:p>
          <w:p w14:paraId="6652A709" w14:textId="77777777" w:rsidR="00EF5B27" w:rsidRDefault="00EF5B27">
            <w:pPr>
              <w:pStyle w:val="TableParagraph"/>
              <w:spacing w:before="1"/>
              <w:rPr>
                <w:sz w:val="12"/>
              </w:rPr>
            </w:pPr>
          </w:p>
          <w:p w14:paraId="0BDEE767" w14:textId="77777777" w:rsidR="00EF5B27" w:rsidRDefault="00000000">
            <w:pPr>
              <w:pStyle w:val="TableParagraph"/>
              <w:ind w:left="457"/>
              <w:rPr>
                <w:sz w:val="14"/>
              </w:rPr>
            </w:pPr>
            <w:r>
              <w:rPr>
                <w:color w:val="4D4D4F"/>
                <w:sz w:val="14"/>
              </w:rPr>
              <w:t>Met</w:t>
            </w:r>
          </w:p>
        </w:tc>
      </w:tr>
    </w:tbl>
    <w:p w14:paraId="5ECAE74D" w14:textId="77777777" w:rsidR="00EF5B27" w:rsidRDefault="00EF5B27">
      <w:pPr>
        <w:pStyle w:val="BodyText"/>
        <w:spacing w:before="6"/>
        <w:rPr>
          <w:sz w:val="8"/>
        </w:rPr>
      </w:pPr>
    </w:p>
    <w:p w14:paraId="29184B4B" w14:textId="77777777" w:rsidR="00EF5B27" w:rsidRDefault="00000000">
      <w:pPr>
        <w:spacing w:before="95"/>
        <w:ind w:left="3930"/>
        <w:rPr>
          <w:rFonts w:ascii="Century Gothic"/>
          <w:i/>
          <w:sz w:val="12"/>
        </w:rPr>
      </w:pPr>
      <w:r>
        <w:rPr>
          <w:rFonts w:ascii="Century Gothic"/>
          <w:i/>
          <w:color w:val="4D4D4F"/>
          <w:w w:val="90"/>
          <w:sz w:val="12"/>
        </w:rPr>
        <w:t>SOURCE: Compiled by the Victorian Commissioner for Environmental Sustainability with data sourced from DELWP</w:t>
      </w:r>
    </w:p>
    <w:p w14:paraId="240D44C7" w14:textId="77777777" w:rsidR="00EF5B27" w:rsidRDefault="00EF5B27">
      <w:pPr>
        <w:rPr>
          <w:rFonts w:ascii="Century Gothic"/>
          <w:sz w:val="12"/>
        </w:rPr>
        <w:sectPr w:rsidR="00EF5B27">
          <w:pgSz w:w="11910" w:h="16840"/>
          <w:pgMar w:top="1080" w:right="1020" w:bottom="860" w:left="1020" w:header="537" w:footer="678" w:gutter="0"/>
          <w:cols w:space="720"/>
        </w:sectPr>
      </w:pPr>
    </w:p>
    <w:p w14:paraId="2C14598A" w14:textId="77777777" w:rsidR="00EF5B27" w:rsidRDefault="00000000">
      <w:pPr>
        <w:pStyle w:val="BodyText"/>
        <w:rPr>
          <w:rFonts w:ascii="Century Gothic"/>
          <w:i/>
        </w:rPr>
      </w:pPr>
      <w:r>
        <w:lastRenderedPageBreak/>
        <w:pict w14:anchorId="7FDA6904">
          <v:group id="_x0000_s2583" style="position:absolute;margin-left:587.05pt;margin-top:183.4pt;width:8.25pt;height:153.1pt;z-index:251747840;mso-position-horizontal-relative:page;mso-position-vertical-relative:page" coordorigin="11741,3668" coordsize="165,3062">
            <v:shape id="_x0000_s2590" style="position:absolute;left:11741;top:3668;width:165;height:561" coordorigin="11741,3668" coordsize="165,561" path="m11906,3668r-165,l11741,4228r165,-18l11906,3668xe" fillcolor="#00aed9" stroked="f">
              <v:path arrowok="t"/>
            </v:shape>
            <v:shape id="_x0000_s2589" style="position:absolute;left:11741;top:4118;width:165;height:425" coordorigin="11741,4118" coordsize="165,425" path="m11906,4118r-165,14l11741,4531r165,12l11906,4118xe" fillcolor="#047ebc" stroked="f">
              <v:path arrowok="t"/>
            </v:shape>
            <v:shape id="_x0000_s2588" type="#_x0000_t75" style="position:absolute;left:11741;top:4355;width:165;height:587">
              <v:imagedata r:id="rId42" o:title=""/>
            </v:shape>
            <v:shape id="_x0000_s2587" style="position:absolute;left:11741;top:5343;width:165;height:536" coordorigin="11741,5343" coordsize="165,536" path="m11741,5343r,535l11906,5872r,-525l11741,5343xe" fillcolor="#f36a2e" stroked="f">
              <v:path arrowok="t"/>
            </v:shape>
            <v:shape id="_x0000_s2586" style="position:absolute;left:11741;top:4925;width:165;height:501" coordorigin="11741,4926" coordsize="165,501" path="m11741,4926r,500l11906,5426r,-485l11741,4926xe" fillcolor="#49783f" stroked="f">
              <v:path arrowok="t"/>
            </v:shape>
            <v:shape id="_x0000_s2585" style="position:absolute;left:11741;top:5781;width:165;height:268" coordorigin="11741,5782" coordsize="165,268" path="m11906,5782r-165,8l11741,6039r165,10l11906,5782xe" fillcolor="#f99f2a" stroked="f">
              <v:path arrowok="t"/>
            </v:shape>
            <v:shape id="_x0000_s2584" style="position:absolute;left:11741;top:6023;width:165;height:707" coordorigin="11741,6023" coordsize="165,707" path="m11741,6023r,706l11906,6729r,-690l11741,6023xe" fillcolor="#ef412c" stroked="f">
              <v:path arrowok="t"/>
            </v:shape>
            <w10:wrap anchorx="page" anchory="page"/>
          </v:group>
        </w:pict>
      </w:r>
    </w:p>
    <w:p w14:paraId="23BBD568" w14:textId="77777777" w:rsidR="00EF5B27" w:rsidRDefault="00EF5B27">
      <w:pPr>
        <w:pStyle w:val="BodyText"/>
        <w:rPr>
          <w:rFonts w:ascii="Century Gothic"/>
          <w:i/>
        </w:rPr>
      </w:pPr>
    </w:p>
    <w:p w14:paraId="77F6BB30" w14:textId="77777777" w:rsidR="00EF5B27" w:rsidRDefault="00EF5B27">
      <w:pPr>
        <w:pStyle w:val="BodyText"/>
        <w:rPr>
          <w:rFonts w:ascii="Century Gothic"/>
          <w:i/>
        </w:rPr>
      </w:pPr>
    </w:p>
    <w:p w14:paraId="4F781A6C" w14:textId="77777777" w:rsidR="00EF5B27" w:rsidRDefault="00EF5B27">
      <w:pPr>
        <w:pStyle w:val="BodyText"/>
        <w:spacing w:before="6"/>
        <w:rPr>
          <w:rFonts w:ascii="Century Gothic"/>
          <w:i/>
          <w:sz w:val="25"/>
        </w:rPr>
      </w:pPr>
    </w:p>
    <w:p w14:paraId="4D9A6FFC" w14:textId="77777777" w:rsidR="00EF5B27" w:rsidRDefault="00000000">
      <w:pPr>
        <w:spacing w:before="101"/>
        <w:ind w:left="113"/>
        <w:rPr>
          <w:sz w:val="16"/>
        </w:rPr>
      </w:pPr>
      <w:bookmarkStart w:id="111" w:name="_bookmark74"/>
      <w:bookmarkEnd w:id="111"/>
      <w:r>
        <w:rPr>
          <w:color w:val="4D4D4F"/>
          <w:sz w:val="16"/>
        </w:rPr>
        <w:t>Table 7: KPIs not met as at 28 February 2022</w:t>
      </w:r>
    </w:p>
    <w:p w14:paraId="38C6ECB7" w14:textId="77777777" w:rsidR="00EF5B27" w:rsidRDefault="00EF5B27">
      <w:pPr>
        <w:pStyle w:val="BodyText"/>
        <w:spacing w:before="5"/>
        <w:rPr>
          <w:sz w:val="10"/>
        </w:rPr>
      </w:pPr>
    </w:p>
    <w:tbl>
      <w:tblPr>
        <w:tblW w:w="0" w:type="auto"/>
        <w:tblInd w:w="12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37"/>
        <w:gridCol w:w="1361"/>
        <w:gridCol w:w="737"/>
        <w:gridCol w:w="1474"/>
        <w:gridCol w:w="2041"/>
        <w:gridCol w:w="2154"/>
        <w:gridCol w:w="1134"/>
      </w:tblGrid>
      <w:tr w:rsidR="00EF5B27" w14:paraId="77225A13" w14:textId="77777777">
        <w:trPr>
          <w:trHeight w:val="732"/>
        </w:trPr>
        <w:tc>
          <w:tcPr>
            <w:tcW w:w="737" w:type="dxa"/>
            <w:shd w:val="clear" w:color="auto" w:fill="FECC91"/>
          </w:tcPr>
          <w:p w14:paraId="4273FDF9" w14:textId="77777777" w:rsidR="00EF5B27" w:rsidRDefault="00000000">
            <w:pPr>
              <w:pStyle w:val="TableParagraph"/>
              <w:spacing w:before="176"/>
              <w:ind w:left="162"/>
              <w:rPr>
                <w:b/>
                <w:sz w:val="16"/>
              </w:rPr>
            </w:pPr>
            <w:r>
              <w:rPr>
                <w:b/>
                <w:w w:val="105"/>
                <w:sz w:val="16"/>
              </w:rPr>
              <w:t>MNES</w:t>
            </w:r>
          </w:p>
          <w:p w14:paraId="76E31CF5" w14:textId="77777777" w:rsidR="00EF5B27" w:rsidRDefault="00000000">
            <w:pPr>
              <w:pStyle w:val="TableParagraph"/>
              <w:spacing w:before="4"/>
              <w:ind w:left="104"/>
              <w:rPr>
                <w:b/>
                <w:sz w:val="16"/>
              </w:rPr>
            </w:pPr>
            <w:r>
              <w:rPr>
                <w:b/>
                <w:sz w:val="16"/>
              </w:rPr>
              <w:t>number</w:t>
            </w:r>
          </w:p>
        </w:tc>
        <w:tc>
          <w:tcPr>
            <w:tcW w:w="1361" w:type="dxa"/>
            <w:shd w:val="clear" w:color="auto" w:fill="FECC91"/>
          </w:tcPr>
          <w:p w14:paraId="01DAEB9A" w14:textId="77777777" w:rsidR="00EF5B27" w:rsidRDefault="00EF5B27">
            <w:pPr>
              <w:pStyle w:val="TableParagraph"/>
              <w:spacing w:before="7"/>
            </w:pPr>
          </w:p>
          <w:p w14:paraId="468D2B84" w14:textId="77777777" w:rsidR="00EF5B27" w:rsidRDefault="00000000">
            <w:pPr>
              <w:pStyle w:val="TableParagraph"/>
              <w:ind w:left="91" w:right="87"/>
              <w:jc w:val="center"/>
              <w:rPr>
                <w:b/>
                <w:sz w:val="16"/>
              </w:rPr>
            </w:pPr>
            <w:r>
              <w:rPr>
                <w:b/>
                <w:sz w:val="16"/>
              </w:rPr>
              <w:t>MNES name</w:t>
            </w:r>
          </w:p>
        </w:tc>
        <w:tc>
          <w:tcPr>
            <w:tcW w:w="737" w:type="dxa"/>
            <w:shd w:val="clear" w:color="auto" w:fill="FECC91"/>
          </w:tcPr>
          <w:p w14:paraId="30CB461E" w14:textId="77777777" w:rsidR="00EF5B27" w:rsidRDefault="00000000">
            <w:pPr>
              <w:pStyle w:val="TableParagraph"/>
              <w:spacing w:before="176"/>
              <w:ind w:left="79" w:right="75"/>
              <w:jc w:val="center"/>
              <w:rPr>
                <w:b/>
                <w:sz w:val="16"/>
              </w:rPr>
            </w:pPr>
            <w:r>
              <w:rPr>
                <w:b/>
                <w:w w:val="110"/>
                <w:sz w:val="16"/>
              </w:rPr>
              <w:t>KPI</w:t>
            </w:r>
          </w:p>
          <w:p w14:paraId="014DAB3E" w14:textId="77777777" w:rsidR="00EF5B27" w:rsidRDefault="00000000">
            <w:pPr>
              <w:pStyle w:val="TableParagraph"/>
              <w:spacing w:before="4"/>
              <w:ind w:left="79" w:right="74"/>
              <w:jc w:val="center"/>
              <w:rPr>
                <w:b/>
                <w:sz w:val="16"/>
              </w:rPr>
            </w:pPr>
            <w:r>
              <w:rPr>
                <w:b/>
                <w:sz w:val="16"/>
              </w:rPr>
              <w:t>number</w:t>
            </w:r>
          </w:p>
        </w:tc>
        <w:tc>
          <w:tcPr>
            <w:tcW w:w="1474" w:type="dxa"/>
            <w:shd w:val="clear" w:color="auto" w:fill="FECC91"/>
          </w:tcPr>
          <w:p w14:paraId="1BAF21CC" w14:textId="77777777" w:rsidR="00EF5B27" w:rsidRDefault="00EF5B27">
            <w:pPr>
              <w:pStyle w:val="TableParagraph"/>
              <w:spacing w:before="7"/>
            </w:pPr>
          </w:p>
          <w:p w14:paraId="28B05266" w14:textId="77777777" w:rsidR="00EF5B27" w:rsidRDefault="00000000">
            <w:pPr>
              <w:pStyle w:val="TableParagraph"/>
              <w:ind w:left="124" w:right="120"/>
              <w:jc w:val="center"/>
              <w:rPr>
                <w:b/>
                <w:sz w:val="16"/>
              </w:rPr>
            </w:pPr>
            <w:r>
              <w:rPr>
                <w:b/>
                <w:w w:val="105"/>
                <w:sz w:val="16"/>
              </w:rPr>
              <w:t>KPI type</w:t>
            </w:r>
          </w:p>
        </w:tc>
        <w:tc>
          <w:tcPr>
            <w:tcW w:w="2041" w:type="dxa"/>
            <w:shd w:val="clear" w:color="auto" w:fill="FECC91"/>
          </w:tcPr>
          <w:p w14:paraId="0F55D662" w14:textId="77777777" w:rsidR="00EF5B27" w:rsidRDefault="00EF5B27">
            <w:pPr>
              <w:pStyle w:val="TableParagraph"/>
              <w:spacing w:before="7"/>
            </w:pPr>
          </w:p>
          <w:p w14:paraId="6B0E15B9" w14:textId="77777777" w:rsidR="00EF5B27" w:rsidRDefault="00000000">
            <w:pPr>
              <w:pStyle w:val="TableParagraph"/>
              <w:ind w:left="154" w:right="150"/>
              <w:jc w:val="center"/>
              <w:rPr>
                <w:b/>
                <w:sz w:val="16"/>
              </w:rPr>
            </w:pPr>
            <w:r>
              <w:rPr>
                <w:b/>
                <w:sz w:val="16"/>
              </w:rPr>
              <w:t>Location</w:t>
            </w:r>
          </w:p>
        </w:tc>
        <w:tc>
          <w:tcPr>
            <w:tcW w:w="2154" w:type="dxa"/>
            <w:shd w:val="clear" w:color="auto" w:fill="FECC91"/>
          </w:tcPr>
          <w:p w14:paraId="16645189" w14:textId="77777777" w:rsidR="00EF5B27" w:rsidRDefault="00000000">
            <w:pPr>
              <w:pStyle w:val="TableParagraph"/>
              <w:spacing w:before="176" w:line="244" w:lineRule="auto"/>
              <w:ind w:left="735" w:hanging="342"/>
              <w:rPr>
                <w:b/>
                <w:sz w:val="16"/>
              </w:rPr>
            </w:pPr>
            <w:r>
              <w:rPr>
                <w:b/>
                <w:sz w:val="16"/>
              </w:rPr>
              <w:t>Threshold of impact (negative)</w:t>
            </w:r>
          </w:p>
        </w:tc>
        <w:tc>
          <w:tcPr>
            <w:tcW w:w="1134" w:type="dxa"/>
            <w:shd w:val="clear" w:color="auto" w:fill="FECC91"/>
          </w:tcPr>
          <w:p w14:paraId="21989F42" w14:textId="77777777" w:rsidR="00EF5B27" w:rsidRDefault="00000000">
            <w:pPr>
              <w:pStyle w:val="TableParagraph"/>
              <w:spacing w:before="176" w:line="244" w:lineRule="auto"/>
              <w:ind w:left="147" w:right="96" w:firstLine="31"/>
              <w:rPr>
                <w:b/>
                <w:sz w:val="16"/>
              </w:rPr>
            </w:pPr>
            <w:r>
              <w:rPr>
                <w:b/>
                <w:sz w:val="16"/>
              </w:rPr>
              <w:t>Outcome at 28 Feb 2022</w:t>
            </w:r>
          </w:p>
        </w:tc>
      </w:tr>
      <w:tr w:rsidR="00EF5B27" w14:paraId="7973B2BA" w14:textId="77777777">
        <w:trPr>
          <w:trHeight w:val="845"/>
        </w:trPr>
        <w:tc>
          <w:tcPr>
            <w:tcW w:w="737" w:type="dxa"/>
          </w:tcPr>
          <w:p w14:paraId="7BE68675" w14:textId="77777777" w:rsidR="00EF5B27" w:rsidRDefault="00EF5B27">
            <w:pPr>
              <w:pStyle w:val="TableParagraph"/>
              <w:rPr>
                <w:sz w:val="16"/>
              </w:rPr>
            </w:pPr>
          </w:p>
          <w:p w14:paraId="55C12493" w14:textId="77777777" w:rsidR="00EF5B27" w:rsidRDefault="00EF5B27">
            <w:pPr>
              <w:pStyle w:val="TableParagraph"/>
              <w:spacing w:before="2"/>
              <w:rPr>
                <w:sz w:val="12"/>
              </w:rPr>
            </w:pPr>
          </w:p>
          <w:p w14:paraId="6DA4EECC" w14:textId="77777777" w:rsidR="00EF5B27" w:rsidRDefault="00000000">
            <w:pPr>
              <w:pStyle w:val="TableParagraph"/>
              <w:ind w:left="5"/>
              <w:jc w:val="center"/>
              <w:rPr>
                <w:sz w:val="14"/>
              </w:rPr>
            </w:pPr>
            <w:r>
              <w:rPr>
                <w:color w:val="4D4D4F"/>
                <w:w w:val="96"/>
                <w:sz w:val="14"/>
              </w:rPr>
              <w:t>1</w:t>
            </w:r>
          </w:p>
        </w:tc>
        <w:tc>
          <w:tcPr>
            <w:tcW w:w="1361" w:type="dxa"/>
          </w:tcPr>
          <w:p w14:paraId="6B69E851" w14:textId="77777777" w:rsidR="00EF5B27" w:rsidRDefault="00EF5B27">
            <w:pPr>
              <w:pStyle w:val="TableParagraph"/>
              <w:spacing w:before="9"/>
              <w:rPr>
                <w:sz w:val="20"/>
              </w:rPr>
            </w:pPr>
          </w:p>
          <w:p w14:paraId="59024DF5" w14:textId="77777777" w:rsidR="00EF5B27" w:rsidRDefault="00000000">
            <w:pPr>
              <w:pStyle w:val="TableParagraph"/>
              <w:spacing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48758473" w14:textId="77777777" w:rsidR="00EF5B27" w:rsidRDefault="00EF5B27">
            <w:pPr>
              <w:pStyle w:val="TableParagraph"/>
              <w:rPr>
                <w:sz w:val="16"/>
              </w:rPr>
            </w:pPr>
          </w:p>
          <w:p w14:paraId="5F66FE73" w14:textId="77777777" w:rsidR="00EF5B27" w:rsidRDefault="00EF5B27">
            <w:pPr>
              <w:pStyle w:val="TableParagraph"/>
              <w:spacing w:before="2"/>
              <w:rPr>
                <w:sz w:val="12"/>
              </w:rPr>
            </w:pPr>
          </w:p>
          <w:p w14:paraId="0D3C7758" w14:textId="77777777" w:rsidR="00EF5B27" w:rsidRDefault="00000000">
            <w:pPr>
              <w:pStyle w:val="TableParagraph"/>
              <w:ind w:left="4"/>
              <w:jc w:val="center"/>
              <w:rPr>
                <w:sz w:val="14"/>
              </w:rPr>
            </w:pPr>
            <w:r>
              <w:rPr>
                <w:color w:val="4D4D4F"/>
                <w:w w:val="96"/>
                <w:sz w:val="14"/>
              </w:rPr>
              <w:t>2</w:t>
            </w:r>
          </w:p>
        </w:tc>
        <w:tc>
          <w:tcPr>
            <w:tcW w:w="1474" w:type="dxa"/>
          </w:tcPr>
          <w:p w14:paraId="63BB1E38" w14:textId="77777777" w:rsidR="00EF5B27" w:rsidRDefault="00EF5B27">
            <w:pPr>
              <w:pStyle w:val="TableParagraph"/>
              <w:rPr>
                <w:sz w:val="16"/>
              </w:rPr>
            </w:pPr>
          </w:p>
          <w:p w14:paraId="1C832D7A" w14:textId="77777777" w:rsidR="00EF5B27" w:rsidRDefault="00EF5B27">
            <w:pPr>
              <w:pStyle w:val="TableParagraph"/>
              <w:spacing w:before="2"/>
              <w:rPr>
                <w:sz w:val="12"/>
              </w:rPr>
            </w:pPr>
          </w:p>
          <w:p w14:paraId="6F7460B5" w14:textId="77777777" w:rsidR="00EF5B27" w:rsidRDefault="00000000">
            <w:pPr>
              <w:pStyle w:val="TableParagraph"/>
              <w:ind w:left="124" w:right="120"/>
              <w:jc w:val="center"/>
              <w:rPr>
                <w:sz w:val="14"/>
              </w:rPr>
            </w:pPr>
            <w:r>
              <w:rPr>
                <w:color w:val="4D4D4F"/>
                <w:w w:val="105"/>
                <w:sz w:val="14"/>
              </w:rPr>
              <w:t>Forb cover</w:t>
            </w:r>
          </w:p>
        </w:tc>
        <w:tc>
          <w:tcPr>
            <w:tcW w:w="2041" w:type="dxa"/>
          </w:tcPr>
          <w:p w14:paraId="5EAEF338" w14:textId="77777777" w:rsidR="00EF5B27" w:rsidRDefault="00EF5B27">
            <w:pPr>
              <w:pStyle w:val="TableParagraph"/>
              <w:rPr>
                <w:sz w:val="16"/>
              </w:rPr>
            </w:pPr>
          </w:p>
          <w:p w14:paraId="78B581BC" w14:textId="77777777" w:rsidR="00EF5B27" w:rsidRDefault="00EF5B27">
            <w:pPr>
              <w:pStyle w:val="TableParagraph"/>
              <w:spacing w:before="2"/>
              <w:rPr>
                <w:sz w:val="12"/>
              </w:rPr>
            </w:pPr>
          </w:p>
          <w:p w14:paraId="663EF3B1" w14:textId="77777777" w:rsidR="00EF5B27" w:rsidRDefault="00000000">
            <w:pPr>
              <w:pStyle w:val="TableParagraph"/>
              <w:ind w:left="154" w:right="150"/>
              <w:jc w:val="center"/>
              <w:rPr>
                <w:sz w:val="14"/>
              </w:rPr>
            </w:pPr>
            <w:r>
              <w:rPr>
                <w:color w:val="4D4D4F"/>
                <w:w w:val="105"/>
                <w:sz w:val="14"/>
              </w:rPr>
              <w:t>Nutrient-enriched grassland</w:t>
            </w:r>
          </w:p>
        </w:tc>
        <w:tc>
          <w:tcPr>
            <w:tcW w:w="2154" w:type="dxa"/>
          </w:tcPr>
          <w:p w14:paraId="1817CACF" w14:textId="77777777" w:rsidR="00EF5B27" w:rsidRDefault="00000000">
            <w:pPr>
              <w:pStyle w:val="TableParagraph"/>
              <w:spacing w:before="74" w:line="252" w:lineRule="auto"/>
              <w:ind w:left="128" w:right="122"/>
              <w:jc w:val="center"/>
              <w:rPr>
                <w:sz w:val="14"/>
              </w:rPr>
            </w:pPr>
            <w:r>
              <w:rPr>
                <w:color w:val="4D4D4F"/>
                <w:sz w:val="14"/>
              </w:rPr>
              <w:t>KPI measure 95% confidence interval falls below the baseline (this is assumed, although hasn't been explicitly stated)</w:t>
            </w:r>
          </w:p>
        </w:tc>
        <w:tc>
          <w:tcPr>
            <w:tcW w:w="1134" w:type="dxa"/>
          </w:tcPr>
          <w:p w14:paraId="63CC2430" w14:textId="77777777" w:rsidR="00EF5B27" w:rsidRDefault="00EF5B27">
            <w:pPr>
              <w:pStyle w:val="TableParagraph"/>
              <w:rPr>
                <w:sz w:val="16"/>
              </w:rPr>
            </w:pPr>
          </w:p>
          <w:p w14:paraId="29954019" w14:textId="77777777" w:rsidR="00EF5B27" w:rsidRDefault="00EF5B27">
            <w:pPr>
              <w:pStyle w:val="TableParagraph"/>
              <w:spacing w:before="2"/>
              <w:rPr>
                <w:sz w:val="12"/>
              </w:rPr>
            </w:pPr>
          </w:p>
          <w:p w14:paraId="5DC8BFD2" w14:textId="77777777" w:rsidR="00EF5B27" w:rsidRDefault="00000000">
            <w:pPr>
              <w:pStyle w:val="TableParagraph"/>
              <w:ind w:left="81" w:right="76"/>
              <w:jc w:val="center"/>
              <w:rPr>
                <w:sz w:val="14"/>
              </w:rPr>
            </w:pPr>
            <w:r>
              <w:rPr>
                <w:color w:val="4D4D4F"/>
                <w:sz w:val="14"/>
              </w:rPr>
              <w:t>Not met</w:t>
            </w:r>
          </w:p>
        </w:tc>
      </w:tr>
      <w:tr w:rsidR="00EF5B27" w14:paraId="1CFFD035" w14:textId="77777777">
        <w:trPr>
          <w:trHeight w:val="845"/>
        </w:trPr>
        <w:tc>
          <w:tcPr>
            <w:tcW w:w="737" w:type="dxa"/>
          </w:tcPr>
          <w:p w14:paraId="669C88CC" w14:textId="77777777" w:rsidR="00EF5B27" w:rsidRDefault="00EF5B27">
            <w:pPr>
              <w:pStyle w:val="TableParagraph"/>
              <w:rPr>
                <w:sz w:val="16"/>
              </w:rPr>
            </w:pPr>
          </w:p>
          <w:p w14:paraId="1E38E46F" w14:textId="77777777" w:rsidR="00EF5B27" w:rsidRDefault="00EF5B27">
            <w:pPr>
              <w:pStyle w:val="TableParagraph"/>
              <w:spacing w:before="2"/>
              <w:rPr>
                <w:sz w:val="12"/>
              </w:rPr>
            </w:pPr>
          </w:p>
          <w:p w14:paraId="07A04680" w14:textId="77777777" w:rsidR="00EF5B27" w:rsidRDefault="00000000">
            <w:pPr>
              <w:pStyle w:val="TableParagraph"/>
              <w:ind w:left="5"/>
              <w:jc w:val="center"/>
              <w:rPr>
                <w:sz w:val="14"/>
              </w:rPr>
            </w:pPr>
            <w:r>
              <w:rPr>
                <w:color w:val="4D4D4F"/>
                <w:w w:val="96"/>
                <w:sz w:val="14"/>
              </w:rPr>
              <w:t>4</w:t>
            </w:r>
          </w:p>
        </w:tc>
        <w:tc>
          <w:tcPr>
            <w:tcW w:w="1361" w:type="dxa"/>
          </w:tcPr>
          <w:p w14:paraId="2ABD5D9D" w14:textId="77777777" w:rsidR="00EF5B27" w:rsidRDefault="00EF5B27">
            <w:pPr>
              <w:pStyle w:val="TableParagraph"/>
              <w:rPr>
                <w:sz w:val="16"/>
              </w:rPr>
            </w:pPr>
          </w:p>
          <w:p w14:paraId="3DBD23F5" w14:textId="77777777" w:rsidR="00EF5B27" w:rsidRDefault="00EF5B27">
            <w:pPr>
              <w:pStyle w:val="TableParagraph"/>
              <w:spacing w:before="2"/>
              <w:rPr>
                <w:sz w:val="12"/>
              </w:rPr>
            </w:pPr>
          </w:p>
          <w:p w14:paraId="1C193244" w14:textId="77777777" w:rsidR="00EF5B27" w:rsidRDefault="00000000">
            <w:pPr>
              <w:pStyle w:val="TableParagraph"/>
              <w:ind w:left="91" w:right="86"/>
              <w:jc w:val="center"/>
              <w:rPr>
                <w:sz w:val="14"/>
              </w:rPr>
            </w:pPr>
            <w:r>
              <w:rPr>
                <w:color w:val="4D4D4F"/>
                <w:sz w:val="14"/>
              </w:rPr>
              <w:t>Golden Sun Moth</w:t>
            </w:r>
          </w:p>
        </w:tc>
        <w:tc>
          <w:tcPr>
            <w:tcW w:w="737" w:type="dxa"/>
          </w:tcPr>
          <w:p w14:paraId="0DAA2064" w14:textId="77777777" w:rsidR="00EF5B27" w:rsidRDefault="00EF5B27">
            <w:pPr>
              <w:pStyle w:val="TableParagraph"/>
              <w:rPr>
                <w:sz w:val="16"/>
              </w:rPr>
            </w:pPr>
          </w:p>
          <w:p w14:paraId="52A94CF5" w14:textId="77777777" w:rsidR="00EF5B27" w:rsidRDefault="00EF5B27">
            <w:pPr>
              <w:pStyle w:val="TableParagraph"/>
              <w:spacing w:before="2"/>
              <w:rPr>
                <w:sz w:val="12"/>
              </w:rPr>
            </w:pPr>
          </w:p>
          <w:p w14:paraId="43FA286C" w14:textId="77777777" w:rsidR="00EF5B27" w:rsidRDefault="00000000">
            <w:pPr>
              <w:pStyle w:val="TableParagraph"/>
              <w:ind w:left="4"/>
              <w:jc w:val="center"/>
              <w:rPr>
                <w:sz w:val="14"/>
              </w:rPr>
            </w:pPr>
            <w:r>
              <w:rPr>
                <w:color w:val="4D4D4F"/>
                <w:w w:val="96"/>
                <w:sz w:val="14"/>
              </w:rPr>
              <w:t>1</w:t>
            </w:r>
          </w:p>
        </w:tc>
        <w:tc>
          <w:tcPr>
            <w:tcW w:w="1474" w:type="dxa"/>
          </w:tcPr>
          <w:p w14:paraId="6EED93C5" w14:textId="77777777" w:rsidR="00EF5B27" w:rsidRDefault="00EF5B27">
            <w:pPr>
              <w:pStyle w:val="TableParagraph"/>
              <w:rPr>
                <w:sz w:val="16"/>
              </w:rPr>
            </w:pPr>
          </w:p>
          <w:p w14:paraId="2B4AD2EC" w14:textId="77777777" w:rsidR="00EF5B27" w:rsidRDefault="00EF5B27">
            <w:pPr>
              <w:pStyle w:val="TableParagraph"/>
              <w:spacing w:before="2"/>
              <w:rPr>
                <w:sz w:val="12"/>
              </w:rPr>
            </w:pPr>
          </w:p>
          <w:p w14:paraId="708A6001" w14:textId="77777777" w:rsidR="00EF5B27" w:rsidRDefault="00000000">
            <w:pPr>
              <w:pStyle w:val="TableParagraph"/>
              <w:ind w:left="124" w:right="120"/>
              <w:jc w:val="center"/>
              <w:rPr>
                <w:sz w:val="14"/>
              </w:rPr>
            </w:pPr>
            <w:r>
              <w:rPr>
                <w:color w:val="4D4D4F"/>
                <w:sz w:val="14"/>
              </w:rPr>
              <w:t>Occupancy</w:t>
            </w:r>
          </w:p>
        </w:tc>
        <w:tc>
          <w:tcPr>
            <w:tcW w:w="2041" w:type="dxa"/>
          </w:tcPr>
          <w:p w14:paraId="0791F004" w14:textId="77777777" w:rsidR="00EF5B27" w:rsidRDefault="00EF5B27">
            <w:pPr>
              <w:pStyle w:val="TableParagraph"/>
              <w:rPr>
                <w:sz w:val="16"/>
              </w:rPr>
            </w:pPr>
          </w:p>
          <w:p w14:paraId="04B1816E" w14:textId="77777777" w:rsidR="00EF5B27" w:rsidRDefault="00EF5B27">
            <w:pPr>
              <w:pStyle w:val="TableParagraph"/>
              <w:spacing w:before="4"/>
              <w:rPr>
                <w:sz w:val="12"/>
              </w:rPr>
            </w:pPr>
          </w:p>
          <w:p w14:paraId="28BF0060" w14:textId="77777777" w:rsidR="00EF5B27" w:rsidRDefault="00000000">
            <w:pPr>
              <w:pStyle w:val="TableParagraph"/>
              <w:ind w:left="154" w:right="150"/>
              <w:jc w:val="center"/>
              <w:rPr>
                <w:rFonts w:ascii="Arial Narrow"/>
                <w:i/>
                <w:sz w:val="14"/>
              </w:rPr>
            </w:pPr>
            <w:r>
              <w:rPr>
                <w:rFonts w:ascii="Arial Narrow"/>
                <w:i/>
                <w:color w:val="4D4D4F"/>
                <w:w w:val="120"/>
                <w:sz w:val="14"/>
              </w:rPr>
              <w:t>All locations</w:t>
            </w:r>
          </w:p>
        </w:tc>
        <w:tc>
          <w:tcPr>
            <w:tcW w:w="2154" w:type="dxa"/>
          </w:tcPr>
          <w:p w14:paraId="427E2B2E" w14:textId="77777777" w:rsidR="00EF5B27" w:rsidRDefault="00EF5B27">
            <w:pPr>
              <w:pStyle w:val="TableParagraph"/>
              <w:spacing w:before="9"/>
              <w:rPr>
                <w:sz w:val="20"/>
              </w:rPr>
            </w:pPr>
          </w:p>
          <w:p w14:paraId="7D4B6869" w14:textId="77777777" w:rsidR="00EF5B27" w:rsidRDefault="00000000">
            <w:pPr>
              <w:pStyle w:val="TableParagraph"/>
              <w:spacing w:line="252" w:lineRule="auto"/>
              <w:ind w:left="133" w:firstLine="87"/>
              <w:rPr>
                <w:sz w:val="14"/>
              </w:rPr>
            </w:pPr>
            <w:r>
              <w:rPr>
                <w:color w:val="4D4D4F"/>
                <w:w w:val="105"/>
                <w:sz w:val="14"/>
              </w:rPr>
              <w:t>KPI measure 95% confidence interval falls below the baseline</w:t>
            </w:r>
          </w:p>
        </w:tc>
        <w:tc>
          <w:tcPr>
            <w:tcW w:w="1134" w:type="dxa"/>
          </w:tcPr>
          <w:p w14:paraId="50F18924" w14:textId="77777777" w:rsidR="00EF5B27" w:rsidRDefault="00EF5B27">
            <w:pPr>
              <w:pStyle w:val="TableParagraph"/>
              <w:rPr>
                <w:sz w:val="16"/>
              </w:rPr>
            </w:pPr>
          </w:p>
          <w:p w14:paraId="5D2713CD" w14:textId="77777777" w:rsidR="00EF5B27" w:rsidRDefault="00EF5B27">
            <w:pPr>
              <w:pStyle w:val="TableParagraph"/>
              <w:spacing w:before="2"/>
              <w:rPr>
                <w:sz w:val="12"/>
              </w:rPr>
            </w:pPr>
          </w:p>
          <w:p w14:paraId="3F2F84A0" w14:textId="77777777" w:rsidR="00EF5B27" w:rsidRDefault="00000000">
            <w:pPr>
              <w:pStyle w:val="TableParagraph"/>
              <w:ind w:left="81" w:right="76"/>
              <w:jc w:val="center"/>
              <w:rPr>
                <w:sz w:val="14"/>
              </w:rPr>
            </w:pPr>
            <w:r>
              <w:rPr>
                <w:color w:val="4D4D4F"/>
                <w:sz w:val="14"/>
              </w:rPr>
              <w:t>Not met</w:t>
            </w:r>
          </w:p>
        </w:tc>
      </w:tr>
      <w:tr w:rsidR="00EF5B27" w14:paraId="6492D823" w14:textId="77777777">
        <w:trPr>
          <w:trHeight w:val="845"/>
        </w:trPr>
        <w:tc>
          <w:tcPr>
            <w:tcW w:w="737" w:type="dxa"/>
          </w:tcPr>
          <w:p w14:paraId="1CE3522E" w14:textId="77777777" w:rsidR="00EF5B27" w:rsidRDefault="00EF5B27">
            <w:pPr>
              <w:pStyle w:val="TableParagraph"/>
              <w:rPr>
                <w:sz w:val="16"/>
              </w:rPr>
            </w:pPr>
          </w:p>
          <w:p w14:paraId="57D468C7" w14:textId="77777777" w:rsidR="00EF5B27" w:rsidRDefault="00EF5B27">
            <w:pPr>
              <w:pStyle w:val="TableParagraph"/>
              <w:spacing w:before="2"/>
              <w:rPr>
                <w:sz w:val="12"/>
              </w:rPr>
            </w:pPr>
          </w:p>
          <w:p w14:paraId="0AC491BB" w14:textId="77777777" w:rsidR="00EF5B27" w:rsidRDefault="00000000">
            <w:pPr>
              <w:pStyle w:val="TableParagraph"/>
              <w:ind w:left="77" w:right="80"/>
              <w:jc w:val="center"/>
              <w:rPr>
                <w:sz w:val="14"/>
              </w:rPr>
            </w:pPr>
            <w:r>
              <w:rPr>
                <w:color w:val="4D4D4F"/>
                <w:sz w:val="14"/>
              </w:rPr>
              <w:t>11</w:t>
            </w:r>
          </w:p>
        </w:tc>
        <w:tc>
          <w:tcPr>
            <w:tcW w:w="1361" w:type="dxa"/>
          </w:tcPr>
          <w:p w14:paraId="32177AF1" w14:textId="77777777" w:rsidR="00EF5B27" w:rsidRDefault="00EF5B27">
            <w:pPr>
              <w:pStyle w:val="TableParagraph"/>
              <w:rPr>
                <w:sz w:val="16"/>
              </w:rPr>
            </w:pPr>
          </w:p>
          <w:p w14:paraId="49D43861" w14:textId="77777777" w:rsidR="00EF5B27" w:rsidRDefault="00EF5B27">
            <w:pPr>
              <w:pStyle w:val="TableParagraph"/>
              <w:spacing w:before="2"/>
              <w:rPr>
                <w:sz w:val="12"/>
              </w:rPr>
            </w:pPr>
          </w:p>
          <w:p w14:paraId="6D83D05B" w14:textId="77777777" w:rsidR="00EF5B27" w:rsidRDefault="00000000">
            <w:pPr>
              <w:pStyle w:val="TableParagraph"/>
              <w:ind w:left="91" w:right="87"/>
              <w:jc w:val="center"/>
              <w:rPr>
                <w:sz w:val="14"/>
              </w:rPr>
            </w:pPr>
            <w:r>
              <w:rPr>
                <w:color w:val="4D4D4F"/>
                <w:sz w:val="14"/>
              </w:rPr>
              <w:t>Button Wrinklewort</w:t>
            </w:r>
          </w:p>
        </w:tc>
        <w:tc>
          <w:tcPr>
            <w:tcW w:w="737" w:type="dxa"/>
          </w:tcPr>
          <w:p w14:paraId="74DD1B35" w14:textId="77777777" w:rsidR="00EF5B27" w:rsidRDefault="00EF5B27">
            <w:pPr>
              <w:pStyle w:val="TableParagraph"/>
              <w:rPr>
                <w:sz w:val="16"/>
              </w:rPr>
            </w:pPr>
          </w:p>
          <w:p w14:paraId="6169ACAC" w14:textId="77777777" w:rsidR="00EF5B27" w:rsidRDefault="00EF5B27">
            <w:pPr>
              <w:pStyle w:val="TableParagraph"/>
              <w:spacing w:before="2"/>
              <w:rPr>
                <w:sz w:val="12"/>
              </w:rPr>
            </w:pPr>
          </w:p>
          <w:p w14:paraId="2E123C65" w14:textId="77777777" w:rsidR="00EF5B27" w:rsidRDefault="00000000">
            <w:pPr>
              <w:pStyle w:val="TableParagraph"/>
              <w:ind w:left="4"/>
              <w:jc w:val="center"/>
              <w:rPr>
                <w:sz w:val="14"/>
              </w:rPr>
            </w:pPr>
            <w:r>
              <w:rPr>
                <w:color w:val="4D4D4F"/>
                <w:w w:val="96"/>
                <w:sz w:val="14"/>
              </w:rPr>
              <w:t>1</w:t>
            </w:r>
          </w:p>
        </w:tc>
        <w:tc>
          <w:tcPr>
            <w:tcW w:w="1474" w:type="dxa"/>
          </w:tcPr>
          <w:p w14:paraId="0CA3B67A" w14:textId="77777777" w:rsidR="00EF5B27" w:rsidRDefault="00EF5B27">
            <w:pPr>
              <w:pStyle w:val="TableParagraph"/>
              <w:rPr>
                <w:sz w:val="16"/>
              </w:rPr>
            </w:pPr>
          </w:p>
          <w:p w14:paraId="7F9C1A3E" w14:textId="77777777" w:rsidR="00EF5B27" w:rsidRDefault="00EF5B27">
            <w:pPr>
              <w:pStyle w:val="TableParagraph"/>
              <w:spacing w:before="2"/>
              <w:rPr>
                <w:sz w:val="12"/>
              </w:rPr>
            </w:pPr>
          </w:p>
          <w:p w14:paraId="22A7B802" w14:textId="77777777" w:rsidR="00EF5B27" w:rsidRDefault="00000000">
            <w:pPr>
              <w:pStyle w:val="TableParagraph"/>
              <w:ind w:left="124" w:right="120"/>
              <w:jc w:val="center"/>
              <w:rPr>
                <w:sz w:val="14"/>
              </w:rPr>
            </w:pPr>
            <w:r>
              <w:rPr>
                <w:color w:val="4D4D4F"/>
                <w:sz w:val="14"/>
              </w:rPr>
              <w:t>Count</w:t>
            </w:r>
          </w:p>
        </w:tc>
        <w:tc>
          <w:tcPr>
            <w:tcW w:w="2041" w:type="dxa"/>
          </w:tcPr>
          <w:p w14:paraId="174AE564" w14:textId="77777777" w:rsidR="00EF5B27" w:rsidRDefault="00EF5B27">
            <w:pPr>
              <w:pStyle w:val="TableParagraph"/>
              <w:spacing w:before="9"/>
              <w:rPr>
                <w:sz w:val="20"/>
              </w:rPr>
            </w:pPr>
          </w:p>
          <w:p w14:paraId="2F4EFDCD" w14:textId="77777777" w:rsidR="00EF5B27" w:rsidRDefault="00000000">
            <w:pPr>
              <w:pStyle w:val="TableParagraph"/>
              <w:spacing w:line="252" w:lineRule="auto"/>
              <w:ind w:left="344" w:right="50" w:hanging="247"/>
              <w:rPr>
                <w:sz w:val="14"/>
              </w:rPr>
            </w:pPr>
            <w:r>
              <w:rPr>
                <w:color w:val="4D4D4F"/>
                <w:sz w:val="14"/>
              </w:rPr>
              <w:t>Truganina Cemetery Grassland (Conservation Area 10)</w:t>
            </w:r>
          </w:p>
        </w:tc>
        <w:tc>
          <w:tcPr>
            <w:tcW w:w="2154" w:type="dxa"/>
          </w:tcPr>
          <w:p w14:paraId="046B7E76" w14:textId="77777777" w:rsidR="00EF5B27" w:rsidRDefault="00EF5B27">
            <w:pPr>
              <w:pStyle w:val="TableParagraph"/>
              <w:spacing w:before="9"/>
              <w:rPr>
                <w:sz w:val="20"/>
              </w:rPr>
            </w:pPr>
          </w:p>
          <w:p w14:paraId="2ADF384E" w14:textId="77777777" w:rsidR="00EF5B27" w:rsidRDefault="00000000">
            <w:pPr>
              <w:pStyle w:val="TableParagraph"/>
              <w:spacing w:line="252" w:lineRule="auto"/>
              <w:ind w:left="829" w:hanging="587"/>
              <w:rPr>
                <w:sz w:val="14"/>
              </w:rPr>
            </w:pPr>
            <w:r>
              <w:rPr>
                <w:color w:val="4D4D4F"/>
                <w:w w:val="105"/>
                <w:sz w:val="14"/>
              </w:rPr>
              <w:t>KPI measure falls below the baseline</w:t>
            </w:r>
          </w:p>
        </w:tc>
        <w:tc>
          <w:tcPr>
            <w:tcW w:w="1134" w:type="dxa"/>
          </w:tcPr>
          <w:p w14:paraId="507FCE18" w14:textId="77777777" w:rsidR="00EF5B27" w:rsidRDefault="00EF5B27">
            <w:pPr>
              <w:pStyle w:val="TableParagraph"/>
              <w:rPr>
                <w:sz w:val="16"/>
              </w:rPr>
            </w:pPr>
          </w:p>
          <w:p w14:paraId="52124CAE" w14:textId="77777777" w:rsidR="00EF5B27" w:rsidRDefault="00EF5B27">
            <w:pPr>
              <w:pStyle w:val="TableParagraph"/>
              <w:spacing w:before="2"/>
              <w:rPr>
                <w:sz w:val="12"/>
              </w:rPr>
            </w:pPr>
          </w:p>
          <w:p w14:paraId="23148083" w14:textId="77777777" w:rsidR="00EF5B27" w:rsidRDefault="00000000">
            <w:pPr>
              <w:pStyle w:val="TableParagraph"/>
              <w:ind w:left="81" w:right="76"/>
              <w:jc w:val="center"/>
              <w:rPr>
                <w:sz w:val="14"/>
              </w:rPr>
            </w:pPr>
            <w:r>
              <w:rPr>
                <w:color w:val="4D4D4F"/>
                <w:sz w:val="14"/>
              </w:rPr>
              <w:t>Not met</w:t>
            </w:r>
          </w:p>
        </w:tc>
      </w:tr>
    </w:tbl>
    <w:p w14:paraId="707A998B" w14:textId="77777777" w:rsidR="00EF5B27" w:rsidRDefault="00000000">
      <w:pPr>
        <w:spacing w:before="174"/>
        <w:ind w:left="3912"/>
        <w:rPr>
          <w:rFonts w:ascii="Century Gothic"/>
          <w:i/>
          <w:sz w:val="12"/>
        </w:rPr>
      </w:pPr>
      <w:r>
        <w:rPr>
          <w:rFonts w:ascii="Century Gothic"/>
          <w:i/>
          <w:color w:val="4D4D4F"/>
          <w:w w:val="90"/>
          <w:sz w:val="12"/>
        </w:rPr>
        <w:t>SOURCE: Compiled by the Victorian Commissioner for Environmental Sustainability with data sourced from DELWP</w:t>
      </w:r>
    </w:p>
    <w:p w14:paraId="2A6159BE" w14:textId="77777777" w:rsidR="00EF5B27" w:rsidRDefault="00EF5B27">
      <w:pPr>
        <w:pStyle w:val="BodyText"/>
        <w:rPr>
          <w:rFonts w:ascii="Century Gothic"/>
          <w:i/>
          <w:sz w:val="14"/>
        </w:rPr>
      </w:pPr>
    </w:p>
    <w:p w14:paraId="73BC8565" w14:textId="77777777" w:rsidR="00EF5B27" w:rsidRDefault="00EF5B27">
      <w:pPr>
        <w:pStyle w:val="BodyText"/>
        <w:rPr>
          <w:rFonts w:ascii="Century Gothic"/>
          <w:i/>
          <w:sz w:val="14"/>
        </w:rPr>
      </w:pPr>
    </w:p>
    <w:p w14:paraId="22565673" w14:textId="77777777" w:rsidR="00EF5B27" w:rsidRDefault="00EF5B27">
      <w:pPr>
        <w:pStyle w:val="BodyText"/>
        <w:rPr>
          <w:rFonts w:ascii="Century Gothic"/>
          <w:i/>
          <w:sz w:val="14"/>
        </w:rPr>
      </w:pPr>
    </w:p>
    <w:p w14:paraId="653F3CD6" w14:textId="77777777" w:rsidR="00EF5B27" w:rsidRDefault="00EF5B27">
      <w:pPr>
        <w:pStyle w:val="BodyText"/>
        <w:rPr>
          <w:rFonts w:ascii="Century Gothic"/>
          <w:i/>
          <w:sz w:val="14"/>
        </w:rPr>
      </w:pPr>
    </w:p>
    <w:p w14:paraId="460DCD63" w14:textId="77777777" w:rsidR="00EF5B27" w:rsidRDefault="00000000">
      <w:pPr>
        <w:spacing w:before="90"/>
        <w:ind w:left="113"/>
        <w:rPr>
          <w:sz w:val="16"/>
        </w:rPr>
      </w:pPr>
      <w:r>
        <w:rPr>
          <w:color w:val="4D4D4F"/>
          <w:sz w:val="16"/>
        </w:rPr>
        <w:t>Table 8: KPIs not assessed as at 28 February 2022</w:t>
      </w:r>
    </w:p>
    <w:p w14:paraId="1A8D1B2B" w14:textId="77777777" w:rsidR="00EF5B27" w:rsidRDefault="00EF5B27">
      <w:pPr>
        <w:pStyle w:val="BodyText"/>
        <w:spacing w:before="5"/>
        <w:rPr>
          <w:sz w:val="10"/>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37"/>
        <w:gridCol w:w="1361"/>
        <w:gridCol w:w="737"/>
        <w:gridCol w:w="1474"/>
        <w:gridCol w:w="2041"/>
        <w:gridCol w:w="2154"/>
        <w:gridCol w:w="1134"/>
      </w:tblGrid>
      <w:tr w:rsidR="00EF5B27" w14:paraId="347623CD" w14:textId="77777777">
        <w:trPr>
          <w:trHeight w:val="732"/>
        </w:trPr>
        <w:tc>
          <w:tcPr>
            <w:tcW w:w="737" w:type="dxa"/>
            <w:shd w:val="clear" w:color="auto" w:fill="FECC91"/>
          </w:tcPr>
          <w:p w14:paraId="3258100C" w14:textId="77777777" w:rsidR="00EF5B27" w:rsidRDefault="00000000">
            <w:pPr>
              <w:pStyle w:val="TableParagraph"/>
              <w:spacing w:before="176"/>
              <w:ind w:left="162"/>
              <w:rPr>
                <w:b/>
                <w:sz w:val="16"/>
              </w:rPr>
            </w:pPr>
            <w:r>
              <w:rPr>
                <w:b/>
                <w:w w:val="105"/>
                <w:sz w:val="16"/>
              </w:rPr>
              <w:t>MNES</w:t>
            </w:r>
          </w:p>
          <w:p w14:paraId="776C6483" w14:textId="77777777" w:rsidR="00EF5B27" w:rsidRDefault="00000000">
            <w:pPr>
              <w:pStyle w:val="TableParagraph"/>
              <w:spacing w:before="4"/>
              <w:ind w:left="104"/>
              <w:rPr>
                <w:b/>
                <w:sz w:val="16"/>
              </w:rPr>
            </w:pPr>
            <w:r>
              <w:rPr>
                <w:b/>
                <w:sz w:val="16"/>
              </w:rPr>
              <w:t>number</w:t>
            </w:r>
          </w:p>
        </w:tc>
        <w:tc>
          <w:tcPr>
            <w:tcW w:w="1361" w:type="dxa"/>
            <w:shd w:val="clear" w:color="auto" w:fill="FECC91"/>
          </w:tcPr>
          <w:p w14:paraId="1458F2B9" w14:textId="77777777" w:rsidR="00EF5B27" w:rsidRDefault="00EF5B27">
            <w:pPr>
              <w:pStyle w:val="TableParagraph"/>
              <w:spacing w:before="7"/>
            </w:pPr>
          </w:p>
          <w:p w14:paraId="336463DF" w14:textId="77777777" w:rsidR="00EF5B27" w:rsidRDefault="00000000">
            <w:pPr>
              <w:pStyle w:val="TableParagraph"/>
              <w:ind w:left="268"/>
              <w:rPr>
                <w:b/>
                <w:sz w:val="16"/>
              </w:rPr>
            </w:pPr>
            <w:r>
              <w:rPr>
                <w:b/>
                <w:sz w:val="16"/>
              </w:rPr>
              <w:t>MNES name</w:t>
            </w:r>
          </w:p>
        </w:tc>
        <w:tc>
          <w:tcPr>
            <w:tcW w:w="737" w:type="dxa"/>
            <w:shd w:val="clear" w:color="auto" w:fill="FECC91"/>
          </w:tcPr>
          <w:p w14:paraId="2D58327C" w14:textId="77777777" w:rsidR="00EF5B27" w:rsidRDefault="00000000">
            <w:pPr>
              <w:pStyle w:val="TableParagraph"/>
              <w:spacing w:before="176"/>
              <w:ind w:left="79" w:right="75"/>
              <w:jc w:val="center"/>
              <w:rPr>
                <w:b/>
                <w:sz w:val="16"/>
              </w:rPr>
            </w:pPr>
            <w:r>
              <w:rPr>
                <w:b/>
                <w:w w:val="110"/>
                <w:sz w:val="16"/>
              </w:rPr>
              <w:t>KPI</w:t>
            </w:r>
          </w:p>
          <w:p w14:paraId="2B959C09" w14:textId="77777777" w:rsidR="00EF5B27" w:rsidRDefault="00000000">
            <w:pPr>
              <w:pStyle w:val="TableParagraph"/>
              <w:spacing w:before="4"/>
              <w:ind w:left="79" w:right="74"/>
              <w:jc w:val="center"/>
              <w:rPr>
                <w:b/>
                <w:sz w:val="16"/>
              </w:rPr>
            </w:pPr>
            <w:r>
              <w:rPr>
                <w:b/>
                <w:sz w:val="16"/>
              </w:rPr>
              <w:t>number</w:t>
            </w:r>
          </w:p>
        </w:tc>
        <w:tc>
          <w:tcPr>
            <w:tcW w:w="1474" w:type="dxa"/>
            <w:shd w:val="clear" w:color="auto" w:fill="FECC91"/>
          </w:tcPr>
          <w:p w14:paraId="258FC8B5" w14:textId="77777777" w:rsidR="00EF5B27" w:rsidRDefault="00EF5B27">
            <w:pPr>
              <w:pStyle w:val="TableParagraph"/>
              <w:spacing w:before="7"/>
            </w:pPr>
          </w:p>
          <w:p w14:paraId="18138D84" w14:textId="77777777" w:rsidR="00EF5B27" w:rsidRDefault="00000000">
            <w:pPr>
              <w:pStyle w:val="TableParagraph"/>
              <w:ind w:left="124" w:right="120"/>
              <w:jc w:val="center"/>
              <w:rPr>
                <w:b/>
                <w:sz w:val="16"/>
              </w:rPr>
            </w:pPr>
            <w:r>
              <w:rPr>
                <w:b/>
                <w:w w:val="105"/>
                <w:sz w:val="16"/>
              </w:rPr>
              <w:t>KPI type</w:t>
            </w:r>
          </w:p>
        </w:tc>
        <w:tc>
          <w:tcPr>
            <w:tcW w:w="2041" w:type="dxa"/>
            <w:shd w:val="clear" w:color="auto" w:fill="FECC91"/>
          </w:tcPr>
          <w:p w14:paraId="4128B88D" w14:textId="77777777" w:rsidR="00EF5B27" w:rsidRDefault="00EF5B27">
            <w:pPr>
              <w:pStyle w:val="TableParagraph"/>
              <w:spacing w:before="7"/>
            </w:pPr>
          </w:p>
          <w:p w14:paraId="523CCA85" w14:textId="77777777" w:rsidR="00EF5B27" w:rsidRDefault="00000000">
            <w:pPr>
              <w:pStyle w:val="TableParagraph"/>
              <w:ind w:left="154" w:right="150"/>
              <w:jc w:val="center"/>
              <w:rPr>
                <w:b/>
                <w:sz w:val="16"/>
              </w:rPr>
            </w:pPr>
            <w:r>
              <w:rPr>
                <w:b/>
                <w:sz w:val="16"/>
              </w:rPr>
              <w:t>Location</w:t>
            </w:r>
          </w:p>
        </w:tc>
        <w:tc>
          <w:tcPr>
            <w:tcW w:w="2154" w:type="dxa"/>
            <w:shd w:val="clear" w:color="auto" w:fill="FECC91"/>
          </w:tcPr>
          <w:p w14:paraId="01322D3B" w14:textId="77777777" w:rsidR="00EF5B27" w:rsidRDefault="00000000">
            <w:pPr>
              <w:pStyle w:val="TableParagraph"/>
              <w:spacing w:before="176" w:line="244" w:lineRule="auto"/>
              <w:ind w:left="735" w:hanging="342"/>
              <w:rPr>
                <w:b/>
                <w:sz w:val="16"/>
              </w:rPr>
            </w:pPr>
            <w:r>
              <w:rPr>
                <w:b/>
                <w:sz w:val="16"/>
              </w:rPr>
              <w:t>Threshold of impact (negative)</w:t>
            </w:r>
          </w:p>
        </w:tc>
        <w:tc>
          <w:tcPr>
            <w:tcW w:w="1134" w:type="dxa"/>
            <w:shd w:val="clear" w:color="auto" w:fill="FECC91"/>
          </w:tcPr>
          <w:p w14:paraId="7CFDECE6" w14:textId="77777777" w:rsidR="00EF5B27" w:rsidRDefault="00000000">
            <w:pPr>
              <w:pStyle w:val="TableParagraph"/>
              <w:spacing w:before="176" w:line="244" w:lineRule="auto"/>
              <w:ind w:left="147" w:right="96" w:firstLine="31"/>
              <w:rPr>
                <w:b/>
                <w:sz w:val="16"/>
              </w:rPr>
            </w:pPr>
            <w:r>
              <w:rPr>
                <w:b/>
                <w:sz w:val="16"/>
              </w:rPr>
              <w:t>Outcome at 28 Feb 2022</w:t>
            </w:r>
          </w:p>
        </w:tc>
      </w:tr>
      <w:tr w:rsidR="00EF5B27" w14:paraId="0E146BF4" w14:textId="77777777">
        <w:trPr>
          <w:trHeight w:val="845"/>
        </w:trPr>
        <w:tc>
          <w:tcPr>
            <w:tcW w:w="737" w:type="dxa"/>
          </w:tcPr>
          <w:p w14:paraId="3348323C" w14:textId="77777777" w:rsidR="00EF5B27" w:rsidRDefault="00EF5B27">
            <w:pPr>
              <w:pStyle w:val="TableParagraph"/>
              <w:rPr>
                <w:sz w:val="16"/>
              </w:rPr>
            </w:pPr>
          </w:p>
          <w:p w14:paraId="73BBFB90" w14:textId="77777777" w:rsidR="00EF5B27" w:rsidRDefault="00EF5B27">
            <w:pPr>
              <w:pStyle w:val="TableParagraph"/>
              <w:spacing w:before="2"/>
              <w:rPr>
                <w:sz w:val="12"/>
              </w:rPr>
            </w:pPr>
          </w:p>
          <w:p w14:paraId="0DAEC65E" w14:textId="77777777" w:rsidR="00EF5B27" w:rsidRDefault="00000000">
            <w:pPr>
              <w:pStyle w:val="TableParagraph"/>
              <w:ind w:left="5"/>
              <w:jc w:val="center"/>
              <w:rPr>
                <w:sz w:val="14"/>
              </w:rPr>
            </w:pPr>
            <w:r>
              <w:rPr>
                <w:color w:val="4D4D4F"/>
                <w:w w:val="96"/>
                <w:sz w:val="14"/>
              </w:rPr>
              <w:t>1</w:t>
            </w:r>
          </w:p>
        </w:tc>
        <w:tc>
          <w:tcPr>
            <w:tcW w:w="1361" w:type="dxa"/>
          </w:tcPr>
          <w:p w14:paraId="04FCABCA" w14:textId="77777777" w:rsidR="00EF5B27" w:rsidRDefault="00EF5B27">
            <w:pPr>
              <w:pStyle w:val="TableParagraph"/>
              <w:spacing w:before="9"/>
              <w:rPr>
                <w:sz w:val="20"/>
              </w:rPr>
            </w:pPr>
          </w:p>
          <w:p w14:paraId="6C571B3A" w14:textId="77777777" w:rsidR="00EF5B27" w:rsidRDefault="00000000">
            <w:pPr>
              <w:pStyle w:val="TableParagraph"/>
              <w:spacing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64BC7EC6" w14:textId="77777777" w:rsidR="00EF5B27" w:rsidRDefault="00EF5B27">
            <w:pPr>
              <w:pStyle w:val="TableParagraph"/>
              <w:rPr>
                <w:sz w:val="16"/>
              </w:rPr>
            </w:pPr>
          </w:p>
          <w:p w14:paraId="2E5851C4" w14:textId="77777777" w:rsidR="00EF5B27" w:rsidRDefault="00EF5B27">
            <w:pPr>
              <w:pStyle w:val="TableParagraph"/>
              <w:spacing w:before="2"/>
              <w:rPr>
                <w:sz w:val="12"/>
              </w:rPr>
            </w:pPr>
          </w:p>
          <w:p w14:paraId="0D458BE5" w14:textId="77777777" w:rsidR="00EF5B27" w:rsidRDefault="00000000">
            <w:pPr>
              <w:pStyle w:val="TableParagraph"/>
              <w:ind w:right="327"/>
              <w:jc w:val="right"/>
              <w:rPr>
                <w:sz w:val="14"/>
              </w:rPr>
            </w:pPr>
            <w:r>
              <w:rPr>
                <w:color w:val="4D4D4F"/>
                <w:w w:val="96"/>
                <w:sz w:val="14"/>
              </w:rPr>
              <w:t>1</w:t>
            </w:r>
          </w:p>
        </w:tc>
        <w:tc>
          <w:tcPr>
            <w:tcW w:w="1474" w:type="dxa"/>
          </w:tcPr>
          <w:p w14:paraId="401492CE" w14:textId="77777777" w:rsidR="00EF5B27" w:rsidRDefault="00EF5B27">
            <w:pPr>
              <w:pStyle w:val="TableParagraph"/>
              <w:rPr>
                <w:sz w:val="16"/>
              </w:rPr>
            </w:pPr>
          </w:p>
          <w:p w14:paraId="7050AEAB" w14:textId="77777777" w:rsidR="00EF5B27" w:rsidRDefault="00EF5B27">
            <w:pPr>
              <w:pStyle w:val="TableParagraph"/>
              <w:spacing w:before="2"/>
              <w:rPr>
                <w:sz w:val="12"/>
              </w:rPr>
            </w:pPr>
          </w:p>
          <w:p w14:paraId="6249BB0C" w14:textId="77777777" w:rsidR="00EF5B27" w:rsidRDefault="00000000">
            <w:pPr>
              <w:pStyle w:val="TableParagraph"/>
              <w:ind w:left="124" w:right="120"/>
              <w:jc w:val="center"/>
              <w:rPr>
                <w:sz w:val="14"/>
              </w:rPr>
            </w:pPr>
            <w:r>
              <w:rPr>
                <w:color w:val="4D4D4F"/>
                <w:w w:val="105"/>
                <w:sz w:val="14"/>
              </w:rPr>
              <w:t>States</w:t>
            </w:r>
          </w:p>
        </w:tc>
        <w:tc>
          <w:tcPr>
            <w:tcW w:w="2041" w:type="dxa"/>
          </w:tcPr>
          <w:p w14:paraId="4199AEF9" w14:textId="77777777" w:rsidR="00EF5B27" w:rsidRDefault="00EF5B27">
            <w:pPr>
              <w:pStyle w:val="TableParagraph"/>
              <w:rPr>
                <w:sz w:val="16"/>
              </w:rPr>
            </w:pPr>
          </w:p>
          <w:p w14:paraId="3FDA6AB6" w14:textId="77777777" w:rsidR="00EF5B27" w:rsidRDefault="00EF5B27">
            <w:pPr>
              <w:pStyle w:val="TableParagraph"/>
              <w:spacing w:before="2"/>
              <w:rPr>
                <w:sz w:val="12"/>
              </w:rPr>
            </w:pPr>
          </w:p>
          <w:p w14:paraId="393CA34E" w14:textId="77777777" w:rsidR="00EF5B27" w:rsidRDefault="00000000">
            <w:pPr>
              <w:pStyle w:val="TableParagraph"/>
              <w:ind w:left="154" w:right="150"/>
              <w:jc w:val="center"/>
              <w:rPr>
                <w:sz w:val="14"/>
              </w:rPr>
            </w:pPr>
            <w:r>
              <w:rPr>
                <w:color w:val="4D4D4F"/>
                <w:w w:val="105"/>
                <w:sz w:val="14"/>
              </w:rPr>
              <w:t>Herb-rich grassland</w:t>
            </w:r>
          </w:p>
        </w:tc>
        <w:tc>
          <w:tcPr>
            <w:tcW w:w="2154" w:type="dxa"/>
          </w:tcPr>
          <w:p w14:paraId="6651C359" w14:textId="77777777" w:rsidR="00EF5B27" w:rsidRDefault="00EF5B27">
            <w:pPr>
              <w:pStyle w:val="TableParagraph"/>
              <w:spacing w:before="5"/>
              <w:rPr>
                <w:sz w:val="13"/>
              </w:rPr>
            </w:pPr>
          </w:p>
          <w:p w14:paraId="69C00944" w14:textId="77777777" w:rsidR="00EF5B27" w:rsidRDefault="00000000">
            <w:pPr>
              <w:pStyle w:val="TableParagraph"/>
              <w:spacing w:line="252" w:lineRule="auto"/>
              <w:ind w:left="82" w:right="76" w:firstLine="1"/>
              <w:jc w:val="both"/>
              <w:rPr>
                <w:sz w:val="14"/>
              </w:rPr>
            </w:pPr>
            <w:r>
              <w:rPr>
                <w:color w:val="4D4D4F"/>
                <w:sz w:val="14"/>
              </w:rPr>
              <w:t>See Sinclair et al. 2019b paper for method on evaluation of "positive, neutral or negative" transitions</w:t>
            </w:r>
          </w:p>
        </w:tc>
        <w:tc>
          <w:tcPr>
            <w:tcW w:w="1134" w:type="dxa"/>
          </w:tcPr>
          <w:p w14:paraId="0730710A" w14:textId="77777777" w:rsidR="00EF5B27" w:rsidRDefault="00EF5B27">
            <w:pPr>
              <w:pStyle w:val="TableParagraph"/>
              <w:rPr>
                <w:sz w:val="16"/>
              </w:rPr>
            </w:pPr>
          </w:p>
          <w:p w14:paraId="686D3F5B" w14:textId="77777777" w:rsidR="00EF5B27" w:rsidRDefault="00EF5B27">
            <w:pPr>
              <w:pStyle w:val="TableParagraph"/>
              <w:spacing w:before="2"/>
              <w:rPr>
                <w:sz w:val="12"/>
              </w:rPr>
            </w:pPr>
          </w:p>
          <w:p w14:paraId="42248523" w14:textId="77777777" w:rsidR="00EF5B27" w:rsidRDefault="00000000">
            <w:pPr>
              <w:pStyle w:val="TableParagraph"/>
              <w:ind w:left="81" w:right="77"/>
              <w:jc w:val="center"/>
              <w:rPr>
                <w:sz w:val="14"/>
              </w:rPr>
            </w:pPr>
            <w:r>
              <w:rPr>
                <w:color w:val="4D4D4F"/>
                <w:w w:val="105"/>
                <w:sz w:val="14"/>
              </w:rPr>
              <w:t>Not assessed</w:t>
            </w:r>
          </w:p>
        </w:tc>
      </w:tr>
      <w:tr w:rsidR="00EF5B27" w14:paraId="28D2548D" w14:textId="77777777">
        <w:trPr>
          <w:trHeight w:val="845"/>
        </w:trPr>
        <w:tc>
          <w:tcPr>
            <w:tcW w:w="737" w:type="dxa"/>
          </w:tcPr>
          <w:p w14:paraId="407E3A1F" w14:textId="77777777" w:rsidR="00EF5B27" w:rsidRDefault="00EF5B27">
            <w:pPr>
              <w:pStyle w:val="TableParagraph"/>
              <w:rPr>
                <w:sz w:val="16"/>
              </w:rPr>
            </w:pPr>
          </w:p>
          <w:p w14:paraId="45887FDE" w14:textId="77777777" w:rsidR="00EF5B27" w:rsidRDefault="00EF5B27">
            <w:pPr>
              <w:pStyle w:val="TableParagraph"/>
              <w:spacing w:before="2"/>
              <w:rPr>
                <w:sz w:val="12"/>
              </w:rPr>
            </w:pPr>
          </w:p>
          <w:p w14:paraId="209E41DD" w14:textId="77777777" w:rsidR="00EF5B27" w:rsidRDefault="00000000">
            <w:pPr>
              <w:pStyle w:val="TableParagraph"/>
              <w:ind w:left="5"/>
              <w:jc w:val="center"/>
              <w:rPr>
                <w:sz w:val="14"/>
              </w:rPr>
            </w:pPr>
            <w:r>
              <w:rPr>
                <w:color w:val="4D4D4F"/>
                <w:w w:val="96"/>
                <w:sz w:val="14"/>
              </w:rPr>
              <w:t>1</w:t>
            </w:r>
          </w:p>
        </w:tc>
        <w:tc>
          <w:tcPr>
            <w:tcW w:w="1361" w:type="dxa"/>
          </w:tcPr>
          <w:p w14:paraId="7251896F" w14:textId="77777777" w:rsidR="00EF5B27" w:rsidRDefault="00EF5B27">
            <w:pPr>
              <w:pStyle w:val="TableParagraph"/>
              <w:spacing w:before="9"/>
              <w:rPr>
                <w:sz w:val="20"/>
              </w:rPr>
            </w:pPr>
          </w:p>
          <w:p w14:paraId="3D125279" w14:textId="77777777" w:rsidR="00EF5B27" w:rsidRDefault="00000000">
            <w:pPr>
              <w:pStyle w:val="TableParagraph"/>
              <w:spacing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02F2BC36" w14:textId="77777777" w:rsidR="00EF5B27" w:rsidRDefault="00EF5B27">
            <w:pPr>
              <w:pStyle w:val="TableParagraph"/>
              <w:rPr>
                <w:sz w:val="16"/>
              </w:rPr>
            </w:pPr>
          </w:p>
          <w:p w14:paraId="352B0556" w14:textId="77777777" w:rsidR="00EF5B27" w:rsidRDefault="00EF5B27">
            <w:pPr>
              <w:pStyle w:val="TableParagraph"/>
              <w:spacing w:before="2"/>
              <w:rPr>
                <w:sz w:val="12"/>
              </w:rPr>
            </w:pPr>
          </w:p>
          <w:p w14:paraId="4E78840B" w14:textId="77777777" w:rsidR="00EF5B27" w:rsidRDefault="00000000">
            <w:pPr>
              <w:pStyle w:val="TableParagraph"/>
              <w:ind w:right="327"/>
              <w:jc w:val="right"/>
              <w:rPr>
                <w:sz w:val="14"/>
              </w:rPr>
            </w:pPr>
            <w:r>
              <w:rPr>
                <w:color w:val="4D4D4F"/>
                <w:w w:val="96"/>
                <w:sz w:val="14"/>
              </w:rPr>
              <w:t>1</w:t>
            </w:r>
          </w:p>
        </w:tc>
        <w:tc>
          <w:tcPr>
            <w:tcW w:w="1474" w:type="dxa"/>
          </w:tcPr>
          <w:p w14:paraId="006E75A3" w14:textId="77777777" w:rsidR="00EF5B27" w:rsidRDefault="00EF5B27">
            <w:pPr>
              <w:pStyle w:val="TableParagraph"/>
              <w:rPr>
                <w:sz w:val="16"/>
              </w:rPr>
            </w:pPr>
          </w:p>
          <w:p w14:paraId="28A3A750" w14:textId="77777777" w:rsidR="00EF5B27" w:rsidRDefault="00EF5B27">
            <w:pPr>
              <w:pStyle w:val="TableParagraph"/>
              <w:spacing w:before="2"/>
              <w:rPr>
                <w:sz w:val="12"/>
              </w:rPr>
            </w:pPr>
          </w:p>
          <w:p w14:paraId="29566B47" w14:textId="77777777" w:rsidR="00EF5B27" w:rsidRDefault="00000000">
            <w:pPr>
              <w:pStyle w:val="TableParagraph"/>
              <w:ind w:left="124" w:right="120"/>
              <w:jc w:val="center"/>
              <w:rPr>
                <w:sz w:val="14"/>
              </w:rPr>
            </w:pPr>
            <w:r>
              <w:rPr>
                <w:color w:val="4D4D4F"/>
                <w:w w:val="105"/>
                <w:sz w:val="14"/>
              </w:rPr>
              <w:t>States</w:t>
            </w:r>
          </w:p>
        </w:tc>
        <w:tc>
          <w:tcPr>
            <w:tcW w:w="2041" w:type="dxa"/>
          </w:tcPr>
          <w:p w14:paraId="735E3F25" w14:textId="77777777" w:rsidR="00EF5B27" w:rsidRDefault="00EF5B27">
            <w:pPr>
              <w:pStyle w:val="TableParagraph"/>
              <w:rPr>
                <w:sz w:val="16"/>
              </w:rPr>
            </w:pPr>
          </w:p>
          <w:p w14:paraId="01A9676B" w14:textId="77777777" w:rsidR="00EF5B27" w:rsidRDefault="00EF5B27">
            <w:pPr>
              <w:pStyle w:val="TableParagraph"/>
              <w:spacing w:before="2"/>
              <w:rPr>
                <w:sz w:val="12"/>
              </w:rPr>
            </w:pPr>
          </w:p>
          <w:p w14:paraId="5AF11E34" w14:textId="77777777" w:rsidR="00EF5B27" w:rsidRDefault="00000000">
            <w:pPr>
              <w:pStyle w:val="TableParagraph"/>
              <w:ind w:left="154" w:right="15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6F20A2C8" w14:textId="77777777" w:rsidR="00EF5B27" w:rsidRDefault="00EF5B27">
            <w:pPr>
              <w:pStyle w:val="TableParagraph"/>
              <w:spacing w:before="5"/>
              <w:rPr>
                <w:sz w:val="13"/>
              </w:rPr>
            </w:pPr>
          </w:p>
          <w:p w14:paraId="5211BB8E" w14:textId="77777777" w:rsidR="00EF5B27" w:rsidRDefault="00000000">
            <w:pPr>
              <w:pStyle w:val="TableParagraph"/>
              <w:spacing w:line="252" w:lineRule="auto"/>
              <w:ind w:left="82" w:right="76" w:firstLine="1"/>
              <w:jc w:val="both"/>
              <w:rPr>
                <w:sz w:val="14"/>
              </w:rPr>
            </w:pPr>
            <w:r>
              <w:rPr>
                <w:color w:val="4D4D4F"/>
                <w:sz w:val="14"/>
              </w:rPr>
              <w:t>See Sinclair et al. 2019b paper for method on evaluation of "positive, neutral or negative" transitions</w:t>
            </w:r>
          </w:p>
        </w:tc>
        <w:tc>
          <w:tcPr>
            <w:tcW w:w="1134" w:type="dxa"/>
          </w:tcPr>
          <w:p w14:paraId="0D551BD1" w14:textId="77777777" w:rsidR="00EF5B27" w:rsidRDefault="00EF5B27">
            <w:pPr>
              <w:pStyle w:val="TableParagraph"/>
              <w:rPr>
                <w:sz w:val="16"/>
              </w:rPr>
            </w:pPr>
          </w:p>
          <w:p w14:paraId="1518E39D" w14:textId="77777777" w:rsidR="00EF5B27" w:rsidRDefault="00EF5B27">
            <w:pPr>
              <w:pStyle w:val="TableParagraph"/>
              <w:spacing w:before="2"/>
              <w:rPr>
                <w:sz w:val="12"/>
              </w:rPr>
            </w:pPr>
          </w:p>
          <w:p w14:paraId="76E0CAD5" w14:textId="77777777" w:rsidR="00EF5B27" w:rsidRDefault="00000000">
            <w:pPr>
              <w:pStyle w:val="TableParagraph"/>
              <w:ind w:left="81" w:right="77"/>
              <w:jc w:val="center"/>
              <w:rPr>
                <w:sz w:val="14"/>
              </w:rPr>
            </w:pPr>
            <w:r>
              <w:rPr>
                <w:color w:val="4D4D4F"/>
                <w:w w:val="105"/>
                <w:sz w:val="14"/>
              </w:rPr>
              <w:t>Not assessed</w:t>
            </w:r>
          </w:p>
        </w:tc>
      </w:tr>
      <w:tr w:rsidR="00EF5B27" w14:paraId="6D44CC1F" w14:textId="77777777">
        <w:trPr>
          <w:trHeight w:val="845"/>
        </w:trPr>
        <w:tc>
          <w:tcPr>
            <w:tcW w:w="737" w:type="dxa"/>
          </w:tcPr>
          <w:p w14:paraId="280272C6" w14:textId="77777777" w:rsidR="00EF5B27" w:rsidRDefault="00EF5B27">
            <w:pPr>
              <w:pStyle w:val="TableParagraph"/>
              <w:rPr>
                <w:sz w:val="16"/>
              </w:rPr>
            </w:pPr>
          </w:p>
          <w:p w14:paraId="00F9EFB3" w14:textId="77777777" w:rsidR="00EF5B27" w:rsidRDefault="00EF5B27">
            <w:pPr>
              <w:pStyle w:val="TableParagraph"/>
              <w:spacing w:before="2"/>
              <w:rPr>
                <w:sz w:val="12"/>
              </w:rPr>
            </w:pPr>
          </w:p>
          <w:p w14:paraId="0F6D4A5F" w14:textId="77777777" w:rsidR="00EF5B27" w:rsidRDefault="00000000">
            <w:pPr>
              <w:pStyle w:val="TableParagraph"/>
              <w:ind w:left="5"/>
              <w:jc w:val="center"/>
              <w:rPr>
                <w:sz w:val="14"/>
              </w:rPr>
            </w:pPr>
            <w:r>
              <w:rPr>
                <w:color w:val="4D4D4F"/>
                <w:w w:val="96"/>
                <w:sz w:val="14"/>
              </w:rPr>
              <w:t>1</w:t>
            </w:r>
          </w:p>
        </w:tc>
        <w:tc>
          <w:tcPr>
            <w:tcW w:w="1361" w:type="dxa"/>
          </w:tcPr>
          <w:p w14:paraId="6ECAD5A8" w14:textId="77777777" w:rsidR="00EF5B27" w:rsidRDefault="00EF5B27">
            <w:pPr>
              <w:pStyle w:val="TableParagraph"/>
              <w:spacing w:before="9"/>
              <w:rPr>
                <w:sz w:val="20"/>
              </w:rPr>
            </w:pPr>
          </w:p>
          <w:p w14:paraId="76738DBE" w14:textId="77777777" w:rsidR="00EF5B27" w:rsidRDefault="00000000">
            <w:pPr>
              <w:pStyle w:val="TableParagraph"/>
              <w:spacing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4A11B66C" w14:textId="77777777" w:rsidR="00EF5B27" w:rsidRDefault="00EF5B27">
            <w:pPr>
              <w:pStyle w:val="TableParagraph"/>
              <w:rPr>
                <w:sz w:val="16"/>
              </w:rPr>
            </w:pPr>
          </w:p>
          <w:p w14:paraId="24902594" w14:textId="77777777" w:rsidR="00EF5B27" w:rsidRDefault="00EF5B27">
            <w:pPr>
              <w:pStyle w:val="TableParagraph"/>
              <w:spacing w:before="2"/>
              <w:rPr>
                <w:sz w:val="12"/>
              </w:rPr>
            </w:pPr>
          </w:p>
          <w:p w14:paraId="48FE5829" w14:textId="77777777" w:rsidR="00EF5B27" w:rsidRDefault="00000000">
            <w:pPr>
              <w:pStyle w:val="TableParagraph"/>
              <w:ind w:right="327"/>
              <w:jc w:val="right"/>
              <w:rPr>
                <w:sz w:val="14"/>
              </w:rPr>
            </w:pPr>
            <w:r>
              <w:rPr>
                <w:color w:val="4D4D4F"/>
                <w:w w:val="96"/>
                <w:sz w:val="14"/>
              </w:rPr>
              <w:t>1</w:t>
            </w:r>
          </w:p>
        </w:tc>
        <w:tc>
          <w:tcPr>
            <w:tcW w:w="1474" w:type="dxa"/>
          </w:tcPr>
          <w:p w14:paraId="6088FBFA" w14:textId="77777777" w:rsidR="00EF5B27" w:rsidRDefault="00EF5B27">
            <w:pPr>
              <w:pStyle w:val="TableParagraph"/>
              <w:rPr>
                <w:sz w:val="16"/>
              </w:rPr>
            </w:pPr>
          </w:p>
          <w:p w14:paraId="023792EC" w14:textId="77777777" w:rsidR="00EF5B27" w:rsidRDefault="00EF5B27">
            <w:pPr>
              <w:pStyle w:val="TableParagraph"/>
              <w:spacing w:before="2"/>
              <w:rPr>
                <w:sz w:val="12"/>
              </w:rPr>
            </w:pPr>
          </w:p>
          <w:p w14:paraId="290C06D5" w14:textId="77777777" w:rsidR="00EF5B27" w:rsidRDefault="00000000">
            <w:pPr>
              <w:pStyle w:val="TableParagraph"/>
              <w:ind w:left="124" w:right="120"/>
              <w:jc w:val="center"/>
              <w:rPr>
                <w:sz w:val="14"/>
              </w:rPr>
            </w:pPr>
            <w:r>
              <w:rPr>
                <w:color w:val="4D4D4F"/>
                <w:w w:val="105"/>
                <w:sz w:val="14"/>
              </w:rPr>
              <w:t>States</w:t>
            </w:r>
          </w:p>
        </w:tc>
        <w:tc>
          <w:tcPr>
            <w:tcW w:w="2041" w:type="dxa"/>
          </w:tcPr>
          <w:p w14:paraId="4D6EDB78" w14:textId="77777777" w:rsidR="00EF5B27" w:rsidRDefault="00EF5B27">
            <w:pPr>
              <w:pStyle w:val="TableParagraph"/>
              <w:rPr>
                <w:sz w:val="16"/>
              </w:rPr>
            </w:pPr>
          </w:p>
          <w:p w14:paraId="30E65D04" w14:textId="77777777" w:rsidR="00EF5B27" w:rsidRDefault="00EF5B27">
            <w:pPr>
              <w:pStyle w:val="TableParagraph"/>
              <w:spacing w:before="2"/>
              <w:rPr>
                <w:sz w:val="12"/>
              </w:rPr>
            </w:pPr>
          </w:p>
          <w:p w14:paraId="108B34CD" w14:textId="77777777" w:rsidR="00EF5B27" w:rsidRDefault="00000000">
            <w:pPr>
              <w:pStyle w:val="TableParagraph"/>
              <w:ind w:left="154" w:right="150"/>
              <w:jc w:val="center"/>
              <w:rPr>
                <w:sz w:val="14"/>
              </w:rPr>
            </w:pPr>
            <w:r>
              <w:rPr>
                <w:color w:val="4D4D4F"/>
                <w:w w:val="105"/>
                <w:sz w:val="14"/>
              </w:rPr>
              <w:t>C3 grassland</w:t>
            </w:r>
          </w:p>
        </w:tc>
        <w:tc>
          <w:tcPr>
            <w:tcW w:w="2154" w:type="dxa"/>
          </w:tcPr>
          <w:p w14:paraId="477567DA" w14:textId="77777777" w:rsidR="00EF5B27" w:rsidRDefault="00EF5B27">
            <w:pPr>
              <w:pStyle w:val="TableParagraph"/>
              <w:spacing w:before="5"/>
              <w:rPr>
                <w:sz w:val="13"/>
              </w:rPr>
            </w:pPr>
          </w:p>
          <w:p w14:paraId="7E1DE5B1" w14:textId="77777777" w:rsidR="00EF5B27" w:rsidRDefault="00000000">
            <w:pPr>
              <w:pStyle w:val="TableParagraph"/>
              <w:spacing w:line="252" w:lineRule="auto"/>
              <w:ind w:left="82" w:right="76" w:firstLine="1"/>
              <w:jc w:val="both"/>
              <w:rPr>
                <w:sz w:val="14"/>
              </w:rPr>
            </w:pPr>
            <w:r>
              <w:rPr>
                <w:color w:val="4D4D4F"/>
                <w:sz w:val="14"/>
              </w:rPr>
              <w:t>See Sinclair et al. 2019b paper for method on evaluation of "positive, neutral or negative" transitions</w:t>
            </w:r>
          </w:p>
        </w:tc>
        <w:tc>
          <w:tcPr>
            <w:tcW w:w="1134" w:type="dxa"/>
          </w:tcPr>
          <w:p w14:paraId="5C01ACC9" w14:textId="77777777" w:rsidR="00EF5B27" w:rsidRDefault="00EF5B27">
            <w:pPr>
              <w:pStyle w:val="TableParagraph"/>
              <w:rPr>
                <w:sz w:val="16"/>
              </w:rPr>
            </w:pPr>
          </w:p>
          <w:p w14:paraId="474E9407" w14:textId="77777777" w:rsidR="00EF5B27" w:rsidRDefault="00EF5B27">
            <w:pPr>
              <w:pStyle w:val="TableParagraph"/>
              <w:spacing w:before="2"/>
              <w:rPr>
                <w:sz w:val="12"/>
              </w:rPr>
            </w:pPr>
          </w:p>
          <w:p w14:paraId="2C91B7CC" w14:textId="77777777" w:rsidR="00EF5B27" w:rsidRDefault="00000000">
            <w:pPr>
              <w:pStyle w:val="TableParagraph"/>
              <w:ind w:left="81" w:right="77"/>
              <w:jc w:val="center"/>
              <w:rPr>
                <w:sz w:val="14"/>
              </w:rPr>
            </w:pPr>
            <w:r>
              <w:rPr>
                <w:color w:val="4D4D4F"/>
                <w:w w:val="105"/>
                <w:sz w:val="14"/>
              </w:rPr>
              <w:t>Not assessed</w:t>
            </w:r>
          </w:p>
        </w:tc>
      </w:tr>
      <w:tr w:rsidR="00EF5B27" w14:paraId="2400433D" w14:textId="77777777">
        <w:trPr>
          <w:trHeight w:val="845"/>
        </w:trPr>
        <w:tc>
          <w:tcPr>
            <w:tcW w:w="737" w:type="dxa"/>
          </w:tcPr>
          <w:p w14:paraId="0357B840" w14:textId="77777777" w:rsidR="00EF5B27" w:rsidRDefault="00EF5B27">
            <w:pPr>
              <w:pStyle w:val="TableParagraph"/>
              <w:rPr>
                <w:sz w:val="16"/>
              </w:rPr>
            </w:pPr>
          </w:p>
          <w:p w14:paraId="574433CF" w14:textId="77777777" w:rsidR="00EF5B27" w:rsidRDefault="00EF5B27">
            <w:pPr>
              <w:pStyle w:val="TableParagraph"/>
              <w:spacing w:before="2"/>
              <w:rPr>
                <w:sz w:val="12"/>
              </w:rPr>
            </w:pPr>
          </w:p>
          <w:p w14:paraId="6E846DC1" w14:textId="77777777" w:rsidR="00EF5B27" w:rsidRDefault="00000000">
            <w:pPr>
              <w:pStyle w:val="TableParagraph"/>
              <w:ind w:left="5"/>
              <w:jc w:val="center"/>
              <w:rPr>
                <w:sz w:val="14"/>
              </w:rPr>
            </w:pPr>
            <w:r>
              <w:rPr>
                <w:color w:val="4D4D4F"/>
                <w:w w:val="96"/>
                <w:sz w:val="14"/>
              </w:rPr>
              <w:t>1</w:t>
            </w:r>
          </w:p>
        </w:tc>
        <w:tc>
          <w:tcPr>
            <w:tcW w:w="1361" w:type="dxa"/>
          </w:tcPr>
          <w:p w14:paraId="697371FB" w14:textId="77777777" w:rsidR="00EF5B27" w:rsidRDefault="00EF5B27">
            <w:pPr>
              <w:pStyle w:val="TableParagraph"/>
              <w:spacing w:before="9"/>
              <w:rPr>
                <w:sz w:val="20"/>
              </w:rPr>
            </w:pPr>
          </w:p>
          <w:p w14:paraId="0CE8A78B" w14:textId="77777777" w:rsidR="00EF5B27" w:rsidRDefault="00000000">
            <w:pPr>
              <w:pStyle w:val="TableParagraph"/>
              <w:spacing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54702E8D" w14:textId="77777777" w:rsidR="00EF5B27" w:rsidRDefault="00EF5B27">
            <w:pPr>
              <w:pStyle w:val="TableParagraph"/>
              <w:rPr>
                <w:sz w:val="16"/>
              </w:rPr>
            </w:pPr>
          </w:p>
          <w:p w14:paraId="6EB6B3C2" w14:textId="77777777" w:rsidR="00EF5B27" w:rsidRDefault="00EF5B27">
            <w:pPr>
              <w:pStyle w:val="TableParagraph"/>
              <w:spacing w:before="2"/>
              <w:rPr>
                <w:sz w:val="12"/>
              </w:rPr>
            </w:pPr>
          </w:p>
          <w:p w14:paraId="721AFFD3" w14:textId="77777777" w:rsidR="00EF5B27" w:rsidRDefault="00000000">
            <w:pPr>
              <w:pStyle w:val="TableParagraph"/>
              <w:ind w:right="327"/>
              <w:jc w:val="right"/>
              <w:rPr>
                <w:sz w:val="14"/>
              </w:rPr>
            </w:pPr>
            <w:r>
              <w:rPr>
                <w:color w:val="4D4D4F"/>
                <w:w w:val="96"/>
                <w:sz w:val="14"/>
              </w:rPr>
              <w:t>1</w:t>
            </w:r>
          </w:p>
        </w:tc>
        <w:tc>
          <w:tcPr>
            <w:tcW w:w="1474" w:type="dxa"/>
          </w:tcPr>
          <w:p w14:paraId="10D546A7" w14:textId="77777777" w:rsidR="00EF5B27" w:rsidRDefault="00EF5B27">
            <w:pPr>
              <w:pStyle w:val="TableParagraph"/>
              <w:rPr>
                <w:sz w:val="16"/>
              </w:rPr>
            </w:pPr>
          </w:p>
          <w:p w14:paraId="61043807" w14:textId="77777777" w:rsidR="00EF5B27" w:rsidRDefault="00EF5B27">
            <w:pPr>
              <w:pStyle w:val="TableParagraph"/>
              <w:spacing w:before="2"/>
              <w:rPr>
                <w:sz w:val="12"/>
              </w:rPr>
            </w:pPr>
          </w:p>
          <w:p w14:paraId="79E649B1" w14:textId="77777777" w:rsidR="00EF5B27" w:rsidRDefault="00000000">
            <w:pPr>
              <w:pStyle w:val="TableParagraph"/>
              <w:ind w:left="124" w:right="120"/>
              <w:jc w:val="center"/>
              <w:rPr>
                <w:sz w:val="14"/>
              </w:rPr>
            </w:pPr>
            <w:r>
              <w:rPr>
                <w:color w:val="4D4D4F"/>
                <w:w w:val="105"/>
                <w:sz w:val="14"/>
              </w:rPr>
              <w:t>States</w:t>
            </w:r>
          </w:p>
        </w:tc>
        <w:tc>
          <w:tcPr>
            <w:tcW w:w="2041" w:type="dxa"/>
          </w:tcPr>
          <w:p w14:paraId="12A613C0" w14:textId="77777777" w:rsidR="00EF5B27" w:rsidRDefault="00EF5B27">
            <w:pPr>
              <w:pStyle w:val="TableParagraph"/>
              <w:rPr>
                <w:sz w:val="16"/>
              </w:rPr>
            </w:pPr>
          </w:p>
          <w:p w14:paraId="08505763" w14:textId="77777777" w:rsidR="00EF5B27" w:rsidRDefault="00EF5B27">
            <w:pPr>
              <w:pStyle w:val="TableParagraph"/>
              <w:spacing w:before="2"/>
              <w:rPr>
                <w:sz w:val="12"/>
              </w:rPr>
            </w:pPr>
          </w:p>
          <w:p w14:paraId="0D353202" w14:textId="77777777" w:rsidR="00EF5B27" w:rsidRDefault="00000000">
            <w:pPr>
              <w:pStyle w:val="TableParagraph"/>
              <w:ind w:left="153" w:right="150"/>
              <w:jc w:val="center"/>
              <w:rPr>
                <w:sz w:val="14"/>
              </w:rPr>
            </w:pPr>
            <w:r>
              <w:rPr>
                <w:color w:val="4D4D4F"/>
                <w:w w:val="105"/>
                <w:sz w:val="14"/>
              </w:rPr>
              <w:t>Nutrient-enriched grassland</w:t>
            </w:r>
          </w:p>
        </w:tc>
        <w:tc>
          <w:tcPr>
            <w:tcW w:w="2154" w:type="dxa"/>
          </w:tcPr>
          <w:p w14:paraId="4CCC1D50" w14:textId="77777777" w:rsidR="00EF5B27" w:rsidRDefault="00EF5B27">
            <w:pPr>
              <w:pStyle w:val="TableParagraph"/>
              <w:spacing w:before="5"/>
              <w:rPr>
                <w:sz w:val="13"/>
              </w:rPr>
            </w:pPr>
          </w:p>
          <w:p w14:paraId="4D8D74CE" w14:textId="77777777" w:rsidR="00EF5B27" w:rsidRDefault="00000000">
            <w:pPr>
              <w:pStyle w:val="TableParagraph"/>
              <w:spacing w:line="252" w:lineRule="auto"/>
              <w:ind w:left="82" w:right="76" w:firstLine="1"/>
              <w:jc w:val="both"/>
              <w:rPr>
                <w:sz w:val="14"/>
              </w:rPr>
            </w:pPr>
            <w:r>
              <w:rPr>
                <w:color w:val="4D4D4F"/>
                <w:sz w:val="14"/>
              </w:rPr>
              <w:t>See Sinclair et al. 2019b paper for method on evaluation of "positive, neutral or negative" transitions</w:t>
            </w:r>
          </w:p>
        </w:tc>
        <w:tc>
          <w:tcPr>
            <w:tcW w:w="1134" w:type="dxa"/>
          </w:tcPr>
          <w:p w14:paraId="46C6EE82" w14:textId="77777777" w:rsidR="00EF5B27" w:rsidRDefault="00EF5B27">
            <w:pPr>
              <w:pStyle w:val="TableParagraph"/>
              <w:rPr>
                <w:sz w:val="16"/>
              </w:rPr>
            </w:pPr>
          </w:p>
          <w:p w14:paraId="58B8CBBD" w14:textId="77777777" w:rsidR="00EF5B27" w:rsidRDefault="00EF5B27">
            <w:pPr>
              <w:pStyle w:val="TableParagraph"/>
              <w:spacing w:before="2"/>
              <w:rPr>
                <w:sz w:val="12"/>
              </w:rPr>
            </w:pPr>
          </w:p>
          <w:p w14:paraId="446CFBAF" w14:textId="77777777" w:rsidR="00EF5B27" w:rsidRDefault="00000000">
            <w:pPr>
              <w:pStyle w:val="TableParagraph"/>
              <w:ind w:left="81" w:right="77"/>
              <w:jc w:val="center"/>
              <w:rPr>
                <w:sz w:val="14"/>
              </w:rPr>
            </w:pPr>
            <w:r>
              <w:rPr>
                <w:color w:val="4D4D4F"/>
                <w:w w:val="105"/>
                <w:sz w:val="14"/>
              </w:rPr>
              <w:t>Not assessed</w:t>
            </w:r>
          </w:p>
        </w:tc>
      </w:tr>
      <w:tr w:rsidR="00EF5B27" w14:paraId="39E5D2D6" w14:textId="77777777">
        <w:trPr>
          <w:trHeight w:val="845"/>
        </w:trPr>
        <w:tc>
          <w:tcPr>
            <w:tcW w:w="737" w:type="dxa"/>
          </w:tcPr>
          <w:p w14:paraId="39204CC2" w14:textId="77777777" w:rsidR="00EF5B27" w:rsidRDefault="00EF5B27">
            <w:pPr>
              <w:pStyle w:val="TableParagraph"/>
              <w:rPr>
                <w:sz w:val="16"/>
              </w:rPr>
            </w:pPr>
          </w:p>
          <w:p w14:paraId="272D80E6" w14:textId="77777777" w:rsidR="00EF5B27" w:rsidRDefault="00EF5B27">
            <w:pPr>
              <w:pStyle w:val="TableParagraph"/>
              <w:spacing w:before="2"/>
              <w:rPr>
                <w:sz w:val="12"/>
              </w:rPr>
            </w:pPr>
          </w:p>
          <w:p w14:paraId="17B6C9E7" w14:textId="77777777" w:rsidR="00EF5B27" w:rsidRDefault="00000000">
            <w:pPr>
              <w:pStyle w:val="TableParagraph"/>
              <w:ind w:left="5"/>
              <w:jc w:val="center"/>
              <w:rPr>
                <w:sz w:val="14"/>
              </w:rPr>
            </w:pPr>
            <w:r>
              <w:rPr>
                <w:color w:val="4D4D4F"/>
                <w:w w:val="96"/>
                <w:sz w:val="14"/>
              </w:rPr>
              <w:t>1</w:t>
            </w:r>
          </w:p>
        </w:tc>
        <w:tc>
          <w:tcPr>
            <w:tcW w:w="1361" w:type="dxa"/>
          </w:tcPr>
          <w:p w14:paraId="5A6C6E4B" w14:textId="77777777" w:rsidR="00EF5B27" w:rsidRDefault="00EF5B27">
            <w:pPr>
              <w:pStyle w:val="TableParagraph"/>
              <w:spacing w:before="9"/>
              <w:rPr>
                <w:sz w:val="20"/>
              </w:rPr>
            </w:pPr>
          </w:p>
          <w:p w14:paraId="0CD0291D" w14:textId="77777777" w:rsidR="00EF5B27" w:rsidRDefault="00000000">
            <w:pPr>
              <w:pStyle w:val="TableParagraph"/>
              <w:spacing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28C5E64C" w14:textId="77777777" w:rsidR="00EF5B27" w:rsidRDefault="00EF5B27">
            <w:pPr>
              <w:pStyle w:val="TableParagraph"/>
              <w:rPr>
                <w:sz w:val="16"/>
              </w:rPr>
            </w:pPr>
          </w:p>
          <w:p w14:paraId="4B20C441" w14:textId="77777777" w:rsidR="00EF5B27" w:rsidRDefault="00EF5B27">
            <w:pPr>
              <w:pStyle w:val="TableParagraph"/>
              <w:spacing w:before="2"/>
              <w:rPr>
                <w:sz w:val="12"/>
              </w:rPr>
            </w:pPr>
          </w:p>
          <w:p w14:paraId="4315D8DD" w14:textId="77777777" w:rsidR="00EF5B27" w:rsidRDefault="00000000">
            <w:pPr>
              <w:pStyle w:val="TableParagraph"/>
              <w:ind w:right="327"/>
              <w:jc w:val="right"/>
              <w:rPr>
                <w:sz w:val="14"/>
              </w:rPr>
            </w:pPr>
            <w:r>
              <w:rPr>
                <w:color w:val="4D4D4F"/>
                <w:w w:val="96"/>
                <w:sz w:val="14"/>
              </w:rPr>
              <w:t>1</w:t>
            </w:r>
          </w:p>
        </w:tc>
        <w:tc>
          <w:tcPr>
            <w:tcW w:w="1474" w:type="dxa"/>
          </w:tcPr>
          <w:p w14:paraId="382D7BAA" w14:textId="77777777" w:rsidR="00EF5B27" w:rsidRDefault="00EF5B27">
            <w:pPr>
              <w:pStyle w:val="TableParagraph"/>
              <w:rPr>
                <w:sz w:val="16"/>
              </w:rPr>
            </w:pPr>
          </w:p>
          <w:p w14:paraId="43EDF961" w14:textId="77777777" w:rsidR="00EF5B27" w:rsidRDefault="00EF5B27">
            <w:pPr>
              <w:pStyle w:val="TableParagraph"/>
              <w:spacing w:before="2"/>
              <w:rPr>
                <w:sz w:val="12"/>
              </w:rPr>
            </w:pPr>
          </w:p>
          <w:p w14:paraId="1B84E92A" w14:textId="77777777" w:rsidR="00EF5B27" w:rsidRDefault="00000000">
            <w:pPr>
              <w:pStyle w:val="TableParagraph"/>
              <w:ind w:left="124" w:right="120"/>
              <w:jc w:val="center"/>
              <w:rPr>
                <w:sz w:val="14"/>
              </w:rPr>
            </w:pPr>
            <w:r>
              <w:rPr>
                <w:color w:val="4D4D4F"/>
                <w:w w:val="105"/>
                <w:sz w:val="14"/>
              </w:rPr>
              <w:t>States</w:t>
            </w:r>
          </w:p>
        </w:tc>
        <w:tc>
          <w:tcPr>
            <w:tcW w:w="2041" w:type="dxa"/>
          </w:tcPr>
          <w:p w14:paraId="54F1AB73" w14:textId="77777777" w:rsidR="00EF5B27" w:rsidRDefault="00EF5B27">
            <w:pPr>
              <w:pStyle w:val="TableParagraph"/>
              <w:rPr>
                <w:sz w:val="16"/>
              </w:rPr>
            </w:pPr>
          </w:p>
          <w:p w14:paraId="564B47A6" w14:textId="77777777" w:rsidR="00EF5B27" w:rsidRDefault="00EF5B27">
            <w:pPr>
              <w:pStyle w:val="TableParagraph"/>
              <w:spacing w:before="2"/>
              <w:rPr>
                <w:sz w:val="12"/>
              </w:rPr>
            </w:pPr>
          </w:p>
          <w:p w14:paraId="21088239" w14:textId="77777777" w:rsidR="00EF5B27" w:rsidRDefault="00000000">
            <w:pPr>
              <w:pStyle w:val="TableParagraph"/>
              <w:ind w:left="154" w:right="150"/>
              <w:jc w:val="center"/>
              <w:rPr>
                <w:sz w:val="14"/>
              </w:rPr>
            </w:pPr>
            <w:r>
              <w:rPr>
                <w:color w:val="4D4D4F"/>
                <w:w w:val="105"/>
                <w:sz w:val="14"/>
              </w:rPr>
              <w:t>De-rocked grassland</w:t>
            </w:r>
          </w:p>
        </w:tc>
        <w:tc>
          <w:tcPr>
            <w:tcW w:w="2154" w:type="dxa"/>
          </w:tcPr>
          <w:p w14:paraId="5E789328" w14:textId="77777777" w:rsidR="00EF5B27" w:rsidRDefault="00EF5B27">
            <w:pPr>
              <w:pStyle w:val="TableParagraph"/>
              <w:spacing w:before="5"/>
              <w:rPr>
                <w:sz w:val="13"/>
              </w:rPr>
            </w:pPr>
          </w:p>
          <w:p w14:paraId="52B24630" w14:textId="77777777" w:rsidR="00EF5B27" w:rsidRDefault="00000000">
            <w:pPr>
              <w:pStyle w:val="TableParagraph"/>
              <w:spacing w:line="252" w:lineRule="auto"/>
              <w:ind w:left="82" w:right="76" w:firstLine="1"/>
              <w:jc w:val="both"/>
              <w:rPr>
                <w:sz w:val="14"/>
              </w:rPr>
            </w:pPr>
            <w:r>
              <w:rPr>
                <w:color w:val="4D4D4F"/>
                <w:sz w:val="14"/>
              </w:rPr>
              <w:t>See Sinclair et al. 2019b paper for method on evaluation of "positive, neutral or negative" transitions</w:t>
            </w:r>
          </w:p>
        </w:tc>
        <w:tc>
          <w:tcPr>
            <w:tcW w:w="1134" w:type="dxa"/>
          </w:tcPr>
          <w:p w14:paraId="1C3B856B" w14:textId="77777777" w:rsidR="00EF5B27" w:rsidRDefault="00EF5B27">
            <w:pPr>
              <w:pStyle w:val="TableParagraph"/>
              <w:rPr>
                <w:sz w:val="16"/>
              </w:rPr>
            </w:pPr>
          </w:p>
          <w:p w14:paraId="327A1584" w14:textId="77777777" w:rsidR="00EF5B27" w:rsidRDefault="00EF5B27">
            <w:pPr>
              <w:pStyle w:val="TableParagraph"/>
              <w:spacing w:before="2"/>
              <w:rPr>
                <w:sz w:val="12"/>
              </w:rPr>
            </w:pPr>
          </w:p>
          <w:p w14:paraId="109832E9" w14:textId="77777777" w:rsidR="00EF5B27" w:rsidRDefault="00000000">
            <w:pPr>
              <w:pStyle w:val="TableParagraph"/>
              <w:ind w:left="81" w:right="77"/>
              <w:jc w:val="center"/>
              <w:rPr>
                <w:sz w:val="14"/>
              </w:rPr>
            </w:pPr>
            <w:r>
              <w:rPr>
                <w:color w:val="4D4D4F"/>
                <w:w w:val="105"/>
                <w:sz w:val="14"/>
              </w:rPr>
              <w:t>Not assessed</w:t>
            </w:r>
          </w:p>
        </w:tc>
      </w:tr>
      <w:tr w:rsidR="00EF5B27" w14:paraId="10F7D1E4" w14:textId="77777777">
        <w:trPr>
          <w:trHeight w:val="845"/>
        </w:trPr>
        <w:tc>
          <w:tcPr>
            <w:tcW w:w="737" w:type="dxa"/>
          </w:tcPr>
          <w:p w14:paraId="40D62C71" w14:textId="77777777" w:rsidR="00EF5B27" w:rsidRDefault="00EF5B27">
            <w:pPr>
              <w:pStyle w:val="TableParagraph"/>
              <w:rPr>
                <w:sz w:val="16"/>
              </w:rPr>
            </w:pPr>
          </w:p>
          <w:p w14:paraId="7373B693" w14:textId="77777777" w:rsidR="00EF5B27" w:rsidRDefault="00EF5B27">
            <w:pPr>
              <w:pStyle w:val="TableParagraph"/>
              <w:spacing w:before="1"/>
              <w:rPr>
                <w:sz w:val="12"/>
              </w:rPr>
            </w:pPr>
          </w:p>
          <w:p w14:paraId="39302934" w14:textId="77777777" w:rsidR="00EF5B27" w:rsidRDefault="00000000">
            <w:pPr>
              <w:pStyle w:val="TableParagraph"/>
              <w:spacing w:before="1"/>
              <w:ind w:left="5"/>
              <w:jc w:val="center"/>
              <w:rPr>
                <w:sz w:val="14"/>
              </w:rPr>
            </w:pPr>
            <w:r>
              <w:rPr>
                <w:color w:val="4D4D4F"/>
                <w:w w:val="96"/>
                <w:sz w:val="14"/>
              </w:rPr>
              <w:t>1</w:t>
            </w:r>
          </w:p>
        </w:tc>
        <w:tc>
          <w:tcPr>
            <w:tcW w:w="1361" w:type="dxa"/>
          </w:tcPr>
          <w:p w14:paraId="07A976DA" w14:textId="77777777" w:rsidR="00EF5B27" w:rsidRDefault="00EF5B27">
            <w:pPr>
              <w:pStyle w:val="TableParagraph"/>
              <w:spacing w:before="9"/>
              <w:rPr>
                <w:sz w:val="20"/>
              </w:rPr>
            </w:pPr>
          </w:p>
          <w:p w14:paraId="0B413D33" w14:textId="77777777" w:rsidR="00EF5B27" w:rsidRDefault="00000000">
            <w:pPr>
              <w:pStyle w:val="TableParagraph"/>
              <w:spacing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60D58340" w14:textId="77777777" w:rsidR="00EF5B27" w:rsidRDefault="00EF5B27">
            <w:pPr>
              <w:pStyle w:val="TableParagraph"/>
              <w:rPr>
                <w:sz w:val="16"/>
              </w:rPr>
            </w:pPr>
          </w:p>
          <w:p w14:paraId="7A191127" w14:textId="77777777" w:rsidR="00EF5B27" w:rsidRDefault="00EF5B27">
            <w:pPr>
              <w:pStyle w:val="TableParagraph"/>
              <w:spacing w:before="1"/>
              <w:rPr>
                <w:sz w:val="12"/>
              </w:rPr>
            </w:pPr>
          </w:p>
          <w:p w14:paraId="2EB3FC61" w14:textId="77777777" w:rsidR="00EF5B27" w:rsidRDefault="00000000">
            <w:pPr>
              <w:pStyle w:val="TableParagraph"/>
              <w:spacing w:before="1"/>
              <w:ind w:right="327"/>
              <w:jc w:val="right"/>
              <w:rPr>
                <w:sz w:val="14"/>
              </w:rPr>
            </w:pPr>
            <w:r>
              <w:rPr>
                <w:color w:val="4D4D4F"/>
                <w:w w:val="96"/>
                <w:sz w:val="14"/>
              </w:rPr>
              <w:t>2</w:t>
            </w:r>
          </w:p>
        </w:tc>
        <w:tc>
          <w:tcPr>
            <w:tcW w:w="1474" w:type="dxa"/>
          </w:tcPr>
          <w:p w14:paraId="49E5EEC7" w14:textId="77777777" w:rsidR="00EF5B27" w:rsidRDefault="00EF5B27">
            <w:pPr>
              <w:pStyle w:val="TableParagraph"/>
              <w:rPr>
                <w:sz w:val="16"/>
              </w:rPr>
            </w:pPr>
          </w:p>
          <w:p w14:paraId="15062475" w14:textId="77777777" w:rsidR="00EF5B27" w:rsidRDefault="00EF5B27">
            <w:pPr>
              <w:pStyle w:val="TableParagraph"/>
              <w:spacing w:before="1"/>
              <w:rPr>
                <w:sz w:val="12"/>
              </w:rPr>
            </w:pPr>
          </w:p>
          <w:p w14:paraId="27B16004" w14:textId="77777777" w:rsidR="00EF5B27" w:rsidRDefault="00000000">
            <w:pPr>
              <w:pStyle w:val="TableParagraph"/>
              <w:spacing w:before="1"/>
              <w:ind w:left="124" w:right="120"/>
              <w:jc w:val="center"/>
              <w:rPr>
                <w:sz w:val="14"/>
              </w:rPr>
            </w:pPr>
            <w:r>
              <w:rPr>
                <w:color w:val="4D4D4F"/>
                <w:w w:val="105"/>
                <w:sz w:val="14"/>
              </w:rPr>
              <w:t>Forb cover</w:t>
            </w:r>
          </w:p>
        </w:tc>
        <w:tc>
          <w:tcPr>
            <w:tcW w:w="2041" w:type="dxa"/>
          </w:tcPr>
          <w:p w14:paraId="5ABD462E" w14:textId="77777777" w:rsidR="00EF5B27" w:rsidRDefault="00EF5B27">
            <w:pPr>
              <w:pStyle w:val="TableParagraph"/>
              <w:rPr>
                <w:sz w:val="16"/>
              </w:rPr>
            </w:pPr>
          </w:p>
          <w:p w14:paraId="2A3A2C8D" w14:textId="77777777" w:rsidR="00EF5B27" w:rsidRDefault="00EF5B27">
            <w:pPr>
              <w:pStyle w:val="TableParagraph"/>
              <w:spacing w:before="1"/>
              <w:rPr>
                <w:sz w:val="12"/>
              </w:rPr>
            </w:pPr>
          </w:p>
          <w:p w14:paraId="14CBEEE6" w14:textId="77777777" w:rsidR="00EF5B27" w:rsidRDefault="00000000">
            <w:pPr>
              <w:pStyle w:val="TableParagraph"/>
              <w:spacing w:before="1"/>
              <w:ind w:left="154" w:right="150"/>
              <w:jc w:val="center"/>
              <w:rPr>
                <w:sz w:val="14"/>
              </w:rPr>
            </w:pPr>
            <w:r>
              <w:rPr>
                <w:color w:val="4D4D4F"/>
                <w:w w:val="105"/>
                <w:sz w:val="14"/>
              </w:rPr>
              <w:t>C3 grassland</w:t>
            </w:r>
          </w:p>
        </w:tc>
        <w:tc>
          <w:tcPr>
            <w:tcW w:w="2154" w:type="dxa"/>
          </w:tcPr>
          <w:p w14:paraId="6E98A094" w14:textId="77777777" w:rsidR="00EF5B27" w:rsidRDefault="00000000">
            <w:pPr>
              <w:pStyle w:val="TableParagraph"/>
              <w:spacing w:before="73" w:line="252" w:lineRule="auto"/>
              <w:ind w:left="128" w:right="122"/>
              <w:jc w:val="center"/>
              <w:rPr>
                <w:sz w:val="14"/>
              </w:rPr>
            </w:pPr>
            <w:r>
              <w:rPr>
                <w:color w:val="4D4D4F"/>
                <w:sz w:val="14"/>
              </w:rPr>
              <w:t>KPI measure 95% confidence interval falls below the baseline (this is assumed, although hasn't been explicitly stated)</w:t>
            </w:r>
          </w:p>
        </w:tc>
        <w:tc>
          <w:tcPr>
            <w:tcW w:w="1134" w:type="dxa"/>
          </w:tcPr>
          <w:p w14:paraId="7055425A" w14:textId="77777777" w:rsidR="00EF5B27" w:rsidRDefault="00EF5B27">
            <w:pPr>
              <w:pStyle w:val="TableParagraph"/>
              <w:rPr>
                <w:sz w:val="16"/>
              </w:rPr>
            </w:pPr>
          </w:p>
          <w:p w14:paraId="11DF68D0" w14:textId="77777777" w:rsidR="00EF5B27" w:rsidRDefault="00EF5B27">
            <w:pPr>
              <w:pStyle w:val="TableParagraph"/>
              <w:spacing w:before="1"/>
              <w:rPr>
                <w:sz w:val="12"/>
              </w:rPr>
            </w:pPr>
          </w:p>
          <w:p w14:paraId="42C4BF9D" w14:textId="77777777" w:rsidR="00EF5B27" w:rsidRDefault="00000000">
            <w:pPr>
              <w:pStyle w:val="TableParagraph"/>
              <w:spacing w:before="1"/>
              <w:ind w:left="81" w:right="76"/>
              <w:jc w:val="center"/>
              <w:rPr>
                <w:sz w:val="14"/>
              </w:rPr>
            </w:pPr>
            <w:r>
              <w:rPr>
                <w:color w:val="4D4D4F"/>
                <w:w w:val="105"/>
                <w:sz w:val="14"/>
              </w:rPr>
              <w:t>Not assessed</w:t>
            </w:r>
          </w:p>
        </w:tc>
      </w:tr>
      <w:tr w:rsidR="00EF5B27" w14:paraId="0E25DFF5" w14:textId="77777777">
        <w:trPr>
          <w:trHeight w:val="845"/>
        </w:trPr>
        <w:tc>
          <w:tcPr>
            <w:tcW w:w="737" w:type="dxa"/>
          </w:tcPr>
          <w:p w14:paraId="0E3BC1DE" w14:textId="77777777" w:rsidR="00EF5B27" w:rsidRDefault="00EF5B27">
            <w:pPr>
              <w:pStyle w:val="TableParagraph"/>
              <w:rPr>
                <w:sz w:val="16"/>
              </w:rPr>
            </w:pPr>
          </w:p>
          <w:p w14:paraId="2589114E" w14:textId="77777777" w:rsidR="00EF5B27" w:rsidRDefault="00EF5B27">
            <w:pPr>
              <w:pStyle w:val="TableParagraph"/>
              <w:spacing w:before="1"/>
              <w:rPr>
                <w:sz w:val="12"/>
              </w:rPr>
            </w:pPr>
          </w:p>
          <w:p w14:paraId="1669A4E5" w14:textId="77777777" w:rsidR="00EF5B27" w:rsidRDefault="00000000">
            <w:pPr>
              <w:pStyle w:val="TableParagraph"/>
              <w:spacing w:before="1"/>
              <w:ind w:left="5"/>
              <w:jc w:val="center"/>
              <w:rPr>
                <w:sz w:val="14"/>
              </w:rPr>
            </w:pPr>
            <w:r>
              <w:rPr>
                <w:color w:val="4D4D4F"/>
                <w:w w:val="96"/>
                <w:sz w:val="14"/>
              </w:rPr>
              <w:t>1</w:t>
            </w:r>
          </w:p>
        </w:tc>
        <w:tc>
          <w:tcPr>
            <w:tcW w:w="1361" w:type="dxa"/>
          </w:tcPr>
          <w:p w14:paraId="6DE7AA93" w14:textId="77777777" w:rsidR="00EF5B27" w:rsidRDefault="00EF5B27">
            <w:pPr>
              <w:pStyle w:val="TableParagraph"/>
              <w:spacing w:before="9"/>
              <w:rPr>
                <w:sz w:val="20"/>
              </w:rPr>
            </w:pPr>
          </w:p>
          <w:p w14:paraId="6B87AAE2" w14:textId="77777777" w:rsidR="00EF5B27" w:rsidRDefault="00000000">
            <w:pPr>
              <w:pStyle w:val="TableParagraph"/>
              <w:spacing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4EB38614" w14:textId="77777777" w:rsidR="00EF5B27" w:rsidRDefault="00EF5B27">
            <w:pPr>
              <w:pStyle w:val="TableParagraph"/>
              <w:rPr>
                <w:sz w:val="16"/>
              </w:rPr>
            </w:pPr>
          </w:p>
          <w:p w14:paraId="582B8F58" w14:textId="77777777" w:rsidR="00EF5B27" w:rsidRDefault="00EF5B27">
            <w:pPr>
              <w:pStyle w:val="TableParagraph"/>
              <w:spacing w:before="1"/>
              <w:rPr>
                <w:sz w:val="12"/>
              </w:rPr>
            </w:pPr>
          </w:p>
          <w:p w14:paraId="1A271A42" w14:textId="77777777" w:rsidR="00EF5B27" w:rsidRDefault="00000000">
            <w:pPr>
              <w:pStyle w:val="TableParagraph"/>
              <w:spacing w:before="1"/>
              <w:ind w:right="327"/>
              <w:jc w:val="right"/>
              <w:rPr>
                <w:sz w:val="14"/>
              </w:rPr>
            </w:pPr>
            <w:r>
              <w:rPr>
                <w:color w:val="4D4D4F"/>
                <w:w w:val="96"/>
                <w:sz w:val="14"/>
              </w:rPr>
              <w:t>2</w:t>
            </w:r>
          </w:p>
        </w:tc>
        <w:tc>
          <w:tcPr>
            <w:tcW w:w="1474" w:type="dxa"/>
          </w:tcPr>
          <w:p w14:paraId="6927100B" w14:textId="77777777" w:rsidR="00EF5B27" w:rsidRDefault="00EF5B27">
            <w:pPr>
              <w:pStyle w:val="TableParagraph"/>
              <w:rPr>
                <w:sz w:val="16"/>
              </w:rPr>
            </w:pPr>
          </w:p>
          <w:p w14:paraId="1A9F6D6F" w14:textId="77777777" w:rsidR="00EF5B27" w:rsidRDefault="00EF5B27">
            <w:pPr>
              <w:pStyle w:val="TableParagraph"/>
              <w:spacing w:before="1"/>
              <w:rPr>
                <w:sz w:val="12"/>
              </w:rPr>
            </w:pPr>
          </w:p>
          <w:p w14:paraId="71360354" w14:textId="77777777" w:rsidR="00EF5B27" w:rsidRDefault="00000000">
            <w:pPr>
              <w:pStyle w:val="TableParagraph"/>
              <w:spacing w:before="1"/>
              <w:ind w:left="124" w:right="120"/>
              <w:jc w:val="center"/>
              <w:rPr>
                <w:sz w:val="14"/>
              </w:rPr>
            </w:pPr>
            <w:r>
              <w:rPr>
                <w:color w:val="4D4D4F"/>
                <w:w w:val="105"/>
                <w:sz w:val="14"/>
              </w:rPr>
              <w:t>Forb cover</w:t>
            </w:r>
          </w:p>
        </w:tc>
        <w:tc>
          <w:tcPr>
            <w:tcW w:w="2041" w:type="dxa"/>
          </w:tcPr>
          <w:p w14:paraId="402A9CB6" w14:textId="77777777" w:rsidR="00EF5B27" w:rsidRDefault="00EF5B27">
            <w:pPr>
              <w:pStyle w:val="TableParagraph"/>
              <w:rPr>
                <w:sz w:val="16"/>
              </w:rPr>
            </w:pPr>
          </w:p>
          <w:p w14:paraId="3DCABADF" w14:textId="77777777" w:rsidR="00EF5B27" w:rsidRDefault="00EF5B27">
            <w:pPr>
              <w:pStyle w:val="TableParagraph"/>
              <w:spacing w:before="1"/>
              <w:rPr>
                <w:sz w:val="12"/>
              </w:rPr>
            </w:pPr>
          </w:p>
          <w:p w14:paraId="256FE52A" w14:textId="77777777" w:rsidR="00EF5B27" w:rsidRDefault="00000000">
            <w:pPr>
              <w:pStyle w:val="TableParagraph"/>
              <w:spacing w:before="1"/>
              <w:ind w:left="154" w:right="150"/>
              <w:jc w:val="center"/>
              <w:rPr>
                <w:sz w:val="14"/>
              </w:rPr>
            </w:pPr>
            <w:r>
              <w:rPr>
                <w:color w:val="4D4D4F"/>
                <w:w w:val="105"/>
                <w:sz w:val="14"/>
              </w:rPr>
              <w:t>De-rocked grassland</w:t>
            </w:r>
          </w:p>
        </w:tc>
        <w:tc>
          <w:tcPr>
            <w:tcW w:w="2154" w:type="dxa"/>
          </w:tcPr>
          <w:p w14:paraId="50B7422A" w14:textId="77777777" w:rsidR="00EF5B27" w:rsidRDefault="00000000">
            <w:pPr>
              <w:pStyle w:val="TableParagraph"/>
              <w:spacing w:before="73" w:line="252" w:lineRule="auto"/>
              <w:ind w:left="129" w:right="122"/>
              <w:jc w:val="center"/>
              <w:rPr>
                <w:sz w:val="14"/>
              </w:rPr>
            </w:pPr>
            <w:r>
              <w:rPr>
                <w:color w:val="4D4D4F"/>
                <w:sz w:val="14"/>
              </w:rPr>
              <w:t>KPI measure 95% confidence interval falls below the baseline (this is assumed, although hasn't been explicitly stated)</w:t>
            </w:r>
          </w:p>
        </w:tc>
        <w:tc>
          <w:tcPr>
            <w:tcW w:w="1134" w:type="dxa"/>
          </w:tcPr>
          <w:p w14:paraId="21723128" w14:textId="77777777" w:rsidR="00EF5B27" w:rsidRDefault="00EF5B27">
            <w:pPr>
              <w:pStyle w:val="TableParagraph"/>
              <w:rPr>
                <w:sz w:val="16"/>
              </w:rPr>
            </w:pPr>
          </w:p>
          <w:p w14:paraId="34D49496" w14:textId="77777777" w:rsidR="00EF5B27" w:rsidRDefault="00EF5B27">
            <w:pPr>
              <w:pStyle w:val="TableParagraph"/>
              <w:spacing w:before="1"/>
              <w:rPr>
                <w:sz w:val="12"/>
              </w:rPr>
            </w:pPr>
          </w:p>
          <w:p w14:paraId="5A551C27" w14:textId="77777777" w:rsidR="00EF5B27" w:rsidRDefault="00000000">
            <w:pPr>
              <w:pStyle w:val="TableParagraph"/>
              <w:spacing w:before="1"/>
              <w:ind w:left="81" w:right="76"/>
              <w:jc w:val="center"/>
              <w:rPr>
                <w:sz w:val="14"/>
              </w:rPr>
            </w:pPr>
            <w:r>
              <w:rPr>
                <w:color w:val="4D4D4F"/>
                <w:w w:val="105"/>
                <w:sz w:val="14"/>
              </w:rPr>
              <w:t>Not assessed</w:t>
            </w:r>
          </w:p>
        </w:tc>
      </w:tr>
      <w:tr w:rsidR="00EF5B27" w14:paraId="2CE6C6A9" w14:textId="77777777">
        <w:trPr>
          <w:trHeight w:val="845"/>
        </w:trPr>
        <w:tc>
          <w:tcPr>
            <w:tcW w:w="737" w:type="dxa"/>
          </w:tcPr>
          <w:p w14:paraId="5E0D8109" w14:textId="77777777" w:rsidR="00EF5B27" w:rsidRDefault="00EF5B27">
            <w:pPr>
              <w:pStyle w:val="TableParagraph"/>
              <w:rPr>
                <w:sz w:val="16"/>
              </w:rPr>
            </w:pPr>
          </w:p>
          <w:p w14:paraId="471C179A" w14:textId="77777777" w:rsidR="00EF5B27" w:rsidRDefault="00EF5B27">
            <w:pPr>
              <w:pStyle w:val="TableParagraph"/>
              <w:spacing w:before="1"/>
              <w:rPr>
                <w:sz w:val="12"/>
              </w:rPr>
            </w:pPr>
          </w:p>
          <w:p w14:paraId="1BC246EA" w14:textId="77777777" w:rsidR="00EF5B27" w:rsidRDefault="00000000">
            <w:pPr>
              <w:pStyle w:val="TableParagraph"/>
              <w:spacing w:before="1"/>
              <w:ind w:left="5"/>
              <w:jc w:val="center"/>
              <w:rPr>
                <w:sz w:val="14"/>
              </w:rPr>
            </w:pPr>
            <w:r>
              <w:rPr>
                <w:color w:val="4D4D4F"/>
                <w:w w:val="96"/>
                <w:sz w:val="14"/>
              </w:rPr>
              <w:t>1</w:t>
            </w:r>
          </w:p>
        </w:tc>
        <w:tc>
          <w:tcPr>
            <w:tcW w:w="1361" w:type="dxa"/>
          </w:tcPr>
          <w:p w14:paraId="07273BEE" w14:textId="77777777" w:rsidR="00EF5B27" w:rsidRDefault="00EF5B27">
            <w:pPr>
              <w:pStyle w:val="TableParagraph"/>
              <w:spacing w:before="9"/>
              <w:rPr>
                <w:sz w:val="20"/>
              </w:rPr>
            </w:pPr>
          </w:p>
          <w:p w14:paraId="0732C06D" w14:textId="77777777" w:rsidR="00EF5B27" w:rsidRDefault="00000000">
            <w:pPr>
              <w:pStyle w:val="TableParagraph"/>
              <w:spacing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410CDA75" w14:textId="77777777" w:rsidR="00EF5B27" w:rsidRDefault="00EF5B27">
            <w:pPr>
              <w:pStyle w:val="TableParagraph"/>
              <w:rPr>
                <w:sz w:val="16"/>
              </w:rPr>
            </w:pPr>
          </w:p>
          <w:p w14:paraId="25259193" w14:textId="77777777" w:rsidR="00EF5B27" w:rsidRDefault="00EF5B27">
            <w:pPr>
              <w:pStyle w:val="TableParagraph"/>
              <w:spacing w:before="1"/>
              <w:rPr>
                <w:sz w:val="12"/>
              </w:rPr>
            </w:pPr>
          </w:p>
          <w:p w14:paraId="2D4E6A6D" w14:textId="77777777" w:rsidR="00EF5B27" w:rsidRDefault="00000000">
            <w:pPr>
              <w:pStyle w:val="TableParagraph"/>
              <w:spacing w:before="1"/>
              <w:ind w:right="327"/>
              <w:jc w:val="right"/>
              <w:rPr>
                <w:sz w:val="14"/>
              </w:rPr>
            </w:pPr>
            <w:r>
              <w:rPr>
                <w:color w:val="4D4D4F"/>
                <w:w w:val="96"/>
                <w:sz w:val="14"/>
              </w:rPr>
              <w:t>3</w:t>
            </w:r>
          </w:p>
        </w:tc>
        <w:tc>
          <w:tcPr>
            <w:tcW w:w="1474" w:type="dxa"/>
          </w:tcPr>
          <w:p w14:paraId="3455B004" w14:textId="77777777" w:rsidR="00EF5B27" w:rsidRDefault="00EF5B27">
            <w:pPr>
              <w:pStyle w:val="TableParagraph"/>
              <w:rPr>
                <w:sz w:val="16"/>
              </w:rPr>
            </w:pPr>
          </w:p>
          <w:p w14:paraId="564E49D1" w14:textId="77777777" w:rsidR="00EF5B27" w:rsidRDefault="00EF5B27">
            <w:pPr>
              <w:pStyle w:val="TableParagraph"/>
              <w:spacing w:before="1"/>
              <w:rPr>
                <w:sz w:val="12"/>
              </w:rPr>
            </w:pPr>
          </w:p>
          <w:p w14:paraId="1472B1E4" w14:textId="77777777" w:rsidR="00EF5B27" w:rsidRDefault="00000000">
            <w:pPr>
              <w:pStyle w:val="TableParagraph"/>
              <w:spacing w:before="1"/>
              <w:ind w:left="124" w:right="120"/>
              <w:jc w:val="center"/>
              <w:rPr>
                <w:sz w:val="14"/>
              </w:rPr>
            </w:pPr>
            <w:r>
              <w:rPr>
                <w:color w:val="4D4D4F"/>
                <w:w w:val="105"/>
                <w:sz w:val="14"/>
              </w:rPr>
              <w:t>Forb richness</w:t>
            </w:r>
          </w:p>
        </w:tc>
        <w:tc>
          <w:tcPr>
            <w:tcW w:w="2041" w:type="dxa"/>
          </w:tcPr>
          <w:p w14:paraId="0F1F3EF0" w14:textId="77777777" w:rsidR="00EF5B27" w:rsidRDefault="00EF5B27">
            <w:pPr>
              <w:pStyle w:val="TableParagraph"/>
              <w:rPr>
                <w:sz w:val="16"/>
              </w:rPr>
            </w:pPr>
          </w:p>
          <w:p w14:paraId="3CBE3F20" w14:textId="77777777" w:rsidR="00EF5B27" w:rsidRDefault="00EF5B27">
            <w:pPr>
              <w:pStyle w:val="TableParagraph"/>
              <w:spacing w:before="1"/>
              <w:rPr>
                <w:sz w:val="12"/>
              </w:rPr>
            </w:pPr>
          </w:p>
          <w:p w14:paraId="69888278" w14:textId="77777777" w:rsidR="00EF5B27" w:rsidRDefault="00000000">
            <w:pPr>
              <w:pStyle w:val="TableParagraph"/>
              <w:spacing w:before="1"/>
              <w:ind w:left="154" w:right="150"/>
              <w:jc w:val="center"/>
              <w:rPr>
                <w:sz w:val="14"/>
              </w:rPr>
            </w:pPr>
            <w:r>
              <w:rPr>
                <w:color w:val="4D4D4F"/>
                <w:w w:val="105"/>
                <w:sz w:val="14"/>
              </w:rPr>
              <w:t>C3 grassland</w:t>
            </w:r>
          </w:p>
        </w:tc>
        <w:tc>
          <w:tcPr>
            <w:tcW w:w="2154" w:type="dxa"/>
          </w:tcPr>
          <w:p w14:paraId="35021940" w14:textId="77777777" w:rsidR="00EF5B27" w:rsidRDefault="00000000">
            <w:pPr>
              <w:pStyle w:val="TableParagraph"/>
              <w:spacing w:before="73" w:line="252" w:lineRule="auto"/>
              <w:ind w:left="129" w:right="122"/>
              <w:jc w:val="center"/>
              <w:rPr>
                <w:sz w:val="14"/>
              </w:rPr>
            </w:pPr>
            <w:r>
              <w:rPr>
                <w:color w:val="4D4D4F"/>
                <w:sz w:val="14"/>
              </w:rPr>
              <w:t>KPI measure 95% confidence interval falls below the baseline (this is assumed, although hasn't been explicitly stated)</w:t>
            </w:r>
          </w:p>
        </w:tc>
        <w:tc>
          <w:tcPr>
            <w:tcW w:w="1134" w:type="dxa"/>
          </w:tcPr>
          <w:p w14:paraId="2C8F760E" w14:textId="77777777" w:rsidR="00EF5B27" w:rsidRDefault="00EF5B27">
            <w:pPr>
              <w:pStyle w:val="TableParagraph"/>
              <w:rPr>
                <w:sz w:val="16"/>
              </w:rPr>
            </w:pPr>
          </w:p>
          <w:p w14:paraId="16B0CDB5" w14:textId="77777777" w:rsidR="00EF5B27" w:rsidRDefault="00EF5B27">
            <w:pPr>
              <w:pStyle w:val="TableParagraph"/>
              <w:spacing w:before="1"/>
              <w:rPr>
                <w:sz w:val="12"/>
              </w:rPr>
            </w:pPr>
          </w:p>
          <w:p w14:paraId="17D04B55" w14:textId="77777777" w:rsidR="00EF5B27" w:rsidRDefault="00000000">
            <w:pPr>
              <w:pStyle w:val="TableParagraph"/>
              <w:spacing w:before="1"/>
              <w:ind w:left="81" w:right="76"/>
              <w:jc w:val="center"/>
              <w:rPr>
                <w:sz w:val="14"/>
              </w:rPr>
            </w:pPr>
            <w:r>
              <w:rPr>
                <w:color w:val="4D4D4F"/>
                <w:w w:val="105"/>
                <w:sz w:val="14"/>
              </w:rPr>
              <w:t>Not assessed</w:t>
            </w:r>
          </w:p>
        </w:tc>
      </w:tr>
    </w:tbl>
    <w:p w14:paraId="2C5FFF83" w14:textId="77777777" w:rsidR="00EF5B27" w:rsidRDefault="00EF5B27">
      <w:pPr>
        <w:jc w:val="center"/>
        <w:rPr>
          <w:sz w:val="14"/>
        </w:rPr>
        <w:sectPr w:rsidR="00EF5B27">
          <w:pgSz w:w="11910" w:h="16840"/>
          <w:pgMar w:top="1080" w:right="1020" w:bottom="860" w:left="1020" w:header="537" w:footer="678" w:gutter="0"/>
          <w:cols w:space="720"/>
        </w:sectPr>
      </w:pPr>
    </w:p>
    <w:p w14:paraId="79DA0E51" w14:textId="77777777" w:rsidR="00EF5B27" w:rsidRDefault="00000000">
      <w:pPr>
        <w:pStyle w:val="BodyText"/>
        <w:rPr>
          <w:rFonts w:ascii="Times New Roman"/>
        </w:rPr>
      </w:pPr>
      <w:r>
        <w:lastRenderedPageBreak/>
        <w:pict w14:anchorId="78FBBA62">
          <v:group id="_x0000_s2575" style="position:absolute;margin-left:587.05pt;margin-top:183.4pt;width:8.25pt;height:153.1pt;z-index:251748864;mso-position-horizontal-relative:page;mso-position-vertical-relative:page" coordorigin="11741,3668" coordsize="165,3062">
            <v:shape id="_x0000_s2582" style="position:absolute;left:11741;top:3668;width:165;height:561" coordorigin="11741,3668" coordsize="165,561" path="m11906,3668r-165,l11741,4228r165,-18l11906,3668xe" fillcolor="#00aed9" stroked="f">
              <v:path arrowok="t"/>
            </v:shape>
            <v:shape id="_x0000_s2581" style="position:absolute;left:11741;top:4118;width:165;height:425" coordorigin="11741,4118" coordsize="165,425" path="m11906,4118r-165,14l11741,4531r165,12l11906,4118xe" fillcolor="#047ebc" stroked="f">
              <v:path arrowok="t"/>
            </v:shape>
            <v:shape id="_x0000_s2580" type="#_x0000_t75" style="position:absolute;left:11741;top:4355;width:165;height:587">
              <v:imagedata r:id="rId42" o:title=""/>
            </v:shape>
            <v:shape id="_x0000_s2579" style="position:absolute;left:11741;top:5343;width:165;height:536" coordorigin="11741,5343" coordsize="165,536" path="m11741,5343r,535l11906,5872r,-525l11741,5343xe" fillcolor="#f36a2e" stroked="f">
              <v:path arrowok="t"/>
            </v:shape>
            <v:shape id="_x0000_s2578" style="position:absolute;left:11741;top:4925;width:165;height:501" coordorigin="11741,4926" coordsize="165,501" path="m11741,4926r,500l11906,5426r,-485l11741,4926xe" fillcolor="#49783f" stroked="f">
              <v:path arrowok="t"/>
            </v:shape>
            <v:shape id="_x0000_s2577" style="position:absolute;left:11741;top:5781;width:165;height:268" coordorigin="11741,5782" coordsize="165,268" path="m11906,5782r-165,8l11741,6039r165,10l11906,5782xe" fillcolor="#f99f2a" stroked="f">
              <v:path arrowok="t"/>
            </v:shape>
            <v:shape id="_x0000_s2576" style="position:absolute;left:11741;top:6023;width:165;height:707" coordorigin="11741,6023" coordsize="165,707" path="m11741,6023r,706l11906,6729r,-690l11741,6023xe" fillcolor="#ef412c" stroked="f">
              <v:path arrowok="t"/>
            </v:shape>
            <w10:wrap anchorx="page" anchory="page"/>
          </v:group>
        </w:pict>
      </w:r>
    </w:p>
    <w:p w14:paraId="3D642F70" w14:textId="77777777" w:rsidR="00EF5B27" w:rsidRDefault="00EF5B27">
      <w:pPr>
        <w:pStyle w:val="BodyText"/>
        <w:rPr>
          <w:rFonts w:ascii="Times New Roman"/>
        </w:rPr>
      </w:pPr>
    </w:p>
    <w:p w14:paraId="477CB8D3" w14:textId="77777777" w:rsidR="00EF5B27" w:rsidRDefault="00EF5B27">
      <w:pPr>
        <w:pStyle w:val="BodyText"/>
        <w:rPr>
          <w:rFonts w:ascii="Times New Roman"/>
        </w:rPr>
      </w:pPr>
    </w:p>
    <w:p w14:paraId="16CB4807" w14:textId="77777777" w:rsidR="00EF5B27" w:rsidRDefault="00EF5B27">
      <w:pPr>
        <w:pStyle w:val="BodyText"/>
        <w:rPr>
          <w:rFonts w:ascii="Times New Roman"/>
        </w:rPr>
      </w:pPr>
    </w:p>
    <w:p w14:paraId="0F96F210" w14:textId="77777777" w:rsidR="00EF5B27" w:rsidRDefault="00EF5B27">
      <w:pPr>
        <w:pStyle w:val="BodyText"/>
        <w:spacing w:before="4"/>
        <w:rPr>
          <w:rFonts w:ascii="Times New Roman"/>
          <w:sz w:val="22"/>
        </w:rPr>
      </w:pPr>
    </w:p>
    <w:tbl>
      <w:tblPr>
        <w:tblW w:w="0" w:type="auto"/>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37"/>
        <w:gridCol w:w="1361"/>
        <w:gridCol w:w="737"/>
        <w:gridCol w:w="1474"/>
        <w:gridCol w:w="2041"/>
        <w:gridCol w:w="2154"/>
        <w:gridCol w:w="1134"/>
      </w:tblGrid>
      <w:tr w:rsidR="00EF5B27" w14:paraId="4F510ED6" w14:textId="77777777">
        <w:trPr>
          <w:trHeight w:val="732"/>
        </w:trPr>
        <w:tc>
          <w:tcPr>
            <w:tcW w:w="737" w:type="dxa"/>
            <w:tcBorders>
              <w:bottom w:val="single" w:sz="4" w:space="0" w:color="000000"/>
            </w:tcBorders>
            <w:shd w:val="clear" w:color="auto" w:fill="FECC91"/>
          </w:tcPr>
          <w:p w14:paraId="2CD10829" w14:textId="77777777" w:rsidR="00EF5B27" w:rsidRDefault="00000000">
            <w:pPr>
              <w:pStyle w:val="TableParagraph"/>
              <w:spacing w:before="176"/>
              <w:ind w:left="162"/>
              <w:rPr>
                <w:b/>
                <w:sz w:val="16"/>
              </w:rPr>
            </w:pPr>
            <w:r>
              <w:rPr>
                <w:b/>
                <w:w w:val="105"/>
                <w:sz w:val="16"/>
              </w:rPr>
              <w:t>MNES</w:t>
            </w:r>
          </w:p>
          <w:p w14:paraId="6A32D725" w14:textId="77777777" w:rsidR="00EF5B27" w:rsidRDefault="00000000">
            <w:pPr>
              <w:pStyle w:val="TableParagraph"/>
              <w:spacing w:before="4"/>
              <w:ind w:left="104"/>
              <w:rPr>
                <w:b/>
                <w:sz w:val="16"/>
              </w:rPr>
            </w:pPr>
            <w:r>
              <w:rPr>
                <w:b/>
                <w:sz w:val="16"/>
              </w:rPr>
              <w:t>number</w:t>
            </w:r>
          </w:p>
        </w:tc>
        <w:tc>
          <w:tcPr>
            <w:tcW w:w="1361" w:type="dxa"/>
            <w:tcBorders>
              <w:bottom w:val="single" w:sz="4" w:space="0" w:color="000000"/>
            </w:tcBorders>
            <w:shd w:val="clear" w:color="auto" w:fill="FECC91"/>
          </w:tcPr>
          <w:p w14:paraId="3B74A6DE" w14:textId="77777777" w:rsidR="00EF5B27" w:rsidRDefault="00EF5B27">
            <w:pPr>
              <w:pStyle w:val="TableParagraph"/>
              <w:rPr>
                <w:rFonts w:ascii="Times New Roman"/>
                <w:sz w:val="24"/>
              </w:rPr>
            </w:pPr>
          </w:p>
          <w:p w14:paraId="0532793B" w14:textId="77777777" w:rsidR="00EF5B27" w:rsidRDefault="00000000">
            <w:pPr>
              <w:pStyle w:val="TableParagraph"/>
              <w:ind w:left="268"/>
              <w:rPr>
                <w:b/>
                <w:sz w:val="16"/>
              </w:rPr>
            </w:pPr>
            <w:r>
              <w:rPr>
                <w:b/>
                <w:sz w:val="16"/>
              </w:rPr>
              <w:t>MNES name</w:t>
            </w:r>
          </w:p>
        </w:tc>
        <w:tc>
          <w:tcPr>
            <w:tcW w:w="737" w:type="dxa"/>
            <w:tcBorders>
              <w:bottom w:val="single" w:sz="4" w:space="0" w:color="000000"/>
            </w:tcBorders>
            <w:shd w:val="clear" w:color="auto" w:fill="FECC91"/>
          </w:tcPr>
          <w:p w14:paraId="7C617318" w14:textId="77777777" w:rsidR="00EF5B27" w:rsidRDefault="00000000">
            <w:pPr>
              <w:pStyle w:val="TableParagraph"/>
              <w:spacing w:before="176"/>
              <w:ind w:left="79" w:right="75"/>
              <w:jc w:val="center"/>
              <w:rPr>
                <w:b/>
                <w:sz w:val="16"/>
              </w:rPr>
            </w:pPr>
            <w:r>
              <w:rPr>
                <w:b/>
                <w:w w:val="110"/>
                <w:sz w:val="16"/>
              </w:rPr>
              <w:t>KPI</w:t>
            </w:r>
          </w:p>
          <w:p w14:paraId="4189556E" w14:textId="77777777" w:rsidR="00EF5B27" w:rsidRDefault="00000000">
            <w:pPr>
              <w:pStyle w:val="TableParagraph"/>
              <w:spacing w:before="4"/>
              <w:ind w:left="79" w:right="74"/>
              <w:jc w:val="center"/>
              <w:rPr>
                <w:b/>
                <w:sz w:val="16"/>
              </w:rPr>
            </w:pPr>
            <w:r>
              <w:rPr>
                <w:b/>
                <w:sz w:val="16"/>
              </w:rPr>
              <w:t>number</w:t>
            </w:r>
          </w:p>
        </w:tc>
        <w:tc>
          <w:tcPr>
            <w:tcW w:w="1474" w:type="dxa"/>
            <w:tcBorders>
              <w:bottom w:val="single" w:sz="4" w:space="0" w:color="000000"/>
            </w:tcBorders>
            <w:shd w:val="clear" w:color="auto" w:fill="FECC91"/>
          </w:tcPr>
          <w:p w14:paraId="4C9F4496" w14:textId="77777777" w:rsidR="00EF5B27" w:rsidRDefault="00EF5B27">
            <w:pPr>
              <w:pStyle w:val="TableParagraph"/>
              <w:rPr>
                <w:rFonts w:ascii="Times New Roman"/>
                <w:sz w:val="24"/>
              </w:rPr>
            </w:pPr>
          </w:p>
          <w:p w14:paraId="1517105A" w14:textId="77777777" w:rsidR="00EF5B27" w:rsidRDefault="00000000">
            <w:pPr>
              <w:pStyle w:val="TableParagraph"/>
              <w:ind w:left="124" w:right="120"/>
              <w:jc w:val="center"/>
              <w:rPr>
                <w:b/>
                <w:sz w:val="16"/>
              </w:rPr>
            </w:pPr>
            <w:r>
              <w:rPr>
                <w:b/>
                <w:w w:val="105"/>
                <w:sz w:val="16"/>
              </w:rPr>
              <w:t>KPI type</w:t>
            </w:r>
          </w:p>
        </w:tc>
        <w:tc>
          <w:tcPr>
            <w:tcW w:w="2041" w:type="dxa"/>
            <w:tcBorders>
              <w:bottom w:val="single" w:sz="4" w:space="0" w:color="000000"/>
            </w:tcBorders>
            <w:shd w:val="clear" w:color="auto" w:fill="FECC91"/>
          </w:tcPr>
          <w:p w14:paraId="30DB08B7" w14:textId="77777777" w:rsidR="00EF5B27" w:rsidRDefault="00EF5B27">
            <w:pPr>
              <w:pStyle w:val="TableParagraph"/>
              <w:rPr>
                <w:rFonts w:ascii="Times New Roman"/>
                <w:sz w:val="24"/>
              </w:rPr>
            </w:pPr>
          </w:p>
          <w:p w14:paraId="5DEA1AE9" w14:textId="77777777" w:rsidR="00EF5B27" w:rsidRDefault="00000000">
            <w:pPr>
              <w:pStyle w:val="TableParagraph"/>
              <w:ind w:left="154" w:right="150"/>
              <w:jc w:val="center"/>
              <w:rPr>
                <w:b/>
                <w:sz w:val="16"/>
              </w:rPr>
            </w:pPr>
            <w:r>
              <w:rPr>
                <w:b/>
                <w:sz w:val="16"/>
              </w:rPr>
              <w:t>Location</w:t>
            </w:r>
          </w:p>
        </w:tc>
        <w:tc>
          <w:tcPr>
            <w:tcW w:w="2154" w:type="dxa"/>
            <w:tcBorders>
              <w:bottom w:val="single" w:sz="4" w:space="0" w:color="000000"/>
            </w:tcBorders>
            <w:shd w:val="clear" w:color="auto" w:fill="FECC91"/>
          </w:tcPr>
          <w:p w14:paraId="791752F4" w14:textId="77777777" w:rsidR="00EF5B27" w:rsidRDefault="00000000">
            <w:pPr>
              <w:pStyle w:val="TableParagraph"/>
              <w:spacing w:before="176" w:line="244" w:lineRule="auto"/>
              <w:ind w:left="735" w:hanging="342"/>
              <w:rPr>
                <w:b/>
                <w:sz w:val="16"/>
              </w:rPr>
            </w:pPr>
            <w:r>
              <w:rPr>
                <w:b/>
                <w:sz w:val="16"/>
              </w:rPr>
              <w:t>Threshold of impact (negative)</w:t>
            </w:r>
          </w:p>
        </w:tc>
        <w:tc>
          <w:tcPr>
            <w:tcW w:w="1134" w:type="dxa"/>
            <w:tcBorders>
              <w:bottom w:val="single" w:sz="4" w:space="0" w:color="000000"/>
            </w:tcBorders>
            <w:shd w:val="clear" w:color="auto" w:fill="FECC91"/>
          </w:tcPr>
          <w:p w14:paraId="0ED65394" w14:textId="77777777" w:rsidR="00EF5B27" w:rsidRDefault="00000000">
            <w:pPr>
              <w:pStyle w:val="TableParagraph"/>
              <w:spacing w:before="176" w:line="244" w:lineRule="auto"/>
              <w:ind w:left="147" w:right="96" w:firstLine="31"/>
              <w:rPr>
                <w:b/>
                <w:sz w:val="16"/>
              </w:rPr>
            </w:pPr>
            <w:r>
              <w:rPr>
                <w:b/>
                <w:sz w:val="16"/>
              </w:rPr>
              <w:t>Outcome at 28 Feb 2022</w:t>
            </w:r>
          </w:p>
        </w:tc>
      </w:tr>
      <w:tr w:rsidR="00EF5B27" w14:paraId="55A2C52D" w14:textId="77777777">
        <w:trPr>
          <w:trHeight w:val="845"/>
        </w:trPr>
        <w:tc>
          <w:tcPr>
            <w:tcW w:w="737" w:type="dxa"/>
            <w:tcBorders>
              <w:top w:val="single" w:sz="4" w:space="0" w:color="000000"/>
            </w:tcBorders>
          </w:tcPr>
          <w:p w14:paraId="73B2F8D0" w14:textId="77777777" w:rsidR="00EF5B27" w:rsidRDefault="00EF5B27">
            <w:pPr>
              <w:pStyle w:val="TableParagraph"/>
              <w:rPr>
                <w:rFonts w:ascii="Times New Roman"/>
                <w:sz w:val="16"/>
              </w:rPr>
            </w:pPr>
          </w:p>
          <w:p w14:paraId="340031EF" w14:textId="77777777" w:rsidR="00EF5B27" w:rsidRDefault="00EF5B27">
            <w:pPr>
              <w:pStyle w:val="TableParagraph"/>
              <w:spacing w:before="10"/>
              <w:rPr>
                <w:rFonts w:ascii="Times New Roman"/>
                <w:sz w:val="13"/>
              </w:rPr>
            </w:pPr>
          </w:p>
          <w:p w14:paraId="068866BC" w14:textId="77777777" w:rsidR="00EF5B27" w:rsidRDefault="00000000">
            <w:pPr>
              <w:pStyle w:val="TableParagraph"/>
              <w:ind w:left="5"/>
              <w:jc w:val="center"/>
              <w:rPr>
                <w:sz w:val="14"/>
              </w:rPr>
            </w:pPr>
            <w:r>
              <w:rPr>
                <w:color w:val="4D4D4F"/>
                <w:w w:val="96"/>
                <w:sz w:val="14"/>
              </w:rPr>
              <w:t>1</w:t>
            </w:r>
          </w:p>
        </w:tc>
        <w:tc>
          <w:tcPr>
            <w:tcW w:w="1361" w:type="dxa"/>
            <w:tcBorders>
              <w:top w:val="single" w:sz="4" w:space="0" w:color="000000"/>
            </w:tcBorders>
          </w:tcPr>
          <w:p w14:paraId="39D9E3A8" w14:textId="77777777" w:rsidR="00EF5B27" w:rsidRDefault="00EF5B27">
            <w:pPr>
              <w:pStyle w:val="TableParagraph"/>
              <w:rPr>
                <w:rFonts w:ascii="Times New Roman"/>
              </w:rPr>
            </w:pPr>
          </w:p>
          <w:p w14:paraId="76FF880F" w14:textId="77777777" w:rsidR="00EF5B27" w:rsidRDefault="00000000">
            <w:pPr>
              <w:pStyle w:val="TableParagraph"/>
              <w:spacing w:before="1" w:line="252" w:lineRule="auto"/>
              <w:ind w:left="377" w:hanging="255"/>
              <w:rPr>
                <w:sz w:val="14"/>
              </w:rPr>
            </w:pPr>
            <w:r>
              <w:rPr>
                <w:color w:val="4D4D4F"/>
                <w:sz w:val="14"/>
              </w:rPr>
              <w:t xml:space="preserve">Natural Temperate </w:t>
            </w:r>
            <w:r>
              <w:rPr>
                <w:color w:val="4D4D4F"/>
                <w:w w:val="105"/>
                <w:sz w:val="14"/>
              </w:rPr>
              <w:t>Grassland</w:t>
            </w:r>
          </w:p>
        </w:tc>
        <w:tc>
          <w:tcPr>
            <w:tcW w:w="737" w:type="dxa"/>
            <w:tcBorders>
              <w:top w:val="single" w:sz="4" w:space="0" w:color="000000"/>
            </w:tcBorders>
          </w:tcPr>
          <w:p w14:paraId="44139418" w14:textId="77777777" w:rsidR="00EF5B27" w:rsidRDefault="00EF5B27">
            <w:pPr>
              <w:pStyle w:val="TableParagraph"/>
              <w:rPr>
                <w:rFonts w:ascii="Times New Roman"/>
                <w:sz w:val="16"/>
              </w:rPr>
            </w:pPr>
          </w:p>
          <w:p w14:paraId="3E25453F" w14:textId="77777777" w:rsidR="00EF5B27" w:rsidRDefault="00EF5B27">
            <w:pPr>
              <w:pStyle w:val="TableParagraph"/>
              <w:spacing w:before="10"/>
              <w:rPr>
                <w:rFonts w:ascii="Times New Roman"/>
                <w:sz w:val="13"/>
              </w:rPr>
            </w:pPr>
          </w:p>
          <w:p w14:paraId="36DE4446" w14:textId="77777777" w:rsidR="00EF5B27" w:rsidRDefault="00000000">
            <w:pPr>
              <w:pStyle w:val="TableParagraph"/>
              <w:ind w:left="4"/>
              <w:jc w:val="center"/>
              <w:rPr>
                <w:sz w:val="14"/>
              </w:rPr>
            </w:pPr>
            <w:r>
              <w:rPr>
                <w:color w:val="4D4D4F"/>
                <w:w w:val="96"/>
                <w:sz w:val="14"/>
              </w:rPr>
              <w:t>3</w:t>
            </w:r>
          </w:p>
        </w:tc>
        <w:tc>
          <w:tcPr>
            <w:tcW w:w="1474" w:type="dxa"/>
            <w:tcBorders>
              <w:top w:val="single" w:sz="4" w:space="0" w:color="000000"/>
            </w:tcBorders>
          </w:tcPr>
          <w:p w14:paraId="07EE08BA" w14:textId="77777777" w:rsidR="00EF5B27" w:rsidRDefault="00EF5B27">
            <w:pPr>
              <w:pStyle w:val="TableParagraph"/>
              <w:rPr>
                <w:rFonts w:ascii="Times New Roman"/>
                <w:sz w:val="16"/>
              </w:rPr>
            </w:pPr>
          </w:p>
          <w:p w14:paraId="51D16C22" w14:textId="77777777" w:rsidR="00EF5B27" w:rsidRDefault="00EF5B27">
            <w:pPr>
              <w:pStyle w:val="TableParagraph"/>
              <w:spacing w:before="10"/>
              <w:rPr>
                <w:rFonts w:ascii="Times New Roman"/>
                <w:sz w:val="13"/>
              </w:rPr>
            </w:pPr>
          </w:p>
          <w:p w14:paraId="6A2E46C4" w14:textId="77777777" w:rsidR="00EF5B27" w:rsidRDefault="00000000">
            <w:pPr>
              <w:pStyle w:val="TableParagraph"/>
              <w:ind w:left="124" w:right="120"/>
              <w:jc w:val="center"/>
              <w:rPr>
                <w:sz w:val="14"/>
              </w:rPr>
            </w:pPr>
            <w:r>
              <w:rPr>
                <w:color w:val="4D4D4F"/>
                <w:w w:val="105"/>
                <w:sz w:val="14"/>
              </w:rPr>
              <w:t>Forb richness</w:t>
            </w:r>
          </w:p>
        </w:tc>
        <w:tc>
          <w:tcPr>
            <w:tcW w:w="2041" w:type="dxa"/>
            <w:tcBorders>
              <w:top w:val="single" w:sz="4" w:space="0" w:color="000000"/>
            </w:tcBorders>
          </w:tcPr>
          <w:p w14:paraId="0C5DB50F" w14:textId="77777777" w:rsidR="00EF5B27" w:rsidRDefault="00EF5B27">
            <w:pPr>
              <w:pStyle w:val="TableParagraph"/>
              <w:rPr>
                <w:rFonts w:ascii="Times New Roman"/>
                <w:sz w:val="16"/>
              </w:rPr>
            </w:pPr>
          </w:p>
          <w:p w14:paraId="01F7AA7D" w14:textId="77777777" w:rsidR="00EF5B27" w:rsidRDefault="00EF5B27">
            <w:pPr>
              <w:pStyle w:val="TableParagraph"/>
              <w:spacing w:before="10"/>
              <w:rPr>
                <w:rFonts w:ascii="Times New Roman"/>
                <w:sz w:val="13"/>
              </w:rPr>
            </w:pPr>
          </w:p>
          <w:p w14:paraId="15542D11" w14:textId="77777777" w:rsidR="00EF5B27" w:rsidRDefault="00000000">
            <w:pPr>
              <w:pStyle w:val="TableParagraph"/>
              <w:ind w:left="154" w:right="150"/>
              <w:jc w:val="center"/>
              <w:rPr>
                <w:sz w:val="14"/>
              </w:rPr>
            </w:pPr>
            <w:r>
              <w:rPr>
                <w:color w:val="4D4D4F"/>
                <w:w w:val="105"/>
                <w:sz w:val="14"/>
              </w:rPr>
              <w:t>De-rocked grassland</w:t>
            </w:r>
          </w:p>
        </w:tc>
        <w:tc>
          <w:tcPr>
            <w:tcW w:w="2154" w:type="dxa"/>
            <w:tcBorders>
              <w:top w:val="single" w:sz="4" w:space="0" w:color="000000"/>
            </w:tcBorders>
          </w:tcPr>
          <w:p w14:paraId="5951ACBC" w14:textId="77777777" w:rsidR="00EF5B27" w:rsidRDefault="00000000">
            <w:pPr>
              <w:pStyle w:val="TableParagraph"/>
              <w:spacing w:before="74" w:line="252" w:lineRule="auto"/>
              <w:ind w:left="128" w:right="122"/>
              <w:jc w:val="center"/>
              <w:rPr>
                <w:sz w:val="14"/>
              </w:rPr>
            </w:pPr>
            <w:r>
              <w:rPr>
                <w:color w:val="4D4D4F"/>
                <w:sz w:val="14"/>
              </w:rPr>
              <w:t>KPI measure 95% confidence interval falls below the baseline (this is assumed, although hasn't been explicitly stated)</w:t>
            </w:r>
          </w:p>
        </w:tc>
        <w:tc>
          <w:tcPr>
            <w:tcW w:w="1134" w:type="dxa"/>
            <w:tcBorders>
              <w:top w:val="single" w:sz="4" w:space="0" w:color="000000"/>
            </w:tcBorders>
          </w:tcPr>
          <w:p w14:paraId="2D5C84AF" w14:textId="77777777" w:rsidR="00EF5B27" w:rsidRDefault="00EF5B27">
            <w:pPr>
              <w:pStyle w:val="TableParagraph"/>
              <w:rPr>
                <w:rFonts w:ascii="Times New Roman"/>
                <w:sz w:val="16"/>
              </w:rPr>
            </w:pPr>
          </w:p>
          <w:p w14:paraId="515B05FD" w14:textId="77777777" w:rsidR="00EF5B27" w:rsidRDefault="00EF5B27">
            <w:pPr>
              <w:pStyle w:val="TableParagraph"/>
              <w:spacing w:before="10"/>
              <w:rPr>
                <w:rFonts w:ascii="Times New Roman"/>
                <w:sz w:val="13"/>
              </w:rPr>
            </w:pPr>
          </w:p>
          <w:p w14:paraId="2C01A1A3" w14:textId="77777777" w:rsidR="00EF5B27" w:rsidRDefault="00000000">
            <w:pPr>
              <w:pStyle w:val="TableParagraph"/>
              <w:ind w:left="81" w:right="76"/>
              <w:jc w:val="center"/>
              <w:rPr>
                <w:sz w:val="14"/>
              </w:rPr>
            </w:pPr>
            <w:r>
              <w:rPr>
                <w:color w:val="4D4D4F"/>
                <w:w w:val="105"/>
                <w:sz w:val="14"/>
              </w:rPr>
              <w:t>Not assessed</w:t>
            </w:r>
          </w:p>
        </w:tc>
      </w:tr>
      <w:tr w:rsidR="00EF5B27" w14:paraId="6D6B9F0E" w14:textId="77777777">
        <w:trPr>
          <w:trHeight w:val="845"/>
        </w:trPr>
        <w:tc>
          <w:tcPr>
            <w:tcW w:w="737" w:type="dxa"/>
          </w:tcPr>
          <w:p w14:paraId="60733CD1" w14:textId="77777777" w:rsidR="00EF5B27" w:rsidRDefault="00EF5B27">
            <w:pPr>
              <w:pStyle w:val="TableParagraph"/>
              <w:rPr>
                <w:rFonts w:ascii="Times New Roman"/>
                <w:sz w:val="16"/>
              </w:rPr>
            </w:pPr>
          </w:p>
          <w:p w14:paraId="3FF1063A" w14:textId="77777777" w:rsidR="00EF5B27" w:rsidRDefault="00EF5B27">
            <w:pPr>
              <w:pStyle w:val="TableParagraph"/>
              <w:spacing w:before="10"/>
              <w:rPr>
                <w:rFonts w:ascii="Times New Roman"/>
                <w:sz w:val="13"/>
              </w:rPr>
            </w:pPr>
          </w:p>
          <w:p w14:paraId="1C88B2EB" w14:textId="77777777" w:rsidR="00EF5B27" w:rsidRDefault="00000000">
            <w:pPr>
              <w:pStyle w:val="TableParagraph"/>
              <w:ind w:left="5"/>
              <w:jc w:val="center"/>
              <w:rPr>
                <w:sz w:val="14"/>
              </w:rPr>
            </w:pPr>
            <w:r>
              <w:rPr>
                <w:color w:val="4D4D4F"/>
                <w:w w:val="96"/>
                <w:sz w:val="14"/>
              </w:rPr>
              <w:t>1</w:t>
            </w:r>
          </w:p>
        </w:tc>
        <w:tc>
          <w:tcPr>
            <w:tcW w:w="1361" w:type="dxa"/>
          </w:tcPr>
          <w:p w14:paraId="43449EAA" w14:textId="77777777" w:rsidR="00EF5B27" w:rsidRDefault="00EF5B27">
            <w:pPr>
              <w:pStyle w:val="TableParagraph"/>
              <w:rPr>
                <w:rFonts w:ascii="Times New Roman"/>
              </w:rPr>
            </w:pPr>
          </w:p>
          <w:p w14:paraId="3A87A990" w14:textId="77777777" w:rsidR="00EF5B27" w:rsidRDefault="00000000">
            <w:pPr>
              <w:pStyle w:val="TableParagraph"/>
              <w:spacing w:before="1"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0180CFEF" w14:textId="77777777" w:rsidR="00EF5B27" w:rsidRDefault="00EF5B27">
            <w:pPr>
              <w:pStyle w:val="TableParagraph"/>
              <w:rPr>
                <w:rFonts w:ascii="Times New Roman"/>
                <w:sz w:val="16"/>
              </w:rPr>
            </w:pPr>
          </w:p>
          <w:p w14:paraId="45B5B667" w14:textId="77777777" w:rsidR="00EF5B27" w:rsidRDefault="00EF5B27">
            <w:pPr>
              <w:pStyle w:val="TableParagraph"/>
              <w:spacing w:before="10"/>
              <w:rPr>
                <w:rFonts w:ascii="Times New Roman"/>
                <w:sz w:val="13"/>
              </w:rPr>
            </w:pPr>
          </w:p>
          <w:p w14:paraId="67235832" w14:textId="77777777" w:rsidR="00EF5B27" w:rsidRDefault="00000000">
            <w:pPr>
              <w:pStyle w:val="TableParagraph"/>
              <w:ind w:left="4"/>
              <w:jc w:val="center"/>
              <w:rPr>
                <w:sz w:val="14"/>
              </w:rPr>
            </w:pPr>
            <w:r>
              <w:rPr>
                <w:color w:val="4D4D4F"/>
                <w:w w:val="96"/>
                <w:sz w:val="14"/>
              </w:rPr>
              <w:t>4</w:t>
            </w:r>
          </w:p>
        </w:tc>
        <w:tc>
          <w:tcPr>
            <w:tcW w:w="1474" w:type="dxa"/>
          </w:tcPr>
          <w:p w14:paraId="51FB661B" w14:textId="77777777" w:rsidR="00EF5B27" w:rsidRDefault="00EF5B27">
            <w:pPr>
              <w:pStyle w:val="TableParagraph"/>
              <w:rPr>
                <w:rFonts w:ascii="Times New Roman"/>
                <w:sz w:val="16"/>
              </w:rPr>
            </w:pPr>
          </w:p>
          <w:p w14:paraId="348901E3" w14:textId="77777777" w:rsidR="00EF5B27" w:rsidRDefault="00EF5B27">
            <w:pPr>
              <w:pStyle w:val="TableParagraph"/>
              <w:spacing w:before="1"/>
              <w:rPr>
                <w:rFonts w:ascii="Times New Roman"/>
                <w:sz w:val="14"/>
              </w:rPr>
            </w:pPr>
          </w:p>
          <w:p w14:paraId="071A2069" w14:textId="77777777" w:rsidR="00EF5B27" w:rsidRDefault="00000000">
            <w:pPr>
              <w:pStyle w:val="TableParagraph"/>
              <w:ind w:left="124" w:right="120"/>
              <w:jc w:val="center"/>
              <w:rPr>
                <w:rFonts w:ascii="Arial Narrow"/>
                <w:i/>
                <w:sz w:val="14"/>
              </w:rPr>
            </w:pPr>
            <w:r>
              <w:rPr>
                <w:rFonts w:ascii="Arial Narrow"/>
                <w:i/>
                <w:color w:val="4D4D4F"/>
                <w:w w:val="110"/>
                <w:sz w:val="14"/>
              </w:rPr>
              <w:t>Themeda</w:t>
            </w:r>
          </w:p>
        </w:tc>
        <w:tc>
          <w:tcPr>
            <w:tcW w:w="2041" w:type="dxa"/>
          </w:tcPr>
          <w:p w14:paraId="1059FF70" w14:textId="77777777" w:rsidR="00EF5B27" w:rsidRDefault="00EF5B27">
            <w:pPr>
              <w:pStyle w:val="TableParagraph"/>
              <w:rPr>
                <w:rFonts w:ascii="Times New Roman"/>
                <w:sz w:val="16"/>
              </w:rPr>
            </w:pPr>
          </w:p>
          <w:p w14:paraId="67A9345E" w14:textId="77777777" w:rsidR="00EF5B27" w:rsidRDefault="00EF5B27">
            <w:pPr>
              <w:pStyle w:val="TableParagraph"/>
              <w:spacing w:before="10"/>
              <w:rPr>
                <w:rFonts w:ascii="Times New Roman"/>
                <w:sz w:val="13"/>
              </w:rPr>
            </w:pPr>
          </w:p>
          <w:p w14:paraId="614ADB54" w14:textId="77777777" w:rsidR="00EF5B27" w:rsidRDefault="00000000">
            <w:pPr>
              <w:pStyle w:val="TableParagraph"/>
              <w:ind w:left="154" w:right="150"/>
              <w:jc w:val="center"/>
              <w:rPr>
                <w:sz w:val="14"/>
              </w:rPr>
            </w:pPr>
            <w:r>
              <w:rPr>
                <w:color w:val="4D4D4F"/>
                <w:w w:val="105"/>
                <w:sz w:val="14"/>
              </w:rPr>
              <w:t>C3 grassland</w:t>
            </w:r>
          </w:p>
        </w:tc>
        <w:tc>
          <w:tcPr>
            <w:tcW w:w="2154" w:type="dxa"/>
          </w:tcPr>
          <w:p w14:paraId="0FCD15E9" w14:textId="77777777" w:rsidR="00EF5B27" w:rsidRDefault="00000000">
            <w:pPr>
              <w:pStyle w:val="TableParagraph"/>
              <w:spacing w:before="74" w:line="252" w:lineRule="auto"/>
              <w:ind w:left="128" w:right="122"/>
              <w:jc w:val="center"/>
              <w:rPr>
                <w:sz w:val="14"/>
              </w:rPr>
            </w:pPr>
            <w:r>
              <w:rPr>
                <w:color w:val="4D4D4F"/>
                <w:sz w:val="14"/>
              </w:rPr>
              <w:t>KPI measure 95% confidence interval falls below the baseline (this is assumed, although hasn't been explicitly stated)</w:t>
            </w:r>
          </w:p>
        </w:tc>
        <w:tc>
          <w:tcPr>
            <w:tcW w:w="1134" w:type="dxa"/>
          </w:tcPr>
          <w:p w14:paraId="49CE50CE" w14:textId="77777777" w:rsidR="00EF5B27" w:rsidRDefault="00EF5B27">
            <w:pPr>
              <w:pStyle w:val="TableParagraph"/>
              <w:rPr>
                <w:rFonts w:ascii="Times New Roman"/>
                <w:sz w:val="16"/>
              </w:rPr>
            </w:pPr>
          </w:p>
          <w:p w14:paraId="0AFEBB6B" w14:textId="77777777" w:rsidR="00EF5B27" w:rsidRDefault="00EF5B27">
            <w:pPr>
              <w:pStyle w:val="TableParagraph"/>
              <w:spacing w:before="10"/>
              <w:rPr>
                <w:rFonts w:ascii="Times New Roman"/>
                <w:sz w:val="13"/>
              </w:rPr>
            </w:pPr>
          </w:p>
          <w:p w14:paraId="69689D68" w14:textId="77777777" w:rsidR="00EF5B27" w:rsidRDefault="00000000">
            <w:pPr>
              <w:pStyle w:val="TableParagraph"/>
              <w:ind w:left="81" w:right="76"/>
              <w:jc w:val="center"/>
              <w:rPr>
                <w:sz w:val="14"/>
              </w:rPr>
            </w:pPr>
            <w:r>
              <w:rPr>
                <w:color w:val="4D4D4F"/>
                <w:w w:val="105"/>
                <w:sz w:val="14"/>
              </w:rPr>
              <w:t>Not assessed</w:t>
            </w:r>
          </w:p>
        </w:tc>
      </w:tr>
      <w:tr w:rsidR="00EF5B27" w14:paraId="3F3E1921" w14:textId="77777777">
        <w:trPr>
          <w:trHeight w:val="845"/>
        </w:trPr>
        <w:tc>
          <w:tcPr>
            <w:tcW w:w="737" w:type="dxa"/>
          </w:tcPr>
          <w:p w14:paraId="54C1DB17" w14:textId="77777777" w:rsidR="00EF5B27" w:rsidRDefault="00EF5B27">
            <w:pPr>
              <w:pStyle w:val="TableParagraph"/>
              <w:rPr>
                <w:rFonts w:ascii="Times New Roman"/>
                <w:sz w:val="16"/>
              </w:rPr>
            </w:pPr>
          </w:p>
          <w:p w14:paraId="2BFED6B3" w14:textId="77777777" w:rsidR="00EF5B27" w:rsidRDefault="00EF5B27">
            <w:pPr>
              <w:pStyle w:val="TableParagraph"/>
              <w:spacing w:before="10"/>
              <w:rPr>
                <w:rFonts w:ascii="Times New Roman"/>
                <w:sz w:val="13"/>
              </w:rPr>
            </w:pPr>
          </w:p>
          <w:p w14:paraId="6A7F6698" w14:textId="77777777" w:rsidR="00EF5B27" w:rsidRDefault="00000000">
            <w:pPr>
              <w:pStyle w:val="TableParagraph"/>
              <w:ind w:left="5"/>
              <w:jc w:val="center"/>
              <w:rPr>
                <w:sz w:val="14"/>
              </w:rPr>
            </w:pPr>
            <w:r>
              <w:rPr>
                <w:color w:val="4D4D4F"/>
                <w:w w:val="96"/>
                <w:sz w:val="14"/>
              </w:rPr>
              <w:t>1</w:t>
            </w:r>
          </w:p>
        </w:tc>
        <w:tc>
          <w:tcPr>
            <w:tcW w:w="1361" w:type="dxa"/>
          </w:tcPr>
          <w:p w14:paraId="348FBFB1" w14:textId="77777777" w:rsidR="00EF5B27" w:rsidRDefault="00EF5B27">
            <w:pPr>
              <w:pStyle w:val="TableParagraph"/>
              <w:rPr>
                <w:rFonts w:ascii="Times New Roman"/>
              </w:rPr>
            </w:pPr>
          </w:p>
          <w:p w14:paraId="09B9C76A" w14:textId="77777777" w:rsidR="00EF5B27" w:rsidRDefault="00000000">
            <w:pPr>
              <w:pStyle w:val="TableParagraph"/>
              <w:spacing w:before="1"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3723E661" w14:textId="77777777" w:rsidR="00EF5B27" w:rsidRDefault="00EF5B27">
            <w:pPr>
              <w:pStyle w:val="TableParagraph"/>
              <w:rPr>
                <w:rFonts w:ascii="Times New Roman"/>
                <w:sz w:val="16"/>
              </w:rPr>
            </w:pPr>
          </w:p>
          <w:p w14:paraId="7749EBE7" w14:textId="77777777" w:rsidR="00EF5B27" w:rsidRDefault="00EF5B27">
            <w:pPr>
              <w:pStyle w:val="TableParagraph"/>
              <w:spacing w:before="10"/>
              <w:rPr>
                <w:rFonts w:ascii="Times New Roman"/>
                <w:sz w:val="13"/>
              </w:rPr>
            </w:pPr>
          </w:p>
          <w:p w14:paraId="69EC06DC" w14:textId="77777777" w:rsidR="00EF5B27" w:rsidRDefault="00000000">
            <w:pPr>
              <w:pStyle w:val="TableParagraph"/>
              <w:ind w:left="4"/>
              <w:jc w:val="center"/>
              <w:rPr>
                <w:sz w:val="14"/>
              </w:rPr>
            </w:pPr>
            <w:r>
              <w:rPr>
                <w:color w:val="4D4D4F"/>
                <w:w w:val="96"/>
                <w:sz w:val="14"/>
              </w:rPr>
              <w:t>4</w:t>
            </w:r>
          </w:p>
        </w:tc>
        <w:tc>
          <w:tcPr>
            <w:tcW w:w="1474" w:type="dxa"/>
          </w:tcPr>
          <w:p w14:paraId="1ED00F33" w14:textId="77777777" w:rsidR="00EF5B27" w:rsidRDefault="00EF5B27">
            <w:pPr>
              <w:pStyle w:val="TableParagraph"/>
              <w:rPr>
                <w:rFonts w:ascii="Times New Roman"/>
                <w:sz w:val="16"/>
              </w:rPr>
            </w:pPr>
          </w:p>
          <w:p w14:paraId="2EE3D2DF" w14:textId="77777777" w:rsidR="00EF5B27" w:rsidRDefault="00EF5B27">
            <w:pPr>
              <w:pStyle w:val="TableParagraph"/>
              <w:spacing w:before="1"/>
              <w:rPr>
                <w:rFonts w:ascii="Times New Roman"/>
                <w:sz w:val="14"/>
              </w:rPr>
            </w:pPr>
          </w:p>
          <w:p w14:paraId="751D8974" w14:textId="77777777" w:rsidR="00EF5B27" w:rsidRDefault="00000000">
            <w:pPr>
              <w:pStyle w:val="TableParagraph"/>
              <w:ind w:left="124" w:right="120"/>
              <w:jc w:val="center"/>
              <w:rPr>
                <w:rFonts w:ascii="Arial Narrow"/>
                <w:i/>
                <w:sz w:val="14"/>
              </w:rPr>
            </w:pPr>
            <w:r>
              <w:rPr>
                <w:rFonts w:ascii="Arial Narrow"/>
                <w:i/>
                <w:color w:val="4D4D4F"/>
                <w:w w:val="110"/>
                <w:sz w:val="14"/>
              </w:rPr>
              <w:t>Themeda</w:t>
            </w:r>
          </w:p>
        </w:tc>
        <w:tc>
          <w:tcPr>
            <w:tcW w:w="2041" w:type="dxa"/>
          </w:tcPr>
          <w:p w14:paraId="092F1C2F" w14:textId="77777777" w:rsidR="00EF5B27" w:rsidRDefault="00EF5B27">
            <w:pPr>
              <w:pStyle w:val="TableParagraph"/>
              <w:rPr>
                <w:rFonts w:ascii="Times New Roman"/>
                <w:sz w:val="16"/>
              </w:rPr>
            </w:pPr>
          </w:p>
          <w:p w14:paraId="6F58E00F" w14:textId="77777777" w:rsidR="00EF5B27" w:rsidRDefault="00EF5B27">
            <w:pPr>
              <w:pStyle w:val="TableParagraph"/>
              <w:spacing w:before="10"/>
              <w:rPr>
                <w:rFonts w:ascii="Times New Roman"/>
                <w:sz w:val="13"/>
              </w:rPr>
            </w:pPr>
          </w:p>
          <w:p w14:paraId="3F988700" w14:textId="77777777" w:rsidR="00EF5B27" w:rsidRDefault="00000000">
            <w:pPr>
              <w:pStyle w:val="TableParagraph"/>
              <w:ind w:left="154" w:right="150"/>
              <w:jc w:val="center"/>
              <w:rPr>
                <w:sz w:val="14"/>
              </w:rPr>
            </w:pPr>
            <w:r>
              <w:rPr>
                <w:color w:val="4D4D4F"/>
                <w:w w:val="105"/>
                <w:sz w:val="14"/>
              </w:rPr>
              <w:t>De-rocked grassland</w:t>
            </w:r>
          </w:p>
        </w:tc>
        <w:tc>
          <w:tcPr>
            <w:tcW w:w="2154" w:type="dxa"/>
          </w:tcPr>
          <w:p w14:paraId="597FE609" w14:textId="77777777" w:rsidR="00EF5B27" w:rsidRDefault="00000000">
            <w:pPr>
              <w:pStyle w:val="TableParagraph"/>
              <w:spacing w:before="73" w:line="252" w:lineRule="auto"/>
              <w:ind w:left="129" w:right="122"/>
              <w:jc w:val="center"/>
              <w:rPr>
                <w:sz w:val="14"/>
              </w:rPr>
            </w:pPr>
            <w:r>
              <w:rPr>
                <w:color w:val="4D4D4F"/>
                <w:sz w:val="14"/>
              </w:rPr>
              <w:t>KPI measure 95% confidence interval falls below the baseline (this is assumed, although hasn't been explicitly stated)</w:t>
            </w:r>
          </w:p>
        </w:tc>
        <w:tc>
          <w:tcPr>
            <w:tcW w:w="1134" w:type="dxa"/>
          </w:tcPr>
          <w:p w14:paraId="1AA8DBB6" w14:textId="77777777" w:rsidR="00EF5B27" w:rsidRDefault="00EF5B27">
            <w:pPr>
              <w:pStyle w:val="TableParagraph"/>
              <w:rPr>
                <w:rFonts w:ascii="Times New Roman"/>
                <w:sz w:val="16"/>
              </w:rPr>
            </w:pPr>
          </w:p>
          <w:p w14:paraId="5B0192EF" w14:textId="77777777" w:rsidR="00EF5B27" w:rsidRDefault="00EF5B27">
            <w:pPr>
              <w:pStyle w:val="TableParagraph"/>
              <w:spacing w:before="10"/>
              <w:rPr>
                <w:rFonts w:ascii="Times New Roman"/>
                <w:sz w:val="13"/>
              </w:rPr>
            </w:pPr>
          </w:p>
          <w:p w14:paraId="666EAF0B" w14:textId="77777777" w:rsidR="00EF5B27" w:rsidRDefault="00000000">
            <w:pPr>
              <w:pStyle w:val="TableParagraph"/>
              <w:ind w:left="81" w:right="76"/>
              <w:jc w:val="center"/>
              <w:rPr>
                <w:sz w:val="14"/>
              </w:rPr>
            </w:pPr>
            <w:r>
              <w:rPr>
                <w:color w:val="4D4D4F"/>
                <w:w w:val="105"/>
                <w:sz w:val="14"/>
              </w:rPr>
              <w:t>Not assessed</w:t>
            </w:r>
          </w:p>
        </w:tc>
      </w:tr>
      <w:tr w:rsidR="00EF5B27" w14:paraId="78EE58AE" w14:textId="77777777">
        <w:trPr>
          <w:trHeight w:val="845"/>
        </w:trPr>
        <w:tc>
          <w:tcPr>
            <w:tcW w:w="737" w:type="dxa"/>
          </w:tcPr>
          <w:p w14:paraId="4C56E28D" w14:textId="77777777" w:rsidR="00EF5B27" w:rsidRDefault="00EF5B27">
            <w:pPr>
              <w:pStyle w:val="TableParagraph"/>
              <w:rPr>
                <w:rFonts w:ascii="Times New Roman"/>
                <w:sz w:val="16"/>
              </w:rPr>
            </w:pPr>
          </w:p>
          <w:p w14:paraId="3C3E13B7" w14:textId="77777777" w:rsidR="00EF5B27" w:rsidRDefault="00EF5B27">
            <w:pPr>
              <w:pStyle w:val="TableParagraph"/>
              <w:spacing w:before="10"/>
              <w:rPr>
                <w:rFonts w:ascii="Times New Roman"/>
                <w:sz w:val="13"/>
              </w:rPr>
            </w:pPr>
          </w:p>
          <w:p w14:paraId="34871AD0" w14:textId="77777777" w:rsidR="00EF5B27" w:rsidRDefault="00000000">
            <w:pPr>
              <w:pStyle w:val="TableParagraph"/>
              <w:ind w:left="5"/>
              <w:jc w:val="center"/>
              <w:rPr>
                <w:sz w:val="14"/>
              </w:rPr>
            </w:pPr>
            <w:r>
              <w:rPr>
                <w:color w:val="4D4D4F"/>
                <w:w w:val="96"/>
                <w:sz w:val="14"/>
              </w:rPr>
              <w:t>1</w:t>
            </w:r>
          </w:p>
        </w:tc>
        <w:tc>
          <w:tcPr>
            <w:tcW w:w="1361" w:type="dxa"/>
          </w:tcPr>
          <w:p w14:paraId="3E1C7468" w14:textId="77777777" w:rsidR="00EF5B27" w:rsidRDefault="00EF5B27">
            <w:pPr>
              <w:pStyle w:val="TableParagraph"/>
              <w:rPr>
                <w:rFonts w:ascii="Times New Roman"/>
              </w:rPr>
            </w:pPr>
          </w:p>
          <w:p w14:paraId="64AA8143" w14:textId="77777777" w:rsidR="00EF5B27" w:rsidRDefault="00000000">
            <w:pPr>
              <w:pStyle w:val="TableParagraph"/>
              <w:spacing w:before="1"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7C2DCC1D" w14:textId="77777777" w:rsidR="00EF5B27" w:rsidRDefault="00EF5B27">
            <w:pPr>
              <w:pStyle w:val="TableParagraph"/>
              <w:rPr>
                <w:rFonts w:ascii="Times New Roman"/>
                <w:sz w:val="16"/>
              </w:rPr>
            </w:pPr>
          </w:p>
          <w:p w14:paraId="03FC8081" w14:textId="77777777" w:rsidR="00EF5B27" w:rsidRDefault="00EF5B27">
            <w:pPr>
              <w:pStyle w:val="TableParagraph"/>
              <w:spacing w:before="10"/>
              <w:rPr>
                <w:rFonts w:ascii="Times New Roman"/>
                <w:sz w:val="13"/>
              </w:rPr>
            </w:pPr>
          </w:p>
          <w:p w14:paraId="08DA9408" w14:textId="77777777" w:rsidR="00EF5B27" w:rsidRDefault="00000000">
            <w:pPr>
              <w:pStyle w:val="TableParagraph"/>
              <w:ind w:left="4"/>
              <w:jc w:val="center"/>
              <w:rPr>
                <w:sz w:val="14"/>
              </w:rPr>
            </w:pPr>
            <w:r>
              <w:rPr>
                <w:color w:val="4D4D4F"/>
                <w:w w:val="96"/>
                <w:sz w:val="14"/>
              </w:rPr>
              <w:t>5</w:t>
            </w:r>
          </w:p>
        </w:tc>
        <w:tc>
          <w:tcPr>
            <w:tcW w:w="1474" w:type="dxa"/>
          </w:tcPr>
          <w:p w14:paraId="446DAF1A" w14:textId="77777777" w:rsidR="00EF5B27" w:rsidRDefault="00EF5B27">
            <w:pPr>
              <w:pStyle w:val="TableParagraph"/>
              <w:rPr>
                <w:rFonts w:ascii="Times New Roman"/>
              </w:rPr>
            </w:pPr>
          </w:p>
          <w:p w14:paraId="3EE35B20" w14:textId="77777777" w:rsidR="00EF5B27" w:rsidRDefault="00000000">
            <w:pPr>
              <w:pStyle w:val="TableParagraph"/>
              <w:spacing w:before="1" w:line="252" w:lineRule="auto"/>
              <w:ind w:left="127" w:hanging="42"/>
              <w:rPr>
                <w:sz w:val="14"/>
              </w:rPr>
            </w:pPr>
            <w:r>
              <w:rPr>
                <w:color w:val="4D4D4F"/>
                <w:w w:val="105"/>
                <w:sz w:val="14"/>
              </w:rPr>
              <w:t xml:space="preserve">Perennial grass cover (excluding </w:t>
            </w:r>
            <w:r>
              <w:rPr>
                <w:rFonts w:ascii="Arial Narrow"/>
                <w:i/>
                <w:color w:val="4D4D4F"/>
                <w:w w:val="105"/>
                <w:sz w:val="14"/>
              </w:rPr>
              <w:t>Themeda</w:t>
            </w:r>
            <w:r>
              <w:rPr>
                <w:color w:val="4D4D4F"/>
                <w:w w:val="105"/>
                <w:sz w:val="14"/>
              </w:rPr>
              <w:t>)</w:t>
            </w:r>
          </w:p>
        </w:tc>
        <w:tc>
          <w:tcPr>
            <w:tcW w:w="2041" w:type="dxa"/>
          </w:tcPr>
          <w:p w14:paraId="332BBCEF" w14:textId="77777777" w:rsidR="00EF5B27" w:rsidRDefault="00EF5B27">
            <w:pPr>
              <w:pStyle w:val="TableParagraph"/>
              <w:rPr>
                <w:rFonts w:ascii="Times New Roman"/>
                <w:sz w:val="16"/>
              </w:rPr>
            </w:pPr>
          </w:p>
          <w:p w14:paraId="2FFBDC4A" w14:textId="77777777" w:rsidR="00EF5B27" w:rsidRDefault="00EF5B27">
            <w:pPr>
              <w:pStyle w:val="TableParagraph"/>
              <w:spacing w:before="10"/>
              <w:rPr>
                <w:rFonts w:ascii="Times New Roman"/>
                <w:sz w:val="13"/>
              </w:rPr>
            </w:pPr>
          </w:p>
          <w:p w14:paraId="6C3ED6F3" w14:textId="77777777" w:rsidR="00EF5B27" w:rsidRDefault="00000000">
            <w:pPr>
              <w:pStyle w:val="TableParagraph"/>
              <w:ind w:left="154" w:right="150"/>
              <w:jc w:val="center"/>
              <w:rPr>
                <w:sz w:val="14"/>
              </w:rPr>
            </w:pPr>
            <w:r>
              <w:rPr>
                <w:color w:val="4D4D4F"/>
                <w:w w:val="105"/>
                <w:sz w:val="14"/>
              </w:rPr>
              <w:t>C3 grassland</w:t>
            </w:r>
          </w:p>
        </w:tc>
        <w:tc>
          <w:tcPr>
            <w:tcW w:w="2154" w:type="dxa"/>
          </w:tcPr>
          <w:p w14:paraId="41C920D6" w14:textId="77777777" w:rsidR="00EF5B27" w:rsidRDefault="00000000">
            <w:pPr>
              <w:pStyle w:val="TableParagraph"/>
              <w:spacing w:before="73" w:line="252" w:lineRule="auto"/>
              <w:ind w:left="129" w:right="121"/>
              <w:jc w:val="center"/>
              <w:rPr>
                <w:sz w:val="14"/>
              </w:rPr>
            </w:pPr>
            <w:r>
              <w:rPr>
                <w:color w:val="4D4D4F"/>
                <w:sz w:val="14"/>
              </w:rPr>
              <w:t>KPI measure 95% confidence interval falls below the baseline (this is assumed, although hasn't been explicitly stated)</w:t>
            </w:r>
          </w:p>
        </w:tc>
        <w:tc>
          <w:tcPr>
            <w:tcW w:w="1134" w:type="dxa"/>
          </w:tcPr>
          <w:p w14:paraId="5BFD959F" w14:textId="77777777" w:rsidR="00EF5B27" w:rsidRDefault="00EF5B27">
            <w:pPr>
              <w:pStyle w:val="TableParagraph"/>
              <w:rPr>
                <w:rFonts w:ascii="Times New Roman"/>
                <w:sz w:val="16"/>
              </w:rPr>
            </w:pPr>
          </w:p>
          <w:p w14:paraId="2A61D379" w14:textId="77777777" w:rsidR="00EF5B27" w:rsidRDefault="00EF5B27">
            <w:pPr>
              <w:pStyle w:val="TableParagraph"/>
              <w:spacing w:before="10"/>
              <w:rPr>
                <w:rFonts w:ascii="Times New Roman"/>
                <w:sz w:val="13"/>
              </w:rPr>
            </w:pPr>
          </w:p>
          <w:p w14:paraId="05FA9337" w14:textId="77777777" w:rsidR="00EF5B27" w:rsidRDefault="00000000">
            <w:pPr>
              <w:pStyle w:val="TableParagraph"/>
              <w:ind w:left="81" w:right="76"/>
              <w:jc w:val="center"/>
              <w:rPr>
                <w:sz w:val="14"/>
              </w:rPr>
            </w:pPr>
            <w:r>
              <w:rPr>
                <w:color w:val="4D4D4F"/>
                <w:w w:val="105"/>
                <w:sz w:val="14"/>
              </w:rPr>
              <w:t>Not assessed</w:t>
            </w:r>
          </w:p>
        </w:tc>
      </w:tr>
      <w:tr w:rsidR="00EF5B27" w14:paraId="3A7D9F2A" w14:textId="77777777">
        <w:trPr>
          <w:trHeight w:val="845"/>
        </w:trPr>
        <w:tc>
          <w:tcPr>
            <w:tcW w:w="737" w:type="dxa"/>
          </w:tcPr>
          <w:p w14:paraId="6ACCF1C9" w14:textId="77777777" w:rsidR="00EF5B27" w:rsidRDefault="00EF5B27">
            <w:pPr>
              <w:pStyle w:val="TableParagraph"/>
              <w:rPr>
                <w:rFonts w:ascii="Times New Roman"/>
                <w:sz w:val="16"/>
              </w:rPr>
            </w:pPr>
          </w:p>
          <w:p w14:paraId="53649F7C" w14:textId="77777777" w:rsidR="00EF5B27" w:rsidRDefault="00EF5B27">
            <w:pPr>
              <w:pStyle w:val="TableParagraph"/>
              <w:spacing w:before="10"/>
              <w:rPr>
                <w:rFonts w:ascii="Times New Roman"/>
                <w:sz w:val="13"/>
              </w:rPr>
            </w:pPr>
          </w:p>
          <w:p w14:paraId="56472E70" w14:textId="77777777" w:rsidR="00EF5B27" w:rsidRDefault="00000000">
            <w:pPr>
              <w:pStyle w:val="TableParagraph"/>
              <w:ind w:left="5"/>
              <w:jc w:val="center"/>
              <w:rPr>
                <w:sz w:val="14"/>
              </w:rPr>
            </w:pPr>
            <w:r>
              <w:rPr>
                <w:color w:val="4D4D4F"/>
                <w:w w:val="96"/>
                <w:sz w:val="14"/>
              </w:rPr>
              <w:t>1</w:t>
            </w:r>
          </w:p>
        </w:tc>
        <w:tc>
          <w:tcPr>
            <w:tcW w:w="1361" w:type="dxa"/>
          </w:tcPr>
          <w:p w14:paraId="03CD6917" w14:textId="77777777" w:rsidR="00EF5B27" w:rsidRDefault="00EF5B27">
            <w:pPr>
              <w:pStyle w:val="TableParagraph"/>
              <w:rPr>
                <w:rFonts w:ascii="Times New Roman"/>
              </w:rPr>
            </w:pPr>
          </w:p>
          <w:p w14:paraId="7A454821" w14:textId="77777777" w:rsidR="00EF5B27" w:rsidRDefault="00000000">
            <w:pPr>
              <w:pStyle w:val="TableParagraph"/>
              <w:spacing w:line="252" w:lineRule="auto"/>
              <w:ind w:left="377" w:hanging="255"/>
              <w:rPr>
                <w:sz w:val="14"/>
              </w:rPr>
            </w:pPr>
            <w:r>
              <w:rPr>
                <w:color w:val="4D4D4F"/>
                <w:sz w:val="14"/>
              </w:rPr>
              <w:t xml:space="preserve">Natural Temperate </w:t>
            </w:r>
            <w:r>
              <w:rPr>
                <w:color w:val="4D4D4F"/>
                <w:w w:val="105"/>
                <w:sz w:val="14"/>
              </w:rPr>
              <w:t>Grassland</w:t>
            </w:r>
          </w:p>
        </w:tc>
        <w:tc>
          <w:tcPr>
            <w:tcW w:w="737" w:type="dxa"/>
          </w:tcPr>
          <w:p w14:paraId="4EED23B5" w14:textId="77777777" w:rsidR="00EF5B27" w:rsidRDefault="00EF5B27">
            <w:pPr>
              <w:pStyle w:val="TableParagraph"/>
              <w:rPr>
                <w:rFonts w:ascii="Times New Roman"/>
                <w:sz w:val="16"/>
              </w:rPr>
            </w:pPr>
          </w:p>
          <w:p w14:paraId="7A7FAB32" w14:textId="77777777" w:rsidR="00EF5B27" w:rsidRDefault="00EF5B27">
            <w:pPr>
              <w:pStyle w:val="TableParagraph"/>
              <w:spacing w:before="10"/>
              <w:rPr>
                <w:rFonts w:ascii="Times New Roman"/>
                <w:sz w:val="13"/>
              </w:rPr>
            </w:pPr>
          </w:p>
          <w:p w14:paraId="0ED79235" w14:textId="77777777" w:rsidR="00EF5B27" w:rsidRDefault="00000000">
            <w:pPr>
              <w:pStyle w:val="TableParagraph"/>
              <w:ind w:left="5"/>
              <w:jc w:val="center"/>
              <w:rPr>
                <w:sz w:val="14"/>
              </w:rPr>
            </w:pPr>
            <w:r>
              <w:rPr>
                <w:color w:val="4D4D4F"/>
                <w:w w:val="96"/>
                <w:sz w:val="14"/>
              </w:rPr>
              <w:t>5</w:t>
            </w:r>
          </w:p>
        </w:tc>
        <w:tc>
          <w:tcPr>
            <w:tcW w:w="1474" w:type="dxa"/>
          </w:tcPr>
          <w:p w14:paraId="7F10A43C" w14:textId="77777777" w:rsidR="00EF5B27" w:rsidRDefault="00EF5B27">
            <w:pPr>
              <w:pStyle w:val="TableParagraph"/>
              <w:rPr>
                <w:rFonts w:ascii="Times New Roman"/>
              </w:rPr>
            </w:pPr>
          </w:p>
          <w:p w14:paraId="3C799FB6" w14:textId="77777777" w:rsidR="00EF5B27" w:rsidRDefault="00000000">
            <w:pPr>
              <w:pStyle w:val="TableParagraph"/>
              <w:spacing w:line="252" w:lineRule="auto"/>
              <w:ind w:left="127" w:hanging="42"/>
              <w:rPr>
                <w:sz w:val="14"/>
              </w:rPr>
            </w:pPr>
            <w:r>
              <w:rPr>
                <w:color w:val="4D4D4F"/>
                <w:w w:val="105"/>
                <w:sz w:val="14"/>
              </w:rPr>
              <w:t xml:space="preserve">Perennial grass cover (excluding </w:t>
            </w:r>
            <w:r>
              <w:rPr>
                <w:rFonts w:ascii="Arial Narrow"/>
                <w:i/>
                <w:color w:val="4D4D4F"/>
                <w:w w:val="105"/>
                <w:sz w:val="14"/>
              </w:rPr>
              <w:t>Themeda</w:t>
            </w:r>
            <w:r>
              <w:rPr>
                <w:color w:val="4D4D4F"/>
                <w:w w:val="105"/>
                <w:sz w:val="14"/>
              </w:rPr>
              <w:t>)</w:t>
            </w:r>
          </w:p>
        </w:tc>
        <w:tc>
          <w:tcPr>
            <w:tcW w:w="2041" w:type="dxa"/>
          </w:tcPr>
          <w:p w14:paraId="20F0E428" w14:textId="77777777" w:rsidR="00EF5B27" w:rsidRDefault="00EF5B27">
            <w:pPr>
              <w:pStyle w:val="TableParagraph"/>
              <w:rPr>
                <w:rFonts w:ascii="Times New Roman"/>
                <w:sz w:val="16"/>
              </w:rPr>
            </w:pPr>
          </w:p>
          <w:p w14:paraId="546DA09B" w14:textId="77777777" w:rsidR="00EF5B27" w:rsidRDefault="00EF5B27">
            <w:pPr>
              <w:pStyle w:val="TableParagraph"/>
              <w:spacing w:before="10"/>
              <w:rPr>
                <w:rFonts w:ascii="Times New Roman"/>
                <w:sz w:val="13"/>
              </w:rPr>
            </w:pPr>
          </w:p>
          <w:p w14:paraId="0CB73E7E" w14:textId="77777777" w:rsidR="00EF5B27" w:rsidRDefault="00000000">
            <w:pPr>
              <w:pStyle w:val="TableParagraph"/>
              <w:ind w:left="155" w:right="150"/>
              <w:jc w:val="center"/>
              <w:rPr>
                <w:sz w:val="14"/>
              </w:rPr>
            </w:pPr>
            <w:r>
              <w:rPr>
                <w:color w:val="4D4D4F"/>
                <w:w w:val="105"/>
                <w:sz w:val="14"/>
              </w:rPr>
              <w:t>De-rocked grassland</w:t>
            </w:r>
          </w:p>
        </w:tc>
        <w:tc>
          <w:tcPr>
            <w:tcW w:w="2154" w:type="dxa"/>
          </w:tcPr>
          <w:p w14:paraId="6CE515A1" w14:textId="77777777" w:rsidR="00EF5B27" w:rsidRDefault="00000000">
            <w:pPr>
              <w:pStyle w:val="TableParagraph"/>
              <w:spacing w:before="73" w:line="252" w:lineRule="auto"/>
              <w:ind w:left="129" w:right="121"/>
              <w:jc w:val="center"/>
              <w:rPr>
                <w:sz w:val="14"/>
              </w:rPr>
            </w:pPr>
            <w:r>
              <w:rPr>
                <w:color w:val="4D4D4F"/>
                <w:sz w:val="14"/>
              </w:rPr>
              <w:t>KPI measure 95% confidence interval falls below the baseline (this is assumed, although hasn't been explicitly stated)</w:t>
            </w:r>
          </w:p>
        </w:tc>
        <w:tc>
          <w:tcPr>
            <w:tcW w:w="1134" w:type="dxa"/>
          </w:tcPr>
          <w:p w14:paraId="2B7BA19F" w14:textId="77777777" w:rsidR="00EF5B27" w:rsidRDefault="00EF5B27">
            <w:pPr>
              <w:pStyle w:val="TableParagraph"/>
              <w:rPr>
                <w:rFonts w:ascii="Times New Roman"/>
                <w:sz w:val="16"/>
              </w:rPr>
            </w:pPr>
          </w:p>
          <w:p w14:paraId="40F42C66" w14:textId="77777777" w:rsidR="00EF5B27" w:rsidRDefault="00EF5B27">
            <w:pPr>
              <w:pStyle w:val="TableParagraph"/>
              <w:spacing w:before="10"/>
              <w:rPr>
                <w:rFonts w:ascii="Times New Roman"/>
                <w:sz w:val="13"/>
              </w:rPr>
            </w:pPr>
          </w:p>
          <w:p w14:paraId="72582483" w14:textId="77777777" w:rsidR="00EF5B27" w:rsidRDefault="00000000">
            <w:pPr>
              <w:pStyle w:val="TableParagraph"/>
              <w:ind w:left="81" w:right="75"/>
              <w:jc w:val="center"/>
              <w:rPr>
                <w:sz w:val="14"/>
              </w:rPr>
            </w:pPr>
            <w:r>
              <w:rPr>
                <w:color w:val="4D4D4F"/>
                <w:w w:val="105"/>
                <w:sz w:val="14"/>
              </w:rPr>
              <w:t>Not assessed</w:t>
            </w:r>
          </w:p>
        </w:tc>
      </w:tr>
      <w:tr w:rsidR="00EF5B27" w14:paraId="16FB11F7" w14:textId="77777777">
        <w:trPr>
          <w:trHeight w:val="845"/>
        </w:trPr>
        <w:tc>
          <w:tcPr>
            <w:tcW w:w="737" w:type="dxa"/>
          </w:tcPr>
          <w:p w14:paraId="004FE58E" w14:textId="77777777" w:rsidR="00EF5B27" w:rsidRDefault="00EF5B27">
            <w:pPr>
              <w:pStyle w:val="TableParagraph"/>
              <w:rPr>
                <w:rFonts w:ascii="Times New Roman"/>
                <w:sz w:val="16"/>
              </w:rPr>
            </w:pPr>
          </w:p>
          <w:p w14:paraId="14261D27" w14:textId="77777777" w:rsidR="00EF5B27" w:rsidRDefault="00EF5B27">
            <w:pPr>
              <w:pStyle w:val="TableParagraph"/>
              <w:spacing w:before="10"/>
              <w:rPr>
                <w:rFonts w:ascii="Times New Roman"/>
                <w:sz w:val="13"/>
              </w:rPr>
            </w:pPr>
          </w:p>
          <w:p w14:paraId="15392D39" w14:textId="77777777" w:rsidR="00EF5B27" w:rsidRDefault="00000000">
            <w:pPr>
              <w:pStyle w:val="TableParagraph"/>
              <w:ind w:left="6"/>
              <w:jc w:val="center"/>
              <w:rPr>
                <w:sz w:val="14"/>
              </w:rPr>
            </w:pPr>
            <w:r>
              <w:rPr>
                <w:color w:val="4D4D4F"/>
                <w:w w:val="96"/>
                <w:sz w:val="14"/>
              </w:rPr>
              <w:t>1</w:t>
            </w:r>
          </w:p>
        </w:tc>
        <w:tc>
          <w:tcPr>
            <w:tcW w:w="1361" w:type="dxa"/>
          </w:tcPr>
          <w:p w14:paraId="4D88B390" w14:textId="77777777" w:rsidR="00EF5B27" w:rsidRDefault="00EF5B27">
            <w:pPr>
              <w:pStyle w:val="TableParagraph"/>
              <w:rPr>
                <w:rFonts w:ascii="Times New Roman"/>
              </w:rPr>
            </w:pPr>
          </w:p>
          <w:p w14:paraId="105D6EC4" w14:textId="77777777" w:rsidR="00EF5B27" w:rsidRDefault="00000000">
            <w:pPr>
              <w:pStyle w:val="TableParagraph"/>
              <w:spacing w:line="252" w:lineRule="auto"/>
              <w:ind w:left="378" w:hanging="255"/>
              <w:rPr>
                <w:sz w:val="14"/>
              </w:rPr>
            </w:pPr>
            <w:r>
              <w:rPr>
                <w:color w:val="4D4D4F"/>
                <w:sz w:val="14"/>
              </w:rPr>
              <w:t xml:space="preserve">Natural Temperate </w:t>
            </w:r>
            <w:r>
              <w:rPr>
                <w:color w:val="4D4D4F"/>
                <w:w w:val="105"/>
                <w:sz w:val="14"/>
              </w:rPr>
              <w:t>Grassland</w:t>
            </w:r>
          </w:p>
        </w:tc>
        <w:tc>
          <w:tcPr>
            <w:tcW w:w="737" w:type="dxa"/>
          </w:tcPr>
          <w:p w14:paraId="6B6F1DE2" w14:textId="77777777" w:rsidR="00EF5B27" w:rsidRDefault="00EF5B27">
            <w:pPr>
              <w:pStyle w:val="TableParagraph"/>
              <w:rPr>
                <w:rFonts w:ascii="Times New Roman"/>
                <w:sz w:val="16"/>
              </w:rPr>
            </w:pPr>
          </w:p>
          <w:p w14:paraId="20DA4849" w14:textId="77777777" w:rsidR="00EF5B27" w:rsidRDefault="00EF5B27">
            <w:pPr>
              <w:pStyle w:val="TableParagraph"/>
              <w:spacing w:before="10"/>
              <w:rPr>
                <w:rFonts w:ascii="Times New Roman"/>
                <w:sz w:val="13"/>
              </w:rPr>
            </w:pPr>
          </w:p>
          <w:p w14:paraId="7113E29F" w14:textId="77777777" w:rsidR="00EF5B27" w:rsidRDefault="00000000">
            <w:pPr>
              <w:pStyle w:val="TableParagraph"/>
              <w:ind w:left="5"/>
              <w:jc w:val="center"/>
              <w:rPr>
                <w:sz w:val="14"/>
              </w:rPr>
            </w:pPr>
            <w:r>
              <w:rPr>
                <w:color w:val="4D4D4F"/>
                <w:w w:val="96"/>
                <w:sz w:val="14"/>
              </w:rPr>
              <w:t>7</w:t>
            </w:r>
          </w:p>
        </w:tc>
        <w:tc>
          <w:tcPr>
            <w:tcW w:w="1474" w:type="dxa"/>
          </w:tcPr>
          <w:p w14:paraId="22E9E041" w14:textId="77777777" w:rsidR="00EF5B27" w:rsidRDefault="00EF5B27">
            <w:pPr>
              <w:pStyle w:val="TableParagraph"/>
              <w:rPr>
                <w:rFonts w:ascii="Times New Roman"/>
                <w:sz w:val="16"/>
              </w:rPr>
            </w:pPr>
          </w:p>
          <w:p w14:paraId="014CE613" w14:textId="77777777" w:rsidR="00EF5B27" w:rsidRDefault="00EF5B27">
            <w:pPr>
              <w:pStyle w:val="TableParagraph"/>
              <w:spacing w:before="10"/>
              <w:rPr>
                <w:rFonts w:ascii="Times New Roman"/>
                <w:sz w:val="13"/>
              </w:rPr>
            </w:pPr>
          </w:p>
          <w:p w14:paraId="7E230CD0" w14:textId="77777777" w:rsidR="00EF5B27" w:rsidRDefault="00000000">
            <w:pPr>
              <w:pStyle w:val="TableParagraph"/>
              <w:ind w:left="125" w:right="120"/>
              <w:jc w:val="center"/>
              <w:rPr>
                <w:sz w:val="14"/>
              </w:rPr>
            </w:pPr>
            <w:r>
              <w:rPr>
                <w:color w:val="4D4D4F"/>
                <w:sz w:val="14"/>
              </w:rPr>
              <w:t>Weeds</w:t>
            </w:r>
          </w:p>
        </w:tc>
        <w:tc>
          <w:tcPr>
            <w:tcW w:w="2041" w:type="dxa"/>
          </w:tcPr>
          <w:p w14:paraId="21AF8452" w14:textId="77777777" w:rsidR="00EF5B27" w:rsidRDefault="00EF5B27">
            <w:pPr>
              <w:pStyle w:val="TableParagraph"/>
              <w:rPr>
                <w:rFonts w:ascii="Times New Roman"/>
                <w:sz w:val="16"/>
              </w:rPr>
            </w:pPr>
          </w:p>
          <w:p w14:paraId="65740D70" w14:textId="77777777" w:rsidR="00EF5B27" w:rsidRDefault="00EF5B27">
            <w:pPr>
              <w:pStyle w:val="TableParagraph"/>
              <w:spacing w:before="10"/>
              <w:rPr>
                <w:rFonts w:ascii="Times New Roman"/>
                <w:sz w:val="13"/>
              </w:rPr>
            </w:pPr>
          </w:p>
          <w:p w14:paraId="30345EC0" w14:textId="77777777" w:rsidR="00EF5B27" w:rsidRDefault="00000000">
            <w:pPr>
              <w:pStyle w:val="TableParagraph"/>
              <w:ind w:left="155" w:right="150"/>
              <w:jc w:val="center"/>
              <w:rPr>
                <w:sz w:val="14"/>
              </w:rPr>
            </w:pPr>
            <w:r>
              <w:rPr>
                <w:color w:val="4D4D4F"/>
                <w:w w:val="105"/>
                <w:sz w:val="14"/>
              </w:rPr>
              <w:t>C3 grassland</w:t>
            </w:r>
          </w:p>
        </w:tc>
        <w:tc>
          <w:tcPr>
            <w:tcW w:w="2154" w:type="dxa"/>
          </w:tcPr>
          <w:p w14:paraId="6423B627" w14:textId="77777777" w:rsidR="00EF5B27" w:rsidRDefault="00000000">
            <w:pPr>
              <w:pStyle w:val="TableParagraph"/>
              <w:spacing w:before="73" w:line="252" w:lineRule="auto"/>
              <w:ind w:left="129" w:right="121"/>
              <w:jc w:val="center"/>
              <w:rPr>
                <w:sz w:val="14"/>
              </w:rPr>
            </w:pPr>
            <w:r>
              <w:rPr>
                <w:color w:val="4D4D4F"/>
                <w:sz w:val="14"/>
              </w:rPr>
              <w:t>KPI measure 95% confidence interval falls above the baseline (this is assumed, although hasn't been explicitly stated)</w:t>
            </w:r>
          </w:p>
        </w:tc>
        <w:tc>
          <w:tcPr>
            <w:tcW w:w="1134" w:type="dxa"/>
          </w:tcPr>
          <w:p w14:paraId="490FDE2B" w14:textId="77777777" w:rsidR="00EF5B27" w:rsidRDefault="00EF5B27">
            <w:pPr>
              <w:pStyle w:val="TableParagraph"/>
              <w:rPr>
                <w:rFonts w:ascii="Times New Roman"/>
                <w:sz w:val="16"/>
              </w:rPr>
            </w:pPr>
          </w:p>
          <w:p w14:paraId="00CAF5F6" w14:textId="77777777" w:rsidR="00EF5B27" w:rsidRDefault="00EF5B27">
            <w:pPr>
              <w:pStyle w:val="TableParagraph"/>
              <w:spacing w:before="10"/>
              <w:rPr>
                <w:rFonts w:ascii="Times New Roman"/>
                <w:sz w:val="13"/>
              </w:rPr>
            </w:pPr>
          </w:p>
          <w:p w14:paraId="054A85C9" w14:textId="77777777" w:rsidR="00EF5B27" w:rsidRDefault="00000000">
            <w:pPr>
              <w:pStyle w:val="TableParagraph"/>
              <w:ind w:left="81" w:right="75"/>
              <w:jc w:val="center"/>
              <w:rPr>
                <w:sz w:val="14"/>
              </w:rPr>
            </w:pPr>
            <w:r>
              <w:rPr>
                <w:color w:val="4D4D4F"/>
                <w:w w:val="105"/>
                <w:sz w:val="14"/>
              </w:rPr>
              <w:t>Not assessed</w:t>
            </w:r>
          </w:p>
        </w:tc>
      </w:tr>
      <w:tr w:rsidR="00EF5B27" w14:paraId="209AD1B6" w14:textId="77777777">
        <w:trPr>
          <w:trHeight w:val="845"/>
        </w:trPr>
        <w:tc>
          <w:tcPr>
            <w:tcW w:w="737" w:type="dxa"/>
          </w:tcPr>
          <w:p w14:paraId="38ECFA92" w14:textId="77777777" w:rsidR="00EF5B27" w:rsidRDefault="00EF5B27">
            <w:pPr>
              <w:pStyle w:val="TableParagraph"/>
              <w:rPr>
                <w:rFonts w:ascii="Times New Roman"/>
                <w:sz w:val="16"/>
              </w:rPr>
            </w:pPr>
          </w:p>
          <w:p w14:paraId="76557255" w14:textId="77777777" w:rsidR="00EF5B27" w:rsidRDefault="00EF5B27">
            <w:pPr>
              <w:pStyle w:val="TableParagraph"/>
              <w:spacing w:before="10"/>
              <w:rPr>
                <w:rFonts w:ascii="Times New Roman"/>
                <w:sz w:val="13"/>
              </w:rPr>
            </w:pPr>
          </w:p>
          <w:p w14:paraId="47101B3E" w14:textId="77777777" w:rsidR="00EF5B27" w:rsidRDefault="00000000">
            <w:pPr>
              <w:pStyle w:val="TableParagraph"/>
              <w:ind w:left="6"/>
              <w:jc w:val="center"/>
              <w:rPr>
                <w:sz w:val="14"/>
              </w:rPr>
            </w:pPr>
            <w:r>
              <w:rPr>
                <w:color w:val="4D4D4F"/>
                <w:w w:val="96"/>
                <w:sz w:val="14"/>
              </w:rPr>
              <w:t>1</w:t>
            </w:r>
          </w:p>
        </w:tc>
        <w:tc>
          <w:tcPr>
            <w:tcW w:w="1361" w:type="dxa"/>
          </w:tcPr>
          <w:p w14:paraId="4FF1F6CF" w14:textId="77777777" w:rsidR="00EF5B27" w:rsidRDefault="00EF5B27">
            <w:pPr>
              <w:pStyle w:val="TableParagraph"/>
              <w:rPr>
                <w:rFonts w:ascii="Times New Roman"/>
              </w:rPr>
            </w:pPr>
          </w:p>
          <w:p w14:paraId="10964283" w14:textId="77777777" w:rsidR="00EF5B27" w:rsidRDefault="00000000">
            <w:pPr>
              <w:pStyle w:val="TableParagraph"/>
              <w:spacing w:line="252" w:lineRule="auto"/>
              <w:ind w:left="378" w:hanging="255"/>
              <w:rPr>
                <w:sz w:val="14"/>
              </w:rPr>
            </w:pPr>
            <w:r>
              <w:rPr>
                <w:color w:val="4D4D4F"/>
                <w:sz w:val="14"/>
              </w:rPr>
              <w:t xml:space="preserve">Natural Temperate </w:t>
            </w:r>
            <w:r>
              <w:rPr>
                <w:color w:val="4D4D4F"/>
                <w:w w:val="105"/>
                <w:sz w:val="14"/>
              </w:rPr>
              <w:t>Grassland</w:t>
            </w:r>
          </w:p>
        </w:tc>
        <w:tc>
          <w:tcPr>
            <w:tcW w:w="737" w:type="dxa"/>
          </w:tcPr>
          <w:p w14:paraId="6F8250DC" w14:textId="77777777" w:rsidR="00EF5B27" w:rsidRDefault="00EF5B27">
            <w:pPr>
              <w:pStyle w:val="TableParagraph"/>
              <w:rPr>
                <w:rFonts w:ascii="Times New Roman"/>
                <w:sz w:val="16"/>
              </w:rPr>
            </w:pPr>
          </w:p>
          <w:p w14:paraId="75650DBE" w14:textId="77777777" w:rsidR="00EF5B27" w:rsidRDefault="00EF5B27">
            <w:pPr>
              <w:pStyle w:val="TableParagraph"/>
              <w:spacing w:before="10"/>
              <w:rPr>
                <w:rFonts w:ascii="Times New Roman"/>
                <w:sz w:val="13"/>
              </w:rPr>
            </w:pPr>
          </w:p>
          <w:p w14:paraId="40CD1BBF" w14:textId="77777777" w:rsidR="00EF5B27" w:rsidRDefault="00000000">
            <w:pPr>
              <w:pStyle w:val="TableParagraph"/>
              <w:ind w:left="5"/>
              <w:jc w:val="center"/>
              <w:rPr>
                <w:sz w:val="14"/>
              </w:rPr>
            </w:pPr>
            <w:r>
              <w:rPr>
                <w:color w:val="4D4D4F"/>
                <w:w w:val="96"/>
                <w:sz w:val="14"/>
              </w:rPr>
              <w:t>7</w:t>
            </w:r>
          </w:p>
        </w:tc>
        <w:tc>
          <w:tcPr>
            <w:tcW w:w="1474" w:type="dxa"/>
          </w:tcPr>
          <w:p w14:paraId="17AE539E" w14:textId="77777777" w:rsidR="00EF5B27" w:rsidRDefault="00EF5B27">
            <w:pPr>
              <w:pStyle w:val="TableParagraph"/>
              <w:rPr>
                <w:rFonts w:ascii="Times New Roman"/>
                <w:sz w:val="16"/>
              </w:rPr>
            </w:pPr>
          </w:p>
          <w:p w14:paraId="15CA9716" w14:textId="77777777" w:rsidR="00EF5B27" w:rsidRDefault="00EF5B27">
            <w:pPr>
              <w:pStyle w:val="TableParagraph"/>
              <w:spacing w:before="10"/>
              <w:rPr>
                <w:rFonts w:ascii="Times New Roman"/>
                <w:sz w:val="13"/>
              </w:rPr>
            </w:pPr>
          </w:p>
          <w:p w14:paraId="1812F3CC" w14:textId="77777777" w:rsidR="00EF5B27" w:rsidRDefault="00000000">
            <w:pPr>
              <w:pStyle w:val="TableParagraph"/>
              <w:ind w:left="125" w:right="120"/>
              <w:jc w:val="center"/>
              <w:rPr>
                <w:sz w:val="14"/>
              </w:rPr>
            </w:pPr>
            <w:r>
              <w:rPr>
                <w:color w:val="4D4D4F"/>
                <w:sz w:val="14"/>
              </w:rPr>
              <w:t>Weeds</w:t>
            </w:r>
          </w:p>
        </w:tc>
        <w:tc>
          <w:tcPr>
            <w:tcW w:w="2041" w:type="dxa"/>
          </w:tcPr>
          <w:p w14:paraId="2A1F938E" w14:textId="77777777" w:rsidR="00EF5B27" w:rsidRDefault="00EF5B27">
            <w:pPr>
              <w:pStyle w:val="TableParagraph"/>
              <w:rPr>
                <w:rFonts w:ascii="Times New Roman"/>
                <w:sz w:val="16"/>
              </w:rPr>
            </w:pPr>
          </w:p>
          <w:p w14:paraId="186C7C24" w14:textId="77777777" w:rsidR="00EF5B27" w:rsidRDefault="00EF5B27">
            <w:pPr>
              <w:pStyle w:val="TableParagraph"/>
              <w:spacing w:before="10"/>
              <w:rPr>
                <w:rFonts w:ascii="Times New Roman"/>
                <w:sz w:val="13"/>
              </w:rPr>
            </w:pPr>
          </w:p>
          <w:p w14:paraId="14E3247B" w14:textId="77777777" w:rsidR="00EF5B27" w:rsidRDefault="00000000">
            <w:pPr>
              <w:pStyle w:val="TableParagraph"/>
              <w:ind w:left="155" w:right="150"/>
              <w:jc w:val="center"/>
              <w:rPr>
                <w:sz w:val="14"/>
              </w:rPr>
            </w:pPr>
            <w:r>
              <w:rPr>
                <w:color w:val="4D4D4F"/>
                <w:w w:val="105"/>
                <w:sz w:val="14"/>
              </w:rPr>
              <w:t>De-rocked grassland</w:t>
            </w:r>
          </w:p>
        </w:tc>
        <w:tc>
          <w:tcPr>
            <w:tcW w:w="2154" w:type="dxa"/>
          </w:tcPr>
          <w:p w14:paraId="68FB4D63" w14:textId="77777777" w:rsidR="00EF5B27" w:rsidRDefault="00000000">
            <w:pPr>
              <w:pStyle w:val="TableParagraph"/>
              <w:spacing w:before="73" w:line="252" w:lineRule="auto"/>
              <w:ind w:left="129" w:right="121"/>
              <w:jc w:val="center"/>
              <w:rPr>
                <w:sz w:val="14"/>
              </w:rPr>
            </w:pPr>
            <w:r>
              <w:rPr>
                <w:color w:val="4D4D4F"/>
                <w:sz w:val="14"/>
              </w:rPr>
              <w:t>KPI measure 95% confidence interval falls above the baseline (this is assumed, although hasn't been explicitly stated)</w:t>
            </w:r>
          </w:p>
        </w:tc>
        <w:tc>
          <w:tcPr>
            <w:tcW w:w="1134" w:type="dxa"/>
          </w:tcPr>
          <w:p w14:paraId="0BD4AC7B" w14:textId="77777777" w:rsidR="00EF5B27" w:rsidRDefault="00EF5B27">
            <w:pPr>
              <w:pStyle w:val="TableParagraph"/>
              <w:rPr>
                <w:rFonts w:ascii="Times New Roman"/>
                <w:sz w:val="16"/>
              </w:rPr>
            </w:pPr>
          </w:p>
          <w:p w14:paraId="78E9922B" w14:textId="77777777" w:rsidR="00EF5B27" w:rsidRDefault="00EF5B27">
            <w:pPr>
              <w:pStyle w:val="TableParagraph"/>
              <w:spacing w:before="10"/>
              <w:rPr>
                <w:rFonts w:ascii="Times New Roman"/>
                <w:sz w:val="13"/>
              </w:rPr>
            </w:pPr>
          </w:p>
          <w:p w14:paraId="33997142" w14:textId="77777777" w:rsidR="00EF5B27" w:rsidRDefault="00000000">
            <w:pPr>
              <w:pStyle w:val="TableParagraph"/>
              <w:ind w:left="81" w:right="75"/>
              <w:jc w:val="center"/>
              <w:rPr>
                <w:sz w:val="14"/>
              </w:rPr>
            </w:pPr>
            <w:r>
              <w:rPr>
                <w:color w:val="4D4D4F"/>
                <w:w w:val="105"/>
                <w:sz w:val="14"/>
              </w:rPr>
              <w:t>Not assessed</w:t>
            </w:r>
          </w:p>
        </w:tc>
      </w:tr>
      <w:tr w:rsidR="00EF5B27" w14:paraId="55CD7627" w14:textId="77777777">
        <w:trPr>
          <w:trHeight w:val="845"/>
        </w:trPr>
        <w:tc>
          <w:tcPr>
            <w:tcW w:w="737" w:type="dxa"/>
          </w:tcPr>
          <w:p w14:paraId="6E6BF9B2" w14:textId="77777777" w:rsidR="00EF5B27" w:rsidRDefault="00EF5B27">
            <w:pPr>
              <w:pStyle w:val="TableParagraph"/>
              <w:rPr>
                <w:rFonts w:ascii="Times New Roman"/>
                <w:sz w:val="16"/>
              </w:rPr>
            </w:pPr>
          </w:p>
          <w:p w14:paraId="3F5725EA" w14:textId="77777777" w:rsidR="00EF5B27" w:rsidRDefault="00EF5B27">
            <w:pPr>
              <w:pStyle w:val="TableParagraph"/>
              <w:spacing w:before="10"/>
              <w:rPr>
                <w:rFonts w:ascii="Times New Roman"/>
                <w:sz w:val="13"/>
              </w:rPr>
            </w:pPr>
          </w:p>
          <w:p w14:paraId="0D564C6A" w14:textId="77777777" w:rsidR="00EF5B27" w:rsidRDefault="00000000">
            <w:pPr>
              <w:pStyle w:val="TableParagraph"/>
              <w:ind w:left="6"/>
              <w:jc w:val="center"/>
              <w:rPr>
                <w:sz w:val="14"/>
              </w:rPr>
            </w:pPr>
            <w:r>
              <w:rPr>
                <w:color w:val="4D4D4F"/>
                <w:w w:val="96"/>
                <w:sz w:val="14"/>
              </w:rPr>
              <w:t>2</w:t>
            </w:r>
          </w:p>
        </w:tc>
        <w:tc>
          <w:tcPr>
            <w:tcW w:w="1361" w:type="dxa"/>
          </w:tcPr>
          <w:p w14:paraId="42BE4025" w14:textId="77777777" w:rsidR="00EF5B27" w:rsidRDefault="00EF5B27">
            <w:pPr>
              <w:pStyle w:val="TableParagraph"/>
              <w:rPr>
                <w:rFonts w:ascii="Times New Roman"/>
              </w:rPr>
            </w:pPr>
          </w:p>
          <w:p w14:paraId="17AFA9C7" w14:textId="77777777" w:rsidR="00EF5B27" w:rsidRDefault="00000000">
            <w:pPr>
              <w:pStyle w:val="TableParagraph"/>
              <w:spacing w:line="252" w:lineRule="auto"/>
              <w:ind w:left="385" w:hanging="184"/>
              <w:rPr>
                <w:sz w:val="14"/>
              </w:rPr>
            </w:pPr>
            <w:r>
              <w:rPr>
                <w:color w:val="4D4D4F"/>
                <w:w w:val="105"/>
                <w:sz w:val="14"/>
              </w:rPr>
              <w:t>Grassy Eucalypt Woodland</w:t>
            </w:r>
          </w:p>
        </w:tc>
        <w:tc>
          <w:tcPr>
            <w:tcW w:w="737" w:type="dxa"/>
          </w:tcPr>
          <w:p w14:paraId="49110511" w14:textId="77777777" w:rsidR="00EF5B27" w:rsidRDefault="00EF5B27">
            <w:pPr>
              <w:pStyle w:val="TableParagraph"/>
              <w:rPr>
                <w:rFonts w:ascii="Times New Roman"/>
                <w:sz w:val="16"/>
              </w:rPr>
            </w:pPr>
          </w:p>
          <w:p w14:paraId="2CFC4BD9" w14:textId="77777777" w:rsidR="00EF5B27" w:rsidRDefault="00EF5B27">
            <w:pPr>
              <w:pStyle w:val="TableParagraph"/>
              <w:spacing w:before="10"/>
              <w:rPr>
                <w:rFonts w:ascii="Times New Roman"/>
                <w:sz w:val="13"/>
              </w:rPr>
            </w:pPr>
          </w:p>
          <w:p w14:paraId="65F6822C" w14:textId="77777777" w:rsidR="00EF5B27" w:rsidRDefault="00000000">
            <w:pPr>
              <w:pStyle w:val="TableParagraph"/>
              <w:ind w:left="5"/>
              <w:jc w:val="center"/>
              <w:rPr>
                <w:sz w:val="14"/>
              </w:rPr>
            </w:pPr>
            <w:r>
              <w:rPr>
                <w:color w:val="4D4D4F"/>
                <w:w w:val="96"/>
                <w:sz w:val="14"/>
              </w:rPr>
              <w:t>1</w:t>
            </w:r>
          </w:p>
        </w:tc>
        <w:tc>
          <w:tcPr>
            <w:tcW w:w="1474" w:type="dxa"/>
          </w:tcPr>
          <w:p w14:paraId="3CECB09F" w14:textId="77777777" w:rsidR="00EF5B27" w:rsidRDefault="00EF5B27">
            <w:pPr>
              <w:pStyle w:val="TableParagraph"/>
              <w:rPr>
                <w:rFonts w:ascii="Times New Roman"/>
                <w:sz w:val="16"/>
              </w:rPr>
            </w:pPr>
          </w:p>
          <w:p w14:paraId="5F40870C" w14:textId="77777777" w:rsidR="00EF5B27" w:rsidRDefault="00EF5B27">
            <w:pPr>
              <w:pStyle w:val="TableParagraph"/>
              <w:spacing w:before="10"/>
              <w:rPr>
                <w:rFonts w:ascii="Times New Roman"/>
                <w:sz w:val="13"/>
              </w:rPr>
            </w:pPr>
          </w:p>
          <w:p w14:paraId="4989B58B" w14:textId="77777777" w:rsidR="00EF5B27" w:rsidRDefault="00000000">
            <w:pPr>
              <w:pStyle w:val="TableParagraph"/>
              <w:ind w:left="125" w:right="120"/>
              <w:jc w:val="center"/>
              <w:rPr>
                <w:sz w:val="14"/>
              </w:rPr>
            </w:pPr>
            <w:r>
              <w:rPr>
                <w:color w:val="4D4D4F"/>
                <w:w w:val="105"/>
                <w:sz w:val="14"/>
              </w:rPr>
              <w:t>States</w:t>
            </w:r>
          </w:p>
        </w:tc>
        <w:tc>
          <w:tcPr>
            <w:tcW w:w="2041" w:type="dxa"/>
          </w:tcPr>
          <w:p w14:paraId="43067BB3" w14:textId="77777777" w:rsidR="00EF5B27" w:rsidRDefault="00EF5B27">
            <w:pPr>
              <w:pStyle w:val="TableParagraph"/>
              <w:rPr>
                <w:rFonts w:ascii="Times New Roman"/>
                <w:sz w:val="16"/>
              </w:rPr>
            </w:pPr>
          </w:p>
          <w:p w14:paraId="6AC45293" w14:textId="77777777" w:rsidR="00EF5B27" w:rsidRDefault="00EF5B27">
            <w:pPr>
              <w:pStyle w:val="TableParagraph"/>
              <w:spacing w:before="10"/>
              <w:rPr>
                <w:rFonts w:ascii="Times New Roman"/>
                <w:sz w:val="13"/>
              </w:rPr>
            </w:pPr>
          </w:p>
          <w:p w14:paraId="08A0B55C" w14:textId="77777777" w:rsidR="00EF5B27" w:rsidRDefault="00000000">
            <w:pPr>
              <w:pStyle w:val="TableParagraph"/>
              <w:ind w:left="155" w:right="150"/>
              <w:jc w:val="center"/>
              <w:rPr>
                <w:sz w:val="14"/>
              </w:rPr>
            </w:pPr>
            <w:r>
              <w:rPr>
                <w:color w:val="4D4D4F"/>
                <w:w w:val="105"/>
                <w:sz w:val="14"/>
              </w:rPr>
              <w:t>Herb-rich grassland</w:t>
            </w:r>
          </w:p>
        </w:tc>
        <w:tc>
          <w:tcPr>
            <w:tcW w:w="2154" w:type="dxa"/>
          </w:tcPr>
          <w:p w14:paraId="185A49BD" w14:textId="77777777" w:rsidR="00EF5B27" w:rsidRDefault="00EF5B27">
            <w:pPr>
              <w:pStyle w:val="TableParagraph"/>
              <w:spacing w:before="2"/>
              <w:rPr>
                <w:rFonts w:ascii="Times New Roman"/>
                <w:sz w:val="14"/>
              </w:rPr>
            </w:pPr>
          </w:p>
          <w:p w14:paraId="5ACB9DCB" w14:textId="77777777" w:rsidR="00EF5B27" w:rsidRDefault="00000000">
            <w:pPr>
              <w:pStyle w:val="TableParagraph"/>
              <w:spacing w:line="252" w:lineRule="auto"/>
              <w:ind w:left="83" w:right="75" w:firstLine="1"/>
              <w:jc w:val="both"/>
              <w:rPr>
                <w:sz w:val="14"/>
              </w:rPr>
            </w:pPr>
            <w:r>
              <w:rPr>
                <w:color w:val="4D4D4F"/>
                <w:sz w:val="14"/>
              </w:rPr>
              <w:t>See Sinclair et al. 2019b paper for method on evaluation of "positive, neutral or negative" transitions</w:t>
            </w:r>
          </w:p>
        </w:tc>
        <w:tc>
          <w:tcPr>
            <w:tcW w:w="1134" w:type="dxa"/>
          </w:tcPr>
          <w:p w14:paraId="50714F2F" w14:textId="77777777" w:rsidR="00EF5B27" w:rsidRDefault="00EF5B27">
            <w:pPr>
              <w:pStyle w:val="TableParagraph"/>
              <w:rPr>
                <w:rFonts w:ascii="Times New Roman"/>
                <w:sz w:val="16"/>
              </w:rPr>
            </w:pPr>
          </w:p>
          <w:p w14:paraId="25F7A122" w14:textId="77777777" w:rsidR="00EF5B27" w:rsidRDefault="00EF5B27">
            <w:pPr>
              <w:pStyle w:val="TableParagraph"/>
              <w:spacing w:before="10"/>
              <w:rPr>
                <w:rFonts w:ascii="Times New Roman"/>
                <w:sz w:val="13"/>
              </w:rPr>
            </w:pPr>
          </w:p>
          <w:p w14:paraId="27ED4DC6" w14:textId="77777777" w:rsidR="00EF5B27" w:rsidRDefault="00000000">
            <w:pPr>
              <w:pStyle w:val="TableParagraph"/>
              <w:ind w:left="81" w:right="75"/>
              <w:jc w:val="center"/>
              <w:rPr>
                <w:sz w:val="14"/>
              </w:rPr>
            </w:pPr>
            <w:r>
              <w:rPr>
                <w:color w:val="4D4D4F"/>
                <w:w w:val="105"/>
                <w:sz w:val="14"/>
              </w:rPr>
              <w:t>Not assessed</w:t>
            </w:r>
          </w:p>
        </w:tc>
      </w:tr>
      <w:tr w:rsidR="00EF5B27" w14:paraId="691F843B" w14:textId="77777777">
        <w:trPr>
          <w:trHeight w:val="845"/>
        </w:trPr>
        <w:tc>
          <w:tcPr>
            <w:tcW w:w="737" w:type="dxa"/>
          </w:tcPr>
          <w:p w14:paraId="463A8C1C" w14:textId="77777777" w:rsidR="00EF5B27" w:rsidRDefault="00EF5B27">
            <w:pPr>
              <w:pStyle w:val="TableParagraph"/>
              <w:rPr>
                <w:rFonts w:ascii="Times New Roman"/>
                <w:sz w:val="16"/>
              </w:rPr>
            </w:pPr>
          </w:p>
          <w:p w14:paraId="4F1DF51F" w14:textId="77777777" w:rsidR="00EF5B27" w:rsidRDefault="00EF5B27">
            <w:pPr>
              <w:pStyle w:val="TableParagraph"/>
              <w:spacing w:before="10"/>
              <w:rPr>
                <w:rFonts w:ascii="Times New Roman"/>
                <w:sz w:val="13"/>
              </w:rPr>
            </w:pPr>
          </w:p>
          <w:p w14:paraId="4B519621" w14:textId="77777777" w:rsidR="00EF5B27" w:rsidRDefault="00000000">
            <w:pPr>
              <w:pStyle w:val="TableParagraph"/>
              <w:ind w:left="6"/>
              <w:jc w:val="center"/>
              <w:rPr>
                <w:sz w:val="14"/>
              </w:rPr>
            </w:pPr>
            <w:r>
              <w:rPr>
                <w:color w:val="4D4D4F"/>
                <w:w w:val="96"/>
                <w:sz w:val="14"/>
              </w:rPr>
              <w:t>2</w:t>
            </w:r>
          </w:p>
        </w:tc>
        <w:tc>
          <w:tcPr>
            <w:tcW w:w="1361" w:type="dxa"/>
          </w:tcPr>
          <w:p w14:paraId="13F95119" w14:textId="77777777" w:rsidR="00EF5B27" w:rsidRDefault="00EF5B27">
            <w:pPr>
              <w:pStyle w:val="TableParagraph"/>
              <w:rPr>
                <w:rFonts w:ascii="Times New Roman"/>
              </w:rPr>
            </w:pPr>
          </w:p>
          <w:p w14:paraId="5EA8EF24" w14:textId="77777777" w:rsidR="00EF5B27" w:rsidRDefault="00000000">
            <w:pPr>
              <w:pStyle w:val="TableParagraph"/>
              <w:spacing w:line="252" w:lineRule="auto"/>
              <w:ind w:left="385" w:hanging="184"/>
              <w:rPr>
                <w:sz w:val="14"/>
              </w:rPr>
            </w:pPr>
            <w:r>
              <w:rPr>
                <w:color w:val="4D4D4F"/>
                <w:w w:val="105"/>
                <w:sz w:val="14"/>
              </w:rPr>
              <w:t>Grassy Eucalypt Woodland</w:t>
            </w:r>
          </w:p>
        </w:tc>
        <w:tc>
          <w:tcPr>
            <w:tcW w:w="737" w:type="dxa"/>
          </w:tcPr>
          <w:p w14:paraId="11EB27B9" w14:textId="77777777" w:rsidR="00EF5B27" w:rsidRDefault="00EF5B27">
            <w:pPr>
              <w:pStyle w:val="TableParagraph"/>
              <w:rPr>
                <w:rFonts w:ascii="Times New Roman"/>
                <w:sz w:val="16"/>
              </w:rPr>
            </w:pPr>
          </w:p>
          <w:p w14:paraId="055FB06A" w14:textId="77777777" w:rsidR="00EF5B27" w:rsidRDefault="00EF5B27">
            <w:pPr>
              <w:pStyle w:val="TableParagraph"/>
              <w:spacing w:before="10"/>
              <w:rPr>
                <w:rFonts w:ascii="Times New Roman"/>
                <w:sz w:val="13"/>
              </w:rPr>
            </w:pPr>
          </w:p>
          <w:p w14:paraId="42FF7B92" w14:textId="77777777" w:rsidR="00EF5B27" w:rsidRDefault="00000000">
            <w:pPr>
              <w:pStyle w:val="TableParagraph"/>
              <w:ind w:left="5"/>
              <w:jc w:val="center"/>
              <w:rPr>
                <w:sz w:val="14"/>
              </w:rPr>
            </w:pPr>
            <w:r>
              <w:rPr>
                <w:color w:val="4D4D4F"/>
                <w:w w:val="96"/>
                <w:sz w:val="14"/>
              </w:rPr>
              <w:t>1</w:t>
            </w:r>
          </w:p>
        </w:tc>
        <w:tc>
          <w:tcPr>
            <w:tcW w:w="1474" w:type="dxa"/>
          </w:tcPr>
          <w:p w14:paraId="5E345832" w14:textId="77777777" w:rsidR="00EF5B27" w:rsidRDefault="00EF5B27">
            <w:pPr>
              <w:pStyle w:val="TableParagraph"/>
              <w:rPr>
                <w:rFonts w:ascii="Times New Roman"/>
                <w:sz w:val="16"/>
              </w:rPr>
            </w:pPr>
          </w:p>
          <w:p w14:paraId="19284CEF" w14:textId="77777777" w:rsidR="00EF5B27" w:rsidRDefault="00EF5B27">
            <w:pPr>
              <w:pStyle w:val="TableParagraph"/>
              <w:spacing w:before="10"/>
              <w:rPr>
                <w:rFonts w:ascii="Times New Roman"/>
                <w:sz w:val="13"/>
              </w:rPr>
            </w:pPr>
          </w:p>
          <w:p w14:paraId="3A1C2D57" w14:textId="77777777" w:rsidR="00EF5B27" w:rsidRDefault="00000000">
            <w:pPr>
              <w:pStyle w:val="TableParagraph"/>
              <w:ind w:left="125" w:right="120"/>
              <w:jc w:val="center"/>
              <w:rPr>
                <w:sz w:val="14"/>
              </w:rPr>
            </w:pPr>
            <w:r>
              <w:rPr>
                <w:color w:val="4D4D4F"/>
                <w:w w:val="105"/>
                <w:sz w:val="14"/>
              </w:rPr>
              <w:t>States</w:t>
            </w:r>
          </w:p>
        </w:tc>
        <w:tc>
          <w:tcPr>
            <w:tcW w:w="2041" w:type="dxa"/>
          </w:tcPr>
          <w:p w14:paraId="66042524" w14:textId="77777777" w:rsidR="00EF5B27" w:rsidRDefault="00EF5B27">
            <w:pPr>
              <w:pStyle w:val="TableParagraph"/>
              <w:rPr>
                <w:rFonts w:ascii="Times New Roman"/>
                <w:sz w:val="16"/>
              </w:rPr>
            </w:pPr>
          </w:p>
          <w:p w14:paraId="4811BB4E" w14:textId="77777777" w:rsidR="00EF5B27" w:rsidRDefault="00EF5B27">
            <w:pPr>
              <w:pStyle w:val="TableParagraph"/>
              <w:spacing w:before="10"/>
              <w:rPr>
                <w:rFonts w:ascii="Times New Roman"/>
                <w:sz w:val="13"/>
              </w:rPr>
            </w:pPr>
          </w:p>
          <w:p w14:paraId="6B4B8862" w14:textId="77777777" w:rsidR="00EF5B27" w:rsidRDefault="00000000">
            <w:pPr>
              <w:pStyle w:val="TableParagraph"/>
              <w:ind w:left="155" w:right="15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4BBC0AC4" w14:textId="77777777" w:rsidR="00EF5B27" w:rsidRDefault="00EF5B27">
            <w:pPr>
              <w:pStyle w:val="TableParagraph"/>
              <w:spacing w:before="2"/>
              <w:rPr>
                <w:rFonts w:ascii="Times New Roman"/>
                <w:sz w:val="14"/>
              </w:rPr>
            </w:pPr>
          </w:p>
          <w:p w14:paraId="07F5E217" w14:textId="77777777" w:rsidR="00EF5B27" w:rsidRDefault="00000000">
            <w:pPr>
              <w:pStyle w:val="TableParagraph"/>
              <w:spacing w:line="252" w:lineRule="auto"/>
              <w:ind w:left="83" w:right="75" w:firstLine="1"/>
              <w:jc w:val="both"/>
              <w:rPr>
                <w:sz w:val="14"/>
              </w:rPr>
            </w:pPr>
            <w:r>
              <w:rPr>
                <w:color w:val="4D4D4F"/>
                <w:sz w:val="14"/>
              </w:rPr>
              <w:t>See Sinclair et al. 2019b paper for method on evaluation of "positive, neutral or negative" transitions</w:t>
            </w:r>
          </w:p>
        </w:tc>
        <w:tc>
          <w:tcPr>
            <w:tcW w:w="1134" w:type="dxa"/>
          </w:tcPr>
          <w:p w14:paraId="7EEF3A82" w14:textId="77777777" w:rsidR="00EF5B27" w:rsidRDefault="00EF5B27">
            <w:pPr>
              <w:pStyle w:val="TableParagraph"/>
              <w:rPr>
                <w:rFonts w:ascii="Times New Roman"/>
                <w:sz w:val="16"/>
              </w:rPr>
            </w:pPr>
          </w:p>
          <w:p w14:paraId="3AA4893C" w14:textId="77777777" w:rsidR="00EF5B27" w:rsidRDefault="00EF5B27">
            <w:pPr>
              <w:pStyle w:val="TableParagraph"/>
              <w:spacing w:before="10"/>
              <w:rPr>
                <w:rFonts w:ascii="Times New Roman"/>
                <w:sz w:val="13"/>
              </w:rPr>
            </w:pPr>
          </w:p>
          <w:p w14:paraId="55318DF3" w14:textId="77777777" w:rsidR="00EF5B27" w:rsidRDefault="00000000">
            <w:pPr>
              <w:pStyle w:val="TableParagraph"/>
              <w:ind w:left="81" w:right="75"/>
              <w:jc w:val="center"/>
              <w:rPr>
                <w:sz w:val="14"/>
              </w:rPr>
            </w:pPr>
            <w:r>
              <w:rPr>
                <w:color w:val="4D4D4F"/>
                <w:w w:val="105"/>
                <w:sz w:val="14"/>
              </w:rPr>
              <w:t>Not assessed</w:t>
            </w:r>
          </w:p>
        </w:tc>
      </w:tr>
      <w:tr w:rsidR="00EF5B27" w14:paraId="2B3E1B61" w14:textId="77777777">
        <w:trPr>
          <w:trHeight w:val="845"/>
        </w:trPr>
        <w:tc>
          <w:tcPr>
            <w:tcW w:w="737" w:type="dxa"/>
          </w:tcPr>
          <w:p w14:paraId="7920CD48" w14:textId="77777777" w:rsidR="00EF5B27" w:rsidRDefault="00EF5B27">
            <w:pPr>
              <w:pStyle w:val="TableParagraph"/>
              <w:rPr>
                <w:rFonts w:ascii="Times New Roman"/>
                <w:sz w:val="16"/>
              </w:rPr>
            </w:pPr>
          </w:p>
          <w:p w14:paraId="7A703B0A" w14:textId="77777777" w:rsidR="00EF5B27" w:rsidRDefault="00EF5B27">
            <w:pPr>
              <w:pStyle w:val="TableParagraph"/>
              <w:spacing w:before="10"/>
              <w:rPr>
                <w:rFonts w:ascii="Times New Roman"/>
                <w:sz w:val="13"/>
              </w:rPr>
            </w:pPr>
          </w:p>
          <w:p w14:paraId="3E95E073" w14:textId="77777777" w:rsidR="00EF5B27" w:rsidRDefault="00000000">
            <w:pPr>
              <w:pStyle w:val="TableParagraph"/>
              <w:ind w:left="6"/>
              <w:jc w:val="center"/>
              <w:rPr>
                <w:sz w:val="14"/>
              </w:rPr>
            </w:pPr>
            <w:r>
              <w:rPr>
                <w:color w:val="4D4D4F"/>
                <w:w w:val="96"/>
                <w:sz w:val="14"/>
              </w:rPr>
              <w:t>2</w:t>
            </w:r>
          </w:p>
        </w:tc>
        <w:tc>
          <w:tcPr>
            <w:tcW w:w="1361" w:type="dxa"/>
          </w:tcPr>
          <w:p w14:paraId="16D07253" w14:textId="77777777" w:rsidR="00EF5B27" w:rsidRDefault="00EF5B27">
            <w:pPr>
              <w:pStyle w:val="TableParagraph"/>
              <w:rPr>
                <w:rFonts w:ascii="Times New Roman"/>
              </w:rPr>
            </w:pPr>
          </w:p>
          <w:p w14:paraId="55BE85C2" w14:textId="77777777" w:rsidR="00EF5B27" w:rsidRDefault="00000000">
            <w:pPr>
              <w:pStyle w:val="TableParagraph"/>
              <w:spacing w:line="252" w:lineRule="auto"/>
              <w:ind w:left="385" w:hanging="184"/>
              <w:rPr>
                <w:sz w:val="14"/>
              </w:rPr>
            </w:pPr>
            <w:r>
              <w:rPr>
                <w:color w:val="4D4D4F"/>
                <w:w w:val="105"/>
                <w:sz w:val="14"/>
              </w:rPr>
              <w:t>Grassy Eucalypt Woodland</w:t>
            </w:r>
          </w:p>
        </w:tc>
        <w:tc>
          <w:tcPr>
            <w:tcW w:w="737" w:type="dxa"/>
          </w:tcPr>
          <w:p w14:paraId="091E58BE" w14:textId="77777777" w:rsidR="00EF5B27" w:rsidRDefault="00EF5B27">
            <w:pPr>
              <w:pStyle w:val="TableParagraph"/>
              <w:rPr>
                <w:rFonts w:ascii="Times New Roman"/>
                <w:sz w:val="16"/>
              </w:rPr>
            </w:pPr>
          </w:p>
          <w:p w14:paraId="6C3F2EC3" w14:textId="77777777" w:rsidR="00EF5B27" w:rsidRDefault="00EF5B27">
            <w:pPr>
              <w:pStyle w:val="TableParagraph"/>
              <w:spacing w:before="10"/>
              <w:rPr>
                <w:rFonts w:ascii="Times New Roman"/>
                <w:sz w:val="13"/>
              </w:rPr>
            </w:pPr>
          </w:p>
          <w:p w14:paraId="4EF1E274" w14:textId="77777777" w:rsidR="00EF5B27" w:rsidRDefault="00000000">
            <w:pPr>
              <w:pStyle w:val="TableParagraph"/>
              <w:ind w:left="5"/>
              <w:jc w:val="center"/>
              <w:rPr>
                <w:sz w:val="14"/>
              </w:rPr>
            </w:pPr>
            <w:r>
              <w:rPr>
                <w:color w:val="4D4D4F"/>
                <w:w w:val="96"/>
                <w:sz w:val="14"/>
              </w:rPr>
              <w:t>1</w:t>
            </w:r>
          </w:p>
        </w:tc>
        <w:tc>
          <w:tcPr>
            <w:tcW w:w="1474" w:type="dxa"/>
          </w:tcPr>
          <w:p w14:paraId="30896079" w14:textId="77777777" w:rsidR="00EF5B27" w:rsidRDefault="00EF5B27">
            <w:pPr>
              <w:pStyle w:val="TableParagraph"/>
              <w:rPr>
                <w:rFonts w:ascii="Times New Roman"/>
                <w:sz w:val="16"/>
              </w:rPr>
            </w:pPr>
          </w:p>
          <w:p w14:paraId="2146BDC1" w14:textId="77777777" w:rsidR="00EF5B27" w:rsidRDefault="00EF5B27">
            <w:pPr>
              <w:pStyle w:val="TableParagraph"/>
              <w:spacing w:before="10"/>
              <w:rPr>
                <w:rFonts w:ascii="Times New Roman"/>
                <w:sz w:val="13"/>
              </w:rPr>
            </w:pPr>
          </w:p>
          <w:p w14:paraId="31EA46A4" w14:textId="77777777" w:rsidR="00EF5B27" w:rsidRDefault="00000000">
            <w:pPr>
              <w:pStyle w:val="TableParagraph"/>
              <w:ind w:left="125" w:right="120"/>
              <w:jc w:val="center"/>
              <w:rPr>
                <w:sz w:val="14"/>
              </w:rPr>
            </w:pPr>
            <w:r>
              <w:rPr>
                <w:color w:val="4D4D4F"/>
                <w:w w:val="105"/>
                <w:sz w:val="14"/>
              </w:rPr>
              <w:t>States</w:t>
            </w:r>
          </w:p>
        </w:tc>
        <w:tc>
          <w:tcPr>
            <w:tcW w:w="2041" w:type="dxa"/>
          </w:tcPr>
          <w:p w14:paraId="03A4DDE5" w14:textId="77777777" w:rsidR="00EF5B27" w:rsidRDefault="00EF5B27">
            <w:pPr>
              <w:pStyle w:val="TableParagraph"/>
              <w:rPr>
                <w:rFonts w:ascii="Times New Roman"/>
                <w:sz w:val="16"/>
              </w:rPr>
            </w:pPr>
          </w:p>
          <w:p w14:paraId="66E14546" w14:textId="77777777" w:rsidR="00EF5B27" w:rsidRDefault="00EF5B27">
            <w:pPr>
              <w:pStyle w:val="TableParagraph"/>
              <w:spacing w:before="10"/>
              <w:rPr>
                <w:rFonts w:ascii="Times New Roman"/>
                <w:sz w:val="13"/>
              </w:rPr>
            </w:pPr>
          </w:p>
          <w:p w14:paraId="6B2B7946" w14:textId="77777777" w:rsidR="00EF5B27" w:rsidRDefault="00000000">
            <w:pPr>
              <w:pStyle w:val="TableParagraph"/>
              <w:ind w:left="155" w:right="150"/>
              <w:jc w:val="center"/>
              <w:rPr>
                <w:sz w:val="14"/>
              </w:rPr>
            </w:pPr>
            <w:r>
              <w:rPr>
                <w:color w:val="4D4D4F"/>
                <w:w w:val="105"/>
                <w:sz w:val="14"/>
              </w:rPr>
              <w:t>C3 grassland</w:t>
            </w:r>
          </w:p>
        </w:tc>
        <w:tc>
          <w:tcPr>
            <w:tcW w:w="2154" w:type="dxa"/>
          </w:tcPr>
          <w:p w14:paraId="7DD87361" w14:textId="77777777" w:rsidR="00EF5B27" w:rsidRDefault="00EF5B27">
            <w:pPr>
              <w:pStyle w:val="TableParagraph"/>
              <w:spacing w:before="2"/>
              <w:rPr>
                <w:rFonts w:ascii="Times New Roman"/>
                <w:sz w:val="14"/>
              </w:rPr>
            </w:pPr>
          </w:p>
          <w:p w14:paraId="73CF414D" w14:textId="77777777" w:rsidR="00EF5B27" w:rsidRDefault="00000000">
            <w:pPr>
              <w:pStyle w:val="TableParagraph"/>
              <w:spacing w:line="252" w:lineRule="auto"/>
              <w:ind w:left="83" w:right="75" w:firstLine="1"/>
              <w:jc w:val="both"/>
              <w:rPr>
                <w:sz w:val="14"/>
              </w:rPr>
            </w:pPr>
            <w:r>
              <w:rPr>
                <w:color w:val="4D4D4F"/>
                <w:sz w:val="14"/>
              </w:rPr>
              <w:t>See Sinclair et al. 2019b paper for method on evaluation of "positive, neutral or negative" transitions</w:t>
            </w:r>
          </w:p>
        </w:tc>
        <w:tc>
          <w:tcPr>
            <w:tcW w:w="1134" w:type="dxa"/>
          </w:tcPr>
          <w:p w14:paraId="71092AEB" w14:textId="77777777" w:rsidR="00EF5B27" w:rsidRDefault="00EF5B27">
            <w:pPr>
              <w:pStyle w:val="TableParagraph"/>
              <w:rPr>
                <w:rFonts w:ascii="Times New Roman"/>
                <w:sz w:val="16"/>
              </w:rPr>
            </w:pPr>
          </w:p>
          <w:p w14:paraId="07C074A2" w14:textId="77777777" w:rsidR="00EF5B27" w:rsidRDefault="00EF5B27">
            <w:pPr>
              <w:pStyle w:val="TableParagraph"/>
              <w:spacing w:before="10"/>
              <w:rPr>
                <w:rFonts w:ascii="Times New Roman"/>
                <w:sz w:val="13"/>
              </w:rPr>
            </w:pPr>
          </w:p>
          <w:p w14:paraId="7D4716AE" w14:textId="77777777" w:rsidR="00EF5B27" w:rsidRDefault="00000000">
            <w:pPr>
              <w:pStyle w:val="TableParagraph"/>
              <w:ind w:left="81" w:right="75"/>
              <w:jc w:val="center"/>
              <w:rPr>
                <w:sz w:val="14"/>
              </w:rPr>
            </w:pPr>
            <w:r>
              <w:rPr>
                <w:color w:val="4D4D4F"/>
                <w:w w:val="105"/>
                <w:sz w:val="14"/>
              </w:rPr>
              <w:t>Not assessed</w:t>
            </w:r>
          </w:p>
        </w:tc>
      </w:tr>
      <w:tr w:rsidR="00EF5B27" w14:paraId="10118923" w14:textId="77777777">
        <w:trPr>
          <w:trHeight w:val="845"/>
        </w:trPr>
        <w:tc>
          <w:tcPr>
            <w:tcW w:w="737" w:type="dxa"/>
          </w:tcPr>
          <w:p w14:paraId="08AD2FFC" w14:textId="77777777" w:rsidR="00EF5B27" w:rsidRDefault="00EF5B27">
            <w:pPr>
              <w:pStyle w:val="TableParagraph"/>
              <w:rPr>
                <w:rFonts w:ascii="Times New Roman"/>
                <w:sz w:val="16"/>
              </w:rPr>
            </w:pPr>
          </w:p>
          <w:p w14:paraId="77167E8E" w14:textId="77777777" w:rsidR="00EF5B27" w:rsidRDefault="00EF5B27">
            <w:pPr>
              <w:pStyle w:val="TableParagraph"/>
              <w:spacing w:before="10"/>
              <w:rPr>
                <w:rFonts w:ascii="Times New Roman"/>
                <w:sz w:val="13"/>
              </w:rPr>
            </w:pPr>
          </w:p>
          <w:p w14:paraId="35020DA4" w14:textId="77777777" w:rsidR="00EF5B27" w:rsidRDefault="00000000">
            <w:pPr>
              <w:pStyle w:val="TableParagraph"/>
              <w:ind w:left="6"/>
              <w:jc w:val="center"/>
              <w:rPr>
                <w:sz w:val="14"/>
              </w:rPr>
            </w:pPr>
            <w:r>
              <w:rPr>
                <w:color w:val="4D4D4F"/>
                <w:w w:val="96"/>
                <w:sz w:val="14"/>
              </w:rPr>
              <w:t>2</w:t>
            </w:r>
          </w:p>
        </w:tc>
        <w:tc>
          <w:tcPr>
            <w:tcW w:w="1361" w:type="dxa"/>
          </w:tcPr>
          <w:p w14:paraId="2AD21064" w14:textId="77777777" w:rsidR="00EF5B27" w:rsidRDefault="00EF5B27">
            <w:pPr>
              <w:pStyle w:val="TableParagraph"/>
              <w:rPr>
                <w:rFonts w:ascii="Times New Roman"/>
              </w:rPr>
            </w:pPr>
          </w:p>
          <w:p w14:paraId="57CB8E90" w14:textId="77777777" w:rsidR="00EF5B27" w:rsidRDefault="00000000">
            <w:pPr>
              <w:pStyle w:val="TableParagraph"/>
              <w:spacing w:line="252" w:lineRule="auto"/>
              <w:ind w:left="385" w:hanging="184"/>
              <w:rPr>
                <w:sz w:val="14"/>
              </w:rPr>
            </w:pPr>
            <w:r>
              <w:rPr>
                <w:color w:val="4D4D4F"/>
                <w:w w:val="105"/>
                <w:sz w:val="14"/>
              </w:rPr>
              <w:t>Grassy Eucalypt Woodland</w:t>
            </w:r>
          </w:p>
        </w:tc>
        <w:tc>
          <w:tcPr>
            <w:tcW w:w="737" w:type="dxa"/>
          </w:tcPr>
          <w:p w14:paraId="37291A08" w14:textId="77777777" w:rsidR="00EF5B27" w:rsidRDefault="00EF5B27">
            <w:pPr>
              <w:pStyle w:val="TableParagraph"/>
              <w:rPr>
                <w:rFonts w:ascii="Times New Roman"/>
                <w:sz w:val="16"/>
              </w:rPr>
            </w:pPr>
          </w:p>
          <w:p w14:paraId="3ED87814" w14:textId="77777777" w:rsidR="00EF5B27" w:rsidRDefault="00EF5B27">
            <w:pPr>
              <w:pStyle w:val="TableParagraph"/>
              <w:spacing w:before="10"/>
              <w:rPr>
                <w:rFonts w:ascii="Times New Roman"/>
                <w:sz w:val="13"/>
              </w:rPr>
            </w:pPr>
          </w:p>
          <w:p w14:paraId="11836292" w14:textId="77777777" w:rsidR="00EF5B27" w:rsidRDefault="00000000">
            <w:pPr>
              <w:pStyle w:val="TableParagraph"/>
              <w:ind w:left="5"/>
              <w:jc w:val="center"/>
              <w:rPr>
                <w:sz w:val="14"/>
              </w:rPr>
            </w:pPr>
            <w:r>
              <w:rPr>
                <w:color w:val="4D4D4F"/>
                <w:w w:val="96"/>
                <w:sz w:val="14"/>
              </w:rPr>
              <w:t>1</w:t>
            </w:r>
          </w:p>
        </w:tc>
        <w:tc>
          <w:tcPr>
            <w:tcW w:w="1474" w:type="dxa"/>
          </w:tcPr>
          <w:p w14:paraId="78694391" w14:textId="77777777" w:rsidR="00EF5B27" w:rsidRDefault="00EF5B27">
            <w:pPr>
              <w:pStyle w:val="TableParagraph"/>
              <w:rPr>
                <w:rFonts w:ascii="Times New Roman"/>
                <w:sz w:val="16"/>
              </w:rPr>
            </w:pPr>
          </w:p>
          <w:p w14:paraId="79520B48" w14:textId="77777777" w:rsidR="00EF5B27" w:rsidRDefault="00EF5B27">
            <w:pPr>
              <w:pStyle w:val="TableParagraph"/>
              <w:spacing w:before="10"/>
              <w:rPr>
                <w:rFonts w:ascii="Times New Roman"/>
                <w:sz w:val="13"/>
              </w:rPr>
            </w:pPr>
          </w:p>
          <w:p w14:paraId="5B87C1DD" w14:textId="77777777" w:rsidR="00EF5B27" w:rsidRDefault="00000000">
            <w:pPr>
              <w:pStyle w:val="TableParagraph"/>
              <w:ind w:left="125" w:right="120"/>
              <w:jc w:val="center"/>
              <w:rPr>
                <w:sz w:val="14"/>
              </w:rPr>
            </w:pPr>
            <w:r>
              <w:rPr>
                <w:color w:val="4D4D4F"/>
                <w:w w:val="105"/>
                <w:sz w:val="14"/>
              </w:rPr>
              <w:t>States</w:t>
            </w:r>
          </w:p>
        </w:tc>
        <w:tc>
          <w:tcPr>
            <w:tcW w:w="2041" w:type="dxa"/>
          </w:tcPr>
          <w:p w14:paraId="02252D1B" w14:textId="77777777" w:rsidR="00EF5B27" w:rsidRDefault="00EF5B27">
            <w:pPr>
              <w:pStyle w:val="TableParagraph"/>
              <w:rPr>
                <w:rFonts w:ascii="Times New Roman"/>
                <w:sz w:val="16"/>
              </w:rPr>
            </w:pPr>
          </w:p>
          <w:p w14:paraId="674014E9" w14:textId="77777777" w:rsidR="00EF5B27" w:rsidRDefault="00EF5B27">
            <w:pPr>
              <w:pStyle w:val="TableParagraph"/>
              <w:spacing w:before="10"/>
              <w:rPr>
                <w:rFonts w:ascii="Times New Roman"/>
                <w:sz w:val="13"/>
              </w:rPr>
            </w:pPr>
          </w:p>
          <w:p w14:paraId="206F2004" w14:textId="77777777" w:rsidR="00EF5B27" w:rsidRDefault="00000000">
            <w:pPr>
              <w:pStyle w:val="TableParagraph"/>
              <w:ind w:left="155" w:right="150"/>
              <w:jc w:val="center"/>
              <w:rPr>
                <w:sz w:val="14"/>
              </w:rPr>
            </w:pPr>
            <w:r>
              <w:rPr>
                <w:color w:val="4D4D4F"/>
                <w:w w:val="105"/>
                <w:sz w:val="14"/>
              </w:rPr>
              <w:t>Nutrient-enriched grassland</w:t>
            </w:r>
          </w:p>
        </w:tc>
        <w:tc>
          <w:tcPr>
            <w:tcW w:w="2154" w:type="dxa"/>
          </w:tcPr>
          <w:p w14:paraId="622BFD1D" w14:textId="77777777" w:rsidR="00EF5B27" w:rsidRDefault="00EF5B27">
            <w:pPr>
              <w:pStyle w:val="TableParagraph"/>
              <w:spacing w:before="2"/>
              <w:rPr>
                <w:rFonts w:ascii="Times New Roman"/>
                <w:sz w:val="14"/>
              </w:rPr>
            </w:pPr>
          </w:p>
          <w:p w14:paraId="4C9A1C33" w14:textId="77777777" w:rsidR="00EF5B27" w:rsidRDefault="00000000">
            <w:pPr>
              <w:pStyle w:val="TableParagraph"/>
              <w:spacing w:line="252" w:lineRule="auto"/>
              <w:ind w:left="83" w:right="75" w:firstLine="1"/>
              <w:jc w:val="both"/>
              <w:rPr>
                <w:sz w:val="14"/>
              </w:rPr>
            </w:pPr>
            <w:r>
              <w:rPr>
                <w:color w:val="4D4D4F"/>
                <w:sz w:val="14"/>
              </w:rPr>
              <w:t>See Sinclair et al. 2019b paper for method on evaluation of "positive, neutral or negative" transitions</w:t>
            </w:r>
          </w:p>
        </w:tc>
        <w:tc>
          <w:tcPr>
            <w:tcW w:w="1134" w:type="dxa"/>
          </w:tcPr>
          <w:p w14:paraId="4F38A220" w14:textId="77777777" w:rsidR="00EF5B27" w:rsidRDefault="00EF5B27">
            <w:pPr>
              <w:pStyle w:val="TableParagraph"/>
              <w:rPr>
                <w:rFonts w:ascii="Times New Roman"/>
                <w:sz w:val="16"/>
              </w:rPr>
            </w:pPr>
          </w:p>
          <w:p w14:paraId="4AB0780C" w14:textId="77777777" w:rsidR="00EF5B27" w:rsidRDefault="00EF5B27">
            <w:pPr>
              <w:pStyle w:val="TableParagraph"/>
              <w:spacing w:before="10"/>
              <w:rPr>
                <w:rFonts w:ascii="Times New Roman"/>
                <w:sz w:val="13"/>
              </w:rPr>
            </w:pPr>
          </w:p>
          <w:p w14:paraId="6EFA36B4" w14:textId="77777777" w:rsidR="00EF5B27" w:rsidRDefault="00000000">
            <w:pPr>
              <w:pStyle w:val="TableParagraph"/>
              <w:ind w:left="81" w:right="75"/>
              <w:jc w:val="center"/>
              <w:rPr>
                <w:sz w:val="14"/>
              </w:rPr>
            </w:pPr>
            <w:r>
              <w:rPr>
                <w:color w:val="4D4D4F"/>
                <w:w w:val="105"/>
                <w:sz w:val="14"/>
              </w:rPr>
              <w:t>Not assessed</w:t>
            </w:r>
          </w:p>
        </w:tc>
      </w:tr>
      <w:tr w:rsidR="00EF5B27" w14:paraId="50F8357D" w14:textId="77777777">
        <w:trPr>
          <w:trHeight w:val="845"/>
        </w:trPr>
        <w:tc>
          <w:tcPr>
            <w:tcW w:w="737" w:type="dxa"/>
          </w:tcPr>
          <w:p w14:paraId="0BC6AD01" w14:textId="77777777" w:rsidR="00EF5B27" w:rsidRDefault="00EF5B27">
            <w:pPr>
              <w:pStyle w:val="TableParagraph"/>
              <w:rPr>
                <w:rFonts w:ascii="Times New Roman"/>
                <w:sz w:val="16"/>
              </w:rPr>
            </w:pPr>
          </w:p>
          <w:p w14:paraId="5FE7B60F" w14:textId="77777777" w:rsidR="00EF5B27" w:rsidRDefault="00EF5B27">
            <w:pPr>
              <w:pStyle w:val="TableParagraph"/>
              <w:spacing w:before="10"/>
              <w:rPr>
                <w:rFonts w:ascii="Times New Roman"/>
                <w:sz w:val="13"/>
              </w:rPr>
            </w:pPr>
          </w:p>
          <w:p w14:paraId="57404E37" w14:textId="77777777" w:rsidR="00EF5B27" w:rsidRDefault="00000000">
            <w:pPr>
              <w:pStyle w:val="TableParagraph"/>
              <w:ind w:left="6"/>
              <w:jc w:val="center"/>
              <w:rPr>
                <w:sz w:val="14"/>
              </w:rPr>
            </w:pPr>
            <w:r>
              <w:rPr>
                <w:color w:val="4D4D4F"/>
                <w:w w:val="96"/>
                <w:sz w:val="14"/>
              </w:rPr>
              <w:t>2</w:t>
            </w:r>
          </w:p>
        </w:tc>
        <w:tc>
          <w:tcPr>
            <w:tcW w:w="1361" w:type="dxa"/>
          </w:tcPr>
          <w:p w14:paraId="59057BFB" w14:textId="77777777" w:rsidR="00EF5B27" w:rsidRDefault="00EF5B27">
            <w:pPr>
              <w:pStyle w:val="TableParagraph"/>
              <w:rPr>
                <w:rFonts w:ascii="Times New Roman"/>
              </w:rPr>
            </w:pPr>
          </w:p>
          <w:p w14:paraId="42722A85" w14:textId="77777777" w:rsidR="00EF5B27" w:rsidRDefault="00000000">
            <w:pPr>
              <w:pStyle w:val="TableParagraph"/>
              <w:spacing w:line="252" w:lineRule="auto"/>
              <w:ind w:left="385" w:hanging="184"/>
              <w:rPr>
                <w:sz w:val="14"/>
              </w:rPr>
            </w:pPr>
            <w:r>
              <w:rPr>
                <w:color w:val="4D4D4F"/>
                <w:w w:val="105"/>
                <w:sz w:val="14"/>
              </w:rPr>
              <w:t>Grassy Eucalypt Woodland</w:t>
            </w:r>
          </w:p>
        </w:tc>
        <w:tc>
          <w:tcPr>
            <w:tcW w:w="737" w:type="dxa"/>
          </w:tcPr>
          <w:p w14:paraId="30D5FE18" w14:textId="77777777" w:rsidR="00EF5B27" w:rsidRDefault="00EF5B27">
            <w:pPr>
              <w:pStyle w:val="TableParagraph"/>
              <w:rPr>
                <w:rFonts w:ascii="Times New Roman"/>
                <w:sz w:val="16"/>
              </w:rPr>
            </w:pPr>
          </w:p>
          <w:p w14:paraId="1C81A707" w14:textId="77777777" w:rsidR="00EF5B27" w:rsidRDefault="00EF5B27">
            <w:pPr>
              <w:pStyle w:val="TableParagraph"/>
              <w:spacing w:before="10"/>
              <w:rPr>
                <w:rFonts w:ascii="Times New Roman"/>
                <w:sz w:val="13"/>
              </w:rPr>
            </w:pPr>
          </w:p>
          <w:p w14:paraId="34F175E2" w14:textId="77777777" w:rsidR="00EF5B27" w:rsidRDefault="00000000">
            <w:pPr>
              <w:pStyle w:val="TableParagraph"/>
              <w:ind w:left="5"/>
              <w:jc w:val="center"/>
              <w:rPr>
                <w:sz w:val="14"/>
              </w:rPr>
            </w:pPr>
            <w:r>
              <w:rPr>
                <w:color w:val="4D4D4F"/>
                <w:w w:val="96"/>
                <w:sz w:val="14"/>
              </w:rPr>
              <w:t>1</w:t>
            </w:r>
          </w:p>
        </w:tc>
        <w:tc>
          <w:tcPr>
            <w:tcW w:w="1474" w:type="dxa"/>
          </w:tcPr>
          <w:p w14:paraId="2E443DBD" w14:textId="77777777" w:rsidR="00EF5B27" w:rsidRDefault="00EF5B27">
            <w:pPr>
              <w:pStyle w:val="TableParagraph"/>
              <w:rPr>
                <w:rFonts w:ascii="Times New Roman"/>
                <w:sz w:val="16"/>
              </w:rPr>
            </w:pPr>
          </w:p>
          <w:p w14:paraId="0B013EF3" w14:textId="77777777" w:rsidR="00EF5B27" w:rsidRDefault="00EF5B27">
            <w:pPr>
              <w:pStyle w:val="TableParagraph"/>
              <w:spacing w:before="10"/>
              <w:rPr>
                <w:rFonts w:ascii="Times New Roman"/>
                <w:sz w:val="13"/>
              </w:rPr>
            </w:pPr>
          </w:p>
          <w:p w14:paraId="49D8A819" w14:textId="77777777" w:rsidR="00EF5B27" w:rsidRDefault="00000000">
            <w:pPr>
              <w:pStyle w:val="TableParagraph"/>
              <w:ind w:left="125" w:right="120"/>
              <w:jc w:val="center"/>
              <w:rPr>
                <w:sz w:val="14"/>
              </w:rPr>
            </w:pPr>
            <w:r>
              <w:rPr>
                <w:color w:val="4D4D4F"/>
                <w:w w:val="105"/>
                <w:sz w:val="14"/>
              </w:rPr>
              <w:t>States</w:t>
            </w:r>
          </w:p>
        </w:tc>
        <w:tc>
          <w:tcPr>
            <w:tcW w:w="2041" w:type="dxa"/>
          </w:tcPr>
          <w:p w14:paraId="17B5AD49" w14:textId="77777777" w:rsidR="00EF5B27" w:rsidRDefault="00EF5B27">
            <w:pPr>
              <w:pStyle w:val="TableParagraph"/>
              <w:rPr>
                <w:rFonts w:ascii="Times New Roman"/>
                <w:sz w:val="16"/>
              </w:rPr>
            </w:pPr>
          </w:p>
          <w:p w14:paraId="2FC59A12" w14:textId="77777777" w:rsidR="00EF5B27" w:rsidRDefault="00EF5B27">
            <w:pPr>
              <w:pStyle w:val="TableParagraph"/>
              <w:spacing w:before="10"/>
              <w:rPr>
                <w:rFonts w:ascii="Times New Roman"/>
                <w:sz w:val="13"/>
              </w:rPr>
            </w:pPr>
          </w:p>
          <w:p w14:paraId="4AB46221" w14:textId="77777777" w:rsidR="00EF5B27" w:rsidRDefault="00000000">
            <w:pPr>
              <w:pStyle w:val="TableParagraph"/>
              <w:ind w:left="155" w:right="150"/>
              <w:jc w:val="center"/>
              <w:rPr>
                <w:sz w:val="14"/>
              </w:rPr>
            </w:pPr>
            <w:r>
              <w:rPr>
                <w:color w:val="4D4D4F"/>
                <w:w w:val="105"/>
                <w:sz w:val="14"/>
              </w:rPr>
              <w:t>De-rocked grassland</w:t>
            </w:r>
          </w:p>
        </w:tc>
        <w:tc>
          <w:tcPr>
            <w:tcW w:w="2154" w:type="dxa"/>
          </w:tcPr>
          <w:p w14:paraId="052571AB" w14:textId="77777777" w:rsidR="00EF5B27" w:rsidRDefault="00EF5B27">
            <w:pPr>
              <w:pStyle w:val="TableParagraph"/>
              <w:spacing w:before="2"/>
              <w:rPr>
                <w:rFonts w:ascii="Times New Roman"/>
                <w:sz w:val="14"/>
              </w:rPr>
            </w:pPr>
          </w:p>
          <w:p w14:paraId="08867342" w14:textId="77777777" w:rsidR="00EF5B27" w:rsidRDefault="00000000">
            <w:pPr>
              <w:pStyle w:val="TableParagraph"/>
              <w:spacing w:line="252" w:lineRule="auto"/>
              <w:ind w:left="83" w:right="75" w:firstLine="1"/>
              <w:jc w:val="both"/>
              <w:rPr>
                <w:sz w:val="14"/>
              </w:rPr>
            </w:pPr>
            <w:r>
              <w:rPr>
                <w:color w:val="4D4D4F"/>
                <w:sz w:val="14"/>
              </w:rPr>
              <w:t>See Sinclair et al. 2019b paper for method on evaluation of "positive, neutral or negative" transitions</w:t>
            </w:r>
          </w:p>
        </w:tc>
        <w:tc>
          <w:tcPr>
            <w:tcW w:w="1134" w:type="dxa"/>
          </w:tcPr>
          <w:p w14:paraId="29005F0E" w14:textId="77777777" w:rsidR="00EF5B27" w:rsidRDefault="00EF5B27">
            <w:pPr>
              <w:pStyle w:val="TableParagraph"/>
              <w:rPr>
                <w:rFonts w:ascii="Times New Roman"/>
                <w:sz w:val="16"/>
              </w:rPr>
            </w:pPr>
          </w:p>
          <w:p w14:paraId="0E4B58C8" w14:textId="77777777" w:rsidR="00EF5B27" w:rsidRDefault="00EF5B27">
            <w:pPr>
              <w:pStyle w:val="TableParagraph"/>
              <w:spacing w:before="10"/>
              <w:rPr>
                <w:rFonts w:ascii="Times New Roman"/>
                <w:sz w:val="13"/>
              </w:rPr>
            </w:pPr>
          </w:p>
          <w:p w14:paraId="7B99A913" w14:textId="77777777" w:rsidR="00EF5B27" w:rsidRDefault="00000000">
            <w:pPr>
              <w:pStyle w:val="TableParagraph"/>
              <w:ind w:left="81" w:right="75"/>
              <w:jc w:val="center"/>
              <w:rPr>
                <w:sz w:val="14"/>
              </w:rPr>
            </w:pPr>
            <w:r>
              <w:rPr>
                <w:color w:val="4D4D4F"/>
                <w:w w:val="105"/>
                <w:sz w:val="14"/>
              </w:rPr>
              <w:t>Not assessed</w:t>
            </w:r>
          </w:p>
        </w:tc>
      </w:tr>
      <w:tr w:rsidR="00EF5B27" w14:paraId="485C6B52" w14:textId="77777777">
        <w:trPr>
          <w:trHeight w:val="845"/>
        </w:trPr>
        <w:tc>
          <w:tcPr>
            <w:tcW w:w="737" w:type="dxa"/>
          </w:tcPr>
          <w:p w14:paraId="5D28D25A" w14:textId="77777777" w:rsidR="00EF5B27" w:rsidRDefault="00EF5B27">
            <w:pPr>
              <w:pStyle w:val="TableParagraph"/>
              <w:rPr>
                <w:rFonts w:ascii="Times New Roman"/>
                <w:sz w:val="16"/>
              </w:rPr>
            </w:pPr>
          </w:p>
          <w:p w14:paraId="021AADA7" w14:textId="77777777" w:rsidR="00EF5B27" w:rsidRDefault="00EF5B27">
            <w:pPr>
              <w:pStyle w:val="TableParagraph"/>
              <w:spacing w:before="10"/>
              <w:rPr>
                <w:rFonts w:ascii="Times New Roman"/>
                <w:sz w:val="13"/>
              </w:rPr>
            </w:pPr>
          </w:p>
          <w:p w14:paraId="548482CF" w14:textId="77777777" w:rsidR="00EF5B27" w:rsidRDefault="00000000">
            <w:pPr>
              <w:pStyle w:val="TableParagraph"/>
              <w:ind w:left="6"/>
              <w:jc w:val="center"/>
              <w:rPr>
                <w:sz w:val="14"/>
              </w:rPr>
            </w:pPr>
            <w:r>
              <w:rPr>
                <w:color w:val="4D4D4F"/>
                <w:w w:val="96"/>
                <w:sz w:val="14"/>
              </w:rPr>
              <w:t>2</w:t>
            </w:r>
          </w:p>
        </w:tc>
        <w:tc>
          <w:tcPr>
            <w:tcW w:w="1361" w:type="dxa"/>
          </w:tcPr>
          <w:p w14:paraId="7A9B204E" w14:textId="77777777" w:rsidR="00EF5B27" w:rsidRDefault="00EF5B27">
            <w:pPr>
              <w:pStyle w:val="TableParagraph"/>
              <w:rPr>
                <w:rFonts w:ascii="Times New Roman"/>
              </w:rPr>
            </w:pPr>
          </w:p>
          <w:p w14:paraId="2C3350C4" w14:textId="77777777" w:rsidR="00EF5B27" w:rsidRDefault="00000000">
            <w:pPr>
              <w:pStyle w:val="TableParagraph"/>
              <w:spacing w:line="252" w:lineRule="auto"/>
              <w:ind w:left="385" w:hanging="184"/>
              <w:rPr>
                <w:sz w:val="14"/>
              </w:rPr>
            </w:pPr>
            <w:r>
              <w:rPr>
                <w:color w:val="4D4D4F"/>
                <w:w w:val="105"/>
                <w:sz w:val="14"/>
              </w:rPr>
              <w:t>Grassy Eucalypt Woodland</w:t>
            </w:r>
          </w:p>
        </w:tc>
        <w:tc>
          <w:tcPr>
            <w:tcW w:w="737" w:type="dxa"/>
          </w:tcPr>
          <w:p w14:paraId="47AE2F91" w14:textId="77777777" w:rsidR="00EF5B27" w:rsidRDefault="00EF5B27">
            <w:pPr>
              <w:pStyle w:val="TableParagraph"/>
              <w:rPr>
                <w:rFonts w:ascii="Times New Roman"/>
                <w:sz w:val="16"/>
              </w:rPr>
            </w:pPr>
          </w:p>
          <w:p w14:paraId="0063A8A5" w14:textId="77777777" w:rsidR="00EF5B27" w:rsidRDefault="00EF5B27">
            <w:pPr>
              <w:pStyle w:val="TableParagraph"/>
              <w:spacing w:before="10"/>
              <w:rPr>
                <w:rFonts w:ascii="Times New Roman"/>
                <w:sz w:val="13"/>
              </w:rPr>
            </w:pPr>
          </w:p>
          <w:p w14:paraId="0A4962B0" w14:textId="77777777" w:rsidR="00EF5B27" w:rsidRDefault="00000000">
            <w:pPr>
              <w:pStyle w:val="TableParagraph"/>
              <w:ind w:left="5"/>
              <w:jc w:val="center"/>
              <w:rPr>
                <w:sz w:val="14"/>
              </w:rPr>
            </w:pPr>
            <w:r>
              <w:rPr>
                <w:color w:val="4D4D4F"/>
                <w:w w:val="96"/>
                <w:sz w:val="14"/>
              </w:rPr>
              <w:t>2</w:t>
            </w:r>
          </w:p>
        </w:tc>
        <w:tc>
          <w:tcPr>
            <w:tcW w:w="1474" w:type="dxa"/>
          </w:tcPr>
          <w:p w14:paraId="3C5BBBE0" w14:textId="77777777" w:rsidR="00EF5B27" w:rsidRDefault="00EF5B27">
            <w:pPr>
              <w:pStyle w:val="TableParagraph"/>
              <w:rPr>
                <w:rFonts w:ascii="Times New Roman"/>
                <w:sz w:val="16"/>
              </w:rPr>
            </w:pPr>
          </w:p>
          <w:p w14:paraId="26436299" w14:textId="77777777" w:rsidR="00EF5B27" w:rsidRDefault="00EF5B27">
            <w:pPr>
              <w:pStyle w:val="TableParagraph"/>
              <w:spacing w:before="10"/>
              <w:rPr>
                <w:rFonts w:ascii="Times New Roman"/>
                <w:sz w:val="13"/>
              </w:rPr>
            </w:pPr>
          </w:p>
          <w:p w14:paraId="022A5729" w14:textId="77777777" w:rsidR="00EF5B27" w:rsidRDefault="00000000">
            <w:pPr>
              <w:pStyle w:val="TableParagraph"/>
              <w:ind w:left="126" w:right="120"/>
              <w:jc w:val="center"/>
              <w:rPr>
                <w:sz w:val="14"/>
              </w:rPr>
            </w:pPr>
            <w:r>
              <w:rPr>
                <w:color w:val="4D4D4F"/>
                <w:w w:val="105"/>
                <w:sz w:val="14"/>
              </w:rPr>
              <w:t>Forb cover</w:t>
            </w:r>
          </w:p>
        </w:tc>
        <w:tc>
          <w:tcPr>
            <w:tcW w:w="2041" w:type="dxa"/>
          </w:tcPr>
          <w:p w14:paraId="2D5E6FA0" w14:textId="77777777" w:rsidR="00EF5B27" w:rsidRDefault="00EF5B27">
            <w:pPr>
              <w:pStyle w:val="TableParagraph"/>
              <w:rPr>
                <w:rFonts w:ascii="Times New Roman"/>
                <w:sz w:val="16"/>
              </w:rPr>
            </w:pPr>
          </w:p>
          <w:p w14:paraId="1AED1BA8" w14:textId="77777777" w:rsidR="00EF5B27" w:rsidRDefault="00EF5B27">
            <w:pPr>
              <w:pStyle w:val="TableParagraph"/>
              <w:spacing w:before="10"/>
              <w:rPr>
                <w:rFonts w:ascii="Times New Roman"/>
                <w:sz w:val="13"/>
              </w:rPr>
            </w:pPr>
          </w:p>
          <w:p w14:paraId="154AADF0" w14:textId="77777777" w:rsidR="00EF5B27" w:rsidRDefault="00000000">
            <w:pPr>
              <w:pStyle w:val="TableParagraph"/>
              <w:ind w:left="155" w:right="150"/>
              <w:jc w:val="center"/>
              <w:rPr>
                <w:sz w:val="14"/>
              </w:rPr>
            </w:pPr>
            <w:r>
              <w:rPr>
                <w:color w:val="4D4D4F"/>
                <w:w w:val="105"/>
                <w:sz w:val="14"/>
              </w:rPr>
              <w:t>Herb-rich grassland</w:t>
            </w:r>
          </w:p>
        </w:tc>
        <w:tc>
          <w:tcPr>
            <w:tcW w:w="2154" w:type="dxa"/>
          </w:tcPr>
          <w:p w14:paraId="6CFF829D" w14:textId="77777777" w:rsidR="00EF5B27" w:rsidRDefault="00000000">
            <w:pPr>
              <w:pStyle w:val="TableParagraph"/>
              <w:spacing w:before="73" w:line="252" w:lineRule="auto"/>
              <w:ind w:left="129" w:right="121"/>
              <w:jc w:val="center"/>
              <w:rPr>
                <w:sz w:val="14"/>
              </w:rPr>
            </w:pPr>
            <w:r>
              <w:rPr>
                <w:color w:val="4D4D4F"/>
                <w:sz w:val="14"/>
              </w:rPr>
              <w:t>KPI measure 95% confidence interval falls below the baseline (this is assumed, although hasn't been explicitly stated)</w:t>
            </w:r>
          </w:p>
        </w:tc>
        <w:tc>
          <w:tcPr>
            <w:tcW w:w="1134" w:type="dxa"/>
          </w:tcPr>
          <w:p w14:paraId="2142A43E" w14:textId="77777777" w:rsidR="00EF5B27" w:rsidRDefault="00EF5B27">
            <w:pPr>
              <w:pStyle w:val="TableParagraph"/>
              <w:rPr>
                <w:rFonts w:ascii="Times New Roman"/>
                <w:sz w:val="16"/>
              </w:rPr>
            </w:pPr>
          </w:p>
          <w:p w14:paraId="14A3A4E2" w14:textId="77777777" w:rsidR="00EF5B27" w:rsidRDefault="00EF5B27">
            <w:pPr>
              <w:pStyle w:val="TableParagraph"/>
              <w:spacing w:before="10"/>
              <w:rPr>
                <w:rFonts w:ascii="Times New Roman"/>
                <w:sz w:val="13"/>
              </w:rPr>
            </w:pPr>
          </w:p>
          <w:p w14:paraId="64F93B14" w14:textId="77777777" w:rsidR="00EF5B27" w:rsidRDefault="00000000">
            <w:pPr>
              <w:pStyle w:val="TableParagraph"/>
              <w:ind w:left="81" w:right="75"/>
              <w:jc w:val="center"/>
              <w:rPr>
                <w:sz w:val="14"/>
              </w:rPr>
            </w:pPr>
            <w:r>
              <w:rPr>
                <w:color w:val="4D4D4F"/>
                <w:w w:val="105"/>
                <w:sz w:val="14"/>
              </w:rPr>
              <w:t>Not assessed</w:t>
            </w:r>
          </w:p>
        </w:tc>
      </w:tr>
      <w:tr w:rsidR="00EF5B27" w14:paraId="13EDCA54" w14:textId="77777777">
        <w:trPr>
          <w:trHeight w:val="845"/>
        </w:trPr>
        <w:tc>
          <w:tcPr>
            <w:tcW w:w="737" w:type="dxa"/>
          </w:tcPr>
          <w:p w14:paraId="1C8E08B3" w14:textId="77777777" w:rsidR="00EF5B27" w:rsidRDefault="00EF5B27">
            <w:pPr>
              <w:pStyle w:val="TableParagraph"/>
              <w:rPr>
                <w:rFonts w:ascii="Times New Roman"/>
                <w:sz w:val="16"/>
              </w:rPr>
            </w:pPr>
          </w:p>
          <w:p w14:paraId="0FF081B0" w14:textId="77777777" w:rsidR="00EF5B27" w:rsidRDefault="00EF5B27">
            <w:pPr>
              <w:pStyle w:val="TableParagraph"/>
              <w:spacing w:before="10"/>
              <w:rPr>
                <w:rFonts w:ascii="Times New Roman"/>
                <w:sz w:val="13"/>
              </w:rPr>
            </w:pPr>
          </w:p>
          <w:p w14:paraId="18ABFB6E" w14:textId="77777777" w:rsidR="00EF5B27" w:rsidRDefault="00000000">
            <w:pPr>
              <w:pStyle w:val="TableParagraph"/>
              <w:ind w:left="6"/>
              <w:jc w:val="center"/>
              <w:rPr>
                <w:sz w:val="14"/>
              </w:rPr>
            </w:pPr>
            <w:r>
              <w:rPr>
                <w:color w:val="4D4D4F"/>
                <w:w w:val="96"/>
                <w:sz w:val="14"/>
              </w:rPr>
              <w:t>2</w:t>
            </w:r>
          </w:p>
        </w:tc>
        <w:tc>
          <w:tcPr>
            <w:tcW w:w="1361" w:type="dxa"/>
          </w:tcPr>
          <w:p w14:paraId="18D9712C" w14:textId="77777777" w:rsidR="00EF5B27" w:rsidRDefault="00EF5B27">
            <w:pPr>
              <w:pStyle w:val="TableParagraph"/>
              <w:rPr>
                <w:rFonts w:ascii="Times New Roman"/>
              </w:rPr>
            </w:pPr>
          </w:p>
          <w:p w14:paraId="68D76007" w14:textId="77777777" w:rsidR="00EF5B27" w:rsidRDefault="00000000">
            <w:pPr>
              <w:pStyle w:val="TableParagraph"/>
              <w:spacing w:line="252" w:lineRule="auto"/>
              <w:ind w:left="385" w:hanging="184"/>
              <w:rPr>
                <w:sz w:val="14"/>
              </w:rPr>
            </w:pPr>
            <w:r>
              <w:rPr>
                <w:color w:val="4D4D4F"/>
                <w:w w:val="105"/>
                <w:sz w:val="14"/>
              </w:rPr>
              <w:t>Grassy Eucalypt Woodland</w:t>
            </w:r>
          </w:p>
        </w:tc>
        <w:tc>
          <w:tcPr>
            <w:tcW w:w="737" w:type="dxa"/>
          </w:tcPr>
          <w:p w14:paraId="298BCB7B" w14:textId="77777777" w:rsidR="00EF5B27" w:rsidRDefault="00EF5B27">
            <w:pPr>
              <w:pStyle w:val="TableParagraph"/>
              <w:rPr>
                <w:rFonts w:ascii="Times New Roman"/>
                <w:sz w:val="16"/>
              </w:rPr>
            </w:pPr>
          </w:p>
          <w:p w14:paraId="7309E67A" w14:textId="77777777" w:rsidR="00EF5B27" w:rsidRDefault="00EF5B27">
            <w:pPr>
              <w:pStyle w:val="TableParagraph"/>
              <w:spacing w:before="10"/>
              <w:rPr>
                <w:rFonts w:ascii="Times New Roman"/>
                <w:sz w:val="13"/>
              </w:rPr>
            </w:pPr>
          </w:p>
          <w:p w14:paraId="5DDBCA62" w14:textId="77777777" w:rsidR="00EF5B27" w:rsidRDefault="00000000">
            <w:pPr>
              <w:pStyle w:val="TableParagraph"/>
              <w:ind w:left="6"/>
              <w:jc w:val="center"/>
              <w:rPr>
                <w:sz w:val="14"/>
              </w:rPr>
            </w:pPr>
            <w:r>
              <w:rPr>
                <w:color w:val="4D4D4F"/>
                <w:w w:val="96"/>
                <w:sz w:val="14"/>
              </w:rPr>
              <w:t>2</w:t>
            </w:r>
          </w:p>
        </w:tc>
        <w:tc>
          <w:tcPr>
            <w:tcW w:w="1474" w:type="dxa"/>
          </w:tcPr>
          <w:p w14:paraId="53EFF960" w14:textId="77777777" w:rsidR="00EF5B27" w:rsidRDefault="00EF5B27">
            <w:pPr>
              <w:pStyle w:val="TableParagraph"/>
              <w:rPr>
                <w:rFonts w:ascii="Times New Roman"/>
                <w:sz w:val="16"/>
              </w:rPr>
            </w:pPr>
          </w:p>
          <w:p w14:paraId="383EC7AB" w14:textId="77777777" w:rsidR="00EF5B27" w:rsidRDefault="00EF5B27">
            <w:pPr>
              <w:pStyle w:val="TableParagraph"/>
              <w:spacing w:before="10"/>
              <w:rPr>
                <w:rFonts w:ascii="Times New Roman"/>
                <w:sz w:val="13"/>
              </w:rPr>
            </w:pPr>
          </w:p>
          <w:p w14:paraId="5B7EC542" w14:textId="77777777" w:rsidR="00EF5B27" w:rsidRDefault="00000000">
            <w:pPr>
              <w:pStyle w:val="TableParagraph"/>
              <w:ind w:left="126" w:right="120"/>
              <w:jc w:val="center"/>
              <w:rPr>
                <w:sz w:val="14"/>
              </w:rPr>
            </w:pPr>
            <w:r>
              <w:rPr>
                <w:color w:val="4D4D4F"/>
                <w:w w:val="105"/>
                <w:sz w:val="14"/>
              </w:rPr>
              <w:t>Forb cover</w:t>
            </w:r>
          </w:p>
        </w:tc>
        <w:tc>
          <w:tcPr>
            <w:tcW w:w="2041" w:type="dxa"/>
          </w:tcPr>
          <w:p w14:paraId="29626286" w14:textId="77777777" w:rsidR="00EF5B27" w:rsidRDefault="00EF5B27">
            <w:pPr>
              <w:pStyle w:val="TableParagraph"/>
              <w:rPr>
                <w:rFonts w:ascii="Times New Roman"/>
                <w:sz w:val="16"/>
              </w:rPr>
            </w:pPr>
          </w:p>
          <w:p w14:paraId="3E6A7796" w14:textId="77777777" w:rsidR="00EF5B27" w:rsidRDefault="00EF5B27">
            <w:pPr>
              <w:pStyle w:val="TableParagraph"/>
              <w:spacing w:before="10"/>
              <w:rPr>
                <w:rFonts w:ascii="Times New Roman"/>
                <w:sz w:val="13"/>
              </w:rPr>
            </w:pPr>
          </w:p>
          <w:p w14:paraId="157A8538" w14:textId="77777777" w:rsidR="00EF5B27" w:rsidRDefault="00000000">
            <w:pPr>
              <w:pStyle w:val="TableParagraph"/>
              <w:ind w:left="156" w:right="15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18557303" w14:textId="77777777" w:rsidR="00EF5B27" w:rsidRDefault="00000000">
            <w:pPr>
              <w:pStyle w:val="TableParagraph"/>
              <w:spacing w:before="73" w:line="252" w:lineRule="auto"/>
              <w:ind w:left="129" w:right="121"/>
              <w:jc w:val="center"/>
              <w:rPr>
                <w:sz w:val="14"/>
              </w:rPr>
            </w:pPr>
            <w:r>
              <w:rPr>
                <w:color w:val="4D4D4F"/>
                <w:sz w:val="14"/>
              </w:rPr>
              <w:t>KPI measure 95% confidence interval falls below the baseline (this is assumed, although hasn't been explicitly stated)</w:t>
            </w:r>
          </w:p>
        </w:tc>
        <w:tc>
          <w:tcPr>
            <w:tcW w:w="1134" w:type="dxa"/>
          </w:tcPr>
          <w:p w14:paraId="212A0060" w14:textId="77777777" w:rsidR="00EF5B27" w:rsidRDefault="00EF5B27">
            <w:pPr>
              <w:pStyle w:val="TableParagraph"/>
              <w:rPr>
                <w:rFonts w:ascii="Times New Roman"/>
                <w:sz w:val="16"/>
              </w:rPr>
            </w:pPr>
          </w:p>
          <w:p w14:paraId="635D24E3" w14:textId="77777777" w:rsidR="00EF5B27" w:rsidRDefault="00EF5B27">
            <w:pPr>
              <w:pStyle w:val="TableParagraph"/>
              <w:spacing w:before="10"/>
              <w:rPr>
                <w:rFonts w:ascii="Times New Roman"/>
                <w:sz w:val="13"/>
              </w:rPr>
            </w:pPr>
          </w:p>
          <w:p w14:paraId="075CF348" w14:textId="77777777" w:rsidR="00EF5B27" w:rsidRDefault="00000000">
            <w:pPr>
              <w:pStyle w:val="TableParagraph"/>
              <w:ind w:left="81" w:right="75"/>
              <w:jc w:val="center"/>
              <w:rPr>
                <w:sz w:val="14"/>
              </w:rPr>
            </w:pPr>
            <w:r>
              <w:rPr>
                <w:color w:val="4D4D4F"/>
                <w:w w:val="105"/>
                <w:sz w:val="14"/>
              </w:rPr>
              <w:t>Not assessed</w:t>
            </w:r>
          </w:p>
        </w:tc>
      </w:tr>
    </w:tbl>
    <w:p w14:paraId="2477C2B2" w14:textId="77777777" w:rsidR="00EF5B27" w:rsidRDefault="00EF5B27">
      <w:pPr>
        <w:jc w:val="center"/>
        <w:rPr>
          <w:sz w:val="14"/>
        </w:rPr>
        <w:sectPr w:rsidR="00EF5B27">
          <w:pgSz w:w="11910" w:h="16840"/>
          <w:pgMar w:top="1080" w:right="1020" w:bottom="860" w:left="1020" w:header="537" w:footer="678" w:gutter="0"/>
          <w:cols w:space="720"/>
        </w:sectPr>
      </w:pPr>
    </w:p>
    <w:p w14:paraId="2174F9C3" w14:textId="77777777" w:rsidR="00EF5B27" w:rsidRDefault="00000000">
      <w:pPr>
        <w:pStyle w:val="BodyText"/>
        <w:rPr>
          <w:rFonts w:ascii="Times New Roman"/>
        </w:rPr>
      </w:pPr>
      <w:r>
        <w:lastRenderedPageBreak/>
        <w:pict w14:anchorId="6C2A2C39">
          <v:group id="_x0000_s2567" style="position:absolute;margin-left:587.05pt;margin-top:183.4pt;width:8.25pt;height:153.1pt;z-index:251749888;mso-position-horizontal-relative:page;mso-position-vertical-relative:page" coordorigin="11741,3668" coordsize="165,3062">
            <v:shape id="_x0000_s2574" style="position:absolute;left:11741;top:3668;width:165;height:561" coordorigin="11741,3668" coordsize="165,561" path="m11906,3668r-165,l11741,4228r165,-18l11906,3668xe" fillcolor="#00aed9" stroked="f">
              <v:path arrowok="t"/>
            </v:shape>
            <v:shape id="_x0000_s2573" style="position:absolute;left:11741;top:4118;width:165;height:425" coordorigin="11741,4118" coordsize="165,425" path="m11906,4118r-165,14l11741,4531r165,12l11906,4118xe" fillcolor="#047ebc" stroked="f">
              <v:path arrowok="t"/>
            </v:shape>
            <v:shape id="_x0000_s2572" type="#_x0000_t75" style="position:absolute;left:11741;top:4355;width:165;height:587">
              <v:imagedata r:id="rId42" o:title=""/>
            </v:shape>
            <v:shape id="_x0000_s2571" style="position:absolute;left:11741;top:5343;width:165;height:536" coordorigin="11741,5343" coordsize="165,536" path="m11741,5343r,535l11906,5872r,-525l11741,5343xe" fillcolor="#f36a2e" stroked="f">
              <v:path arrowok="t"/>
            </v:shape>
            <v:shape id="_x0000_s2570" style="position:absolute;left:11741;top:4925;width:165;height:501" coordorigin="11741,4926" coordsize="165,501" path="m11741,4926r,500l11906,5426r,-485l11741,4926xe" fillcolor="#49783f" stroked="f">
              <v:path arrowok="t"/>
            </v:shape>
            <v:shape id="_x0000_s2569" style="position:absolute;left:11741;top:5781;width:165;height:268" coordorigin="11741,5782" coordsize="165,268" path="m11906,5782r-165,8l11741,6039r165,10l11906,5782xe" fillcolor="#f99f2a" stroked="f">
              <v:path arrowok="t"/>
            </v:shape>
            <v:shape id="_x0000_s2568" style="position:absolute;left:11741;top:6023;width:165;height:707" coordorigin="11741,6023" coordsize="165,707" path="m11741,6023r,706l11906,6729r,-690l11741,6023xe" fillcolor="#ef412c" stroked="f">
              <v:path arrowok="t"/>
            </v:shape>
            <w10:wrap anchorx="page" anchory="page"/>
          </v:group>
        </w:pict>
      </w:r>
    </w:p>
    <w:p w14:paraId="1F9E722D" w14:textId="77777777" w:rsidR="00EF5B27" w:rsidRDefault="00EF5B27">
      <w:pPr>
        <w:pStyle w:val="BodyText"/>
        <w:rPr>
          <w:rFonts w:ascii="Times New Roman"/>
        </w:rPr>
      </w:pPr>
    </w:p>
    <w:p w14:paraId="1C8EF500" w14:textId="77777777" w:rsidR="00EF5B27" w:rsidRDefault="00EF5B27">
      <w:pPr>
        <w:pStyle w:val="BodyText"/>
        <w:rPr>
          <w:rFonts w:ascii="Times New Roman"/>
        </w:rPr>
      </w:pPr>
    </w:p>
    <w:p w14:paraId="3359D3DF" w14:textId="77777777" w:rsidR="00EF5B27" w:rsidRDefault="00EF5B27">
      <w:pPr>
        <w:pStyle w:val="BodyText"/>
        <w:rPr>
          <w:rFonts w:ascii="Times New Roman"/>
        </w:rPr>
      </w:pPr>
    </w:p>
    <w:p w14:paraId="1821E7CF" w14:textId="77777777" w:rsidR="00EF5B27" w:rsidRDefault="00EF5B27">
      <w:pPr>
        <w:pStyle w:val="BodyText"/>
        <w:spacing w:before="4"/>
        <w:rPr>
          <w:rFonts w:ascii="Times New Roman"/>
          <w:sz w:val="22"/>
        </w:rPr>
      </w:pPr>
    </w:p>
    <w:tbl>
      <w:tblPr>
        <w:tblW w:w="0" w:type="auto"/>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37"/>
        <w:gridCol w:w="1361"/>
        <w:gridCol w:w="737"/>
        <w:gridCol w:w="1474"/>
        <w:gridCol w:w="2041"/>
        <w:gridCol w:w="2154"/>
        <w:gridCol w:w="1134"/>
      </w:tblGrid>
      <w:tr w:rsidR="00EF5B27" w14:paraId="2C02A947" w14:textId="77777777">
        <w:trPr>
          <w:trHeight w:val="732"/>
        </w:trPr>
        <w:tc>
          <w:tcPr>
            <w:tcW w:w="737" w:type="dxa"/>
            <w:tcBorders>
              <w:bottom w:val="single" w:sz="4" w:space="0" w:color="000000"/>
            </w:tcBorders>
            <w:shd w:val="clear" w:color="auto" w:fill="FECC91"/>
          </w:tcPr>
          <w:p w14:paraId="67C6A2D9" w14:textId="77777777" w:rsidR="00EF5B27" w:rsidRDefault="00000000">
            <w:pPr>
              <w:pStyle w:val="TableParagraph"/>
              <w:spacing w:before="176"/>
              <w:ind w:left="162"/>
              <w:rPr>
                <w:b/>
                <w:sz w:val="16"/>
              </w:rPr>
            </w:pPr>
            <w:r>
              <w:rPr>
                <w:b/>
                <w:w w:val="105"/>
                <w:sz w:val="16"/>
              </w:rPr>
              <w:t>MNES</w:t>
            </w:r>
          </w:p>
          <w:p w14:paraId="4A6256F1" w14:textId="77777777" w:rsidR="00EF5B27" w:rsidRDefault="00000000">
            <w:pPr>
              <w:pStyle w:val="TableParagraph"/>
              <w:spacing w:before="4"/>
              <w:ind w:left="104"/>
              <w:rPr>
                <w:b/>
                <w:sz w:val="16"/>
              </w:rPr>
            </w:pPr>
            <w:r>
              <w:rPr>
                <w:b/>
                <w:sz w:val="16"/>
              </w:rPr>
              <w:t>number</w:t>
            </w:r>
          </w:p>
        </w:tc>
        <w:tc>
          <w:tcPr>
            <w:tcW w:w="1361" w:type="dxa"/>
            <w:tcBorders>
              <w:bottom w:val="single" w:sz="4" w:space="0" w:color="000000"/>
            </w:tcBorders>
            <w:shd w:val="clear" w:color="auto" w:fill="FECC91"/>
          </w:tcPr>
          <w:p w14:paraId="39AE3BE9" w14:textId="77777777" w:rsidR="00EF5B27" w:rsidRDefault="00EF5B27">
            <w:pPr>
              <w:pStyle w:val="TableParagraph"/>
              <w:rPr>
                <w:rFonts w:ascii="Times New Roman"/>
                <w:sz w:val="24"/>
              </w:rPr>
            </w:pPr>
          </w:p>
          <w:p w14:paraId="6C3D23BF" w14:textId="77777777" w:rsidR="00EF5B27" w:rsidRDefault="00000000">
            <w:pPr>
              <w:pStyle w:val="TableParagraph"/>
              <w:ind w:left="268"/>
              <w:rPr>
                <w:b/>
                <w:sz w:val="16"/>
              </w:rPr>
            </w:pPr>
            <w:r>
              <w:rPr>
                <w:b/>
                <w:sz w:val="16"/>
              </w:rPr>
              <w:t>MNES name</w:t>
            </w:r>
          </w:p>
        </w:tc>
        <w:tc>
          <w:tcPr>
            <w:tcW w:w="737" w:type="dxa"/>
            <w:tcBorders>
              <w:bottom w:val="single" w:sz="4" w:space="0" w:color="000000"/>
            </w:tcBorders>
            <w:shd w:val="clear" w:color="auto" w:fill="FECC91"/>
          </w:tcPr>
          <w:p w14:paraId="009148E2" w14:textId="77777777" w:rsidR="00EF5B27" w:rsidRDefault="00000000">
            <w:pPr>
              <w:pStyle w:val="TableParagraph"/>
              <w:spacing w:before="176"/>
              <w:ind w:left="79" w:right="75"/>
              <w:jc w:val="center"/>
              <w:rPr>
                <w:b/>
                <w:sz w:val="16"/>
              </w:rPr>
            </w:pPr>
            <w:r>
              <w:rPr>
                <w:b/>
                <w:w w:val="110"/>
                <w:sz w:val="16"/>
              </w:rPr>
              <w:t>KPI</w:t>
            </w:r>
          </w:p>
          <w:p w14:paraId="60A5A831" w14:textId="77777777" w:rsidR="00EF5B27" w:rsidRDefault="00000000">
            <w:pPr>
              <w:pStyle w:val="TableParagraph"/>
              <w:spacing w:before="4"/>
              <w:ind w:left="79" w:right="74"/>
              <w:jc w:val="center"/>
              <w:rPr>
                <w:b/>
                <w:sz w:val="16"/>
              </w:rPr>
            </w:pPr>
            <w:r>
              <w:rPr>
                <w:b/>
                <w:sz w:val="16"/>
              </w:rPr>
              <w:t>number</w:t>
            </w:r>
          </w:p>
        </w:tc>
        <w:tc>
          <w:tcPr>
            <w:tcW w:w="1474" w:type="dxa"/>
            <w:tcBorders>
              <w:bottom w:val="single" w:sz="4" w:space="0" w:color="000000"/>
            </w:tcBorders>
            <w:shd w:val="clear" w:color="auto" w:fill="FECC91"/>
          </w:tcPr>
          <w:p w14:paraId="4E325271" w14:textId="77777777" w:rsidR="00EF5B27" w:rsidRDefault="00EF5B27">
            <w:pPr>
              <w:pStyle w:val="TableParagraph"/>
              <w:rPr>
                <w:rFonts w:ascii="Times New Roman"/>
                <w:sz w:val="24"/>
              </w:rPr>
            </w:pPr>
          </w:p>
          <w:p w14:paraId="7B919AE7" w14:textId="77777777" w:rsidR="00EF5B27" w:rsidRDefault="00000000">
            <w:pPr>
              <w:pStyle w:val="TableParagraph"/>
              <w:ind w:left="124" w:right="120"/>
              <w:jc w:val="center"/>
              <w:rPr>
                <w:b/>
                <w:sz w:val="16"/>
              </w:rPr>
            </w:pPr>
            <w:r>
              <w:rPr>
                <w:b/>
                <w:w w:val="105"/>
                <w:sz w:val="16"/>
              </w:rPr>
              <w:t>KPI type</w:t>
            </w:r>
          </w:p>
        </w:tc>
        <w:tc>
          <w:tcPr>
            <w:tcW w:w="2041" w:type="dxa"/>
            <w:tcBorders>
              <w:bottom w:val="single" w:sz="4" w:space="0" w:color="000000"/>
            </w:tcBorders>
            <w:shd w:val="clear" w:color="auto" w:fill="FECC91"/>
          </w:tcPr>
          <w:p w14:paraId="1BF098AA" w14:textId="77777777" w:rsidR="00EF5B27" w:rsidRDefault="00EF5B27">
            <w:pPr>
              <w:pStyle w:val="TableParagraph"/>
              <w:rPr>
                <w:rFonts w:ascii="Times New Roman"/>
                <w:sz w:val="24"/>
              </w:rPr>
            </w:pPr>
          </w:p>
          <w:p w14:paraId="781D7843" w14:textId="77777777" w:rsidR="00EF5B27" w:rsidRDefault="00000000">
            <w:pPr>
              <w:pStyle w:val="TableParagraph"/>
              <w:ind w:left="154" w:right="150"/>
              <w:jc w:val="center"/>
              <w:rPr>
                <w:b/>
                <w:sz w:val="16"/>
              </w:rPr>
            </w:pPr>
            <w:r>
              <w:rPr>
                <w:b/>
                <w:sz w:val="16"/>
              </w:rPr>
              <w:t>Location</w:t>
            </w:r>
          </w:p>
        </w:tc>
        <w:tc>
          <w:tcPr>
            <w:tcW w:w="2154" w:type="dxa"/>
            <w:tcBorders>
              <w:bottom w:val="single" w:sz="4" w:space="0" w:color="000000"/>
            </w:tcBorders>
            <w:shd w:val="clear" w:color="auto" w:fill="FECC91"/>
          </w:tcPr>
          <w:p w14:paraId="1D9B9F9F" w14:textId="77777777" w:rsidR="00EF5B27" w:rsidRDefault="00000000">
            <w:pPr>
              <w:pStyle w:val="TableParagraph"/>
              <w:spacing w:before="176" w:line="244" w:lineRule="auto"/>
              <w:ind w:left="735" w:hanging="342"/>
              <w:rPr>
                <w:b/>
                <w:sz w:val="16"/>
              </w:rPr>
            </w:pPr>
            <w:r>
              <w:rPr>
                <w:b/>
                <w:sz w:val="16"/>
              </w:rPr>
              <w:t>Threshold of impact (negative)</w:t>
            </w:r>
          </w:p>
        </w:tc>
        <w:tc>
          <w:tcPr>
            <w:tcW w:w="1134" w:type="dxa"/>
            <w:tcBorders>
              <w:bottom w:val="single" w:sz="4" w:space="0" w:color="000000"/>
            </w:tcBorders>
            <w:shd w:val="clear" w:color="auto" w:fill="FECC91"/>
          </w:tcPr>
          <w:p w14:paraId="76476535" w14:textId="77777777" w:rsidR="00EF5B27" w:rsidRDefault="00000000">
            <w:pPr>
              <w:pStyle w:val="TableParagraph"/>
              <w:spacing w:before="176" w:line="244" w:lineRule="auto"/>
              <w:ind w:left="147" w:right="96" w:firstLine="31"/>
              <w:rPr>
                <w:b/>
                <w:sz w:val="16"/>
              </w:rPr>
            </w:pPr>
            <w:r>
              <w:rPr>
                <w:b/>
                <w:sz w:val="16"/>
              </w:rPr>
              <w:t>Outcome at 28 Feb 2022</w:t>
            </w:r>
          </w:p>
        </w:tc>
      </w:tr>
      <w:tr w:rsidR="00EF5B27" w14:paraId="0DD20578" w14:textId="77777777">
        <w:trPr>
          <w:trHeight w:val="845"/>
        </w:trPr>
        <w:tc>
          <w:tcPr>
            <w:tcW w:w="737" w:type="dxa"/>
            <w:tcBorders>
              <w:top w:val="single" w:sz="4" w:space="0" w:color="000000"/>
            </w:tcBorders>
          </w:tcPr>
          <w:p w14:paraId="7D24C88E" w14:textId="77777777" w:rsidR="00EF5B27" w:rsidRDefault="00EF5B27">
            <w:pPr>
              <w:pStyle w:val="TableParagraph"/>
              <w:rPr>
                <w:rFonts w:ascii="Times New Roman"/>
                <w:sz w:val="16"/>
              </w:rPr>
            </w:pPr>
          </w:p>
          <w:p w14:paraId="072EDF88" w14:textId="77777777" w:rsidR="00EF5B27" w:rsidRDefault="00EF5B27">
            <w:pPr>
              <w:pStyle w:val="TableParagraph"/>
              <w:spacing w:before="10"/>
              <w:rPr>
                <w:rFonts w:ascii="Times New Roman"/>
                <w:sz w:val="13"/>
              </w:rPr>
            </w:pPr>
          </w:p>
          <w:p w14:paraId="2C422645" w14:textId="77777777" w:rsidR="00EF5B27" w:rsidRDefault="00000000">
            <w:pPr>
              <w:pStyle w:val="TableParagraph"/>
              <w:ind w:left="5"/>
              <w:jc w:val="center"/>
              <w:rPr>
                <w:sz w:val="14"/>
              </w:rPr>
            </w:pPr>
            <w:r>
              <w:rPr>
                <w:color w:val="4D4D4F"/>
                <w:w w:val="96"/>
                <w:sz w:val="14"/>
              </w:rPr>
              <w:t>2</w:t>
            </w:r>
          </w:p>
        </w:tc>
        <w:tc>
          <w:tcPr>
            <w:tcW w:w="1361" w:type="dxa"/>
            <w:tcBorders>
              <w:top w:val="single" w:sz="4" w:space="0" w:color="000000"/>
            </w:tcBorders>
          </w:tcPr>
          <w:p w14:paraId="00C2F1F2" w14:textId="77777777" w:rsidR="00EF5B27" w:rsidRDefault="00EF5B27">
            <w:pPr>
              <w:pStyle w:val="TableParagraph"/>
              <w:rPr>
                <w:rFonts w:ascii="Times New Roman"/>
              </w:rPr>
            </w:pPr>
          </w:p>
          <w:p w14:paraId="51C89253" w14:textId="77777777" w:rsidR="00EF5B27" w:rsidRDefault="00000000">
            <w:pPr>
              <w:pStyle w:val="TableParagraph"/>
              <w:spacing w:before="1" w:line="252" w:lineRule="auto"/>
              <w:ind w:left="384" w:hanging="184"/>
              <w:rPr>
                <w:sz w:val="14"/>
              </w:rPr>
            </w:pPr>
            <w:r>
              <w:rPr>
                <w:color w:val="4D4D4F"/>
                <w:w w:val="105"/>
                <w:sz w:val="14"/>
              </w:rPr>
              <w:t>Grassy Eucalypt Woodland</w:t>
            </w:r>
          </w:p>
        </w:tc>
        <w:tc>
          <w:tcPr>
            <w:tcW w:w="737" w:type="dxa"/>
            <w:tcBorders>
              <w:top w:val="single" w:sz="4" w:space="0" w:color="000000"/>
            </w:tcBorders>
          </w:tcPr>
          <w:p w14:paraId="16A269F3" w14:textId="77777777" w:rsidR="00EF5B27" w:rsidRDefault="00EF5B27">
            <w:pPr>
              <w:pStyle w:val="TableParagraph"/>
              <w:rPr>
                <w:rFonts w:ascii="Times New Roman"/>
                <w:sz w:val="16"/>
              </w:rPr>
            </w:pPr>
          </w:p>
          <w:p w14:paraId="6FC74E84" w14:textId="77777777" w:rsidR="00EF5B27" w:rsidRDefault="00EF5B27">
            <w:pPr>
              <w:pStyle w:val="TableParagraph"/>
              <w:spacing w:before="10"/>
              <w:rPr>
                <w:rFonts w:ascii="Times New Roman"/>
                <w:sz w:val="13"/>
              </w:rPr>
            </w:pPr>
          </w:p>
          <w:p w14:paraId="4C1C037B" w14:textId="77777777" w:rsidR="00EF5B27" w:rsidRDefault="00000000">
            <w:pPr>
              <w:pStyle w:val="TableParagraph"/>
              <w:ind w:left="4"/>
              <w:jc w:val="center"/>
              <w:rPr>
                <w:sz w:val="14"/>
              </w:rPr>
            </w:pPr>
            <w:r>
              <w:rPr>
                <w:color w:val="4D4D4F"/>
                <w:w w:val="96"/>
                <w:sz w:val="14"/>
              </w:rPr>
              <w:t>2</w:t>
            </w:r>
          </w:p>
        </w:tc>
        <w:tc>
          <w:tcPr>
            <w:tcW w:w="1474" w:type="dxa"/>
            <w:tcBorders>
              <w:top w:val="single" w:sz="4" w:space="0" w:color="000000"/>
            </w:tcBorders>
          </w:tcPr>
          <w:p w14:paraId="69BE6451" w14:textId="77777777" w:rsidR="00EF5B27" w:rsidRDefault="00EF5B27">
            <w:pPr>
              <w:pStyle w:val="TableParagraph"/>
              <w:rPr>
                <w:rFonts w:ascii="Times New Roman"/>
                <w:sz w:val="16"/>
              </w:rPr>
            </w:pPr>
          </w:p>
          <w:p w14:paraId="481B6113" w14:textId="77777777" w:rsidR="00EF5B27" w:rsidRDefault="00EF5B27">
            <w:pPr>
              <w:pStyle w:val="TableParagraph"/>
              <w:spacing w:before="10"/>
              <w:rPr>
                <w:rFonts w:ascii="Times New Roman"/>
                <w:sz w:val="13"/>
              </w:rPr>
            </w:pPr>
          </w:p>
          <w:p w14:paraId="5D67F416" w14:textId="77777777" w:rsidR="00EF5B27" w:rsidRDefault="00000000">
            <w:pPr>
              <w:pStyle w:val="TableParagraph"/>
              <w:ind w:left="124" w:right="120"/>
              <w:jc w:val="center"/>
              <w:rPr>
                <w:sz w:val="14"/>
              </w:rPr>
            </w:pPr>
            <w:r>
              <w:rPr>
                <w:color w:val="4D4D4F"/>
                <w:w w:val="105"/>
                <w:sz w:val="14"/>
              </w:rPr>
              <w:t>Forb cover</w:t>
            </w:r>
          </w:p>
        </w:tc>
        <w:tc>
          <w:tcPr>
            <w:tcW w:w="2041" w:type="dxa"/>
            <w:tcBorders>
              <w:top w:val="single" w:sz="4" w:space="0" w:color="000000"/>
            </w:tcBorders>
          </w:tcPr>
          <w:p w14:paraId="780BD631" w14:textId="77777777" w:rsidR="00EF5B27" w:rsidRDefault="00EF5B27">
            <w:pPr>
              <w:pStyle w:val="TableParagraph"/>
              <w:rPr>
                <w:rFonts w:ascii="Times New Roman"/>
                <w:sz w:val="16"/>
              </w:rPr>
            </w:pPr>
          </w:p>
          <w:p w14:paraId="79250CB5" w14:textId="77777777" w:rsidR="00EF5B27" w:rsidRDefault="00EF5B27">
            <w:pPr>
              <w:pStyle w:val="TableParagraph"/>
              <w:spacing w:before="10"/>
              <w:rPr>
                <w:rFonts w:ascii="Times New Roman"/>
                <w:sz w:val="13"/>
              </w:rPr>
            </w:pPr>
          </w:p>
          <w:p w14:paraId="1D658626" w14:textId="77777777" w:rsidR="00EF5B27" w:rsidRDefault="00000000">
            <w:pPr>
              <w:pStyle w:val="TableParagraph"/>
              <w:ind w:left="154" w:right="150"/>
              <w:jc w:val="center"/>
              <w:rPr>
                <w:sz w:val="14"/>
              </w:rPr>
            </w:pPr>
            <w:r>
              <w:rPr>
                <w:color w:val="4D4D4F"/>
                <w:w w:val="105"/>
                <w:sz w:val="14"/>
              </w:rPr>
              <w:t>C3 grassland</w:t>
            </w:r>
          </w:p>
        </w:tc>
        <w:tc>
          <w:tcPr>
            <w:tcW w:w="2154" w:type="dxa"/>
            <w:tcBorders>
              <w:top w:val="single" w:sz="4" w:space="0" w:color="000000"/>
            </w:tcBorders>
          </w:tcPr>
          <w:p w14:paraId="5AD82629" w14:textId="77777777" w:rsidR="00EF5B27" w:rsidRDefault="00000000">
            <w:pPr>
              <w:pStyle w:val="TableParagraph"/>
              <w:spacing w:before="74" w:line="252" w:lineRule="auto"/>
              <w:ind w:left="128" w:right="122"/>
              <w:jc w:val="center"/>
              <w:rPr>
                <w:sz w:val="14"/>
              </w:rPr>
            </w:pPr>
            <w:r>
              <w:rPr>
                <w:color w:val="4D4D4F"/>
                <w:sz w:val="14"/>
              </w:rPr>
              <w:t>KPI measure 95% confidence interval falls below the baseline (this is assumed, although hasn't been explicitly stated)</w:t>
            </w:r>
          </w:p>
        </w:tc>
        <w:tc>
          <w:tcPr>
            <w:tcW w:w="1134" w:type="dxa"/>
            <w:tcBorders>
              <w:top w:val="single" w:sz="4" w:space="0" w:color="000000"/>
            </w:tcBorders>
          </w:tcPr>
          <w:p w14:paraId="313CE23D" w14:textId="77777777" w:rsidR="00EF5B27" w:rsidRDefault="00EF5B27">
            <w:pPr>
              <w:pStyle w:val="TableParagraph"/>
              <w:rPr>
                <w:rFonts w:ascii="Times New Roman"/>
                <w:sz w:val="16"/>
              </w:rPr>
            </w:pPr>
          </w:p>
          <w:p w14:paraId="07C014DB" w14:textId="77777777" w:rsidR="00EF5B27" w:rsidRDefault="00EF5B27">
            <w:pPr>
              <w:pStyle w:val="TableParagraph"/>
              <w:spacing w:before="10"/>
              <w:rPr>
                <w:rFonts w:ascii="Times New Roman"/>
                <w:sz w:val="13"/>
              </w:rPr>
            </w:pPr>
          </w:p>
          <w:p w14:paraId="6EECCF1A" w14:textId="77777777" w:rsidR="00EF5B27" w:rsidRDefault="00000000">
            <w:pPr>
              <w:pStyle w:val="TableParagraph"/>
              <w:ind w:left="81" w:right="76"/>
              <w:jc w:val="center"/>
              <w:rPr>
                <w:sz w:val="14"/>
              </w:rPr>
            </w:pPr>
            <w:r>
              <w:rPr>
                <w:color w:val="4D4D4F"/>
                <w:w w:val="105"/>
                <w:sz w:val="14"/>
              </w:rPr>
              <w:t>Not assessed</w:t>
            </w:r>
          </w:p>
        </w:tc>
      </w:tr>
      <w:tr w:rsidR="00EF5B27" w14:paraId="15ACB7EA" w14:textId="77777777">
        <w:trPr>
          <w:trHeight w:val="845"/>
        </w:trPr>
        <w:tc>
          <w:tcPr>
            <w:tcW w:w="737" w:type="dxa"/>
          </w:tcPr>
          <w:p w14:paraId="4D288B29" w14:textId="77777777" w:rsidR="00EF5B27" w:rsidRDefault="00EF5B27">
            <w:pPr>
              <w:pStyle w:val="TableParagraph"/>
              <w:rPr>
                <w:rFonts w:ascii="Times New Roman"/>
                <w:sz w:val="16"/>
              </w:rPr>
            </w:pPr>
          </w:p>
          <w:p w14:paraId="276F7113" w14:textId="77777777" w:rsidR="00EF5B27" w:rsidRDefault="00EF5B27">
            <w:pPr>
              <w:pStyle w:val="TableParagraph"/>
              <w:spacing w:before="10"/>
              <w:rPr>
                <w:rFonts w:ascii="Times New Roman"/>
                <w:sz w:val="13"/>
              </w:rPr>
            </w:pPr>
          </w:p>
          <w:p w14:paraId="79519CD2" w14:textId="77777777" w:rsidR="00EF5B27" w:rsidRDefault="00000000">
            <w:pPr>
              <w:pStyle w:val="TableParagraph"/>
              <w:ind w:left="5"/>
              <w:jc w:val="center"/>
              <w:rPr>
                <w:sz w:val="14"/>
              </w:rPr>
            </w:pPr>
            <w:r>
              <w:rPr>
                <w:color w:val="4D4D4F"/>
                <w:w w:val="96"/>
                <w:sz w:val="14"/>
              </w:rPr>
              <w:t>2</w:t>
            </w:r>
          </w:p>
        </w:tc>
        <w:tc>
          <w:tcPr>
            <w:tcW w:w="1361" w:type="dxa"/>
          </w:tcPr>
          <w:p w14:paraId="4AFA29F6" w14:textId="77777777" w:rsidR="00EF5B27" w:rsidRDefault="00EF5B27">
            <w:pPr>
              <w:pStyle w:val="TableParagraph"/>
              <w:rPr>
                <w:rFonts w:ascii="Times New Roman"/>
              </w:rPr>
            </w:pPr>
          </w:p>
          <w:p w14:paraId="7A289E00" w14:textId="77777777" w:rsidR="00EF5B27" w:rsidRDefault="00000000">
            <w:pPr>
              <w:pStyle w:val="TableParagraph"/>
              <w:spacing w:before="1" w:line="252" w:lineRule="auto"/>
              <w:ind w:left="384" w:hanging="184"/>
              <w:rPr>
                <w:sz w:val="14"/>
              </w:rPr>
            </w:pPr>
            <w:r>
              <w:rPr>
                <w:color w:val="4D4D4F"/>
                <w:w w:val="105"/>
                <w:sz w:val="14"/>
              </w:rPr>
              <w:t>Grassy Eucalypt Woodland</w:t>
            </w:r>
          </w:p>
        </w:tc>
        <w:tc>
          <w:tcPr>
            <w:tcW w:w="737" w:type="dxa"/>
          </w:tcPr>
          <w:p w14:paraId="03426BD3" w14:textId="77777777" w:rsidR="00EF5B27" w:rsidRDefault="00EF5B27">
            <w:pPr>
              <w:pStyle w:val="TableParagraph"/>
              <w:rPr>
                <w:rFonts w:ascii="Times New Roman"/>
                <w:sz w:val="16"/>
              </w:rPr>
            </w:pPr>
          </w:p>
          <w:p w14:paraId="262F4104" w14:textId="77777777" w:rsidR="00EF5B27" w:rsidRDefault="00EF5B27">
            <w:pPr>
              <w:pStyle w:val="TableParagraph"/>
              <w:spacing w:before="10"/>
              <w:rPr>
                <w:rFonts w:ascii="Times New Roman"/>
                <w:sz w:val="13"/>
              </w:rPr>
            </w:pPr>
          </w:p>
          <w:p w14:paraId="7DDDF53E" w14:textId="77777777" w:rsidR="00EF5B27" w:rsidRDefault="00000000">
            <w:pPr>
              <w:pStyle w:val="TableParagraph"/>
              <w:ind w:left="4"/>
              <w:jc w:val="center"/>
              <w:rPr>
                <w:sz w:val="14"/>
              </w:rPr>
            </w:pPr>
            <w:r>
              <w:rPr>
                <w:color w:val="4D4D4F"/>
                <w:w w:val="96"/>
                <w:sz w:val="14"/>
              </w:rPr>
              <w:t>2</w:t>
            </w:r>
          </w:p>
        </w:tc>
        <w:tc>
          <w:tcPr>
            <w:tcW w:w="1474" w:type="dxa"/>
          </w:tcPr>
          <w:p w14:paraId="4716449C" w14:textId="77777777" w:rsidR="00EF5B27" w:rsidRDefault="00EF5B27">
            <w:pPr>
              <w:pStyle w:val="TableParagraph"/>
              <w:rPr>
                <w:rFonts w:ascii="Times New Roman"/>
                <w:sz w:val="16"/>
              </w:rPr>
            </w:pPr>
          </w:p>
          <w:p w14:paraId="3C52DC87" w14:textId="77777777" w:rsidR="00EF5B27" w:rsidRDefault="00EF5B27">
            <w:pPr>
              <w:pStyle w:val="TableParagraph"/>
              <w:spacing w:before="10"/>
              <w:rPr>
                <w:rFonts w:ascii="Times New Roman"/>
                <w:sz w:val="13"/>
              </w:rPr>
            </w:pPr>
          </w:p>
          <w:p w14:paraId="51E3084D" w14:textId="77777777" w:rsidR="00EF5B27" w:rsidRDefault="00000000">
            <w:pPr>
              <w:pStyle w:val="TableParagraph"/>
              <w:ind w:left="124" w:right="120"/>
              <w:jc w:val="center"/>
              <w:rPr>
                <w:sz w:val="14"/>
              </w:rPr>
            </w:pPr>
            <w:r>
              <w:rPr>
                <w:color w:val="4D4D4F"/>
                <w:w w:val="105"/>
                <w:sz w:val="14"/>
              </w:rPr>
              <w:t>Forb cover</w:t>
            </w:r>
          </w:p>
        </w:tc>
        <w:tc>
          <w:tcPr>
            <w:tcW w:w="2041" w:type="dxa"/>
          </w:tcPr>
          <w:p w14:paraId="0DC242F9" w14:textId="77777777" w:rsidR="00EF5B27" w:rsidRDefault="00EF5B27">
            <w:pPr>
              <w:pStyle w:val="TableParagraph"/>
              <w:rPr>
                <w:rFonts w:ascii="Times New Roman"/>
                <w:sz w:val="16"/>
              </w:rPr>
            </w:pPr>
          </w:p>
          <w:p w14:paraId="70900B7E" w14:textId="77777777" w:rsidR="00EF5B27" w:rsidRDefault="00EF5B27">
            <w:pPr>
              <w:pStyle w:val="TableParagraph"/>
              <w:spacing w:before="10"/>
              <w:rPr>
                <w:rFonts w:ascii="Times New Roman"/>
                <w:sz w:val="13"/>
              </w:rPr>
            </w:pPr>
          </w:p>
          <w:p w14:paraId="6115D416" w14:textId="77777777" w:rsidR="00EF5B27" w:rsidRDefault="00000000">
            <w:pPr>
              <w:pStyle w:val="TableParagraph"/>
              <w:ind w:left="154" w:right="150"/>
              <w:jc w:val="center"/>
              <w:rPr>
                <w:sz w:val="14"/>
              </w:rPr>
            </w:pPr>
            <w:r>
              <w:rPr>
                <w:color w:val="4D4D4F"/>
                <w:w w:val="105"/>
                <w:sz w:val="14"/>
              </w:rPr>
              <w:t>Nutrient-enriched grassland</w:t>
            </w:r>
          </w:p>
        </w:tc>
        <w:tc>
          <w:tcPr>
            <w:tcW w:w="2154" w:type="dxa"/>
          </w:tcPr>
          <w:p w14:paraId="1D763ED0" w14:textId="77777777" w:rsidR="00EF5B27" w:rsidRDefault="00000000">
            <w:pPr>
              <w:pStyle w:val="TableParagraph"/>
              <w:spacing w:before="74" w:line="252" w:lineRule="auto"/>
              <w:ind w:left="129" w:right="122"/>
              <w:jc w:val="center"/>
              <w:rPr>
                <w:sz w:val="14"/>
              </w:rPr>
            </w:pPr>
            <w:r>
              <w:rPr>
                <w:color w:val="4D4D4F"/>
                <w:sz w:val="14"/>
              </w:rPr>
              <w:t>KPI measure 95% confidence interval falls below the baseline (this is assumed, although hasn't been explicitly stated)</w:t>
            </w:r>
          </w:p>
        </w:tc>
        <w:tc>
          <w:tcPr>
            <w:tcW w:w="1134" w:type="dxa"/>
          </w:tcPr>
          <w:p w14:paraId="5C547DD7" w14:textId="77777777" w:rsidR="00EF5B27" w:rsidRDefault="00EF5B27">
            <w:pPr>
              <w:pStyle w:val="TableParagraph"/>
              <w:rPr>
                <w:rFonts w:ascii="Times New Roman"/>
                <w:sz w:val="16"/>
              </w:rPr>
            </w:pPr>
          </w:p>
          <w:p w14:paraId="306C7780" w14:textId="77777777" w:rsidR="00EF5B27" w:rsidRDefault="00EF5B27">
            <w:pPr>
              <w:pStyle w:val="TableParagraph"/>
              <w:spacing w:before="10"/>
              <w:rPr>
                <w:rFonts w:ascii="Times New Roman"/>
                <w:sz w:val="13"/>
              </w:rPr>
            </w:pPr>
          </w:p>
          <w:p w14:paraId="4C312D89" w14:textId="77777777" w:rsidR="00EF5B27" w:rsidRDefault="00000000">
            <w:pPr>
              <w:pStyle w:val="TableParagraph"/>
              <w:ind w:left="81" w:right="76"/>
              <w:jc w:val="center"/>
              <w:rPr>
                <w:sz w:val="14"/>
              </w:rPr>
            </w:pPr>
            <w:r>
              <w:rPr>
                <w:color w:val="4D4D4F"/>
                <w:w w:val="105"/>
                <w:sz w:val="14"/>
              </w:rPr>
              <w:t>Not assessed</w:t>
            </w:r>
          </w:p>
        </w:tc>
      </w:tr>
      <w:tr w:rsidR="00EF5B27" w14:paraId="17314084" w14:textId="77777777">
        <w:trPr>
          <w:trHeight w:val="845"/>
        </w:trPr>
        <w:tc>
          <w:tcPr>
            <w:tcW w:w="737" w:type="dxa"/>
          </w:tcPr>
          <w:p w14:paraId="1E184900" w14:textId="77777777" w:rsidR="00EF5B27" w:rsidRDefault="00EF5B27">
            <w:pPr>
              <w:pStyle w:val="TableParagraph"/>
              <w:rPr>
                <w:rFonts w:ascii="Times New Roman"/>
                <w:sz w:val="16"/>
              </w:rPr>
            </w:pPr>
          </w:p>
          <w:p w14:paraId="24B5594C" w14:textId="77777777" w:rsidR="00EF5B27" w:rsidRDefault="00EF5B27">
            <w:pPr>
              <w:pStyle w:val="TableParagraph"/>
              <w:spacing w:before="10"/>
              <w:rPr>
                <w:rFonts w:ascii="Times New Roman"/>
                <w:sz w:val="13"/>
              </w:rPr>
            </w:pPr>
          </w:p>
          <w:p w14:paraId="5C2F7959" w14:textId="77777777" w:rsidR="00EF5B27" w:rsidRDefault="00000000">
            <w:pPr>
              <w:pStyle w:val="TableParagraph"/>
              <w:ind w:left="5"/>
              <w:jc w:val="center"/>
              <w:rPr>
                <w:sz w:val="14"/>
              </w:rPr>
            </w:pPr>
            <w:r>
              <w:rPr>
                <w:color w:val="4D4D4F"/>
                <w:w w:val="96"/>
                <w:sz w:val="14"/>
              </w:rPr>
              <w:t>2</w:t>
            </w:r>
          </w:p>
        </w:tc>
        <w:tc>
          <w:tcPr>
            <w:tcW w:w="1361" w:type="dxa"/>
          </w:tcPr>
          <w:p w14:paraId="244F22C6" w14:textId="77777777" w:rsidR="00EF5B27" w:rsidRDefault="00EF5B27">
            <w:pPr>
              <w:pStyle w:val="TableParagraph"/>
              <w:rPr>
                <w:rFonts w:ascii="Times New Roman"/>
              </w:rPr>
            </w:pPr>
          </w:p>
          <w:p w14:paraId="0AF5DECC" w14:textId="77777777" w:rsidR="00EF5B27" w:rsidRDefault="00000000">
            <w:pPr>
              <w:pStyle w:val="TableParagraph"/>
              <w:spacing w:before="1" w:line="252" w:lineRule="auto"/>
              <w:ind w:left="384" w:hanging="184"/>
              <w:rPr>
                <w:sz w:val="14"/>
              </w:rPr>
            </w:pPr>
            <w:r>
              <w:rPr>
                <w:color w:val="4D4D4F"/>
                <w:w w:val="105"/>
                <w:sz w:val="14"/>
              </w:rPr>
              <w:t>Grassy Eucalypt Woodland</w:t>
            </w:r>
          </w:p>
        </w:tc>
        <w:tc>
          <w:tcPr>
            <w:tcW w:w="737" w:type="dxa"/>
          </w:tcPr>
          <w:p w14:paraId="1570FBEC" w14:textId="77777777" w:rsidR="00EF5B27" w:rsidRDefault="00EF5B27">
            <w:pPr>
              <w:pStyle w:val="TableParagraph"/>
              <w:rPr>
                <w:rFonts w:ascii="Times New Roman"/>
                <w:sz w:val="16"/>
              </w:rPr>
            </w:pPr>
          </w:p>
          <w:p w14:paraId="2A7D4EF9" w14:textId="77777777" w:rsidR="00EF5B27" w:rsidRDefault="00EF5B27">
            <w:pPr>
              <w:pStyle w:val="TableParagraph"/>
              <w:spacing w:before="10"/>
              <w:rPr>
                <w:rFonts w:ascii="Times New Roman"/>
                <w:sz w:val="13"/>
              </w:rPr>
            </w:pPr>
          </w:p>
          <w:p w14:paraId="244B6FD0" w14:textId="77777777" w:rsidR="00EF5B27" w:rsidRDefault="00000000">
            <w:pPr>
              <w:pStyle w:val="TableParagraph"/>
              <w:ind w:left="4"/>
              <w:jc w:val="center"/>
              <w:rPr>
                <w:sz w:val="14"/>
              </w:rPr>
            </w:pPr>
            <w:r>
              <w:rPr>
                <w:color w:val="4D4D4F"/>
                <w:w w:val="96"/>
                <w:sz w:val="14"/>
              </w:rPr>
              <w:t>2</w:t>
            </w:r>
          </w:p>
        </w:tc>
        <w:tc>
          <w:tcPr>
            <w:tcW w:w="1474" w:type="dxa"/>
          </w:tcPr>
          <w:p w14:paraId="7D0D51BB" w14:textId="77777777" w:rsidR="00EF5B27" w:rsidRDefault="00EF5B27">
            <w:pPr>
              <w:pStyle w:val="TableParagraph"/>
              <w:rPr>
                <w:rFonts w:ascii="Times New Roman"/>
                <w:sz w:val="16"/>
              </w:rPr>
            </w:pPr>
          </w:p>
          <w:p w14:paraId="0305649B" w14:textId="77777777" w:rsidR="00EF5B27" w:rsidRDefault="00EF5B27">
            <w:pPr>
              <w:pStyle w:val="TableParagraph"/>
              <w:spacing w:before="10"/>
              <w:rPr>
                <w:rFonts w:ascii="Times New Roman"/>
                <w:sz w:val="13"/>
              </w:rPr>
            </w:pPr>
          </w:p>
          <w:p w14:paraId="00F1308E" w14:textId="77777777" w:rsidR="00EF5B27" w:rsidRDefault="00000000">
            <w:pPr>
              <w:pStyle w:val="TableParagraph"/>
              <w:ind w:left="124" w:right="120"/>
              <w:jc w:val="center"/>
              <w:rPr>
                <w:sz w:val="14"/>
              </w:rPr>
            </w:pPr>
            <w:r>
              <w:rPr>
                <w:color w:val="4D4D4F"/>
                <w:w w:val="105"/>
                <w:sz w:val="14"/>
              </w:rPr>
              <w:t>Forb cover</w:t>
            </w:r>
          </w:p>
        </w:tc>
        <w:tc>
          <w:tcPr>
            <w:tcW w:w="2041" w:type="dxa"/>
          </w:tcPr>
          <w:p w14:paraId="3FE06B70" w14:textId="77777777" w:rsidR="00EF5B27" w:rsidRDefault="00EF5B27">
            <w:pPr>
              <w:pStyle w:val="TableParagraph"/>
              <w:rPr>
                <w:rFonts w:ascii="Times New Roman"/>
                <w:sz w:val="16"/>
              </w:rPr>
            </w:pPr>
          </w:p>
          <w:p w14:paraId="1F868CD6" w14:textId="77777777" w:rsidR="00EF5B27" w:rsidRDefault="00EF5B27">
            <w:pPr>
              <w:pStyle w:val="TableParagraph"/>
              <w:spacing w:before="10"/>
              <w:rPr>
                <w:rFonts w:ascii="Times New Roman"/>
                <w:sz w:val="13"/>
              </w:rPr>
            </w:pPr>
          </w:p>
          <w:p w14:paraId="07D5BCB8" w14:textId="77777777" w:rsidR="00EF5B27" w:rsidRDefault="00000000">
            <w:pPr>
              <w:pStyle w:val="TableParagraph"/>
              <w:ind w:left="154" w:right="150"/>
              <w:jc w:val="center"/>
              <w:rPr>
                <w:sz w:val="14"/>
              </w:rPr>
            </w:pPr>
            <w:r>
              <w:rPr>
                <w:color w:val="4D4D4F"/>
                <w:w w:val="105"/>
                <w:sz w:val="14"/>
              </w:rPr>
              <w:t>De-rocked grassland</w:t>
            </w:r>
          </w:p>
        </w:tc>
        <w:tc>
          <w:tcPr>
            <w:tcW w:w="2154" w:type="dxa"/>
          </w:tcPr>
          <w:p w14:paraId="2DB5A38E" w14:textId="77777777" w:rsidR="00EF5B27" w:rsidRDefault="00000000">
            <w:pPr>
              <w:pStyle w:val="TableParagraph"/>
              <w:spacing w:before="73" w:line="252" w:lineRule="auto"/>
              <w:ind w:left="129" w:right="121"/>
              <w:jc w:val="center"/>
              <w:rPr>
                <w:sz w:val="14"/>
              </w:rPr>
            </w:pPr>
            <w:r>
              <w:rPr>
                <w:color w:val="4D4D4F"/>
                <w:sz w:val="14"/>
              </w:rPr>
              <w:t>KPI measure 95% confidence interval falls below the baseline (this is assumed, although hasn't been explicitly stated)</w:t>
            </w:r>
          </w:p>
        </w:tc>
        <w:tc>
          <w:tcPr>
            <w:tcW w:w="1134" w:type="dxa"/>
          </w:tcPr>
          <w:p w14:paraId="2C5047B8" w14:textId="77777777" w:rsidR="00EF5B27" w:rsidRDefault="00EF5B27">
            <w:pPr>
              <w:pStyle w:val="TableParagraph"/>
              <w:rPr>
                <w:rFonts w:ascii="Times New Roman"/>
                <w:sz w:val="16"/>
              </w:rPr>
            </w:pPr>
          </w:p>
          <w:p w14:paraId="1EDC1C1D" w14:textId="77777777" w:rsidR="00EF5B27" w:rsidRDefault="00EF5B27">
            <w:pPr>
              <w:pStyle w:val="TableParagraph"/>
              <w:spacing w:before="10"/>
              <w:rPr>
                <w:rFonts w:ascii="Times New Roman"/>
                <w:sz w:val="13"/>
              </w:rPr>
            </w:pPr>
          </w:p>
          <w:p w14:paraId="7D2F35D6" w14:textId="77777777" w:rsidR="00EF5B27" w:rsidRDefault="00000000">
            <w:pPr>
              <w:pStyle w:val="TableParagraph"/>
              <w:ind w:left="81" w:right="76"/>
              <w:jc w:val="center"/>
              <w:rPr>
                <w:sz w:val="14"/>
              </w:rPr>
            </w:pPr>
            <w:r>
              <w:rPr>
                <w:color w:val="4D4D4F"/>
                <w:w w:val="105"/>
                <w:sz w:val="14"/>
              </w:rPr>
              <w:t>Not assessed</w:t>
            </w:r>
          </w:p>
        </w:tc>
      </w:tr>
      <w:tr w:rsidR="00EF5B27" w14:paraId="04B93742" w14:textId="77777777">
        <w:trPr>
          <w:trHeight w:val="845"/>
        </w:trPr>
        <w:tc>
          <w:tcPr>
            <w:tcW w:w="737" w:type="dxa"/>
          </w:tcPr>
          <w:p w14:paraId="5784BF79" w14:textId="77777777" w:rsidR="00EF5B27" w:rsidRDefault="00EF5B27">
            <w:pPr>
              <w:pStyle w:val="TableParagraph"/>
              <w:rPr>
                <w:rFonts w:ascii="Times New Roman"/>
                <w:sz w:val="16"/>
              </w:rPr>
            </w:pPr>
          </w:p>
          <w:p w14:paraId="1AB275A7" w14:textId="77777777" w:rsidR="00EF5B27" w:rsidRDefault="00EF5B27">
            <w:pPr>
              <w:pStyle w:val="TableParagraph"/>
              <w:spacing w:before="10"/>
              <w:rPr>
                <w:rFonts w:ascii="Times New Roman"/>
                <w:sz w:val="13"/>
              </w:rPr>
            </w:pPr>
          </w:p>
          <w:p w14:paraId="4B584256" w14:textId="77777777" w:rsidR="00EF5B27" w:rsidRDefault="00000000">
            <w:pPr>
              <w:pStyle w:val="TableParagraph"/>
              <w:ind w:left="5"/>
              <w:jc w:val="center"/>
              <w:rPr>
                <w:sz w:val="14"/>
              </w:rPr>
            </w:pPr>
            <w:r>
              <w:rPr>
                <w:color w:val="4D4D4F"/>
                <w:w w:val="96"/>
                <w:sz w:val="14"/>
              </w:rPr>
              <w:t>2</w:t>
            </w:r>
          </w:p>
        </w:tc>
        <w:tc>
          <w:tcPr>
            <w:tcW w:w="1361" w:type="dxa"/>
          </w:tcPr>
          <w:p w14:paraId="13F5BFB3" w14:textId="77777777" w:rsidR="00EF5B27" w:rsidRDefault="00EF5B27">
            <w:pPr>
              <w:pStyle w:val="TableParagraph"/>
              <w:rPr>
                <w:rFonts w:ascii="Times New Roman"/>
              </w:rPr>
            </w:pPr>
          </w:p>
          <w:p w14:paraId="55C8036D" w14:textId="77777777" w:rsidR="00EF5B27" w:rsidRDefault="00000000">
            <w:pPr>
              <w:pStyle w:val="TableParagraph"/>
              <w:spacing w:before="1" w:line="252" w:lineRule="auto"/>
              <w:ind w:left="384" w:hanging="184"/>
              <w:rPr>
                <w:sz w:val="14"/>
              </w:rPr>
            </w:pPr>
            <w:r>
              <w:rPr>
                <w:color w:val="4D4D4F"/>
                <w:w w:val="105"/>
                <w:sz w:val="14"/>
              </w:rPr>
              <w:t>Grassy Eucalypt Woodland</w:t>
            </w:r>
          </w:p>
        </w:tc>
        <w:tc>
          <w:tcPr>
            <w:tcW w:w="737" w:type="dxa"/>
          </w:tcPr>
          <w:p w14:paraId="75385EC9" w14:textId="77777777" w:rsidR="00EF5B27" w:rsidRDefault="00EF5B27">
            <w:pPr>
              <w:pStyle w:val="TableParagraph"/>
              <w:rPr>
                <w:rFonts w:ascii="Times New Roman"/>
                <w:sz w:val="16"/>
              </w:rPr>
            </w:pPr>
          </w:p>
          <w:p w14:paraId="0E993E55" w14:textId="77777777" w:rsidR="00EF5B27" w:rsidRDefault="00EF5B27">
            <w:pPr>
              <w:pStyle w:val="TableParagraph"/>
              <w:spacing w:before="10"/>
              <w:rPr>
                <w:rFonts w:ascii="Times New Roman"/>
                <w:sz w:val="13"/>
              </w:rPr>
            </w:pPr>
          </w:p>
          <w:p w14:paraId="27F8F95B" w14:textId="77777777" w:rsidR="00EF5B27" w:rsidRDefault="00000000">
            <w:pPr>
              <w:pStyle w:val="TableParagraph"/>
              <w:ind w:left="5"/>
              <w:jc w:val="center"/>
              <w:rPr>
                <w:sz w:val="14"/>
              </w:rPr>
            </w:pPr>
            <w:r>
              <w:rPr>
                <w:color w:val="4D4D4F"/>
                <w:w w:val="96"/>
                <w:sz w:val="14"/>
              </w:rPr>
              <w:t>3</w:t>
            </w:r>
          </w:p>
        </w:tc>
        <w:tc>
          <w:tcPr>
            <w:tcW w:w="1474" w:type="dxa"/>
          </w:tcPr>
          <w:p w14:paraId="1582CD8F" w14:textId="77777777" w:rsidR="00EF5B27" w:rsidRDefault="00EF5B27">
            <w:pPr>
              <w:pStyle w:val="TableParagraph"/>
              <w:rPr>
                <w:rFonts w:ascii="Times New Roman"/>
                <w:sz w:val="16"/>
              </w:rPr>
            </w:pPr>
          </w:p>
          <w:p w14:paraId="5614B4F3" w14:textId="77777777" w:rsidR="00EF5B27" w:rsidRDefault="00EF5B27">
            <w:pPr>
              <w:pStyle w:val="TableParagraph"/>
              <w:spacing w:before="10"/>
              <w:rPr>
                <w:rFonts w:ascii="Times New Roman"/>
                <w:sz w:val="13"/>
              </w:rPr>
            </w:pPr>
          </w:p>
          <w:p w14:paraId="736EAB7C" w14:textId="77777777" w:rsidR="00EF5B27" w:rsidRDefault="00000000">
            <w:pPr>
              <w:pStyle w:val="TableParagraph"/>
              <w:ind w:left="124" w:right="120"/>
              <w:jc w:val="center"/>
              <w:rPr>
                <w:sz w:val="14"/>
              </w:rPr>
            </w:pPr>
            <w:r>
              <w:rPr>
                <w:color w:val="4D4D4F"/>
                <w:w w:val="105"/>
                <w:sz w:val="14"/>
              </w:rPr>
              <w:t>Forb richness</w:t>
            </w:r>
          </w:p>
        </w:tc>
        <w:tc>
          <w:tcPr>
            <w:tcW w:w="2041" w:type="dxa"/>
          </w:tcPr>
          <w:p w14:paraId="77B5B2BF" w14:textId="77777777" w:rsidR="00EF5B27" w:rsidRDefault="00EF5B27">
            <w:pPr>
              <w:pStyle w:val="TableParagraph"/>
              <w:rPr>
                <w:rFonts w:ascii="Times New Roman"/>
                <w:sz w:val="16"/>
              </w:rPr>
            </w:pPr>
          </w:p>
          <w:p w14:paraId="10974F96" w14:textId="77777777" w:rsidR="00EF5B27" w:rsidRDefault="00EF5B27">
            <w:pPr>
              <w:pStyle w:val="TableParagraph"/>
              <w:spacing w:before="10"/>
              <w:rPr>
                <w:rFonts w:ascii="Times New Roman"/>
                <w:sz w:val="13"/>
              </w:rPr>
            </w:pPr>
          </w:p>
          <w:p w14:paraId="17D4ED42" w14:textId="77777777" w:rsidR="00EF5B27" w:rsidRDefault="00000000">
            <w:pPr>
              <w:pStyle w:val="TableParagraph"/>
              <w:ind w:left="154" w:right="150"/>
              <w:jc w:val="center"/>
              <w:rPr>
                <w:sz w:val="14"/>
              </w:rPr>
            </w:pPr>
            <w:r>
              <w:rPr>
                <w:color w:val="4D4D4F"/>
                <w:w w:val="105"/>
                <w:sz w:val="14"/>
              </w:rPr>
              <w:t>Herb-rich grassland</w:t>
            </w:r>
          </w:p>
        </w:tc>
        <w:tc>
          <w:tcPr>
            <w:tcW w:w="2154" w:type="dxa"/>
          </w:tcPr>
          <w:p w14:paraId="5E9EC68E" w14:textId="77777777" w:rsidR="00EF5B27" w:rsidRDefault="00000000">
            <w:pPr>
              <w:pStyle w:val="TableParagraph"/>
              <w:spacing w:before="73" w:line="252" w:lineRule="auto"/>
              <w:ind w:left="129" w:right="121"/>
              <w:jc w:val="center"/>
              <w:rPr>
                <w:sz w:val="14"/>
              </w:rPr>
            </w:pPr>
            <w:r>
              <w:rPr>
                <w:color w:val="4D4D4F"/>
                <w:sz w:val="14"/>
              </w:rPr>
              <w:t>KPI measure 95% confidence interval falls below the baseline (this is assumed, although hasn't been explicitly stated)</w:t>
            </w:r>
          </w:p>
        </w:tc>
        <w:tc>
          <w:tcPr>
            <w:tcW w:w="1134" w:type="dxa"/>
          </w:tcPr>
          <w:p w14:paraId="0C341DAA" w14:textId="77777777" w:rsidR="00EF5B27" w:rsidRDefault="00EF5B27">
            <w:pPr>
              <w:pStyle w:val="TableParagraph"/>
              <w:rPr>
                <w:rFonts w:ascii="Times New Roman"/>
                <w:sz w:val="16"/>
              </w:rPr>
            </w:pPr>
          </w:p>
          <w:p w14:paraId="4662C1B3" w14:textId="77777777" w:rsidR="00EF5B27" w:rsidRDefault="00EF5B27">
            <w:pPr>
              <w:pStyle w:val="TableParagraph"/>
              <w:spacing w:before="10"/>
              <w:rPr>
                <w:rFonts w:ascii="Times New Roman"/>
                <w:sz w:val="13"/>
              </w:rPr>
            </w:pPr>
          </w:p>
          <w:p w14:paraId="55ADB9AE" w14:textId="77777777" w:rsidR="00EF5B27" w:rsidRDefault="00000000">
            <w:pPr>
              <w:pStyle w:val="TableParagraph"/>
              <w:ind w:left="81" w:right="76"/>
              <w:jc w:val="center"/>
              <w:rPr>
                <w:sz w:val="14"/>
              </w:rPr>
            </w:pPr>
            <w:r>
              <w:rPr>
                <w:color w:val="4D4D4F"/>
                <w:w w:val="105"/>
                <w:sz w:val="14"/>
              </w:rPr>
              <w:t>Not assessed</w:t>
            </w:r>
          </w:p>
        </w:tc>
      </w:tr>
      <w:tr w:rsidR="00EF5B27" w14:paraId="197AC4E9" w14:textId="77777777">
        <w:trPr>
          <w:trHeight w:val="845"/>
        </w:trPr>
        <w:tc>
          <w:tcPr>
            <w:tcW w:w="737" w:type="dxa"/>
          </w:tcPr>
          <w:p w14:paraId="508999CB" w14:textId="77777777" w:rsidR="00EF5B27" w:rsidRDefault="00EF5B27">
            <w:pPr>
              <w:pStyle w:val="TableParagraph"/>
              <w:rPr>
                <w:rFonts w:ascii="Times New Roman"/>
                <w:sz w:val="16"/>
              </w:rPr>
            </w:pPr>
          </w:p>
          <w:p w14:paraId="49DDF123" w14:textId="77777777" w:rsidR="00EF5B27" w:rsidRDefault="00EF5B27">
            <w:pPr>
              <w:pStyle w:val="TableParagraph"/>
              <w:spacing w:before="10"/>
              <w:rPr>
                <w:rFonts w:ascii="Times New Roman"/>
                <w:sz w:val="13"/>
              </w:rPr>
            </w:pPr>
          </w:p>
          <w:p w14:paraId="6278B73C" w14:textId="77777777" w:rsidR="00EF5B27" w:rsidRDefault="00000000">
            <w:pPr>
              <w:pStyle w:val="TableParagraph"/>
              <w:ind w:left="5"/>
              <w:jc w:val="center"/>
              <w:rPr>
                <w:sz w:val="14"/>
              </w:rPr>
            </w:pPr>
            <w:r>
              <w:rPr>
                <w:color w:val="4D4D4F"/>
                <w:w w:val="96"/>
                <w:sz w:val="14"/>
              </w:rPr>
              <w:t>2</w:t>
            </w:r>
          </w:p>
        </w:tc>
        <w:tc>
          <w:tcPr>
            <w:tcW w:w="1361" w:type="dxa"/>
          </w:tcPr>
          <w:p w14:paraId="4C1A6BBD" w14:textId="77777777" w:rsidR="00EF5B27" w:rsidRDefault="00EF5B27">
            <w:pPr>
              <w:pStyle w:val="TableParagraph"/>
              <w:rPr>
                <w:rFonts w:ascii="Times New Roman"/>
              </w:rPr>
            </w:pPr>
          </w:p>
          <w:p w14:paraId="2CA3FD90" w14:textId="77777777" w:rsidR="00EF5B27" w:rsidRDefault="00000000">
            <w:pPr>
              <w:pStyle w:val="TableParagraph"/>
              <w:spacing w:line="252" w:lineRule="auto"/>
              <w:ind w:left="384" w:hanging="184"/>
              <w:rPr>
                <w:sz w:val="14"/>
              </w:rPr>
            </w:pPr>
            <w:r>
              <w:rPr>
                <w:color w:val="4D4D4F"/>
                <w:w w:val="105"/>
                <w:sz w:val="14"/>
              </w:rPr>
              <w:t>Grassy Eucalypt Woodland</w:t>
            </w:r>
          </w:p>
        </w:tc>
        <w:tc>
          <w:tcPr>
            <w:tcW w:w="737" w:type="dxa"/>
          </w:tcPr>
          <w:p w14:paraId="2A43573A" w14:textId="77777777" w:rsidR="00EF5B27" w:rsidRDefault="00EF5B27">
            <w:pPr>
              <w:pStyle w:val="TableParagraph"/>
              <w:rPr>
                <w:rFonts w:ascii="Times New Roman"/>
                <w:sz w:val="16"/>
              </w:rPr>
            </w:pPr>
          </w:p>
          <w:p w14:paraId="747624B5" w14:textId="77777777" w:rsidR="00EF5B27" w:rsidRDefault="00EF5B27">
            <w:pPr>
              <w:pStyle w:val="TableParagraph"/>
              <w:spacing w:before="10"/>
              <w:rPr>
                <w:rFonts w:ascii="Times New Roman"/>
                <w:sz w:val="13"/>
              </w:rPr>
            </w:pPr>
          </w:p>
          <w:p w14:paraId="736B2F62" w14:textId="77777777" w:rsidR="00EF5B27" w:rsidRDefault="00000000">
            <w:pPr>
              <w:pStyle w:val="TableParagraph"/>
              <w:ind w:left="5"/>
              <w:jc w:val="center"/>
              <w:rPr>
                <w:sz w:val="14"/>
              </w:rPr>
            </w:pPr>
            <w:r>
              <w:rPr>
                <w:color w:val="4D4D4F"/>
                <w:w w:val="96"/>
                <w:sz w:val="14"/>
              </w:rPr>
              <w:t>3</w:t>
            </w:r>
          </w:p>
        </w:tc>
        <w:tc>
          <w:tcPr>
            <w:tcW w:w="1474" w:type="dxa"/>
          </w:tcPr>
          <w:p w14:paraId="7205B7B6" w14:textId="77777777" w:rsidR="00EF5B27" w:rsidRDefault="00EF5B27">
            <w:pPr>
              <w:pStyle w:val="TableParagraph"/>
              <w:rPr>
                <w:rFonts w:ascii="Times New Roman"/>
                <w:sz w:val="16"/>
              </w:rPr>
            </w:pPr>
          </w:p>
          <w:p w14:paraId="6065BDB9" w14:textId="77777777" w:rsidR="00EF5B27" w:rsidRDefault="00EF5B27">
            <w:pPr>
              <w:pStyle w:val="TableParagraph"/>
              <w:spacing w:before="10"/>
              <w:rPr>
                <w:rFonts w:ascii="Times New Roman"/>
                <w:sz w:val="13"/>
              </w:rPr>
            </w:pPr>
          </w:p>
          <w:p w14:paraId="3A2C3EBF" w14:textId="77777777" w:rsidR="00EF5B27" w:rsidRDefault="00000000">
            <w:pPr>
              <w:pStyle w:val="TableParagraph"/>
              <w:ind w:left="124" w:right="120"/>
              <w:jc w:val="center"/>
              <w:rPr>
                <w:sz w:val="14"/>
              </w:rPr>
            </w:pPr>
            <w:r>
              <w:rPr>
                <w:color w:val="4D4D4F"/>
                <w:w w:val="105"/>
                <w:sz w:val="14"/>
              </w:rPr>
              <w:t>Forb richness</w:t>
            </w:r>
          </w:p>
        </w:tc>
        <w:tc>
          <w:tcPr>
            <w:tcW w:w="2041" w:type="dxa"/>
          </w:tcPr>
          <w:p w14:paraId="4E6FE560" w14:textId="77777777" w:rsidR="00EF5B27" w:rsidRDefault="00EF5B27">
            <w:pPr>
              <w:pStyle w:val="TableParagraph"/>
              <w:rPr>
                <w:rFonts w:ascii="Times New Roman"/>
                <w:sz w:val="16"/>
              </w:rPr>
            </w:pPr>
          </w:p>
          <w:p w14:paraId="35BF725C" w14:textId="77777777" w:rsidR="00EF5B27" w:rsidRDefault="00EF5B27">
            <w:pPr>
              <w:pStyle w:val="TableParagraph"/>
              <w:spacing w:before="10"/>
              <w:rPr>
                <w:rFonts w:ascii="Times New Roman"/>
                <w:sz w:val="13"/>
              </w:rPr>
            </w:pPr>
          </w:p>
          <w:p w14:paraId="0C930F23" w14:textId="77777777" w:rsidR="00EF5B27" w:rsidRDefault="00000000">
            <w:pPr>
              <w:pStyle w:val="TableParagraph"/>
              <w:ind w:left="154" w:right="15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00B871C8" w14:textId="77777777" w:rsidR="00EF5B27" w:rsidRDefault="00000000">
            <w:pPr>
              <w:pStyle w:val="TableParagraph"/>
              <w:spacing w:before="73" w:line="252" w:lineRule="auto"/>
              <w:ind w:left="129" w:right="122"/>
              <w:jc w:val="center"/>
              <w:rPr>
                <w:sz w:val="14"/>
              </w:rPr>
            </w:pPr>
            <w:r>
              <w:rPr>
                <w:color w:val="4D4D4F"/>
                <w:sz w:val="14"/>
              </w:rPr>
              <w:t>KPI measure 95% confidence interval falls below the baseline (this is assumed, although hasn't been explicitly stated)</w:t>
            </w:r>
          </w:p>
        </w:tc>
        <w:tc>
          <w:tcPr>
            <w:tcW w:w="1134" w:type="dxa"/>
          </w:tcPr>
          <w:p w14:paraId="3EF1C4BF" w14:textId="77777777" w:rsidR="00EF5B27" w:rsidRDefault="00EF5B27">
            <w:pPr>
              <w:pStyle w:val="TableParagraph"/>
              <w:rPr>
                <w:rFonts w:ascii="Times New Roman"/>
                <w:sz w:val="16"/>
              </w:rPr>
            </w:pPr>
          </w:p>
          <w:p w14:paraId="5C15AAFA" w14:textId="77777777" w:rsidR="00EF5B27" w:rsidRDefault="00EF5B27">
            <w:pPr>
              <w:pStyle w:val="TableParagraph"/>
              <w:spacing w:before="10"/>
              <w:rPr>
                <w:rFonts w:ascii="Times New Roman"/>
                <w:sz w:val="13"/>
              </w:rPr>
            </w:pPr>
          </w:p>
          <w:p w14:paraId="464D2B16" w14:textId="77777777" w:rsidR="00EF5B27" w:rsidRDefault="00000000">
            <w:pPr>
              <w:pStyle w:val="TableParagraph"/>
              <w:ind w:left="81" w:right="76"/>
              <w:jc w:val="center"/>
              <w:rPr>
                <w:sz w:val="14"/>
              </w:rPr>
            </w:pPr>
            <w:r>
              <w:rPr>
                <w:color w:val="4D4D4F"/>
                <w:w w:val="105"/>
                <w:sz w:val="14"/>
              </w:rPr>
              <w:t>Not assessed</w:t>
            </w:r>
          </w:p>
        </w:tc>
      </w:tr>
      <w:tr w:rsidR="00EF5B27" w14:paraId="65DB973C" w14:textId="77777777">
        <w:trPr>
          <w:trHeight w:val="845"/>
        </w:trPr>
        <w:tc>
          <w:tcPr>
            <w:tcW w:w="737" w:type="dxa"/>
          </w:tcPr>
          <w:p w14:paraId="15E0D0ED" w14:textId="77777777" w:rsidR="00EF5B27" w:rsidRDefault="00EF5B27">
            <w:pPr>
              <w:pStyle w:val="TableParagraph"/>
              <w:rPr>
                <w:rFonts w:ascii="Times New Roman"/>
                <w:sz w:val="16"/>
              </w:rPr>
            </w:pPr>
          </w:p>
          <w:p w14:paraId="6CBBC300" w14:textId="77777777" w:rsidR="00EF5B27" w:rsidRDefault="00EF5B27">
            <w:pPr>
              <w:pStyle w:val="TableParagraph"/>
              <w:spacing w:before="10"/>
              <w:rPr>
                <w:rFonts w:ascii="Times New Roman"/>
                <w:sz w:val="13"/>
              </w:rPr>
            </w:pPr>
          </w:p>
          <w:p w14:paraId="7A34CBF6" w14:textId="77777777" w:rsidR="00EF5B27" w:rsidRDefault="00000000">
            <w:pPr>
              <w:pStyle w:val="TableParagraph"/>
              <w:ind w:left="5"/>
              <w:jc w:val="center"/>
              <w:rPr>
                <w:sz w:val="14"/>
              </w:rPr>
            </w:pPr>
            <w:r>
              <w:rPr>
                <w:color w:val="4D4D4F"/>
                <w:w w:val="96"/>
                <w:sz w:val="14"/>
              </w:rPr>
              <w:t>2</w:t>
            </w:r>
          </w:p>
        </w:tc>
        <w:tc>
          <w:tcPr>
            <w:tcW w:w="1361" w:type="dxa"/>
          </w:tcPr>
          <w:p w14:paraId="56818B09" w14:textId="77777777" w:rsidR="00EF5B27" w:rsidRDefault="00EF5B27">
            <w:pPr>
              <w:pStyle w:val="TableParagraph"/>
              <w:rPr>
                <w:rFonts w:ascii="Times New Roman"/>
              </w:rPr>
            </w:pPr>
          </w:p>
          <w:p w14:paraId="42BFBD0C" w14:textId="77777777" w:rsidR="00EF5B27" w:rsidRDefault="00000000">
            <w:pPr>
              <w:pStyle w:val="TableParagraph"/>
              <w:spacing w:line="252" w:lineRule="auto"/>
              <w:ind w:left="384" w:hanging="184"/>
              <w:rPr>
                <w:sz w:val="14"/>
              </w:rPr>
            </w:pPr>
            <w:r>
              <w:rPr>
                <w:color w:val="4D4D4F"/>
                <w:w w:val="105"/>
                <w:sz w:val="14"/>
              </w:rPr>
              <w:t>Grassy Eucalypt Woodland</w:t>
            </w:r>
          </w:p>
        </w:tc>
        <w:tc>
          <w:tcPr>
            <w:tcW w:w="737" w:type="dxa"/>
          </w:tcPr>
          <w:p w14:paraId="50C45AF6" w14:textId="77777777" w:rsidR="00EF5B27" w:rsidRDefault="00EF5B27">
            <w:pPr>
              <w:pStyle w:val="TableParagraph"/>
              <w:rPr>
                <w:rFonts w:ascii="Times New Roman"/>
                <w:sz w:val="16"/>
              </w:rPr>
            </w:pPr>
          </w:p>
          <w:p w14:paraId="17E274E6" w14:textId="77777777" w:rsidR="00EF5B27" w:rsidRDefault="00EF5B27">
            <w:pPr>
              <w:pStyle w:val="TableParagraph"/>
              <w:spacing w:before="10"/>
              <w:rPr>
                <w:rFonts w:ascii="Times New Roman"/>
                <w:sz w:val="13"/>
              </w:rPr>
            </w:pPr>
          </w:p>
          <w:p w14:paraId="65AB53C0" w14:textId="77777777" w:rsidR="00EF5B27" w:rsidRDefault="00000000">
            <w:pPr>
              <w:pStyle w:val="TableParagraph"/>
              <w:ind w:left="4"/>
              <w:jc w:val="center"/>
              <w:rPr>
                <w:sz w:val="14"/>
              </w:rPr>
            </w:pPr>
            <w:r>
              <w:rPr>
                <w:color w:val="4D4D4F"/>
                <w:w w:val="96"/>
                <w:sz w:val="14"/>
              </w:rPr>
              <w:t>3</w:t>
            </w:r>
          </w:p>
        </w:tc>
        <w:tc>
          <w:tcPr>
            <w:tcW w:w="1474" w:type="dxa"/>
          </w:tcPr>
          <w:p w14:paraId="78B8CF6D" w14:textId="77777777" w:rsidR="00EF5B27" w:rsidRDefault="00EF5B27">
            <w:pPr>
              <w:pStyle w:val="TableParagraph"/>
              <w:rPr>
                <w:rFonts w:ascii="Times New Roman"/>
                <w:sz w:val="16"/>
              </w:rPr>
            </w:pPr>
          </w:p>
          <w:p w14:paraId="64FA9144" w14:textId="77777777" w:rsidR="00EF5B27" w:rsidRDefault="00EF5B27">
            <w:pPr>
              <w:pStyle w:val="TableParagraph"/>
              <w:spacing w:before="10"/>
              <w:rPr>
                <w:rFonts w:ascii="Times New Roman"/>
                <w:sz w:val="13"/>
              </w:rPr>
            </w:pPr>
          </w:p>
          <w:p w14:paraId="7BA3C387" w14:textId="77777777" w:rsidR="00EF5B27" w:rsidRDefault="00000000">
            <w:pPr>
              <w:pStyle w:val="TableParagraph"/>
              <w:ind w:left="124" w:right="120"/>
              <w:jc w:val="center"/>
              <w:rPr>
                <w:sz w:val="14"/>
              </w:rPr>
            </w:pPr>
            <w:r>
              <w:rPr>
                <w:color w:val="4D4D4F"/>
                <w:w w:val="105"/>
                <w:sz w:val="14"/>
              </w:rPr>
              <w:t>Forb richness</w:t>
            </w:r>
          </w:p>
        </w:tc>
        <w:tc>
          <w:tcPr>
            <w:tcW w:w="2041" w:type="dxa"/>
          </w:tcPr>
          <w:p w14:paraId="54910C7A" w14:textId="77777777" w:rsidR="00EF5B27" w:rsidRDefault="00EF5B27">
            <w:pPr>
              <w:pStyle w:val="TableParagraph"/>
              <w:rPr>
                <w:rFonts w:ascii="Times New Roman"/>
                <w:sz w:val="16"/>
              </w:rPr>
            </w:pPr>
          </w:p>
          <w:p w14:paraId="5B9876AA" w14:textId="77777777" w:rsidR="00EF5B27" w:rsidRDefault="00EF5B27">
            <w:pPr>
              <w:pStyle w:val="TableParagraph"/>
              <w:spacing w:before="10"/>
              <w:rPr>
                <w:rFonts w:ascii="Times New Roman"/>
                <w:sz w:val="13"/>
              </w:rPr>
            </w:pPr>
          </w:p>
          <w:p w14:paraId="030D4981" w14:textId="77777777" w:rsidR="00EF5B27" w:rsidRDefault="00000000">
            <w:pPr>
              <w:pStyle w:val="TableParagraph"/>
              <w:ind w:left="154" w:right="150"/>
              <w:jc w:val="center"/>
              <w:rPr>
                <w:sz w:val="14"/>
              </w:rPr>
            </w:pPr>
            <w:r>
              <w:rPr>
                <w:color w:val="4D4D4F"/>
                <w:w w:val="105"/>
                <w:sz w:val="14"/>
              </w:rPr>
              <w:t>C3 grassland</w:t>
            </w:r>
          </w:p>
        </w:tc>
        <w:tc>
          <w:tcPr>
            <w:tcW w:w="2154" w:type="dxa"/>
          </w:tcPr>
          <w:p w14:paraId="2FC98300" w14:textId="77777777" w:rsidR="00EF5B27" w:rsidRDefault="00000000">
            <w:pPr>
              <w:pStyle w:val="TableParagraph"/>
              <w:spacing w:before="73" w:line="252" w:lineRule="auto"/>
              <w:ind w:left="129" w:right="122"/>
              <w:jc w:val="center"/>
              <w:rPr>
                <w:sz w:val="14"/>
              </w:rPr>
            </w:pPr>
            <w:r>
              <w:rPr>
                <w:color w:val="4D4D4F"/>
                <w:sz w:val="14"/>
              </w:rPr>
              <w:t>KPI measure 95% confidence interval falls below the baseline (this is assumed, although hasn't been explicitly stated)</w:t>
            </w:r>
          </w:p>
        </w:tc>
        <w:tc>
          <w:tcPr>
            <w:tcW w:w="1134" w:type="dxa"/>
          </w:tcPr>
          <w:p w14:paraId="60B36620" w14:textId="77777777" w:rsidR="00EF5B27" w:rsidRDefault="00EF5B27">
            <w:pPr>
              <w:pStyle w:val="TableParagraph"/>
              <w:rPr>
                <w:rFonts w:ascii="Times New Roman"/>
                <w:sz w:val="16"/>
              </w:rPr>
            </w:pPr>
          </w:p>
          <w:p w14:paraId="5D61C346" w14:textId="77777777" w:rsidR="00EF5B27" w:rsidRDefault="00EF5B27">
            <w:pPr>
              <w:pStyle w:val="TableParagraph"/>
              <w:spacing w:before="10"/>
              <w:rPr>
                <w:rFonts w:ascii="Times New Roman"/>
                <w:sz w:val="13"/>
              </w:rPr>
            </w:pPr>
          </w:p>
          <w:p w14:paraId="0A8D329E" w14:textId="77777777" w:rsidR="00EF5B27" w:rsidRDefault="00000000">
            <w:pPr>
              <w:pStyle w:val="TableParagraph"/>
              <w:ind w:left="81" w:right="76"/>
              <w:jc w:val="center"/>
              <w:rPr>
                <w:sz w:val="14"/>
              </w:rPr>
            </w:pPr>
            <w:r>
              <w:rPr>
                <w:color w:val="4D4D4F"/>
                <w:w w:val="105"/>
                <w:sz w:val="14"/>
              </w:rPr>
              <w:t>Not assessed</w:t>
            </w:r>
          </w:p>
        </w:tc>
      </w:tr>
      <w:tr w:rsidR="00EF5B27" w14:paraId="31FDEAAC" w14:textId="77777777">
        <w:trPr>
          <w:trHeight w:val="845"/>
        </w:trPr>
        <w:tc>
          <w:tcPr>
            <w:tcW w:w="737" w:type="dxa"/>
          </w:tcPr>
          <w:p w14:paraId="3445CFB6" w14:textId="77777777" w:rsidR="00EF5B27" w:rsidRDefault="00EF5B27">
            <w:pPr>
              <w:pStyle w:val="TableParagraph"/>
              <w:rPr>
                <w:rFonts w:ascii="Times New Roman"/>
                <w:sz w:val="16"/>
              </w:rPr>
            </w:pPr>
          </w:p>
          <w:p w14:paraId="753E36B5" w14:textId="77777777" w:rsidR="00EF5B27" w:rsidRDefault="00EF5B27">
            <w:pPr>
              <w:pStyle w:val="TableParagraph"/>
              <w:spacing w:before="10"/>
              <w:rPr>
                <w:rFonts w:ascii="Times New Roman"/>
                <w:sz w:val="13"/>
              </w:rPr>
            </w:pPr>
          </w:p>
          <w:p w14:paraId="6EC5A36E" w14:textId="77777777" w:rsidR="00EF5B27" w:rsidRDefault="00000000">
            <w:pPr>
              <w:pStyle w:val="TableParagraph"/>
              <w:ind w:left="5"/>
              <w:jc w:val="center"/>
              <w:rPr>
                <w:sz w:val="14"/>
              </w:rPr>
            </w:pPr>
            <w:r>
              <w:rPr>
                <w:color w:val="4D4D4F"/>
                <w:w w:val="96"/>
                <w:sz w:val="14"/>
              </w:rPr>
              <w:t>2</w:t>
            </w:r>
          </w:p>
        </w:tc>
        <w:tc>
          <w:tcPr>
            <w:tcW w:w="1361" w:type="dxa"/>
          </w:tcPr>
          <w:p w14:paraId="2F1B9F89" w14:textId="77777777" w:rsidR="00EF5B27" w:rsidRDefault="00EF5B27">
            <w:pPr>
              <w:pStyle w:val="TableParagraph"/>
              <w:rPr>
                <w:rFonts w:ascii="Times New Roman"/>
              </w:rPr>
            </w:pPr>
          </w:p>
          <w:p w14:paraId="51C405E3" w14:textId="77777777" w:rsidR="00EF5B27" w:rsidRDefault="00000000">
            <w:pPr>
              <w:pStyle w:val="TableParagraph"/>
              <w:spacing w:line="252" w:lineRule="auto"/>
              <w:ind w:left="384" w:hanging="184"/>
              <w:rPr>
                <w:sz w:val="14"/>
              </w:rPr>
            </w:pPr>
            <w:r>
              <w:rPr>
                <w:color w:val="4D4D4F"/>
                <w:w w:val="105"/>
                <w:sz w:val="14"/>
              </w:rPr>
              <w:t>Grassy Eucalypt Woodland</w:t>
            </w:r>
          </w:p>
        </w:tc>
        <w:tc>
          <w:tcPr>
            <w:tcW w:w="737" w:type="dxa"/>
          </w:tcPr>
          <w:p w14:paraId="6822BB5D" w14:textId="77777777" w:rsidR="00EF5B27" w:rsidRDefault="00EF5B27">
            <w:pPr>
              <w:pStyle w:val="TableParagraph"/>
              <w:rPr>
                <w:rFonts w:ascii="Times New Roman"/>
                <w:sz w:val="16"/>
              </w:rPr>
            </w:pPr>
          </w:p>
          <w:p w14:paraId="177AE030" w14:textId="77777777" w:rsidR="00EF5B27" w:rsidRDefault="00EF5B27">
            <w:pPr>
              <w:pStyle w:val="TableParagraph"/>
              <w:spacing w:before="10"/>
              <w:rPr>
                <w:rFonts w:ascii="Times New Roman"/>
                <w:sz w:val="13"/>
              </w:rPr>
            </w:pPr>
          </w:p>
          <w:p w14:paraId="5FF75F83" w14:textId="77777777" w:rsidR="00EF5B27" w:rsidRDefault="00000000">
            <w:pPr>
              <w:pStyle w:val="TableParagraph"/>
              <w:ind w:left="4"/>
              <w:jc w:val="center"/>
              <w:rPr>
                <w:sz w:val="14"/>
              </w:rPr>
            </w:pPr>
            <w:r>
              <w:rPr>
                <w:color w:val="4D4D4F"/>
                <w:w w:val="96"/>
                <w:sz w:val="14"/>
              </w:rPr>
              <w:t>3</w:t>
            </w:r>
          </w:p>
        </w:tc>
        <w:tc>
          <w:tcPr>
            <w:tcW w:w="1474" w:type="dxa"/>
          </w:tcPr>
          <w:p w14:paraId="301808C5" w14:textId="77777777" w:rsidR="00EF5B27" w:rsidRDefault="00EF5B27">
            <w:pPr>
              <w:pStyle w:val="TableParagraph"/>
              <w:rPr>
                <w:rFonts w:ascii="Times New Roman"/>
                <w:sz w:val="16"/>
              </w:rPr>
            </w:pPr>
          </w:p>
          <w:p w14:paraId="251541CA" w14:textId="77777777" w:rsidR="00EF5B27" w:rsidRDefault="00EF5B27">
            <w:pPr>
              <w:pStyle w:val="TableParagraph"/>
              <w:spacing w:before="10"/>
              <w:rPr>
                <w:rFonts w:ascii="Times New Roman"/>
                <w:sz w:val="13"/>
              </w:rPr>
            </w:pPr>
          </w:p>
          <w:p w14:paraId="3B899C27" w14:textId="77777777" w:rsidR="00EF5B27" w:rsidRDefault="00000000">
            <w:pPr>
              <w:pStyle w:val="TableParagraph"/>
              <w:ind w:left="124" w:right="120"/>
              <w:jc w:val="center"/>
              <w:rPr>
                <w:sz w:val="14"/>
              </w:rPr>
            </w:pPr>
            <w:r>
              <w:rPr>
                <w:color w:val="4D4D4F"/>
                <w:w w:val="105"/>
                <w:sz w:val="14"/>
              </w:rPr>
              <w:t>Forb richness</w:t>
            </w:r>
          </w:p>
        </w:tc>
        <w:tc>
          <w:tcPr>
            <w:tcW w:w="2041" w:type="dxa"/>
          </w:tcPr>
          <w:p w14:paraId="29385FBB" w14:textId="77777777" w:rsidR="00EF5B27" w:rsidRDefault="00EF5B27">
            <w:pPr>
              <w:pStyle w:val="TableParagraph"/>
              <w:rPr>
                <w:rFonts w:ascii="Times New Roman"/>
                <w:sz w:val="16"/>
              </w:rPr>
            </w:pPr>
          </w:p>
          <w:p w14:paraId="72BD616C" w14:textId="77777777" w:rsidR="00EF5B27" w:rsidRDefault="00EF5B27">
            <w:pPr>
              <w:pStyle w:val="TableParagraph"/>
              <w:spacing w:before="10"/>
              <w:rPr>
                <w:rFonts w:ascii="Times New Roman"/>
                <w:sz w:val="13"/>
              </w:rPr>
            </w:pPr>
          </w:p>
          <w:p w14:paraId="664F59ED" w14:textId="77777777" w:rsidR="00EF5B27" w:rsidRDefault="00000000">
            <w:pPr>
              <w:pStyle w:val="TableParagraph"/>
              <w:ind w:left="154" w:right="150"/>
              <w:jc w:val="center"/>
              <w:rPr>
                <w:sz w:val="14"/>
              </w:rPr>
            </w:pPr>
            <w:r>
              <w:rPr>
                <w:color w:val="4D4D4F"/>
                <w:w w:val="105"/>
                <w:sz w:val="14"/>
              </w:rPr>
              <w:t>Nutrient-enriched grassland</w:t>
            </w:r>
          </w:p>
        </w:tc>
        <w:tc>
          <w:tcPr>
            <w:tcW w:w="2154" w:type="dxa"/>
          </w:tcPr>
          <w:p w14:paraId="0D39D64E" w14:textId="77777777" w:rsidR="00EF5B27" w:rsidRDefault="00000000">
            <w:pPr>
              <w:pStyle w:val="TableParagraph"/>
              <w:spacing w:before="73" w:line="252" w:lineRule="auto"/>
              <w:ind w:left="129" w:right="122"/>
              <w:jc w:val="center"/>
              <w:rPr>
                <w:sz w:val="14"/>
              </w:rPr>
            </w:pPr>
            <w:r>
              <w:rPr>
                <w:color w:val="4D4D4F"/>
                <w:sz w:val="14"/>
              </w:rPr>
              <w:t>KPI measure 95% confidence interval falls below the baseline (this is assumed, although hasn't been explicitly stated)</w:t>
            </w:r>
          </w:p>
        </w:tc>
        <w:tc>
          <w:tcPr>
            <w:tcW w:w="1134" w:type="dxa"/>
          </w:tcPr>
          <w:p w14:paraId="7EDF35D0" w14:textId="77777777" w:rsidR="00EF5B27" w:rsidRDefault="00EF5B27">
            <w:pPr>
              <w:pStyle w:val="TableParagraph"/>
              <w:rPr>
                <w:rFonts w:ascii="Times New Roman"/>
                <w:sz w:val="16"/>
              </w:rPr>
            </w:pPr>
          </w:p>
          <w:p w14:paraId="542077B4" w14:textId="77777777" w:rsidR="00EF5B27" w:rsidRDefault="00EF5B27">
            <w:pPr>
              <w:pStyle w:val="TableParagraph"/>
              <w:spacing w:before="10"/>
              <w:rPr>
                <w:rFonts w:ascii="Times New Roman"/>
                <w:sz w:val="13"/>
              </w:rPr>
            </w:pPr>
          </w:p>
          <w:p w14:paraId="7C9D1A11" w14:textId="77777777" w:rsidR="00EF5B27" w:rsidRDefault="00000000">
            <w:pPr>
              <w:pStyle w:val="TableParagraph"/>
              <w:ind w:left="81" w:right="76"/>
              <w:jc w:val="center"/>
              <w:rPr>
                <w:sz w:val="14"/>
              </w:rPr>
            </w:pPr>
            <w:r>
              <w:rPr>
                <w:color w:val="4D4D4F"/>
                <w:w w:val="105"/>
                <w:sz w:val="14"/>
              </w:rPr>
              <w:t>Not assessed</w:t>
            </w:r>
          </w:p>
        </w:tc>
      </w:tr>
      <w:tr w:rsidR="00EF5B27" w14:paraId="71446E22" w14:textId="77777777">
        <w:trPr>
          <w:trHeight w:val="845"/>
        </w:trPr>
        <w:tc>
          <w:tcPr>
            <w:tcW w:w="737" w:type="dxa"/>
          </w:tcPr>
          <w:p w14:paraId="7520A2EB" w14:textId="77777777" w:rsidR="00EF5B27" w:rsidRDefault="00EF5B27">
            <w:pPr>
              <w:pStyle w:val="TableParagraph"/>
              <w:rPr>
                <w:rFonts w:ascii="Times New Roman"/>
                <w:sz w:val="16"/>
              </w:rPr>
            </w:pPr>
          </w:p>
          <w:p w14:paraId="00171ACB" w14:textId="77777777" w:rsidR="00EF5B27" w:rsidRDefault="00EF5B27">
            <w:pPr>
              <w:pStyle w:val="TableParagraph"/>
              <w:spacing w:before="10"/>
              <w:rPr>
                <w:rFonts w:ascii="Times New Roman"/>
                <w:sz w:val="13"/>
              </w:rPr>
            </w:pPr>
          </w:p>
          <w:p w14:paraId="116B9652" w14:textId="77777777" w:rsidR="00EF5B27" w:rsidRDefault="00000000">
            <w:pPr>
              <w:pStyle w:val="TableParagraph"/>
              <w:ind w:left="5"/>
              <w:jc w:val="center"/>
              <w:rPr>
                <w:sz w:val="14"/>
              </w:rPr>
            </w:pPr>
            <w:r>
              <w:rPr>
                <w:color w:val="4D4D4F"/>
                <w:w w:val="96"/>
                <w:sz w:val="14"/>
              </w:rPr>
              <w:t>2</w:t>
            </w:r>
          </w:p>
        </w:tc>
        <w:tc>
          <w:tcPr>
            <w:tcW w:w="1361" w:type="dxa"/>
          </w:tcPr>
          <w:p w14:paraId="67728096" w14:textId="77777777" w:rsidR="00EF5B27" w:rsidRDefault="00EF5B27">
            <w:pPr>
              <w:pStyle w:val="TableParagraph"/>
              <w:rPr>
                <w:rFonts w:ascii="Times New Roman"/>
              </w:rPr>
            </w:pPr>
          </w:p>
          <w:p w14:paraId="2EBBD5DA" w14:textId="77777777" w:rsidR="00EF5B27" w:rsidRDefault="00000000">
            <w:pPr>
              <w:pStyle w:val="TableParagraph"/>
              <w:spacing w:line="252" w:lineRule="auto"/>
              <w:ind w:left="384" w:hanging="184"/>
              <w:rPr>
                <w:sz w:val="14"/>
              </w:rPr>
            </w:pPr>
            <w:r>
              <w:rPr>
                <w:color w:val="4D4D4F"/>
                <w:w w:val="105"/>
                <w:sz w:val="14"/>
              </w:rPr>
              <w:t>Grassy Eucalypt Woodland</w:t>
            </w:r>
          </w:p>
        </w:tc>
        <w:tc>
          <w:tcPr>
            <w:tcW w:w="737" w:type="dxa"/>
          </w:tcPr>
          <w:p w14:paraId="7707C7E9" w14:textId="77777777" w:rsidR="00EF5B27" w:rsidRDefault="00EF5B27">
            <w:pPr>
              <w:pStyle w:val="TableParagraph"/>
              <w:rPr>
                <w:rFonts w:ascii="Times New Roman"/>
                <w:sz w:val="16"/>
              </w:rPr>
            </w:pPr>
          </w:p>
          <w:p w14:paraId="008D2CEF" w14:textId="77777777" w:rsidR="00EF5B27" w:rsidRDefault="00EF5B27">
            <w:pPr>
              <w:pStyle w:val="TableParagraph"/>
              <w:spacing w:before="10"/>
              <w:rPr>
                <w:rFonts w:ascii="Times New Roman"/>
                <w:sz w:val="13"/>
              </w:rPr>
            </w:pPr>
          </w:p>
          <w:p w14:paraId="430186E5" w14:textId="77777777" w:rsidR="00EF5B27" w:rsidRDefault="00000000">
            <w:pPr>
              <w:pStyle w:val="TableParagraph"/>
              <w:ind w:left="4"/>
              <w:jc w:val="center"/>
              <w:rPr>
                <w:sz w:val="14"/>
              </w:rPr>
            </w:pPr>
            <w:r>
              <w:rPr>
                <w:color w:val="4D4D4F"/>
                <w:w w:val="96"/>
                <w:sz w:val="14"/>
              </w:rPr>
              <w:t>3</w:t>
            </w:r>
          </w:p>
        </w:tc>
        <w:tc>
          <w:tcPr>
            <w:tcW w:w="1474" w:type="dxa"/>
          </w:tcPr>
          <w:p w14:paraId="2CA0D044" w14:textId="77777777" w:rsidR="00EF5B27" w:rsidRDefault="00EF5B27">
            <w:pPr>
              <w:pStyle w:val="TableParagraph"/>
              <w:rPr>
                <w:rFonts w:ascii="Times New Roman"/>
                <w:sz w:val="16"/>
              </w:rPr>
            </w:pPr>
          </w:p>
          <w:p w14:paraId="3062942D" w14:textId="77777777" w:rsidR="00EF5B27" w:rsidRDefault="00EF5B27">
            <w:pPr>
              <w:pStyle w:val="TableParagraph"/>
              <w:spacing w:before="10"/>
              <w:rPr>
                <w:rFonts w:ascii="Times New Roman"/>
                <w:sz w:val="13"/>
              </w:rPr>
            </w:pPr>
          </w:p>
          <w:p w14:paraId="50DB4329" w14:textId="77777777" w:rsidR="00EF5B27" w:rsidRDefault="00000000">
            <w:pPr>
              <w:pStyle w:val="TableParagraph"/>
              <w:ind w:left="124" w:right="120"/>
              <w:jc w:val="center"/>
              <w:rPr>
                <w:sz w:val="14"/>
              </w:rPr>
            </w:pPr>
            <w:r>
              <w:rPr>
                <w:color w:val="4D4D4F"/>
                <w:w w:val="105"/>
                <w:sz w:val="14"/>
              </w:rPr>
              <w:t>Forb richness</w:t>
            </w:r>
          </w:p>
        </w:tc>
        <w:tc>
          <w:tcPr>
            <w:tcW w:w="2041" w:type="dxa"/>
          </w:tcPr>
          <w:p w14:paraId="06AC5A4F" w14:textId="77777777" w:rsidR="00EF5B27" w:rsidRDefault="00EF5B27">
            <w:pPr>
              <w:pStyle w:val="TableParagraph"/>
              <w:rPr>
                <w:rFonts w:ascii="Times New Roman"/>
                <w:sz w:val="16"/>
              </w:rPr>
            </w:pPr>
          </w:p>
          <w:p w14:paraId="1D113715" w14:textId="77777777" w:rsidR="00EF5B27" w:rsidRDefault="00EF5B27">
            <w:pPr>
              <w:pStyle w:val="TableParagraph"/>
              <w:spacing w:before="10"/>
              <w:rPr>
                <w:rFonts w:ascii="Times New Roman"/>
                <w:sz w:val="13"/>
              </w:rPr>
            </w:pPr>
          </w:p>
          <w:p w14:paraId="387AE4D0" w14:textId="77777777" w:rsidR="00EF5B27" w:rsidRDefault="00000000">
            <w:pPr>
              <w:pStyle w:val="TableParagraph"/>
              <w:ind w:left="154" w:right="150"/>
              <w:jc w:val="center"/>
              <w:rPr>
                <w:sz w:val="14"/>
              </w:rPr>
            </w:pPr>
            <w:r>
              <w:rPr>
                <w:color w:val="4D4D4F"/>
                <w:w w:val="105"/>
                <w:sz w:val="14"/>
              </w:rPr>
              <w:t>De-rocked grassland</w:t>
            </w:r>
          </w:p>
        </w:tc>
        <w:tc>
          <w:tcPr>
            <w:tcW w:w="2154" w:type="dxa"/>
          </w:tcPr>
          <w:p w14:paraId="5DA8E4A4" w14:textId="77777777" w:rsidR="00EF5B27" w:rsidRDefault="00000000">
            <w:pPr>
              <w:pStyle w:val="TableParagraph"/>
              <w:spacing w:before="73" w:line="252" w:lineRule="auto"/>
              <w:ind w:left="129" w:right="121"/>
              <w:jc w:val="center"/>
              <w:rPr>
                <w:sz w:val="14"/>
              </w:rPr>
            </w:pPr>
            <w:r>
              <w:rPr>
                <w:color w:val="4D4D4F"/>
                <w:sz w:val="14"/>
              </w:rPr>
              <w:t>KPI measure 95% confidence interval falls below the baseline (this is assumed, although hasn't been explicitly stated)</w:t>
            </w:r>
          </w:p>
        </w:tc>
        <w:tc>
          <w:tcPr>
            <w:tcW w:w="1134" w:type="dxa"/>
          </w:tcPr>
          <w:p w14:paraId="335842B1" w14:textId="77777777" w:rsidR="00EF5B27" w:rsidRDefault="00EF5B27">
            <w:pPr>
              <w:pStyle w:val="TableParagraph"/>
              <w:rPr>
                <w:rFonts w:ascii="Times New Roman"/>
                <w:sz w:val="16"/>
              </w:rPr>
            </w:pPr>
          </w:p>
          <w:p w14:paraId="5C035558" w14:textId="77777777" w:rsidR="00EF5B27" w:rsidRDefault="00EF5B27">
            <w:pPr>
              <w:pStyle w:val="TableParagraph"/>
              <w:spacing w:before="10"/>
              <w:rPr>
                <w:rFonts w:ascii="Times New Roman"/>
                <w:sz w:val="13"/>
              </w:rPr>
            </w:pPr>
          </w:p>
          <w:p w14:paraId="06EDF108" w14:textId="77777777" w:rsidR="00EF5B27" w:rsidRDefault="00000000">
            <w:pPr>
              <w:pStyle w:val="TableParagraph"/>
              <w:ind w:left="81" w:right="76"/>
              <w:jc w:val="center"/>
              <w:rPr>
                <w:sz w:val="14"/>
              </w:rPr>
            </w:pPr>
            <w:r>
              <w:rPr>
                <w:color w:val="4D4D4F"/>
                <w:w w:val="105"/>
                <w:sz w:val="14"/>
              </w:rPr>
              <w:t>Not assessed</w:t>
            </w:r>
          </w:p>
        </w:tc>
      </w:tr>
      <w:tr w:rsidR="00EF5B27" w14:paraId="7F578ADF" w14:textId="77777777">
        <w:trPr>
          <w:trHeight w:val="845"/>
        </w:trPr>
        <w:tc>
          <w:tcPr>
            <w:tcW w:w="737" w:type="dxa"/>
          </w:tcPr>
          <w:p w14:paraId="69421153" w14:textId="77777777" w:rsidR="00EF5B27" w:rsidRDefault="00EF5B27">
            <w:pPr>
              <w:pStyle w:val="TableParagraph"/>
              <w:rPr>
                <w:rFonts w:ascii="Times New Roman"/>
                <w:sz w:val="16"/>
              </w:rPr>
            </w:pPr>
          </w:p>
          <w:p w14:paraId="269F8A79" w14:textId="77777777" w:rsidR="00EF5B27" w:rsidRDefault="00EF5B27">
            <w:pPr>
              <w:pStyle w:val="TableParagraph"/>
              <w:spacing w:before="10"/>
              <w:rPr>
                <w:rFonts w:ascii="Times New Roman"/>
                <w:sz w:val="13"/>
              </w:rPr>
            </w:pPr>
          </w:p>
          <w:p w14:paraId="51901E52" w14:textId="77777777" w:rsidR="00EF5B27" w:rsidRDefault="00000000">
            <w:pPr>
              <w:pStyle w:val="TableParagraph"/>
              <w:ind w:left="5"/>
              <w:jc w:val="center"/>
              <w:rPr>
                <w:sz w:val="14"/>
              </w:rPr>
            </w:pPr>
            <w:r>
              <w:rPr>
                <w:color w:val="4D4D4F"/>
                <w:w w:val="96"/>
                <w:sz w:val="14"/>
              </w:rPr>
              <w:t>2</w:t>
            </w:r>
          </w:p>
        </w:tc>
        <w:tc>
          <w:tcPr>
            <w:tcW w:w="1361" w:type="dxa"/>
          </w:tcPr>
          <w:p w14:paraId="20E80BE1" w14:textId="77777777" w:rsidR="00EF5B27" w:rsidRDefault="00EF5B27">
            <w:pPr>
              <w:pStyle w:val="TableParagraph"/>
              <w:rPr>
                <w:rFonts w:ascii="Times New Roman"/>
              </w:rPr>
            </w:pPr>
          </w:p>
          <w:p w14:paraId="011C7349" w14:textId="77777777" w:rsidR="00EF5B27" w:rsidRDefault="00000000">
            <w:pPr>
              <w:pStyle w:val="TableParagraph"/>
              <w:spacing w:line="252" w:lineRule="auto"/>
              <w:ind w:left="384" w:hanging="184"/>
              <w:rPr>
                <w:sz w:val="14"/>
              </w:rPr>
            </w:pPr>
            <w:r>
              <w:rPr>
                <w:color w:val="4D4D4F"/>
                <w:w w:val="105"/>
                <w:sz w:val="14"/>
              </w:rPr>
              <w:t>Grassy Eucalypt Woodland</w:t>
            </w:r>
          </w:p>
        </w:tc>
        <w:tc>
          <w:tcPr>
            <w:tcW w:w="737" w:type="dxa"/>
          </w:tcPr>
          <w:p w14:paraId="3B7F6201" w14:textId="77777777" w:rsidR="00EF5B27" w:rsidRDefault="00EF5B27">
            <w:pPr>
              <w:pStyle w:val="TableParagraph"/>
              <w:rPr>
                <w:rFonts w:ascii="Times New Roman"/>
                <w:sz w:val="16"/>
              </w:rPr>
            </w:pPr>
          </w:p>
          <w:p w14:paraId="20DF99D5" w14:textId="77777777" w:rsidR="00EF5B27" w:rsidRDefault="00EF5B27">
            <w:pPr>
              <w:pStyle w:val="TableParagraph"/>
              <w:spacing w:before="10"/>
              <w:rPr>
                <w:rFonts w:ascii="Times New Roman"/>
                <w:sz w:val="13"/>
              </w:rPr>
            </w:pPr>
          </w:p>
          <w:p w14:paraId="3D1D3AAC" w14:textId="77777777" w:rsidR="00EF5B27" w:rsidRDefault="00000000">
            <w:pPr>
              <w:pStyle w:val="TableParagraph"/>
              <w:ind w:left="5"/>
              <w:jc w:val="center"/>
              <w:rPr>
                <w:sz w:val="14"/>
              </w:rPr>
            </w:pPr>
            <w:r>
              <w:rPr>
                <w:color w:val="4D4D4F"/>
                <w:w w:val="96"/>
                <w:sz w:val="14"/>
              </w:rPr>
              <w:t>4</w:t>
            </w:r>
          </w:p>
        </w:tc>
        <w:tc>
          <w:tcPr>
            <w:tcW w:w="1474" w:type="dxa"/>
          </w:tcPr>
          <w:p w14:paraId="2560BE77" w14:textId="77777777" w:rsidR="00EF5B27" w:rsidRDefault="00EF5B27">
            <w:pPr>
              <w:pStyle w:val="TableParagraph"/>
              <w:rPr>
                <w:rFonts w:ascii="Times New Roman"/>
                <w:sz w:val="16"/>
              </w:rPr>
            </w:pPr>
          </w:p>
          <w:p w14:paraId="0B7796E0" w14:textId="77777777" w:rsidR="00EF5B27" w:rsidRDefault="00EF5B27">
            <w:pPr>
              <w:pStyle w:val="TableParagraph"/>
              <w:spacing w:before="10"/>
              <w:rPr>
                <w:rFonts w:ascii="Times New Roman"/>
                <w:sz w:val="13"/>
              </w:rPr>
            </w:pPr>
          </w:p>
          <w:p w14:paraId="05E3D955" w14:textId="77777777" w:rsidR="00EF5B27" w:rsidRDefault="00000000">
            <w:pPr>
              <w:pStyle w:val="TableParagraph"/>
              <w:ind w:left="125" w:right="120"/>
              <w:jc w:val="center"/>
              <w:rPr>
                <w:sz w:val="14"/>
              </w:rPr>
            </w:pPr>
            <w:r>
              <w:rPr>
                <w:rFonts w:ascii="Arial Narrow"/>
                <w:i/>
                <w:color w:val="4D4D4F"/>
                <w:w w:val="105"/>
                <w:sz w:val="14"/>
              </w:rPr>
              <w:t>Themeda</w:t>
            </w:r>
            <w:r>
              <w:rPr>
                <w:color w:val="4D4D4F"/>
                <w:w w:val="105"/>
                <w:sz w:val="14"/>
              </w:rPr>
              <w:t>, Poa cover</w:t>
            </w:r>
          </w:p>
        </w:tc>
        <w:tc>
          <w:tcPr>
            <w:tcW w:w="2041" w:type="dxa"/>
          </w:tcPr>
          <w:p w14:paraId="11155013" w14:textId="77777777" w:rsidR="00EF5B27" w:rsidRDefault="00EF5B27">
            <w:pPr>
              <w:pStyle w:val="TableParagraph"/>
              <w:rPr>
                <w:rFonts w:ascii="Times New Roman"/>
                <w:sz w:val="16"/>
              </w:rPr>
            </w:pPr>
          </w:p>
          <w:p w14:paraId="79AD933C" w14:textId="77777777" w:rsidR="00EF5B27" w:rsidRDefault="00EF5B27">
            <w:pPr>
              <w:pStyle w:val="TableParagraph"/>
              <w:spacing w:before="10"/>
              <w:rPr>
                <w:rFonts w:ascii="Times New Roman"/>
                <w:sz w:val="13"/>
              </w:rPr>
            </w:pPr>
          </w:p>
          <w:p w14:paraId="12F656B1" w14:textId="77777777" w:rsidR="00EF5B27" w:rsidRDefault="00000000">
            <w:pPr>
              <w:pStyle w:val="TableParagraph"/>
              <w:ind w:left="155" w:right="150"/>
              <w:jc w:val="center"/>
              <w:rPr>
                <w:sz w:val="14"/>
              </w:rPr>
            </w:pPr>
            <w:r>
              <w:rPr>
                <w:color w:val="4D4D4F"/>
                <w:w w:val="105"/>
                <w:sz w:val="14"/>
              </w:rPr>
              <w:t>Herb-rich grassland</w:t>
            </w:r>
          </w:p>
        </w:tc>
        <w:tc>
          <w:tcPr>
            <w:tcW w:w="2154" w:type="dxa"/>
          </w:tcPr>
          <w:p w14:paraId="0F687B60" w14:textId="77777777" w:rsidR="00EF5B27" w:rsidRDefault="00000000">
            <w:pPr>
              <w:pStyle w:val="TableParagraph"/>
              <w:spacing w:before="73" w:line="252" w:lineRule="auto"/>
              <w:ind w:left="129" w:right="121"/>
              <w:jc w:val="center"/>
              <w:rPr>
                <w:sz w:val="14"/>
              </w:rPr>
            </w:pPr>
            <w:r>
              <w:rPr>
                <w:color w:val="4D4D4F"/>
                <w:sz w:val="14"/>
              </w:rPr>
              <w:t>KPI measure 95% confidence interval falls below the baseline (this is assumed, although hasn't been explicitly stated)</w:t>
            </w:r>
          </w:p>
        </w:tc>
        <w:tc>
          <w:tcPr>
            <w:tcW w:w="1134" w:type="dxa"/>
          </w:tcPr>
          <w:p w14:paraId="3651D8C2" w14:textId="77777777" w:rsidR="00EF5B27" w:rsidRDefault="00EF5B27">
            <w:pPr>
              <w:pStyle w:val="TableParagraph"/>
              <w:rPr>
                <w:rFonts w:ascii="Times New Roman"/>
                <w:sz w:val="16"/>
              </w:rPr>
            </w:pPr>
          </w:p>
          <w:p w14:paraId="7CF55DDE" w14:textId="77777777" w:rsidR="00EF5B27" w:rsidRDefault="00EF5B27">
            <w:pPr>
              <w:pStyle w:val="TableParagraph"/>
              <w:spacing w:before="10"/>
              <w:rPr>
                <w:rFonts w:ascii="Times New Roman"/>
                <w:sz w:val="13"/>
              </w:rPr>
            </w:pPr>
          </w:p>
          <w:p w14:paraId="6C1F1438" w14:textId="77777777" w:rsidR="00EF5B27" w:rsidRDefault="00000000">
            <w:pPr>
              <w:pStyle w:val="TableParagraph"/>
              <w:ind w:left="81" w:right="76"/>
              <w:jc w:val="center"/>
              <w:rPr>
                <w:sz w:val="14"/>
              </w:rPr>
            </w:pPr>
            <w:r>
              <w:rPr>
                <w:color w:val="4D4D4F"/>
                <w:w w:val="105"/>
                <w:sz w:val="14"/>
              </w:rPr>
              <w:t>Not assessed</w:t>
            </w:r>
          </w:p>
        </w:tc>
      </w:tr>
      <w:tr w:rsidR="00EF5B27" w14:paraId="49737E69" w14:textId="77777777">
        <w:trPr>
          <w:trHeight w:val="845"/>
        </w:trPr>
        <w:tc>
          <w:tcPr>
            <w:tcW w:w="737" w:type="dxa"/>
          </w:tcPr>
          <w:p w14:paraId="5C7787D1" w14:textId="77777777" w:rsidR="00EF5B27" w:rsidRDefault="00EF5B27">
            <w:pPr>
              <w:pStyle w:val="TableParagraph"/>
              <w:rPr>
                <w:rFonts w:ascii="Times New Roman"/>
                <w:sz w:val="16"/>
              </w:rPr>
            </w:pPr>
          </w:p>
          <w:p w14:paraId="70A25209" w14:textId="77777777" w:rsidR="00EF5B27" w:rsidRDefault="00EF5B27">
            <w:pPr>
              <w:pStyle w:val="TableParagraph"/>
              <w:spacing w:before="10"/>
              <w:rPr>
                <w:rFonts w:ascii="Times New Roman"/>
                <w:sz w:val="13"/>
              </w:rPr>
            </w:pPr>
          </w:p>
          <w:p w14:paraId="1E321FCE" w14:textId="77777777" w:rsidR="00EF5B27" w:rsidRDefault="00000000">
            <w:pPr>
              <w:pStyle w:val="TableParagraph"/>
              <w:ind w:left="6"/>
              <w:jc w:val="center"/>
              <w:rPr>
                <w:sz w:val="14"/>
              </w:rPr>
            </w:pPr>
            <w:r>
              <w:rPr>
                <w:color w:val="4D4D4F"/>
                <w:w w:val="96"/>
                <w:sz w:val="14"/>
              </w:rPr>
              <w:t>2</w:t>
            </w:r>
          </w:p>
        </w:tc>
        <w:tc>
          <w:tcPr>
            <w:tcW w:w="1361" w:type="dxa"/>
          </w:tcPr>
          <w:p w14:paraId="03FAD11F" w14:textId="77777777" w:rsidR="00EF5B27" w:rsidRDefault="00EF5B27">
            <w:pPr>
              <w:pStyle w:val="TableParagraph"/>
              <w:rPr>
                <w:rFonts w:ascii="Times New Roman"/>
              </w:rPr>
            </w:pPr>
          </w:p>
          <w:p w14:paraId="483536FA" w14:textId="77777777" w:rsidR="00EF5B27" w:rsidRDefault="00000000">
            <w:pPr>
              <w:pStyle w:val="TableParagraph"/>
              <w:spacing w:line="252" w:lineRule="auto"/>
              <w:ind w:left="385" w:hanging="184"/>
              <w:rPr>
                <w:sz w:val="14"/>
              </w:rPr>
            </w:pPr>
            <w:r>
              <w:rPr>
                <w:color w:val="4D4D4F"/>
                <w:w w:val="105"/>
                <w:sz w:val="14"/>
              </w:rPr>
              <w:t>Grassy Eucalypt Woodland</w:t>
            </w:r>
          </w:p>
        </w:tc>
        <w:tc>
          <w:tcPr>
            <w:tcW w:w="737" w:type="dxa"/>
          </w:tcPr>
          <w:p w14:paraId="3C8AEECF" w14:textId="77777777" w:rsidR="00EF5B27" w:rsidRDefault="00EF5B27">
            <w:pPr>
              <w:pStyle w:val="TableParagraph"/>
              <w:rPr>
                <w:rFonts w:ascii="Times New Roman"/>
                <w:sz w:val="16"/>
              </w:rPr>
            </w:pPr>
          </w:p>
          <w:p w14:paraId="38F85ACF" w14:textId="77777777" w:rsidR="00EF5B27" w:rsidRDefault="00EF5B27">
            <w:pPr>
              <w:pStyle w:val="TableParagraph"/>
              <w:spacing w:before="10"/>
              <w:rPr>
                <w:rFonts w:ascii="Times New Roman"/>
                <w:sz w:val="13"/>
              </w:rPr>
            </w:pPr>
          </w:p>
          <w:p w14:paraId="2AC08859" w14:textId="77777777" w:rsidR="00EF5B27" w:rsidRDefault="00000000">
            <w:pPr>
              <w:pStyle w:val="TableParagraph"/>
              <w:ind w:left="5"/>
              <w:jc w:val="center"/>
              <w:rPr>
                <w:sz w:val="14"/>
              </w:rPr>
            </w:pPr>
            <w:r>
              <w:rPr>
                <w:color w:val="4D4D4F"/>
                <w:w w:val="96"/>
                <w:sz w:val="14"/>
              </w:rPr>
              <w:t>4</w:t>
            </w:r>
          </w:p>
        </w:tc>
        <w:tc>
          <w:tcPr>
            <w:tcW w:w="1474" w:type="dxa"/>
          </w:tcPr>
          <w:p w14:paraId="373B8D4F" w14:textId="77777777" w:rsidR="00EF5B27" w:rsidRDefault="00EF5B27">
            <w:pPr>
              <w:pStyle w:val="TableParagraph"/>
              <w:rPr>
                <w:rFonts w:ascii="Times New Roman"/>
                <w:sz w:val="16"/>
              </w:rPr>
            </w:pPr>
          </w:p>
          <w:p w14:paraId="02A8D46A" w14:textId="77777777" w:rsidR="00EF5B27" w:rsidRDefault="00EF5B27">
            <w:pPr>
              <w:pStyle w:val="TableParagraph"/>
              <w:spacing w:before="10"/>
              <w:rPr>
                <w:rFonts w:ascii="Times New Roman"/>
                <w:sz w:val="13"/>
              </w:rPr>
            </w:pPr>
          </w:p>
          <w:p w14:paraId="21E98947" w14:textId="77777777" w:rsidR="00EF5B27" w:rsidRDefault="00000000">
            <w:pPr>
              <w:pStyle w:val="TableParagraph"/>
              <w:ind w:left="125" w:right="120"/>
              <w:jc w:val="center"/>
              <w:rPr>
                <w:sz w:val="14"/>
              </w:rPr>
            </w:pPr>
            <w:r>
              <w:rPr>
                <w:rFonts w:ascii="Arial Narrow"/>
                <w:i/>
                <w:color w:val="4D4D4F"/>
                <w:w w:val="105"/>
                <w:sz w:val="14"/>
              </w:rPr>
              <w:t>Themeda</w:t>
            </w:r>
            <w:r>
              <w:rPr>
                <w:color w:val="4D4D4F"/>
                <w:w w:val="105"/>
                <w:sz w:val="14"/>
              </w:rPr>
              <w:t>, Poa cover</w:t>
            </w:r>
          </w:p>
        </w:tc>
        <w:tc>
          <w:tcPr>
            <w:tcW w:w="2041" w:type="dxa"/>
          </w:tcPr>
          <w:p w14:paraId="17442710" w14:textId="77777777" w:rsidR="00EF5B27" w:rsidRDefault="00EF5B27">
            <w:pPr>
              <w:pStyle w:val="TableParagraph"/>
              <w:rPr>
                <w:rFonts w:ascii="Times New Roman"/>
                <w:sz w:val="16"/>
              </w:rPr>
            </w:pPr>
          </w:p>
          <w:p w14:paraId="2C9B591F" w14:textId="77777777" w:rsidR="00EF5B27" w:rsidRDefault="00EF5B27">
            <w:pPr>
              <w:pStyle w:val="TableParagraph"/>
              <w:spacing w:before="10"/>
              <w:rPr>
                <w:rFonts w:ascii="Times New Roman"/>
                <w:sz w:val="13"/>
              </w:rPr>
            </w:pPr>
          </w:p>
          <w:p w14:paraId="5EB6B89A" w14:textId="77777777" w:rsidR="00EF5B27" w:rsidRDefault="00000000">
            <w:pPr>
              <w:pStyle w:val="TableParagraph"/>
              <w:ind w:left="155" w:right="15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22D4CA95" w14:textId="77777777" w:rsidR="00EF5B27" w:rsidRDefault="00000000">
            <w:pPr>
              <w:pStyle w:val="TableParagraph"/>
              <w:spacing w:before="73" w:line="252" w:lineRule="auto"/>
              <w:ind w:left="129" w:right="121"/>
              <w:jc w:val="center"/>
              <w:rPr>
                <w:sz w:val="14"/>
              </w:rPr>
            </w:pPr>
            <w:r>
              <w:rPr>
                <w:color w:val="4D4D4F"/>
                <w:sz w:val="14"/>
              </w:rPr>
              <w:t>KPI measure 95% confidence interval falls below the baseline (this is assumed, although hasn't been explicitly stated)</w:t>
            </w:r>
          </w:p>
        </w:tc>
        <w:tc>
          <w:tcPr>
            <w:tcW w:w="1134" w:type="dxa"/>
          </w:tcPr>
          <w:p w14:paraId="586C796A" w14:textId="77777777" w:rsidR="00EF5B27" w:rsidRDefault="00EF5B27">
            <w:pPr>
              <w:pStyle w:val="TableParagraph"/>
              <w:rPr>
                <w:rFonts w:ascii="Times New Roman"/>
                <w:sz w:val="16"/>
              </w:rPr>
            </w:pPr>
          </w:p>
          <w:p w14:paraId="547AB5B1" w14:textId="77777777" w:rsidR="00EF5B27" w:rsidRDefault="00EF5B27">
            <w:pPr>
              <w:pStyle w:val="TableParagraph"/>
              <w:spacing w:before="10"/>
              <w:rPr>
                <w:rFonts w:ascii="Times New Roman"/>
                <w:sz w:val="13"/>
              </w:rPr>
            </w:pPr>
          </w:p>
          <w:p w14:paraId="02992D82" w14:textId="77777777" w:rsidR="00EF5B27" w:rsidRDefault="00000000">
            <w:pPr>
              <w:pStyle w:val="TableParagraph"/>
              <w:ind w:left="81" w:right="76"/>
              <w:jc w:val="center"/>
              <w:rPr>
                <w:sz w:val="14"/>
              </w:rPr>
            </w:pPr>
            <w:r>
              <w:rPr>
                <w:color w:val="4D4D4F"/>
                <w:w w:val="105"/>
                <w:sz w:val="14"/>
              </w:rPr>
              <w:t>Not assessed</w:t>
            </w:r>
          </w:p>
        </w:tc>
      </w:tr>
      <w:tr w:rsidR="00EF5B27" w14:paraId="6730EBB0" w14:textId="77777777">
        <w:trPr>
          <w:trHeight w:val="845"/>
        </w:trPr>
        <w:tc>
          <w:tcPr>
            <w:tcW w:w="737" w:type="dxa"/>
          </w:tcPr>
          <w:p w14:paraId="6EC56619" w14:textId="77777777" w:rsidR="00EF5B27" w:rsidRDefault="00EF5B27">
            <w:pPr>
              <w:pStyle w:val="TableParagraph"/>
              <w:rPr>
                <w:rFonts w:ascii="Times New Roman"/>
                <w:sz w:val="16"/>
              </w:rPr>
            </w:pPr>
          </w:p>
          <w:p w14:paraId="25EAC9C4" w14:textId="77777777" w:rsidR="00EF5B27" w:rsidRDefault="00EF5B27">
            <w:pPr>
              <w:pStyle w:val="TableParagraph"/>
              <w:spacing w:before="10"/>
              <w:rPr>
                <w:rFonts w:ascii="Times New Roman"/>
                <w:sz w:val="13"/>
              </w:rPr>
            </w:pPr>
          </w:p>
          <w:p w14:paraId="3B4B2145" w14:textId="77777777" w:rsidR="00EF5B27" w:rsidRDefault="00000000">
            <w:pPr>
              <w:pStyle w:val="TableParagraph"/>
              <w:ind w:left="6"/>
              <w:jc w:val="center"/>
              <w:rPr>
                <w:sz w:val="14"/>
              </w:rPr>
            </w:pPr>
            <w:r>
              <w:rPr>
                <w:color w:val="4D4D4F"/>
                <w:w w:val="96"/>
                <w:sz w:val="14"/>
              </w:rPr>
              <w:t>2</w:t>
            </w:r>
          </w:p>
        </w:tc>
        <w:tc>
          <w:tcPr>
            <w:tcW w:w="1361" w:type="dxa"/>
          </w:tcPr>
          <w:p w14:paraId="4C482F54" w14:textId="77777777" w:rsidR="00EF5B27" w:rsidRDefault="00EF5B27">
            <w:pPr>
              <w:pStyle w:val="TableParagraph"/>
              <w:rPr>
                <w:rFonts w:ascii="Times New Roman"/>
              </w:rPr>
            </w:pPr>
          </w:p>
          <w:p w14:paraId="084C8C80" w14:textId="77777777" w:rsidR="00EF5B27" w:rsidRDefault="00000000">
            <w:pPr>
              <w:pStyle w:val="TableParagraph"/>
              <w:spacing w:line="252" w:lineRule="auto"/>
              <w:ind w:left="385" w:hanging="184"/>
              <w:rPr>
                <w:sz w:val="14"/>
              </w:rPr>
            </w:pPr>
            <w:r>
              <w:rPr>
                <w:color w:val="4D4D4F"/>
                <w:w w:val="105"/>
                <w:sz w:val="14"/>
              </w:rPr>
              <w:t>Grassy Eucalypt Woodland</w:t>
            </w:r>
          </w:p>
        </w:tc>
        <w:tc>
          <w:tcPr>
            <w:tcW w:w="737" w:type="dxa"/>
          </w:tcPr>
          <w:p w14:paraId="7BB6BBF3" w14:textId="77777777" w:rsidR="00EF5B27" w:rsidRDefault="00EF5B27">
            <w:pPr>
              <w:pStyle w:val="TableParagraph"/>
              <w:rPr>
                <w:rFonts w:ascii="Times New Roman"/>
                <w:sz w:val="16"/>
              </w:rPr>
            </w:pPr>
          </w:p>
          <w:p w14:paraId="2C5554FC" w14:textId="77777777" w:rsidR="00EF5B27" w:rsidRDefault="00EF5B27">
            <w:pPr>
              <w:pStyle w:val="TableParagraph"/>
              <w:spacing w:before="10"/>
              <w:rPr>
                <w:rFonts w:ascii="Times New Roman"/>
                <w:sz w:val="13"/>
              </w:rPr>
            </w:pPr>
          </w:p>
          <w:p w14:paraId="60AA1D30" w14:textId="77777777" w:rsidR="00EF5B27" w:rsidRDefault="00000000">
            <w:pPr>
              <w:pStyle w:val="TableParagraph"/>
              <w:ind w:left="5"/>
              <w:jc w:val="center"/>
              <w:rPr>
                <w:sz w:val="14"/>
              </w:rPr>
            </w:pPr>
            <w:r>
              <w:rPr>
                <w:color w:val="4D4D4F"/>
                <w:w w:val="96"/>
                <w:sz w:val="14"/>
              </w:rPr>
              <w:t>4</w:t>
            </w:r>
          </w:p>
        </w:tc>
        <w:tc>
          <w:tcPr>
            <w:tcW w:w="1474" w:type="dxa"/>
          </w:tcPr>
          <w:p w14:paraId="792EABE0" w14:textId="77777777" w:rsidR="00EF5B27" w:rsidRDefault="00EF5B27">
            <w:pPr>
              <w:pStyle w:val="TableParagraph"/>
              <w:rPr>
                <w:rFonts w:ascii="Times New Roman"/>
                <w:sz w:val="16"/>
              </w:rPr>
            </w:pPr>
          </w:p>
          <w:p w14:paraId="0E84B0BB" w14:textId="77777777" w:rsidR="00EF5B27" w:rsidRDefault="00EF5B27">
            <w:pPr>
              <w:pStyle w:val="TableParagraph"/>
              <w:spacing w:before="10"/>
              <w:rPr>
                <w:rFonts w:ascii="Times New Roman"/>
                <w:sz w:val="13"/>
              </w:rPr>
            </w:pPr>
          </w:p>
          <w:p w14:paraId="137CAF42" w14:textId="77777777" w:rsidR="00EF5B27" w:rsidRDefault="00000000">
            <w:pPr>
              <w:pStyle w:val="TableParagraph"/>
              <w:ind w:left="125" w:right="120"/>
              <w:jc w:val="center"/>
              <w:rPr>
                <w:sz w:val="14"/>
              </w:rPr>
            </w:pPr>
            <w:r>
              <w:rPr>
                <w:rFonts w:ascii="Arial Narrow"/>
                <w:i/>
                <w:color w:val="4D4D4F"/>
                <w:w w:val="105"/>
                <w:sz w:val="14"/>
              </w:rPr>
              <w:t>Themeda</w:t>
            </w:r>
            <w:r>
              <w:rPr>
                <w:color w:val="4D4D4F"/>
                <w:w w:val="105"/>
                <w:sz w:val="14"/>
              </w:rPr>
              <w:t>, Poa cover</w:t>
            </w:r>
          </w:p>
        </w:tc>
        <w:tc>
          <w:tcPr>
            <w:tcW w:w="2041" w:type="dxa"/>
          </w:tcPr>
          <w:p w14:paraId="315C28BB" w14:textId="77777777" w:rsidR="00EF5B27" w:rsidRDefault="00EF5B27">
            <w:pPr>
              <w:pStyle w:val="TableParagraph"/>
              <w:rPr>
                <w:rFonts w:ascii="Times New Roman"/>
                <w:sz w:val="16"/>
              </w:rPr>
            </w:pPr>
          </w:p>
          <w:p w14:paraId="379358CA" w14:textId="77777777" w:rsidR="00EF5B27" w:rsidRDefault="00EF5B27">
            <w:pPr>
              <w:pStyle w:val="TableParagraph"/>
              <w:spacing w:before="10"/>
              <w:rPr>
                <w:rFonts w:ascii="Times New Roman"/>
                <w:sz w:val="13"/>
              </w:rPr>
            </w:pPr>
          </w:p>
          <w:p w14:paraId="2AC20278" w14:textId="77777777" w:rsidR="00EF5B27" w:rsidRDefault="00000000">
            <w:pPr>
              <w:pStyle w:val="TableParagraph"/>
              <w:ind w:left="155" w:right="150"/>
              <w:jc w:val="center"/>
              <w:rPr>
                <w:sz w:val="14"/>
              </w:rPr>
            </w:pPr>
            <w:r>
              <w:rPr>
                <w:color w:val="4D4D4F"/>
                <w:w w:val="105"/>
                <w:sz w:val="14"/>
              </w:rPr>
              <w:t>C3 grassland</w:t>
            </w:r>
          </w:p>
        </w:tc>
        <w:tc>
          <w:tcPr>
            <w:tcW w:w="2154" w:type="dxa"/>
          </w:tcPr>
          <w:p w14:paraId="6FE57B33" w14:textId="77777777" w:rsidR="00EF5B27" w:rsidRDefault="00000000">
            <w:pPr>
              <w:pStyle w:val="TableParagraph"/>
              <w:spacing w:before="73" w:line="252" w:lineRule="auto"/>
              <w:ind w:left="129" w:right="121"/>
              <w:jc w:val="center"/>
              <w:rPr>
                <w:sz w:val="14"/>
              </w:rPr>
            </w:pPr>
            <w:r>
              <w:rPr>
                <w:color w:val="4D4D4F"/>
                <w:sz w:val="14"/>
              </w:rPr>
              <w:t>KPI measure 95% confidence interval falls below the baseline (this is assumed, although hasn't been explicitly stated)</w:t>
            </w:r>
          </w:p>
        </w:tc>
        <w:tc>
          <w:tcPr>
            <w:tcW w:w="1134" w:type="dxa"/>
          </w:tcPr>
          <w:p w14:paraId="51B449EA" w14:textId="77777777" w:rsidR="00EF5B27" w:rsidRDefault="00EF5B27">
            <w:pPr>
              <w:pStyle w:val="TableParagraph"/>
              <w:rPr>
                <w:rFonts w:ascii="Times New Roman"/>
                <w:sz w:val="16"/>
              </w:rPr>
            </w:pPr>
          </w:p>
          <w:p w14:paraId="0C846F8D" w14:textId="77777777" w:rsidR="00EF5B27" w:rsidRDefault="00EF5B27">
            <w:pPr>
              <w:pStyle w:val="TableParagraph"/>
              <w:spacing w:before="10"/>
              <w:rPr>
                <w:rFonts w:ascii="Times New Roman"/>
                <w:sz w:val="13"/>
              </w:rPr>
            </w:pPr>
          </w:p>
          <w:p w14:paraId="4FB82A05" w14:textId="77777777" w:rsidR="00EF5B27" w:rsidRDefault="00000000">
            <w:pPr>
              <w:pStyle w:val="TableParagraph"/>
              <w:ind w:left="81" w:right="75"/>
              <w:jc w:val="center"/>
              <w:rPr>
                <w:sz w:val="14"/>
              </w:rPr>
            </w:pPr>
            <w:r>
              <w:rPr>
                <w:color w:val="4D4D4F"/>
                <w:w w:val="105"/>
                <w:sz w:val="14"/>
              </w:rPr>
              <w:t>Not assessed</w:t>
            </w:r>
          </w:p>
        </w:tc>
      </w:tr>
      <w:tr w:rsidR="00EF5B27" w14:paraId="00DF7FCC" w14:textId="77777777">
        <w:trPr>
          <w:trHeight w:val="845"/>
        </w:trPr>
        <w:tc>
          <w:tcPr>
            <w:tcW w:w="737" w:type="dxa"/>
          </w:tcPr>
          <w:p w14:paraId="5ACEB207" w14:textId="77777777" w:rsidR="00EF5B27" w:rsidRDefault="00EF5B27">
            <w:pPr>
              <w:pStyle w:val="TableParagraph"/>
              <w:rPr>
                <w:rFonts w:ascii="Times New Roman"/>
                <w:sz w:val="16"/>
              </w:rPr>
            </w:pPr>
          </w:p>
          <w:p w14:paraId="46909062" w14:textId="77777777" w:rsidR="00EF5B27" w:rsidRDefault="00EF5B27">
            <w:pPr>
              <w:pStyle w:val="TableParagraph"/>
              <w:spacing w:before="10"/>
              <w:rPr>
                <w:rFonts w:ascii="Times New Roman"/>
                <w:sz w:val="13"/>
              </w:rPr>
            </w:pPr>
          </w:p>
          <w:p w14:paraId="32FFD146" w14:textId="77777777" w:rsidR="00EF5B27" w:rsidRDefault="00000000">
            <w:pPr>
              <w:pStyle w:val="TableParagraph"/>
              <w:ind w:left="6"/>
              <w:jc w:val="center"/>
              <w:rPr>
                <w:sz w:val="14"/>
              </w:rPr>
            </w:pPr>
            <w:r>
              <w:rPr>
                <w:color w:val="4D4D4F"/>
                <w:w w:val="96"/>
                <w:sz w:val="14"/>
              </w:rPr>
              <w:t>2</w:t>
            </w:r>
          </w:p>
        </w:tc>
        <w:tc>
          <w:tcPr>
            <w:tcW w:w="1361" w:type="dxa"/>
          </w:tcPr>
          <w:p w14:paraId="1B0C43D2" w14:textId="77777777" w:rsidR="00EF5B27" w:rsidRDefault="00EF5B27">
            <w:pPr>
              <w:pStyle w:val="TableParagraph"/>
              <w:rPr>
                <w:rFonts w:ascii="Times New Roman"/>
              </w:rPr>
            </w:pPr>
          </w:p>
          <w:p w14:paraId="40929D84" w14:textId="77777777" w:rsidR="00EF5B27" w:rsidRDefault="00000000">
            <w:pPr>
              <w:pStyle w:val="TableParagraph"/>
              <w:spacing w:line="252" w:lineRule="auto"/>
              <w:ind w:left="385" w:hanging="184"/>
              <w:rPr>
                <w:sz w:val="14"/>
              </w:rPr>
            </w:pPr>
            <w:r>
              <w:rPr>
                <w:color w:val="4D4D4F"/>
                <w:w w:val="105"/>
                <w:sz w:val="14"/>
              </w:rPr>
              <w:t>Grassy Eucalypt Woodland</w:t>
            </w:r>
          </w:p>
        </w:tc>
        <w:tc>
          <w:tcPr>
            <w:tcW w:w="737" w:type="dxa"/>
          </w:tcPr>
          <w:p w14:paraId="53B19CB4" w14:textId="77777777" w:rsidR="00EF5B27" w:rsidRDefault="00EF5B27">
            <w:pPr>
              <w:pStyle w:val="TableParagraph"/>
              <w:rPr>
                <w:rFonts w:ascii="Times New Roman"/>
                <w:sz w:val="16"/>
              </w:rPr>
            </w:pPr>
          </w:p>
          <w:p w14:paraId="5FD597BB" w14:textId="77777777" w:rsidR="00EF5B27" w:rsidRDefault="00EF5B27">
            <w:pPr>
              <w:pStyle w:val="TableParagraph"/>
              <w:spacing w:before="10"/>
              <w:rPr>
                <w:rFonts w:ascii="Times New Roman"/>
                <w:sz w:val="13"/>
              </w:rPr>
            </w:pPr>
          </w:p>
          <w:p w14:paraId="202AC1D1" w14:textId="77777777" w:rsidR="00EF5B27" w:rsidRDefault="00000000">
            <w:pPr>
              <w:pStyle w:val="TableParagraph"/>
              <w:ind w:left="5"/>
              <w:jc w:val="center"/>
              <w:rPr>
                <w:sz w:val="14"/>
              </w:rPr>
            </w:pPr>
            <w:r>
              <w:rPr>
                <w:color w:val="4D4D4F"/>
                <w:w w:val="96"/>
                <w:sz w:val="14"/>
              </w:rPr>
              <w:t>4</w:t>
            </w:r>
          </w:p>
        </w:tc>
        <w:tc>
          <w:tcPr>
            <w:tcW w:w="1474" w:type="dxa"/>
          </w:tcPr>
          <w:p w14:paraId="235A4372" w14:textId="77777777" w:rsidR="00EF5B27" w:rsidRDefault="00EF5B27">
            <w:pPr>
              <w:pStyle w:val="TableParagraph"/>
              <w:rPr>
                <w:rFonts w:ascii="Times New Roman"/>
                <w:sz w:val="16"/>
              </w:rPr>
            </w:pPr>
          </w:p>
          <w:p w14:paraId="58DA420E" w14:textId="77777777" w:rsidR="00EF5B27" w:rsidRDefault="00EF5B27">
            <w:pPr>
              <w:pStyle w:val="TableParagraph"/>
              <w:spacing w:before="10"/>
              <w:rPr>
                <w:rFonts w:ascii="Times New Roman"/>
                <w:sz w:val="13"/>
              </w:rPr>
            </w:pPr>
          </w:p>
          <w:p w14:paraId="48250487" w14:textId="77777777" w:rsidR="00EF5B27" w:rsidRDefault="00000000">
            <w:pPr>
              <w:pStyle w:val="TableParagraph"/>
              <w:ind w:left="125" w:right="120"/>
              <w:jc w:val="center"/>
              <w:rPr>
                <w:sz w:val="14"/>
              </w:rPr>
            </w:pPr>
            <w:r>
              <w:rPr>
                <w:rFonts w:ascii="Arial Narrow"/>
                <w:i/>
                <w:color w:val="4D4D4F"/>
                <w:w w:val="105"/>
                <w:sz w:val="14"/>
              </w:rPr>
              <w:t>Themeda</w:t>
            </w:r>
            <w:r>
              <w:rPr>
                <w:color w:val="4D4D4F"/>
                <w:w w:val="105"/>
                <w:sz w:val="14"/>
              </w:rPr>
              <w:t>, Poa cover</w:t>
            </w:r>
          </w:p>
        </w:tc>
        <w:tc>
          <w:tcPr>
            <w:tcW w:w="2041" w:type="dxa"/>
          </w:tcPr>
          <w:p w14:paraId="4F2B8908" w14:textId="77777777" w:rsidR="00EF5B27" w:rsidRDefault="00EF5B27">
            <w:pPr>
              <w:pStyle w:val="TableParagraph"/>
              <w:rPr>
                <w:rFonts w:ascii="Times New Roman"/>
                <w:sz w:val="16"/>
              </w:rPr>
            </w:pPr>
          </w:p>
          <w:p w14:paraId="5434D784" w14:textId="77777777" w:rsidR="00EF5B27" w:rsidRDefault="00EF5B27">
            <w:pPr>
              <w:pStyle w:val="TableParagraph"/>
              <w:spacing w:before="10"/>
              <w:rPr>
                <w:rFonts w:ascii="Times New Roman"/>
                <w:sz w:val="13"/>
              </w:rPr>
            </w:pPr>
          </w:p>
          <w:p w14:paraId="0A3CB41B" w14:textId="77777777" w:rsidR="00EF5B27" w:rsidRDefault="00000000">
            <w:pPr>
              <w:pStyle w:val="TableParagraph"/>
              <w:ind w:left="155" w:right="150"/>
              <w:jc w:val="center"/>
              <w:rPr>
                <w:sz w:val="14"/>
              </w:rPr>
            </w:pPr>
            <w:r>
              <w:rPr>
                <w:color w:val="4D4D4F"/>
                <w:w w:val="105"/>
                <w:sz w:val="14"/>
              </w:rPr>
              <w:t>Nutrient-enriched grassland</w:t>
            </w:r>
          </w:p>
        </w:tc>
        <w:tc>
          <w:tcPr>
            <w:tcW w:w="2154" w:type="dxa"/>
          </w:tcPr>
          <w:p w14:paraId="55D6186B" w14:textId="77777777" w:rsidR="00EF5B27" w:rsidRDefault="00000000">
            <w:pPr>
              <w:pStyle w:val="TableParagraph"/>
              <w:spacing w:before="73" w:line="252" w:lineRule="auto"/>
              <w:ind w:left="129" w:right="121"/>
              <w:jc w:val="center"/>
              <w:rPr>
                <w:sz w:val="14"/>
              </w:rPr>
            </w:pPr>
            <w:r>
              <w:rPr>
                <w:color w:val="4D4D4F"/>
                <w:sz w:val="14"/>
              </w:rPr>
              <w:t>KPI measure 95% confidence interval falls below the baseline (this is assumed, although hasn't been explicitly stated)</w:t>
            </w:r>
          </w:p>
        </w:tc>
        <w:tc>
          <w:tcPr>
            <w:tcW w:w="1134" w:type="dxa"/>
          </w:tcPr>
          <w:p w14:paraId="1173ABF2" w14:textId="77777777" w:rsidR="00EF5B27" w:rsidRDefault="00EF5B27">
            <w:pPr>
              <w:pStyle w:val="TableParagraph"/>
              <w:rPr>
                <w:rFonts w:ascii="Times New Roman"/>
                <w:sz w:val="16"/>
              </w:rPr>
            </w:pPr>
          </w:p>
          <w:p w14:paraId="1D982C0C" w14:textId="77777777" w:rsidR="00EF5B27" w:rsidRDefault="00EF5B27">
            <w:pPr>
              <w:pStyle w:val="TableParagraph"/>
              <w:spacing w:before="10"/>
              <w:rPr>
                <w:rFonts w:ascii="Times New Roman"/>
                <w:sz w:val="13"/>
              </w:rPr>
            </w:pPr>
          </w:p>
          <w:p w14:paraId="71DE869F" w14:textId="77777777" w:rsidR="00EF5B27" w:rsidRDefault="00000000">
            <w:pPr>
              <w:pStyle w:val="TableParagraph"/>
              <w:ind w:left="81" w:right="75"/>
              <w:jc w:val="center"/>
              <w:rPr>
                <w:sz w:val="14"/>
              </w:rPr>
            </w:pPr>
            <w:r>
              <w:rPr>
                <w:color w:val="4D4D4F"/>
                <w:w w:val="105"/>
                <w:sz w:val="14"/>
              </w:rPr>
              <w:t>Not assessed</w:t>
            </w:r>
          </w:p>
        </w:tc>
      </w:tr>
      <w:tr w:rsidR="00EF5B27" w14:paraId="742ECD5D" w14:textId="77777777">
        <w:trPr>
          <w:trHeight w:val="845"/>
        </w:trPr>
        <w:tc>
          <w:tcPr>
            <w:tcW w:w="737" w:type="dxa"/>
          </w:tcPr>
          <w:p w14:paraId="1936564E" w14:textId="77777777" w:rsidR="00EF5B27" w:rsidRDefault="00EF5B27">
            <w:pPr>
              <w:pStyle w:val="TableParagraph"/>
              <w:rPr>
                <w:rFonts w:ascii="Times New Roman"/>
                <w:sz w:val="16"/>
              </w:rPr>
            </w:pPr>
          </w:p>
          <w:p w14:paraId="5499B3B8" w14:textId="77777777" w:rsidR="00EF5B27" w:rsidRDefault="00EF5B27">
            <w:pPr>
              <w:pStyle w:val="TableParagraph"/>
              <w:spacing w:before="10"/>
              <w:rPr>
                <w:rFonts w:ascii="Times New Roman"/>
                <w:sz w:val="13"/>
              </w:rPr>
            </w:pPr>
          </w:p>
          <w:p w14:paraId="279086D4" w14:textId="77777777" w:rsidR="00EF5B27" w:rsidRDefault="00000000">
            <w:pPr>
              <w:pStyle w:val="TableParagraph"/>
              <w:ind w:left="6"/>
              <w:jc w:val="center"/>
              <w:rPr>
                <w:sz w:val="14"/>
              </w:rPr>
            </w:pPr>
            <w:r>
              <w:rPr>
                <w:color w:val="4D4D4F"/>
                <w:w w:val="96"/>
                <w:sz w:val="14"/>
              </w:rPr>
              <w:t>2</w:t>
            </w:r>
          </w:p>
        </w:tc>
        <w:tc>
          <w:tcPr>
            <w:tcW w:w="1361" w:type="dxa"/>
          </w:tcPr>
          <w:p w14:paraId="6E91413D" w14:textId="77777777" w:rsidR="00EF5B27" w:rsidRDefault="00EF5B27">
            <w:pPr>
              <w:pStyle w:val="TableParagraph"/>
              <w:rPr>
                <w:rFonts w:ascii="Times New Roman"/>
              </w:rPr>
            </w:pPr>
          </w:p>
          <w:p w14:paraId="5580B346" w14:textId="77777777" w:rsidR="00EF5B27" w:rsidRDefault="00000000">
            <w:pPr>
              <w:pStyle w:val="TableParagraph"/>
              <w:spacing w:line="252" w:lineRule="auto"/>
              <w:ind w:left="385" w:hanging="184"/>
              <w:rPr>
                <w:sz w:val="14"/>
              </w:rPr>
            </w:pPr>
            <w:r>
              <w:rPr>
                <w:color w:val="4D4D4F"/>
                <w:w w:val="105"/>
                <w:sz w:val="14"/>
              </w:rPr>
              <w:t>Grassy Eucalypt Woodland</w:t>
            </w:r>
          </w:p>
        </w:tc>
        <w:tc>
          <w:tcPr>
            <w:tcW w:w="737" w:type="dxa"/>
          </w:tcPr>
          <w:p w14:paraId="456A76D8" w14:textId="77777777" w:rsidR="00EF5B27" w:rsidRDefault="00EF5B27">
            <w:pPr>
              <w:pStyle w:val="TableParagraph"/>
              <w:rPr>
                <w:rFonts w:ascii="Times New Roman"/>
                <w:sz w:val="16"/>
              </w:rPr>
            </w:pPr>
          </w:p>
          <w:p w14:paraId="205E2452" w14:textId="77777777" w:rsidR="00EF5B27" w:rsidRDefault="00EF5B27">
            <w:pPr>
              <w:pStyle w:val="TableParagraph"/>
              <w:spacing w:before="10"/>
              <w:rPr>
                <w:rFonts w:ascii="Times New Roman"/>
                <w:sz w:val="13"/>
              </w:rPr>
            </w:pPr>
          </w:p>
          <w:p w14:paraId="56A42E30" w14:textId="77777777" w:rsidR="00EF5B27" w:rsidRDefault="00000000">
            <w:pPr>
              <w:pStyle w:val="TableParagraph"/>
              <w:ind w:left="5"/>
              <w:jc w:val="center"/>
              <w:rPr>
                <w:sz w:val="14"/>
              </w:rPr>
            </w:pPr>
            <w:r>
              <w:rPr>
                <w:color w:val="4D4D4F"/>
                <w:w w:val="96"/>
                <w:sz w:val="14"/>
              </w:rPr>
              <w:t>4</w:t>
            </w:r>
          </w:p>
        </w:tc>
        <w:tc>
          <w:tcPr>
            <w:tcW w:w="1474" w:type="dxa"/>
          </w:tcPr>
          <w:p w14:paraId="738CBD74" w14:textId="77777777" w:rsidR="00EF5B27" w:rsidRDefault="00EF5B27">
            <w:pPr>
              <w:pStyle w:val="TableParagraph"/>
              <w:rPr>
                <w:rFonts w:ascii="Times New Roman"/>
                <w:sz w:val="16"/>
              </w:rPr>
            </w:pPr>
          </w:p>
          <w:p w14:paraId="794CF90F" w14:textId="77777777" w:rsidR="00EF5B27" w:rsidRDefault="00EF5B27">
            <w:pPr>
              <w:pStyle w:val="TableParagraph"/>
              <w:spacing w:before="10"/>
              <w:rPr>
                <w:rFonts w:ascii="Times New Roman"/>
                <w:sz w:val="13"/>
              </w:rPr>
            </w:pPr>
          </w:p>
          <w:p w14:paraId="18FBA046" w14:textId="77777777" w:rsidR="00EF5B27" w:rsidRDefault="00000000">
            <w:pPr>
              <w:pStyle w:val="TableParagraph"/>
              <w:ind w:left="126" w:right="120"/>
              <w:jc w:val="center"/>
              <w:rPr>
                <w:sz w:val="14"/>
              </w:rPr>
            </w:pPr>
            <w:r>
              <w:rPr>
                <w:rFonts w:ascii="Arial Narrow"/>
                <w:i/>
                <w:color w:val="4D4D4F"/>
                <w:w w:val="105"/>
                <w:sz w:val="14"/>
              </w:rPr>
              <w:t>Themeda</w:t>
            </w:r>
            <w:r>
              <w:rPr>
                <w:color w:val="4D4D4F"/>
                <w:w w:val="105"/>
                <w:sz w:val="14"/>
              </w:rPr>
              <w:t>, Poa cover</w:t>
            </w:r>
          </w:p>
        </w:tc>
        <w:tc>
          <w:tcPr>
            <w:tcW w:w="2041" w:type="dxa"/>
          </w:tcPr>
          <w:p w14:paraId="08405F98" w14:textId="77777777" w:rsidR="00EF5B27" w:rsidRDefault="00EF5B27">
            <w:pPr>
              <w:pStyle w:val="TableParagraph"/>
              <w:rPr>
                <w:rFonts w:ascii="Times New Roman"/>
                <w:sz w:val="16"/>
              </w:rPr>
            </w:pPr>
          </w:p>
          <w:p w14:paraId="28A00C9B" w14:textId="77777777" w:rsidR="00EF5B27" w:rsidRDefault="00EF5B27">
            <w:pPr>
              <w:pStyle w:val="TableParagraph"/>
              <w:spacing w:before="10"/>
              <w:rPr>
                <w:rFonts w:ascii="Times New Roman"/>
                <w:sz w:val="13"/>
              </w:rPr>
            </w:pPr>
          </w:p>
          <w:p w14:paraId="1F106D9A" w14:textId="77777777" w:rsidR="00EF5B27" w:rsidRDefault="00000000">
            <w:pPr>
              <w:pStyle w:val="TableParagraph"/>
              <w:ind w:left="155" w:right="150"/>
              <w:jc w:val="center"/>
              <w:rPr>
                <w:sz w:val="14"/>
              </w:rPr>
            </w:pPr>
            <w:r>
              <w:rPr>
                <w:color w:val="4D4D4F"/>
                <w:w w:val="105"/>
                <w:sz w:val="14"/>
              </w:rPr>
              <w:t>De-rocked grassland</w:t>
            </w:r>
          </w:p>
        </w:tc>
        <w:tc>
          <w:tcPr>
            <w:tcW w:w="2154" w:type="dxa"/>
          </w:tcPr>
          <w:p w14:paraId="544977DF" w14:textId="77777777" w:rsidR="00EF5B27" w:rsidRDefault="00000000">
            <w:pPr>
              <w:pStyle w:val="TableParagraph"/>
              <w:spacing w:before="73" w:line="252" w:lineRule="auto"/>
              <w:ind w:left="129" w:right="121"/>
              <w:jc w:val="center"/>
              <w:rPr>
                <w:sz w:val="14"/>
              </w:rPr>
            </w:pPr>
            <w:r>
              <w:rPr>
                <w:color w:val="4D4D4F"/>
                <w:sz w:val="14"/>
              </w:rPr>
              <w:t>KPI measure 95% confidence interval falls below the baseline (this is assumed, although hasn't been explicitly stated)</w:t>
            </w:r>
          </w:p>
        </w:tc>
        <w:tc>
          <w:tcPr>
            <w:tcW w:w="1134" w:type="dxa"/>
          </w:tcPr>
          <w:p w14:paraId="2188986E" w14:textId="77777777" w:rsidR="00EF5B27" w:rsidRDefault="00EF5B27">
            <w:pPr>
              <w:pStyle w:val="TableParagraph"/>
              <w:rPr>
                <w:rFonts w:ascii="Times New Roman"/>
                <w:sz w:val="16"/>
              </w:rPr>
            </w:pPr>
          </w:p>
          <w:p w14:paraId="104C7574" w14:textId="77777777" w:rsidR="00EF5B27" w:rsidRDefault="00EF5B27">
            <w:pPr>
              <w:pStyle w:val="TableParagraph"/>
              <w:spacing w:before="10"/>
              <w:rPr>
                <w:rFonts w:ascii="Times New Roman"/>
                <w:sz w:val="13"/>
              </w:rPr>
            </w:pPr>
          </w:p>
          <w:p w14:paraId="60428D2C" w14:textId="77777777" w:rsidR="00EF5B27" w:rsidRDefault="00000000">
            <w:pPr>
              <w:pStyle w:val="TableParagraph"/>
              <w:ind w:left="81" w:right="75"/>
              <w:jc w:val="center"/>
              <w:rPr>
                <w:sz w:val="14"/>
              </w:rPr>
            </w:pPr>
            <w:r>
              <w:rPr>
                <w:color w:val="4D4D4F"/>
                <w:w w:val="105"/>
                <w:sz w:val="14"/>
              </w:rPr>
              <w:t>Not assessed</w:t>
            </w:r>
          </w:p>
        </w:tc>
      </w:tr>
      <w:tr w:rsidR="00EF5B27" w14:paraId="3C148D31" w14:textId="77777777">
        <w:trPr>
          <w:trHeight w:val="505"/>
        </w:trPr>
        <w:tc>
          <w:tcPr>
            <w:tcW w:w="737" w:type="dxa"/>
          </w:tcPr>
          <w:p w14:paraId="428956B5" w14:textId="77777777" w:rsidR="00EF5B27" w:rsidRDefault="00EF5B27">
            <w:pPr>
              <w:pStyle w:val="TableParagraph"/>
              <w:rPr>
                <w:rFonts w:ascii="Times New Roman"/>
                <w:sz w:val="15"/>
              </w:rPr>
            </w:pPr>
          </w:p>
          <w:p w14:paraId="29D02337" w14:textId="77777777" w:rsidR="00EF5B27" w:rsidRDefault="00000000">
            <w:pPr>
              <w:pStyle w:val="TableParagraph"/>
              <w:spacing w:before="1"/>
              <w:ind w:left="6"/>
              <w:jc w:val="center"/>
              <w:rPr>
                <w:sz w:val="14"/>
              </w:rPr>
            </w:pPr>
            <w:r>
              <w:rPr>
                <w:color w:val="4D4D4F"/>
                <w:w w:val="96"/>
                <w:sz w:val="14"/>
              </w:rPr>
              <w:t>2</w:t>
            </w:r>
          </w:p>
        </w:tc>
        <w:tc>
          <w:tcPr>
            <w:tcW w:w="1361" w:type="dxa"/>
          </w:tcPr>
          <w:p w14:paraId="30E3B712" w14:textId="77777777" w:rsidR="00EF5B27" w:rsidRDefault="00000000">
            <w:pPr>
              <w:pStyle w:val="TableParagraph"/>
              <w:spacing w:before="83" w:line="252" w:lineRule="auto"/>
              <w:ind w:left="385" w:hanging="184"/>
              <w:rPr>
                <w:sz w:val="14"/>
              </w:rPr>
            </w:pPr>
            <w:r>
              <w:rPr>
                <w:color w:val="4D4D4F"/>
                <w:w w:val="105"/>
                <w:sz w:val="14"/>
              </w:rPr>
              <w:t>Grassy Eucalypt Woodland</w:t>
            </w:r>
          </w:p>
        </w:tc>
        <w:tc>
          <w:tcPr>
            <w:tcW w:w="737" w:type="dxa"/>
          </w:tcPr>
          <w:p w14:paraId="2AF2E8F5" w14:textId="77777777" w:rsidR="00EF5B27" w:rsidRDefault="00EF5B27">
            <w:pPr>
              <w:pStyle w:val="TableParagraph"/>
              <w:rPr>
                <w:rFonts w:ascii="Times New Roman"/>
                <w:sz w:val="15"/>
              </w:rPr>
            </w:pPr>
          </w:p>
          <w:p w14:paraId="43DFDA6B" w14:textId="77777777" w:rsidR="00EF5B27" w:rsidRDefault="00000000">
            <w:pPr>
              <w:pStyle w:val="TableParagraph"/>
              <w:spacing w:before="1"/>
              <w:ind w:left="6"/>
              <w:jc w:val="center"/>
              <w:rPr>
                <w:sz w:val="14"/>
              </w:rPr>
            </w:pPr>
            <w:r>
              <w:rPr>
                <w:color w:val="4D4D4F"/>
                <w:w w:val="96"/>
                <w:sz w:val="14"/>
              </w:rPr>
              <w:t>5</w:t>
            </w:r>
          </w:p>
        </w:tc>
        <w:tc>
          <w:tcPr>
            <w:tcW w:w="1474" w:type="dxa"/>
          </w:tcPr>
          <w:p w14:paraId="7DCB056C" w14:textId="77777777" w:rsidR="00EF5B27" w:rsidRDefault="00000000">
            <w:pPr>
              <w:pStyle w:val="TableParagraph"/>
              <w:spacing w:before="83" w:line="252" w:lineRule="auto"/>
              <w:ind w:left="326" w:firstLine="104"/>
              <w:rPr>
                <w:sz w:val="14"/>
              </w:rPr>
            </w:pPr>
            <w:r>
              <w:rPr>
                <w:color w:val="4D4D4F"/>
                <w:sz w:val="14"/>
              </w:rPr>
              <w:t>Structural heterogeneity</w:t>
            </w:r>
          </w:p>
        </w:tc>
        <w:tc>
          <w:tcPr>
            <w:tcW w:w="2041" w:type="dxa"/>
          </w:tcPr>
          <w:p w14:paraId="709BF62B" w14:textId="77777777" w:rsidR="00EF5B27" w:rsidRDefault="00EF5B27">
            <w:pPr>
              <w:pStyle w:val="TableParagraph"/>
              <w:rPr>
                <w:rFonts w:ascii="Times New Roman"/>
                <w:sz w:val="15"/>
              </w:rPr>
            </w:pPr>
          </w:p>
          <w:p w14:paraId="2A3FCC3A" w14:textId="77777777" w:rsidR="00EF5B27" w:rsidRDefault="00000000">
            <w:pPr>
              <w:pStyle w:val="TableParagraph"/>
              <w:spacing w:before="1"/>
              <w:ind w:left="156" w:right="150"/>
              <w:jc w:val="center"/>
              <w:rPr>
                <w:sz w:val="14"/>
              </w:rPr>
            </w:pPr>
            <w:r>
              <w:rPr>
                <w:color w:val="4D4D4F"/>
                <w:w w:val="105"/>
                <w:sz w:val="14"/>
              </w:rPr>
              <w:t>Herb-rich grassland</w:t>
            </w:r>
          </w:p>
        </w:tc>
        <w:tc>
          <w:tcPr>
            <w:tcW w:w="2154" w:type="dxa"/>
          </w:tcPr>
          <w:p w14:paraId="6C8AA99B" w14:textId="77777777" w:rsidR="00EF5B27" w:rsidRDefault="00000000">
            <w:pPr>
              <w:pStyle w:val="TableParagraph"/>
              <w:spacing w:before="83" w:line="252" w:lineRule="auto"/>
              <w:ind w:left="547" w:right="107" w:hanging="371"/>
              <w:rPr>
                <w:sz w:val="14"/>
              </w:rPr>
            </w:pPr>
            <w:r>
              <w:rPr>
                <w:color w:val="4D4D4F"/>
                <w:sz w:val="14"/>
              </w:rPr>
              <w:t>Percentage cover falls outside the 25–75% range</w:t>
            </w:r>
          </w:p>
        </w:tc>
        <w:tc>
          <w:tcPr>
            <w:tcW w:w="1134" w:type="dxa"/>
          </w:tcPr>
          <w:p w14:paraId="1E9985AA" w14:textId="77777777" w:rsidR="00EF5B27" w:rsidRDefault="00EF5B27">
            <w:pPr>
              <w:pStyle w:val="TableParagraph"/>
              <w:rPr>
                <w:rFonts w:ascii="Times New Roman"/>
                <w:sz w:val="15"/>
              </w:rPr>
            </w:pPr>
          </w:p>
          <w:p w14:paraId="02A98308" w14:textId="77777777" w:rsidR="00EF5B27" w:rsidRDefault="00000000">
            <w:pPr>
              <w:pStyle w:val="TableParagraph"/>
              <w:spacing w:before="1"/>
              <w:ind w:left="81" w:right="74"/>
              <w:jc w:val="center"/>
              <w:rPr>
                <w:sz w:val="14"/>
              </w:rPr>
            </w:pPr>
            <w:r>
              <w:rPr>
                <w:color w:val="4D4D4F"/>
                <w:w w:val="105"/>
                <w:sz w:val="14"/>
              </w:rPr>
              <w:t>Not assessed</w:t>
            </w:r>
          </w:p>
        </w:tc>
      </w:tr>
      <w:tr w:rsidR="00EF5B27" w14:paraId="67DB5865" w14:textId="77777777">
        <w:trPr>
          <w:trHeight w:val="505"/>
        </w:trPr>
        <w:tc>
          <w:tcPr>
            <w:tcW w:w="737" w:type="dxa"/>
          </w:tcPr>
          <w:p w14:paraId="7B796EFC" w14:textId="77777777" w:rsidR="00EF5B27" w:rsidRDefault="00EF5B27">
            <w:pPr>
              <w:pStyle w:val="TableParagraph"/>
              <w:rPr>
                <w:rFonts w:ascii="Times New Roman"/>
                <w:sz w:val="15"/>
              </w:rPr>
            </w:pPr>
          </w:p>
          <w:p w14:paraId="7CA3B6C0" w14:textId="77777777" w:rsidR="00EF5B27" w:rsidRDefault="00000000">
            <w:pPr>
              <w:pStyle w:val="TableParagraph"/>
              <w:spacing w:before="1"/>
              <w:ind w:left="7"/>
              <w:jc w:val="center"/>
              <w:rPr>
                <w:sz w:val="14"/>
              </w:rPr>
            </w:pPr>
            <w:r>
              <w:rPr>
                <w:color w:val="4D4D4F"/>
                <w:w w:val="96"/>
                <w:sz w:val="14"/>
              </w:rPr>
              <w:t>2</w:t>
            </w:r>
          </w:p>
        </w:tc>
        <w:tc>
          <w:tcPr>
            <w:tcW w:w="1361" w:type="dxa"/>
          </w:tcPr>
          <w:p w14:paraId="2FA6D1AC" w14:textId="77777777" w:rsidR="00EF5B27" w:rsidRDefault="00000000">
            <w:pPr>
              <w:pStyle w:val="TableParagraph"/>
              <w:spacing w:before="83" w:line="252" w:lineRule="auto"/>
              <w:ind w:left="385" w:hanging="184"/>
              <w:rPr>
                <w:sz w:val="14"/>
              </w:rPr>
            </w:pPr>
            <w:r>
              <w:rPr>
                <w:color w:val="4D4D4F"/>
                <w:w w:val="105"/>
                <w:sz w:val="14"/>
              </w:rPr>
              <w:t>Grassy Eucalypt Woodland</w:t>
            </w:r>
          </w:p>
        </w:tc>
        <w:tc>
          <w:tcPr>
            <w:tcW w:w="737" w:type="dxa"/>
          </w:tcPr>
          <w:p w14:paraId="2DC678F2" w14:textId="77777777" w:rsidR="00EF5B27" w:rsidRDefault="00EF5B27">
            <w:pPr>
              <w:pStyle w:val="TableParagraph"/>
              <w:rPr>
                <w:rFonts w:ascii="Times New Roman"/>
                <w:sz w:val="15"/>
              </w:rPr>
            </w:pPr>
          </w:p>
          <w:p w14:paraId="321A9E01" w14:textId="77777777" w:rsidR="00EF5B27" w:rsidRDefault="00000000">
            <w:pPr>
              <w:pStyle w:val="TableParagraph"/>
              <w:spacing w:before="1"/>
              <w:ind w:left="6"/>
              <w:jc w:val="center"/>
              <w:rPr>
                <w:sz w:val="14"/>
              </w:rPr>
            </w:pPr>
            <w:r>
              <w:rPr>
                <w:color w:val="4D4D4F"/>
                <w:w w:val="96"/>
                <w:sz w:val="14"/>
              </w:rPr>
              <w:t>5</w:t>
            </w:r>
          </w:p>
        </w:tc>
        <w:tc>
          <w:tcPr>
            <w:tcW w:w="1474" w:type="dxa"/>
          </w:tcPr>
          <w:p w14:paraId="422C47C8" w14:textId="77777777" w:rsidR="00EF5B27" w:rsidRDefault="00000000">
            <w:pPr>
              <w:pStyle w:val="TableParagraph"/>
              <w:spacing w:before="83" w:line="252" w:lineRule="auto"/>
              <w:ind w:left="326" w:firstLine="104"/>
              <w:rPr>
                <w:sz w:val="14"/>
              </w:rPr>
            </w:pPr>
            <w:r>
              <w:rPr>
                <w:color w:val="4D4D4F"/>
                <w:sz w:val="14"/>
              </w:rPr>
              <w:t>Structural heterogeneity</w:t>
            </w:r>
          </w:p>
        </w:tc>
        <w:tc>
          <w:tcPr>
            <w:tcW w:w="2041" w:type="dxa"/>
          </w:tcPr>
          <w:p w14:paraId="37CA9F12" w14:textId="77777777" w:rsidR="00EF5B27" w:rsidRDefault="00EF5B27">
            <w:pPr>
              <w:pStyle w:val="TableParagraph"/>
              <w:rPr>
                <w:rFonts w:ascii="Times New Roman"/>
                <w:sz w:val="15"/>
              </w:rPr>
            </w:pPr>
          </w:p>
          <w:p w14:paraId="73454017" w14:textId="77777777" w:rsidR="00EF5B27" w:rsidRDefault="00000000">
            <w:pPr>
              <w:pStyle w:val="TableParagraph"/>
              <w:spacing w:before="1"/>
              <w:ind w:left="156" w:right="15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42B8A84B" w14:textId="77777777" w:rsidR="00EF5B27" w:rsidRDefault="00000000">
            <w:pPr>
              <w:pStyle w:val="TableParagraph"/>
              <w:spacing w:before="83" w:line="252" w:lineRule="auto"/>
              <w:ind w:left="547" w:right="107" w:hanging="371"/>
              <w:rPr>
                <w:sz w:val="14"/>
              </w:rPr>
            </w:pPr>
            <w:r>
              <w:rPr>
                <w:color w:val="4D4D4F"/>
                <w:sz w:val="14"/>
              </w:rPr>
              <w:t>Percentage cover falls outside the 25–75% range</w:t>
            </w:r>
          </w:p>
        </w:tc>
        <w:tc>
          <w:tcPr>
            <w:tcW w:w="1134" w:type="dxa"/>
          </w:tcPr>
          <w:p w14:paraId="411D1B7D" w14:textId="77777777" w:rsidR="00EF5B27" w:rsidRDefault="00EF5B27">
            <w:pPr>
              <w:pStyle w:val="TableParagraph"/>
              <w:rPr>
                <w:rFonts w:ascii="Times New Roman"/>
                <w:sz w:val="15"/>
              </w:rPr>
            </w:pPr>
          </w:p>
          <w:p w14:paraId="14B466E0" w14:textId="77777777" w:rsidR="00EF5B27" w:rsidRDefault="00000000">
            <w:pPr>
              <w:pStyle w:val="TableParagraph"/>
              <w:spacing w:before="1"/>
              <w:ind w:left="81" w:right="74"/>
              <w:jc w:val="center"/>
              <w:rPr>
                <w:sz w:val="14"/>
              </w:rPr>
            </w:pPr>
            <w:r>
              <w:rPr>
                <w:color w:val="4D4D4F"/>
                <w:w w:val="105"/>
                <w:sz w:val="14"/>
              </w:rPr>
              <w:t>Not assessed</w:t>
            </w:r>
          </w:p>
        </w:tc>
      </w:tr>
    </w:tbl>
    <w:p w14:paraId="64DAFD4C" w14:textId="77777777" w:rsidR="00EF5B27" w:rsidRDefault="00EF5B27">
      <w:pPr>
        <w:jc w:val="center"/>
        <w:rPr>
          <w:sz w:val="14"/>
        </w:rPr>
        <w:sectPr w:rsidR="00EF5B27">
          <w:pgSz w:w="11910" w:h="16840"/>
          <w:pgMar w:top="1080" w:right="1020" w:bottom="860" w:left="1020" w:header="537" w:footer="678" w:gutter="0"/>
          <w:cols w:space="720"/>
        </w:sectPr>
      </w:pPr>
    </w:p>
    <w:p w14:paraId="403427F3" w14:textId="77777777" w:rsidR="00EF5B27" w:rsidRDefault="00000000">
      <w:pPr>
        <w:pStyle w:val="BodyText"/>
        <w:rPr>
          <w:rFonts w:ascii="Times New Roman"/>
        </w:rPr>
      </w:pPr>
      <w:r>
        <w:lastRenderedPageBreak/>
        <w:pict w14:anchorId="28EF72D5">
          <v:group id="_x0000_s2559" style="position:absolute;margin-left:587.05pt;margin-top:183.4pt;width:8.25pt;height:153.1pt;z-index:251750912;mso-position-horizontal-relative:page;mso-position-vertical-relative:page" coordorigin="11741,3668" coordsize="165,3062">
            <v:shape id="_x0000_s2566" style="position:absolute;left:11741;top:3668;width:165;height:561" coordorigin="11741,3668" coordsize="165,561" path="m11906,3668r-165,l11741,4228r165,-18l11906,3668xe" fillcolor="#00aed9" stroked="f">
              <v:path arrowok="t"/>
            </v:shape>
            <v:shape id="_x0000_s2565" style="position:absolute;left:11741;top:4118;width:165;height:425" coordorigin="11741,4118" coordsize="165,425" path="m11906,4118r-165,14l11741,4531r165,12l11906,4118xe" fillcolor="#047ebc" stroked="f">
              <v:path arrowok="t"/>
            </v:shape>
            <v:shape id="_x0000_s2564" type="#_x0000_t75" style="position:absolute;left:11741;top:4355;width:165;height:587">
              <v:imagedata r:id="rId42" o:title=""/>
            </v:shape>
            <v:shape id="_x0000_s2563" style="position:absolute;left:11741;top:5343;width:165;height:536" coordorigin="11741,5343" coordsize="165,536" path="m11741,5343r,535l11906,5872r,-525l11741,5343xe" fillcolor="#f36a2e" stroked="f">
              <v:path arrowok="t"/>
            </v:shape>
            <v:shape id="_x0000_s2562" style="position:absolute;left:11741;top:4925;width:165;height:501" coordorigin="11741,4926" coordsize="165,501" path="m11741,4926r,500l11906,5426r,-485l11741,4926xe" fillcolor="#49783f" stroked="f">
              <v:path arrowok="t"/>
            </v:shape>
            <v:shape id="_x0000_s2561" style="position:absolute;left:11741;top:5781;width:165;height:268" coordorigin="11741,5782" coordsize="165,268" path="m11906,5782r-165,8l11741,6039r165,10l11906,5782xe" fillcolor="#f99f2a" stroked="f">
              <v:path arrowok="t"/>
            </v:shape>
            <v:shape id="_x0000_s2560" style="position:absolute;left:11741;top:6023;width:165;height:707" coordorigin="11741,6023" coordsize="165,707" path="m11741,6023r,706l11906,6729r,-690l11741,6023xe" fillcolor="#ef412c" stroked="f">
              <v:path arrowok="t"/>
            </v:shape>
            <w10:wrap anchorx="page" anchory="page"/>
          </v:group>
        </w:pict>
      </w:r>
    </w:p>
    <w:p w14:paraId="2BED58DD" w14:textId="77777777" w:rsidR="00EF5B27" w:rsidRDefault="00EF5B27">
      <w:pPr>
        <w:pStyle w:val="BodyText"/>
        <w:rPr>
          <w:rFonts w:ascii="Times New Roman"/>
        </w:rPr>
      </w:pPr>
    </w:p>
    <w:p w14:paraId="4B76E9FB" w14:textId="77777777" w:rsidR="00EF5B27" w:rsidRDefault="00EF5B27">
      <w:pPr>
        <w:pStyle w:val="BodyText"/>
        <w:rPr>
          <w:rFonts w:ascii="Times New Roman"/>
        </w:rPr>
      </w:pPr>
    </w:p>
    <w:p w14:paraId="2BFB17E7" w14:textId="77777777" w:rsidR="00EF5B27" w:rsidRDefault="00EF5B27">
      <w:pPr>
        <w:pStyle w:val="BodyText"/>
        <w:rPr>
          <w:rFonts w:ascii="Times New Roman"/>
        </w:rPr>
      </w:pPr>
    </w:p>
    <w:p w14:paraId="5AD0CAF7" w14:textId="77777777" w:rsidR="00EF5B27" w:rsidRDefault="00EF5B27">
      <w:pPr>
        <w:pStyle w:val="BodyText"/>
        <w:spacing w:before="4"/>
        <w:rPr>
          <w:rFonts w:ascii="Times New Roman"/>
          <w:sz w:val="22"/>
        </w:rPr>
      </w:pPr>
    </w:p>
    <w:tbl>
      <w:tblPr>
        <w:tblW w:w="0" w:type="auto"/>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37"/>
        <w:gridCol w:w="1361"/>
        <w:gridCol w:w="737"/>
        <w:gridCol w:w="1474"/>
        <w:gridCol w:w="2041"/>
        <w:gridCol w:w="2154"/>
        <w:gridCol w:w="1134"/>
      </w:tblGrid>
      <w:tr w:rsidR="00EF5B27" w14:paraId="69FB589B" w14:textId="77777777">
        <w:trPr>
          <w:trHeight w:val="732"/>
        </w:trPr>
        <w:tc>
          <w:tcPr>
            <w:tcW w:w="737" w:type="dxa"/>
            <w:tcBorders>
              <w:bottom w:val="single" w:sz="4" w:space="0" w:color="000000"/>
            </w:tcBorders>
            <w:shd w:val="clear" w:color="auto" w:fill="FECC91"/>
          </w:tcPr>
          <w:p w14:paraId="17073B9A" w14:textId="77777777" w:rsidR="00EF5B27" w:rsidRDefault="00000000">
            <w:pPr>
              <w:pStyle w:val="TableParagraph"/>
              <w:spacing w:before="176"/>
              <w:ind w:left="162"/>
              <w:rPr>
                <w:b/>
                <w:sz w:val="16"/>
              </w:rPr>
            </w:pPr>
            <w:r>
              <w:rPr>
                <w:b/>
                <w:w w:val="105"/>
                <w:sz w:val="16"/>
              </w:rPr>
              <w:t>MNES</w:t>
            </w:r>
          </w:p>
          <w:p w14:paraId="0B863C92" w14:textId="77777777" w:rsidR="00EF5B27" w:rsidRDefault="00000000">
            <w:pPr>
              <w:pStyle w:val="TableParagraph"/>
              <w:spacing w:before="4"/>
              <w:ind w:left="104"/>
              <w:rPr>
                <w:b/>
                <w:sz w:val="16"/>
              </w:rPr>
            </w:pPr>
            <w:r>
              <w:rPr>
                <w:b/>
                <w:sz w:val="16"/>
              </w:rPr>
              <w:t>number</w:t>
            </w:r>
          </w:p>
        </w:tc>
        <w:tc>
          <w:tcPr>
            <w:tcW w:w="1361" w:type="dxa"/>
            <w:tcBorders>
              <w:bottom w:val="single" w:sz="4" w:space="0" w:color="000000"/>
            </w:tcBorders>
            <w:shd w:val="clear" w:color="auto" w:fill="FECC91"/>
          </w:tcPr>
          <w:p w14:paraId="37CE544D" w14:textId="77777777" w:rsidR="00EF5B27" w:rsidRDefault="00EF5B27">
            <w:pPr>
              <w:pStyle w:val="TableParagraph"/>
              <w:rPr>
                <w:rFonts w:ascii="Times New Roman"/>
                <w:sz w:val="24"/>
              </w:rPr>
            </w:pPr>
          </w:p>
          <w:p w14:paraId="0184EEB6" w14:textId="77777777" w:rsidR="00EF5B27" w:rsidRDefault="00000000">
            <w:pPr>
              <w:pStyle w:val="TableParagraph"/>
              <w:ind w:left="268"/>
              <w:rPr>
                <w:b/>
                <w:sz w:val="16"/>
              </w:rPr>
            </w:pPr>
            <w:r>
              <w:rPr>
                <w:b/>
                <w:sz w:val="16"/>
              </w:rPr>
              <w:t>MNES name</w:t>
            </w:r>
          </w:p>
        </w:tc>
        <w:tc>
          <w:tcPr>
            <w:tcW w:w="737" w:type="dxa"/>
            <w:tcBorders>
              <w:bottom w:val="single" w:sz="4" w:space="0" w:color="000000"/>
            </w:tcBorders>
            <w:shd w:val="clear" w:color="auto" w:fill="FECC91"/>
          </w:tcPr>
          <w:p w14:paraId="63C65C56" w14:textId="77777777" w:rsidR="00EF5B27" w:rsidRDefault="00000000">
            <w:pPr>
              <w:pStyle w:val="TableParagraph"/>
              <w:spacing w:before="176"/>
              <w:ind w:left="79" w:right="75"/>
              <w:jc w:val="center"/>
              <w:rPr>
                <w:b/>
                <w:sz w:val="16"/>
              </w:rPr>
            </w:pPr>
            <w:r>
              <w:rPr>
                <w:b/>
                <w:w w:val="110"/>
                <w:sz w:val="16"/>
              </w:rPr>
              <w:t>KPI</w:t>
            </w:r>
          </w:p>
          <w:p w14:paraId="4BD12D21" w14:textId="77777777" w:rsidR="00EF5B27" w:rsidRDefault="00000000">
            <w:pPr>
              <w:pStyle w:val="TableParagraph"/>
              <w:spacing w:before="4"/>
              <w:ind w:left="79" w:right="74"/>
              <w:jc w:val="center"/>
              <w:rPr>
                <w:b/>
                <w:sz w:val="16"/>
              </w:rPr>
            </w:pPr>
            <w:r>
              <w:rPr>
                <w:b/>
                <w:sz w:val="16"/>
              </w:rPr>
              <w:t>number</w:t>
            </w:r>
          </w:p>
        </w:tc>
        <w:tc>
          <w:tcPr>
            <w:tcW w:w="1474" w:type="dxa"/>
            <w:tcBorders>
              <w:bottom w:val="single" w:sz="4" w:space="0" w:color="000000"/>
            </w:tcBorders>
            <w:shd w:val="clear" w:color="auto" w:fill="FECC91"/>
          </w:tcPr>
          <w:p w14:paraId="32BD20C8" w14:textId="77777777" w:rsidR="00EF5B27" w:rsidRDefault="00EF5B27">
            <w:pPr>
              <w:pStyle w:val="TableParagraph"/>
              <w:rPr>
                <w:rFonts w:ascii="Times New Roman"/>
                <w:sz w:val="24"/>
              </w:rPr>
            </w:pPr>
          </w:p>
          <w:p w14:paraId="1C9F71AC" w14:textId="77777777" w:rsidR="00EF5B27" w:rsidRDefault="00000000">
            <w:pPr>
              <w:pStyle w:val="TableParagraph"/>
              <w:ind w:left="124" w:right="120"/>
              <w:jc w:val="center"/>
              <w:rPr>
                <w:b/>
                <w:sz w:val="16"/>
              </w:rPr>
            </w:pPr>
            <w:r>
              <w:rPr>
                <w:b/>
                <w:w w:val="105"/>
                <w:sz w:val="16"/>
              </w:rPr>
              <w:t>KPI type</w:t>
            </w:r>
          </w:p>
        </w:tc>
        <w:tc>
          <w:tcPr>
            <w:tcW w:w="2041" w:type="dxa"/>
            <w:tcBorders>
              <w:bottom w:val="single" w:sz="4" w:space="0" w:color="000000"/>
            </w:tcBorders>
            <w:shd w:val="clear" w:color="auto" w:fill="FECC91"/>
          </w:tcPr>
          <w:p w14:paraId="2BD8A53C" w14:textId="77777777" w:rsidR="00EF5B27" w:rsidRDefault="00EF5B27">
            <w:pPr>
              <w:pStyle w:val="TableParagraph"/>
              <w:rPr>
                <w:rFonts w:ascii="Times New Roman"/>
                <w:sz w:val="24"/>
              </w:rPr>
            </w:pPr>
          </w:p>
          <w:p w14:paraId="3147A8CB" w14:textId="77777777" w:rsidR="00EF5B27" w:rsidRDefault="00000000">
            <w:pPr>
              <w:pStyle w:val="TableParagraph"/>
              <w:ind w:left="154" w:right="150"/>
              <w:jc w:val="center"/>
              <w:rPr>
                <w:b/>
                <w:sz w:val="16"/>
              </w:rPr>
            </w:pPr>
            <w:r>
              <w:rPr>
                <w:b/>
                <w:sz w:val="16"/>
              </w:rPr>
              <w:t>Location</w:t>
            </w:r>
          </w:p>
        </w:tc>
        <w:tc>
          <w:tcPr>
            <w:tcW w:w="2154" w:type="dxa"/>
            <w:tcBorders>
              <w:bottom w:val="single" w:sz="4" w:space="0" w:color="000000"/>
            </w:tcBorders>
            <w:shd w:val="clear" w:color="auto" w:fill="FECC91"/>
          </w:tcPr>
          <w:p w14:paraId="25233DDA" w14:textId="77777777" w:rsidR="00EF5B27" w:rsidRDefault="00000000">
            <w:pPr>
              <w:pStyle w:val="TableParagraph"/>
              <w:spacing w:before="176" w:line="244" w:lineRule="auto"/>
              <w:ind w:left="735" w:hanging="342"/>
              <w:rPr>
                <w:b/>
                <w:sz w:val="16"/>
              </w:rPr>
            </w:pPr>
            <w:r>
              <w:rPr>
                <w:b/>
                <w:sz w:val="16"/>
              </w:rPr>
              <w:t>Threshold of impact (negative)</w:t>
            </w:r>
          </w:p>
        </w:tc>
        <w:tc>
          <w:tcPr>
            <w:tcW w:w="1134" w:type="dxa"/>
            <w:tcBorders>
              <w:bottom w:val="single" w:sz="4" w:space="0" w:color="000000"/>
            </w:tcBorders>
            <w:shd w:val="clear" w:color="auto" w:fill="FECC91"/>
          </w:tcPr>
          <w:p w14:paraId="5408A052" w14:textId="77777777" w:rsidR="00EF5B27" w:rsidRDefault="00000000">
            <w:pPr>
              <w:pStyle w:val="TableParagraph"/>
              <w:spacing w:before="176" w:line="244" w:lineRule="auto"/>
              <w:ind w:left="147" w:right="96" w:firstLine="31"/>
              <w:rPr>
                <w:b/>
                <w:sz w:val="16"/>
              </w:rPr>
            </w:pPr>
            <w:r>
              <w:rPr>
                <w:b/>
                <w:sz w:val="16"/>
              </w:rPr>
              <w:t>Outcome at 28 Feb 2022</w:t>
            </w:r>
          </w:p>
        </w:tc>
      </w:tr>
      <w:tr w:rsidR="00EF5B27" w14:paraId="1676EADD" w14:textId="77777777">
        <w:trPr>
          <w:trHeight w:val="505"/>
        </w:trPr>
        <w:tc>
          <w:tcPr>
            <w:tcW w:w="737" w:type="dxa"/>
            <w:tcBorders>
              <w:top w:val="single" w:sz="4" w:space="0" w:color="000000"/>
            </w:tcBorders>
          </w:tcPr>
          <w:p w14:paraId="6A8324F2" w14:textId="77777777" w:rsidR="00EF5B27" w:rsidRDefault="00EF5B27">
            <w:pPr>
              <w:pStyle w:val="TableParagraph"/>
              <w:spacing w:before="1"/>
              <w:rPr>
                <w:rFonts w:ascii="Times New Roman"/>
                <w:sz w:val="15"/>
              </w:rPr>
            </w:pPr>
          </w:p>
          <w:p w14:paraId="442D54AB" w14:textId="77777777" w:rsidR="00EF5B27" w:rsidRDefault="00000000">
            <w:pPr>
              <w:pStyle w:val="TableParagraph"/>
              <w:ind w:left="5"/>
              <w:jc w:val="center"/>
              <w:rPr>
                <w:sz w:val="14"/>
              </w:rPr>
            </w:pPr>
            <w:r>
              <w:rPr>
                <w:color w:val="4D4D4F"/>
                <w:w w:val="96"/>
                <w:sz w:val="14"/>
              </w:rPr>
              <w:t>2</w:t>
            </w:r>
          </w:p>
        </w:tc>
        <w:tc>
          <w:tcPr>
            <w:tcW w:w="1361" w:type="dxa"/>
            <w:tcBorders>
              <w:top w:val="single" w:sz="4" w:space="0" w:color="000000"/>
            </w:tcBorders>
          </w:tcPr>
          <w:p w14:paraId="1A160E86" w14:textId="77777777" w:rsidR="00EF5B27" w:rsidRDefault="00000000">
            <w:pPr>
              <w:pStyle w:val="TableParagraph"/>
              <w:spacing w:before="84" w:line="252" w:lineRule="auto"/>
              <w:ind w:left="384" w:hanging="184"/>
              <w:rPr>
                <w:sz w:val="14"/>
              </w:rPr>
            </w:pPr>
            <w:r>
              <w:rPr>
                <w:color w:val="4D4D4F"/>
                <w:w w:val="105"/>
                <w:sz w:val="14"/>
              </w:rPr>
              <w:t>Grassy Eucalypt Woodland</w:t>
            </w:r>
          </w:p>
        </w:tc>
        <w:tc>
          <w:tcPr>
            <w:tcW w:w="737" w:type="dxa"/>
            <w:tcBorders>
              <w:top w:val="single" w:sz="4" w:space="0" w:color="000000"/>
            </w:tcBorders>
          </w:tcPr>
          <w:p w14:paraId="5B37DB75" w14:textId="77777777" w:rsidR="00EF5B27" w:rsidRDefault="00EF5B27">
            <w:pPr>
              <w:pStyle w:val="TableParagraph"/>
              <w:spacing w:before="1"/>
              <w:rPr>
                <w:rFonts w:ascii="Times New Roman"/>
                <w:sz w:val="15"/>
              </w:rPr>
            </w:pPr>
          </w:p>
          <w:p w14:paraId="08EAFADD" w14:textId="77777777" w:rsidR="00EF5B27" w:rsidRDefault="00000000">
            <w:pPr>
              <w:pStyle w:val="TableParagraph"/>
              <w:ind w:left="4"/>
              <w:jc w:val="center"/>
              <w:rPr>
                <w:sz w:val="14"/>
              </w:rPr>
            </w:pPr>
            <w:r>
              <w:rPr>
                <w:color w:val="4D4D4F"/>
                <w:w w:val="96"/>
                <w:sz w:val="14"/>
              </w:rPr>
              <w:t>5</w:t>
            </w:r>
          </w:p>
        </w:tc>
        <w:tc>
          <w:tcPr>
            <w:tcW w:w="1474" w:type="dxa"/>
            <w:tcBorders>
              <w:top w:val="single" w:sz="4" w:space="0" w:color="000000"/>
            </w:tcBorders>
          </w:tcPr>
          <w:p w14:paraId="39A69E38" w14:textId="77777777" w:rsidR="00EF5B27" w:rsidRDefault="00000000">
            <w:pPr>
              <w:pStyle w:val="TableParagraph"/>
              <w:spacing w:before="84" w:line="252" w:lineRule="auto"/>
              <w:ind w:left="325" w:firstLine="104"/>
              <w:rPr>
                <w:sz w:val="14"/>
              </w:rPr>
            </w:pPr>
            <w:r>
              <w:rPr>
                <w:color w:val="4D4D4F"/>
                <w:sz w:val="14"/>
              </w:rPr>
              <w:t>Structural heterogeneity</w:t>
            </w:r>
          </w:p>
        </w:tc>
        <w:tc>
          <w:tcPr>
            <w:tcW w:w="2041" w:type="dxa"/>
            <w:tcBorders>
              <w:top w:val="single" w:sz="4" w:space="0" w:color="000000"/>
            </w:tcBorders>
          </w:tcPr>
          <w:p w14:paraId="48108B15" w14:textId="77777777" w:rsidR="00EF5B27" w:rsidRDefault="00EF5B27">
            <w:pPr>
              <w:pStyle w:val="TableParagraph"/>
              <w:spacing w:before="1"/>
              <w:rPr>
                <w:rFonts w:ascii="Times New Roman"/>
                <w:sz w:val="15"/>
              </w:rPr>
            </w:pPr>
          </w:p>
          <w:p w14:paraId="3DB47C12" w14:textId="77777777" w:rsidR="00EF5B27" w:rsidRDefault="00000000">
            <w:pPr>
              <w:pStyle w:val="TableParagraph"/>
              <w:ind w:left="154" w:right="150"/>
              <w:jc w:val="center"/>
              <w:rPr>
                <w:sz w:val="14"/>
              </w:rPr>
            </w:pPr>
            <w:r>
              <w:rPr>
                <w:color w:val="4D4D4F"/>
                <w:w w:val="105"/>
                <w:sz w:val="14"/>
              </w:rPr>
              <w:t>C3 grassland</w:t>
            </w:r>
          </w:p>
        </w:tc>
        <w:tc>
          <w:tcPr>
            <w:tcW w:w="2154" w:type="dxa"/>
            <w:tcBorders>
              <w:top w:val="single" w:sz="4" w:space="0" w:color="000000"/>
            </w:tcBorders>
          </w:tcPr>
          <w:p w14:paraId="50089767" w14:textId="77777777" w:rsidR="00EF5B27" w:rsidRDefault="00000000">
            <w:pPr>
              <w:pStyle w:val="TableParagraph"/>
              <w:spacing w:before="84" w:line="252" w:lineRule="auto"/>
              <w:ind w:left="546" w:right="107" w:hanging="371"/>
              <w:rPr>
                <w:sz w:val="14"/>
              </w:rPr>
            </w:pPr>
            <w:r>
              <w:rPr>
                <w:color w:val="4D4D4F"/>
                <w:sz w:val="14"/>
              </w:rPr>
              <w:t>Percentage cover falls outside the 25–75% range</w:t>
            </w:r>
          </w:p>
        </w:tc>
        <w:tc>
          <w:tcPr>
            <w:tcW w:w="1134" w:type="dxa"/>
            <w:tcBorders>
              <w:top w:val="single" w:sz="4" w:space="0" w:color="000000"/>
            </w:tcBorders>
          </w:tcPr>
          <w:p w14:paraId="74A53497" w14:textId="77777777" w:rsidR="00EF5B27" w:rsidRDefault="00EF5B27">
            <w:pPr>
              <w:pStyle w:val="TableParagraph"/>
              <w:spacing w:before="1"/>
              <w:rPr>
                <w:rFonts w:ascii="Times New Roman"/>
                <w:sz w:val="15"/>
              </w:rPr>
            </w:pPr>
          </w:p>
          <w:p w14:paraId="00DF6D76" w14:textId="77777777" w:rsidR="00EF5B27" w:rsidRDefault="00000000">
            <w:pPr>
              <w:pStyle w:val="TableParagraph"/>
              <w:ind w:left="81" w:right="76"/>
              <w:jc w:val="center"/>
              <w:rPr>
                <w:sz w:val="14"/>
              </w:rPr>
            </w:pPr>
            <w:r>
              <w:rPr>
                <w:color w:val="4D4D4F"/>
                <w:w w:val="105"/>
                <w:sz w:val="14"/>
              </w:rPr>
              <w:t>Not assessed</w:t>
            </w:r>
          </w:p>
        </w:tc>
      </w:tr>
      <w:tr w:rsidR="00EF5B27" w14:paraId="6EC2C373" w14:textId="77777777">
        <w:trPr>
          <w:trHeight w:val="505"/>
        </w:trPr>
        <w:tc>
          <w:tcPr>
            <w:tcW w:w="737" w:type="dxa"/>
          </w:tcPr>
          <w:p w14:paraId="6B1CCD17" w14:textId="77777777" w:rsidR="00EF5B27" w:rsidRDefault="00EF5B27">
            <w:pPr>
              <w:pStyle w:val="TableParagraph"/>
              <w:spacing w:before="1"/>
              <w:rPr>
                <w:rFonts w:ascii="Times New Roman"/>
                <w:sz w:val="15"/>
              </w:rPr>
            </w:pPr>
          </w:p>
          <w:p w14:paraId="4AF4E886" w14:textId="77777777" w:rsidR="00EF5B27" w:rsidRDefault="00000000">
            <w:pPr>
              <w:pStyle w:val="TableParagraph"/>
              <w:ind w:left="5"/>
              <w:jc w:val="center"/>
              <w:rPr>
                <w:sz w:val="14"/>
              </w:rPr>
            </w:pPr>
            <w:r>
              <w:rPr>
                <w:color w:val="4D4D4F"/>
                <w:w w:val="96"/>
                <w:sz w:val="14"/>
              </w:rPr>
              <w:t>2</w:t>
            </w:r>
          </w:p>
        </w:tc>
        <w:tc>
          <w:tcPr>
            <w:tcW w:w="1361" w:type="dxa"/>
          </w:tcPr>
          <w:p w14:paraId="308933F9" w14:textId="77777777" w:rsidR="00EF5B27" w:rsidRDefault="00000000">
            <w:pPr>
              <w:pStyle w:val="TableParagraph"/>
              <w:spacing w:before="84" w:line="252" w:lineRule="auto"/>
              <w:ind w:left="384" w:hanging="184"/>
              <w:rPr>
                <w:sz w:val="14"/>
              </w:rPr>
            </w:pPr>
            <w:r>
              <w:rPr>
                <w:color w:val="4D4D4F"/>
                <w:w w:val="105"/>
                <w:sz w:val="14"/>
              </w:rPr>
              <w:t>Grassy Eucalypt Woodland</w:t>
            </w:r>
          </w:p>
        </w:tc>
        <w:tc>
          <w:tcPr>
            <w:tcW w:w="737" w:type="dxa"/>
          </w:tcPr>
          <w:p w14:paraId="1A9BA263" w14:textId="77777777" w:rsidR="00EF5B27" w:rsidRDefault="00EF5B27">
            <w:pPr>
              <w:pStyle w:val="TableParagraph"/>
              <w:spacing w:before="1"/>
              <w:rPr>
                <w:rFonts w:ascii="Times New Roman"/>
                <w:sz w:val="15"/>
              </w:rPr>
            </w:pPr>
          </w:p>
          <w:p w14:paraId="5FB17C04" w14:textId="77777777" w:rsidR="00EF5B27" w:rsidRDefault="00000000">
            <w:pPr>
              <w:pStyle w:val="TableParagraph"/>
              <w:ind w:left="4"/>
              <w:jc w:val="center"/>
              <w:rPr>
                <w:sz w:val="14"/>
              </w:rPr>
            </w:pPr>
            <w:r>
              <w:rPr>
                <w:color w:val="4D4D4F"/>
                <w:w w:val="96"/>
                <w:sz w:val="14"/>
              </w:rPr>
              <w:t>5</w:t>
            </w:r>
          </w:p>
        </w:tc>
        <w:tc>
          <w:tcPr>
            <w:tcW w:w="1474" w:type="dxa"/>
          </w:tcPr>
          <w:p w14:paraId="36EF8D4E" w14:textId="77777777" w:rsidR="00EF5B27" w:rsidRDefault="00000000">
            <w:pPr>
              <w:pStyle w:val="TableParagraph"/>
              <w:spacing w:before="84" w:line="252" w:lineRule="auto"/>
              <w:ind w:left="325" w:firstLine="104"/>
              <w:rPr>
                <w:sz w:val="14"/>
              </w:rPr>
            </w:pPr>
            <w:r>
              <w:rPr>
                <w:color w:val="4D4D4F"/>
                <w:sz w:val="14"/>
              </w:rPr>
              <w:t>Structural heterogeneity</w:t>
            </w:r>
          </w:p>
        </w:tc>
        <w:tc>
          <w:tcPr>
            <w:tcW w:w="2041" w:type="dxa"/>
          </w:tcPr>
          <w:p w14:paraId="1F0CB9BD" w14:textId="77777777" w:rsidR="00EF5B27" w:rsidRDefault="00EF5B27">
            <w:pPr>
              <w:pStyle w:val="TableParagraph"/>
              <w:spacing w:before="1"/>
              <w:rPr>
                <w:rFonts w:ascii="Times New Roman"/>
                <w:sz w:val="15"/>
              </w:rPr>
            </w:pPr>
          </w:p>
          <w:p w14:paraId="463E3751" w14:textId="77777777" w:rsidR="00EF5B27" w:rsidRDefault="00000000">
            <w:pPr>
              <w:pStyle w:val="TableParagraph"/>
              <w:ind w:left="154" w:right="150"/>
              <w:jc w:val="center"/>
              <w:rPr>
                <w:sz w:val="14"/>
              </w:rPr>
            </w:pPr>
            <w:r>
              <w:rPr>
                <w:color w:val="4D4D4F"/>
                <w:w w:val="105"/>
                <w:sz w:val="14"/>
              </w:rPr>
              <w:t>Nutrient-enriched grassland</w:t>
            </w:r>
          </w:p>
        </w:tc>
        <w:tc>
          <w:tcPr>
            <w:tcW w:w="2154" w:type="dxa"/>
          </w:tcPr>
          <w:p w14:paraId="5BDCE5FB" w14:textId="77777777" w:rsidR="00EF5B27" w:rsidRDefault="00000000">
            <w:pPr>
              <w:pStyle w:val="TableParagraph"/>
              <w:spacing w:before="84" w:line="252" w:lineRule="auto"/>
              <w:ind w:left="547" w:right="107" w:hanging="371"/>
              <w:rPr>
                <w:sz w:val="14"/>
              </w:rPr>
            </w:pPr>
            <w:r>
              <w:rPr>
                <w:color w:val="4D4D4F"/>
                <w:sz w:val="14"/>
              </w:rPr>
              <w:t>Percentage cover falls outside the 25–75% range</w:t>
            </w:r>
          </w:p>
        </w:tc>
        <w:tc>
          <w:tcPr>
            <w:tcW w:w="1134" w:type="dxa"/>
          </w:tcPr>
          <w:p w14:paraId="446FB9EE" w14:textId="77777777" w:rsidR="00EF5B27" w:rsidRDefault="00EF5B27">
            <w:pPr>
              <w:pStyle w:val="TableParagraph"/>
              <w:spacing w:before="1"/>
              <w:rPr>
                <w:rFonts w:ascii="Times New Roman"/>
                <w:sz w:val="15"/>
              </w:rPr>
            </w:pPr>
          </w:p>
          <w:p w14:paraId="0D3CC0F2" w14:textId="77777777" w:rsidR="00EF5B27" w:rsidRDefault="00000000">
            <w:pPr>
              <w:pStyle w:val="TableParagraph"/>
              <w:ind w:left="81" w:right="76"/>
              <w:jc w:val="center"/>
              <w:rPr>
                <w:sz w:val="14"/>
              </w:rPr>
            </w:pPr>
            <w:r>
              <w:rPr>
                <w:color w:val="4D4D4F"/>
                <w:w w:val="105"/>
                <w:sz w:val="14"/>
              </w:rPr>
              <w:t>Not assessed</w:t>
            </w:r>
          </w:p>
        </w:tc>
      </w:tr>
      <w:tr w:rsidR="00EF5B27" w14:paraId="42E4339E" w14:textId="77777777">
        <w:trPr>
          <w:trHeight w:val="505"/>
        </w:trPr>
        <w:tc>
          <w:tcPr>
            <w:tcW w:w="737" w:type="dxa"/>
          </w:tcPr>
          <w:p w14:paraId="40D1142E" w14:textId="77777777" w:rsidR="00EF5B27" w:rsidRDefault="00EF5B27">
            <w:pPr>
              <w:pStyle w:val="TableParagraph"/>
              <w:spacing w:before="1"/>
              <w:rPr>
                <w:rFonts w:ascii="Times New Roman"/>
                <w:sz w:val="15"/>
              </w:rPr>
            </w:pPr>
          </w:p>
          <w:p w14:paraId="2FFFF6DD" w14:textId="77777777" w:rsidR="00EF5B27" w:rsidRDefault="00000000">
            <w:pPr>
              <w:pStyle w:val="TableParagraph"/>
              <w:ind w:left="5"/>
              <w:jc w:val="center"/>
              <w:rPr>
                <w:sz w:val="14"/>
              </w:rPr>
            </w:pPr>
            <w:r>
              <w:rPr>
                <w:color w:val="4D4D4F"/>
                <w:w w:val="96"/>
                <w:sz w:val="14"/>
              </w:rPr>
              <w:t>2</w:t>
            </w:r>
          </w:p>
        </w:tc>
        <w:tc>
          <w:tcPr>
            <w:tcW w:w="1361" w:type="dxa"/>
          </w:tcPr>
          <w:p w14:paraId="09AE4113" w14:textId="77777777" w:rsidR="00EF5B27" w:rsidRDefault="00000000">
            <w:pPr>
              <w:pStyle w:val="TableParagraph"/>
              <w:spacing w:before="84" w:line="252" w:lineRule="auto"/>
              <w:ind w:left="384" w:hanging="184"/>
              <w:rPr>
                <w:sz w:val="14"/>
              </w:rPr>
            </w:pPr>
            <w:r>
              <w:rPr>
                <w:color w:val="4D4D4F"/>
                <w:w w:val="105"/>
                <w:sz w:val="14"/>
              </w:rPr>
              <w:t>Grassy Eucalypt Woodland</w:t>
            </w:r>
          </w:p>
        </w:tc>
        <w:tc>
          <w:tcPr>
            <w:tcW w:w="737" w:type="dxa"/>
          </w:tcPr>
          <w:p w14:paraId="7D031FA2" w14:textId="77777777" w:rsidR="00EF5B27" w:rsidRDefault="00EF5B27">
            <w:pPr>
              <w:pStyle w:val="TableParagraph"/>
              <w:spacing w:before="1"/>
              <w:rPr>
                <w:rFonts w:ascii="Times New Roman"/>
                <w:sz w:val="15"/>
              </w:rPr>
            </w:pPr>
          </w:p>
          <w:p w14:paraId="7BE190B8" w14:textId="77777777" w:rsidR="00EF5B27" w:rsidRDefault="00000000">
            <w:pPr>
              <w:pStyle w:val="TableParagraph"/>
              <w:ind w:left="4"/>
              <w:jc w:val="center"/>
              <w:rPr>
                <w:sz w:val="14"/>
              </w:rPr>
            </w:pPr>
            <w:r>
              <w:rPr>
                <w:color w:val="4D4D4F"/>
                <w:w w:val="96"/>
                <w:sz w:val="14"/>
              </w:rPr>
              <w:t>5</w:t>
            </w:r>
          </w:p>
        </w:tc>
        <w:tc>
          <w:tcPr>
            <w:tcW w:w="1474" w:type="dxa"/>
          </w:tcPr>
          <w:p w14:paraId="1779E140" w14:textId="77777777" w:rsidR="00EF5B27" w:rsidRDefault="00000000">
            <w:pPr>
              <w:pStyle w:val="TableParagraph"/>
              <w:spacing w:before="84" w:line="252" w:lineRule="auto"/>
              <w:ind w:left="325" w:firstLine="104"/>
              <w:rPr>
                <w:sz w:val="14"/>
              </w:rPr>
            </w:pPr>
            <w:r>
              <w:rPr>
                <w:color w:val="4D4D4F"/>
                <w:sz w:val="14"/>
              </w:rPr>
              <w:t>Structural heterogeneity</w:t>
            </w:r>
          </w:p>
        </w:tc>
        <w:tc>
          <w:tcPr>
            <w:tcW w:w="2041" w:type="dxa"/>
          </w:tcPr>
          <w:p w14:paraId="39C31836" w14:textId="77777777" w:rsidR="00EF5B27" w:rsidRDefault="00EF5B27">
            <w:pPr>
              <w:pStyle w:val="TableParagraph"/>
              <w:spacing w:before="1"/>
              <w:rPr>
                <w:rFonts w:ascii="Times New Roman"/>
                <w:sz w:val="15"/>
              </w:rPr>
            </w:pPr>
          </w:p>
          <w:p w14:paraId="0C849FCB" w14:textId="77777777" w:rsidR="00EF5B27" w:rsidRDefault="00000000">
            <w:pPr>
              <w:pStyle w:val="TableParagraph"/>
              <w:ind w:left="155" w:right="150"/>
              <w:jc w:val="center"/>
              <w:rPr>
                <w:sz w:val="14"/>
              </w:rPr>
            </w:pPr>
            <w:r>
              <w:rPr>
                <w:color w:val="4D4D4F"/>
                <w:w w:val="105"/>
                <w:sz w:val="14"/>
              </w:rPr>
              <w:t>De-rocked grassland</w:t>
            </w:r>
          </w:p>
        </w:tc>
        <w:tc>
          <w:tcPr>
            <w:tcW w:w="2154" w:type="dxa"/>
          </w:tcPr>
          <w:p w14:paraId="56F2EFDC" w14:textId="77777777" w:rsidR="00EF5B27" w:rsidRDefault="00000000">
            <w:pPr>
              <w:pStyle w:val="TableParagraph"/>
              <w:spacing w:before="84" w:line="252" w:lineRule="auto"/>
              <w:ind w:left="547" w:right="107" w:hanging="371"/>
              <w:rPr>
                <w:sz w:val="14"/>
              </w:rPr>
            </w:pPr>
            <w:r>
              <w:rPr>
                <w:color w:val="4D4D4F"/>
                <w:sz w:val="14"/>
              </w:rPr>
              <w:t>Percentage cover falls outside the 25–75% range</w:t>
            </w:r>
          </w:p>
        </w:tc>
        <w:tc>
          <w:tcPr>
            <w:tcW w:w="1134" w:type="dxa"/>
          </w:tcPr>
          <w:p w14:paraId="40E89ED8" w14:textId="77777777" w:rsidR="00EF5B27" w:rsidRDefault="00EF5B27">
            <w:pPr>
              <w:pStyle w:val="TableParagraph"/>
              <w:spacing w:before="1"/>
              <w:rPr>
                <w:rFonts w:ascii="Times New Roman"/>
                <w:sz w:val="15"/>
              </w:rPr>
            </w:pPr>
          </w:p>
          <w:p w14:paraId="372288BB" w14:textId="77777777" w:rsidR="00EF5B27" w:rsidRDefault="00000000">
            <w:pPr>
              <w:pStyle w:val="TableParagraph"/>
              <w:ind w:left="81" w:right="76"/>
              <w:jc w:val="center"/>
              <w:rPr>
                <w:sz w:val="14"/>
              </w:rPr>
            </w:pPr>
            <w:r>
              <w:rPr>
                <w:color w:val="4D4D4F"/>
                <w:w w:val="105"/>
                <w:sz w:val="14"/>
              </w:rPr>
              <w:t>Not assessed</w:t>
            </w:r>
          </w:p>
        </w:tc>
      </w:tr>
      <w:tr w:rsidR="00EF5B27" w14:paraId="1918209F" w14:textId="77777777">
        <w:trPr>
          <w:trHeight w:val="505"/>
        </w:trPr>
        <w:tc>
          <w:tcPr>
            <w:tcW w:w="737" w:type="dxa"/>
          </w:tcPr>
          <w:p w14:paraId="479D0B64" w14:textId="77777777" w:rsidR="00EF5B27" w:rsidRDefault="00EF5B27">
            <w:pPr>
              <w:pStyle w:val="TableParagraph"/>
              <w:spacing w:before="1"/>
              <w:rPr>
                <w:rFonts w:ascii="Times New Roman"/>
                <w:sz w:val="15"/>
              </w:rPr>
            </w:pPr>
          </w:p>
          <w:p w14:paraId="6ECAD0BE" w14:textId="77777777" w:rsidR="00EF5B27" w:rsidRDefault="00000000">
            <w:pPr>
              <w:pStyle w:val="TableParagraph"/>
              <w:ind w:left="5"/>
              <w:jc w:val="center"/>
              <w:rPr>
                <w:sz w:val="14"/>
              </w:rPr>
            </w:pPr>
            <w:r>
              <w:rPr>
                <w:color w:val="4D4D4F"/>
                <w:w w:val="96"/>
                <w:sz w:val="14"/>
              </w:rPr>
              <w:t>2</w:t>
            </w:r>
          </w:p>
        </w:tc>
        <w:tc>
          <w:tcPr>
            <w:tcW w:w="1361" w:type="dxa"/>
          </w:tcPr>
          <w:p w14:paraId="75B70BEC" w14:textId="77777777" w:rsidR="00EF5B27" w:rsidRDefault="00000000">
            <w:pPr>
              <w:pStyle w:val="TableParagraph"/>
              <w:spacing w:before="84" w:line="252" w:lineRule="auto"/>
              <w:ind w:left="384" w:hanging="184"/>
              <w:rPr>
                <w:sz w:val="14"/>
              </w:rPr>
            </w:pPr>
            <w:r>
              <w:rPr>
                <w:color w:val="4D4D4F"/>
                <w:w w:val="105"/>
                <w:sz w:val="14"/>
              </w:rPr>
              <w:t>Grassy Eucalypt Woodland</w:t>
            </w:r>
          </w:p>
        </w:tc>
        <w:tc>
          <w:tcPr>
            <w:tcW w:w="737" w:type="dxa"/>
          </w:tcPr>
          <w:p w14:paraId="0A51432A" w14:textId="77777777" w:rsidR="00EF5B27" w:rsidRDefault="00EF5B27">
            <w:pPr>
              <w:pStyle w:val="TableParagraph"/>
              <w:spacing w:before="1"/>
              <w:rPr>
                <w:rFonts w:ascii="Times New Roman"/>
                <w:sz w:val="15"/>
              </w:rPr>
            </w:pPr>
          </w:p>
          <w:p w14:paraId="6A8A616C" w14:textId="77777777" w:rsidR="00EF5B27" w:rsidRDefault="00000000">
            <w:pPr>
              <w:pStyle w:val="TableParagraph"/>
              <w:ind w:left="5"/>
              <w:jc w:val="center"/>
              <w:rPr>
                <w:sz w:val="14"/>
              </w:rPr>
            </w:pPr>
            <w:r>
              <w:rPr>
                <w:color w:val="4D4D4F"/>
                <w:w w:val="96"/>
                <w:sz w:val="14"/>
              </w:rPr>
              <w:t>6</w:t>
            </w:r>
          </w:p>
        </w:tc>
        <w:tc>
          <w:tcPr>
            <w:tcW w:w="1474" w:type="dxa"/>
          </w:tcPr>
          <w:p w14:paraId="59C84ACB" w14:textId="77777777" w:rsidR="00EF5B27" w:rsidRDefault="00EF5B27">
            <w:pPr>
              <w:pStyle w:val="TableParagraph"/>
              <w:spacing w:before="1"/>
              <w:rPr>
                <w:rFonts w:ascii="Times New Roman"/>
                <w:sz w:val="15"/>
              </w:rPr>
            </w:pPr>
          </w:p>
          <w:p w14:paraId="73EA306C" w14:textId="77777777" w:rsidR="00EF5B27" w:rsidRDefault="00000000">
            <w:pPr>
              <w:pStyle w:val="TableParagraph"/>
              <w:ind w:left="125" w:right="120"/>
              <w:jc w:val="center"/>
              <w:rPr>
                <w:sz w:val="14"/>
              </w:rPr>
            </w:pPr>
            <w:r>
              <w:rPr>
                <w:color w:val="4D4D4F"/>
                <w:w w:val="105"/>
                <w:sz w:val="14"/>
              </w:rPr>
              <w:t>Recruits</w:t>
            </w:r>
          </w:p>
        </w:tc>
        <w:tc>
          <w:tcPr>
            <w:tcW w:w="2041" w:type="dxa"/>
          </w:tcPr>
          <w:p w14:paraId="7A50A7E6" w14:textId="77777777" w:rsidR="00EF5B27" w:rsidRDefault="00EF5B27">
            <w:pPr>
              <w:pStyle w:val="TableParagraph"/>
              <w:spacing w:before="1"/>
              <w:rPr>
                <w:rFonts w:ascii="Times New Roman"/>
                <w:sz w:val="15"/>
              </w:rPr>
            </w:pPr>
          </w:p>
          <w:p w14:paraId="03462EC0" w14:textId="77777777" w:rsidR="00EF5B27" w:rsidRDefault="00000000">
            <w:pPr>
              <w:pStyle w:val="TableParagraph"/>
              <w:ind w:left="155" w:right="150"/>
              <w:jc w:val="center"/>
              <w:rPr>
                <w:sz w:val="14"/>
              </w:rPr>
            </w:pPr>
            <w:r>
              <w:rPr>
                <w:color w:val="4D4D4F"/>
                <w:w w:val="105"/>
                <w:sz w:val="14"/>
              </w:rPr>
              <w:t>Herb-rich grassland</w:t>
            </w:r>
          </w:p>
        </w:tc>
        <w:tc>
          <w:tcPr>
            <w:tcW w:w="2154" w:type="dxa"/>
          </w:tcPr>
          <w:p w14:paraId="367C2988" w14:textId="77777777" w:rsidR="00EF5B27" w:rsidRDefault="00000000">
            <w:pPr>
              <w:pStyle w:val="TableParagraph"/>
              <w:spacing w:before="84" w:line="252" w:lineRule="auto"/>
              <w:ind w:left="312" w:hanging="77"/>
              <w:rPr>
                <w:sz w:val="14"/>
              </w:rPr>
            </w:pPr>
            <w:r>
              <w:rPr>
                <w:color w:val="4D4D4F"/>
                <w:sz w:val="14"/>
              </w:rPr>
              <w:t>"Some" level of recruits falls outside the 25–75% range</w:t>
            </w:r>
          </w:p>
        </w:tc>
        <w:tc>
          <w:tcPr>
            <w:tcW w:w="1134" w:type="dxa"/>
          </w:tcPr>
          <w:p w14:paraId="54521F93" w14:textId="77777777" w:rsidR="00EF5B27" w:rsidRDefault="00EF5B27">
            <w:pPr>
              <w:pStyle w:val="TableParagraph"/>
              <w:spacing w:before="1"/>
              <w:rPr>
                <w:rFonts w:ascii="Times New Roman"/>
                <w:sz w:val="15"/>
              </w:rPr>
            </w:pPr>
          </w:p>
          <w:p w14:paraId="6D921AB9" w14:textId="77777777" w:rsidR="00EF5B27" w:rsidRDefault="00000000">
            <w:pPr>
              <w:pStyle w:val="TableParagraph"/>
              <w:ind w:left="81" w:right="76"/>
              <w:jc w:val="center"/>
              <w:rPr>
                <w:sz w:val="14"/>
              </w:rPr>
            </w:pPr>
            <w:r>
              <w:rPr>
                <w:color w:val="4D4D4F"/>
                <w:w w:val="105"/>
                <w:sz w:val="14"/>
              </w:rPr>
              <w:t>Not assessed</w:t>
            </w:r>
          </w:p>
        </w:tc>
      </w:tr>
      <w:tr w:rsidR="00EF5B27" w14:paraId="52D5E36A" w14:textId="77777777">
        <w:trPr>
          <w:trHeight w:val="505"/>
        </w:trPr>
        <w:tc>
          <w:tcPr>
            <w:tcW w:w="737" w:type="dxa"/>
          </w:tcPr>
          <w:p w14:paraId="4DA83F84" w14:textId="77777777" w:rsidR="00EF5B27" w:rsidRDefault="00EF5B27">
            <w:pPr>
              <w:pStyle w:val="TableParagraph"/>
              <w:spacing w:before="1"/>
              <w:rPr>
                <w:rFonts w:ascii="Times New Roman"/>
                <w:sz w:val="15"/>
              </w:rPr>
            </w:pPr>
          </w:p>
          <w:p w14:paraId="4A9976EE" w14:textId="77777777" w:rsidR="00EF5B27" w:rsidRDefault="00000000">
            <w:pPr>
              <w:pStyle w:val="TableParagraph"/>
              <w:ind w:left="6"/>
              <w:jc w:val="center"/>
              <w:rPr>
                <w:sz w:val="14"/>
              </w:rPr>
            </w:pPr>
            <w:r>
              <w:rPr>
                <w:color w:val="4D4D4F"/>
                <w:w w:val="96"/>
                <w:sz w:val="14"/>
              </w:rPr>
              <w:t>2</w:t>
            </w:r>
          </w:p>
        </w:tc>
        <w:tc>
          <w:tcPr>
            <w:tcW w:w="1361" w:type="dxa"/>
          </w:tcPr>
          <w:p w14:paraId="7C746957" w14:textId="77777777" w:rsidR="00EF5B27" w:rsidRDefault="00000000">
            <w:pPr>
              <w:pStyle w:val="TableParagraph"/>
              <w:spacing w:before="84" w:line="252" w:lineRule="auto"/>
              <w:ind w:left="385" w:hanging="184"/>
              <w:rPr>
                <w:sz w:val="14"/>
              </w:rPr>
            </w:pPr>
            <w:r>
              <w:rPr>
                <w:color w:val="4D4D4F"/>
                <w:w w:val="105"/>
                <w:sz w:val="14"/>
              </w:rPr>
              <w:t>Grassy Eucalypt Woodland</w:t>
            </w:r>
          </w:p>
        </w:tc>
        <w:tc>
          <w:tcPr>
            <w:tcW w:w="737" w:type="dxa"/>
          </w:tcPr>
          <w:p w14:paraId="18FA297E" w14:textId="77777777" w:rsidR="00EF5B27" w:rsidRDefault="00EF5B27">
            <w:pPr>
              <w:pStyle w:val="TableParagraph"/>
              <w:spacing w:before="1"/>
              <w:rPr>
                <w:rFonts w:ascii="Times New Roman"/>
                <w:sz w:val="15"/>
              </w:rPr>
            </w:pPr>
          </w:p>
          <w:p w14:paraId="5016760D" w14:textId="77777777" w:rsidR="00EF5B27" w:rsidRDefault="00000000">
            <w:pPr>
              <w:pStyle w:val="TableParagraph"/>
              <w:ind w:left="5"/>
              <w:jc w:val="center"/>
              <w:rPr>
                <w:sz w:val="14"/>
              </w:rPr>
            </w:pPr>
            <w:r>
              <w:rPr>
                <w:color w:val="4D4D4F"/>
                <w:w w:val="96"/>
                <w:sz w:val="14"/>
              </w:rPr>
              <w:t>6</w:t>
            </w:r>
          </w:p>
        </w:tc>
        <w:tc>
          <w:tcPr>
            <w:tcW w:w="1474" w:type="dxa"/>
          </w:tcPr>
          <w:p w14:paraId="08BBC22B" w14:textId="77777777" w:rsidR="00EF5B27" w:rsidRDefault="00EF5B27">
            <w:pPr>
              <w:pStyle w:val="TableParagraph"/>
              <w:spacing w:before="1"/>
              <w:rPr>
                <w:rFonts w:ascii="Times New Roman"/>
                <w:sz w:val="15"/>
              </w:rPr>
            </w:pPr>
          </w:p>
          <w:p w14:paraId="26149F40" w14:textId="77777777" w:rsidR="00EF5B27" w:rsidRDefault="00000000">
            <w:pPr>
              <w:pStyle w:val="TableParagraph"/>
              <w:ind w:left="125" w:right="120"/>
              <w:jc w:val="center"/>
              <w:rPr>
                <w:sz w:val="14"/>
              </w:rPr>
            </w:pPr>
            <w:r>
              <w:rPr>
                <w:color w:val="4D4D4F"/>
                <w:w w:val="105"/>
                <w:sz w:val="14"/>
              </w:rPr>
              <w:t>Recruits</w:t>
            </w:r>
          </w:p>
        </w:tc>
        <w:tc>
          <w:tcPr>
            <w:tcW w:w="2041" w:type="dxa"/>
          </w:tcPr>
          <w:p w14:paraId="002E1380" w14:textId="77777777" w:rsidR="00EF5B27" w:rsidRDefault="00EF5B27">
            <w:pPr>
              <w:pStyle w:val="TableParagraph"/>
              <w:spacing w:before="1"/>
              <w:rPr>
                <w:rFonts w:ascii="Times New Roman"/>
                <w:sz w:val="15"/>
              </w:rPr>
            </w:pPr>
          </w:p>
          <w:p w14:paraId="02AEC04A" w14:textId="77777777" w:rsidR="00EF5B27" w:rsidRDefault="00000000">
            <w:pPr>
              <w:pStyle w:val="TableParagraph"/>
              <w:ind w:left="155" w:right="15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05137F80" w14:textId="77777777" w:rsidR="00EF5B27" w:rsidRDefault="00000000">
            <w:pPr>
              <w:pStyle w:val="TableParagraph"/>
              <w:spacing w:before="84" w:line="252" w:lineRule="auto"/>
              <w:ind w:left="312" w:hanging="77"/>
              <w:rPr>
                <w:sz w:val="14"/>
              </w:rPr>
            </w:pPr>
            <w:r>
              <w:rPr>
                <w:color w:val="4D4D4F"/>
                <w:sz w:val="14"/>
              </w:rPr>
              <w:t>"Some" level of recruits falls outside the 25–75% range</w:t>
            </w:r>
          </w:p>
        </w:tc>
        <w:tc>
          <w:tcPr>
            <w:tcW w:w="1134" w:type="dxa"/>
          </w:tcPr>
          <w:p w14:paraId="580EFE38" w14:textId="77777777" w:rsidR="00EF5B27" w:rsidRDefault="00EF5B27">
            <w:pPr>
              <w:pStyle w:val="TableParagraph"/>
              <w:spacing w:before="1"/>
              <w:rPr>
                <w:rFonts w:ascii="Times New Roman"/>
                <w:sz w:val="15"/>
              </w:rPr>
            </w:pPr>
          </w:p>
          <w:p w14:paraId="523B9527" w14:textId="77777777" w:rsidR="00EF5B27" w:rsidRDefault="00000000">
            <w:pPr>
              <w:pStyle w:val="TableParagraph"/>
              <w:ind w:left="81" w:right="76"/>
              <w:jc w:val="center"/>
              <w:rPr>
                <w:sz w:val="14"/>
              </w:rPr>
            </w:pPr>
            <w:r>
              <w:rPr>
                <w:color w:val="4D4D4F"/>
                <w:w w:val="105"/>
                <w:sz w:val="14"/>
              </w:rPr>
              <w:t>Not assessed</w:t>
            </w:r>
          </w:p>
        </w:tc>
      </w:tr>
      <w:tr w:rsidR="00EF5B27" w14:paraId="77DEEF3E" w14:textId="77777777">
        <w:trPr>
          <w:trHeight w:val="505"/>
        </w:trPr>
        <w:tc>
          <w:tcPr>
            <w:tcW w:w="737" w:type="dxa"/>
          </w:tcPr>
          <w:p w14:paraId="72824913" w14:textId="77777777" w:rsidR="00EF5B27" w:rsidRDefault="00EF5B27">
            <w:pPr>
              <w:pStyle w:val="TableParagraph"/>
              <w:spacing w:before="1"/>
              <w:rPr>
                <w:rFonts w:ascii="Times New Roman"/>
                <w:sz w:val="15"/>
              </w:rPr>
            </w:pPr>
          </w:p>
          <w:p w14:paraId="0B3A4981" w14:textId="77777777" w:rsidR="00EF5B27" w:rsidRDefault="00000000">
            <w:pPr>
              <w:pStyle w:val="TableParagraph"/>
              <w:ind w:left="6"/>
              <w:jc w:val="center"/>
              <w:rPr>
                <w:sz w:val="14"/>
              </w:rPr>
            </w:pPr>
            <w:r>
              <w:rPr>
                <w:color w:val="4D4D4F"/>
                <w:w w:val="96"/>
                <w:sz w:val="14"/>
              </w:rPr>
              <w:t>2</w:t>
            </w:r>
          </w:p>
        </w:tc>
        <w:tc>
          <w:tcPr>
            <w:tcW w:w="1361" w:type="dxa"/>
          </w:tcPr>
          <w:p w14:paraId="5622870B" w14:textId="77777777" w:rsidR="00EF5B27" w:rsidRDefault="00000000">
            <w:pPr>
              <w:pStyle w:val="TableParagraph"/>
              <w:spacing w:before="84" w:line="252" w:lineRule="auto"/>
              <w:ind w:left="385" w:hanging="184"/>
              <w:rPr>
                <w:sz w:val="14"/>
              </w:rPr>
            </w:pPr>
            <w:r>
              <w:rPr>
                <w:color w:val="4D4D4F"/>
                <w:w w:val="105"/>
                <w:sz w:val="14"/>
              </w:rPr>
              <w:t>Grassy Eucalypt Woodland</w:t>
            </w:r>
          </w:p>
        </w:tc>
        <w:tc>
          <w:tcPr>
            <w:tcW w:w="737" w:type="dxa"/>
          </w:tcPr>
          <w:p w14:paraId="05A39F25" w14:textId="77777777" w:rsidR="00EF5B27" w:rsidRDefault="00EF5B27">
            <w:pPr>
              <w:pStyle w:val="TableParagraph"/>
              <w:spacing w:before="1"/>
              <w:rPr>
                <w:rFonts w:ascii="Times New Roman"/>
                <w:sz w:val="15"/>
              </w:rPr>
            </w:pPr>
          </w:p>
          <w:p w14:paraId="711D025D" w14:textId="77777777" w:rsidR="00EF5B27" w:rsidRDefault="00000000">
            <w:pPr>
              <w:pStyle w:val="TableParagraph"/>
              <w:ind w:left="5"/>
              <w:jc w:val="center"/>
              <w:rPr>
                <w:sz w:val="14"/>
              </w:rPr>
            </w:pPr>
            <w:r>
              <w:rPr>
                <w:color w:val="4D4D4F"/>
                <w:w w:val="96"/>
                <w:sz w:val="14"/>
              </w:rPr>
              <w:t>6</w:t>
            </w:r>
          </w:p>
        </w:tc>
        <w:tc>
          <w:tcPr>
            <w:tcW w:w="1474" w:type="dxa"/>
          </w:tcPr>
          <w:p w14:paraId="00F0A545" w14:textId="77777777" w:rsidR="00EF5B27" w:rsidRDefault="00EF5B27">
            <w:pPr>
              <w:pStyle w:val="TableParagraph"/>
              <w:spacing w:before="1"/>
              <w:rPr>
                <w:rFonts w:ascii="Times New Roman"/>
                <w:sz w:val="15"/>
              </w:rPr>
            </w:pPr>
          </w:p>
          <w:p w14:paraId="2B0108BB" w14:textId="77777777" w:rsidR="00EF5B27" w:rsidRDefault="00000000">
            <w:pPr>
              <w:pStyle w:val="TableParagraph"/>
              <w:ind w:left="125" w:right="120"/>
              <w:jc w:val="center"/>
              <w:rPr>
                <w:sz w:val="14"/>
              </w:rPr>
            </w:pPr>
            <w:r>
              <w:rPr>
                <w:color w:val="4D4D4F"/>
                <w:w w:val="105"/>
                <w:sz w:val="14"/>
              </w:rPr>
              <w:t>Recruits</w:t>
            </w:r>
          </w:p>
        </w:tc>
        <w:tc>
          <w:tcPr>
            <w:tcW w:w="2041" w:type="dxa"/>
          </w:tcPr>
          <w:p w14:paraId="61B8BE68" w14:textId="77777777" w:rsidR="00EF5B27" w:rsidRDefault="00EF5B27">
            <w:pPr>
              <w:pStyle w:val="TableParagraph"/>
              <w:spacing w:before="1"/>
              <w:rPr>
                <w:rFonts w:ascii="Times New Roman"/>
                <w:sz w:val="15"/>
              </w:rPr>
            </w:pPr>
          </w:p>
          <w:p w14:paraId="076D8446" w14:textId="77777777" w:rsidR="00EF5B27" w:rsidRDefault="00000000">
            <w:pPr>
              <w:pStyle w:val="TableParagraph"/>
              <w:ind w:left="155" w:right="150"/>
              <w:jc w:val="center"/>
              <w:rPr>
                <w:sz w:val="14"/>
              </w:rPr>
            </w:pPr>
            <w:r>
              <w:rPr>
                <w:color w:val="4D4D4F"/>
                <w:w w:val="105"/>
                <w:sz w:val="14"/>
              </w:rPr>
              <w:t>C3 grassland</w:t>
            </w:r>
          </w:p>
        </w:tc>
        <w:tc>
          <w:tcPr>
            <w:tcW w:w="2154" w:type="dxa"/>
          </w:tcPr>
          <w:p w14:paraId="0F781D31" w14:textId="77777777" w:rsidR="00EF5B27" w:rsidRDefault="00000000">
            <w:pPr>
              <w:pStyle w:val="TableParagraph"/>
              <w:spacing w:before="84" w:line="252" w:lineRule="auto"/>
              <w:ind w:left="313" w:hanging="77"/>
              <w:rPr>
                <w:sz w:val="14"/>
              </w:rPr>
            </w:pPr>
            <w:r>
              <w:rPr>
                <w:color w:val="4D4D4F"/>
                <w:sz w:val="14"/>
              </w:rPr>
              <w:t>"Some" level of recruits falls outside the 25–75% range</w:t>
            </w:r>
          </w:p>
        </w:tc>
        <w:tc>
          <w:tcPr>
            <w:tcW w:w="1134" w:type="dxa"/>
          </w:tcPr>
          <w:p w14:paraId="0E049747" w14:textId="77777777" w:rsidR="00EF5B27" w:rsidRDefault="00EF5B27">
            <w:pPr>
              <w:pStyle w:val="TableParagraph"/>
              <w:spacing w:before="1"/>
              <w:rPr>
                <w:rFonts w:ascii="Times New Roman"/>
                <w:sz w:val="15"/>
              </w:rPr>
            </w:pPr>
          </w:p>
          <w:p w14:paraId="612C344A" w14:textId="77777777" w:rsidR="00EF5B27" w:rsidRDefault="00000000">
            <w:pPr>
              <w:pStyle w:val="TableParagraph"/>
              <w:ind w:left="81" w:right="75"/>
              <w:jc w:val="center"/>
              <w:rPr>
                <w:sz w:val="14"/>
              </w:rPr>
            </w:pPr>
            <w:r>
              <w:rPr>
                <w:color w:val="4D4D4F"/>
                <w:w w:val="105"/>
                <w:sz w:val="14"/>
              </w:rPr>
              <w:t>Not assessed</w:t>
            </w:r>
          </w:p>
        </w:tc>
      </w:tr>
      <w:tr w:rsidR="00EF5B27" w14:paraId="70E85227" w14:textId="77777777">
        <w:trPr>
          <w:trHeight w:val="505"/>
        </w:trPr>
        <w:tc>
          <w:tcPr>
            <w:tcW w:w="737" w:type="dxa"/>
          </w:tcPr>
          <w:p w14:paraId="3E8D2119" w14:textId="77777777" w:rsidR="00EF5B27" w:rsidRDefault="00EF5B27">
            <w:pPr>
              <w:pStyle w:val="TableParagraph"/>
              <w:spacing w:before="1"/>
              <w:rPr>
                <w:rFonts w:ascii="Times New Roman"/>
                <w:sz w:val="15"/>
              </w:rPr>
            </w:pPr>
          </w:p>
          <w:p w14:paraId="473B946C" w14:textId="77777777" w:rsidR="00EF5B27" w:rsidRDefault="00000000">
            <w:pPr>
              <w:pStyle w:val="TableParagraph"/>
              <w:ind w:left="6"/>
              <w:jc w:val="center"/>
              <w:rPr>
                <w:sz w:val="14"/>
              </w:rPr>
            </w:pPr>
            <w:r>
              <w:rPr>
                <w:color w:val="4D4D4F"/>
                <w:w w:val="96"/>
                <w:sz w:val="14"/>
              </w:rPr>
              <w:t>2</w:t>
            </w:r>
          </w:p>
        </w:tc>
        <w:tc>
          <w:tcPr>
            <w:tcW w:w="1361" w:type="dxa"/>
          </w:tcPr>
          <w:p w14:paraId="53B9D2FE" w14:textId="77777777" w:rsidR="00EF5B27" w:rsidRDefault="00000000">
            <w:pPr>
              <w:pStyle w:val="TableParagraph"/>
              <w:spacing w:before="84" w:line="252" w:lineRule="auto"/>
              <w:ind w:left="385" w:hanging="184"/>
              <w:rPr>
                <w:sz w:val="14"/>
              </w:rPr>
            </w:pPr>
            <w:r>
              <w:rPr>
                <w:color w:val="4D4D4F"/>
                <w:w w:val="105"/>
                <w:sz w:val="14"/>
              </w:rPr>
              <w:t>Grassy Eucalypt Woodland</w:t>
            </w:r>
          </w:p>
        </w:tc>
        <w:tc>
          <w:tcPr>
            <w:tcW w:w="737" w:type="dxa"/>
          </w:tcPr>
          <w:p w14:paraId="1AE0395C" w14:textId="77777777" w:rsidR="00EF5B27" w:rsidRDefault="00EF5B27">
            <w:pPr>
              <w:pStyle w:val="TableParagraph"/>
              <w:spacing w:before="1"/>
              <w:rPr>
                <w:rFonts w:ascii="Times New Roman"/>
                <w:sz w:val="15"/>
              </w:rPr>
            </w:pPr>
          </w:p>
          <w:p w14:paraId="27054528" w14:textId="77777777" w:rsidR="00EF5B27" w:rsidRDefault="00000000">
            <w:pPr>
              <w:pStyle w:val="TableParagraph"/>
              <w:ind w:left="5"/>
              <w:jc w:val="center"/>
              <w:rPr>
                <w:sz w:val="14"/>
              </w:rPr>
            </w:pPr>
            <w:r>
              <w:rPr>
                <w:color w:val="4D4D4F"/>
                <w:w w:val="96"/>
                <w:sz w:val="14"/>
              </w:rPr>
              <w:t>6</w:t>
            </w:r>
          </w:p>
        </w:tc>
        <w:tc>
          <w:tcPr>
            <w:tcW w:w="1474" w:type="dxa"/>
          </w:tcPr>
          <w:p w14:paraId="103AD4FE" w14:textId="77777777" w:rsidR="00EF5B27" w:rsidRDefault="00EF5B27">
            <w:pPr>
              <w:pStyle w:val="TableParagraph"/>
              <w:spacing w:before="1"/>
              <w:rPr>
                <w:rFonts w:ascii="Times New Roman"/>
                <w:sz w:val="15"/>
              </w:rPr>
            </w:pPr>
          </w:p>
          <w:p w14:paraId="3C09D65C" w14:textId="77777777" w:rsidR="00EF5B27" w:rsidRDefault="00000000">
            <w:pPr>
              <w:pStyle w:val="TableParagraph"/>
              <w:ind w:left="125" w:right="120"/>
              <w:jc w:val="center"/>
              <w:rPr>
                <w:sz w:val="14"/>
              </w:rPr>
            </w:pPr>
            <w:r>
              <w:rPr>
                <w:color w:val="4D4D4F"/>
                <w:w w:val="105"/>
                <w:sz w:val="14"/>
              </w:rPr>
              <w:t>Recruits</w:t>
            </w:r>
          </w:p>
        </w:tc>
        <w:tc>
          <w:tcPr>
            <w:tcW w:w="2041" w:type="dxa"/>
          </w:tcPr>
          <w:p w14:paraId="60716934" w14:textId="77777777" w:rsidR="00EF5B27" w:rsidRDefault="00EF5B27">
            <w:pPr>
              <w:pStyle w:val="TableParagraph"/>
              <w:spacing w:before="1"/>
              <w:rPr>
                <w:rFonts w:ascii="Times New Roman"/>
                <w:sz w:val="15"/>
              </w:rPr>
            </w:pPr>
          </w:p>
          <w:p w14:paraId="79DDCB4D" w14:textId="77777777" w:rsidR="00EF5B27" w:rsidRDefault="00000000">
            <w:pPr>
              <w:pStyle w:val="TableParagraph"/>
              <w:ind w:left="155" w:right="150"/>
              <w:jc w:val="center"/>
              <w:rPr>
                <w:sz w:val="14"/>
              </w:rPr>
            </w:pPr>
            <w:r>
              <w:rPr>
                <w:color w:val="4D4D4F"/>
                <w:w w:val="105"/>
                <w:sz w:val="14"/>
              </w:rPr>
              <w:t>Nutrient-enriched grassland</w:t>
            </w:r>
          </w:p>
        </w:tc>
        <w:tc>
          <w:tcPr>
            <w:tcW w:w="2154" w:type="dxa"/>
          </w:tcPr>
          <w:p w14:paraId="4CCD39E4" w14:textId="77777777" w:rsidR="00EF5B27" w:rsidRDefault="00000000">
            <w:pPr>
              <w:pStyle w:val="TableParagraph"/>
              <w:spacing w:before="84" w:line="252" w:lineRule="auto"/>
              <w:ind w:left="313" w:hanging="77"/>
              <w:rPr>
                <w:sz w:val="14"/>
              </w:rPr>
            </w:pPr>
            <w:r>
              <w:rPr>
                <w:color w:val="4D4D4F"/>
                <w:sz w:val="14"/>
              </w:rPr>
              <w:t>"Some" level of recruits falls outside the 25–75% range</w:t>
            </w:r>
          </w:p>
        </w:tc>
        <w:tc>
          <w:tcPr>
            <w:tcW w:w="1134" w:type="dxa"/>
          </w:tcPr>
          <w:p w14:paraId="7832AF79" w14:textId="77777777" w:rsidR="00EF5B27" w:rsidRDefault="00EF5B27">
            <w:pPr>
              <w:pStyle w:val="TableParagraph"/>
              <w:spacing w:before="1"/>
              <w:rPr>
                <w:rFonts w:ascii="Times New Roman"/>
                <w:sz w:val="15"/>
              </w:rPr>
            </w:pPr>
          </w:p>
          <w:p w14:paraId="4B82B862" w14:textId="77777777" w:rsidR="00EF5B27" w:rsidRDefault="00000000">
            <w:pPr>
              <w:pStyle w:val="TableParagraph"/>
              <w:ind w:left="81" w:right="75"/>
              <w:jc w:val="center"/>
              <w:rPr>
                <w:sz w:val="14"/>
              </w:rPr>
            </w:pPr>
            <w:r>
              <w:rPr>
                <w:color w:val="4D4D4F"/>
                <w:w w:val="105"/>
                <w:sz w:val="14"/>
              </w:rPr>
              <w:t>Not assessed</w:t>
            </w:r>
          </w:p>
        </w:tc>
      </w:tr>
      <w:tr w:rsidR="00EF5B27" w14:paraId="0F54CF1E" w14:textId="77777777">
        <w:trPr>
          <w:trHeight w:val="505"/>
        </w:trPr>
        <w:tc>
          <w:tcPr>
            <w:tcW w:w="737" w:type="dxa"/>
          </w:tcPr>
          <w:p w14:paraId="1BA4981C" w14:textId="77777777" w:rsidR="00EF5B27" w:rsidRDefault="00EF5B27">
            <w:pPr>
              <w:pStyle w:val="TableParagraph"/>
              <w:spacing w:before="1"/>
              <w:rPr>
                <w:rFonts w:ascii="Times New Roman"/>
                <w:sz w:val="15"/>
              </w:rPr>
            </w:pPr>
          </w:p>
          <w:p w14:paraId="146C1A0E" w14:textId="77777777" w:rsidR="00EF5B27" w:rsidRDefault="00000000">
            <w:pPr>
              <w:pStyle w:val="TableParagraph"/>
              <w:spacing w:before="1"/>
              <w:ind w:left="6"/>
              <w:jc w:val="center"/>
              <w:rPr>
                <w:sz w:val="14"/>
              </w:rPr>
            </w:pPr>
            <w:r>
              <w:rPr>
                <w:color w:val="4D4D4F"/>
                <w:w w:val="96"/>
                <w:sz w:val="14"/>
              </w:rPr>
              <w:t>2</w:t>
            </w:r>
          </w:p>
        </w:tc>
        <w:tc>
          <w:tcPr>
            <w:tcW w:w="1361" w:type="dxa"/>
          </w:tcPr>
          <w:p w14:paraId="12304130" w14:textId="77777777" w:rsidR="00EF5B27" w:rsidRDefault="00000000">
            <w:pPr>
              <w:pStyle w:val="TableParagraph"/>
              <w:spacing w:before="84" w:line="252" w:lineRule="auto"/>
              <w:ind w:left="385" w:hanging="184"/>
              <w:rPr>
                <w:sz w:val="14"/>
              </w:rPr>
            </w:pPr>
            <w:r>
              <w:rPr>
                <w:color w:val="4D4D4F"/>
                <w:w w:val="105"/>
                <w:sz w:val="14"/>
              </w:rPr>
              <w:t>Grassy Eucalypt Woodland</w:t>
            </w:r>
          </w:p>
        </w:tc>
        <w:tc>
          <w:tcPr>
            <w:tcW w:w="737" w:type="dxa"/>
          </w:tcPr>
          <w:p w14:paraId="60418775" w14:textId="77777777" w:rsidR="00EF5B27" w:rsidRDefault="00EF5B27">
            <w:pPr>
              <w:pStyle w:val="TableParagraph"/>
              <w:spacing w:before="1"/>
              <w:rPr>
                <w:rFonts w:ascii="Times New Roman"/>
                <w:sz w:val="15"/>
              </w:rPr>
            </w:pPr>
          </w:p>
          <w:p w14:paraId="4CF6761C" w14:textId="77777777" w:rsidR="00EF5B27" w:rsidRDefault="00000000">
            <w:pPr>
              <w:pStyle w:val="TableParagraph"/>
              <w:spacing w:before="1"/>
              <w:ind w:left="5"/>
              <w:jc w:val="center"/>
              <w:rPr>
                <w:sz w:val="14"/>
              </w:rPr>
            </w:pPr>
            <w:r>
              <w:rPr>
                <w:color w:val="4D4D4F"/>
                <w:w w:val="96"/>
                <w:sz w:val="14"/>
              </w:rPr>
              <w:t>6</w:t>
            </w:r>
          </w:p>
        </w:tc>
        <w:tc>
          <w:tcPr>
            <w:tcW w:w="1474" w:type="dxa"/>
          </w:tcPr>
          <w:p w14:paraId="261DEB83" w14:textId="77777777" w:rsidR="00EF5B27" w:rsidRDefault="00EF5B27">
            <w:pPr>
              <w:pStyle w:val="TableParagraph"/>
              <w:spacing w:before="1"/>
              <w:rPr>
                <w:rFonts w:ascii="Times New Roman"/>
                <w:sz w:val="15"/>
              </w:rPr>
            </w:pPr>
          </w:p>
          <w:p w14:paraId="64E0C42C" w14:textId="77777777" w:rsidR="00EF5B27" w:rsidRDefault="00000000">
            <w:pPr>
              <w:pStyle w:val="TableParagraph"/>
              <w:spacing w:before="1"/>
              <w:ind w:left="126" w:right="120"/>
              <w:jc w:val="center"/>
              <w:rPr>
                <w:sz w:val="14"/>
              </w:rPr>
            </w:pPr>
            <w:r>
              <w:rPr>
                <w:color w:val="4D4D4F"/>
                <w:w w:val="105"/>
                <w:sz w:val="14"/>
              </w:rPr>
              <w:t>Recruits</w:t>
            </w:r>
          </w:p>
        </w:tc>
        <w:tc>
          <w:tcPr>
            <w:tcW w:w="2041" w:type="dxa"/>
          </w:tcPr>
          <w:p w14:paraId="1DD2C60C" w14:textId="77777777" w:rsidR="00EF5B27" w:rsidRDefault="00EF5B27">
            <w:pPr>
              <w:pStyle w:val="TableParagraph"/>
              <w:spacing w:before="1"/>
              <w:rPr>
                <w:rFonts w:ascii="Times New Roman"/>
                <w:sz w:val="15"/>
              </w:rPr>
            </w:pPr>
          </w:p>
          <w:p w14:paraId="3A0469B7" w14:textId="77777777" w:rsidR="00EF5B27" w:rsidRDefault="00000000">
            <w:pPr>
              <w:pStyle w:val="TableParagraph"/>
              <w:spacing w:before="1"/>
              <w:ind w:left="155" w:right="150"/>
              <w:jc w:val="center"/>
              <w:rPr>
                <w:sz w:val="14"/>
              </w:rPr>
            </w:pPr>
            <w:r>
              <w:rPr>
                <w:color w:val="4D4D4F"/>
                <w:w w:val="105"/>
                <w:sz w:val="14"/>
              </w:rPr>
              <w:t>De-rocked grassland</w:t>
            </w:r>
          </w:p>
        </w:tc>
        <w:tc>
          <w:tcPr>
            <w:tcW w:w="2154" w:type="dxa"/>
          </w:tcPr>
          <w:p w14:paraId="56586387" w14:textId="77777777" w:rsidR="00EF5B27" w:rsidRDefault="00000000">
            <w:pPr>
              <w:pStyle w:val="TableParagraph"/>
              <w:spacing w:before="84" w:line="252" w:lineRule="auto"/>
              <w:ind w:left="313" w:hanging="77"/>
              <w:rPr>
                <w:sz w:val="14"/>
              </w:rPr>
            </w:pPr>
            <w:r>
              <w:rPr>
                <w:color w:val="4D4D4F"/>
                <w:sz w:val="14"/>
              </w:rPr>
              <w:t>"Some" level of recruits falls outside the 25–75% range</w:t>
            </w:r>
          </w:p>
        </w:tc>
        <w:tc>
          <w:tcPr>
            <w:tcW w:w="1134" w:type="dxa"/>
          </w:tcPr>
          <w:p w14:paraId="17EF07EA" w14:textId="77777777" w:rsidR="00EF5B27" w:rsidRDefault="00EF5B27">
            <w:pPr>
              <w:pStyle w:val="TableParagraph"/>
              <w:spacing w:before="1"/>
              <w:rPr>
                <w:rFonts w:ascii="Times New Roman"/>
                <w:sz w:val="15"/>
              </w:rPr>
            </w:pPr>
          </w:p>
          <w:p w14:paraId="480F55A1" w14:textId="77777777" w:rsidR="00EF5B27" w:rsidRDefault="00000000">
            <w:pPr>
              <w:pStyle w:val="TableParagraph"/>
              <w:spacing w:before="1"/>
              <w:ind w:left="81" w:right="75"/>
              <w:jc w:val="center"/>
              <w:rPr>
                <w:sz w:val="14"/>
              </w:rPr>
            </w:pPr>
            <w:r>
              <w:rPr>
                <w:color w:val="4D4D4F"/>
                <w:w w:val="105"/>
                <w:sz w:val="14"/>
              </w:rPr>
              <w:t>Not assessed</w:t>
            </w:r>
          </w:p>
        </w:tc>
      </w:tr>
      <w:tr w:rsidR="00EF5B27" w14:paraId="709EE699" w14:textId="77777777">
        <w:trPr>
          <w:trHeight w:val="845"/>
        </w:trPr>
        <w:tc>
          <w:tcPr>
            <w:tcW w:w="737" w:type="dxa"/>
          </w:tcPr>
          <w:p w14:paraId="439A6C45" w14:textId="77777777" w:rsidR="00EF5B27" w:rsidRDefault="00EF5B27">
            <w:pPr>
              <w:pStyle w:val="TableParagraph"/>
              <w:rPr>
                <w:rFonts w:ascii="Times New Roman"/>
                <w:sz w:val="16"/>
              </w:rPr>
            </w:pPr>
          </w:p>
          <w:p w14:paraId="163859A7" w14:textId="77777777" w:rsidR="00EF5B27" w:rsidRDefault="00EF5B27">
            <w:pPr>
              <w:pStyle w:val="TableParagraph"/>
              <w:spacing w:before="10"/>
              <w:rPr>
                <w:rFonts w:ascii="Times New Roman"/>
                <w:sz w:val="13"/>
              </w:rPr>
            </w:pPr>
          </w:p>
          <w:p w14:paraId="0AD41332" w14:textId="77777777" w:rsidR="00EF5B27" w:rsidRDefault="00000000">
            <w:pPr>
              <w:pStyle w:val="TableParagraph"/>
              <w:spacing w:before="1"/>
              <w:ind w:left="6"/>
              <w:jc w:val="center"/>
              <w:rPr>
                <w:sz w:val="14"/>
              </w:rPr>
            </w:pPr>
            <w:r>
              <w:rPr>
                <w:color w:val="4D4D4F"/>
                <w:w w:val="96"/>
                <w:sz w:val="14"/>
              </w:rPr>
              <w:t>2</w:t>
            </w:r>
          </w:p>
        </w:tc>
        <w:tc>
          <w:tcPr>
            <w:tcW w:w="1361" w:type="dxa"/>
          </w:tcPr>
          <w:p w14:paraId="04F10922" w14:textId="77777777" w:rsidR="00EF5B27" w:rsidRDefault="00EF5B27">
            <w:pPr>
              <w:pStyle w:val="TableParagraph"/>
              <w:spacing w:before="1"/>
              <w:rPr>
                <w:rFonts w:ascii="Times New Roman"/>
              </w:rPr>
            </w:pPr>
          </w:p>
          <w:p w14:paraId="2DF81806" w14:textId="77777777" w:rsidR="00EF5B27" w:rsidRDefault="00000000">
            <w:pPr>
              <w:pStyle w:val="TableParagraph"/>
              <w:spacing w:line="252" w:lineRule="auto"/>
              <w:ind w:left="385" w:hanging="184"/>
              <w:rPr>
                <w:sz w:val="14"/>
              </w:rPr>
            </w:pPr>
            <w:r>
              <w:rPr>
                <w:color w:val="4D4D4F"/>
                <w:w w:val="105"/>
                <w:sz w:val="14"/>
              </w:rPr>
              <w:t>Grassy Eucalypt Woodland</w:t>
            </w:r>
          </w:p>
        </w:tc>
        <w:tc>
          <w:tcPr>
            <w:tcW w:w="737" w:type="dxa"/>
          </w:tcPr>
          <w:p w14:paraId="21BE5A46" w14:textId="77777777" w:rsidR="00EF5B27" w:rsidRDefault="00EF5B27">
            <w:pPr>
              <w:pStyle w:val="TableParagraph"/>
              <w:rPr>
                <w:rFonts w:ascii="Times New Roman"/>
                <w:sz w:val="16"/>
              </w:rPr>
            </w:pPr>
          </w:p>
          <w:p w14:paraId="1E99FCD5" w14:textId="77777777" w:rsidR="00EF5B27" w:rsidRDefault="00EF5B27">
            <w:pPr>
              <w:pStyle w:val="TableParagraph"/>
              <w:spacing w:before="10"/>
              <w:rPr>
                <w:rFonts w:ascii="Times New Roman"/>
                <w:sz w:val="13"/>
              </w:rPr>
            </w:pPr>
          </w:p>
          <w:p w14:paraId="14854336" w14:textId="77777777" w:rsidR="00EF5B27" w:rsidRDefault="00000000">
            <w:pPr>
              <w:pStyle w:val="TableParagraph"/>
              <w:spacing w:before="1"/>
              <w:ind w:left="6"/>
              <w:jc w:val="center"/>
              <w:rPr>
                <w:sz w:val="14"/>
              </w:rPr>
            </w:pPr>
            <w:r>
              <w:rPr>
                <w:color w:val="4D4D4F"/>
                <w:w w:val="96"/>
                <w:sz w:val="14"/>
              </w:rPr>
              <w:t>7</w:t>
            </w:r>
          </w:p>
        </w:tc>
        <w:tc>
          <w:tcPr>
            <w:tcW w:w="1474" w:type="dxa"/>
          </w:tcPr>
          <w:p w14:paraId="57701B33" w14:textId="77777777" w:rsidR="00EF5B27" w:rsidRDefault="00EF5B27">
            <w:pPr>
              <w:pStyle w:val="TableParagraph"/>
              <w:rPr>
                <w:rFonts w:ascii="Times New Roman"/>
                <w:sz w:val="16"/>
              </w:rPr>
            </w:pPr>
          </w:p>
          <w:p w14:paraId="02D0504B" w14:textId="77777777" w:rsidR="00EF5B27" w:rsidRDefault="00EF5B27">
            <w:pPr>
              <w:pStyle w:val="TableParagraph"/>
              <w:spacing w:before="10"/>
              <w:rPr>
                <w:rFonts w:ascii="Times New Roman"/>
                <w:sz w:val="13"/>
              </w:rPr>
            </w:pPr>
          </w:p>
          <w:p w14:paraId="0CA4FBC8" w14:textId="77777777" w:rsidR="00EF5B27" w:rsidRDefault="00000000">
            <w:pPr>
              <w:pStyle w:val="TableParagraph"/>
              <w:spacing w:before="1"/>
              <w:ind w:left="126" w:right="120"/>
              <w:jc w:val="center"/>
              <w:rPr>
                <w:sz w:val="14"/>
              </w:rPr>
            </w:pPr>
            <w:r>
              <w:rPr>
                <w:color w:val="4D4D4F"/>
                <w:sz w:val="14"/>
              </w:rPr>
              <w:t>Weeds</w:t>
            </w:r>
          </w:p>
        </w:tc>
        <w:tc>
          <w:tcPr>
            <w:tcW w:w="2041" w:type="dxa"/>
          </w:tcPr>
          <w:p w14:paraId="305BD36B" w14:textId="77777777" w:rsidR="00EF5B27" w:rsidRDefault="00EF5B27">
            <w:pPr>
              <w:pStyle w:val="TableParagraph"/>
              <w:rPr>
                <w:rFonts w:ascii="Times New Roman"/>
                <w:sz w:val="16"/>
              </w:rPr>
            </w:pPr>
          </w:p>
          <w:p w14:paraId="4DCA7D56" w14:textId="77777777" w:rsidR="00EF5B27" w:rsidRDefault="00EF5B27">
            <w:pPr>
              <w:pStyle w:val="TableParagraph"/>
              <w:spacing w:before="10"/>
              <w:rPr>
                <w:rFonts w:ascii="Times New Roman"/>
                <w:sz w:val="13"/>
              </w:rPr>
            </w:pPr>
          </w:p>
          <w:p w14:paraId="6C373627" w14:textId="77777777" w:rsidR="00EF5B27" w:rsidRDefault="00000000">
            <w:pPr>
              <w:pStyle w:val="TableParagraph"/>
              <w:spacing w:before="1"/>
              <w:ind w:left="155" w:right="150"/>
              <w:jc w:val="center"/>
              <w:rPr>
                <w:sz w:val="14"/>
              </w:rPr>
            </w:pPr>
            <w:r>
              <w:rPr>
                <w:color w:val="4D4D4F"/>
                <w:w w:val="105"/>
                <w:sz w:val="14"/>
              </w:rPr>
              <w:t>Herb-rich grassland</w:t>
            </w:r>
          </w:p>
        </w:tc>
        <w:tc>
          <w:tcPr>
            <w:tcW w:w="2154" w:type="dxa"/>
          </w:tcPr>
          <w:p w14:paraId="1D255986" w14:textId="77777777" w:rsidR="00EF5B27" w:rsidRDefault="00000000">
            <w:pPr>
              <w:pStyle w:val="TableParagraph"/>
              <w:spacing w:before="74" w:line="252" w:lineRule="auto"/>
              <w:ind w:left="129" w:right="121"/>
              <w:jc w:val="center"/>
              <w:rPr>
                <w:sz w:val="14"/>
              </w:rPr>
            </w:pPr>
            <w:r>
              <w:rPr>
                <w:color w:val="4D4D4F"/>
                <w:sz w:val="14"/>
              </w:rPr>
              <w:t>KPI measure 95% confidence interval falls above the baseline (this is assumed, although hasn't been explicitly stated)</w:t>
            </w:r>
          </w:p>
        </w:tc>
        <w:tc>
          <w:tcPr>
            <w:tcW w:w="1134" w:type="dxa"/>
          </w:tcPr>
          <w:p w14:paraId="3CE83E20" w14:textId="77777777" w:rsidR="00EF5B27" w:rsidRDefault="00EF5B27">
            <w:pPr>
              <w:pStyle w:val="TableParagraph"/>
              <w:rPr>
                <w:rFonts w:ascii="Times New Roman"/>
                <w:sz w:val="16"/>
              </w:rPr>
            </w:pPr>
          </w:p>
          <w:p w14:paraId="34A4204D" w14:textId="77777777" w:rsidR="00EF5B27" w:rsidRDefault="00EF5B27">
            <w:pPr>
              <w:pStyle w:val="TableParagraph"/>
              <w:spacing w:before="10"/>
              <w:rPr>
                <w:rFonts w:ascii="Times New Roman"/>
                <w:sz w:val="13"/>
              </w:rPr>
            </w:pPr>
          </w:p>
          <w:p w14:paraId="1777F92D" w14:textId="77777777" w:rsidR="00EF5B27" w:rsidRDefault="00000000">
            <w:pPr>
              <w:pStyle w:val="TableParagraph"/>
              <w:spacing w:before="1"/>
              <w:ind w:left="81" w:right="75"/>
              <w:jc w:val="center"/>
              <w:rPr>
                <w:sz w:val="14"/>
              </w:rPr>
            </w:pPr>
            <w:r>
              <w:rPr>
                <w:color w:val="4D4D4F"/>
                <w:w w:val="105"/>
                <w:sz w:val="14"/>
              </w:rPr>
              <w:t>Not assessed</w:t>
            </w:r>
          </w:p>
        </w:tc>
      </w:tr>
      <w:tr w:rsidR="00EF5B27" w14:paraId="4C0B153A" w14:textId="77777777">
        <w:trPr>
          <w:trHeight w:val="845"/>
        </w:trPr>
        <w:tc>
          <w:tcPr>
            <w:tcW w:w="737" w:type="dxa"/>
          </w:tcPr>
          <w:p w14:paraId="1B015EB7" w14:textId="77777777" w:rsidR="00EF5B27" w:rsidRDefault="00EF5B27">
            <w:pPr>
              <w:pStyle w:val="TableParagraph"/>
              <w:rPr>
                <w:rFonts w:ascii="Times New Roman"/>
                <w:sz w:val="16"/>
              </w:rPr>
            </w:pPr>
          </w:p>
          <w:p w14:paraId="1E9B51F2" w14:textId="77777777" w:rsidR="00EF5B27" w:rsidRDefault="00EF5B27">
            <w:pPr>
              <w:pStyle w:val="TableParagraph"/>
              <w:spacing w:before="10"/>
              <w:rPr>
                <w:rFonts w:ascii="Times New Roman"/>
                <w:sz w:val="13"/>
              </w:rPr>
            </w:pPr>
          </w:p>
          <w:p w14:paraId="47A384FC" w14:textId="77777777" w:rsidR="00EF5B27" w:rsidRDefault="00000000">
            <w:pPr>
              <w:pStyle w:val="TableParagraph"/>
              <w:spacing w:before="1"/>
              <w:ind w:left="6"/>
              <w:jc w:val="center"/>
              <w:rPr>
                <w:sz w:val="14"/>
              </w:rPr>
            </w:pPr>
            <w:r>
              <w:rPr>
                <w:color w:val="4D4D4F"/>
                <w:w w:val="96"/>
                <w:sz w:val="14"/>
              </w:rPr>
              <w:t>2</w:t>
            </w:r>
          </w:p>
        </w:tc>
        <w:tc>
          <w:tcPr>
            <w:tcW w:w="1361" w:type="dxa"/>
          </w:tcPr>
          <w:p w14:paraId="673189BE" w14:textId="77777777" w:rsidR="00EF5B27" w:rsidRDefault="00EF5B27">
            <w:pPr>
              <w:pStyle w:val="TableParagraph"/>
              <w:spacing w:before="1"/>
              <w:rPr>
                <w:rFonts w:ascii="Times New Roman"/>
              </w:rPr>
            </w:pPr>
          </w:p>
          <w:p w14:paraId="727E21D3" w14:textId="77777777" w:rsidR="00EF5B27" w:rsidRDefault="00000000">
            <w:pPr>
              <w:pStyle w:val="TableParagraph"/>
              <w:spacing w:line="252" w:lineRule="auto"/>
              <w:ind w:left="385" w:hanging="184"/>
              <w:rPr>
                <w:sz w:val="14"/>
              </w:rPr>
            </w:pPr>
            <w:r>
              <w:rPr>
                <w:color w:val="4D4D4F"/>
                <w:w w:val="105"/>
                <w:sz w:val="14"/>
              </w:rPr>
              <w:t>Grassy Eucalypt Woodland</w:t>
            </w:r>
          </w:p>
        </w:tc>
        <w:tc>
          <w:tcPr>
            <w:tcW w:w="737" w:type="dxa"/>
          </w:tcPr>
          <w:p w14:paraId="6BE499C1" w14:textId="77777777" w:rsidR="00EF5B27" w:rsidRDefault="00EF5B27">
            <w:pPr>
              <w:pStyle w:val="TableParagraph"/>
              <w:rPr>
                <w:rFonts w:ascii="Times New Roman"/>
                <w:sz w:val="16"/>
              </w:rPr>
            </w:pPr>
          </w:p>
          <w:p w14:paraId="3BEB75ED" w14:textId="77777777" w:rsidR="00EF5B27" w:rsidRDefault="00EF5B27">
            <w:pPr>
              <w:pStyle w:val="TableParagraph"/>
              <w:spacing w:before="10"/>
              <w:rPr>
                <w:rFonts w:ascii="Times New Roman"/>
                <w:sz w:val="13"/>
              </w:rPr>
            </w:pPr>
          </w:p>
          <w:p w14:paraId="5317E5D4" w14:textId="77777777" w:rsidR="00EF5B27" w:rsidRDefault="00000000">
            <w:pPr>
              <w:pStyle w:val="TableParagraph"/>
              <w:spacing w:before="1"/>
              <w:ind w:left="6"/>
              <w:jc w:val="center"/>
              <w:rPr>
                <w:sz w:val="14"/>
              </w:rPr>
            </w:pPr>
            <w:r>
              <w:rPr>
                <w:color w:val="4D4D4F"/>
                <w:w w:val="96"/>
                <w:sz w:val="14"/>
              </w:rPr>
              <w:t>7</w:t>
            </w:r>
          </w:p>
        </w:tc>
        <w:tc>
          <w:tcPr>
            <w:tcW w:w="1474" w:type="dxa"/>
          </w:tcPr>
          <w:p w14:paraId="56D8E2F6" w14:textId="77777777" w:rsidR="00EF5B27" w:rsidRDefault="00EF5B27">
            <w:pPr>
              <w:pStyle w:val="TableParagraph"/>
              <w:rPr>
                <w:rFonts w:ascii="Times New Roman"/>
                <w:sz w:val="16"/>
              </w:rPr>
            </w:pPr>
          </w:p>
          <w:p w14:paraId="5987D540" w14:textId="77777777" w:rsidR="00EF5B27" w:rsidRDefault="00EF5B27">
            <w:pPr>
              <w:pStyle w:val="TableParagraph"/>
              <w:spacing w:before="10"/>
              <w:rPr>
                <w:rFonts w:ascii="Times New Roman"/>
                <w:sz w:val="13"/>
              </w:rPr>
            </w:pPr>
          </w:p>
          <w:p w14:paraId="4B0CE8F1" w14:textId="77777777" w:rsidR="00EF5B27" w:rsidRDefault="00000000">
            <w:pPr>
              <w:pStyle w:val="TableParagraph"/>
              <w:spacing w:before="1"/>
              <w:ind w:left="126" w:right="120"/>
              <w:jc w:val="center"/>
              <w:rPr>
                <w:sz w:val="14"/>
              </w:rPr>
            </w:pPr>
            <w:r>
              <w:rPr>
                <w:color w:val="4D4D4F"/>
                <w:sz w:val="14"/>
              </w:rPr>
              <w:t>Weeds</w:t>
            </w:r>
          </w:p>
        </w:tc>
        <w:tc>
          <w:tcPr>
            <w:tcW w:w="2041" w:type="dxa"/>
          </w:tcPr>
          <w:p w14:paraId="49514695" w14:textId="77777777" w:rsidR="00EF5B27" w:rsidRDefault="00EF5B27">
            <w:pPr>
              <w:pStyle w:val="TableParagraph"/>
              <w:rPr>
                <w:rFonts w:ascii="Times New Roman"/>
                <w:sz w:val="16"/>
              </w:rPr>
            </w:pPr>
          </w:p>
          <w:p w14:paraId="4E0DA496" w14:textId="77777777" w:rsidR="00EF5B27" w:rsidRDefault="00EF5B27">
            <w:pPr>
              <w:pStyle w:val="TableParagraph"/>
              <w:spacing w:before="10"/>
              <w:rPr>
                <w:rFonts w:ascii="Times New Roman"/>
                <w:sz w:val="13"/>
              </w:rPr>
            </w:pPr>
          </w:p>
          <w:p w14:paraId="7C6FDBE4" w14:textId="77777777" w:rsidR="00EF5B27" w:rsidRDefault="00000000">
            <w:pPr>
              <w:pStyle w:val="TableParagraph"/>
              <w:spacing w:before="1"/>
              <w:ind w:left="155" w:right="150"/>
              <w:jc w:val="center"/>
              <w:rPr>
                <w:sz w:val="14"/>
              </w:rPr>
            </w:pPr>
            <w:r>
              <w:rPr>
                <w:rFonts w:ascii="Arial Narrow"/>
                <w:i/>
                <w:color w:val="4D4D4F"/>
                <w:w w:val="110"/>
                <w:sz w:val="14"/>
              </w:rPr>
              <w:t xml:space="preserve">Themeda </w:t>
            </w:r>
            <w:r>
              <w:rPr>
                <w:color w:val="4D4D4F"/>
                <w:w w:val="110"/>
                <w:sz w:val="14"/>
              </w:rPr>
              <w:t>grassland</w:t>
            </w:r>
          </w:p>
        </w:tc>
        <w:tc>
          <w:tcPr>
            <w:tcW w:w="2154" w:type="dxa"/>
          </w:tcPr>
          <w:p w14:paraId="6A53AC04" w14:textId="77777777" w:rsidR="00EF5B27" w:rsidRDefault="00000000">
            <w:pPr>
              <w:pStyle w:val="TableParagraph"/>
              <w:spacing w:before="74" w:line="252" w:lineRule="auto"/>
              <w:ind w:left="129" w:right="121"/>
              <w:jc w:val="center"/>
              <w:rPr>
                <w:sz w:val="14"/>
              </w:rPr>
            </w:pPr>
            <w:r>
              <w:rPr>
                <w:color w:val="4D4D4F"/>
                <w:sz w:val="14"/>
              </w:rPr>
              <w:t>KPI measure 95% confidence interval falls above the baseline (this is assumed, although hasn't been explicitly stated)</w:t>
            </w:r>
          </w:p>
        </w:tc>
        <w:tc>
          <w:tcPr>
            <w:tcW w:w="1134" w:type="dxa"/>
          </w:tcPr>
          <w:p w14:paraId="26FB0EC4" w14:textId="77777777" w:rsidR="00EF5B27" w:rsidRDefault="00EF5B27">
            <w:pPr>
              <w:pStyle w:val="TableParagraph"/>
              <w:rPr>
                <w:rFonts w:ascii="Times New Roman"/>
                <w:sz w:val="16"/>
              </w:rPr>
            </w:pPr>
          </w:p>
          <w:p w14:paraId="08722B9B" w14:textId="77777777" w:rsidR="00EF5B27" w:rsidRDefault="00EF5B27">
            <w:pPr>
              <w:pStyle w:val="TableParagraph"/>
              <w:spacing w:before="10"/>
              <w:rPr>
                <w:rFonts w:ascii="Times New Roman"/>
                <w:sz w:val="13"/>
              </w:rPr>
            </w:pPr>
          </w:p>
          <w:p w14:paraId="1EFF87D7" w14:textId="77777777" w:rsidR="00EF5B27" w:rsidRDefault="00000000">
            <w:pPr>
              <w:pStyle w:val="TableParagraph"/>
              <w:spacing w:before="1"/>
              <w:ind w:left="81" w:right="75"/>
              <w:jc w:val="center"/>
              <w:rPr>
                <w:sz w:val="14"/>
              </w:rPr>
            </w:pPr>
            <w:r>
              <w:rPr>
                <w:color w:val="4D4D4F"/>
                <w:w w:val="105"/>
                <w:sz w:val="14"/>
              </w:rPr>
              <w:t>Not assessed</w:t>
            </w:r>
          </w:p>
        </w:tc>
      </w:tr>
      <w:tr w:rsidR="00EF5B27" w14:paraId="0FFA47B2" w14:textId="77777777">
        <w:trPr>
          <w:trHeight w:val="845"/>
        </w:trPr>
        <w:tc>
          <w:tcPr>
            <w:tcW w:w="737" w:type="dxa"/>
          </w:tcPr>
          <w:p w14:paraId="603A2EE8" w14:textId="77777777" w:rsidR="00EF5B27" w:rsidRDefault="00EF5B27">
            <w:pPr>
              <w:pStyle w:val="TableParagraph"/>
              <w:rPr>
                <w:rFonts w:ascii="Times New Roman"/>
                <w:sz w:val="16"/>
              </w:rPr>
            </w:pPr>
          </w:p>
          <w:p w14:paraId="33265625" w14:textId="77777777" w:rsidR="00EF5B27" w:rsidRDefault="00EF5B27">
            <w:pPr>
              <w:pStyle w:val="TableParagraph"/>
              <w:spacing w:before="10"/>
              <w:rPr>
                <w:rFonts w:ascii="Times New Roman"/>
                <w:sz w:val="13"/>
              </w:rPr>
            </w:pPr>
          </w:p>
          <w:p w14:paraId="60C39771" w14:textId="77777777" w:rsidR="00EF5B27" w:rsidRDefault="00000000">
            <w:pPr>
              <w:pStyle w:val="TableParagraph"/>
              <w:ind w:left="6"/>
              <w:jc w:val="center"/>
              <w:rPr>
                <w:sz w:val="14"/>
              </w:rPr>
            </w:pPr>
            <w:r>
              <w:rPr>
                <w:color w:val="4D4D4F"/>
                <w:w w:val="96"/>
                <w:sz w:val="14"/>
              </w:rPr>
              <w:t>2</w:t>
            </w:r>
          </w:p>
        </w:tc>
        <w:tc>
          <w:tcPr>
            <w:tcW w:w="1361" w:type="dxa"/>
          </w:tcPr>
          <w:p w14:paraId="4A95A743" w14:textId="77777777" w:rsidR="00EF5B27" w:rsidRDefault="00EF5B27">
            <w:pPr>
              <w:pStyle w:val="TableParagraph"/>
              <w:spacing w:before="1"/>
              <w:rPr>
                <w:rFonts w:ascii="Times New Roman"/>
              </w:rPr>
            </w:pPr>
          </w:p>
          <w:p w14:paraId="6A3E8DAE" w14:textId="77777777" w:rsidR="00EF5B27" w:rsidRDefault="00000000">
            <w:pPr>
              <w:pStyle w:val="TableParagraph"/>
              <w:spacing w:line="252" w:lineRule="auto"/>
              <w:ind w:left="385" w:hanging="184"/>
              <w:rPr>
                <w:sz w:val="14"/>
              </w:rPr>
            </w:pPr>
            <w:r>
              <w:rPr>
                <w:color w:val="4D4D4F"/>
                <w:w w:val="105"/>
                <w:sz w:val="14"/>
              </w:rPr>
              <w:t>Grassy Eucalypt Woodland</w:t>
            </w:r>
          </w:p>
        </w:tc>
        <w:tc>
          <w:tcPr>
            <w:tcW w:w="737" w:type="dxa"/>
          </w:tcPr>
          <w:p w14:paraId="7CCE2BF7" w14:textId="77777777" w:rsidR="00EF5B27" w:rsidRDefault="00EF5B27">
            <w:pPr>
              <w:pStyle w:val="TableParagraph"/>
              <w:rPr>
                <w:rFonts w:ascii="Times New Roman"/>
                <w:sz w:val="16"/>
              </w:rPr>
            </w:pPr>
          </w:p>
          <w:p w14:paraId="0C79A82E" w14:textId="77777777" w:rsidR="00EF5B27" w:rsidRDefault="00EF5B27">
            <w:pPr>
              <w:pStyle w:val="TableParagraph"/>
              <w:spacing w:before="10"/>
              <w:rPr>
                <w:rFonts w:ascii="Times New Roman"/>
                <w:sz w:val="13"/>
              </w:rPr>
            </w:pPr>
          </w:p>
          <w:p w14:paraId="3235B385" w14:textId="77777777" w:rsidR="00EF5B27" w:rsidRDefault="00000000">
            <w:pPr>
              <w:pStyle w:val="TableParagraph"/>
              <w:ind w:left="5"/>
              <w:jc w:val="center"/>
              <w:rPr>
                <w:sz w:val="14"/>
              </w:rPr>
            </w:pPr>
            <w:r>
              <w:rPr>
                <w:color w:val="4D4D4F"/>
                <w:w w:val="96"/>
                <w:sz w:val="14"/>
              </w:rPr>
              <w:t>7</w:t>
            </w:r>
          </w:p>
        </w:tc>
        <w:tc>
          <w:tcPr>
            <w:tcW w:w="1474" w:type="dxa"/>
          </w:tcPr>
          <w:p w14:paraId="5134C1BE" w14:textId="77777777" w:rsidR="00EF5B27" w:rsidRDefault="00EF5B27">
            <w:pPr>
              <w:pStyle w:val="TableParagraph"/>
              <w:rPr>
                <w:rFonts w:ascii="Times New Roman"/>
                <w:sz w:val="16"/>
              </w:rPr>
            </w:pPr>
          </w:p>
          <w:p w14:paraId="6FF97A5A" w14:textId="77777777" w:rsidR="00EF5B27" w:rsidRDefault="00EF5B27">
            <w:pPr>
              <w:pStyle w:val="TableParagraph"/>
              <w:spacing w:before="10"/>
              <w:rPr>
                <w:rFonts w:ascii="Times New Roman"/>
                <w:sz w:val="13"/>
              </w:rPr>
            </w:pPr>
          </w:p>
          <w:p w14:paraId="50D7B0DA" w14:textId="77777777" w:rsidR="00EF5B27" w:rsidRDefault="00000000">
            <w:pPr>
              <w:pStyle w:val="TableParagraph"/>
              <w:ind w:left="125" w:right="120"/>
              <w:jc w:val="center"/>
              <w:rPr>
                <w:sz w:val="14"/>
              </w:rPr>
            </w:pPr>
            <w:r>
              <w:rPr>
                <w:color w:val="4D4D4F"/>
                <w:sz w:val="14"/>
              </w:rPr>
              <w:t>Weeds</w:t>
            </w:r>
          </w:p>
        </w:tc>
        <w:tc>
          <w:tcPr>
            <w:tcW w:w="2041" w:type="dxa"/>
          </w:tcPr>
          <w:p w14:paraId="7DA8733C" w14:textId="77777777" w:rsidR="00EF5B27" w:rsidRDefault="00EF5B27">
            <w:pPr>
              <w:pStyle w:val="TableParagraph"/>
              <w:rPr>
                <w:rFonts w:ascii="Times New Roman"/>
                <w:sz w:val="16"/>
              </w:rPr>
            </w:pPr>
          </w:p>
          <w:p w14:paraId="4259AF0C" w14:textId="77777777" w:rsidR="00EF5B27" w:rsidRDefault="00EF5B27">
            <w:pPr>
              <w:pStyle w:val="TableParagraph"/>
              <w:spacing w:before="10"/>
              <w:rPr>
                <w:rFonts w:ascii="Times New Roman"/>
                <w:sz w:val="13"/>
              </w:rPr>
            </w:pPr>
          </w:p>
          <w:p w14:paraId="059D28B8" w14:textId="77777777" w:rsidR="00EF5B27" w:rsidRDefault="00000000">
            <w:pPr>
              <w:pStyle w:val="TableParagraph"/>
              <w:ind w:left="155" w:right="150"/>
              <w:jc w:val="center"/>
              <w:rPr>
                <w:sz w:val="14"/>
              </w:rPr>
            </w:pPr>
            <w:r>
              <w:rPr>
                <w:color w:val="4D4D4F"/>
                <w:w w:val="105"/>
                <w:sz w:val="14"/>
              </w:rPr>
              <w:t>C3 grassland</w:t>
            </w:r>
          </w:p>
        </w:tc>
        <w:tc>
          <w:tcPr>
            <w:tcW w:w="2154" w:type="dxa"/>
          </w:tcPr>
          <w:p w14:paraId="792FC7A6" w14:textId="77777777" w:rsidR="00EF5B27" w:rsidRDefault="00000000">
            <w:pPr>
              <w:pStyle w:val="TableParagraph"/>
              <w:spacing w:before="74" w:line="252" w:lineRule="auto"/>
              <w:ind w:left="129" w:right="121"/>
              <w:jc w:val="center"/>
              <w:rPr>
                <w:sz w:val="14"/>
              </w:rPr>
            </w:pPr>
            <w:r>
              <w:rPr>
                <w:color w:val="4D4D4F"/>
                <w:sz w:val="14"/>
              </w:rPr>
              <w:t>KPI measure 95% confidence interval falls above the baseline (this is assumed, although hasn't been explicitly stated)</w:t>
            </w:r>
          </w:p>
        </w:tc>
        <w:tc>
          <w:tcPr>
            <w:tcW w:w="1134" w:type="dxa"/>
          </w:tcPr>
          <w:p w14:paraId="390B1CF9" w14:textId="77777777" w:rsidR="00EF5B27" w:rsidRDefault="00EF5B27">
            <w:pPr>
              <w:pStyle w:val="TableParagraph"/>
              <w:rPr>
                <w:rFonts w:ascii="Times New Roman"/>
                <w:sz w:val="16"/>
              </w:rPr>
            </w:pPr>
          </w:p>
          <w:p w14:paraId="7A63450F" w14:textId="77777777" w:rsidR="00EF5B27" w:rsidRDefault="00EF5B27">
            <w:pPr>
              <w:pStyle w:val="TableParagraph"/>
              <w:spacing w:before="10"/>
              <w:rPr>
                <w:rFonts w:ascii="Times New Roman"/>
                <w:sz w:val="13"/>
              </w:rPr>
            </w:pPr>
          </w:p>
          <w:p w14:paraId="4D5D5107" w14:textId="77777777" w:rsidR="00EF5B27" w:rsidRDefault="00000000">
            <w:pPr>
              <w:pStyle w:val="TableParagraph"/>
              <w:ind w:left="81" w:right="75"/>
              <w:jc w:val="center"/>
              <w:rPr>
                <w:sz w:val="14"/>
              </w:rPr>
            </w:pPr>
            <w:r>
              <w:rPr>
                <w:color w:val="4D4D4F"/>
                <w:w w:val="105"/>
                <w:sz w:val="14"/>
              </w:rPr>
              <w:t>Not assessed</w:t>
            </w:r>
          </w:p>
        </w:tc>
      </w:tr>
      <w:tr w:rsidR="00EF5B27" w14:paraId="15F72349" w14:textId="77777777">
        <w:trPr>
          <w:trHeight w:val="845"/>
        </w:trPr>
        <w:tc>
          <w:tcPr>
            <w:tcW w:w="737" w:type="dxa"/>
          </w:tcPr>
          <w:p w14:paraId="0F9D3C74" w14:textId="77777777" w:rsidR="00EF5B27" w:rsidRDefault="00EF5B27">
            <w:pPr>
              <w:pStyle w:val="TableParagraph"/>
              <w:rPr>
                <w:rFonts w:ascii="Times New Roman"/>
                <w:sz w:val="16"/>
              </w:rPr>
            </w:pPr>
          </w:p>
          <w:p w14:paraId="1E24D7E1" w14:textId="77777777" w:rsidR="00EF5B27" w:rsidRDefault="00EF5B27">
            <w:pPr>
              <w:pStyle w:val="TableParagraph"/>
              <w:spacing w:before="10"/>
              <w:rPr>
                <w:rFonts w:ascii="Times New Roman"/>
                <w:sz w:val="13"/>
              </w:rPr>
            </w:pPr>
          </w:p>
          <w:p w14:paraId="067A8CE3" w14:textId="77777777" w:rsidR="00EF5B27" w:rsidRDefault="00000000">
            <w:pPr>
              <w:pStyle w:val="TableParagraph"/>
              <w:ind w:left="6"/>
              <w:jc w:val="center"/>
              <w:rPr>
                <w:sz w:val="14"/>
              </w:rPr>
            </w:pPr>
            <w:r>
              <w:rPr>
                <w:color w:val="4D4D4F"/>
                <w:w w:val="96"/>
                <w:sz w:val="14"/>
              </w:rPr>
              <w:t>2</w:t>
            </w:r>
          </w:p>
        </w:tc>
        <w:tc>
          <w:tcPr>
            <w:tcW w:w="1361" w:type="dxa"/>
          </w:tcPr>
          <w:p w14:paraId="267B9225" w14:textId="77777777" w:rsidR="00EF5B27" w:rsidRDefault="00EF5B27">
            <w:pPr>
              <w:pStyle w:val="TableParagraph"/>
              <w:spacing w:before="1"/>
              <w:rPr>
                <w:rFonts w:ascii="Times New Roman"/>
              </w:rPr>
            </w:pPr>
          </w:p>
          <w:p w14:paraId="6DA25953" w14:textId="77777777" w:rsidR="00EF5B27" w:rsidRDefault="00000000">
            <w:pPr>
              <w:pStyle w:val="TableParagraph"/>
              <w:spacing w:line="252" w:lineRule="auto"/>
              <w:ind w:left="385" w:hanging="184"/>
              <w:rPr>
                <w:sz w:val="14"/>
              </w:rPr>
            </w:pPr>
            <w:r>
              <w:rPr>
                <w:color w:val="4D4D4F"/>
                <w:w w:val="105"/>
                <w:sz w:val="14"/>
              </w:rPr>
              <w:t>Grassy Eucalypt Woodland</w:t>
            </w:r>
          </w:p>
        </w:tc>
        <w:tc>
          <w:tcPr>
            <w:tcW w:w="737" w:type="dxa"/>
          </w:tcPr>
          <w:p w14:paraId="0849B4B9" w14:textId="77777777" w:rsidR="00EF5B27" w:rsidRDefault="00EF5B27">
            <w:pPr>
              <w:pStyle w:val="TableParagraph"/>
              <w:rPr>
                <w:rFonts w:ascii="Times New Roman"/>
                <w:sz w:val="16"/>
              </w:rPr>
            </w:pPr>
          </w:p>
          <w:p w14:paraId="0EA6E285" w14:textId="77777777" w:rsidR="00EF5B27" w:rsidRDefault="00EF5B27">
            <w:pPr>
              <w:pStyle w:val="TableParagraph"/>
              <w:spacing w:before="10"/>
              <w:rPr>
                <w:rFonts w:ascii="Times New Roman"/>
                <w:sz w:val="13"/>
              </w:rPr>
            </w:pPr>
          </w:p>
          <w:p w14:paraId="334CBC78" w14:textId="77777777" w:rsidR="00EF5B27" w:rsidRDefault="00000000">
            <w:pPr>
              <w:pStyle w:val="TableParagraph"/>
              <w:ind w:left="5"/>
              <w:jc w:val="center"/>
              <w:rPr>
                <w:sz w:val="14"/>
              </w:rPr>
            </w:pPr>
            <w:r>
              <w:rPr>
                <w:color w:val="4D4D4F"/>
                <w:w w:val="96"/>
                <w:sz w:val="14"/>
              </w:rPr>
              <w:t>7</w:t>
            </w:r>
          </w:p>
        </w:tc>
        <w:tc>
          <w:tcPr>
            <w:tcW w:w="1474" w:type="dxa"/>
          </w:tcPr>
          <w:p w14:paraId="21E70B42" w14:textId="77777777" w:rsidR="00EF5B27" w:rsidRDefault="00EF5B27">
            <w:pPr>
              <w:pStyle w:val="TableParagraph"/>
              <w:rPr>
                <w:rFonts w:ascii="Times New Roman"/>
                <w:sz w:val="16"/>
              </w:rPr>
            </w:pPr>
          </w:p>
          <w:p w14:paraId="37A79747" w14:textId="77777777" w:rsidR="00EF5B27" w:rsidRDefault="00EF5B27">
            <w:pPr>
              <w:pStyle w:val="TableParagraph"/>
              <w:spacing w:before="10"/>
              <w:rPr>
                <w:rFonts w:ascii="Times New Roman"/>
                <w:sz w:val="13"/>
              </w:rPr>
            </w:pPr>
          </w:p>
          <w:p w14:paraId="33635064" w14:textId="77777777" w:rsidR="00EF5B27" w:rsidRDefault="00000000">
            <w:pPr>
              <w:pStyle w:val="TableParagraph"/>
              <w:ind w:left="125" w:right="120"/>
              <w:jc w:val="center"/>
              <w:rPr>
                <w:sz w:val="14"/>
              </w:rPr>
            </w:pPr>
            <w:r>
              <w:rPr>
                <w:color w:val="4D4D4F"/>
                <w:sz w:val="14"/>
              </w:rPr>
              <w:t>Weeds</w:t>
            </w:r>
          </w:p>
        </w:tc>
        <w:tc>
          <w:tcPr>
            <w:tcW w:w="2041" w:type="dxa"/>
          </w:tcPr>
          <w:p w14:paraId="040FDEC1" w14:textId="77777777" w:rsidR="00EF5B27" w:rsidRDefault="00EF5B27">
            <w:pPr>
              <w:pStyle w:val="TableParagraph"/>
              <w:rPr>
                <w:rFonts w:ascii="Times New Roman"/>
                <w:sz w:val="16"/>
              </w:rPr>
            </w:pPr>
          </w:p>
          <w:p w14:paraId="6FE13E18" w14:textId="77777777" w:rsidR="00EF5B27" w:rsidRDefault="00EF5B27">
            <w:pPr>
              <w:pStyle w:val="TableParagraph"/>
              <w:spacing w:before="10"/>
              <w:rPr>
                <w:rFonts w:ascii="Times New Roman"/>
                <w:sz w:val="13"/>
              </w:rPr>
            </w:pPr>
          </w:p>
          <w:p w14:paraId="2F181076" w14:textId="77777777" w:rsidR="00EF5B27" w:rsidRDefault="00000000">
            <w:pPr>
              <w:pStyle w:val="TableParagraph"/>
              <w:ind w:left="155" w:right="150"/>
              <w:jc w:val="center"/>
              <w:rPr>
                <w:sz w:val="14"/>
              </w:rPr>
            </w:pPr>
            <w:r>
              <w:rPr>
                <w:color w:val="4D4D4F"/>
                <w:w w:val="105"/>
                <w:sz w:val="14"/>
              </w:rPr>
              <w:t>Nutrient-enriched grassland</w:t>
            </w:r>
          </w:p>
        </w:tc>
        <w:tc>
          <w:tcPr>
            <w:tcW w:w="2154" w:type="dxa"/>
          </w:tcPr>
          <w:p w14:paraId="493C4E84" w14:textId="77777777" w:rsidR="00EF5B27" w:rsidRDefault="00000000">
            <w:pPr>
              <w:pStyle w:val="TableParagraph"/>
              <w:spacing w:before="74" w:line="252" w:lineRule="auto"/>
              <w:ind w:left="129" w:right="121"/>
              <w:jc w:val="center"/>
              <w:rPr>
                <w:sz w:val="14"/>
              </w:rPr>
            </w:pPr>
            <w:r>
              <w:rPr>
                <w:color w:val="4D4D4F"/>
                <w:sz w:val="14"/>
              </w:rPr>
              <w:t>KPI measure 95% confidence interval falls above the baseline (this is assumed, although hasn't been explicitly stated)</w:t>
            </w:r>
          </w:p>
        </w:tc>
        <w:tc>
          <w:tcPr>
            <w:tcW w:w="1134" w:type="dxa"/>
          </w:tcPr>
          <w:p w14:paraId="299CFB04" w14:textId="77777777" w:rsidR="00EF5B27" w:rsidRDefault="00EF5B27">
            <w:pPr>
              <w:pStyle w:val="TableParagraph"/>
              <w:rPr>
                <w:rFonts w:ascii="Times New Roman"/>
                <w:sz w:val="16"/>
              </w:rPr>
            </w:pPr>
          </w:p>
          <w:p w14:paraId="065692DC" w14:textId="77777777" w:rsidR="00EF5B27" w:rsidRDefault="00EF5B27">
            <w:pPr>
              <w:pStyle w:val="TableParagraph"/>
              <w:spacing w:before="10"/>
              <w:rPr>
                <w:rFonts w:ascii="Times New Roman"/>
                <w:sz w:val="13"/>
              </w:rPr>
            </w:pPr>
          </w:p>
          <w:p w14:paraId="424CC38F" w14:textId="77777777" w:rsidR="00EF5B27" w:rsidRDefault="00000000">
            <w:pPr>
              <w:pStyle w:val="TableParagraph"/>
              <w:ind w:left="81" w:right="75"/>
              <w:jc w:val="center"/>
              <w:rPr>
                <w:sz w:val="14"/>
              </w:rPr>
            </w:pPr>
            <w:r>
              <w:rPr>
                <w:color w:val="4D4D4F"/>
                <w:w w:val="105"/>
                <w:sz w:val="14"/>
              </w:rPr>
              <w:t>Not assessed</w:t>
            </w:r>
          </w:p>
        </w:tc>
      </w:tr>
      <w:tr w:rsidR="00EF5B27" w14:paraId="17551CF6" w14:textId="77777777">
        <w:trPr>
          <w:trHeight w:val="845"/>
        </w:trPr>
        <w:tc>
          <w:tcPr>
            <w:tcW w:w="737" w:type="dxa"/>
          </w:tcPr>
          <w:p w14:paraId="4511754C" w14:textId="77777777" w:rsidR="00EF5B27" w:rsidRDefault="00EF5B27">
            <w:pPr>
              <w:pStyle w:val="TableParagraph"/>
              <w:rPr>
                <w:rFonts w:ascii="Times New Roman"/>
                <w:sz w:val="16"/>
              </w:rPr>
            </w:pPr>
          </w:p>
          <w:p w14:paraId="49CDACEA" w14:textId="77777777" w:rsidR="00EF5B27" w:rsidRDefault="00EF5B27">
            <w:pPr>
              <w:pStyle w:val="TableParagraph"/>
              <w:spacing w:before="10"/>
              <w:rPr>
                <w:rFonts w:ascii="Times New Roman"/>
                <w:sz w:val="13"/>
              </w:rPr>
            </w:pPr>
          </w:p>
          <w:p w14:paraId="726F71B5" w14:textId="77777777" w:rsidR="00EF5B27" w:rsidRDefault="00000000">
            <w:pPr>
              <w:pStyle w:val="TableParagraph"/>
              <w:ind w:left="6"/>
              <w:jc w:val="center"/>
              <w:rPr>
                <w:sz w:val="14"/>
              </w:rPr>
            </w:pPr>
            <w:r>
              <w:rPr>
                <w:color w:val="4D4D4F"/>
                <w:w w:val="96"/>
                <w:sz w:val="14"/>
              </w:rPr>
              <w:t>2</w:t>
            </w:r>
          </w:p>
        </w:tc>
        <w:tc>
          <w:tcPr>
            <w:tcW w:w="1361" w:type="dxa"/>
          </w:tcPr>
          <w:p w14:paraId="386A31C1" w14:textId="77777777" w:rsidR="00EF5B27" w:rsidRDefault="00EF5B27">
            <w:pPr>
              <w:pStyle w:val="TableParagraph"/>
              <w:spacing w:before="1"/>
              <w:rPr>
                <w:rFonts w:ascii="Times New Roman"/>
              </w:rPr>
            </w:pPr>
          </w:p>
          <w:p w14:paraId="5D037C79" w14:textId="77777777" w:rsidR="00EF5B27" w:rsidRDefault="00000000">
            <w:pPr>
              <w:pStyle w:val="TableParagraph"/>
              <w:spacing w:line="252" w:lineRule="auto"/>
              <w:ind w:left="385" w:hanging="184"/>
              <w:rPr>
                <w:sz w:val="14"/>
              </w:rPr>
            </w:pPr>
            <w:r>
              <w:rPr>
                <w:color w:val="4D4D4F"/>
                <w:w w:val="105"/>
                <w:sz w:val="14"/>
              </w:rPr>
              <w:t>Grassy Eucalypt Woodland</w:t>
            </w:r>
          </w:p>
        </w:tc>
        <w:tc>
          <w:tcPr>
            <w:tcW w:w="737" w:type="dxa"/>
          </w:tcPr>
          <w:p w14:paraId="69CB131C" w14:textId="77777777" w:rsidR="00EF5B27" w:rsidRDefault="00EF5B27">
            <w:pPr>
              <w:pStyle w:val="TableParagraph"/>
              <w:rPr>
                <w:rFonts w:ascii="Times New Roman"/>
                <w:sz w:val="16"/>
              </w:rPr>
            </w:pPr>
          </w:p>
          <w:p w14:paraId="2EA8FB41" w14:textId="77777777" w:rsidR="00EF5B27" w:rsidRDefault="00EF5B27">
            <w:pPr>
              <w:pStyle w:val="TableParagraph"/>
              <w:spacing w:before="10"/>
              <w:rPr>
                <w:rFonts w:ascii="Times New Roman"/>
                <w:sz w:val="13"/>
              </w:rPr>
            </w:pPr>
          </w:p>
          <w:p w14:paraId="23BBBD8A" w14:textId="77777777" w:rsidR="00EF5B27" w:rsidRDefault="00000000">
            <w:pPr>
              <w:pStyle w:val="TableParagraph"/>
              <w:ind w:left="5"/>
              <w:jc w:val="center"/>
              <w:rPr>
                <w:sz w:val="14"/>
              </w:rPr>
            </w:pPr>
            <w:r>
              <w:rPr>
                <w:color w:val="4D4D4F"/>
                <w:w w:val="96"/>
                <w:sz w:val="14"/>
              </w:rPr>
              <w:t>7</w:t>
            </w:r>
          </w:p>
        </w:tc>
        <w:tc>
          <w:tcPr>
            <w:tcW w:w="1474" w:type="dxa"/>
          </w:tcPr>
          <w:p w14:paraId="74631133" w14:textId="77777777" w:rsidR="00EF5B27" w:rsidRDefault="00EF5B27">
            <w:pPr>
              <w:pStyle w:val="TableParagraph"/>
              <w:rPr>
                <w:rFonts w:ascii="Times New Roman"/>
                <w:sz w:val="16"/>
              </w:rPr>
            </w:pPr>
          </w:p>
          <w:p w14:paraId="1797C8F7" w14:textId="77777777" w:rsidR="00EF5B27" w:rsidRDefault="00EF5B27">
            <w:pPr>
              <w:pStyle w:val="TableParagraph"/>
              <w:spacing w:before="10"/>
              <w:rPr>
                <w:rFonts w:ascii="Times New Roman"/>
                <w:sz w:val="13"/>
              </w:rPr>
            </w:pPr>
          </w:p>
          <w:p w14:paraId="350573E3" w14:textId="77777777" w:rsidR="00EF5B27" w:rsidRDefault="00000000">
            <w:pPr>
              <w:pStyle w:val="TableParagraph"/>
              <w:ind w:left="125" w:right="120"/>
              <w:jc w:val="center"/>
              <w:rPr>
                <w:sz w:val="14"/>
              </w:rPr>
            </w:pPr>
            <w:r>
              <w:rPr>
                <w:color w:val="4D4D4F"/>
                <w:sz w:val="14"/>
              </w:rPr>
              <w:t>Weeds</w:t>
            </w:r>
          </w:p>
        </w:tc>
        <w:tc>
          <w:tcPr>
            <w:tcW w:w="2041" w:type="dxa"/>
          </w:tcPr>
          <w:p w14:paraId="2D3BA23C" w14:textId="77777777" w:rsidR="00EF5B27" w:rsidRDefault="00EF5B27">
            <w:pPr>
              <w:pStyle w:val="TableParagraph"/>
              <w:rPr>
                <w:rFonts w:ascii="Times New Roman"/>
                <w:sz w:val="16"/>
              </w:rPr>
            </w:pPr>
          </w:p>
          <w:p w14:paraId="63CB984F" w14:textId="77777777" w:rsidR="00EF5B27" w:rsidRDefault="00EF5B27">
            <w:pPr>
              <w:pStyle w:val="TableParagraph"/>
              <w:spacing w:before="10"/>
              <w:rPr>
                <w:rFonts w:ascii="Times New Roman"/>
                <w:sz w:val="13"/>
              </w:rPr>
            </w:pPr>
          </w:p>
          <w:p w14:paraId="149EF79A" w14:textId="77777777" w:rsidR="00EF5B27" w:rsidRDefault="00000000">
            <w:pPr>
              <w:pStyle w:val="TableParagraph"/>
              <w:ind w:left="155" w:right="150"/>
              <w:jc w:val="center"/>
              <w:rPr>
                <w:sz w:val="14"/>
              </w:rPr>
            </w:pPr>
            <w:r>
              <w:rPr>
                <w:color w:val="4D4D4F"/>
                <w:w w:val="105"/>
                <w:sz w:val="14"/>
              </w:rPr>
              <w:t>De-rocked grassland</w:t>
            </w:r>
          </w:p>
        </w:tc>
        <w:tc>
          <w:tcPr>
            <w:tcW w:w="2154" w:type="dxa"/>
          </w:tcPr>
          <w:p w14:paraId="318D8DD0" w14:textId="77777777" w:rsidR="00EF5B27" w:rsidRDefault="00000000">
            <w:pPr>
              <w:pStyle w:val="TableParagraph"/>
              <w:spacing w:before="74" w:line="252" w:lineRule="auto"/>
              <w:ind w:left="129" w:right="121"/>
              <w:jc w:val="center"/>
              <w:rPr>
                <w:sz w:val="14"/>
              </w:rPr>
            </w:pPr>
            <w:r>
              <w:rPr>
                <w:color w:val="4D4D4F"/>
                <w:sz w:val="14"/>
              </w:rPr>
              <w:t>KPI measure 95% confidence interval falls above the baseline (this is assumed, although hasn't been explicitly stated)</w:t>
            </w:r>
          </w:p>
        </w:tc>
        <w:tc>
          <w:tcPr>
            <w:tcW w:w="1134" w:type="dxa"/>
          </w:tcPr>
          <w:p w14:paraId="1E862740" w14:textId="77777777" w:rsidR="00EF5B27" w:rsidRDefault="00EF5B27">
            <w:pPr>
              <w:pStyle w:val="TableParagraph"/>
              <w:rPr>
                <w:rFonts w:ascii="Times New Roman"/>
                <w:sz w:val="16"/>
              </w:rPr>
            </w:pPr>
          </w:p>
          <w:p w14:paraId="1B9C8F0E" w14:textId="77777777" w:rsidR="00EF5B27" w:rsidRDefault="00EF5B27">
            <w:pPr>
              <w:pStyle w:val="TableParagraph"/>
              <w:spacing w:before="10"/>
              <w:rPr>
                <w:rFonts w:ascii="Times New Roman"/>
                <w:sz w:val="13"/>
              </w:rPr>
            </w:pPr>
          </w:p>
          <w:p w14:paraId="6028C687" w14:textId="77777777" w:rsidR="00EF5B27" w:rsidRDefault="00000000">
            <w:pPr>
              <w:pStyle w:val="TableParagraph"/>
              <w:ind w:left="81" w:right="75"/>
              <w:jc w:val="center"/>
              <w:rPr>
                <w:sz w:val="14"/>
              </w:rPr>
            </w:pPr>
            <w:r>
              <w:rPr>
                <w:color w:val="4D4D4F"/>
                <w:w w:val="105"/>
                <w:sz w:val="14"/>
              </w:rPr>
              <w:t>Not assessed</w:t>
            </w:r>
          </w:p>
        </w:tc>
      </w:tr>
      <w:tr w:rsidR="00EF5B27" w14:paraId="7EAA8ED1" w14:textId="77777777">
        <w:trPr>
          <w:trHeight w:val="845"/>
        </w:trPr>
        <w:tc>
          <w:tcPr>
            <w:tcW w:w="737" w:type="dxa"/>
          </w:tcPr>
          <w:p w14:paraId="3744BCC5" w14:textId="77777777" w:rsidR="00EF5B27" w:rsidRDefault="00EF5B27">
            <w:pPr>
              <w:pStyle w:val="TableParagraph"/>
              <w:rPr>
                <w:rFonts w:ascii="Times New Roman"/>
                <w:sz w:val="16"/>
              </w:rPr>
            </w:pPr>
          </w:p>
          <w:p w14:paraId="630A9C45" w14:textId="77777777" w:rsidR="00EF5B27" w:rsidRDefault="00EF5B27">
            <w:pPr>
              <w:pStyle w:val="TableParagraph"/>
              <w:spacing w:before="10"/>
              <w:rPr>
                <w:rFonts w:ascii="Times New Roman"/>
                <w:sz w:val="13"/>
              </w:rPr>
            </w:pPr>
          </w:p>
          <w:p w14:paraId="2919E094" w14:textId="77777777" w:rsidR="00EF5B27" w:rsidRDefault="00000000">
            <w:pPr>
              <w:pStyle w:val="TableParagraph"/>
              <w:ind w:left="6"/>
              <w:jc w:val="center"/>
              <w:rPr>
                <w:sz w:val="14"/>
              </w:rPr>
            </w:pPr>
            <w:r>
              <w:rPr>
                <w:color w:val="4D4D4F"/>
                <w:w w:val="96"/>
                <w:sz w:val="14"/>
              </w:rPr>
              <w:t>3</w:t>
            </w:r>
          </w:p>
        </w:tc>
        <w:tc>
          <w:tcPr>
            <w:tcW w:w="1361" w:type="dxa"/>
          </w:tcPr>
          <w:p w14:paraId="60C95B9D" w14:textId="77777777" w:rsidR="00EF5B27" w:rsidRDefault="00EF5B27">
            <w:pPr>
              <w:pStyle w:val="TableParagraph"/>
              <w:spacing w:before="3"/>
              <w:rPr>
                <w:rFonts w:ascii="Times New Roman"/>
                <w:sz w:val="14"/>
              </w:rPr>
            </w:pPr>
          </w:p>
          <w:p w14:paraId="27CC8BAD" w14:textId="77777777" w:rsidR="00EF5B27" w:rsidRDefault="00000000">
            <w:pPr>
              <w:pStyle w:val="TableParagraph"/>
              <w:spacing w:line="252" w:lineRule="auto"/>
              <w:ind w:left="325" w:right="316"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6D172611" w14:textId="77777777" w:rsidR="00EF5B27" w:rsidRDefault="00EF5B27">
            <w:pPr>
              <w:pStyle w:val="TableParagraph"/>
              <w:rPr>
                <w:rFonts w:ascii="Times New Roman"/>
                <w:sz w:val="16"/>
              </w:rPr>
            </w:pPr>
          </w:p>
          <w:p w14:paraId="2C1C3930" w14:textId="77777777" w:rsidR="00EF5B27" w:rsidRDefault="00EF5B27">
            <w:pPr>
              <w:pStyle w:val="TableParagraph"/>
              <w:spacing w:before="10"/>
              <w:rPr>
                <w:rFonts w:ascii="Times New Roman"/>
                <w:sz w:val="13"/>
              </w:rPr>
            </w:pPr>
          </w:p>
          <w:p w14:paraId="51CAA633" w14:textId="77777777" w:rsidR="00EF5B27" w:rsidRDefault="00000000">
            <w:pPr>
              <w:pStyle w:val="TableParagraph"/>
              <w:ind w:left="6"/>
              <w:jc w:val="center"/>
              <w:rPr>
                <w:sz w:val="14"/>
              </w:rPr>
            </w:pPr>
            <w:r>
              <w:rPr>
                <w:color w:val="4D4D4F"/>
                <w:w w:val="96"/>
                <w:sz w:val="14"/>
              </w:rPr>
              <w:t>2</w:t>
            </w:r>
          </w:p>
        </w:tc>
        <w:tc>
          <w:tcPr>
            <w:tcW w:w="1474" w:type="dxa"/>
          </w:tcPr>
          <w:p w14:paraId="6656E278" w14:textId="77777777" w:rsidR="00EF5B27" w:rsidRDefault="00EF5B27">
            <w:pPr>
              <w:pStyle w:val="TableParagraph"/>
              <w:spacing w:before="1"/>
              <w:rPr>
                <w:rFonts w:ascii="Times New Roman"/>
              </w:rPr>
            </w:pPr>
          </w:p>
          <w:p w14:paraId="2E3AFDAC" w14:textId="77777777" w:rsidR="00EF5B27" w:rsidRDefault="00000000">
            <w:pPr>
              <w:pStyle w:val="TableParagraph"/>
              <w:spacing w:line="252" w:lineRule="auto"/>
              <w:ind w:left="424" w:hanging="99"/>
              <w:rPr>
                <w:sz w:val="14"/>
              </w:rPr>
            </w:pPr>
            <w:r>
              <w:rPr>
                <w:color w:val="4D4D4F"/>
                <w:w w:val="105"/>
                <w:sz w:val="14"/>
              </w:rPr>
              <w:t>Forb richness drawdown</w:t>
            </w:r>
          </w:p>
        </w:tc>
        <w:tc>
          <w:tcPr>
            <w:tcW w:w="2041" w:type="dxa"/>
          </w:tcPr>
          <w:p w14:paraId="28226E6D" w14:textId="77777777" w:rsidR="00EF5B27" w:rsidRDefault="00EF5B27">
            <w:pPr>
              <w:pStyle w:val="TableParagraph"/>
              <w:spacing w:before="1"/>
              <w:rPr>
                <w:rFonts w:ascii="Times New Roman"/>
              </w:rPr>
            </w:pPr>
          </w:p>
          <w:p w14:paraId="4BF31540" w14:textId="77777777" w:rsidR="00EF5B27" w:rsidRDefault="00000000">
            <w:pPr>
              <w:pStyle w:val="TableParagraph"/>
              <w:spacing w:line="252" w:lineRule="auto"/>
              <w:ind w:left="516" w:right="50" w:hanging="343"/>
              <w:rPr>
                <w:sz w:val="14"/>
              </w:rPr>
            </w:pPr>
            <w:r>
              <w:rPr>
                <w:color w:val="4D4D4F"/>
                <w:w w:val="105"/>
                <w:sz w:val="14"/>
              </w:rPr>
              <w:t>Western Grassland Reserve, Cobbledicks Rise</w:t>
            </w:r>
          </w:p>
        </w:tc>
        <w:tc>
          <w:tcPr>
            <w:tcW w:w="2154" w:type="dxa"/>
          </w:tcPr>
          <w:p w14:paraId="4783274B" w14:textId="77777777" w:rsidR="00EF5B27" w:rsidRDefault="00EF5B27">
            <w:pPr>
              <w:pStyle w:val="TableParagraph"/>
              <w:spacing w:before="1"/>
              <w:rPr>
                <w:rFonts w:ascii="Times New Roman"/>
              </w:rPr>
            </w:pPr>
          </w:p>
          <w:p w14:paraId="0D87496E" w14:textId="77777777" w:rsidR="00EF5B27" w:rsidRDefault="00000000">
            <w:pPr>
              <w:pStyle w:val="TableParagraph"/>
              <w:spacing w:line="252" w:lineRule="auto"/>
              <w:ind w:left="134" w:firstLine="87"/>
              <w:rPr>
                <w:sz w:val="14"/>
              </w:rPr>
            </w:pPr>
            <w:r>
              <w:rPr>
                <w:color w:val="4D4D4F"/>
                <w:w w:val="105"/>
                <w:sz w:val="14"/>
              </w:rPr>
              <w:t>KPI measure 95% confidence interval falls below the baseline</w:t>
            </w:r>
          </w:p>
        </w:tc>
        <w:tc>
          <w:tcPr>
            <w:tcW w:w="1134" w:type="dxa"/>
          </w:tcPr>
          <w:p w14:paraId="1A18CAFE" w14:textId="77777777" w:rsidR="00EF5B27" w:rsidRDefault="00EF5B27">
            <w:pPr>
              <w:pStyle w:val="TableParagraph"/>
              <w:rPr>
                <w:rFonts w:ascii="Times New Roman"/>
                <w:sz w:val="16"/>
              </w:rPr>
            </w:pPr>
          </w:p>
          <w:p w14:paraId="4430376F" w14:textId="77777777" w:rsidR="00EF5B27" w:rsidRDefault="00EF5B27">
            <w:pPr>
              <w:pStyle w:val="TableParagraph"/>
              <w:spacing w:before="10"/>
              <w:rPr>
                <w:rFonts w:ascii="Times New Roman"/>
                <w:sz w:val="13"/>
              </w:rPr>
            </w:pPr>
          </w:p>
          <w:p w14:paraId="08CB69E8" w14:textId="77777777" w:rsidR="00EF5B27" w:rsidRDefault="00000000">
            <w:pPr>
              <w:pStyle w:val="TableParagraph"/>
              <w:ind w:left="81" w:right="75"/>
              <w:jc w:val="center"/>
              <w:rPr>
                <w:sz w:val="14"/>
              </w:rPr>
            </w:pPr>
            <w:r>
              <w:rPr>
                <w:color w:val="4D4D4F"/>
                <w:w w:val="105"/>
                <w:sz w:val="14"/>
              </w:rPr>
              <w:t>Not assessed</w:t>
            </w:r>
          </w:p>
        </w:tc>
      </w:tr>
      <w:tr w:rsidR="00EF5B27" w14:paraId="57E72FAE" w14:textId="77777777">
        <w:trPr>
          <w:trHeight w:val="845"/>
        </w:trPr>
        <w:tc>
          <w:tcPr>
            <w:tcW w:w="737" w:type="dxa"/>
          </w:tcPr>
          <w:p w14:paraId="7035E833" w14:textId="77777777" w:rsidR="00EF5B27" w:rsidRDefault="00EF5B27">
            <w:pPr>
              <w:pStyle w:val="TableParagraph"/>
              <w:rPr>
                <w:rFonts w:ascii="Times New Roman"/>
                <w:sz w:val="16"/>
              </w:rPr>
            </w:pPr>
          </w:p>
          <w:p w14:paraId="5F19EB87" w14:textId="77777777" w:rsidR="00EF5B27" w:rsidRDefault="00EF5B27">
            <w:pPr>
              <w:pStyle w:val="TableParagraph"/>
              <w:spacing w:before="10"/>
              <w:rPr>
                <w:rFonts w:ascii="Times New Roman"/>
                <w:sz w:val="13"/>
              </w:rPr>
            </w:pPr>
          </w:p>
          <w:p w14:paraId="006D95C1" w14:textId="77777777" w:rsidR="00EF5B27" w:rsidRDefault="00000000">
            <w:pPr>
              <w:pStyle w:val="TableParagraph"/>
              <w:ind w:left="6"/>
              <w:jc w:val="center"/>
              <w:rPr>
                <w:sz w:val="14"/>
              </w:rPr>
            </w:pPr>
            <w:r>
              <w:rPr>
                <w:color w:val="4D4D4F"/>
                <w:w w:val="96"/>
                <w:sz w:val="14"/>
              </w:rPr>
              <w:t>3</w:t>
            </w:r>
          </w:p>
        </w:tc>
        <w:tc>
          <w:tcPr>
            <w:tcW w:w="1361" w:type="dxa"/>
          </w:tcPr>
          <w:p w14:paraId="0716BC52" w14:textId="77777777" w:rsidR="00EF5B27" w:rsidRDefault="00EF5B27">
            <w:pPr>
              <w:pStyle w:val="TableParagraph"/>
              <w:spacing w:before="3"/>
              <w:rPr>
                <w:rFonts w:ascii="Times New Roman"/>
                <w:sz w:val="14"/>
              </w:rPr>
            </w:pPr>
          </w:p>
          <w:p w14:paraId="0E4359E7" w14:textId="77777777" w:rsidR="00EF5B27" w:rsidRDefault="00000000">
            <w:pPr>
              <w:pStyle w:val="TableParagraph"/>
              <w:spacing w:line="252" w:lineRule="auto"/>
              <w:ind w:left="325" w:right="316"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48DCB62A" w14:textId="77777777" w:rsidR="00EF5B27" w:rsidRDefault="00EF5B27">
            <w:pPr>
              <w:pStyle w:val="TableParagraph"/>
              <w:rPr>
                <w:rFonts w:ascii="Times New Roman"/>
                <w:sz w:val="16"/>
              </w:rPr>
            </w:pPr>
          </w:p>
          <w:p w14:paraId="56455724" w14:textId="77777777" w:rsidR="00EF5B27" w:rsidRDefault="00EF5B27">
            <w:pPr>
              <w:pStyle w:val="TableParagraph"/>
              <w:spacing w:before="10"/>
              <w:rPr>
                <w:rFonts w:ascii="Times New Roman"/>
                <w:sz w:val="13"/>
              </w:rPr>
            </w:pPr>
          </w:p>
          <w:p w14:paraId="3D2CD532" w14:textId="77777777" w:rsidR="00EF5B27" w:rsidRDefault="00000000">
            <w:pPr>
              <w:pStyle w:val="TableParagraph"/>
              <w:ind w:left="6"/>
              <w:jc w:val="center"/>
              <w:rPr>
                <w:sz w:val="14"/>
              </w:rPr>
            </w:pPr>
            <w:r>
              <w:rPr>
                <w:color w:val="4D4D4F"/>
                <w:w w:val="96"/>
                <w:sz w:val="14"/>
              </w:rPr>
              <w:t>2</w:t>
            </w:r>
          </w:p>
        </w:tc>
        <w:tc>
          <w:tcPr>
            <w:tcW w:w="1474" w:type="dxa"/>
          </w:tcPr>
          <w:p w14:paraId="7BFBC630" w14:textId="77777777" w:rsidR="00EF5B27" w:rsidRDefault="00EF5B27">
            <w:pPr>
              <w:pStyle w:val="TableParagraph"/>
              <w:spacing w:before="1"/>
              <w:rPr>
                <w:rFonts w:ascii="Times New Roman"/>
              </w:rPr>
            </w:pPr>
          </w:p>
          <w:p w14:paraId="04EF1647" w14:textId="77777777" w:rsidR="00EF5B27" w:rsidRDefault="00000000">
            <w:pPr>
              <w:pStyle w:val="TableParagraph"/>
              <w:spacing w:line="252" w:lineRule="auto"/>
              <w:ind w:left="424" w:hanging="99"/>
              <w:rPr>
                <w:sz w:val="14"/>
              </w:rPr>
            </w:pPr>
            <w:r>
              <w:rPr>
                <w:color w:val="4D4D4F"/>
                <w:w w:val="105"/>
                <w:sz w:val="14"/>
              </w:rPr>
              <w:t>Forb richness drawdown</w:t>
            </w:r>
          </w:p>
        </w:tc>
        <w:tc>
          <w:tcPr>
            <w:tcW w:w="2041" w:type="dxa"/>
          </w:tcPr>
          <w:p w14:paraId="63365890" w14:textId="77777777" w:rsidR="00EF5B27" w:rsidRDefault="00EF5B27">
            <w:pPr>
              <w:pStyle w:val="TableParagraph"/>
              <w:spacing w:before="1"/>
              <w:rPr>
                <w:rFonts w:ascii="Times New Roman"/>
              </w:rPr>
            </w:pPr>
          </w:p>
          <w:p w14:paraId="36F0840C" w14:textId="77777777" w:rsidR="00EF5B27" w:rsidRDefault="00000000">
            <w:pPr>
              <w:pStyle w:val="TableParagraph"/>
              <w:spacing w:line="252" w:lineRule="auto"/>
              <w:ind w:left="617" w:right="50" w:hanging="444"/>
              <w:rPr>
                <w:sz w:val="14"/>
              </w:rPr>
            </w:pPr>
            <w:r>
              <w:rPr>
                <w:color w:val="4D4D4F"/>
                <w:w w:val="105"/>
                <w:sz w:val="14"/>
              </w:rPr>
              <w:t>Western Grassland Reserve, Windmill Rise</w:t>
            </w:r>
          </w:p>
        </w:tc>
        <w:tc>
          <w:tcPr>
            <w:tcW w:w="2154" w:type="dxa"/>
          </w:tcPr>
          <w:p w14:paraId="4406A43D" w14:textId="77777777" w:rsidR="00EF5B27" w:rsidRDefault="00EF5B27">
            <w:pPr>
              <w:pStyle w:val="TableParagraph"/>
              <w:spacing w:before="1"/>
              <w:rPr>
                <w:rFonts w:ascii="Times New Roman"/>
              </w:rPr>
            </w:pPr>
          </w:p>
          <w:p w14:paraId="4DD796DE" w14:textId="77777777" w:rsidR="00EF5B27" w:rsidRDefault="00000000">
            <w:pPr>
              <w:pStyle w:val="TableParagraph"/>
              <w:spacing w:line="252" w:lineRule="auto"/>
              <w:ind w:left="134" w:firstLine="87"/>
              <w:rPr>
                <w:sz w:val="14"/>
              </w:rPr>
            </w:pPr>
            <w:r>
              <w:rPr>
                <w:color w:val="4D4D4F"/>
                <w:w w:val="105"/>
                <w:sz w:val="14"/>
              </w:rPr>
              <w:t>KPI measure 95% confidence interval falls below the baseline</w:t>
            </w:r>
          </w:p>
        </w:tc>
        <w:tc>
          <w:tcPr>
            <w:tcW w:w="1134" w:type="dxa"/>
          </w:tcPr>
          <w:p w14:paraId="62C3B344" w14:textId="77777777" w:rsidR="00EF5B27" w:rsidRDefault="00EF5B27">
            <w:pPr>
              <w:pStyle w:val="TableParagraph"/>
              <w:rPr>
                <w:rFonts w:ascii="Times New Roman"/>
                <w:sz w:val="16"/>
              </w:rPr>
            </w:pPr>
          </w:p>
          <w:p w14:paraId="08C111C5" w14:textId="77777777" w:rsidR="00EF5B27" w:rsidRDefault="00EF5B27">
            <w:pPr>
              <w:pStyle w:val="TableParagraph"/>
              <w:spacing w:before="10"/>
              <w:rPr>
                <w:rFonts w:ascii="Times New Roman"/>
                <w:sz w:val="13"/>
              </w:rPr>
            </w:pPr>
          </w:p>
          <w:p w14:paraId="71D372C7" w14:textId="77777777" w:rsidR="00EF5B27" w:rsidRDefault="00000000">
            <w:pPr>
              <w:pStyle w:val="TableParagraph"/>
              <w:ind w:left="81" w:right="74"/>
              <w:jc w:val="center"/>
              <w:rPr>
                <w:sz w:val="14"/>
              </w:rPr>
            </w:pPr>
            <w:r>
              <w:rPr>
                <w:color w:val="4D4D4F"/>
                <w:w w:val="105"/>
                <w:sz w:val="14"/>
              </w:rPr>
              <w:t>Not assessed</w:t>
            </w:r>
          </w:p>
        </w:tc>
      </w:tr>
      <w:tr w:rsidR="00EF5B27" w14:paraId="7A15BD7D" w14:textId="77777777">
        <w:trPr>
          <w:trHeight w:val="845"/>
        </w:trPr>
        <w:tc>
          <w:tcPr>
            <w:tcW w:w="737" w:type="dxa"/>
          </w:tcPr>
          <w:p w14:paraId="5B1D1BEC" w14:textId="77777777" w:rsidR="00EF5B27" w:rsidRDefault="00EF5B27">
            <w:pPr>
              <w:pStyle w:val="TableParagraph"/>
              <w:rPr>
                <w:rFonts w:ascii="Times New Roman"/>
                <w:sz w:val="16"/>
              </w:rPr>
            </w:pPr>
          </w:p>
          <w:p w14:paraId="06C5144A" w14:textId="77777777" w:rsidR="00EF5B27" w:rsidRDefault="00EF5B27">
            <w:pPr>
              <w:pStyle w:val="TableParagraph"/>
              <w:spacing w:before="10"/>
              <w:rPr>
                <w:rFonts w:ascii="Times New Roman"/>
                <w:sz w:val="13"/>
              </w:rPr>
            </w:pPr>
          </w:p>
          <w:p w14:paraId="51A80F68" w14:textId="77777777" w:rsidR="00EF5B27" w:rsidRDefault="00000000">
            <w:pPr>
              <w:pStyle w:val="TableParagraph"/>
              <w:ind w:left="7"/>
              <w:jc w:val="center"/>
              <w:rPr>
                <w:sz w:val="14"/>
              </w:rPr>
            </w:pPr>
            <w:r>
              <w:rPr>
                <w:color w:val="4D4D4F"/>
                <w:w w:val="96"/>
                <w:sz w:val="14"/>
              </w:rPr>
              <w:t>3</w:t>
            </w:r>
          </w:p>
        </w:tc>
        <w:tc>
          <w:tcPr>
            <w:tcW w:w="1361" w:type="dxa"/>
          </w:tcPr>
          <w:p w14:paraId="3763EF49" w14:textId="77777777" w:rsidR="00EF5B27" w:rsidRDefault="00EF5B27">
            <w:pPr>
              <w:pStyle w:val="TableParagraph"/>
              <w:spacing w:before="3"/>
              <w:rPr>
                <w:rFonts w:ascii="Times New Roman"/>
                <w:sz w:val="14"/>
              </w:rPr>
            </w:pPr>
          </w:p>
          <w:p w14:paraId="0FDF8995" w14:textId="77777777" w:rsidR="00EF5B27" w:rsidRDefault="00000000">
            <w:pPr>
              <w:pStyle w:val="TableParagraph"/>
              <w:spacing w:line="252" w:lineRule="auto"/>
              <w:ind w:left="325" w:right="316"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0DADC63D" w14:textId="77777777" w:rsidR="00EF5B27" w:rsidRDefault="00EF5B27">
            <w:pPr>
              <w:pStyle w:val="TableParagraph"/>
              <w:rPr>
                <w:rFonts w:ascii="Times New Roman"/>
                <w:sz w:val="16"/>
              </w:rPr>
            </w:pPr>
          </w:p>
          <w:p w14:paraId="5E9AD2F9" w14:textId="77777777" w:rsidR="00EF5B27" w:rsidRDefault="00EF5B27">
            <w:pPr>
              <w:pStyle w:val="TableParagraph"/>
              <w:spacing w:before="10"/>
              <w:rPr>
                <w:rFonts w:ascii="Times New Roman"/>
                <w:sz w:val="13"/>
              </w:rPr>
            </w:pPr>
          </w:p>
          <w:p w14:paraId="749C78DD" w14:textId="77777777" w:rsidR="00EF5B27" w:rsidRDefault="00000000">
            <w:pPr>
              <w:pStyle w:val="TableParagraph"/>
              <w:ind w:left="6"/>
              <w:jc w:val="center"/>
              <w:rPr>
                <w:sz w:val="14"/>
              </w:rPr>
            </w:pPr>
            <w:r>
              <w:rPr>
                <w:color w:val="4D4D4F"/>
                <w:w w:val="96"/>
                <w:sz w:val="14"/>
              </w:rPr>
              <w:t>2</w:t>
            </w:r>
          </w:p>
        </w:tc>
        <w:tc>
          <w:tcPr>
            <w:tcW w:w="1474" w:type="dxa"/>
          </w:tcPr>
          <w:p w14:paraId="31D5B165" w14:textId="77777777" w:rsidR="00EF5B27" w:rsidRDefault="00EF5B27">
            <w:pPr>
              <w:pStyle w:val="TableParagraph"/>
              <w:spacing w:before="1"/>
              <w:rPr>
                <w:rFonts w:ascii="Times New Roman"/>
              </w:rPr>
            </w:pPr>
          </w:p>
          <w:p w14:paraId="6E0333F3" w14:textId="77777777" w:rsidR="00EF5B27" w:rsidRDefault="00000000">
            <w:pPr>
              <w:pStyle w:val="TableParagraph"/>
              <w:spacing w:line="252" w:lineRule="auto"/>
              <w:ind w:left="424" w:hanging="99"/>
              <w:rPr>
                <w:sz w:val="14"/>
              </w:rPr>
            </w:pPr>
            <w:r>
              <w:rPr>
                <w:color w:val="4D4D4F"/>
                <w:w w:val="105"/>
                <w:sz w:val="14"/>
              </w:rPr>
              <w:t>Forb richness drawdown</w:t>
            </w:r>
          </w:p>
        </w:tc>
        <w:tc>
          <w:tcPr>
            <w:tcW w:w="2041" w:type="dxa"/>
          </w:tcPr>
          <w:p w14:paraId="0BECDD54" w14:textId="77777777" w:rsidR="00EF5B27" w:rsidRDefault="00EF5B27">
            <w:pPr>
              <w:pStyle w:val="TableParagraph"/>
              <w:spacing w:before="1"/>
              <w:rPr>
                <w:rFonts w:ascii="Times New Roman"/>
              </w:rPr>
            </w:pPr>
          </w:p>
          <w:p w14:paraId="18F3904C" w14:textId="77777777" w:rsidR="00EF5B27" w:rsidRDefault="00000000">
            <w:pPr>
              <w:pStyle w:val="TableParagraph"/>
              <w:spacing w:line="252" w:lineRule="auto"/>
              <w:ind w:left="613" w:right="50" w:hanging="440"/>
              <w:rPr>
                <w:sz w:val="14"/>
              </w:rPr>
            </w:pPr>
            <w:r>
              <w:rPr>
                <w:color w:val="4D4D4F"/>
                <w:sz w:val="14"/>
              </w:rPr>
              <w:t>Western Grassland Reserve, One Tree Rise</w:t>
            </w:r>
          </w:p>
        </w:tc>
        <w:tc>
          <w:tcPr>
            <w:tcW w:w="2154" w:type="dxa"/>
          </w:tcPr>
          <w:p w14:paraId="52F3709A" w14:textId="77777777" w:rsidR="00EF5B27" w:rsidRDefault="00EF5B27">
            <w:pPr>
              <w:pStyle w:val="TableParagraph"/>
              <w:spacing w:before="1"/>
              <w:rPr>
                <w:rFonts w:ascii="Times New Roman"/>
              </w:rPr>
            </w:pPr>
          </w:p>
          <w:p w14:paraId="6033983D" w14:textId="77777777" w:rsidR="00EF5B27" w:rsidRDefault="00000000">
            <w:pPr>
              <w:pStyle w:val="TableParagraph"/>
              <w:spacing w:line="252" w:lineRule="auto"/>
              <w:ind w:left="134" w:firstLine="87"/>
              <w:rPr>
                <w:sz w:val="14"/>
              </w:rPr>
            </w:pPr>
            <w:r>
              <w:rPr>
                <w:color w:val="4D4D4F"/>
                <w:w w:val="105"/>
                <w:sz w:val="14"/>
              </w:rPr>
              <w:t>KPI measure 95% confidence interval falls below the baseline</w:t>
            </w:r>
          </w:p>
        </w:tc>
        <w:tc>
          <w:tcPr>
            <w:tcW w:w="1134" w:type="dxa"/>
          </w:tcPr>
          <w:p w14:paraId="36644343" w14:textId="77777777" w:rsidR="00EF5B27" w:rsidRDefault="00EF5B27">
            <w:pPr>
              <w:pStyle w:val="TableParagraph"/>
              <w:rPr>
                <w:rFonts w:ascii="Times New Roman"/>
                <w:sz w:val="16"/>
              </w:rPr>
            </w:pPr>
          </w:p>
          <w:p w14:paraId="3F7538C8" w14:textId="77777777" w:rsidR="00EF5B27" w:rsidRDefault="00EF5B27">
            <w:pPr>
              <w:pStyle w:val="TableParagraph"/>
              <w:spacing w:before="10"/>
              <w:rPr>
                <w:rFonts w:ascii="Times New Roman"/>
                <w:sz w:val="13"/>
              </w:rPr>
            </w:pPr>
          </w:p>
          <w:p w14:paraId="0F102986" w14:textId="77777777" w:rsidR="00EF5B27" w:rsidRDefault="00000000">
            <w:pPr>
              <w:pStyle w:val="TableParagraph"/>
              <w:ind w:left="81" w:right="74"/>
              <w:jc w:val="center"/>
              <w:rPr>
                <w:sz w:val="14"/>
              </w:rPr>
            </w:pPr>
            <w:r>
              <w:rPr>
                <w:color w:val="4D4D4F"/>
                <w:w w:val="105"/>
                <w:sz w:val="14"/>
              </w:rPr>
              <w:t>Not assessed</w:t>
            </w:r>
          </w:p>
        </w:tc>
      </w:tr>
      <w:tr w:rsidR="00EF5B27" w14:paraId="64CE914E" w14:textId="77777777">
        <w:trPr>
          <w:trHeight w:val="845"/>
        </w:trPr>
        <w:tc>
          <w:tcPr>
            <w:tcW w:w="737" w:type="dxa"/>
          </w:tcPr>
          <w:p w14:paraId="2F134D03" w14:textId="77777777" w:rsidR="00EF5B27" w:rsidRDefault="00EF5B27">
            <w:pPr>
              <w:pStyle w:val="TableParagraph"/>
              <w:rPr>
                <w:rFonts w:ascii="Times New Roman"/>
                <w:sz w:val="16"/>
              </w:rPr>
            </w:pPr>
          </w:p>
          <w:p w14:paraId="127E3573" w14:textId="77777777" w:rsidR="00EF5B27" w:rsidRDefault="00EF5B27">
            <w:pPr>
              <w:pStyle w:val="TableParagraph"/>
              <w:spacing w:before="10"/>
              <w:rPr>
                <w:rFonts w:ascii="Times New Roman"/>
                <w:sz w:val="13"/>
              </w:rPr>
            </w:pPr>
          </w:p>
          <w:p w14:paraId="0ED52996" w14:textId="77777777" w:rsidR="00EF5B27" w:rsidRDefault="00000000">
            <w:pPr>
              <w:pStyle w:val="TableParagraph"/>
              <w:ind w:left="7"/>
              <w:jc w:val="center"/>
              <w:rPr>
                <w:sz w:val="14"/>
              </w:rPr>
            </w:pPr>
            <w:r>
              <w:rPr>
                <w:color w:val="4D4D4F"/>
                <w:w w:val="96"/>
                <w:sz w:val="14"/>
              </w:rPr>
              <w:t>3</w:t>
            </w:r>
          </w:p>
        </w:tc>
        <w:tc>
          <w:tcPr>
            <w:tcW w:w="1361" w:type="dxa"/>
          </w:tcPr>
          <w:p w14:paraId="22A92ACC" w14:textId="77777777" w:rsidR="00EF5B27" w:rsidRDefault="00EF5B27">
            <w:pPr>
              <w:pStyle w:val="TableParagraph"/>
              <w:spacing w:before="3"/>
              <w:rPr>
                <w:rFonts w:ascii="Times New Roman"/>
                <w:sz w:val="14"/>
              </w:rPr>
            </w:pPr>
          </w:p>
          <w:p w14:paraId="4EDB9CA4" w14:textId="77777777" w:rsidR="00EF5B27" w:rsidRDefault="00000000">
            <w:pPr>
              <w:pStyle w:val="TableParagraph"/>
              <w:spacing w:line="252" w:lineRule="auto"/>
              <w:ind w:left="325" w:right="316"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5A1512D2" w14:textId="77777777" w:rsidR="00EF5B27" w:rsidRDefault="00EF5B27">
            <w:pPr>
              <w:pStyle w:val="TableParagraph"/>
              <w:rPr>
                <w:rFonts w:ascii="Times New Roman"/>
                <w:sz w:val="16"/>
              </w:rPr>
            </w:pPr>
          </w:p>
          <w:p w14:paraId="757FFAEC" w14:textId="77777777" w:rsidR="00EF5B27" w:rsidRDefault="00EF5B27">
            <w:pPr>
              <w:pStyle w:val="TableParagraph"/>
              <w:spacing w:before="10"/>
              <w:rPr>
                <w:rFonts w:ascii="Times New Roman"/>
                <w:sz w:val="13"/>
              </w:rPr>
            </w:pPr>
          </w:p>
          <w:p w14:paraId="49CA1A82" w14:textId="77777777" w:rsidR="00EF5B27" w:rsidRDefault="00000000">
            <w:pPr>
              <w:pStyle w:val="TableParagraph"/>
              <w:ind w:left="6"/>
              <w:jc w:val="center"/>
              <w:rPr>
                <w:sz w:val="14"/>
              </w:rPr>
            </w:pPr>
            <w:r>
              <w:rPr>
                <w:color w:val="4D4D4F"/>
                <w:w w:val="96"/>
                <w:sz w:val="14"/>
              </w:rPr>
              <w:t>4</w:t>
            </w:r>
          </w:p>
        </w:tc>
        <w:tc>
          <w:tcPr>
            <w:tcW w:w="1474" w:type="dxa"/>
          </w:tcPr>
          <w:p w14:paraId="6967C0EB" w14:textId="77777777" w:rsidR="00EF5B27" w:rsidRDefault="00EF5B27">
            <w:pPr>
              <w:pStyle w:val="TableParagraph"/>
              <w:rPr>
                <w:rFonts w:ascii="Times New Roman"/>
                <w:sz w:val="16"/>
              </w:rPr>
            </w:pPr>
          </w:p>
          <w:p w14:paraId="4C60F374" w14:textId="77777777" w:rsidR="00EF5B27" w:rsidRDefault="00EF5B27">
            <w:pPr>
              <w:pStyle w:val="TableParagraph"/>
              <w:spacing w:before="10"/>
              <w:rPr>
                <w:rFonts w:ascii="Times New Roman"/>
                <w:sz w:val="13"/>
              </w:rPr>
            </w:pPr>
          </w:p>
          <w:p w14:paraId="3E687B30" w14:textId="77777777" w:rsidR="00EF5B27" w:rsidRDefault="00000000">
            <w:pPr>
              <w:pStyle w:val="TableParagraph"/>
              <w:ind w:left="126" w:right="120"/>
              <w:jc w:val="center"/>
              <w:rPr>
                <w:sz w:val="14"/>
              </w:rPr>
            </w:pPr>
            <w:r>
              <w:rPr>
                <w:color w:val="4D4D4F"/>
                <w:sz w:val="14"/>
              </w:rPr>
              <w:t>Weeds drawdown</w:t>
            </w:r>
          </w:p>
        </w:tc>
        <w:tc>
          <w:tcPr>
            <w:tcW w:w="2041" w:type="dxa"/>
          </w:tcPr>
          <w:p w14:paraId="494AB64E" w14:textId="77777777" w:rsidR="00EF5B27" w:rsidRDefault="00EF5B27">
            <w:pPr>
              <w:pStyle w:val="TableParagraph"/>
              <w:spacing w:before="1"/>
              <w:rPr>
                <w:rFonts w:ascii="Times New Roman"/>
              </w:rPr>
            </w:pPr>
          </w:p>
          <w:p w14:paraId="5240AE51" w14:textId="77777777" w:rsidR="00EF5B27" w:rsidRDefault="00000000">
            <w:pPr>
              <w:pStyle w:val="TableParagraph"/>
              <w:spacing w:line="252" w:lineRule="auto"/>
              <w:ind w:left="516" w:right="50" w:hanging="343"/>
              <w:rPr>
                <w:sz w:val="14"/>
              </w:rPr>
            </w:pPr>
            <w:r>
              <w:rPr>
                <w:color w:val="4D4D4F"/>
                <w:w w:val="105"/>
                <w:sz w:val="14"/>
              </w:rPr>
              <w:t>Western Grassland Reserve, Cobbledicks Rise</w:t>
            </w:r>
          </w:p>
        </w:tc>
        <w:tc>
          <w:tcPr>
            <w:tcW w:w="2154" w:type="dxa"/>
          </w:tcPr>
          <w:p w14:paraId="166C4D6B" w14:textId="77777777" w:rsidR="00EF5B27" w:rsidRDefault="00EF5B27">
            <w:pPr>
              <w:pStyle w:val="TableParagraph"/>
              <w:spacing w:before="1"/>
              <w:rPr>
                <w:rFonts w:ascii="Times New Roman"/>
              </w:rPr>
            </w:pPr>
          </w:p>
          <w:p w14:paraId="53E2BC3D" w14:textId="77777777" w:rsidR="00EF5B27" w:rsidRDefault="00000000">
            <w:pPr>
              <w:pStyle w:val="TableParagraph"/>
              <w:spacing w:line="252" w:lineRule="auto"/>
              <w:ind w:left="134" w:right="106" w:firstLine="88"/>
              <w:rPr>
                <w:sz w:val="14"/>
              </w:rPr>
            </w:pPr>
            <w:r>
              <w:rPr>
                <w:color w:val="4D4D4F"/>
                <w:w w:val="105"/>
                <w:sz w:val="14"/>
              </w:rPr>
              <w:t>KPI measure 95% confidence interval falls above the baseline</w:t>
            </w:r>
          </w:p>
        </w:tc>
        <w:tc>
          <w:tcPr>
            <w:tcW w:w="1134" w:type="dxa"/>
          </w:tcPr>
          <w:p w14:paraId="3C5C5D1B" w14:textId="77777777" w:rsidR="00EF5B27" w:rsidRDefault="00EF5B27">
            <w:pPr>
              <w:pStyle w:val="TableParagraph"/>
              <w:rPr>
                <w:rFonts w:ascii="Times New Roman"/>
                <w:sz w:val="16"/>
              </w:rPr>
            </w:pPr>
          </w:p>
          <w:p w14:paraId="3E6CB2B2" w14:textId="77777777" w:rsidR="00EF5B27" w:rsidRDefault="00EF5B27">
            <w:pPr>
              <w:pStyle w:val="TableParagraph"/>
              <w:spacing w:before="10"/>
              <w:rPr>
                <w:rFonts w:ascii="Times New Roman"/>
                <w:sz w:val="13"/>
              </w:rPr>
            </w:pPr>
          </w:p>
          <w:p w14:paraId="6B1020FE" w14:textId="77777777" w:rsidR="00EF5B27" w:rsidRDefault="00000000">
            <w:pPr>
              <w:pStyle w:val="TableParagraph"/>
              <w:ind w:left="81" w:right="74"/>
              <w:jc w:val="center"/>
              <w:rPr>
                <w:sz w:val="14"/>
              </w:rPr>
            </w:pPr>
            <w:r>
              <w:rPr>
                <w:color w:val="4D4D4F"/>
                <w:w w:val="105"/>
                <w:sz w:val="14"/>
              </w:rPr>
              <w:t>Not assessed</w:t>
            </w:r>
          </w:p>
        </w:tc>
      </w:tr>
      <w:tr w:rsidR="00EF5B27" w14:paraId="6B753EB8" w14:textId="77777777">
        <w:trPr>
          <w:trHeight w:val="845"/>
        </w:trPr>
        <w:tc>
          <w:tcPr>
            <w:tcW w:w="737" w:type="dxa"/>
          </w:tcPr>
          <w:p w14:paraId="63A93FDD" w14:textId="77777777" w:rsidR="00EF5B27" w:rsidRDefault="00EF5B27">
            <w:pPr>
              <w:pStyle w:val="TableParagraph"/>
              <w:rPr>
                <w:rFonts w:ascii="Times New Roman"/>
                <w:sz w:val="16"/>
              </w:rPr>
            </w:pPr>
          </w:p>
          <w:p w14:paraId="6F03FC04" w14:textId="77777777" w:rsidR="00EF5B27" w:rsidRDefault="00EF5B27">
            <w:pPr>
              <w:pStyle w:val="TableParagraph"/>
              <w:spacing w:before="10"/>
              <w:rPr>
                <w:rFonts w:ascii="Times New Roman"/>
                <w:sz w:val="13"/>
              </w:rPr>
            </w:pPr>
          </w:p>
          <w:p w14:paraId="06E81387" w14:textId="77777777" w:rsidR="00EF5B27" w:rsidRDefault="00000000">
            <w:pPr>
              <w:pStyle w:val="TableParagraph"/>
              <w:ind w:left="7"/>
              <w:jc w:val="center"/>
              <w:rPr>
                <w:sz w:val="14"/>
              </w:rPr>
            </w:pPr>
            <w:r>
              <w:rPr>
                <w:color w:val="4D4D4F"/>
                <w:w w:val="96"/>
                <w:sz w:val="14"/>
              </w:rPr>
              <w:t>3</w:t>
            </w:r>
          </w:p>
        </w:tc>
        <w:tc>
          <w:tcPr>
            <w:tcW w:w="1361" w:type="dxa"/>
          </w:tcPr>
          <w:p w14:paraId="1041CF14" w14:textId="77777777" w:rsidR="00EF5B27" w:rsidRDefault="00EF5B27">
            <w:pPr>
              <w:pStyle w:val="TableParagraph"/>
              <w:spacing w:before="2"/>
              <w:rPr>
                <w:rFonts w:ascii="Times New Roman"/>
                <w:sz w:val="14"/>
              </w:rPr>
            </w:pPr>
          </w:p>
          <w:p w14:paraId="47B1EC1C" w14:textId="77777777" w:rsidR="00EF5B27" w:rsidRDefault="00000000">
            <w:pPr>
              <w:pStyle w:val="TableParagraph"/>
              <w:spacing w:before="1" w:line="252" w:lineRule="auto"/>
              <w:ind w:left="325" w:right="316"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Pr>
          <w:p w14:paraId="0FBBD0B5" w14:textId="77777777" w:rsidR="00EF5B27" w:rsidRDefault="00EF5B27">
            <w:pPr>
              <w:pStyle w:val="TableParagraph"/>
              <w:rPr>
                <w:rFonts w:ascii="Times New Roman"/>
                <w:sz w:val="16"/>
              </w:rPr>
            </w:pPr>
          </w:p>
          <w:p w14:paraId="33425DC3" w14:textId="77777777" w:rsidR="00EF5B27" w:rsidRDefault="00EF5B27">
            <w:pPr>
              <w:pStyle w:val="TableParagraph"/>
              <w:spacing w:before="10"/>
              <w:rPr>
                <w:rFonts w:ascii="Times New Roman"/>
                <w:sz w:val="13"/>
              </w:rPr>
            </w:pPr>
          </w:p>
          <w:p w14:paraId="1413C98D" w14:textId="77777777" w:rsidR="00EF5B27" w:rsidRDefault="00000000">
            <w:pPr>
              <w:pStyle w:val="TableParagraph"/>
              <w:ind w:left="7"/>
              <w:jc w:val="center"/>
              <w:rPr>
                <w:sz w:val="14"/>
              </w:rPr>
            </w:pPr>
            <w:r>
              <w:rPr>
                <w:color w:val="4D4D4F"/>
                <w:w w:val="96"/>
                <w:sz w:val="14"/>
              </w:rPr>
              <w:t>4</w:t>
            </w:r>
          </w:p>
        </w:tc>
        <w:tc>
          <w:tcPr>
            <w:tcW w:w="1474" w:type="dxa"/>
          </w:tcPr>
          <w:p w14:paraId="5627D32E" w14:textId="77777777" w:rsidR="00EF5B27" w:rsidRDefault="00EF5B27">
            <w:pPr>
              <w:pStyle w:val="TableParagraph"/>
              <w:rPr>
                <w:rFonts w:ascii="Times New Roman"/>
                <w:sz w:val="16"/>
              </w:rPr>
            </w:pPr>
          </w:p>
          <w:p w14:paraId="50DD64F3" w14:textId="77777777" w:rsidR="00EF5B27" w:rsidRDefault="00EF5B27">
            <w:pPr>
              <w:pStyle w:val="TableParagraph"/>
              <w:spacing w:before="10"/>
              <w:rPr>
                <w:rFonts w:ascii="Times New Roman"/>
                <w:sz w:val="13"/>
              </w:rPr>
            </w:pPr>
          </w:p>
          <w:p w14:paraId="5876A4EE" w14:textId="77777777" w:rsidR="00EF5B27" w:rsidRDefault="00000000">
            <w:pPr>
              <w:pStyle w:val="TableParagraph"/>
              <w:ind w:left="126" w:right="120"/>
              <w:jc w:val="center"/>
              <w:rPr>
                <w:sz w:val="14"/>
              </w:rPr>
            </w:pPr>
            <w:r>
              <w:rPr>
                <w:color w:val="4D4D4F"/>
                <w:sz w:val="14"/>
              </w:rPr>
              <w:t>Weeds drawdown</w:t>
            </w:r>
          </w:p>
        </w:tc>
        <w:tc>
          <w:tcPr>
            <w:tcW w:w="2041" w:type="dxa"/>
          </w:tcPr>
          <w:p w14:paraId="5AA21274" w14:textId="77777777" w:rsidR="00EF5B27" w:rsidRDefault="00EF5B27">
            <w:pPr>
              <w:pStyle w:val="TableParagraph"/>
              <w:spacing w:before="1"/>
              <w:rPr>
                <w:rFonts w:ascii="Times New Roman"/>
              </w:rPr>
            </w:pPr>
          </w:p>
          <w:p w14:paraId="16AADDBC" w14:textId="77777777" w:rsidR="00EF5B27" w:rsidRDefault="00000000">
            <w:pPr>
              <w:pStyle w:val="TableParagraph"/>
              <w:spacing w:line="252" w:lineRule="auto"/>
              <w:ind w:left="617" w:right="50" w:hanging="444"/>
              <w:rPr>
                <w:sz w:val="14"/>
              </w:rPr>
            </w:pPr>
            <w:r>
              <w:rPr>
                <w:color w:val="4D4D4F"/>
                <w:w w:val="105"/>
                <w:sz w:val="14"/>
              </w:rPr>
              <w:t>Western Grassland Reserve, Windmill Rise</w:t>
            </w:r>
          </w:p>
        </w:tc>
        <w:tc>
          <w:tcPr>
            <w:tcW w:w="2154" w:type="dxa"/>
          </w:tcPr>
          <w:p w14:paraId="340936DC" w14:textId="77777777" w:rsidR="00EF5B27" w:rsidRDefault="00EF5B27">
            <w:pPr>
              <w:pStyle w:val="TableParagraph"/>
              <w:spacing w:before="1"/>
              <w:rPr>
                <w:rFonts w:ascii="Times New Roman"/>
              </w:rPr>
            </w:pPr>
          </w:p>
          <w:p w14:paraId="608A6D49" w14:textId="77777777" w:rsidR="00EF5B27" w:rsidRDefault="00000000">
            <w:pPr>
              <w:pStyle w:val="TableParagraph"/>
              <w:spacing w:line="252" w:lineRule="auto"/>
              <w:ind w:left="134" w:right="106" w:firstLine="88"/>
              <w:rPr>
                <w:sz w:val="14"/>
              </w:rPr>
            </w:pPr>
            <w:r>
              <w:rPr>
                <w:color w:val="4D4D4F"/>
                <w:w w:val="105"/>
                <w:sz w:val="14"/>
              </w:rPr>
              <w:t>KPI measure 95% confidence interval falls above the baseline</w:t>
            </w:r>
          </w:p>
        </w:tc>
        <w:tc>
          <w:tcPr>
            <w:tcW w:w="1134" w:type="dxa"/>
          </w:tcPr>
          <w:p w14:paraId="398F81C8" w14:textId="77777777" w:rsidR="00EF5B27" w:rsidRDefault="00EF5B27">
            <w:pPr>
              <w:pStyle w:val="TableParagraph"/>
              <w:rPr>
                <w:rFonts w:ascii="Times New Roman"/>
                <w:sz w:val="16"/>
              </w:rPr>
            </w:pPr>
          </w:p>
          <w:p w14:paraId="51729D96" w14:textId="77777777" w:rsidR="00EF5B27" w:rsidRDefault="00EF5B27">
            <w:pPr>
              <w:pStyle w:val="TableParagraph"/>
              <w:spacing w:before="10"/>
              <w:rPr>
                <w:rFonts w:ascii="Times New Roman"/>
                <w:sz w:val="13"/>
              </w:rPr>
            </w:pPr>
          </w:p>
          <w:p w14:paraId="35146BB8" w14:textId="77777777" w:rsidR="00EF5B27" w:rsidRDefault="00000000">
            <w:pPr>
              <w:pStyle w:val="TableParagraph"/>
              <w:ind w:left="81" w:right="74"/>
              <w:jc w:val="center"/>
              <w:rPr>
                <w:sz w:val="14"/>
              </w:rPr>
            </w:pPr>
            <w:r>
              <w:rPr>
                <w:color w:val="4D4D4F"/>
                <w:w w:val="105"/>
                <w:sz w:val="14"/>
              </w:rPr>
              <w:t>Not assessed</w:t>
            </w:r>
          </w:p>
        </w:tc>
      </w:tr>
    </w:tbl>
    <w:p w14:paraId="0BF4009F" w14:textId="77777777" w:rsidR="00EF5B27" w:rsidRDefault="00EF5B27">
      <w:pPr>
        <w:jc w:val="center"/>
        <w:rPr>
          <w:sz w:val="14"/>
        </w:rPr>
        <w:sectPr w:rsidR="00EF5B27">
          <w:pgSz w:w="11910" w:h="16840"/>
          <w:pgMar w:top="1080" w:right="1020" w:bottom="860" w:left="1020" w:header="537" w:footer="678" w:gutter="0"/>
          <w:cols w:space="720"/>
        </w:sectPr>
      </w:pPr>
    </w:p>
    <w:p w14:paraId="2AC89D45" w14:textId="77777777" w:rsidR="00EF5B27" w:rsidRDefault="00000000">
      <w:pPr>
        <w:pStyle w:val="BodyText"/>
        <w:rPr>
          <w:rFonts w:ascii="Times New Roman"/>
        </w:rPr>
      </w:pPr>
      <w:r>
        <w:lastRenderedPageBreak/>
        <w:pict w14:anchorId="05150D0E">
          <v:group id="_x0000_s2551" style="position:absolute;margin-left:587.05pt;margin-top:183.4pt;width:8.25pt;height:153.1pt;z-index:251752960;mso-position-horizontal-relative:page;mso-position-vertical-relative:page" coordorigin="11741,3668" coordsize="165,3062">
            <v:shape id="_x0000_s2558" style="position:absolute;left:11741;top:3668;width:165;height:561" coordorigin="11741,3668" coordsize="165,561" path="m11906,3668r-165,l11741,4228r165,-18l11906,3668xe" fillcolor="#00aed9" stroked="f">
              <v:path arrowok="t"/>
            </v:shape>
            <v:shape id="_x0000_s2557" style="position:absolute;left:11741;top:4118;width:165;height:425" coordorigin="11741,4118" coordsize="165,425" path="m11906,4118r-165,14l11741,4531r165,12l11906,4118xe" fillcolor="#047ebc" stroked="f">
              <v:path arrowok="t"/>
            </v:shape>
            <v:shape id="_x0000_s2556" type="#_x0000_t75" style="position:absolute;left:11741;top:4355;width:165;height:587">
              <v:imagedata r:id="rId42" o:title=""/>
            </v:shape>
            <v:shape id="_x0000_s2555" style="position:absolute;left:11741;top:5343;width:165;height:536" coordorigin="11741,5343" coordsize="165,536" path="m11741,5343r,535l11906,5872r,-525l11741,5343xe" fillcolor="#f36a2e" stroked="f">
              <v:path arrowok="t"/>
            </v:shape>
            <v:shape id="_x0000_s2554" style="position:absolute;left:11741;top:4925;width:165;height:501" coordorigin="11741,4926" coordsize="165,501" path="m11741,4926r,500l11906,5426r,-485l11741,4926xe" fillcolor="#49783f" stroked="f">
              <v:path arrowok="t"/>
            </v:shape>
            <v:shape id="_x0000_s2553" style="position:absolute;left:11741;top:5781;width:165;height:268" coordorigin="11741,5782" coordsize="165,268" path="m11906,5782r-165,8l11741,6039r165,10l11906,5782xe" fillcolor="#f99f2a" stroked="f">
              <v:path arrowok="t"/>
            </v:shape>
            <v:shape id="_x0000_s2552" style="position:absolute;left:11741;top:6023;width:165;height:707" coordorigin="11741,6023" coordsize="165,707" path="m11741,6023r,706l11906,6729r,-690l11741,6023xe" fillcolor="#ef412c" stroked="f">
              <v:path arrowok="t"/>
            </v:shape>
            <w10:wrap anchorx="page" anchory="page"/>
          </v:group>
        </w:pict>
      </w:r>
    </w:p>
    <w:p w14:paraId="6D461ACF" w14:textId="77777777" w:rsidR="00EF5B27" w:rsidRDefault="00EF5B27">
      <w:pPr>
        <w:pStyle w:val="BodyText"/>
        <w:rPr>
          <w:rFonts w:ascii="Times New Roman"/>
        </w:rPr>
      </w:pPr>
    </w:p>
    <w:p w14:paraId="357F60A0" w14:textId="77777777" w:rsidR="00EF5B27" w:rsidRDefault="00EF5B27">
      <w:pPr>
        <w:pStyle w:val="BodyText"/>
        <w:rPr>
          <w:rFonts w:ascii="Times New Roman"/>
        </w:rPr>
      </w:pPr>
    </w:p>
    <w:p w14:paraId="72AAA37A" w14:textId="77777777" w:rsidR="00EF5B27" w:rsidRDefault="00EF5B27">
      <w:pPr>
        <w:pStyle w:val="BodyText"/>
        <w:rPr>
          <w:rFonts w:ascii="Times New Roman"/>
        </w:rPr>
      </w:pPr>
    </w:p>
    <w:p w14:paraId="174E78DB" w14:textId="77777777" w:rsidR="00EF5B27" w:rsidRDefault="00EF5B27">
      <w:pPr>
        <w:pStyle w:val="BodyText"/>
        <w:rPr>
          <w:rFonts w:ascii="Times New Roman"/>
        </w:rPr>
      </w:pPr>
    </w:p>
    <w:p w14:paraId="387F3503" w14:textId="77777777" w:rsidR="00EF5B27" w:rsidRDefault="00EF5B27">
      <w:pPr>
        <w:pStyle w:val="BodyText"/>
        <w:rPr>
          <w:rFonts w:ascii="Times New Roman"/>
        </w:rPr>
      </w:pPr>
    </w:p>
    <w:p w14:paraId="03218A90" w14:textId="77777777" w:rsidR="00EF5B27" w:rsidRDefault="00EF5B27">
      <w:pPr>
        <w:pStyle w:val="BodyText"/>
        <w:rPr>
          <w:rFonts w:ascii="Times New Roman"/>
        </w:rPr>
      </w:pPr>
    </w:p>
    <w:p w14:paraId="38CD5AF4" w14:textId="77777777" w:rsidR="00EF5B27" w:rsidRDefault="00EF5B27">
      <w:pPr>
        <w:pStyle w:val="BodyText"/>
        <w:rPr>
          <w:rFonts w:ascii="Times New Roman"/>
        </w:rPr>
      </w:pPr>
    </w:p>
    <w:p w14:paraId="392715AA" w14:textId="77777777" w:rsidR="00EF5B27" w:rsidRDefault="00EF5B27">
      <w:pPr>
        <w:pStyle w:val="BodyText"/>
        <w:rPr>
          <w:rFonts w:ascii="Times New Roman"/>
        </w:rPr>
      </w:pPr>
    </w:p>
    <w:p w14:paraId="2B76EF21" w14:textId="77777777" w:rsidR="00EF5B27" w:rsidRDefault="00EF5B27">
      <w:pPr>
        <w:pStyle w:val="BodyText"/>
        <w:rPr>
          <w:rFonts w:ascii="Times New Roman"/>
        </w:rPr>
      </w:pPr>
    </w:p>
    <w:p w14:paraId="0CC08CB3" w14:textId="77777777" w:rsidR="00EF5B27" w:rsidRDefault="00EF5B27">
      <w:pPr>
        <w:pStyle w:val="BodyText"/>
        <w:rPr>
          <w:rFonts w:ascii="Times New Roman"/>
        </w:rPr>
      </w:pPr>
    </w:p>
    <w:p w14:paraId="51E25BFC" w14:textId="77777777" w:rsidR="00EF5B27" w:rsidRDefault="00EF5B27">
      <w:pPr>
        <w:pStyle w:val="BodyText"/>
        <w:rPr>
          <w:rFonts w:ascii="Times New Roman"/>
        </w:rPr>
      </w:pPr>
    </w:p>
    <w:p w14:paraId="73EFABC9" w14:textId="77777777" w:rsidR="00EF5B27" w:rsidRDefault="00EF5B27">
      <w:pPr>
        <w:pStyle w:val="BodyText"/>
        <w:rPr>
          <w:rFonts w:ascii="Times New Roman"/>
        </w:rPr>
      </w:pPr>
    </w:p>
    <w:p w14:paraId="4C9E24AC" w14:textId="77777777" w:rsidR="00EF5B27" w:rsidRDefault="00EF5B27">
      <w:pPr>
        <w:pStyle w:val="BodyText"/>
        <w:rPr>
          <w:rFonts w:ascii="Times New Roman"/>
        </w:rPr>
      </w:pPr>
    </w:p>
    <w:p w14:paraId="69F1AEA0" w14:textId="77777777" w:rsidR="00EF5B27" w:rsidRDefault="00EF5B27">
      <w:pPr>
        <w:pStyle w:val="BodyText"/>
        <w:rPr>
          <w:rFonts w:ascii="Times New Roman"/>
        </w:rPr>
      </w:pPr>
    </w:p>
    <w:p w14:paraId="77C52FA6" w14:textId="77777777" w:rsidR="00EF5B27" w:rsidRDefault="00EF5B27">
      <w:pPr>
        <w:pStyle w:val="BodyText"/>
        <w:rPr>
          <w:rFonts w:ascii="Times New Roman"/>
        </w:rPr>
      </w:pPr>
    </w:p>
    <w:p w14:paraId="62C1F959" w14:textId="77777777" w:rsidR="00EF5B27" w:rsidRDefault="00EF5B27">
      <w:pPr>
        <w:pStyle w:val="BodyText"/>
        <w:rPr>
          <w:rFonts w:ascii="Times New Roman"/>
        </w:rPr>
      </w:pPr>
    </w:p>
    <w:p w14:paraId="4687C9E3" w14:textId="77777777" w:rsidR="00EF5B27" w:rsidRDefault="00EF5B27">
      <w:pPr>
        <w:pStyle w:val="BodyText"/>
        <w:rPr>
          <w:rFonts w:ascii="Times New Roman"/>
        </w:rPr>
      </w:pPr>
    </w:p>
    <w:p w14:paraId="6258DB49" w14:textId="77777777" w:rsidR="00EF5B27" w:rsidRDefault="00EF5B27">
      <w:pPr>
        <w:pStyle w:val="BodyText"/>
        <w:rPr>
          <w:rFonts w:ascii="Times New Roman"/>
        </w:rPr>
      </w:pPr>
    </w:p>
    <w:p w14:paraId="05E166D9" w14:textId="77777777" w:rsidR="00EF5B27" w:rsidRDefault="00EF5B27">
      <w:pPr>
        <w:pStyle w:val="BodyText"/>
        <w:rPr>
          <w:rFonts w:ascii="Times New Roman"/>
        </w:rPr>
      </w:pPr>
    </w:p>
    <w:p w14:paraId="333358D1" w14:textId="77777777" w:rsidR="00EF5B27" w:rsidRDefault="00EF5B27">
      <w:pPr>
        <w:pStyle w:val="BodyText"/>
        <w:rPr>
          <w:rFonts w:ascii="Times New Roman"/>
        </w:rPr>
      </w:pPr>
    </w:p>
    <w:p w14:paraId="53E3166D" w14:textId="77777777" w:rsidR="00EF5B27" w:rsidRDefault="00EF5B27">
      <w:pPr>
        <w:pStyle w:val="BodyText"/>
        <w:rPr>
          <w:rFonts w:ascii="Times New Roman"/>
        </w:rPr>
      </w:pPr>
    </w:p>
    <w:p w14:paraId="49E03EE5" w14:textId="77777777" w:rsidR="00EF5B27" w:rsidRDefault="00EF5B27">
      <w:pPr>
        <w:pStyle w:val="BodyText"/>
        <w:rPr>
          <w:rFonts w:ascii="Times New Roman"/>
        </w:rPr>
      </w:pPr>
    </w:p>
    <w:p w14:paraId="3AD9B53A" w14:textId="77777777" w:rsidR="00EF5B27" w:rsidRDefault="00EF5B27">
      <w:pPr>
        <w:pStyle w:val="BodyText"/>
        <w:spacing w:before="4"/>
        <w:rPr>
          <w:rFonts w:ascii="Times New Roman"/>
          <w:sz w:val="24"/>
        </w:rPr>
      </w:pPr>
    </w:p>
    <w:p w14:paraId="4D0A4A56" w14:textId="77777777" w:rsidR="00EF5B27" w:rsidRDefault="00000000">
      <w:pPr>
        <w:spacing w:before="96"/>
        <w:ind w:left="3061"/>
        <w:jc w:val="center"/>
        <w:rPr>
          <w:rFonts w:ascii="Century Gothic"/>
          <w:i/>
          <w:sz w:val="12"/>
        </w:rPr>
      </w:pPr>
      <w:r>
        <w:pict w14:anchorId="13A283FE">
          <v:shape id="_x0000_s2550" type="#_x0000_t202" style="position:absolute;left:0;text-align:left;margin-left:56.7pt;margin-top:-219.6pt;width:482.3pt;height:445.55pt;z-index:251755008;mso-position-horizontal-relative:page" filled="f" stroked="f">
            <v:textbox inset="0,0,0,0">
              <w:txbxContent>
                <w:tbl>
                  <w:tblPr>
                    <w:tblW w:w="0" w:type="auto"/>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37"/>
                    <w:gridCol w:w="1361"/>
                    <w:gridCol w:w="737"/>
                    <w:gridCol w:w="1474"/>
                    <w:gridCol w:w="2041"/>
                    <w:gridCol w:w="2154"/>
                    <w:gridCol w:w="1134"/>
                  </w:tblGrid>
                  <w:tr w:rsidR="00EF5B27" w14:paraId="30C22F50" w14:textId="77777777">
                    <w:trPr>
                      <w:trHeight w:val="732"/>
                    </w:trPr>
                    <w:tc>
                      <w:tcPr>
                        <w:tcW w:w="737" w:type="dxa"/>
                        <w:tcBorders>
                          <w:bottom w:val="single" w:sz="4" w:space="0" w:color="000000"/>
                        </w:tcBorders>
                        <w:shd w:val="clear" w:color="auto" w:fill="FECC91"/>
                      </w:tcPr>
                      <w:p w14:paraId="2089DCF4" w14:textId="77777777" w:rsidR="00EF5B27" w:rsidRDefault="00000000">
                        <w:pPr>
                          <w:pStyle w:val="TableParagraph"/>
                          <w:spacing w:before="176"/>
                          <w:ind w:left="162"/>
                          <w:rPr>
                            <w:b/>
                            <w:sz w:val="16"/>
                          </w:rPr>
                        </w:pPr>
                        <w:r>
                          <w:rPr>
                            <w:b/>
                            <w:w w:val="105"/>
                            <w:sz w:val="16"/>
                          </w:rPr>
                          <w:t>MNES</w:t>
                        </w:r>
                      </w:p>
                      <w:p w14:paraId="63EE4565" w14:textId="77777777" w:rsidR="00EF5B27" w:rsidRDefault="00000000">
                        <w:pPr>
                          <w:pStyle w:val="TableParagraph"/>
                          <w:spacing w:before="4"/>
                          <w:ind w:left="104"/>
                          <w:rPr>
                            <w:b/>
                            <w:sz w:val="16"/>
                          </w:rPr>
                        </w:pPr>
                        <w:r>
                          <w:rPr>
                            <w:b/>
                            <w:sz w:val="16"/>
                          </w:rPr>
                          <w:t>number</w:t>
                        </w:r>
                      </w:p>
                    </w:tc>
                    <w:tc>
                      <w:tcPr>
                        <w:tcW w:w="1361" w:type="dxa"/>
                        <w:tcBorders>
                          <w:bottom w:val="single" w:sz="4" w:space="0" w:color="000000"/>
                        </w:tcBorders>
                        <w:shd w:val="clear" w:color="auto" w:fill="FECC91"/>
                      </w:tcPr>
                      <w:p w14:paraId="46E91BD7" w14:textId="77777777" w:rsidR="00EF5B27" w:rsidRDefault="00EF5B27">
                        <w:pPr>
                          <w:pStyle w:val="TableParagraph"/>
                          <w:spacing w:before="7"/>
                        </w:pPr>
                      </w:p>
                      <w:p w14:paraId="77DDF360" w14:textId="77777777" w:rsidR="00EF5B27" w:rsidRDefault="00000000">
                        <w:pPr>
                          <w:pStyle w:val="TableParagraph"/>
                          <w:ind w:left="91" w:right="87"/>
                          <w:jc w:val="center"/>
                          <w:rPr>
                            <w:b/>
                            <w:sz w:val="16"/>
                          </w:rPr>
                        </w:pPr>
                        <w:r>
                          <w:rPr>
                            <w:b/>
                            <w:sz w:val="16"/>
                          </w:rPr>
                          <w:t>MNES name</w:t>
                        </w:r>
                      </w:p>
                    </w:tc>
                    <w:tc>
                      <w:tcPr>
                        <w:tcW w:w="737" w:type="dxa"/>
                        <w:tcBorders>
                          <w:bottom w:val="single" w:sz="4" w:space="0" w:color="000000"/>
                        </w:tcBorders>
                        <w:shd w:val="clear" w:color="auto" w:fill="FECC91"/>
                      </w:tcPr>
                      <w:p w14:paraId="18CE95C6" w14:textId="77777777" w:rsidR="00EF5B27" w:rsidRDefault="00000000">
                        <w:pPr>
                          <w:pStyle w:val="TableParagraph"/>
                          <w:spacing w:before="176"/>
                          <w:ind w:left="79" w:right="75"/>
                          <w:jc w:val="center"/>
                          <w:rPr>
                            <w:b/>
                            <w:sz w:val="16"/>
                          </w:rPr>
                        </w:pPr>
                        <w:r>
                          <w:rPr>
                            <w:b/>
                            <w:w w:val="110"/>
                            <w:sz w:val="16"/>
                          </w:rPr>
                          <w:t>KPI</w:t>
                        </w:r>
                      </w:p>
                      <w:p w14:paraId="485495FC" w14:textId="77777777" w:rsidR="00EF5B27" w:rsidRDefault="00000000">
                        <w:pPr>
                          <w:pStyle w:val="TableParagraph"/>
                          <w:spacing w:before="4"/>
                          <w:ind w:left="79" w:right="74"/>
                          <w:jc w:val="center"/>
                          <w:rPr>
                            <w:b/>
                            <w:sz w:val="16"/>
                          </w:rPr>
                        </w:pPr>
                        <w:r>
                          <w:rPr>
                            <w:b/>
                            <w:sz w:val="16"/>
                          </w:rPr>
                          <w:t>number</w:t>
                        </w:r>
                      </w:p>
                    </w:tc>
                    <w:tc>
                      <w:tcPr>
                        <w:tcW w:w="1474" w:type="dxa"/>
                        <w:tcBorders>
                          <w:bottom w:val="single" w:sz="4" w:space="0" w:color="000000"/>
                        </w:tcBorders>
                        <w:shd w:val="clear" w:color="auto" w:fill="FECC91"/>
                      </w:tcPr>
                      <w:p w14:paraId="700AC234" w14:textId="77777777" w:rsidR="00EF5B27" w:rsidRDefault="00EF5B27">
                        <w:pPr>
                          <w:pStyle w:val="TableParagraph"/>
                          <w:spacing w:before="7"/>
                        </w:pPr>
                      </w:p>
                      <w:p w14:paraId="67C9470A" w14:textId="77777777" w:rsidR="00EF5B27" w:rsidRDefault="00000000">
                        <w:pPr>
                          <w:pStyle w:val="TableParagraph"/>
                          <w:ind w:left="124" w:right="120"/>
                          <w:jc w:val="center"/>
                          <w:rPr>
                            <w:b/>
                            <w:sz w:val="16"/>
                          </w:rPr>
                        </w:pPr>
                        <w:r>
                          <w:rPr>
                            <w:b/>
                            <w:w w:val="105"/>
                            <w:sz w:val="16"/>
                          </w:rPr>
                          <w:t>KPI type</w:t>
                        </w:r>
                      </w:p>
                    </w:tc>
                    <w:tc>
                      <w:tcPr>
                        <w:tcW w:w="2041" w:type="dxa"/>
                        <w:tcBorders>
                          <w:bottom w:val="single" w:sz="4" w:space="0" w:color="000000"/>
                        </w:tcBorders>
                        <w:shd w:val="clear" w:color="auto" w:fill="FECC91"/>
                      </w:tcPr>
                      <w:p w14:paraId="2FB7381B" w14:textId="77777777" w:rsidR="00EF5B27" w:rsidRDefault="00EF5B27">
                        <w:pPr>
                          <w:pStyle w:val="TableParagraph"/>
                          <w:spacing w:before="7"/>
                        </w:pPr>
                      </w:p>
                      <w:p w14:paraId="22F025BF" w14:textId="77777777" w:rsidR="00EF5B27" w:rsidRDefault="00000000">
                        <w:pPr>
                          <w:pStyle w:val="TableParagraph"/>
                          <w:ind w:left="154" w:right="150"/>
                          <w:jc w:val="center"/>
                          <w:rPr>
                            <w:b/>
                            <w:sz w:val="16"/>
                          </w:rPr>
                        </w:pPr>
                        <w:r>
                          <w:rPr>
                            <w:b/>
                            <w:sz w:val="16"/>
                          </w:rPr>
                          <w:t>Location</w:t>
                        </w:r>
                      </w:p>
                    </w:tc>
                    <w:tc>
                      <w:tcPr>
                        <w:tcW w:w="2154" w:type="dxa"/>
                        <w:tcBorders>
                          <w:bottom w:val="single" w:sz="4" w:space="0" w:color="000000"/>
                        </w:tcBorders>
                        <w:shd w:val="clear" w:color="auto" w:fill="FECC91"/>
                      </w:tcPr>
                      <w:p w14:paraId="71E4E43B" w14:textId="77777777" w:rsidR="00EF5B27" w:rsidRDefault="00000000">
                        <w:pPr>
                          <w:pStyle w:val="TableParagraph"/>
                          <w:spacing w:before="176" w:line="244" w:lineRule="auto"/>
                          <w:ind w:left="735" w:hanging="342"/>
                          <w:rPr>
                            <w:b/>
                            <w:sz w:val="16"/>
                          </w:rPr>
                        </w:pPr>
                        <w:r>
                          <w:rPr>
                            <w:b/>
                            <w:sz w:val="16"/>
                          </w:rPr>
                          <w:t>Threshold of impact (negative)</w:t>
                        </w:r>
                      </w:p>
                    </w:tc>
                    <w:tc>
                      <w:tcPr>
                        <w:tcW w:w="1134" w:type="dxa"/>
                        <w:tcBorders>
                          <w:bottom w:val="single" w:sz="4" w:space="0" w:color="000000"/>
                        </w:tcBorders>
                        <w:shd w:val="clear" w:color="auto" w:fill="FECC91"/>
                      </w:tcPr>
                      <w:p w14:paraId="75148F16" w14:textId="77777777" w:rsidR="00EF5B27" w:rsidRDefault="00000000">
                        <w:pPr>
                          <w:pStyle w:val="TableParagraph"/>
                          <w:spacing w:before="176" w:line="244" w:lineRule="auto"/>
                          <w:ind w:left="147" w:right="96" w:firstLine="31"/>
                          <w:rPr>
                            <w:b/>
                            <w:sz w:val="16"/>
                          </w:rPr>
                        </w:pPr>
                        <w:r>
                          <w:rPr>
                            <w:b/>
                            <w:sz w:val="16"/>
                          </w:rPr>
                          <w:t>Outcome at 28 Feb 2022</w:t>
                        </w:r>
                      </w:p>
                    </w:tc>
                  </w:tr>
                  <w:tr w:rsidR="00EF5B27" w14:paraId="5CAC449A" w14:textId="77777777">
                    <w:trPr>
                      <w:trHeight w:val="845"/>
                    </w:trPr>
                    <w:tc>
                      <w:tcPr>
                        <w:tcW w:w="737" w:type="dxa"/>
                        <w:tcBorders>
                          <w:top w:val="single" w:sz="4" w:space="0" w:color="000000"/>
                        </w:tcBorders>
                      </w:tcPr>
                      <w:p w14:paraId="249DCE54" w14:textId="77777777" w:rsidR="00EF5B27" w:rsidRDefault="00EF5B27">
                        <w:pPr>
                          <w:pStyle w:val="TableParagraph"/>
                          <w:rPr>
                            <w:sz w:val="16"/>
                          </w:rPr>
                        </w:pPr>
                      </w:p>
                      <w:p w14:paraId="5501442E" w14:textId="77777777" w:rsidR="00EF5B27" w:rsidRDefault="00EF5B27">
                        <w:pPr>
                          <w:pStyle w:val="TableParagraph"/>
                          <w:spacing w:before="2"/>
                          <w:rPr>
                            <w:sz w:val="12"/>
                          </w:rPr>
                        </w:pPr>
                      </w:p>
                      <w:p w14:paraId="2CA1867B" w14:textId="77777777" w:rsidR="00EF5B27" w:rsidRDefault="00000000">
                        <w:pPr>
                          <w:pStyle w:val="TableParagraph"/>
                          <w:ind w:left="5"/>
                          <w:jc w:val="center"/>
                          <w:rPr>
                            <w:sz w:val="14"/>
                          </w:rPr>
                        </w:pPr>
                        <w:r>
                          <w:rPr>
                            <w:color w:val="4D4D4F"/>
                            <w:w w:val="96"/>
                            <w:sz w:val="14"/>
                          </w:rPr>
                          <w:t>3</w:t>
                        </w:r>
                      </w:p>
                    </w:tc>
                    <w:tc>
                      <w:tcPr>
                        <w:tcW w:w="1361" w:type="dxa"/>
                        <w:tcBorders>
                          <w:top w:val="single" w:sz="4" w:space="0" w:color="000000"/>
                        </w:tcBorders>
                      </w:tcPr>
                      <w:p w14:paraId="4BB0FA7E" w14:textId="77777777" w:rsidR="00EF5B27" w:rsidRDefault="00EF5B27">
                        <w:pPr>
                          <w:pStyle w:val="TableParagraph"/>
                          <w:spacing w:before="5"/>
                          <w:rPr>
                            <w:sz w:val="13"/>
                          </w:rPr>
                        </w:pPr>
                      </w:p>
                      <w:p w14:paraId="5F869D7F" w14:textId="77777777" w:rsidR="00EF5B27" w:rsidRDefault="00000000">
                        <w:pPr>
                          <w:pStyle w:val="TableParagraph"/>
                          <w:spacing w:line="252" w:lineRule="auto"/>
                          <w:ind w:left="324" w:right="317" w:firstLine="1"/>
                          <w:jc w:val="center"/>
                          <w:rPr>
                            <w:sz w:val="14"/>
                          </w:rPr>
                        </w:pPr>
                        <w:r>
                          <w:rPr>
                            <w:color w:val="4D4D4F"/>
                            <w:w w:val="105"/>
                            <w:sz w:val="14"/>
                          </w:rPr>
                          <w:t xml:space="preserve">Seasonal </w:t>
                        </w:r>
                        <w:r>
                          <w:rPr>
                            <w:color w:val="4D4D4F"/>
                            <w:sz w:val="14"/>
                          </w:rPr>
                          <w:t xml:space="preserve">Herbaceous </w:t>
                        </w:r>
                        <w:r>
                          <w:rPr>
                            <w:color w:val="4D4D4F"/>
                            <w:w w:val="105"/>
                            <w:sz w:val="14"/>
                          </w:rPr>
                          <w:t>Wetlands</w:t>
                        </w:r>
                      </w:p>
                    </w:tc>
                    <w:tc>
                      <w:tcPr>
                        <w:tcW w:w="737" w:type="dxa"/>
                        <w:tcBorders>
                          <w:top w:val="single" w:sz="4" w:space="0" w:color="000000"/>
                        </w:tcBorders>
                      </w:tcPr>
                      <w:p w14:paraId="4A54F64A" w14:textId="77777777" w:rsidR="00EF5B27" w:rsidRDefault="00EF5B27">
                        <w:pPr>
                          <w:pStyle w:val="TableParagraph"/>
                          <w:rPr>
                            <w:sz w:val="16"/>
                          </w:rPr>
                        </w:pPr>
                      </w:p>
                      <w:p w14:paraId="387956F7" w14:textId="77777777" w:rsidR="00EF5B27" w:rsidRDefault="00EF5B27">
                        <w:pPr>
                          <w:pStyle w:val="TableParagraph"/>
                          <w:spacing w:before="2"/>
                          <w:rPr>
                            <w:sz w:val="12"/>
                          </w:rPr>
                        </w:pPr>
                      </w:p>
                      <w:p w14:paraId="220A12A8" w14:textId="77777777" w:rsidR="00EF5B27" w:rsidRDefault="00000000">
                        <w:pPr>
                          <w:pStyle w:val="TableParagraph"/>
                          <w:ind w:left="4"/>
                          <w:jc w:val="center"/>
                          <w:rPr>
                            <w:sz w:val="14"/>
                          </w:rPr>
                        </w:pPr>
                        <w:r>
                          <w:rPr>
                            <w:color w:val="4D4D4F"/>
                            <w:w w:val="96"/>
                            <w:sz w:val="14"/>
                          </w:rPr>
                          <w:t>4</w:t>
                        </w:r>
                      </w:p>
                    </w:tc>
                    <w:tc>
                      <w:tcPr>
                        <w:tcW w:w="1474" w:type="dxa"/>
                        <w:tcBorders>
                          <w:top w:val="single" w:sz="4" w:space="0" w:color="000000"/>
                        </w:tcBorders>
                      </w:tcPr>
                      <w:p w14:paraId="777A7119" w14:textId="77777777" w:rsidR="00EF5B27" w:rsidRDefault="00EF5B27">
                        <w:pPr>
                          <w:pStyle w:val="TableParagraph"/>
                          <w:rPr>
                            <w:sz w:val="16"/>
                          </w:rPr>
                        </w:pPr>
                      </w:p>
                      <w:p w14:paraId="2F51C385" w14:textId="77777777" w:rsidR="00EF5B27" w:rsidRDefault="00EF5B27">
                        <w:pPr>
                          <w:pStyle w:val="TableParagraph"/>
                          <w:spacing w:before="2"/>
                          <w:rPr>
                            <w:sz w:val="12"/>
                          </w:rPr>
                        </w:pPr>
                      </w:p>
                      <w:p w14:paraId="6EC68D78" w14:textId="77777777" w:rsidR="00EF5B27" w:rsidRDefault="00000000">
                        <w:pPr>
                          <w:pStyle w:val="TableParagraph"/>
                          <w:ind w:left="124" w:right="120"/>
                          <w:jc w:val="center"/>
                          <w:rPr>
                            <w:sz w:val="14"/>
                          </w:rPr>
                        </w:pPr>
                        <w:r>
                          <w:rPr>
                            <w:color w:val="4D4D4F"/>
                            <w:sz w:val="14"/>
                          </w:rPr>
                          <w:t>Weeds drawdown</w:t>
                        </w:r>
                      </w:p>
                    </w:tc>
                    <w:tc>
                      <w:tcPr>
                        <w:tcW w:w="2041" w:type="dxa"/>
                        <w:tcBorders>
                          <w:top w:val="single" w:sz="4" w:space="0" w:color="000000"/>
                        </w:tcBorders>
                      </w:tcPr>
                      <w:p w14:paraId="522E31B9" w14:textId="77777777" w:rsidR="00EF5B27" w:rsidRDefault="00EF5B27">
                        <w:pPr>
                          <w:pStyle w:val="TableParagraph"/>
                          <w:spacing w:before="9"/>
                          <w:rPr>
                            <w:sz w:val="20"/>
                          </w:rPr>
                        </w:pPr>
                      </w:p>
                      <w:p w14:paraId="51366D3C" w14:textId="77777777" w:rsidR="00EF5B27" w:rsidRDefault="00000000">
                        <w:pPr>
                          <w:pStyle w:val="TableParagraph"/>
                          <w:spacing w:line="252" w:lineRule="auto"/>
                          <w:ind w:left="612" w:right="50" w:hanging="440"/>
                          <w:rPr>
                            <w:sz w:val="14"/>
                          </w:rPr>
                        </w:pPr>
                        <w:r>
                          <w:rPr>
                            <w:color w:val="4D4D4F"/>
                            <w:sz w:val="14"/>
                          </w:rPr>
                          <w:t>Western Grassland Reserve, One Tree Rise</w:t>
                        </w:r>
                      </w:p>
                    </w:tc>
                    <w:tc>
                      <w:tcPr>
                        <w:tcW w:w="2154" w:type="dxa"/>
                        <w:tcBorders>
                          <w:top w:val="single" w:sz="4" w:space="0" w:color="000000"/>
                        </w:tcBorders>
                      </w:tcPr>
                      <w:p w14:paraId="30096745" w14:textId="77777777" w:rsidR="00EF5B27" w:rsidRDefault="00EF5B27">
                        <w:pPr>
                          <w:pStyle w:val="TableParagraph"/>
                          <w:spacing w:before="9"/>
                          <w:rPr>
                            <w:sz w:val="20"/>
                          </w:rPr>
                        </w:pPr>
                      </w:p>
                      <w:p w14:paraId="73CB9F0D" w14:textId="77777777" w:rsidR="00EF5B27" w:rsidRDefault="00000000">
                        <w:pPr>
                          <w:pStyle w:val="TableParagraph"/>
                          <w:spacing w:line="252" w:lineRule="auto"/>
                          <w:ind w:left="133" w:right="107" w:firstLine="88"/>
                          <w:rPr>
                            <w:sz w:val="14"/>
                          </w:rPr>
                        </w:pPr>
                        <w:r>
                          <w:rPr>
                            <w:color w:val="4D4D4F"/>
                            <w:w w:val="105"/>
                            <w:sz w:val="14"/>
                          </w:rPr>
                          <w:t>KPI measure 95% confidence interval falls above the baseline</w:t>
                        </w:r>
                      </w:p>
                    </w:tc>
                    <w:tc>
                      <w:tcPr>
                        <w:tcW w:w="1134" w:type="dxa"/>
                        <w:tcBorders>
                          <w:top w:val="single" w:sz="4" w:space="0" w:color="000000"/>
                        </w:tcBorders>
                      </w:tcPr>
                      <w:p w14:paraId="65A19F85" w14:textId="77777777" w:rsidR="00EF5B27" w:rsidRDefault="00EF5B27">
                        <w:pPr>
                          <w:pStyle w:val="TableParagraph"/>
                          <w:rPr>
                            <w:sz w:val="16"/>
                          </w:rPr>
                        </w:pPr>
                      </w:p>
                      <w:p w14:paraId="04719D71" w14:textId="77777777" w:rsidR="00EF5B27" w:rsidRDefault="00EF5B27">
                        <w:pPr>
                          <w:pStyle w:val="TableParagraph"/>
                          <w:spacing w:before="2"/>
                          <w:rPr>
                            <w:sz w:val="12"/>
                          </w:rPr>
                        </w:pPr>
                      </w:p>
                      <w:p w14:paraId="15B1AFA7" w14:textId="77777777" w:rsidR="00EF5B27" w:rsidRDefault="00000000">
                        <w:pPr>
                          <w:pStyle w:val="TableParagraph"/>
                          <w:ind w:left="81" w:right="76"/>
                          <w:jc w:val="center"/>
                          <w:rPr>
                            <w:sz w:val="14"/>
                          </w:rPr>
                        </w:pPr>
                        <w:r>
                          <w:rPr>
                            <w:color w:val="4D4D4F"/>
                            <w:w w:val="105"/>
                            <w:sz w:val="14"/>
                          </w:rPr>
                          <w:t>Not assessed</w:t>
                        </w:r>
                      </w:p>
                    </w:tc>
                  </w:tr>
                  <w:tr w:rsidR="00EF5B27" w14:paraId="5166DA00" w14:textId="77777777">
                    <w:trPr>
                      <w:trHeight w:val="505"/>
                    </w:trPr>
                    <w:tc>
                      <w:tcPr>
                        <w:tcW w:w="737" w:type="dxa"/>
                      </w:tcPr>
                      <w:p w14:paraId="57D0A4DB" w14:textId="77777777" w:rsidR="00EF5B27" w:rsidRDefault="00EF5B27">
                        <w:pPr>
                          <w:pStyle w:val="TableParagraph"/>
                          <w:spacing w:before="2"/>
                          <w:rPr>
                            <w:sz w:val="14"/>
                          </w:rPr>
                        </w:pPr>
                      </w:p>
                      <w:p w14:paraId="7A514863" w14:textId="77777777" w:rsidR="00EF5B27" w:rsidRDefault="00000000">
                        <w:pPr>
                          <w:pStyle w:val="TableParagraph"/>
                          <w:spacing w:before="1"/>
                          <w:ind w:left="5"/>
                          <w:jc w:val="center"/>
                          <w:rPr>
                            <w:sz w:val="14"/>
                          </w:rPr>
                        </w:pPr>
                        <w:r>
                          <w:rPr>
                            <w:color w:val="4D4D4F"/>
                            <w:w w:val="96"/>
                            <w:sz w:val="14"/>
                          </w:rPr>
                          <w:t>5</w:t>
                        </w:r>
                      </w:p>
                    </w:tc>
                    <w:tc>
                      <w:tcPr>
                        <w:tcW w:w="1361" w:type="dxa"/>
                      </w:tcPr>
                      <w:p w14:paraId="1B52EE36" w14:textId="77777777" w:rsidR="00EF5B27" w:rsidRDefault="00EF5B27">
                        <w:pPr>
                          <w:pStyle w:val="TableParagraph"/>
                          <w:spacing w:before="2"/>
                          <w:rPr>
                            <w:sz w:val="14"/>
                          </w:rPr>
                        </w:pPr>
                      </w:p>
                      <w:p w14:paraId="578944FD" w14:textId="77777777" w:rsidR="00EF5B27" w:rsidRDefault="00000000">
                        <w:pPr>
                          <w:pStyle w:val="TableParagraph"/>
                          <w:spacing w:before="1"/>
                          <w:ind w:left="91" w:right="87"/>
                          <w:jc w:val="center"/>
                          <w:rPr>
                            <w:sz w:val="14"/>
                          </w:rPr>
                        </w:pPr>
                        <w:r>
                          <w:rPr>
                            <w:color w:val="4D4D4F"/>
                            <w:w w:val="105"/>
                            <w:sz w:val="14"/>
                          </w:rPr>
                          <w:t>Matted Flax-lily</w:t>
                        </w:r>
                      </w:p>
                    </w:tc>
                    <w:tc>
                      <w:tcPr>
                        <w:tcW w:w="737" w:type="dxa"/>
                      </w:tcPr>
                      <w:p w14:paraId="482880AA" w14:textId="77777777" w:rsidR="00EF5B27" w:rsidRDefault="00EF5B27">
                        <w:pPr>
                          <w:pStyle w:val="TableParagraph"/>
                          <w:spacing w:before="2"/>
                          <w:rPr>
                            <w:sz w:val="14"/>
                          </w:rPr>
                        </w:pPr>
                      </w:p>
                      <w:p w14:paraId="54DCE308" w14:textId="77777777" w:rsidR="00EF5B27" w:rsidRDefault="00000000">
                        <w:pPr>
                          <w:pStyle w:val="TableParagraph"/>
                          <w:spacing w:before="1"/>
                          <w:ind w:left="4"/>
                          <w:jc w:val="center"/>
                          <w:rPr>
                            <w:sz w:val="14"/>
                          </w:rPr>
                        </w:pPr>
                        <w:r>
                          <w:rPr>
                            <w:color w:val="4D4D4F"/>
                            <w:w w:val="96"/>
                            <w:sz w:val="14"/>
                          </w:rPr>
                          <w:t>1</w:t>
                        </w:r>
                      </w:p>
                    </w:tc>
                    <w:tc>
                      <w:tcPr>
                        <w:tcW w:w="1474" w:type="dxa"/>
                      </w:tcPr>
                      <w:p w14:paraId="38FE8B9D" w14:textId="77777777" w:rsidR="00EF5B27" w:rsidRDefault="00EF5B27">
                        <w:pPr>
                          <w:pStyle w:val="TableParagraph"/>
                          <w:spacing w:before="2"/>
                          <w:rPr>
                            <w:sz w:val="14"/>
                          </w:rPr>
                        </w:pPr>
                      </w:p>
                      <w:p w14:paraId="183EDA7B" w14:textId="77777777" w:rsidR="00EF5B27" w:rsidRDefault="00000000">
                        <w:pPr>
                          <w:pStyle w:val="TableParagraph"/>
                          <w:spacing w:before="1"/>
                          <w:ind w:left="124" w:right="120"/>
                          <w:jc w:val="center"/>
                          <w:rPr>
                            <w:sz w:val="14"/>
                          </w:rPr>
                        </w:pPr>
                        <w:r>
                          <w:rPr>
                            <w:color w:val="4D4D4F"/>
                            <w:sz w:val="14"/>
                          </w:rPr>
                          <w:t>Count</w:t>
                        </w:r>
                      </w:p>
                    </w:tc>
                    <w:tc>
                      <w:tcPr>
                        <w:tcW w:w="2041" w:type="dxa"/>
                      </w:tcPr>
                      <w:p w14:paraId="3E506F5C" w14:textId="77777777" w:rsidR="00EF5B27" w:rsidRDefault="00EF5B27">
                        <w:pPr>
                          <w:pStyle w:val="TableParagraph"/>
                          <w:spacing w:before="2"/>
                          <w:rPr>
                            <w:sz w:val="14"/>
                          </w:rPr>
                        </w:pPr>
                      </w:p>
                      <w:p w14:paraId="2ECCEB9F" w14:textId="77777777" w:rsidR="00EF5B27" w:rsidRDefault="00000000">
                        <w:pPr>
                          <w:pStyle w:val="TableParagraph"/>
                          <w:spacing w:before="1"/>
                          <w:ind w:left="156" w:right="150"/>
                          <w:jc w:val="center"/>
                          <w:rPr>
                            <w:sz w:val="14"/>
                          </w:rPr>
                        </w:pPr>
                        <w:r>
                          <w:rPr>
                            <w:color w:val="4D4D4F"/>
                            <w:sz w:val="14"/>
                          </w:rPr>
                          <w:t>Mt Ridley</w:t>
                        </w:r>
                      </w:p>
                    </w:tc>
                    <w:tc>
                      <w:tcPr>
                        <w:tcW w:w="2154" w:type="dxa"/>
                      </w:tcPr>
                      <w:p w14:paraId="06780C61" w14:textId="77777777" w:rsidR="00EF5B27" w:rsidRDefault="00000000">
                        <w:pPr>
                          <w:pStyle w:val="TableParagraph"/>
                          <w:spacing w:before="83" w:line="252" w:lineRule="auto"/>
                          <w:ind w:left="133" w:firstLine="87"/>
                          <w:rPr>
                            <w:sz w:val="14"/>
                          </w:rPr>
                        </w:pPr>
                        <w:r>
                          <w:rPr>
                            <w:color w:val="4D4D4F"/>
                            <w:w w:val="105"/>
                            <w:sz w:val="14"/>
                          </w:rPr>
                          <w:t>KPI measure 95% confidence interval falls below the baseline</w:t>
                        </w:r>
                      </w:p>
                    </w:tc>
                    <w:tc>
                      <w:tcPr>
                        <w:tcW w:w="1134" w:type="dxa"/>
                      </w:tcPr>
                      <w:p w14:paraId="467FA201" w14:textId="77777777" w:rsidR="00EF5B27" w:rsidRDefault="00EF5B27">
                        <w:pPr>
                          <w:pStyle w:val="TableParagraph"/>
                          <w:spacing w:before="2"/>
                          <w:rPr>
                            <w:sz w:val="14"/>
                          </w:rPr>
                        </w:pPr>
                      </w:p>
                      <w:p w14:paraId="2976E61E" w14:textId="77777777" w:rsidR="00EF5B27" w:rsidRDefault="00000000">
                        <w:pPr>
                          <w:pStyle w:val="TableParagraph"/>
                          <w:spacing w:before="1"/>
                          <w:ind w:left="81" w:right="76"/>
                          <w:jc w:val="center"/>
                          <w:rPr>
                            <w:sz w:val="14"/>
                          </w:rPr>
                        </w:pPr>
                        <w:r>
                          <w:rPr>
                            <w:color w:val="4D4D4F"/>
                            <w:w w:val="105"/>
                            <w:sz w:val="14"/>
                          </w:rPr>
                          <w:t>Not assessed</w:t>
                        </w:r>
                      </w:p>
                    </w:tc>
                  </w:tr>
                  <w:tr w:rsidR="00EF5B27" w14:paraId="6694F397" w14:textId="77777777">
                    <w:trPr>
                      <w:trHeight w:val="505"/>
                    </w:trPr>
                    <w:tc>
                      <w:tcPr>
                        <w:tcW w:w="737" w:type="dxa"/>
                      </w:tcPr>
                      <w:p w14:paraId="71C60851" w14:textId="77777777" w:rsidR="00EF5B27" w:rsidRDefault="00EF5B27">
                        <w:pPr>
                          <w:pStyle w:val="TableParagraph"/>
                          <w:spacing w:before="2"/>
                          <w:rPr>
                            <w:sz w:val="14"/>
                          </w:rPr>
                        </w:pPr>
                      </w:p>
                      <w:p w14:paraId="5539EEDB" w14:textId="77777777" w:rsidR="00EF5B27" w:rsidRDefault="00000000">
                        <w:pPr>
                          <w:pStyle w:val="TableParagraph"/>
                          <w:spacing w:before="1"/>
                          <w:ind w:left="5"/>
                          <w:jc w:val="center"/>
                          <w:rPr>
                            <w:sz w:val="14"/>
                          </w:rPr>
                        </w:pPr>
                        <w:r>
                          <w:rPr>
                            <w:color w:val="4D4D4F"/>
                            <w:w w:val="96"/>
                            <w:sz w:val="14"/>
                          </w:rPr>
                          <w:t>5</w:t>
                        </w:r>
                      </w:p>
                    </w:tc>
                    <w:tc>
                      <w:tcPr>
                        <w:tcW w:w="1361" w:type="dxa"/>
                      </w:tcPr>
                      <w:p w14:paraId="2A8D22E6" w14:textId="77777777" w:rsidR="00EF5B27" w:rsidRDefault="00EF5B27">
                        <w:pPr>
                          <w:pStyle w:val="TableParagraph"/>
                          <w:spacing w:before="2"/>
                          <w:rPr>
                            <w:sz w:val="14"/>
                          </w:rPr>
                        </w:pPr>
                      </w:p>
                      <w:p w14:paraId="03809525" w14:textId="77777777" w:rsidR="00EF5B27" w:rsidRDefault="00000000">
                        <w:pPr>
                          <w:pStyle w:val="TableParagraph"/>
                          <w:spacing w:before="1"/>
                          <w:ind w:left="91" w:right="87"/>
                          <w:jc w:val="center"/>
                          <w:rPr>
                            <w:sz w:val="14"/>
                          </w:rPr>
                        </w:pPr>
                        <w:r>
                          <w:rPr>
                            <w:color w:val="4D4D4F"/>
                            <w:w w:val="105"/>
                            <w:sz w:val="14"/>
                          </w:rPr>
                          <w:t>Matted Flax-lily</w:t>
                        </w:r>
                      </w:p>
                    </w:tc>
                    <w:tc>
                      <w:tcPr>
                        <w:tcW w:w="737" w:type="dxa"/>
                      </w:tcPr>
                      <w:p w14:paraId="76E659C5" w14:textId="77777777" w:rsidR="00EF5B27" w:rsidRDefault="00EF5B27">
                        <w:pPr>
                          <w:pStyle w:val="TableParagraph"/>
                          <w:spacing w:before="2"/>
                          <w:rPr>
                            <w:sz w:val="14"/>
                          </w:rPr>
                        </w:pPr>
                      </w:p>
                      <w:p w14:paraId="7E0ED6A5" w14:textId="77777777" w:rsidR="00EF5B27" w:rsidRDefault="00000000">
                        <w:pPr>
                          <w:pStyle w:val="TableParagraph"/>
                          <w:spacing w:before="1"/>
                          <w:ind w:left="4"/>
                          <w:jc w:val="center"/>
                          <w:rPr>
                            <w:sz w:val="14"/>
                          </w:rPr>
                        </w:pPr>
                        <w:r>
                          <w:rPr>
                            <w:color w:val="4D4D4F"/>
                            <w:w w:val="96"/>
                            <w:sz w:val="14"/>
                          </w:rPr>
                          <w:t>1</w:t>
                        </w:r>
                      </w:p>
                    </w:tc>
                    <w:tc>
                      <w:tcPr>
                        <w:tcW w:w="1474" w:type="dxa"/>
                      </w:tcPr>
                      <w:p w14:paraId="1A4D705B" w14:textId="77777777" w:rsidR="00EF5B27" w:rsidRDefault="00EF5B27">
                        <w:pPr>
                          <w:pStyle w:val="TableParagraph"/>
                          <w:spacing w:before="2"/>
                          <w:rPr>
                            <w:sz w:val="14"/>
                          </w:rPr>
                        </w:pPr>
                      </w:p>
                      <w:p w14:paraId="27DC02A4" w14:textId="77777777" w:rsidR="00EF5B27" w:rsidRDefault="00000000">
                        <w:pPr>
                          <w:pStyle w:val="TableParagraph"/>
                          <w:spacing w:before="1"/>
                          <w:ind w:left="124" w:right="120"/>
                          <w:jc w:val="center"/>
                          <w:rPr>
                            <w:sz w:val="14"/>
                          </w:rPr>
                        </w:pPr>
                        <w:r>
                          <w:rPr>
                            <w:color w:val="4D4D4F"/>
                            <w:sz w:val="14"/>
                          </w:rPr>
                          <w:t>Count</w:t>
                        </w:r>
                      </w:p>
                    </w:tc>
                    <w:tc>
                      <w:tcPr>
                        <w:tcW w:w="2041" w:type="dxa"/>
                      </w:tcPr>
                      <w:p w14:paraId="3E5E0E2B" w14:textId="77777777" w:rsidR="00EF5B27" w:rsidRDefault="00EF5B27">
                        <w:pPr>
                          <w:pStyle w:val="TableParagraph"/>
                          <w:spacing w:before="2"/>
                          <w:rPr>
                            <w:sz w:val="14"/>
                          </w:rPr>
                        </w:pPr>
                      </w:p>
                      <w:p w14:paraId="39525120" w14:textId="77777777" w:rsidR="00EF5B27" w:rsidRDefault="00000000">
                        <w:pPr>
                          <w:pStyle w:val="TableParagraph"/>
                          <w:spacing w:before="1"/>
                          <w:ind w:left="156" w:right="150"/>
                          <w:jc w:val="center"/>
                          <w:rPr>
                            <w:sz w:val="14"/>
                          </w:rPr>
                        </w:pPr>
                        <w:r>
                          <w:rPr>
                            <w:color w:val="4D4D4F"/>
                            <w:w w:val="105"/>
                            <w:sz w:val="14"/>
                          </w:rPr>
                          <w:t>Kalkallo Common</w:t>
                        </w:r>
                      </w:p>
                    </w:tc>
                    <w:tc>
                      <w:tcPr>
                        <w:tcW w:w="2154" w:type="dxa"/>
                      </w:tcPr>
                      <w:p w14:paraId="25FF19BC" w14:textId="77777777" w:rsidR="00EF5B27" w:rsidRDefault="00000000">
                        <w:pPr>
                          <w:pStyle w:val="TableParagraph"/>
                          <w:spacing w:before="84" w:line="252" w:lineRule="auto"/>
                          <w:ind w:left="133" w:firstLine="87"/>
                          <w:rPr>
                            <w:sz w:val="14"/>
                          </w:rPr>
                        </w:pPr>
                        <w:r>
                          <w:rPr>
                            <w:color w:val="4D4D4F"/>
                            <w:w w:val="105"/>
                            <w:sz w:val="14"/>
                          </w:rPr>
                          <w:t>KPI measure 95% confidence interval falls below the baseline</w:t>
                        </w:r>
                      </w:p>
                    </w:tc>
                    <w:tc>
                      <w:tcPr>
                        <w:tcW w:w="1134" w:type="dxa"/>
                      </w:tcPr>
                      <w:p w14:paraId="468B045C" w14:textId="77777777" w:rsidR="00EF5B27" w:rsidRDefault="00EF5B27">
                        <w:pPr>
                          <w:pStyle w:val="TableParagraph"/>
                          <w:spacing w:before="2"/>
                          <w:rPr>
                            <w:sz w:val="14"/>
                          </w:rPr>
                        </w:pPr>
                      </w:p>
                      <w:p w14:paraId="5E3306B3" w14:textId="77777777" w:rsidR="00EF5B27" w:rsidRDefault="00000000">
                        <w:pPr>
                          <w:pStyle w:val="TableParagraph"/>
                          <w:spacing w:before="1"/>
                          <w:ind w:left="81" w:right="77"/>
                          <w:jc w:val="center"/>
                          <w:rPr>
                            <w:sz w:val="14"/>
                          </w:rPr>
                        </w:pPr>
                        <w:r>
                          <w:rPr>
                            <w:color w:val="4D4D4F"/>
                            <w:w w:val="105"/>
                            <w:sz w:val="14"/>
                          </w:rPr>
                          <w:t>Not assessed</w:t>
                        </w:r>
                      </w:p>
                    </w:tc>
                  </w:tr>
                  <w:tr w:rsidR="00EF5B27" w14:paraId="3EA990AA" w14:textId="77777777">
                    <w:trPr>
                      <w:trHeight w:val="505"/>
                    </w:trPr>
                    <w:tc>
                      <w:tcPr>
                        <w:tcW w:w="737" w:type="dxa"/>
                      </w:tcPr>
                      <w:p w14:paraId="7B51DDA4" w14:textId="77777777" w:rsidR="00EF5B27" w:rsidRDefault="00EF5B27">
                        <w:pPr>
                          <w:pStyle w:val="TableParagraph"/>
                          <w:spacing w:before="3"/>
                          <w:rPr>
                            <w:sz w:val="14"/>
                          </w:rPr>
                        </w:pPr>
                      </w:p>
                      <w:p w14:paraId="0EB0CB1A" w14:textId="77777777" w:rsidR="00EF5B27" w:rsidRDefault="00000000">
                        <w:pPr>
                          <w:pStyle w:val="TableParagraph"/>
                          <w:ind w:left="5"/>
                          <w:jc w:val="center"/>
                          <w:rPr>
                            <w:sz w:val="14"/>
                          </w:rPr>
                        </w:pPr>
                        <w:r>
                          <w:rPr>
                            <w:color w:val="4D4D4F"/>
                            <w:w w:val="96"/>
                            <w:sz w:val="14"/>
                          </w:rPr>
                          <w:t>6</w:t>
                        </w:r>
                      </w:p>
                    </w:tc>
                    <w:tc>
                      <w:tcPr>
                        <w:tcW w:w="1361" w:type="dxa"/>
                      </w:tcPr>
                      <w:p w14:paraId="2F6C54ED" w14:textId="77777777" w:rsidR="00EF5B27" w:rsidRDefault="00EF5B27">
                        <w:pPr>
                          <w:pStyle w:val="TableParagraph"/>
                          <w:spacing w:before="3"/>
                          <w:rPr>
                            <w:sz w:val="14"/>
                          </w:rPr>
                        </w:pPr>
                      </w:p>
                      <w:p w14:paraId="6A02CF94" w14:textId="77777777" w:rsidR="00EF5B27" w:rsidRDefault="00000000">
                        <w:pPr>
                          <w:pStyle w:val="TableParagraph"/>
                          <w:ind w:left="91" w:right="87"/>
                          <w:jc w:val="center"/>
                          <w:rPr>
                            <w:sz w:val="14"/>
                          </w:rPr>
                        </w:pPr>
                        <w:r>
                          <w:rPr>
                            <w:color w:val="4D4D4F"/>
                            <w:sz w:val="14"/>
                          </w:rPr>
                          <w:t>Spiny Rice-flower</w:t>
                        </w:r>
                      </w:p>
                    </w:tc>
                    <w:tc>
                      <w:tcPr>
                        <w:tcW w:w="737" w:type="dxa"/>
                      </w:tcPr>
                      <w:p w14:paraId="08E2458C" w14:textId="77777777" w:rsidR="00EF5B27" w:rsidRDefault="00EF5B27">
                        <w:pPr>
                          <w:pStyle w:val="TableParagraph"/>
                          <w:spacing w:before="3"/>
                          <w:rPr>
                            <w:sz w:val="14"/>
                          </w:rPr>
                        </w:pPr>
                      </w:p>
                      <w:p w14:paraId="6B92CB19" w14:textId="77777777" w:rsidR="00EF5B27" w:rsidRDefault="00000000">
                        <w:pPr>
                          <w:pStyle w:val="TableParagraph"/>
                          <w:ind w:left="4"/>
                          <w:jc w:val="center"/>
                          <w:rPr>
                            <w:sz w:val="14"/>
                          </w:rPr>
                        </w:pPr>
                        <w:r>
                          <w:rPr>
                            <w:color w:val="4D4D4F"/>
                            <w:w w:val="96"/>
                            <w:sz w:val="14"/>
                          </w:rPr>
                          <w:t>1</w:t>
                        </w:r>
                      </w:p>
                    </w:tc>
                    <w:tc>
                      <w:tcPr>
                        <w:tcW w:w="1474" w:type="dxa"/>
                      </w:tcPr>
                      <w:p w14:paraId="7986639B" w14:textId="77777777" w:rsidR="00EF5B27" w:rsidRDefault="00EF5B27">
                        <w:pPr>
                          <w:pStyle w:val="TableParagraph"/>
                          <w:spacing w:before="3"/>
                          <w:rPr>
                            <w:sz w:val="14"/>
                          </w:rPr>
                        </w:pPr>
                      </w:p>
                      <w:p w14:paraId="33A8364F" w14:textId="77777777" w:rsidR="00EF5B27" w:rsidRDefault="00000000">
                        <w:pPr>
                          <w:pStyle w:val="TableParagraph"/>
                          <w:ind w:left="124" w:right="120"/>
                          <w:jc w:val="center"/>
                          <w:rPr>
                            <w:sz w:val="14"/>
                          </w:rPr>
                        </w:pPr>
                        <w:r>
                          <w:rPr>
                            <w:color w:val="4D4D4F"/>
                            <w:sz w:val="14"/>
                          </w:rPr>
                          <w:t>Count</w:t>
                        </w:r>
                      </w:p>
                    </w:tc>
                    <w:tc>
                      <w:tcPr>
                        <w:tcW w:w="2041" w:type="dxa"/>
                      </w:tcPr>
                      <w:p w14:paraId="5738380F" w14:textId="77777777" w:rsidR="00EF5B27" w:rsidRDefault="00000000">
                        <w:pPr>
                          <w:pStyle w:val="TableParagraph"/>
                          <w:spacing w:before="84" w:line="252" w:lineRule="auto"/>
                          <w:ind w:left="344" w:right="50" w:hanging="247"/>
                          <w:rPr>
                            <w:sz w:val="14"/>
                          </w:rPr>
                        </w:pPr>
                        <w:r>
                          <w:rPr>
                            <w:color w:val="4D4D4F"/>
                            <w:sz w:val="14"/>
                          </w:rPr>
                          <w:t>Truganina Cemetery Grassland (Conservation Area 10)</w:t>
                        </w:r>
                      </w:p>
                    </w:tc>
                    <w:tc>
                      <w:tcPr>
                        <w:tcW w:w="2154" w:type="dxa"/>
                      </w:tcPr>
                      <w:p w14:paraId="22CB7C9B" w14:textId="77777777" w:rsidR="00EF5B27" w:rsidRDefault="00000000">
                        <w:pPr>
                          <w:pStyle w:val="TableParagraph"/>
                          <w:spacing w:before="84" w:line="252" w:lineRule="auto"/>
                          <w:ind w:left="829" w:hanging="587"/>
                          <w:rPr>
                            <w:sz w:val="14"/>
                          </w:rPr>
                        </w:pPr>
                        <w:r>
                          <w:rPr>
                            <w:color w:val="4D4D4F"/>
                            <w:w w:val="105"/>
                            <w:sz w:val="14"/>
                          </w:rPr>
                          <w:t>KPI measure falls below the baseline</w:t>
                        </w:r>
                      </w:p>
                    </w:tc>
                    <w:tc>
                      <w:tcPr>
                        <w:tcW w:w="1134" w:type="dxa"/>
                      </w:tcPr>
                      <w:p w14:paraId="73780206" w14:textId="77777777" w:rsidR="00EF5B27" w:rsidRDefault="00EF5B27">
                        <w:pPr>
                          <w:pStyle w:val="TableParagraph"/>
                          <w:spacing w:before="3"/>
                          <w:rPr>
                            <w:sz w:val="14"/>
                          </w:rPr>
                        </w:pPr>
                      </w:p>
                      <w:p w14:paraId="5DF29777" w14:textId="77777777" w:rsidR="00EF5B27" w:rsidRDefault="00000000">
                        <w:pPr>
                          <w:pStyle w:val="TableParagraph"/>
                          <w:ind w:left="81" w:right="76"/>
                          <w:jc w:val="center"/>
                          <w:rPr>
                            <w:sz w:val="14"/>
                          </w:rPr>
                        </w:pPr>
                        <w:r>
                          <w:rPr>
                            <w:color w:val="4D4D4F"/>
                            <w:w w:val="105"/>
                            <w:sz w:val="14"/>
                          </w:rPr>
                          <w:t>Not assessed</w:t>
                        </w:r>
                      </w:p>
                    </w:tc>
                  </w:tr>
                  <w:tr w:rsidR="00EF5B27" w14:paraId="00357D58" w14:textId="77777777">
                    <w:trPr>
                      <w:trHeight w:val="505"/>
                    </w:trPr>
                    <w:tc>
                      <w:tcPr>
                        <w:tcW w:w="737" w:type="dxa"/>
                      </w:tcPr>
                      <w:p w14:paraId="0A1F9AD5" w14:textId="77777777" w:rsidR="00EF5B27" w:rsidRDefault="00EF5B27">
                        <w:pPr>
                          <w:pStyle w:val="TableParagraph"/>
                          <w:spacing w:before="3"/>
                          <w:rPr>
                            <w:sz w:val="14"/>
                          </w:rPr>
                        </w:pPr>
                      </w:p>
                      <w:p w14:paraId="7983A562" w14:textId="77777777" w:rsidR="00EF5B27" w:rsidRDefault="00000000">
                        <w:pPr>
                          <w:pStyle w:val="TableParagraph"/>
                          <w:ind w:left="5"/>
                          <w:jc w:val="center"/>
                          <w:rPr>
                            <w:sz w:val="14"/>
                          </w:rPr>
                        </w:pPr>
                        <w:r>
                          <w:rPr>
                            <w:color w:val="4D4D4F"/>
                            <w:w w:val="96"/>
                            <w:sz w:val="14"/>
                          </w:rPr>
                          <w:t>6</w:t>
                        </w:r>
                      </w:p>
                    </w:tc>
                    <w:tc>
                      <w:tcPr>
                        <w:tcW w:w="1361" w:type="dxa"/>
                      </w:tcPr>
                      <w:p w14:paraId="4A6C8FCB" w14:textId="77777777" w:rsidR="00EF5B27" w:rsidRDefault="00EF5B27">
                        <w:pPr>
                          <w:pStyle w:val="TableParagraph"/>
                          <w:spacing w:before="3"/>
                          <w:rPr>
                            <w:sz w:val="14"/>
                          </w:rPr>
                        </w:pPr>
                      </w:p>
                      <w:p w14:paraId="41D54DDD" w14:textId="77777777" w:rsidR="00EF5B27" w:rsidRDefault="00000000">
                        <w:pPr>
                          <w:pStyle w:val="TableParagraph"/>
                          <w:ind w:left="91" w:right="86"/>
                          <w:jc w:val="center"/>
                          <w:rPr>
                            <w:sz w:val="14"/>
                          </w:rPr>
                        </w:pPr>
                        <w:r>
                          <w:rPr>
                            <w:color w:val="4D4D4F"/>
                            <w:sz w:val="14"/>
                          </w:rPr>
                          <w:t>Spiny Rice-flower</w:t>
                        </w:r>
                      </w:p>
                    </w:tc>
                    <w:tc>
                      <w:tcPr>
                        <w:tcW w:w="737" w:type="dxa"/>
                      </w:tcPr>
                      <w:p w14:paraId="2F18FF70" w14:textId="77777777" w:rsidR="00EF5B27" w:rsidRDefault="00EF5B27">
                        <w:pPr>
                          <w:pStyle w:val="TableParagraph"/>
                          <w:spacing w:before="3"/>
                          <w:rPr>
                            <w:sz w:val="14"/>
                          </w:rPr>
                        </w:pPr>
                      </w:p>
                      <w:p w14:paraId="6D0C3198" w14:textId="77777777" w:rsidR="00EF5B27" w:rsidRDefault="00000000">
                        <w:pPr>
                          <w:pStyle w:val="TableParagraph"/>
                          <w:ind w:left="4"/>
                          <w:jc w:val="center"/>
                          <w:rPr>
                            <w:sz w:val="14"/>
                          </w:rPr>
                        </w:pPr>
                        <w:r>
                          <w:rPr>
                            <w:color w:val="4D4D4F"/>
                            <w:w w:val="96"/>
                            <w:sz w:val="14"/>
                          </w:rPr>
                          <w:t>1</w:t>
                        </w:r>
                      </w:p>
                    </w:tc>
                    <w:tc>
                      <w:tcPr>
                        <w:tcW w:w="1474" w:type="dxa"/>
                      </w:tcPr>
                      <w:p w14:paraId="07D7801F" w14:textId="77777777" w:rsidR="00EF5B27" w:rsidRDefault="00EF5B27">
                        <w:pPr>
                          <w:pStyle w:val="TableParagraph"/>
                          <w:spacing w:before="3"/>
                          <w:rPr>
                            <w:sz w:val="14"/>
                          </w:rPr>
                        </w:pPr>
                      </w:p>
                      <w:p w14:paraId="715AC7F3" w14:textId="77777777" w:rsidR="00EF5B27" w:rsidRDefault="00000000">
                        <w:pPr>
                          <w:pStyle w:val="TableParagraph"/>
                          <w:ind w:left="124" w:right="120"/>
                          <w:jc w:val="center"/>
                          <w:rPr>
                            <w:sz w:val="14"/>
                          </w:rPr>
                        </w:pPr>
                        <w:r>
                          <w:rPr>
                            <w:color w:val="4D4D4F"/>
                            <w:sz w:val="14"/>
                          </w:rPr>
                          <w:t>Count</w:t>
                        </w:r>
                      </w:p>
                    </w:tc>
                    <w:tc>
                      <w:tcPr>
                        <w:tcW w:w="2041" w:type="dxa"/>
                      </w:tcPr>
                      <w:p w14:paraId="42B5B94D" w14:textId="77777777" w:rsidR="00EF5B27" w:rsidRDefault="00000000">
                        <w:pPr>
                          <w:pStyle w:val="TableParagraph"/>
                          <w:spacing w:before="84" w:line="252" w:lineRule="auto"/>
                          <w:ind w:left="677" w:right="50" w:hanging="505"/>
                          <w:rPr>
                            <w:sz w:val="14"/>
                          </w:rPr>
                        </w:pPr>
                        <w:r>
                          <w:rPr>
                            <w:color w:val="4D4D4F"/>
                            <w:w w:val="105"/>
                            <w:sz w:val="14"/>
                          </w:rPr>
                          <w:t>Western Grassland Reserve, Radio block</w:t>
                        </w:r>
                      </w:p>
                    </w:tc>
                    <w:tc>
                      <w:tcPr>
                        <w:tcW w:w="2154" w:type="dxa"/>
                      </w:tcPr>
                      <w:p w14:paraId="50929AE9" w14:textId="77777777" w:rsidR="00EF5B27" w:rsidRDefault="00000000">
                        <w:pPr>
                          <w:pStyle w:val="TableParagraph"/>
                          <w:spacing w:before="84" w:line="252" w:lineRule="auto"/>
                          <w:ind w:left="829" w:hanging="587"/>
                          <w:rPr>
                            <w:sz w:val="14"/>
                          </w:rPr>
                        </w:pPr>
                        <w:r>
                          <w:rPr>
                            <w:color w:val="4D4D4F"/>
                            <w:w w:val="105"/>
                            <w:sz w:val="14"/>
                          </w:rPr>
                          <w:t>KPI measure falls below the baseline</w:t>
                        </w:r>
                      </w:p>
                    </w:tc>
                    <w:tc>
                      <w:tcPr>
                        <w:tcW w:w="1134" w:type="dxa"/>
                      </w:tcPr>
                      <w:p w14:paraId="234DB19E" w14:textId="77777777" w:rsidR="00EF5B27" w:rsidRDefault="00EF5B27">
                        <w:pPr>
                          <w:pStyle w:val="TableParagraph"/>
                          <w:spacing w:before="3"/>
                          <w:rPr>
                            <w:sz w:val="14"/>
                          </w:rPr>
                        </w:pPr>
                      </w:p>
                      <w:p w14:paraId="76A3AD1F" w14:textId="77777777" w:rsidR="00EF5B27" w:rsidRDefault="00000000">
                        <w:pPr>
                          <w:pStyle w:val="TableParagraph"/>
                          <w:ind w:left="81" w:right="76"/>
                          <w:jc w:val="center"/>
                          <w:rPr>
                            <w:sz w:val="14"/>
                          </w:rPr>
                        </w:pPr>
                        <w:r>
                          <w:rPr>
                            <w:color w:val="4D4D4F"/>
                            <w:w w:val="105"/>
                            <w:sz w:val="14"/>
                          </w:rPr>
                          <w:t>Not assessed</w:t>
                        </w:r>
                      </w:p>
                    </w:tc>
                  </w:tr>
                  <w:tr w:rsidR="00EF5B27" w14:paraId="0881C61F" w14:textId="77777777">
                    <w:trPr>
                      <w:trHeight w:val="845"/>
                    </w:trPr>
                    <w:tc>
                      <w:tcPr>
                        <w:tcW w:w="737" w:type="dxa"/>
                      </w:tcPr>
                      <w:p w14:paraId="1F164ED8" w14:textId="77777777" w:rsidR="00EF5B27" w:rsidRDefault="00EF5B27">
                        <w:pPr>
                          <w:pStyle w:val="TableParagraph"/>
                          <w:rPr>
                            <w:sz w:val="16"/>
                          </w:rPr>
                        </w:pPr>
                      </w:p>
                      <w:p w14:paraId="35DB7EF3" w14:textId="77777777" w:rsidR="00EF5B27" w:rsidRDefault="00EF5B27">
                        <w:pPr>
                          <w:pStyle w:val="TableParagraph"/>
                          <w:spacing w:before="2"/>
                          <w:rPr>
                            <w:sz w:val="12"/>
                          </w:rPr>
                        </w:pPr>
                      </w:p>
                      <w:p w14:paraId="40A20745" w14:textId="77777777" w:rsidR="00EF5B27" w:rsidRDefault="00000000">
                        <w:pPr>
                          <w:pStyle w:val="TableParagraph"/>
                          <w:ind w:left="5"/>
                          <w:jc w:val="center"/>
                          <w:rPr>
                            <w:sz w:val="14"/>
                          </w:rPr>
                        </w:pPr>
                        <w:r>
                          <w:rPr>
                            <w:color w:val="4D4D4F"/>
                            <w:w w:val="96"/>
                            <w:sz w:val="14"/>
                          </w:rPr>
                          <w:t>6</w:t>
                        </w:r>
                      </w:p>
                    </w:tc>
                    <w:tc>
                      <w:tcPr>
                        <w:tcW w:w="1361" w:type="dxa"/>
                      </w:tcPr>
                      <w:p w14:paraId="22FDB77D" w14:textId="77777777" w:rsidR="00EF5B27" w:rsidRDefault="00EF5B27">
                        <w:pPr>
                          <w:pStyle w:val="TableParagraph"/>
                          <w:rPr>
                            <w:sz w:val="16"/>
                          </w:rPr>
                        </w:pPr>
                      </w:p>
                      <w:p w14:paraId="7A74EC94" w14:textId="77777777" w:rsidR="00EF5B27" w:rsidRDefault="00EF5B27">
                        <w:pPr>
                          <w:pStyle w:val="TableParagraph"/>
                          <w:spacing w:before="2"/>
                          <w:rPr>
                            <w:sz w:val="12"/>
                          </w:rPr>
                        </w:pPr>
                      </w:p>
                      <w:p w14:paraId="72A4F67A" w14:textId="77777777" w:rsidR="00EF5B27" w:rsidRDefault="00000000">
                        <w:pPr>
                          <w:pStyle w:val="TableParagraph"/>
                          <w:ind w:left="91" w:right="86"/>
                          <w:jc w:val="center"/>
                          <w:rPr>
                            <w:sz w:val="14"/>
                          </w:rPr>
                        </w:pPr>
                        <w:r>
                          <w:rPr>
                            <w:color w:val="4D4D4F"/>
                            <w:sz w:val="14"/>
                          </w:rPr>
                          <w:t>Spiny Rice-flower</w:t>
                        </w:r>
                      </w:p>
                    </w:tc>
                    <w:tc>
                      <w:tcPr>
                        <w:tcW w:w="737" w:type="dxa"/>
                      </w:tcPr>
                      <w:p w14:paraId="3D90AB52" w14:textId="77777777" w:rsidR="00EF5B27" w:rsidRDefault="00EF5B27">
                        <w:pPr>
                          <w:pStyle w:val="TableParagraph"/>
                          <w:rPr>
                            <w:sz w:val="16"/>
                          </w:rPr>
                        </w:pPr>
                      </w:p>
                      <w:p w14:paraId="72092C26" w14:textId="77777777" w:rsidR="00EF5B27" w:rsidRDefault="00EF5B27">
                        <w:pPr>
                          <w:pStyle w:val="TableParagraph"/>
                          <w:spacing w:before="2"/>
                          <w:rPr>
                            <w:sz w:val="12"/>
                          </w:rPr>
                        </w:pPr>
                      </w:p>
                      <w:p w14:paraId="64EF92F5" w14:textId="77777777" w:rsidR="00EF5B27" w:rsidRDefault="00000000">
                        <w:pPr>
                          <w:pStyle w:val="TableParagraph"/>
                          <w:ind w:left="4"/>
                          <w:jc w:val="center"/>
                          <w:rPr>
                            <w:sz w:val="14"/>
                          </w:rPr>
                        </w:pPr>
                        <w:r>
                          <w:rPr>
                            <w:color w:val="4D4D4F"/>
                            <w:w w:val="96"/>
                            <w:sz w:val="14"/>
                          </w:rPr>
                          <w:t>2</w:t>
                        </w:r>
                      </w:p>
                    </w:tc>
                    <w:tc>
                      <w:tcPr>
                        <w:tcW w:w="1474" w:type="dxa"/>
                      </w:tcPr>
                      <w:p w14:paraId="55E5A33C" w14:textId="77777777" w:rsidR="00EF5B27" w:rsidRDefault="00EF5B27">
                        <w:pPr>
                          <w:pStyle w:val="TableParagraph"/>
                          <w:rPr>
                            <w:sz w:val="16"/>
                          </w:rPr>
                        </w:pPr>
                      </w:p>
                      <w:p w14:paraId="65B413A7" w14:textId="77777777" w:rsidR="00EF5B27" w:rsidRDefault="00EF5B27">
                        <w:pPr>
                          <w:pStyle w:val="TableParagraph"/>
                          <w:spacing w:before="2"/>
                          <w:rPr>
                            <w:sz w:val="12"/>
                          </w:rPr>
                        </w:pPr>
                      </w:p>
                      <w:p w14:paraId="4862EC39" w14:textId="77777777" w:rsidR="00EF5B27" w:rsidRDefault="00000000">
                        <w:pPr>
                          <w:pStyle w:val="TableParagraph"/>
                          <w:ind w:left="124" w:right="120"/>
                          <w:jc w:val="center"/>
                          <w:rPr>
                            <w:sz w:val="14"/>
                          </w:rPr>
                        </w:pPr>
                        <w:r>
                          <w:rPr>
                            <w:color w:val="4D4D4F"/>
                            <w:w w:val="105"/>
                            <w:sz w:val="14"/>
                          </w:rPr>
                          <w:t>Recruits</w:t>
                        </w:r>
                      </w:p>
                    </w:tc>
                    <w:tc>
                      <w:tcPr>
                        <w:tcW w:w="2041" w:type="dxa"/>
                      </w:tcPr>
                      <w:p w14:paraId="160D1888" w14:textId="77777777" w:rsidR="00EF5B27" w:rsidRDefault="00EF5B27">
                        <w:pPr>
                          <w:pStyle w:val="TableParagraph"/>
                          <w:spacing w:before="9"/>
                          <w:rPr>
                            <w:sz w:val="20"/>
                          </w:rPr>
                        </w:pPr>
                      </w:p>
                      <w:p w14:paraId="0F72DA5F" w14:textId="77777777" w:rsidR="00EF5B27" w:rsidRDefault="00000000">
                        <w:pPr>
                          <w:pStyle w:val="TableParagraph"/>
                          <w:spacing w:before="1" w:line="252" w:lineRule="auto"/>
                          <w:ind w:left="344" w:right="50" w:hanging="247"/>
                          <w:rPr>
                            <w:sz w:val="14"/>
                          </w:rPr>
                        </w:pPr>
                        <w:r>
                          <w:rPr>
                            <w:color w:val="4D4D4F"/>
                            <w:sz w:val="14"/>
                          </w:rPr>
                          <w:t>Truganina Cemetery Grassland (Conservation Area 10)</w:t>
                        </w:r>
                      </w:p>
                    </w:tc>
                    <w:tc>
                      <w:tcPr>
                        <w:tcW w:w="2154" w:type="dxa"/>
                      </w:tcPr>
                      <w:p w14:paraId="4430347F" w14:textId="77777777" w:rsidR="00EF5B27" w:rsidRDefault="00EF5B27">
                        <w:pPr>
                          <w:pStyle w:val="TableParagraph"/>
                          <w:spacing w:before="5"/>
                          <w:rPr>
                            <w:sz w:val="13"/>
                          </w:rPr>
                        </w:pPr>
                      </w:p>
                      <w:p w14:paraId="085AB8A4" w14:textId="77777777" w:rsidR="00EF5B27" w:rsidRDefault="00000000">
                        <w:pPr>
                          <w:pStyle w:val="TableParagraph"/>
                          <w:spacing w:line="252" w:lineRule="auto"/>
                          <w:ind w:left="143" w:right="136" w:hanging="1"/>
                          <w:jc w:val="center"/>
                          <w:rPr>
                            <w:sz w:val="14"/>
                          </w:rPr>
                        </w:pPr>
                        <w:r>
                          <w:rPr>
                            <w:color w:val="4D4D4F"/>
                            <w:sz w:val="14"/>
                          </w:rPr>
                          <w:t>% recruits is below 10% of the MSA-wide population in at least one of the previous 10 years</w:t>
                        </w:r>
                      </w:p>
                    </w:tc>
                    <w:tc>
                      <w:tcPr>
                        <w:tcW w:w="1134" w:type="dxa"/>
                      </w:tcPr>
                      <w:p w14:paraId="1B6A3084" w14:textId="77777777" w:rsidR="00EF5B27" w:rsidRDefault="00EF5B27">
                        <w:pPr>
                          <w:pStyle w:val="TableParagraph"/>
                          <w:rPr>
                            <w:sz w:val="16"/>
                          </w:rPr>
                        </w:pPr>
                      </w:p>
                      <w:p w14:paraId="53D3EFA0" w14:textId="77777777" w:rsidR="00EF5B27" w:rsidRDefault="00EF5B27">
                        <w:pPr>
                          <w:pStyle w:val="TableParagraph"/>
                          <w:spacing w:before="2"/>
                          <w:rPr>
                            <w:sz w:val="12"/>
                          </w:rPr>
                        </w:pPr>
                      </w:p>
                      <w:p w14:paraId="049CA565" w14:textId="77777777" w:rsidR="00EF5B27" w:rsidRDefault="00000000">
                        <w:pPr>
                          <w:pStyle w:val="TableParagraph"/>
                          <w:ind w:left="81" w:right="76"/>
                          <w:jc w:val="center"/>
                          <w:rPr>
                            <w:sz w:val="14"/>
                          </w:rPr>
                        </w:pPr>
                        <w:r>
                          <w:rPr>
                            <w:color w:val="4D4D4F"/>
                            <w:w w:val="105"/>
                            <w:sz w:val="14"/>
                          </w:rPr>
                          <w:t>Not assessed</w:t>
                        </w:r>
                      </w:p>
                    </w:tc>
                  </w:tr>
                  <w:tr w:rsidR="00EF5B27" w14:paraId="351A5FDA" w14:textId="77777777">
                    <w:trPr>
                      <w:trHeight w:val="845"/>
                    </w:trPr>
                    <w:tc>
                      <w:tcPr>
                        <w:tcW w:w="737" w:type="dxa"/>
                      </w:tcPr>
                      <w:p w14:paraId="759A501A" w14:textId="77777777" w:rsidR="00EF5B27" w:rsidRDefault="00EF5B27">
                        <w:pPr>
                          <w:pStyle w:val="TableParagraph"/>
                          <w:rPr>
                            <w:sz w:val="16"/>
                          </w:rPr>
                        </w:pPr>
                      </w:p>
                      <w:p w14:paraId="3BFFE22B" w14:textId="77777777" w:rsidR="00EF5B27" w:rsidRDefault="00EF5B27">
                        <w:pPr>
                          <w:pStyle w:val="TableParagraph"/>
                          <w:spacing w:before="2"/>
                          <w:rPr>
                            <w:sz w:val="12"/>
                          </w:rPr>
                        </w:pPr>
                      </w:p>
                      <w:p w14:paraId="629454AD" w14:textId="77777777" w:rsidR="00EF5B27" w:rsidRDefault="00000000">
                        <w:pPr>
                          <w:pStyle w:val="TableParagraph"/>
                          <w:ind w:left="5"/>
                          <w:jc w:val="center"/>
                          <w:rPr>
                            <w:sz w:val="14"/>
                          </w:rPr>
                        </w:pPr>
                        <w:r>
                          <w:rPr>
                            <w:color w:val="4D4D4F"/>
                            <w:w w:val="96"/>
                            <w:sz w:val="14"/>
                          </w:rPr>
                          <w:t>6</w:t>
                        </w:r>
                      </w:p>
                    </w:tc>
                    <w:tc>
                      <w:tcPr>
                        <w:tcW w:w="1361" w:type="dxa"/>
                      </w:tcPr>
                      <w:p w14:paraId="6F814E81" w14:textId="77777777" w:rsidR="00EF5B27" w:rsidRDefault="00EF5B27">
                        <w:pPr>
                          <w:pStyle w:val="TableParagraph"/>
                          <w:rPr>
                            <w:sz w:val="16"/>
                          </w:rPr>
                        </w:pPr>
                      </w:p>
                      <w:p w14:paraId="4EADAD03" w14:textId="77777777" w:rsidR="00EF5B27" w:rsidRDefault="00EF5B27">
                        <w:pPr>
                          <w:pStyle w:val="TableParagraph"/>
                          <w:spacing w:before="2"/>
                          <w:rPr>
                            <w:sz w:val="12"/>
                          </w:rPr>
                        </w:pPr>
                      </w:p>
                      <w:p w14:paraId="77D3398F" w14:textId="77777777" w:rsidR="00EF5B27" w:rsidRDefault="00000000">
                        <w:pPr>
                          <w:pStyle w:val="TableParagraph"/>
                          <w:ind w:left="91" w:right="86"/>
                          <w:jc w:val="center"/>
                          <w:rPr>
                            <w:sz w:val="14"/>
                          </w:rPr>
                        </w:pPr>
                        <w:r>
                          <w:rPr>
                            <w:color w:val="4D4D4F"/>
                            <w:sz w:val="14"/>
                          </w:rPr>
                          <w:t>Spiny Rice-flower</w:t>
                        </w:r>
                      </w:p>
                    </w:tc>
                    <w:tc>
                      <w:tcPr>
                        <w:tcW w:w="737" w:type="dxa"/>
                      </w:tcPr>
                      <w:p w14:paraId="7D540B3F" w14:textId="77777777" w:rsidR="00EF5B27" w:rsidRDefault="00EF5B27">
                        <w:pPr>
                          <w:pStyle w:val="TableParagraph"/>
                          <w:rPr>
                            <w:sz w:val="16"/>
                          </w:rPr>
                        </w:pPr>
                      </w:p>
                      <w:p w14:paraId="1C406A19" w14:textId="77777777" w:rsidR="00EF5B27" w:rsidRDefault="00EF5B27">
                        <w:pPr>
                          <w:pStyle w:val="TableParagraph"/>
                          <w:spacing w:before="2"/>
                          <w:rPr>
                            <w:sz w:val="12"/>
                          </w:rPr>
                        </w:pPr>
                      </w:p>
                      <w:p w14:paraId="6E32FE72" w14:textId="77777777" w:rsidR="00EF5B27" w:rsidRDefault="00000000">
                        <w:pPr>
                          <w:pStyle w:val="TableParagraph"/>
                          <w:ind w:left="4"/>
                          <w:jc w:val="center"/>
                          <w:rPr>
                            <w:sz w:val="14"/>
                          </w:rPr>
                        </w:pPr>
                        <w:r>
                          <w:rPr>
                            <w:color w:val="4D4D4F"/>
                            <w:w w:val="96"/>
                            <w:sz w:val="14"/>
                          </w:rPr>
                          <w:t>2</w:t>
                        </w:r>
                      </w:p>
                    </w:tc>
                    <w:tc>
                      <w:tcPr>
                        <w:tcW w:w="1474" w:type="dxa"/>
                      </w:tcPr>
                      <w:p w14:paraId="3558528D" w14:textId="77777777" w:rsidR="00EF5B27" w:rsidRDefault="00000000">
                        <w:pPr>
                          <w:pStyle w:val="TableParagraph"/>
                          <w:spacing w:line="147" w:lineRule="exact"/>
                          <w:ind w:left="978"/>
                          <w:rPr>
                            <w:rFonts w:ascii="Century Gothic"/>
                            <w:i/>
                            <w:sz w:val="12"/>
                          </w:rPr>
                        </w:pPr>
                        <w:r>
                          <w:rPr>
                            <w:rFonts w:ascii="Century Gothic"/>
                            <w:i/>
                            <w:color w:val="4D4D4F"/>
                            <w:w w:val="90"/>
                            <w:sz w:val="12"/>
                          </w:rPr>
                          <w:t>SOURCE:</w:t>
                        </w:r>
                      </w:p>
                      <w:p w14:paraId="1863BDDF" w14:textId="77777777" w:rsidR="00EF5B27" w:rsidRDefault="00EF5B27">
                        <w:pPr>
                          <w:pStyle w:val="TableParagraph"/>
                          <w:spacing w:before="1"/>
                          <w:rPr>
                            <w:sz w:val="16"/>
                          </w:rPr>
                        </w:pPr>
                      </w:p>
                      <w:p w14:paraId="4577D4E6" w14:textId="77777777" w:rsidR="00EF5B27" w:rsidRDefault="00000000">
                        <w:pPr>
                          <w:pStyle w:val="TableParagraph"/>
                          <w:spacing w:before="1"/>
                          <w:ind w:left="487"/>
                          <w:rPr>
                            <w:sz w:val="14"/>
                          </w:rPr>
                        </w:pPr>
                        <w:r>
                          <w:rPr>
                            <w:color w:val="4D4D4F"/>
                            <w:w w:val="105"/>
                            <w:sz w:val="14"/>
                          </w:rPr>
                          <w:t>Recruits</w:t>
                        </w:r>
                      </w:p>
                    </w:tc>
                    <w:tc>
                      <w:tcPr>
                        <w:tcW w:w="2041" w:type="dxa"/>
                      </w:tcPr>
                      <w:p w14:paraId="212F60EF" w14:textId="77777777" w:rsidR="00EF5B27" w:rsidRDefault="00000000">
                        <w:pPr>
                          <w:pStyle w:val="TableParagraph"/>
                          <w:spacing w:line="147" w:lineRule="exact"/>
                          <w:ind w:left="-8"/>
                          <w:rPr>
                            <w:rFonts w:ascii="Century Gothic"/>
                            <w:i/>
                            <w:sz w:val="12"/>
                          </w:rPr>
                        </w:pPr>
                        <w:r>
                          <w:rPr>
                            <w:rFonts w:ascii="Century Gothic"/>
                            <w:i/>
                            <w:color w:val="4D4D4F"/>
                            <w:spacing w:val="-1"/>
                            <w:w w:val="90"/>
                            <w:sz w:val="12"/>
                          </w:rPr>
                          <w:t>Compiled</w:t>
                        </w:r>
                        <w:r>
                          <w:rPr>
                            <w:rFonts w:ascii="Century Gothic"/>
                            <w:i/>
                            <w:color w:val="4D4D4F"/>
                            <w:spacing w:val="-14"/>
                            <w:w w:val="90"/>
                            <w:sz w:val="12"/>
                          </w:rPr>
                          <w:t xml:space="preserve"> </w:t>
                        </w:r>
                        <w:r>
                          <w:rPr>
                            <w:rFonts w:ascii="Century Gothic"/>
                            <w:i/>
                            <w:color w:val="4D4D4F"/>
                            <w:spacing w:val="-1"/>
                            <w:w w:val="90"/>
                            <w:sz w:val="12"/>
                          </w:rPr>
                          <w:t>by</w:t>
                        </w:r>
                        <w:r>
                          <w:rPr>
                            <w:rFonts w:ascii="Century Gothic"/>
                            <w:i/>
                            <w:color w:val="4D4D4F"/>
                            <w:spacing w:val="-13"/>
                            <w:w w:val="90"/>
                            <w:sz w:val="12"/>
                          </w:rPr>
                          <w:t xml:space="preserve"> </w:t>
                        </w:r>
                        <w:r>
                          <w:rPr>
                            <w:rFonts w:ascii="Century Gothic"/>
                            <w:i/>
                            <w:color w:val="4D4D4F"/>
                            <w:spacing w:val="-1"/>
                            <w:w w:val="90"/>
                            <w:sz w:val="12"/>
                          </w:rPr>
                          <w:t>the</w:t>
                        </w:r>
                        <w:r>
                          <w:rPr>
                            <w:rFonts w:ascii="Century Gothic"/>
                            <w:i/>
                            <w:color w:val="4D4D4F"/>
                            <w:spacing w:val="-14"/>
                            <w:w w:val="90"/>
                            <w:sz w:val="12"/>
                          </w:rPr>
                          <w:t xml:space="preserve"> </w:t>
                        </w:r>
                        <w:r>
                          <w:rPr>
                            <w:rFonts w:ascii="Century Gothic"/>
                            <w:i/>
                            <w:color w:val="4D4D4F"/>
                            <w:spacing w:val="-1"/>
                            <w:w w:val="90"/>
                            <w:sz w:val="12"/>
                          </w:rPr>
                          <w:t>Victorian</w:t>
                        </w:r>
                        <w:r>
                          <w:rPr>
                            <w:rFonts w:ascii="Century Gothic"/>
                            <w:i/>
                            <w:color w:val="4D4D4F"/>
                            <w:spacing w:val="-13"/>
                            <w:w w:val="90"/>
                            <w:sz w:val="12"/>
                          </w:rPr>
                          <w:t xml:space="preserve"> </w:t>
                        </w:r>
                        <w:r>
                          <w:rPr>
                            <w:rFonts w:ascii="Century Gothic"/>
                            <w:i/>
                            <w:color w:val="4D4D4F"/>
                            <w:spacing w:val="-1"/>
                            <w:w w:val="90"/>
                            <w:sz w:val="12"/>
                          </w:rPr>
                          <w:t>Commissione</w:t>
                        </w:r>
                      </w:p>
                      <w:p w14:paraId="31A68173" w14:textId="77777777" w:rsidR="00EF5B27" w:rsidRDefault="00000000">
                        <w:pPr>
                          <w:pStyle w:val="TableParagraph"/>
                          <w:spacing w:before="107" w:line="252" w:lineRule="auto"/>
                          <w:ind w:left="157" w:right="150"/>
                          <w:jc w:val="center"/>
                          <w:rPr>
                            <w:sz w:val="14"/>
                          </w:rPr>
                        </w:pPr>
                        <w:r>
                          <w:rPr>
                            <w:color w:val="4D4D4F"/>
                            <w:w w:val="105"/>
                            <w:sz w:val="14"/>
                          </w:rPr>
                          <w:t>Western Grassland Reserve, Radio block</w:t>
                        </w:r>
                      </w:p>
                    </w:tc>
                    <w:tc>
                      <w:tcPr>
                        <w:tcW w:w="2154" w:type="dxa"/>
                      </w:tcPr>
                      <w:p w14:paraId="5BC0DD56" w14:textId="77777777" w:rsidR="00EF5B27" w:rsidRDefault="00000000">
                        <w:pPr>
                          <w:pStyle w:val="TableParagraph"/>
                          <w:spacing w:line="147" w:lineRule="exact"/>
                          <w:ind w:left="50"/>
                          <w:rPr>
                            <w:rFonts w:ascii="Century Gothic"/>
                            <w:i/>
                            <w:sz w:val="12"/>
                          </w:rPr>
                        </w:pPr>
                        <w:r>
                          <w:rPr>
                            <w:rFonts w:ascii="Century Gothic"/>
                            <w:i/>
                            <w:color w:val="4D4D4F"/>
                            <w:spacing w:val="-1"/>
                            <w:w w:val="95"/>
                            <w:sz w:val="12"/>
                          </w:rPr>
                          <w:t>for</w:t>
                        </w:r>
                        <w:r>
                          <w:rPr>
                            <w:rFonts w:ascii="Century Gothic"/>
                            <w:i/>
                            <w:color w:val="4D4D4F"/>
                            <w:spacing w:val="-18"/>
                            <w:w w:val="95"/>
                            <w:sz w:val="12"/>
                          </w:rPr>
                          <w:t xml:space="preserve"> </w:t>
                        </w:r>
                        <w:r>
                          <w:rPr>
                            <w:rFonts w:ascii="Century Gothic"/>
                            <w:i/>
                            <w:color w:val="4D4D4F"/>
                            <w:spacing w:val="-1"/>
                            <w:w w:val="95"/>
                            <w:sz w:val="12"/>
                          </w:rPr>
                          <w:t>Environmental</w:t>
                        </w:r>
                        <w:r>
                          <w:rPr>
                            <w:rFonts w:ascii="Century Gothic"/>
                            <w:i/>
                            <w:color w:val="4D4D4F"/>
                            <w:spacing w:val="-18"/>
                            <w:w w:val="95"/>
                            <w:sz w:val="12"/>
                          </w:rPr>
                          <w:t xml:space="preserve"> </w:t>
                        </w:r>
                        <w:r>
                          <w:rPr>
                            <w:rFonts w:ascii="Century Gothic"/>
                            <w:i/>
                            <w:color w:val="4D4D4F"/>
                            <w:spacing w:val="-1"/>
                            <w:w w:val="95"/>
                            <w:sz w:val="12"/>
                          </w:rPr>
                          <w:t>Sustainability</w:t>
                        </w:r>
                        <w:r>
                          <w:rPr>
                            <w:rFonts w:ascii="Century Gothic"/>
                            <w:i/>
                            <w:color w:val="4D4D4F"/>
                            <w:spacing w:val="-17"/>
                            <w:w w:val="95"/>
                            <w:sz w:val="12"/>
                          </w:rPr>
                          <w:t xml:space="preserve"> </w:t>
                        </w:r>
                        <w:r>
                          <w:rPr>
                            <w:rFonts w:ascii="Century Gothic"/>
                            <w:i/>
                            <w:color w:val="4D4D4F"/>
                            <w:w w:val="95"/>
                            <w:sz w:val="12"/>
                          </w:rPr>
                          <w:t>with</w:t>
                        </w:r>
                        <w:r>
                          <w:rPr>
                            <w:rFonts w:ascii="Century Gothic"/>
                            <w:i/>
                            <w:color w:val="4D4D4F"/>
                            <w:spacing w:val="-18"/>
                            <w:w w:val="95"/>
                            <w:sz w:val="12"/>
                          </w:rPr>
                          <w:t xml:space="preserve"> </w:t>
                        </w:r>
                        <w:r>
                          <w:rPr>
                            <w:rFonts w:ascii="Century Gothic"/>
                            <w:i/>
                            <w:color w:val="4D4D4F"/>
                            <w:w w:val="95"/>
                            <w:sz w:val="12"/>
                          </w:rPr>
                          <w:t>dat</w:t>
                        </w:r>
                      </w:p>
                      <w:p w14:paraId="10F80DCD" w14:textId="77777777" w:rsidR="00EF5B27" w:rsidRDefault="00000000">
                        <w:pPr>
                          <w:pStyle w:val="TableParagraph"/>
                          <w:spacing w:before="17" w:line="252" w:lineRule="auto"/>
                          <w:ind w:left="143" w:right="136" w:hanging="1"/>
                          <w:jc w:val="center"/>
                          <w:rPr>
                            <w:sz w:val="14"/>
                          </w:rPr>
                        </w:pPr>
                        <w:r>
                          <w:rPr>
                            <w:color w:val="4D4D4F"/>
                            <w:sz w:val="14"/>
                          </w:rPr>
                          <w:t>% recruits is below 10% of the MSA-wide population in at least one of the previous 10 years</w:t>
                        </w:r>
                      </w:p>
                    </w:tc>
                    <w:tc>
                      <w:tcPr>
                        <w:tcW w:w="1134" w:type="dxa"/>
                      </w:tcPr>
                      <w:p w14:paraId="173637FC" w14:textId="77777777" w:rsidR="00EF5B27" w:rsidRDefault="00000000">
                        <w:pPr>
                          <w:pStyle w:val="TableParagraph"/>
                          <w:spacing w:line="147" w:lineRule="exact"/>
                          <w:ind w:left="-29" w:right="-15"/>
                          <w:jc w:val="center"/>
                          <w:rPr>
                            <w:rFonts w:ascii="Century Gothic"/>
                            <w:i/>
                            <w:sz w:val="12"/>
                          </w:rPr>
                        </w:pPr>
                        <w:r>
                          <w:rPr>
                            <w:rFonts w:ascii="Century Gothic"/>
                            <w:i/>
                            <w:color w:val="4D4D4F"/>
                            <w:w w:val="90"/>
                            <w:sz w:val="12"/>
                          </w:rPr>
                          <w:t>a</w:t>
                        </w:r>
                        <w:r>
                          <w:rPr>
                            <w:rFonts w:ascii="Century Gothic"/>
                            <w:i/>
                            <w:color w:val="4D4D4F"/>
                            <w:spacing w:val="-10"/>
                            <w:w w:val="90"/>
                            <w:sz w:val="12"/>
                          </w:rPr>
                          <w:t xml:space="preserve"> </w:t>
                        </w:r>
                        <w:r>
                          <w:rPr>
                            <w:rFonts w:ascii="Century Gothic"/>
                            <w:i/>
                            <w:color w:val="4D4D4F"/>
                            <w:w w:val="90"/>
                            <w:sz w:val="12"/>
                          </w:rPr>
                          <w:t>sourced</w:t>
                        </w:r>
                        <w:r>
                          <w:rPr>
                            <w:rFonts w:ascii="Century Gothic"/>
                            <w:i/>
                            <w:color w:val="4D4D4F"/>
                            <w:spacing w:val="-10"/>
                            <w:w w:val="90"/>
                            <w:sz w:val="12"/>
                          </w:rPr>
                          <w:t xml:space="preserve"> </w:t>
                        </w:r>
                        <w:r>
                          <w:rPr>
                            <w:rFonts w:ascii="Century Gothic"/>
                            <w:i/>
                            <w:color w:val="4D4D4F"/>
                            <w:w w:val="90"/>
                            <w:sz w:val="12"/>
                          </w:rPr>
                          <w:t>from</w:t>
                        </w:r>
                        <w:r>
                          <w:rPr>
                            <w:rFonts w:ascii="Century Gothic"/>
                            <w:i/>
                            <w:color w:val="4D4D4F"/>
                            <w:spacing w:val="-9"/>
                            <w:w w:val="90"/>
                            <w:sz w:val="12"/>
                          </w:rPr>
                          <w:t xml:space="preserve"> </w:t>
                        </w:r>
                        <w:r>
                          <w:rPr>
                            <w:rFonts w:ascii="Century Gothic"/>
                            <w:i/>
                            <w:color w:val="4D4D4F"/>
                            <w:w w:val="90"/>
                            <w:sz w:val="12"/>
                          </w:rPr>
                          <w:t>DELWP</w:t>
                        </w:r>
                      </w:p>
                      <w:p w14:paraId="160E6F1A" w14:textId="77777777" w:rsidR="00EF5B27" w:rsidRDefault="00EF5B27">
                        <w:pPr>
                          <w:pStyle w:val="TableParagraph"/>
                          <w:spacing w:before="1"/>
                          <w:rPr>
                            <w:sz w:val="16"/>
                          </w:rPr>
                        </w:pPr>
                      </w:p>
                      <w:p w14:paraId="42C906E5" w14:textId="77777777" w:rsidR="00EF5B27" w:rsidRDefault="00000000">
                        <w:pPr>
                          <w:pStyle w:val="TableParagraph"/>
                          <w:spacing w:before="1"/>
                          <w:ind w:left="81" w:right="76"/>
                          <w:jc w:val="center"/>
                          <w:rPr>
                            <w:sz w:val="14"/>
                          </w:rPr>
                        </w:pPr>
                        <w:r>
                          <w:rPr>
                            <w:color w:val="4D4D4F"/>
                            <w:w w:val="105"/>
                            <w:sz w:val="14"/>
                          </w:rPr>
                          <w:t>Not assessed</w:t>
                        </w:r>
                      </w:p>
                    </w:tc>
                  </w:tr>
                  <w:tr w:rsidR="00EF5B27" w14:paraId="53B56A9B" w14:textId="77777777">
                    <w:trPr>
                      <w:trHeight w:val="505"/>
                    </w:trPr>
                    <w:tc>
                      <w:tcPr>
                        <w:tcW w:w="737" w:type="dxa"/>
                      </w:tcPr>
                      <w:p w14:paraId="4FDBEDCF" w14:textId="77777777" w:rsidR="00EF5B27" w:rsidRDefault="00EF5B27">
                        <w:pPr>
                          <w:pStyle w:val="TableParagraph"/>
                          <w:spacing w:before="2"/>
                          <w:rPr>
                            <w:sz w:val="14"/>
                          </w:rPr>
                        </w:pPr>
                      </w:p>
                      <w:p w14:paraId="433F0035" w14:textId="77777777" w:rsidR="00EF5B27" w:rsidRDefault="00000000">
                        <w:pPr>
                          <w:pStyle w:val="TableParagraph"/>
                          <w:spacing w:before="1"/>
                          <w:ind w:left="5"/>
                          <w:jc w:val="center"/>
                          <w:rPr>
                            <w:sz w:val="14"/>
                          </w:rPr>
                        </w:pPr>
                        <w:r>
                          <w:rPr>
                            <w:color w:val="4D4D4F"/>
                            <w:w w:val="96"/>
                            <w:sz w:val="14"/>
                          </w:rPr>
                          <w:t>7</w:t>
                        </w:r>
                      </w:p>
                    </w:tc>
                    <w:tc>
                      <w:tcPr>
                        <w:tcW w:w="1361" w:type="dxa"/>
                      </w:tcPr>
                      <w:p w14:paraId="62F7BB35" w14:textId="77777777" w:rsidR="00EF5B27" w:rsidRDefault="00000000">
                        <w:pPr>
                          <w:pStyle w:val="TableParagraph"/>
                          <w:spacing w:before="84" w:line="252" w:lineRule="auto"/>
                          <w:ind w:left="385" w:hanging="196"/>
                          <w:rPr>
                            <w:sz w:val="14"/>
                          </w:rPr>
                        </w:pPr>
                        <w:r>
                          <w:rPr>
                            <w:color w:val="4D4D4F"/>
                            <w:sz w:val="14"/>
                          </w:rPr>
                          <w:t>Southern Brown Bandicoot</w:t>
                        </w:r>
                      </w:p>
                    </w:tc>
                    <w:tc>
                      <w:tcPr>
                        <w:tcW w:w="737" w:type="dxa"/>
                      </w:tcPr>
                      <w:p w14:paraId="54D5C4CF" w14:textId="77777777" w:rsidR="00EF5B27" w:rsidRDefault="00EF5B27">
                        <w:pPr>
                          <w:pStyle w:val="TableParagraph"/>
                          <w:spacing w:before="2"/>
                          <w:rPr>
                            <w:sz w:val="14"/>
                          </w:rPr>
                        </w:pPr>
                      </w:p>
                      <w:p w14:paraId="27EC09E6" w14:textId="77777777" w:rsidR="00EF5B27" w:rsidRDefault="00000000">
                        <w:pPr>
                          <w:pStyle w:val="TableParagraph"/>
                          <w:spacing w:before="1"/>
                          <w:ind w:left="5"/>
                          <w:jc w:val="center"/>
                          <w:rPr>
                            <w:sz w:val="14"/>
                          </w:rPr>
                        </w:pPr>
                        <w:r>
                          <w:rPr>
                            <w:color w:val="4D4D4F"/>
                            <w:w w:val="96"/>
                            <w:sz w:val="14"/>
                          </w:rPr>
                          <w:t>1</w:t>
                        </w:r>
                      </w:p>
                    </w:tc>
                    <w:tc>
                      <w:tcPr>
                        <w:tcW w:w="1474" w:type="dxa"/>
                      </w:tcPr>
                      <w:p w14:paraId="25448816" w14:textId="77777777" w:rsidR="00EF5B27" w:rsidRDefault="00EF5B27">
                        <w:pPr>
                          <w:pStyle w:val="TableParagraph"/>
                          <w:spacing w:before="2"/>
                          <w:rPr>
                            <w:sz w:val="14"/>
                          </w:rPr>
                        </w:pPr>
                      </w:p>
                      <w:p w14:paraId="51256B10" w14:textId="77777777" w:rsidR="00EF5B27" w:rsidRDefault="00000000">
                        <w:pPr>
                          <w:pStyle w:val="TableParagraph"/>
                          <w:spacing w:before="1"/>
                          <w:ind w:left="125" w:right="120"/>
                          <w:jc w:val="center"/>
                          <w:rPr>
                            <w:sz w:val="14"/>
                          </w:rPr>
                        </w:pPr>
                        <w:r>
                          <w:rPr>
                            <w:color w:val="4D4D4F"/>
                            <w:sz w:val="14"/>
                          </w:rPr>
                          <w:t>Occupancy</w:t>
                        </w:r>
                      </w:p>
                    </w:tc>
                    <w:tc>
                      <w:tcPr>
                        <w:tcW w:w="2041" w:type="dxa"/>
                      </w:tcPr>
                      <w:p w14:paraId="2389320F" w14:textId="77777777" w:rsidR="00EF5B27" w:rsidRDefault="00000000">
                        <w:pPr>
                          <w:pStyle w:val="TableParagraph"/>
                          <w:spacing w:before="84" w:line="252" w:lineRule="auto"/>
                          <w:ind w:left="289" w:right="50" w:hanging="72"/>
                          <w:rPr>
                            <w:sz w:val="14"/>
                          </w:rPr>
                        </w:pPr>
                        <w:r>
                          <w:rPr>
                            <w:color w:val="4D4D4F"/>
                            <w:sz w:val="14"/>
                          </w:rPr>
                          <w:t>Southern Brown Bandicoot Management Area, canal</w:t>
                        </w:r>
                      </w:p>
                    </w:tc>
                    <w:tc>
                      <w:tcPr>
                        <w:tcW w:w="2154" w:type="dxa"/>
                      </w:tcPr>
                      <w:p w14:paraId="61523CD8" w14:textId="77777777" w:rsidR="00EF5B27" w:rsidRDefault="00000000">
                        <w:pPr>
                          <w:pStyle w:val="TableParagraph"/>
                          <w:spacing w:before="84" w:line="252" w:lineRule="auto"/>
                          <w:ind w:left="133" w:firstLine="87"/>
                          <w:rPr>
                            <w:sz w:val="14"/>
                          </w:rPr>
                        </w:pPr>
                        <w:r>
                          <w:rPr>
                            <w:color w:val="4D4D4F"/>
                            <w:w w:val="105"/>
                            <w:sz w:val="14"/>
                          </w:rPr>
                          <w:t>KPI measure 95% confidence interval falls below the baseline</w:t>
                        </w:r>
                      </w:p>
                    </w:tc>
                    <w:tc>
                      <w:tcPr>
                        <w:tcW w:w="1134" w:type="dxa"/>
                      </w:tcPr>
                      <w:p w14:paraId="2AF50AAE" w14:textId="77777777" w:rsidR="00EF5B27" w:rsidRDefault="00EF5B27">
                        <w:pPr>
                          <w:pStyle w:val="TableParagraph"/>
                          <w:spacing w:before="2"/>
                          <w:rPr>
                            <w:sz w:val="14"/>
                          </w:rPr>
                        </w:pPr>
                      </w:p>
                      <w:p w14:paraId="15A77162" w14:textId="77777777" w:rsidR="00EF5B27" w:rsidRDefault="00000000">
                        <w:pPr>
                          <w:pStyle w:val="TableParagraph"/>
                          <w:spacing w:before="1"/>
                          <w:ind w:left="81" w:right="76"/>
                          <w:jc w:val="center"/>
                          <w:rPr>
                            <w:sz w:val="14"/>
                          </w:rPr>
                        </w:pPr>
                        <w:r>
                          <w:rPr>
                            <w:color w:val="4D4D4F"/>
                            <w:w w:val="105"/>
                            <w:sz w:val="14"/>
                          </w:rPr>
                          <w:t>Not assessed</w:t>
                        </w:r>
                      </w:p>
                    </w:tc>
                  </w:tr>
                  <w:tr w:rsidR="00EF5B27" w14:paraId="10E36A8C" w14:textId="77777777">
                    <w:trPr>
                      <w:trHeight w:val="505"/>
                    </w:trPr>
                    <w:tc>
                      <w:tcPr>
                        <w:tcW w:w="737" w:type="dxa"/>
                      </w:tcPr>
                      <w:p w14:paraId="71C7AA60" w14:textId="77777777" w:rsidR="00EF5B27" w:rsidRDefault="00EF5B27">
                        <w:pPr>
                          <w:pStyle w:val="TableParagraph"/>
                          <w:spacing w:before="3"/>
                          <w:rPr>
                            <w:sz w:val="14"/>
                          </w:rPr>
                        </w:pPr>
                      </w:p>
                      <w:p w14:paraId="13E01E90" w14:textId="77777777" w:rsidR="00EF5B27" w:rsidRDefault="00000000">
                        <w:pPr>
                          <w:pStyle w:val="TableParagraph"/>
                          <w:ind w:left="5"/>
                          <w:jc w:val="center"/>
                          <w:rPr>
                            <w:sz w:val="14"/>
                          </w:rPr>
                        </w:pPr>
                        <w:r>
                          <w:rPr>
                            <w:color w:val="4D4D4F"/>
                            <w:w w:val="96"/>
                            <w:sz w:val="14"/>
                          </w:rPr>
                          <w:t>7</w:t>
                        </w:r>
                      </w:p>
                    </w:tc>
                    <w:tc>
                      <w:tcPr>
                        <w:tcW w:w="1361" w:type="dxa"/>
                      </w:tcPr>
                      <w:p w14:paraId="18012D31" w14:textId="77777777" w:rsidR="00EF5B27" w:rsidRDefault="00000000">
                        <w:pPr>
                          <w:pStyle w:val="TableParagraph"/>
                          <w:spacing w:before="84" w:line="252" w:lineRule="auto"/>
                          <w:ind w:left="385" w:hanging="196"/>
                          <w:rPr>
                            <w:sz w:val="14"/>
                          </w:rPr>
                        </w:pPr>
                        <w:r>
                          <w:rPr>
                            <w:color w:val="4D4D4F"/>
                            <w:sz w:val="14"/>
                          </w:rPr>
                          <w:t>Southern Brown Bandicoot</w:t>
                        </w:r>
                      </w:p>
                    </w:tc>
                    <w:tc>
                      <w:tcPr>
                        <w:tcW w:w="737" w:type="dxa"/>
                      </w:tcPr>
                      <w:p w14:paraId="002F7118" w14:textId="77777777" w:rsidR="00EF5B27" w:rsidRDefault="00EF5B27">
                        <w:pPr>
                          <w:pStyle w:val="TableParagraph"/>
                          <w:spacing w:before="3"/>
                          <w:rPr>
                            <w:sz w:val="14"/>
                          </w:rPr>
                        </w:pPr>
                      </w:p>
                      <w:p w14:paraId="3712535A" w14:textId="77777777" w:rsidR="00EF5B27" w:rsidRDefault="00000000">
                        <w:pPr>
                          <w:pStyle w:val="TableParagraph"/>
                          <w:ind w:left="5"/>
                          <w:jc w:val="center"/>
                          <w:rPr>
                            <w:sz w:val="14"/>
                          </w:rPr>
                        </w:pPr>
                        <w:r>
                          <w:rPr>
                            <w:color w:val="4D4D4F"/>
                            <w:w w:val="96"/>
                            <w:sz w:val="14"/>
                          </w:rPr>
                          <w:t>1</w:t>
                        </w:r>
                      </w:p>
                    </w:tc>
                    <w:tc>
                      <w:tcPr>
                        <w:tcW w:w="1474" w:type="dxa"/>
                      </w:tcPr>
                      <w:p w14:paraId="55146EEC" w14:textId="77777777" w:rsidR="00EF5B27" w:rsidRDefault="00EF5B27">
                        <w:pPr>
                          <w:pStyle w:val="TableParagraph"/>
                          <w:spacing w:before="3"/>
                          <w:rPr>
                            <w:sz w:val="14"/>
                          </w:rPr>
                        </w:pPr>
                      </w:p>
                      <w:p w14:paraId="0BF04A0D" w14:textId="77777777" w:rsidR="00EF5B27" w:rsidRDefault="00000000">
                        <w:pPr>
                          <w:pStyle w:val="TableParagraph"/>
                          <w:ind w:left="125" w:right="120"/>
                          <w:jc w:val="center"/>
                          <w:rPr>
                            <w:sz w:val="14"/>
                          </w:rPr>
                        </w:pPr>
                        <w:r>
                          <w:rPr>
                            <w:color w:val="4D4D4F"/>
                            <w:sz w:val="14"/>
                          </w:rPr>
                          <w:t>Occupancy</w:t>
                        </w:r>
                      </w:p>
                    </w:tc>
                    <w:tc>
                      <w:tcPr>
                        <w:tcW w:w="2041" w:type="dxa"/>
                      </w:tcPr>
                      <w:p w14:paraId="1C5580EF" w14:textId="77777777" w:rsidR="00EF5B27" w:rsidRDefault="00000000">
                        <w:pPr>
                          <w:pStyle w:val="TableParagraph"/>
                          <w:spacing w:before="84" w:line="252" w:lineRule="auto"/>
                          <w:ind w:left="216" w:right="50" w:firstLine="1"/>
                          <w:rPr>
                            <w:sz w:val="14"/>
                          </w:rPr>
                        </w:pPr>
                        <w:r>
                          <w:rPr>
                            <w:color w:val="4D4D4F"/>
                            <w:sz w:val="14"/>
                          </w:rPr>
                          <w:t>Southern Brown Bandicoot Management Area, reserve</w:t>
                        </w:r>
                      </w:p>
                    </w:tc>
                    <w:tc>
                      <w:tcPr>
                        <w:tcW w:w="2154" w:type="dxa"/>
                      </w:tcPr>
                      <w:p w14:paraId="17400ABF" w14:textId="77777777" w:rsidR="00EF5B27" w:rsidRDefault="00000000">
                        <w:pPr>
                          <w:pStyle w:val="TableParagraph"/>
                          <w:spacing w:before="84" w:line="252" w:lineRule="auto"/>
                          <w:ind w:left="133" w:firstLine="87"/>
                          <w:rPr>
                            <w:sz w:val="14"/>
                          </w:rPr>
                        </w:pPr>
                        <w:r>
                          <w:rPr>
                            <w:color w:val="4D4D4F"/>
                            <w:w w:val="105"/>
                            <w:sz w:val="14"/>
                          </w:rPr>
                          <w:t>KPI measure 95% confidence interval falls below the baseline</w:t>
                        </w:r>
                      </w:p>
                    </w:tc>
                    <w:tc>
                      <w:tcPr>
                        <w:tcW w:w="1134" w:type="dxa"/>
                      </w:tcPr>
                      <w:p w14:paraId="0EE90487" w14:textId="77777777" w:rsidR="00EF5B27" w:rsidRDefault="00EF5B27">
                        <w:pPr>
                          <w:pStyle w:val="TableParagraph"/>
                          <w:spacing w:before="3"/>
                          <w:rPr>
                            <w:sz w:val="14"/>
                          </w:rPr>
                        </w:pPr>
                      </w:p>
                      <w:p w14:paraId="1C5F58EE" w14:textId="77777777" w:rsidR="00EF5B27" w:rsidRDefault="00000000">
                        <w:pPr>
                          <w:pStyle w:val="TableParagraph"/>
                          <w:ind w:left="81" w:right="76"/>
                          <w:jc w:val="center"/>
                          <w:rPr>
                            <w:sz w:val="14"/>
                          </w:rPr>
                        </w:pPr>
                        <w:r>
                          <w:rPr>
                            <w:color w:val="4D4D4F"/>
                            <w:w w:val="105"/>
                            <w:sz w:val="14"/>
                          </w:rPr>
                          <w:t>Not assessed</w:t>
                        </w:r>
                      </w:p>
                    </w:tc>
                  </w:tr>
                  <w:tr w:rsidR="00EF5B27" w14:paraId="168AE292" w14:textId="77777777">
                    <w:trPr>
                      <w:trHeight w:val="505"/>
                    </w:trPr>
                    <w:tc>
                      <w:tcPr>
                        <w:tcW w:w="737" w:type="dxa"/>
                      </w:tcPr>
                      <w:p w14:paraId="7F7B264B" w14:textId="77777777" w:rsidR="00EF5B27" w:rsidRDefault="00EF5B27">
                        <w:pPr>
                          <w:pStyle w:val="TableParagraph"/>
                          <w:spacing w:before="3"/>
                          <w:rPr>
                            <w:sz w:val="14"/>
                          </w:rPr>
                        </w:pPr>
                      </w:p>
                      <w:p w14:paraId="3278F63F" w14:textId="77777777" w:rsidR="00EF5B27" w:rsidRDefault="00000000">
                        <w:pPr>
                          <w:pStyle w:val="TableParagraph"/>
                          <w:ind w:left="5"/>
                          <w:jc w:val="center"/>
                          <w:rPr>
                            <w:sz w:val="14"/>
                          </w:rPr>
                        </w:pPr>
                        <w:r>
                          <w:rPr>
                            <w:color w:val="4D4D4F"/>
                            <w:w w:val="96"/>
                            <w:sz w:val="14"/>
                          </w:rPr>
                          <w:t>7</w:t>
                        </w:r>
                      </w:p>
                    </w:tc>
                    <w:tc>
                      <w:tcPr>
                        <w:tcW w:w="1361" w:type="dxa"/>
                      </w:tcPr>
                      <w:p w14:paraId="658B910C" w14:textId="77777777" w:rsidR="00EF5B27" w:rsidRDefault="00000000">
                        <w:pPr>
                          <w:pStyle w:val="TableParagraph"/>
                          <w:spacing w:before="84" w:line="252" w:lineRule="auto"/>
                          <w:ind w:left="385" w:hanging="196"/>
                          <w:rPr>
                            <w:sz w:val="14"/>
                          </w:rPr>
                        </w:pPr>
                        <w:r>
                          <w:rPr>
                            <w:color w:val="4D4D4F"/>
                            <w:sz w:val="14"/>
                          </w:rPr>
                          <w:t>Southern Brown Bandicoot</w:t>
                        </w:r>
                      </w:p>
                    </w:tc>
                    <w:tc>
                      <w:tcPr>
                        <w:tcW w:w="737" w:type="dxa"/>
                      </w:tcPr>
                      <w:p w14:paraId="3648621C" w14:textId="77777777" w:rsidR="00EF5B27" w:rsidRDefault="00EF5B27">
                        <w:pPr>
                          <w:pStyle w:val="TableParagraph"/>
                          <w:spacing w:before="3"/>
                          <w:rPr>
                            <w:sz w:val="14"/>
                          </w:rPr>
                        </w:pPr>
                      </w:p>
                      <w:p w14:paraId="11E8A377" w14:textId="77777777" w:rsidR="00EF5B27" w:rsidRDefault="00000000">
                        <w:pPr>
                          <w:pStyle w:val="TableParagraph"/>
                          <w:ind w:left="5"/>
                          <w:jc w:val="center"/>
                          <w:rPr>
                            <w:sz w:val="14"/>
                          </w:rPr>
                        </w:pPr>
                        <w:r>
                          <w:rPr>
                            <w:color w:val="4D4D4F"/>
                            <w:w w:val="96"/>
                            <w:sz w:val="14"/>
                          </w:rPr>
                          <w:t>1</w:t>
                        </w:r>
                      </w:p>
                    </w:tc>
                    <w:tc>
                      <w:tcPr>
                        <w:tcW w:w="1474" w:type="dxa"/>
                      </w:tcPr>
                      <w:p w14:paraId="24D3D729" w14:textId="77777777" w:rsidR="00EF5B27" w:rsidRDefault="00EF5B27">
                        <w:pPr>
                          <w:pStyle w:val="TableParagraph"/>
                          <w:spacing w:before="3"/>
                          <w:rPr>
                            <w:sz w:val="14"/>
                          </w:rPr>
                        </w:pPr>
                      </w:p>
                      <w:p w14:paraId="6DF20BF2" w14:textId="77777777" w:rsidR="00EF5B27" w:rsidRDefault="00000000">
                        <w:pPr>
                          <w:pStyle w:val="TableParagraph"/>
                          <w:ind w:left="124" w:right="120"/>
                          <w:jc w:val="center"/>
                          <w:rPr>
                            <w:sz w:val="14"/>
                          </w:rPr>
                        </w:pPr>
                        <w:r>
                          <w:rPr>
                            <w:color w:val="4D4D4F"/>
                            <w:sz w:val="14"/>
                          </w:rPr>
                          <w:t>Occupancy</w:t>
                        </w:r>
                      </w:p>
                    </w:tc>
                    <w:tc>
                      <w:tcPr>
                        <w:tcW w:w="2041" w:type="dxa"/>
                      </w:tcPr>
                      <w:p w14:paraId="79C12AC3" w14:textId="77777777" w:rsidR="00EF5B27" w:rsidRDefault="00000000">
                        <w:pPr>
                          <w:pStyle w:val="TableParagraph"/>
                          <w:spacing w:before="84" w:line="252" w:lineRule="auto"/>
                          <w:ind w:left="311" w:right="50" w:hanging="95"/>
                          <w:rPr>
                            <w:sz w:val="14"/>
                          </w:rPr>
                        </w:pPr>
                        <w:r>
                          <w:rPr>
                            <w:color w:val="4D4D4F"/>
                            <w:sz w:val="14"/>
                          </w:rPr>
                          <w:t>Southern Brown Bandicoot Management Area, road</w:t>
                        </w:r>
                      </w:p>
                    </w:tc>
                    <w:tc>
                      <w:tcPr>
                        <w:tcW w:w="2154" w:type="dxa"/>
                      </w:tcPr>
                      <w:p w14:paraId="029271C1" w14:textId="77777777" w:rsidR="00EF5B27" w:rsidRDefault="00000000">
                        <w:pPr>
                          <w:pStyle w:val="TableParagraph"/>
                          <w:spacing w:before="84" w:line="252" w:lineRule="auto"/>
                          <w:ind w:left="133" w:firstLine="87"/>
                          <w:rPr>
                            <w:sz w:val="14"/>
                          </w:rPr>
                        </w:pPr>
                        <w:r>
                          <w:rPr>
                            <w:color w:val="4D4D4F"/>
                            <w:w w:val="105"/>
                            <w:sz w:val="14"/>
                          </w:rPr>
                          <w:t>KPI measure 95% confidence interval falls below the baseline</w:t>
                        </w:r>
                      </w:p>
                    </w:tc>
                    <w:tc>
                      <w:tcPr>
                        <w:tcW w:w="1134" w:type="dxa"/>
                      </w:tcPr>
                      <w:p w14:paraId="4722B6C7" w14:textId="77777777" w:rsidR="00EF5B27" w:rsidRDefault="00EF5B27">
                        <w:pPr>
                          <w:pStyle w:val="TableParagraph"/>
                          <w:spacing w:before="3"/>
                          <w:rPr>
                            <w:sz w:val="14"/>
                          </w:rPr>
                        </w:pPr>
                      </w:p>
                      <w:p w14:paraId="19CADCF2" w14:textId="77777777" w:rsidR="00EF5B27" w:rsidRDefault="00000000">
                        <w:pPr>
                          <w:pStyle w:val="TableParagraph"/>
                          <w:ind w:left="81" w:right="76"/>
                          <w:jc w:val="center"/>
                          <w:rPr>
                            <w:sz w:val="14"/>
                          </w:rPr>
                        </w:pPr>
                        <w:r>
                          <w:rPr>
                            <w:color w:val="4D4D4F"/>
                            <w:w w:val="105"/>
                            <w:sz w:val="14"/>
                          </w:rPr>
                          <w:t>Not assessed</w:t>
                        </w:r>
                      </w:p>
                    </w:tc>
                  </w:tr>
                  <w:tr w:rsidR="00EF5B27" w14:paraId="25C43B11" w14:textId="77777777">
                    <w:trPr>
                      <w:trHeight w:val="505"/>
                    </w:trPr>
                    <w:tc>
                      <w:tcPr>
                        <w:tcW w:w="737" w:type="dxa"/>
                      </w:tcPr>
                      <w:p w14:paraId="6922A66C" w14:textId="77777777" w:rsidR="00EF5B27" w:rsidRDefault="00EF5B27">
                        <w:pPr>
                          <w:pStyle w:val="TableParagraph"/>
                          <w:spacing w:before="3"/>
                          <w:rPr>
                            <w:sz w:val="14"/>
                          </w:rPr>
                        </w:pPr>
                      </w:p>
                      <w:p w14:paraId="71575D97" w14:textId="77777777" w:rsidR="00EF5B27" w:rsidRDefault="00000000">
                        <w:pPr>
                          <w:pStyle w:val="TableParagraph"/>
                          <w:ind w:left="5"/>
                          <w:jc w:val="center"/>
                          <w:rPr>
                            <w:sz w:val="14"/>
                          </w:rPr>
                        </w:pPr>
                        <w:r>
                          <w:rPr>
                            <w:color w:val="4D4D4F"/>
                            <w:w w:val="96"/>
                            <w:sz w:val="14"/>
                          </w:rPr>
                          <w:t>8</w:t>
                        </w:r>
                      </w:p>
                    </w:tc>
                    <w:tc>
                      <w:tcPr>
                        <w:tcW w:w="1361" w:type="dxa"/>
                      </w:tcPr>
                      <w:p w14:paraId="3FAE5A53" w14:textId="77777777" w:rsidR="00EF5B27" w:rsidRDefault="00000000">
                        <w:pPr>
                          <w:pStyle w:val="TableParagraph"/>
                          <w:spacing w:before="84" w:line="252" w:lineRule="auto"/>
                          <w:ind w:left="540" w:hanging="321"/>
                          <w:rPr>
                            <w:sz w:val="14"/>
                          </w:rPr>
                        </w:pPr>
                        <w:r>
                          <w:rPr>
                            <w:color w:val="4D4D4F"/>
                            <w:w w:val="105"/>
                            <w:sz w:val="14"/>
                          </w:rPr>
                          <w:t>Growling Grass Frog</w:t>
                        </w:r>
                      </w:p>
                    </w:tc>
                    <w:tc>
                      <w:tcPr>
                        <w:tcW w:w="737" w:type="dxa"/>
                      </w:tcPr>
                      <w:p w14:paraId="1ECBEE5B" w14:textId="77777777" w:rsidR="00EF5B27" w:rsidRDefault="00EF5B27">
                        <w:pPr>
                          <w:pStyle w:val="TableParagraph"/>
                          <w:spacing w:before="3"/>
                          <w:rPr>
                            <w:sz w:val="14"/>
                          </w:rPr>
                        </w:pPr>
                      </w:p>
                      <w:p w14:paraId="1083E87C" w14:textId="77777777" w:rsidR="00EF5B27" w:rsidRDefault="00000000">
                        <w:pPr>
                          <w:pStyle w:val="TableParagraph"/>
                          <w:ind w:left="4"/>
                          <w:jc w:val="center"/>
                          <w:rPr>
                            <w:sz w:val="14"/>
                          </w:rPr>
                        </w:pPr>
                        <w:r>
                          <w:rPr>
                            <w:color w:val="4D4D4F"/>
                            <w:w w:val="96"/>
                            <w:sz w:val="14"/>
                          </w:rPr>
                          <w:t>1</w:t>
                        </w:r>
                      </w:p>
                    </w:tc>
                    <w:tc>
                      <w:tcPr>
                        <w:tcW w:w="1474" w:type="dxa"/>
                      </w:tcPr>
                      <w:p w14:paraId="2F7AA534" w14:textId="77777777" w:rsidR="00EF5B27" w:rsidRDefault="00EF5B27">
                        <w:pPr>
                          <w:pStyle w:val="TableParagraph"/>
                          <w:spacing w:before="3"/>
                          <w:rPr>
                            <w:sz w:val="14"/>
                          </w:rPr>
                        </w:pPr>
                      </w:p>
                      <w:p w14:paraId="0F2092A9" w14:textId="77777777" w:rsidR="00EF5B27" w:rsidRDefault="00000000">
                        <w:pPr>
                          <w:pStyle w:val="TableParagraph"/>
                          <w:ind w:left="124" w:right="120"/>
                          <w:jc w:val="center"/>
                          <w:rPr>
                            <w:sz w:val="14"/>
                          </w:rPr>
                        </w:pPr>
                        <w:r>
                          <w:rPr>
                            <w:color w:val="4D4D4F"/>
                            <w:w w:val="110"/>
                            <w:sz w:val="14"/>
                          </w:rPr>
                          <w:t>Risk</w:t>
                        </w:r>
                      </w:p>
                    </w:tc>
                    <w:tc>
                      <w:tcPr>
                        <w:tcW w:w="2041" w:type="dxa"/>
                      </w:tcPr>
                      <w:p w14:paraId="6FA71DE8" w14:textId="77777777" w:rsidR="00EF5B27" w:rsidRDefault="00EF5B27">
                        <w:pPr>
                          <w:pStyle w:val="TableParagraph"/>
                          <w:spacing w:before="3"/>
                          <w:rPr>
                            <w:sz w:val="14"/>
                          </w:rPr>
                        </w:pPr>
                      </w:p>
                      <w:p w14:paraId="7933362D" w14:textId="77777777" w:rsidR="00EF5B27" w:rsidRDefault="00000000">
                        <w:pPr>
                          <w:pStyle w:val="TableParagraph"/>
                          <w:ind w:left="154" w:right="150"/>
                          <w:jc w:val="center"/>
                          <w:rPr>
                            <w:sz w:val="14"/>
                          </w:rPr>
                        </w:pPr>
                        <w:r>
                          <w:rPr>
                            <w:color w:val="4D4D4F"/>
                            <w:w w:val="105"/>
                            <w:sz w:val="14"/>
                          </w:rPr>
                          <w:t>All locations</w:t>
                        </w:r>
                      </w:p>
                    </w:tc>
                    <w:tc>
                      <w:tcPr>
                        <w:tcW w:w="2154" w:type="dxa"/>
                      </w:tcPr>
                      <w:p w14:paraId="3CB267F1" w14:textId="77777777" w:rsidR="00EF5B27" w:rsidRDefault="00000000">
                        <w:pPr>
                          <w:pStyle w:val="TableParagraph"/>
                          <w:spacing w:before="84" w:line="252" w:lineRule="auto"/>
                          <w:ind w:left="133" w:firstLine="87"/>
                          <w:rPr>
                            <w:sz w:val="14"/>
                          </w:rPr>
                        </w:pPr>
                        <w:r>
                          <w:rPr>
                            <w:color w:val="4D4D4F"/>
                            <w:w w:val="105"/>
                            <w:sz w:val="14"/>
                          </w:rPr>
                          <w:t>KPI measure 95% confidence interval falls below the baseline</w:t>
                        </w:r>
                      </w:p>
                    </w:tc>
                    <w:tc>
                      <w:tcPr>
                        <w:tcW w:w="1134" w:type="dxa"/>
                      </w:tcPr>
                      <w:p w14:paraId="234A4B50" w14:textId="77777777" w:rsidR="00EF5B27" w:rsidRDefault="00EF5B27">
                        <w:pPr>
                          <w:pStyle w:val="TableParagraph"/>
                          <w:spacing w:before="3"/>
                          <w:rPr>
                            <w:sz w:val="14"/>
                          </w:rPr>
                        </w:pPr>
                      </w:p>
                      <w:p w14:paraId="74380FD4" w14:textId="77777777" w:rsidR="00EF5B27" w:rsidRDefault="00000000">
                        <w:pPr>
                          <w:pStyle w:val="TableParagraph"/>
                          <w:ind w:left="81" w:right="76"/>
                          <w:jc w:val="center"/>
                          <w:rPr>
                            <w:sz w:val="14"/>
                          </w:rPr>
                        </w:pPr>
                        <w:r>
                          <w:rPr>
                            <w:color w:val="4D4D4F"/>
                            <w:w w:val="105"/>
                            <w:sz w:val="14"/>
                          </w:rPr>
                          <w:t>Not assessed</w:t>
                        </w:r>
                      </w:p>
                    </w:tc>
                  </w:tr>
                  <w:tr w:rsidR="00EF5B27" w14:paraId="50BBF6C4" w14:textId="77777777">
                    <w:trPr>
                      <w:trHeight w:val="505"/>
                    </w:trPr>
                    <w:tc>
                      <w:tcPr>
                        <w:tcW w:w="737" w:type="dxa"/>
                      </w:tcPr>
                      <w:p w14:paraId="741AC92C" w14:textId="77777777" w:rsidR="00EF5B27" w:rsidRDefault="00EF5B27">
                        <w:pPr>
                          <w:pStyle w:val="TableParagraph"/>
                          <w:spacing w:before="3"/>
                          <w:rPr>
                            <w:sz w:val="14"/>
                          </w:rPr>
                        </w:pPr>
                      </w:p>
                      <w:p w14:paraId="42A4A08F" w14:textId="77777777" w:rsidR="00EF5B27" w:rsidRDefault="00000000">
                        <w:pPr>
                          <w:pStyle w:val="TableParagraph"/>
                          <w:ind w:left="5"/>
                          <w:jc w:val="center"/>
                          <w:rPr>
                            <w:sz w:val="14"/>
                          </w:rPr>
                        </w:pPr>
                        <w:r>
                          <w:rPr>
                            <w:color w:val="4D4D4F"/>
                            <w:w w:val="96"/>
                            <w:sz w:val="14"/>
                          </w:rPr>
                          <w:t>9</w:t>
                        </w:r>
                      </w:p>
                    </w:tc>
                    <w:tc>
                      <w:tcPr>
                        <w:tcW w:w="1361" w:type="dxa"/>
                      </w:tcPr>
                      <w:p w14:paraId="40B0664A" w14:textId="77777777" w:rsidR="00EF5B27" w:rsidRDefault="00000000">
                        <w:pPr>
                          <w:pStyle w:val="TableParagraph"/>
                          <w:spacing w:before="84" w:line="252" w:lineRule="auto"/>
                          <w:ind w:left="286" w:right="269" w:hanging="1"/>
                          <w:rPr>
                            <w:sz w:val="14"/>
                          </w:rPr>
                        </w:pPr>
                        <w:r>
                          <w:rPr>
                            <w:color w:val="4D4D4F"/>
                            <w:sz w:val="14"/>
                          </w:rPr>
                          <w:t>Small Golden Moths Orchid</w:t>
                        </w:r>
                      </w:p>
                    </w:tc>
                    <w:tc>
                      <w:tcPr>
                        <w:tcW w:w="737" w:type="dxa"/>
                      </w:tcPr>
                      <w:p w14:paraId="4A5104A4" w14:textId="77777777" w:rsidR="00EF5B27" w:rsidRDefault="00EF5B27">
                        <w:pPr>
                          <w:pStyle w:val="TableParagraph"/>
                          <w:spacing w:before="3"/>
                          <w:rPr>
                            <w:sz w:val="14"/>
                          </w:rPr>
                        </w:pPr>
                      </w:p>
                      <w:p w14:paraId="212BE6AA" w14:textId="77777777" w:rsidR="00EF5B27" w:rsidRDefault="00000000">
                        <w:pPr>
                          <w:pStyle w:val="TableParagraph"/>
                          <w:ind w:left="4"/>
                          <w:jc w:val="center"/>
                          <w:rPr>
                            <w:sz w:val="14"/>
                          </w:rPr>
                        </w:pPr>
                        <w:r>
                          <w:rPr>
                            <w:color w:val="4D4D4F"/>
                            <w:w w:val="96"/>
                            <w:sz w:val="14"/>
                          </w:rPr>
                          <w:t>1</w:t>
                        </w:r>
                      </w:p>
                    </w:tc>
                    <w:tc>
                      <w:tcPr>
                        <w:tcW w:w="1474" w:type="dxa"/>
                      </w:tcPr>
                      <w:p w14:paraId="2C3CCE7E" w14:textId="77777777" w:rsidR="00EF5B27" w:rsidRDefault="00EF5B27">
                        <w:pPr>
                          <w:pStyle w:val="TableParagraph"/>
                          <w:spacing w:before="3"/>
                          <w:rPr>
                            <w:sz w:val="14"/>
                          </w:rPr>
                        </w:pPr>
                      </w:p>
                      <w:p w14:paraId="33CA7D3C" w14:textId="77777777" w:rsidR="00EF5B27" w:rsidRDefault="00000000">
                        <w:pPr>
                          <w:pStyle w:val="TableParagraph"/>
                          <w:ind w:left="124" w:right="120"/>
                          <w:jc w:val="center"/>
                          <w:rPr>
                            <w:sz w:val="14"/>
                          </w:rPr>
                        </w:pPr>
                        <w:r>
                          <w:rPr>
                            <w:color w:val="4D4D4F"/>
                            <w:sz w:val="14"/>
                          </w:rPr>
                          <w:t>Count</w:t>
                        </w:r>
                      </w:p>
                    </w:tc>
                    <w:tc>
                      <w:tcPr>
                        <w:tcW w:w="2041" w:type="dxa"/>
                      </w:tcPr>
                      <w:p w14:paraId="7A3328E1" w14:textId="77777777" w:rsidR="00EF5B27" w:rsidRDefault="00EF5B27">
                        <w:pPr>
                          <w:pStyle w:val="TableParagraph"/>
                          <w:spacing w:before="3"/>
                          <w:rPr>
                            <w:sz w:val="14"/>
                          </w:rPr>
                        </w:pPr>
                      </w:p>
                      <w:p w14:paraId="17B447E3" w14:textId="77777777" w:rsidR="00EF5B27" w:rsidRDefault="00000000">
                        <w:pPr>
                          <w:pStyle w:val="TableParagraph"/>
                          <w:ind w:left="154" w:right="150"/>
                          <w:jc w:val="center"/>
                          <w:rPr>
                            <w:sz w:val="14"/>
                          </w:rPr>
                        </w:pPr>
                        <w:r>
                          <w:rPr>
                            <w:color w:val="4D4D4F"/>
                            <w:sz w:val="14"/>
                          </w:rPr>
                          <w:t>Conservation Area 3</w:t>
                        </w:r>
                      </w:p>
                    </w:tc>
                    <w:tc>
                      <w:tcPr>
                        <w:tcW w:w="2154" w:type="dxa"/>
                      </w:tcPr>
                      <w:p w14:paraId="7A368496" w14:textId="77777777" w:rsidR="00EF5B27" w:rsidRDefault="00000000">
                        <w:pPr>
                          <w:pStyle w:val="TableParagraph"/>
                          <w:spacing w:before="84" w:line="252" w:lineRule="auto"/>
                          <w:ind w:left="133" w:firstLine="85"/>
                          <w:rPr>
                            <w:sz w:val="14"/>
                          </w:rPr>
                        </w:pPr>
                        <w:r>
                          <w:rPr>
                            <w:color w:val="4D4D4F"/>
                            <w:w w:val="105"/>
                            <w:sz w:val="14"/>
                          </w:rPr>
                          <w:t>KPI measure 90% confidence interval falls below the baseline</w:t>
                        </w:r>
                      </w:p>
                    </w:tc>
                    <w:tc>
                      <w:tcPr>
                        <w:tcW w:w="1134" w:type="dxa"/>
                      </w:tcPr>
                      <w:p w14:paraId="18896661" w14:textId="77777777" w:rsidR="00EF5B27" w:rsidRDefault="00EF5B27">
                        <w:pPr>
                          <w:pStyle w:val="TableParagraph"/>
                          <w:spacing w:before="3"/>
                          <w:rPr>
                            <w:sz w:val="14"/>
                          </w:rPr>
                        </w:pPr>
                      </w:p>
                      <w:p w14:paraId="6A2962B0" w14:textId="77777777" w:rsidR="00EF5B27" w:rsidRDefault="00000000">
                        <w:pPr>
                          <w:pStyle w:val="TableParagraph"/>
                          <w:ind w:left="81" w:right="76"/>
                          <w:jc w:val="center"/>
                          <w:rPr>
                            <w:sz w:val="14"/>
                          </w:rPr>
                        </w:pPr>
                        <w:r>
                          <w:rPr>
                            <w:color w:val="4D4D4F"/>
                            <w:w w:val="105"/>
                            <w:sz w:val="14"/>
                          </w:rPr>
                          <w:t>Not assessed</w:t>
                        </w:r>
                      </w:p>
                    </w:tc>
                  </w:tr>
                  <w:tr w:rsidR="00EF5B27" w14:paraId="333A6B7A" w14:textId="77777777">
                    <w:trPr>
                      <w:trHeight w:val="505"/>
                    </w:trPr>
                    <w:tc>
                      <w:tcPr>
                        <w:tcW w:w="737" w:type="dxa"/>
                      </w:tcPr>
                      <w:p w14:paraId="55F6AE92" w14:textId="77777777" w:rsidR="00EF5B27" w:rsidRDefault="00EF5B27">
                        <w:pPr>
                          <w:pStyle w:val="TableParagraph"/>
                          <w:spacing w:before="3"/>
                          <w:rPr>
                            <w:sz w:val="14"/>
                          </w:rPr>
                        </w:pPr>
                      </w:p>
                      <w:p w14:paraId="7393EA0F" w14:textId="77777777" w:rsidR="00EF5B27" w:rsidRDefault="00000000">
                        <w:pPr>
                          <w:pStyle w:val="TableParagraph"/>
                          <w:ind w:left="79" w:right="79"/>
                          <w:jc w:val="center"/>
                          <w:rPr>
                            <w:sz w:val="14"/>
                          </w:rPr>
                        </w:pPr>
                        <w:r>
                          <w:rPr>
                            <w:color w:val="4D4D4F"/>
                            <w:sz w:val="14"/>
                          </w:rPr>
                          <w:t>12</w:t>
                        </w:r>
                      </w:p>
                    </w:tc>
                    <w:tc>
                      <w:tcPr>
                        <w:tcW w:w="1361" w:type="dxa"/>
                      </w:tcPr>
                      <w:p w14:paraId="0C87252F" w14:textId="77777777" w:rsidR="00EF5B27" w:rsidRDefault="00000000">
                        <w:pPr>
                          <w:pStyle w:val="TableParagraph"/>
                          <w:spacing w:before="84" w:line="252" w:lineRule="auto"/>
                          <w:ind w:left="372" w:right="346" w:hanging="17"/>
                          <w:rPr>
                            <w:sz w:val="14"/>
                          </w:rPr>
                        </w:pPr>
                        <w:r>
                          <w:rPr>
                            <w:color w:val="4D4D4F"/>
                            <w:w w:val="105"/>
                            <w:sz w:val="14"/>
                          </w:rPr>
                          <w:t>Large-fruit Groundsel</w:t>
                        </w:r>
                      </w:p>
                    </w:tc>
                    <w:tc>
                      <w:tcPr>
                        <w:tcW w:w="737" w:type="dxa"/>
                      </w:tcPr>
                      <w:p w14:paraId="37AA268F" w14:textId="77777777" w:rsidR="00EF5B27" w:rsidRDefault="00EF5B27">
                        <w:pPr>
                          <w:pStyle w:val="TableParagraph"/>
                          <w:spacing w:before="3"/>
                          <w:rPr>
                            <w:sz w:val="14"/>
                          </w:rPr>
                        </w:pPr>
                      </w:p>
                      <w:p w14:paraId="1596156B" w14:textId="77777777" w:rsidR="00EF5B27" w:rsidRDefault="00000000">
                        <w:pPr>
                          <w:pStyle w:val="TableParagraph"/>
                          <w:ind w:left="4"/>
                          <w:jc w:val="center"/>
                          <w:rPr>
                            <w:sz w:val="14"/>
                          </w:rPr>
                        </w:pPr>
                        <w:r>
                          <w:rPr>
                            <w:color w:val="4D4D4F"/>
                            <w:w w:val="96"/>
                            <w:sz w:val="14"/>
                          </w:rPr>
                          <w:t>1</w:t>
                        </w:r>
                      </w:p>
                    </w:tc>
                    <w:tc>
                      <w:tcPr>
                        <w:tcW w:w="1474" w:type="dxa"/>
                      </w:tcPr>
                      <w:p w14:paraId="39C058B4" w14:textId="77777777" w:rsidR="00EF5B27" w:rsidRDefault="00EF5B27">
                        <w:pPr>
                          <w:pStyle w:val="TableParagraph"/>
                          <w:spacing w:before="3"/>
                          <w:rPr>
                            <w:sz w:val="14"/>
                          </w:rPr>
                        </w:pPr>
                      </w:p>
                      <w:p w14:paraId="2317B906" w14:textId="77777777" w:rsidR="00EF5B27" w:rsidRDefault="00000000">
                        <w:pPr>
                          <w:pStyle w:val="TableParagraph"/>
                          <w:ind w:left="125" w:right="120"/>
                          <w:jc w:val="center"/>
                          <w:rPr>
                            <w:sz w:val="14"/>
                          </w:rPr>
                        </w:pPr>
                        <w:r>
                          <w:rPr>
                            <w:color w:val="4D4D4F"/>
                            <w:sz w:val="14"/>
                          </w:rPr>
                          <w:t>Count</w:t>
                        </w:r>
                      </w:p>
                    </w:tc>
                    <w:tc>
                      <w:tcPr>
                        <w:tcW w:w="2041" w:type="dxa"/>
                      </w:tcPr>
                      <w:p w14:paraId="6021E788" w14:textId="77777777" w:rsidR="00EF5B27" w:rsidRDefault="00EF5B27">
                        <w:pPr>
                          <w:pStyle w:val="TableParagraph"/>
                          <w:spacing w:before="3"/>
                          <w:rPr>
                            <w:sz w:val="14"/>
                          </w:rPr>
                        </w:pPr>
                      </w:p>
                      <w:p w14:paraId="0FBC29C5" w14:textId="77777777" w:rsidR="00EF5B27" w:rsidRDefault="00000000">
                        <w:pPr>
                          <w:pStyle w:val="TableParagraph"/>
                          <w:ind w:left="154" w:right="150"/>
                          <w:jc w:val="center"/>
                          <w:rPr>
                            <w:sz w:val="14"/>
                          </w:rPr>
                        </w:pPr>
                        <w:r>
                          <w:rPr>
                            <w:color w:val="4D4D4F"/>
                            <w:sz w:val="14"/>
                          </w:rPr>
                          <w:t>Conservation Area 5</w:t>
                        </w:r>
                      </w:p>
                    </w:tc>
                    <w:tc>
                      <w:tcPr>
                        <w:tcW w:w="2154" w:type="dxa"/>
                      </w:tcPr>
                      <w:p w14:paraId="409B2A7B" w14:textId="77777777" w:rsidR="00EF5B27" w:rsidRDefault="00000000">
                        <w:pPr>
                          <w:pStyle w:val="TableParagraph"/>
                          <w:spacing w:before="84" w:line="252" w:lineRule="auto"/>
                          <w:ind w:left="829" w:hanging="587"/>
                          <w:rPr>
                            <w:sz w:val="14"/>
                          </w:rPr>
                        </w:pPr>
                        <w:r>
                          <w:rPr>
                            <w:color w:val="4D4D4F"/>
                            <w:w w:val="105"/>
                            <w:sz w:val="14"/>
                          </w:rPr>
                          <w:t>KPI measure falls below the baseline</w:t>
                        </w:r>
                      </w:p>
                    </w:tc>
                    <w:tc>
                      <w:tcPr>
                        <w:tcW w:w="1134" w:type="dxa"/>
                      </w:tcPr>
                      <w:p w14:paraId="1BB98834" w14:textId="77777777" w:rsidR="00EF5B27" w:rsidRDefault="00EF5B27">
                        <w:pPr>
                          <w:pStyle w:val="TableParagraph"/>
                          <w:spacing w:before="3"/>
                          <w:rPr>
                            <w:sz w:val="14"/>
                          </w:rPr>
                        </w:pPr>
                      </w:p>
                      <w:p w14:paraId="37AAEC5D" w14:textId="77777777" w:rsidR="00EF5B27" w:rsidRDefault="00000000">
                        <w:pPr>
                          <w:pStyle w:val="TableParagraph"/>
                          <w:ind w:left="81" w:right="76"/>
                          <w:jc w:val="center"/>
                          <w:rPr>
                            <w:sz w:val="14"/>
                          </w:rPr>
                        </w:pPr>
                        <w:r>
                          <w:rPr>
                            <w:color w:val="4D4D4F"/>
                            <w:w w:val="105"/>
                            <w:sz w:val="14"/>
                          </w:rPr>
                          <w:t>Not assessed</w:t>
                        </w:r>
                      </w:p>
                    </w:tc>
                  </w:tr>
                  <w:tr w:rsidR="00EF5B27" w14:paraId="39B27236" w14:textId="77777777">
                    <w:trPr>
                      <w:trHeight w:val="505"/>
                    </w:trPr>
                    <w:tc>
                      <w:tcPr>
                        <w:tcW w:w="737" w:type="dxa"/>
                      </w:tcPr>
                      <w:p w14:paraId="6339E9EE" w14:textId="77777777" w:rsidR="00EF5B27" w:rsidRDefault="00EF5B27">
                        <w:pPr>
                          <w:pStyle w:val="TableParagraph"/>
                          <w:spacing w:before="3"/>
                          <w:rPr>
                            <w:sz w:val="14"/>
                          </w:rPr>
                        </w:pPr>
                      </w:p>
                      <w:p w14:paraId="3FD03BA8" w14:textId="77777777" w:rsidR="00EF5B27" w:rsidRDefault="00000000">
                        <w:pPr>
                          <w:pStyle w:val="TableParagraph"/>
                          <w:ind w:left="79" w:right="79"/>
                          <w:jc w:val="center"/>
                          <w:rPr>
                            <w:sz w:val="14"/>
                          </w:rPr>
                        </w:pPr>
                        <w:r>
                          <w:rPr>
                            <w:color w:val="4D4D4F"/>
                            <w:sz w:val="14"/>
                          </w:rPr>
                          <w:t>12</w:t>
                        </w:r>
                      </w:p>
                    </w:tc>
                    <w:tc>
                      <w:tcPr>
                        <w:tcW w:w="1361" w:type="dxa"/>
                      </w:tcPr>
                      <w:p w14:paraId="328D80F6" w14:textId="77777777" w:rsidR="00EF5B27" w:rsidRDefault="00000000">
                        <w:pPr>
                          <w:pStyle w:val="TableParagraph"/>
                          <w:spacing w:before="84" w:line="252" w:lineRule="auto"/>
                          <w:ind w:left="372" w:right="346" w:hanging="17"/>
                          <w:rPr>
                            <w:sz w:val="14"/>
                          </w:rPr>
                        </w:pPr>
                        <w:r>
                          <w:rPr>
                            <w:color w:val="4D4D4F"/>
                            <w:w w:val="105"/>
                            <w:sz w:val="14"/>
                          </w:rPr>
                          <w:t>Large-fruit Groundsel</w:t>
                        </w:r>
                      </w:p>
                    </w:tc>
                    <w:tc>
                      <w:tcPr>
                        <w:tcW w:w="737" w:type="dxa"/>
                      </w:tcPr>
                      <w:p w14:paraId="79992A8A" w14:textId="77777777" w:rsidR="00EF5B27" w:rsidRDefault="00EF5B27">
                        <w:pPr>
                          <w:pStyle w:val="TableParagraph"/>
                          <w:spacing w:before="3"/>
                          <w:rPr>
                            <w:sz w:val="14"/>
                          </w:rPr>
                        </w:pPr>
                      </w:p>
                      <w:p w14:paraId="0401F3C9" w14:textId="77777777" w:rsidR="00EF5B27" w:rsidRDefault="00000000">
                        <w:pPr>
                          <w:pStyle w:val="TableParagraph"/>
                          <w:ind w:left="4"/>
                          <w:jc w:val="center"/>
                          <w:rPr>
                            <w:sz w:val="14"/>
                          </w:rPr>
                        </w:pPr>
                        <w:r>
                          <w:rPr>
                            <w:color w:val="4D4D4F"/>
                            <w:w w:val="96"/>
                            <w:sz w:val="14"/>
                          </w:rPr>
                          <w:t>1</w:t>
                        </w:r>
                      </w:p>
                    </w:tc>
                    <w:tc>
                      <w:tcPr>
                        <w:tcW w:w="1474" w:type="dxa"/>
                      </w:tcPr>
                      <w:p w14:paraId="59F21F0A" w14:textId="77777777" w:rsidR="00EF5B27" w:rsidRDefault="00EF5B27">
                        <w:pPr>
                          <w:pStyle w:val="TableParagraph"/>
                          <w:spacing w:before="3"/>
                          <w:rPr>
                            <w:sz w:val="14"/>
                          </w:rPr>
                        </w:pPr>
                      </w:p>
                      <w:p w14:paraId="389DA53D" w14:textId="77777777" w:rsidR="00EF5B27" w:rsidRDefault="00000000">
                        <w:pPr>
                          <w:pStyle w:val="TableParagraph"/>
                          <w:ind w:left="125" w:right="120"/>
                          <w:jc w:val="center"/>
                          <w:rPr>
                            <w:sz w:val="14"/>
                          </w:rPr>
                        </w:pPr>
                        <w:r>
                          <w:rPr>
                            <w:color w:val="4D4D4F"/>
                            <w:sz w:val="14"/>
                          </w:rPr>
                          <w:t>Count</w:t>
                        </w:r>
                      </w:p>
                    </w:tc>
                    <w:tc>
                      <w:tcPr>
                        <w:tcW w:w="2041" w:type="dxa"/>
                      </w:tcPr>
                      <w:p w14:paraId="12D8F080" w14:textId="77777777" w:rsidR="00EF5B27" w:rsidRDefault="00EF5B27">
                        <w:pPr>
                          <w:pStyle w:val="TableParagraph"/>
                          <w:spacing w:before="3"/>
                          <w:rPr>
                            <w:sz w:val="14"/>
                          </w:rPr>
                        </w:pPr>
                      </w:p>
                      <w:p w14:paraId="278F2216" w14:textId="77777777" w:rsidR="00EF5B27" w:rsidRDefault="00000000">
                        <w:pPr>
                          <w:pStyle w:val="TableParagraph"/>
                          <w:ind w:left="156" w:right="150"/>
                          <w:jc w:val="center"/>
                          <w:rPr>
                            <w:sz w:val="14"/>
                          </w:rPr>
                        </w:pPr>
                        <w:r>
                          <w:rPr>
                            <w:color w:val="4D4D4F"/>
                            <w:w w:val="105"/>
                            <w:sz w:val="14"/>
                          </w:rPr>
                          <w:t>Little Raven</w:t>
                        </w:r>
                      </w:p>
                    </w:tc>
                    <w:tc>
                      <w:tcPr>
                        <w:tcW w:w="2154" w:type="dxa"/>
                      </w:tcPr>
                      <w:p w14:paraId="391B79B0" w14:textId="77777777" w:rsidR="00EF5B27" w:rsidRDefault="00000000">
                        <w:pPr>
                          <w:pStyle w:val="TableParagraph"/>
                          <w:spacing w:before="84" w:line="252" w:lineRule="auto"/>
                          <w:ind w:left="830" w:hanging="587"/>
                          <w:rPr>
                            <w:sz w:val="14"/>
                          </w:rPr>
                        </w:pPr>
                        <w:r>
                          <w:rPr>
                            <w:color w:val="4D4D4F"/>
                            <w:w w:val="105"/>
                            <w:sz w:val="14"/>
                          </w:rPr>
                          <w:t>KPI measure falls below the baseline</w:t>
                        </w:r>
                      </w:p>
                    </w:tc>
                    <w:tc>
                      <w:tcPr>
                        <w:tcW w:w="1134" w:type="dxa"/>
                      </w:tcPr>
                      <w:p w14:paraId="6E182AA7" w14:textId="77777777" w:rsidR="00EF5B27" w:rsidRDefault="00EF5B27">
                        <w:pPr>
                          <w:pStyle w:val="TableParagraph"/>
                          <w:spacing w:before="3"/>
                          <w:rPr>
                            <w:sz w:val="14"/>
                          </w:rPr>
                        </w:pPr>
                      </w:p>
                      <w:p w14:paraId="30294114" w14:textId="77777777" w:rsidR="00EF5B27" w:rsidRDefault="00000000">
                        <w:pPr>
                          <w:pStyle w:val="TableParagraph"/>
                          <w:ind w:left="81" w:right="76"/>
                          <w:jc w:val="center"/>
                          <w:rPr>
                            <w:sz w:val="14"/>
                          </w:rPr>
                        </w:pPr>
                        <w:r>
                          <w:rPr>
                            <w:color w:val="4D4D4F"/>
                            <w:w w:val="105"/>
                            <w:sz w:val="14"/>
                          </w:rPr>
                          <w:t>Not assessed</w:t>
                        </w:r>
                      </w:p>
                    </w:tc>
                  </w:tr>
                </w:tbl>
                <w:p w14:paraId="0DD44235" w14:textId="77777777" w:rsidR="00EF5B27" w:rsidRDefault="00EF5B27">
                  <w:pPr>
                    <w:pStyle w:val="BodyText"/>
                  </w:pPr>
                </w:p>
              </w:txbxContent>
            </v:textbox>
            <w10:wrap anchorx="page"/>
          </v:shape>
        </w:pict>
      </w:r>
      <w:r>
        <w:rPr>
          <w:rFonts w:ascii="Century Gothic"/>
          <w:i/>
          <w:color w:val="4D4D4F"/>
          <w:w w:val="130"/>
          <w:sz w:val="12"/>
        </w:rPr>
        <w:t>r</w:t>
      </w:r>
    </w:p>
    <w:p w14:paraId="1ED29E09" w14:textId="77777777" w:rsidR="00EF5B27" w:rsidRDefault="00EF5B27">
      <w:pPr>
        <w:pStyle w:val="BodyText"/>
        <w:rPr>
          <w:rFonts w:ascii="Century Gothic"/>
          <w:i/>
          <w:sz w:val="14"/>
        </w:rPr>
      </w:pPr>
    </w:p>
    <w:p w14:paraId="11057C1D" w14:textId="77777777" w:rsidR="00EF5B27" w:rsidRDefault="00EF5B27">
      <w:pPr>
        <w:pStyle w:val="BodyText"/>
        <w:rPr>
          <w:rFonts w:ascii="Century Gothic"/>
          <w:i/>
          <w:sz w:val="14"/>
        </w:rPr>
      </w:pPr>
    </w:p>
    <w:p w14:paraId="1A772AE5" w14:textId="77777777" w:rsidR="00EF5B27" w:rsidRDefault="00EF5B27">
      <w:pPr>
        <w:pStyle w:val="BodyText"/>
        <w:rPr>
          <w:rFonts w:ascii="Century Gothic"/>
          <w:i/>
          <w:sz w:val="14"/>
        </w:rPr>
      </w:pPr>
    </w:p>
    <w:p w14:paraId="68B55C2B" w14:textId="77777777" w:rsidR="00EF5B27" w:rsidRDefault="00EF5B27">
      <w:pPr>
        <w:pStyle w:val="BodyText"/>
        <w:rPr>
          <w:rFonts w:ascii="Century Gothic"/>
          <w:i/>
          <w:sz w:val="14"/>
        </w:rPr>
      </w:pPr>
    </w:p>
    <w:p w14:paraId="109DDAAE" w14:textId="77777777" w:rsidR="00EF5B27" w:rsidRDefault="00EF5B27">
      <w:pPr>
        <w:pStyle w:val="BodyText"/>
        <w:rPr>
          <w:rFonts w:ascii="Century Gothic"/>
          <w:i/>
          <w:sz w:val="14"/>
        </w:rPr>
      </w:pPr>
    </w:p>
    <w:p w14:paraId="12DAFEC2" w14:textId="77777777" w:rsidR="00EF5B27" w:rsidRDefault="00EF5B27">
      <w:pPr>
        <w:pStyle w:val="BodyText"/>
        <w:rPr>
          <w:rFonts w:ascii="Century Gothic"/>
          <w:i/>
          <w:sz w:val="14"/>
        </w:rPr>
      </w:pPr>
    </w:p>
    <w:p w14:paraId="766C1F22" w14:textId="77777777" w:rsidR="00EF5B27" w:rsidRDefault="00EF5B27">
      <w:pPr>
        <w:pStyle w:val="BodyText"/>
        <w:rPr>
          <w:rFonts w:ascii="Century Gothic"/>
          <w:i/>
          <w:sz w:val="14"/>
        </w:rPr>
      </w:pPr>
    </w:p>
    <w:p w14:paraId="2CF34035" w14:textId="77777777" w:rsidR="00EF5B27" w:rsidRDefault="00EF5B27">
      <w:pPr>
        <w:pStyle w:val="BodyText"/>
        <w:rPr>
          <w:rFonts w:ascii="Century Gothic"/>
          <w:i/>
          <w:sz w:val="14"/>
        </w:rPr>
      </w:pPr>
    </w:p>
    <w:p w14:paraId="0AF2F79D" w14:textId="77777777" w:rsidR="00EF5B27" w:rsidRDefault="00EF5B27">
      <w:pPr>
        <w:pStyle w:val="BodyText"/>
        <w:rPr>
          <w:rFonts w:ascii="Century Gothic"/>
          <w:i/>
          <w:sz w:val="14"/>
        </w:rPr>
      </w:pPr>
    </w:p>
    <w:p w14:paraId="26120B04" w14:textId="77777777" w:rsidR="00EF5B27" w:rsidRDefault="00EF5B27">
      <w:pPr>
        <w:pStyle w:val="BodyText"/>
        <w:rPr>
          <w:rFonts w:ascii="Century Gothic"/>
          <w:i/>
          <w:sz w:val="14"/>
        </w:rPr>
      </w:pPr>
    </w:p>
    <w:p w14:paraId="1D3D6F26" w14:textId="77777777" w:rsidR="00EF5B27" w:rsidRDefault="00EF5B27">
      <w:pPr>
        <w:pStyle w:val="BodyText"/>
        <w:rPr>
          <w:rFonts w:ascii="Century Gothic"/>
          <w:i/>
          <w:sz w:val="14"/>
        </w:rPr>
      </w:pPr>
    </w:p>
    <w:p w14:paraId="58DDBE59" w14:textId="77777777" w:rsidR="00EF5B27" w:rsidRDefault="00EF5B27">
      <w:pPr>
        <w:pStyle w:val="BodyText"/>
        <w:rPr>
          <w:rFonts w:ascii="Century Gothic"/>
          <w:i/>
          <w:sz w:val="14"/>
        </w:rPr>
      </w:pPr>
    </w:p>
    <w:p w14:paraId="4DDC495A" w14:textId="77777777" w:rsidR="00EF5B27" w:rsidRDefault="00EF5B27">
      <w:pPr>
        <w:pStyle w:val="BodyText"/>
        <w:rPr>
          <w:rFonts w:ascii="Century Gothic"/>
          <w:i/>
          <w:sz w:val="14"/>
        </w:rPr>
      </w:pPr>
    </w:p>
    <w:p w14:paraId="16F6E68D" w14:textId="77777777" w:rsidR="00EF5B27" w:rsidRDefault="00EF5B27">
      <w:pPr>
        <w:pStyle w:val="BodyText"/>
        <w:rPr>
          <w:rFonts w:ascii="Century Gothic"/>
          <w:i/>
          <w:sz w:val="14"/>
        </w:rPr>
      </w:pPr>
    </w:p>
    <w:p w14:paraId="18F7756F" w14:textId="77777777" w:rsidR="00EF5B27" w:rsidRDefault="00EF5B27">
      <w:pPr>
        <w:pStyle w:val="BodyText"/>
        <w:rPr>
          <w:rFonts w:ascii="Century Gothic"/>
          <w:i/>
          <w:sz w:val="14"/>
        </w:rPr>
      </w:pPr>
    </w:p>
    <w:p w14:paraId="6860DE5E" w14:textId="77777777" w:rsidR="00EF5B27" w:rsidRDefault="00EF5B27">
      <w:pPr>
        <w:pStyle w:val="BodyText"/>
        <w:rPr>
          <w:rFonts w:ascii="Century Gothic"/>
          <w:i/>
          <w:sz w:val="14"/>
        </w:rPr>
      </w:pPr>
    </w:p>
    <w:p w14:paraId="673F9B15" w14:textId="77777777" w:rsidR="00EF5B27" w:rsidRDefault="00EF5B27">
      <w:pPr>
        <w:pStyle w:val="BodyText"/>
        <w:rPr>
          <w:rFonts w:ascii="Century Gothic"/>
          <w:i/>
          <w:sz w:val="14"/>
        </w:rPr>
      </w:pPr>
    </w:p>
    <w:p w14:paraId="0E2D53CB" w14:textId="77777777" w:rsidR="00EF5B27" w:rsidRDefault="00EF5B27">
      <w:pPr>
        <w:pStyle w:val="BodyText"/>
        <w:rPr>
          <w:rFonts w:ascii="Century Gothic"/>
          <w:i/>
          <w:sz w:val="14"/>
        </w:rPr>
      </w:pPr>
    </w:p>
    <w:p w14:paraId="7BF43A15" w14:textId="77777777" w:rsidR="00EF5B27" w:rsidRDefault="00EF5B27">
      <w:pPr>
        <w:pStyle w:val="BodyText"/>
        <w:rPr>
          <w:rFonts w:ascii="Century Gothic"/>
          <w:i/>
          <w:sz w:val="14"/>
        </w:rPr>
      </w:pPr>
    </w:p>
    <w:p w14:paraId="63651F54" w14:textId="77777777" w:rsidR="00EF5B27" w:rsidRDefault="00EF5B27">
      <w:pPr>
        <w:pStyle w:val="BodyText"/>
        <w:rPr>
          <w:rFonts w:ascii="Century Gothic"/>
          <w:i/>
          <w:sz w:val="14"/>
        </w:rPr>
      </w:pPr>
    </w:p>
    <w:p w14:paraId="396FC257" w14:textId="77777777" w:rsidR="00EF5B27" w:rsidRDefault="00EF5B27">
      <w:pPr>
        <w:pStyle w:val="BodyText"/>
        <w:rPr>
          <w:rFonts w:ascii="Century Gothic"/>
          <w:i/>
          <w:sz w:val="14"/>
        </w:rPr>
      </w:pPr>
    </w:p>
    <w:p w14:paraId="0F7F61DE" w14:textId="77777777" w:rsidR="00EF5B27" w:rsidRDefault="00EF5B27">
      <w:pPr>
        <w:pStyle w:val="BodyText"/>
        <w:rPr>
          <w:rFonts w:ascii="Century Gothic"/>
          <w:i/>
          <w:sz w:val="14"/>
        </w:rPr>
      </w:pPr>
    </w:p>
    <w:p w14:paraId="24DA4875" w14:textId="77777777" w:rsidR="00EF5B27" w:rsidRDefault="00EF5B27">
      <w:pPr>
        <w:pStyle w:val="BodyText"/>
        <w:rPr>
          <w:rFonts w:ascii="Century Gothic"/>
          <w:i/>
          <w:sz w:val="14"/>
        </w:rPr>
      </w:pPr>
    </w:p>
    <w:p w14:paraId="651A7CEE" w14:textId="77777777" w:rsidR="00EF5B27" w:rsidRDefault="00EF5B27">
      <w:pPr>
        <w:pStyle w:val="BodyText"/>
        <w:rPr>
          <w:rFonts w:ascii="Century Gothic"/>
          <w:i/>
          <w:sz w:val="14"/>
        </w:rPr>
      </w:pPr>
    </w:p>
    <w:p w14:paraId="44379ACA" w14:textId="77777777" w:rsidR="00EF5B27" w:rsidRDefault="00EF5B27">
      <w:pPr>
        <w:pStyle w:val="BodyText"/>
        <w:rPr>
          <w:rFonts w:ascii="Century Gothic"/>
          <w:i/>
          <w:sz w:val="14"/>
        </w:rPr>
      </w:pPr>
    </w:p>
    <w:p w14:paraId="243A198A" w14:textId="77777777" w:rsidR="00EF5B27" w:rsidRDefault="00EF5B27">
      <w:pPr>
        <w:pStyle w:val="BodyText"/>
        <w:spacing w:before="4"/>
        <w:rPr>
          <w:rFonts w:ascii="Century Gothic"/>
          <w:i/>
          <w:sz w:val="10"/>
        </w:rPr>
      </w:pPr>
    </w:p>
    <w:p w14:paraId="63F29B06" w14:textId="77777777" w:rsidR="00EF5B27" w:rsidRDefault="00000000">
      <w:pPr>
        <w:ind w:left="3930"/>
        <w:rPr>
          <w:rFonts w:ascii="Century Gothic"/>
          <w:i/>
          <w:sz w:val="12"/>
        </w:rPr>
      </w:pPr>
      <w:r>
        <w:rPr>
          <w:rFonts w:ascii="Century Gothic"/>
          <w:i/>
          <w:color w:val="4D4D4F"/>
          <w:w w:val="90"/>
          <w:sz w:val="12"/>
        </w:rPr>
        <w:t>SOURCE: Compiled by the Victorian Commissioner for Environmental Sustainability with data sourced from DELWP</w:t>
      </w:r>
    </w:p>
    <w:p w14:paraId="6D32117D" w14:textId="77777777" w:rsidR="00EF5B27" w:rsidRDefault="00EF5B27">
      <w:pPr>
        <w:pStyle w:val="BodyText"/>
        <w:spacing w:before="5"/>
        <w:rPr>
          <w:rFonts w:ascii="Century Gothic"/>
          <w:i/>
          <w:sz w:val="21"/>
        </w:rPr>
      </w:pPr>
    </w:p>
    <w:p w14:paraId="34D5E039" w14:textId="77777777" w:rsidR="00EF5B27" w:rsidRDefault="00000000">
      <w:pPr>
        <w:pStyle w:val="Heading3"/>
        <w:spacing w:before="116"/>
      </w:pPr>
      <w:r>
        <w:rPr>
          <w:color w:val="F99F2A"/>
        </w:rPr>
        <w:t>Regulatory environment</w:t>
      </w:r>
    </w:p>
    <w:p w14:paraId="0C07AF45" w14:textId="77777777" w:rsidR="00EF5B27" w:rsidRDefault="00EF5B27">
      <w:pPr>
        <w:pStyle w:val="BodyText"/>
        <w:spacing w:before="5"/>
        <w:rPr>
          <w:b/>
          <w:sz w:val="27"/>
        </w:rPr>
      </w:pPr>
    </w:p>
    <w:p w14:paraId="1DDBA543" w14:textId="77777777" w:rsidR="00EF5B27" w:rsidRDefault="00000000">
      <w:pPr>
        <w:pStyle w:val="BodyText"/>
        <w:spacing w:line="254" w:lineRule="auto"/>
        <w:ind w:left="2608" w:right="151"/>
      </w:pPr>
      <w:r>
        <w:rPr>
          <w:color w:val="4D4D4F"/>
        </w:rPr>
        <w:t>The MSA program aligns State and Federal biodiversity regulation under one program, aiming to ensure that urban development within Melbourne’s growth areas complies with all biodiversity requirements in a streamlined way.</w:t>
      </w:r>
    </w:p>
    <w:p w14:paraId="0E5FC1DA" w14:textId="77777777" w:rsidR="00EF5B27" w:rsidRDefault="00EF5B27">
      <w:pPr>
        <w:pStyle w:val="BodyText"/>
        <w:spacing w:before="10"/>
        <w:rPr>
          <w:sz w:val="18"/>
        </w:rPr>
      </w:pPr>
    </w:p>
    <w:p w14:paraId="0A9C78C1" w14:textId="77777777" w:rsidR="00EF5B27" w:rsidRDefault="00000000">
      <w:pPr>
        <w:pStyle w:val="BodyText"/>
        <w:spacing w:before="1" w:line="254" w:lineRule="auto"/>
        <w:ind w:left="2608"/>
      </w:pPr>
      <w:r>
        <w:rPr>
          <w:color w:val="4D4D4F"/>
        </w:rPr>
        <w:t>Many historical planning and regulatory changes have enabled the current MSA program,</w:t>
      </w:r>
      <w:r>
        <w:rPr>
          <w:color w:val="4D4D4F"/>
          <w:position w:val="7"/>
          <w:sz w:val="11"/>
        </w:rPr>
        <w:t xml:space="preserve">299 </w:t>
      </w:r>
      <w:r>
        <w:rPr>
          <w:color w:val="4D4D4F"/>
        </w:rPr>
        <w:t>as outlined in Figure 45 (on the next page).</w:t>
      </w:r>
    </w:p>
    <w:p w14:paraId="2FD12C34" w14:textId="77777777" w:rsidR="00EF5B27" w:rsidRDefault="00EF5B27">
      <w:pPr>
        <w:pStyle w:val="BodyText"/>
      </w:pPr>
    </w:p>
    <w:p w14:paraId="06998130" w14:textId="77777777" w:rsidR="00EF5B27" w:rsidRDefault="00EF5B27">
      <w:pPr>
        <w:pStyle w:val="BodyText"/>
      </w:pPr>
    </w:p>
    <w:p w14:paraId="49FDCE0D" w14:textId="77777777" w:rsidR="00EF5B27" w:rsidRDefault="00000000">
      <w:pPr>
        <w:pStyle w:val="BodyText"/>
        <w:spacing w:before="1"/>
        <w:rPr>
          <w:sz w:val="26"/>
        </w:rPr>
      </w:pPr>
      <w:r>
        <w:pict w14:anchorId="5CAE59B3">
          <v:line id="_x0000_s2549" style="position:absolute;z-index:251664896;mso-wrap-distance-left:0;mso-wrap-distance-right:0;mso-position-horizontal-relative:page" from="181.4pt,18.15pt" to="538.6pt,18.15pt" strokecolor="#4d4d4f" strokeweight=".5pt">
            <w10:wrap type="topAndBottom" anchorx="page"/>
          </v:line>
        </w:pict>
      </w:r>
    </w:p>
    <w:p w14:paraId="28D6AABB" w14:textId="77777777" w:rsidR="00EF5B27" w:rsidRDefault="00000000">
      <w:pPr>
        <w:pStyle w:val="ListParagraph"/>
        <w:numPr>
          <w:ilvl w:val="0"/>
          <w:numId w:val="19"/>
        </w:numPr>
        <w:tabs>
          <w:tab w:val="left" w:pos="2836"/>
        </w:tabs>
        <w:spacing w:before="83"/>
        <w:rPr>
          <w:sz w:val="12"/>
        </w:rPr>
      </w:pPr>
      <w:r>
        <w:rPr>
          <w:color w:val="4D4D4F"/>
          <w:sz w:val="12"/>
        </w:rPr>
        <w:t>DELWP Officer, personal communication, 23 August</w:t>
      </w:r>
      <w:r>
        <w:rPr>
          <w:color w:val="4D4D4F"/>
          <w:spacing w:val="14"/>
          <w:sz w:val="12"/>
        </w:rPr>
        <w:t xml:space="preserve"> </w:t>
      </w:r>
      <w:r>
        <w:rPr>
          <w:color w:val="4D4D4F"/>
          <w:sz w:val="12"/>
        </w:rPr>
        <w:t>2021.</w:t>
      </w:r>
    </w:p>
    <w:p w14:paraId="4E6091E3" w14:textId="77777777" w:rsidR="00EF5B27" w:rsidRDefault="00EF5B27">
      <w:pPr>
        <w:rPr>
          <w:sz w:val="12"/>
        </w:rPr>
        <w:sectPr w:rsidR="00EF5B27">
          <w:pgSz w:w="11910" w:h="16840"/>
          <w:pgMar w:top="1080" w:right="1020" w:bottom="860" w:left="1020" w:header="537" w:footer="678" w:gutter="0"/>
          <w:cols w:space="720"/>
        </w:sectPr>
      </w:pPr>
    </w:p>
    <w:p w14:paraId="69C99604" w14:textId="77777777" w:rsidR="00EF5B27" w:rsidRDefault="00000000">
      <w:pPr>
        <w:pStyle w:val="BodyText"/>
      </w:pPr>
      <w:r>
        <w:lastRenderedPageBreak/>
        <w:pict w14:anchorId="27B40B3C">
          <v:group id="_x0000_s2541" style="position:absolute;margin-left:587.05pt;margin-top:183.4pt;width:8.25pt;height:153.1pt;z-index:251761152;mso-position-horizontal-relative:page;mso-position-vertical-relative:page" coordorigin="11741,3668" coordsize="165,3062">
            <v:shape id="_x0000_s2548" style="position:absolute;left:11741;top:3668;width:165;height:561" coordorigin="11741,3668" coordsize="165,561" path="m11906,3668r-165,l11741,4228r165,-18l11906,3668xe" fillcolor="#00aed9" stroked="f">
              <v:path arrowok="t"/>
            </v:shape>
            <v:shape id="_x0000_s2547" style="position:absolute;left:11741;top:4118;width:165;height:425" coordorigin="11741,4118" coordsize="165,425" path="m11906,4118r-165,14l11741,4531r165,12l11906,4118xe" fillcolor="#047ebc" stroked="f">
              <v:path arrowok="t"/>
            </v:shape>
            <v:shape id="_x0000_s2546" type="#_x0000_t75" style="position:absolute;left:11741;top:4355;width:165;height:587">
              <v:imagedata r:id="rId42" o:title=""/>
            </v:shape>
            <v:shape id="_x0000_s2545" style="position:absolute;left:11741;top:5343;width:165;height:536" coordorigin="11741,5343" coordsize="165,536" path="m11741,5343r,535l11906,5872r,-525l11741,5343xe" fillcolor="#f36a2e" stroked="f">
              <v:path arrowok="t"/>
            </v:shape>
            <v:shape id="_x0000_s2544" style="position:absolute;left:11741;top:4925;width:165;height:501" coordorigin="11741,4926" coordsize="165,501" path="m11741,4926r,500l11906,5426r,-485l11741,4926xe" fillcolor="#49783f" stroked="f">
              <v:path arrowok="t"/>
            </v:shape>
            <v:shape id="_x0000_s2543" style="position:absolute;left:11741;top:5781;width:165;height:268" coordorigin="11741,5782" coordsize="165,268" path="m11906,5782r-165,8l11741,6039r165,10l11906,5782xe" fillcolor="#f99f2a" stroked="f">
              <v:path arrowok="t"/>
            </v:shape>
            <v:shape id="_x0000_s2542" style="position:absolute;left:11741;top:6023;width:165;height:707" coordorigin="11741,6023" coordsize="165,707" path="m11741,6023r,706l11906,6729r,-690l11741,6023xe" fillcolor="#ef412c" stroked="f">
              <v:path arrowok="t"/>
            </v:shape>
            <w10:wrap anchorx="page" anchory="page"/>
          </v:group>
        </w:pict>
      </w:r>
    </w:p>
    <w:p w14:paraId="758D0E83" w14:textId="77777777" w:rsidR="00EF5B27" w:rsidRDefault="00EF5B27">
      <w:pPr>
        <w:pStyle w:val="BodyText"/>
      </w:pPr>
    </w:p>
    <w:p w14:paraId="3F72A97B" w14:textId="77777777" w:rsidR="00EF5B27" w:rsidRDefault="00EF5B27">
      <w:pPr>
        <w:pStyle w:val="BodyText"/>
      </w:pPr>
    </w:p>
    <w:p w14:paraId="2CDCB11F" w14:textId="77777777" w:rsidR="00EF5B27" w:rsidRDefault="00EF5B27">
      <w:pPr>
        <w:pStyle w:val="BodyText"/>
        <w:spacing w:before="12"/>
        <w:rPr>
          <w:sz w:val="22"/>
        </w:rPr>
      </w:pPr>
    </w:p>
    <w:p w14:paraId="2983B925" w14:textId="77777777" w:rsidR="00EF5B27" w:rsidRDefault="00000000">
      <w:pPr>
        <w:pStyle w:val="Heading3"/>
        <w:spacing w:before="115"/>
        <w:ind w:left="113"/>
      </w:pPr>
      <w:bookmarkStart w:id="112" w:name="_bookmark75"/>
      <w:bookmarkEnd w:id="112"/>
      <w:r>
        <w:rPr>
          <w:color w:val="F99F2A"/>
        </w:rPr>
        <w:t>Urban planning and regulation</w:t>
      </w:r>
    </w:p>
    <w:p w14:paraId="3D6293D6" w14:textId="77777777" w:rsidR="00EF5B27" w:rsidRDefault="00EF5B27">
      <w:pPr>
        <w:pStyle w:val="BodyText"/>
        <w:rPr>
          <w:b/>
        </w:rPr>
      </w:pPr>
    </w:p>
    <w:p w14:paraId="09CE58F4" w14:textId="77777777" w:rsidR="00EF5B27" w:rsidRDefault="00EF5B27">
      <w:pPr>
        <w:pStyle w:val="BodyText"/>
        <w:spacing w:before="9"/>
        <w:rPr>
          <w:b/>
          <w:sz w:val="18"/>
        </w:rPr>
      </w:pPr>
    </w:p>
    <w:p w14:paraId="4C3744CF" w14:textId="77777777" w:rsidR="00EF5B27" w:rsidRDefault="00000000">
      <w:pPr>
        <w:spacing w:before="118"/>
        <w:ind w:left="344"/>
        <w:rPr>
          <w:b/>
          <w:sz w:val="25"/>
        </w:rPr>
      </w:pPr>
      <w:r>
        <w:pict w14:anchorId="411FC328">
          <v:group id="_x0000_s2538" style="position:absolute;left:0;text-align:left;margin-left:106pt;margin-top:150.8pt;width:34.65pt;height:3.95pt;z-index:251762176;mso-position-horizontal-relative:page" coordorigin="2120,3016" coordsize="693,79">
            <v:shape id="_x0000_s2540" style="position:absolute;left:2400;top:3035;width:360;height:40" coordorigin="2400,3036" coordsize="360,40" path="m2753,3036r-345,l2400,3043r,25l2408,3075r345,l2760,3068r,-25l2753,3036xe" fillcolor="#6d6e71" stroked="f">
              <v:path arrowok="t"/>
            </v:shape>
            <v:shape id="_x0000_s2539" style="position:absolute;left:2119;top:3015;width:693;height:79" coordorigin="2120,3016" coordsize="693,79" path="m2774,3016r-616,l2143,3019r-12,8l2123,3039r-3,15l2120,3056r3,15l2131,3083r12,9l2158,3095r616,l2789,3092r12,-9l2809,3071r3,-15l2812,3054r-3,-15l2801,3027r-12,-8l2774,3016xe" fillcolor="#f89e2a" stroked="f">
              <v:path arrowok="t"/>
            </v:shape>
            <w10:wrap anchorx="page"/>
          </v:group>
        </w:pict>
      </w:r>
      <w:r>
        <w:pict w14:anchorId="7A8E9E82">
          <v:shape id="_x0000_s2537" style="position:absolute;left:0;text-align:left;margin-left:120.35pt;margin-top:124.35pt;width:17.3pt;height:1.75pt;z-index:-251501056;mso-position-horizontal-relative:page" coordorigin="2407,2487" coordsize="346,35" path="m2747,2487r-333,l2407,2494r,22l2414,2522r333,l2753,2516r,-22l2747,2487xe" fillcolor="#6d6e71" stroked="f">
            <v:path arrowok="t"/>
            <w10:wrap anchorx="page"/>
          </v:shape>
        </w:pict>
      </w:r>
      <w:r>
        <w:pict w14:anchorId="4C63DE48">
          <v:line id="_x0000_s2536" style="position:absolute;left:0;text-align:left;z-index:-251500032;mso-position-horizontal-relative:page" from="120.75pt,97.7pt" to="137.3pt,97.7pt" strokecolor="#6d6e71" strokeweight=".5415mm">
            <w10:wrap anchorx="page"/>
          </v:line>
        </w:pict>
      </w:r>
      <w:r>
        <w:pict w14:anchorId="2E535024">
          <v:shape id="_x0000_s2535" style="position:absolute;left:0;text-align:left;margin-left:106.7pt;margin-top:12.4pt;width:34.65pt;height:3.95pt;z-index:251768320;mso-position-horizontal-relative:page" coordorigin="2134,248" coordsize="693,79" path="m2788,248r-616,l2157,251r-12,8l2137,271r-3,15l2134,289r3,15l2145,316r12,8l2172,327r616,l2803,324r12,-8l2823,304r3,-15l2826,286r-3,-15l2815,259r-12,-8l2788,248xe" fillcolor="#f89e2a" stroked="f">
            <v:path arrowok="t"/>
            <w10:wrap anchorx="page"/>
          </v:shape>
        </w:pict>
      </w:r>
      <w:r>
        <w:rPr>
          <w:b/>
          <w:spacing w:val="5"/>
          <w:w w:val="110"/>
          <w:sz w:val="25"/>
        </w:rPr>
        <w:t>1980</w:t>
      </w:r>
    </w:p>
    <w:p w14:paraId="7F578D91" w14:textId="77777777" w:rsidR="00EF5B27" w:rsidRDefault="00000000">
      <w:pPr>
        <w:pStyle w:val="BodyText"/>
        <w:spacing w:before="8"/>
        <w:rPr>
          <w:b/>
          <w:sz w:val="8"/>
        </w:rPr>
      </w:pPr>
      <w:r>
        <w:pict w14:anchorId="4D3642B4">
          <v:line id="_x0000_s2534" style="position:absolute;z-index:251667968;mso-wrap-distance-left:0;mso-wrap-distance-right:0;mso-position-horizontal-relative:page" from="121.6pt,7.75pt" to="136.4pt,7.75pt" strokecolor="#6d6e71" strokeweight=".35208mm">
            <w10:wrap type="topAndBottom" anchorx="page"/>
          </v:line>
        </w:pict>
      </w:r>
      <w:r>
        <w:pict w14:anchorId="35A9D420">
          <v:line id="_x0000_s2533" style="position:absolute;z-index:251668992;mso-wrap-distance-left:0;mso-wrap-distance-right:0;mso-position-horizontal-relative:page" from="121.45pt,21.5pt" to="136.6pt,21.5pt" strokecolor="#6d6e71" strokeweight=".39017mm">
            <w10:wrap type="topAndBottom" anchorx="page"/>
          </v:line>
        </w:pict>
      </w:r>
      <w:r>
        <w:pict w14:anchorId="4F3B9635">
          <v:line id="_x0000_s2532" style="position:absolute;z-index:251671040;mso-wrap-distance-left:0;mso-wrap-distance-right:0;mso-position-horizontal-relative:page" from="121.25pt,35.25pt" to="136.8pt,35.25pt" strokecolor="#6d6e71" strokeweight=".42792mm">
            <w10:wrap type="topAndBottom" anchorx="page"/>
          </v:line>
        </w:pict>
      </w:r>
      <w:r>
        <w:pict w14:anchorId="3BFE4D24">
          <v:line id="_x0000_s2531" style="position:absolute;z-index:251672064;mso-wrap-distance-left:0;mso-wrap-distance-right:0;mso-position-horizontal-relative:page" from="121.1pt,49.05pt" to="136.95pt,49.05pt" strokecolor="#6d6e71" strokeweight=".46603mm">
            <w10:wrap type="topAndBottom" anchorx="page"/>
          </v:line>
        </w:pict>
      </w:r>
      <w:r>
        <w:pict w14:anchorId="25E22869">
          <v:line id="_x0000_s2530" style="position:absolute;z-index:251673088;mso-wrap-distance-left:0;mso-wrap-distance-right:0;mso-position-horizontal-relative:page" from="120.9pt,62.8pt" to="137.15pt,62.8pt" strokecolor="#6d6e71" strokeweight=".50342mm">
            <w10:wrap type="topAndBottom" anchorx="page"/>
          </v:line>
        </w:pict>
      </w:r>
      <w:r>
        <w:pict w14:anchorId="7034FED0">
          <v:group id="_x0000_s2524" style="position:absolute;margin-left:120.55pt;margin-top:74.2pt;width:260.4pt;height:32.7pt;z-index:251675136;mso-wrap-distance-left:0;mso-wrap-distance-right:0;mso-position-horizontal-relative:page" coordorigin="2411,1484" coordsize="5208,654">
            <v:line id="_x0000_s2529" style="position:absolute" from="2411,1807" to="2750,1807" strokecolor="#6d6e71" strokeweight=".57925mm"/>
            <v:line id="_x0000_s2528" style="position:absolute" from="2759,1817" to="4008,1817" strokeweight=".27975mm"/>
            <v:shape id="_x0000_s2527" type="#_x0000_t75" style="position:absolute;left:2694;top:1749;width:136;height:136">
              <v:imagedata r:id="rId172" o:title=""/>
            </v:shape>
            <v:shape id="_x0000_s2526" style="position:absolute;left:4014;top:1489;width:3599;height:642" coordorigin="4014,1490" coordsize="3599,642" path="m7552,2132r-3477,l4051,2127r-19,-13l4019,2094r-5,-23l4014,1550r5,-23l4032,1507r19,-13l4075,1490r3477,l7575,1494r20,13l7608,1527r5,23l7613,2071r-5,23l7595,2114r-20,13l7552,2132xe" filled="f" strokecolor="#231f20" strokeweight=".21236mm">
              <v:path arrowok="t"/>
            </v:shape>
            <v:shape id="_x0000_s2525" type="#_x0000_t202" style="position:absolute;left:2410;top:1483;width:5208;height:654" filled="f" stroked="f">
              <v:textbox inset="0,0,0,0">
                <w:txbxContent>
                  <w:p w14:paraId="53AF5795" w14:textId="77777777" w:rsidR="00EF5B27" w:rsidRDefault="00000000">
                    <w:pPr>
                      <w:numPr>
                        <w:ilvl w:val="0"/>
                        <w:numId w:val="18"/>
                      </w:numPr>
                      <w:tabs>
                        <w:tab w:val="left" w:pos="1836"/>
                      </w:tabs>
                      <w:spacing w:before="94"/>
                      <w:ind w:hanging="92"/>
                      <w:rPr>
                        <w:rFonts w:ascii="Century Gothic"/>
                        <w:sz w:val="17"/>
                      </w:rPr>
                    </w:pPr>
                    <w:r>
                      <w:rPr>
                        <w:rFonts w:ascii="Century Gothic"/>
                        <w:w w:val="95"/>
                        <w:sz w:val="17"/>
                      </w:rPr>
                      <w:t>Regulation</w:t>
                    </w:r>
                    <w:r>
                      <w:rPr>
                        <w:rFonts w:ascii="Century Gothic"/>
                        <w:spacing w:val="-27"/>
                        <w:w w:val="95"/>
                        <w:sz w:val="17"/>
                      </w:rPr>
                      <w:t xml:space="preserve"> </w:t>
                    </w:r>
                    <w:r>
                      <w:rPr>
                        <w:rFonts w:ascii="Century Gothic"/>
                        <w:w w:val="95"/>
                        <w:sz w:val="17"/>
                      </w:rPr>
                      <w:t>of</w:t>
                    </w:r>
                    <w:r>
                      <w:rPr>
                        <w:rFonts w:ascii="Century Gothic"/>
                        <w:spacing w:val="-26"/>
                        <w:w w:val="95"/>
                        <w:sz w:val="17"/>
                      </w:rPr>
                      <w:t xml:space="preserve"> </w:t>
                    </w:r>
                    <w:r>
                      <w:rPr>
                        <w:rFonts w:ascii="Century Gothic"/>
                        <w:w w:val="95"/>
                        <w:sz w:val="17"/>
                      </w:rPr>
                      <w:t>development</w:t>
                    </w:r>
                    <w:r>
                      <w:rPr>
                        <w:rFonts w:ascii="Century Gothic"/>
                        <w:spacing w:val="-26"/>
                        <w:w w:val="95"/>
                        <w:sz w:val="17"/>
                      </w:rPr>
                      <w:t xml:space="preserve"> </w:t>
                    </w:r>
                    <w:r>
                      <w:rPr>
                        <w:rFonts w:ascii="Century Gothic"/>
                        <w:w w:val="95"/>
                        <w:sz w:val="17"/>
                      </w:rPr>
                      <w:t>standardised</w:t>
                    </w:r>
                  </w:p>
                  <w:p w14:paraId="08BFD88F" w14:textId="77777777" w:rsidR="00EF5B27" w:rsidRDefault="00000000">
                    <w:pPr>
                      <w:numPr>
                        <w:ilvl w:val="0"/>
                        <w:numId w:val="18"/>
                      </w:numPr>
                      <w:tabs>
                        <w:tab w:val="left" w:pos="1836"/>
                      </w:tabs>
                      <w:spacing w:before="16"/>
                      <w:ind w:hanging="92"/>
                      <w:rPr>
                        <w:rFonts w:ascii="Century Gothic"/>
                        <w:sz w:val="17"/>
                      </w:rPr>
                    </w:pPr>
                    <w:r>
                      <w:rPr>
                        <w:rFonts w:ascii="Century Gothic"/>
                        <w:w w:val="90"/>
                        <w:sz w:val="17"/>
                      </w:rPr>
                      <w:t>Vic</w:t>
                    </w:r>
                    <w:r>
                      <w:rPr>
                        <w:rFonts w:ascii="Century Gothic"/>
                        <w:spacing w:val="-22"/>
                        <w:w w:val="90"/>
                        <w:sz w:val="17"/>
                      </w:rPr>
                      <w:t xml:space="preserve"> </w:t>
                    </w:r>
                    <w:r>
                      <w:rPr>
                        <w:rFonts w:ascii="Century Gothic"/>
                        <w:w w:val="90"/>
                        <w:sz w:val="17"/>
                      </w:rPr>
                      <w:t>Planning</w:t>
                    </w:r>
                    <w:r>
                      <w:rPr>
                        <w:rFonts w:ascii="Century Gothic"/>
                        <w:spacing w:val="-22"/>
                        <w:w w:val="90"/>
                        <w:sz w:val="17"/>
                      </w:rPr>
                      <w:t xml:space="preserve"> </w:t>
                    </w:r>
                    <w:r>
                      <w:rPr>
                        <w:rFonts w:ascii="Century Gothic"/>
                        <w:w w:val="90"/>
                        <w:sz w:val="17"/>
                      </w:rPr>
                      <w:t>and</w:t>
                    </w:r>
                    <w:r>
                      <w:rPr>
                        <w:rFonts w:ascii="Century Gothic"/>
                        <w:spacing w:val="-21"/>
                        <w:w w:val="90"/>
                        <w:sz w:val="17"/>
                      </w:rPr>
                      <w:t xml:space="preserve"> </w:t>
                    </w:r>
                    <w:r>
                      <w:rPr>
                        <w:rFonts w:ascii="Century Gothic"/>
                        <w:w w:val="90"/>
                        <w:sz w:val="17"/>
                      </w:rPr>
                      <w:t>Environment</w:t>
                    </w:r>
                    <w:r>
                      <w:rPr>
                        <w:rFonts w:ascii="Century Gothic"/>
                        <w:spacing w:val="-22"/>
                        <w:w w:val="90"/>
                        <w:sz w:val="17"/>
                      </w:rPr>
                      <w:t xml:space="preserve"> </w:t>
                    </w:r>
                    <w:r>
                      <w:rPr>
                        <w:rFonts w:ascii="Century Gothic"/>
                        <w:w w:val="90"/>
                        <w:sz w:val="17"/>
                      </w:rPr>
                      <w:t>Act</w:t>
                    </w:r>
                    <w:r>
                      <w:rPr>
                        <w:rFonts w:ascii="Century Gothic"/>
                        <w:spacing w:val="-22"/>
                        <w:w w:val="90"/>
                        <w:sz w:val="17"/>
                      </w:rPr>
                      <w:t xml:space="preserve"> </w:t>
                    </w:r>
                    <w:r>
                      <w:rPr>
                        <w:rFonts w:ascii="Century Gothic"/>
                        <w:w w:val="90"/>
                        <w:sz w:val="17"/>
                      </w:rPr>
                      <w:t>introduced</w:t>
                    </w:r>
                  </w:p>
                </w:txbxContent>
              </v:textbox>
            </v:shape>
            <w10:wrap type="topAndBottom" anchorx="page"/>
          </v:group>
        </w:pict>
      </w:r>
      <w:r>
        <w:pict w14:anchorId="3C205405">
          <v:shape id="_x0000_s2523" style="position:absolute;margin-left:120.2pt;margin-top:116.95pt;width:17.65pt;height:1.9pt;z-index:251677184;mso-wrap-distance-left:0;mso-wrap-distance-right:0;mso-position-horizontal-relative:page" coordorigin="2404,2339" coordsize="353,38" path="m2750,2339r-339,l2404,2345r,24l2411,2376r339,l2757,2369r,-24l2750,2339xe" fillcolor="#6d6e71" stroked="f">
            <v:path arrowok="t"/>
            <w10:wrap type="topAndBottom" anchorx="page"/>
          </v:shape>
        </w:pict>
      </w:r>
    </w:p>
    <w:p w14:paraId="5CDEE1BE" w14:textId="77777777" w:rsidR="00EF5B27" w:rsidRDefault="00EF5B27">
      <w:pPr>
        <w:pStyle w:val="BodyText"/>
        <w:spacing w:before="2"/>
        <w:rPr>
          <w:b/>
          <w:sz w:val="15"/>
        </w:rPr>
      </w:pPr>
    </w:p>
    <w:p w14:paraId="6D872FC8" w14:textId="77777777" w:rsidR="00EF5B27" w:rsidRDefault="00EF5B27">
      <w:pPr>
        <w:pStyle w:val="BodyText"/>
        <w:spacing w:before="11"/>
        <w:rPr>
          <w:b/>
          <w:sz w:val="14"/>
        </w:rPr>
      </w:pPr>
    </w:p>
    <w:p w14:paraId="7640EBDC" w14:textId="77777777" w:rsidR="00EF5B27" w:rsidRDefault="00EF5B27">
      <w:pPr>
        <w:pStyle w:val="BodyText"/>
        <w:spacing w:before="9"/>
        <w:rPr>
          <w:b/>
          <w:sz w:val="14"/>
        </w:rPr>
      </w:pPr>
    </w:p>
    <w:p w14:paraId="33A55FD1" w14:textId="77777777" w:rsidR="00EF5B27" w:rsidRDefault="00EF5B27">
      <w:pPr>
        <w:pStyle w:val="BodyText"/>
        <w:spacing w:before="7"/>
        <w:rPr>
          <w:b/>
          <w:sz w:val="14"/>
        </w:rPr>
      </w:pPr>
    </w:p>
    <w:p w14:paraId="6A59A95E" w14:textId="77777777" w:rsidR="00EF5B27" w:rsidRDefault="00EF5B27">
      <w:pPr>
        <w:pStyle w:val="BodyText"/>
        <w:spacing w:before="9"/>
        <w:rPr>
          <w:b/>
          <w:sz w:val="11"/>
        </w:rPr>
      </w:pPr>
    </w:p>
    <w:p w14:paraId="0CC37031" w14:textId="77777777" w:rsidR="00EF5B27" w:rsidRDefault="00EF5B27">
      <w:pPr>
        <w:pStyle w:val="BodyText"/>
        <w:spacing w:before="9"/>
        <w:rPr>
          <w:b/>
          <w:sz w:val="10"/>
        </w:rPr>
      </w:pPr>
    </w:p>
    <w:p w14:paraId="40B3B0A3" w14:textId="77777777" w:rsidR="00EF5B27" w:rsidRDefault="00000000">
      <w:pPr>
        <w:spacing w:before="86" w:after="114"/>
        <w:ind w:left="344"/>
        <w:rPr>
          <w:b/>
          <w:sz w:val="25"/>
        </w:rPr>
      </w:pPr>
      <w:r>
        <w:rPr>
          <w:b/>
          <w:spacing w:val="5"/>
          <w:w w:val="110"/>
          <w:sz w:val="25"/>
        </w:rPr>
        <w:t>1990</w:t>
      </w:r>
    </w:p>
    <w:p w14:paraId="488C36D4" w14:textId="77777777" w:rsidR="00EF5B27" w:rsidRDefault="00000000">
      <w:pPr>
        <w:pStyle w:val="BodyText"/>
        <w:spacing w:line="20" w:lineRule="exact"/>
        <w:ind w:left="1402"/>
        <w:rPr>
          <w:sz w:val="2"/>
        </w:rPr>
      </w:pPr>
      <w:r>
        <w:rPr>
          <w:sz w:val="2"/>
        </w:rPr>
      </w:r>
      <w:r>
        <w:rPr>
          <w:sz w:val="2"/>
        </w:rPr>
        <w:pict w14:anchorId="315B1CEA">
          <v:group id="_x0000_s2521" style="width:14.85pt;height:1pt;mso-position-horizontal-relative:char;mso-position-vertical-relative:line" coordsize="297,20">
            <v:line id="_x0000_s2522" style="position:absolute" from="0,10" to="296,10" strokecolor="#6d6e71" strokeweight=".35208mm"/>
            <w10:anchorlock/>
          </v:group>
        </w:pict>
      </w:r>
    </w:p>
    <w:p w14:paraId="46204625" w14:textId="77777777" w:rsidR="00EF5B27" w:rsidRDefault="00000000">
      <w:pPr>
        <w:pStyle w:val="BodyText"/>
        <w:spacing w:before="6"/>
        <w:rPr>
          <w:b/>
          <w:sz w:val="17"/>
        </w:rPr>
      </w:pPr>
      <w:r>
        <w:pict w14:anchorId="0F7107B7">
          <v:line id="_x0000_s2520" style="position:absolute;z-index:251679232;mso-wrap-distance-left:0;mso-wrap-distance-right:0;mso-position-horizontal-relative:page" from="121.45pt,13.25pt" to="136.6pt,13.25pt" strokecolor="#6d6e71" strokeweight=".39017mm">
            <w10:wrap type="topAndBottom" anchorx="page"/>
          </v:line>
        </w:pict>
      </w:r>
      <w:r>
        <w:pict w14:anchorId="7E41AEA0">
          <v:line id="_x0000_s2519" style="position:absolute;z-index:251680256;mso-wrap-distance-left:0;mso-wrap-distance-right:0;mso-position-horizontal-relative:page" from="121.25pt,27.05pt" to="136.8pt,27.05pt" strokecolor="#6d6e71" strokeweight=".42792mm">
            <w10:wrap type="topAndBottom" anchorx="page"/>
          </v:line>
        </w:pict>
      </w:r>
      <w:r>
        <w:pict w14:anchorId="38D52457">
          <v:line id="_x0000_s2518" style="position:absolute;z-index:251681280;mso-wrap-distance-left:0;mso-wrap-distance-right:0;mso-position-horizontal-relative:page" from="121.1pt,40.8pt" to="136.95pt,40.8pt" strokecolor="#6d6e71" strokeweight=".46603mm">
            <w10:wrap type="topAndBottom" anchorx="page"/>
          </v:line>
        </w:pict>
      </w:r>
      <w:r>
        <w:pict w14:anchorId="63DFECF4">
          <v:line id="_x0000_s2517" style="position:absolute;z-index:251683328;mso-wrap-distance-left:0;mso-wrap-distance-right:0;mso-position-horizontal-relative:page" from="120.9pt,54.55pt" to="137.15pt,54.55pt" strokecolor="#6d6e71" strokeweight=".50342mm">
            <w10:wrap type="topAndBottom" anchorx="page"/>
          </v:line>
        </w:pict>
      </w:r>
      <w:r>
        <w:pict w14:anchorId="20923432">
          <v:line id="_x0000_s2516" style="position:absolute;z-index:251684352;mso-wrap-distance-left:0;mso-wrap-distance-right:0;mso-position-horizontal-relative:page" from="120.75pt,68.3pt" to="137.3pt,68.3pt" strokecolor="#6d6e71" strokeweight=".5415mm">
            <w10:wrap type="topAndBottom" anchorx="page"/>
          </v:line>
        </w:pict>
      </w:r>
      <w:r>
        <w:pict w14:anchorId="23E916B1">
          <v:line id="_x0000_s2515" style="position:absolute;z-index:251686400;mso-wrap-distance-left:0;mso-wrap-distance-right:0;mso-position-horizontal-relative:page" from="120.55pt,82.1pt" to="137.5pt,82.1pt" strokecolor="#6d6e71" strokeweight=".57925mm">
            <w10:wrap type="topAndBottom" anchorx="page"/>
          </v:line>
        </w:pict>
      </w:r>
      <w:r>
        <w:pict w14:anchorId="40184471">
          <v:shape id="_x0000_s2514" style="position:absolute;margin-left:120.35pt;margin-top:94.95pt;width:17.3pt;height:1.75pt;z-index:251687424;mso-wrap-distance-left:0;mso-wrap-distance-right:0;mso-position-horizontal-relative:page" coordorigin="2407,1899" coordsize="346,35" path="m2747,1899r-333,l2407,1906r,22l2414,1934r333,l2753,1928r,-22l2747,1899xe" fillcolor="#6d6e71" stroked="f">
            <v:path arrowok="t"/>
            <w10:wrap type="topAndBottom" anchorx="page"/>
          </v:shape>
        </w:pict>
      </w:r>
      <w:r>
        <w:pict w14:anchorId="7E06691B">
          <v:shape id="_x0000_s2513" style="position:absolute;margin-left:120.2pt;margin-top:108.7pt;width:17.65pt;height:1.9pt;z-index:251689472;mso-wrap-distance-left:0;mso-wrap-distance-right:0;mso-position-horizontal-relative:page" coordorigin="2404,2174" coordsize="353,38" path="m2750,2174r-339,l2404,2181r,23l2411,2211r339,l2757,2204r,-23l2750,2174xe" fillcolor="#6d6e71" stroked="f">
            <v:path arrowok="t"/>
            <w10:wrap type="topAndBottom" anchorx="page"/>
          </v:shape>
        </w:pict>
      </w:r>
    </w:p>
    <w:p w14:paraId="5F2FDF31" w14:textId="77777777" w:rsidR="00EF5B27" w:rsidRDefault="00EF5B27">
      <w:pPr>
        <w:pStyle w:val="BodyText"/>
        <w:spacing w:before="11"/>
        <w:rPr>
          <w:b/>
          <w:sz w:val="14"/>
        </w:rPr>
      </w:pPr>
    </w:p>
    <w:p w14:paraId="4A924E44" w14:textId="77777777" w:rsidR="00EF5B27" w:rsidRDefault="00EF5B27">
      <w:pPr>
        <w:pStyle w:val="BodyText"/>
        <w:spacing w:before="9"/>
        <w:rPr>
          <w:b/>
          <w:sz w:val="14"/>
        </w:rPr>
      </w:pPr>
    </w:p>
    <w:p w14:paraId="69D15D05" w14:textId="77777777" w:rsidR="00EF5B27" w:rsidRDefault="00EF5B27">
      <w:pPr>
        <w:pStyle w:val="BodyText"/>
        <w:spacing w:before="7"/>
        <w:rPr>
          <w:b/>
          <w:sz w:val="14"/>
        </w:rPr>
      </w:pPr>
    </w:p>
    <w:p w14:paraId="1FEA6C40" w14:textId="77777777" w:rsidR="00EF5B27" w:rsidRDefault="00EF5B27">
      <w:pPr>
        <w:pStyle w:val="BodyText"/>
        <w:spacing w:before="5"/>
        <w:rPr>
          <w:b/>
          <w:sz w:val="14"/>
        </w:rPr>
      </w:pPr>
    </w:p>
    <w:p w14:paraId="7F478825" w14:textId="77777777" w:rsidR="00EF5B27" w:rsidRDefault="00EF5B27">
      <w:pPr>
        <w:pStyle w:val="BodyText"/>
        <w:spacing w:before="3"/>
        <w:rPr>
          <w:b/>
          <w:sz w:val="14"/>
        </w:rPr>
      </w:pPr>
    </w:p>
    <w:p w14:paraId="763EFCC8" w14:textId="77777777" w:rsidR="00EF5B27" w:rsidRDefault="00EF5B27">
      <w:pPr>
        <w:pStyle w:val="BodyText"/>
        <w:spacing w:before="1"/>
        <w:rPr>
          <w:b/>
          <w:sz w:val="14"/>
        </w:rPr>
      </w:pPr>
    </w:p>
    <w:p w14:paraId="697482E9" w14:textId="77777777" w:rsidR="00EF5B27" w:rsidRDefault="00EF5B27">
      <w:pPr>
        <w:pStyle w:val="BodyText"/>
        <w:rPr>
          <w:b/>
          <w:sz w:val="14"/>
        </w:rPr>
      </w:pPr>
    </w:p>
    <w:p w14:paraId="35CF0108" w14:textId="77777777" w:rsidR="00EF5B27" w:rsidRDefault="00000000">
      <w:pPr>
        <w:spacing w:before="78"/>
        <w:ind w:left="331"/>
        <w:rPr>
          <w:b/>
          <w:sz w:val="25"/>
        </w:rPr>
      </w:pPr>
      <w:r>
        <w:rPr>
          <w:b/>
          <w:spacing w:val="12"/>
          <w:w w:val="110"/>
          <w:sz w:val="25"/>
        </w:rPr>
        <w:t>2000</w:t>
      </w:r>
    </w:p>
    <w:p w14:paraId="61676852" w14:textId="77777777" w:rsidR="00EF5B27" w:rsidRDefault="00EF5B27">
      <w:pPr>
        <w:pStyle w:val="BodyText"/>
        <w:rPr>
          <w:b/>
        </w:rPr>
      </w:pPr>
    </w:p>
    <w:p w14:paraId="5719F884" w14:textId="77777777" w:rsidR="00EF5B27" w:rsidRDefault="00EF5B27">
      <w:pPr>
        <w:pStyle w:val="BodyText"/>
        <w:rPr>
          <w:b/>
        </w:rPr>
      </w:pPr>
    </w:p>
    <w:p w14:paraId="1A5FBAEB" w14:textId="77777777" w:rsidR="00EF5B27" w:rsidRDefault="00000000">
      <w:pPr>
        <w:pStyle w:val="BodyText"/>
        <w:spacing w:before="1"/>
        <w:rPr>
          <w:b/>
          <w:sz w:val="12"/>
        </w:rPr>
      </w:pPr>
      <w:r>
        <w:pict w14:anchorId="56FB2AA4">
          <v:line id="_x0000_s2512" style="position:absolute;z-index:251690496;mso-wrap-distance-left:0;mso-wrap-distance-right:0;mso-position-horizontal-relative:page" from="121.25pt,10pt" to="136.8pt,10pt" strokecolor="#6d6e71" strokeweight=".42792mm">
            <w10:wrap type="topAndBottom" anchorx="page"/>
          </v:line>
        </w:pict>
      </w:r>
    </w:p>
    <w:p w14:paraId="6592907A" w14:textId="77777777" w:rsidR="00EF5B27" w:rsidRDefault="00EF5B27">
      <w:pPr>
        <w:pStyle w:val="BodyText"/>
        <w:rPr>
          <w:b/>
          <w:sz w:val="32"/>
        </w:rPr>
      </w:pPr>
    </w:p>
    <w:p w14:paraId="42BD809F" w14:textId="77777777" w:rsidR="00EF5B27" w:rsidRDefault="00EF5B27">
      <w:pPr>
        <w:pStyle w:val="BodyText"/>
        <w:rPr>
          <w:b/>
          <w:sz w:val="32"/>
        </w:rPr>
      </w:pPr>
    </w:p>
    <w:p w14:paraId="7AFC279A" w14:textId="77777777" w:rsidR="00EF5B27" w:rsidRDefault="00EF5B27">
      <w:pPr>
        <w:pStyle w:val="BodyText"/>
        <w:rPr>
          <w:b/>
          <w:sz w:val="32"/>
        </w:rPr>
      </w:pPr>
    </w:p>
    <w:p w14:paraId="368848F7" w14:textId="77777777" w:rsidR="00EF5B27" w:rsidRDefault="00EF5B27">
      <w:pPr>
        <w:pStyle w:val="BodyText"/>
        <w:spacing w:before="8"/>
        <w:rPr>
          <w:b/>
          <w:sz w:val="45"/>
        </w:rPr>
      </w:pPr>
    </w:p>
    <w:p w14:paraId="2563F5B0" w14:textId="77777777" w:rsidR="00EF5B27" w:rsidRDefault="00000000">
      <w:pPr>
        <w:ind w:left="331"/>
        <w:rPr>
          <w:b/>
          <w:sz w:val="25"/>
        </w:rPr>
      </w:pPr>
      <w:r>
        <w:pict w14:anchorId="7C9FBCE7">
          <v:line id="_x0000_s2511" style="position:absolute;left:0;text-align:left;z-index:251691520;mso-wrap-distance-left:0;mso-wrap-distance-right:0;mso-position-horizontal-relative:page" from="121.6pt,22.15pt" to="136.4pt,22.15pt" strokecolor="#6d6e71" strokeweight=".35208mm">
            <w10:wrap type="topAndBottom" anchorx="page"/>
          </v:line>
        </w:pict>
      </w:r>
      <w:r>
        <w:pict w14:anchorId="171ED644">
          <v:line id="_x0000_s2510" style="position:absolute;left:0;text-align:left;z-index:251692544;mso-wrap-distance-left:0;mso-wrap-distance-right:0;mso-position-horizontal-relative:page" from="121.45pt,35.9pt" to="136.6pt,35.9pt" strokecolor="#6d6e71" strokeweight=".39017mm">
            <w10:wrap type="topAndBottom" anchorx="page"/>
          </v:line>
        </w:pict>
      </w:r>
      <w:r>
        <w:pict w14:anchorId="150EBB5C">
          <v:group id="_x0000_s2502" style="position:absolute;left:0;text-align:left;margin-left:121.1pt;margin-top:46.25pt;width:395.15pt;height:20.35pt;z-index:251694592;mso-wrap-distance-left:0;mso-wrap-distance-right:0;mso-position-horizontal-relative:page" coordorigin="2422,925" coordsize="7903,407">
            <v:line id="_x0000_s2509" style="position:absolute" from="2422,1269" to="2739,1269" strokecolor="#6d6e71" strokeweight=".46603mm"/>
            <v:line id="_x0000_s2508" style="position:absolute" from="2425,994" to="2736,994" strokecolor="#6d6e71" strokeweight=".42792mm"/>
            <v:line id="_x0000_s2507" style="position:absolute" from="2752,1139" to="5808,1139" strokeweight=".27975mm"/>
            <v:shape id="_x0000_s2506" type="#_x0000_t75" style="position:absolute;left:2698;top:941;width:136;height:387">
              <v:imagedata r:id="rId173" o:title=""/>
            </v:shape>
            <v:shape id="_x0000_s2505" style="position:absolute;left:4012;top:930;width:6306;height:395" coordorigin="4013,931" coordsize="6306,395" path="m10258,931r-6184,l4050,935r-19,13l4018,968r-5,23l4013,1264r5,24l4031,1307r19,13l4074,1325r6184,l10281,1320r20,-13l10314,1288r5,-24l10319,991r-5,-23l10301,948r-20,-13l10258,931xe" stroked="f">
              <v:path arrowok="t"/>
            </v:shape>
            <v:shape id="_x0000_s2504" style="position:absolute;left:4012;top:930;width:6306;height:395" coordorigin="4013,931" coordsize="6306,395" path="m10258,1325r-6184,l4050,1320r-19,-13l4018,1288r-5,-24l4013,991r5,-23l4031,948r19,-13l4074,931r6184,l10281,935r20,13l10314,968r5,23l10319,1264r-5,24l10301,1307r-20,13l10258,1325xe" filled="f" strokecolor="#231f20" strokeweight=".21236mm">
              <v:path arrowok="t"/>
            </v:shape>
            <v:shape id="_x0000_s2503" type="#_x0000_t202" style="position:absolute;left:2421;top:924;width:7903;height:407" filled="f" stroked="f">
              <v:textbox inset="0,0,0,0">
                <w:txbxContent>
                  <w:p w14:paraId="2E0678DA" w14:textId="77777777" w:rsidR="00EF5B27" w:rsidRDefault="00000000">
                    <w:pPr>
                      <w:numPr>
                        <w:ilvl w:val="0"/>
                        <w:numId w:val="17"/>
                      </w:numPr>
                      <w:tabs>
                        <w:tab w:val="left" w:pos="1824"/>
                      </w:tabs>
                      <w:spacing w:before="94"/>
                      <w:ind w:hanging="92"/>
                      <w:rPr>
                        <w:rFonts w:ascii="Century Gothic"/>
                        <w:sz w:val="17"/>
                      </w:rPr>
                    </w:pPr>
                    <w:r>
                      <w:rPr>
                        <w:rFonts w:ascii="Century Gothic"/>
                        <w:w w:val="90"/>
                        <w:sz w:val="17"/>
                      </w:rPr>
                      <w:t>All</w:t>
                    </w:r>
                    <w:r>
                      <w:rPr>
                        <w:rFonts w:ascii="Century Gothic"/>
                        <w:spacing w:val="-25"/>
                        <w:w w:val="90"/>
                        <w:sz w:val="17"/>
                      </w:rPr>
                      <w:t xml:space="preserve"> </w:t>
                    </w:r>
                    <w:r>
                      <w:rPr>
                        <w:rFonts w:ascii="Century Gothic"/>
                        <w:w w:val="90"/>
                        <w:sz w:val="17"/>
                      </w:rPr>
                      <w:t>urban</w:t>
                    </w:r>
                    <w:r>
                      <w:rPr>
                        <w:rFonts w:ascii="Century Gothic"/>
                        <w:spacing w:val="-25"/>
                        <w:w w:val="90"/>
                        <w:sz w:val="17"/>
                      </w:rPr>
                      <w:t xml:space="preserve"> </w:t>
                    </w:r>
                    <w:r>
                      <w:rPr>
                        <w:rFonts w:ascii="Century Gothic"/>
                        <w:w w:val="90"/>
                        <w:sz w:val="17"/>
                      </w:rPr>
                      <w:t>development</w:t>
                    </w:r>
                    <w:r>
                      <w:rPr>
                        <w:rFonts w:ascii="Century Gothic"/>
                        <w:spacing w:val="-25"/>
                        <w:w w:val="90"/>
                        <w:sz w:val="17"/>
                      </w:rPr>
                      <w:t xml:space="preserve"> </w:t>
                    </w:r>
                    <w:r>
                      <w:rPr>
                        <w:rFonts w:ascii="Century Gothic"/>
                        <w:w w:val="90"/>
                        <w:sz w:val="17"/>
                      </w:rPr>
                      <w:t>actions</w:t>
                    </w:r>
                    <w:r>
                      <w:rPr>
                        <w:rFonts w:ascii="Century Gothic"/>
                        <w:spacing w:val="-25"/>
                        <w:w w:val="90"/>
                        <w:sz w:val="17"/>
                      </w:rPr>
                      <w:t xml:space="preserve"> </w:t>
                    </w:r>
                    <w:r>
                      <w:rPr>
                        <w:rFonts w:ascii="Century Gothic"/>
                        <w:w w:val="90"/>
                        <w:sz w:val="17"/>
                      </w:rPr>
                      <w:t>associated</w:t>
                    </w:r>
                    <w:r>
                      <w:rPr>
                        <w:rFonts w:ascii="Century Gothic"/>
                        <w:spacing w:val="-24"/>
                        <w:w w:val="90"/>
                        <w:sz w:val="17"/>
                      </w:rPr>
                      <w:t xml:space="preserve"> </w:t>
                    </w:r>
                    <w:r>
                      <w:rPr>
                        <w:rFonts w:ascii="Century Gothic"/>
                        <w:w w:val="90"/>
                        <w:sz w:val="17"/>
                      </w:rPr>
                      <w:t>with</w:t>
                    </w:r>
                    <w:r>
                      <w:rPr>
                        <w:rFonts w:ascii="Century Gothic"/>
                        <w:spacing w:val="-25"/>
                        <w:w w:val="90"/>
                        <w:sz w:val="17"/>
                      </w:rPr>
                      <w:t xml:space="preserve"> </w:t>
                    </w:r>
                    <w:r>
                      <w:rPr>
                        <w:rFonts w:ascii="Century Gothic"/>
                        <w:w w:val="90"/>
                        <w:sz w:val="17"/>
                      </w:rPr>
                      <w:t>MSA</w:t>
                    </w:r>
                    <w:r>
                      <w:rPr>
                        <w:rFonts w:ascii="Century Gothic"/>
                        <w:spacing w:val="-25"/>
                        <w:w w:val="90"/>
                        <w:sz w:val="17"/>
                      </w:rPr>
                      <w:t xml:space="preserve"> </w:t>
                    </w:r>
                    <w:r>
                      <w:rPr>
                        <w:rFonts w:ascii="Century Gothic"/>
                        <w:w w:val="90"/>
                        <w:sz w:val="17"/>
                      </w:rPr>
                      <w:t>growth</w:t>
                    </w:r>
                    <w:r>
                      <w:rPr>
                        <w:rFonts w:ascii="Century Gothic"/>
                        <w:spacing w:val="-25"/>
                        <w:w w:val="90"/>
                        <w:sz w:val="17"/>
                      </w:rPr>
                      <w:t xml:space="preserve"> </w:t>
                    </w:r>
                    <w:r>
                      <w:rPr>
                        <w:rFonts w:ascii="Century Gothic"/>
                        <w:w w:val="90"/>
                        <w:sz w:val="17"/>
                      </w:rPr>
                      <w:t>corridor</w:t>
                    </w:r>
                    <w:r>
                      <w:rPr>
                        <w:rFonts w:ascii="Century Gothic"/>
                        <w:spacing w:val="-25"/>
                        <w:w w:val="90"/>
                        <w:sz w:val="17"/>
                      </w:rPr>
                      <w:t xml:space="preserve"> </w:t>
                    </w:r>
                    <w:r>
                      <w:rPr>
                        <w:rFonts w:ascii="Century Gothic"/>
                        <w:w w:val="90"/>
                        <w:sz w:val="17"/>
                      </w:rPr>
                      <w:t>plans</w:t>
                    </w:r>
                    <w:r>
                      <w:rPr>
                        <w:rFonts w:ascii="Century Gothic"/>
                        <w:spacing w:val="-24"/>
                        <w:w w:val="90"/>
                        <w:sz w:val="17"/>
                      </w:rPr>
                      <w:t xml:space="preserve"> </w:t>
                    </w:r>
                    <w:r>
                      <w:rPr>
                        <w:rFonts w:ascii="Century Gothic"/>
                        <w:w w:val="90"/>
                        <w:sz w:val="17"/>
                      </w:rPr>
                      <w:t>approved</w:t>
                    </w:r>
                  </w:p>
                </w:txbxContent>
              </v:textbox>
            </v:shape>
            <w10:wrap type="topAndBottom" anchorx="page"/>
          </v:group>
        </w:pict>
      </w:r>
      <w:r>
        <w:pict w14:anchorId="713664ED">
          <v:line id="_x0000_s2501" style="position:absolute;left:0;text-align:left;z-index:251696640;mso-wrap-distance-left:0;mso-wrap-distance-right:0;mso-position-horizontal-relative:page" from="120.9pt,77.2pt" to="137.15pt,77.2pt" strokecolor="#6d6e71" strokeweight=".50342mm">
            <w10:wrap type="topAndBottom" anchorx="page"/>
          </v:line>
        </w:pict>
      </w:r>
      <w:r>
        <w:pict w14:anchorId="4ECAD441">
          <v:line id="_x0000_s2500" style="position:absolute;left:0;text-align:left;z-index:251697664;mso-wrap-distance-left:0;mso-wrap-distance-right:0;mso-position-horizontal-relative:page" from="120.75pt,90.95pt" to="137.3pt,90.95pt" strokecolor="#6d6e71" strokeweight=".5415mm">
            <w10:wrap type="topAndBottom" anchorx="page"/>
          </v:line>
        </w:pict>
      </w:r>
      <w:r>
        <w:pict w14:anchorId="563D9AB4">
          <v:group id="_x0000_s2497" style="position:absolute;left:0;text-align:left;margin-left:106.7pt;margin-top:-132.7pt;width:34.65pt;height:4pt;z-index:-251499008;mso-position-horizontal-relative:page" coordorigin="2134,-2654" coordsize="693,80">
            <v:shape id="_x0000_s2499" style="position:absolute;left:2400;top:-2635;width:360;height:40" coordorigin="2400,-2635" coordsize="360,40" path="m2753,-2635r-345,l2400,-2628r,25l2408,-2596r345,l2760,-2603r,-25l2753,-2635xe" fillcolor="#6d6e71" stroked="f">
              <v:path arrowok="t"/>
            </v:shape>
            <v:shape id="_x0000_s2498" style="position:absolute;left:2133;top:-2655;width:693;height:80" coordorigin="2134,-2654" coordsize="693,80" path="m2793,-2654r-627,l2154,-2652r-11,7l2136,-2635r-2,13l2134,-2608r2,13l2143,-2585r11,7l2166,-2575r627,l2806,-2578r10,-7l2823,-2595r3,-13l2826,-2622r-3,-13l2816,-2645r-10,-7l2793,-2654xe" fillcolor="#f89e2a" stroked="f">
              <v:path arrowok="t"/>
            </v:shape>
            <w10:wrap anchorx="page"/>
          </v:group>
        </w:pict>
      </w:r>
      <w:r>
        <w:pict w14:anchorId="1464C41C">
          <v:group id="_x0000_s2494" style="position:absolute;left:0;text-align:left;margin-left:106.7pt;margin-top:143.95pt;width:34.65pt;height:4pt;z-index:251764224;mso-position-horizontal-relative:page" coordorigin="2134,2879" coordsize="693,80">
            <v:shape id="_x0000_s2496" style="position:absolute;left:2400;top:2900;width:360;height:40" coordorigin="2400,2901" coordsize="360,40" path="m2753,2901r-345,l2400,2908r,25l2408,2940r345,l2760,2933r,-25l2753,2901xe" fillcolor="#6d6e71" stroked="f">
              <v:path arrowok="t"/>
            </v:shape>
            <v:shape id="_x0000_s2495" style="position:absolute;left:2133;top:2878;width:693;height:80" coordorigin="2134,2879" coordsize="693,80" path="m2788,2879r-616,l2157,2882r-12,8l2137,2902r-3,15l2134,2919r3,15l2145,2946r12,9l2172,2958r616,l2803,2955r12,-9l2823,2934r3,-15l2826,2917r-3,-15l2815,2890r-12,-8l2788,2879xe" fillcolor="#f89e2a" stroked="f">
              <v:path arrowok="t"/>
            </v:shape>
            <w10:wrap anchorx="page"/>
          </v:group>
        </w:pict>
      </w:r>
      <w:r>
        <w:pict w14:anchorId="78C41C0B">
          <v:group id="_x0000_s2487" style="position:absolute;left:0;text-align:left;margin-left:106.7pt;margin-top:4.55pt;width:324.15pt;height:20.45pt;z-index:-251497984;mso-position-horizontal-relative:page" coordorigin="2134,91" coordsize="6483,409">
            <v:shape id="_x0000_s2493" style="position:absolute;left:2400;top:136;width:360;height:40" coordorigin="2400,136" coordsize="360,40" path="m2753,136r-345,l2400,143r,25l2408,175r345,l2760,168r,-25l2753,136xe" fillcolor="#6d6e71" stroked="f">
              <v:path arrowok="t"/>
            </v:shape>
            <v:shape id="_x0000_s2492" style="position:absolute;left:2133;top:114;width:693;height:79" coordorigin="2134,115" coordsize="693,79" path="m2788,115r-616,l2157,118r-12,8l2137,138r-3,15l2134,156r3,15l2145,183r12,8l2172,194r616,l2803,191r12,-8l2823,171r3,-15l2826,153r-3,-15l2815,126r-12,-8l2788,115xe" fillcolor="#f89e2a" stroked="f">
              <v:path arrowok="t"/>
            </v:shape>
            <v:shape id="_x0000_s2491" style="position:absolute;left:4012;top:98;width:4598;height:395" coordorigin="4013,99" coordsize="4598,395" path="m8550,493r-4476,l4050,488r-19,-13l4018,456r-5,-24l4013,159r5,-23l4031,116r19,-13l4074,99r4476,l8573,103r20,13l8606,136r5,23l8611,432r-5,24l8593,475r-20,13l8550,493xe" filled="f" strokecolor="#231f20" strokeweight=".21236mm">
              <v:path arrowok="t"/>
            </v:shape>
            <v:shape id="_x0000_s2490" style="position:absolute;left:2757;top:158;width:1253;height:129" coordorigin="2758,158" coordsize="1253,129" path="m2758,158r656,l3414,287r597,e" filled="f" strokeweight=".27975mm">
              <v:path arrowok="t"/>
            </v:shape>
            <v:shape id="_x0000_s2489" type="#_x0000_t75" style="position:absolute;left:2693;top:90;width:136;height:136">
              <v:imagedata r:id="rId174" o:title=""/>
            </v:shape>
            <v:shape id="_x0000_s2488" type="#_x0000_t202" style="position:absolute;left:2133;top:90;width:6483;height:409" filled="f" stroked="f">
              <v:textbox inset="0,0,0,0">
                <w:txbxContent>
                  <w:p w14:paraId="2C7225EB" w14:textId="77777777" w:rsidR="00EF5B27" w:rsidRDefault="00000000">
                    <w:pPr>
                      <w:numPr>
                        <w:ilvl w:val="0"/>
                        <w:numId w:val="15"/>
                      </w:numPr>
                      <w:tabs>
                        <w:tab w:val="left" w:pos="2112"/>
                      </w:tabs>
                      <w:spacing w:before="96"/>
                      <w:ind w:hanging="92"/>
                      <w:rPr>
                        <w:rFonts w:ascii="Century Gothic"/>
                        <w:sz w:val="17"/>
                      </w:rPr>
                    </w:pPr>
                    <w:r>
                      <w:rPr>
                        <w:rFonts w:ascii="Century Gothic"/>
                        <w:w w:val="90"/>
                        <w:sz w:val="17"/>
                      </w:rPr>
                      <w:t>Melbourne</w:t>
                    </w:r>
                    <w:r>
                      <w:rPr>
                        <w:rFonts w:ascii="Century Gothic"/>
                        <w:spacing w:val="-21"/>
                        <w:w w:val="90"/>
                        <w:sz w:val="17"/>
                      </w:rPr>
                      <w:t xml:space="preserve"> </w:t>
                    </w:r>
                    <w:r>
                      <w:rPr>
                        <w:rFonts w:ascii="Century Gothic"/>
                        <w:w w:val="90"/>
                        <w:sz w:val="17"/>
                      </w:rPr>
                      <w:t>Strategic</w:t>
                    </w:r>
                    <w:r>
                      <w:rPr>
                        <w:rFonts w:ascii="Century Gothic"/>
                        <w:spacing w:val="-20"/>
                        <w:w w:val="90"/>
                        <w:sz w:val="17"/>
                      </w:rPr>
                      <w:t xml:space="preserve"> </w:t>
                    </w:r>
                    <w:r>
                      <w:rPr>
                        <w:rFonts w:ascii="Century Gothic"/>
                        <w:w w:val="90"/>
                        <w:sz w:val="17"/>
                      </w:rPr>
                      <w:t>Assessment</w:t>
                    </w:r>
                    <w:r>
                      <w:rPr>
                        <w:rFonts w:ascii="Century Gothic"/>
                        <w:spacing w:val="-21"/>
                        <w:w w:val="90"/>
                        <w:sz w:val="17"/>
                      </w:rPr>
                      <w:t xml:space="preserve"> </w:t>
                    </w:r>
                    <w:r>
                      <w:rPr>
                        <w:rFonts w:ascii="Century Gothic"/>
                        <w:w w:val="90"/>
                        <w:sz w:val="17"/>
                      </w:rPr>
                      <w:t>Program</w:t>
                    </w:r>
                    <w:r>
                      <w:rPr>
                        <w:rFonts w:ascii="Century Gothic"/>
                        <w:spacing w:val="-20"/>
                        <w:w w:val="90"/>
                        <w:sz w:val="17"/>
                      </w:rPr>
                      <w:t xml:space="preserve"> </w:t>
                    </w:r>
                    <w:r>
                      <w:rPr>
                        <w:rFonts w:ascii="Century Gothic"/>
                        <w:w w:val="90"/>
                        <w:sz w:val="17"/>
                      </w:rPr>
                      <w:t>Report</w:t>
                    </w:r>
                    <w:r>
                      <w:rPr>
                        <w:rFonts w:ascii="Century Gothic"/>
                        <w:spacing w:val="-21"/>
                        <w:w w:val="90"/>
                        <w:sz w:val="17"/>
                      </w:rPr>
                      <w:t xml:space="preserve"> </w:t>
                    </w:r>
                    <w:r>
                      <w:rPr>
                        <w:rFonts w:ascii="Century Gothic"/>
                        <w:w w:val="90"/>
                        <w:sz w:val="17"/>
                      </w:rPr>
                      <w:t>approved</w:t>
                    </w:r>
                  </w:p>
                </w:txbxContent>
              </v:textbox>
            </v:shape>
            <w10:wrap anchorx="page"/>
          </v:group>
        </w:pict>
      </w:r>
      <w:r>
        <w:pict w14:anchorId="1674C2D7">
          <v:group id="_x0000_s2467" style="position:absolute;left:0;text-align:left;margin-left:120.2pt;margin-top:-149.25pt;width:335.7pt;height:146.3pt;z-index:-251496960;mso-position-horizontal-relative:page" coordorigin="2404,-2985" coordsize="6714,2926">
            <v:shape id="_x0000_s2486" style="position:absolute;left:2403;top:-413;width:353;height:312" coordorigin="2404,-412" coordsize="353,312" o:spt="100" adj="0,,0" path="m2753,-406r-6,-6l2414,-412r-7,6l2407,-384r7,7l2747,-377r6,-7l2753,-406t4,275l2750,-138r-339,l2404,-131r,23l2411,-101r339,l2757,-108r,-23e" fillcolor="#6d6e71" stroked="f">
              <v:stroke joinstyle="round"/>
              <v:formulas/>
              <v:path arrowok="t" o:connecttype="segments"/>
            </v:shape>
            <v:shape id="_x0000_s2485" style="position:absolute;left:2757;top:-400;width:1250;height:273" coordorigin="2758,-400" coordsize="1250,273" path="m2758,-128r653,l3411,-400r596,e" filled="f" strokeweight=".27975mm">
              <v:path arrowok="t"/>
            </v:shape>
            <v:shape id="_x0000_s2484" type="#_x0000_t75" style="position:absolute;left:2693;top:-196;width:136;height:136">
              <v:imagedata r:id="rId175" o:title=""/>
            </v:shape>
            <v:shape id="_x0000_s2483" style="position:absolute;left:4012;top:-701;width:5098;height:633" coordorigin="4013,-700" coordsize="5098,633" path="m9050,-68r-4976,l4050,-73r-19,-13l4018,-105r-5,-24l4013,-640r5,-23l4031,-683r19,-13l4074,-700r4976,l9073,-696r20,13l9106,-663r5,23l9111,-129r-5,24l9093,-86r-20,13l9050,-68xe" filled="f" strokecolor="#231f20" strokeweight=".21236mm">
              <v:path arrowok="t"/>
            </v:shape>
            <v:line id="_x0000_s2482" style="position:absolute" from="2411,-670" to="2750,-670" strokecolor="#6d6e71" strokeweight=".57925mm"/>
            <v:line id="_x0000_s2481" style="position:absolute" from="2415,-945" to="2746,-945" strokecolor="#6d6e71" strokeweight=".5415mm"/>
            <v:shape id="_x0000_s2480" style="position:absolute;left:2752;top:-1405;width:1259;height:613" coordorigin="2752,-1405" coordsize="1259,613" path="m2752,-792r662,l3414,-1405r597,e" filled="f" strokeweight=".27975mm">
              <v:path arrowok="t"/>
            </v:shape>
            <v:shape id="_x0000_s2479" style="position:absolute;left:2706;top:-1282;width:121;height:948" coordorigin="2706,-1282" coordsize="121,948" path="m2766,-1282r-23,5l2724,-1264r-13,19l2706,-1222r,827l2711,-371r13,19l2743,-339r23,4l2789,-339r20,-13l2821,-371r5,-24l2826,-1222r-5,-23l2809,-1264r-20,-13l2766,-1282xe" stroked="f">
              <v:path arrowok="t"/>
            </v:shape>
            <v:shape id="_x0000_s2478" style="position:absolute;left:2706;top:-1282;width:121;height:948" coordorigin="2706,-1282" coordsize="121,948" path="m2826,-1222r,827l2821,-371r-12,19l2789,-339r-23,4l2743,-339r-19,-13l2711,-371r-5,-24l2706,-1222r5,-23l2724,-1264r19,-13l2766,-1282r23,5l2809,-1264r12,19l2826,-1222xe" filled="f" strokecolor="#231f20" strokeweight=".27975mm">
              <v:path arrowok="t"/>
            </v:shape>
            <v:line id="_x0000_s2477" style="position:absolute" from="2429,-2046" to="2732,-2046" strokecolor="#6d6e71" strokeweight=".39017mm"/>
            <v:line id="_x0000_s2476" style="position:absolute" from="2432,-2322" to="2728,-2322" strokecolor="#6d6e71" strokeweight=".35208mm"/>
            <v:shape id="_x0000_s2475" style="position:absolute;left:4014;top:-2980;width:5098;height:861" coordorigin="4014,-2979" coordsize="5098,861" path="m9051,-2119r-4976,l4051,-2124r-19,-13l4019,-2156r-5,-24l4014,-2918r5,-24l4032,-2961r19,-13l4075,-2979r4976,l9074,-2974r20,13l9107,-2942r4,24l9111,-2180r-4,24l9094,-2137r-20,13l9051,-2119xe" filled="f" strokecolor="#231f20" strokeweight=".21236mm">
              <v:path arrowok="t"/>
            </v:shape>
            <v:shape id="_x0000_s2474" style="position:absolute;left:2757;top:-2320;width:1250;height:273" coordorigin="2758,-2320" coordsize="1250,273" path="m2758,-2047r653,l3411,-2320r596,e" filled="f" strokeweight=".27975mm">
              <v:path arrowok="t"/>
            </v:shape>
            <v:shape id="_x0000_s2473" type="#_x0000_t75" style="position:absolute;left:2693;top:-2115;width:136;height:136">
              <v:imagedata r:id="rId174" o:title=""/>
            </v:shape>
            <v:shape id="_x0000_s2472" style="position:absolute;left:4012;top:-1974;width:5098;height:1117" coordorigin="4013,-1974" coordsize="5098,1117" path="m9050,-857r-4976,l4050,-862r-19,-13l4018,-894r-5,-24l4013,-1913r5,-23l4031,-1956r19,-13l4074,-1974r4976,l9073,-1969r20,13l9106,-1936r5,23l9111,-918r-5,24l9093,-875r-20,13l9050,-857xe" filled="f" strokecolor="#231f20" strokeweight=".21236mm">
              <v:path arrowok="t"/>
            </v:shape>
            <v:shape id="_x0000_s2471" type="#_x0000_t202" style="position:absolute;left:4154;top:-2884;width:4814;height:675" filled="f" stroked="f">
              <v:textbox inset="0,0,0,0">
                <w:txbxContent>
                  <w:p w14:paraId="638B4897" w14:textId="77777777" w:rsidR="00EF5B27" w:rsidRDefault="00000000">
                    <w:pPr>
                      <w:numPr>
                        <w:ilvl w:val="0"/>
                        <w:numId w:val="14"/>
                      </w:numPr>
                      <w:tabs>
                        <w:tab w:val="left" w:pos="93"/>
                      </w:tabs>
                      <w:spacing w:line="210" w:lineRule="exact"/>
                      <w:ind w:hanging="92"/>
                      <w:rPr>
                        <w:rFonts w:ascii="Century Gothic"/>
                        <w:sz w:val="17"/>
                      </w:rPr>
                    </w:pPr>
                    <w:r>
                      <w:rPr>
                        <w:rFonts w:ascii="Century Gothic"/>
                        <w:color w:val="231F20"/>
                        <w:w w:val="95"/>
                        <w:sz w:val="17"/>
                      </w:rPr>
                      <w:t>Urban expansion</w:t>
                    </w:r>
                    <w:r>
                      <w:rPr>
                        <w:rFonts w:ascii="Century Gothic"/>
                        <w:color w:val="231F20"/>
                        <w:spacing w:val="-14"/>
                        <w:w w:val="95"/>
                        <w:sz w:val="17"/>
                      </w:rPr>
                      <w:t xml:space="preserve"> </w:t>
                    </w:r>
                    <w:r>
                      <w:rPr>
                        <w:rFonts w:ascii="Century Gothic"/>
                        <w:color w:val="231F20"/>
                        <w:w w:val="95"/>
                        <w:sz w:val="17"/>
                      </w:rPr>
                      <w:t>coordinated</w:t>
                    </w:r>
                  </w:p>
                  <w:p w14:paraId="716CB1C1" w14:textId="77777777" w:rsidR="00EF5B27" w:rsidRDefault="00000000">
                    <w:pPr>
                      <w:numPr>
                        <w:ilvl w:val="0"/>
                        <w:numId w:val="14"/>
                      </w:numPr>
                      <w:tabs>
                        <w:tab w:val="left" w:pos="93"/>
                      </w:tabs>
                      <w:spacing w:before="16"/>
                      <w:ind w:hanging="92"/>
                      <w:rPr>
                        <w:rFonts w:ascii="Century Gothic"/>
                        <w:sz w:val="17"/>
                      </w:rPr>
                    </w:pPr>
                    <w:r>
                      <w:rPr>
                        <w:rFonts w:ascii="Century Gothic"/>
                        <w:color w:val="231F20"/>
                        <w:w w:val="95"/>
                        <w:sz w:val="17"/>
                      </w:rPr>
                      <w:t>Urban</w:t>
                    </w:r>
                    <w:r>
                      <w:rPr>
                        <w:rFonts w:ascii="Century Gothic"/>
                        <w:color w:val="231F20"/>
                        <w:spacing w:val="-18"/>
                        <w:w w:val="95"/>
                        <w:sz w:val="17"/>
                      </w:rPr>
                      <w:t xml:space="preserve"> </w:t>
                    </w:r>
                    <w:r>
                      <w:rPr>
                        <w:rFonts w:ascii="Century Gothic"/>
                        <w:color w:val="231F20"/>
                        <w:w w:val="95"/>
                        <w:sz w:val="17"/>
                      </w:rPr>
                      <w:t>Growth</w:t>
                    </w:r>
                    <w:r>
                      <w:rPr>
                        <w:rFonts w:ascii="Century Gothic"/>
                        <w:color w:val="231F20"/>
                        <w:spacing w:val="-18"/>
                        <w:w w:val="95"/>
                        <w:sz w:val="17"/>
                      </w:rPr>
                      <w:t xml:space="preserve"> </w:t>
                    </w:r>
                    <w:r>
                      <w:rPr>
                        <w:rFonts w:ascii="Century Gothic"/>
                        <w:color w:val="231F20"/>
                        <w:w w:val="95"/>
                        <w:sz w:val="17"/>
                      </w:rPr>
                      <w:t>Boundary</w:t>
                    </w:r>
                    <w:r>
                      <w:rPr>
                        <w:rFonts w:ascii="Century Gothic"/>
                        <w:color w:val="231F20"/>
                        <w:spacing w:val="-18"/>
                        <w:w w:val="95"/>
                        <w:sz w:val="17"/>
                      </w:rPr>
                      <w:t xml:space="preserve"> </w:t>
                    </w:r>
                    <w:r>
                      <w:rPr>
                        <w:rFonts w:ascii="Century Gothic"/>
                        <w:color w:val="231F20"/>
                        <w:w w:val="95"/>
                        <w:sz w:val="17"/>
                      </w:rPr>
                      <w:t>introduced</w:t>
                    </w:r>
                    <w:r>
                      <w:rPr>
                        <w:rFonts w:ascii="Century Gothic"/>
                        <w:color w:val="231F20"/>
                        <w:spacing w:val="-18"/>
                        <w:w w:val="95"/>
                        <w:sz w:val="17"/>
                      </w:rPr>
                      <w:t xml:space="preserve"> </w:t>
                    </w:r>
                    <w:r>
                      <w:rPr>
                        <w:rFonts w:ascii="Century Gothic"/>
                        <w:color w:val="231F20"/>
                        <w:w w:val="95"/>
                        <w:sz w:val="17"/>
                      </w:rPr>
                      <w:t>under</w:t>
                    </w:r>
                    <w:r>
                      <w:rPr>
                        <w:rFonts w:ascii="Century Gothic"/>
                        <w:color w:val="231F20"/>
                        <w:spacing w:val="-17"/>
                        <w:w w:val="95"/>
                        <w:sz w:val="17"/>
                      </w:rPr>
                      <w:t xml:space="preserve"> </w:t>
                    </w:r>
                    <w:r>
                      <w:rPr>
                        <w:rFonts w:ascii="Century Gothic"/>
                        <w:color w:val="231F20"/>
                        <w:w w:val="95"/>
                        <w:sz w:val="17"/>
                      </w:rPr>
                      <w:t>the</w:t>
                    </w:r>
                    <w:r>
                      <w:rPr>
                        <w:rFonts w:ascii="Century Gothic"/>
                        <w:color w:val="231F20"/>
                        <w:spacing w:val="-18"/>
                        <w:w w:val="95"/>
                        <w:sz w:val="17"/>
                      </w:rPr>
                      <w:t xml:space="preserve"> </w:t>
                    </w:r>
                    <w:r>
                      <w:rPr>
                        <w:rFonts w:ascii="Century Gothic"/>
                        <w:color w:val="231F20"/>
                        <w:w w:val="95"/>
                        <w:sz w:val="17"/>
                      </w:rPr>
                      <w:t>P&amp;E</w:t>
                    </w:r>
                    <w:r>
                      <w:rPr>
                        <w:rFonts w:ascii="Century Gothic"/>
                        <w:color w:val="231F20"/>
                        <w:spacing w:val="-18"/>
                        <w:w w:val="95"/>
                        <w:sz w:val="17"/>
                      </w:rPr>
                      <w:t xml:space="preserve"> </w:t>
                    </w:r>
                    <w:r>
                      <w:rPr>
                        <w:rFonts w:ascii="Century Gothic"/>
                        <w:color w:val="231F20"/>
                        <w:w w:val="95"/>
                        <w:sz w:val="17"/>
                      </w:rPr>
                      <w:t>Act</w:t>
                    </w:r>
                  </w:p>
                  <w:p w14:paraId="71EC1E57" w14:textId="77777777" w:rsidR="00EF5B27" w:rsidRDefault="00000000">
                    <w:pPr>
                      <w:numPr>
                        <w:ilvl w:val="0"/>
                        <w:numId w:val="14"/>
                      </w:numPr>
                      <w:tabs>
                        <w:tab w:val="left" w:pos="93"/>
                      </w:tabs>
                      <w:spacing w:before="16"/>
                      <w:ind w:hanging="92"/>
                      <w:rPr>
                        <w:rFonts w:ascii="Century Gothic" w:hAnsi="Century Gothic"/>
                        <w:sz w:val="17"/>
                      </w:rPr>
                    </w:pPr>
                    <w:r>
                      <w:rPr>
                        <w:rFonts w:ascii="Century Gothic" w:hAnsi="Century Gothic"/>
                        <w:color w:val="231F20"/>
                        <w:w w:val="90"/>
                        <w:sz w:val="17"/>
                      </w:rPr>
                      <w:t>Melbourne</w:t>
                    </w:r>
                    <w:r>
                      <w:rPr>
                        <w:rFonts w:ascii="Century Gothic" w:hAnsi="Century Gothic"/>
                        <w:color w:val="231F20"/>
                        <w:spacing w:val="-19"/>
                        <w:w w:val="90"/>
                        <w:sz w:val="17"/>
                      </w:rPr>
                      <w:t xml:space="preserve"> </w:t>
                    </w:r>
                    <w:r>
                      <w:rPr>
                        <w:rFonts w:ascii="Century Gothic" w:hAnsi="Century Gothic"/>
                        <w:color w:val="231F20"/>
                        <w:w w:val="90"/>
                        <w:sz w:val="17"/>
                      </w:rPr>
                      <w:t>2030</w:t>
                    </w:r>
                    <w:r>
                      <w:rPr>
                        <w:rFonts w:ascii="Century Gothic" w:hAnsi="Century Gothic"/>
                        <w:color w:val="231F20"/>
                        <w:spacing w:val="-18"/>
                        <w:w w:val="90"/>
                        <w:sz w:val="17"/>
                      </w:rPr>
                      <w:t xml:space="preserve"> </w:t>
                    </w:r>
                    <w:r>
                      <w:rPr>
                        <w:rFonts w:ascii="Century Gothic" w:hAnsi="Century Gothic"/>
                        <w:color w:val="231F20"/>
                        <w:w w:val="90"/>
                        <w:sz w:val="17"/>
                      </w:rPr>
                      <w:t>–</w:t>
                    </w:r>
                    <w:r>
                      <w:rPr>
                        <w:rFonts w:ascii="Century Gothic" w:hAnsi="Century Gothic"/>
                        <w:color w:val="231F20"/>
                        <w:spacing w:val="-19"/>
                        <w:w w:val="90"/>
                        <w:sz w:val="17"/>
                      </w:rPr>
                      <w:t xml:space="preserve"> </w:t>
                    </w:r>
                    <w:r>
                      <w:rPr>
                        <w:rFonts w:ascii="Century Gothic" w:hAnsi="Century Gothic"/>
                        <w:color w:val="231F20"/>
                        <w:w w:val="90"/>
                        <w:sz w:val="17"/>
                      </w:rPr>
                      <w:t>planning</w:t>
                    </w:r>
                    <w:r>
                      <w:rPr>
                        <w:rFonts w:ascii="Century Gothic" w:hAnsi="Century Gothic"/>
                        <w:color w:val="231F20"/>
                        <w:spacing w:val="-18"/>
                        <w:w w:val="90"/>
                        <w:sz w:val="17"/>
                      </w:rPr>
                      <w:t xml:space="preserve"> </w:t>
                    </w:r>
                    <w:r>
                      <w:rPr>
                        <w:rFonts w:ascii="Century Gothic" w:hAnsi="Century Gothic"/>
                        <w:color w:val="231F20"/>
                        <w:w w:val="90"/>
                        <w:sz w:val="17"/>
                      </w:rPr>
                      <w:t>for</w:t>
                    </w:r>
                    <w:r>
                      <w:rPr>
                        <w:rFonts w:ascii="Century Gothic" w:hAnsi="Century Gothic"/>
                        <w:color w:val="231F20"/>
                        <w:spacing w:val="-19"/>
                        <w:w w:val="90"/>
                        <w:sz w:val="17"/>
                      </w:rPr>
                      <w:t xml:space="preserve"> </w:t>
                    </w:r>
                    <w:r>
                      <w:rPr>
                        <w:rFonts w:ascii="Century Gothic" w:hAnsi="Century Gothic"/>
                        <w:color w:val="231F20"/>
                        <w:w w:val="90"/>
                        <w:sz w:val="17"/>
                      </w:rPr>
                      <w:t>sustainable</w:t>
                    </w:r>
                    <w:r>
                      <w:rPr>
                        <w:rFonts w:ascii="Century Gothic" w:hAnsi="Century Gothic"/>
                        <w:color w:val="231F20"/>
                        <w:spacing w:val="-18"/>
                        <w:w w:val="90"/>
                        <w:sz w:val="17"/>
                      </w:rPr>
                      <w:t xml:space="preserve"> </w:t>
                    </w:r>
                    <w:r>
                      <w:rPr>
                        <w:rFonts w:ascii="Century Gothic" w:hAnsi="Century Gothic"/>
                        <w:color w:val="231F20"/>
                        <w:w w:val="90"/>
                        <w:sz w:val="17"/>
                      </w:rPr>
                      <w:t>growth</w:t>
                    </w:r>
                    <w:r>
                      <w:rPr>
                        <w:rFonts w:ascii="Century Gothic" w:hAnsi="Century Gothic"/>
                        <w:color w:val="231F20"/>
                        <w:spacing w:val="-19"/>
                        <w:w w:val="90"/>
                        <w:sz w:val="17"/>
                      </w:rPr>
                      <w:t xml:space="preserve"> </w:t>
                    </w:r>
                    <w:r>
                      <w:rPr>
                        <w:rFonts w:ascii="Century Gothic" w:hAnsi="Century Gothic"/>
                        <w:color w:val="231F20"/>
                        <w:w w:val="90"/>
                        <w:sz w:val="17"/>
                      </w:rPr>
                      <w:t>(2002)</w:t>
                    </w:r>
                    <w:r>
                      <w:rPr>
                        <w:rFonts w:ascii="Century Gothic" w:hAnsi="Century Gothic"/>
                        <w:color w:val="231F20"/>
                        <w:spacing w:val="-18"/>
                        <w:w w:val="90"/>
                        <w:sz w:val="17"/>
                      </w:rPr>
                      <w:t xml:space="preserve"> </w:t>
                    </w:r>
                    <w:r>
                      <w:rPr>
                        <w:rFonts w:ascii="Century Gothic" w:hAnsi="Century Gothic"/>
                        <w:color w:val="231F20"/>
                        <w:w w:val="90"/>
                        <w:sz w:val="17"/>
                      </w:rPr>
                      <w:t>released</w:t>
                    </w:r>
                  </w:p>
                </w:txbxContent>
              </v:textbox>
            </v:shape>
            <v:shape id="_x0000_s2470" type="#_x0000_t202" style="position:absolute;left:2418;top:-1643;width:345;height:440" filled="f" stroked="f">
              <v:textbox inset="0,0,0,0">
                <w:txbxContent>
                  <w:p w14:paraId="740B51C7" w14:textId="77777777" w:rsidR="00EF5B27" w:rsidRDefault="00000000">
                    <w:pPr>
                      <w:tabs>
                        <w:tab w:val="left" w:pos="320"/>
                      </w:tabs>
                      <w:spacing w:line="207" w:lineRule="exact"/>
                      <w:ind w:left="3"/>
                      <w:rPr>
                        <w:sz w:val="17"/>
                      </w:rPr>
                    </w:pPr>
                    <w:r>
                      <w:rPr>
                        <w:color w:val="231F20"/>
                        <w:w w:val="110"/>
                        <w:sz w:val="17"/>
                        <w:u w:val="thick" w:color="6D6E71"/>
                      </w:rPr>
                      <w:t xml:space="preserve"> </w:t>
                    </w:r>
                    <w:r>
                      <w:rPr>
                        <w:color w:val="231F20"/>
                        <w:sz w:val="17"/>
                        <w:u w:val="thick" w:color="6D6E71"/>
                      </w:rPr>
                      <w:tab/>
                    </w:r>
                  </w:p>
                  <w:p w14:paraId="714D22F2" w14:textId="77777777" w:rsidR="00EF5B27" w:rsidRDefault="00000000">
                    <w:pPr>
                      <w:tabs>
                        <w:tab w:val="left" w:pos="324"/>
                      </w:tabs>
                      <w:spacing w:before="25"/>
                      <w:rPr>
                        <w:sz w:val="17"/>
                      </w:rPr>
                    </w:pPr>
                    <w:r>
                      <w:rPr>
                        <w:color w:val="231F20"/>
                        <w:w w:val="110"/>
                        <w:sz w:val="17"/>
                        <w:u w:val="thick" w:color="6D6E71"/>
                      </w:rPr>
                      <w:t xml:space="preserve"> </w:t>
                    </w:r>
                    <w:r>
                      <w:rPr>
                        <w:color w:val="231F20"/>
                        <w:sz w:val="17"/>
                        <w:u w:val="thick" w:color="6D6E71"/>
                      </w:rPr>
                      <w:tab/>
                    </w:r>
                  </w:p>
                </w:txbxContent>
              </v:textbox>
            </v:shape>
            <v:shape id="_x0000_s2469" type="#_x0000_t202" style="position:absolute;left:4152;top:-1878;width:4830;height:908" filled="f" stroked="f">
              <v:textbox inset="0,0,0,0">
                <w:txbxContent>
                  <w:p w14:paraId="0F575211" w14:textId="77777777" w:rsidR="00EF5B27" w:rsidRDefault="00000000">
                    <w:pPr>
                      <w:numPr>
                        <w:ilvl w:val="0"/>
                        <w:numId w:val="13"/>
                      </w:numPr>
                      <w:tabs>
                        <w:tab w:val="left" w:pos="93"/>
                      </w:tabs>
                      <w:spacing w:line="210" w:lineRule="exact"/>
                      <w:ind w:hanging="92"/>
                      <w:rPr>
                        <w:rFonts w:ascii="Century Gothic"/>
                        <w:sz w:val="17"/>
                      </w:rPr>
                    </w:pPr>
                    <w:r>
                      <w:rPr>
                        <w:rFonts w:ascii="Century Gothic"/>
                        <w:w w:val="90"/>
                        <w:sz w:val="17"/>
                      </w:rPr>
                      <w:t>Urban demand and supply</w:t>
                    </w:r>
                    <w:r>
                      <w:rPr>
                        <w:rFonts w:ascii="Century Gothic"/>
                        <w:spacing w:val="-16"/>
                        <w:w w:val="90"/>
                        <w:sz w:val="17"/>
                      </w:rPr>
                      <w:t xml:space="preserve"> </w:t>
                    </w:r>
                    <w:r>
                      <w:rPr>
                        <w:rFonts w:ascii="Century Gothic"/>
                        <w:w w:val="90"/>
                        <w:sz w:val="17"/>
                      </w:rPr>
                      <w:t>planned</w:t>
                    </w:r>
                  </w:p>
                  <w:p w14:paraId="23F4077B" w14:textId="77777777" w:rsidR="00EF5B27" w:rsidRDefault="00000000">
                    <w:pPr>
                      <w:numPr>
                        <w:ilvl w:val="0"/>
                        <w:numId w:val="13"/>
                      </w:numPr>
                      <w:tabs>
                        <w:tab w:val="left" w:pos="93"/>
                      </w:tabs>
                      <w:spacing w:before="16"/>
                      <w:ind w:hanging="92"/>
                      <w:rPr>
                        <w:rFonts w:ascii="Century Gothic"/>
                        <w:sz w:val="17"/>
                      </w:rPr>
                    </w:pPr>
                    <w:r>
                      <w:rPr>
                        <w:rFonts w:ascii="Century Gothic"/>
                        <w:w w:val="95"/>
                        <w:sz w:val="17"/>
                      </w:rPr>
                      <w:t>Population</w:t>
                    </w:r>
                    <w:r>
                      <w:rPr>
                        <w:rFonts w:ascii="Century Gothic"/>
                        <w:spacing w:val="-10"/>
                        <w:w w:val="95"/>
                        <w:sz w:val="17"/>
                      </w:rPr>
                      <w:t xml:space="preserve"> </w:t>
                    </w:r>
                    <w:r>
                      <w:rPr>
                        <w:rFonts w:ascii="Century Gothic"/>
                        <w:w w:val="95"/>
                        <w:sz w:val="17"/>
                      </w:rPr>
                      <w:t>growth</w:t>
                    </w:r>
                    <w:r>
                      <w:rPr>
                        <w:rFonts w:ascii="Century Gothic"/>
                        <w:spacing w:val="-9"/>
                        <w:w w:val="95"/>
                        <w:sz w:val="17"/>
                      </w:rPr>
                      <w:t xml:space="preserve"> </w:t>
                    </w:r>
                    <w:r>
                      <w:rPr>
                        <w:rFonts w:ascii="Century Gothic"/>
                        <w:w w:val="95"/>
                        <w:sz w:val="17"/>
                      </w:rPr>
                      <w:t>was</w:t>
                    </w:r>
                    <w:r>
                      <w:rPr>
                        <w:rFonts w:ascii="Century Gothic"/>
                        <w:spacing w:val="-9"/>
                        <w:w w:val="95"/>
                        <w:sz w:val="17"/>
                      </w:rPr>
                      <w:t xml:space="preserve"> </w:t>
                    </w:r>
                    <w:r>
                      <w:rPr>
                        <w:rFonts w:ascii="Century Gothic"/>
                        <w:w w:val="95"/>
                        <w:sz w:val="17"/>
                      </w:rPr>
                      <w:t>projected</w:t>
                    </w:r>
                    <w:r>
                      <w:rPr>
                        <w:rFonts w:ascii="Century Gothic"/>
                        <w:spacing w:val="-10"/>
                        <w:w w:val="95"/>
                        <w:sz w:val="17"/>
                      </w:rPr>
                      <w:t xml:space="preserve"> </w:t>
                    </w:r>
                    <w:r>
                      <w:rPr>
                        <w:rFonts w:ascii="Century Gothic"/>
                        <w:w w:val="95"/>
                        <w:sz w:val="17"/>
                      </w:rPr>
                      <w:t>until</w:t>
                    </w:r>
                    <w:r>
                      <w:rPr>
                        <w:rFonts w:ascii="Century Gothic"/>
                        <w:spacing w:val="-9"/>
                        <w:w w:val="95"/>
                        <w:sz w:val="17"/>
                      </w:rPr>
                      <w:t xml:space="preserve"> </w:t>
                    </w:r>
                    <w:r>
                      <w:rPr>
                        <w:rFonts w:ascii="Century Gothic"/>
                        <w:w w:val="95"/>
                        <w:sz w:val="17"/>
                      </w:rPr>
                      <w:t>2030</w:t>
                    </w:r>
                  </w:p>
                  <w:p w14:paraId="63CFC117" w14:textId="77777777" w:rsidR="00EF5B27" w:rsidRDefault="00000000">
                    <w:pPr>
                      <w:numPr>
                        <w:ilvl w:val="0"/>
                        <w:numId w:val="13"/>
                      </w:numPr>
                      <w:tabs>
                        <w:tab w:val="left" w:pos="93"/>
                      </w:tabs>
                      <w:spacing w:before="16"/>
                      <w:ind w:hanging="92"/>
                      <w:rPr>
                        <w:rFonts w:ascii="Century Gothic"/>
                        <w:sz w:val="17"/>
                      </w:rPr>
                    </w:pPr>
                    <w:r>
                      <w:rPr>
                        <w:rFonts w:ascii="Century Gothic"/>
                        <w:sz w:val="17"/>
                      </w:rPr>
                      <w:t>First urban boundary</w:t>
                    </w:r>
                    <w:r>
                      <w:rPr>
                        <w:rFonts w:ascii="Century Gothic"/>
                        <w:spacing w:val="-30"/>
                        <w:sz w:val="17"/>
                      </w:rPr>
                      <w:t xml:space="preserve"> </w:t>
                    </w:r>
                    <w:r>
                      <w:rPr>
                        <w:rFonts w:ascii="Century Gothic"/>
                        <w:sz w:val="17"/>
                      </w:rPr>
                      <w:t>expansion</w:t>
                    </w:r>
                  </w:p>
                  <w:p w14:paraId="342F6D2B" w14:textId="77777777" w:rsidR="00EF5B27" w:rsidRDefault="00000000">
                    <w:pPr>
                      <w:numPr>
                        <w:ilvl w:val="0"/>
                        <w:numId w:val="13"/>
                      </w:numPr>
                      <w:tabs>
                        <w:tab w:val="left" w:pos="93"/>
                      </w:tabs>
                      <w:spacing w:before="16"/>
                      <w:ind w:hanging="92"/>
                      <w:rPr>
                        <w:rFonts w:ascii="Century Gothic"/>
                        <w:sz w:val="17"/>
                      </w:rPr>
                    </w:pPr>
                    <w:r>
                      <w:rPr>
                        <w:rFonts w:ascii="Century Gothic"/>
                        <w:w w:val="85"/>
                        <w:sz w:val="17"/>
                      </w:rPr>
                      <w:t>Growth Areas Authority created (now Victorian Planning</w:t>
                    </w:r>
                    <w:r>
                      <w:rPr>
                        <w:rFonts w:ascii="Century Gothic"/>
                        <w:spacing w:val="10"/>
                        <w:w w:val="85"/>
                        <w:sz w:val="17"/>
                      </w:rPr>
                      <w:t xml:space="preserve"> </w:t>
                    </w:r>
                    <w:r>
                      <w:rPr>
                        <w:rFonts w:ascii="Century Gothic"/>
                        <w:w w:val="85"/>
                        <w:sz w:val="17"/>
                      </w:rPr>
                      <w:t>Authority)</w:t>
                    </w:r>
                  </w:p>
                </w:txbxContent>
              </v:textbox>
            </v:shape>
            <v:shape id="_x0000_s2468" type="#_x0000_t202" style="position:absolute;left:4152;top:-605;width:4741;height:443" filled="f" stroked="f">
              <v:textbox inset="0,0,0,0">
                <w:txbxContent>
                  <w:p w14:paraId="1A99FB57" w14:textId="77777777" w:rsidR="00EF5B27" w:rsidRDefault="00000000">
                    <w:pPr>
                      <w:numPr>
                        <w:ilvl w:val="0"/>
                        <w:numId w:val="12"/>
                      </w:numPr>
                      <w:tabs>
                        <w:tab w:val="left" w:pos="93"/>
                      </w:tabs>
                      <w:spacing w:line="210" w:lineRule="exact"/>
                      <w:ind w:hanging="92"/>
                      <w:rPr>
                        <w:rFonts w:ascii="Century Gothic"/>
                        <w:sz w:val="17"/>
                      </w:rPr>
                    </w:pPr>
                    <w:r>
                      <w:rPr>
                        <w:rFonts w:ascii="Century Gothic"/>
                        <w:w w:val="95"/>
                        <w:sz w:val="17"/>
                      </w:rPr>
                      <w:t>Victorian</w:t>
                    </w:r>
                    <w:r>
                      <w:rPr>
                        <w:rFonts w:ascii="Century Gothic"/>
                        <w:spacing w:val="-30"/>
                        <w:w w:val="95"/>
                        <w:sz w:val="17"/>
                      </w:rPr>
                      <w:t xml:space="preserve"> </w:t>
                    </w:r>
                    <w:r>
                      <w:rPr>
                        <w:rFonts w:ascii="Century Gothic"/>
                        <w:w w:val="95"/>
                        <w:sz w:val="17"/>
                      </w:rPr>
                      <w:t>Government's</w:t>
                    </w:r>
                    <w:r>
                      <w:rPr>
                        <w:rFonts w:ascii="Century Gothic"/>
                        <w:spacing w:val="-29"/>
                        <w:w w:val="95"/>
                        <w:sz w:val="17"/>
                      </w:rPr>
                      <w:t xml:space="preserve"> </w:t>
                    </w:r>
                    <w:r>
                      <w:rPr>
                        <w:rFonts w:ascii="Century Gothic"/>
                        <w:w w:val="95"/>
                        <w:sz w:val="17"/>
                      </w:rPr>
                      <w:t>urban</w:t>
                    </w:r>
                    <w:r>
                      <w:rPr>
                        <w:rFonts w:ascii="Century Gothic"/>
                        <w:spacing w:val="-30"/>
                        <w:w w:val="95"/>
                        <w:sz w:val="17"/>
                      </w:rPr>
                      <w:t xml:space="preserve"> </w:t>
                    </w:r>
                    <w:r>
                      <w:rPr>
                        <w:rFonts w:ascii="Century Gothic"/>
                        <w:w w:val="95"/>
                        <w:sz w:val="17"/>
                      </w:rPr>
                      <w:t>development</w:t>
                    </w:r>
                    <w:r>
                      <w:rPr>
                        <w:rFonts w:ascii="Century Gothic"/>
                        <w:spacing w:val="-29"/>
                        <w:w w:val="95"/>
                        <w:sz w:val="17"/>
                      </w:rPr>
                      <w:t xml:space="preserve"> </w:t>
                    </w:r>
                    <w:r>
                      <w:rPr>
                        <w:rFonts w:ascii="Century Gothic"/>
                        <w:w w:val="95"/>
                        <w:sz w:val="17"/>
                      </w:rPr>
                      <w:t>program</w:t>
                    </w:r>
                    <w:r>
                      <w:rPr>
                        <w:rFonts w:ascii="Century Gothic"/>
                        <w:spacing w:val="-29"/>
                        <w:w w:val="95"/>
                        <w:sz w:val="17"/>
                      </w:rPr>
                      <w:t xml:space="preserve"> </w:t>
                    </w:r>
                    <w:r>
                      <w:rPr>
                        <w:rFonts w:ascii="Century Gothic"/>
                        <w:w w:val="95"/>
                        <w:sz w:val="17"/>
                      </w:rPr>
                      <w:t>plan</w:t>
                    </w:r>
                  </w:p>
                  <w:p w14:paraId="204BF453" w14:textId="77777777" w:rsidR="00EF5B27" w:rsidRDefault="00000000">
                    <w:pPr>
                      <w:numPr>
                        <w:ilvl w:val="0"/>
                        <w:numId w:val="12"/>
                      </w:numPr>
                      <w:tabs>
                        <w:tab w:val="left" w:pos="93"/>
                      </w:tabs>
                      <w:spacing w:before="16"/>
                      <w:ind w:hanging="92"/>
                      <w:rPr>
                        <w:rFonts w:ascii="Century Gothic"/>
                        <w:sz w:val="17"/>
                      </w:rPr>
                    </w:pPr>
                    <w:r>
                      <w:rPr>
                        <w:rFonts w:ascii="Trebuchet MS"/>
                        <w:i/>
                        <w:w w:val="95"/>
                        <w:sz w:val="17"/>
                      </w:rPr>
                      <w:t>Delivering</w:t>
                    </w:r>
                    <w:r>
                      <w:rPr>
                        <w:rFonts w:ascii="Trebuchet MS"/>
                        <w:i/>
                        <w:spacing w:val="-30"/>
                        <w:w w:val="95"/>
                        <w:sz w:val="17"/>
                      </w:rPr>
                      <w:t xml:space="preserve"> </w:t>
                    </w:r>
                    <w:r>
                      <w:rPr>
                        <w:rFonts w:ascii="Trebuchet MS"/>
                        <w:i/>
                        <w:w w:val="95"/>
                        <w:sz w:val="17"/>
                      </w:rPr>
                      <w:t>Melbourne's</w:t>
                    </w:r>
                    <w:r>
                      <w:rPr>
                        <w:rFonts w:ascii="Trebuchet MS"/>
                        <w:i/>
                        <w:spacing w:val="-30"/>
                        <w:w w:val="95"/>
                        <w:sz w:val="17"/>
                      </w:rPr>
                      <w:t xml:space="preserve"> </w:t>
                    </w:r>
                    <w:r>
                      <w:rPr>
                        <w:rFonts w:ascii="Trebuchet MS"/>
                        <w:i/>
                        <w:w w:val="95"/>
                        <w:sz w:val="17"/>
                      </w:rPr>
                      <w:t>newest</w:t>
                    </w:r>
                    <w:r>
                      <w:rPr>
                        <w:rFonts w:ascii="Trebuchet MS"/>
                        <w:i/>
                        <w:spacing w:val="-30"/>
                        <w:w w:val="95"/>
                        <w:sz w:val="17"/>
                      </w:rPr>
                      <w:t xml:space="preserve"> </w:t>
                    </w:r>
                    <w:r>
                      <w:rPr>
                        <w:rFonts w:ascii="Trebuchet MS"/>
                        <w:i/>
                        <w:w w:val="95"/>
                        <w:sz w:val="17"/>
                      </w:rPr>
                      <w:t>sustainable</w:t>
                    </w:r>
                    <w:r>
                      <w:rPr>
                        <w:rFonts w:ascii="Trebuchet MS"/>
                        <w:i/>
                        <w:spacing w:val="-30"/>
                        <w:w w:val="95"/>
                        <w:sz w:val="17"/>
                      </w:rPr>
                      <w:t xml:space="preserve"> </w:t>
                    </w:r>
                    <w:r>
                      <w:rPr>
                        <w:rFonts w:ascii="Trebuchet MS"/>
                        <w:i/>
                        <w:w w:val="95"/>
                        <w:sz w:val="17"/>
                      </w:rPr>
                      <w:t>communities</w:t>
                    </w:r>
                    <w:r>
                      <w:rPr>
                        <w:rFonts w:ascii="Trebuchet MS"/>
                        <w:i/>
                        <w:spacing w:val="-30"/>
                        <w:w w:val="95"/>
                        <w:sz w:val="17"/>
                      </w:rPr>
                      <w:t xml:space="preserve"> </w:t>
                    </w:r>
                    <w:r>
                      <w:rPr>
                        <w:rFonts w:ascii="Century Gothic"/>
                        <w:w w:val="95"/>
                        <w:sz w:val="17"/>
                      </w:rPr>
                      <w:t>released</w:t>
                    </w:r>
                  </w:p>
                </w:txbxContent>
              </v:textbox>
            </v:shape>
            <w10:wrap anchorx="page"/>
          </v:group>
        </w:pict>
      </w:r>
      <w:r>
        <w:rPr>
          <w:b/>
          <w:spacing w:val="12"/>
          <w:w w:val="110"/>
          <w:sz w:val="25"/>
        </w:rPr>
        <w:t>2010</w:t>
      </w:r>
    </w:p>
    <w:p w14:paraId="06D51F22" w14:textId="77777777" w:rsidR="00EF5B27" w:rsidRDefault="00EF5B27">
      <w:pPr>
        <w:pStyle w:val="BodyText"/>
        <w:spacing w:before="2"/>
        <w:rPr>
          <w:b/>
          <w:sz w:val="15"/>
        </w:rPr>
      </w:pPr>
    </w:p>
    <w:p w14:paraId="391805B0" w14:textId="77777777" w:rsidR="00EF5B27" w:rsidRDefault="00EF5B27">
      <w:pPr>
        <w:pStyle w:val="BodyText"/>
        <w:spacing w:before="3"/>
        <w:rPr>
          <w:b/>
          <w:sz w:val="10"/>
        </w:rPr>
      </w:pPr>
    </w:p>
    <w:p w14:paraId="699EFC77" w14:textId="77777777" w:rsidR="00EF5B27" w:rsidRDefault="00EF5B27">
      <w:pPr>
        <w:pStyle w:val="BodyText"/>
        <w:spacing w:before="3"/>
        <w:rPr>
          <w:b/>
          <w:sz w:val="10"/>
        </w:rPr>
      </w:pPr>
    </w:p>
    <w:p w14:paraId="13483EAB" w14:textId="77777777" w:rsidR="00EF5B27" w:rsidRDefault="00EF5B27">
      <w:pPr>
        <w:pStyle w:val="BodyText"/>
        <w:spacing w:before="5"/>
        <w:rPr>
          <w:b/>
          <w:sz w:val="14"/>
        </w:rPr>
      </w:pPr>
    </w:p>
    <w:p w14:paraId="5598ED01" w14:textId="77777777" w:rsidR="00EF5B27" w:rsidRDefault="00EF5B27">
      <w:pPr>
        <w:pStyle w:val="BodyText"/>
        <w:spacing w:before="6"/>
        <w:rPr>
          <w:b/>
          <w:sz w:val="2"/>
        </w:rPr>
      </w:pPr>
    </w:p>
    <w:p w14:paraId="66C912C2" w14:textId="77777777" w:rsidR="00EF5B27" w:rsidRDefault="00000000">
      <w:pPr>
        <w:pStyle w:val="BodyText"/>
        <w:ind w:left="1373"/>
      </w:pPr>
      <w:r>
        <w:pict w14:anchorId="3B6D3213">
          <v:group id="_x0000_s2461" style="width:188.6pt;height:20.35pt;mso-position-horizontal-relative:char;mso-position-vertical-relative:line" coordsize="3772,407">
            <v:line id="_x0000_s2466" style="position:absolute" from="0,199" to="339,199" strokecolor="#6d6e71" strokeweight=".57925mm"/>
            <v:shape id="_x0000_s2465" style="position:absolute;left:1601;top:6;width:2164;height:395" coordorigin="1602,6" coordsize="2164,395" path="m3705,400r-2042,l1639,395r-19,-13l1607,363r-5,-24l1602,67r5,-24l1620,24r19,-13l1663,6r2042,l3728,11r20,13l3761,43r4,24l3765,339r-4,24l3748,382r-20,13l3705,400xe" filled="f" strokecolor="#231f20" strokeweight=".21236mm">
              <v:path arrowok="t"/>
            </v:shape>
            <v:line id="_x0000_s2464" style="position:absolute" from="347,202" to="1596,202" strokeweight=".27975mm"/>
            <v:shape id="_x0000_s2463" type="#_x0000_t75" style="position:absolute;left:282;top:134;width:136;height:136">
              <v:imagedata r:id="rId174" o:title=""/>
            </v:shape>
            <v:shape id="_x0000_s2462" type="#_x0000_t202" style="position:absolute;width:3772;height:407" filled="f" stroked="f">
              <v:textbox inset="0,0,0,0">
                <w:txbxContent>
                  <w:p w14:paraId="2DA8EA56" w14:textId="77777777" w:rsidR="00EF5B27" w:rsidRDefault="00000000">
                    <w:pPr>
                      <w:numPr>
                        <w:ilvl w:val="0"/>
                        <w:numId w:val="16"/>
                      </w:numPr>
                      <w:tabs>
                        <w:tab w:val="left" w:pos="1835"/>
                      </w:tabs>
                      <w:spacing w:before="94"/>
                      <w:rPr>
                        <w:rFonts w:ascii="Century Gothic"/>
                        <w:sz w:val="17"/>
                      </w:rPr>
                    </w:pPr>
                    <w:r>
                      <w:rPr>
                        <w:rFonts w:ascii="Century Gothic"/>
                        <w:w w:val="95"/>
                        <w:sz w:val="17"/>
                      </w:rPr>
                      <w:t>Plan</w:t>
                    </w:r>
                    <w:r>
                      <w:rPr>
                        <w:rFonts w:ascii="Century Gothic"/>
                        <w:spacing w:val="-28"/>
                        <w:w w:val="95"/>
                        <w:sz w:val="17"/>
                      </w:rPr>
                      <w:t xml:space="preserve"> </w:t>
                    </w:r>
                    <w:r>
                      <w:rPr>
                        <w:rFonts w:ascii="Century Gothic"/>
                        <w:w w:val="95"/>
                        <w:sz w:val="17"/>
                      </w:rPr>
                      <w:t>Melbourne</w:t>
                    </w:r>
                    <w:r>
                      <w:rPr>
                        <w:rFonts w:ascii="Century Gothic"/>
                        <w:spacing w:val="-39"/>
                        <w:w w:val="95"/>
                        <w:sz w:val="17"/>
                      </w:rPr>
                      <w:t xml:space="preserve"> </w:t>
                    </w:r>
                    <w:r>
                      <w:rPr>
                        <w:rFonts w:ascii="Century Gothic"/>
                        <w:w w:val="95"/>
                        <w:sz w:val="17"/>
                      </w:rPr>
                      <w:t>released</w:t>
                    </w:r>
                  </w:p>
                </w:txbxContent>
              </v:textbox>
            </v:shape>
            <w10:anchorlock/>
          </v:group>
        </w:pict>
      </w:r>
    </w:p>
    <w:p w14:paraId="4AE17CAF" w14:textId="77777777" w:rsidR="00EF5B27" w:rsidRDefault="00000000">
      <w:pPr>
        <w:pStyle w:val="BodyText"/>
        <w:spacing w:line="35" w:lineRule="exact"/>
        <w:ind w:left="1387"/>
        <w:rPr>
          <w:sz w:val="3"/>
        </w:rPr>
      </w:pPr>
      <w:r>
        <w:rPr>
          <w:sz w:val="3"/>
        </w:rPr>
      </w:r>
      <w:r>
        <w:rPr>
          <w:sz w:val="3"/>
        </w:rPr>
        <w:pict w14:anchorId="55F29918">
          <v:group id="_x0000_s2459" style="width:17.3pt;height:1.75pt;mso-position-horizontal-relative:char;mso-position-vertical-relative:line" coordsize="346,35">
            <v:shape id="_x0000_s2460" style="position:absolute;width:346;height:35" coordsize="346,35" path="m339,l7,,,7,,28r7,7l339,35r7,-7l346,7,339,xe" fillcolor="#6d6e71" stroked="f">
              <v:path arrowok="t"/>
            </v:shape>
            <w10:anchorlock/>
          </v:group>
        </w:pict>
      </w:r>
    </w:p>
    <w:p w14:paraId="4779281B" w14:textId="77777777" w:rsidR="00EF5B27" w:rsidRDefault="00000000">
      <w:pPr>
        <w:pStyle w:val="BodyText"/>
        <w:spacing w:before="3"/>
        <w:rPr>
          <w:b/>
          <w:sz w:val="18"/>
        </w:rPr>
      </w:pPr>
      <w:r>
        <w:pict w14:anchorId="56E81D23">
          <v:shape id="_x0000_s2458" style="position:absolute;margin-left:120.2pt;margin-top:13.1pt;width:17.65pt;height:1.9pt;z-index:251699712;mso-wrap-distance-left:0;mso-wrap-distance-right:0;mso-position-horizontal-relative:page" coordorigin="2404,262" coordsize="353,38" path="m2750,262r-339,l2404,269r,23l2411,299r339,l2757,292r,-23l2750,262xe" fillcolor="#6d6e71" stroked="f">
            <v:path arrowok="t"/>
            <w10:wrap type="topAndBottom" anchorx="page"/>
          </v:shape>
        </w:pict>
      </w:r>
    </w:p>
    <w:p w14:paraId="0E04682E" w14:textId="77777777" w:rsidR="00EF5B27" w:rsidRDefault="00000000">
      <w:pPr>
        <w:spacing w:before="71"/>
        <w:ind w:left="331"/>
        <w:rPr>
          <w:b/>
          <w:sz w:val="25"/>
        </w:rPr>
      </w:pPr>
      <w:r>
        <w:rPr>
          <w:b/>
          <w:spacing w:val="12"/>
          <w:w w:val="110"/>
          <w:sz w:val="25"/>
        </w:rPr>
        <w:t>2020</w:t>
      </w:r>
    </w:p>
    <w:p w14:paraId="5A1D746B" w14:textId="77777777" w:rsidR="00EF5B27" w:rsidRDefault="00EF5B27">
      <w:pPr>
        <w:rPr>
          <w:sz w:val="25"/>
        </w:rPr>
        <w:sectPr w:rsidR="00EF5B27">
          <w:pgSz w:w="11910" w:h="16840"/>
          <w:pgMar w:top="1080" w:right="1020" w:bottom="860" w:left="1020" w:header="537" w:footer="678" w:gutter="0"/>
          <w:cols w:space="720"/>
        </w:sectPr>
      </w:pPr>
    </w:p>
    <w:p w14:paraId="37080031" w14:textId="77777777" w:rsidR="00EF5B27" w:rsidRDefault="00000000">
      <w:pPr>
        <w:pStyle w:val="BodyText"/>
        <w:rPr>
          <w:b/>
        </w:rPr>
      </w:pPr>
      <w:r>
        <w:lastRenderedPageBreak/>
        <w:pict w14:anchorId="21B2A561">
          <v:group id="_x0000_s2450" style="position:absolute;margin-left:587.05pt;margin-top:183.4pt;width:8.25pt;height:153.1pt;z-index:251778560;mso-position-horizontal-relative:page;mso-position-vertical-relative:page" coordorigin="11741,3668" coordsize="165,3062">
            <v:shape id="_x0000_s2457" style="position:absolute;left:11741;top:3668;width:165;height:561" coordorigin="11741,3668" coordsize="165,561" path="m11906,3668r-165,l11741,4228r165,-18l11906,3668xe" fillcolor="#00aed9" stroked="f">
              <v:path arrowok="t"/>
            </v:shape>
            <v:shape id="_x0000_s2456" style="position:absolute;left:11741;top:4118;width:165;height:425" coordorigin="11741,4118" coordsize="165,425" path="m11906,4118r-165,14l11741,4531r165,12l11906,4118xe" fillcolor="#047ebc" stroked="f">
              <v:path arrowok="t"/>
            </v:shape>
            <v:shape id="_x0000_s2455" type="#_x0000_t75" style="position:absolute;left:11741;top:4355;width:165;height:587">
              <v:imagedata r:id="rId42" o:title=""/>
            </v:shape>
            <v:shape id="_x0000_s2454" style="position:absolute;left:11741;top:5343;width:165;height:536" coordorigin="11741,5343" coordsize="165,536" path="m11741,5343r,535l11906,5872r,-525l11741,5343xe" fillcolor="#f36a2e" stroked="f">
              <v:path arrowok="t"/>
            </v:shape>
            <v:shape id="_x0000_s2453" style="position:absolute;left:11741;top:4925;width:165;height:501" coordorigin="11741,4926" coordsize="165,501" path="m11741,4926r,500l11906,5426r,-485l11741,4926xe" fillcolor="#49783f" stroked="f">
              <v:path arrowok="t"/>
            </v:shape>
            <v:shape id="_x0000_s2452" style="position:absolute;left:11741;top:5781;width:165;height:268" coordorigin="11741,5782" coordsize="165,268" path="m11906,5782r-165,8l11741,6039r165,10l11906,5782xe" fillcolor="#f99f2a" stroked="f">
              <v:path arrowok="t"/>
            </v:shape>
            <v:shape id="_x0000_s2451" style="position:absolute;left:11741;top:6023;width:165;height:707" coordorigin="11741,6023" coordsize="165,707" path="m11741,6023r,706l11906,6729r,-690l11741,6023xe" fillcolor="#ef412c" stroked="f">
              <v:path arrowok="t"/>
            </v:shape>
            <w10:wrap anchorx="page" anchory="page"/>
          </v:group>
        </w:pict>
      </w:r>
    </w:p>
    <w:p w14:paraId="48FC310A" w14:textId="77777777" w:rsidR="00EF5B27" w:rsidRDefault="00EF5B27">
      <w:pPr>
        <w:pStyle w:val="BodyText"/>
        <w:rPr>
          <w:b/>
        </w:rPr>
      </w:pPr>
    </w:p>
    <w:p w14:paraId="0DF2334A" w14:textId="77777777" w:rsidR="00EF5B27" w:rsidRDefault="00EF5B27">
      <w:pPr>
        <w:pStyle w:val="BodyText"/>
        <w:rPr>
          <w:b/>
        </w:rPr>
      </w:pPr>
    </w:p>
    <w:p w14:paraId="1FA64B84" w14:textId="77777777" w:rsidR="00EF5B27" w:rsidRDefault="00EF5B27">
      <w:pPr>
        <w:pStyle w:val="BodyText"/>
        <w:spacing w:before="12"/>
        <w:rPr>
          <w:b/>
          <w:sz w:val="22"/>
        </w:rPr>
      </w:pPr>
    </w:p>
    <w:p w14:paraId="49ABD22E" w14:textId="77777777" w:rsidR="00EF5B27" w:rsidRDefault="00000000">
      <w:pPr>
        <w:spacing w:before="115"/>
        <w:ind w:left="113"/>
        <w:rPr>
          <w:b/>
          <w:sz w:val="28"/>
        </w:rPr>
      </w:pPr>
      <w:r>
        <w:rPr>
          <w:b/>
          <w:color w:val="F99F2A"/>
          <w:sz w:val="28"/>
        </w:rPr>
        <w:t>Biodiversity planning and regulation</w:t>
      </w:r>
    </w:p>
    <w:p w14:paraId="5FAB16A3" w14:textId="77777777" w:rsidR="00EF5B27" w:rsidRDefault="00EF5B27">
      <w:pPr>
        <w:pStyle w:val="BodyText"/>
        <w:rPr>
          <w:b/>
        </w:rPr>
      </w:pPr>
    </w:p>
    <w:p w14:paraId="41904295" w14:textId="77777777" w:rsidR="00EF5B27" w:rsidRDefault="00EF5B27">
      <w:pPr>
        <w:pStyle w:val="BodyText"/>
        <w:spacing w:before="9"/>
        <w:rPr>
          <w:b/>
          <w:sz w:val="18"/>
        </w:rPr>
      </w:pPr>
    </w:p>
    <w:p w14:paraId="56572006" w14:textId="77777777" w:rsidR="00EF5B27" w:rsidRDefault="00000000">
      <w:pPr>
        <w:spacing w:before="118"/>
        <w:ind w:left="344"/>
        <w:rPr>
          <w:b/>
          <w:sz w:val="25"/>
        </w:rPr>
      </w:pPr>
      <w:r>
        <w:pict w14:anchorId="5D7F2FA9">
          <v:shape id="_x0000_s2449" style="position:absolute;left:0;text-align:left;margin-left:106.7pt;margin-top:12.4pt;width:34.65pt;height:3.95pt;z-index:251784704;mso-position-horizontal-relative:page" coordorigin="2134,248" coordsize="693,79" path="m2788,248r-616,l2157,251r-12,8l2137,271r-3,15l2134,289r3,15l2145,316r12,8l2172,327r616,l2803,324r12,-8l2823,304r3,-15l2826,286r-3,-15l2815,259r-12,-8l2788,248xe" fillcolor="#f89e2a" stroked="f">
            <v:path arrowok="t"/>
            <w10:wrap anchorx="page"/>
          </v:shape>
        </w:pict>
      </w:r>
      <w:r>
        <w:rPr>
          <w:b/>
          <w:spacing w:val="5"/>
          <w:w w:val="110"/>
          <w:sz w:val="25"/>
        </w:rPr>
        <w:t>1980</w:t>
      </w:r>
    </w:p>
    <w:p w14:paraId="67747479" w14:textId="77777777" w:rsidR="00EF5B27" w:rsidRDefault="00000000">
      <w:pPr>
        <w:pStyle w:val="BodyText"/>
        <w:spacing w:before="8"/>
        <w:rPr>
          <w:b/>
          <w:sz w:val="8"/>
        </w:rPr>
      </w:pPr>
      <w:r>
        <w:pict w14:anchorId="735453C9">
          <v:line id="_x0000_s2448" style="position:absolute;z-index:251705856;mso-wrap-distance-left:0;mso-wrap-distance-right:0;mso-position-horizontal-relative:page" from="121.6pt,7.75pt" to="136.4pt,7.75pt" strokecolor="#6d6e71" strokeweight=".35208mm">
            <w10:wrap type="topAndBottom" anchorx="page"/>
          </v:line>
        </w:pict>
      </w:r>
      <w:r>
        <w:pict w14:anchorId="051F4DB8">
          <v:line id="_x0000_s2447" style="position:absolute;z-index:251707904;mso-wrap-distance-left:0;mso-wrap-distance-right:0;mso-position-horizontal-relative:page" from="121.45pt,21.5pt" to="136.6pt,21.5pt" strokecolor="#6d6e71" strokeweight=".39017mm">
            <w10:wrap type="topAndBottom" anchorx="page"/>
          </v:line>
        </w:pict>
      </w:r>
      <w:r>
        <w:pict w14:anchorId="1CF53D86">
          <v:line id="_x0000_s2446" style="position:absolute;z-index:251708928;mso-wrap-distance-left:0;mso-wrap-distance-right:0;mso-position-horizontal-relative:page" from="121.25pt,35.25pt" to="136.8pt,35.25pt" strokecolor="#6d6e71" strokeweight=".42792mm">
            <w10:wrap type="topAndBottom" anchorx="page"/>
          </v:line>
        </w:pict>
      </w:r>
      <w:r>
        <w:pict w14:anchorId="07460192">
          <v:line id="_x0000_s2445" style="position:absolute;z-index:251709952;mso-wrap-distance-left:0;mso-wrap-distance-right:0;mso-position-horizontal-relative:page" from="121.1pt,49.05pt" to="136.95pt,49.05pt" strokecolor="#6d6e71" strokeweight=".46603mm">
            <w10:wrap type="topAndBottom" anchorx="page"/>
          </v:line>
        </w:pict>
      </w:r>
      <w:r>
        <w:pict w14:anchorId="23B6E0E2">
          <v:line id="_x0000_s2444" style="position:absolute;z-index:251712000;mso-wrap-distance-left:0;mso-wrap-distance-right:0;mso-position-horizontal-relative:page" from="120.9pt,62.8pt" to="137.15pt,62.8pt" strokecolor="#6d6e71" strokeweight=".50342mm">
            <w10:wrap type="topAndBottom" anchorx="page"/>
          </v:line>
        </w:pict>
      </w:r>
      <w:r>
        <w:pict w14:anchorId="39DE0356">
          <v:line id="_x0000_s2443" style="position:absolute;z-index:251713024;mso-wrap-distance-left:0;mso-wrap-distance-right:0;mso-position-horizontal-relative:page" from="120.75pt,76.55pt" to="137.3pt,76.55pt" strokecolor="#6d6e71" strokeweight=".5415mm">
            <w10:wrap type="topAndBottom" anchorx="page"/>
          </v:line>
        </w:pict>
      </w:r>
      <w:r>
        <w:pict w14:anchorId="1532CDCA">
          <v:line id="_x0000_s2442" style="position:absolute;z-index:251715072;mso-wrap-distance-left:0;mso-wrap-distance-right:0;mso-position-horizontal-relative:page" from="120.55pt,90.35pt" to="137.5pt,90.35pt" strokecolor="#6d6e71" strokeweight=".57925mm">
            <w10:wrap type="topAndBottom" anchorx="page"/>
          </v:line>
        </w:pict>
      </w:r>
    </w:p>
    <w:p w14:paraId="79A52E2E" w14:textId="77777777" w:rsidR="00EF5B27" w:rsidRDefault="00EF5B27">
      <w:pPr>
        <w:pStyle w:val="BodyText"/>
        <w:spacing w:before="2"/>
        <w:rPr>
          <w:b/>
          <w:sz w:val="15"/>
        </w:rPr>
      </w:pPr>
    </w:p>
    <w:p w14:paraId="50E98DF3" w14:textId="77777777" w:rsidR="00EF5B27" w:rsidRDefault="00EF5B27">
      <w:pPr>
        <w:pStyle w:val="BodyText"/>
        <w:spacing w:before="11"/>
        <w:rPr>
          <w:b/>
          <w:sz w:val="14"/>
        </w:rPr>
      </w:pPr>
    </w:p>
    <w:p w14:paraId="2AF78B34" w14:textId="77777777" w:rsidR="00EF5B27" w:rsidRDefault="00EF5B27">
      <w:pPr>
        <w:pStyle w:val="BodyText"/>
        <w:spacing w:before="9"/>
        <w:rPr>
          <w:b/>
          <w:sz w:val="14"/>
        </w:rPr>
      </w:pPr>
    </w:p>
    <w:p w14:paraId="75A42141" w14:textId="77777777" w:rsidR="00EF5B27" w:rsidRDefault="00EF5B27">
      <w:pPr>
        <w:pStyle w:val="BodyText"/>
        <w:spacing w:before="7"/>
        <w:rPr>
          <w:b/>
          <w:sz w:val="14"/>
        </w:rPr>
      </w:pPr>
    </w:p>
    <w:p w14:paraId="349CB2E0" w14:textId="77777777" w:rsidR="00EF5B27" w:rsidRDefault="00EF5B27">
      <w:pPr>
        <w:pStyle w:val="BodyText"/>
        <w:spacing w:before="5"/>
        <w:rPr>
          <w:b/>
          <w:sz w:val="14"/>
        </w:rPr>
      </w:pPr>
    </w:p>
    <w:p w14:paraId="7A870361" w14:textId="77777777" w:rsidR="00EF5B27" w:rsidRDefault="00EF5B27">
      <w:pPr>
        <w:pStyle w:val="BodyText"/>
        <w:spacing w:before="3"/>
        <w:rPr>
          <w:b/>
          <w:sz w:val="14"/>
        </w:rPr>
      </w:pPr>
    </w:p>
    <w:p w14:paraId="28998F6F" w14:textId="77777777" w:rsidR="00EF5B27" w:rsidRDefault="00EF5B27">
      <w:pPr>
        <w:pStyle w:val="BodyText"/>
        <w:rPr>
          <w:b/>
          <w:sz w:val="32"/>
        </w:rPr>
      </w:pPr>
    </w:p>
    <w:p w14:paraId="26205E15" w14:textId="77777777" w:rsidR="00EF5B27" w:rsidRDefault="00000000">
      <w:pPr>
        <w:spacing w:before="247"/>
        <w:ind w:left="344"/>
        <w:rPr>
          <w:b/>
          <w:sz w:val="25"/>
        </w:rPr>
      </w:pPr>
      <w:r>
        <w:pict w14:anchorId="590D862A">
          <v:line id="_x0000_s2441" style="position:absolute;left:0;text-align:left;z-index:251717120;mso-wrap-distance-left:0;mso-wrap-distance-right:0;mso-position-horizontal-relative:page" from="121.6pt,33.8pt" to="136.4pt,33.8pt" strokecolor="#6d6e71" strokeweight=".35208mm">
            <w10:wrap type="topAndBottom" anchorx="page"/>
          </v:line>
        </w:pict>
      </w:r>
      <w:r>
        <w:pict w14:anchorId="76E0D38B">
          <v:line id="_x0000_s2440" style="position:absolute;left:0;text-align:left;z-index:251718144;mso-wrap-distance-left:0;mso-wrap-distance-right:0;mso-position-horizontal-relative:page" from="121.45pt,47.55pt" to="136.6pt,47.55pt" strokecolor="#6d6e71" strokeweight=".39017mm">
            <w10:wrap type="topAndBottom" anchorx="page"/>
          </v:line>
        </w:pict>
      </w:r>
      <w:r>
        <w:pict w14:anchorId="2A2076FB">
          <v:line id="_x0000_s2439" style="position:absolute;left:0;text-align:left;z-index:251719168;mso-wrap-distance-left:0;mso-wrap-distance-right:0;mso-position-horizontal-relative:page" from="121.25pt,61.3pt" to="136.8pt,61.3pt" strokecolor="#6d6e71" strokeweight=".42792mm">
            <w10:wrap type="topAndBottom" anchorx="page"/>
          </v:line>
        </w:pict>
      </w:r>
      <w:r>
        <w:pict w14:anchorId="3A813BD9">
          <v:line id="_x0000_s2438" style="position:absolute;left:0;text-align:left;z-index:251720192;mso-wrap-distance-left:0;mso-wrap-distance-right:0;mso-position-horizontal-relative:page" from="121.1pt,75.1pt" to="136.95pt,75.1pt" strokecolor="#6d6e71" strokeweight=".46603mm">
            <w10:wrap type="topAndBottom" anchorx="page"/>
          </v:line>
        </w:pict>
      </w:r>
      <w:r>
        <w:pict w14:anchorId="0AE1C44F">
          <v:line id="_x0000_s2437" style="position:absolute;left:0;text-align:left;z-index:251722240;mso-wrap-distance-left:0;mso-wrap-distance-right:0;mso-position-horizontal-relative:page" from="120.9pt,88.85pt" to="137.15pt,88.85pt" strokecolor="#6d6e71" strokeweight=".50342mm">
            <w10:wrap type="topAndBottom" anchorx="page"/>
          </v:line>
        </w:pict>
      </w:r>
      <w:r>
        <w:pict w14:anchorId="1234C153">
          <v:line id="_x0000_s2436" style="position:absolute;left:0;text-align:left;z-index:251723264;mso-wrap-distance-left:0;mso-wrap-distance-right:0;mso-position-horizontal-relative:page" from="120.75pt,102.6pt" to="137.3pt,102.6pt" strokecolor="#6d6e71" strokeweight=".5415mm">
            <w10:wrap type="topAndBottom" anchorx="page"/>
          </v:line>
        </w:pict>
      </w:r>
      <w:r>
        <w:pict w14:anchorId="0CE95097">
          <v:line id="_x0000_s2435" style="position:absolute;left:0;text-align:left;z-index:251725312;mso-wrap-distance-left:0;mso-wrap-distance-right:0;mso-position-horizontal-relative:page" from="120.55pt,116.35pt" to="137.5pt,116.35pt" strokecolor="#6d6e71" strokeweight=".57925mm">
            <w10:wrap type="topAndBottom" anchorx="page"/>
          </v:line>
        </w:pict>
      </w:r>
      <w:r>
        <w:pict w14:anchorId="6DC5769C">
          <v:shape id="_x0000_s2434" style="position:absolute;left:0;text-align:left;margin-left:120.35pt;margin-top:129.25pt;width:17.3pt;height:1.75pt;z-index:251726336;mso-wrap-distance-left:0;mso-wrap-distance-right:0;mso-position-horizontal-relative:page" coordorigin="2407,2585" coordsize="346,35" path="m2747,2585r-333,l2407,2592r,22l2414,2620r333,l2753,2614r,-22l2747,2585xe" fillcolor="#6d6e71" stroked="f">
            <v:path arrowok="t"/>
            <w10:wrap type="topAndBottom" anchorx="page"/>
          </v:shape>
        </w:pict>
      </w:r>
      <w:r>
        <w:pict w14:anchorId="4B6442FF">
          <v:group id="_x0000_s2431" style="position:absolute;left:0;text-align:left;margin-left:106pt;margin-top:17.45pt;width:34.65pt;height:3.95pt;z-index:251779584;mso-position-horizontal-relative:page" coordorigin="2120,349" coordsize="693,79">
            <v:shape id="_x0000_s2433" style="position:absolute;left:2400;top:368;width:360;height:40" coordorigin="2400,369" coordsize="360,40" path="m2753,369r-345,l2400,376r,25l2408,408r345,l2760,401r,-25l2753,369xe" fillcolor="#6d6e71" stroked="f">
              <v:path arrowok="t"/>
            </v:shape>
            <v:shape id="_x0000_s2432" style="position:absolute;left:2119;top:348;width:693;height:79" coordorigin="2120,349" coordsize="693,79" path="m2774,349r-616,l2143,352r-12,8l2123,372r-3,15l2120,390r3,14l2131,417r12,8l2158,428r616,l2789,425r12,-8l2809,404r3,-14l2812,387r-3,-15l2801,360r-12,-8l2774,349xe" fillcolor="#f89e2a" stroked="f">
              <v:path arrowok="t"/>
            </v:shape>
            <w10:wrap anchorx="page"/>
          </v:group>
        </w:pict>
      </w:r>
      <w:r>
        <w:pict w14:anchorId="606B0215">
          <v:group id="_x0000_s2424" style="position:absolute;left:0;text-align:left;margin-left:120.2pt;margin-top:-22.5pt;width:346.55pt;height:43.5pt;z-index:251780608;mso-position-horizontal-relative:page" coordorigin="2404,-450" coordsize="6931,870">
            <v:shape id="_x0000_s2430" style="position:absolute;left:2403;top:-180;width:353;height:312" coordorigin="2404,-180" coordsize="353,312" o:spt="100" adj="0,,0" path="m2753,-173r-6,-7l2414,-180r-7,7l2407,-151r7,6l2747,-145r6,-6l2753,-173t4,275l2750,95r-339,l2404,102r,23l2411,132r339,l2757,125r,-23e" fillcolor="#6d6e71" stroked="f">
              <v:stroke joinstyle="round"/>
              <v:formulas/>
              <v:path arrowok="t" o:connecttype="segments"/>
            </v:shape>
            <v:line id="_x0000_s2429" style="position:absolute" from="2752,-21" to="5808,-21" strokeweight=".27975mm"/>
            <v:shape id="_x0000_s2428" type="#_x0000_t75" style="position:absolute;left:2698;top:-219;width:136;height:387">
              <v:imagedata r:id="rId173" o:title=""/>
            </v:shape>
            <v:shape id="_x0000_s2427" style="position:absolute;left:4012;top:-444;width:5316;height:858" coordorigin="4013,-444" coordsize="5316,858" path="m9267,-444r-5193,l4050,-439r-19,13l4018,-407r-5,24l4013,353r5,24l4031,396r19,13l4074,414r5193,l9291,409r19,-13l9323,377r5,-24l9328,-383r-5,-24l9310,-426r-19,-13l9267,-444xe" stroked="f">
              <v:path arrowok="t"/>
            </v:shape>
            <v:shape id="_x0000_s2426" style="position:absolute;left:4012;top:-444;width:5316;height:858" coordorigin="4013,-444" coordsize="5316,858" path="m9267,414r-5193,l4050,409r-19,-13l4018,377r-5,-24l4013,-383r5,-24l4031,-426r19,-13l4074,-444r5193,l9291,-439r19,13l9323,-407r5,24l9328,353r-5,24l9310,396r-19,13l9267,414xe" filled="f" strokecolor="#231f20" strokeweight=".21236mm">
              <v:path arrowok="t"/>
            </v:shape>
            <v:shape id="_x0000_s2425" type="#_x0000_t202" style="position:absolute;left:2403;top:-450;width:6931;height:870" filled="f" stroked="f">
              <v:textbox inset="0,0,0,0">
                <w:txbxContent>
                  <w:p w14:paraId="6889096E" w14:textId="77777777" w:rsidR="00EF5B27" w:rsidRDefault="00000000">
                    <w:pPr>
                      <w:numPr>
                        <w:ilvl w:val="0"/>
                        <w:numId w:val="9"/>
                      </w:numPr>
                      <w:tabs>
                        <w:tab w:val="left" w:pos="1842"/>
                      </w:tabs>
                      <w:spacing w:before="94"/>
                      <w:ind w:hanging="85"/>
                      <w:rPr>
                        <w:rFonts w:ascii="Century Gothic"/>
                        <w:sz w:val="17"/>
                      </w:rPr>
                    </w:pPr>
                    <w:r>
                      <w:rPr>
                        <w:rFonts w:ascii="Century Gothic"/>
                        <w:color w:val="231F20"/>
                        <w:w w:val="95"/>
                        <w:sz w:val="17"/>
                      </w:rPr>
                      <w:t>Broadscale clearing</w:t>
                    </w:r>
                    <w:r>
                      <w:rPr>
                        <w:rFonts w:ascii="Century Gothic"/>
                        <w:color w:val="231F20"/>
                        <w:spacing w:val="-12"/>
                        <w:w w:val="95"/>
                        <w:sz w:val="17"/>
                      </w:rPr>
                      <w:t xml:space="preserve"> </w:t>
                    </w:r>
                    <w:r>
                      <w:rPr>
                        <w:rFonts w:ascii="Century Gothic"/>
                        <w:color w:val="231F20"/>
                        <w:w w:val="95"/>
                        <w:sz w:val="17"/>
                      </w:rPr>
                      <w:t>ended</w:t>
                    </w:r>
                  </w:p>
                  <w:p w14:paraId="6C3BB027" w14:textId="77777777" w:rsidR="00EF5B27" w:rsidRDefault="00000000">
                    <w:pPr>
                      <w:numPr>
                        <w:ilvl w:val="0"/>
                        <w:numId w:val="9"/>
                      </w:numPr>
                      <w:tabs>
                        <w:tab w:val="left" w:pos="1842"/>
                      </w:tabs>
                      <w:spacing w:before="16" w:line="256" w:lineRule="auto"/>
                      <w:ind w:right="163" w:hanging="85"/>
                      <w:rPr>
                        <w:rFonts w:ascii="Century Gothic"/>
                        <w:sz w:val="17"/>
                      </w:rPr>
                    </w:pPr>
                    <w:r>
                      <w:rPr>
                        <w:rFonts w:ascii="Century Gothic"/>
                        <w:color w:val="231F20"/>
                        <w:w w:val="90"/>
                        <w:sz w:val="17"/>
                      </w:rPr>
                      <w:t>Planning</w:t>
                    </w:r>
                    <w:r>
                      <w:rPr>
                        <w:rFonts w:ascii="Century Gothic"/>
                        <w:color w:val="231F20"/>
                        <w:spacing w:val="-17"/>
                        <w:w w:val="90"/>
                        <w:sz w:val="17"/>
                      </w:rPr>
                      <w:t xml:space="preserve"> </w:t>
                    </w:r>
                    <w:r>
                      <w:rPr>
                        <w:rFonts w:ascii="Century Gothic"/>
                        <w:color w:val="231F20"/>
                        <w:w w:val="90"/>
                        <w:sz w:val="17"/>
                      </w:rPr>
                      <w:t>permit</w:t>
                    </w:r>
                    <w:r>
                      <w:rPr>
                        <w:rFonts w:ascii="Century Gothic"/>
                        <w:color w:val="231F20"/>
                        <w:spacing w:val="-16"/>
                        <w:w w:val="90"/>
                        <w:sz w:val="17"/>
                      </w:rPr>
                      <w:t xml:space="preserve"> </w:t>
                    </w:r>
                    <w:r>
                      <w:rPr>
                        <w:rFonts w:ascii="Century Gothic"/>
                        <w:color w:val="231F20"/>
                        <w:w w:val="90"/>
                        <w:sz w:val="17"/>
                      </w:rPr>
                      <w:t>required</w:t>
                    </w:r>
                    <w:r>
                      <w:rPr>
                        <w:rFonts w:ascii="Century Gothic"/>
                        <w:color w:val="231F20"/>
                        <w:spacing w:val="-16"/>
                        <w:w w:val="90"/>
                        <w:sz w:val="17"/>
                      </w:rPr>
                      <w:t xml:space="preserve"> </w:t>
                    </w:r>
                    <w:r>
                      <w:rPr>
                        <w:rFonts w:ascii="Century Gothic"/>
                        <w:color w:val="231F20"/>
                        <w:w w:val="90"/>
                        <w:sz w:val="17"/>
                      </w:rPr>
                      <w:t>under</w:t>
                    </w:r>
                    <w:r>
                      <w:rPr>
                        <w:rFonts w:ascii="Century Gothic"/>
                        <w:color w:val="231F20"/>
                        <w:spacing w:val="-17"/>
                        <w:w w:val="90"/>
                        <w:sz w:val="17"/>
                      </w:rPr>
                      <w:t xml:space="preserve"> </w:t>
                    </w:r>
                    <w:r>
                      <w:rPr>
                        <w:rFonts w:ascii="Century Gothic"/>
                        <w:color w:val="231F20"/>
                        <w:w w:val="90"/>
                        <w:sz w:val="17"/>
                      </w:rPr>
                      <w:t>the</w:t>
                    </w:r>
                    <w:r>
                      <w:rPr>
                        <w:rFonts w:ascii="Century Gothic"/>
                        <w:color w:val="231F20"/>
                        <w:spacing w:val="-16"/>
                        <w:w w:val="90"/>
                        <w:sz w:val="17"/>
                      </w:rPr>
                      <w:t xml:space="preserve"> </w:t>
                    </w:r>
                    <w:r>
                      <w:rPr>
                        <w:rFonts w:ascii="Century Gothic"/>
                        <w:color w:val="231F20"/>
                        <w:w w:val="90"/>
                        <w:sz w:val="17"/>
                      </w:rPr>
                      <w:t>Planning</w:t>
                    </w:r>
                    <w:r>
                      <w:rPr>
                        <w:rFonts w:ascii="Century Gothic"/>
                        <w:color w:val="231F20"/>
                        <w:spacing w:val="-16"/>
                        <w:w w:val="90"/>
                        <w:sz w:val="17"/>
                      </w:rPr>
                      <w:t xml:space="preserve"> </w:t>
                    </w:r>
                    <w:r>
                      <w:rPr>
                        <w:rFonts w:ascii="Century Gothic"/>
                        <w:color w:val="231F20"/>
                        <w:w w:val="90"/>
                        <w:sz w:val="17"/>
                      </w:rPr>
                      <w:t>&amp;</w:t>
                    </w:r>
                    <w:r>
                      <w:rPr>
                        <w:rFonts w:ascii="Century Gothic"/>
                        <w:color w:val="231F20"/>
                        <w:spacing w:val="-17"/>
                        <w:w w:val="90"/>
                        <w:sz w:val="17"/>
                      </w:rPr>
                      <w:t xml:space="preserve"> </w:t>
                    </w:r>
                    <w:r>
                      <w:rPr>
                        <w:rFonts w:ascii="Century Gothic"/>
                        <w:color w:val="231F20"/>
                        <w:w w:val="90"/>
                        <w:sz w:val="17"/>
                      </w:rPr>
                      <w:t>Environment</w:t>
                    </w:r>
                    <w:r>
                      <w:rPr>
                        <w:rFonts w:ascii="Century Gothic"/>
                        <w:color w:val="231F20"/>
                        <w:spacing w:val="-16"/>
                        <w:w w:val="90"/>
                        <w:sz w:val="17"/>
                      </w:rPr>
                      <w:t xml:space="preserve"> </w:t>
                    </w:r>
                    <w:r>
                      <w:rPr>
                        <w:rFonts w:ascii="Century Gothic"/>
                        <w:color w:val="231F20"/>
                        <w:w w:val="90"/>
                        <w:sz w:val="17"/>
                      </w:rPr>
                      <w:t>Act</w:t>
                    </w:r>
                    <w:r>
                      <w:rPr>
                        <w:rFonts w:ascii="Century Gothic"/>
                        <w:color w:val="231F20"/>
                        <w:spacing w:val="-16"/>
                        <w:w w:val="90"/>
                        <w:sz w:val="17"/>
                      </w:rPr>
                      <w:t xml:space="preserve"> </w:t>
                    </w:r>
                    <w:r>
                      <w:rPr>
                        <w:rFonts w:ascii="Century Gothic"/>
                        <w:color w:val="231F20"/>
                        <w:spacing w:val="-4"/>
                        <w:w w:val="90"/>
                        <w:sz w:val="17"/>
                      </w:rPr>
                      <w:t xml:space="preserve">1987 </w:t>
                    </w:r>
                    <w:r>
                      <w:rPr>
                        <w:rFonts w:ascii="Century Gothic"/>
                        <w:color w:val="231F20"/>
                        <w:w w:val="95"/>
                        <w:sz w:val="17"/>
                      </w:rPr>
                      <w:t>(P&amp;E</w:t>
                    </w:r>
                    <w:r>
                      <w:rPr>
                        <w:rFonts w:ascii="Century Gothic"/>
                        <w:color w:val="231F20"/>
                        <w:spacing w:val="-8"/>
                        <w:w w:val="95"/>
                        <w:sz w:val="17"/>
                      </w:rPr>
                      <w:t xml:space="preserve"> </w:t>
                    </w:r>
                    <w:r>
                      <w:rPr>
                        <w:rFonts w:ascii="Century Gothic"/>
                        <w:color w:val="231F20"/>
                        <w:w w:val="95"/>
                        <w:sz w:val="17"/>
                      </w:rPr>
                      <w:t>Act)</w:t>
                    </w:r>
                    <w:r>
                      <w:rPr>
                        <w:rFonts w:ascii="Century Gothic"/>
                        <w:color w:val="231F20"/>
                        <w:spacing w:val="-8"/>
                        <w:w w:val="95"/>
                        <w:sz w:val="17"/>
                      </w:rPr>
                      <w:t xml:space="preserve"> </w:t>
                    </w:r>
                    <w:r>
                      <w:rPr>
                        <w:rFonts w:ascii="Century Gothic"/>
                        <w:color w:val="231F20"/>
                        <w:w w:val="95"/>
                        <w:sz w:val="17"/>
                      </w:rPr>
                      <w:t>to</w:t>
                    </w:r>
                    <w:r>
                      <w:rPr>
                        <w:rFonts w:ascii="Century Gothic"/>
                        <w:color w:val="231F20"/>
                        <w:spacing w:val="-8"/>
                        <w:w w:val="95"/>
                        <w:sz w:val="17"/>
                      </w:rPr>
                      <w:t xml:space="preserve"> </w:t>
                    </w:r>
                    <w:r>
                      <w:rPr>
                        <w:rFonts w:ascii="Century Gothic"/>
                        <w:color w:val="231F20"/>
                        <w:w w:val="95"/>
                        <w:sz w:val="17"/>
                      </w:rPr>
                      <w:t>clear</w:t>
                    </w:r>
                    <w:r>
                      <w:rPr>
                        <w:rFonts w:ascii="Century Gothic"/>
                        <w:color w:val="231F20"/>
                        <w:spacing w:val="-7"/>
                        <w:w w:val="95"/>
                        <w:sz w:val="17"/>
                      </w:rPr>
                      <w:t xml:space="preserve"> </w:t>
                    </w:r>
                    <w:r>
                      <w:rPr>
                        <w:rFonts w:ascii="Century Gothic"/>
                        <w:color w:val="231F20"/>
                        <w:w w:val="95"/>
                        <w:sz w:val="17"/>
                      </w:rPr>
                      <w:t>native</w:t>
                    </w:r>
                    <w:r>
                      <w:rPr>
                        <w:rFonts w:ascii="Century Gothic"/>
                        <w:color w:val="231F20"/>
                        <w:spacing w:val="-8"/>
                        <w:w w:val="95"/>
                        <w:sz w:val="17"/>
                      </w:rPr>
                      <w:t xml:space="preserve"> </w:t>
                    </w:r>
                    <w:r>
                      <w:rPr>
                        <w:rFonts w:ascii="Century Gothic"/>
                        <w:color w:val="231F20"/>
                        <w:w w:val="95"/>
                        <w:sz w:val="17"/>
                      </w:rPr>
                      <w:t>vegetation</w:t>
                    </w:r>
                  </w:p>
                </w:txbxContent>
              </v:textbox>
            </v:shape>
            <w10:wrap anchorx="page"/>
          </v:group>
        </w:pict>
      </w:r>
      <w:r>
        <w:rPr>
          <w:b/>
          <w:spacing w:val="5"/>
          <w:w w:val="110"/>
          <w:sz w:val="25"/>
        </w:rPr>
        <w:t>1990</w:t>
      </w:r>
    </w:p>
    <w:p w14:paraId="42C60D6B" w14:textId="77777777" w:rsidR="00EF5B27" w:rsidRDefault="00EF5B27">
      <w:pPr>
        <w:pStyle w:val="BodyText"/>
        <w:spacing w:before="2"/>
        <w:rPr>
          <w:b/>
          <w:sz w:val="15"/>
        </w:rPr>
      </w:pPr>
    </w:p>
    <w:p w14:paraId="42FD87C8" w14:textId="77777777" w:rsidR="00EF5B27" w:rsidRDefault="00EF5B27">
      <w:pPr>
        <w:pStyle w:val="BodyText"/>
        <w:spacing w:before="11"/>
        <w:rPr>
          <w:b/>
          <w:sz w:val="14"/>
        </w:rPr>
      </w:pPr>
    </w:p>
    <w:p w14:paraId="134EC931" w14:textId="77777777" w:rsidR="00EF5B27" w:rsidRDefault="00EF5B27">
      <w:pPr>
        <w:pStyle w:val="BodyText"/>
        <w:spacing w:before="9"/>
        <w:rPr>
          <w:b/>
          <w:sz w:val="14"/>
        </w:rPr>
      </w:pPr>
    </w:p>
    <w:p w14:paraId="508925DB" w14:textId="77777777" w:rsidR="00EF5B27" w:rsidRDefault="00EF5B27">
      <w:pPr>
        <w:pStyle w:val="BodyText"/>
        <w:spacing w:before="7"/>
        <w:rPr>
          <w:b/>
          <w:sz w:val="14"/>
        </w:rPr>
      </w:pPr>
    </w:p>
    <w:p w14:paraId="387E2038" w14:textId="77777777" w:rsidR="00EF5B27" w:rsidRDefault="00EF5B27">
      <w:pPr>
        <w:pStyle w:val="BodyText"/>
        <w:spacing w:before="5"/>
        <w:rPr>
          <w:b/>
          <w:sz w:val="14"/>
        </w:rPr>
      </w:pPr>
    </w:p>
    <w:p w14:paraId="59A6E021" w14:textId="77777777" w:rsidR="00EF5B27" w:rsidRDefault="00EF5B27">
      <w:pPr>
        <w:pStyle w:val="BodyText"/>
        <w:spacing w:before="3"/>
        <w:rPr>
          <w:b/>
          <w:sz w:val="14"/>
        </w:rPr>
      </w:pPr>
    </w:p>
    <w:p w14:paraId="71F13F62" w14:textId="77777777" w:rsidR="00EF5B27" w:rsidRDefault="00EF5B27">
      <w:pPr>
        <w:pStyle w:val="BodyText"/>
        <w:spacing w:before="1"/>
        <w:rPr>
          <w:b/>
          <w:sz w:val="14"/>
        </w:rPr>
      </w:pPr>
    </w:p>
    <w:p w14:paraId="4F1973EF" w14:textId="77777777" w:rsidR="00EF5B27" w:rsidRDefault="00EF5B27">
      <w:pPr>
        <w:pStyle w:val="BodyText"/>
        <w:spacing w:before="1"/>
        <w:rPr>
          <w:b/>
          <w:sz w:val="29"/>
        </w:rPr>
      </w:pPr>
    </w:p>
    <w:p w14:paraId="1E816FDE" w14:textId="77777777" w:rsidR="00EF5B27" w:rsidRDefault="00000000">
      <w:pPr>
        <w:ind w:left="331"/>
        <w:rPr>
          <w:b/>
          <w:sz w:val="25"/>
        </w:rPr>
      </w:pPr>
      <w:r>
        <w:pict w14:anchorId="043BCA7B">
          <v:group id="_x0000_s2403" style="position:absolute;left:0;text-align:left;margin-left:106.7pt;margin-top:-28.4pt;width:407.35pt;height:122.75pt;z-index:-251495936;mso-position-horizontal-relative:page" coordorigin="2134,-568" coordsize="8147,2455">
            <v:shape id="_x0000_s2423" style="position:absolute;left:2400;top:129;width:360;height:40" coordorigin="2400,129" coordsize="360,40" path="m2753,129r-345,l2400,137r,24l2408,169r345,l2760,161r,-24l2753,129xe" fillcolor="#6d6e71" stroked="f">
              <v:path arrowok="t"/>
            </v:shape>
            <v:shape id="_x0000_s2422" style="position:absolute;left:2133;top:109;width:693;height:80" coordorigin="2134,110" coordsize="693,80" path="m2793,110r-627,l2154,113r-11,7l2136,130r-2,13l2134,156r2,13l2143,179r11,7l2166,189r627,l2806,186r10,-7l2823,169r3,-13l2826,143r-3,-13l2816,120r-10,-7l2793,110xe" fillcolor="#f89e2a" stroked="f">
              <v:path arrowok="t"/>
            </v:shape>
            <v:shape id="_x0000_s2421" style="position:absolute;left:2403;top:-145;width:353;height:38" coordorigin="2404,-145" coordsize="353,38" path="m2750,-145r-339,l2404,-138r,23l2411,-108r339,l2757,-115r,-23l2750,-145xe" fillcolor="#6d6e71" stroked="f">
              <v:path arrowok="t"/>
            </v:shape>
            <v:shape id="_x0000_s2420" style="position:absolute;left:2823;top:-138;width:1259;height:436" coordorigin="2824,-137" coordsize="1259,436" path="m2824,298r662,l3486,-137r596,e" filled="f" strokeweight=".27975mm">
              <v:path arrowok="t"/>
            </v:shape>
            <v:line id="_x0000_s2419" style="position:absolute" from="2429,718" to="2732,718" strokecolor="#6d6e71" strokeweight=".39017mm"/>
            <v:line id="_x0000_s2418" style="position:absolute" from="2432,443" to="2728,443" strokecolor="#6d6e71" strokeweight=".35208mm"/>
            <v:shape id="_x0000_s2417" style="position:absolute;left:2706;top:-156;width:121;height:896" coordorigin="2706,-155" coordsize="121,896" path="m2766,-155r-23,5l2724,-137r-13,19l2706,-95r,776l2711,704r13,19l2743,736r23,5l2789,736r20,-13l2821,704r5,-23l2826,-95r-5,-23l2809,-137r-20,-13l2766,-155xe" stroked="f">
              <v:path arrowok="t"/>
            </v:shape>
            <v:shape id="_x0000_s2416" style="position:absolute;left:2706;top:-156;width:121;height:896" coordorigin="2706,-155" coordsize="121,896" path="m2826,-95r,776l2821,704r-12,19l2789,736r-23,5l2743,736r-19,-13l2711,704r-5,-23l2706,-95r5,-23l2724,-137r19,-13l2766,-155r23,5l2809,-137r12,19l2826,-95xe" filled="f" strokecolor="#231f20" strokeweight=".27975mm">
              <v:path arrowok="t"/>
            </v:shape>
            <v:shape id="_x0000_s2415" style="position:absolute;left:4012;top:-562;width:6261;height:871" coordorigin="4013,-562" coordsize="6261,871" path="m10213,-562r-6139,l4050,-557r-19,13l4018,-525r-5,24l4013,248r5,23l4031,291r19,13l4074,308r6139,l10237,304r19,-13l10269,271r5,-23l10274,-501r-5,-24l10256,-544r-19,-13l10213,-562xe" stroked="f">
              <v:path arrowok="t"/>
            </v:shape>
            <v:shape id="_x0000_s2414" style="position:absolute;left:4012;top:-562;width:6261;height:871" coordorigin="4013,-562" coordsize="6261,871" path="m10213,308r-6139,l4050,304r-19,-13l4018,271r-5,-23l4013,-501r5,-24l4031,-544r19,-13l4074,-562r6139,l10237,-557r19,13l10269,-525r5,24l10274,248r-5,23l10256,291r-19,13l10213,308xe" filled="f" strokecolor="#231f20" strokeweight=".21236mm">
              <v:path arrowok="t"/>
            </v:shape>
            <v:line id="_x0000_s2413" style="position:absolute" from="2415,1819" to="2746,1819" strokecolor="#6d6e71" strokeweight=".5415mm"/>
            <v:line id="_x0000_s2412" style="position:absolute" from="2418,1544" to="2743,1544" strokecolor="#6d6e71" strokeweight=".50342mm"/>
            <v:shape id="_x0000_s2411" style="position:absolute;left:2823;top:1161;width:1259;height:388" coordorigin="2824,1161" coordsize="1259,388" path="m2824,1548r662,l3486,1161r596,e" filled="f" strokeweight=".27975mm">
              <v:path arrowok="t"/>
            </v:shape>
            <v:shape id="_x0000_s2410" style="position:absolute;left:2706;top:1220;width:121;height:659" coordorigin="2706,1221" coordsize="121,659" path="m2766,1221r-23,5l2724,1238r-13,19l2706,1281r,538l2711,1842r13,19l2743,1874r23,5l2789,1874r20,-13l2821,1842r5,-23l2826,1281r-5,-24l2809,1238r-20,-12l2766,1221xe" stroked="f">
              <v:path arrowok="t"/>
            </v:shape>
            <v:shape id="_x0000_s2409" style="position:absolute;left:2706;top:1220;width:121;height:659" coordorigin="2706,1221" coordsize="121,659" path="m2826,1281r,538l2821,1842r-12,19l2789,1874r-23,5l2743,1874r-19,-13l2711,1842r-5,-23l2706,1281r5,-24l2724,1238r19,-12l2766,1221r23,5l2809,1238r12,19l2826,1281xe" filled="f" strokecolor="#231f20" strokeweight=".27975mm">
              <v:path arrowok="t"/>
            </v:shape>
            <v:shape id="_x0000_s2408" style="position:absolute;left:4012;top:505;width:6261;height:1365" coordorigin="4013,506" coordsize="6261,1365" path="m10213,506r-6139,l4050,511r-19,13l4018,543r-5,24l4013,1810r5,23l4031,1853r19,13l4074,1871r6139,l10237,1866r19,-13l10269,1833r5,-23l10274,567r-5,-24l10256,524r-19,-13l10213,506xe" stroked="f">
              <v:path arrowok="t"/>
            </v:shape>
            <v:shape id="_x0000_s2407" style="position:absolute;left:4012;top:505;width:6261;height:1365" coordorigin="4013,506" coordsize="6261,1365" path="m10213,1871r-6139,l4050,1866r-19,-13l4018,1833r-5,-23l4013,567r5,-24l4031,524r19,-13l4074,506r6139,l10237,511r19,13l10269,543r5,24l10274,1810r-5,23l10256,1853r-19,13l10213,1871xe" filled="f" strokecolor="#231f20" strokeweight=".21236mm">
              <v:path arrowok="t"/>
            </v:shape>
            <v:shape id="_x0000_s2406" type="#_x0000_t202" style="position:absolute;left:4152;top:-466;width:6012;height:675" filled="f" stroked="f">
              <v:textbox inset="0,0,0,0">
                <w:txbxContent>
                  <w:p w14:paraId="164153BF" w14:textId="77777777" w:rsidR="00EF5B27" w:rsidRDefault="00000000">
                    <w:pPr>
                      <w:numPr>
                        <w:ilvl w:val="0"/>
                        <w:numId w:val="8"/>
                      </w:numPr>
                      <w:tabs>
                        <w:tab w:val="left" w:pos="93"/>
                      </w:tabs>
                      <w:spacing w:line="210" w:lineRule="exact"/>
                      <w:ind w:hanging="92"/>
                      <w:rPr>
                        <w:rFonts w:ascii="Century Gothic"/>
                        <w:sz w:val="17"/>
                      </w:rPr>
                    </w:pPr>
                    <w:r>
                      <w:rPr>
                        <w:rFonts w:ascii="Century Gothic"/>
                        <w:color w:val="231F20"/>
                        <w:sz w:val="17"/>
                      </w:rPr>
                      <w:t>Offsetting rules</w:t>
                    </w:r>
                    <w:r>
                      <w:rPr>
                        <w:rFonts w:ascii="Century Gothic"/>
                        <w:color w:val="231F20"/>
                        <w:spacing w:val="-16"/>
                        <w:sz w:val="17"/>
                      </w:rPr>
                      <w:t xml:space="preserve"> </w:t>
                    </w:r>
                    <w:r>
                      <w:rPr>
                        <w:rFonts w:ascii="Century Gothic"/>
                        <w:color w:val="231F20"/>
                        <w:sz w:val="17"/>
                      </w:rPr>
                      <w:t>introduced</w:t>
                    </w:r>
                  </w:p>
                  <w:p w14:paraId="63369343" w14:textId="77777777" w:rsidR="00EF5B27" w:rsidRDefault="00000000">
                    <w:pPr>
                      <w:numPr>
                        <w:ilvl w:val="0"/>
                        <w:numId w:val="8"/>
                      </w:numPr>
                      <w:tabs>
                        <w:tab w:val="left" w:pos="93"/>
                      </w:tabs>
                      <w:spacing w:before="16"/>
                      <w:ind w:hanging="92"/>
                      <w:rPr>
                        <w:rFonts w:ascii="Century Gothic"/>
                        <w:sz w:val="17"/>
                      </w:rPr>
                    </w:pPr>
                    <w:r>
                      <w:rPr>
                        <w:rFonts w:ascii="Century Gothic"/>
                        <w:color w:val="231F20"/>
                        <w:w w:val="85"/>
                        <w:sz w:val="17"/>
                      </w:rPr>
                      <w:t>Commonwealth Environment Protection &amp; Biodiversity Conservation Act</w:t>
                    </w:r>
                    <w:r>
                      <w:rPr>
                        <w:rFonts w:ascii="Century Gothic"/>
                        <w:color w:val="231F20"/>
                        <w:spacing w:val="9"/>
                        <w:w w:val="85"/>
                        <w:sz w:val="17"/>
                      </w:rPr>
                      <w:t xml:space="preserve"> </w:t>
                    </w:r>
                    <w:r>
                      <w:rPr>
                        <w:rFonts w:ascii="Century Gothic"/>
                        <w:color w:val="231F20"/>
                        <w:w w:val="85"/>
                        <w:sz w:val="17"/>
                      </w:rPr>
                      <w:t>introduced</w:t>
                    </w:r>
                  </w:p>
                  <w:p w14:paraId="3FBC591E" w14:textId="77777777" w:rsidR="00EF5B27" w:rsidRDefault="00000000">
                    <w:pPr>
                      <w:numPr>
                        <w:ilvl w:val="0"/>
                        <w:numId w:val="8"/>
                      </w:numPr>
                      <w:tabs>
                        <w:tab w:val="left" w:pos="93"/>
                      </w:tabs>
                      <w:spacing w:before="16"/>
                      <w:ind w:hanging="92"/>
                      <w:rPr>
                        <w:rFonts w:ascii="Century Gothic"/>
                        <w:sz w:val="17"/>
                      </w:rPr>
                    </w:pPr>
                    <w:r>
                      <w:rPr>
                        <w:rFonts w:ascii="Century Gothic"/>
                        <w:color w:val="231F20"/>
                        <w:w w:val="90"/>
                        <w:sz w:val="17"/>
                      </w:rPr>
                      <w:t>Vic.</w:t>
                    </w:r>
                    <w:r>
                      <w:rPr>
                        <w:rFonts w:ascii="Century Gothic"/>
                        <w:color w:val="231F20"/>
                        <w:spacing w:val="-22"/>
                        <w:w w:val="90"/>
                        <w:sz w:val="17"/>
                      </w:rPr>
                      <w:t xml:space="preserve"> </w:t>
                    </w:r>
                    <w:r>
                      <w:rPr>
                        <w:rFonts w:ascii="Century Gothic"/>
                        <w:color w:val="231F20"/>
                        <w:w w:val="90"/>
                        <w:sz w:val="17"/>
                      </w:rPr>
                      <w:t>Native</w:t>
                    </w:r>
                    <w:r>
                      <w:rPr>
                        <w:rFonts w:ascii="Century Gothic"/>
                        <w:color w:val="231F20"/>
                        <w:spacing w:val="-21"/>
                        <w:w w:val="90"/>
                        <w:sz w:val="17"/>
                      </w:rPr>
                      <w:t xml:space="preserve"> </w:t>
                    </w:r>
                    <w:r>
                      <w:rPr>
                        <w:rFonts w:ascii="Century Gothic"/>
                        <w:color w:val="231F20"/>
                        <w:w w:val="90"/>
                        <w:sz w:val="17"/>
                      </w:rPr>
                      <w:t>Vegetation</w:t>
                    </w:r>
                    <w:r>
                      <w:rPr>
                        <w:rFonts w:ascii="Century Gothic"/>
                        <w:color w:val="231F20"/>
                        <w:spacing w:val="-21"/>
                        <w:w w:val="90"/>
                        <w:sz w:val="17"/>
                      </w:rPr>
                      <w:t xml:space="preserve"> </w:t>
                    </w:r>
                    <w:r>
                      <w:rPr>
                        <w:rFonts w:ascii="Century Gothic"/>
                        <w:color w:val="231F20"/>
                        <w:w w:val="90"/>
                        <w:sz w:val="17"/>
                      </w:rPr>
                      <w:t>Management</w:t>
                    </w:r>
                    <w:r>
                      <w:rPr>
                        <w:rFonts w:ascii="Century Gothic"/>
                        <w:color w:val="231F20"/>
                        <w:spacing w:val="-21"/>
                        <w:w w:val="90"/>
                        <w:sz w:val="17"/>
                      </w:rPr>
                      <w:t xml:space="preserve"> </w:t>
                    </w:r>
                    <w:r>
                      <w:rPr>
                        <w:rFonts w:ascii="Century Gothic"/>
                        <w:color w:val="231F20"/>
                        <w:w w:val="90"/>
                        <w:sz w:val="17"/>
                      </w:rPr>
                      <w:t>Framework</w:t>
                    </w:r>
                    <w:r>
                      <w:rPr>
                        <w:rFonts w:ascii="Century Gothic"/>
                        <w:color w:val="231F20"/>
                        <w:spacing w:val="-21"/>
                        <w:w w:val="90"/>
                        <w:sz w:val="17"/>
                      </w:rPr>
                      <w:t xml:space="preserve"> </w:t>
                    </w:r>
                    <w:r>
                      <w:rPr>
                        <w:rFonts w:ascii="Century Gothic"/>
                        <w:color w:val="231F20"/>
                        <w:w w:val="90"/>
                        <w:sz w:val="17"/>
                      </w:rPr>
                      <w:t>introduced</w:t>
                    </w:r>
                    <w:r>
                      <w:rPr>
                        <w:rFonts w:ascii="Century Gothic"/>
                        <w:color w:val="231F20"/>
                        <w:spacing w:val="-21"/>
                        <w:w w:val="90"/>
                        <w:sz w:val="17"/>
                      </w:rPr>
                      <w:t xml:space="preserve"> </w:t>
                    </w:r>
                    <w:r>
                      <w:rPr>
                        <w:rFonts w:ascii="Century Gothic"/>
                        <w:color w:val="231F20"/>
                        <w:w w:val="90"/>
                        <w:sz w:val="17"/>
                      </w:rPr>
                      <w:t>under</w:t>
                    </w:r>
                    <w:r>
                      <w:rPr>
                        <w:rFonts w:ascii="Century Gothic"/>
                        <w:color w:val="231F20"/>
                        <w:spacing w:val="-21"/>
                        <w:w w:val="90"/>
                        <w:sz w:val="17"/>
                      </w:rPr>
                      <w:t xml:space="preserve"> </w:t>
                    </w:r>
                    <w:r>
                      <w:rPr>
                        <w:rFonts w:ascii="Century Gothic"/>
                        <w:color w:val="231F20"/>
                        <w:w w:val="90"/>
                        <w:sz w:val="17"/>
                      </w:rPr>
                      <w:t>the</w:t>
                    </w:r>
                    <w:r>
                      <w:rPr>
                        <w:rFonts w:ascii="Century Gothic"/>
                        <w:color w:val="231F20"/>
                        <w:spacing w:val="-21"/>
                        <w:w w:val="90"/>
                        <w:sz w:val="17"/>
                      </w:rPr>
                      <w:t xml:space="preserve"> </w:t>
                    </w:r>
                    <w:r>
                      <w:rPr>
                        <w:rFonts w:ascii="Century Gothic"/>
                        <w:color w:val="231F20"/>
                        <w:w w:val="90"/>
                        <w:sz w:val="17"/>
                      </w:rPr>
                      <w:t>P&amp;E</w:t>
                    </w:r>
                    <w:r>
                      <w:rPr>
                        <w:rFonts w:ascii="Century Gothic"/>
                        <w:color w:val="231F20"/>
                        <w:spacing w:val="-21"/>
                        <w:w w:val="90"/>
                        <w:sz w:val="17"/>
                      </w:rPr>
                      <w:t xml:space="preserve"> </w:t>
                    </w:r>
                    <w:r>
                      <w:rPr>
                        <w:rFonts w:ascii="Century Gothic"/>
                        <w:color w:val="231F20"/>
                        <w:w w:val="90"/>
                        <w:sz w:val="17"/>
                      </w:rPr>
                      <w:t>Act</w:t>
                    </w:r>
                  </w:p>
                </w:txbxContent>
              </v:textbox>
            </v:shape>
            <v:shape id="_x0000_s2405" type="#_x0000_t202" style="position:absolute;left:2421;top:837;width:338;height:440" filled="f" stroked="f">
              <v:textbox inset="0,0,0,0">
                <w:txbxContent>
                  <w:p w14:paraId="00A779A9" w14:textId="77777777" w:rsidR="00EF5B27" w:rsidRDefault="00000000">
                    <w:pPr>
                      <w:tabs>
                        <w:tab w:val="left" w:pos="313"/>
                      </w:tabs>
                      <w:spacing w:line="207" w:lineRule="exact"/>
                      <w:ind w:left="3"/>
                      <w:rPr>
                        <w:sz w:val="17"/>
                      </w:rPr>
                    </w:pPr>
                    <w:r>
                      <w:rPr>
                        <w:color w:val="231F20"/>
                        <w:w w:val="110"/>
                        <w:sz w:val="17"/>
                        <w:u w:val="thick" w:color="6D6E71"/>
                      </w:rPr>
                      <w:t xml:space="preserve"> </w:t>
                    </w:r>
                    <w:r>
                      <w:rPr>
                        <w:color w:val="231F20"/>
                        <w:sz w:val="17"/>
                        <w:u w:val="thick" w:color="6D6E71"/>
                      </w:rPr>
                      <w:tab/>
                    </w:r>
                  </w:p>
                  <w:p w14:paraId="33F2E937" w14:textId="77777777" w:rsidR="00EF5B27" w:rsidRDefault="00000000">
                    <w:pPr>
                      <w:tabs>
                        <w:tab w:val="left" w:pos="317"/>
                      </w:tabs>
                      <w:spacing w:before="25"/>
                      <w:rPr>
                        <w:sz w:val="17"/>
                      </w:rPr>
                    </w:pPr>
                    <w:r>
                      <w:rPr>
                        <w:color w:val="231F20"/>
                        <w:w w:val="110"/>
                        <w:sz w:val="17"/>
                        <w:u w:val="thick" w:color="6D6E71"/>
                      </w:rPr>
                      <w:t xml:space="preserve"> </w:t>
                    </w:r>
                    <w:r>
                      <w:rPr>
                        <w:color w:val="231F20"/>
                        <w:sz w:val="17"/>
                        <w:u w:val="thick" w:color="6D6E71"/>
                      </w:rPr>
                      <w:tab/>
                    </w:r>
                  </w:p>
                </w:txbxContent>
              </v:textbox>
            </v:shape>
            <v:shape id="_x0000_s2404" type="#_x0000_t202" style="position:absolute;left:4152;top:601;width:4699;height:1141" filled="f" stroked="f">
              <v:textbox inset="0,0,0,0">
                <w:txbxContent>
                  <w:p w14:paraId="0773FEB2" w14:textId="77777777" w:rsidR="00EF5B27" w:rsidRDefault="00000000">
                    <w:pPr>
                      <w:numPr>
                        <w:ilvl w:val="0"/>
                        <w:numId w:val="7"/>
                      </w:numPr>
                      <w:tabs>
                        <w:tab w:val="left" w:pos="93"/>
                      </w:tabs>
                      <w:spacing w:line="210" w:lineRule="exact"/>
                      <w:ind w:hanging="92"/>
                      <w:rPr>
                        <w:rFonts w:ascii="Century Gothic"/>
                        <w:sz w:val="17"/>
                      </w:rPr>
                    </w:pPr>
                    <w:r>
                      <w:rPr>
                        <w:rFonts w:ascii="Century Gothic"/>
                        <w:color w:val="231F20"/>
                        <w:sz w:val="17"/>
                      </w:rPr>
                      <w:t>Measuring losses and</w:t>
                    </w:r>
                    <w:r>
                      <w:rPr>
                        <w:rFonts w:ascii="Century Gothic"/>
                        <w:color w:val="231F20"/>
                        <w:spacing w:val="-27"/>
                        <w:sz w:val="17"/>
                      </w:rPr>
                      <w:t xml:space="preserve"> </w:t>
                    </w:r>
                    <w:r>
                      <w:rPr>
                        <w:rFonts w:ascii="Century Gothic"/>
                        <w:color w:val="231F20"/>
                        <w:sz w:val="17"/>
                      </w:rPr>
                      <w:t>gains</w:t>
                    </w:r>
                  </w:p>
                  <w:p w14:paraId="07FE989E" w14:textId="77777777" w:rsidR="00EF5B27" w:rsidRDefault="00000000">
                    <w:pPr>
                      <w:numPr>
                        <w:ilvl w:val="0"/>
                        <w:numId w:val="7"/>
                      </w:numPr>
                      <w:tabs>
                        <w:tab w:val="left" w:pos="93"/>
                      </w:tabs>
                      <w:spacing w:before="16"/>
                      <w:ind w:hanging="92"/>
                      <w:rPr>
                        <w:rFonts w:ascii="Century Gothic"/>
                        <w:sz w:val="17"/>
                      </w:rPr>
                    </w:pPr>
                    <w:r>
                      <w:rPr>
                        <w:rFonts w:ascii="Century Gothic"/>
                        <w:color w:val="231F20"/>
                        <w:w w:val="85"/>
                        <w:sz w:val="17"/>
                      </w:rPr>
                      <w:t>Ecological Vegetation Classes are benchmarked for</w:t>
                    </w:r>
                    <w:r>
                      <w:rPr>
                        <w:rFonts w:ascii="Century Gothic"/>
                        <w:color w:val="231F20"/>
                        <w:spacing w:val="38"/>
                        <w:w w:val="85"/>
                        <w:sz w:val="17"/>
                      </w:rPr>
                      <w:t xml:space="preserve"> </w:t>
                    </w:r>
                    <w:r>
                      <w:rPr>
                        <w:rFonts w:ascii="Century Gothic"/>
                        <w:color w:val="231F20"/>
                        <w:w w:val="85"/>
                        <w:sz w:val="17"/>
                      </w:rPr>
                      <w:t>assessments</w:t>
                    </w:r>
                  </w:p>
                  <w:p w14:paraId="4D31AC18" w14:textId="77777777" w:rsidR="00EF5B27" w:rsidRDefault="00000000">
                    <w:pPr>
                      <w:numPr>
                        <w:ilvl w:val="0"/>
                        <w:numId w:val="7"/>
                      </w:numPr>
                      <w:tabs>
                        <w:tab w:val="left" w:pos="93"/>
                      </w:tabs>
                      <w:spacing w:before="16"/>
                      <w:ind w:hanging="92"/>
                      <w:rPr>
                        <w:rFonts w:ascii="Century Gothic"/>
                        <w:sz w:val="17"/>
                      </w:rPr>
                    </w:pPr>
                    <w:r>
                      <w:rPr>
                        <w:rFonts w:ascii="Century Gothic"/>
                        <w:color w:val="231F20"/>
                        <w:w w:val="90"/>
                        <w:sz w:val="17"/>
                      </w:rPr>
                      <w:t>EVC</w:t>
                    </w:r>
                    <w:r>
                      <w:rPr>
                        <w:rFonts w:ascii="Century Gothic"/>
                        <w:color w:val="231F20"/>
                        <w:spacing w:val="-17"/>
                        <w:w w:val="90"/>
                        <w:sz w:val="17"/>
                      </w:rPr>
                      <w:t xml:space="preserve"> </w:t>
                    </w:r>
                    <w:r>
                      <w:rPr>
                        <w:rFonts w:ascii="Century Gothic"/>
                        <w:color w:val="231F20"/>
                        <w:w w:val="90"/>
                        <w:sz w:val="17"/>
                      </w:rPr>
                      <w:t>extent</w:t>
                    </w:r>
                    <w:r>
                      <w:rPr>
                        <w:rFonts w:ascii="Century Gothic"/>
                        <w:color w:val="231F20"/>
                        <w:spacing w:val="-16"/>
                        <w:w w:val="90"/>
                        <w:sz w:val="17"/>
                      </w:rPr>
                      <w:t xml:space="preserve"> </w:t>
                    </w:r>
                    <w:r>
                      <w:rPr>
                        <w:rFonts w:ascii="Century Gothic"/>
                        <w:color w:val="231F20"/>
                        <w:w w:val="90"/>
                        <w:sz w:val="17"/>
                      </w:rPr>
                      <w:t>and</w:t>
                    </w:r>
                    <w:r>
                      <w:rPr>
                        <w:rFonts w:ascii="Century Gothic"/>
                        <w:color w:val="231F20"/>
                        <w:spacing w:val="-16"/>
                        <w:w w:val="90"/>
                        <w:sz w:val="17"/>
                      </w:rPr>
                      <w:t xml:space="preserve"> </w:t>
                    </w:r>
                    <w:r>
                      <w:rPr>
                        <w:rFonts w:ascii="Century Gothic"/>
                        <w:color w:val="231F20"/>
                        <w:w w:val="90"/>
                        <w:sz w:val="17"/>
                      </w:rPr>
                      <w:t>quality</w:t>
                    </w:r>
                    <w:r>
                      <w:rPr>
                        <w:rFonts w:ascii="Century Gothic"/>
                        <w:color w:val="231F20"/>
                        <w:spacing w:val="-16"/>
                        <w:w w:val="90"/>
                        <w:sz w:val="17"/>
                      </w:rPr>
                      <w:t xml:space="preserve"> </w:t>
                    </w:r>
                    <w:r>
                      <w:rPr>
                        <w:rFonts w:ascii="Century Gothic"/>
                        <w:color w:val="231F20"/>
                        <w:w w:val="90"/>
                        <w:sz w:val="17"/>
                      </w:rPr>
                      <w:t>is</w:t>
                    </w:r>
                    <w:r>
                      <w:rPr>
                        <w:rFonts w:ascii="Century Gothic"/>
                        <w:color w:val="231F20"/>
                        <w:spacing w:val="-16"/>
                        <w:w w:val="90"/>
                        <w:sz w:val="17"/>
                      </w:rPr>
                      <w:t xml:space="preserve"> </w:t>
                    </w:r>
                    <w:r>
                      <w:rPr>
                        <w:rFonts w:ascii="Century Gothic"/>
                        <w:color w:val="231F20"/>
                        <w:w w:val="90"/>
                        <w:sz w:val="17"/>
                      </w:rPr>
                      <w:t>projected</w:t>
                    </w:r>
                    <w:r>
                      <w:rPr>
                        <w:rFonts w:ascii="Century Gothic"/>
                        <w:color w:val="231F20"/>
                        <w:spacing w:val="-16"/>
                        <w:w w:val="90"/>
                        <w:sz w:val="17"/>
                      </w:rPr>
                      <w:t xml:space="preserve"> </w:t>
                    </w:r>
                    <w:r>
                      <w:rPr>
                        <w:rFonts w:ascii="Century Gothic"/>
                        <w:color w:val="231F20"/>
                        <w:w w:val="90"/>
                        <w:sz w:val="17"/>
                      </w:rPr>
                      <w:t>with</w:t>
                    </w:r>
                    <w:r>
                      <w:rPr>
                        <w:rFonts w:ascii="Century Gothic"/>
                        <w:color w:val="231F20"/>
                        <w:spacing w:val="-17"/>
                        <w:w w:val="90"/>
                        <w:sz w:val="17"/>
                      </w:rPr>
                      <w:t xml:space="preserve"> </w:t>
                    </w:r>
                    <w:r>
                      <w:rPr>
                        <w:rFonts w:ascii="Century Gothic"/>
                        <w:color w:val="231F20"/>
                        <w:w w:val="90"/>
                        <w:sz w:val="17"/>
                      </w:rPr>
                      <w:t>computer</w:t>
                    </w:r>
                    <w:r>
                      <w:rPr>
                        <w:rFonts w:ascii="Century Gothic"/>
                        <w:color w:val="231F20"/>
                        <w:spacing w:val="-16"/>
                        <w:w w:val="90"/>
                        <w:sz w:val="17"/>
                      </w:rPr>
                      <w:t xml:space="preserve"> </w:t>
                    </w:r>
                    <w:r>
                      <w:rPr>
                        <w:rFonts w:ascii="Century Gothic"/>
                        <w:color w:val="231F20"/>
                        <w:w w:val="90"/>
                        <w:sz w:val="17"/>
                      </w:rPr>
                      <w:t>modelling</w:t>
                    </w:r>
                  </w:p>
                  <w:p w14:paraId="05A3E9E1" w14:textId="77777777" w:rsidR="00EF5B27" w:rsidRDefault="00000000">
                    <w:pPr>
                      <w:numPr>
                        <w:ilvl w:val="0"/>
                        <w:numId w:val="7"/>
                      </w:numPr>
                      <w:tabs>
                        <w:tab w:val="left" w:pos="93"/>
                      </w:tabs>
                      <w:spacing w:before="16"/>
                      <w:ind w:hanging="92"/>
                      <w:rPr>
                        <w:rFonts w:ascii="Century Gothic"/>
                        <w:sz w:val="17"/>
                      </w:rPr>
                    </w:pPr>
                    <w:r>
                      <w:rPr>
                        <w:rFonts w:ascii="Century Gothic"/>
                        <w:color w:val="231F20"/>
                        <w:w w:val="90"/>
                        <w:sz w:val="17"/>
                      </w:rPr>
                      <w:t>Mathematical</w:t>
                    </w:r>
                    <w:r>
                      <w:rPr>
                        <w:rFonts w:ascii="Century Gothic"/>
                        <w:color w:val="231F20"/>
                        <w:spacing w:val="-15"/>
                        <w:w w:val="90"/>
                        <w:sz w:val="17"/>
                      </w:rPr>
                      <w:t xml:space="preserve"> </w:t>
                    </w:r>
                    <w:r>
                      <w:rPr>
                        <w:rFonts w:ascii="Century Gothic"/>
                        <w:color w:val="231F20"/>
                        <w:w w:val="90"/>
                        <w:sz w:val="17"/>
                      </w:rPr>
                      <w:t>methods</w:t>
                    </w:r>
                    <w:r>
                      <w:rPr>
                        <w:rFonts w:ascii="Century Gothic"/>
                        <w:color w:val="231F20"/>
                        <w:spacing w:val="-14"/>
                        <w:w w:val="90"/>
                        <w:sz w:val="17"/>
                      </w:rPr>
                      <w:t xml:space="preserve"> </w:t>
                    </w:r>
                    <w:r>
                      <w:rPr>
                        <w:rFonts w:ascii="Century Gothic"/>
                        <w:color w:val="231F20"/>
                        <w:w w:val="90"/>
                        <w:sz w:val="17"/>
                      </w:rPr>
                      <w:t>for</w:t>
                    </w:r>
                    <w:r>
                      <w:rPr>
                        <w:rFonts w:ascii="Century Gothic"/>
                        <w:color w:val="231F20"/>
                        <w:spacing w:val="-14"/>
                        <w:w w:val="90"/>
                        <w:sz w:val="17"/>
                      </w:rPr>
                      <w:t xml:space="preserve"> </w:t>
                    </w:r>
                    <w:r>
                      <w:rPr>
                        <w:rFonts w:ascii="Century Gothic"/>
                        <w:color w:val="231F20"/>
                        <w:w w:val="90"/>
                        <w:sz w:val="17"/>
                      </w:rPr>
                      <w:t>measuring</w:t>
                    </w:r>
                    <w:r>
                      <w:rPr>
                        <w:rFonts w:ascii="Century Gothic"/>
                        <w:color w:val="231F20"/>
                        <w:spacing w:val="-15"/>
                        <w:w w:val="90"/>
                        <w:sz w:val="17"/>
                      </w:rPr>
                      <w:t xml:space="preserve"> </w:t>
                    </w:r>
                    <w:r>
                      <w:rPr>
                        <w:rFonts w:ascii="Century Gothic"/>
                        <w:color w:val="231F20"/>
                        <w:w w:val="90"/>
                        <w:sz w:val="17"/>
                      </w:rPr>
                      <w:t>losses</w:t>
                    </w:r>
                    <w:r>
                      <w:rPr>
                        <w:rFonts w:ascii="Century Gothic"/>
                        <w:color w:val="231F20"/>
                        <w:spacing w:val="-14"/>
                        <w:w w:val="90"/>
                        <w:sz w:val="17"/>
                      </w:rPr>
                      <w:t xml:space="preserve"> </w:t>
                    </w:r>
                    <w:r>
                      <w:rPr>
                        <w:rFonts w:ascii="Century Gothic"/>
                        <w:color w:val="231F20"/>
                        <w:w w:val="90"/>
                        <w:sz w:val="17"/>
                      </w:rPr>
                      <w:t>and</w:t>
                    </w:r>
                    <w:r>
                      <w:rPr>
                        <w:rFonts w:ascii="Century Gothic"/>
                        <w:color w:val="231F20"/>
                        <w:spacing w:val="-14"/>
                        <w:w w:val="90"/>
                        <w:sz w:val="17"/>
                      </w:rPr>
                      <w:t xml:space="preserve"> </w:t>
                    </w:r>
                    <w:r>
                      <w:rPr>
                        <w:rFonts w:ascii="Century Gothic"/>
                        <w:color w:val="231F20"/>
                        <w:w w:val="90"/>
                        <w:sz w:val="17"/>
                      </w:rPr>
                      <w:t>gains</w:t>
                    </w:r>
                    <w:r>
                      <w:rPr>
                        <w:rFonts w:ascii="Century Gothic"/>
                        <w:color w:val="231F20"/>
                        <w:spacing w:val="-14"/>
                        <w:w w:val="90"/>
                        <w:sz w:val="17"/>
                      </w:rPr>
                      <w:t xml:space="preserve"> </w:t>
                    </w:r>
                    <w:r>
                      <w:rPr>
                        <w:rFonts w:ascii="Century Gothic"/>
                        <w:color w:val="231F20"/>
                        <w:w w:val="90"/>
                        <w:sz w:val="17"/>
                      </w:rPr>
                      <w:t>are</w:t>
                    </w:r>
                    <w:r>
                      <w:rPr>
                        <w:rFonts w:ascii="Century Gothic"/>
                        <w:color w:val="231F20"/>
                        <w:spacing w:val="-15"/>
                        <w:w w:val="90"/>
                        <w:sz w:val="17"/>
                      </w:rPr>
                      <w:t xml:space="preserve"> </w:t>
                    </w:r>
                    <w:r>
                      <w:rPr>
                        <w:rFonts w:ascii="Century Gothic"/>
                        <w:color w:val="231F20"/>
                        <w:w w:val="90"/>
                        <w:sz w:val="17"/>
                      </w:rPr>
                      <w:t>set</w:t>
                    </w:r>
                  </w:p>
                  <w:p w14:paraId="7C500DBD" w14:textId="77777777" w:rsidR="00EF5B27" w:rsidRDefault="00000000">
                    <w:pPr>
                      <w:numPr>
                        <w:ilvl w:val="0"/>
                        <w:numId w:val="7"/>
                      </w:numPr>
                      <w:tabs>
                        <w:tab w:val="left" w:pos="93"/>
                      </w:tabs>
                      <w:spacing w:before="16"/>
                      <w:ind w:hanging="92"/>
                      <w:rPr>
                        <w:rFonts w:ascii="Century Gothic"/>
                        <w:sz w:val="17"/>
                      </w:rPr>
                    </w:pPr>
                    <w:r>
                      <w:rPr>
                        <w:rFonts w:ascii="Century Gothic"/>
                        <w:color w:val="231F20"/>
                        <w:w w:val="95"/>
                        <w:sz w:val="17"/>
                      </w:rPr>
                      <w:t>Victorian</w:t>
                    </w:r>
                    <w:r>
                      <w:rPr>
                        <w:rFonts w:ascii="Century Gothic"/>
                        <w:color w:val="231F20"/>
                        <w:spacing w:val="-9"/>
                        <w:w w:val="95"/>
                        <w:sz w:val="17"/>
                      </w:rPr>
                      <w:t xml:space="preserve"> </w:t>
                    </w:r>
                    <w:r>
                      <w:rPr>
                        <w:rFonts w:ascii="Century Gothic"/>
                        <w:color w:val="231F20"/>
                        <w:w w:val="95"/>
                        <w:sz w:val="17"/>
                      </w:rPr>
                      <w:t>offset</w:t>
                    </w:r>
                    <w:r>
                      <w:rPr>
                        <w:rFonts w:ascii="Century Gothic"/>
                        <w:color w:val="231F20"/>
                        <w:spacing w:val="-8"/>
                        <w:w w:val="95"/>
                        <w:sz w:val="17"/>
                      </w:rPr>
                      <w:t xml:space="preserve"> </w:t>
                    </w:r>
                    <w:r>
                      <w:rPr>
                        <w:rFonts w:ascii="Century Gothic"/>
                        <w:color w:val="231F20"/>
                        <w:w w:val="95"/>
                        <w:sz w:val="17"/>
                      </w:rPr>
                      <w:t>market</w:t>
                    </w:r>
                    <w:r>
                      <w:rPr>
                        <w:rFonts w:ascii="Century Gothic"/>
                        <w:color w:val="231F20"/>
                        <w:spacing w:val="-9"/>
                        <w:w w:val="95"/>
                        <w:sz w:val="17"/>
                      </w:rPr>
                      <w:t xml:space="preserve"> </w:t>
                    </w:r>
                    <w:r>
                      <w:rPr>
                        <w:rFonts w:ascii="Century Gothic"/>
                        <w:color w:val="231F20"/>
                        <w:w w:val="95"/>
                        <w:sz w:val="17"/>
                      </w:rPr>
                      <w:t>opens</w:t>
                    </w:r>
                    <w:r>
                      <w:rPr>
                        <w:rFonts w:ascii="Century Gothic"/>
                        <w:color w:val="231F20"/>
                        <w:spacing w:val="-8"/>
                        <w:w w:val="95"/>
                        <w:sz w:val="17"/>
                      </w:rPr>
                      <w:t xml:space="preserve"> </w:t>
                    </w:r>
                    <w:r>
                      <w:rPr>
                        <w:rFonts w:ascii="Century Gothic"/>
                        <w:color w:val="231F20"/>
                        <w:w w:val="95"/>
                        <w:sz w:val="17"/>
                      </w:rPr>
                      <w:t>for</w:t>
                    </w:r>
                    <w:r>
                      <w:rPr>
                        <w:rFonts w:ascii="Century Gothic"/>
                        <w:color w:val="231F20"/>
                        <w:spacing w:val="-9"/>
                        <w:w w:val="95"/>
                        <w:sz w:val="17"/>
                      </w:rPr>
                      <w:t xml:space="preserve"> </w:t>
                    </w:r>
                    <w:r>
                      <w:rPr>
                        <w:rFonts w:ascii="Century Gothic"/>
                        <w:color w:val="231F20"/>
                        <w:w w:val="95"/>
                        <w:sz w:val="17"/>
                      </w:rPr>
                      <w:t>trading</w:t>
                    </w:r>
                  </w:p>
                </w:txbxContent>
              </v:textbox>
            </v:shape>
            <w10:wrap anchorx="page"/>
          </v:group>
        </w:pict>
      </w:r>
      <w:r>
        <w:rPr>
          <w:b/>
          <w:spacing w:val="12"/>
          <w:w w:val="110"/>
          <w:sz w:val="25"/>
        </w:rPr>
        <w:t>2000</w:t>
      </w:r>
    </w:p>
    <w:p w14:paraId="66AD5B88" w14:textId="77777777" w:rsidR="00EF5B27" w:rsidRDefault="00EF5B27">
      <w:pPr>
        <w:pStyle w:val="BodyText"/>
        <w:rPr>
          <w:b/>
        </w:rPr>
      </w:pPr>
    </w:p>
    <w:p w14:paraId="239D5FFA" w14:textId="77777777" w:rsidR="00EF5B27" w:rsidRDefault="00EF5B27">
      <w:pPr>
        <w:pStyle w:val="BodyText"/>
        <w:rPr>
          <w:b/>
        </w:rPr>
      </w:pPr>
    </w:p>
    <w:p w14:paraId="6777BF0D" w14:textId="77777777" w:rsidR="00EF5B27" w:rsidRDefault="00EF5B27">
      <w:pPr>
        <w:pStyle w:val="BodyText"/>
        <w:rPr>
          <w:b/>
        </w:rPr>
      </w:pPr>
    </w:p>
    <w:p w14:paraId="77E94FA1" w14:textId="77777777" w:rsidR="00EF5B27" w:rsidRDefault="00EF5B27">
      <w:pPr>
        <w:pStyle w:val="BodyText"/>
        <w:rPr>
          <w:b/>
        </w:rPr>
      </w:pPr>
    </w:p>
    <w:p w14:paraId="4CA0C1A2" w14:textId="77777777" w:rsidR="00EF5B27" w:rsidRDefault="00EF5B27">
      <w:pPr>
        <w:pStyle w:val="BodyText"/>
        <w:rPr>
          <w:b/>
        </w:rPr>
      </w:pPr>
    </w:p>
    <w:p w14:paraId="4E313E4A" w14:textId="77777777" w:rsidR="00EF5B27" w:rsidRDefault="00EF5B27">
      <w:pPr>
        <w:pStyle w:val="BodyText"/>
        <w:rPr>
          <w:b/>
        </w:rPr>
      </w:pPr>
    </w:p>
    <w:p w14:paraId="522F7FF0" w14:textId="77777777" w:rsidR="00EF5B27" w:rsidRDefault="00000000">
      <w:pPr>
        <w:pStyle w:val="BodyText"/>
        <w:spacing w:before="11"/>
        <w:rPr>
          <w:b/>
          <w:sz w:val="21"/>
        </w:rPr>
      </w:pPr>
      <w:r>
        <w:pict w14:anchorId="04D384EA">
          <v:line id="_x0000_s2402" style="position:absolute;z-index:251727360;mso-wrap-distance-left:0;mso-wrap-distance-right:0;mso-position-horizontal-relative:page" from="120.55pt,16.2pt" to="137.5pt,16.2pt" strokecolor="#6d6e71" strokeweight=".57925mm">
            <w10:wrap type="topAndBottom" anchorx="page"/>
          </v:line>
        </w:pict>
      </w:r>
    </w:p>
    <w:p w14:paraId="034BF8FA" w14:textId="77777777" w:rsidR="00EF5B27" w:rsidRDefault="00EF5B27">
      <w:pPr>
        <w:pStyle w:val="BodyText"/>
        <w:rPr>
          <w:b/>
          <w:sz w:val="32"/>
        </w:rPr>
      </w:pPr>
    </w:p>
    <w:p w14:paraId="149B39AF" w14:textId="77777777" w:rsidR="00EF5B27" w:rsidRDefault="00000000">
      <w:pPr>
        <w:spacing w:before="233"/>
        <w:ind w:left="331"/>
        <w:rPr>
          <w:b/>
          <w:sz w:val="25"/>
        </w:rPr>
      </w:pPr>
      <w:r>
        <w:pict w14:anchorId="419EA946">
          <v:line id="_x0000_s2401" style="position:absolute;left:0;text-align:left;z-index:251728384;mso-wrap-distance-left:0;mso-wrap-distance-right:0;mso-position-horizontal-relative:page" from="121.6pt,33.8pt" to="136.4pt,33.8pt" strokecolor="#6d6e71" strokeweight=".35208mm">
            <w10:wrap type="topAndBottom" anchorx="page"/>
          </v:line>
        </w:pict>
      </w:r>
      <w:r>
        <w:pict w14:anchorId="7ED0B8F8">
          <v:group id="_x0000_s2394" style="position:absolute;left:0;text-align:left;margin-left:121.25pt;margin-top:44.55pt;width:401.3pt;height:32.45pt;z-index:251730432;mso-wrap-distance-left:0;mso-wrap-distance-right:0;mso-position-horizontal-relative:page" coordorigin="2425,891" coordsize="8026,649">
            <v:line id="_x0000_s2400" style="position:absolute" from="2425,1227" to="2736,1227" strokecolor="#6d6e71" strokeweight=".42792mm"/>
            <v:line id="_x0000_s2399" style="position:absolute" from="2765,1223" to="4438,1222" strokeweight=".27975mm"/>
            <v:shape id="_x0000_s2398" type="#_x0000_t75" style="position:absolute;left:2700;top:1155;width:136;height:136">
              <v:imagedata r:id="rId176" o:title=""/>
            </v:shape>
            <v:shape id="_x0000_s2397" style="position:absolute;left:4023;top:897;width:6421;height:637" coordorigin="4024,897" coordsize="6421,637" path="m10384,897r-6300,l4061,902r-20,13l4028,934r-4,24l4024,1473r4,23l4041,1516r20,13l4084,1533r6300,l10407,1529r20,-13l10440,1496r5,-23l10445,958r-5,-24l10427,915r-20,-13l10384,897xe" stroked="f">
              <v:path arrowok="t"/>
            </v:shape>
            <v:shape id="_x0000_s2396" style="position:absolute;left:4023;top:897;width:6421;height:637" coordorigin="4024,897" coordsize="6421,637" path="m10384,1533r-6300,l4061,1529r-20,-13l4028,1496r-4,-23l4024,958r4,-24l4041,915r20,-13l4084,897r6300,l10407,902r20,13l10440,934r5,24l10445,1473r-5,23l10427,1516r-20,13l10384,1533xe" filled="f" strokecolor="#231f20" strokeweight=".21236mm">
              <v:path arrowok="t"/>
            </v:shape>
            <v:shape id="_x0000_s2395" type="#_x0000_t202" style="position:absolute;left:2425;top:891;width:8026;height:649" filled="f" stroked="f">
              <v:textbox inset="0,0,0,0">
                <w:txbxContent>
                  <w:p w14:paraId="019F3CBF" w14:textId="77777777" w:rsidR="00EF5B27" w:rsidRDefault="00000000">
                    <w:pPr>
                      <w:numPr>
                        <w:ilvl w:val="0"/>
                        <w:numId w:val="11"/>
                      </w:numPr>
                      <w:tabs>
                        <w:tab w:val="left" w:pos="1832"/>
                      </w:tabs>
                      <w:spacing w:before="94"/>
                      <w:rPr>
                        <w:rFonts w:ascii="Century Gothic"/>
                        <w:sz w:val="17"/>
                      </w:rPr>
                    </w:pPr>
                    <w:r>
                      <w:rPr>
                        <w:rFonts w:ascii="Century Gothic"/>
                        <w:w w:val="95"/>
                        <w:sz w:val="17"/>
                      </w:rPr>
                      <w:t>Biodiversity</w:t>
                    </w:r>
                    <w:r>
                      <w:rPr>
                        <w:rFonts w:ascii="Century Gothic"/>
                        <w:spacing w:val="-20"/>
                        <w:w w:val="95"/>
                        <w:sz w:val="17"/>
                      </w:rPr>
                      <w:t xml:space="preserve"> </w:t>
                    </w:r>
                    <w:r>
                      <w:rPr>
                        <w:rFonts w:ascii="Century Gothic"/>
                        <w:w w:val="95"/>
                        <w:sz w:val="17"/>
                      </w:rPr>
                      <w:t>Conservation</w:t>
                    </w:r>
                    <w:r>
                      <w:rPr>
                        <w:rFonts w:ascii="Century Gothic"/>
                        <w:spacing w:val="-19"/>
                        <w:w w:val="95"/>
                        <w:sz w:val="17"/>
                      </w:rPr>
                      <w:t xml:space="preserve"> </w:t>
                    </w:r>
                    <w:r>
                      <w:rPr>
                        <w:rFonts w:ascii="Century Gothic"/>
                        <w:w w:val="95"/>
                        <w:sz w:val="17"/>
                      </w:rPr>
                      <w:t>Strategy</w:t>
                    </w:r>
                    <w:r>
                      <w:rPr>
                        <w:rFonts w:ascii="Century Gothic"/>
                        <w:spacing w:val="-20"/>
                        <w:w w:val="95"/>
                        <w:sz w:val="17"/>
                      </w:rPr>
                      <w:t xml:space="preserve"> </w:t>
                    </w:r>
                    <w:r>
                      <w:rPr>
                        <w:rFonts w:ascii="Century Gothic"/>
                        <w:w w:val="95"/>
                        <w:sz w:val="17"/>
                      </w:rPr>
                      <w:t>approved</w:t>
                    </w:r>
                    <w:r>
                      <w:rPr>
                        <w:rFonts w:ascii="Century Gothic"/>
                        <w:spacing w:val="-19"/>
                        <w:w w:val="95"/>
                        <w:sz w:val="17"/>
                      </w:rPr>
                      <w:t xml:space="preserve"> </w:t>
                    </w:r>
                    <w:r>
                      <w:rPr>
                        <w:rFonts w:ascii="Century Gothic"/>
                        <w:w w:val="95"/>
                        <w:sz w:val="17"/>
                      </w:rPr>
                      <w:t>by</w:t>
                    </w:r>
                    <w:r>
                      <w:rPr>
                        <w:rFonts w:ascii="Century Gothic"/>
                        <w:spacing w:val="-20"/>
                        <w:w w:val="95"/>
                        <w:sz w:val="17"/>
                      </w:rPr>
                      <w:t xml:space="preserve"> </w:t>
                    </w:r>
                    <w:r>
                      <w:rPr>
                        <w:rFonts w:ascii="Century Gothic"/>
                        <w:w w:val="95"/>
                        <w:sz w:val="17"/>
                      </w:rPr>
                      <w:t>the</w:t>
                    </w:r>
                    <w:r>
                      <w:rPr>
                        <w:rFonts w:ascii="Century Gothic"/>
                        <w:spacing w:val="-19"/>
                        <w:w w:val="95"/>
                        <w:sz w:val="17"/>
                      </w:rPr>
                      <w:t xml:space="preserve"> </w:t>
                    </w:r>
                    <w:r>
                      <w:rPr>
                        <w:rFonts w:ascii="Century Gothic"/>
                        <w:w w:val="95"/>
                        <w:sz w:val="17"/>
                      </w:rPr>
                      <w:t>Minister</w:t>
                    </w:r>
                    <w:r>
                      <w:rPr>
                        <w:rFonts w:ascii="Century Gothic"/>
                        <w:spacing w:val="-20"/>
                        <w:w w:val="95"/>
                        <w:sz w:val="17"/>
                      </w:rPr>
                      <w:t xml:space="preserve"> </w:t>
                    </w:r>
                    <w:r>
                      <w:rPr>
                        <w:rFonts w:ascii="Century Gothic"/>
                        <w:w w:val="95"/>
                        <w:sz w:val="17"/>
                      </w:rPr>
                      <w:t>for</w:t>
                    </w:r>
                    <w:r>
                      <w:rPr>
                        <w:rFonts w:ascii="Century Gothic"/>
                        <w:spacing w:val="-19"/>
                        <w:w w:val="95"/>
                        <w:sz w:val="17"/>
                      </w:rPr>
                      <w:t xml:space="preserve"> </w:t>
                    </w:r>
                    <w:r>
                      <w:rPr>
                        <w:rFonts w:ascii="Century Gothic"/>
                        <w:w w:val="95"/>
                        <w:sz w:val="17"/>
                      </w:rPr>
                      <w:t>Environment</w:t>
                    </w:r>
                  </w:p>
                  <w:p w14:paraId="54EA0DDA" w14:textId="77777777" w:rsidR="00EF5B27" w:rsidRDefault="00000000">
                    <w:pPr>
                      <w:numPr>
                        <w:ilvl w:val="0"/>
                        <w:numId w:val="11"/>
                      </w:numPr>
                      <w:tabs>
                        <w:tab w:val="left" w:pos="1832"/>
                      </w:tabs>
                      <w:spacing w:before="16"/>
                      <w:rPr>
                        <w:rFonts w:ascii="Century Gothic"/>
                        <w:sz w:val="17"/>
                      </w:rPr>
                    </w:pPr>
                    <w:r>
                      <w:rPr>
                        <w:rFonts w:ascii="Century Gothic"/>
                        <w:w w:val="90"/>
                        <w:sz w:val="17"/>
                      </w:rPr>
                      <w:t>Seasonal</w:t>
                    </w:r>
                    <w:r>
                      <w:rPr>
                        <w:rFonts w:ascii="Century Gothic"/>
                        <w:spacing w:val="-20"/>
                        <w:w w:val="90"/>
                        <w:sz w:val="17"/>
                      </w:rPr>
                      <w:t xml:space="preserve"> </w:t>
                    </w:r>
                    <w:r>
                      <w:rPr>
                        <w:rFonts w:ascii="Century Gothic"/>
                        <w:w w:val="90"/>
                        <w:sz w:val="17"/>
                      </w:rPr>
                      <w:t>Herbaceous</w:t>
                    </w:r>
                    <w:r>
                      <w:rPr>
                        <w:rFonts w:ascii="Century Gothic"/>
                        <w:spacing w:val="-19"/>
                        <w:w w:val="90"/>
                        <w:sz w:val="17"/>
                      </w:rPr>
                      <w:t xml:space="preserve"> </w:t>
                    </w:r>
                    <w:r>
                      <w:rPr>
                        <w:rFonts w:ascii="Century Gothic"/>
                        <w:w w:val="90"/>
                        <w:sz w:val="17"/>
                      </w:rPr>
                      <w:t>Wetlands</w:t>
                    </w:r>
                    <w:r>
                      <w:rPr>
                        <w:rFonts w:ascii="Century Gothic"/>
                        <w:spacing w:val="-19"/>
                        <w:w w:val="90"/>
                        <w:sz w:val="17"/>
                      </w:rPr>
                      <w:t xml:space="preserve"> </w:t>
                    </w:r>
                    <w:r>
                      <w:rPr>
                        <w:rFonts w:ascii="Century Gothic"/>
                        <w:w w:val="90"/>
                        <w:sz w:val="17"/>
                      </w:rPr>
                      <w:t>listed</w:t>
                    </w:r>
                    <w:r>
                      <w:rPr>
                        <w:rFonts w:ascii="Century Gothic"/>
                        <w:spacing w:val="-19"/>
                        <w:w w:val="90"/>
                        <w:sz w:val="17"/>
                      </w:rPr>
                      <w:t xml:space="preserve"> </w:t>
                    </w:r>
                    <w:r>
                      <w:rPr>
                        <w:rFonts w:ascii="Century Gothic"/>
                        <w:w w:val="90"/>
                        <w:sz w:val="17"/>
                      </w:rPr>
                      <w:t>as</w:t>
                    </w:r>
                    <w:r>
                      <w:rPr>
                        <w:rFonts w:ascii="Century Gothic"/>
                        <w:spacing w:val="-19"/>
                        <w:w w:val="90"/>
                        <w:sz w:val="17"/>
                      </w:rPr>
                      <w:t xml:space="preserve"> </w:t>
                    </w:r>
                    <w:r>
                      <w:rPr>
                        <w:rFonts w:ascii="Century Gothic"/>
                        <w:w w:val="90"/>
                        <w:sz w:val="17"/>
                      </w:rPr>
                      <w:t>critically</w:t>
                    </w:r>
                    <w:r>
                      <w:rPr>
                        <w:rFonts w:ascii="Century Gothic"/>
                        <w:spacing w:val="-19"/>
                        <w:w w:val="90"/>
                        <w:sz w:val="17"/>
                      </w:rPr>
                      <w:t xml:space="preserve"> </w:t>
                    </w:r>
                    <w:r>
                      <w:rPr>
                        <w:rFonts w:ascii="Century Gothic"/>
                        <w:w w:val="90"/>
                        <w:sz w:val="17"/>
                      </w:rPr>
                      <w:t>endangered</w:t>
                    </w:r>
                    <w:r>
                      <w:rPr>
                        <w:rFonts w:ascii="Century Gothic"/>
                        <w:spacing w:val="-19"/>
                        <w:w w:val="90"/>
                        <w:sz w:val="17"/>
                      </w:rPr>
                      <w:t xml:space="preserve"> </w:t>
                    </w:r>
                    <w:r>
                      <w:rPr>
                        <w:rFonts w:ascii="Century Gothic"/>
                        <w:w w:val="90"/>
                        <w:sz w:val="17"/>
                      </w:rPr>
                      <w:t>MNES</w:t>
                    </w:r>
                    <w:r>
                      <w:rPr>
                        <w:rFonts w:ascii="Century Gothic"/>
                        <w:spacing w:val="-19"/>
                        <w:w w:val="90"/>
                        <w:sz w:val="17"/>
                      </w:rPr>
                      <w:t xml:space="preserve"> </w:t>
                    </w:r>
                    <w:r>
                      <w:rPr>
                        <w:rFonts w:ascii="Century Gothic"/>
                        <w:w w:val="90"/>
                        <w:sz w:val="17"/>
                      </w:rPr>
                      <w:t>under</w:t>
                    </w:r>
                    <w:r>
                      <w:rPr>
                        <w:rFonts w:ascii="Century Gothic"/>
                        <w:spacing w:val="-19"/>
                        <w:w w:val="90"/>
                        <w:sz w:val="17"/>
                      </w:rPr>
                      <w:t xml:space="preserve"> </w:t>
                    </w:r>
                    <w:r>
                      <w:rPr>
                        <w:rFonts w:ascii="Century Gothic"/>
                        <w:w w:val="90"/>
                        <w:sz w:val="17"/>
                      </w:rPr>
                      <w:t>EPBC</w:t>
                    </w:r>
                    <w:r>
                      <w:rPr>
                        <w:rFonts w:ascii="Century Gothic"/>
                        <w:spacing w:val="-20"/>
                        <w:w w:val="90"/>
                        <w:sz w:val="17"/>
                      </w:rPr>
                      <w:t xml:space="preserve"> </w:t>
                    </w:r>
                    <w:r>
                      <w:rPr>
                        <w:rFonts w:ascii="Century Gothic"/>
                        <w:w w:val="90"/>
                        <w:sz w:val="17"/>
                      </w:rPr>
                      <w:t>Act</w:t>
                    </w:r>
                  </w:p>
                </w:txbxContent>
              </v:textbox>
            </v:shape>
            <w10:wrap type="topAndBottom" anchorx="page"/>
          </v:group>
        </w:pict>
      </w:r>
      <w:r>
        <w:pict w14:anchorId="2854FA6E">
          <v:group id="_x0000_s2387" style="position:absolute;left:0;text-align:left;margin-left:120.9pt;margin-top:84pt;width:295.1pt;height:20.35pt;z-index:251732480;mso-wrap-distance-left:0;mso-wrap-distance-right:0;mso-position-horizontal-relative:page" coordorigin="2418,1680" coordsize="5902,407">
            <v:line id="_x0000_s2393" style="position:absolute" from="2418,1777" to="2743,1777" strokecolor="#6d6e71" strokeweight=".50342mm"/>
            <v:shape id="_x0000_s2392" style="position:absolute;left:2764;top:1787;width:1674;height:115" coordorigin="2765,1787" coordsize="1674,115" path="m2765,1787r721,l3487,1902r951,e" filled="f" strokeweight=".27975mm">
              <v:path arrowok="t"/>
            </v:shape>
            <v:shape id="_x0000_s2391" type="#_x0000_t75" style="position:absolute;left:2700;top:1719;width:136;height:136">
              <v:imagedata r:id="rId172" o:title=""/>
            </v:shape>
            <v:shape id="_x0000_s2390" style="position:absolute;left:4023;top:1685;width:4290;height:395" coordorigin="4024,1686" coordsize="4290,395" path="m8253,1686r-4169,l4061,1691r-20,13l4028,1723r-4,24l4024,2019r4,24l4041,2062r20,13l4084,2080r4169,l8276,2075r20,-13l8309,2043r4,-24l8313,1747r-4,-24l8296,1704r-20,-13l8253,1686xe" stroked="f">
              <v:path arrowok="t"/>
            </v:shape>
            <v:shape id="_x0000_s2389" style="position:absolute;left:4023;top:1685;width:4290;height:395" coordorigin="4024,1686" coordsize="4290,395" path="m8253,2080r-4169,l4061,2075r-20,-13l4028,2043r-4,-24l4024,1747r4,-24l4041,1704r20,-13l4084,1686r4169,l8276,1691r20,13l8309,1723r4,24l8313,2019r-4,24l8296,2062r-20,13l8253,2080xe" filled="f" strokecolor="#231f20" strokeweight=".21236mm">
              <v:path arrowok="t"/>
            </v:shape>
            <v:shape id="_x0000_s2388" type="#_x0000_t202" style="position:absolute;left:2418;top:1679;width:5902;height:407" filled="f" stroked="f">
              <v:textbox inset="0,0,0,0">
                <w:txbxContent>
                  <w:p w14:paraId="69E317AD" w14:textId="77777777" w:rsidR="00EF5B27" w:rsidRDefault="00000000">
                    <w:pPr>
                      <w:numPr>
                        <w:ilvl w:val="0"/>
                        <w:numId w:val="10"/>
                      </w:numPr>
                      <w:tabs>
                        <w:tab w:val="left" w:pos="1839"/>
                      </w:tabs>
                      <w:spacing w:before="94"/>
                      <w:rPr>
                        <w:rFonts w:ascii="Century Gothic"/>
                        <w:sz w:val="17"/>
                      </w:rPr>
                    </w:pPr>
                    <w:r>
                      <w:rPr>
                        <w:rFonts w:ascii="Century Gothic"/>
                        <w:w w:val="85"/>
                        <w:sz w:val="17"/>
                      </w:rPr>
                      <w:t>MSA formal ecological monitoring program</w:t>
                    </w:r>
                    <w:r>
                      <w:rPr>
                        <w:rFonts w:ascii="Century Gothic"/>
                        <w:spacing w:val="-18"/>
                        <w:w w:val="85"/>
                        <w:sz w:val="17"/>
                      </w:rPr>
                      <w:t xml:space="preserve"> </w:t>
                    </w:r>
                    <w:r>
                      <w:rPr>
                        <w:rFonts w:ascii="Century Gothic"/>
                        <w:w w:val="85"/>
                        <w:sz w:val="17"/>
                      </w:rPr>
                      <w:t>commences</w:t>
                    </w:r>
                  </w:p>
                </w:txbxContent>
              </v:textbox>
            </v:shape>
            <w10:wrap type="topAndBottom" anchorx="page"/>
          </v:group>
        </w:pict>
      </w:r>
      <w:r>
        <w:pict w14:anchorId="5F181D02">
          <v:line id="_x0000_s2386" style="position:absolute;left:0;text-align:left;z-index:251733504;mso-wrap-distance-left:0;mso-wrap-distance-right:0;mso-position-horizontal-relative:page" from="120.55pt,116.4pt" to="137.5pt,116.4pt" strokecolor="#6d6e71" strokeweight=".57925mm">
            <w10:wrap type="topAndBottom" anchorx="page"/>
          </v:line>
        </w:pict>
      </w:r>
      <w:r>
        <w:pict w14:anchorId="3B1DC7C5">
          <v:shape id="_x0000_s2385" style="position:absolute;left:0;text-align:left;margin-left:120.35pt;margin-top:129.25pt;width:17.3pt;height:1.75pt;z-index:251735552;mso-wrap-distance-left:0;mso-wrap-distance-right:0;mso-position-horizontal-relative:page" coordorigin="2407,2585" coordsize="346,35" path="m2747,2585r-333,l2407,2592r,22l2414,2620r333,l2753,2614r,-22l2747,2585xe" fillcolor="#6d6e71" stroked="f">
            <v:path arrowok="t"/>
            <w10:wrap type="topAndBottom" anchorx="page"/>
          </v:shape>
        </w:pict>
      </w:r>
      <w:r>
        <w:pict w14:anchorId="00859594">
          <v:shape id="_x0000_s2384" style="position:absolute;left:0;text-align:left;margin-left:120.2pt;margin-top:143pt;width:17.65pt;height:1.9pt;z-index:251736576;mso-wrap-distance-left:0;mso-wrap-distance-right:0;mso-position-horizontal-relative:page" coordorigin="2404,2860" coordsize="353,38" path="m2750,2860r-339,l2404,2867r,23l2411,2897r339,l2757,2890r,-23l2750,2860xe" fillcolor="#6d6e71" stroked="f">
            <v:path arrowok="t"/>
            <w10:wrap type="topAndBottom" anchorx="page"/>
          </v:shape>
        </w:pict>
      </w:r>
      <w:r>
        <w:pict w14:anchorId="1FC80D68">
          <v:group id="_x0000_s2377" style="position:absolute;left:0;text-align:left;margin-left:106.7pt;margin-top:147.45pt;width:271.45pt;height:20.35pt;z-index:251781632;mso-position-horizontal-relative:page" coordorigin="2134,2949" coordsize="5429,407">
            <v:shape id="_x0000_s2383" style="position:absolute;left:2400;top:3133;width:360;height:40" coordorigin="2400,3134" coordsize="360,40" path="m2753,3134r-345,l2400,3141r,25l2408,3173r345,l2760,3166r,-25l2753,3134xe" fillcolor="#6d6e71" stroked="f">
              <v:path arrowok="t"/>
            </v:shape>
            <v:shape id="_x0000_s2382" style="position:absolute;left:2133;top:3111;width:693;height:80" coordorigin="2134,3112" coordsize="693,80" path="m2788,3112r-616,l2157,3115r-12,8l2137,3135r-3,15l2134,3152r3,15l2145,3179r12,9l2172,3191r616,l2803,3188r12,-9l2823,3167r3,-15l2826,3150r-3,-15l2815,3123r-12,-8l2788,3112xe" fillcolor="#f89e2a" stroked="f">
              <v:path arrowok="t"/>
            </v:shape>
            <v:shape id="_x0000_s2381" style="position:absolute;left:4023;top:2954;width:3533;height:395" coordorigin="4024,2955" coordsize="3533,395" path="m7496,3349r-3412,l4061,3344r-20,-13l4028,3312r-4,-24l4024,3016r4,-24l4041,2973r20,-13l4084,2955r3412,l7519,2960r20,13l7552,2992r5,24l7557,3288r-5,24l7539,3331r-20,13l7496,3349xe" filled="f" strokecolor="#231f20" strokeweight=".21236mm">
              <v:path arrowok="t"/>
            </v:shape>
            <v:line id="_x0000_s2380" style="position:absolute" from="2769,3151" to="4017,3151" strokeweight=".27975mm"/>
            <v:shape id="_x0000_s2379" type="#_x0000_t75" style="position:absolute;left:2704;top:3083;width:136;height:136">
              <v:imagedata r:id="rId174" o:title=""/>
            </v:shape>
            <v:shape id="_x0000_s2378" type="#_x0000_t202" style="position:absolute;left:2133;top:2948;width:5429;height:407" filled="f" stroked="f">
              <v:textbox inset="0,0,0,0">
                <w:txbxContent>
                  <w:p w14:paraId="2F78BCA2" w14:textId="77777777" w:rsidR="00EF5B27" w:rsidRDefault="00000000">
                    <w:pPr>
                      <w:numPr>
                        <w:ilvl w:val="0"/>
                        <w:numId w:val="6"/>
                      </w:numPr>
                      <w:tabs>
                        <w:tab w:val="left" w:pos="2123"/>
                      </w:tabs>
                      <w:spacing w:before="94"/>
                      <w:rPr>
                        <w:rFonts w:ascii="Century Gothic"/>
                        <w:sz w:val="17"/>
                      </w:rPr>
                    </w:pPr>
                    <w:r>
                      <w:rPr>
                        <w:rFonts w:ascii="Century Gothic"/>
                        <w:w w:val="90"/>
                        <w:sz w:val="17"/>
                      </w:rPr>
                      <w:t>MSA</w:t>
                    </w:r>
                    <w:r>
                      <w:rPr>
                        <w:rFonts w:ascii="Century Gothic"/>
                        <w:spacing w:val="-18"/>
                        <w:w w:val="90"/>
                        <w:sz w:val="17"/>
                      </w:rPr>
                      <w:t xml:space="preserve"> </w:t>
                    </w:r>
                    <w:r>
                      <w:rPr>
                        <w:rFonts w:ascii="Century Gothic"/>
                        <w:w w:val="90"/>
                        <w:sz w:val="17"/>
                      </w:rPr>
                      <w:t>Act</w:t>
                    </w:r>
                    <w:r>
                      <w:rPr>
                        <w:rFonts w:ascii="Century Gothic"/>
                        <w:spacing w:val="-18"/>
                        <w:w w:val="90"/>
                        <w:sz w:val="17"/>
                      </w:rPr>
                      <w:t xml:space="preserve"> </w:t>
                    </w:r>
                    <w:r>
                      <w:rPr>
                        <w:rFonts w:ascii="Century Gothic"/>
                        <w:w w:val="90"/>
                        <w:sz w:val="17"/>
                      </w:rPr>
                      <w:t>introduced</w:t>
                    </w:r>
                    <w:r>
                      <w:rPr>
                        <w:rFonts w:ascii="Century Gothic"/>
                        <w:spacing w:val="-18"/>
                        <w:w w:val="90"/>
                        <w:sz w:val="17"/>
                      </w:rPr>
                      <w:t xml:space="preserve"> </w:t>
                    </w:r>
                    <w:r>
                      <w:rPr>
                        <w:rFonts w:ascii="Century Gothic"/>
                        <w:w w:val="90"/>
                        <w:sz w:val="17"/>
                      </w:rPr>
                      <w:t>into</w:t>
                    </w:r>
                    <w:r>
                      <w:rPr>
                        <w:rFonts w:ascii="Century Gothic"/>
                        <w:spacing w:val="-18"/>
                        <w:w w:val="90"/>
                        <w:sz w:val="17"/>
                      </w:rPr>
                      <w:t xml:space="preserve"> </w:t>
                    </w:r>
                    <w:r>
                      <w:rPr>
                        <w:rFonts w:ascii="Century Gothic"/>
                        <w:w w:val="90"/>
                        <w:sz w:val="17"/>
                      </w:rPr>
                      <w:t>Victorian</w:t>
                    </w:r>
                    <w:r>
                      <w:rPr>
                        <w:rFonts w:ascii="Century Gothic"/>
                        <w:spacing w:val="-18"/>
                        <w:w w:val="90"/>
                        <w:sz w:val="17"/>
                      </w:rPr>
                      <w:t xml:space="preserve"> </w:t>
                    </w:r>
                    <w:r>
                      <w:rPr>
                        <w:rFonts w:ascii="Century Gothic"/>
                        <w:w w:val="90"/>
                        <w:sz w:val="17"/>
                      </w:rPr>
                      <w:t>legislation</w:t>
                    </w:r>
                  </w:p>
                </w:txbxContent>
              </v:textbox>
            </v:shape>
            <w10:wrap anchorx="page"/>
          </v:group>
        </w:pict>
      </w:r>
      <w:r>
        <w:pict w14:anchorId="58B722ED">
          <v:line id="_x0000_s2376" style="position:absolute;left:0;text-align:left;z-index:251782656;mso-position-horizontal-relative:page" from="120.75pt,102.6pt" to="137.3pt,102.6pt" strokecolor="#6d6e71" strokeweight=".5415mm">
            <w10:wrap anchorx="page"/>
          </v:line>
        </w:pict>
      </w:r>
      <w:r>
        <w:pict w14:anchorId="04C3C2C5">
          <v:line id="_x0000_s2375" style="position:absolute;left:0;text-align:left;z-index:251783680;mso-position-horizontal-relative:page" from="121.1pt,75.1pt" to="136.95pt,75.1pt" strokecolor="#6d6e71" strokeweight=".46603mm">
            <w10:wrap anchorx="page"/>
          </v:line>
        </w:pict>
      </w:r>
      <w:r>
        <w:pict w14:anchorId="6513A122">
          <v:line id="_x0000_s2374" style="position:absolute;left:0;text-align:left;z-index:-251494912;mso-position-horizontal-relative:page" from="121.45pt,47.55pt" to="136.6pt,47.55pt" strokecolor="#6d6e71" strokeweight=".39017mm">
            <w10:wrap anchorx="page"/>
          </v:line>
        </w:pict>
      </w:r>
      <w:r>
        <w:pict w14:anchorId="3D197D94">
          <v:group id="_x0000_s2361" style="position:absolute;left:0;text-align:left;margin-left:106.7pt;margin-top:-24.2pt;width:411.45pt;height:61.65pt;z-index:-251493888;mso-position-horizontal-relative:page" coordorigin="2134,-484" coordsize="8229,1233">
            <v:shape id="_x0000_s2373" style="position:absolute;left:2400;top:369;width:360;height:40" coordorigin="2400,369" coordsize="360,40" path="m2753,369r-345,l2400,376r,25l2408,408r345,l2760,401r,-25l2753,369xe" fillcolor="#6d6e71" stroked="f">
              <v:path arrowok="t"/>
            </v:shape>
            <v:shape id="_x0000_s2372" style="position:absolute;left:2133;top:347;width:693;height:79" coordorigin="2134,348" coordsize="693,79" path="m2788,348r-616,l2157,351r-12,8l2137,371r-3,15l2134,389r3,15l2145,416r12,8l2172,427r616,l2803,424r12,-8l2823,404r3,-15l2826,386r-3,-15l2815,359r-12,-8l2788,348xe" fillcolor="#f89e2a" stroked="f">
              <v:path arrowok="t"/>
            </v:shape>
            <v:shape id="_x0000_s2371" style="position:absolute;left:2403;top:-180;width:353;height:312" coordorigin="2404,-179" coordsize="353,312" o:spt="100" adj="0,,0" path="m2753,-173r-6,-6l2414,-179r-7,6l2407,-151r7,7l2747,-144r6,-7l2753,-173t4,275l2750,95r-339,l2404,102r,23l2411,132r339,l2757,125r,-23e" fillcolor="#6d6e71" stroked="f">
              <v:stroke joinstyle="round"/>
              <v:formulas/>
              <v:path arrowok="t" o:connecttype="segments"/>
            </v:shape>
            <v:line id="_x0000_s2370" style="position:absolute" from="2765,-156" to="4133,-156" strokeweight=".27975mm"/>
            <v:shape id="_x0000_s2369" type="#_x0000_t75" style="position:absolute;left:2700;top:-224;width:136;height:136">
              <v:imagedata r:id="rId177" o:title=""/>
            </v:shape>
            <v:shape id="_x0000_s2368" style="position:absolute;left:4023;top:-478;width:6333;height:637" coordorigin="4024,-478" coordsize="6333,637" path="m10295,-478r-6211,l4061,-473r-20,13l4028,-441r-4,24l4024,98r4,23l4041,141r20,13l4084,158r6211,l10319,154r19,-13l10351,121r5,-23l10356,-417r-5,-24l10338,-460r-19,-13l10295,-478xe" stroked="f">
              <v:path arrowok="t"/>
            </v:shape>
            <v:shape id="_x0000_s2367" style="position:absolute;left:4023;top:-478;width:6333;height:637" coordorigin="4024,-478" coordsize="6333,637" path="m10295,158r-6211,l4061,154r-20,-13l4028,121r-4,-23l4024,-417r4,-24l4041,-460r20,-13l4084,-478r6211,l10319,-473r19,13l10351,-441r5,24l10356,98r-5,23l10338,141r-19,13l10295,158xe" filled="f" strokecolor="#231f20" strokeweight=".21236mm">
              <v:path arrowok="t"/>
            </v:shape>
            <v:shape id="_x0000_s2366" style="position:absolute;left:2764;top:114;width:1674;height:442" coordorigin="2765,115" coordsize="1674,442" path="m2765,115r721,l3487,557r951,e" filled="f" strokeweight=".27975mm">
              <v:path arrowok="t"/>
            </v:shape>
            <v:shape id="_x0000_s2365" type="#_x0000_t75" style="position:absolute;left:2700;top:47;width:136;height:136">
              <v:imagedata r:id="rId172" o:title=""/>
            </v:shape>
            <v:shape id="_x0000_s2364" style="position:absolute;left:4023;top:348;width:6223;height:395" coordorigin="4024,348" coordsize="6223,395" path="m10186,348r-6102,l4061,353r-20,13l4028,385r-4,24l4024,682r4,23l4041,725r20,13l4084,742r6102,l10209,738r20,-13l10242,705r5,-23l10247,409r-5,-24l10229,366r-20,-13l10186,348xe" stroked="f">
              <v:path arrowok="t"/>
            </v:shape>
            <v:shape id="_x0000_s2363" style="position:absolute;left:4023;top:348;width:6223;height:395" coordorigin="4024,348" coordsize="6223,395" path="m10186,742r-6102,l4061,738r-20,-13l4028,705r-4,-23l4024,409r4,-24l4041,366r20,-13l4084,348r6102,l10209,353r20,13l10242,385r5,24l10247,682r-5,23l10229,725r-20,13l10186,742xe" filled="f" strokecolor="#231f20" strokeweight=".21236mm">
              <v:path arrowok="t"/>
            </v:shape>
            <v:shape id="_x0000_s2362" type="#_x0000_t202" style="position:absolute;left:2133;top:-484;width:8229;height:1233" filled="f" stroked="f">
              <v:textbox inset="0,0,0,0">
                <w:txbxContent>
                  <w:p w14:paraId="274EF039" w14:textId="77777777" w:rsidR="00EF5B27" w:rsidRDefault="00000000">
                    <w:pPr>
                      <w:numPr>
                        <w:ilvl w:val="0"/>
                        <w:numId w:val="5"/>
                      </w:numPr>
                      <w:tabs>
                        <w:tab w:val="left" w:pos="2112"/>
                      </w:tabs>
                      <w:spacing w:before="92"/>
                      <w:ind w:hanging="92"/>
                      <w:rPr>
                        <w:rFonts w:ascii="Century Gothic"/>
                        <w:sz w:val="17"/>
                      </w:rPr>
                    </w:pPr>
                    <w:r>
                      <w:rPr>
                        <w:rFonts w:ascii="Century Gothic"/>
                        <w:color w:val="231F20"/>
                        <w:w w:val="95"/>
                        <w:sz w:val="17"/>
                      </w:rPr>
                      <w:t>MSA program delivery (2008 to</w:t>
                    </w:r>
                    <w:r>
                      <w:rPr>
                        <w:rFonts w:ascii="Century Gothic"/>
                        <w:color w:val="231F20"/>
                        <w:spacing w:val="-28"/>
                        <w:w w:val="95"/>
                        <w:sz w:val="17"/>
                      </w:rPr>
                      <w:t xml:space="preserve"> </w:t>
                    </w:r>
                    <w:r>
                      <w:rPr>
                        <w:rFonts w:ascii="Century Gothic"/>
                        <w:color w:val="231F20"/>
                        <w:w w:val="95"/>
                        <w:sz w:val="17"/>
                      </w:rPr>
                      <w:t>present)</w:t>
                    </w:r>
                  </w:p>
                  <w:p w14:paraId="1A628FAE" w14:textId="77777777" w:rsidR="00EF5B27" w:rsidRDefault="00000000">
                    <w:pPr>
                      <w:numPr>
                        <w:ilvl w:val="0"/>
                        <w:numId w:val="5"/>
                      </w:numPr>
                      <w:tabs>
                        <w:tab w:val="left" w:pos="2112"/>
                      </w:tabs>
                      <w:spacing w:before="16"/>
                      <w:ind w:hanging="92"/>
                      <w:rPr>
                        <w:rFonts w:ascii="Century Gothic"/>
                        <w:sz w:val="17"/>
                      </w:rPr>
                    </w:pPr>
                    <w:r>
                      <w:rPr>
                        <w:rFonts w:ascii="Century Gothic"/>
                        <w:color w:val="231F20"/>
                        <w:w w:val="90"/>
                        <w:sz w:val="17"/>
                      </w:rPr>
                      <w:t>Natural</w:t>
                    </w:r>
                    <w:r>
                      <w:rPr>
                        <w:rFonts w:ascii="Century Gothic"/>
                        <w:color w:val="231F20"/>
                        <w:spacing w:val="-21"/>
                        <w:w w:val="90"/>
                        <w:sz w:val="17"/>
                      </w:rPr>
                      <w:t xml:space="preserve"> </w:t>
                    </w:r>
                    <w:r>
                      <w:rPr>
                        <w:rFonts w:ascii="Century Gothic"/>
                        <w:color w:val="231F20"/>
                        <w:w w:val="90"/>
                        <w:sz w:val="17"/>
                      </w:rPr>
                      <w:t>Temperate</w:t>
                    </w:r>
                    <w:r>
                      <w:rPr>
                        <w:rFonts w:ascii="Century Gothic"/>
                        <w:color w:val="231F20"/>
                        <w:spacing w:val="-21"/>
                        <w:w w:val="90"/>
                        <w:sz w:val="17"/>
                      </w:rPr>
                      <w:t xml:space="preserve"> </w:t>
                    </w:r>
                    <w:r>
                      <w:rPr>
                        <w:rFonts w:ascii="Century Gothic"/>
                        <w:color w:val="231F20"/>
                        <w:w w:val="90"/>
                        <w:sz w:val="17"/>
                      </w:rPr>
                      <w:t>Grasslands</w:t>
                    </w:r>
                    <w:r>
                      <w:rPr>
                        <w:rFonts w:ascii="Century Gothic"/>
                        <w:color w:val="231F20"/>
                        <w:spacing w:val="-21"/>
                        <w:w w:val="90"/>
                        <w:sz w:val="17"/>
                      </w:rPr>
                      <w:t xml:space="preserve"> </w:t>
                    </w:r>
                    <w:r>
                      <w:rPr>
                        <w:rFonts w:ascii="Century Gothic"/>
                        <w:color w:val="231F20"/>
                        <w:w w:val="90"/>
                        <w:sz w:val="17"/>
                      </w:rPr>
                      <w:t>listed</w:t>
                    </w:r>
                    <w:r>
                      <w:rPr>
                        <w:rFonts w:ascii="Century Gothic"/>
                        <w:color w:val="231F20"/>
                        <w:spacing w:val="-21"/>
                        <w:w w:val="90"/>
                        <w:sz w:val="17"/>
                      </w:rPr>
                      <w:t xml:space="preserve"> </w:t>
                    </w:r>
                    <w:r>
                      <w:rPr>
                        <w:rFonts w:ascii="Century Gothic"/>
                        <w:color w:val="231F20"/>
                        <w:w w:val="90"/>
                        <w:sz w:val="17"/>
                      </w:rPr>
                      <w:t>as</w:t>
                    </w:r>
                    <w:r>
                      <w:rPr>
                        <w:rFonts w:ascii="Century Gothic"/>
                        <w:color w:val="231F20"/>
                        <w:spacing w:val="-21"/>
                        <w:w w:val="90"/>
                        <w:sz w:val="17"/>
                      </w:rPr>
                      <w:t xml:space="preserve"> </w:t>
                    </w:r>
                    <w:r>
                      <w:rPr>
                        <w:rFonts w:ascii="Century Gothic"/>
                        <w:color w:val="231F20"/>
                        <w:w w:val="90"/>
                        <w:sz w:val="17"/>
                      </w:rPr>
                      <w:t>critically</w:t>
                    </w:r>
                    <w:r>
                      <w:rPr>
                        <w:rFonts w:ascii="Century Gothic"/>
                        <w:color w:val="231F20"/>
                        <w:spacing w:val="-21"/>
                        <w:w w:val="90"/>
                        <w:sz w:val="17"/>
                      </w:rPr>
                      <w:t xml:space="preserve"> </w:t>
                    </w:r>
                    <w:r>
                      <w:rPr>
                        <w:rFonts w:ascii="Century Gothic"/>
                        <w:color w:val="231F20"/>
                        <w:w w:val="90"/>
                        <w:sz w:val="17"/>
                      </w:rPr>
                      <w:t>endangered</w:t>
                    </w:r>
                    <w:r>
                      <w:rPr>
                        <w:rFonts w:ascii="Century Gothic"/>
                        <w:color w:val="231F20"/>
                        <w:spacing w:val="-21"/>
                        <w:w w:val="90"/>
                        <w:sz w:val="17"/>
                      </w:rPr>
                      <w:t xml:space="preserve"> </w:t>
                    </w:r>
                    <w:r>
                      <w:rPr>
                        <w:rFonts w:ascii="Century Gothic"/>
                        <w:color w:val="231F20"/>
                        <w:w w:val="90"/>
                        <w:sz w:val="17"/>
                      </w:rPr>
                      <w:t>MNES</w:t>
                    </w:r>
                    <w:r>
                      <w:rPr>
                        <w:rFonts w:ascii="Century Gothic"/>
                        <w:color w:val="231F20"/>
                        <w:spacing w:val="-21"/>
                        <w:w w:val="90"/>
                        <w:sz w:val="17"/>
                      </w:rPr>
                      <w:t xml:space="preserve"> </w:t>
                    </w:r>
                    <w:r>
                      <w:rPr>
                        <w:rFonts w:ascii="Century Gothic"/>
                        <w:color w:val="231F20"/>
                        <w:w w:val="90"/>
                        <w:sz w:val="17"/>
                      </w:rPr>
                      <w:t>under</w:t>
                    </w:r>
                    <w:r>
                      <w:rPr>
                        <w:rFonts w:ascii="Century Gothic"/>
                        <w:color w:val="231F20"/>
                        <w:spacing w:val="-20"/>
                        <w:w w:val="90"/>
                        <w:sz w:val="17"/>
                      </w:rPr>
                      <w:t xml:space="preserve"> </w:t>
                    </w:r>
                    <w:r>
                      <w:rPr>
                        <w:rFonts w:ascii="Century Gothic"/>
                        <w:color w:val="231F20"/>
                        <w:w w:val="90"/>
                        <w:sz w:val="17"/>
                      </w:rPr>
                      <w:t>EPBC</w:t>
                    </w:r>
                    <w:r>
                      <w:rPr>
                        <w:rFonts w:ascii="Century Gothic"/>
                        <w:color w:val="231F20"/>
                        <w:spacing w:val="-21"/>
                        <w:w w:val="90"/>
                        <w:sz w:val="17"/>
                      </w:rPr>
                      <w:t xml:space="preserve"> </w:t>
                    </w:r>
                    <w:r>
                      <w:rPr>
                        <w:rFonts w:ascii="Century Gothic"/>
                        <w:color w:val="231F20"/>
                        <w:w w:val="90"/>
                        <w:sz w:val="17"/>
                      </w:rPr>
                      <w:t>Act</w:t>
                    </w:r>
                  </w:p>
                  <w:p w14:paraId="522EB8F0" w14:textId="77777777" w:rsidR="00EF5B27" w:rsidRDefault="00EF5B27">
                    <w:pPr>
                      <w:rPr>
                        <w:rFonts w:ascii="Century Gothic"/>
                        <w:i/>
                        <w:sz w:val="20"/>
                      </w:rPr>
                    </w:pPr>
                  </w:p>
                  <w:p w14:paraId="6579A7E7" w14:textId="77777777" w:rsidR="00EF5B27" w:rsidRDefault="00000000">
                    <w:pPr>
                      <w:numPr>
                        <w:ilvl w:val="0"/>
                        <w:numId w:val="5"/>
                      </w:numPr>
                      <w:tabs>
                        <w:tab w:val="left" w:pos="2112"/>
                      </w:tabs>
                      <w:spacing w:before="133"/>
                      <w:ind w:hanging="92"/>
                      <w:rPr>
                        <w:rFonts w:ascii="Century Gothic"/>
                        <w:sz w:val="17"/>
                      </w:rPr>
                    </w:pPr>
                    <w:r>
                      <w:rPr>
                        <w:rFonts w:ascii="Century Gothic"/>
                        <w:color w:val="231F20"/>
                        <w:w w:val="90"/>
                        <w:sz w:val="17"/>
                      </w:rPr>
                      <w:t>Grassy</w:t>
                    </w:r>
                    <w:r>
                      <w:rPr>
                        <w:rFonts w:ascii="Century Gothic"/>
                        <w:color w:val="231F20"/>
                        <w:spacing w:val="-25"/>
                        <w:w w:val="90"/>
                        <w:sz w:val="17"/>
                      </w:rPr>
                      <w:t xml:space="preserve"> </w:t>
                    </w:r>
                    <w:r>
                      <w:rPr>
                        <w:rFonts w:ascii="Century Gothic"/>
                        <w:color w:val="231F20"/>
                        <w:w w:val="90"/>
                        <w:sz w:val="17"/>
                      </w:rPr>
                      <w:t>Eucalypt</w:t>
                    </w:r>
                    <w:r>
                      <w:rPr>
                        <w:rFonts w:ascii="Century Gothic"/>
                        <w:color w:val="231F20"/>
                        <w:spacing w:val="-24"/>
                        <w:w w:val="90"/>
                        <w:sz w:val="17"/>
                      </w:rPr>
                      <w:t xml:space="preserve"> </w:t>
                    </w:r>
                    <w:r>
                      <w:rPr>
                        <w:rFonts w:ascii="Century Gothic"/>
                        <w:color w:val="231F20"/>
                        <w:w w:val="90"/>
                        <w:sz w:val="17"/>
                      </w:rPr>
                      <w:t>Woodlands</w:t>
                    </w:r>
                    <w:r>
                      <w:rPr>
                        <w:rFonts w:ascii="Century Gothic"/>
                        <w:color w:val="231F20"/>
                        <w:spacing w:val="-24"/>
                        <w:w w:val="90"/>
                        <w:sz w:val="17"/>
                      </w:rPr>
                      <w:t xml:space="preserve"> </w:t>
                    </w:r>
                    <w:r>
                      <w:rPr>
                        <w:rFonts w:ascii="Century Gothic"/>
                        <w:color w:val="231F20"/>
                        <w:w w:val="90"/>
                        <w:sz w:val="17"/>
                      </w:rPr>
                      <w:t>listed</w:t>
                    </w:r>
                    <w:r>
                      <w:rPr>
                        <w:rFonts w:ascii="Century Gothic"/>
                        <w:color w:val="231F20"/>
                        <w:spacing w:val="-24"/>
                        <w:w w:val="90"/>
                        <w:sz w:val="17"/>
                      </w:rPr>
                      <w:t xml:space="preserve"> </w:t>
                    </w:r>
                    <w:r>
                      <w:rPr>
                        <w:rFonts w:ascii="Century Gothic"/>
                        <w:color w:val="231F20"/>
                        <w:w w:val="90"/>
                        <w:sz w:val="17"/>
                      </w:rPr>
                      <w:t>as</w:t>
                    </w:r>
                    <w:r>
                      <w:rPr>
                        <w:rFonts w:ascii="Century Gothic"/>
                        <w:color w:val="231F20"/>
                        <w:spacing w:val="-24"/>
                        <w:w w:val="90"/>
                        <w:sz w:val="17"/>
                      </w:rPr>
                      <w:t xml:space="preserve"> </w:t>
                    </w:r>
                    <w:r>
                      <w:rPr>
                        <w:rFonts w:ascii="Century Gothic"/>
                        <w:color w:val="231F20"/>
                        <w:w w:val="90"/>
                        <w:sz w:val="17"/>
                      </w:rPr>
                      <w:t>critically</w:t>
                    </w:r>
                    <w:r>
                      <w:rPr>
                        <w:rFonts w:ascii="Century Gothic"/>
                        <w:color w:val="231F20"/>
                        <w:spacing w:val="-24"/>
                        <w:w w:val="90"/>
                        <w:sz w:val="17"/>
                      </w:rPr>
                      <w:t xml:space="preserve"> </w:t>
                    </w:r>
                    <w:r>
                      <w:rPr>
                        <w:rFonts w:ascii="Century Gothic"/>
                        <w:color w:val="231F20"/>
                        <w:w w:val="90"/>
                        <w:sz w:val="17"/>
                      </w:rPr>
                      <w:t>endangered</w:t>
                    </w:r>
                    <w:r>
                      <w:rPr>
                        <w:rFonts w:ascii="Century Gothic"/>
                        <w:color w:val="231F20"/>
                        <w:spacing w:val="-25"/>
                        <w:w w:val="90"/>
                        <w:sz w:val="17"/>
                      </w:rPr>
                      <w:t xml:space="preserve"> </w:t>
                    </w:r>
                    <w:r>
                      <w:rPr>
                        <w:rFonts w:ascii="Century Gothic"/>
                        <w:color w:val="231F20"/>
                        <w:w w:val="90"/>
                        <w:sz w:val="17"/>
                      </w:rPr>
                      <w:t>MNES</w:t>
                    </w:r>
                    <w:r>
                      <w:rPr>
                        <w:rFonts w:ascii="Century Gothic"/>
                        <w:color w:val="231F20"/>
                        <w:spacing w:val="-24"/>
                        <w:w w:val="90"/>
                        <w:sz w:val="17"/>
                      </w:rPr>
                      <w:t xml:space="preserve"> </w:t>
                    </w:r>
                    <w:r>
                      <w:rPr>
                        <w:rFonts w:ascii="Century Gothic"/>
                        <w:color w:val="231F20"/>
                        <w:w w:val="90"/>
                        <w:sz w:val="17"/>
                      </w:rPr>
                      <w:t>under</w:t>
                    </w:r>
                    <w:r>
                      <w:rPr>
                        <w:rFonts w:ascii="Century Gothic"/>
                        <w:color w:val="231F20"/>
                        <w:spacing w:val="-24"/>
                        <w:w w:val="90"/>
                        <w:sz w:val="17"/>
                      </w:rPr>
                      <w:t xml:space="preserve"> </w:t>
                    </w:r>
                    <w:r>
                      <w:rPr>
                        <w:rFonts w:ascii="Century Gothic"/>
                        <w:color w:val="231F20"/>
                        <w:w w:val="90"/>
                        <w:sz w:val="17"/>
                      </w:rPr>
                      <w:t>EPBC</w:t>
                    </w:r>
                    <w:r>
                      <w:rPr>
                        <w:rFonts w:ascii="Century Gothic"/>
                        <w:color w:val="231F20"/>
                        <w:spacing w:val="-24"/>
                        <w:w w:val="90"/>
                        <w:sz w:val="17"/>
                      </w:rPr>
                      <w:t xml:space="preserve"> </w:t>
                    </w:r>
                    <w:r>
                      <w:rPr>
                        <w:rFonts w:ascii="Century Gothic"/>
                        <w:color w:val="231F20"/>
                        <w:w w:val="90"/>
                        <w:sz w:val="17"/>
                      </w:rPr>
                      <w:t>Act</w:t>
                    </w:r>
                  </w:p>
                </w:txbxContent>
              </v:textbox>
            </v:shape>
            <w10:wrap anchorx="page"/>
          </v:group>
        </w:pict>
      </w:r>
      <w:r>
        <w:rPr>
          <w:b/>
          <w:spacing w:val="12"/>
          <w:w w:val="110"/>
          <w:sz w:val="25"/>
        </w:rPr>
        <w:t>2010</w:t>
      </w:r>
    </w:p>
    <w:p w14:paraId="22009E28" w14:textId="77777777" w:rsidR="00EF5B27" w:rsidRDefault="00EF5B27">
      <w:pPr>
        <w:pStyle w:val="BodyText"/>
        <w:spacing w:before="1"/>
        <w:rPr>
          <w:b/>
          <w:sz w:val="11"/>
        </w:rPr>
      </w:pPr>
    </w:p>
    <w:p w14:paraId="0CC03C20" w14:textId="77777777" w:rsidR="00EF5B27" w:rsidRDefault="00EF5B27">
      <w:pPr>
        <w:pStyle w:val="BodyText"/>
        <w:spacing w:before="9"/>
        <w:rPr>
          <w:b/>
          <w:sz w:val="5"/>
        </w:rPr>
      </w:pPr>
    </w:p>
    <w:p w14:paraId="45CF5810" w14:textId="77777777" w:rsidR="00EF5B27" w:rsidRDefault="00EF5B27">
      <w:pPr>
        <w:pStyle w:val="BodyText"/>
        <w:spacing w:before="9"/>
        <w:rPr>
          <w:b/>
          <w:sz w:val="12"/>
        </w:rPr>
      </w:pPr>
    </w:p>
    <w:p w14:paraId="3E723FBF" w14:textId="77777777" w:rsidR="00EF5B27" w:rsidRDefault="00EF5B27">
      <w:pPr>
        <w:pStyle w:val="BodyText"/>
        <w:spacing w:before="1"/>
        <w:rPr>
          <w:b/>
          <w:sz w:val="14"/>
        </w:rPr>
      </w:pPr>
    </w:p>
    <w:p w14:paraId="4004455F" w14:textId="77777777" w:rsidR="00EF5B27" w:rsidRDefault="00EF5B27">
      <w:pPr>
        <w:pStyle w:val="BodyText"/>
        <w:rPr>
          <w:b/>
          <w:sz w:val="14"/>
        </w:rPr>
      </w:pPr>
    </w:p>
    <w:p w14:paraId="7EE6362F" w14:textId="77777777" w:rsidR="00EF5B27" w:rsidRDefault="00000000">
      <w:pPr>
        <w:spacing w:before="71"/>
        <w:ind w:left="331"/>
        <w:rPr>
          <w:b/>
          <w:sz w:val="25"/>
        </w:rPr>
      </w:pPr>
      <w:r>
        <w:rPr>
          <w:b/>
          <w:spacing w:val="12"/>
          <w:w w:val="110"/>
          <w:sz w:val="25"/>
        </w:rPr>
        <w:t>2020</w:t>
      </w:r>
    </w:p>
    <w:p w14:paraId="60B99FC2" w14:textId="77777777" w:rsidR="00EF5B27" w:rsidRDefault="00EF5B27">
      <w:pPr>
        <w:pStyle w:val="BodyText"/>
        <w:spacing w:before="4"/>
        <w:rPr>
          <w:b/>
          <w:sz w:val="28"/>
        </w:rPr>
      </w:pPr>
    </w:p>
    <w:p w14:paraId="4C32CAE4" w14:textId="77777777" w:rsidR="00EF5B27" w:rsidRDefault="00000000">
      <w:pPr>
        <w:tabs>
          <w:tab w:val="left" w:pos="8977"/>
        </w:tabs>
        <w:spacing w:before="100"/>
        <w:ind w:left="2608"/>
        <w:rPr>
          <w:rFonts w:ascii="Century Gothic"/>
          <w:i/>
          <w:sz w:val="12"/>
        </w:rPr>
      </w:pPr>
      <w:bookmarkStart w:id="113" w:name="_Ref112875340"/>
      <w:bookmarkEnd w:id="113"/>
      <w:r>
        <w:rPr>
          <w:color w:val="4D4D4F"/>
          <w:sz w:val="16"/>
        </w:rPr>
        <w:t>Figure</w:t>
      </w:r>
      <w:r>
        <w:rPr>
          <w:color w:val="4D4D4F"/>
          <w:spacing w:val="12"/>
          <w:sz w:val="16"/>
        </w:rPr>
        <w:t xml:space="preserve"> </w:t>
      </w:r>
      <w:r>
        <w:rPr>
          <w:color w:val="4D4D4F"/>
          <w:sz w:val="16"/>
        </w:rPr>
        <w:t>45:</w:t>
      </w:r>
      <w:r>
        <w:rPr>
          <w:color w:val="4D4D4F"/>
          <w:spacing w:val="12"/>
          <w:sz w:val="16"/>
        </w:rPr>
        <w:t xml:space="preserve"> </w:t>
      </w:r>
      <w:r>
        <w:rPr>
          <w:color w:val="4D4D4F"/>
          <w:sz w:val="16"/>
        </w:rPr>
        <w:t>Timeline</w:t>
      </w:r>
      <w:r>
        <w:rPr>
          <w:color w:val="4D4D4F"/>
          <w:spacing w:val="13"/>
          <w:sz w:val="16"/>
        </w:rPr>
        <w:t xml:space="preserve"> </w:t>
      </w:r>
      <w:r>
        <w:rPr>
          <w:color w:val="4D4D4F"/>
          <w:sz w:val="16"/>
        </w:rPr>
        <w:t>of</w:t>
      </w:r>
      <w:r>
        <w:rPr>
          <w:color w:val="4D4D4F"/>
          <w:spacing w:val="12"/>
          <w:sz w:val="16"/>
        </w:rPr>
        <w:t xml:space="preserve"> </w:t>
      </w:r>
      <w:r>
        <w:rPr>
          <w:color w:val="4D4D4F"/>
          <w:sz w:val="16"/>
        </w:rPr>
        <w:t>regulatory</w:t>
      </w:r>
      <w:r>
        <w:rPr>
          <w:color w:val="4D4D4F"/>
          <w:spacing w:val="12"/>
          <w:sz w:val="16"/>
        </w:rPr>
        <w:t xml:space="preserve"> </w:t>
      </w:r>
      <w:r>
        <w:rPr>
          <w:color w:val="4D4D4F"/>
          <w:sz w:val="16"/>
        </w:rPr>
        <w:t>changes</w:t>
      </w:r>
      <w:r>
        <w:rPr>
          <w:color w:val="4D4D4F"/>
          <w:spacing w:val="13"/>
          <w:sz w:val="16"/>
        </w:rPr>
        <w:t xml:space="preserve"> </w:t>
      </w:r>
      <w:r>
        <w:rPr>
          <w:color w:val="4D4D4F"/>
          <w:sz w:val="16"/>
        </w:rPr>
        <w:t>enabling</w:t>
      </w:r>
      <w:r>
        <w:rPr>
          <w:color w:val="4D4D4F"/>
          <w:spacing w:val="12"/>
          <w:sz w:val="16"/>
        </w:rPr>
        <w:t xml:space="preserve"> </w:t>
      </w:r>
      <w:r>
        <w:rPr>
          <w:color w:val="4D4D4F"/>
          <w:sz w:val="16"/>
        </w:rPr>
        <w:t>the</w:t>
      </w:r>
      <w:r>
        <w:rPr>
          <w:color w:val="4D4D4F"/>
          <w:spacing w:val="12"/>
          <w:sz w:val="16"/>
        </w:rPr>
        <w:t xml:space="preserve"> </w:t>
      </w:r>
      <w:r>
        <w:rPr>
          <w:color w:val="4D4D4F"/>
          <w:sz w:val="16"/>
        </w:rPr>
        <w:t>MSA</w:t>
      </w:r>
      <w:r>
        <w:rPr>
          <w:color w:val="4D4D4F"/>
          <w:spacing w:val="13"/>
          <w:sz w:val="16"/>
        </w:rPr>
        <w:t xml:space="preserve"> </w:t>
      </w:r>
      <w:r>
        <w:rPr>
          <w:color w:val="4D4D4F"/>
          <w:spacing w:val="2"/>
          <w:sz w:val="16"/>
        </w:rPr>
        <w:t>program</w:t>
      </w:r>
      <w:r>
        <w:rPr>
          <w:color w:val="4D4D4F"/>
          <w:spacing w:val="2"/>
          <w:sz w:val="16"/>
        </w:rPr>
        <w:tab/>
      </w:r>
      <w:r>
        <w:rPr>
          <w:rFonts w:ascii="Century Gothic"/>
          <w:i/>
          <w:color w:val="4D4D4F"/>
          <w:sz w:val="12"/>
        </w:rPr>
        <w:t>Source:</w:t>
      </w:r>
      <w:r>
        <w:rPr>
          <w:rFonts w:ascii="Century Gothic"/>
          <w:i/>
          <w:color w:val="4D4D4F"/>
          <w:spacing w:val="-22"/>
          <w:sz w:val="12"/>
        </w:rPr>
        <w:t xml:space="preserve"> </w:t>
      </w:r>
      <w:r>
        <w:rPr>
          <w:rFonts w:ascii="Century Gothic"/>
          <w:i/>
          <w:color w:val="4D4D4F"/>
          <w:sz w:val="12"/>
        </w:rPr>
        <w:t>DELWP</w:t>
      </w:r>
    </w:p>
    <w:p w14:paraId="539E5881" w14:textId="77777777" w:rsidR="00EF5B27" w:rsidRDefault="00EF5B27">
      <w:pPr>
        <w:rPr>
          <w:rFonts w:ascii="Century Gothic"/>
          <w:sz w:val="12"/>
        </w:rPr>
        <w:sectPr w:rsidR="00EF5B27">
          <w:pgSz w:w="11910" w:h="16840"/>
          <w:pgMar w:top="1080" w:right="1020" w:bottom="860" w:left="1020" w:header="537" w:footer="678" w:gutter="0"/>
          <w:cols w:space="720"/>
        </w:sectPr>
      </w:pPr>
    </w:p>
    <w:p w14:paraId="7CB6383B" w14:textId="77777777" w:rsidR="00EF5B27" w:rsidRDefault="00000000">
      <w:pPr>
        <w:pStyle w:val="BodyText"/>
        <w:rPr>
          <w:rFonts w:ascii="Century Gothic"/>
          <w:i/>
        </w:rPr>
      </w:pPr>
      <w:r>
        <w:lastRenderedPageBreak/>
        <w:pict w14:anchorId="15F363A5">
          <v:group id="_x0000_s2353" style="position:absolute;margin-left:587.05pt;margin-top:183.4pt;width:8.25pt;height:153.1pt;z-index:251785728;mso-position-horizontal-relative:page;mso-position-vertical-relative:page" coordorigin="11741,3668" coordsize="165,3062">
            <v:shape id="_x0000_s2360" style="position:absolute;left:11741;top:3668;width:165;height:561" coordorigin="11741,3668" coordsize="165,561" path="m11906,3668r-165,l11741,4228r165,-18l11906,3668xe" fillcolor="#00aed9" stroked="f">
              <v:path arrowok="t"/>
            </v:shape>
            <v:shape id="_x0000_s2359" style="position:absolute;left:11741;top:4118;width:165;height:425" coordorigin="11741,4118" coordsize="165,425" path="m11906,4118r-165,14l11741,4531r165,12l11906,4118xe" fillcolor="#047ebc" stroked="f">
              <v:path arrowok="t"/>
            </v:shape>
            <v:shape id="_x0000_s2358" type="#_x0000_t75" style="position:absolute;left:11741;top:4355;width:165;height:587">
              <v:imagedata r:id="rId42" o:title=""/>
            </v:shape>
            <v:shape id="_x0000_s2357" style="position:absolute;left:11741;top:5343;width:165;height:536" coordorigin="11741,5343" coordsize="165,536" path="m11741,5343r,535l11906,5872r,-525l11741,5343xe" fillcolor="#f36a2e" stroked="f">
              <v:path arrowok="t"/>
            </v:shape>
            <v:shape id="_x0000_s2356" style="position:absolute;left:11741;top:4925;width:165;height:501" coordorigin="11741,4926" coordsize="165,501" path="m11741,4926r,500l11906,5426r,-485l11741,4926xe" fillcolor="#49783f" stroked="f">
              <v:path arrowok="t"/>
            </v:shape>
            <v:shape id="_x0000_s2355" style="position:absolute;left:11741;top:5781;width:165;height:268" coordorigin="11741,5782" coordsize="165,268" path="m11906,5782r-165,8l11741,6039r165,10l11906,5782xe" fillcolor="#f99f2a" stroked="f">
              <v:path arrowok="t"/>
            </v:shape>
            <v:shape id="_x0000_s2354" style="position:absolute;left:11741;top:6023;width:165;height:707" coordorigin="11741,6023" coordsize="165,707" path="m11741,6023r,706l11906,6729r,-690l11741,6023xe" fillcolor="#ef412c" stroked="f">
              <v:path arrowok="t"/>
            </v:shape>
            <w10:wrap anchorx="page" anchory="page"/>
          </v:group>
        </w:pict>
      </w:r>
    </w:p>
    <w:p w14:paraId="75983ACC" w14:textId="77777777" w:rsidR="00EF5B27" w:rsidRDefault="00EF5B27">
      <w:pPr>
        <w:pStyle w:val="BodyText"/>
        <w:rPr>
          <w:rFonts w:ascii="Century Gothic"/>
          <w:i/>
        </w:rPr>
      </w:pPr>
    </w:p>
    <w:p w14:paraId="6C149E9D" w14:textId="77777777" w:rsidR="00EF5B27" w:rsidRDefault="00EF5B27">
      <w:pPr>
        <w:pStyle w:val="BodyText"/>
        <w:rPr>
          <w:rFonts w:ascii="Century Gothic"/>
          <w:i/>
        </w:rPr>
      </w:pPr>
    </w:p>
    <w:p w14:paraId="6E15ECA3" w14:textId="77777777" w:rsidR="00EF5B27" w:rsidRDefault="00EF5B27">
      <w:pPr>
        <w:pStyle w:val="BodyText"/>
        <w:spacing w:before="7"/>
        <w:rPr>
          <w:rFonts w:ascii="Century Gothic"/>
          <w:i/>
          <w:sz w:val="22"/>
        </w:rPr>
      </w:pPr>
    </w:p>
    <w:p w14:paraId="5A240FF1" w14:textId="77777777" w:rsidR="00EF5B27" w:rsidRDefault="00000000">
      <w:pPr>
        <w:pStyle w:val="Heading3"/>
        <w:spacing w:before="116"/>
      </w:pPr>
      <w:r>
        <w:rPr>
          <w:color w:val="F99F2A"/>
        </w:rPr>
        <w:t>The role of the Commonwealth</w:t>
      </w:r>
    </w:p>
    <w:p w14:paraId="34846B97" w14:textId="77777777" w:rsidR="00EF5B27" w:rsidRDefault="00000000">
      <w:pPr>
        <w:pStyle w:val="BodyText"/>
        <w:spacing w:before="221" w:line="254" w:lineRule="auto"/>
        <w:ind w:left="2608" w:right="39"/>
        <w:rPr>
          <w:sz w:val="11"/>
        </w:rPr>
      </w:pPr>
      <w:r>
        <w:rPr>
          <w:color w:val="4D4D4F"/>
        </w:rPr>
        <w:t>The Commonwealth Government has overall responsibility for ensuring that only actions that have been approved by the Federal Minister for the Environment are undertaken under the MSA program, and that all actions are consistent with the program. The Federal Government, represented by the Federal Minister for the Environment, has had an approval role at various stages of the program planning. During the implementation stage of the program the Commonwealth Government has played a limited role.</w:t>
      </w:r>
      <w:r>
        <w:rPr>
          <w:color w:val="4D4D4F"/>
          <w:position w:val="7"/>
          <w:sz w:val="11"/>
        </w:rPr>
        <w:t>300</w:t>
      </w:r>
    </w:p>
    <w:p w14:paraId="57204DEE" w14:textId="77777777" w:rsidR="00EF5B27" w:rsidRDefault="00EF5B27">
      <w:pPr>
        <w:pStyle w:val="BodyText"/>
        <w:spacing w:before="6"/>
        <w:rPr>
          <w:sz w:val="19"/>
        </w:rPr>
      </w:pPr>
    </w:p>
    <w:p w14:paraId="0D5A87A5" w14:textId="77777777" w:rsidR="00EF5B27" w:rsidRDefault="00000000">
      <w:pPr>
        <w:pStyle w:val="Heading3"/>
      </w:pPr>
      <w:r>
        <w:rPr>
          <w:color w:val="F99F2A"/>
        </w:rPr>
        <w:t>Strategic inquiries and audits</w:t>
      </w:r>
    </w:p>
    <w:p w14:paraId="651272CC" w14:textId="77777777" w:rsidR="00EF5B27" w:rsidRDefault="00000000">
      <w:pPr>
        <w:pStyle w:val="BodyText"/>
        <w:spacing w:before="221" w:line="254" w:lineRule="auto"/>
        <w:ind w:left="2608" w:right="623"/>
        <w:jc w:val="both"/>
      </w:pPr>
      <w:r>
        <w:rPr>
          <w:color w:val="4D4D4F"/>
        </w:rPr>
        <w:t>This report is likely to contain interlinkages with other environmental legislative, policy and process reviews with potential to inform MSA program outcomes at a strategic level, including:</w:t>
      </w:r>
    </w:p>
    <w:p w14:paraId="0FCADC3F" w14:textId="77777777" w:rsidR="00EF5B27" w:rsidRDefault="00000000">
      <w:pPr>
        <w:pStyle w:val="ListParagraph"/>
        <w:numPr>
          <w:ilvl w:val="0"/>
          <w:numId w:val="34"/>
        </w:numPr>
        <w:tabs>
          <w:tab w:val="left" w:pos="2779"/>
        </w:tabs>
        <w:spacing w:before="117"/>
        <w:rPr>
          <w:sz w:val="10"/>
        </w:rPr>
      </w:pPr>
      <w:r>
        <w:rPr>
          <w:color w:val="4D4D4F"/>
          <w:sz w:val="20"/>
        </w:rPr>
        <w:t xml:space="preserve">The </w:t>
      </w:r>
      <w:r>
        <w:rPr>
          <w:color w:val="4D4D4F"/>
          <w:spacing w:val="-4"/>
          <w:sz w:val="20"/>
        </w:rPr>
        <w:t xml:space="preserve">2014 </w:t>
      </w:r>
      <w:r>
        <w:rPr>
          <w:color w:val="4D4D4F"/>
          <w:sz w:val="20"/>
        </w:rPr>
        <w:t>Senate Inquiry Environmental</w:t>
      </w:r>
      <w:r>
        <w:rPr>
          <w:color w:val="4D4D4F"/>
          <w:spacing w:val="26"/>
          <w:sz w:val="20"/>
        </w:rPr>
        <w:t xml:space="preserve"> </w:t>
      </w:r>
      <w:r>
        <w:rPr>
          <w:color w:val="4D4D4F"/>
          <w:sz w:val="20"/>
        </w:rPr>
        <w:t>Offsets</w:t>
      </w:r>
      <w:r>
        <w:rPr>
          <w:color w:val="4D4D4F"/>
          <w:position w:val="6"/>
          <w:sz w:val="10"/>
        </w:rPr>
        <w:t>301</w:t>
      </w:r>
    </w:p>
    <w:p w14:paraId="74701215" w14:textId="77777777" w:rsidR="00EF5B27" w:rsidRDefault="00000000">
      <w:pPr>
        <w:pStyle w:val="ListParagraph"/>
        <w:numPr>
          <w:ilvl w:val="0"/>
          <w:numId w:val="34"/>
        </w:numPr>
        <w:tabs>
          <w:tab w:val="left" w:pos="2779"/>
        </w:tabs>
        <w:spacing w:before="129"/>
        <w:rPr>
          <w:sz w:val="10"/>
        </w:rPr>
      </w:pPr>
      <w:r>
        <w:rPr>
          <w:color w:val="4D4D4F"/>
          <w:w w:val="105"/>
          <w:sz w:val="20"/>
        </w:rPr>
        <w:t xml:space="preserve">The </w:t>
      </w:r>
      <w:r>
        <w:rPr>
          <w:color w:val="4D4D4F"/>
          <w:spacing w:val="-4"/>
          <w:w w:val="105"/>
          <w:sz w:val="20"/>
        </w:rPr>
        <w:t xml:space="preserve">2019 </w:t>
      </w:r>
      <w:r>
        <w:rPr>
          <w:color w:val="4D4D4F"/>
          <w:spacing w:val="-3"/>
          <w:w w:val="105"/>
          <w:sz w:val="20"/>
        </w:rPr>
        <w:t xml:space="preserve">VAGO </w:t>
      </w:r>
      <w:r>
        <w:rPr>
          <w:color w:val="4D4D4F"/>
          <w:w w:val="105"/>
          <w:sz w:val="20"/>
        </w:rPr>
        <w:t>audit: Protecting Critically Endangered</w:t>
      </w:r>
      <w:r>
        <w:rPr>
          <w:color w:val="4D4D4F"/>
          <w:spacing w:val="-16"/>
          <w:w w:val="105"/>
          <w:sz w:val="20"/>
        </w:rPr>
        <w:t xml:space="preserve"> </w:t>
      </w:r>
      <w:r>
        <w:rPr>
          <w:color w:val="4D4D4F"/>
          <w:w w:val="105"/>
          <w:sz w:val="20"/>
        </w:rPr>
        <w:t>Grasslands</w:t>
      </w:r>
      <w:r>
        <w:rPr>
          <w:color w:val="4D4D4F"/>
          <w:w w:val="105"/>
          <w:position w:val="6"/>
          <w:sz w:val="10"/>
        </w:rPr>
        <w:t>302</w:t>
      </w:r>
    </w:p>
    <w:p w14:paraId="0A72AE7C" w14:textId="77777777" w:rsidR="00EF5B27" w:rsidRDefault="00000000">
      <w:pPr>
        <w:pStyle w:val="ListParagraph"/>
        <w:numPr>
          <w:ilvl w:val="0"/>
          <w:numId w:val="34"/>
        </w:numPr>
        <w:tabs>
          <w:tab w:val="left" w:pos="2779"/>
        </w:tabs>
        <w:spacing w:before="130"/>
        <w:rPr>
          <w:sz w:val="10"/>
        </w:rPr>
      </w:pPr>
      <w:r>
        <w:rPr>
          <w:color w:val="4D4D4F"/>
          <w:sz w:val="20"/>
        </w:rPr>
        <w:t>Parliamentary Review of the EPBC Act</w:t>
      </w:r>
      <w:r>
        <w:rPr>
          <w:color w:val="4D4D4F"/>
          <w:spacing w:val="28"/>
          <w:sz w:val="20"/>
        </w:rPr>
        <w:t xml:space="preserve"> </w:t>
      </w:r>
      <w:r>
        <w:rPr>
          <w:color w:val="4D4D4F"/>
          <w:spacing w:val="2"/>
          <w:sz w:val="20"/>
        </w:rPr>
        <w:t>2020</w:t>
      </w:r>
      <w:r>
        <w:rPr>
          <w:color w:val="4D4D4F"/>
          <w:spacing w:val="2"/>
          <w:position w:val="6"/>
          <w:sz w:val="10"/>
        </w:rPr>
        <w:t>303</w:t>
      </w:r>
    </w:p>
    <w:p w14:paraId="6C9C9273" w14:textId="77777777" w:rsidR="00EF5B27" w:rsidRDefault="00000000">
      <w:pPr>
        <w:pStyle w:val="ListParagraph"/>
        <w:numPr>
          <w:ilvl w:val="0"/>
          <w:numId w:val="34"/>
        </w:numPr>
        <w:tabs>
          <w:tab w:val="left" w:pos="2779"/>
        </w:tabs>
        <w:spacing w:before="129"/>
        <w:rPr>
          <w:sz w:val="10"/>
        </w:rPr>
      </w:pPr>
      <w:r>
        <w:rPr>
          <w:color w:val="4D4D4F"/>
          <w:sz w:val="20"/>
        </w:rPr>
        <w:t>Parliamentary Inquiry into Ecosystem Decline in Victoria</w:t>
      </w:r>
      <w:r>
        <w:rPr>
          <w:color w:val="4D4D4F"/>
          <w:spacing w:val="33"/>
          <w:sz w:val="20"/>
        </w:rPr>
        <w:t xml:space="preserve"> </w:t>
      </w:r>
      <w:r>
        <w:rPr>
          <w:color w:val="4D4D4F"/>
          <w:sz w:val="20"/>
        </w:rPr>
        <w:t>2021</w:t>
      </w:r>
      <w:r>
        <w:rPr>
          <w:color w:val="4D4D4F"/>
          <w:position w:val="6"/>
          <w:sz w:val="10"/>
        </w:rPr>
        <w:t>304</w:t>
      </w:r>
    </w:p>
    <w:p w14:paraId="4DAB49F3" w14:textId="77777777" w:rsidR="00EF5B27" w:rsidRDefault="00000000">
      <w:pPr>
        <w:pStyle w:val="ListParagraph"/>
        <w:numPr>
          <w:ilvl w:val="0"/>
          <w:numId w:val="34"/>
        </w:numPr>
        <w:tabs>
          <w:tab w:val="left" w:pos="2779"/>
        </w:tabs>
        <w:spacing w:before="129"/>
        <w:rPr>
          <w:sz w:val="10"/>
        </w:rPr>
      </w:pPr>
      <w:r>
        <w:rPr>
          <w:color w:val="4D4D4F"/>
          <w:sz w:val="20"/>
        </w:rPr>
        <w:t xml:space="preserve">The 2021 </w:t>
      </w:r>
      <w:r>
        <w:rPr>
          <w:color w:val="4D4D4F"/>
          <w:spacing w:val="-3"/>
          <w:sz w:val="20"/>
        </w:rPr>
        <w:t xml:space="preserve">VAGO </w:t>
      </w:r>
      <w:r>
        <w:rPr>
          <w:color w:val="4D4D4F"/>
          <w:sz w:val="20"/>
        </w:rPr>
        <w:t>audit: Protecting Victoria’s</w:t>
      </w:r>
      <w:r>
        <w:rPr>
          <w:color w:val="4D4D4F"/>
          <w:spacing w:val="25"/>
          <w:sz w:val="20"/>
        </w:rPr>
        <w:t xml:space="preserve"> </w:t>
      </w:r>
      <w:r>
        <w:rPr>
          <w:color w:val="4D4D4F"/>
          <w:sz w:val="20"/>
        </w:rPr>
        <w:t>Biodiversity</w:t>
      </w:r>
      <w:r>
        <w:rPr>
          <w:color w:val="4D4D4F"/>
          <w:position w:val="6"/>
          <w:sz w:val="10"/>
        </w:rPr>
        <w:t>305</w:t>
      </w:r>
    </w:p>
    <w:p w14:paraId="3F40D900" w14:textId="77777777" w:rsidR="00EF5B27" w:rsidRDefault="00EF5B27">
      <w:pPr>
        <w:pStyle w:val="BodyText"/>
        <w:spacing w:before="9"/>
        <w:rPr>
          <w:sz w:val="21"/>
        </w:rPr>
      </w:pPr>
    </w:p>
    <w:p w14:paraId="35D1BA27" w14:textId="77777777" w:rsidR="00EF5B27" w:rsidRDefault="00000000">
      <w:pPr>
        <w:pStyle w:val="Heading4"/>
      </w:pPr>
      <w:r>
        <w:rPr>
          <w:color w:val="F99F2A"/>
        </w:rPr>
        <w:t>VAGO audit: Protecting Critically Endangered Grasslands</w:t>
      </w:r>
    </w:p>
    <w:p w14:paraId="49DF4C40" w14:textId="77777777" w:rsidR="00EF5B27" w:rsidRDefault="00000000">
      <w:pPr>
        <w:pStyle w:val="BodyText"/>
        <w:spacing w:before="227" w:line="254" w:lineRule="auto"/>
        <w:ind w:left="2608" w:right="346"/>
      </w:pPr>
      <w:r>
        <w:rPr>
          <w:color w:val="4D4D4F"/>
          <w:w w:val="105"/>
        </w:rPr>
        <w:t xml:space="preserve">In </w:t>
      </w:r>
      <w:r>
        <w:rPr>
          <w:color w:val="4D4D4F"/>
          <w:spacing w:val="-5"/>
          <w:w w:val="105"/>
        </w:rPr>
        <w:t xml:space="preserve">2019, </w:t>
      </w:r>
      <w:r>
        <w:rPr>
          <w:color w:val="4D4D4F"/>
          <w:w w:val="105"/>
        </w:rPr>
        <w:t xml:space="preserve">the VAGO undertook an audit </w:t>
      </w:r>
      <w:r>
        <w:rPr>
          <w:color w:val="4D4D4F"/>
          <w:spacing w:val="-3"/>
          <w:w w:val="105"/>
        </w:rPr>
        <w:t>‘</w:t>
      </w:r>
      <w:r>
        <w:rPr>
          <w:rFonts w:ascii="Arial Narrow" w:hAnsi="Arial Narrow"/>
          <w:i/>
          <w:color w:val="4D4D4F"/>
          <w:spacing w:val="-3"/>
          <w:w w:val="105"/>
        </w:rPr>
        <w:t xml:space="preserve">Protecting Critically </w:t>
      </w:r>
      <w:r>
        <w:rPr>
          <w:rFonts w:ascii="Arial Narrow" w:hAnsi="Arial Narrow"/>
          <w:i/>
          <w:color w:val="4D4D4F"/>
          <w:w w:val="105"/>
        </w:rPr>
        <w:t>Endangered Grasslands</w:t>
      </w:r>
      <w:r>
        <w:rPr>
          <w:color w:val="4D4D4F"/>
          <w:w w:val="105"/>
        </w:rPr>
        <w:t>’ focusing</w:t>
      </w:r>
      <w:r>
        <w:rPr>
          <w:color w:val="4D4D4F"/>
          <w:spacing w:val="-16"/>
          <w:w w:val="105"/>
        </w:rPr>
        <w:t xml:space="preserve"> </w:t>
      </w:r>
      <w:r>
        <w:rPr>
          <w:color w:val="4D4D4F"/>
          <w:w w:val="105"/>
        </w:rPr>
        <w:t>on</w:t>
      </w:r>
      <w:r>
        <w:rPr>
          <w:color w:val="4D4D4F"/>
          <w:spacing w:val="-16"/>
          <w:w w:val="105"/>
        </w:rPr>
        <w:t xml:space="preserve"> </w:t>
      </w:r>
      <w:r>
        <w:rPr>
          <w:color w:val="4D4D4F"/>
          <w:w w:val="105"/>
        </w:rPr>
        <w:t>the</w:t>
      </w:r>
      <w:r>
        <w:rPr>
          <w:color w:val="4D4D4F"/>
          <w:spacing w:val="-15"/>
          <w:w w:val="105"/>
        </w:rPr>
        <w:t xml:space="preserve"> </w:t>
      </w:r>
      <w:r>
        <w:rPr>
          <w:color w:val="4D4D4F"/>
          <w:w w:val="105"/>
        </w:rPr>
        <w:t>MSA</w:t>
      </w:r>
      <w:r>
        <w:rPr>
          <w:color w:val="4D4D4F"/>
          <w:spacing w:val="-16"/>
          <w:w w:val="105"/>
        </w:rPr>
        <w:t xml:space="preserve"> </w:t>
      </w:r>
      <w:r>
        <w:rPr>
          <w:color w:val="4D4D4F"/>
          <w:w w:val="105"/>
        </w:rPr>
        <w:t>program’s</w:t>
      </w:r>
      <w:r>
        <w:rPr>
          <w:color w:val="4D4D4F"/>
          <w:spacing w:val="-15"/>
          <w:w w:val="105"/>
        </w:rPr>
        <w:t xml:space="preserve"> </w:t>
      </w:r>
      <w:r>
        <w:rPr>
          <w:color w:val="4D4D4F"/>
          <w:w w:val="105"/>
        </w:rPr>
        <w:t>implementation</w:t>
      </w:r>
      <w:r>
        <w:rPr>
          <w:color w:val="4D4D4F"/>
          <w:spacing w:val="-16"/>
          <w:w w:val="105"/>
        </w:rPr>
        <w:t xml:space="preserve"> </w:t>
      </w:r>
      <w:r>
        <w:rPr>
          <w:color w:val="4D4D4F"/>
          <w:w w:val="105"/>
        </w:rPr>
        <w:t>with</w:t>
      </w:r>
      <w:r>
        <w:rPr>
          <w:color w:val="4D4D4F"/>
          <w:spacing w:val="-16"/>
          <w:w w:val="105"/>
        </w:rPr>
        <w:t xml:space="preserve"> </w:t>
      </w:r>
      <w:r>
        <w:rPr>
          <w:color w:val="4D4D4F"/>
          <w:w w:val="105"/>
        </w:rPr>
        <w:t>respect</w:t>
      </w:r>
      <w:r>
        <w:rPr>
          <w:color w:val="4D4D4F"/>
          <w:spacing w:val="-15"/>
          <w:w w:val="105"/>
        </w:rPr>
        <w:t xml:space="preserve"> </w:t>
      </w:r>
      <w:r>
        <w:rPr>
          <w:color w:val="4D4D4F"/>
          <w:w w:val="105"/>
        </w:rPr>
        <w:t>to</w:t>
      </w:r>
      <w:r>
        <w:rPr>
          <w:color w:val="4D4D4F"/>
          <w:spacing w:val="-16"/>
          <w:w w:val="105"/>
        </w:rPr>
        <w:t xml:space="preserve"> </w:t>
      </w:r>
      <w:r>
        <w:rPr>
          <w:color w:val="4D4D4F"/>
          <w:w w:val="105"/>
        </w:rPr>
        <w:t>its</w:t>
      </w:r>
      <w:r>
        <w:rPr>
          <w:color w:val="4D4D4F"/>
          <w:spacing w:val="-15"/>
          <w:w w:val="105"/>
        </w:rPr>
        <w:t xml:space="preserve"> </w:t>
      </w:r>
      <w:r>
        <w:rPr>
          <w:color w:val="4D4D4F"/>
          <w:w w:val="105"/>
        </w:rPr>
        <w:t>commitments to</w:t>
      </w:r>
      <w:r>
        <w:rPr>
          <w:color w:val="4D4D4F"/>
          <w:spacing w:val="-18"/>
          <w:w w:val="105"/>
        </w:rPr>
        <w:t xml:space="preserve"> </w:t>
      </w:r>
      <w:r>
        <w:rPr>
          <w:color w:val="4D4D4F"/>
          <w:w w:val="105"/>
        </w:rPr>
        <w:t>protect</w:t>
      </w:r>
      <w:r>
        <w:rPr>
          <w:color w:val="4D4D4F"/>
          <w:spacing w:val="-18"/>
          <w:w w:val="105"/>
        </w:rPr>
        <w:t xml:space="preserve"> </w:t>
      </w:r>
      <w:r>
        <w:rPr>
          <w:color w:val="4D4D4F"/>
          <w:w w:val="105"/>
        </w:rPr>
        <w:t>Natural</w:t>
      </w:r>
      <w:r>
        <w:rPr>
          <w:color w:val="4D4D4F"/>
          <w:spacing w:val="-17"/>
          <w:w w:val="105"/>
        </w:rPr>
        <w:t xml:space="preserve"> </w:t>
      </w:r>
      <w:r>
        <w:rPr>
          <w:color w:val="4D4D4F"/>
          <w:w w:val="105"/>
        </w:rPr>
        <w:t>Temperate</w:t>
      </w:r>
      <w:r>
        <w:rPr>
          <w:color w:val="4D4D4F"/>
          <w:spacing w:val="-18"/>
          <w:w w:val="105"/>
        </w:rPr>
        <w:t xml:space="preserve"> </w:t>
      </w:r>
      <w:r>
        <w:rPr>
          <w:color w:val="4D4D4F"/>
          <w:w w:val="105"/>
        </w:rPr>
        <w:t>Grasslands</w:t>
      </w:r>
      <w:r>
        <w:rPr>
          <w:color w:val="4D4D4F"/>
          <w:spacing w:val="-17"/>
          <w:w w:val="105"/>
        </w:rPr>
        <w:t xml:space="preserve"> </w:t>
      </w:r>
      <w:r>
        <w:rPr>
          <w:color w:val="4D4D4F"/>
          <w:w w:val="105"/>
        </w:rPr>
        <w:t>and</w:t>
      </w:r>
      <w:r>
        <w:rPr>
          <w:color w:val="4D4D4F"/>
          <w:spacing w:val="-18"/>
          <w:w w:val="105"/>
        </w:rPr>
        <w:t xml:space="preserve"> </w:t>
      </w:r>
      <w:r>
        <w:rPr>
          <w:color w:val="4D4D4F"/>
          <w:w w:val="105"/>
        </w:rPr>
        <w:t>Grassy</w:t>
      </w:r>
      <w:r>
        <w:rPr>
          <w:color w:val="4D4D4F"/>
          <w:spacing w:val="-18"/>
          <w:w w:val="105"/>
        </w:rPr>
        <w:t xml:space="preserve"> </w:t>
      </w:r>
      <w:r>
        <w:rPr>
          <w:color w:val="4D4D4F"/>
          <w:w w:val="105"/>
        </w:rPr>
        <w:t>Eucalypt</w:t>
      </w:r>
      <w:r>
        <w:rPr>
          <w:color w:val="4D4D4F"/>
          <w:spacing w:val="-17"/>
          <w:w w:val="105"/>
        </w:rPr>
        <w:t xml:space="preserve"> </w:t>
      </w:r>
      <w:r>
        <w:rPr>
          <w:color w:val="4D4D4F"/>
          <w:w w:val="105"/>
        </w:rPr>
        <w:t>Woodlands.</w:t>
      </w:r>
      <w:r>
        <w:rPr>
          <w:color w:val="4D4D4F"/>
          <w:spacing w:val="-18"/>
          <w:w w:val="105"/>
        </w:rPr>
        <w:t xml:space="preserve"> </w:t>
      </w:r>
      <w:r>
        <w:rPr>
          <w:color w:val="4D4D4F"/>
          <w:w w:val="105"/>
        </w:rPr>
        <w:t xml:space="preserve">VAGO’s </w:t>
      </w:r>
      <w:r>
        <w:rPr>
          <w:color w:val="4D4D4F"/>
          <w:spacing w:val="-3"/>
          <w:w w:val="105"/>
        </w:rPr>
        <w:t>objective</w:t>
      </w:r>
      <w:r>
        <w:rPr>
          <w:color w:val="4D4D4F"/>
          <w:spacing w:val="-31"/>
          <w:w w:val="105"/>
        </w:rPr>
        <w:t xml:space="preserve"> </w:t>
      </w:r>
      <w:r>
        <w:rPr>
          <w:color w:val="4D4D4F"/>
          <w:spacing w:val="-2"/>
          <w:w w:val="105"/>
        </w:rPr>
        <w:t>was</w:t>
      </w:r>
      <w:r>
        <w:rPr>
          <w:color w:val="4D4D4F"/>
          <w:spacing w:val="-31"/>
          <w:w w:val="105"/>
        </w:rPr>
        <w:t xml:space="preserve"> </w:t>
      </w:r>
      <w:r>
        <w:rPr>
          <w:color w:val="4D4D4F"/>
          <w:spacing w:val="-3"/>
          <w:w w:val="105"/>
        </w:rPr>
        <w:t>to</w:t>
      </w:r>
      <w:r>
        <w:rPr>
          <w:color w:val="4D4D4F"/>
          <w:spacing w:val="-30"/>
          <w:w w:val="105"/>
        </w:rPr>
        <w:t xml:space="preserve"> </w:t>
      </w:r>
      <w:r>
        <w:rPr>
          <w:color w:val="4D4D4F"/>
          <w:spacing w:val="-4"/>
          <w:w w:val="105"/>
        </w:rPr>
        <w:t>determine</w:t>
      </w:r>
      <w:r>
        <w:rPr>
          <w:color w:val="4D4D4F"/>
          <w:spacing w:val="-31"/>
          <w:w w:val="105"/>
        </w:rPr>
        <w:t xml:space="preserve"> </w:t>
      </w:r>
      <w:r>
        <w:rPr>
          <w:color w:val="4D4D4F"/>
          <w:spacing w:val="-3"/>
          <w:w w:val="105"/>
        </w:rPr>
        <w:t>whether</w:t>
      </w:r>
      <w:r>
        <w:rPr>
          <w:color w:val="4D4D4F"/>
          <w:spacing w:val="-30"/>
          <w:w w:val="105"/>
        </w:rPr>
        <w:t xml:space="preserve"> </w:t>
      </w:r>
      <w:r>
        <w:rPr>
          <w:color w:val="4D4D4F"/>
          <w:spacing w:val="-3"/>
          <w:w w:val="105"/>
        </w:rPr>
        <w:t>the</w:t>
      </w:r>
      <w:r>
        <w:rPr>
          <w:color w:val="4D4D4F"/>
          <w:spacing w:val="-31"/>
          <w:w w:val="105"/>
        </w:rPr>
        <w:t xml:space="preserve"> </w:t>
      </w:r>
      <w:r>
        <w:rPr>
          <w:color w:val="4D4D4F"/>
          <w:spacing w:val="-4"/>
          <w:w w:val="105"/>
        </w:rPr>
        <w:t>management</w:t>
      </w:r>
      <w:r>
        <w:rPr>
          <w:color w:val="4D4D4F"/>
          <w:spacing w:val="-30"/>
          <w:w w:val="105"/>
        </w:rPr>
        <w:t xml:space="preserve"> </w:t>
      </w:r>
      <w:r>
        <w:rPr>
          <w:color w:val="4D4D4F"/>
          <w:w w:val="105"/>
        </w:rPr>
        <w:t>of</w:t>
      </w:r>
      <w:r>
        <w:rPr>
          <w:color w:val="4D4D4F"/>
          <w:spacing w:val="-31"/>
          <w:w w:val="105"/>
        </w:rPr>
        <w:t xml:space="preserve"> </w:t>
      </w:r>
      <w:r>
        <w:rPr>
          <w:color w:val="4D4D4F"/>
          <w:spacing w:val="-4"/>
          <w:w w:val="105"/>
        </w:rPr>
        <w:t>native</w:t>
      </w:r>
      <w:r>
        <w:rPr>
          <w:color w:val="4D4D4F"/>
          <w:spacing w:val="-30"/>
          <w:w w:val="105"/>
        </w:rPr>
        <w:t xml:space="preserve"> </w:t>
      </w:r>
      <w:r>
        <w:rPr>
          <w:color w:val="4D4D4F"/>
          <w:spacing w:val="-4"/>
          <w:w w:val="105"/>
        </w:rPr>
        <w:t>vegetation</w:t>
      </w:r>
      <w:r>
        <w:rPr>
          <w:color w:val="4D4D4F"/>
          <w:spacing w:val="-31"/>
          <w:w w:val="105"/>
        </w:rPr>
        <w:t xml:space="preserve"> </w:t>
      </w:r>
      <w:r>
        <w:rPr>
          <w:color w:val="4D4D4F"/>
          <w:spacing w:val="-4"/>
          <w:w w:val="105"/>
        </w:rPr>
        <w:t>clearing</w:t>
      </w:r>
      <w:r>
        <w:rPr>
          <w:color w:val="4D4D4F"/>
          <w:spacing w:val="-30"/>
          <w:w w:val="105"/>
        </w:rPr>
        <w:t xml:space="preserve"> </w:t>
      </w:r>
      <w:r>
        <w:rPr>
          <w:color w:val="4D4D4F"/>
          <w:spacing w:val="-2"/>
          <w:w w:val="105"/>
        </w:rPr>
        <w:t xml:space="preserve">was </w:t>
      </w:r>
      <w:r>
        <w:rPr>
          <w:color w:val="4D4D4F"/>
          <w:spacing w:val="-3"/>
          <w:w w:val="105"/>
        </w:rPr>
        <w:t>protecting</w:t>
      </w:r>
      <w:r>
        <w:rPr>
          <w:color w:val="4D4D4F"/>
          <w:spacing w:val="-27"/>
          <w:w w:val="105"/>
        </w:rPr>
        <w:t xml:space="preserve"> </w:t>
      </w:r>
      <w:r>
        <w:rPr>
          <w:color w:val="4D4D4F"/>
          <w:spacing w:val="-3"/>
          <w:w w:val="105"/>
        </w:rPr>
        <w:t>state</w:t>
      </w:r>
      <w:r>
        <w:rPr>
          <w:color w:val="4D4D4F"/>
          <w:spacing w:val="-27"/>
          <w:w w:val="105"/>
        </w:rPr>
        <w:t xml:space="preserve"> </w:t>
      </w:r>
      <w:r>
        <w:rPr>
          <w:color w:val="4D4D4F"/>
          <w:spacing w:val="-3"/>
          <w:w w:val="105"/>
        </w:rPr>
        <w:t>and</w:t>
      </w:r>
      <w:r>
        <w:rPr>
          <w:color w:val="4D4D4F"/>
          <w:spacing w:val="-27"/>
          <w:w w:val="105"/>
        </w:rPr>
        <w:t xml:space="preserve"> </w:t>
      </w:r>
      <w:r>
        <w:rPr>
          <w:color w:val="4D4D4F"/>
          <w:spacing w:val="-5"/>
          <w:w w:val="105"/>
        </w:rPr>
        <w:t>nationally</w:t>
      </w:r>
      <w:r>
        <w:rPr>
          <w:color w:val="4D4D4F"/>
          <w:spacing w:val="-27"/>
          <w:w w:val="105"/>
        </w:rPr>
        <w:t xml:space="preserve"> </w:t>
      </w:r>
      <w:r>
        <w:rPr>
          <w:color w:val="4D4D4F"/>
          <w:spacing w:val="-4"/>
          <w:w w:val="105"/>
        </w:rPr>
        <w:t>significant</w:t>
      </w:r>
      <w:r>
        <w:rPr>
          <w:color w:val="4D4D4F"/>
          <w:spacing w:val="-27"/>
          <w:w w:val="105"/>
        </w:rPr>
        <w:t xml:space="preserve"> </w:t>
      </w:r>
      <w:r>
        <w:rPr>
          <w:color w:val="4D4D4F"/>
          <w:spacing w:val="-4"/>
          <w:w w:val="105"/>
        </w:rPr>
        <w:t>native</w:t>
      </w:r>
      <w:r>
        <w:rPr>
          <w:color w:val="4D4D4F"/>
          <w:spacing w:val="-27"/>
          <w:w w:val="105"/>
        </w:rPr>
        <w:t xml:space="preserve"> </w:t>
      </w:r>
      <w:r>
        <w:rPr>
          <w:color w:val="4D4D4F"/>
          <w:spacing w:val="-4"/>
          <w:w w:val="105"/>
        </w:rPr>
        <w:t>vegetation</w:t>
      </w:r>
      <w:r>
        <w:rPr>
          <w:color w:val="4D4D4F"/>
          <w:spacing w:val="-27"/>
          <w:w w:val="105"/>
        </w:rPr>
        <w:t xml:space="preserve"> </w:t>
      </w:r>
      <w:r>
        <w:rPr>
          <w:color w:val="4D4D4F"/>
          <w:spacing w:val="-3"/>
          <w:w w:val="105"/>
        </w:rPr>
        <w:t>in</w:t>
      </w:r>
      <w:r>
        <w:rPr>
          <w:color w:val="4D4D4F"/>
          <w:spacing w:val="-27"/>
          <w:w w:val="105"/>
        </w:rPr>
        <w:t xml:space="preserve"> </w:t>
      </w:r>
      <w:r>
        <w:rPr>
          <w:color w:val="4D4D4F"/>
          <w:spacing w:val="-3"/>
          <w:w w:val="105"/>
        </w:rPr>
        <w:t>the</w:t>
      </w:r>
      <w:r>
        <w:rPr>
          <w:color w:val="4D4D4F"/>
          <w:spacing w:val="-27"/>
          <w:w w:val="105"/>
        </w:rPr>
        <w:t xml:space="preserve"> </w:t>
      </w:r>
      <w:r>
        <w:rPr>
          <w:color w:val="4D4D4F"/>
          <w:spacing w:val="-3"/>
          <w:w w:val="105"/>
        </w:rPr>
        <w:t>extended</w:t>
      </w:r>
      <w:r>
        <w:rPr>
          <w:color w:val="4D4D4F"/>
          <w:spacing w:val="-26"/>
          <w:w w:val="105"/>
        </w:rPr>
        <w:t xml:space="preserve"> </w:t>
      </w:r>
      <w:r>
        <w:rPr>
          <w:color w:val="4D4D4F"/>
          <w:spacing w:val="-3"/>
          <w:w w:val="105"/>
        </w:rPr>
        <w:t>UGB</w:t>
      </w:r>
      <w:r>
        <w:rPr>
          <w:color w:val="4D4D4F"/>
          <w:spacing w:val="-27"/>
          <w:w w:val="105"/>
        </w:rPr>
        <w:t xml:space="preserve"> </w:t>
      </w:r>
      <w:r>
        <w:rPr>
          <w:color w:val="4D4D4F"/>
          <w:spacing w:val="-3"/>
          <w:w w:val="105"/>
        </w:rPr>
        <w:t>areas.</w:t>
      </w:r>
    </w:p>
    <w:p w14:paraId="167D042D" w14:textId="77777777" w:rsidR="00EF5B27" w:rsidRDefault="00000000">
      <w:pPr>
        <w:pStyle w:val="BodyText"/>
        <w:spacing w:before="119"/>
        <w:ind w:left="2608"/>
      </w:pPr>
      <w:r>
        <w:rPr>
          <w:color w:val="4D4D4F"/>
        </w:rPr>
        <w:t>As part of the 2019 audit, VAGO assessed:</w:t>
      </w:r>
    </w:p>
    <w:p w14:paraId="5515EC6B" w14:textId="77777777" w:rsidR="00EF5B27" w:rsidRDefault="00000000">
      <w:pPr>
        <w:pStyle w:val="ListParagraph"/>
        <w:numPr>
          <w:ilvl w:val="0"/>
          <w:numId w:val="34"/>
        </w:numPr>
        <w:tabs>
          <w:tab w:val="left" w:pos="2779"/>
        </w:tabs>
        <w:spacing w:before="129" w:line="254" w:lineRule="auto"/>
        <w:ind w:right="357"/>
        <w:rPr>
          <w:sz w:val="20"/>
        </w:rPr>
      </w:pPr>
      <w:r>
        <w:rPr>
          <w:color w:val="4D4D4F"/>
          <w:w w:val="105"/>
          <w:sz w:val="20"/>
        </w:rPr>
        <w:t>progress</w:t>
      </w:r>
      <w:r>
        <w:rPr>
          <w:color w:val="4D4D4F"/>
          <w:spacing w:val="-18"/>
          <w:w w:val="105"/>
          <w:sz w:val="20"/>
        </w:rPr>
        <w:t xml:space="preserve"> </w:t>
      </w:r>
      <w:r>
        <w:rPr>
          <w:color w:val="4D4D4F"/>
          <w:w w:val="105"/>
          <w:sz w:val="20"/>
        </w:rPr>
        <w:t>made</w:t>
      </w:r>
      <w:r>
        <w:rPr>
          <w:color w:val="4D4D4F"/>
          <w:spacing w:val="-17"/>
          <w:w w:val="105"/>
          <w:sz w:val="20"/>
        </w:rPr>
        <w:t xml:space="preserve"> </w:t>
      </w:r>
      <w:r>
        <w:rPr>
          <w:color w:val="4D4D4F"/>
          <w:w w:val="105"/>
          <w:sz w:val="20"/>
        </w:rPr>
        <w:t>toward</w:t>
      </w:r>
      <w:r>
        <w:rPr>
          <w:color w:val="4D4D4F"/>
          <w:spacing w:val="-17"/>
          <w:w w:val="105"/>
          <w:sz w:val="20"/>
        </w:rPr>
        <w:t xml:space="preserve"> </w:t>
      </w:r>
      <w:r>
        <w:rPr>
          <w:color w:val="4D4D4F"/>
          <w:w w:val="105"/>
          <w:sz w:val="20"/>
        </w:rPr>
        <w:t>establishing</w:t>
      </w:r>
      <w:r>
        <w:rPr>
          <w:color w:val="4D4D4F"/>
          <w:spacing w:val="-17"/>
          <w:w w:val="105"/>
          <w:sz w:val="20"/>
        </w:rPr>
        <w:t xml:space="preserve"> </w:t>
      </w:r>
      <w:r>
        <w:rPr>
          <w:color w:val="4D4D4F"/>
          <w:w w:val="105"/>
          <w:sz w:val="20"/>
        </w:rPr>
        <w:t>the</w:t>
      </w:r>
      <w:r>
        <w:rPr>
          <w:color w:val="4D4D4F"/>
          <w:spacing w:val="-17"/>
          <w:w w:val="105"/>
          <w:sz w:val="20"/>
        </w:rPr>
        <w:t xml:space="preserve"> </w:t>
      </w:r>
      <w:r>
        <w:rPr>
          <w:color w:val="4D4D4F"/>
          <w:w w:val="105"/>
          <w:sz w:val="20"/>
        </w:rPr>
        <w:t>Natural</w:t>
      </w:r>
      <w:r>
        <w:rPr>
          <w:color w:val="4D4D4F"/>
          <w:spacing w:val="-18"/>
          <w:w w:val="105"/>
          <w:sz w:val="20"/>
        </w:rPr>
        <w:t xml:space="preserve"> </w:t>
      </w:r>
      <w:r>
        <w:rPr>
          <w:color w:val="4D4D4F"/>
          <w:w w:val="105"/>
          <w:sz w:val="20"/>
        </w:rPr>
        <w:t>Temperate</w:t>
      </w:r>
      <w:r>
        <w:rPr>
          <w:color w:val="4D4D4F"/>
          <w:spacing w:val="-17"/>
          <w:w w:val="105"/>
          <w:sz w:val="20"/>
        </w:rPr>
        <w:t xml:space="preserve"> </w:t>
      </w:r>
      <w:r>
        <w:rPr>
          <w:color w:val="4D4D4F"/>
          <w:w w:val="105"/>
          <w:sz w:val="20"/>
        </w:rPr>
        <w:t>Grassland</w:t>
      </w:r>
      <w:r>
        <w:rPr>
          <w:color w:val="4D4D4F"/>
          <w:spacing w:val="-17"/>
          <w:w w:val="105"/>
          <w:sz w:val="20"/>
        </w:rPr>
        <w:t xml:space="preserve"> </w:t>
      </w:r>
      <w:r>
        <w:rPr>
          <w:color w:val="4D4D4F"/>
          <w:w w:val="105"/>
          <w:sz w:val="20"/>
        </w:rPr>
        <w:t>and</w:t>
      </w:r>
      <w:r>
        <w:rPr>
          <w:color w:val="4D4D4F"/>
          <w:spacing w:val="-17"/>
          <w:w w:val="105"/>
          <w:sz w:val="20"/>
        </w:rPr>
        <w:t xml:space="preserve"> </w:t>
      </w:r>
      <w:r>
        <w:rPr>
          <w:color w:val="4D4D4F"/>
          <w:w w:val="105"/>
          <w:sz w:val="20"/>
        </w:rPr>
        <w:t>Grassy Eucalypt Woodland</w:t>
      </w:r>
      <w:r>
        <w:rPr>
          <w:color w:val="4D4D4F"/>
          <w:spacing w:val="1"/>
          <w:w w:val="105"/>
          <w:sz w:val="20"/>
        </w:rPr>
        <w:t xml:space="preserve"> </w:t>
      </w:r>
      <w:r>
        <w:rPr>
          <w:color w:val="4D4D4F"/>
          <w:w w:val="105"/>
          <w:sz w:val="20"/>
        </w:rPr>
        <w:t>reserves</w:t>
      </w:r>
    </w:p>
    <w:p w14:paraId="451B95F2" w14:textId="77777777" w:rsidR="00EF5B27" w:rsidRDefault="00000000">
      <w:pPr>
        <w:pStyle w:val="ListParagraph"/>
        <w:numPr>
          <w:ilvl w:val="0"/>
          <w:numId w:val="34"/>
        </w:numPr>
        <w:tabs>
          <w:tab w:val="left" w:pos="2779"/>
        </w:tabs>
        <w:spacing w:before="116" w:line="254" w:lineRule="auto"/>
        <w:ind w:right="259"/>
        <w:rPr>
          <w:sz w:val="20"/>
        </w:rPr>
      </w:pPr>
      <w:r>
        <w:rPr>
          <w:color w:val="4D4D4F"/>
          <w:sz w:val="20"/>
        </w:rPr>
        <w:t>monitoring, evaluation and reporting processes by DELWP and its predecessors to support the delivery of these</w:t>
      </w:r>
      <w:r>
        <w:rPr>
          <w:color w:val="4D4D4F"/>
          <w:spacing w:val="20"/>
          <w:sz w:val="20"/>
        </w:rPr>
        <w:t xml:space="preserve"> </w:t>
      </w:r>
      <w:r>
        <w:rPr>
          <w:color w:val="4D4D4F"/>
          <w:sz w:val="20"/>
        </w:rPr>
        <w:t>commitments</w:t>
      </w:r>
    </w:p>
    <w:p w14:paraId="4E542CEB" w14:textId="77777777" w:rsidR="00EF5B27" w:rsidRDefault="00000000">
      <w:pPr>
        <w:pStyle w:val="ListParagraph"/>
        <w:numPr>
          <w:ilvl w:val="0"/>
          <w:numId w:val="34"/>
        </w:numPr>
        <w:tabs>
          <w:tab w:val="left" w:pos="2779"/>
        </w:tabs>
        <w:spacing w:before="116"/>
        <w:rPr>
          <w:sz w:val="20"/>
        </w:rPr>
      </w:pPr>
      <w:r>
        <w:rPr>
          <w:color w:val="4D4D4F"/>
          <w:sz w:val="20"/>
        </w:rPr>
        <w:t>program governance and risk management</w:t>
      </w:r>
      <w:r>
        <w:rPr>
          <w:color w:val="4D4D4F"/>
          <w:spacing w:val="26"/>
          <w:sz w:val="20"/>
        </w:rPr>
        <w:t xml:space="preserve"> </w:t>
      </w:r>
      <w:r>
        <w:rPr>
          <w:color w:val="4D4D4F"/>
          <w:sz w:val="20"/>
        </w:rPr>
        <w:t>practices.</w:t>
      </w:r>
    </w:p>
    <w:p w14:paraId="0E4C2291" w14:textId="77777777" w:rsidR="00EF5B27" w:rsidRDefault="00000000">
      <w:pPr>
        <w:pStyle w:val="BodyText"/>
        <w:spacing w:before="129" w:line="254" w:lineRule="auto"/>
        <w:ind w:left="2608" w:right="151"/>
      </w:pPr>
      <w:r>
        <w:rPr>
          <w:color w:val="4D4D4F"/>
          <w:spacing w:val="-3"/>
        </w:rPr>
        <w:t xml:space="preserve">VAGO </w:t>
      </w:r>
      <w:r>
        <w:rPr>
          <w:color w:val="4D4D4F"/>
        </w:rPr>
        <w:t xml:space="preserve">made seven recommendations to the Department of Land, Water and Planning </w:t>
      </w:r>
      <w:r>
        <w:rPr>
          <w:color w:val="4D4D4F"/>
          <w:spacing w:val="-6"/>
        </w:rPr>
        <w:t xml:space="preserve">(DELWP) </w:t>
      </w:r>
      <w:r>
        <w:rPr>
          <w:color w:val="4D4D4F"/>
          <w:spacing w:val="-4"/>
        </w:rPr>
        <w:t xml:space="preserve">considering </w:t>
      </w:r>
      <w:r>
        <w:rPr>
          <w:color w:val="4D4D4F"/>
          <w:spacing w:val="-3"/>
        </w:rPr>
        <w:t xml:space="preserve">the </w:t>
      </w:r>
      <w:r>
        <w:rPr>
          <w:color w:val="4D4D4F"/>
          <w:spacing w:val="-5"/>
        </w:rPr>
        <w:t xml:space="preserve">audit’s </w:t>
      </w:r>
      <w:r>
        <w:rPr>
          <w:color w:val="4D4D4F"/>
          <w:spacing w:val="-4"/>
        </w:rPr>
        <w:t xml:space="preserve">findings </w:t>
      </w:r>
      <w:r>
        <w:rPr>
          <w:color w:val="4D4D4F"/>
          <w:spacing w:val="-3"/>
        </w:rPr>
        <w:t xml:space="preserve">and DELWP responded to each </w:t>
      </w:r>
      <w:r>
        <w:rPr>
          <w:color w:val="4D4D4F"/>
          <w:spacing w:val="-4"/>
        </w:rPr>
        <w:t xml:space="preserve">recommendation </w:t>
      </w:r>
      <w:r>
        <w:rPr>
          <w:color w:val="4D4D4F"/>
        </w:rPr>
        <w:t xml:space="preserve">with agreed actions toward </w:t>
      </w:r>
      <w:r>
        <w:rPr>
          <w:color w:val="4D4D4F"/>
          <w:spacing w:val="-3"/>
        </w:rPr>
        <w:t xml:space="preserve">improvements </w:t>
      </w:r>
      <w:r>
        <w:rPr>
          <w:color w:val="4D4D4F"/>
        </w:rPr>
        <w:t xml:space="preserve">to the MSA program. The CES acknowledges the significant research and analysis undertaken by </w:t>
      </w:r>
      <w:r>
        <w:rPr>
          <w:color w:val="4D4D4F"/>
          <w:spacing w:val="-3"/>
        </w:rPr>
        <w:t xml:space="preserve">VAGO </w:t>
      </w:r>
      <w:r>
        <w:rPr>
          <w:color w:val="4D4D4F"/>
        </w:rPr>
        <w:t>and others in recent years and references this work where relevant.</w:t>
      </w:r>
    </w:p>
    <w:p w14:paraId="19D6DD6F" w14:textId="77777777" w:rsidR="00EF5B27" w:rsidRDefault="00EF5B27">
      <w:pPr>
        <w:pStyle w:val="BodyText"/>
      </w:pPr>
    </w:p>
    <w:p w14:paraId="62F9AD1C" w14:textId="77777777" w:rsidR="00EF5B27" w:rsidRDefault="00000000">
      <w:pPr>
        <w:pStyle w:val="BodyText"/>
        <w:rPr>
          <w:sz w:val="15"/>
        </w:rPr>
      </w:pPr>
      <w:r>
        <w:pict w14:anchorId="3542725B">
          <v:line id="_x0000_s2352" style="position:absolute;z-index:251751936;mso-wrap-distance-left:0;mso-wrap-distance-right:0;mso-position-horizontal-relative:page" from="181.4pt,11.4pt" to="538.6pt,11.4pt" strokecolor="#4d4d4f" strokeweight=".5pt">
            <w10:wrap type="topAndBottom" anchorx="page"/>
          </v:line>
        </w:pict>
      </w:r>
    </w:p>
    <w:p w14:paraId="1F72F772" w14:textId="77777777" w:rsidR="00EF5B27" w:rsidRDefault="00000000">
      <w:pPr>
        <w:pStyle w:val="ListParagraph"/>
        <w:numPr>
          <w:ilvl w:val="0"/>
          <w:numId w:val="19"/>
        </w:numPr>
        <w:tabs>
          <w:tab w:val="left" w:pos="2836"/>
        </w:tabs>
        <w:spacing w:before="83" w:line="143" w:lineRule="exact"/>
        <w:rPr>
          <w:sz w:val="12"/>
        </w:rPr>
      </w:pPr>
      <w:r>
        <w:rPr>
          <w:color w:val="4D4D4F"/>
          <w:sz w:val="12"/>
        </w:rPr>
        <w:t>DELWP Officer, personal communication, 8 September</w:t>
      </w:r>
      <w:r>
        <w:rPr>
          <w:color w:val="4D4D4F"/>
          <w:spacing w:val="14"/>
          <w:sz w:val="12"/>
        </w:rPr>
        <w:t xml:space="preserve"> </w:t>
      </w:r>
      <w:r>
        <w:rPr>
          <w:color w:val="4D4D4F"/>
          <w:sz w:val="12"/>
        </w:rPr>
        <w:t>2021.</w:t>
      </w:r>
    </w:p>
    <w:p w14:paraId="188B95F3" w14:textId="77777777" w:rsidR="00EF5B27" w:rsidRDefault="00000000">
      <w:pPr>
        <w:pStyle w:val="ListParagraph"/>
        <w:numPr>
          <w:ilvl w:val="0"/>
          <w:numId w:val="19"/>
        </w:numPr>
        <w:tabs>
          <w:tab w:val="left" w:pos="2836"/>
        </w:tabs>
        <w:spacing w:before="2" w:line="230" w:lineRule="auto"/>
        <w:ind w:right="112"/>
        <w:rPr>
          <w:sz w:val="12"/>
        </w:rPr>
      </w:pPr>
      <w:r>
        <w:rPr>
          <w:color w:val="4D4D4F"/>
          <w:sz w:val="12"/>
        </w:rPr>
        <w:t xml:space="preserve">Commonwealth Government of Australia, </w:t>
      </w:r>
      <w:r>
        <w:rPr>
          <w:color w:val="4D4D4F"/>
          <w:spacing w:val="2"/>
          <w:sz w:val="12"/>
        </w:rPr>
        <w:t xml:space="preserve">The </w:t>
      </w:r>
      <w:r>
        <w:rPr>
          <w:color w:val="4D4D4F"/>
          <w:sz w:val="12"/>
        </w:rPr>
        <w:t xml:space="preserve">Senate, Environment and Communications References Committee, 2014, ‘Inquiry into Environmental offsets: Report’, </w:t>
      </w:r>
      <w:r>
        <w:rPr>
          <w:color w:val="4D4D4F"/>
          <w:spacing w:val="2"/>
          <w:sz w:val="12"/>
        </w:rPr>
        <w:t>Canberra,</w:t>
      </w:r>
      <w:r>
        <w:rPr>
          <w:color w:val="4D4D4F"/>
          <w:spacing w:val="9"/>
          <w:sz w:val="12"/>
        </w:rPr>
        <w:t xml:space="preserve"> </w:t>
      </w:r>
      <w:r>
        <w:rPr>
          <w:color w:val="4D4D4F"/>
          <w:sz w:val="12"/>
        </w:rPr>
        <w:t>Australia.</w:t>
      </w:r>
    </w:p>
    <w:p w14:paraId="3E045455" w14:textId="77777777" w:rsidR="00EF5B27" w:rsidRDefault="00000000">
      <w:pPr>
        <w:pStyle w:val="ListParagraph"/>
        <w:numPr>
          <w:ilvl w:val="0"/>
          <w:numId w:val="19"/>
        </w:numPr>
        <w:tabs>
          <w:tab w:val="left" w:pos="2836"/>
        </w:tabs>
        <w:spacing w:line="138" w:lineRule="exact"/>
        <w:rPr>
          <w:sz w:val="12"/>
        </w:rPr>
      </w:pPr>
      <w:r>
        <w:rPr>
          <w:color w:val="4D4D4F"/>
          <w:sz w:val="12"/>
        </w:rPr>
        <w:t>Victorian</w:t>
      </w:r>
      <w:r>
        <w:rPr>
          <w:color w:val="4D4D4F"/>
          <w:spacing w:val="-11"/>
          <w:sz w:val="12"/>
        </w:rPr>
        <w:t xml:space="preserve"> </w:t>
      </w:r>
      <w:r>
        <w:rPr>
          <w:color w:val="4D4D4F"/>
          <w:sz w:val="12"/>
        </w:rPr>
        <w:t>Auditor‐General’s</w:t>
      </w:r>
      <w:r>
        <w:rPr>
          <w:color w:val="4D4D4F"/>
          <w:spacing w:val="-11"/>
          <w:sz w:val="12"/>
        </w:rPr>
        <w:t xml:space="preserve"> </w:t>
      </w:r>
      <w:r>
        <w:rPr>
          <w:color w:val="4D4D4F"/>
          <w:sz w:val="12"/>
        </w:rPr>
        <w:t>Office</w:t>
      </w:r>
      <w:r>
        <w:rPr>
          <w:color w:val="4D4D4F"/>
          <w:spacing w:val="-11"/>
          <w:sz w:val="12"/>
        </w:rPr>
        <w:t xml:space="preserve"> </w:t>
      </w:r>
      <w:r>
        <w:rPr>
          <w:color w:val="4D4D4F"/>
          <w:sz w:val="12"/>
        </w:rPr>
        <w:t>2020,</w:t>
      </w:r>
      <w:r>
        <w:rPr>
          <w:color w:val="4D4D4F"/>
          <w:spacing w:val="-11"/>
          <w:sz w:val="12"/>
        </w:rPr>
        <w:t xml:space="preserve"> </w:t>
      </w:r>
      <w:r>
        <w:rPr>
          <w:color w:val="4D4D4F"/>
          <w:sz w:val="12"/>
        </w:rPr>
        <w:t>‘Protecting</w:t>
      </w:r>
      <w:r>
        <w:rPr>
          <w:color w:val="4D4D4F"/>
          <w:spacing w:val="-11"/>
          <w:sz w:val="12"/>
        </w:rPr>
        <w:t xml:space="preserve"> </w:t>
      </w:r>
      <w:r>
        <w:rPr>
          <w:color w:val="4D4D4F"/>
          <w:sz w:val="12"/>
        </w:rPr>
        <w:t>Critically</w:t>
      </w:r>
      <w:r>
        <w:rPr>
          <w:color w:val="4D4D4F"/>
          <w:spacing w:val="-11"/>
          <w:sz w:val="12"/>
        </w:rPr>
        <w:t xml:space="preserve"> </w:t>
      </w:r>
      <w:r>
        <w:rPr>
          <w:color w:val="4D4D4F"/>
          <w:sz w:val="12"/>
        </w:rPr>
        <w:t>Endangered</w:t>
      </w:r>
      <w:r>
        <w:rPr>
          <w:color w:val="4D4D4F"/>
          <w:spacing w:val="-11"/>
          <w:sz w:val="12"/>
        </w:rPr>
        <w:t xml:space="preserve"> </w:t>
      </w:r>
      <w:r>
        <w:rPr>
          <w:color w:val="4D4D4F"/>
          <w:sz w:val="12"/>
        </w:rPr>
        <w:t>Grasslands’,</w:t>
      </w:r>
      <w:r>
        <w:rPr>
          <w:color w:val="4D4D4F"/>
          <w:spacing w:val="-11"/>
          <w:sz w:val="12"/>
        </w:rPr>
        <w:t xml:space="preserve"> </w:t>
      </w:r>
      <w:r>
        <w:rPr>
          <w:color w:val="4D4D4F"/>
          <w:sz w:val="12"/>
        </w:rPr>
        <w:t>Independent</w:t>
      </w:r>
      <w:r>
        <w:rPr>
          <w:color w:val="4D4D4F"/>
          <w:spacing w:val="-11"/>
          <w:sz w:val="12"/>
        </w:rPr>
        <w:t xml:space="preserve"> </w:t>
      </w:r>
      <w:r>
        <w:rPr>
          <w:color w:val="4D4D4F"/>
          <w:sz w:val="12"/>
        </w:rPr>
        <w:t>assurance</w:t>
      </w:r>
      <w:r>
        <w:rPr>
          <w:color w:val="4D4D4F"/>
          <w:spacing w:val="-11"/>
          <w:sz w:val="12"/>
        </w:rPr>
        <w:t xml:space="preserve"> </w:t>
      </w:r>
      <w:r>
        <w:rPr>
          <w:color w:val="4D4D4F"/>
          <w:sz w:val="12"/>
        </w:rPr>
        <w:t>report</w:t>
      </w:r>
      <w:r>
        <w:rPr>
          <w:color w:val="4D4D4F"/>
          <w:spacing w:val="-11"/>
          <w:sz w:val="12"/>
        </w:rPr>
        <w:t xml:space="preserve"> </w:t>
      </w:r>
      <w:r>
        <w:rPr>
          <w:color w:val="4D4D4F"/>
          <w:sz w:val="12"/>
        </w:rPr>
        <w:t>to</w:t>
      </w:r>
      <w:r>
        <w:rPr>
          <w:color w:val="4D4D4F"/>
          <w:spacing w:val="-11"/>
          <w:sz w:val="12"/>
        </w:rPr>
        <w:t xml:space="preserve"> </w:t>
      </w:r>
      <w:r>
        <w:rPr>
          <w:color w:val="4D4D4F"/>
          <w:sz w:val="12"/>
        </w:rPr>
        <w:t>Parliament</w:t>
      </w:r>
      <w:r>
        <w:rPr>
          <w:color w:val="4D4D4F"/>
          <w:spacing w:val="-11"/>
          <w:sz w:val="12"/>
        </w:rPr>
        <w:t xml:space="preserve"> </w:t>
      </w:r>
      <w:r>
        <w:rPr>
          <w:color w:val="4D4D4F"/>
          <w:sz w:val="12"/>
        </w:rPr>
        <w:t>2019–20:</w:t>
      </w:r>
      <w:r>
        <w:rPr>
          <w:color w:val="4D4D4F"/>
          <w:spacing w:val="-18"/>
          <w:sz w:val="12"/>
        </w:rPr>
        <w:t xml:space="preserve"> </w:t>
      </w:r>
      <w:r>
        <w:rPr>
          <w:color w:val="4D4D4F"/>
          <w:spacing w:val="-3"/>
          <w:sz w:val="12"/>
        </w:rPr>
        <w:t>16.</w:t>
      </w:r>
    </w:p>
    <w:p w14:paraId="47241E8A" w14:textId="77777777" w:rsidR="00EF5B27" w:rsidRDefault="00000000">
      <w:pPr>
        <w:pStyle w:val="ListParagraph"/>
        <w:numPr>
          <w:ilvl w:val="0"/>
          <w:numId w:val="19"/>
        </w:numPr>
        <w:tabs>
          <w:tab w:val="left" w:pos="2836"/>
        </w:tabs>
        <w:spacing w:before="1" w:line="230" w:lineRule="auto"/>
        <w:ind w:right="111"/>
        <w:rPr>
          <w:sz w:val="12"/>
        </w:rPr>
      </w:pPr>
      <w:r>
        <w:rPr>
          <w:color w:val="4D4D4F"/>
          <w:sz w:val="12"/>
        </w:rPr>
        <w:t xml:space="preserve">Commonwealth Government of Australia, Department of Environment </w:t>
      </w:r>
      <w:r>
        <w:rPr>
          <w:color w:val="4D4D4F"/>
          <w:spacing w:val="2"/>
          <w:sz w:val="12"/>
        </w:rPr>
        <w:t xml:space="preserve">2020, </w:t>
      </w:r>
      <w:r>
        <w:rPr>
          <w:color w:val="4D4D4F"/>
          <w:sz w:val="12"/>
        </w:rPr>
        <w:t xml:space="preserve">‘Final </w:t>
      </w:r>
      <w:r>
        <w:rPr>
          <w:color w:val="4D4D4F"/>
          <w:spacing w:val="2"/>
          <w:sz w:val="12"/>
        </w:rPr>
        <w:t xml:space="preserve">Report </w:t>
      </w:r>
      <w:r>
        <w:rPr>
          <w:color w:val="4D4D4F"/>
          <w:sz w:val="12"/>
        </w:rPr>
        <w:t xml:space="preserve">of the Independent Review of the Environment Protection and Biodiversity </w:t>
      </w:r>
      <w:r>
        <w:rPr>
          <w:color w:val="4D4D4F"/>
          <w:spacing w:val="2"/>
          <w:sz w:val="12"/>
        </w:rPr>
        <w:t xml:space="preserve">Conservation Act </w:t>
      </w:r>
      <w:r>
        <w:rPr>
          <w:color w:val="4D4D4F"/>
          <w:sz w:val="12"/>
        </w:rPr>
        <w:t xml:space="preserve">1999 (EPBC Act)’, </w:t>
      </w:r>
      <w:r>
        <w:rPr>
          <w:color w:val="4D4D4F"/>
          <w:spacing w:val="2"/>
          <w:sz w:val="12"/>
        </w:rPr>
        <w:t>Canberra,</w:t>
      </w:r>
      <w:r>
        <w:rPr>
          <w:color w:val="4D4D4F"/>
          <w:spacing w:val="23"/>
          <w:sz w:val="12"/>
        </w:rPr>
        <w:t xml:space="preserve"> </w:t>
      </w:r>
      <w:r>
        <w:rPr>
          <w:color w:val="4D4D4F"/>
          <w:sz w:val="12"/>
        </w:rPr>
        <w:t>Australia.</w:t>
      </w:r>
    </w:p>
    <w:p w14:paraId="4FB46FEB" w14:textId="77777777" w:rsidR="00EF5B27" w:rsidRDefault="00000000">
      <w:pPr>
        <w:pStyle w:val="ListParagraph"/>
        <w:numPr>
          <w:ilvl w:val="0"/>
          <w:numId w:val="19"/>
        </w:numPr>
        <w:tabs>
          <w:tab w:val="left" w:pos="2836"/>
        </w:tabs>
        <w:spacing w:line="230" w:lineRule="auto"/>
        <w:ind w:right="111"/>
        <w:rPr>
          <w:sz w:val="12"/>
        </w:rPr>
      </w:pPr>
      <w:r>
        <w:rPr>
          <w:color w:val="4D4D4F"/>
          <w:sz w:val="12"/>
        </w:rPr>
        <w:t>Parliament of Victoria, Legislative Council, Environment and Planning Committee 2021, ‘Inquiry into ecosystem decline in Victoria’, Melbourne,</w:t>
      </w:r>
      <w:r>
        <w:rPr>
          <w:color w:val="4D4D4F"/>
          <w:spacing w:val="2"/>
          <w:sz w:val="12"/>
        </w:rPr>
        <w:t xml:space="preserve"> </w:t>
      </w:r>
      <w:r>
        <w:rPr>
          <w:color w:val="4D4D4F"/>
          <w:sz w:val="12"/>
        </w:rPr>
        <w:t>Australia.</w:t>
      </w:r>
    </w:p>
    <w:p w14:paraId="583677C4" w14:textId="77777777" w:rsidR="00EF5B27" w:rsidRDefault="00000000">
      <w:pPr>
        <w:pStyle w:val="ListParagraph"/>
        <w:numPr>
          <w:ilvl w:val="0"/>
          <w:numId w:val="19"/>
        </w:numPr>
        <w:tabs>
          <w:tab w:val="left" w:pos="2836"/>
        </w:tabs>
        <w:spacing w:line="141" w:lineRule="exact"/>
        <w:rPr>
          <w:sz w:val="12"/>
        </w:rPr>
      </w:pPr>
      <w:r>
        <w:rPr>
          <w:color w:val="4D4D4F"/>
          <w:sz w:val="12"/>
        </w:rPr>
        <w:t xml:space="preserve">VAGO 2021, ‘Protecting Victoria's Biodiversity’, Independent assurance </w:t>
      </w:r>
      <w:r>
        <w:rPr>
          <w:color w:val="4D4D4F"/>
          <w:spacing w:val="2"/>
          <w:sz w:val="12"/>
        </w:rPr>
        <w:t xml:space="preserve">report </w:t>
      </w:r>
      <w:r>
        <w:rPr>
          <w:color w:val="4D4D4F"/>
          <w:sz w:val="12"/>
        </w:rPr>
        <w:t>to Parliament</w:t>
      </w:r>
      <w:r>
        <w:rPr>
          <w:color w:val="4D4D4F"/>
          <w:spacing w:val="2"/>
          <w:sz w:val="12"/>
        </w:rPr>
        <w:t xml:space="preserve"> </w:t>
      </w:r>
      <w:r>
        <w:rPr>
          <w:color w:val="4D4D4F"/>
          <w:sz w:val="12"/>
        </w:rPr>
        <w:t>2021–22:07.</w:t>
      </w:r>
    </w:p>
    <w:p w14:paraId="3C9D7B89" w14:textId="77777777" w:rsidR="00EF5B27" w:rsidRDefault="00EF5B27">
      <w:pPr>
        <w:spacing w:line="141" w:lineRule="exact"/>
        <w:rPr>
          <w:sz w:val="12"/>
        </w:rPr>
        <w:sectPr w:rsidR="00EF5B27">
          <w:pgSz w:w="11910" w:h="16840"/>
          <w:pgMar w:top="1080" w:right="1020" w:bottom="860" w:left="1020" w:header="537" w:footer="678" w:gutter="0"/>
          <w:cols w:space="720"/>
        </w:sectPr>
      </w:pPr>
    </w:p>
    <w:p w14:paraId="00990EBD" w14:textId="77777777" w:rsidR="00EF5B27" w:rsidRDefault="00000000">
      <w:pPr>
        <w:pStyle w:val="BodyText"/>
      </w:pPr>
      <w:r>
        <w:lastRenderedPageBreak/>
        <w:pict w14:anchorId="5129D67D">
          <v:group id="_x0000_s2344" style="position:absolute;margin-left:587.05pt;margin-top:183.4pt;width:8.25pt;height:153.1pt;z-index:251786752;mso-position-horizontal-relative:page;mso-position-vertical-relative:page" coordorigin="11741,3668" coordsize="165,3062">
            <v:shape id="_x0000_s2351" style="position:absolute;left:11741;top:3668;width:165;height:561" coordorigin="11741,3668" coordsize="165,561" path="m11906,3668r-165,l11741,4228r165,-18l11906,3668xe" fillcolor="#00aed9" stroked="f">
              <v:path arrowok="t"/>
            </v:shape>
            <v:shape id="_x0000_s2350" style="position:absolute;left:11741;top:4118;width:165;height:425" coordorigin="11741,4118" coordsize="165,425" path="m11906,4118r-165,14l11741,4531r165,12l11906,4118xe" fillcolor="#047ebc" stroked="f">
              <v:path arrowok="t"/>
            </v:shape>
            <v:shape id="_x0000_s2349" type="#_x0000_t75" style="position:absolute;left:11741;top:4355;width:165;height:587">
              <v:imagedata r:id="rId42" o:title=""/>
            </v:shape>
            <v:shape id="_x0000_s2348" style="position:absolute;left:11741;top:5343;width:165;height:536" coordorigin="11741,5343" coordsize="165,536" path="m11741,5343r,535l11906,5872r,-525l11741,5343xe" fillcolor="#f36a2e" stroked="f">
              <v:path arrowok="t"/>
            </v:shape>
            <v:shape id="_x0000_s2347" style="position:absolute;left:11741;top:4925;width:165;height:501" coordorigin="11741,4926" coordsize="165,501" path="m11741,4926r,500l11906,5426r,-485l11741,4926xe" fillcolor="#49783f" stroked="f">
              <v:path arrowok="t"/>
            </v:shape>
            <v:shape id="_x0000_s2346" style="position:absolute;left:11741;top:5781;width:165;height:268" coordorigin="11741,5782" coordsize="165,268" path="m11906,5782r-165,8l11741,6039r165,10l11906,5782xe" fillcolor="#f99f2a" stroked="f">
              <v:path arrowok="t"/>
            </v:shape>
            <v:shape id="_x0000_s2345" style="position:absolute;left:11741;top:6023;width:165;height:707" coordorigin="11741,6023" coordsize="165,707" path="m11741,6023r,706l11906,6729r,-690l11741,6023xe" fillcolor="#ef412c" stroked="f">
              <v:path arrowok="t"/>
            </v:shape>
            <w10:wrap anchorx="page" anchory="page"/>
          </v:group>
        </w:pict>
      </w:r>
    </w:p>
    <w:p w14:paraId="0AD72595" w14:textId="77777777" w:rsidR="00EF5B27" w:rsidRDefault="00EF5B27">
      <w:pPr>
        <w:pStyle w:val="BodyText"/>
      </w:pPr>
    </w:p>
    <w:p w14:paraId="7AC96C17" w14:textId="77777777" w:rsidR="00EF5B27" w:rsidRDefault="00EF5B27">
      <w:pPr>
        <w:pStyle w:val="BodyText"/>
      </w:pPr>
    </w:p>
    <w:p w14:paraId="1C44A515" w14:textId="77777777" w:rsidR="00EF5B27" w:rsidRDefault="00EF5B27">
      <w:pPr>
        <w:pStyle w:val="BodyText"/>
        <w:spacing w:before="12"/>
        <w:rPr>
          <w:sz w:val="22"/>
        </w:rPr>
      </w:pPr>
    </w:p>
    <w:p w14:paraId="107DD619" w14:textId="77777777" w:rsidR="00EF5B27" w:rsidRDefault="00000000">
      <w:pPr>
        <w:pStyle w:val="Heading3"/>
        <w:spacing w:before="115"/>
      </w:pPr>
      <w:r>
        <w:rPr>
          <w:color w:val="F99F2A"/>
        </w:rPr>
        <w:t xml:space="preserve">The </w:t>
      </w:r>
      <w:r>
        <w:rPr>
          <w:color w:val="F99F2A"/>
          <w:spacing w:val="-3"/>
        </w:rPr>
        <w:t xml:space="preserve">MSA </w:t>
      </w:r>
      <w:r>
        <w:rPr>
          <w:color w:val="F99F2A"/>
        </w:rPr>
        <w:t xml:space="preserve">Act </w:t>
      </w:r>
      <w:r>
        <w:rPr>
          <w:color w:val="F99F2A"/>
          <w:spacing w:val="-4"/>
        </w:rPr>
        <w:t xml:space="preserve">and the role </w:t>
      </w:r>
      <w:r>
        <w:rPr>
          <w:color w:val="F99F2A"/>
        </w:rPr>
        <w:t xml:space="preserve">of </w:t>
      </w:r>
      <w:r>
        <w:rPr>
          <w:color w:val="F99F2A"/>
          <w:spacing w:val="-4"/>
        </w:rPr>
        <w:t xml:space="preserve">the </w:t>
      </w:r>
      <w:r>
        <w:rPr>
          <w:color w:val="F99F2A"/>
          <w:spacing w:val="-6"/>
        </w:rPr>
        <w:t xml:space="preserve">Commissioner </w:t>
      </w:r>
      <w:r>
        <w:rPr>
          <w:color w:val="F99F2A"/>
          <w:spacing w:val="-3"/>
        </w:rPr>
        <w:t xml:space="preserve">for </w:t>
      </w:r>
      <w:r>
        <w:rPr>
          <w:color w:val="F99F2A"/>
          <w:spacing w:val="-5"/>
        </w:rPr>
        <w:t xml:space="preserve">Environmental </w:t>
      </w:r>
      <w:r>
        <w:rPr>
          <w:color w:val="F99F2A"/>
          <w:spacing w:val="-6"/>
        </w:rPr>
        <w:t>Sustainability</w:t>
      </w:r>
    </w:p>
    <w:p w14:paraId="468B2ACA" w14:textId="77777777" w:rsidR="00EF5B27" w:rsidRDefault="00000000">
      <w:pPr>
        <w:pStyle w:val="BodyText"/>
        <w:spacing w:before="220" w:line="254" w:lineRule="auto"/>
        <w:ind w:left="2608" w:right="240"/>
      </w:pPr>
      <w:r>
        <w:rPr>
          <w:color w:val="4D4D4F"/>
          <w:w w:val="105"/>
        </w:rPr>
        <w:t xml:space="preserve">The </w:t>
      </w:r>
      <w:r>
        <w:rPr>
          <w:rFonts w:ascii="Arial Narrow"/>
          <w:i/>
          <w:color w:val="4D4D4F"/>
          <w:w w:val="105"/>
        </w:rPr>
        <w:t xml:space="preserve">Melbourne </w:t>
      </w:r>
      <w:r>
        <w:rPr>
          <w:rFonts w:ascii="Arial Narrow"/>
          <w:i/>
          <w:color w:val="4D4D4F"/>
          <w:spacing w:val="-3"/>
          <w:w w:val="105"/>
        </w:rPr>
        <w:t xml:space="preserve">Strategic </w:t>
      </w:r>
      <w:r>
        <w:rPr>
          <w:rFonts w:ascii="Arial Narrow"/>
          <w:i/>
          <w:color w:val="4D4D4F"/>
          <w:w w:val="105"/>
        </w:rPr>
        <w:t xml:space="preserve">Assessment </w:t>
      </w:r>
      <w:r>
        <w:rPr>
          <w:rFonts w:ascii="Arial Narrow"/>
          <w:i/>
          <w:color w:val="4D4D4F"/>
          <w:spacing w:val="-3"/>
          <w:w w:val="105"/>
        </w:rPr>
        <w:t xml:space="preserve">(Environment Levy  </w:t>
      </w:r>
      <w:r>
        <w:rPr>
          <w:rFonts w:ascii="Arial Narrow"/>
          <w:i/>
          <w:color w:val="4D4D4F"/>
          <w:spacing w:val="-4"/>
          <w:w w:val="105"/>
        </w:rPr>
        <w:t xml:space="preserve">Mitigation)  </w:t>
      </w:r>
      <w:r>
        <w:rPr>
          <w:rFonts w:ascii="Arial Narrow"/>
          <w:i/>
          <w:color w:val="4D4D4F"/>
          <w:w w:val="105"/>
        </w:rPr>
        <w:t xml:space="preserve">Act  2020 </w:t>
      </w:r>
      <w:r>
        <w:rPr>
          <w:color w:val="4D4D4F"/>
          <w:spacing w:val="2"/>
          <w:w w:val="105"/>
          <w:position w:val="7"/>
          <w:sz w:val="11"/>
        </w:rPr>
        <w:t xml:space="preserve">306  </w:t>
      </w:r>
      <w:r>
        <w:rPr>
          <w:color w:val="4D4D4F"/>
          <w:w w:val="105"/>
        </w:rPr>
        <w:t>(MSA Act) took effect in July 2020 and establishes a new Victorian legislative framework for</w:t>
      </w:r>
      <w:r>
        <w:rPr>
          <w:color w:val="4D4D4F"/>
          <w:spacing w:val="-12"/>
          <w:w w:val="105"/>
        </w:rPr>
        <w:t xml:space="preserve"> </w:t>
      </w:r>
      <w:r>
        <w:rPr>
          <w:color w:val="4D4D4F"/>
          <w:w w:val="105"/>
        </w:rPr>
        <w:t>the</w:t>
      </w:r>
      <w:r>
        <w:rPr>
          <w:color w:val="4D4D4F"/>
          <w:spacing w:val="-11"/>
          <w:w w:val="105"/>
        </w:rPr>
        <w:t xml:space="preserve"> </w:t>
      </w:r>
      <w:r>
        <w:rPr>
          <w:color w:val="4D4D4F"/>
          <w:w w:val="105"/>
        </w:rPr>
        <w:t>existing</w:t>
      </w:r>
      <w:r>
        <w:rPr>
          <w:color w:val="4D4D4F"/>
          <w:spacing w:val="-12"/>
          <w:w w:val="105"/>
        </w:rPr>
        <w:t xml:space="preserve"> </w:t>
      </w:r>
      <w:r>
        <w:rPr>
          <w:color w:val="4D4D4F"/>
          <w:w w:val="105"/>
        </w:rPr>
        <w:t>MSA</w:t>
      </w:r>
      <w:r>
        <w:rPr>
          <w:color w:val="4D4D4F"/>
          <w:spacing w:val="-11"/>
          <w:w w:val="105"/>
        </w:rPr>
        <w:t xml:space="preserve"> </w:t>
      </w:r>
      <w:r>
        <w:rPr>
          <w:color w:val="4D4D4F"/>
          <w:w w:val="105"/>
        </w:rPr>
        <w:t>program.</w:t>
      </w:r>
      <w:r>
        <w:rPr>
          <w:color w:val="4D4D4F"/>
          <w:spacing w:val="-12"/>
          <w:w w:val="105"/>
        </w:rPr>
        <w:t xml:space="preserve"> </w:t>
      </w:r>
      <w:r>
        <w:rPr>
          <w:color w:val="4D4D4F"/>
          <w:w w:val="105"/>
        </w:rPr>
        <w:t>The</w:t>
      </w:r>
      <w:r>
        <w:rPr>
          <w:color w:val="4D4D4F"/>
          <w:spacing w:val="-11"/>
          <w:w w:val="105"/>
        </w:rPr>
        <w:t xml:space="preserve"> </w:t>
      </w:r>
      <w:r>
        <w:rPr>
          <w:color w:val="4D4D4F"/>
          <w:w w:val="105"/>
        </w:rPr>
        <w:t>Act</w:t>
      </w:r>
      <w:r>
        <w:rPr>
          <w:color w:val="4D4D4F"/>
          <w:spacing w:val="-12"/>
          <w:w w:val="105"/>
        </w:rPr>
        <w:t xml:space="preserve"> </w:t>
      </w:r>
      <w:r>
        <w:rPr>
          <w:color w:val="4D4D4F"/>
          <w:w w:val="105"/>
        </w:rPr>
        <w:t>imposes</w:t>
      </w:r>
      <w:r>
        <w:rPr>
          <w:color w:val="4D4D4F"/>
          <w:spacing w:val="-11"/>
          <w:w w:val="105"/>
        </w:rPr>
        <w:t xml:space="preserve"> </w:t>
      </w:r>
      <w:r>
        <w:rPr>
          <w:color w:val="4D4D4F"/>
          <w:w w:val="105"/>
        </w:rPr>
        <w:t>a</w:t>
      </w:r>
      <w:r>
        <w:rPr>
          <w:color w:val="4D4D4F"/>
          <w:spacing w:val="-12"/>
          <w:w w:val="105"/>
        </w:rPr>
        <w:t xml:space="preserve"> </w:t>
      </w:r>
      <w:r>
        <w:rPr>
          <w:color w:val="4D4D4F"/>
          <w:w w:val="105"/>
        </w:rPr>
        <w:t>levy</w:t>
      </w:r>
      <w:r>
        <w:rPr>
          <w:color w:val="4D4D4F"/>
          <w:spacing w:val="-11"/>
          <w:w w:val="105"/>
        </w:rPr>
        <w:t xml:space="preserve"> </w:t>
      </w:r>
      <w:r>
        <w:rPr>
          <w:color w:val="4D4D4F"/>
          <w:w w:val="105"/>
        </w:rPr>
        <w:t>to</w:t>
      </w:r>
      <w:r>
        <w:rPr>
          <w:color w:val="4D4D4F"/>
          <w:spacing w:val="-11"/>
          <w:w w:val="105"/>
        </w:rPr>
        <w:t xml:space="preserve"> </w:t>
      </w:r>
      <w:r>
        <w:rPr>
          <w:color w:val="4D4D4F"/>
          <w:w w:val="105"/>
        </w:rPr>
        <w:t>fund</w:t>
      </w:r>
      <w:r>
        <w:rPr>
          <w:color w:val="4D4D4F"/>
          <w:spacing w:val="-12"/>
          <w:w w:val="105"/>
        </w:rPr>
        <w:t xml:space="preserve"> </w:t>
      </w:r>
      <w:r>
        <w:rPr>
          <w:color w:val="4D4D4F"/>
          <w:w w:val="105"/>
        </w:rPr>
        <w:t>regulatory</w:t>
      </w:r>
      <w:r>
        <w:rPr>
          <w:color w:val="4D4D4F"/>
          <w:spacing w:val="-11"/>
          <w:w w:val="105"/>
        </w:rPr>
        <w:t xml:space="preserve"> </w:t>
      </w:r>
      <w:r>
        <w:rPr>
          <w:color w:val="4D4D4F"/>
          <w:w w:val="105"/>
        </w:rPr>
        <w:t>measures designed</w:t>
      </w:r>
      <w:r>
        <w:rPr>
          <w:color w:val="4D4D4F"/>
          <w:spacing w:val="-17"/>
          <w:w w:val="105"/>
        </w:rPr>
        <w:t xml:space="preserve"> </w:t>
      </w:r>
      <w:r>
        <w:rPr>
          <w:color w:val="4D4D4F"/>
          <w:w w:val="105"/>
        </w:rPr>
        <w:t>to</w:t>
      </w:r>
      <w:r>
        <w:rPr>
          <w:color w:val="4D4D4F"/>
          <w:spacing w:val="-17"/>
          <w:w w:val="105"/>
        </w:rPr>
        <w:t xml:space="preserve"> </w:t>
      </w:r>
      <w:r>
        <w:rPr>
          <w:color w:val="4D4D4F"/>
          <w:w w:val="105"/>
        </w:rPr>
        <w:t>mitigate</w:t>
      </w:r>
      <w:r>
        <w:rPr>
          <w:color w:val="4D4D4F"/>
          <w:spacing w:val="-17"/>
          <w:w w:val="105"/>
        </w:rPr>
        <w:t xml:space="preserve"> </w:t>
      </w:r>
      <w:r>
        <w:rPr>
          <w:color w:val="4D4D4F"/>
          <w:w w:val="105"/>
        </w:rPr>
        <w:t>impacts</w:t>
      </w:r>
      <w:r>
        <w:rPr>
          <w:color w:val="4D4D4F"/>
          <w:spacing w:val="-17"/>
          <w:w w:val="105"/>
        </w:rPr>
        <w:t xml:space="preserve"> </w:t>
      </w:r>
      <w:r>
        <w:rPr>
          <w:color w:val="4D4D4F"/>
          <w:w w:val="105"/>
        </w:rPr>
        <w:t>on</w:t>
      </w:r>
      <w:r>
        <w:rPr>
          <w:color w:val="4D4D4F"/>
          <w:spacing w:val="-17"/>
          <w:w w:val="105"/>
        </w:rPr>
        <w:t xml:space="preserve"> </w:t>
      </w:r>
      <w:r>
        <w:rPr>
          <w:color w:val="4D4D4F"/>
          <w:w w:val="105"/>
        </w:rPr>
        <w:t>biodiversity</w:t>
      </w:r>
      <w:r>
        <w:rPr>
          <w:color w:val="4D4D4F"/>
          <w:spacing w:val="-17"/>
          <w:w w:val="105"/>
        </w:rPr>
        <w:t xml:space="preserve"> </w:t>
      </w:r>
      <w:r>
        <w:rPr>
          <w:color w:val="4D4D4F"/>
          <w:w w:val="105"/>
        </w:rPr>
        <w:t>caused</w:t>
      </w:r>
      <w:r>
        <w:rPr>
          <w:color w:val="4D4D4F"/>
          <w:spacing w:val="-17"/>
          <w:w w:val="105"/>
        </w:rPr>
        <w:t xml:space="preserve"> </w:t>
      </w:r>
      <w:r>
        <w:rPr>
          <w:color w:val="4D4D4F"/>
          <w:w w:val="105"/>
        </w:rPr>
        <w:t>by</w:t>
      </w:r>
      <w:r>
        <w:rPr>
          <w:color w:val="4D4D4F"/>
          <w:spacing w:val="-17"/>
          <w:w w:val="105"/>
        </w:rPr>
        <w:t xml:space="preserve"> </w:t>
      </w:r>
      <w:r>
        <w:rPr>
          <w:color w:val="4D4D4F"/>
          <w:w w:val="105"/>
        </w:rPr>
        <w:t>the</w:t>
      </w:r>
      <w:r>
        <w:rPr>
          <w:color w:val="4D4D4F"/>
          <w:spacing w:val="-17"/>
          <w:w w:val="105"/>
        </w:rPr>
        <w:t xml:space="preserve"> </w:t>
      </w:r>
      <w:r>
        <w:rPr>
          <w:color w:val="4D4D4F"/>
          <w:w w:val="105"/>
        </w:rPr>
        <w:t>development</w:t>
      </w:r>
      <w:r>
        <w:rPr>
          <w:color w:val="4D4D4F"/>
          <w:spacing w:val="-17"/>
          <w:w w:val="105"/>
        </w:rPr>
        <w:t xml:space="preserve"> </w:t>
      </w:r>
      <w:r>
        <w:rPr>
          <w:color w:val="4D4D4F"/>
          <w:w w:val="105"/>
        </w:rPr>
        <w:t>of</w:t>
      </w:r>
      <w:r>
        <w:rPr>
          <w:color w:val="4D4D4F"/>
          <w:spacing w:val="-17"/>
          <w:w w:val="105"/>
        </w:rPr>
        <w:t xml:space="preserve"> </w:t>
      </w:r>
      <w:r>
        <w:rPr>
          <w:color w:val="4D4D4F"/>
          <w:w w:val="105"/>
        </w:rPr>
        <w:t>land</w:t>
      </w:r>
      <w:r>
        <w:rPr>
          <w:color w:val="4D4D4F"/>
          <w:spacing w:val="-17"/>
          <w:w w:val="105"/>
        </w:rPr>
        <w:t xml:space="preserve"> </w:t>
      </w:r>
      <w:r>
        <w:rPr>
          <w:color w:val="4D4D4F"/>
          <w:w w:val="105"/>
        </w:rPr>
        <w:t>in Melbourne's</w:t>
      </w:r>
      <w:r>
        <w:rPr>
          <w:color w:val="4D4D4F"/>
          <w:spacing w:val="-20"/>
          <w:w w:val="105"/>
        </w:rPr>
        <w:t xml:space="preserve"> </w:t>
      </w:r>
      <w:r>
        <w:rPr>
          <w:color w:val="4D4D4F"/>
          <w:w w:val="105"/>
        </w:rPr>
        <w:t>growth</w:t>
      </w:r>
      <w:r>
        <w:rPr>
          <w:color w:val="4D4D4F"/>
          <w:spacing w:val="-20"/>
          <w:w w:val="105"/>
        </w:rPr>
        <w:t xml:space="preserve"> </w:t>
      </w:r>
      <w:r>
        <w:rPr>
          <w:color w:val="4D4D4F"/>
          <w:w w:val="105"/>
        </w:rPr>
        <w:t>corridors.</w:t>
      </w:r>
      <w:r>
        <w:rPr>
          <w:color w:val="4D4D4F"/>
          <w:spacing w:val="-20"/>
          <w:w w:val="105"/>
        </w:rPr>
        <w:t xml:space="preserve"> </w:t>
      </w:r>
      <w:r>
        <w:rPr>
          <w:color w:val="4D4D4F"/>
          <w:w w:val="105"/>
        </w:rPr>
        <w:t>The</w:t>
      </w:r>
      <w:r>
        <w:rPr>
          <w:color w:val="4D4D4F"/>
          <w:spacing w:val="-20"/>
          <w:w w:val="105"/>
        </w:rPr>
        <w:t xml:space="preserve"> </w:t>
      </w:r>
      <w:r>
        <w:rPr>
          <w:color w:val="4D4D4F"/>
          <w:w w:val="105"/>
        </w:rPr>
        <w:t>MSA</w:t>
      </w:r>
      <w:r>
        <w:rPr>
          <w:color w:val="4D4D4F"/>
          <w:spacing w:val="-20"/>
          <w:w w:val="105"/>
        </w:rPr>
        <w:t xml:space="preserve"> </w:t>
      </w:r>
      <w:r>
        <w:rPr>
          <w:color w:val="4D4D4F"/>
          <w:w w:val="105"/>
        </w:rPr>
        <w:t>Act</w:t>
      </w:r>
      <w:r>
        <w:rPr>
          <w:color w:val="4D4D4F"/>
          <w:spacing w:val="-19"/>
          <w:w w:val="105"/>
        </w:rPr>
        <w:t xml:space="preserve"> </w:t>
      </w:r>
      <w:r>
        <w:rPr>
          <w:color w:val="4D4D4F"/>
          <w:w w:val="105"/>
        </w:rPr>
        <w:t>also</w:t>
      </w:r>
      <w:r>
        <w:rPr>
          <w:color w:val="4D4D4F"/>
          <w:spacing w:val="-20"/>
          <w:w w:val="105"/>
        </w:rPr>
        <w:t xml:space="preserve"> </w:t>
      </w:r>
      <w:r>
        <w:rPr>
          <w:color w:val="4D4D4F"/>
          <w:w w:val="105"/>
        </w:rPr>
        <w:t>defines</w:t>
      </w:r>
      <w:r>
        <w:rPr>
          <w:color w:val="4D4D4F"/>
          <w:spacing w:val="-20"/>
          <w:w w:val="105"/>
        </w:rPr>
        <w:t xml:space="preserve"> </w:t>
      </w:r>
      <w:r>
        <w:rPr>
          <w:color w:val="4D4D4F"/>
          <w:w w:val="105"/>
        </w:rPr>
        <w:t>a</w:t>
      </w:r>
      <w:r>
        <w:rPr>
          <w:color w:val="4D4D4F"/>
          <w:spacing w:val="-20"/>
          <w:w w:val="105"/>
        </w:rPr>
        <w:t xml:space="preserve"> </w:t>
      </w:r>
      <w:r>
        <w:rPr>
          <w:color w:val="4D4D4F"/>
          <w:w w:val="105"/>
        </w:rPr>
        <w:t>role</w:t>
      </w:r>
      <w:r>
        <w:rPr>
          <w:color w:val="4D4D4F"/>
          <w:spacing w:val="-20"/>
          <w:w w:val="105"/>
        </w:rPr>
        <w:t xml:space="preserve"> </w:t>
      </w:r>
      <w:r>
        <w:rPr>
          <w:color w:val="4D4D4F"/>
          <w:w w:val="105"/>
        </w:rPr>
        <w:t>for</w:t>
      </w:r>
      <w:r>
        <w:rPr>
          <w:color w:val="4D4D4F"/>
          <w:spacing w:val="-20"/>
          <w:w w:val="105"/>
        </w:rPr>
        <w:t xml:space="preserve"> </w:t>
      </w:r>
      <w:r>
        <w:rPr>
          <w:color w:val="4D4D4F"/>
          <w:w w:val="105"/>
        </w:rPr>
        <w:t>the</w:t>
      </w:r>
      <w:r>
        <w:rPr>
          <w:color w:val="4D4D4F"/>
          <w:spacing w:val="-19"/>
          <w:w w:val="105"/>
        </w:rPr>
        <w:t xml:space="preserve"> </w:t>
      </w:r>
      <w:r>
        <w:rPr>
          <w:color w:val="4D4D4F"/>
          <w:w w:val="105"/>
        </w:rPr>
        <w:t>Commissioner</w:t>
      </w:r>
    </w:p>
    <w:p w14:paraId="63F55994" w14:textId="77777777" w:rsidR="00EF5B27" w:rsidRDefault="00000000">
      <w:pPr>
        <w:pStyle w:val="BodyText"/>
        <w:spacing w:before="6" w:line="254" w:lineRule="auto"/>
        <w:ind w:left="2608"/>
      </w:pPr>
      <w:r>
        <w:rPr>
          <w:color w:val="4D4D4F"/>
        </w:rPr>
        <w:t>for Environmental Sustainability to report on the implementation of MSA conservation outcomes every two years.</w:t>
      </w:r>
    </w:p>
    <w:p w14:paraId="567A6692" w14:textId="77777777" w:rsidR="00EF5B27" w:rsidRDefault="00000000">
      <w:pPr>
        <w:pStyle w:val="BodyText"/>
        <w:spacing w:before="2" w:line="254" w:lineRule="auto"/>
        <w:ind w:left="2608" w:right="297" w:firstLine="29"/>
      </w:pPr>
      <w:r>
        <w:rPr>
          <w:color w:val="4D4D4F"/>
        </w:rPr>
        <w:t>The MSA conservation outcomes set out a range of measures to limit and offset the impacts of urban development on threatened species and ecological communities listed as MNES in the growth areas of Melbourne. These conservation outcomes are to be formally defined by the Victorian Minister for Energy, Environment and Climate Change, by notice in the government gazette (Part 6, section 93 of the MSA Act).</w:t>
      </w:r>
    </w:p>
    <w:p w14:paraId="30BDC6C8" w14:textId="77777777" w:rsidR="00EF5B27" w:rsidRDefault="00000000">
      <w:pPr>
        <w:pStyle w:val="BodyText"/>
        <w:spacing w:before="120" w:line="254" w:lineRule="auto"/>
        <w:ind w:left="2608" w:right="215"/>
      </w:pPr>
      <w:r>
        <w:rPr>
          <w:color w:val="4D4D4F"/>
        </w:rPr>
        <w:t xml:space="preserve">A key role of the Commissioner is to provide independent and objective scientific reporting to inform and provide assurance to policymakers, scientists and the Victorian public on the implementation of the MSA program’s conservation outcomes. This role is supported by the MSA Act 2020 and the </w:t>
      </w:r>
      <w:r>
        <w:rPr>
          <w:rFonts w:ascii="Arial Narrow" w:hAnsi="Arial Narrow"/>
          <w:i/>
          <w:color w:val="4D4D4F"/>
        </w:rPr>
        <w:t xml:space="preserve">Commissioner for </w:t>
      </w:r>
      <w:r>
        <w:rPr>
          <w:rFonts w:ascii="Arial Narrow" w:hAnsi="Arial Narrow"/>
          <w:i/>
          <w:color w:val="4D4D4F"/>
          <w:spacing w:val="-3"/>
        </w:rPr>
        <w:t xml:space="preserve">Environmental Sustainability </w:t>
      </w:r>
      <w:r>
        <w:rPr>
          <w:rFonts w:ascii="Arial Narrow" w:hAnsi="Arial Narrow"/>
          <w:i/>
          <w:color w:val="4D4D4F"/>
        </w:rPr>
        <w:t>Act 2003</w:t>
      </w:r>
      <w:r>
        <w:rPr>
          <w:color w:val="4D4D4F"/>
        </w:rPr>
        <w:t>. Reporting on the implementation of the MSA Conservation Outcomes sits within the Commissioner’s broader program to make environmental reporting more efficient and</w:t>
      </w:r>
      <w:r>
        <w:rPr>
          <w:color w:val="4D4D4F"/>
          <w:spacing w:val="14"/>
        </w:rPr>
        <w:t xml:space="preserve"> </w:t>
      </w:r>
      <w:r>
        <w:rPr>
          <w:color w:val="4D4D4F"/>
        </w:rPr>
        <w:t>effectual.</w:t>
      </w:r>
    </w:p>
    <w:p w14:paraId="7B7FB507" w14:textId="77777777" w:rsidR="00EF5B27" w:rsidRDefault="00000000">
      <w:pPr>
        <w:pStyle w:val="BodyText"/>
        <w:spacing w:before="121" w:line="254" w:lineRule="auto"/>
        <w:ind w:left="2608" w:right="103"/>
        <w:rPr>
          <w:sz w:val="11"/>
        </w:rPr>
      </w:pPr>
      <w:r>
        <w:rPr>
          <w:color w:val="4D4D4F"/>
        </w:rPr>
        <w:t xml:space="preserve">As stated in the Commissioner’s Framework for the Victorian State of the Environment 2023 Report, </w:t>
      </w:r>
      <w:r>
        <w:rPr>
          <w:rFonts w:ascii="Arial Narrow" w:hAnsi="Arial Narrow"/>
          <w:i/>
          <w:color w:val="4D4D4F"/>
          <w:spacing w:val="-3"/>
        </w:rPr>
        <w:t xml:space="preserve">Science for </w:t>
      </w:r>
      <w:r>
        <w:rPr>
          <w:rFonts w:ascii="Arial Narrow" w:hAnsi="Arial Narrow"/>
          <w:i/>
          <w:color w:val="4D4D4F"/>
          <w:spacing w:val="-4"/>
        </w:rPr>
        <w:t xml:space="preserve">Sustainable </w:t>
      </w:r>
      <w:r>
        <w:rPr>
          <w:rFonts w:ascii="Arial Narrow" w:hAnsi="Arial Narrow"/>
          <w:i/>
          <w:color w:val="4D4D4F"/>
          <w:spacing w:val="-3"/>
        </w:rPr>
        <w:t>Development</w:t>
      </w:r>
      <w:r>
        <w:rPr>
          <w:color w:val="4D4D4F"/>
          <w:spacing w:val="-3"/>
        </w:rPr>
        <w:t xml:space="preserve">, </w:t>
      </w:r>
      <w:r>
        <w:rPr>
          <w:color w:val="4D4D4F"/>
        </w:rPr>
        <w:t xml:space="preserve">the long-term goal of environmental reporting is to </w:t>
      </w:r>
      <w:r>
        <w:rPr>
          <w:color w:val="4D4D4F"/>
          <w:spacing w:val="-3"/>
        </w:rPr>
        <w:t xml:space="preserve">maintain </w:t>
      </w:r>
      <w:r>
        <w:rPr>
          <w:color w:val="4D4D4F"/>
        </w:rPr>
        <w:t xml:space="preserve">a </w:t>
      </w:r>
      <w:r>
        <w:rPr>
          <w:color w:val="4D4D4F"/>
          <w:spacing w:val="-3"/>
        </w:rPr>
        <w:t xml:space="preserve">healthy </w:t>
      </w:r>
      <w:r>
        <w:rPr>
          <w:color w:val="4D4D4F"/>
        </w:rPr>
        <w:t xml:space="preserve">environment. Since </w:t>
      </w:r>
      <w:r>
        <w:rPr>
          <w:color w:val="4D4D4F"/>
          <w:spacing w:val="-3"/>
        </w:rPr>
        <w:t xml:space="preserve">2014, building </w:t>
      </w:r>
      <w:r>
        <w:rPr>
          <w:color w:val="4D4D4F"/>
        </w:rPr>
        <w:t xml:space="preserve">a stronger scientific evidence base and developing recommendations to improve environmental outcomes </w:t>
      </w:r>
      <w:r>
        <w:rPr>
          <w:color w:val="4D4D4F"/>
          <w:spacing w:val="-3"/>
        </w:rPr>
        <w:t xml:space="preserve">has </w:t>
      </w:r>
      <w:r>
        <w:rPr>
          <w:color w:val="4D4D4F"/>
        </w:rPr>
        <w:t xml:space="preserve">been a </w:t>
      </w:r>
      <w:r>
        <w:rPr>
          <w:color w:val="4D4D4F"/>
          <w:spacing w:val="-4"/>
        </w:rPr>
        <w:t xml:space="preserve">key </w:t>
      </w:r>
      <w:r>
        <w:rPr>
          <w:color w:val="4D4D4F"/>
          <w:spacing w:val="-3"/>
        </w:rPr>
        <w:t xml:space="preserve">focus </w:t>
      </w:r>
      <w:r>
        <w:rPr>
          <w:color w:val="4D4D4F"/>
        </w:rPr>
        <w:t xml:space="preserve">of </w:t>
      </w:r>
      <w:r>
        <w:rPr>
          <w:color w:val="4D4D4F"/>
          <w:spacing w:val="-3"/>
        </w:rPr>
        <w:t xml:space="preserve">the </w:t>
      </w:r>
      <w:r>
        <w:rPr>
          <w:color w:val="4D4D4F"/>
          <w:spacing w:val="-4"/>
        </w:rPr>
        <w:t xml:space="preserve">Commissioner’s </w:t>
      </w:r>
      <w:r>
        <w:rPr>
          <w:color w:val="4D4D4F"/>
        </w:rPr>
        <w:t xml:space="preserve">work </w:t>
      </w:r>
      <w:r>
        <w:rPr>
          <w:color w:val="4D4D4F"/>
          <w:spacing w:val="-3"/>
        </w:rPr>
        <w:t xml:space="preserve">with </w:t>
      </w:r>
      <w:r>
        <w:rPr>
          <w:color w:val="4D4D4F"/>
        </w:rPr>
        <w:t xml:space="preserve">partners </w:t>
      </w:r>
      <w:r>
        <w:rPr>
          <w:color w:val="4D4D4F"/>
          <w:spacing w:val="-3"/>
        </w:rPr>
        <w:t xml:space="preserve">and collaborators </w:t>
      </w:r>
      <w:r>
        <w:rPr>
          <w:color w:val="4D4D4F"/>
        </w:rPr>
        <w:t xml:space="preserve">across the community, government and industry. The Commissioner has advocated for the important role of science and investment by government, in developing the tools and </w:t>
      </w:r>
      <w:r>
        <w:rPr>
          <w:color w:val="4D4D4F"/>
          <w:spacing w:val="-7"/>
        </w:rPr>
        <w:t xml:space="preserve">capabilities </w:t>
      </w:r>
      <w:r>
        <w:rPr>
          <w:color w:val="4D4D4F"/>
          <w:spacing w:val="-6"/>
        </w:rPr>
        <w:t xml:space="preserve">that </w:t>
      </w:r>
      <w:r>
        <w:rPr>
          <w:color w:val="4D4D4F"/>
          <w:spacing w:val="-3"/>
        </w:rPr>
        <w:t xml:space="preserve">we </w:t>
      </w:r>
      <w:r>
        <w:rPr>
          <w:color w:val="4D4D4F"/>
          <w:spacing w:val="-5"/>
        </w:rPr>
        <w:t xml:space="preserve">need to </w:t>
      </w:r>
      <w:r>
        <w:rPr>
          <w:color w:val="4D4D4F"/>
          <w:spacing w:val="-7"/>
        </w:rPr>
        <w:t xml:space="preserve">adequately </w:t>
      </w:r>
      <w:r>
        <w:rPr>
          <w:color w:val="4D4D4F"/>
          <w:spacing w:val="-5"/>
        </w:rPr>
        <w:t xml:space="preserve">protect, </w:t>
      </w:r>
      <w:r>
        <w:rPr>
          <w:color w:val="4D4D4F"/>
          <w:spacing w:val="-6"/>
        </w:rPr>
        <w:t xml:space="preserve">manage </w:t>
      </w:r>
      <w:r>
        <w:rPr>
          <w:color w:val="4D4D4F"/>
          <w:spacing w:val="-5"/>
        </w:rPr>
        <w:t xml:space="preserve">and restore </w:t>
      </w:r>
      <w:r>
        <w:rPr>
          <w:color w:val="4D4D4F"/>
          <w:spacing w:val="-7"/>
        </w:rPr>
        <w:t xml:space="preserve">Victoria’s </w:t>
      </w:r>
      <w:r>
        <w:rPr>
          <w:color w:val="4D4D4F"/>
          <w:spacing w:val="-6"/>
        </w:rPr>
        <w:t>environment.</w:t>
      </w:r>
      <w:r>
        <w:rPr>
          <w:color w:val="4D4D4F"/>
          <w:spacing w:val="-6"/>
          <w:position w:val="7"/>
          <w:sz w:val="11"/>
        </w:rPr>
        <w:t>307</w:t>
      </w:r>
    </w:p>
    <w:p w14:paraId="6D50CD98" w14:textId="77777777" w:rsidR="00EF5B27" w:rsidRDefault="00000000">
      <w:pPr>
        <w:pStyle w:val="BodyText"/>
        <w:spacing w:before="123" w:line="254" w:lineRule="auto"/>
        <w:ind w:left="2608"/>
      </w:pPr>
      <w:r>
        <w:rPr>
          <w:color w:val="4D4D4F"/>
        </w:rPr>
        <w:t>The Commissioner produces a suite of reports – including the State of the Environment, State of the Marine and Coastal Environment Report, and State of the Yarra and Its Parklands. These reports provided independent and evidence-based assessments</w:t>
      </w:r>
    </w:p>
    <w:p w14:paraId="4FEC2A64" w14:textId="77777777" w:rsidR="00EF5B27" w:rsidRDefault="00000000">
      <w:pPr>
        <w:pStyle w:val="BodyText"/>
        <w:spacing w:before="4" w:line="254" w:lineRule="auto"/>
        <w:ind w:left="2608" w:right="491"/>
      </w:pPr>
      <w:r>
        <w:rPr>
          <w:color w:val="4D4D4F"/>
        </w:rPr>
        <w:t>of the condition of Victoria’s natural environment, with recommendations focusing on developing solutions and achieving improvements for ecologically sustainable development in Victoria.</w:t>
      </w:r>
    </w:p>
    <w:p w14:paraId="32232701" w14:textId="77777777" w:rsidR="00EF5B27" w:rsidRDefault="00EF5B27">
      <w:pPr>
        <w:pStyle w:val="BodyText"/>
      </w:pPr>
    </w:p>
    <w:p w14:paraId="099C21B1" w14:textId="77777777" w:rsidR="00EF5B27" w:rsidRDefault="00EF5B27">
      <w:pPr>
        <w:pStyle w:val="BodyText"/>
      </w:pPr>
    </w:p>
    <w:p w14:paraId="45C52BFD" w14:textId="77777777" w:rsidR="00EF5B27" w:rsidRDefault="00EF5B27">
      <w:pPr>
        <w:pStyle w:val="BodyText"/>
      </w:pPr>
    </w:p>
    <w:p w14:paraId="38355497" w14:textId="77777777" w:rsidR="00EF5B27" w:rsidRDefault="00EF5B27">
      <w:pPr>
        <w:pStyle w:val="BodyText"/>
      </w:pPr>
    </w:p>
    <w:p w14:paraId="70FAE9DD" w14:textId="77777777" w:rsidR="00EF5B27" w:rsidRDefault="00EF5B27">
      <w:pPr>
        <w:pStyle w:val="BodyText"/>
      </w:pPr>
    </w:p>
    <w:p w14:paraId="64EAA849" w14:textId="77777777" w:rsidR="00EF5B27" w:rsidRDefault="00EF5B27">
      <w:pPr>
        <w:pStyle w:val="BodyText"/>
      </w:pPr>
    </w:p>
    <w:p w14:paraId="1946F308" w14:textId="77777777" w:rsidR="00EF5B27" w:rsidRDefault="00EF5B27">
      <w:pPr>
        <w:pStyle w:val="BodyText"/>
      </w:pPr>
    </w:p>
    <w:p w14:paraId="51E62CB5" w14:textId="77777777" w:rsidR="00EF5B27" w:rsidRDefault="00EF5B27">
      <w:pPr>
        <w:pStyle w:val="BodyText"/>
      </w:pPr>
    </w:p>
    <w:p w14:paraId="064DFB71" w14:textId="77777777" w:rsidR="00EF5B27" w:rsidRDefault="00EF5B27">
      <w:pPr>
        <w:pStyle w:val="BodyText"/>
      </w:pPr>
    </w:p>
    <w:p w14:paraId="78B3CFCD" w14:textId="77777777" w:rsidR="00EF5B27" w:rsidRDefault="00000000">
      <w:pPr>
        <w:pStyle w:val="BodyText"/>
        <w:spacing w:before="3"/>
        <w:rPr>
          <w:sz w:val="28"/>
        </w:rPr>
      </w:pPr>
      <w:r>
        <w:pict w14:anchorId="4D16538C">
          <v:line id="_x0000_s2343" style="position:absolute;z-index:251753984;mso-wrap-distance-left:0;mso-wrap-distance-right:0;mso-position-horizontal-relative:page" from="181.4pt,19.5pt" to="538.6pt,19.5pt" strokecolor="#4d4d4f" strokeweight=".5pt">
            <w10:wrap type="topAndBottom" anchorx="page"/>
          </v:line>
        </w:pict>
      </w:r>
    </w:p>
    <w:p w14:paraId="2537DCB1" w14:textId="77777777" w:rsidR="00EF5B27" w:rsidRDefault="00000000">
      <w:pPr>
        <w:pStyle w:val="ListParagraph"/>
        <w:numPr>
          <w:ilvl w:val="0"/>
          <w:numId w:val="19"/>
        </w:numPr>
        <w:tabs>
          <w:tab w:val="left" w:pos="2836"/>
        </w:tabs>
        <w:spacing w:before="83" w:line="143" w:lineRule="exact"/>
        <w:rPr>
          <w:sz w:val="12"/>
        </w:rPr>
      </w:pPr>
      <w:r>
        <w:rPr>
          <w:color w:val="4D4D4F"/>
          <w:sz w:val="12"/>
        </w:rPr>
        <w:t>State</w:t>
      </w:r>
      <w:r>
        <w:rPr>
          <w:color w:val="4D4D4F"/>
          <w:spacing w:val="6"/>
          <w:sz w:val="12"/>
        </w:rPr>
        <w:t xml:space="preserve"> </w:t>
      </w:r>
      <w:r>
        <w:rPr>
          <w:color w:val="4D4D4F"/>
          <w:sz w:val="12"/>
        </w:rPr>
        <w:t>Government</w:t>
      </w:r>
      <w:r>
        <w:rPr>
          <w:color w:val="4D4D4F"/>
          <w:spacing w:val="6"/>
          <w:sz w:val="12"/>
        </w:rPr>
        <w:t xml:space="preserve"> </w:t>
      </w:r>
      <w:r>
        <w:rPr>
          <w:color w:val="4D4D4F"/>
          <w:sz w:val="12"/>
        </w:rPr>
        <w:t>of</w:t>
      </w:r>
      <w:r>
        <w:rPr>
          <w:color w:val="4D4D4F"/>
          <w:spacing w:val="6"/>
          <w:sz w:val="12"/>
        </w:rPr>
        <w:t xml:space="preserve"> </w:t>
      </w:r>
      <w:r>
        <w:rPr>
          <w:color w:val="4D4D4F"/>
          <w:sz w:val="12"/>
        </w:rPr>
        <w:t>Victoria</w:t>
      </w:r>
      <w:r>
        <w:rPr>
          <w:color w:val="4D4D4F"/>
          <w:spacing w:val="6"/>
          <w:sz w:val="12"/>
        </w:rPr>
        <w:t xml:space="preserve"> </w:t>
      </w:r>
      <w:r>
        <w:rPr>
          <w:color w:val="4D4D4F"/>
          <w:spacing w:val="2"/>
          <w:sz w:val="12"/>
        </w:rPr>
        <w:t>2020,</w:t>
      </w:r>
      <w:r>
        <w:rPr>
          <w:color w:val="4D4D4F"/>
          <w:spacing w:val="7"/>
          <w:sz w:val="12"/>
        </w:rPr>
        <w:t xml:space="preserve"> </w:t>
      </w:r>
      <w:r>
        <w:rPr>
          <w:color w:val="4D4D4F"/>
          <w:sz w:val="12"/>
        </w:rPr>
        <w:t>‘Melbourne</w:t>
      </w:r>
      <w:r>
        <w:rPr>
          <w:color w:val="4D4D4F"/>
          <w:spacing w:val="6"/>
          <w:sz w:val="12"/>
        </w:rPr>
        <w:t xml:space="preserve"> </w:t>
      </w:r>
      <w:r>
        <w:rPr>
          <w:color w:val="4D4D4F"/>
          <w:sz w:val="12"/>
        </w:rPr>
        <w:t>Strategic</w:t>
      </w:r>
      <w:r>
        <w:rPr>
          <w:color w:val="4D4D4F"/>
          <w:spacing w:val="6"/>
          <w:sz w:val="12"/>
        </w:rPr>
        <w:t xml:space="preserve"> </w:t>
      </w:r>
      <w:r>
        <w:rPr>
          <w:color w:val="4D4D4F"/>
          <w:sz w:val="12"/>
        </w:rPr>
        <w:t>Assessment</w:t>
      </w:r>
      <w:r>
        <w:rPr>
          <w:color w:val="4D4D4F"/>
          <w:spacing w:val="6"/>
          <w:sz w:val="12"/>
        </w:rPr>
        <w:t xml:space="preserve"> </w:t>
      </w:r>
      <w:r>
        <w:rPr>
          <w:color w:val="4D4D4F"/>
          <w:sz w:val="12"/>
        </w:rPr>
        <w:t>(Environment</w:t>
      </w:r>
      <w:r>
        <w:rPr>
          <w:color w:val="4D4D4F"/>
          <w:spacing w:val="6"/>
          <w:sz w:val="12"/>
        </w:rPr>
        <w:t xml:space="preserve"> </w:t>
      </w:r>
      <w:r>
        <w:rPr>
          <w:color w:val="4D4D4F"/>
          <w:spacing w:val="2"/>
          <w:sz w:val="12"/>
        </w:rPr>
        <w:t>Levy</w:t>
      </w:r>
      <w:r>
        <w:rPr>
          <w:color w:val="4D4D4F"/>
          <w:spacing w:val="7"/>
          <w:sz w:val="12"/>
        </w:rPr>
        <w:t xml:space="preserve"> </w:t>
      </w:r>
      <w:r>
        <w:rPr>
          <w:color w:val="4D4D4F"/>
          <w:sz w:val="12"/>
        </w:rPr>
        <w:t>Mitigation)</w:t>
      </w:r>
      <w:r>
        <w:rPr>
          <w:color w:val="4D4D4F"/>
          <w:spacing w:val="6"/>
          <w:sz w:val="12"/>
        </w:rPr>
        <w:t xml:space="preserve"> </w:t>
      </w:r>
      <w:r>
        <w:rPr>
          <w:color w:val="4D4D4F"/>
          <w:spacing w:val="2"/>
          <w:sz w:val="12"/>
        </w:rPr>
        <w:t>Act</w:t>
      </w:r>
      <w:r>
        <w:rPr>
          <w:color w:val="4D4D4F"/>
          <w:spacing w:val="6"/>
          <w:sz w:val="12"/>
        </w:rPr>
        <w:t xml:space="preserve"> </w:t>
      </w:r>
      <w:r>
        <w:rPr>
          <w:color w:val="4D4D4F"/>
          <w:sz w:val="12"/>
        </w:rPr>
        <w:t>2020’,</w:t>
      </w:r>
      <w:r>
        <w:rPr>
          <w:color w:val="4D4D4F"/>
          <w:spacing w:val="6"/>
          <w:sz w:val="12"/>
        </w:rPr>
        <w:t xml:space="preserve"> </w:t>
      </w:r>
      <w:r>
        <w:rPr>
          <w:color w:val="4D4D4F"/>
          <w:sz w:val="12"/>
        </w:rPr>
        <w:t>Melbourne,</w:t>
      </w:r>
      <w:r>
        <w:rPr>
          <w:color w:val="4D4D4F"/>
          <w:spacing w:val="6"/>
          <w:sz w:val="12"/>
        </w:rPr>
        <w:t xml:space="preserve"> </w:t>
      </w:r>
      <w:r>
        <w:rPr>
          <w:color w:val="4D4D4F"/>
          <w:sz w:val="12"/>
        </w:rPr>
        <w:t>Victoria.</w:t>
      </w:r>
    </w:p>
    <w:p w14:paraId="6B1A3775" w14:textId="77777777" w:rsidR="00EF5B27" w:rsidRDefault="00000000">
      <w:pPr>
        <w:pStyle w:val="ListParagraph"/>
        <w:numPr>
          <w:ilvl w:val="0"/>
          <w:numId w:val="19"/>
        </w:numPr>
        <w:tabs>
          <w:tab w:val="left" w:pos="2836"/>
        </w:tabs>
        <w:spacing w:before="2" w:line="230" w:lineRule="auto"/>
        <w:ind w:right="111"/>
        <w:rPr>
          <w:sz w:val="12"/>
        </w:rPr>
      </w:pPr>
      <w:r>
        <w:rPr>
          <w:color w:val="4D4D4F"/>
          <w:sz w:val="12"/>
        </w:rPr>
        <w:t xml:space="preserve">Commissioner for Environmental Sustainability Victoria </w:t>
      </w:r>
      <w:r>
        <w:rPr>
          <w:color w:val="4D4D4F"/>
          <w:spacing w:val="2"/>
          <w:sz w:val="12"/>
        </w:rPr>
        <w:t xml:space="preserve">2020, </w:t>
      </w:r>
      <w:r>
        <w:rPr>
          <w:color w:val="4D4D4F"/>
          <w:sz w:val="12"/>
        </w:rPr>
        <w:t xml:space="preserve">‘Framework for the Victorian State  of  the  Environment  </w:t>
      </w:r>
      <w:r>
        <w:rPr>
          <w:color w:val="4D4D4F"/>
          <w:spacing w:val="2"/>
          <w:sz w:val="12"/>
        </w:rPr>
        <w:t xml:space="preserve">2023  Report:  </w:t>
      </w:r>
      <w:r>
        <w:rPr>
          <w:color w:val="4D4D4F"/>
          <w:sz w:val="12"/>
        </w:rPr>
        <w:t>Science for Sustainable Development’, Melbourne,</w:t>
      </w:r>
      <w:r>
        <w:rPr>
          <w:color w:val="4D4D4F"/>
          <w:spacing w:val="12"/>
          <w:sz w:val="12"/>
        </w:rPr>
        <w:t xml:space="preserve"> </w:t>
      </w:r>
      <w:r>
        <w:rPr>
          <w:color w:val="4D4D4F"/>
          <w:sz w:val="12"/>
        </w:rPr>
        <w:t>Victoria.</w:t>
      </w:r>
    </w:p>
    <w:p w14:paraId="67CE7671"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76A2BF77" w14:textId="77777777" w:rsidR="00EF5B27" w:rsidRDefault="00000000">
      <w:pPr>
        <w:pStyle w:val="BodyText"/>
      </w:pPr>
      <w:r>
        <w:lastRenderedPageBreak/>
        <w:pict w14:anchorId="6C900F67">
          <v:group id="_x0000_s2335" style="position:absolute;margin-left:587.05pt;margin-top:183.4pt;width:8.25pt;height:153.1pt;z-index:251787776;mso-position-horizontal-relative:page;mso-position-vertical-relative:page" coordorigin="11741,3668" coordsize="165,3062">
            <v:shape id="_x0000_s2342" style="position:absolute;left:11741;top:3668;width:165;height:561" coordorigin="11741,3668" coordsize="165,561" path="m11906,3668r-165,l11741,4228r165,-18l11906,3668xe" fillcolor="#00aed9" stroked="f">
              <v:path arrowok="t"/>
            </v:shape>
            <v:shape id="_x0000_s2341" style="position:absolute;left:11741;top:4118;width:165;height:425" coordorigin="11741,4118" coordsize="165,425" path="m11906,4118r-165,14l11741,4531r165,12l11906,4118xe" fillcolor="#047ebc" stroked="f">
              <v:path arrowok="t"/>
            </v:shape>
            <v:shape id="_x0000_s2340" type="#_x0000_t75" style="position:absolute;left:11741;top:4355;width:165;height:587">
              <v:imagedata r:id="rId42" o:title=""/>
            </v:shape>
            <v:shape id="_x0000_s2339" style="position:absolute;left:11741;top:5343;width:165;height:536" coordorigin="11741,5343" coordsize="165,536" path="m11741,5343r,535l11906,5872r,-525l11741,5343xe" fillcolor="#f36a2e" stroked="f">
              <v:path arrowok="t"/>
            </v:shape>
            <v:shape id="_x0000_s2338" style="position:absolute;left:11741;top:4925;width:165;height:501" coordorigin="11741,4926" coordsize="165,501" path="m11741,4926r,500l11906,5426r,-485l11741,4926xe" fillcolor="#49783f" stroked="f">
              <v:path arrowok="t"/>
            </v:shape>
            <v:shape id="_x0000_s2337" style="position:absolute;left:11741;top:5781;width:165;height:268" coordorigin="11741,5782" coordsize="165,268" path="m11906,5782r-165,8l11741,6039r165,10l11906,5782xe" fillcolor="#f99f2a" stroked="f">
              <v:path arrowok="t"/>
            </v:shape>
            <v:shape id="_x0000_s2336" style="position:absolute;left:11741;top:6023;width:165;height:707" coordorigin="11741,6023" coordsize="165,707" path="m11741,6023r,706l11906,6729r,-690l11741,6023xe" fillcolor="#ef412c" stroked="f">
              <v:path arrowok="t"/>
            </v:shape>
            <w10:wrap anchorx="page" anchory="page"/>
          </v:group>
        </w:pict>
      </w:r>
    </w:p>
    <w:p w14:paraId="5C982014" w14:textId="77777777" w:rsidR="00EF5B27" w:rsidRDefault="00EF5B27">
      <w:pPr>
        <w:pStyle w:val="BodyText"/>
      </w:pPr>
    </w:p>
    <w:p w14:paraId="5313962D" w14:textId="77777777" w:rsidR="00EF5B27" w:rsidRDefault="00EF5B27">
      <w:pPr>
        <w:pStyle w:val="BodyText"/>
      </w:pPr>
    </w:p>
    <w:p w14:paraId="3175204E" w14:textId="77777777" w:rsidR="00EF5B27" w:rsidRDefault="00EF5B27">
      <w:pPr>
        <w:pStyle w:val="BodyText"/>
        <w:spacing w:before="8"/>
      </w:pPr>
    </w:p>
    <w:p w14:paraId="75650FA6" w14:textId="77777777" w:rsidR="00EF5B27" w:rsidRDefault="00000000">
      <w:pPr>
        <w:pStyle w:val="Heading2"/>
        <w:spacing w:before="130" w:line="235" w:lineRule="auto"/>
        <w:ind w:right="465"/>
      </w:pPr>
      <w:bookmarkStart w:id="114" w:name="_bookmark76"/>
      <w:bookmarkEnd w:id="114"/>
      <w:r>
        <w:rPr>
          <w:color w:val="F99F2A"/>
        </w:rPr>
        <w:t>Appendix 2 – Summary of MNES monitoring methods and changes to MRF since</w:t>
      </w:r>
      <w:r>
        <w:rPr>
          <w:color w:val="F99F2A"/>
          <w:spacing w:val="56"/>
        </w:rPr>
        <w:t xml:space="preserve"> </w:t>
      </w:r>
      <w:r>
        <w:rPr>
          <w:color w:val="F99F2A"/>
        </w:rPr>
        <w:t>2015</w:t>
      </w:r>
    </w:p>
    <w:p w14:paraId="41163FCD" w14:textId="77777777" w:rsidR="00EF5B27" w:rsidRDefault="00EF5B27">
      <w:pPr>
        <w:pStyle w:val="BodyText"/>
        <w:spacing w:before="7"/>
        <w:rPr>
          <w:b/>
          <w:sz w:val="38"/>
        </w:rPr>
      </w:pPr>
    </w:p>
    <w:p w14:paraId="0D9A75EA" w14:textId="77777777" w:rsidR="00EF5B27" w:rsidRDefault="00000000">
      <w:pPr>
        <w:pStyle w:val="Heading6"/>
        <w:spacing w:line="254" w:lineRule="auto"/>
        <w:ind w:right="698"/>
        <w:rPr>
          <w:sz w:val="11"/>
        </w:rPr>
      </w:pPr>
      <w:r>
        <w:rPr>
          <w:color w:val="4D4D4F"/>
        </w:rPr>
        <w:t xml:space="preserve">Monitoring methods are presented for MNES below and each include a section documenting changes to the MRF since </w:t>
      </w:r>
      <w:r>
        <w:rPr>
          <w:color w:val="4D4D4F"/>
          <w:spacing w:val="-4"/>
        </w:rPr>
        <w:t xml:space="preserve">2015. </w:t>
      </w:r>
      <w:r>
        <w:rPr>
          <w:color w:val="4D4D4F"/>
        </w:rPr>
        <w:t xml:space="preserve">These are extracts from official documents that describe the ecological monitoring protocols for each MNES  as indicated – either the MSA </w:t>
      </w:r>
      <w:r>
        <w:rPr>
          <w:color w:val="4D4D4F"/>
          <w:spacing w:val="-4"/>
        </w:rPr>
        <w:t xml:space="preserve">2015 </w:t>
      </w:r>
      <w:r>
        <w:rPr>
          <w:color w:val="4D4D4F"/>
        </w:rPr>
        <w:t>MRF,</w:t>
      </w:r>
      <w:r>
        <w:rPr>
          <w:color w:val="4D4D4F"/>
          <w:position w:val="7"/>
          <w:sz w:val="11"/>
        </w:rPr>
        <w:t xml:space="preserve">308 </w:t>
      </w:r>
      <w:r>
        <w:rPr>
          <w:color w:val="4D4D4F"/>
        </w:rPr>
        <w:t xml:space="preserve">the </w:t>
      </w:r>
      <w:r>
        <w:rPr>
          <w:color w:val="4D4D4F"/>
          <w:spacing w:val="-4"/>
        </w:rPr>
        <w:t xml:space="preserve">2015 </w:t>
      </w:r>
      <w:r>
        <w:rPr>
          <w:color w:val="4D4D4F"/>
        </w:rPr>
        <w:t>Technical Protocols for Program Outcomes document,</w:t>
      </w:r>
      <w:r>
        <w:rPr>
          <w:color w:val="4D4D4F"/>
          <w:position w:val="7"/>
          <w:sz w:val="11"/>
        </w:rPr>
        <w:t xml:space="preserve">309 </w:t>
      </w:r>
      <w:r>
        <w:rPr>
          <w:color w:val="4D4D4F"/>
        </w:rPr>
        <w:t xml:space="preserve">and the Outcomes Report </w:t>
      </w:r>
      <w:r>
        <w:rPr>
          <w:color w:val="4D4D4F"/>
          <w:spacing w:val="-3"/>
        </w:rPr>
        <w:t>2014–2020.</w:t>
      </w:r>
      <w:r>
        <w:rPr>
          <w:color w:val="4D4D4F"/>
          <w:spacing w:val="-3"/>
          <w:position w:val="7"/>
          <w:sz w:val="11"/>
        </w:rPr>
        <w:t>310</w:t>
      </w:r>
    </w:p>
    <w:p w14:paraId="79AA4EB2" w14:textId="77777777" w:rsidR="00EF5B27" w:rsidRDefault="00EF5B27">
      <w:pPr>
        <w:pStyle w:val="BodyText"/>
        <w:spacing w:before="3"/>
        <w:rPr>
          <w:b/>
          <w:sz w:val="26"/>
        </w:rPr>
      </w:pPr>
    </w:p>
    <w:p w14:paraId="159A07D1" w14:textId="77777777" w:rsidR="00EF5B27" w:rsidRDefault="00000000">
      <w:pPr>
        <w:ind w:left="113"/>
        <w:rPr>
          <w:b/>
          <w:sz w:val="40"/>
        </w:rPr>
      </w:pPr>
      <w:r>
        <w:rPr>
          <w:b/>
          <w:color w:val="F99F2A"/>
          <w:sz w:val="40"/>
        </w:rPr>
        <w:t>MNES 1: Natural Temperate Grassland</w:t>
      </w:r>
    </w:p>
    <w:p w14:paraId="512A87DC" w14:textId="77777777" w:rsidR="00EF5B27" w:rsidRDefault="00000000">
      <w:pPr>
        <w:spacing w:before="329"/>
        <w:ind w:left="2608"/>
        <w:rPr>
          <w:b/>
          <w:sz w:val="11"/>
        </w:rPr>
      </w:pPr>
      <w:r>
        <w:rPr>
          <w:b/>
          <w:color w:val="4D4D4F"/>
          <w:w w:val="105"/>
          <w:sz w:val="20"/>
        </w:rPr>
        <w:t>The following is an extract from the Outcomes Report 2014–2020.</w:t>
      </w:r>
      <w:r>
        <w:rPr>
          <w:b/>
          <w:color w:val="4D4D4F"/>
          <w:w w:val="105"/>
          <w:position w:val="7"/>
          <w:sz w:val="11"/>
        </w:rPr>
        <w:t>311</w:t>
      </w:r>
    </w:p>
    <w:p w14:paraId="67AADFD5" w14:textId="77777777" w:rsidR="00EF5B27" w:rsidRDefault="00000000">
      <w:pPr>
        <w:pStyle w:val="BodyText"/>
        <w:spacing w:before="129"/>
        <w:ind w:left="2608"/>
      </w:pPr>
      <w:r>
        <w:rPr>
          <w:color w:val="4D4D4F"/>
        </w:rPr>
        <w:t>Three sampling methods are employed to monitor NTG, each described below.</w:t>
      </w:r>
    </w:p>
    <w:p w14:paraId="2159D136" w14:textId="77777777" w:rsidR="00EF5B27" w:rsidRDefault="00000000">
      <w:pPr>
        <w:pStyle w:val="Heading6"/>
        <w:spacing w:before="130"/>
      </w:pPr>
      <w:bookmarkStart w:id="115" w:name="_heading=h.3w19e94"/>
      <w:bookmarkEnd w:id="115"/>
      <w:r>
        <w:rPr>
          <w:color w:val="4D4D4F"/>
        </w:rPr>
        <w:t>State mapping</w:t>
      </w:r>
    </w:p>
    <w:p w14:paraId="0DBBCE80" w14:textId="77777777" w:rsidR="00EF5B27" w:rsidRDefault="00000000">
      <w:pPr>
        <w:pStyle w:val="BodyText"/>
        <w:spacing w:before="129"/>
        <w:ind w:left="2608"/>
      </w:pPr>
      <w:r>
        <w:rPr>
          <w:color w:val="4D4D4F"/>
        </w:rPr>
        <w:t>This method addresses the following KPI:</w:t>
      </w:r>
    </w:p>
    <w:p w14:paraId="78EDBBB8" w14:textId="77777777" w:rsidR="00EF5B27" w:rsidRDefault="00000000">
      <w:pPr>
        <w:pStyle w:val="BodyText"/>
        <w:spacing w:before="129"/>
        <w:ind w:left="2608"/>
      </w:pPr>
      <w:r>
        <w:rPr>
          <w:color w:val="4D4D4F"/>
        </w:rPr>
        <w:t>1. Hectares making transition between states</w:t>
      </w:r>
    </w:p>
    <w:p w14:paraId="53477D06" w14:textId="77777777" w:rsidR="00EF5B27" w:rsidRDefault="00000000">
      <w:pPr>
        <w:pStyle w:val="BodyText"/>
        <w:spacing w:before="129" w:line="254" w:lineRule="auto"/>
        <w:ind w:left="2608" w:right="304"/>
      </w:pPr>
      <w:r>
        <w:rPr>
          <w:color w:val="4D4D4F"/>
        </w:rPr>
        <w:t xml:space="preserve">Every new parcel of land is inspected upon acquisition, and any Natural Temperate Grassland is mapped according to the method described in the Conservation Area Inventory Guidelines (DELWP </w:t>
      </w:r>
      <w:r>
        <w:rPr>
          <w:color w:val="4D4D4F"/>
          <w:spacing w:val="-4"/>
        </w:rPr>
        <w:t>2015b)</w:t>
      </w:r>
      <w:r>
        <w:rPr>
          <w:color w:val="4D4D4F"/>
          <w:spacing w:val="-4"/>
          <w:position w:val="7"/>
          <w:sz w:val="11"/>
        </w:rPr>
        <w:t xml:space="preserve">312 </w:t>
      </w:r>
      <w:r>
        <w:rPr>
          <w:color w:val="4D4D4F"/>
        </w:rPr>
        <w:t xml:space="preserve">and assigned to a state using the Natural Temperate Grassland STM and the accompanying state key </w:t>
      </w:r>
      <w:r>
        <w:rPr>
          <w:color w:val="4D4D4F"/>
          <w:spacing w:val="-3"/>
        </w:rPr>
        <w:t xml:space="preserve">(Sinclair </w:t>
      </w:r>
      <w:r>
        <w:rPr>
          <w:color w:val="4D4D4F"/>
        </w:rPr>
        <w:t xml:space="preserve">et al. </w:t>
      </w:r>
      <w:r>
        <w:rPr>
          <w:color w:val="4D4D4F"/>
          <w:spacing w:val="-4"/>
        </w:rPr>
        <w:t xml:space="preserve">2019b). </w:t>
      </w:r>
      <w:r>
        <w:rPr>
          <w:color w:val="4D4D4F"/>
        </w:rPr>
        <w:t>Every property is remapped periodically, and any changes in state are recorded. These changes are reported on in five-year blocks and any changes are evaluated     as being positive, neutral or negative, according to Sinclair et al.</w:t>
      </w:r>
      <w:r>
        <w:rPr>
          <w:color w:val="4D4D4F"/>
          <w:position w:val="7"/>
          <w:sz w:val="11"/>
        </w:rPr>
        <w:t xml:space="preserve">313 </w:t>
      </w:r>
      <w:r>
        <w:rPr>
          <w:color w:val="4D4D4F"/>
        </w:rPr>
        <w:t>The first five-year period for reporting has been identified as</w:t>
      </w:r>
      <w:r>
        <w:rPr>
          <w:color w:val="4D4D4F"/>
          <w:spacing w:val="20"/>
        </w:rPr>
        <w:t xml:space="preserve"> </w:t>
      </w:r>
      <w:r>
        <w:rPr>
          <w:color w:val="4D4D4F"/>
        </w:rPr>
        <w:t>2015–2020.</w:t>
      </w:r>
    </w:p>
    <w:p w14:paraId="789440B1" w14:textId="77777777" w:rsidR="00EF5B27" w:rsidRDefault="00000000">
      <w:pPr>
        <w:pStyle w:val="Heading6"/>
        <w:spacing w:before="123"/>
      </w:pPr>
      <w:bookmarkStart w:id="116" w:name="_heading=h.2b6jogx"/>
      <w:bookmarkEnd w:id="116"/>
      <w:r>
        <w:rPr>
          <w:color w:val="4D4D4F"/>
        </w:rPr>
        <w:t>Intensive point intercept plots</w:t>
      </w:r>
    </w:p>
    <w:p w14:paraId="6A82CD9E" w14:textId="77777777" w:rsidR="00EF5B27" w:rsidRDefault="00000000">
      <w:pPr>
        <w:pStyle w:val="BodyText"/>
        <w:spacing w:before="130"/>
        <w:ind w:left="2608"/>
      </w:pPr>
      <w:r>
        <w:rPr>
          <w:color w:val="4D4D4F"/>
        </w:rPr>
        <w:t>This sampling method addresses the following KPIs:</w:t>
      </w:r>
    </w:p>
    <w:p w14:paraId="37172866" w14:textId="77777777" w:rsidR="00EF5B27" w:rsidRDefault="00000000">
      <w:pPr>
        <w:pStyle w:val="ListParagraph"/>
        <w:numPr>
          <w:ilvl w:val="0"/>
          <w:numId w:val="34"/>
        </w:numPr>
        <w:tabs>
          <w:tab w:val="left" w:pos="2779"/>
        </w:tabs>
        <w:spacing w:before="129"/>
        <w:rPr>
          <w:sz w:val="20"/>
        </w:rPr>
      </w:pPr>
      <w:r>
        <w:rPr>
          <w:color w:val="4D4D4F"/>
          <w:sz w:val="20"/>
        </w:rPr>
        <w:t>Cover of perennial native</w:t>
      </w:r>
      <w:r>
        <w:rPr>
          <w:color w:val="4D4D4F"/>
          <w:spacing w:val="16"/>
          <w:sz w:val="20"/>
        </w:rPr>
        <w:t xml:space="preserve"> </w:t>
      </w:r>
      <w:r>
        <w:rPr>
          <w:color w:val="4D4D4F"/>
          <w:sz w:val="20"/>
        </w:rPr>
        <w:t>herbs</w:t>
      </w:r>
    </w:p>
    <w:p w14:paraId="0E75B084" w14:textId="77777777" w:rsidR="00EF5B27" w:rsidRDefault="00000000">
      <w:pPr>
        <w:pStyle w:val="ListParagraph"/>
        <w:numPr>
          <w:ilvl w:val="0"/>
          <w:numId w:val="34"/>
        </w:numPr>
        <w:tabs>
          <w:tab w:val="left" w:pos="2779"/>
        </w:tabs>
        <w:spacing w:before="129"/>
        <w:rPr>
          <w:sz w:val="20"/>
        </w:rPr>
      </w:pPr>
      <w:r>
        <w:rPr>
          <w:color w:val="4D4D4F"/>
          <w:sz w:val="20"/>
        </w:rPr>
        <w:t>Diversity of perennial native</w:t>
      </w:r>
      <w:r>
        <w:rPr>
          <w:color w:val="4D4D4F"/>
          <w:spacing w:val="17"/>
          <w:sz w:val="20"/>
        </w:rPr>
        <w:t xml:space="preserve"> </w:t>
      </w:r>
      <w:r>
        <w:rPr>
          <w:color w:val="4D4D4F"/>
          <w:sz w:val="20"/>
        </w:rPr>
        <w:t>herbs</w:t>
      </w:r>
    </w:p>
    <w:p w14:paraId="54017B2A" w14:textId="77777777" w:rsidR="00EF5B27" w:rsidRDefault="00000000">
      <w:pPr>
        <w:pStyle w:val="ListParagraph"/>
        <w:numPr>
          <w:ilvl w:val="0"/>
          <w:numId w:val="34"/>
        </w:numPr>
        <w:tabs>
          <w:tab w:val="left" w:pos="2779"/>
        </w:tabs>
        <w:spacing w:before="129"/>
        <w:rPr>
          <w:sz w:val="20"/>
        </w:rPr>
      </w:pPr>
      <w:r>
        <w:rPr>
          <w:color w:val="4D4D4F"/>
          <w:w w:val="110"/>
          <w:sz w:val="20"/>
        </w:rPr>
        <w:t xml:space="preserve">Cover of Kangaroo Grass </w:t>
      </w:r>
      <w:r>
        <w:rPr>
          <w:color w:val="4D4D4F"/>
          <w:spacing w:val="-3"/>
          <w:w w:val="110"/>
          <w:sz w:val="20"/>
        </w:rPr>
        <w:t>(</w:t>
      </w:r>
      <w:r>
        <w:rPr>
          <w:rFonts w:ascii="Arial Narrow" w:hAnsi="Arial Narrow"/>
          <w:i/>
          <w:color w:val="4D4D4F"/>
          <w:spacing w:val="-3"/>
          <w:w w:val="110"/>
          <w:sz w:val="20"/>
        </w:rPr>
        <w:t>Themeda</w:t>
      </w:r>
      <w:r>
        <w:rPr>
          <w:rFonts w:ascii="Arial Narrow" w:hAnsi="Arial Narrow"/>
          <w:i/>
          <w:color w:val="4D4D4F"/>
          <w:spacing w:val="-8"/>
          <w:w w:val="110"/>
          <w:sz w:val="20"/>
        </w:rPr>
        <w:t xml:space="preserve"> </w:t>
      </w:r>
      <w:r>
        <w:rPr>
          <w:rFonts w:ascii="Arial Narrow" w:hAnsi="Arial Narrow"/>
          <w:i/>
          <w:color w:val="4D4D4F"/>
          <w:spacing w:val="-3"/>
          <w:w w:val="110"/>
          <w:sz w:val="20"/>
        </w:rPr>
        <w:t>triandra</w:t>
      </w:r>
      <w:r>
        <w:rPr>
          <w:color w:val="4D4D4F"/>
          <w:spacing w:val="-3"/>
          <w:w w:val="110"/>
          <w:sz w:val="20"/>
        </w:rPr>
        <w:t>)</w:t>
      </w:r>
    </w:p>
    <w:p w14:paraId="57DED179" w14:textId="77777777" w:rsidR="00EF5B27" w:rsidRDefault="00000000">
      <w:pPr>
        <w:pStyle w:val="ListParagraph"/>
        <w:numPr>
          <w:ilvl w:val="0"/>
          <w:numId w:val="34"/>
        </w:numPr>
        <w:tabs>
          <w:tab w:val="left" w:pos="2779"/>
        </w:tabs>
        <w:spacing w:before="130"/>
        <w:rPr>
          <w:sz w:val="20"/>
        </w:rPr>
      </w:pPr>
      <w:r>
        <w:rPr>
          <w:color w:val="4D4D4F"/>
          <w:w w:val="105"/>
          <w:sz w:val="20"/>
        </w:rPr>
        <w:t>C</w:t>
      </w:r>
      <w:bookmarkStart w:id="117" w:name="_heading=h.qbtyoq"/>
      <w:bookmarkEnd w:id="117"/>
      <w:r>
        <w:rPr>
          <w:color w:val="4D4D4F"/>
          <w:w w:val="105"/>
          <w:sz w:val="20"/>
        </w:rPr>
        <w:t xml:space="preserve">over of any native perennial grass </w:t>
      </w:r>
      <w:r>
        <w:rPr>
          <w:color w:val="4D4D4F"/>
          <w:spacing w:val="-3"/>
          <w:w w:val="105"/>
          <w:sz w:val="20"/>
        </w:rPr>
        <w:t xml:space="preserve">(excluding </w:t>
      </w:r>
      <w:r>
        <w:rPr>
          <w:rFonts w:ascii="Arial Narrow" w:hAnsi="Arial Narrow"/>
          <w:i/>
          <w:color w:val="4D4D4F"/>
          <w:w w:val="105"/>
          <w:sz w:val="20"/>
        </w:rPr>
        <w:t>Themeda</w:t>
      </w:r>
      <w:r>
        <w:rPr>
          <w:rFonts w:ascii="Arial Narrow" w:hAnsi="Arial Narrow"/>
          <w:i/>
          <w:color w:val="4D4D4F"/>
          <w:spacing w:val="19"/>
          <w:w w:val="105"/>
          <w:sz w:val="20"/>
        </w:rPr>
        <w:t xml:space="preserve"> </w:t>
      </w:r>
      <w:r>
        <w:rPr>
          <w:rFonts w:ascii="Arial Narrow" w:hAnsi="Arial Narrow"/>
          <w:i/>
          <w:color w:val="4D4D4F"/>
          <w:spacing w:val="-3"/>
          <w:w w:val="105"/>
          <w:sz w:val="20"/>
        </w:rPr>
        <w:t>triandra</w:t>
      </w:r>
      <w:r>
        <w:rPr>
          <w:color w:val="4D4D4F"/>
          <w:spacing w:val="-3"/>
          <w:w w:val="105"/>
          <w:sz w:val="20"/>
        </w:rPr>
        <w:t>)</w:t>
      </w:r>
    </w:p>
    <w:p w14:paraId="1A16F948" w14:textId="77777777" w:rsidR="00EF5B27" w:rsidRDefault="00000000">
      <w:pPr>
        <w:pStyle w:val="ListParagraph"/>
        <w:numPr>
          <w:ilvl w:val="0"/>
          <w:numId w:val="34"/>
        </w:numPr>
        <w:tabs>
          <w:tab w:val="left" w:pos="2779"/>
        </w:tabs>
        <w:spacing w:before="129"/>
        <w:rPr>
          <w:sz w:val="20"/>
        </w:rPr>
      </w:pPr>
      <w:r>
        <w:rPr>
          <w:color w:val="4D4D4F"/>
          <w:sz w:val="20"/>
        </w:rPr>
        <w:t>Cover of perennial</w:t>
      </w:r>
      <w:r>
        <w:rPr>
          <w:color w:val="4D4D4F"/>
          <w:spacing w:val="12"/>
          <w:sz w:val="20"/>
        </w:rPr>
        <w:t xml:space="preserve"> </w:t>
      </w:r>
      <w:r>
        <w:rPr>
          <w:color w:val="4D4D4F"/>
          <w:sz w:val="20"/>
        </w:rPr>
        <w:t>weeds.</w:t>
      </w:r>
    </w:p>
    <w:p w14:paraId="7E660F53" w14:textId="77777777" w:rsidR="00EF5B27" w:rsidRDefault="00000000">
      <w:pPr>
        <w:pStyle w:val="BodyText"/>
        <w:spacing w:before="129" w:line="254" w:lineRule="auto"/>
        <w:ind w:left="2608" w:right="151"/>
      </w:pPr>
      <w:r>
        <w:rPr>
          <w:color w:val="4D4D4F"/>
        </w:rPr>
        <w:t xml:space="preserve">The plots are stratified across the states, with a higher density of plots in the more intact states which are rarer in the MSA area and more highly valued (Herb-rich grassland, </w:t>
      </w:r>
      <w:r>
        <w:rPr>
          <w:rFonts w:ascii="Arial Narrow"/>
          <w:i/>
          <w:color w:val="4D4D4F"/>
        </w:rPr>
        <w:t xml:space="preserve">Themeda </w:t>
      </w:r>
      <w:r>
        <w:rPr>
          <w:color w:val="4D4D4F"/>
        </w:rPr>
        <w:t>grassland), and a lower density in the less intact states which are</w:t>
      </w:r>
    </w:p>
    <w:p w14:paraId="2C66F0FE" w14:textId="77777777" w:rsidR="00EF5B27" w:rsidRDefault="00EF5B27">
      <w:pPr>
        <w:pStyle w:val="BodyText"/>
      </w:pPr>
    </w:p>
    <w:p w14:paraId="04381446" w14:textId="77777777" w:rsidR="00EF5B27" w:rsidRDefault="00000000">
      <w:pPr>
        <w:pStyle w:val="BodyText"/>
        <w:spacing w:before="6"/>
      </w:pPr>
      <w:r>
        <w:pict w14:anchorId="6DABD1AF">
          <v:line id="_x0000_s2334" style="position:absolute;z-index:251756032;mso-wrap-distance-left:0;mso-wrap-distance-right:0;mso-position-horizontal-relative:page" from="181.4pt,14.75pt" to="538.6pt,14.75pt" strokecolor="#4d4d4f" strokeweight=".5pt">
            <w10:wrap type="topAndBottom" anchorx="page"/>
          </v:line>
        </w:pict>
      </w:r>
    </w:p>
    <w:p w14:paraId="766E664B" w14:textId="77777777" w:rsidR="00EF5B27" w:rsidRDefault="00000000">
      <w:pPr>
        <w:pStyle w:val="ListParagraph"/>
        <w:numPr>
          <w:ilvl w:val="0"/>
          <w:numId w:val="4"/>
        </w:numPr>
        <w:tabs>
          <w:tab w:val="left" w:pos="2836"/>
        </w:tabs>
        <w:spacing w:before="83" w:line="143" w:lineRule="exact"/>
        <w:rPr>
          <w:sz w:val="12"/>
        </w:rPr>
      </w:pPr>
      <w:r>
        <w:rPr>
          <w:color w:val="4D4D4F"/>
          <w:sz w:val="12"/>
        </w:rPr>
        <w:t>DELWP</w:t>
      </w:r>
      <w:r>
        <w:rPr>
          <w:color w:val="4D4D4F"/>
          <w:spacing w:val="15"/>
          <w:sz w:val="12"/>
        </w:rPr>
        <w:t xml:space="preserve"> </w:t>
      </w:r>
      <w:r>
        <w:rPr>
          <w:color w:val="4D4D4F"/>
          <w:sz w:val="12"/>
        </w:rPr>
        <w:t>2015,</w:t>
      </w:r>
      <w:r>
        <w:rPr>
          <w:color w:val="4D4D4F"/>
          <w:spacing w:val="16"/>
          <w:sz w:val="12"/>
        </w:rPr>
        <w:t xml:space="preserve"> </w:t>
      </w:r>
      <w:r>
        <w:rPr>
          <w:color w:val="4D4D4F"/>
          <w:sz w:val="12"/>
        </w:rPr>
        <w:t>‘Monitoring</w:t>
      </w:r>
      <w:r>
        <w:rPr>
          <w:color w:val="4D4D4F"/>
          <w:spacing w:val="15"/>
          <w:sz w:val="12"/>
        </w:rPr>
        <w:t xml:space="preserve"> </w:t>
      </w:r>
      <w:r>
        <w:rPr>
          <w:color w:val="4D4D4F"/>
          <w:sz w:val="12"/>
        </w:rPr>
        <w:t>and</w:t>
      </w:r>
      <w:r>
        <w:rPr>
          <w:color w:val="4D4D4F"/>
          <w:spacing w:val="16"/>
          <w:sz w:val="12"/>
        </w:rPr>
        <w:t xml:space="preserve"> </w:t>
      </w:r>
      <w:r>
        <w:rPr>
          <w:color w:val="4D4D4F"/>
          <w:sz w:val="12"/>
        </w:rPr>
        <w:t>Reporting</w:t>
      </w:r>
      <w:r>
        <w:rPr>
          <w:color w:val="4D4D4F"/>
          <w:spacing w:val="15"/>
          <w:sz w:val="12"/>
        </w:rPr>
        <w:t xml:space="preserve"> </w:t>
      </w:r>
      <w:r>
        <w:rPr>
          <w:color w:val="4D4D4F"/>
          <w:sz w:val="12"/>
        </w:rPr>
        <w:t>Framework</w:t>
      </w:r>
      <w:r>
        <w:rPr>
          <w:color w:val="4D4D4F"/>
          <w:spacing w:val="16"/>
          <w:sz w:val="12"/>
        </w:rPr>
        <w:t xml:space="preserve"> </w:t>
      </w:r>
      <w:r>
        <w:rPr>
          <w:color w:val="4D4D4F"/>
          <w:sz w:val="12"/>
        </w:rPr>
        <w:t>–</w:t>
      </w:r>
      <w:r>
        <w:rPr>
          <w:color w:val="4D4D4F"/>
          <w:spacing w:val="15"/>
          <w:sz w:val="12"/>
        </w:rPr>
        <w:t xml:space="preserve"> </w:t>
      </w:r>
      <w:r>
        <w:rPr>
          <w:color w:val="4D4D4F"/>
          <w:sz w:val="12"/>
        </w:rPr>
        <w:t>Melbourne</w:t>
      </w:r>
      <w:r>
        <w:rPr>
          <w:color w:val="4D4D4F"/>
          <w:spacing w:val="16"/>
          <w:sz w:val="12"/>
        </w:rPr>
        <w:t xml:space="preserve"> </w:t>
      </w:r>
      <w:r>
        <w:rPr>
          <w:color w:val="4D4D4F"/>
          <w:sz w:val="12"/>
        </w:rPr>
        <w:t>Strategic</w:t>
      </w:r>
      <w:r>
        <w:rPr>
          <w:color w:val="4D4D4F"/>
          <w:spacing w:val="15"/>
          <w:sz w:val="12"/>
        </w:rPr>
        <w:t xml:space="preserve"> </w:t>
      </w:r>
      <w:r>
        <w:rPr>
          <w:color w:val="4D4D4F"/>
          <w:sz w:val="12"/>
        </w:rPr>
        <w:t>Assessment’,</w:t>
      </w:r>
      <w:r>
        <w:rPr>
          <w:color w:val="4D4D4F"/>
          <w:spacing w:val="16"/>
          <w:sz w:val="12"/>
        </w:rPr>
        <w:t xml:space="preserve"> </w:t>
      </w:r>
      <w:r>
        <w:rPr>
          <w:color w:val="4D4D4F"/>
          <w:sz w:val="12"/>
        </w:rPr>
        <w:t>East</w:t>
      </w:r>
      <w:r>
        <w:rPr>
          <w:color w:val="4D4D4F"/>
          <w:spacing w:val="15"/>
          <w:sz w:val="12"/>
        </w:rPr>
        <w:t xml:space="preserve"> </w:t>
      </w:r>
      <w:r>
        <w:rPr>
          <w:color w:val="4D4D4F"/>
          <w:sz w:val="12"/>
        </w:rPr>
        <w:t>Melbourne,</w:t>
      </w:r>
      <w:r>
        <w:rPr>
          <w:color w:val="4D4D4F"/>
          <w:spacing w:val="15"/>
          <w:sz w:val="12"/>
        </w:rPr>
        <w:t xml:space="preserve"> </w:t>
      </w:r>
      <w:r>
        <w:rPr>
          <w:color w:val="4D4D4F"/>
          <w:sz w:val="12"/>
        </w:rPr>
        <w:t>Victoria.</w:t>
      </w:r>
    </w:p>
    <w:p w14:paraId="0457332D" w14:textId="77777777" w:rsidR="00EF5B27" w:rsidRDefault="00000000">
      <w:pPr>
        <w:pStyle w:val="ListParagraph"/>
        <w:numPr>
          <w:ilvl w:val="0"/>
          <w:numId w:val="4"/>
        </w:numPr>
        <w:tabs>
          <w:tab w:val="left" w:pos="2836"/>
        </w:tabs>
        <w:spacing w:line="140" w:lineRule="exact"/>
        <w:rPr>
          <w:sz w:val="12"/>
        </w:rPr>
      </w:pPr>
      <w:r>
        <w:rPr>
          <w:color w:val="4D4D4F"/>
          <w:sz w:val="12"/>
        </w:rPr>
        <w:t>DELWP</w:t>
      </w:r>
      <w:r>
        <w:rPr>
          <w:color w:val="4D4D4F"/>
          <w:spacing w:val="16"/>
          <w:sz w:val="12"/>
        </w:rPr>
        <w:t xml:space="preserve"> </w:t>
      </w:r>
      <w:r>
        <w:rPr>
          <w:color w:val="4D4D4F"/>
          <w:sz w:val="12"/>
        </w:rPr>
        <w:t>2015c,</w:t>
      </w:r>
      <w:r>
        <w:rPr>
          <w:color w:val="4D4D4F"/>
          <w:spacing w:val="16"/>
          <w:sz w:val="12"/>
        </w:rPr>
        <w:t xml:space="preserve"> </w:t>
      </w:r>
      <w:r>
        <w:rPr>
          <w:color w:val="4D4D4F"/>
          <w:sz w:val="12"/>
        </w:rPr>
        <w:t>‘Technical</w:t>
      </w:r>
      <w:r>
        <w:rPr>
          <w:color w:val="4D4D4F"/>
          <w:spacing w:val="17"/>
          <w:sz w:val="12"/>
        </w:rPr>
        <w:t xml:space="preserve"> </w:t>
      </w:r>
      <w:r>
        <w:rPr>
          <w:color w:val="4D4D4F"/>
          <w:spacing w:val="2"/>
          <w:sz w:val="12"/>
        </w:rPr>
        <w:t>Protocols</w:t>
      </w:r>
      <w:r>
        <w:rPr>
          <w:color w:val="4D4D4F"/>
          <w:spacing w:val="16"/>
          <w:sz w:val="12"/>
        </w:rPr>
        <w:t xml:space="preserve"> </w:t>
      </w:r>
      <w:r>
        <w:rPr>
          <w:color w:val="4D4D4F"/>
          <w:sz w:val="12"/>
        </w:rPr>
        <w:t>for</w:t>
      </w:r>
      <w:r>
        <w:rPr>
          <w:color w:val="4D4D4F"/>
          <w:spacing w:val="17"/>
          <w:sz w:val="12"/>
        </w:rPr>
        <w:t xml:space="preserve"> </w:t>
      </w:r>
      <w:r>
        <w:rPr>
          <w:color w:val="4D4D4F"/>
          <w:spacing w:val="2"/>
          <w:sz w:val="12"/>
        </w:rPr>
        <w:t>Program</w:t>
      </w:r>
      <w:r>
        <w:rPr>
          <w:color w:val="4D4D4F"/>
          <w:spacing w:val="16"/>
          <w:sz w:val="12"/>
        </w:rPr>
        <w:t xml:space="preserve"> </w:t>
      </w:r>
      <w:r>
        <w:rPr>
          <w:color w:val="4D4D4F"/>
          <w:sz w:val="12"/>
        </w:rPr>
        <w:t>Outcomes.</w:t>
      </w:r>
      <w:r>
        <w:rPr>
          <w:color w:val="4D4D4F"/>
          <w:spacing w:val="17"/>
          <w:sz w:val="12"/>
        </w:rPr>
        <w:t xml:space="preserve"> </w:t>
      </w:r>
      <w:r>
        <w:rPr>
          <w:color w:val="4D4D4F"/>
          <w:sz w:val="12"/>
        </w:rPr>
        <w:t>Melbourne</w:t>
      </w:r>
      <w:r>
        <w:rPr>
          <w:color w:val="4D4D4F"/>
          <w:spacing w:val="16"/>
          <w:sz w:val="12"/>
        </w:rPr>
        <w:t xml:space="preserve"> </w:t>
      </w:r>
      <w:r>
        <w:rPr>
          <w:color w:val="4D4D4F"/>
          <w:sz w:val="12"/>
        </w:rPr>
        <w:t>Strategic</w:t>
      </w:r>
      <w:r>
        <w:rPr>
          <w:color w:val="4D4D4F"/>
          <w:spacing w:val="17"/>
          <w:sz w:val="12"/>
        </w:rPr>
        <w:t xml:space="preserve"> </w:t>
      </w:r>
      <w:r>
        <w:rPr>
          <w:color w:val="4D4D4F"/>
          <w:sz w:val="12"/>
        </w:rPr>
        <w:t>Assessment’,</w:t>
      </w:r>
      <w:r>
        <w:rPr>
          <w:color w:val="4D4D4F"/>
          <w:spacing w:val="16"/>
          <w:sz w:val="12"/>
        </w:rPr>
        <w:t xml:space="preserve"> </w:t>
      </w:r>
      <w:r>
        <w:rPr>
          <w:color w:val="4D4D4F"/>
          <w:sz w:val="12"/>
        </w:rPr>
        <w:t>East</w:t>
      </w:r>
      <w:r>
        <w:rPr>
          <w:color w:val="4D4D4F"/>
          <w:spacing w:val="17"/>
          <w:sz w:val="12"/>
        </w:rPr>
        <w:t xml:space="preserve"> </w:t>
      </w:r>
      <w:r>
        <w:rPr>
          <w:color w:val="4D4D4F"/>
          <w:sz w:val="12"/>
        </w:rPr>
        <w:t>Melbourne,</w:t>
      </w:r>
      <w:r>
        <w:rPr>
          <w:color w:val="4D4D4F"/>
          <w:spacing w:val="16"/>
          <w:sz w:val="12"/>
        </w:rPr>
        <w:t xml:space="preserve"> </w:t>
      </w:r>
      <w:r>
        <w:rPr>
          <w:color w:val="4D4D4F"/>
          <w:sz w:val="12"/>
        </w:rPr>
        <w:t>Victoria.</w:t>
      </w:r>
    </w:p>
    <w:p w14:paraId="2052F66E" w14:textId="77777777" w:rsidR="00EF5B27" w:rsidRDefault="00000000">
      <w:pPr>
        <w:pStyle w:val="ListParagraph"/>
        <w:numPr>
          <w:ilvl w:val="0"/>
          <w:numId w:val="4"/>
        </w:numPr>
        <w:tabs>
          <w:tab w:val="left" w:pos="2836"/>
        </w:tabs>
        <w:spacing w:before="2" w:line="230" w:lineRule="auto"/>
        <w:ind w:right="112"/>
        <w:rPr>
          <w:sz w:val="12"/>
        </w:rPr>
      </w:pPr>
      <w:r>
        <w:rPr>
          <w:color w:val="4D4D4F"/>
          <w:spacing w:val="2"/>
          <w:sz w:val="12"/>
        </w:rPr>
        <w:t xml:space="preserve">Bruce </w:t>
      </w:r>
      <w:r>
        <w:rPr>
          <w:color w:val="4D4D4F"/>
          <w:sz w:val="12"/>
        </w:rPr>
        <w:t xml:space="preserve">M, Batpurev </w:t>
      </w:r>
      <w:r>
        <w:rPr>
          <w:color w:val="4D4D4F"/>
          <w:spacing w:val="2"/>
          <w:sz w:val="12"/>
        </w:rPr>
        <w:t xml:space="preserve">K, </w:t>
      </w:r>
      <w:r>
        <w:rPr>
          <w:color w:val="4D4D4F"/>
          <w:sz w:val="12"/>
        </w:rPr>
        <w:t xml:space="preserve">Bryant D, Sinclair S and Kohout M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DELWP, Heidelberg,</w:t>
      </w:r>
      <w:r>
        <w:rPr>
          <w:color w:val="4D4D4F"/>
          <w:spacing w:val="8"/>
          <w:sz w:val="12"/>
        </w:rPr>
        <w:t xml:space="preserve"> </w:t>
      </w:r>
      <w:r>
        <w:rPr>
          <w:color w:val="4D4D4F"/>
          <w:sz w:val="12"/>
        </w:rPr>
        <w:t>Victoria.</w:t>
      </w:r>
    </w:p>
    <w:p w14:paraId="29C48C77" w14:textId="77777777" w:rsidR="00EF5B27" w:rsidRDefault="00000000">
      <w:pPr>
        <w:pStyle w:val="ListParagraph"/>
        <w:numPr>
          <w:ilvl w:val="0"/>
          <w:numId w:val="4"/>
        </w:numPr>
        <w:tabs>
          <w:tab w:val="left" w:pos="2836"/>
        </w:tabs>
        <w:spacing w:line="230" w:lineRule="auto"/>
        <w:ind w:right="112"/>
        <w:rPr>
          <w:sz w:val="12"/>
        </w:rPr>
      </w:pPr>
      <w:r>
        <w:rPr>
          <w:color w:val="4D4D4F"/>
          <w:spacing w:val="2"/>
          <w:sz w:val="12"/>
        </w:rPr>
        <w:t xml:space="preserve">Bruce </w:t>
      </w:r>
      <w:r>
        <w:rPr>
          <w:color w:val="4D4D4F"/>
          <w:sz w:val="12"/>
        </w:rPr>
        <w:t xml:space="preserve">M, Batpurev </w:t>
      </w:r>
      <w:r>
        <w:rPr>
          <w:color w:val="4D4D4F"/>
          <w:spacing w:val="2"/>
          <w:sz w:val="12"/>
        </w:rPr>
        <w:t xml:space="preserve">K, </w:t>
      </w:r>
      <w:r>
        <w:rPr>
          <w:color w:val="4D4D4F"/>
          <w:sz w:val="12"/>
        </w:rPr>
        <w:t xml:space="preserve">Bryant D, Sinclair S and Kohout M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DELWP, Heidelberg,</w:t>
      </w:r>
      <w:r>
        <w:rPr>
          <w:color w:val="4D4D4F"/>
          <w:spacing w:val="8"/>
          <w:sz w:val="12"/>
        </w:rPr>
        <w:t xml:space="preserve"> </w:t>
      </w:r>
      <w:r>
        <w:rPr>
          <w:color w:val="4D4D4F"/>
          <w:sz w:val="12"/>
        </w:rPr>
        <w:t>Victoria.</w:t>
      </w:r>
    </w:p>
    <w:p w14:paraId="744D750A" w14:textId="77777777" w:rsidR="00EF5B27" w:rsidRDefault="00000000">
      <w:pPr>
        <w:pStyle w:val="ListParagraph"/>
        <w:numPr>
          <w:ilvl w:val="0"/>
          <w:numId w:val="4"/>
        </w:numPr>
        <w:tabs>
          <w:tab w:val="left" w:pos="2836"/>
        </w:tabs>
        <w:spacing w:line="138" w:lineRule="exact"/>
        <w:rPr>
          <w:sz w:val="12"/>
        </w:rPr>
      </w:pPr>
      <w:r>
        <w:rPr>
          <w:color w:val="4D4D4F"/>
          <w:sz w:val="12"/>
        </w:rPr>
        <w:t>DELWP</w:t>
      </w:r>
      <w:r>
        <w:rPr>
          <w:color w:val="4D4D4F"/>
          <w:spacing w:val="5"/>
          <w:sz w:val="12"/>
        </w:rPr>
        <w:t xml:space="preserve"> </w:t>
      </w:r>
      <w:r>
        <w:rPr>
          <w:color w:val="4D4D4F"/>
          <w:sz w:val="12"/>
        </w:rPr>
        <w:t>2015b,</w:t>
      </w:r>
      <w:r>
        <w:rPr>
          <w:color w:val="4D4D4F"/>
          <w:spacing w:val="5"/>
          <w:sz w:val="12"/>
        </w:rPr>
        <w:t xml:space="preserve"> </w:t>
      </w:r>
      <w:r>
        <w:rPr>
          <w:color w:val="4D4D4F"/>
          <w:sz w:val="12"/>
        </w:rPr>
        <w:t>‘Conservation</w:t>
      </w:r>
      <w:r>
        <w:rPr>
          <w:color w:val="4D4D4F"/>
          <w:spacing w:val="5"/>
          <w:sz w:val="12"/>
        </w:rPr>
        <w:t xml:space="preserve"> </w:t>
      </w:r>
      <w:r>
        <w:rPr>
          <w:color w:val="4D4D4F"/>
          <w:spacing w:val="2"/>
          <w:sz w:val="12"/>
        </w:rPr>
        <w:t>Area</w:t>
      </w:r>
      <w:r>
        <w:rPr>
          <w:color w:val="4D4D4F"/>
          <w:spacing w:val="6"/>
          <w:sz w:val="12"/>
        </w:rPr>
        <w:t xml:space="preserve"> </w:t>
      </w:r>
      <w:r>
        <w:rPr>
          <w:color w:val="4D4D4F"/>
          <w:sz w:val="12"/>
        </w:rPr>
        <w:t>Inventory</w:t>
      </w:r>
      <w:r>
        <w:rPr>
          <w:color w:val="4D4D4F"/>
          <w:spacing w:val="5"/>
          <w:sz w:val="12"/>
        </w:rPr>
        <w:t xml:space="preserve"> </w:t>
      </w:r>
      <w:r>
        <w:rPr>
          <w:color w:val="4D4D4F"/>
          <w:sz w:val="12"/>
        </w:rPr>
        <w:t>Guidelines.</w:t>
      </w:r>
      <w:r>
        <w:rPr>
          <w:color w:val="4D4D4F"/>
          <w:spacing w:val="5"/>
          <w:sz w:val="12"/>
        </w:rPr>
        <w:t xml:space="preserve"> </w:t>
      </w:r>
      <w:r>
        <w:rPr>
          <w:color w:val="4D4D4F"/>
          <w:sz w:val="12"/>
        </w:rPr>
        <w:t>Melbourne</w:t>
      </w:r>
      <w:r>
        <w:rPr>
          <w:color w:val="4D4D4F"/>
          <w:spacing w:val="6"/>
          <w:sz w:val="12"/>
        </w:rPr>
        <w:t xml:space="preserve"> </w:t>
      </w:r>
      <w:r>
        <w:rPr>
          <w:color w:val="4D4D4F"/>
          <w:sz w:val="12"/>
        </w:rPr>
        <w:t>Strategic</w:t>
      </w:r>
      <w:r>
        <w:rPr>
          <w:color w:val="4D4D4F"/>
          <w:spacing w:val="5"/>
          <w:sz w:val="12"/>
        </w:rPr>
        <w:t xml:space="preserve"> </w:t>
      </w:r>
      <w:r>
        <w:rPr>
          <w:color w:val="4D4D4F"/>
          <w:sz w:val="12"/>
        </w:rPr>
        <w:t>Assessment’,</w:t>
      </w:r>
      <w:r>
        <w:rPr>
          <w:color w:val="4D4D4F"/>
          <w:spacing w:val="5"/>
          <w:sz w:val="12"/>
        </w:rPr>
        <w:t xml:space="preserve"> </w:t>
      </w:r>
      <w:r>
        <w:rPr>
          <w:color w:val="4D4D4F"/>
          <w:sz w:val="12"/>
        </w:rPr>
        <w:t>East</w:t>
      </w:r>
      <w:r>
        <w:rPr>
          <w:color w:val="4D4D4F"/>
          <w:spacing w:val="6"/>
          <w:sz w:val="12"/>
        </w:rPr>
        <w:t xml:space="preserve"> </w:t>
      </w:r>
      <w:r>
        <w:rPr>
          <w:color w:val="4D4D4F"/>
          <w:sz w:val="12"/>
        </w:rPr>
        <w:t>Melbourne,</w:t>
      </w:r>
      <w:r>
        <w:rPr>
          <w:color w:val="4D4D4F"/>
          <w:spacing w:val="5"/>
          <w:sz w:val="12"/>
        </w:rPr>
        <w:t xml:space="preserve"> </w:t>
      </w:r>
      <w:r>
        <w:rPr>
          <w:color w:val="4D4D4F"/>
          <w:sz w:val="12"/>
        </w:rPr>
        <w:t>Victoria.</w:t>
      </w:r>
    </w:p>
    <w:p w14:paraId="5A8FE93B" w14:textId="77777777" w:rsidR="00EF5B27" w:rsidRDefault="00000000">
      <w:pPr>
        <w:pStyle w:val="ListParagraph"/>
        <w:numPr>
          <w:ilvl w:val="0"/>
          <w:numId w:val="4"/>
        </w:numPr>
        <w:tabs>
          <w:tab w:val="left" w:pos="2836"/>
        </w:tabs>
        <w:spacing w:line="230" w:lineRule="auto"/>
        <w:ind w:right="112"/>
        <w:rPr>
          <w:sz w:val="12"/>
        </w:rPr>
      </w:pPr>
      <w:r>
        <w:rPr>
          <w:color w:val="4D4D4F"/>
          <w:sz w:val="12"/>
        </w:rPr>
        <w:t xml:space="preserve">Sinclair </w:t>
      </w:r>
      <w:r>
        <w:rPr>
          <w:color w:val="4D4D4F"/>
          <w:w w:val="110"/>
          <w:sz w:val="12"/>
        </w:rPr>
        <w:t xml:space="preserve">SJ, </w:t>
      </w:r>
      <w:r>
        <w:rPr>
          <w:color w:val="4D4D4F"/>
          <w:sz w:val="12"/>
        </w:rPr>
        <w:t xml:space="preserve">Zamin </w:t>
      </w:r>
      <w:r>
        <w:rPr>
          <w:color w:val="4D4D4F"/>
          <w:spacing w:val="-3"/>
          <w:sz w:val="12"/>
        </w:rPr>
        <w:t xml:space="preserve">T, </w:t>
      </w:r>
      <w:r>
        <w:rPr>
          <w:color w:val="4D4D4F"/>
          <w:sz w:val="12"/>
        </w:rPr>
        <w:t xml:space="preserve">Gibson-Roy </w:t>
      </w:r>
      <w:r>
        <w:rPr>
          <w:color w:val="4D4D4F"/>
          <w:spacing w:val="-5"/>
          <w:sz w:val="12"/>
        </w:rPr>
        <w:t xml:space="preserve">P, </w:t>
      </w:r>
      <w:r>
        <w:rPr>
          <w:color w:val="4D4D4F"/>
          <w:spacing w:val="2"/>
          <w:sz w:val="12"/>
        </w:rPr>
        <w:t xml:space="preserve">Dorrough </w:t>
      </w:r>
      <w:r>
        <w:rPr>
          <w:color w:val="4D4D4F"/>
          <w:w w:val="110"/>
          <w:sz w:val="12"/>
        </w:rPr>
        <w:t xml:space="preserve">J, </w:t>
      </w:r>
      <w:r>
        <w:rPr>
          <w:color w:val="4D4D4F"/>
          <w:sz w:val="12"/>
        </w:rPr>
        <w:t xml:space="preserve">Wong N, Craigie </w:t>
      </w:r>
      <w:r>
        <w:rPr>
          <w:color w:val="4D4D4F"/>
          <w:spacing w:val="-3"/>
          <w:sz w:val="12"/>
        </w:rPr>
        <w:t xml:space="preserve">V, </w:t>
      </w:r>
      <w:r>
        <w:rPr>
          <w:color w:val="4D4D4F"/>
          <w:spacing w:val="2"/>
          <w:sz w:val="12"/>
        </w:rPr>
        <w:t xml:space="preserve">Garrard </w:t>
      </w:r>
      <w:r>
        <w:rPr>
          <w:color w:val="4D4D4F"/>
          <w:sz w:val="12"/>
        </w:rPr>
        <w:t xml:space="preserve">GE and </w:t>
      </w:r>
      <w:r>
        <w:rPr>
          <w:color w:val="4D4D4F"/>
          <w:spacing w:val="2"/>
          <w:sz w:val="12"/>
        </w:rPr>
        <w:t xml:space="preserve">Moore </w:t>
      </w:r>
      <w:r>
        <w:rPr>
          <w:color w:val="4D4D4F"/>
          <w:w w:val="110"/>
          <w:sz w:val="12"/>
        </w:rPr>
        <w:t xml:space="preserve">JL </w:t>
      </w:r>
      <w:r>
        <w:rPr>
          <w:color w:val="4D4D4F"/>
          <w:sz w:val="12"/>
        </w:rPr>
        <w:t xml:space="preserve">2019, ‘A state-and-transition model to guide grassland management.’ Australian Journal of Botany </w:t>
      </w:r>
      <w:r>
        <w:rPr>
          <w:color w:val="4D4D4F"/>
          <w:spacing w:val="-4"/>
          <w:sz w:val="12"/>
        </w:rPr>
        <w:t xml:space="preserve">67, </w:t>
      </w:r>
      <w:r>
        <w:rPr>
          <w:color w:val="4D4D4F"/>
          <w:spacing w:val="2"/>
          <w:sz w:val="12"/>
        </w:rPr>
        <w:t>437-453.</w:t>
      </w:r>
    </w:p>
    <w:p w14:paraId="5DF36C26" w14:textId="77777777" w:rsidR="00EF5B27" w:rsidRDefault="00EF5B27">
      <w:pPr>
        <w:spacing w:line="230" w:lineRule="auto"/>
        <w:rPr>
          <w:sz w:val="12"/>
        </w:rPr>
        <w:sectPr w:rsidR="00EF5B27">
          <w:headerReference w:type="default" r:id="rId178"/>
          <w:pgSz w:w="11910" w:h="16840"/>
          <w:pgMar w:top="1080" w:right="1020" w:bottom="860" w:left="1020" w:header="537" w:footer="678" w:gutter="0"/>
          <w:pgNumType w:start="170"/>
          <w:cols w:space="720"/>
        </w:sectPr>
      </w:pPr>
    </w:p>
    <w:p w14:paraId="5E88E756" w14:textId="77777777" w:rsidR="00EF5B27" w:rsidRDefault="00000000">
      <w:pPr>
        <w:pStyle w:val="BodyText"/>
      </w:pPr>
      <w:r>
        <w:lastRenderedPageBreak/>
        <w:pict w14:anchorId="73981CBC">
          <v:group id="_x0000_s2326" style="position:absolute;margin-left:587.05pt;margin-top:183.4pt;width:8.25pt;height:153.1pt;z-index:251788800;mso-position-horizontal-relative:page;mso-position-vertical-relative:page" coordorigin="11741,3668" coordsize="165,3062">
            <v:shape id="_x0000_s2333" style="position:absolute;left:11741;top:3668;width:165;height:561" coordorigin="11741,3668" coordsize="165,561" path="m11906,3668r-165,l11741,4228r165,-18l11906,3668xe" fillcolor="#00aed9" stroked="f">
              <v:path arrowok="t"/>
            </v:shape>
            <v:shape id="_x0000_s2332" style="position:absolute;left:11741;top:4118;width:165;height:425" coordorigin="11741,4118" coordsize="165,425" path="m11906,4118r-165,14l11741,4531r165,12l11906,4118xe" fillcolor="#047ebc" stroked="f">
              <v:path arrowok="t"/>
            </v:shape>
            <v:shape id="_x0000_s2331" type="#_x0000_t75" style="position:absolute;left:11741;top:4355;width:165;height:587">
              <v:imagedata r:id="rId42" o:title=""/>
            </v:shape>
            <v:shape id="_x0000_s2330" style="position:absolute;left:11741;top:5343;width:165;height:536" coordorigin="11741,5343" coordsize="165,536" path="m11741,5343r,535l11906,5872r,-525l11741,5343xe" fillcolor="#f36a2e" stroked="f">
              <v:path arrowok="t"/>
            </v:shape>
            <v:shape id="_x0000_s2329" style="position:absolute;left:11741;top:4925;width:165;height:501" coordorigin="11741,4926" coordsize="165,501" path="m11741,4926r,500l11906,5426r,-485l11741,4926xe" fillcolor="#49783f" stroked="f">
              <v:path arrowok="t"/>
            </v:shape>
            <v:shape id="_x0000_s2328" style="position:absolute;left:11741;top:5781;width:165;height:268" coordorigin="11741,5782" coordsize="165,268" path="m11906,5782r-165,8l11741,6039r165,10l11906,5782xe" fillcolor="#f99f2a" stroked="f">
              <v:path arrowok="t"/>
            </v:shape>
            <v:shape id="_x0000_s2327" style="position:absolute;left:11741;top:6023;width:165;height:707" coordorigin="11741,6023" coordsize="165,707" path="m11741,6023r,706l11906,6729r,-690l11741,6023xe" fillcolor="#ef412c" stroked="f">
              <v:path arrowok="t"/>
            </v:shape>
            <w10:wrap anchorx="page" anchory="page"/>
          </v:group>
        </w:pict>
      </w:r>
    </w:p>
    <w:p w14:paraId="451FBFE9" w14:textId="77777777" w:rsidR="00EF5B27" w:rsidRDefault="00EF5B27">
      <w:pPr>
        <w:pStyle w:val="BodyText"/>
      </w:pPr>
    </w:p>
    <w:p w14:paraId="6E12162C" w14:textId="77777777" w:rsidR="00EF5B27" w:rsidRDefault="00EF5B27">
      <w:pPr>
        <w:pStyle w:val="BodyText"/>
      </w:pPr>
    </w:p>
    <w:p w14:paraId="46E98F98" w14:textId="77777777" w:rsidR="00EF5B27" w:rsidRDefault="00EF5B27">
      <w:pPr>
        <w:pStyle w:val="BodyText"/>
        <w:spacing w:before="4"/>
        <w:rPr>
          <w:sz w:val="25"/>
        </w:rPr>
      </w:pPr>
    </w:p>
    <w:p w14:paraId="09368C92" w14:textId="77777777" w:rsidR="00EF5B27" w:rsidRDefault="00000000">
      <w:pPr>
        <w:pStyle w:val="BodyText"/>
        <w:spacing w:before="100" w:line="254" w:lineRule="auto"/>
        <w:ind w:left="2608" w:right="137"/>
      </w:pPr>
      <w:r>
        <w:rPr>
          <w:color w:val="4D4D4F"/>
        </w:rPr>
        <w:t>more widespread (C3 grassland, Nutrient-enriched Grassland, De-rocked grassland) (The</w:t>
      </w:r>
      <w:r>
        <w:rPr>
          <w:color w:val="4D4D4F"/>
          <w:spacing w:val="5"/>
        </w:rPr>
        <w:t xml:space="preserve"> </w:t>
      </w:r>
      <w:r>
        <w:rPr>
          <w:color w:val="4D4D4F"/>
        </w:rPr>
        <w:t>MRF</w:t>
      </w:r>
      <w:r>
        <w:rPr>
          <w:color w:val="4D4D4F"/>
          <w:spacing w:val="6"/>
        </w:rPr>
        <w:t xml:space="preserve"> </w:t>
      </w:r>
      <w:r>
        <w:rPr>
          <w:color w:val="4D4D4F"/>
        </w:rPr>
        <w:t>provides</w:t>
      </w:r>
      <w:r>
        <w:rPr>
          <w:color w:val="4D4D4F"/>
          <w:spacing w:val="5"/>
        </w:rPr>
        <w:t xml:space="preserve"> </w:t>
      </w:r>
      <w:r>
        <w:rPr>
          <w:color w:val="4D4D4F"/>
        </w:rPr>
        <w:t>density</w:t>
      </w:r>
      <w:r>
        <w:rPr>
          <w:color w:val="4D4D4F"/>
          <w:spacing w:val="6"/>
        </w:rPr>
        <w:t xml:space="preserve"> </w:t>
      </w:r>
      <w:r>
        <w:rPr>
          <w:color w:val="4D4D4F"/>
        </w:rPr>
        <w:t>guidelines,</w:t>
      </w:r>
      <w:r>
        <w:rPr>
          <w:color w:val="4D4D4F"/>
          <w:spacing w:val="5"/>
        </w:rPr>
        <w:t xml:space="preserve"> </w:t>
      </w:r>
      <w:r>
        <w:rPr>
          <w:color w:val="4D4D4F"/>
        </w:rPr>
        <w:t>and</w:t>
      </w:r>
      <w:r>
        <w:rPr>
          <w:color w:val="4D4D4F"/>
          <w:spacing w:val="6"/>
        </w:rPr>
        <w:t xml:space="preserve"> </w:t>
      </w:r>
      <w:r>
        <w:rPr>
          <w:color w:val="4D4D4F"/>
          <w:spacing w:val="-4"/>
        </w:rPr>
        <w:t>Table</w:t>
      </w:r>
      <w:r>
        <w:rPr>
          <w:color w:val="4D4D4F"/>
          <w:spacing w:val="6"/>
        </w:rPr>
        <w:t xml:space="preserve"> </w:t>
      </w:r>
      <w:r>
        <w:rPr>
          <w:color w:val="4D4D4F"/>
        </w:rPr>
        <w:t>1</w:t>
      </w:r>
      <w:r>
        <w:rPr>
          <w:color w:val="4D4D4F"/>
          <w:spacing w:val="5"/>
        </w:rPr>
        <w:t xml:space="preserve"> </w:t>
      </w:r>
      <w:r>
        <w:rPr>
          <w:color w:val="4D4D4F"/>
        </w:rPr>
        <w:t>shows</w:t>
      </w:r>
      <w:r>
        <w:rPr>
          <w:color w:val="4D4D4F"/>
          <w:spacing w:val="6"/>
        </w:rPr>
        <w:t xml:space="preserve"> </w:t>
      </w:r>
      <w:r>
        <w:rPr>
          <w:color w:val="4D4D4F"/>
        </w:rPr>
        <w:t>the</w:t>
      </w:r>
      <w:r>
        <w:rPr>
          <w:color w:val="4D4D4F"/>
          <w:spacing w:val="5"/>
        </w:rPr>
        <w:t xml:space="preserve"> </w:t>
      </w:r>
      <w:r>
        <w:rPr>
          <w:color w:val="4D4D4F"/>
        </w:rPr>
        <w:t>plot</w:t>
      </w:r>
      <w:r>
        <w:rPr>
          <w:color w:val="4D4D4F"/>
          <w:spacing w:val="6"/>
        </w:rPr>
        <w:t xml:space="preserve"> </w:t>
      </w:r>
      <w:r>
        <w:rPr>
          <w:color w:val="4D4D4F"/>
        </w:rPr>
        <w:t>allocations</w:t>
      </w:r>
      <w:r>
        <w:rPr>
          <w:color w:val="4D4D4F"/>
          <w:spacing w:val="6"/>
        </w:rPr>
        <w:t xml:space="preserve"> </w:t>
      </w:r>
      <w:r>
        <w:rPr>
          <w:color w:val="4D4D4F"/>
        </w:rPr>
        <w:t>by</w:t>
      </w:r>
      <w:r>
        <w:rPr>
          <w:color w:val="4D4D4F"/>
          <w:spacing w:val="5"/>
        </w:rPr>
        <w:t xml:space="preserve"> </w:t>
      </w:r>
      <w:r>
        <w:rPr>
          <w:color w:val="4D4D4F"/>
        </w:rPr>
        <w:t>state).</w:t>
      </w:r>
    </w:p>
    <w:p w14:paraId="0CBB620F" w14:textId="77777777" w:rsidR="00EF5B27" w:rsidRDefault="00000000">
      <w:pPr>
        <w:pStyle w:val="BodyText"/>
        <w:spacing w:before="116" w:line="254" w:lineRule="auto"/>
        <w:ind w:left="2608" w:right="112"/>
        <w:jc w:val="both"/>
      </w:pPr>
      <w:r>
        <w:rPr>
          <w:color w:val="4D4D4F"/>
        </w:rPr>
        <w:t>Approximately 75% of the plots in each state are permanent (and marked) and 25% re- allocated annually (and not marked). This mix of plots was selected to gain the benefits of learning about change with repeat measures (permanent plots), and to partly</w:t>
      </w:r>
    </w:p>
    <w:p w14:paraId="0BAD8297" w14:textId="77777777" w:rsidR="00EF5B27" w:rsidRDefault="00000000">
      <w:pPr>
        <w:pStyle w:val="BodyText"/>
        <w:spacing w:before="4" w:line="254" w:lineRule="auto"/>
        <w:ind w:left="2608" w:right="388" w:hanging="1"/>
        <w:jc w:val="both"/>
      </w:pPr>
      <w:r>
        <w:rPr>
          <w:color w:val="4D4D4F"/>
        </w:rPr>
        <w:t>avoid the danger of biasing management towards the plot locations.</w:t>
      </w:r>
      <w:r>
        <w:rPr>
          <w:color w:val="4D4D4F"/>
          <w:position w:val="7"/>
          <w:sz w:val="11"/>
        </w:rPr>
        <w:t xml:space="preserve">314,315,316 </w:t>
      </w:r>
      <w:hyperlink w:anchor="_bookmark78" w:history="1">
        <w:r>
          <w:rPr>
            <w:color w:val="4D4D4F"/>
          </w:rPr>
          <w:t>Table 9</w:t>
        </w:r>
      </w:hyperlink>
      <w:r>
        <w:rPr>
          <w:color w:val="4D4D4F"/>
        </w:rPr>
        <w:t xml:space="preserve"> summarises how the plots have been deployed over multiple years of sampling as new properties have been protected, and new plots introduced and re-randomised.</w:t>
      </w:r>
    </w:p>
    <w:p w14:paraId="1A77839E" w14:textId="77777777" w:rsidR="00EF5B27" w:rsidRDefault="00000000">
      <w:pPr>
        <w:pStyle w:val="BodyText"/>
        <w:spacing w:before="117" w:line="254" w:lineRule="auto"/>
        <w:ind w:left="2608" w:right="210"/>
      </w:pPr>
      <w:r>
        <w:rPr>
          <w:color w:val="4D4D4F"/>
        </w:rPr>
        <w:t>Within the stratification by state the plots are located randomly, with the exception that additional permanent plots are located on Spiny Rice-flower clusters (See Spiny Rice-flower section). All such Spiny Rice-flower plots fall in Herb-rich grassland, such that this state experiences some bias towards sites occupied by Spiny Rice-flower. In 2019, three of 14 permanent plots are allocated to Spiny Rice-flower clusters.</w:t>
      </w:r>
    </w:p>
    <w:p w14:paraId="7601170B" w14:textId="77777777" w:rsidR="00EF5B27" w:rsidRDefault="00000000">
      <w:pPr>
        <w:pStyle w:val="BodyText"/>
        <w:spacing w:before="119" w:line="254" w:lineRule="auto"/>
        <w:ind w:left="2608"/>
      </w:pPr>
      <w:r>
        <w:rPr>
          <w:color w:val="4D4D4F"/>
        </w:rPr>
        <w:t>Each plot is a square 400 m</w:t>
      </w:r>
      <w:r>
        <w:rPr>
          <w:color w:val="4D4D4F"/>
          <w:position w:val="7"/>
          <w:sz w:val="11"/>
        </w:rPr>
        <w:t xml:space="preserve">2 </w:t>
      </w:r>
      <w:r>
        <w:rPr>
          <w:color w:val="4D4D4F"/>
        </w:rPr>
        <w:t>in area (20 x 20 m), aligned north-south. Within each plot, five 20 m lines are laid out across the plot, running east-west (at 2, 6, 10, 14 and 18</w:t>
      </w:r>
    </w:p>
    <w:p w14:paraId="22DDE840" w14:textId="77777777" w:rsidR="00EF5B27" w:rsidRDefault="00000000">
      <w:pPr>
        <w:pStyle w:val="BodyText"/>
        <w:spacing w:before="3" w:line="254" w:lineRule="auto"/>
        <w:ind w:left="2608" w:right="287"/>
      </w:pPr>
      <w:r>
        <w:rPr>
          <w:color w:val="4D4D4F"/>
        </w:rPr>
        <w:t xml:space="preserve">m along the north-south axis). Each line defines a set of 50 sampling points, located 40 cm apart, such that the plot contains 250 sampling points. At each point, a narrow pin is held vertically and any vascular plant species, exposed rock, detached plant </w:t>
      </w:r>
      <w:r>
        <w:rPr>
          <w:color w:val="4D4D4F"/>
          <w:spacing w:val="-4"/>
        </w:rPr>
        <w:t>litter,</w:t>
      </w:r>
      <w:r>
        <w:rPr>
          <w:color w:val="4D4D4F"/>
          <w:spacing w:val="9"/>
        </w:rPr>
        <w:t xml:space="preserve"> </w:t>
      </w:r>
      <w:r>
        <w:rPr>
          <w:color w:val="4D4D4F"/>
        </w:rPr>
        <w:t>bare</w:t>
      </w:r>
      <w:r>
        <w:rPr>
          <w:color w:val="4D4D4F"/>
          <w:spacing w:val="10"/>
        </w:rPr>
        <w:t xml:space="preserve"> </w:t>
      </w:r>
      <w:r>
        <w:rPr>
          <w:color w:val="4D4D4F"/>
        </w:rPr>
        <w:t>ground</w:t>
      </w:r>
      <w:r>
        <w:rPr>
          <w:color w:val="4D4D4F"/>
          <w:spacing w:val="10"/>
        </w:rPr>
        <w:t xml:space="preserve"> </w:t>
      </w:r>
      <w:r>
        <w:rPr>
          <w:color w:val="4D4D4F"/>
        </w:rPr>
        <w:t>or</w:t>
      </w:r>
      <w:r>
        <w:rPr>
          <w:color w:val="4D4D4F"/>
          <w:spacing w:val="10"/>
        </w:rPr>
        <w:t xml:space="preserve"> </w:t>
      </w:r>
      <w:r>
        <w:rPr>
          <w:color w:val="4D4D4F"/>
        </w:rPr>
        <w:t>moss</w:t>
      </w:r>
      <w:r>
        <w:rPr>
          <w:color w:val="4D4D4F"/>
          <w:spacing w:val="10"/>
        </w:rPr>
        <w:t xml:space="preserve"> </w:t>
      </w:r>
      <w:r>
        <w:rPr>
          <w:color w:val="4D4D4F"/>
        </w:rPr>
        <w:t>intersecting</w:t>
      </w:r>
      <w:r>
        <w:rPr>
          <w:color w:val="4D4D4F"/>
          <w:spacing w:val="9"/>
        </w:rPr>
        <w:t xml:space="preserve"> </w:t>
      </w:r>
      <w:r>
        <w:rPr>
          <w:color w:val="4D4D4F"/>
        </w:rPr>
        <w:t>the</w:t>
      </w:r>
      <w:r>
        <w:rPr>
          <w:color w:val="4D4D4F"/>
          <w:spacing w:val="10"/>
        </w:rPr>
        <w:t xml:space="preserve"> </w:t>
      </w:r>
      <w:r>
        <w:rPr>
          <w:color w:val="4D4D4F"/>
        </w:rPr>
        <w:t>pin</w:t>
      </w:r>
      <w:r>
        <w:rPr>
          <w:color w:val="4D4D4F"/>
          <w:spacing w:val="10"/>
        </w:rPr>
        <w:t xml:space="preserve"> </w:t>
      </w:r>
      <w:r>
        <w:rPr>
          <w:color w:val="4D4D4F"/>
        </w:rPr>
        <w:t>is</w:t>
      </w:r>
      <w:r>
        <w:rPr>
          <w:color w:val="4D4D4F"/>
          <w:spacing w:val="10"/>
        </w:rPr>
        <w:t xml:space="preserve"> </w:t>
      </w:r>
      <w:r>
        <w:rPr>
          <w:color w:val="4D4D4F"/>
        </w:rPr>
        <w:t>recorded.</w:t>
      </w:r>
      <w:r>
        <w:rPr>
          <w:color w:val="4D4D4F"/>
          <w:spacing w:val="10"/>
        </w:rPr>
        <w:t xml:space="preserve"> </w:t>
      </w:r>
      <w:r>
        <w:rPr>
          <w:color w:val="4D4D4F"/>
        </w:rPr>
        <w:t>Every</w:t>
      </w:r>
      <w:r>
        <w:rPr>
          <w:color w:val="4D4D4F"/>
          <w:spacing w:val="10"/>
        </w:rPr>
        <w:t xml:space="preserve"> </w:t>
      </w:r>
      <w:r>
        <w:rPr>
          <w:color w:val="4D4D4F"/>
        </w:rPr>
        <w:t>item</w:t>
      </w:r>
      <w:r>
        <w:rPr>
          <w:color w:val="4D4D4F"/>
          <w:spacing w:val="9"/>
        </w:rPr>
        <w:t xml:space="preserve"> </w:t>
      </w:r>
      <w:r>
        <w:rPr>
          <w:color w:val="4D4D4F"/>
        </w:rPr>
        <w:t>or</w:t>
      </w:r>
      <w:r>
        <w:rPr>
          <w:color w:val="4D4D4F"/>
          <w:spacing w:val="10"/>
        </w:rPr>
        <w:t xml:space="preserve"> </w:t>
      </w:r>
      <w:r>
        <w:rPr>
          <w:color w:val="4D4D4F"/>
        </w:rPr>
        <w:t>species</w:t>
      </w:r>
      <w:r>
        <w:rPr>
          <w:color w:val="4D4D4F"/>
          <w:spacing w:val="10"/>
        </w:rPr>
        <w:t xml:space="preserve"> </w:t>
      </w:r>
      <w:r>
        <w:rPr>
          <w:color w:val="4D4D4F"/>
        </w:rPr>
        <w:t>is</w:t>
      </w:r>
    </w:p>
    <w:p w14:paraId="36239E6A" w14:textId="77777777" w:rsidR="00EF5B27" w:rsidRDefault="00000000">
      <w:pPr>
        <w:pStyle w:val="BodyText"/>
        <w:spacing w:before="5" w:line="254" w:lineRule="auto"/>
        <w:ind w:left="2608" w:right="118"/>
      </w:pPr>
      <w:r>
        <w:rPr>
          <w:color w:val="4D4D4F"/>
        </w:rPr>
        <w:t xml:space="preserve">recorded only once per pin, but multiple items are recorded at a single point (including multiple plant species, rock and plants), meaning that when the values for all plants   are summed, the total cover may exceed 100%. Every data point for plant species is recorded as ‘basal area’ </w:t>
      </w:r>
      <w:r>
        <w:rPr>
          <w:color w:val="4D4D4F"/>
          <w:spacing w:val="-5"/>
        </w:rPr>
        <w:t xml:space="preserve">(a </w:t>
      </w:r>
      <w:r>
        <w:rPr>
          <w:color w:val="4D4D4F"/>
        </w:rPr>
        <w:t xml:space="preserve">point where the plant contacts the ground; i.e. a stem- or tiller-base), or aerial cover </w:t>
      </w:r>
      <w:r>
        <w:rPr>
          <w:color w:val="4D4D4F"/>
          <w:spacing w:val="-5"/>
        </w:rPr>
        <w:t xml:space="preserve">(a </w:t>
      </w:r>
      <w:r>
        <w:rPr>
          <w:color w:val="4D4D4F"/>
        </w:rPr>
        <w:t xml:space="preserve">point where any other plant part touches the </w:t>
      </w:r>
      <w:r>
        <w:rPr>
          <w:color w:val="4D4D4F"/>
          <w:spacing w:val="-3"/>
        </w:rPr>
        <w:t xml:space="preserve">pin). </w:t>
      </w:r>
      <w:r>
        <w:rPr>
          <w:color w:val="4D4D4F"/>
        </w:rPr>
        <w:t>The total</w:t>
      </w:r>
      <w:r>
        <w:rPr>
          <w:color w:val="4D4D4F"/>
          <w:spacing w:val="4"/>
        </w:rPr>
        <w:t xml:space="preserve"> </w:t>
      </w:r>
      <w:r>
        <w:rPr>
          <w:color w:val="4D4D4F"/>
        </w:rPr>
        <w:t>cover</w:t>
      </w:r>
      <w:r>
        <w:rPr>
          <w:color w:val="4D4D4F"/>
          <w:spacing w:val="5"/>
        </w:rPr>
        <w:t xml:space="preserve"> </w:t>
      </w:r>
      <w:r>
        <w:rPr>
          <w:color w:val="4D4D4F"/>
        </w:rPr>
        <w:t>for</w:t>
      </w:r>
      <w:r>
        <w:rPr>
          <w:color w:val="4D4D4F"/>
          <w:spacing w:val="5"/>
        </w:rPr>
        <w:t xml:space="preserve"> </w:t>
      </w:r>
      <w:r>
        <w:rPr>
          <w:color w:val="4D4D4F"/>
        </w:rPr>
        <w:t>any</w:t>
      </w:r>
      <w:r>
        <w:rPr>
          <w:color w:val="4D4D4F"/>
          <w:spacing w:val="5"/>
        </w:rPr>
        <w:t xml:space="preserve"> </w:t>
      </w:r>
      <w:r>
        <w:rPr>
          <w:color w:val="4D4D4F"/>
        </w:rPr>
        <w:t>species</w:t>
      </w:r>
      <w:r>
        <w:rPr>
          <w:color w:val="4D4D4F"/>
          <w:spacing w:val="5"/>
        </w:rPr>
        <w:t xml:space="preserve"> </w:t>
      </w:r>
      <w:r>
        <w:rPr>
          <w:color w:val="4D4D4F"/>
        </w:rPr>
        <w:t>is</w:t>
      </w:r>
      <w:r>
        <w:rPr>
          <w:color w:val="4D4D4F"/>
          <w:spacing w:val="5"/>
        </w:rPr>
        <w:t xml:space="preserve"> </w:t>
      </w:r>
      <w:r>
        <w:rPr>
          <w:color w:val="4D4D4F"/>
        </w:rPr>
        <w:t>the</w:t>
      </w:r>
      <w:r>
        <w:rPr>
          <w:color w:val="4D4D4F"/>
          <w:spacing w:val="5"/>
        </w:rPr>
        <w:t xml:space="preserve"> </w:t>
      </w:r>
      <w:r>
        <w:rPr>
          <w:color w:val="4D4D4F"/>
        </w:rPr>
        <w:t>sum</w:t>
      </w:r>
      <w:r>
        <w:rPr>
          <w:color w:val="4D4D4F"/>
          <w:spacing w:val="5"/>
        </w:rPr>
        <w:t xml:space="preserve"> </w:t>
      </w:r>
      <w:r>
        <w:rPr>
          <w:color w:val="4D4D4F"/>
        </w:rPr>
        <w:t>of</w:t>
      </w:r>
      <w:r>
        <w:rPr>
          <w:color w:val="4D4D4F"/>
          <w:spacing w:val="5"/>
        </w:rPr>
        <w:t xml:space="preserve"> </w:t>
      </w:r>
      <w:r>
        <w:rPr>
          <w:color w:val="4D4D4F"/>
        </w:rPr>
        <w:t>basal</w:t>
      </w:r>
      <w:r>
        <w:rPr>
          <w:color w:val="4D4D4F"/>
          <w:spacing w:val="5"/>
        </w:rPr>
        <w:t xml:space="preserve"> </w:t>
      </w:r>
      <w:r>
        <w:rPr>
          <w:color w:val="4D4D4F"/>
        </w:rPr>
        <w:t>and</w:t>
      </w:r>
      <w:r>
        <w:rPr>
          <w:color w:val="4D4D4F"/>
          <w:spacing w:val="5"/>
        </w:rPr>
        <w:t xml:space="preserve"> </w:t>
      </w:r>
      <w:r>
        <w:rPr>
          <w:color w:val="4D4D4F"/>
        </w:rPr>
        <w:t>aerial</w:t>
      </w:r>
      <w:r>
        <w:rPr>
          <w:color w:val="4D4D4F"/>
          <w:spacing w:val="5"/>
        </w:rPr>
        <w:t xml:space="preserve"> </w:t>
      </w:r>
      <w:r>
        <w:rPr>
          <w:color w:val="4D4D4F"/>
          <w:spacing w:val="-4"/>
        </w:rPr>
        <w:t>cover.</w:t>
      </w:r>
    </w:p>
    <w:p w14:paraId="0F812712" w14:textId="77777777" w:rsidR="00EF5B27" w:rsidRDefault="00000000">
      <w:pPr>
        <w:pStyle w:val="BodyText"/>
        <w:spacing w:before="120" w:line="254" w:lineRule="auto"/>
        <w:ind w:left="2608"/>
      </w:pPr>
      <w:r>
        <w:rPr>
          <w:color w:val="4D4D4F"/>
        </w:rPr>
        <w:t>After the point intercept measurements are completed, an unstructured three-minute search of the plot is undertaken by a single experienced botanist, to record all native perennial forb species not detected by pointing. Native perennial forbs are defined</w:t>
      </w:r>
    </w:p>
    <w:p w14:paraId="68C499DB" w14:textId="77777777" w:rsidR="00EF5B27" w:rsidRDefault="00000000">
      <w:pPr>
        <w:spacing w:before="4"/>
        <w:ind w:left="2608"/>
        <w:rPr>
          <w:sz w:val="20"/>
        </w:rPr>
      </w:pPr>
      <w:r>
        <w:rPr>
          <w:color w:val="4D4D4F"/>
          <w:sz w:val="20"/>
        </w:rPr>
        <w:t xml:space="preserve">in the MRF as any native perennial species not in the families </w:t>
      </w:r>
      <w:r>
        <w:rPr>
          <w:rFonts w:ascii="Arial Narrow"/>
          <w:i/>
          <w:color w:val="4D4D4F"/>
          <w:sz w:val="20"/>
        </w:rPr>
        <w:t xml:space="preserve">Poaceae, Juncaceae </w:t>
      </w:r>
      <w:r>
        <w:rPr>
          <w:color w:val="4D4D4F"/>
          <w:sz w:val="20"/>
        </w:rPr>
        <w:t>or</w:t>
      </w:r>
    </w:p>
    <w:p w14:paraId="594F48DD" w14:textId="77777777" w:rsidR="00EF5B27" w:rsidRDefault="00000000">
      <w:pPr>
        <w:spacing w:before="16"/>
        <w:ind w:left="2608"/>
        <w:rPr>
          <w:sz w:val="11"/>
        </w:rPr>
      </w:pPr>
      <w:r>
        <w:rPr>
          <w:rFonts w:ascii="Arial Narrow"/>
          <w:i/>
          <w:color w:val="4D4D4F"/>
          <w:w w:val="105"/>
          <w:sz w:val="20"/>
        </w:rPr>
        <w:t xml:space="preserve">Cyperaceae </w:t>
      </w:r>
      <w:r>
        <w:rPr>
          <w:color w:val="4D4D4F"/>
          <w:w w:val="105"/>
          <w:sz w:val="20"/>
        </w:rPr>
        <w:t>(DELWP 2015a).</w:t>
      </w:r>
      <w:r>
        <w:rPr>
          <w:color w:val="4D4D4F"/>
          <w:w w:val="105"/>
          <w:position w:val="7"/>
          <w:sz w:val="11"/>
        </w:rPr>
        <w:t>317</w:t>
      </w:r>
    </w:p>
    <w:p w14:paraId="51AB2C1D" w14:textId="77777777" w:rsidR="00EF5B27" w:rsidRDefault="00000000">
      <w:pPr>
        <w:pStyle w:val="BodyText"/>
        <w:spacing w:before="129"/>
        <w:ind w:left="2608"/>
      </w:pPr>
      <w:r>
        <w:rPr>
          <w:color w:val="4D4D4F"/>
        </w:rPr>
        <w:t>Figure 46 shows an example of a point intercept plot in NTG.</w:t>
      </w:r>
    </w:p>
    <w:p w14:paraId="2EC8289B" w14:textId="77777777" w:rsidR="00EF5B27" w:rsidRDefault="00000000">
      <w:pPr>
        <w:pStyle w:val="BodyText"/>
        <w:spacing w:before="129" w:line="254" w:lineRule="auto"/>
        <w:ind w:left="2608" w:right="465"/>
      </w:pPr>
      <w:r>
        <w:rPr>
          <w:color w:val="4D4D4F"/>
        </w:rPr>
        <w:t>Soil samples are taken from all permanent plots when they are newly established, and every five years thereafter.</w:t>
      </w:r>
    </w:p>
    <w:p w14:paraId="4FCA9481" w14:textId="77777777" w:rsidR="00EF5B27" w:rsidRDefault="00000000">
      <w:pPr>
        <w:pStyle w:val="BodyText"/>
        <w:spacing w:before="116" w:line="254" w:lineRule="auto"/>
        <w:ind w:left="2608" w:right="151"/>
      </w:pPr>
      <w:r>
        <w:rPr>
          <w:color w:val="4D4D4F"/>
        </w:rPr>
        <w:t>Intensive point intercept plots were first established in 2013, before the MRF was drafted. The monitoring methods were slightly different in 2013 to the following years, such that some measures cannot be served by the data from 2013.</w:t>
      </w:r>
    </w:p>
    <w:p w14:paraId="29AFFCAB" w14:textId="77777777" w:rsidR="00EF5B27" w:rsidRDefault="00000000">
      <w:pPr>
        <w:pStyle w:val="Heading6"/>
        <w:spacing w:before="117"/>
      </w:pPr>
      <w:bookmarkStart w:id="118" w:name="_heading=h.3abhhcj"/>
      <w:bookmarkEnd w:id="118"/>
      <w:r>
        <w:rPr>
          <w:color w:val="4D4D4F"/>
        </w:rPr>
        <w:t>Rapid plots</w:t>
      </w:r>
    </w:p>
    <w:p w14:paraId="5F7D03DC" w14:textId="77777777" w:rsidR="00EF5B27" w:rsidRDefault="00000000">
      <w:pPr>
        <w:pStyle w:val="BodyText"/>
        <w:spacing w:before="129"/>
        <w:ind w:left="2608"/>
      </w:pPr>
      <w:r>
        <w:rPr>
          <w:color w:val="4D4D4F"/>
          <w:w w:val="105"/>
        </w:rPr>
        <w:t>This sampling method addresses the following KPI:</w:t>
      </w:r>
    </w:p>
    <w:p w14:paraId="5A0A03A9" w14:textId="77777777" w:rsidR="00EF5B27" w:rsidRDefault="00000000">
      <w:pPr>
        <w:pStyle w:val="ListParagraph"/>
        <w:numPr>
          <w:ilvl w:val="0"/>
          <w:numId w:val="34"/>
        </w:numPr>
        <w:tabs>
          <w:tab w:val="left" w:pos="2779"/>
        </w:tabs>
        <w:spacing w:before="130"/>
        <w:rPr>
          <w:sz w:val="20"/>
        </w:rPr>
      </w:pPr>
      <w:r>
        <w:rPr>
          <w:color w:val="4D4D4F"/>
          <w:sz w:val="20"/>
        </w:rPr>
        <w:t>Percentage of plots that have bare ground cover between</w:t>
      </w:r>
      <w:r>
        <w:rPr>
          <w:color w:val="4D4D4F"/>
          <w:spacing w:val="36"/>
          <w:sz w:val="20"/>
        </w:rPr>
        <w:t xml:space="preserve"> </w:t>
      </w:r>
      <w:r>
        <w:rPr>
          <w:color w:val="4D4D4F"/>
          <w:sz w:val="20"/>
        </w:rPr>
        <w:t>25–75%</w:t>
      </w:r>
    </w:p>
    <w:p w14:paraId="4D3B4415" w14:textId="77777777" w:rsidR="00EF5B27" w:rsidRDefault="00000000">
      <w:pPr>
        <w:pStyle w:val="BodyText"/>
        <w:spacing w:before="129" w:line="254" w:lineRule="auto"/>
        <w:ind w:left="2608" w:right="151"/>
      </w:pPr>
      <w:r>
        <w:rPr>
          <w:color w:val="4D4D4F"/>
        </w:rPr>
        <w:t>It also provides data to characterise the grassland habitat of Golden Sun Moth and Striped Legless Lizard (see next page).</w:t>
      </w:r>
    </w:p>
    <w:p w14:paraId="75AFC3B9" w14:textId="77777777" w:rsidR="00EF5B27" w:rsidRDefault="00000000">
      <w:pPr>
        <w:pStyle w:val="BodyText"/>
        <w:spacing w:before="4"/>
        <w:rPr>
          <w:sz w:val="24"/>
        </w:rPr>
      </w:pPr>
      <w:r>
        <w:pict w14:anchorId="2D93435F">
          <v:line id="_x0000_s2325" style="position:absolute;z-index:251757056;mso-wrap-distance-left:0;mso-wrap-distance-right:0;mso-position-horizontal-relative:page" from="181.4pt,17.1pt" to="538.6pt,17.1pt" strokecolor="#4d4d4f" strokeweight=".5pt">
            <w10:wrap type="topAndBottom" anchorx="page"/>
          </v:line>
        </w:pict>
      </w:r>
    </w:p>
    <w:p w14:paraId="72F49833" w14:textId="77777777" w:rsidR="00EF5B27" w:rsidRDefault="00000000">
      <w:pPr>
        <w:pStyle w:val="ListParagraph"/>
        <w:numPr>
          <w:ilvl w:val="0"/>
          <w:numId w:val="4"/>
        </w:numPr>
        <w:tabs>
          <w:tab w:val="left" w:pos="2836"/>
        </w:tabs>
        <w:spacing w:before="83" w:line="143" w:lineRule="exact"/>
        <w:rPr>
          <w:sz w:val="12"/>
        </w:rPr>
      </w:pPr>
      <w:r>
        <w:rPr>
          <w:color w:val="4D4D4F"/>
          <w:sz w:val="12"/>
        </w:rPr>
        <w:t>DELWP</w:t>
      </w:r>
      <w:r>
        <w:rPr>
          <w:color w:val="4D4D4F"/>
          <w:spacing w:val="4"/>
          <w:sz w:val="12"/>
        </w:rPr>
        <w:t xml:space="preserve"> </w:t>
      </w:r>
      <w:r>
        <w:rPr>
          <w:color w:val="4D4D4F"/>
          <w:sz w:val="12"/>
        </w:rPr>
        <w:t>2015,</w:t>
      </w:r>
      <w:r>
        <w:rPr>
          <w:color w:val="4D4D4F"/>
          <w:spacing w:val="5"/>
          <w:sz w:val="12"/>
        </w:rPr>
        <w:t xml:space="preserve"> </w:t>
      </w:r>
      <w:r>
        <w:rPr>
          <w:color w:val="4D4D4F"/>
          <w:sz w:val="12"/>
        </w:rPr>
        <w:t>‘Monitoring</w:t>
      </w:r>
      <w:r>
        <w:rPr>
          <w:color w:val="4D4D4F"/>
          <w:spacing w:val="5"/>
          <w:sz w:val="12"/>
        </w:rPr>
        <w:t xml:space="preserve"> </w:t>
      </w:r>
      <w:r>
        <w:rPr>
          <w:color w:val="4D4D4F"/>
          <w:sz w:val="12"/>
        </w:rPr>
        <w:t>and</w:t>
      </w:r>
      <w:r>
        <w:rPr>
          <w:color w:val="4D4D4F"/>
          <w:spacing w:val="5"/>
          <w:sz w:val="12"/>
        </w:rPr>
        <w:t xml:space="preserve"> </w:t>
      </w:r>
      <w:r>
        <w:rPr>
          <w:color w:val="4D4D4F"/>
          <w:sz w:val="12"/>
        </w:rPr>
        <w:t>Reporting</w:t>
      </w:r>
      <w:r>
        <w:rPr>
          <w:color w:val="4D4D4F"/>
          <w:spacing w:val="5"/>
          <w:sz w:val="12"/>
        </w:rPr>
        <w:t xml:space="preserve"> </w:t>
      </w:r>
      <w:r>
        <w:rPr>
          <w:color w:val="4D4D4F"/>
          <w:sz w:val="12"/>
        </w:rPr>
        <w:t>Framework</w:t>
      </w:r>
      <w:r>
        <w:rPr>
          <w:color w:val="4D4D4F"/>
          <w:spacing w:val="5"/>
          <w:sz w:val="12"/>
        </w:rPr>
        <w:t xml:space="preserve"> </w:t>
      </w:r>
      <w:r>
        <w:rPr>
          <w:color w:val="4D4D4F"/>
          <w:sz w:val="12"/>
        </w:rPr>
        <w:t>–</w:t>
      </w:r>
      <w:r>
        <w:rPr>
          <w:color w:val="4D4D4F"/>
          <w:spacing w:val="5"/>
          <w:sz w:val="12"/>
        </w:rPr>
        <w:t xml:space="preserve"> </w:t>
      </w:r>
      <w:r>
        <w:rPr>
          <w:color w:val="4D4D4F"/>
          <w:sz w:val="12"/>
        </w:rPr>
        <w:t>Melbourne</w:t>
      </w:r>
      <w:r>
        <w:rPr>
          <w:color w:val="4D4D4F"/>
          <w:spacing w:val="5"/>
          <w:sz w:val="12"/>
        </w:rPr>
        <w:t xml:space="preserve"> </w:t>
      </w:r>
      <w:r>
        <w:rPr>
          <w:color w:val="4D4D4F"/>
          <w:sz w:val="12"/>
        </w:rPr>
        <w:t>Strategic</w:t>
      </w:r>
      <w:r>
        <w:rPr>
          <w:color w:val="4D4D4F"/>
          <w:spacing w:val="5"/>
          <w:sz w:val="12"/>
        </w:rPr>
        <w:t xml:space="preserve"> </w:t>
      </w:r>
      <w:r>
        <w:rPr>
          <w:color w:val="4D4D4F"/>
          <w:sz w:val="12"/>
        </w:rPr>
        <w:t>Assessment’,</w:t>
      </w:r>
      <w:r>
        <w:rPr>
          <w:color w:val="4D4D4F"/>
          <w:spacing w:val="5"/>
          <w:sz w:val="12"/>
        </w:rPr>
        <w:t xml:space="preserve"> </w:t>
      </w:r>
      <w:r>
        <w:rPr>
          <w:color w:val="4D4D4F"/>
          <w:sz w:val="12"/>
        </w:rPr>
        <w:t>East</w:t>
      </w:r>
      <w:r>
        <w:rPr>
          <w:color w:val="4D4D4F"/>
          <w:spacing w:val="5"/>
          <w:sz w:val="12"/>
        </w:rPr>
        <w:t xml:space="preserve"> </w:t>
      </w:r>
      <w:r>
        <w:rPr>
          <w:color w:val="4D4D4F"/>
          <w:sz w:val="12"/>
        </w:rPr>
        <w:t>Melbourne,</w:t>
      </w:r>
      <w:r>
        <w:rPr>
          <w:color w:val="4D4D4F"/>
          <w:spacing w:val="5"/>
          <w:sz w:val="12"/>
        </w:rPr>
        <w:t xml:space="preserve"> </w:t>
      </w:r>
      <w:r>
        <w:rPr>
          <w:color w:val="4D4D4F"/>
          <w:sz w:val="12"/>
        </w:rPr>
        <w:t>Victoria.</w:t>
      </w:r>
    </w:p>
    <w:p w14:paraId="2C7FD071" w14:textId="77777777" w:rsidR="00EF5B27" w:rsidRDefault="00000000">
      <w:pPr>
        <w:pStyle w:val="ListParagraph"/>
        <w:numPr>
          <w:ilvl w:val="0"/>
          <w:numId w:val="4"/>
        </w:numPr>
        <w:tabs>
          <w:tab w:val="left" w:pos="2836"/>
        </w:tabs>
        <w:spacing w:before="2" w:line="230" w:lineRule="auto"/>
        <w:ind w:right="111"/>
        <w:rPr>
          <w:sz w:val="12"/>
        </w:rPr>
      </w:pPr>
      <w:r>
        <w:rPr>
          <w:color w:val="4D4D4F"/>
          <w:sz w:val="12"/>
        </w:rPr>
        <w:t xml:space="preserve">Vos </w:t>
      </w:r>
      <w:r>
        <w:rPr>
          <w:color w:val="4D4D4F"/>
          <w:spacing w:val="-5"/>
          <w:sz w:val="12"/>
        </w:rPr>
        <w:t xml:space="preserve">P, </w:t>
      </w:r>
      <w:r>
        <w:rPr>
          <w:color w:val="4D4D4F"/>
          <w:sz w:val="12"/>
        </w:rPr>
        <w:t xml:space="preserve">Meelis E and Ter Keurs WJ </w:t>
      </w:r>
      <w:r>
        <w:rPr>
          <w:color w:val="4D4D4F"/>
          <w:spacing w:val="3"/>
          <w:sz w:val="12"/>
        </w:rPr>
        <w:t xml:space="preserve">2000, </w:t>
      </w:r>
      <w:r>
        <w:rPr>
          <w:color w:val="4D4D4F"/>
          <w:sz w:val="12"/>
        </w:rPr>
        <w:t xml:space="preserve">‘A </w:t>
      </w:r>
      <w:r>
        <w:rPr>
          <w:color w:val="4D4D4F"/>
          <w:spacing w:val="2"/>
          <w:sz w:val="12"/>
        </w:rPr>
        <w:t xml:space="preserve">framework </w:t>
      </w:r>
      <w:r>
        <w:rPr>
          <w:color w:val="4D4D4F"/>
          <w:sz w:val="12"/>
        </w:rPr>
        <w:t xml:space="preserve">for the design of ecological monitoring </w:t>
      </w:r>
      <w:r>
        <w:rPr>
          <w:color w:val="4D4D4F"/>
          <w:spacing w:val="2"/>
          <w:sz w:val="12"/>
        </w:rPr>
        <w:t xml:space="preserve">programs </w:t>
      </w:r>
      <w:r>
        <w:rPr>
          <w:color w:val="4D4D4F"/>
          <w:sz w:val="12"/>
        </w:rPr>
        <w:t xml:space="preserve">as a tool for environmental and nature management.’ Environmental monitoring and assessment </w:t>
      </w:r>
      <w:r>
        <w:rPr>
          <w:color w:val="4D4D4F"/>
          <w:spacing w:val="-4"/>
          <w:sz w:val="12"/>
        </w:rPr>
        <w:t xml:space="preserve">61, </w:t>
      </w:r>
      <w:r>
        <w:rPr>
          <w:color w:val="4D4D4F"/>
          <w:sz w:val="12"/>
        </w:rPr>
        <w:t>317-344.</w:t>
      </w:r>
    </w:p>
    <w:p w14:paraId="3E6C58E4" w14:textId="77777777" w:rsidR="00EF5B27" w:rsidRDefault="00000000">
      <w:pPr>
        <w:pStyle w:val="ListParagraph"/>
        <w:numPr>
          <w:ilvl w:val="0"/>
          <w:numId w:val="4"/>
        </w:numPr>
        <w:tabs>
          <w:tab w:val="left" w:pos="2836"/>
        </w:tabs>
        <w:spacing w:line="230" w:lineRule="auto"/>
        <w:ind w:right="111"/>
        <w:rPr>
          <w:sz w:val="12"/>
        </w:rPr>
      </w:pPr>
      <w:r>
        <w:rPr>
          <w:color w:val="4D4D4F"/>
          <w:sz w:val="12"/>
        </w:rPr>
        <w:t xml:space="preserve">Lindenmayer DB, Zammit C, </w:t>
      </w:r>
      <w:r>
        <w:rPr>
          <w:color w:val="4D4D4F"/>
          <w:spacing w:val="2"/>
          <w:sz w:val="12"/>
        </w:rPr>
        <w:t xml:space="preserve">Attwood </w:t>
      </w:r>
      <w:r>
        <w:rPr>
          <w:color w:val="4D4D4F"/>
          <w:sz w:val="12"/>
        </w:rPr>
        <w:t xml:space="preserve">SJ, Burns E, Shepherd </w:t>
      </w:r>
      <w:r>
        <w:rPr>
          <w:color w:val="4D4D4F"/>
          <w:spacing w:val="2"/>
          <w:sz w:val="12"/>
        </w:rPr>
        <w:t xml:space="preserve">CL, </w:t>
      </w:r>
      <w:r>
        <w:rPr>
          <w:color w:val="4D4D4F"/>
          <w:sz w:val="12"/>
        </w:rPr>
        <w:t xml:space="preserve">Kay G and Wood </w:t>
      </w:r>
      <w:r>
        <w:rPr>
          <w:color w:val="4D4D4F"/>
          <w:w w:val="130"/>
          <w:sz w:val="12"/>
        </w:rPr>
        <w:t xml:space="preserve">J </w:t>
      </w:r>
      <w:r>
        <w:rPr>
          <w:color w:val="4D4D4F"/>
          <w:sz w:val="12"/>
        </w:rPr>
        <w:t xml:space="preserve">2012. ‘A novel and cost-effective monitoring </w:t>
      </w:r>
      <w:r>
        <w:rPr>
          <w:color w:val="4D4D4F"/>
          <w:spacing w:val="2"/>
          <w:sz w:val="12"/>
        </w:rPr>
        <w:t xml:space="preserve">approach    </w:t>
      </w:r>
      <w:r>
        <w:rPr>
          <w:color w:val="4D4D4F"/>
          <w:sz w:val="12"/>
        </w:rPr>
        <w:t>for</w:t>
      </w:r>
      <w:r>
        <w:rPr>
          <w:color w:val="4D4D4F"/>
          <w:spacing w:val="3"/>
          <w:sz w:val="12"/>
        </w:rPr>
        <w:t xml:space="preserve"> </w:t>
      </w:r>
      <w:r>
        <w:rPr>
          <w:color w:val="4D4D4F"/>
          <w:sz w:val="12"/>
        </w:rPr>
        <w:t>outcomes</w:t>
      </w:r>
      <w:r>
        <w:rPr>
          <w:color w:val="4D4D4F"/>
          <w:spacing w:val="4"/>
          <w:sz w:val="12"/>
        </w:rPr>
        <w:t xml:space="preserve"> </w:t>
      </w:r>
      <w:r>
        <w:rPr>
          <w:color w:val="4D4D4F"/>
          <w:sz w:val="12"/>
        </w:rPr>
        <w:t>in</w:t>
      </w:r>
      <w:r>
        <w:rPr>
          <w:color w:val="4D4D4F"/>
          <w:spacing w:val="3"/>
          <w:sz w:val="12"/>
        </w:rPr>
        <w:t xml:space="preserve"> </w:t>
      </w:r>
      <w:r>
        <w:rPr>
          <w:color w:val="4D4D4F"/>
          <w:sz w:val="12"/>
        </w:rPr>
        <w:t>an</w:t>
      </w:r>
      <w:r>
        <w:rPr>
          <w:color w:val="4D4D4F"/>
          <w:spacing w:val="4"/>
          <w:sz w:val="12"/>
        </w:rPr>
        <w:t xml:space="preserve"> </w:t>
      </w:r>
      <w:r>
        <w:rPr>
          <w:color w:val="4D4D4F"/>
          <w:sz w:val="12"/>
        </w:rPr>
        <w:t>Australian</w:t>
      </w:r>
      <w:r>
        <w:rPr>
          <w:color w:val="4D4D4F"/>
          <w:spacing w:val="3"/>
          <w:sz w:val="12"/>
        </w:rPr>
        <w:t xml:space="preserve"> </w:t>
      </w:r>
      <w:r>
        <w:rPr>
          <w:color w:val="4D4D4F"/>
          <w:sz w:val="12"/>
        </w:rPr>
        <w:t>biodiversity</w:t>
      </w:r>
      <w:r>
        <w:rPr>
          <w:color w:val="4D4D4F"/>
          <w:spacing w:val="4"/>
          <w:sz w:val="12"/>
        </w:rPr>
        <w:t xml:space="preserve"> </w:t>
      </w:r>
      <w:r>
        <w:rPr>
          <w:color w:val="4D4D4F"/>
          <w:sz w:val="12"/>
        </w:rPr>
        <w:t>conservation</w:t>
      </w:r>
      <w:r>
        <w:rPr>
          <w:color w:val="4D4D4F"/>
          <w:spacing w:val="4"/>
          <w:sz w:val="12"/>
        </w:rPr>
        <w:t xml:space="preserve"> </w:t>
      </w:r>
      <w:r>
        <w:rPr>
          <w:color w:val="4D4D4F"/>
          <w:sz w:val="12"/>
        </w:rPr>
        <w:t>incentive</w:t>
      </w:r>
      <w:r>
        <w:rPr>
          <w:color w:val="4D4D4F"/>
          <w:spacing w:val="3"/>
          <w:sz w:val="12"/>
        </w:rPr>
        <w:t xml:space="preserve"> </w:t>
      </w:r>
      <w:r>
        <w:rPr>
          <w:color w:val="4D4D4F"/>
          <w:sz w:val="12"/>
        </w:rPr>
        <w:t>program.’</w:t>
      </w:r>
      <w:r>
        <w:rPr>
          <w:color w:val="4D4D4F"/>
          <w:spacing w:val="4"/>
          <w:sz w:val="12"/>
        </w:rPr>
        <w:t xml:space="preserve"> </w:t>
      </w:r>
      <w:r>
        <w:rPr>
          <w:color w:val="4D4D4F"/>
          <w:sz w:val="12"/>
        </w:rPr>
        <w:t>PLoS</w:t>
      </w:r>
      <w:r>
        <w:rPr>
          <w:color w:val="4D4D4F"/>
          <w:spacing w:val="3"/>
          <w:sz w:val="12"/>
        </w:rPr>
        <w:t xml:space="preserve"> </w:t>
      </w:r>
      <w:r>
        <w:rPr>
          <w:color w:val="4D4D4F"/>
          <w:sz w:val="12"/>
        </w:rPr>
        <w:t>One</w:t>
      </w:r>
      <w:r>
        <w:rPr>
          <w:color w:val="4D4D4F"/>
          <w:spacing w:val="4"/>
          <w:sz w:val="12"/>
        </w:rPr>
        <w:t xml:space="preserve"> </w:t>
      </w:r>
      <w:r>
        <w:rPr>
          <w:color w:val="4D4D4F"/>
          <w:spacing w:val="-3"/>
          <w:sz w:val="12"/>
        </w:rPr>
        <w:t>7,</w:t>
      </w:r>
      <w:r>
        <w:rPr>
          <w:color w:val="4D4D4F"/>
          <w:spacing w:val="4"/>
          <w:sz w:val="12"/>
        </w:rPr>
        <w:t xml:space="preserve"> </w:t>
      </w:r>
      <w:r>
        <w:rPr>
          <w:color w:val="4D4D4F"/>
          <w:spacing w:val="2"/>
          <w:sz w:val="12"/>
        </w:rPr>
        <w:t>e50872.</w:t>
      </w:r>
    </w:p>
    <w:p w14:paraId="5D9AF480" w14:textId="77777777" w:rsidR="00EF5B27" w:rsidRDefault="00000000">
      <w:pPr>
        <w:pStyle w:val="ListParagraph"/>
        <w:numPr>
          <w:ilvl w:val="0"/>
          <w:numId w:val="4"/>
        </w:numPr>
        <w:tabs>
          <w:tab w:val="left" w:pos="2836"/>
        </w:tabs>
        <w:spacing w:line="141" w:lineRule="exact"/>
        <w:rPr>
          <w:sz w:val="12"/>
        </w:rPr>
      </w:pPr>
      <w:r>
        <w:rPr>
          <w:color w:val="4D4D4F"/>
          <w:sz w:val="12"/>
        </w:rPr>
        <w:t>DELWP</w:t>
      </w:r>
      <w:r>
        <w:rPr>
          <w:color w:val="4D4D4F"/>
          <w:spacing w:val="5"/>
          <w:sz w:val="12"/>
        </w:rPr>
        <w:t xml:space="preserve"> </w:t>
      </w:r>
      <w:r>
        <w:rPr>
          <w:color w:val="4D4D4F"/>
          <w:sz w:val="12"/>
        </w:rPr>
        <w:t>2015b,</w:t>
      </w:r>
      <w:r>
        <w:rPr>
          <w:color w:val="4D4D4F"/>
          <w:spacing w:val="5"/>
          <w:sz w:val="12"/>
        </w:rPr>
        <w:t xml:space="preserve"> </w:t>
      </w:r>
      <w:r>
        <w:rPr>
          <w:color w:val="4D4D4F"/>
          <w:sz w:val="12"/>
        </w:rPr>
        <w:t>‘Conservation</w:t>
      </w:r>
      <w:r>
        <w:rPr>
          <w:color w:val="4D4D4F"/>
          <w:spacing w:val="5"/>
          <w:sz w:val="12"/>
        </w:rPr>
        <w:t xml:space="preserve"> </w:t>
      </w:r>
      <w:r>
        <w:rPr>
          <w:color w:val="4D4D4F"/>
          <w:spacing w:val="2"/>
          <w:sz w:val="12"/>
        </w:rPr>
        <w:t>Area</w:t>
      </w:r>
      <w:r>
        <w:rPr>
          <w:color w:val="4D4D4F"/>
          <w:spacing w:val="6"/>
          <w:sz w:val="12"/>
        </w:rPr>
        <w:t xml:space="preserve"> </w:t>
      </w:r>
      <w:r>
        <w:rPr>
          <w:color w:val="4D4D4F"/>
          <w:sz w:val="12"/>
        </w:rPr>
        <w:t>Inventory</w:t>
      </w:r>
      <w:r>
        <w:rPr>
          <w:color w:val="4D4D4F"/>
          <w:spacing w:val="5"/>
          <w:sz w:val="12"/>
        </w:rPr>
        <w:t xml:space="preserve"> </w:t>
      </w:r>
      <w:r>
        <w:rPr>
          <w:color w:val="4D4D4F"/>
          <w:sz w:val="12"/>
        </w:rPr>
        <w:t>Guidelines.</w:t>
      </w:r>
      <w:r>
        <w:rPr>
          <w:color w:val="4D4D4F"/>
          <w:spacing w:val="5"/>
          <w:sz w:val="12"/>
        </w:rPr>
        <w:t xml:space="preserve"> </w:t>
      </w:r>
      <w:r>
        <w:rPr>
          <w:color w:val="4D4D4F"/>
          <w:sz w:val="12"/>
        </w:rPr>
        <w:t>Melbourne</w:t>
      </w:r>
      <w:r>
        <w:rPr>
          <w:color w:val="4D4D4F"/>
          <w:spacing w:val="6"/>
          <w:sz w:val="12"/>
        </w:rPr>
        <w:t xml:space="preserve"> </w:t>
      </w:r>
      <w:r>
        <w:rPr>
          <w:color w:val="4D4D4F"/>
          <w:sz w:val="12"/>
        </w:rPr>
        <w:t>Strategic</w:t>
      </w:r>
      <w:r>
        <w:rPr>
          <w:color w:val="4D4D4F"/>
          <w:spacing w:val="5"/>
          <w:sz w:val="12"/>
        </w:rPr>
        <w:t xml:space="preserve"> </w:t>
      </w:r>
      <w:r>
        <w:rPr>
          <w:color w:val="4D4D4F"/>
          <w:sz w:val="12"/>
        </w:rPr>
        <w:t>Assessment’,</w:t>
      </w:r>
      <w:r>
        <w:rPr>
          <w:color w:val="4D4D4F"/>
          <w:spacing w:val="5"/>
          <w:sz w:val="12"/>
        </w:rPr>
        <w:t xml:space="preserve"> </w:t>
      </w:r>
      <w:r>
        <w:rPr>
          <w:color w:val="4D4D4F"/>
          <w:sz w:val="12"/>
        </w:rPr>
        <w:t>East</w:t>
      </w:r>
      <w:r>
        <w:rPr>
          <w:color w:val="4D4D4F"/>
          <w:spacing w:val="6"/>
          <w:sz w:val="12"/>
        </w:rPr>
        <w:t xml:space="preserve"> </w:t>
      </w:r>
      <w:r>
        <w:rPr>
          <w:color w:val="4D4D4F"/>
          <w:sz w:val="12"/>
        </w:rPr>
        <w:t>Melbourne,</w:t>
      </w:r>
      <w:r>
        <w:rPr>
          <w:color w:val="4D4D4F"/>
          <w:spacing w:val="5"/>
          <w:sz w:val="12"/>
        </w:rPr>
        <w:t xml:space="preserve"> </w:t>
      </w:r>
      <w:r>
        <w:rPr>
          <w:color w:val="4D4D4F"/>
          <w:sz w:val="12"/>
        </w:rPr>
        <w:t>Victoria.</w:t>
      </w:r>
    </w:p>
    <w:p w14:paraId="1CA2ABE4" w14:textId="77777777" w:rsidR="00EF5B27" w:rsidRDefault="00EF5B27">
      <w:pPr>
        <w:spacing w:line="141" w:lineRule="exact"/>
        <w:rPr>
          <w:sz w:val="12"/>
        </w:rPr>
        <w:sectPr w:rsidR="00EF5B27">
          <w:pgSz w:w="11910" w:h="16840"/>
          <w:pgMar w:top="1080" w:right="1020" w:bottom="860" w:left="1020" w:header="537" w:footer="678" w:gutter="0"/>
          <w:cols w:space="720"/>
        </w:sectPr>
      </w:pPr>
    </w:p>
    <w:p w14:paraId="27A9180E" w14:textId="77777777" w:rsidR="00EF5B27" w:rsidRDefault="00000000">
      <w:pPr>
        <w:pStyle w:val="BodyText"/>
      </w:pPr>
      <w:r>
        <w:lastRenderedPageBreak/>
        <w:pict w14:anchorId="058C5CB8">
          <v:group id="_x0000_s2317" style="position:absolute;margin-left:587.05pt;margin-top:183.4pt;width:8.25pt;height:153.1pt;z-index:251789824;mso-position-horizontal-relative:page;mso-position-vertical-relative:page" coordorigin="11741,3668" coordsize="165,3062">
            <v:shape id="_x0000_s2324" style="position:absolute;left:11741;top:3668;width:165;height:561" coordorigin="11741,3668" coordsize="165,561" path="m11906,3668r-165,l11741,4228r165,-18l11906,3668xe" fillcolor="#00aed9" stroked="f">
              <v:path arrowok="t"/>
            </v:shape>
            <v:shape id="_x0000_s2323" style="position:absolute;left:11741;top:4118;width:165;height:425" coordorigin="11741,4118" coordsize="165,425" path="m11906,4118r-165,14l11741,4531r165,12l11906,4118xe" fillcolor="#047ebc" stroked="f">
              <v:path arrowok="t"/>
            </v:shape>
            <v:shape id="_x0000_s2322" type="#_x0000_t75" style="position:absolute;left:11741;top:4355;width:165;height:587">
              <v:imagedata r:id="rId42" o:title=""/>
            </v:shape>
            <v:shape id="_x0000_s2321" style="position:absolute;left:11741;top:5343;width:165;height:536" coordorigin="11741,5343" coordsize="165,536" path="m11741,5343r,535l11906,5872r,-525l11741,5343xe" fillcolor="#f36a2e" stroked="f">
              <v:path arrowok="t"/>
            </v:shape>
            <v:shape id="_x0000_s2320" style="position:absolute;left:11741;top:4925;width:165;height:501" coordorigin="11741,4926" coordsize="165,501" path="m11741,4926r,500l11906,5426r,-485l11741,4926xe" fillcolor="#49783f" stroked="f">
              <v:path arrowok="t"/>
            </v:shape>
            <v:shape id="_x0000_s2319" style="position:absolute;left:11741;top:5781;width:165;height:268" coordorigin="11741,5782" coordsize="165,268" path="m11906,5782r-165,8l11741,6039r165,10l11906,5782xe" fillcolor="#f99f2a" stroked="f">
              <v:path arrowok="t"/>
            </v:shape>
            <v:shape id="_x0000_s2318" style="position:absolute;left:11741;top:6023;width:165;height:707" coordorigin="11741,6023" coordsize="165,707" path="m11741,6023r,706l11906,6729r,-690l11741,6023xe" fillcolor="#ef412c" stroked="f">
              <v:path arrowok="t"/>
            </v:shape>
            <w10:wrap anchorx="page" anchory="page"/>
          </v:group>
        </w:pict>
      </w:r>
    </w:p>
    <w:p w14:paraId="1D0C9CD7" w14:textId="77777777" w:rsidR="00EF5B27" w:rsidRDefault="00EF5B27">
      <w:pPr>
        <w:pStyle w:val="BodyText"/>
      </w:pPr>
    </w:p>
    <w:p w14:paraId="07E9B016" w14:textId="77777777" w:rsidR="00EF5B27" w:rsidRDefault="00EF5B27">
      <w:pPr>
        <w:pStyle w:val="BodyText"/>
      </w:pPr>
    </w:p>
    <w:p w14:paraId="2B14F683" w14:textId="77777777" w:rsidR="00EF5B27" w:rsidRDefault="00EF5B27">
      <w:pPr>
        <w:pStyle w:val="BodyText"/>
        <w:spacing w:before="4"/>
        <w:rPr>
          <w:sz w:val="25"/>
        </w:rPr>
      </w:pPr>
    </w:p>
    <w:p w14:paraId="5E41D41C" w14:textId="77777777" w:rsidR="00EF5B27" w:rsidRDefault="00000000">
      <w:pPr>
        <w:pStyle w:val="BodyText"/>
        <w:spacing w:before="100" w:line="254" w:lineRule="auto"/>
        <w:ind w:left="2608" w:right="570"/>
      </w:pPr>
      <w:bookmarkStart w:id="119" w:name="_bookmark77"/>
      <w:bookmarkEnd w:id="119"/>
      <w:r>
        <w:rPr>
          <w:color w:val="4D4D4F"/>
        </w:rPr>
        <w:t>Numerous small ‘rapid plots’ are randomly positioned across the protected area of Natural Temperate Grassland without stratification by state. The MRF does</w:t>
      </w:r>
      <w:r>
        <w:rPr>
          <w:color w:val="4D4D4F"/>
          <w:spacing w:val="25"/>
        </w:rPr>
        <w:t xml:space="preserve"> </w:t>
      </w:r>
      <w:r>
        <w:rPr>
          <w:color w:val="4D4D4F"/>
        </w:rPr>
        <w:t>not</w:t>
      </w:r>
    </w:p>
    <w:p w14:paraId="1E730BD1" w14:textId="77777777" w:rsidR="00EF5B27" w:rsidRDefault="00000000">
      <w:pPr>
        <w:pStyle w:val="BodyText"/>
        <w:spacing w:before="3"/>
        <w:ind w:left="2608"/>
      </w:pPr>
      <w:r>
        <w:rPr>
          <w:color w:val="4D4D4F"/>
        </w:rPr>
        <w:t>specify the density of such plots, but this has been gradually raised from one plot per</w:t>
      </w:r>
    </w:p>
    <w:p w14:paraId="3E991C01" w14:textId="77777777" w:rsidR="00EF5B27" w:rsidRDefault="00000000">
      <w:pPr>
        <w:pStyle w:val="BodyText"/>
        <w:spacing w:before="16" w:line="254" w:lineRule="auto"/>
        <w:ind w:left="2608" w:right="279"/>
      </w:pPr>
      <w:r>
        <w:rPr>
          <w:color w:val="4D4D4F"/>
          <w:spacing w:val="-3"/>
        </w:rPr>
        <w:t xml:space="preserve">18.3 </w:t>
      </w:r>
      <w:r>
        <w:rPr>
          <w:color w:val="4D4D4F"/>
        </w:rPr>
        <w:t xml:space="preserve">ha in </w:t>
      </w:r>
      <w:r>
        <w:rPr>
          <w:color w:val="4D4D4F"/>
          <w:spacing w:val="-4"/>
        </w:rPr>
        <w:t xml:space="preserve">2014 </w:t>
      </w:r>
      <w:r>
        <w:rPr>
          <w:color w:val="4D4D4F"/>
          <w:spacing w:val="-5"/>
        </w:rPr>
        <w:t xml:space="preserve">(51 </w:t>
      </w:r>
      <w:r>
        <w:rPr>
          <w:color w:val="4D4D4F"/>
          <w:spacing w:val="-2"/>
        </w:rPr>
        <w:t xml:space="preserve">plots) </w:t>
      </w:r>
      <w:r>
        <w:rPr>
          <w:color w:val="4D4D4F"/>
        </w:rPr>
        <w:t xml:space="preserve">to 1 plot per 7 ha in </w:t>
      </w:r>
      <w:r>
        <w:rPr>
          <w:color w:val="4D4D4F"/>
          <w:spacing w:val="-4"/>
        </w:rPr>
        <w:t xml:space="preserve">2018 </w:t>
      </w:r>
      <w:r>
        <w:rPr>
          <w:color w:val="4D4D4F"/>
          <w:spacing w:val="-6"/>
        </w:rPr>
        <w:t xml:space="preserve">(145 </w:t>
      </w:r>
      <w:r>
        <w:rPr>
          <w:color w:val="4D4D4F"/>
        </w:rPr>
        <w:t xml:space="preserve">plots). </w:t>
      </w:r>
      <w:r>
        <w:rPr>
          <w:color w:val="4D4D4F"/>
          <w:spacing w:val="-4"/>
        </w:rPr>
        <w:t xml:space="preserve">Table </w:t>
      </w:r>
      <w:r>
        <w:rPr>
          <w:color w:val="4D4D4F"/>
        </w:rPr>
        <w:t>5 summarises  how the rapid plots have been deployed over multiple years of sampling, as new properties have been protected and new plots introduced. Each rapid plot is a square 1 m</w:t>
      </w:r>
      <w:r>
        <w:rPr>
          <w:color w:val="4D4D4F"/>
          <w:position w:val="7"/>
          <w:sz w:val="11"/>
        </w:rPr>
        <w:t xml:space="preserve">2 </w:t>
      </w:r>
      <w:r>
        <w:rPr>
          <w:color w:val="4D4D4F"/>
        </w:rPr>
        <w:t>in area. Within each plot, visual estimates are made of the cover of the following important</w:t>
      </w:r>
      <w:r>
        <w:rPr>
          <w:color w:val="4D4D4F"/>
          <w:spacing w:val="3"/>
        </w:rPr>
        <w:t xml:space="preserve"> </w:t>
      </w:r>
      <w:r>
        <w:rPr>
          <w:color w:val="4D4D4F"/>
        </w:rPr>
        <w:t>elements:</w:t>
      </w:r>
    </w:p>
    <w:p w14:paraId="12D42C5B" w14:textId="77777777" w:rsidR="00EF5B27" w:rsidRDefault="00000000">
      <w:pPr>
        <w:pStyle w:val="ListParagraph"/>
        <w:numPr>
          <w:ilvl w:val="0"/>
          <w:numId w:val="34"/>
        </w:numPr>
        <w:tabs>
          <w:tab w:val="left" w:pos="2779"/>
        </w:tabs>
        <w:spacing w:before="119"/>
        <w:rPr>
          <w:rFonts w:ascii="Arial Narrow" w:hAnsi="Arial Narrow"/>
          <w:i/>
          <w:sz w:val="20"/>
        </w:rPr>
      </w:pPr>
      <w:r>
        <w:rPr>
          <w:rFonts w:ascii="Arial Narrow" w:hAnsi="Arial Narrow"/>
          <w:i/>
          <w:color w:val="4D4D4F"/>
          <w:w w:val="120"/>
          <w:sz w:val="20"/>
        </w:rPr>
        <w:t>Themeda</w:t>
      </w:r>
      <w:r>
        <w:rPr>
          <w:rFonts w:ascii="Arial Narrow" w:hAnsi="Arial Narrow"/>
          <w:i/>
          <w:color w:val="4D4D4F"/>
          <w:spacing w:val="-6"/>
          <w:w w:val="120"/>
          <w:sz w:val="20"/>
        </w:rPr>
        <w:t xml:space="preserve"> </w:t>
      </w:r>
      <w:r>
        <w:rPr>
          <w:rFonts w:ascii="Arial Narrow" w:hAnsi="Arial Narrow"/>
          <w:i/>
          <w:color w:val="4D4D4F"/>
          <w:spacing w:val="-3"/>
          <w:w w:val="120"/>
          <w:sz w:val="20"/>
        </w:rPr>
        <w:t>triandra</w:t>
      </w:r>
    </w:p>
    <w:p w14:paraId="70B6584D" w14:textId="77777777" w:rsidR="00EF5B27" w:rsidRDefault="00000000">
      <w:pPr>
        <w:pStyle w:val="ListParagraph"/>
        <w:numPr>
          <w:ilvl w:val="0"/>
          <w:numId w:val="34"/>
        </w:numPr>
        <w:tabs>
          <w:tab w:val="left" w:pos="2779"/>
        </w:tabs>
        <w:spacing w:before="129"/>
        <w:rPr>
          <w:sz w:val="11"/>
        </w:rPr>
      </w:pPr>
      <w:r>
        <w:rPr>
          <w:color w:val="4D4D4F"/>
          <w:sz w:val="20"/>
        </w:rPr>
        <w:t xml:space="preserve">Native forbs </w:t>
      </w:r>
      <w:r>
        <w:rPr>
          <w:color w:val="4D4D4F"/>
          <w:spacing w:val="-4"/>
          <w:sz w:val="20"/>
        </w:rPr>
        <w:t xml:space="preserve">(as </w:t>
      </w:r>
      <w:r>
        <w:rPr>
          <w:color w:val="4D4D4F"/>
          <w:sz w:val="20"/>
        </w:rPr>
        <w:t>defined in DELWP</w:t>
      </w:r>
      <w:r>
        <w:rPr>
          <w:color w:val="4D4D4F"/>
          <w:spacing w:val="29"/>
          <w:sz w:val="20"/>
        </w:rPr>
        <w:t xml:space="preserve"> </w:t>
      </w:r>
      <w:r>
        <w:rPr>
          <w:color w:val="4D4D4F"/>
          <w:spacing w:val="-4"/>
          <w:sz w:val="20"/>
        </w:rPr>
        <w:t>2015a)</w:t>
      </w:r>
      <w:r>
        <w:rPr>
          <w:color w:val="4D4D4F"/>
          <w:spacing w:val="-4"/>
          <w:position w:val="7"/>
          <w:sz w:val="11"/>
        </w:rPr>
        <w:t>318</w:t>
      </w:r>
    </w:p>
    <w:p w14:paraId="1E66797C" w14:textId="77777777" w:rsidR="00EF5B27" w:rsidRDefault="00000000">
      <w:pPr>
        <w:pStyle w:val="ListParagraph"/>
        <w:numPr>
          <w:ilvl w:val="0"/>
          <w:numId w:val="34"/>
        </w:numPr>
        <w:tabs>
          <w:tab w:val="left" w:pos="2779"/>
        </w:tabs>
        <w:spacing w:before="130"/>
        <w:rPr>
          <w:sz w:val="20"/>
        </w:rPr>
      </w:pPr>
      <w:r>
        <w:rPr>
          <w:color w:val="4D4D4F"/>
          <w:spacing w:val="2"/>
          <w:w w:val="105"/>
          <w:sz w:val="20"/>
        </w:rPr>
        <w:t xml:space="preserve">C4 </w:t>
      </w:r>
      <w:r>
        <w:rPr>
          <w:color w:val="4D4D4F"/>
          <w:w w:val="105"/>
          <w:sz w:val="20"/>
        </w:rPr>
        <w:t>native</w:t>
      </w:r>
      <w:r>
        <w:rPr>
          <w:color w:val="4D4D4F"/>
          <w:spacing w:val="-3"/>
          <w:w w:val="105"/>
          <w:sz w:val="20"/>
        </w:rPr>
        <w:t xml:space="preserve"> </w:t>
      </w:r>
      <w:r>
        <w:rPr>
          <w:color w:val="4D4D4F"/>
          <w:w w:val="105"/>
          <w:sz w:val="20"/>
        </w:rPr>
        <w:t>grasses</w:t>
      </w:r>
    </w:p>
    <w:p w14:paraId="5C4F5918" w14:textId="77777777" w:rsidR="00EF5B27" w:rsidRDefault="00000000">
      <w:pPr>
        <w:pStyle w:val="ListParagraph"/>
        <w:numPr>
          <w:ilvl w:val="0"/>
          <w:numId w:val="34"/>
        </w:numPr>
        <w:tabs>
          <w:tab w:val="left" w:pos="2779"/>
        </w:tabs>
        <w:spacing w:before="129"/>
        <w:rPr>
          <w:sz w:val="20"/>
        </w:rPr>
      </w:pPr>
      <w:r>
        <w:rPr>
          <w:color w:val="4D4D4F"/>
          <w:w w:val="105"/>
          <w:sz w:val="20"/>
        </w:rPr>
        <w:t>C3 native</w:t>
      </w:r>
      <w:r>
        <w:rPr>
          <w:color w:val="4D4D4F"/>
          <w:spacing w:val="2"/>
          <w:w w:val="105"/>
          <w:sz w:val="20"/>
        </w:rPr>
        <w:t xml:space="preserve"> </w:t>
      </w:r>
      <w:r>
        <w:rPr>
          <w:color w:val="4D4D4F"/>
          <w:w w:val="105"/>
          <w:sz w:val="20"/>
        </w:rPr>
        <w:t>grasses</w:t>
      </w:r>
    </w:p>
    <w:p w14:paraId="6B19DFC2" w14:textId="77777777" w:rsidR="00EF5B27" w:rsidRDefault="00000000">
      <w:pPr>
        <w:pStyle w:val="ListParagraph"/>
        <w:numPr>
          <w:ilvl w:val="0"/>
          <w:numId w:val="34"/>
        </w:numPr>
        <w:tabs>
          <w:tab w:val="left" w:pos="2779"/>
        </w:tabs>
        <w:spacing w:before="129"/>
        <w:rPr>
          <w:sz w:val="20"/>
        </w:rPr>
      </w:pPr>
      <w:r>
        <w:rPr>
          <w:color w:val="4D4D4F"/>
          <w:sz w:val="20"/>
        </w:rPr>
        <w:t>Exotic perennial</w:t>
      </w:r>
      <w:r>
        <w:rPr>
          <w:color w:val="4D4D4F"/>
          <w:spacing w:val="8"/>
          <w:sz w:val="20"/>
        </w:rPr>
        <w:t xml:space="preserve"> </w:t>
      </w:r>
      <w:r>
        <w:rPr>
          <w:color w:val="4D4D4F"/>
          <w:sz w:val="20"/>
        </w:rPr>
        <w:t>monocots</w:t>
      </w:r>
    </w:p>
    <w:p w14:paraId="5AAA00D9" w14:textId="77777777" w:rsidR="00EF5B27" w:rsidRDefault="00000000">
      <w:pPr>
        <w:pStyle w:val="ListParagraph"/>
        <w:numPr>
          <w:ilvl w:val="0"/>
          <w:numId w:val="34"/>
        </w:numPr>
        <w:tabs>
          <w:tab w:val="left" w:pos="2779"/>
        </w:tabs>
        <w:spacing w:before="129"/>
        <w:rPr>
          <w:sz w:val="20"/>
        </w:rPr>
      </w:pPr>
      <w:r>
        <w:rPr>
          <w:color w:val="4D4D4F"/>
          <w:sz w:val="20"/>
        </w:rPr>
        <w:t>Exotic perennial</w:t>
      </w:r>
      <w:r>
        <w:rPr>
          <w:color w:val="4D4D4F"/>
          <w:spacing w:val="8"/>
          <w:sz w:val="20"/>
        </w:rPr>
        <w:t xml:space="preserve"> </w:t>
      </w:r>
      <w:r>
        <w:rPr>
          <w:color w:val="4D4D4F"/>
          <w:sz w:val="20"/>
        </w:rPr>
        <w:t>dicots</w:t>
      </w:r>
    </w:p>
    <w:p w14:paraId="46EF69E9" w14:textId="77777777" w:rsidR="00EF5B27" w:rsidRDefault="00000000">
      <w:pPr>
        <w:pStyle w:val="ListParagraph"/>
        <w:numPr>
          <w:ilvl w:val="0"/>
          <w:numId w:val="34"/>
        </w:numPr>
        <w:tabs>
          <w:tab w:val="left" w:pos="2779"/>
        </w:tabs>
        <w:spacing w:before="130"/>
        <w:rPr>
          <w:sz w:val="20"/>
        </w:rPr>
      </w:pPr>
      <w:r>
        <w:rPr>
          <w:color w:val="4D4D4F"/>
          <w:sz w:val="20"/>
        </w:rPr>
        <w:t>Exotic annual</w:t>
      </w:r>
      <w:r>
        <w:rPr>
          <w:color w:val="4D4D4F"/>
          <w:spacing w:val="8"/>
          <w:sz w:val="20"/>
        </w:rPr>
        <w:t xml:space="preserve"> </w:t>
      </w:r>
      <w:r>
        <w:rPr>
          <w:color w:val="4D4D4F"/>
          <w:sz w:val="20"/>
        </w:rPr>
        <w:t>dicots</w:t>
      </w:r>
    </w:p>
    <w:p w14:paraId="69BEEAC1" w14:textId="77777777" w:rsidR="00EF5B27" w:rsidRDefault="00000000">
      <w:pPr>
        <w:pStyle w:val="ListParagraph"/>
        <w:numPr>
          <w:ilvl w:val="0"/>
          <w:numId w:val="34"/>
        </w:numPr>
        <w:tabs>
          <w:tab w:val="left" w:pos="2779"/>
        </w:tabs>
        <w:spacing w:before="129"/>
        <w:rPr>
          <w:sz w:val="20"/>
        </w:rPr>
      </w:pPr>
      <w:r>
        <w:rPr>
          <w:color w:val="4D4D4F"/>
          <w:sz w:val="20"/>
        </w:rPr>
        <w:t>Exotic annual</w:t>
      </w:r>
      <w:r>
        <w:rPr>
          <w:color w:val="4D4D4F"/>
          <w:spacing w:val="8"/>
          <w:sz w:val="20"/>
        </w:rPr>
        <w:t xml:space="preserve"> </w:t>
      </w:r>
      <w:r>
        <w:rPr>
          <w:color w:val="4D4D4F"/>
          <w:sz w:val="20"/>
        </w:rPr>
        <w:t>monocots</w:t>
      </w:r>
    </w:p>
    <w:p w14:paraId="5C40E985" w14:textId="77777777" w:rsidR="00EF5B27" w:rsidRDefault="00000000">
      <w:pPr>
        <w:pStyle w:val="ListParagraph"/>
        <w:numPr>
          <w:ilvl w:val="0"/>
          <w:numId w:val="34"/>
        </w:numPr>
        <w:tabs>
          <w:tab w:val="left" w:pos="2779"/>
        </w:tabs>
        <w:spacing w:before="129"/>
        <w:rPr>
          <w:sz w:val="20"/>
        </w:rPr>
      </w:pPr>
      <w:r>
        <w:rPr>
          <w:color w:val="4D4D4F"/>
          <w:w w:val="105"/>
          <w:sz w:val="20"/>
        </w:rPr>
        <w:t>Bare</w:t>
      </w:r>
      <w:r>
        <w:rPr>
          <w:color w:val="4D4D4F"/>
          <w:spacing w:val="1"/>
          <w:w w:val="105"/>
          <w:sz w:val="20"/>
        </w:rPr>
        <w:t xml:space="preserve"> </w:t>
      </w:r>
      <w:r>
        <w:rPr>
          <w:color w:val="4D4D4F"/>
          <w:w w:val="105"/>
          <w:sz w:val="20"/>
        </w:rPr>
        <w:t>ground</w:t>
      </w:r>
    </w:p>
    <w:p w14:paraId="414B7360" w14:textId="77777777" w:rsidR="00EF5B27" w:rsidRDefault="00000000">
      <w:pPr>
        <w:pStyle w:val="ListParagraph"/>
        <w:numPr>
          <w:ilvl w:val="0"/>
          <w:numId w:val="34"/>
        </w:numPr>
        <w:tabs>
          <w:tab w:val="left" w:pos="2779"/>
        </w:tabs>
        <w:spacing w:before="129"/>
        <w:rPr>
          <w:sz w:val="20"/>
        </w:rPr>
      </w:pPr>
      <w:r>
        <w:rPr>
          <w:color w:val="4D4D4F"/>
          <w:sz w:val="20"/>
        </w:rPr>
        <w:t>Litter</w:t>
      </w:r>
    </w:p>
    <w:p w14:paraId="0695FE79" w14:textId="77777777" w:rsidR="00EF5B27" w:rsidRDefault="00000000">
      <w:pPr>
        <w:pStyle w:val="ListParagraph"/>
        <w:numPr>
          <w:ilvl w:val="0"/>
          <w:numId w:val="34"/>
        </w:numPr>
        <w:tabs>
          <w:tab w:val="left" w:pos="2779"/>
        </w:tabs>
        <w:spacing w:before="130"/>
        <w:rPr>
          <w:sz w:val="20"/>
        </w:rPr>
      </w:pPr>
      <w:r>
        <w:rPr>
          <w:color w:val="4D4D4F"/>
          <w:sz w:val="20"/>
        </w:rPr>
        <w:t>Exposed</w:t>
      </w:r>
      <w:r>
        <w:rPr>
          <w:color w:val="4D4D4F"/>
          <w:spacing w:val="4"/>
          <w:sz w:val="20"/>
        </w:rPr>
        <w:t xml:space="preserve"> </w:t>
      </w:r>
      <w:r>
        <w:rPr>
          <w:color w:val="4D4D4F"/>
          <w:sz w:val="20"/>
        </w:rPr>
        <w:t>rock.</w:t>
      </w:r>
    </w:p>
    <w:p w14:paraId="43501E35" w14:textId="77777777" w:rsidR="00EF5B27" w:rsidRDefault="00000000">
      <w:pPr>
        <w:pStyle w:val="BodyText"/>
        <w:spacing w:before="129" w:line="254" w:lineRule="auto"/>
        <w:ind w:left="2608" w:hanging="1"/>
      </w:pPr>
      <w:r>
        <w:rPr>
          <w:color w:val="4D4D4F"/>
          <w:w w:val="105"/>
        </w:rPr>
        <w:t>The</w:t>
      </w:r>
      <w:r>
        <w:rPr>
          <w:color w:val="4D4D4F"/>
          <w:spacing w:val="-16"/>
          <w:w w:val="105"/>
        </w:rPr>
        <w:t xml:space="preserve"> </w:t>
      </w:r>
      <w:r>
        <w:rPr>
          <w:color w:val="4D4D4F"/>
          <w:w w:val="105"/>
        </w:rPr>
        <w:t>biomass</w:t>
      </w:r>
      <w:r>
        <w:rPr>
          <w:color w:val="4D4D4F"/>
          <w:spacing w:val="-16"/>
          <w:w w:val="105"/>
        </w:rPr>
        <w:t xml:space="preserve"> </w:t>
      </w:r>
      <w:r>
        <w:rPr>
          <w:color w:val="4D4D4F"/>
          <w:w w:val="105"/>
        </w:rPr>
        <w:t>assessment</w:t>
      </w:r>
      <w:r>
        <w:rPr>
          <w:color w:val="4D4D4F"/>
          <w:spacing w:val="-15"/>
          <w:w w:val="105"/>
        </w:rPr>
        <w:t xml:space="preserve"> </w:t>
      </w:r>
      <w:r>
        <w:rPr>
          <w:color w:val="4D4D4F"/>
          <w:w w:val="105"/>
        </w:rPr>
        <w:t>method</w:t>
      </w:r>
      <w:r>
        <w:rPr>
          <w:color w:val="4D4D4F"/>
          <w:spacing w:val="-16"/>
          <w:w w:val="105"/>
        </w:rPr>
        <w:t xml:space="preserve"> </w:t>
      </w:r>
      <w:r>
        <w:rPr>
          <w:color w:val="4D4D4F"/>
          <w:w w:val="105"/>
        </w:rPr>
        <w:t>of</w:t>
      </w:r>
      <w:r>
        <w:rPr>
          <w:color w:val="4D4D4F"/>
          <w:spacing w:val="-15"/>
          <w:w w:val="105"/>
        </w:rPr>
        <w:t xml:space="preserve"> </w:t>
      </w:r>
      <w:r>
        <w:rPr>
          <w:color w:val="4D4D4F"/>
          <w:w w:val="105"/>
        </w:rPr>
        <w:t>Schultz</w:t>
      </w:r>
      <w:r>
        <w:rPr>
          <w:color w:val="4D4D4F"/>
          <w:spacing w:val="-16"/>
          <w:w w:val="105"/>
        </w:rPr>
        <w:t xml:space="preserve"> </w:t>
      </w:r>
      <w:r>
        <w:rPr>
          <w:color w:val="4D4D4F"/>
          <w:w w:val="105"/>
        </w:rPr>
        <w:t>et</w:t>
      </w:r>
      <w:r>
        <w:rPr>
          <w:color w:val="4D4D4F"/>
          <w:spacing w:val="-16"/>
          <w:w w:val="105"/>
        </w:rPr>
        <w:t xml:space="preserve"> </w:t>
      </w:r>
      <w:r>
        <w:rPr>
          <w:color w:val="4D4D4F"/>
          <w:w w:val="105"/>
        </w:rPr>
        <w:t>al.</w:t>
      </w:r>
      <w:r>
        <w:rPr>
          <w:color w:val="4D4D4F"/>
          <w:spacing w:val="-15"/>
          <w:w w:val="105"/>
        </w:rPr>
        <w:t xml:space="preserve"> </w:t>
      </w:r>
      <w:r>
        <w:rPr>
          <w:color w:val="4D4D4F"/>
          <w:spacing w:val="-4"/>
          <w:w w:val="105"/>
        </w:rPr>
        <w:t>(2017)</w:t>
      </w:r>
      <w:r>
        <w:rPr>
          <w:color w:val="4D4D4F"/>
          <w:spacing w:val="-4"/>
          <w:w w:val="105"/>
          <w:position w:val="7"/>
          <w:sz w:val="11"/>
        </w:rPr>
        <w:t>319</w:t>
      </w:r>
      <w:r>
        <w:rPr>
          <w:color w:val="4D4D4F"/>
          <w:spacing w:val="6"/>
          <w:w w:val="105"/>
          <w:position w:val="7"/>
          <w:sz w:val="11"/>
        </w:rPr>
        <w:t xml:space="preserve"> </w:t>
      </w:r>
      <w:r>
        <w:rPr>
          <w:color w:val="4D4D4F"/>
          <w:w w:val="105"/>
        </w:rPr>
        <w:t>is</w:t>
      </w:r>
      <w:r>
        <w:rPr>
          <w:color w:val="4D4D4F"/>
          <w:spacing w:val="-16"/>
          <w:w w:val="105"/>
        </w:rPr>
        <w:t xml:space="preserve"> </w:t>
      </w:r>
      <w:r>
        <w:rPr>
          <w:color w:val="4D4D4F"/>
          <w:w w:val="105"/>
        </w:rPr>
        <w:t>also</w:t>
      </w:r>
      <w:r>
        <w:rPr>
          <w:color w:val="4D4D4F"/>
          <w:spacing w:val="-15"/>
          <w:w w:val="105"/>
        </w:rPr>
        <w:t xml:space="preserve"> </w:t>
      </w:r>
      <w:r>
        <w:rPr>
          <w:color w:val="4D4D4F"/>
          <w:w w:val="105"/>
        </w:rPr>
        <w:t>applied</w:t>
      </w:r>
      <w:r>
        <w:rPr>
          <w:color w:val="4D4D4F"/>
          <w:spacing w:val="-16"/>
          <w:w w:val="105"/>
        </w:rPr>
        <w:t xml:space="preserve"> </w:t>
      </w:r>
      <w:r>
        <w:rPr>
          <w:color w:val="4D4D4F"/>
          <w:w w:val="105"/>
        </w:rPr>
        <w:t>at</w:t>
      </w:r>
      <w:r>
        <w:rPr>
          <w:color w:val="4D4D4F"/>
          <w:spacing w:val="-16"/>
          <w:w w:val="105"/>
        </w:rPr>
        <w:t xml:space="preserve"> </w:t>
      </w:r>
      <w:r>
        <w:rPr>
          <w:color w:val="4D4D4F"/>
          <w:w w:val="105"/>
        </w:rPr>
        <w:t>each</w:t>
      </w:r>
      <w:r>
        <w:rPr>
          <w:color w:val="4D4D4F"/>
          <w:spacing w:val="-15"/>
          <w:w w:val="105"/>
        </w:rPr>
        <w:t xml:space="preserve"> </w:t>
      </w:r>
      <w:r>
        <w:rPr>
          <w:color w:val="4D4D4F"/>
          <w:w w:val="105"/>
        </w:rPr>
        <w:t>plot. This data is used to characterise habitat for Golden Sun</w:t>
      </w:r>
      <w:r>
        <w:rPr>
          <w:color w:val="4D4D4F"/>
          <w:spacing w:val="-29"/>
          <w:w w:val="105"/>
        </w:rPr>
        <w:t xml:space="preserve"> </w:t>
      </w:r>
      <w:r>
        <w:rPr>
          <w:color w:val="4D4D4F"/>
          <w:w w:val="105"/>
        </w:rPr>
        <w:t>Moth.</w:t>
      </w:r>
    </w:p>
    <w:p w14:paraId="73A39E35" w14:textId="77777777" w:rsidR="00EF5B27" w:rsidRDefault="00000000">
      <w:pPr>
        <w:pStyle w:val="BodyText"/>
        <w:spacing w:before="5"/>
        <w:rPr>
          <w:sz w:val="28"/>
        </w:rPr>
      </w:pPr>
      <w:r>
        <w:rPr>
          <w:noProof/>
        </w:rPr>
        <w:drawing>
          <wp:anchor distT="0" distB="0" distL="0" distR="0" simplePos="0" relativeHeight="251304448" behindDoc="0" locked="0" layoutInCell="1" allowOverlap="1" wp14:anchorId="74CDC413" wp14:editId="14E806D0">
            <wp:simplePos x="0" y="0"/>
            <wp:positionH relativeFrom="page">
              <wp:posOffset>2304000</wp:posOffset>
            </wp:positionH>
            <wp:positionV relativeFrom="paragraph">
              <wp:posOffset>245470</wp:posOffset>
            </wp:positionV>
            <wp:extent cx="4535423" cy="2551176"/>
            <wp:effectExtent l="0" t="0" r="0" b="0"/>
            <wp:wrapTopAndBottom/>
            <wp:docPr id="521"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218.png"/>
                    <pic:cNvPicPr/>
                  </pic:nvPicPr>
                  <pic:blipFill>
                    <a:blip r:embed="rId179" cstate="print"/>
                    <a:stretch>
                      <a:fillRect/>
                    </a:stretch>
                  </pic:blipFill>
                  <pic:spPr>
                    <a:xfrm>
                      <a:off x="0" y="0"/>
                      <a:ext cx="4535423" cy="2551176"/>
                    </a:xfrm>
                    <a:prstGeom prst="rect">
                      <a:avLst/>
                    </a:prstGeom>
                  </pic:spPr>
                </pic:pic>
              </a:graphicData>
            </a:graphic>
          </wp:anchor>
        </w:drawing>
      </w:r>
    </w:p>
    <w:p w14:paraId="66F957FB" w14:textId="77777777" w:rsidR="00EF5B27" w:rsidRDefault="00000000">
      <w:pPr>
        <w:tabs>
          <w:tab w:val="left" w:pos="8977"/>
        </w:tabs>
        <w:spacing w:before="113"/>
        <w:ind w:left="2608"/>
        <w:rPr>
          <w:rFonts w:ascii="Century Gothic"/>
          <w:i/>
          <w:sz w:val="12"/>
        </w:rPr>
      </w:pPr>
      <w:r>
        <w:rPr>
          <w:color w:val="4D4D4F"/>
          <w:sz w:val="16"/>
        </w:rPr>
        <w:t>Figure</w:t>
      </w:r>
      <w:r>
        <w:rPr>
          <w:color w:val="4D4D4F"/>
          <w:spacing w:val="9"/>
          <w:sz w:val="16"/>
        </w:rPr>
        <w:t xml:space="preserve"> </w:t>
      </w:r>
      <w:r>
        <w:rPr>
          <w:color w:val="4D4D4F"/>
          <w:sz w:val="16"/>
        </w:rPr>
        <w:t>46:</w:t>
      </w:r>
      <w:r>
        <w:rPr>
          <w:color w:val="4D4D4F"/>
          <w:spacing w:val="10"/>
          <w:sz w:val="16"/>
        </w:rPr>
        <w:t xml:space="preserve"> </w:t>
      </w:r>
      <w:r>
        <w:rPr>
          <w:color w:val="4D4D4F"/>
          <w:sz w:val="16"/>
        </w:rPr>
        <w:t>A</w:t>
      </w:r>
      <w:r>
        <w:rPr>
          <w:color w:val="4D4D4F"/>
          <w:spacing w:val="10"/>
          <w:sz w:val="16"/>
        </w:rPr>
        <w:t xml:space="preserve"> </w:t>
      </w:r>
      <w:r>
        <w:rPr>
          <w:color w:val="4D4D4F"/>
          <w:sz w:val="16"/>
        </w:rPr>
        <w:t>point-intercept</w:t>
      </w:r>
      <w:r>
        <w:rPr>
          <w:color w:val="4D4D4F"/>
          <w:spacing w:val="9"/>
          <w:sz w:val="16"/>
        </w:rPr>
        <w:t xml:space="preserve"> </w:t>
      </w:r>
      <w:r>
        <w:rPr>
          <w:color w:val="4D4D4F"/>
          <w:sz w:val="16"/>
        </w:rPr>
        <w:t>plot</w:t>
      </w:r>
      <w:r>
        <w:rPr>
          <w:color w:val="4D4D4F"/>
          <w:spacing w:val="10"/>
          <w:sz w:val="16"/>
        </w:rPr>
        <w:t xml:space="preserve"> </w:t>
      </w:r>
      <w:r>
        <w:rPr>
          <w:color w:val="4D4D4F"/>
          <w:sz w:val="16"/>
        </w:rPr>
        <w:t>used</w:t>
      </w:r>
      <w:r>
        <w:rPr>
          <w:color w:val="4D4D4F"/>
          <w:spacing w:val="10"/>
          <w:sz w:val="16"/>
        </w:rPr>
        <w:t xml:space="preserve"> </w:t>
      </w:r>
      <w:r>
        <w:rPr>
          <w:color w:val="4D4D4F"/>
          <w:sz w:val="16"/>
        </w:rPr>
        <w:t>to</w:t>
      </w:r>
      <w:r>
        <w:rPr>
          <w:color w:val="4D4D4F"/>
          <w:spacing w:val="9"/>
          <w:sz w:val="16"/>
        </w:rPr>
        <w:t xml:space="preserve"> </w:t>
      </w:r>
      <w:r>
        <w:rPr>
          <w:color w:val="4D4D4F"/>
          <w:sz w:val="16"/>
        </w:rPr>
        <w:t>sample</w:t>
      </w:r>
      <w:r>
        <w:rPr>
          <w:color w:val="4D4D4F"/>
          <w:spacing w:val="10"/>
          <w:sz w:val="16"/>
        </w:rPr>
        <w:t xml:space="preserve"> </w:t>
      </w:r>
      <w:r>
        <w:rPr>
          <w:color w:val="4D4D4F"/>
          <w:sz w:val="16"/>
        </w:rPr>
        <w:t>Natural</w:t>
      </w:r>
      <w:r>
        <w:rPr>
          <w:color w:val="4D4D4F"/>
          <w:spacing w:val="10"/>
          <w:sz w:val="16"/>
        </w:rPr>
        <w:t xml:space="preserve"> </w:t>
      </w:r>
      <w:r>
        <w:rPr>
          <w:color w:val="4D4D4F"/>
          <w:sz w:val="16"/>
        </w:rPr>
        <w:t>Temperate</w:t>
      </w:r>
      <w:r>
        <w:rPr>
          <w:color w:val="4D4D4F"/>
          <w:spacing w:val="10"/>
          <w:sz w:val="16"/>
        </w:rPr>
        <w:t xml:space="preserve"> </w:t>
      </w:r>
      <w:r>
        <w:rPr>
          <w:color w:val="4D4D4F"/>
          <w:sz w:val="16"/>
        </w:rPr>
        <w:t>Grassland</w:t>
      </w:r>
      <w:r>
        <w:rPr>
          <w:color w:val="4D4D4F"/>
          <w:sz w:val="16"/>
        </w:rPr>
        <w:tab/>
      </w:r>
      <w:r>
        <w:rPr>
          <w:rFonts w:ascii="Century Gothic"/>
          <w:i/>
          <w:color w:val="4D4D4F"/>
          <w:sz w:val="12"/>
        </w:rPr>
        <w:t>Source:</w:t>
      </w:r>
      <w:r>
        <w:rPr>
          <w:rFonts w:ascii="Century Gothic"/>
          <w:i/>
          <w:color w:val="4D4D4F"/>
          <w:spacing w:val="-22"/>
          <w:sz w:val="12"/>
        </w:rPr>
        <w:t xml:space="preserve"> </w:t>
      </w:r>
      <w:r>
        <w:rPr>
          <w:rFonts w:ascii="Century Gothic"/>
          <w:i/>
          <w:color w:val="4D4D4F"/>
          <w:sz w:val="12"/>
        </w:rPr>
        <w:t>DELWP</w:t>
      </w:r>
    </w:p>
    <w:p w14:paraId="06B1146D" w14:textId="77777777" w:rsidR="00EF5B27" w:rsidRDefault="00EF5B27">
      <w:pPr>
        <w:pStyle w:val="BodyText"/>
        <w:rPr>
          <w:rFonts w:ascii="Century Gothic"/>
          <w:i/>
        </w:rPr>
      </w:pPr>
    </w:p>
    <w:p w14:paraId="52693DB6" w14:textId="77777777" w:rsidR="00EF5B27" w:rsidRDefault="00EF5B27">
      <w:pPr>
        <w:pStyle w:val="BodyText"/>
        <w:rPr>
          <w:rFonts w:ascii="Century Gothic"/>
          <w:i/>
        </w:rPr>
      </w:pPr>
    </w:p>
    <w:p w14:paraId="2A715E16" w14:textId="77777777" w:rsidR="00EF5B27" w:rsidRDefault="00000000">
      <w:pPr>
        <w:pStyle w:val="BodyText"/>
        <w:spacing w:before="7"/>
        <w:rPr>
          <w:rFonts w:ascii="Century Gothic"/>
          <w:i/>
          <w:sz w:val="22"/>
        </w:rPr>
      </w:pPr>
      <w:r>
        <w:pict w14:anchorId="245A216C">
          <v:line id="_x0000_s2316" style="position:absolute;z-index:251758080;mso-wrap-distance-left:0;mso-wrap-distance-right:0;mso-position-horizontal-relative:page" from="181.4pt,16.1pt" to="538.6pt,16.1pt" strokecolor="#4d4d4f" strokeweight=".5pt">
            <w10:wrap type="topAndBottom" anchorx="page"/>
          </v:line>
        </w:pict>
      </w:r>
    </w:p>
    <w:p w14:paraId="5A334C34" w14:textId="77777777" w:rsidR="00EF5B27" w:rsidRDefault="00000000">
      <w:pPr>
        <w:pStyle w:val="ListParagraph"/>
        <w:numPr>
          <w:ilvl w:val="0"/>
          <w:numId w:val="4"/>
        </w:numPr>
        <w:tabs>
          <w:tab w:val="left" w:pos="2836"/>
        </w:tabs>
        <w:spacing w:before="83" w:line="143" w:lineRule="exact"/>
        <w:rPr>
          <w:sz w:val="12"/>
        </w:rPr>
      </w:pPr>
      <w:r>
        <w:rPr>
          <w:color w:val="4D4D4F"/>
          <w:sz w:val="12"/>
        </w:rPr>
        <w:t>DELWP</w:t>
      </w:r>
      <w:r>
        <w:rPr>
          <w:color w:val="4D4D4F"/>
          <w:spacing w:val="5"/>
          <w:sz w:val="12"/>
        </w:rPr>
        <w:t xml:space="preserve"> </w:t>
      </w:r>
      <w:r>
        <w:rPr>
          <w:color w:val="4D4D4F"/>
          <w:sz w:val="12"/>
        </w:rPr>
        <w:t>2015b,</w:t>
      </w:r>
      <w:r>
        <w:rPr>
          <w:color w:val="4D4D4F"/>
          <w:spacing w:val="5"/>
          <w:sz w:val="12"/>
        </w:rPr>
        <w:t xml:space="preserve"> </w:t>
      </w:r>
      <w:r>
        <w:rPr>
          <w:color w:val="4D4D4F"/>
          <w:sz w:val="12"/>
        </w:rPr>
        <w:t>‘Conservation</w:t>
      </w:r>
      <w:r>
        <w:rPr>
          <w:color w:val="4D4D4F"/>
          <w:spacing w:val="5"/>
          <w:sz w:val="12"/>
        </w:rPr>
        <w:t xml:space="preserve"> </w:t>
      </w:r>
      <w:r>
        <w:rPr>
          <w:color w:val="4D4D4F"/>
          <w:spacing w:val="2"/>
          <w:sz w:val="12"/>
        </w:rPr>
        <w:t>Area</w:t>
      </w:r>
      <w:r>
        <w:rPr>
          <w:color w:val="4D4D4F"/>
          <w:spacing w:val="6"/>
          <w:sz w:val="12"/>
        </w:rPr>
        <w:t xml:space="preserve"> </w:t>
      </w:r>
      <w:r>
        <w:rPr>
          <w:color w:val="4D4D4F"/>
          <w:sz w:val="12"/>
        </w:rPr>
        <w:t>Inventory</w:t>
      </w:r>
      <w:r>
        <w:rPr>
          <w:color w:val="4D4D4F"/>
          <w:spacing w:val="5"/>
          <w:sz w:val="12"/>
        </w:rPr>
        <w:t xml:space="preserve"> </w:t>
      </w:r>
      <w:r>
        <w:rPr>
          <w:color w:val="4D4D4F"/>
          <w:sz w:val="12"/>
        </w:rPr>
        <w:t>Guidelines.</w:t>
      </w:r>
      <w:r>
        <w:rPr>
          <w:color w:val="4D4D4F"/>
          <w:spacing w:val="5"/>
          <w:sz w:val="12"/>
        </w:rPr>
        <w:t xml:space="preserve"> </w:t>
      </w:r>
      <w:r>
        <w:rPr>
          <w:color w:val="4D4D4F"/>
          <w:sz w:val="12"/>
        </w:rPr>
        <w:t>Melbourne</w:t>
      </w:r>
      <w:r>
        <w:rPr>
          <w:color w:val="4D4D4F"/>
          <w:spacing w:val="6"/>
          <w:sz w:val="12"/>
        </w:rPr>
        <w:t xml:space="preserve"> </w:t>
      </w:r>
      <w:r>
        <w:rPr>
          <w:color w:val="4D4D4F"/>
          <w:sz w:val="12"/>
        </w:rPr>
        <w:t>Strategic</w:t>
      </w:r>
      <w:r>
        <w:rPr>
          <w:color w:val="4D4D4F"/>
          <w:spacing w:val="5"/>
          <w:sz w:val="12"/>
        </w:rPr>
        <w:t xml:space="preserve"> </w:t>
      </w:r>
      <w:r>
        <w:rPr>
          <w:color w:val="4D4D4F"/>
          <w:sz w:val="12"/>
        </w:rPr>
        <w:t>Assessment’,</w:t>
      </w:r>
      <w:r>
        <w:rPr>
          <w:color w:val="4D4D4F"/>
          <w:spacing w:val="5"/>
          <w:sz w:val="12"/>
        </w:rPr>
        <w:t xml:space="preserve"> </w:t>
      </w:r>
      <w:r>
        <w:rPr>
          <w:color w:val="4D4D4F"/>
          <w:sz w:val="12"/>
        </w:rPr>
        <w:t>East</w:t>
      </w:r>
      <w:r>
        <w:rPr>
          <w:color w:val="4D4D4F"/>
          <w:spacing w:val="6"/>
          <w:sz w:val="12"/>
        </w:rPr>
        <w:t xml:space="preserve"> </w:t>
      </w:r>
      <w:r>
        <w:rPr>
          <w:color w:val="4D4D4F"/>
          <w:sz w:val="12"/>
        </w:rPr>
        <w:t>Melbourne,</w:t>
      </w:r>
      <w:r>
        <w:rPr>
          <w:color w:val="4D4D4F"/>
          <w:spacing w:val="5"/>
          <w:sz w:val="12"/>
        </w:rPr>
        <w:t xml:space="preserve"> </w:t>
      </w:r>
      <w:r>
        <w:rPr>
          <w:color w:val="4D4D4F"/>
          <w:sz w:val="12"/>
        </w:rPr>
        <w:t>Victoria.</w:t>
      </w:r>
    </w:p>
    <w:p w14:paraId="7CFF5B67" w14:textId="77777777" w:rsidR="00EF5B27" w:rsidRDefault="00000000">
      <w:pPr>
        <w:pStyle w:val="ListParagraph"/>
        <w:numPr>
          <w:ilvl w:val="0"/>
          <w:numId w:val="4"/>
        </w:numPr>
        <w:tabs>
          <w:tab w:val="left" w:pos="2836"/>
        </w:tabs>
        <w:spacing w:before="2" w:line="230" w:lineRule="auto"/>
        <w:ind w:right="111"/>
        <w:rPr>
          <w:sz w:val="12"/>
        </w:rPr>
      </w:pPr>
      <w:r>
        <w:rPr>
          <w:color w:val="4D4D4F"/>
          <w:sz w:val="12"/>
        </w:rPr>
        <w:t xml:space="preserve">Schultz N, Keatley M, Antos M, Wong N, Moxham C, Farmilo B and Morgan JW 2017, </w:t>
      </w:r>
      <w:r>
        <w:rPr>
          <w:color w:val="4D4D4F"/>
          <w:spacing w:val="2"/>
          <w:sz w:val="12"/>
        </w:rPr>
        <w:t xml:space="preserve">‘The </w:t>
      </w:r>
      <w:r>
        <w:rPr>
          <w:color w:val="4D4D4F"/>
          <w:sz w:val="12"/>
        </w:rPr>
        <w:t>golf ball method for rapid assessment of    grassland structure.’ Ecological Management &amp; Restoration 18,</w:t>
      </w:r>
      <w:r>
        <w:rPr>
          <w:color w:val="4D4D4F"/>
          <w:spacing w:val="19"/>
          <w:sz w:val="12"/>
        </w:rPr>
        <w:t xml:space="preserve"> </w:t>
      </w:r>
      <w:r>
        <w:rPr>
          <w:color w:val="4D4D4F"/>
          <w:sz w:val="12"/>
        </w:rPr>
        <w:t>134-140.</w:t>
      </w:r>
    </w:p>
    <w:p w14:paraId="6B626990"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3978AFED" w14:textId="77777777" w:rsidR="00EF5B27" w:rsidRDefault="00000000">
      <w:pPr>
        <w:pStyle w:val="BodyText"/>
      </w:pPr>
      <w:r>
        <w:lastRenderedPageBreak/>
        <w:pict w14:anchorId="30C0E721">
          <v:group id="_x0000_s2308" style="position:absolute;margin-left:587.05pt;margin-top:183.4pt;width:8.25pt;height:153.1pt;z-index:251790848;mso-position-horizontal-relative:page;mso-position-vertical-relative:page" coordorigin="11741,3668" coordsize="165,3062">
            <v:shape id="_x0000_s2315" style="position:absolute;left:11741;top:3668;width:165;height:561" coordorigin="11741,3668" coordsize="165,561" path="m11906,3668r-165,l11741,4228r165,-18l11906,3668xe" fillcolor="#00aed9" stroked="f">
              <v:path arrowok="t"/>
            </v:shape>
            <v:shape id="_x0000_s2314" style="position:absolute;left:11741;top:4118;width:165;height:425" coordorigin="11741,4118" coordsize="165,425" path="m11906,4118r-165,14l11741,4531r165,12l11906,4118xe" fillcolor="#047ebc" stroked="f">
              <v:path arrowok="t"/>
            </v:shape>
            <v:shape id="_x0000_s2313" type="#_x0000_t75" style="position:absolute;left:11741;top:4355;width:165;height:587">
              <v:imagedata r:id="rId42" o:title=""/>
            </v:shape>
            <v:shape id="_x0000_s2312" style="position:absolute;left:11741;top:5343;width:165;height:536" coordorigin="11741,5343" coordsize="165,536" path="m11741,5343r,535l11906,5872r,-525l11741,5343xe" fillcolor="#f36a2e" stroked="f">
              <v:path arrowok="t"/>
            </v:shape>
            <v:shape id="_x0000_s2311" style="position:absolute;left:11741;top:4925;width:165;height:501" coordorigin="11741,4926" coordsize="165,501" path="m11741,4926r,500l11906,5426r,-485l11741,4926xe" fillcolor="#49783f" stroked="f">
              <v:path arrowok="t"/>
            </v:shape>
            <v:shape id="_x0000_s2310" style="position:absolute;left:11741;top:5781;width:165;height:268" coordorigin="11741,5782" coordsize="165,268" path="m11906,5782r-165,8l11741,6039r165,10l11906,5782xe" fillcolor="#f99f2a" stroked="f">
              <v:path arrowok="t"/>
            </v:shape>
            <v:shape id="_x0000_s2309" style="position:absolute;left:11741;top:6023;width:165;height:707" coordorigin="11741,6023" coordsize="165,707" path="m11741,6023r,706l11906,6729r,-690l11741,6023xe" fillcolor="#ef412c" stroked="f">
              <v:path arrowok="t"/>
            </v:shape>
            <w10:wrap anchorx="page" anchory="page"/>
          </v:group>
        </w:pict>
      </w:r>
    </w:p>
    <w:p w14:paraId="6601DF40" w14:textId="77777777" w:rsidR="00EF5B27" w:rsidRDefault="00EF5B27">
      <w:pPr>
        <w:pStyle w:val="BodyText"/>
      </w:pPr>
    </w:p>
    <w:p w14:paraId="70DE9761" w14:textId="77777777" w:rsidR="00EF5B27" w:rsidRDefault="00EF5B27">
      <w:pPr>
        <w:pStyle w:val="BodyText"/>
      </w:pPr>
    </w:p>
    <w:p w14:paraId="26624B1E" w14:textId="77777777" w:rsidR="00EF5B27" w:rsidRDefault="00EF5B27">
      <w:pPr>
        <w:pStyle w:val="BodyText"/>
        <w:spacing w:before="11"/>
        <w:rPr>
          <w:sz w:val="25"/>
        </w:rPr>
      </w:pPr>
    </w:p>
    <w:p w14:paraId="23E88083" w14:textId="77777777" w:rsidR="00EF5B27" w:rsidRDefault="00000000">
      <w:pPr>
        <w:tabs>
          <w:tab w:val="left" w:pos="8977"/>
        </w:tabs>
        <w:spacing w:before="100" w:line="244" w:lineRule="auto"/>
        <w:ind w:left="113" w:right="111"/>
        <w:rPr>
          <w:rFonts w:ascii="Century Gothic"/>
          <w:i/>
          <w:sz w:val="12"/>
        </w:rPr>
      </w:pPr>
      <w:bookmarkStart w:id="120" w:name="_bookmark79"/>
      <w:bookmarkStart w:id="121" w:name="_heading=h.1pgrrkc"/>
      <w:bookmarkStart w:id="122" w:name="_heading=h.49gfa85"/>
      <w:bookmarkStart w:id="123" w:name="_Ref113025841"/>
      <w:bookmarkStart w:id="124" w:name="_bookmark78"/>
      <w:bookmarkEnd w:id="120"/>
      <w:bookmarkEnd w:id="121"/>
      <w:bookmarkEnd w:id="122"/>
      <w:bookmarkEnd w:id="123"/>
      <w:bookmarkEnd w:id="124"/>
      <w:r>
        <w:rPr>
          <w:color w:val="4D4D4F"/>
          <w:sz w:val="16"/>
        </w:rPr>
        <w:t xml:space="preserve">Table 9: Sampling intensity for Natural Temperate Grassland, showing how the different plot </w:t>
      </w:r>
      <w:r>
        <w:rPr>
          <w:color w:val="4D4D4F"/>
          <w:spacing w:val="2"/>
          <w:sz w:val="16"/>
        </w:rPr>
        <w:t xml:space="preserve">types </w:t>
      </w:r>
      <w:r>
        <w:rPr>
          <w:color w:val="4D4D4F"/>
          <w:sz w:val="16"/>
        </w:rPr>
        <w:t>have been dispersed across the states in different</w:t>
      </w:r>
      <w:r>
        <w:rPr>
          <w:color w:val="4D4D4F"/>
          <w:spacing w:val="8"/>
          <w:sz w:val="16"/>
        </w:rPr>
        <w:t xml:space="preserve"> </w:t>
      </w:r>
      <w:r>
        <w:rPr>
          <w:color w:val="4D4D4F"/>
          <w:sz w:val="16"/>
        </w:rPr>
        <w:t>years.</w:t>
      </w:r>
      <w:r>
        <w:rPr>
          <w:color w:val="4D4D4F"/>
          <w:sz w:val="16"/>
        </w:rPr>
        <w:tab/>
      </w:r>
      <w:r>
        <w:rPr>
          <w:rFonts w:ascii="Century Gothic"/>
          <w:i/>
          <w:color w:val="4D4D4F"/>
          <w:w w:val="90"/>
          <w:sz w:val="12"/>
        </w:rPr>
        <w:t xml:space="preserve">Source: </w:t>
      </w:r>
      <w:r>
        <w:rPr>
          <w:rFonts w:ascii="Century Gothic"/>
          <w:i/>
          <w:color w:val="4D4D4F"/>
          <w:spacing w:val="-5"/>
          <w:w w:val="90"/>
          <w:sz w:val="12"/>
        </w:rPr>
        <w:t>DELWP</w:t>
      </w:r>
    </w:p>
    <w:p w14:paraId="2996E76D" w14:textId="77777777" w:rsidR="00EF5B27" w:rsidRDefault="00EF5B27">
      <w:pPr>
        <w:pStyle w:val="BodyText"/>
        <w:spacing w:before="2"/>
        <w:rPr>
          <w:rFonts w:ascii="Century Gothic"/>
          <w:i/>
          <w:sz w:val="10"/>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4025"/>
        <w:gridCol w:w="623"/>
        <w:gridCol w:w="623"/>
        <w:gridCol w:w="623"/>
        <w:gridCol w:w="623"/>
        <w:gridCol w:w="623"/>
        <w:gridCol w:w="623"/>
        <w:gridCol w:w="623"/>
        <w:gridCol w:w="623"/>
        <w:gridCol w:w="623"/>
      </w:tblGrid>
      <w:tr w:rsidR="00EF5B27" w14:paraId="0DA06E9D" w14:textId="77777777">
        <w:trPr>
          <w:trHeight w:val="505"/>
        </w:trPr>
        <w:tc>
          <w:tcPr>
            <w:tcW w:w="4025" w:type="dxa"/>
            <w:shd w:val="clear" w:color="auto" w:fill="FECC91"/>
          </w:tcPr>
          <w:p w14:paraId="1D38FF2A" w14:textId="77777777" w:rsidR="00EF5B27" w:rsidRDefault="00000000">
            <w:pPr>
              <w:pStyle w:val="TableParagraph"/>
              <w:spacing w:before="162"/>
              <w:ind w:left="758" w:right="753"/>
              <w:jc w:val="center"/>
              <w:rPr>
                <w:b/>
                <w:sz w:val="16"/>
              </w:rPr>
            </w:pPr>
            <w:r>
              <w:rPr>
                <w:b/>
                <w:sz w:val="16"/>
              </w:rPr>
              <w:t>Plot type (and state)</w:t>
            </w:r>
          </w:p>
        </w:tc>
        <w:tc>
          <w:tcPr>
            <w:tcW w:w="5607" w:type="dxa"/>
            <w:gridSpan w:val="9"/>
            <w:shd w:val="clear" w:color="auto" w:fill="FECC91"/>
          </w:tcPr>
          <w:p w14:paraId="2EA1BB6F" w14:textId="77777777" w:rsidR="00EF5B27" w:rsidRDefault="00000000">
            <w:pPr>
              <w:pStyle w:val="TableParagraph"/>
              <w:spacing w:before="162"/>
              <w:ind w:left="2244" w:right="2233"/>
              <w:jc w:val="center"/>
              <w:rPr>
                <w:b/>
                <w:sz w:val="16"/>
              </w:rPr>
            </w:pPr>
            <w:r>
              <w:rPr>
                <w:b/>
                <w:sz w:val="16"/>
              </w:rPr>
              <w:t>Number of plots</w:t>
            </w:r>
          </w:p>
        </w:tc>
      </w:tr>
      <w:tr w:rsidR="00EF5B27" w14:paraId="47EFEB04" w14:textId="77777777">
        <w:trPr>
          <w:trHeight w:val="505"/>
        </w:trPr>
        <w:tc>
          <w:tcPr>
            <w:tcW w:w="4025" w:type="dxa"/>
            <w:shd w:val="clear" w:color="auto" w:fill="FECC91"/>
          </w:tcPr>
          <w:p w14:paraId="5EC035FB" w14:textId="77777777" w:rsidR="00EF5B27" w:rsidRDefault="00EF5B27">
            <w:pPr>
              <w:pStyle w:val="TableParagraph"/>
              <w:rPr>
                <w:rFonts w:ascii="Times New Roman"/>
                <w:sz w:val="16"/>
              </w:rPr>
            </w:pPr>
          </w:p>
        </w:tc>
        <w:tc>
          <w:tcPr>
            <w:tcW w:w="623" w:type="dxa"/>
            <w:shd w:val="clear" w:color="auto" w:fill="FECC91"/>
          </w:tcPr>
          <w:p w14:paraId="0EE3B9D3" w14:textId="77777777" w:rsidR="00EF5B27" w:rsidRDefault="00000000">
            <w:pPr>
              <w:pStyle w:val="TableParagraph"/>
              <w:spacing w:before="162"/>
              <w:ind w:left="70" w:right="70"/>
              <w:jc w:val="center"/>
              <w:rPr>
                <w:b/>
                <w:sz w:val="16"/>
              </w:rPr>
            </w:pPr>
            <w:r>
              <w:rPr>
                <w:b/>
                <w:w w:val="105"/>
                <w:sz w:val="16"/>
              </w:rPr>
              <w:t>2013</w:t>
            </w:r>
          </w:p>
        </w:tc>
        <w:tc>
          <w:tcPr>
            <w:tcW w:w="623" w:type="dxa"/>
            <w:shd w:val="clear" w:color="auto" w:fill="FECC91"/>
          </w:tcPr>
          <w:p w14:paraId="515C8CBF" w14:textId="77777777" w:rsidR="00EF5B27" w:rsidRDefault="00000000">
            <w:pPr>
              <w:pStyle w:val="TableParagraph"/>
              <w:spacing w:before="162"/>
              <w:ind w:left="72" w:right="70"/>
              <w:jc w:val="center"/>
              <w:rPr>
                <w:b/>
                <w:sz w:val="16"/>
              </w:rPr>
            </w:pPr>
            <w:r>
              <w:rPr>
                <w:b/>
                <w:w w:val="105"/>
                <w:sz w:val="16"/>
              </w:rPr>
              <w:t>2014</w:t>
            </w:r>
          </w:p>
        </w:tc>
        <w:tc>
          <w:tcPr>
            <w:tcW w:w="623" w:type="dxa"/>
            <w:shd w:val="clear" w:color="auto" w:fill="FECC91"/>
          </w:tcPr>
          <w:p w14:paraId="669064F5" w14:textId="77777777" w:rsidR="00EF5B27" w:rsidRDefault="00000000">
            <w:pPr>
              <w:pStyle w:val="TableParagraph"/>
              <w:spacing w:before="162"/>
              <w:ind w:left="72" w:right="70"/>
              <w:jc w:val="center"/>
              <w:rPr>
                <w:b/>
                <w:sz w:val="16"/>
              </w:rPr>
            </w:pPr>
            <w:r>
              <w:rPr>
                <w:b/>
                <w:w w:val="105"/>
                <w:sz w:val="16"/>
              </w:rPr>
              <w:t>2015</w:t>
            </w:r>
          </w:p>
        </w:tc>
        <w:tc>
          <w:tcPr>
            <w:tcW w:w="623" w:type="dxa"/>
            <w:shd w:val="clear" w:color="auto" w:fill="FECC91"/>
          </w:tcPr>
          <w:p w14:paraId="4C7E0895" w14:textId="77777777" w:rsidR="00EF5B27" w:rsidRDefault="00000000">
            <w:pPr>
              <w:pStyle w:val="TableParagraph"/>
              <w:spacing w:before="162"/>
              <w:ind w:left="73" w:right="70"/>
              <w:jc w:val="center"/>
              <w:rPr>
                <w:b/>
                <w:sz w:val="16"/>
              </w:rPr>
            </w:pPr>
            <w:r>
              <w:rPr>
                <w:b/>
                <w:w w:val="105"/>
                <w:sz w:val="16"/>
              </w:rPr>
              <w:t>2016</w:t>
            </w:r>
          </w:p>
        </w:tc>
        <w:tc>
          <w:tcPr>
            <w:tcW w:w="623" w:type="dxa"/>
            <w:shd w:val="clear" w:color="auto" w:fill="FECC91"/>
          </w:tcPr>
          <w:p w14:paraId="1A1C2674" w14:textId="77777777" w:rsidR="00EF5B27" w:rsidRDefault="00000000">
            <w:pPr>
              <w:pStyle w:val="TableParagraph"/>
              <w:spacing w:before="162"/>
              <w:ind w:left="72" w:right="70"/>
              <w:jc w:val="center"/>
              <w:rPr>
                <w:b/>
                <w:sz w:val="16"/>
              </w:rPr>
            </w:pPr>
            <w:r>
              <w:rPr>
                <w:b/>
                <w:w w:val="105"/>
                <w:sz w:val="16"/>
              </w:rPr>
              <w:t>2017</w:t>
            </w:r>
          </w:p>
        </w:tc>
        <w:tc>
          <w:tcPr>
            <w:tcW w:w="623" w:type="dxa"/>
            <w:shd w:val="clear" w:color="auto" w:fill="FECC91"/>
          </w:tcPr>
          <w:p w14:paraId="44FC0050" w14:textId="77777777" w:rsidR="00EF5B27" w:rsidRDefault="00000000">
            <w:pPr>
              <w:pStyle w:val="TableParagraph"/>
              <w:spacing w:before="162"/>
              <w:ind w:left="76" w:right="70"/>
              <w:jc w:val="center"/>
              <w:rPr>
                <w:b/>
                <w:sz w:val="16"/>
              </w:rPr>
            </w:pPr>
            <w:r>
              <w:rPr>
                <w:b/>
                <w:w w:val="105"/>
                <w:sz w:val="16"/>
              </w:rPr>
              <w:t>2018</w:t>
            </w:r>
          </w:p>
        </w:tc>
        <w:tc>
          <w:tcPr>
            <w:tcW w:w="623" w:type="dxa"/>
            <w:shd w:val="clear" w:color="auto" w:fill="FECC91"/>
          </w:tcPr>
          <w:p w14:paraId="12A4E48B" w14:textId="77777777" w:rsidR="00EF5B27" w:rsidRDefault="00000000">
            <w:pPr>
              <w:pStyle w:val="TableParagraph"/>
              <w:spacing w:before="162"/>
              <w:ind w:left="76" w:right="70"/>
              <w:jc w:val="center"/>
              <w:rPr>
                <w:b/>
                <w:sz w:val="16"/>
              </w:rPr>
            </w:pPr>
            <w:r>
              <w:rPr>
                <w:b/>
                <w:w w:val="105"/>
                <w:sz w:val="16"/>
              </w:rPr>
              <w:t>2019</w:t>
            </w:r>
          </w:p>
        </w:tc>
        <w:tc>
          <w:tcPr>
            <w:tcW w:w="623" w:type="dxa"/>
            <w:shd w:val="clear" w:color="auto" w:fill="FECC91"/>
          </w:tcPr>
          <w:p w14:paraId="5AE0560D" w14:textId="77777777" w:rsidR="00EF5B27" w:rsidRDefault="00000000">
            <w:pPr>
              <w:pStyle w:val="TableParagraph"/>
              <w:spacing w:before="162"/>
              <w:ind w:left="82" w:right="65"/>
              <w:jc w:val="center"/>
              <w:rPr>
                <w:b/>
                <w:sz w:val="16"/>
              </w:rPr>
            </w:pPr>
            <w:r>
              <w:rPr>
                <w:b/>
                <w:w w:val="105"/>
                <w:sz w:val="16"/>
              </w:rPr>
              <w:t>2020</w:t>
            </w:r>
          </w:p>
        </w:tc>
        <w:tc>
          <w:tcPr>
            <w:tcW w:w="623" w:type="dxa"/>
            <w:shd w:val="clear" w:color="auto" w:fill="FECC91"/>
          </w:tcPr>
          <w:p w14:paraId="6B521B58" w14:textId="77777777" w:rsidR="00EF5B27" w:rsidRDefault="00000000">
            <w:pPr>
              <w:pStyle w:val="TableParagraph"/>
              <w:spacing w:before="162"/>
              <w:ind w:left="82" w:right="70"/>
              <w:jc w:val="center"/>
              <w:rPr>
                <w:b/>
                <w:sz w:val="16"/>
              </w:rPr>
            </w:pPr>
            <w:r>
              <w:rPr>
                <w:b/>
                <w:w w:val="105"/>
                <w:sz w:val="16"/>
              </w:rPr>
              <w:t>2021</w:t>
            </w:r>
          </w:p>
        </w:tc>
      </w:tr>
      <w:tr w:rsidR="00EF5B27" w14:paraId="63553886" w14:textId="77777777">
        <w:trPr>
          <w:trHeight w:val="391"/>
        </w:trPr>
        <w:tc>
          <w:tcPr>
            <w:tcW w:w="4025" w:type="dxa"/>
          </w:tcPr>
          <w:p w14:paraId="5A17CF98" w14:textId="77777777" w:rsidR="00EF5B27" w:rsidRDefault="00000000">
            <w:pPr>
              <w:pStyle w:val="TableParagraph"/>
              <w:spacing w:before="117"/>
              <w:ind w:left="758" w:right="753"/>
              <w:jc w:val="center"/>
              <w:rPr>
                <w:b/>
                <w:sz w:val="14"/>
              </w:rPr>
            </w:pPr>
            <w:r>
              <w:rPr>
                <w:b/>
                <w:color w:val="4D4D4F"/>
                <w:sz w:val="14"/>
              </w:rPr>
              <w:t>Rapid plots (1 m</w:t>
            </w:r>
            <w:r>
              <w:rPr>
                <w:b/>
                <w:color w:val="4D4D4F"/>
                <w:position w:val="5"/>
                <w:sz w:val="8"/>
              </w:rPr>
              <w:t>2</w:t>
            </w:r>
            <w:r>
              <w:rPr>
                <w:b/>
                <w:color w:val="4D4D4F"/>
                <w:sz w:val="14"/>
              </w:rPr>
              <w:t>)</w:t>
            </w:r>
          </w:p>
        </w:tc>
        <w:tc>
          <w:tcPr>
            <w:tcW w:w="623" w:type="dxa"/>
          </w:tcPr>
          <w:p w14:paraId="5E83DD92" w14:textId="77777777" w:rsidR="00EF5B27" w:rsidRDefault="00000000">
            <w:pPr>
              <w:pStyle w:val="TableParagraph"/>
              <w:spacing w:before="117"/>
              <w:ind w:left="5"/>
              <w:jc w:val="center"/>
              <w:rPr>
                <w:b/>
                <w:sz w:val="14"/>
              </w:rPr>
            </w:pPr>
            <w:r>
              <w:rPr>
                <w:b/>
                <w:color w:val="4D4D4F"/>
                <w:w w:val="104"/>
                <w:sz w:val="14"/>
              </w:rPr>
              <w:t>-</w:t>
            </w:r>
          </w:p>
        </w:tc>
        <w:tc>
          <w:tcPr>
            <w:tcW w:w="623" w:type="dxa"/>
          </w:tcPr>
          <w:p w14:paraId="03D824B3" w14:textId="77777777" w:rsidR="00EF5B27" w:rsidRDefault="00000000">
            <w:pPr>
              <w:pStyle w:val="TableParagraph"/>
              <w:spacing w:before="117"/>
              <w:ind w:left="73" w:right="70"/>
              <w:jc w:val="center"/>
              <w:rPr>
                <w:b/>
                <w:sz w:val="14"/>
              </w:rPr>
            </w:pPr>
            <w:r>
              <w:rPr>
                <w:b/>
                <w:color w:val="4D4D4F"/>
                <w:w w:val="105"/>
                <w:sz w:val="14"/>
              </w:rPr>
              <w:t>47</w:t>
            </w:r>
          </w:p>
        </w:tc>
        <w:tc>
          <w:tcPr>
            <w:tcW w:w="623" w:type="dxa"/>
          </w:tcPr>
          <w:p w14:paraId="1604A7C5" w14:textId="77777777" w:rsidR="00EF5B27" w:rsidRDefault="00000000">
            <w:pPr>
              <w:pStyle w:val="TableParagraph"/>
              <w:spacing w:before="117"/>
              <w:ind w:left="76" w:right="70"/>
              <w:jc w:val="center"/>
              <w:rPr>
                <w:b/>
                <w:sz w:val="14"/>
              </w:rPr>
            </w:pPr>
            <w:r>
              <w:rPr>
                <w:b/>
                <w:color w:val="4D4D4F"/>
                <w:w w:val="105"/>
                <w:sz w:val="14"/>
              </w:rPr>
              <w:t>69</w:t>
            </w:r>
          </w:p>
        </w:tc>
        <w:tc>
          <w:tcPr>
            <w:tcW w:w="623" w:type="dxa"/>
          </w:tcPr>
          <w:p w14:paraId="4BA4E1A5" w14:textId="77777777" w:rsidR="00EF5B27" w:rsidRDefault="00000000">
            <w:pPr>
              <w:pStyle w:val="TableParagraph"/>
              <w:spacing w:before="117"/>
              <w:ind w:left="82" w:right="69"/>
              <w:jc w:val="center"/>
              <w:rPr>
                <w:b/>
                <w:sz w:val="14"/>
              </w:rPr>
            </w:pPr>
            <w:r>
              <w:rPr>
                <w:b/>
                <w:color w:val="4D4D4F"/>
                <w:w w:val="105"/>
                <w:sz w:val="14"/>
              </w:rPr>
              <w:t>93</w:t>
            </w:r>
          </w:p>
        </w:tc>
        <w:tc>
          <w:tcPr>
            <w:tcW w:w="623" w:type="dxa"/>
          </w:tcPr>
          <w:p w14:paraId="0F714FCF" w14:textId="77777777" w:rsidR="00EF5B27" w:rsidRDefault="00000000">
            <w:pPr>
              <w:pStyle w:val="TableParagraph"/>
              <w:spacing w:before="117"/>
              <w:ind w:left="80" w:right="70"/>
              <w:jc w:val="center"/>
              <w:rPr>
                <w:b/>
                <w:sz w:val="14"/>
              </w:rPr>
            </w:pPr>
            <w:r>
              <w:rPr>
                <w:b/>
                <w:color w:val="4D4D4F"/>
                <w:w w:val="105"/>
                <w:sz w:val="14"/>
              </w:rPr>
              <w:t>124</w:t>
            </w:r>
          </w:p>
        </w:tc>
        <w:tc>
          <w:tcPr>
            <w:tcW w:w="623" w:type="dxa"/>
          </w:tcPr>
          <w:p w14:paraId="090F7C03" w14:textId="77777777" w:rsidR="00EF5B27" w:rsidRDefault="00000000">
            <w:pPr>
              <w:pStyle w:val="TableParagraph"/>
              <w:spacing w:before="117"/>
              <w:ind w:left="81" w:right="70"/>
              <w:jc w:val="center"/>
              <w:rPr>
                <w:b/>
                <w:sz w:val="14"/>
              </w:rPr>
            </w:pPr>
            <w:r>
              <w:rPr>
                <w:b/>
                <w:color w:val="4D4D4F"/>
                <w:w w:val="105"/>
                <w:sz w:val="14"/>
              </w:rPr>
              <w:t>145</w:t>
            </w:r>
          </w:p>
        </w:tc>
        <w:tc>
          <w:tcPr>
            <w:tcW w:w="623" w:type="dxa"/>
          </w:tcPr>
          <w:p w14:paraId="32154154" w14:textId="77777777" w:rsidR="00EF5B27" w:rsidRDefault="00000000">
            <w:pPr>
              <w:pStyle w:val="TableParagraph"/>
              <w:spacing w:before="117"/>
              <w:ind w:left="82" w:right="69"/>
              <w:jc w:val="center"/>
              <w:rPr>
                <w:b/>
                <w:sz w:val="14"/>
              </w:rPr>
            </w:pPr>
            <w:r>
              <w:rPr>
                <w:b/>
                <w:color w:val="4D4D4F"/>
                <w:w w:val="105"/>
                <w:sz w:val="14"/>
              </w:rPr>
              <w:t>224</w:t>
            </w:r>
          </w:p>
        </w:tc>
        <w:tc>
          <w:tcPr>
            <w:tcW w:w="623" w:type="dxa"/>
          </w:tcPr>
          <w:p w14:paraId="7477FCDE" w14:textId="77777777" w:rsidR="00EF5B27" w:rsidRDefault="00000000">
            <w:pPr>
              <w:pStyle w:val="TableParagraph"/>
              <w:spacing w:before="117"/>
              <w:ind w:left="14"/>
              <w:jc w:val="center"/>
              <w:rPr>
                <w:b/>
                <w:sz w:val="14"/>
              </w:rPr>
            </w:pPr>
            <w:r>
              <w:rPr>
                <w:b/>
                <w:color w:val="4D4D4F"/>
                <w:w w:val="104"/>
                <w:sz w:val="14"/>
              </w:rPr>
              <w:t>-</w:t>
            </w:r>
          </w:p>
        </w:tc>
        <w:tc>
          <w:tcPr>
            <w:tcW w:w="623" w:type="dxa"/>
          </w:tcPr>
          <w:p w14:paraId="3A2CCA2F" w14:textId="77777777" w:rsidR="00EF5B27" w:rsidRDefault="00000000">
            <w:pPr>
              <w:pStyle w:val="TableParagraph"/>
              <w:spacing w:before="117"/>
              <w:ind w:left="15"/>
              <w:jc w:val="center"/>
              <w:rPr>
                <w:b/>
                <w:sz w:val="14"/>
              </w:rPr>
            </w:pPr>
            <w:r>
              <w:rPr>
                <w:b/>
                <w:color w:val="4D4D4F"/>
                <w:w w:val="104"/>
                <w:sz w:val="14"/>
              </w:rPr>
              <w:t>-</w:t>
            </w:r>
          </w:p>
        </w:tc>
      </w:tr>
      <w:tr w:rsidR="00EF5B27" w14:paraId="2D703E26" w14:textId="77777777">
        <w:trPr>
          <w:trHeight w:val="391"/>
        </w:trPr>
        <w:tc>
          <w:tcPr>
            <w:tcW w:w="4025" w:type="dxa"/>
          </w:tcPr>
          <w:p w14:paraId="57666982" w14:textId="77777777" w:rsidR="00EF5B27" w:rsidRDefault="00000000">
            <w:pPr>
              <w:pStyle w:val="TableParagraph"/>
              <w:spacing w:before="117"/>
              <w:ind w:left="758" w:right="754"/>
              <w:jc w:val="center"/>
              <w:rPr>
                <w:b/>
                <w:sz w:val="14"/>
              </w:rPr>
            </w:pPr>
            <w:r>
              <w:rPr>
                <w:b/>
                <w:color w:val="4D4D4F"/>
                <w:sz w:val="14"/>
              </w:rPr>
              <w:t>Rapid plots (Grid based, 10 m radius)</w:t>
            </w:r>
          </w:p>
        </w:tc>
        <w:tc>
          <w:tcPr>
            <w:tcW w:w="623" w:type="dxa"/>
          </w:tcPr>
          <w:p w14:paraId="0EEA9199" w14:textId="77777777" w:rsidR="00EF5B27" w:rsidRDefault="00000000">
            <w:pPr>
              <w:pStyle w:val="TableParagraph"/>
              <w:spacing w:before="117"/>
              <w:ind w:left="5"/>
              <w:jc w:val="center"/>
              <w:rPr>
                <w:b/>
                <w:sz w:val="14"/>
              </w:rPr>
            </w:pPr>
            <w:r>
              <w:rPr>
                <w:b/>
                <w:color w:val="4D4D4F"/>
                <w:w w:val="104"/>
                <w:sz w:val="14"/>
              </w:rPr>
              <w:t>-</w:t>
            </w:r>
          </w:p>
        </w:tc>
        <w:tc>
          <w:tcPr>
            <w:tcW w:w="623" w:type="dxa"/>
          </w:tcPr>
          <w:p w14:paraId="57E0473D" w14:textId="77777777" w:rsidR="00EF5B27" w:rsidRDefault="00000000">
            <w:pPr>
              <w:pStyle w:val="TableParagraph"/>
              <w:spacing w:before="117"/>
              <w:ind w:left="6"/>
              <w:jc w:val="center"/>
              <w:rPr>
                <w:b/>
                <w:sz w:val="14"/>
              </w:rPr>
            </w:pPr>
            <w:r>
              <w:rPr>
                <w:b/>
                <w:color w:val="4D4D4F"/>
                <w:w w:val="104"/>
                <w:sz w:val="14"/>
              </w:rPr>
              <w:t>-</w:t>
            </w:r>
          </w:p>
        </w:tc>
        <w:tc>
          <w:tcPr>
            <w:tcW w:w="623" w:type="dxa"/>
          </w:tcPr>
          <w:p w14:paraId="5219D2E4" w14:textId="77777777" w:rsidR="00EF5B27" w:rsidRDefault="00000000">
            <w:pPr>
              <w:pStyle w:val="TableParagraph"/>
              <w:spacing w:before="117"/>
              <w:ind w:left="7"/>
              <w:jc w:val="center"/>
              <w:rPr>
                <w:b/>
                <w:sz w:val="14"/>
              </w:rPr>
            </w:pPr>
            <w:r>
              <w:rPr>
                <w:b/>
                <w:color w:val="4D4D4F"/>
                <w:w w:val="104"/>
                <w:sz w:val="14"/>
              </w:rPr>
              <w:t>-</w:t>
            </w:r>
          </w:p>
        </w:tc>
        <w:tc>
          <w:tcPr>
            <w:tcW w:w="623" w:type="dxa"/>
          </w:tcPr>
          <w:p w14:paraId="43BC459A" w14:textId="77777777" w:rsidR="00EF5B27" w:rsidRDefault="00000000">
            <w:pPr>
              <w:pStyle w:val="TableParagraph"/>
              <w:spacing w:before="117"/>
              <w:ind w:left="9"/>
              <w:jc w:val="center"/>
              <w:rPr>
                <w:b/>
                <w:sz w:val="14"/>
              </w:rPr>
            </w:pPr>
            <w:r>
              <w:rPr>
                <w:b/>
                <w:color w:val="4D4D4F"/>
                <w:w w:val="104"/>
                <w:sz w:val="14"/>
              </w:rPr>
              <w:t>-</w:t>
            </w:r>
          </w:p>
        </w:tc>
        <w:tc>
          <w:tcPr>
            <w:tcW w:w="623" w:type="dxa"/>
          </w:tcPr>
          <w:p w14:paraId="28C6F771" w14:textId="77777777" w:rsidR="00EF5B27" w:rsidRDefault="00000000">
            <w:pPr>
              <w:pStyle w:val="TableParagraph"/>
              <w:spacing w:before="117"/>
              <w:ind w:left="10"/>
              <w:jc w:val="center"/>
              <w:rPr>
                <w:b/>
                <w:sz w:val="14"/>
              </w:rPr>
            </w:pPr>
            <w:r>
              <w:rPr>
                <w:b/>
                <w:color w:val="4D4D4F"/>
                <w:w w:val="104"/>
                <w:sz w:val="14"/>
              </w:rPr>
              <w:t>-</w:t>
            </w:r>
          </w:p>
        </w:tc>
        <w:tc>
          <w:tcPr>
            <w:tcW w:w="623" w:type="dxa"/>
          </w:tcPr>
          <w:p w14:paraId="740F835D" w14:textId="77777777" w:rsidR="00EF5B27" w:rsidRDefault="00000000">
            <w:pPr>
              <w:pStyle w:val="TableParagraph"/>
              <w:spacing w:before="117"/>
              <w:ind w:left="11"/>
              <w:jc w:val="center"/>
              <w:rPr>
                <w:b/>
                <w:sz w:val="14"/>
              </w:rPr>
            </w:pPr>
            <w:r>
              <w:rPr>
                <w:b/>
                <w:color w:val="4D4D4F"/>
                <w:w w:val="104"/>
                <w:sz w:val="14"/>
              </w:rPr>
              <w:t>-</w:t>
            </w:r>
          </w:p>
        </w:tc>
        <w:tc>
          <w:tcPr>
            <w:tcW w:w="623" w:type="dxa"/>
          </w:tcPr>
          <w:p w14:paraId="122F7469" w14:textId="77777777" w:rsidR="00EF5B27" w:rsidRDefault="00000000">
            <w:pPr>
              <w:pStyle w:val="TableParagraph"/>
              <w:spacing w:before="117"/>
              <w:ind w:left="12"/>
              <w:jc w:val="center"/>
              <w:rPr>
                <w:b/>
                <w:sz w:val="14"/>
              </w:rPr>
            </w:pPr>
            <w:r>
              <w:rPr>
                <w:b/>
                <w:color w:val="4D4D4F"/>
                <w:w w:val="104"/>
                <w:sz w:val="14"/>
              </w:rPr>
              <w:t>-</w:t>
            </w:r>
          </w:p>
        </w:tc>
        <w:tc>
          <w:tcPr>
            <w:tcW w:w="623" w:type="dxa"/>
          </w:tcPr>
          <w:p w14:paraId="419189BB" w14:textId="77777777" w:rsidR="00EF5B27" w:rsidRDefault="00000000">
            <w:pPr>
              <w:pStyle w:val="TableParagraph"/>
              <w:spacing w:before="117"/>
              <w:ind w:left="13"/>
              <w:jc w:val="center"/>
              <w:rPr>
                <w:b/>
                <w:sz w:val="14"/>
              </w:rPr>
            </w:pPr>
            <w:r>
              <w:rPr>
                <w:b/>
                <w:color w:val="4D4D4F"/>
                <w:w w:val="104"/>
                <w:sz w:val="14"/>
              </w:rPr>
              <w:t>-</w:t>
            </w:r>
          </w:p>
        </w:tc>
        <w:tc>
          <w:tcPr>
            <w:tcW w:w="623" w:type="dxa"/>
          </w:tcPr>
          <w:p w14:paraId="075D9D82" w14:textId="77777777" w:rsidR="00EF5B27" w:rsidRDefault="00000000">
            <w:pPr>
              <w:pStyle w:val="TableParagraph"/>
              <w:spacing w:before="117"/>
              <w:ind w:left="82" w:right="68"/>
              <w:jc w:val="center"/>
              <w:rPr>
                <w:b/>
                <w:sz w:val="14"/>
              </w:rPr>
            </w:pPr>
            <w:r>
              <w:rPr>
                <w:b/>
                <w:color w:val="4D4D4F"/>
                <w:sz w:val="14"/>
              </w:rPr>
              <w:t>11,513</w:t>
            </w:r>
          </w:p>
        </w:tc>
      </w:tr>
      <w:tr w:rsidR="00EF5B27" w14:paraId="1D102780" w14:textId="77777777">
        <w:trPr>
          <w:trHeight w:val="391"/>
        </w:trPr>
        <w:tc>
          <w:tcPr>
            <w:tcW w:w="4025" w:type="dxa"/>
          </w:tcPr>
          <w:p w14:paraId="460CFAF1" w14:textId="77777777" w:rsidR="00EF5B27" w:rsidRDefault="00000000">
            <w:pPr>
              <w:pStyle w:val="TableParagraph"/>
              <w:spacing w:before="117"/>
              <w:ind w:left="758" w:right="755"/>
              <w:jc w:val="center"/>
              <w:rPr>
                <w:b/>
                <w:sz w:val="14"/>
              </w:rPr>
            </w:pPr>
            <w:r>
              <w:rPr>
                <w:b/>
                <w:color w:val="4D4D4F"/>
                <w:sz w:val="14"/>
              </w:rPr>
              <w:t>All point intercept plots</w:t>
            </w:r>
          </w:p>
        </w:tc>
        <w:tc>
          <w:tcPr>
            <w:tcW w:w="623" w:type="dxa"/>
          </w:tcPr>
          <w:p w14:paraId="7B03BFCC" w14:textId="77777777" w:rsidR="00EF5B27" w:rsidRDefault="00000000">
            <w:pPr>
              <w:pStyle w:val="TableParagraph"/>
              <w:spacing w:before="117"/>
              <w:ind w:left="70" w:right="70"/>
              <w:jc w:val="center"/>
              <w:rPr>
                <w:b/>
                <w:sz w:val="14"/>
              </w:rPr>
            </w:pPr>
            <w:r>
              <w:rPr>
                <w:b/>
                <w:color w:val="4D4D4F"/>
                <w:w w:val="105"/>
                <w:sz w:val="14"/>
              </w:rPr>
              <w:t>16</w:t>
            </w:r>
          </w:p>
        </w:tc>
        <w:tc>
          <w:tcPr>
            <w:tcW w:w="623" w:type="dxa"/>
          </w:tcPr>
          <w:p w14:paraId="59E1E38D" w14:textId="77777777" w:rsidR="00EF5B27" w:rsidRDefault="00000000">
            <w:pPr>
              <w:pStyle w:val="TableParagraph"/>
              <w:spacing w:before="117"/>
              <w:ind w:left="78" w:right="70"/>
              <w:jc w:val="center"/>
              <w:rPr>
                <w:b/>
                <w:sz w:val="14"/>
              </w:rPr>
            </w:pPr>
            <w:r>
              <w:rPr>
                <w:b/>
                <w:color w:val="4D4D4F"/>
                <w:w w:val="105"/>
                <w:sz w:val="14"/>
              </w:rPr>
              <w:t>23</w:t>
            </w:r>
          </w:p>
        </w:tc>
        <w:tc>
          <w:tcPr>
            <w:tcW w:w="623" w:type="dxa"/>
          </w:tcPr>
          <w:p w14:paraId="49E38E89" w14:textId="77777777" w:rsidR="00EF5B27" w:rsidRDefault="00000000">
            <w:pPr>
              <w:pStyle w:val="TableParagraph"/>
              <w:spacing w:before="117"/>
              <w:ind w:left="79" w:right="70"/>
              <w:jc w:val="center"/>
              <w:rPr>
                <w:b/>
                <w:sz w:val="14"/>
              </w:rPr>
            </w:pPr>
            <w:r>
              <w:rPr>
                <w:b/>
                <w:color w:val="4D4D4F"/>
                <w:w w:val="105"/>
                <w:sz w:val="14"/>
              </w:rPr>
              <w:t>32</w:t>
            </w:r>
          </w:p>
        </w:tc>
        <w:tc>
          <w:tcPr>
            <w:tcW w:w="623" w:type="dxa"/>
          </w:tcPr>
          <w:p w14:paraId="39DFF057" w14:textId="77777777" w:rsidR="00EF5B27" w:rsidRDefault="00000000">
            <w:pPr>
              <w:pStyle w:val="TableParagraph"/>
              <w:spacing w:before="117"/>
              <w:ind w:left="78" w:right="70"/>
              <w:jc w:val="center"/>
              <w:rPr>
                <w:b/>
                <w:sz w:val="14"/>
              </w:rPr>
            </w:pPr>
            <w:r>
              <w:rPr>
                <w:b/>
                <w:color w:val="4D4D4F"/>
                <w:w w:val="105"/>
                <w:sz w:val="14"/>
              </w:rPr>
              <w:t>33</w:t>
            </w:r>
          </w:p>
        </w:tc>
        <w:tc>
          <w:tcPr>
            <w:tcW w:w="623" w:type="dxa"/>
          </w:tcPr>
          <w:p w14:paraId="5F1419E3" w14:textId="77777777" w:rsidR="00EF5B27" w:rsidRDefault="00000000">
            <w:pPr>
              <w:pStyle w:val="TableParagraph"/>
              <w:spacing w:before="117"/>
              <w:ind w:left="81" w:right="70"/>
              <w:jc w:val="center"/>
              <w:rPr>
                <w:b/>
                <w:sz w:val="14"/>
              </w:rPr>
            </w:pPr>
            <w:r>
              <w:rPr>
                <w:b/>
                <w:color w:val="4D4D4F"/>
                <w:w w:val="105"/>
                <w:sz w:val="14"/>
              </w:rPr>
              <w:t>32</w:t>
            </w:r>
          </w:p>
        </w:tc>
        <w:tc>
          <w:tcPr>
            <w:tcW w:w="623" w:type="dxa"/>
          </w:tcPr>
          <w:p w14:paraId="213202F7" w14:textId="77777777" w:rsidR="00EF5B27" w:rsidRDefault="00000000">
            <w:pPr>
              <w:pStyle w:val="TableParagraph"/>
              <w:spacing w:before="117"/>
              <w:ind w:left="82" w:right="68"/>
              <w:jc w:val="center"/>
              <w:rPr>
                <w:b/>
                <w:sz w:val="14"/>
              </w:rPr>
            </w:pPr>
            <w:r>
              <w:rPr>
                <w:b/>
                <w:color w:val="4D4D4F"/>
                <w:w w:val="105"/>
                <w:sz w:val="14"/>
              </w:rPr>
              <w:t>36</w:t>
            </w:r>
          </w:p>
        </w:tc>
        <w:tc>
          <w:tcPr>
            <w:tcW w:w="623" w:type="dxa"/>
          </w:tcPr>
          <w:p w14:paraId="16A88DFB" w14:textId="77777777" w:rsidR="00EF5B27" w:rsidRDefault="00000000">
            <w:pPr>
              <w:pStyle w:val="TableParagraph"/>
              <w:spacing w:before="117"/>
              <w:ind w:left="82" w:right="67"/>
              <w:jc w:val="center"/>
              <w:rPr>
                <w:b/>
                <w:sz w:val="14"/>
              </w:rPr>
            </w:pPr>
            <w:r>
              <w:rPr>
                <w:b/>
                <w:color w:val="4D4D4F"/>
                <w:w w:val="105"/>
                <w:sz w:val="14"/>
              </w:rPr>
              <w:t>53</w:t>
            </w:r>
          </w:p>
        </w:tc>
        <w:tc>
          <w:tcPr>
            <w:tcW w:w="623" w:type="dxa"/>
          </w:tcPr>
          <w:p w14:paraId="5B5B9E43" w14:textId="77777777" w:rsidR="00EF5B27" w:rsidRDefault="00000000">
            <w:pPr>
              <w:pStyle w:val="TableParagraph"/>
              <w:spacing w:before="117"/>
              <w:ind w:left="80" w:right="70"/>
              <w:jc w:val="center"/>
              <w:rPr>
                <w:b/>
                <w:sz w:val="14"/>
              </w:rPr>
            </w:pPr>
            <w:r>
              <w:rPr>
                <w:b/>
                <w:color w:val="4D4D4F"/>
                <w:w w:val="105"/>
                <w:sz w:val="14"/>
              </w:rPr>
              <w:t>53 (69)</w:t>
            </w:r>
          </w:p>
        </w:tc>
        <w:tc>
          <w:tcPr>
            <w:tcW w:w="623" w:type="dxa"/>
          </w:tcPr>
          <w:p w14:paraId="64D36680" w14:textId="77777777" w:rsidR="00EF5B27" w:rsidRDefault="00000000">
            <w:pPr>
              <w:pStyle w:val="TableParagraph"/>
              <w:spacing w:before="117"/>
              <w:ind w:left="82" w:right="68"/>
              <w:jc w:val="center"/>
              <w:rPr>
                <w:b/>
                <w:sz w:val="14"/>
              </w:rPr>
            </w:pPr>
            <w:r>
              <w:rPr>
                <w:b/>
                <w:color w:val="4D4D4F"/>
                <w:w w:val="105"/>
                <w:sz w:val="14"/>
              </w:rPr>
              <w:t>67 (83)</w:t>
            </w:r>
          </w:p>
        </w:tc>
      </w:tr>
      <w:tr w:rsidR="00EF5B27" w14:paraId="27C21095" w14:textId="77777777">
        <w:trPr>
          <w:trHeight w:val="391"/>
        </w:trPr>
        <w:tc>
          <w:tcPr>
            <w:tcW w:w="4025" w:type="dxa"/>
          </w:tcPr>
          <w:p w14:paraId="0FC81BAA" w14:textId="77777777" w:rsidR="00EF5B27" w:rsidRDefault="00000000">
            <w:pPr>
              <w:pStyle w:val="TableParagraph"/>
              <w:spacing w:before="117"/>
              <w:ind w:left="758" w:right="755"/>
              <w:jc w:val="center"/>
              <w:rPr>
                <w:sz w:val="14"/>
              </w:rPr>
            </w:pPr>
            <w:r>
              <w:rPr>
                <w:color w:val="4D4D4F"/>
                <w:sz w:val="14"/>
              </w:rPr>
              <w:t>Permanent point intercept plots</w:t>
            </w:r>
          </w:p>
        </w:tc>
        <w:tc>
          <w:tcPr>
            <w:tcW w:w="623" w:type="dxa"/>
          </w:tcPr>
          <w:p w14:paraId="0ADA0B26" w14:textId="77777777" w:rsidR="00EF5B27" w:rsidRDefault="00000000">
            <w:pPr>
              <w:pStyle w:val="TableParagraph"/>
              <w:spacing w:before="117"/>
              <w:ind w:left="70" w:right="70"/>
              <w:jc w:val="center"/>
              <w:rPr>
                <w:sz w:val="14"/>
              </w:rPr>
            </w:pPr>
            <w:r>
              <w:rPr>
                <w:color w:val="4D4D4F"/>
                <w:sz w:val="14"/>
              </w:rPr>
              <w:t>10</w:t>
            </w:r>
          </w:p>
        </w:tc>
        <w:tc>
          <w:tcPr>
            <w:tcW w:w="623" w:type="dxa"/>
          </w:tcPr>
          <w:p w14:paraId="69EA61BB" w14:textId="77777777" w:rsidR="00EF5B27" w:rsidRDefault="00000000">
            <w:pPr>
              <w:pStyle w:val="TableParagraph"/>
              <w:spacing w:before="117"/>
              <w:ind w:left="71" w:right="70"/>
              <w:jc w:val="center"/>
              <w:rPr>
                <w:sz w:val="14"/>
              </w:rPr>
            </w:pPr>
            <w:r>
              <w:rPr>
                <w:color w:val="4D4D4F"/>
                <w:sz w:val="14"/>
              </w:rPr>
              <w:t>18</w:t>
            </w:r>
          </w:p>
        </w:tc>
        <w:tc>
          <w:tcPr>
            <w:tcW w:w="623" w:type="dxa"/>
          </w:tcPr>
          <w:p w14:paraId="5FB43439" w14:textId="77777777" w:rsidR="00EF5B27" w:rsidRDefault="00000000">
            <w:pPr>
              <w:pStyle w:val="TableParagraph"/>
              <w:spacing w:before="117"/>
              <w:ind w:left="78" w:right="70"/>
              <w:jc w:val="center"/>
              <w:rPr>
                <w:sz w:val="14"/>
              </w:rPr>
            </w:pPr>
            <w:r>
              <w:rPr>
                <w:color w:val="4D4D4F"/>
                <w:sz w:val="14"/>
              </w:rPr>
              <w:t>24</w:t>
            </w:r>
          </w:p>
        </w:tc>
        <w:tc>
          <w:tcPr>
            <w:tcW w:w="623" w:type="dxa"/>
          </w:tcPr>
          <w:p w14:paraId="1F446120" w14:textId="77777777" w:rsidR="00EF5B27" w:rsidRDefault="00000000">
            <w:pPr>
              <w:pStyle w:val="TableParagraph"/>
              <w:spacing w:before="117"/>
              <w:ind w:left="80" w:right="70"/>
              <w:jc w:val="center"/>
              <w:rPr>
                <w:sz w:val="14"/>
              </w:rPr>
            </w:pPr>
            <w:r>
              <w:rPr>
                <w:color w:val="4D4D4F"/>
                <w:sz w:val="14"/>
              </w:rPr>
              <w:t>24</w:t>
            </w:r>
          </w:p>
        </w:tc>
        <w:tc>
          <w:tcPr>
            <w:tcW w:w="623" w:type="dxa"/>
          </w:tcPr>
          <w:p w14:paraId="1D4ECA1D" w14:textId="77777777" w:rsidR="00EF5B27" w:rsidRDefault="00000000">
            <w:pPr>
              <w:pStyle w:val="TableParagraph"/>
              <w:spacing w:before="117"/>
              <w:ind w:left="81" w:right="70"/>
              <w:jc w:val="center"/>
              <w:rPr>
                <w:sz w:val="14"/>
              </w:rPr>
            </w:pPr>
            <w:r>
              <w:rPr>
                <w:color w:val="4D4D4F"/>
                <w:sz w:val="14"/>
              </w:rPr>
              <w:t>24</w:t>
            </w:r>
          </w:p>
        </w:tc>
        <w:tc>
          <w:tcPr>
            <w:tcW w:w="623" w:type="dxa"/>
          </w:tcPr>
          <w:p w14:paraId="72AC8AEE" w14:textId="77777777" w:rsidR="00EF5B27" w:rsidRDefault="00000000">
            <w:pPr>
              <w:pStyle w:val="TableParagraph"/>
              <w:spacing w:before="117"/>
              <w:ind w:left="82" w:right="69"/>
              <w:jc w:val="center"/>
              <w:rPr>
                <w:sz w:val="14"/>
              </w:rPr>
            </w:pPr>
            <w:r>
              <w:rPr>
                <w:color w:val="4D4D4F"/>
                <w:sz w:val="14"/>
              </w:rPr>
              <w:t>27</w:t>
            </w:r>
          </w:p>
        </w:tc>
        <w:tc>
          <w:tcPr>
            <w:tcW w:w="623" w:type="dxa"/>
          </w:tcPr>
          <w:p w14:paraId="605AC8D7" w14:textId="77777777" w:rsidR="00EF5B27" w:rsidRDefault="00000000">
            <w:pPr>
              <w:pStyle w:val="TableParagraph"/>
              <w:spacing w:before="117"/>
              <w:ind w:left="81" w:right="70"/>
              <w:jc w:val="center"/>
              <w:rPr>
                <w:sz w:val="14"/>
              </w:rPr>
            </w:pPr>
            <w:r>
              <w:rPr>
                <w:color w:val="4D4D4F"/>
                <w:sz w:val="14"/>
              </w:rPr>
              <w:t>39</w:t>
            </w:r>
          </w:p>
        </w:tc>
        <w:tc>
          <w:tcPr>
            <w:tcW w:w="623" w:type="dxa"/>
          </w:tcPr>
          <w:p w14:paraId="15D7CE07" w14:textId="77777777" w:rsidR="00EF5B27" w:rsidRDefault="00000000">
            <w:pPr>
              <w:pStyle w:val="TableParagraph"/>
              <w:spacing w:before="117"/>
              <w:ind w:left="82" w:right="70"/>
              <w:jc w:val="center"/>
              <w:rPr>
                <w:sz w:val="14"/>
              </w:rPr>
            </w:pPr>
            <w:r>
              <w:rPr>
                <w:color w:val="4D4D4F"/>
                <w:sz w:val="14"/>
              </w:rPr>
              <w:t>41 (57)</w:t>
            </w:r>
          </w:p>
        </w:tc>
        <w:tc>
          <w:tcPr>
            <w:tcW w:w="623" w:type="dxa"/>
          </w:tcPr>
          <w:p w14:paraId="1307A7EE" w14:textId="77777777" w:rsidR="00EF5B27" w:rsidRDefault="00000000">
            <w:pPr>
              <w:pStyle w:val="TableParagraph"/>
              <w:spacing w:before="117"/>
              <w:ind w:left="82" w:right="69"/>
              <w:jc w:val="center"/>
              <w:rPr>
                <w:sz w:val="14"/>
              </w:rPr>
            </w:pPr>
            <w:r>
              <w:rPr>
                <w:color w:val="4D4D4F"/>
                <w:sz w:val="14"/>
              </w:rPr>
              <w:t>67 (83)</w:t>
            </w:r>
          </w:p>
        </w:tc>
      </w:tr>
      <w:tr w:rsidR="00EF5B27" w14:paraId="5BC8D466" w14:textId="77777777">
        <w:trPr>
          <w:trHeight w:val="391"/>
        </w:trPr>
        <w:tc>
          <w:tcPr>
            <w:tcW w:w="4025" w:type="dxa"/>
          </w:tcPr>
          <w:p w14:paraId="5B02E3AB" w14:textId="77777777" w:rsidR="00EF5B27" w:rsidRDefault="00000000">
            <w:pPr>
              <w:pStyle w:val="TableParagraph"/>
              <w:spacing w:before="117"/>
              <w:ind w:left="758" w:right="755"/>
              <w:jc w:val="center"/>
              <w:rPr>
                <w:sz w:val="14"/>
              </w:rPr>
            </w:pPr>
            <w:r>
              <w:rPr>
                <w:color w:val="4D4D4F"/>
                <w:w w:val="105"/>
                <w:sz w:val="14"/>
              </w:rPr>
              <w:t>Herb-rich grassland (HG)</w:t>
            </w:r>
          </w:p>
        </w:tc>
        <w:tc>
          <w:tcPr>
            <w:tcW w:w="623" w:type="dxa"/>
          </w:tcPr>
          <w:p w14:paraId="18E4F229" w14:textId="77777777" w:rsidR="00EF5B27" w:rsidRDefault="00000000">
            <w:pPr>
              <w:pStyle w:val="TableParagraph"/>
              <w:spacing w:before="117"/>
              <w:ind w:left="4"/>
              <w:jc w:val="center"/>
              <w:rPr>
                <w:sz w:val="14"/>
              </w:rPr>
            </w:pPr>
            <w:r>
              <w:rPr>
                <w:color w:val="4D4D4F"/>
                <w:w w:val="96"/>
                <w:sz w:val="14"/>
              </w:rPr>
              <w:t>5</w:t>
            </w:r>
          </w:p>
        </w:tc>
        <w:tc>
          <w:tcPr>
            <w:tcW w:w="623" w:type="dxa"/>
          </w:tcPr>
          <w:p w14:paraId="222ADCF9" w14:textId="77777777" w:rsidR="00EF5B27" w:rsidRDefault="00000000">
            <w:pPr>
              <w:pStyle w:val="TableParagraph"/>
              <w:spacing w:before="117"/>
              <w:ind w:left="5"/>
              <w:jc w:val="center"/>
              <w:rPr>
                <w:sz w:val="14"/>
              </w:rPr>
            </w:pPr>
            <w:r>
              <w:rPr>
                <w:color w:val="4D4D4F"/>
                <w:w w:val="96"/>
                <w:sz w:val="14"/>
              </w:rPr>
              <w:t>7</w:t>
            </w:r>
          </w:p>
        </w:tc>
        <w:tc>
          <w:tcPr>
            <w:tcW w:w="623" w:type="dxa"/>
          </w:tcPr>
          <w:p w14:paraId="616BFA45" w14:textId="77777777" w:rsidR="00EF5B27" w:rsidRDefault="00000000">
            <w:pPr>
              <w:pStyle w:val="TableParagraph"/>
              <w:spacing w:before="117"/>
              <w:ind w:left="72" w:right="70"/>
              <w:jc w:val="center"/>
              <w:rPr>
                <w:sz w:val="14"/>
              </w:rPr>
            </w:pPr>
            <w:r>
              <w:rPr>
                <w:color w:val="4D4D4F"/>
                <w:sz w:val="14"/>
              </w:rPr>
              <w:t>10</w:t>
            </w:r>
          </w:p>
        </w:tc>
        <w:tc>
          <w:tcPr>
            <w:tcW w:w="623" w:type="dxa"/>
          </w:tcPr>
          <w:p w14:paraId="066D23A7" w14:textId="77777777" w:rsidR="00EF5B27" w:rsidRDefault="00000000">
            <w:pPr>
              <w:pStyle w:val="TableParagraph"/>
              <w:spacing w:before="117"/>
              <w:ind w:left="73" w:right="70"/>
              <w:jc w:val="center"/>
              <w:rPr>
                <w:sz w:val="14"/>
              </w:rPr>
            </w:pPr>
            <w:r>
              <w:rPr>
                <w:color w:val="4D4D4F"/>
                <w:sz w:val="14"/>
              </w:rPr>
              <w:t>10</w:t>
            </w:r>
          </w:p>
        </w:tc>
        <w:tc>
          <w:tcPr>
            <w:tcW w:w="623" w:type="dxa"/>
          </w:tcPr>
          <w:p w14:paraId="23FD7771" w14:textId="77777777" w:rsidR="00EF5B27" w:rsidRDefault="00000000">
            <w:pPr>
              <w:pStyle w:val="TableParagraph"/>
              <w:spacing w:before="117"/>
              <w:ind w:left="74" w:right="70"/>
              <w:jc w:val="center"/>
              <w:rPr>
                <w:sz w:val="14"/>
              </w:rPr>
            </w:pPr>
            <w:r>
              <w:rPr>
                <w:color w:val="4D4D4F"/>
                <w:sz w:val="14"/>
              </w:rPr>
              <w:t>10</w:t>
            </w:r>
          </w:p>
        </w:tc>
        <w:tc>
          <w:tcPr>
            <w:tcW w:w="623" w:type="dxa"/>
          </w:tcPr>
          <w:p w14:paraId="4DDBDF40" w14:textId="77777777" w:rsidR="00EF5B27" w:rsidRDefault="00000000">
            <w:pPr>
              <w:pStyle w:val="TableParagraph"/>
              <w:spacing w:before="117"/>
              <w:ind w:left="75" w:right="70"/>
              <w:jc w:val="center"/>
              <w:rPr>
                <w:sz w:val="14"/>
              </w:rPr>
            </w:pPr>
            <w:r>
              <w:rPr>
                <w:color w:val="4D4D4F"/>
                <w:sz w:val="14"/>
              </w:rPr>
              <w:t>10</w:t>
            </w:r>
          </w:p>
        </w:tc>
        <w:tc>
          <w:tcPr>
            <w:tcW w:w="623" w:type="dxa"/>
          </w:tcPr>
          <w:p w14:paraId="071072BE" w14:textId="77777777" w:rsidR="00EF5B27" w:rsidRDefault="00000000">
            <w:pPr>
              <w:pStyle w:val="TableParagraph"/>
              <w:spacing w:before="117"/>
              <w:ind w:left="76" w:right="70"/>
              <w:jc w:val="center"/>
              <w:rPr>
                <w:sz w:val="14"/>
              </w:rPr>
            </w:pPr>
            <w:r>
              <w:rPr>
                <w:color w:val="4D4D4F"/>
                <w:sz w:val="14"/>
              </w:rPr>
              <w:t>14</w:t>
            </w:r>
          </w:p>
        </w:tc>
        <w:tc>
          <w:tcPr>
            <w:tcW w:w="623" w:type="dxa"/>
          </w:tcPr>
          <w:p w14:paraId="1D0EAA5C" w14:textId="77777777" w:rsidR="00EF5B27" w:rsidRDefault="00000000">
            <w:pPr>
              <w:pStyle w:val="TableParagraph"/>
              <w:spacing w:before="117"/>
              <w:ind w:left="76" w:right="70"/>
              <w:jc w:val="center"/>
              <w:rPr>
                <w:sz w:val="14"/>
              </w:rPr>
            </w:pPr>
            <w:r>
              <w:rPr>
                <w:color w:val="4D4D4F"/>
                <w:sz w:val="14"/>
              </w:rPr>
              <w:t>16</w:t>
            </w:r>
          </w:p>
        </w:tc>
        <w:tc>
          <w:tcPr>
            <w:tcW w:w="623" w:type="dxa"/>
          </w:tcPr>
          <w:p w14:paraId="56AA3BE6" w14:textId="77777777" w:rsidR="00EF5B27" w:rsidRDefault="00000000">
            <w:pPr>
              <w:pStyle w:val="TableParagraph"/>
              <w:spacing w:before="117"/>
              <w:ind w:left="77" w:right="70"/>
              <w:jc w:val="center"/>
              <w:rPr>
                <w:sz w:val="14"/>
              </w:rPr>
            </w:pPr>
            <w:r>
              <w:rPr>
                <w:color w:val="4D4D4F"/>
                <w:sz w:val="14"/>
              </w:rPr>
              <w:t>19</w:t>
            </w:r>
          </w:p>
        </w:tc>
      </w:tr>
      <w:tr w:rsidR="00EF5B27" w14:paraId="33BFED54" w14:textId="77777777">
        <w:trPr>
          <w:trHeight w:val="391"/>
        </w:trPr>
        <w:tc>
          <w:tcPr>
            <w:tcW w:w="4025" w:type="dxa"/>
          </w:tcPr>
          <w:p w14:paraId="428931D5" w14:textId="77777777" w:rsidR="00EF5B27" w:rsidRDefault="00000000">
            <w:pPr>
              <w:pStyle w:val="TableParagraph"/>
              <w:spacing w:before="117"/>
              <w:ind w:left="758" w:right="756"/>
              <w:jc w:val="center"/>
              <w:rPr>
                <w:sz w:val="14"/>
              </w:rPr>
            </w:pPr>
            <w:r>
              <w:rPr>
                <w:rFonts w:ascii="Arial Narrow"/>
                <w:i/>
                <w:color w:val="4D4D4F"/>
                <w:w w:val="105"/>
                <w:sz w:val="14"/>
              </w:rPr>
              <w:t xml:space="preserve">Themeda </w:t>
            </w:r>
            <w:r>
              <w:rPr>
                <w:color w:val="4D4D4F"/>
                <w:w w:val="105"/>
                <w:sz w:val="14"/>
              </w:rPr>
              <w:t>grassland (TG)</w:t>
            </w:r>
          </w:p>
        </w:tc>
        <w:tc>
          <w:tcPr>
            <w:tcW w:w="623" w:type="dxa"/>
          </w:tcPr>
          <w:p w14:paraId="24499DFC" w14:textId="77777777" w:rsidR="00EF5B27" w:rsidRDefault="00000000">
            <w:pPr>
              <w:pStyle w:val="TableParagraph"/>
              <w:spacing w:before="117"/>
              <w:ind w:left="3"/>
              <w:jc w:val="center"/>
              <w:rPr>
                <w:sz w:val="14"/>
              </w:rPr>
            </w:pPr>
            <w:r>
              <w:rPr>
                <w:color w:val="4D4D4F"/>
                <w:w w:val="96"/>
                <w:sz w:val="14"/>
              </w:rPr>
              <w:t>0</w:t>
            </w:r>
          </w:p>
        </w:tc>
        <w:tc>
          <w:tcPr>
            <w:tcW w:w="623" w:type="dxa"/>
          </w:tcPr>
          <w:p w14:paraId="373E8BB6" w14:textId="77777777" w:rsidR="00EF5B27" w:rsidRDefault="00000000">
            <w:pPr>
              <w:pStyle w:val="TableParagraph"/>
              <w:spacing w:before="117"/>
              <w:ind w:left="4"/>
              <w:jc w:val="center"/>
              <w:rPr>
                <w:sz w:val="14"/>
              </w:rPr>
            </w:pPr>
            <w:r>
              <w:rPr>
                <w:color w:val="4D4D4F"/>
                <w:w w:val="96"/>
                <w:sz w:val="14"/>
              </w:rPr>
              <w:t>3</w:t>
            </w:r>
          </w:p>
        </w:tc>
        <w:tc>
          <w:tcPr>
            <w:tcW w:w="623" w:type="dxa"/>
          </w:tcPr>
          <w:p w14:paraId="7582A3AC" w14:textId="77777777" w:rsidR="00EF5B27" w:rsidRDefault="00000000">
            <w:pPr>
              <w:pStyle w:val="TableParagraph"/>
              <w:spacing w:before="117"/>
              <w:ind w:left="5"/>
              <w:jc w:val="center"/>
              <w:rPr>
                <w:sz w:val="14"/>
              </w:rPr>
            </w:pPr>
            <w:r>
              <w:rPr>
                <w:color w:val="4D4D4F"/>
                <w:w w:val="96"/>
                <w:sz w:val="14"/>
              </w:rPr>
              <w:t>5</w:t>
            </w:r>
          </w:p>
        </w:tc>
        <w:tc>
          <w:tcPr>
            <w:tcW w:w="623" w:type="dxa"/>
          </w:tcPr>
          <w:p w14:paraId="2FCE0688" w14:textId="77777777" w:rsidR="00EF5B27" w:rsidRDefault="00000000">
            <w:pPr>
              <w:pStyle w:val="TableParagraph"/>
              <w:spacing w:before="117"/>
              <w:ind w:left="6"/>
              <w:jc w:val="center"/>
              <w:rPr>
                <w:sz w:val="14"/>
              </w:rPr>
            </w:pPr>
            <w:r>
              <w:rPr>
                <w:color w:val="4D4D4F"/>
                <w:w w:val="96"/>
                <w:sz w:val="14"/>
              </w:rPr>
              <w:t>5</w:t>
            </w:r>
          </w:p>
        </w:tc>
        <w:tc>
          <w:tcPr>
            <w:tcW w:w="623" w:type="dxa"/>
          </w:tcPr>
          <w:p w14:paraId="0DDD4B6D" w14:textId="77777777" w:rsidR="00EF5B27" w:rsidRDefault="00000000">
            <w:pPr>
              <w:pStyle w:val="TableParagraph"/>
              <w:spacing w:before="117"/>
              <w:ind w:left="8"/>
              <w:jc w:val="center"/>
              <w:rPr>
                <w:sz w:val="14"/>
              </w:rPr>
            </w:pPr>
            <w:r>
              <w:rPr>
                <w:color w:val="4D4D4F"/>
                <w:w w:val="96"/>
                <w:sz w:val="14"/>
              </w:rPr>
              <w:t>5</w:t>
            </w:r>
          </w:p>
        </w:tc>
        <w:tc>
          <w:tcPr>
            <w:tcW w:w="623" w:type="dxa"/>
          </w:tcPr>
          <w:p w14:paraId="7DA35B07" w14:textId="77777777" w:rsidR="00EF5B27" w:rsidRDefault="00000000">
            <w:pPr>
              <w:pStyle w:val="TableParagraph"/>
              <w:spacing w:before="117"/>
              <w:ind w:left="9"/>
              <w:jc w:val="center"/>
              <w:rPr>
                <w:sz w:val="14"/>
              </w:rPr>
            </w:pPr>
            <w:r>
              <w:rPr>
                <w:color w:val="4D4D4F"/>
                <w:w w:val="96"/>
                <w:sz w:val="14"/>
              </w:rPr>
              <w:t>8</w:t>
            </w:r>
          </w:p>
        </w:tc>
        <w:tc>
          <w:tcPr>
            <w:tcW w:w="623" w:type="dxa"/>
          </w:tcPr>
          <w:p w14:paraId="7EE811DA" w14:textId="77777777" w:rsidR="00EF5B27" w:rsidRDefault="00000000">
            <w:pPr>
              <w:pStyle w:val="TableParagraph"/>
              <w:spacing w:before="117"/>
              <w:ind w:left="70" w:right="70"/>
              <w:jc w:val="center"/>
              <w:rPr>
                <w:sz w:val="14"/>
              </w:rPr>
            </w:pPr>
            <w:r>
              <w:rPr>
                <w:color w:val="4D4D4F"/>
                <w:sz w:val="14"/>
              </w:rPr>
              <w:t>11</w:t>
            </w:r>
          </w:p>
        </w:tc>
        <w:tc>
          <w:tcPr>
            <w:tcW w:w="623" w:type="dxa"/>
          </w:tcPr>
          <w:p w14:paraId="2801D135" w14:textId="77777777" w:rsidR="00EF5B27" w:rsidRDefault="00000000">
            <w:pPr>
              <w:pStyle w:val="TableParagraph"/>
              <w:spacing w:before="117"/>
              <w:ind w:left="77" w:right="70"/>
              <w:jc w:val="center"/>
              <w:rPr>
                <w:sz w:val="14"/>
              </w:rPr>
            </w:pPr>
            <w:r>
              <w:rPr>
                <w:color w:val="4D4D4F"/>
                <w:sz w:val="14"/>
              </w:rPr>
              <w:t>10</w:t>
            </w:r>
          </w:p>
        </w:tc>
        <w:tc>
          <w:tcPr>
            <w:tcW w:w="623" w:type="dxa"/>
          </w:tcPr>
          <w:p w14:paraId="68C39F37" w14:textId="77777777" w:rsidR="00EF5B27" w:rsidRDefault="00000000">
            <w:pPr>
              <w:pStyle w:val="TableParagraph"/>
              <w:spacing w:before="117"/>
              <w:ind w:left="77" w:right="70"/>
              <w:jc w:val="center"/>
              <w:rPr>
                <w:sz w:val="14"/>
              </w:rPr>
            </w:pPr>
            <w:r>
              <w:rPr>
                <w:color w:val="4D4D4F"/>
                <w:sz w:val="14"/>
              </w:rPr>
              <w:t>13</w:t>
            </w:r>
          </w:p>
        </w:tc>
      </w:tr>
      <w:tr w:rsidR="00EF5B27" w14:paraId="25911F12" w14:textId="77777777">
        <w:trPr>
          <w:trHeight w:val="391"/>
        </w:trPr>
        <w:tc>
          <w:tcPr>
            <w:tcW w:w="4025" w:type="dxa"/>
          </w:tcPr>
          <w:p w14:paraId="65007C04" w14:textId="77777777" w:rsidR="00EF5B27" w:rsidRDefault="00000000">
            <w:pPr>
              <w:pStyle w:val="TableParagraph"/>
              <w:spacing w:before="117"/>
              <w:ind w:left="758" w:right="756"/>
              <w:jc w:val="center"/>
              <w:rPr>
                <w:sz w:val="14"/>
              </w:rPr>
            </w:pPr>
            <w:r>
              <w:rPr>
                <w:color w:val="4D4D4F"/>
                <w:w w:val="105"/>
                <w:sz w:val="14"/>
              </w:rPr>
              <w:t>C3 grassland (C3G)</w:t>
            </w:r>
          </w:p>
        </w:tc>
        <w:tc>
          <w:tcPr>
            <w:tcW w:w="623" w:type="dxa"/>
          </w:tcPr>
          <w:p w14:paraId="5EA290C0" w14:textId="77777777" w:rsidR="00EF5B27" w:rsidRDefault="00000000">
            <w:pPr>
              <w:pStyle w:val="TableParagraph"/>
              <w:spacing w:before="117"/>
              <w:ind w:left="3"/>
              <w:jc w:val="center"/>
              <w:rPr>
                <w:sz w:val="14"/>
              </w:rPr>
            </w:pPr>
            <w:r>
              <w:rPr>
                <w:color w:val="4D4D4F"/>
                <w:w w:val="96"/>
                <w:sz w:val="14"/>
              </w:rPr>
              <w:t>0</w:t>
            </w:r>
          </w:p>
        </w:tc>
        <w:tc>
          <w:tcPr>
            <w:tcW w:w="623" w:type="dxa"/>
          </w:tcPr>
          <w:p w14:paraId="1D97F3CA" w14:textId="77777777" w:rsidR="00EF5B27" w:rsidRDefault="00000000">
            <w:pPr>
              <w:pStyle w:val="TableParagraph"/>
              <w:spacing w:before="117"/>
              <w:ind w:left="4"/>
              <w:jc w:val="center"/>
              <w:rPr>
                <w:sz w:val="14"/>
              </w:rPr>
            </w:pPr>
            <w:r>
              <w:rPr>
                <w:color w:val="4D4D4F"/>
                <w:w w:val="96"/>
                <w:sz w:val="14"/>
              </w:rPr>
              <w:t>2</w:t>
            </w:r>
          </w:p>
        </w:tc>
        <w:tc>
          <w:tcPr>
            <w:tcW w:w="623" w:type="dxa"/>
          </w:tcPr>
          <w:p w14:paraId="69703E48" w14:textId="77777777" w:rsidR="00EF5B27" w:rsidRDefault="00000000">
            <w:pPr>
              <w:pStyle w:val="TableParagraph"/>
              <w:spacing w:before="117"/>
              <w:ind w:left="5"/>
              <w:jc w:val="center"/>
              <w:rPr>
                <w:sz w:val="14"/>
              </w:rPr>
            </w:pPr>
            <w:r>
              <w:rPr>
                <w:color w:val="4D4D4F"/>
                <w:w w:val="96"/>
                <w:sz w:val="14"/>
              </w:rPr>
              <w:t>3</w:t>
            </w:r>
          </w:p>
        </w:tc>
        <w:tc>
          <w:tcPr>
            <w:tcW w:w="623" w:type="dxa"/>
          </w:tcPr>
          <w:p w14:paraId="12124F50" w14:textId="77777777" w:rsidR="00EF5B27" w:rsidRDefault="00000000">
            <w:pPr>
              <w:pStyle w:val="TableParagraph"/>
              <w:spacing w:before="117"/>
              <w:ind w:left="6"/>
              <w:jc w:val="center"/>
              <w:rPr>
                <w:sz w:val="14"/>
              </w:rPr>
            </w:pPr>
            <w:r>
              <w:rPr>
                <w:color w:val="4D4D4F"/>
                <w:w w:val="96"/>
                <w:sz w:val="14"/>
              </w:rPr>
              <w:t>3</w:t>
            </w:r>
          </w:p>
        </w:tc>
        <w:tc>
          <w:tcPr>
            <w:tcW w:w="623" w:type="dxa"/>
          </w:tcPr>
          <w:p w14:paraId="63796CE7" w14:textId="77777777" w:rsidR="00EF5B27" w:rsidRDefault="00000000">
            <w:pPr>
              <w:pStyle w:val="TableParagraph"/>
              <w:spacing w:before="117"/>
              <w:ind w:left="7"/>
              <w:jc w:val="center"/>
              <w:rPr>
                <w:sz w:val="14"/>
              </w:rPr>
            </w:pPr>
            <w:r>
              <w:rPr>
                <w:color w:val="4D4D4F"/>
                <w:w w:val="96"/>
                <w:sz w:val="14"/>
              </w:rPr>
              <w:t>3</w:t>
            </w:r>
          </w:p>
        </w:tc>
        <w:tc>
          <w:tcPr>
            <w:tcW w:w="623" w:type="dxa"/>
          </w:tcPr>
          <w:p w14:paraId="4453C6A4" w14:textId="77777777" w:rsidR="00EF5B27" w:rsidRDefault="00000000">
            <w:pPr>
              <w:pStyle w:val="TableParagraph"/>
              <w:spacing w:before="117"/>
              <w:ind w:left="8"/>
              <w:jc w:val="center"/>
              <w:rPr>
                <w:sz w:val="14"/>
              </w:rPr>
            </w:pPr>
            <w:r>
              <w:rPr>
                <w:color w:val="4D4D4F"/>
                <w:w w:val="96"/>
                <w:sz w:val="14"/>
              </w:rPr>
              <w:t>3</w:t>
            </w:r>
          </w:p>
        </w:tc>
        <w:tc>
          <w:tcPr>
            <w:tcW w:w="623" w:type="dxa"/>
          </w:tcPr>
          <w:p w14:paraId="5CF84A8F" w14:textId="77777777" w:rsidR="00EF5B27" w:rsidRDefault="00000000">
            <w:pPr>
              <w:pStyle w:val="TableParagraph"/>
              <w:spacing w:before="117"/>
              <w:ind w:left="9"/>
              <w:jc w:val="center"/>
              <w:rPr>
                <w:sz w:val="14"/>
              </w:rPr>
            </w:pPr>
            <w:r>
              <w:rPr>
                <w:color w:val="4D4D4F"/>
                <w:w w:val="96"/>
                <w:sz w:val="14"/>
              </w:rPr>
              <w:t>5</w:t>
            </w:r>
          </w:p>
        </w:tc>
        <w:tc>
          <w:tcPr>
            <w:tcW w:w="623" w:type="dxa"/>
          </w:tcPr>
          <w:p w14:paraId="3C5126A4" w14:textId="77777777" w:rsidR="00EF5B27" w:rsidRDefault="00000000">
            <w:pPr>
              <w:pStyle w:val="TableParagraph"/>
              <w:spacing w:before="117"/>
              <w:ind w:left="10"/>
              <w:jc w:val="center"/>
              <w:rPr>
                <w:sz w:val="14"/>
              </w:rPr>
            </w:pPr>
            <w:r>
              <w:rPr>
                <w:color w:val="4D4D4F"/>
                <w:w w:val="96"/>
                <w:sz w:val="14"/>
              </w:rPr>
              <w:t>5</w:t>
            </w:r>
          </w:p>
        </w:tc>
        <w:tc>
          <w:tcPr>
            <w:tcW w:w="623" w:type="dxa"/>
          </w:tcPr>
          <w:p w14:paraId="1044417D" w14:textId="77777777" w:rsidR="00EF5B27" w:rsidRDefault="00000000">
            <w:pPr>
              <w:pStyle w:val="TableParagraph"/>
              <w:spacing w:before="117"/>
              <w:ind w:left="76" w:right="70"/>
              <w:jc w:val="center"/>
              <w:rPr>
                <w:sz w:val="14"/>
              </w:rPr>
            </w:pPr>
            <w:r>
              <w:rPr>
                <w:color w:val="4D4D4F"/>
                <w:sz w:val="14"/>
              </w:rPr>
              <w:t>13</w:t>
            </w:r>
          </w:p>
        </w:tc>
      </w:tr>
      <w:tr w:rsidR="00EF5B27" w14:paraId="44C90B45" w14:textId="77777777">
        <w:trPr>
          <w:trHeight w:val="391"/>
        </w:trPr>
        <w:tc>
          <w:tcPr>
            <w:tcW w:w="4025" w:type="dxa"/>
          </w:tcPr>
          <w:p w14:paraId="4B61B407" w14:textId="77777777" w:rsidR="00EF5B27" w:rsidRDefault="00000000">
            <w:pPr>
              <w:pStyle w:val="TableParagraph"/>
              <w:spacing w:before="117"/>
              <w:ind w:left="758" w:right="757"/>
              <w:jc w:val="center"/>
              <w:rPr>
                <w:sz w:val="14"/>
              </w:rPr>
            </w:pPr>
            <w:r>
              <w:rPr>
                <w:color w:val="4D4D4F"/>
                <w:sz w:val="14"/>
              </w:rPr>
              <w:t>Nutrient-enriched grassland (NG)</w:t>
            </w:r>
          </w:p>
        </w:tc>
        <w:tc>
          <w:tcPr>
            <w:tcW w:w="623" w:type="dxa"/>
          </w:tcPr>
          <w:p w14:paraId="7E445D1C" w14:textId="77777777" w:rsidR="00EF5B27" w:rsidRDefault="00000000">
            <w:pPr>
              <w:pStyle w:val="TableParagraph"/>
              <w:spacing w:before="117"/>
              <w:ind w:left="2"/>
              <w:jc w:val="center"/>
              <w:rPr>
                <w:sz w:val="14"/>
              </w:rPr>
            </w:pPr>
            <w:r>
              <w:rPr>
                <w:color w:val="4D4D4F"/>
                <w:w w:val="96"/>
                <w:sz w:val="14"/>
              </w:rPr>
              <w:t>5</w:t>
            </w:r>
          </w:p>
        </w:tc>
        <w:tc>
          <w:tcPr>
            <w:tcW w:w="623" w:type="dxa"/>
          </w:tcPr>
          <w:p w14:paraId="1FB502F2" w14:textId="77777777" w:rsidR="00EF5B27" w:rsidRDefault="00000000">
            <w:pPr>
              <w:pStyle w:val="TableParagraph"/>
              <w:spacing w:before="117"/>
              <w:ind w:left="3"/>
              <w:jc w:val="center"/>
              <w:rPr>
                <w:sz w:val="14"/>
              </w:rPr>
            </w:pPr>
            <w:r>
              <w:rPr>
                <w:color w:val="4D4D4F"/>
                <w:w w:val="96"/>
                <w:sz w:val="14"/>
              </w:rPr>
              <w:t>6</w:t>
            </w:r>
          </w:p>
        </w:tc>
        <w:tc>
          <w:tcPr>
            <w:tcW w:w="623" w:type="dxa"/>
          </w:tcPr>
          <w:p w14:paraId="7E3EB67B" w14:textId="77777777" w:rsidR="00EF5B27" w:rsidRDefault="00000000">
            <w:pPr>
              <w:pStyle w:val="TableParagraph"/>
              <w:spacing w:before="117"/>
              <w:ind w:left="4"/>
              <w:jc w:val="center"/>
              <w:rPr>
                <w:sz w:val="14"/>
              </w:rPr>
            </w:pPr>
            <w:r>
              <w:rPr>
                <w:color w:val="4D4D4F"/>
                <w:w w:val="96"/>
                <w:sz w:val="14"/>
              </w:rPr>
              <w:t>6</w:t>
            </w:r>
          </w:p>
        </w:tc>
        <w:tc>
          <w:tcPr>
            <w:tcW w:w="623" w:type="dxa"/>
          </w:tcPr>
          <w:p w14:paraId="46EB9235" w14:textId="77777777" w:rsidR="00EF5B27" w:rsidRDefault="00000000">
            <w:pPr>
              <w:pStyle w:val="TableParagraph"/>
              <w:spacing w:before="117"/>
              <w:ind w:left="5"/>
              <w:jc w:val="center"/>
              <w:rPr>
                <w:sz w:val="14"/>
              </w:rPr>
            </w:pPr>
            <w:r>
              <w:rPr>
                <w:color w:val="4D4D4F"/>
                <w:w w:val="96"/>
                <w:sz w:val="14"/>
              </w:rPr>
              <w:t>6</w:t>
            </w:r>
          </w:p>
        </w:tc>
        <w:tc>
          <w:tcPr>
            <w:tcW w:w="623" w:type="dxa"/>
          </w:tcPr>
          <w:p w14:paraId="5654C91A" w14:textId="77777777" w:rsidR="00EF5B27" w:rsidRDefault="00000000">
            <w:pPr>
              <w:pStyle w:val="TableParagraph"/>
              <w:spacing w:before="117"/>
              <w:ind w:left="6"/>
              <w:jc w:val="center"/>
              <w:rPr>
                <w:sz w:val="14"/>
              </w:rPr>
            </w:pPr>
            <w:r>
              <w:rPr>
                <w:color w:val="4D4D4F"/>
                <w:w w:val="96"/>
                <w:sz w:val="14"/>
              </w:rPr>
              <w:t>6</w:t>
            </w:r>
          </w:p>
        </w:tc>
        <w:tc>
          <w:tcPr>
            <w:tcW w:w="623" w:type="dxa"/>
          </w:tcPr>
          <w:p w14:paraId="0DB3E016" w14:textId="77777777" w:rsidR="00EF5B27" w:rsidRDefault="00000000">
            <w:pPr>
              <w:pStyle w:val="TableParagraph"/>
              <w:spacing w:before="117"/>
              <w:ind w:left="7"/>
              <w:jc w:val="center"/>
              <w:rPr>
                <w:sz w:val="14"/>
              </w:rPr>
            </w:pPr>
            <w:r>
              <w:rPr>
                <w:color w:val="4D4D4F"/>
                <w:w w:val="96"/>
                <w:sz w:val="14"/>
              </w:rPr>
              <w:t>6</w:t>
            </w:r>
          </w:p>
        </w:tc>
        <w:tc>
          <w:tcPr>
            <w:tcW w:w="623" w:type="dxa"/>
          </w:tcPr>
          <w:p w14:paraId="48A86636" w14:textId="77777777" w:rsidR="00EF5B27" w:rsidRDefault="00000000">
            <w:pPr>
              <w:pStyle w:val="TableParagraph"/>
              <w:spacing w:before="117"/>
              <w:ind w:left="8"/>
              <w:jc w:val="center"/>
              <w:rPr>
                <w:sz w:val="14"/>
              </w:rPr>
            </w:pPr>
            <w:r>
              <w:rPr>
                <w:color w:val="4D4D4F"/>
                <w:w w:val="96"/>
                <w:sz w:val="14"/>
              </w:rPr>
              <w:t>6</w:t>
            </w:r>
          </w:p>
        </w:tc>
        <w:tc>
          <w:tcPr>
            <w:tcW w:w="623" w:type="dxa"/>
          </w:tcPr>
          <w:p w14:paraId="7F66049F" w14:textId="77777777" w:rsidR="00EF5B27" w:rsidRDefault="00000000">
            <w:pPr>
              <w:pStyle w:val="TableParagraph"/>
              <w:spacing w:before="117"/>
              <w:ind w:left="10"/>
              <w:jc w:val="center"/>
              <w:rPr>
                <w:sz w:val="14"/>
              </w:rPr>
            </w:pPr>
            <w:r>
              <w:rPr>
                <w:color w:val="4D4D4F"/>
                <w:w w:val="96"/>
                <w:sz w:val="14"/>
              </w:rPr>
              <w:t>7</w:t>
            </w:r>
          </w:p>
        </w:tc>
        <w:tc>
          <w:tcPr>
            <w:tcW w:w="623" w:type="dxa"/>
          </w:tcPr>
          <w:p w14:paraId="07CC5442" w14:textId="77777777" w:rsidR="00EF5B27" w:rsidRDefault="00000000">
            <w:pPr>
              <w:pStyle w:val="TableParagraph"/>
              <w:spacing w:before="117"/>
              <w:ind w:left="75" w:right="70"/>
              <w:jc w:val="center"/>
              <w:rPr>
                <w:sz w:val="14"/>
              </w:rPr>
            </w:pPr>
            <w:r>
              <w:rPr>
                <w:color w:val="4D4D4F"/>
                <w:sz w:val="14"/>
              </w:rPr>
              <w:t>12</w:t>
            </w:r>
          </w:p>
        </w:tc>
      </w:tr>
      <w:tr w:rsidR="00EF5B27" w14:paraId="57F07088" w14:textId="77777777">
        <w:trPr>
          <w:trHeight w:val="391"/>
        </w:trPr>
        <w:tc>
          <w:tcPr>
            <w:tcW w:w="4025" w:type="dxa"/>
          </w:tcPr>
          <w:p w14:paraId="6FC21EBF" w14:textId="77777777" w:rsidR="00EF5B27" w:rsidRDefault="00000000">
            <w:pPr>
              <w:pStyle w:val="TableParagraph"/>
              <w:spacing w:before="117"/>
              <w:ind w:left="758" w:right="758"/>
              <w:jc w:val="center"/>
              <w:rPr>
                <w:sz w:val="14"/>
              </w:rPr>
            </w:pPr>
            <w:r>
              <w:rPr>
                <w:color w:val="4D4D4F"/>
                <w:sz w:val="14"/>
              </w:rPr>
              <w:t>De-rocked grassland (DG)</w:t>
            </w:r>
          </w:p>
        </w:tc>
        <w:tc>
          <w:tcPr>
            <w:tcW w:w="623" w:type="dxa"/>
          </w:tcPr>
          <w:p w14:paraId="05226693" w14:textId="77777777" w:rsidR="00EF5B27" w:rsidRDefault="00000000">
            <w:pPr>
              <w:pStyle w:val="TableParagraph"/>
              <w:spacing w:before="117"/>
              <w:ind w:left="1"/>
              <w:jc w:val="center"/>
              <w:rPr>
                <w:sz w:val="14"/>
              </w:rPr>
            </w:pPr>
            <w:r>
              <w:rPr>
                <w:color w:val="4D4D4F"/>
                <w:w w:val="96"/>
                <w:sz w:val="14"/>
              </w:rPr>
              <w:t>0</w:t>
            </w:r>
          </w:p>
        </w:tc>
        <w:tc>
          <w:tcPr>
            <w:tcW w:w="623" w:type="dxa"/>
          </w:tcPr>
          <w:p w14:paraId="13C5B925" w14:textId="77777777" w:rsidR="00EF5B27" w:rsidRDefault="00000000">
            <w:pPr>
              <w:pStyle w:val="TableParagraph"/>
              <w:spacing w:before="117"/>
              <w:ind w:left="2"/>
              <w:jc w:val="center"/>
              <w:rPr>
                <w:sz w:val="14"/>
              </w:rPr>
            </w:pPr>
            <w:r>
              <w:rPr>
                <w:color w:val="4D4D4F"/>
                <w:w w:val="96"/>
                <w:sz w:val="14"/>
              </w:rPr>
              <w:t>0</w:t>
            </w:r>
          </w:p>
        </w:tc>
        <w:tc>
          <w:tcPr>
            <w:tcW w:w="623" w:type="dxa"/>
          </w:tcPr>
          <w:p w14:paraId="235C8C92" w14:textId="77777777" w:rsidR="00EF5B27" w:rsidRDefault="00000000">
            <w:pPr>
              <w:pStyle w:val="TableParagraph"/>
              <w:spacing w:before="117"/>
              <w:ind w:left="3"/>
              <w:jc w:val="center"/>
              <w:rPr>
                <w:sz w:val="14"/>
              </w:rPr>
            </w:pPr>
            <w:r>
              <w:rPr>
                <w:color w:val="4D4D4F"/>
                <w:w w:val="96"/>
                <w:sz w:val="14"/>
              </w:rPr>
              <w:t>0</w:t>
            </w:r>
          </w:p>
        </w:tc>
        <w:tc>
          <w:tcPr>
            <w:tcW w:w="623" w:type="dxa"/>
          </w:tcPr>
          <w:p w14:paraId="3089857F" w14:textId="77777777" w:rsidR="00EF5B27" w:rsidRDefault="00000000">
            <w:pPr>
              <w:pStyle w:val="TableParagraph"/>
              <w:spacing w:before="117"/>
              <w:ind w:left="4"/>
              <w:jc w:val="center"/>
              <w:rPr>
                <w:sz w:val="14"/>
              </w:rPr>
            </w:pPr>
            <w:r>
              <w:rPr>
                <w:color w:val="4D4D4F"/>
                <w:w w:val="96"/>
                <w:sz w:val="14"/>
              </w:rPr>
              <w:t>0</w:t>
            </w:r>
          </w:p>
        </w:tc>
        <w:tc>
          <w:tcPr>
            <w:tcW w:w="623" w:type="dxa"/>
          </w:tcPr>
          <w:p w14:paraId="26D3256A" w14:textId="77777777" w:rsidR="00EF5B27" w:rsidRDefault="00000000">
            <w:pPr>
              <w:pStyle w:val="TableParagraph"/>
              <w:spacing w:before="117"/>
              <w:ind w:left="5"/>
              <w:jc w:val="center"/>
              <w:rPr>
                <w:sz w:val="14"/>
              </w:rPr>
            </w:pPr>
            <w:r>
              <w:rPr>
                <w:color w:val="4D4D4F"/>
                <w:w w:val="96"/>
                <w:sz w:val="14"/>
              </w:rPr>
              <w:t>0</w:t>
            </w:r>
          </w:p>
        </w:tc>
        <w:tc>
          <w:tcPr>
            <w:tcW w:w="623" w:type="dxa"/>
          </w:tcPr>
          <w:p w14:paraId="0D4F29E7" w14:textId="77777777" w:rsidR="00EF5B27" w:rsidRDefault="00000000">
            <w:pPr>
              <w:pStyle w:val="TableParagraph"/>
              <w:spacing w:before="117"/>
              <w:ind w:left="6"/>
              <w:jc w:val="center"/>
              <w:rPr>
                <w:sz w:val="14"/>
              </w:rPr>
            </w:pPr>
            <w:r>
              <w:rPr>
                <w:color w:val="4D4D4F"/>
                <w:w w:val="96"/>
                <w:sz w:val="14"/>
              </w:rPr>
              <w:t>3</w:t>
            </w:r>
          </w:p>
        </w:tc>
        <w:tc>
          <w:tcPr>
            <w:tcW w:w="623" w:type="dxa"/>
          </w:tcPr>
          <w:p w14:paraId="310746F4" w14:textId="77777777" w:rsidR="00EF5B27" w:rsidRDefault="00000000">
            <w:pPr>
              <w:pStyle w:val="TableParagraph"/>
              <w:spacing w:before="117"/>
              <w:ind w:left="8"/>
              <w:jc w:val="center"/>
              <w:rPr>
                <w:sz w:val="14"/>
              </w:rPr>
            </w:pPr>
            <w:r>
              <w:rPr>
                <w:color w:val="4D4D4F"/>
                <w:w w:val="96"/>
                <w:sz w:val="14"/>
              </w:rPr>
              <w:t>3</w:t>
            </w:r>
          </w:p>
        </w:tc>
        <w:tc>
          <w:tcPr>
            <w:tcW w:w="623" w:type="dxa"/>
          </w:tcPr>
          <w:p w14:paraId="7F39D5C7" w14:textId="77777777" w:rsidR="00EF5B27" w:rsidRDefault="00000000">
            <w:pPr>
              <w:pStyle w:val="TableParagraph"/>
              <w:spacing w:before="117"/>
              <w:ind w:left="9"/>
              <w:jc w:val="center"/>
              <w:rPr>
                <w:sz w:val="14"/>
              </w:rPr>
            </w:pPr>
            <w:r>
              <w:rPr>
                <w:color w:val="4D4D4F"/>
                <w:w w:val="96"/>
                <w:sz w:val="14"/>
              </w:rPr>
              <w:t>3</w:t>
            </w:r>
          </w:p>
        </w:tc>
        <w:tc>
          <w:tcPr>
            <w:tcW w:w="623" w:type="dxa"/>
          </w:tcPr>
          <w:p w14:paraId="68CB3D02" w14:textId="77777777" w:rsidR="00EF5B27" w:rsidRDefault="00000000">
            <w:pPr>
              <w:pStyle w:val="TableParagraph"/>
              <w:spacing w:before="117"/>
              <w:ind w:left="10"/>
              <w:jc w:val="center"/>
              <w:rPr>
                <w:sz w:val="14"/>
              </w:rPr>
            </w:pPr>
            <w:r>
              <w:rPr>
                <w:color w:val="4D4D4F"/>
                <w:w w:val="96"/>
                <w:sz w:val="14"/>
              </w:rPr>
              <w:t>5</w:t>
            </w:r>
          </w:p>
        </w:tc>
      </w:tr>
      <w:tr w:rsidR="00EF5B27" w14:paraId="3BC8C9E8" w14:textId="77777777">
        <w:trPr>
          <w:trHeight w:val="391"/>
        </w:trPr>
        <w:tc>
          <w:tcPr>
            <w:tcW w:w="4025" w:type="dxa"/>
          </w:tcPr>
          <w:p w14:paraId="3E1A0672" w14:textId="77777777" w:rsidR="00EF5B27" w:rsidRDefault="00000000">
            <w:pPr>
              <w:pStyle w:val="TableParagraph"/>
              <w:spacing w:before="117"/>
              <w:ind w:left="758" w:right="758"/>
              <w:jc w:val="center"/>
              <w:rPr>
                <w:sz w:val="14"/>
              </w:rPr>
            </w:pPr>
            <w:r>
              <w:rPr>
                <w:color w:val="4D4D4F"/>
                <w:sz w:val="14"/>
              </w:rPr>
              <w:t>De-rocked nutrient-enriched pasture (DNP)</w:t>
            </w:r>
          </w:p>
        </w:tc>
        <w:tc>
          <w:tcPr>
            <w:tcW w:w="623" w:type="dxa"/>
          </w:tcPr>
          <w:p w14:paraId="0776129E" w14:textId="77777777" w:rsidR="00EF5B27" w:rsidRDefault="00000000">
            <w:pPr>
              <w:pStyle w:val="TableParagraph"/>
              <w:spacing w:before="117"/>
              <w:jc w:val="center"/>
              <w:rPr>
                <w:sz w:val="14"/>
              </w:rPr>
            </w:pPr>
            <w:r>
              <w:rPr>
                <w:color w:val="4D4D4F"/>
                <w:w w:val="96"/>
                <w:sz w:val="14"/>
              </w:rPr>
              <w:t>0</w:t>
            </w:r>
          </w:p>
        </w:tc>
        <w:tc>
          <w:tcPr>
            <w:tcW w:w="623" w:type="dxa"/>
          </w:tcPr>
          <w:p w14:paraId="57B4EAA6" w14:textId="77777777" w:rsidR="00EF5B27" w:rsidRDefault="00000000">
            <w:pPr>
              <w:pStyle w:val="TableParagraph"/>
              <w:spacing w:before="117"/>
              <w:ind w:left="1"/>
              <w:jc w:val="center"/>
              <w:rPr>
                <w:sz w:val="14"/>
              </w:rPr>
            </w:pPr>
            <w:r>
              <w:rPr>
                <w:color w:val="4D4D4F"/>
                <w:w w:val="96"/>
                <w:sz w:val="14"/>
              </w:rPr>
              <w:t>0</w:t>
            </w:r>
          </w:p>
        </w:tc>
        <w:tc>
          <w:tcPr>
            <w:tcW w:w="623" w:type="dxa"/>
          </w:tcPr>
          <w:p w14:paraId="529AC56F" w14:textId="77777777" w:rsidR="00EF5B27" w:rsidRDefault="00000000">
            <w:pPr>
              <w:pStyle w:val="TableParagraph"/>
              <w:spacing w:before="117"/>
              <w:ind w:left="2"/>
              <w:jc w:val="center"/>
              <w:rPr>
                <w:sz w:val="14"/>
              </w:rPr>
            </w:pPr>
            <w:r>
              <w:rPr>
                <w:color w:val="4D4D4F"/>
                <w:w w:val="96"/>
                <w:sz w:val="14"/>
              </w:rPr>
              <w:t>0</w:t>
            </w:r>
          </w:p>
        </w:tc>
        <w:tc>
          <w:tcPr>
            <w:tcW w:w="623" w:type="dxa"/>
          </w:tcPr>
          <w:p w14:paraId="16951914" w14:textId="77777777" w:rsidR="00EF5B27" w:rsidRDefault="00000000">
            <w:pPr>
              <w:pStyle w:val="TableParagraph"/>
              <w:spacing w:before="117"/>
              <w:ind w:left="3"/>
              <w:jc w:val="center"/>
              <w:rPr>
                <w:sz w:val="14"/>
              </w:rPr>
            </w:pPr>
            <w:r>
              <w:rPr>
                <w:color w:val="4D4D4F"/>
                <w:w w:val="96"/>
                <w:sz w:val="14"/>
              </w:rPr>
              <w:t>0</w:t>
            </w:r>
          </w:p>
        </w:tc>
        <w:tc>
          <w:tcPr>
            <w:tcW w:w="623" w:type="dxa"/>
          </w:tcPr>
          <w:p w14:paraId="70EFE15D" w14:textId="77777777" w:rsidR="00EF5B27" w:rsidRDefault="00000000">
            <w:pPr>
              <w:pStyle w:val="TableParagraph"/>
              <w:spacing w:before="117"/>
              <w:ind w:left="4"/>
              <w:jc w:val="center"/>
              <w:rPr>
                <w:sz w:val="14"/>
              </w:rPr>
            </w:pPr>
            <w:r>
              <w:rPr>
                <w:color w:val="4D4D4F"/>
                <w:w w:val="96"/>
                <w:sz w:val="14"/>
              </w:rPr>
              <w:t>0</w:t>
            </w:r>
          </w:p>
        </w:tc>
        <w:tc>
          <w:tcPr>
            <w:tcW w:w="623" w:type="dxa"/>
          </w:tcPr>
          <w:p w14:paraId="3DA5A977" w14:textId="77777777" w:rsidR="00EF5B27" w:rsidRDefault="00000000">
            <w:pPr>
              <w:pStyle w:val="TableParagraph"/>
              <w:spacing w:before="117"/>
              <w:ind w:left="5"/>
              <w:jc w:val="center"/>
              <w:rPr>
                <w:sz w:val="14"/>
              </w:rPr>
            </w:pPr>
            <w:r>
              <w:rPr>
                <w:color w:val="4D4D4F"/>
                <w:w w:val="96"/>
                <w:sz w:val="14"/>
              </w:rPr>
              <w:t>0</w:t>
            </w:r>
          </w:p>
        </w:tc>
        <w:tc>
          <w:tcPr>
            <w:tcW w:w="623" w:type="dxa"/>
          </w:tcPr>
          <w:p w14:paraId="17631DAA" w14:textId="77777777" w:rsidR="00EF5B27" w:rsidRDefault="00000000">
            <w:pPr>
              <w:pStyle w:val="TableParagraph"/>
              <w:spacing w:before="117"/>
              <w:ind w:left="6"/>
              <w:jc w:val="center"/>
              <w:rPr>
                <w:sz w:val="14"/>
              </w:rPr>
            </w:pPr>
            <w:r>
              <w:rPr>
                <w:color w:val="4D4D4F"/>
                <w:w w:val="96"/>
                <w:sz w:val="14"/>
              </w:rPr>
              <w:t>0</w:t>
            </w:r>
          </w:p>
        </w:tc>
        <w:tc>
          <w:tcPr>
            <w:tcW w:w="623" w:type="dxa"/>
          </w:tcPr>
          <w:p w14:paraId="5075B7A8" w14:textId="77777777" w:rsidR="00EF5B27" w:rsidRDefault="00000000">
            <w:pPr>
              <w:pStyle w:val="TableParagraph"/>
              <w:spacing w:before="117"/>
              <w:ind w:left="8"/>
              <w:jc w:val="center"/>
              <w:rPr>
                <w:sz w:val="14"/>
              </w:rPr>
            </w:pPr>
            <w:r>
              <w:rPr>
                <w:color w:val="4D4D4F"/>
                <w:w w:val="96"/>
                <w:sz w:val="14"/>
              </w:rPr>
              <w:t>0</w:t>
            </w:r>
          </w:p>
        </w:tc>
        <w:tc>
          <w:tcPr>
            <w:tcW w:w="623" w:type="dxa"/>
          </w:tcPr>
          <w:p w14:paraId="4F138B03" w14:textId="77777777" w:rsidR="00EF5B27" w:rsidRDefault="00000000">
            <w:pPr>
              <w:pStyle w:val="TableParagraph"/>
              <w:spacing w:before="117"/>
              <w:ind w:left="9"/>
              <w:jc w:val="center"/>
              <w:rPr>
                <w:sz w:val="14"/>
              </w:rPr>
            </w:pPr>
            <w:r>
              <w:rPr>
                <w:color w:val="4D4D4F"/>
                <w:w w:val="96"/>
                <w:sz w:val="14"/>
              </w:rPr>
              <w:t>5</w:t>
            </w:r>
          </w:p>
        </w:tc>
      </w:tr>
      <w:tr w:rsidR="00EF5B27" w14:paraId="5201C32F" w14:textId="77777777">
        <w:trPr>
          <w:trHeight w:val="391"/>
        </w:trPr>
        <w:tc>
          <w:tcPr>
            <w:tcW w:w="4025" w:type="dxa"/>
          </w:tcPr>
          <w:p w14:paraId="20F69EA0" w14:textId="77777777" w:rsidR="00EF5B27" w:rsidRDefault="00000000">
            <w:pPr>
              <w:pStyle w:val="TableParagraph"/>
              <w:spacing w:before="117"/>
              <w:ind w:left="758" w:right="759"/>
              <w:jc w:val="center"/>
              <w:rPr>
                <w:sz w:val="14"/>
              </w:rPr>
            </w:pPr>
            <w:r>
              <w:rPr>
                <w:color w:val="4D4D4F"/>
                <w:sz w:val="14"/>
              </w:rPr>
              <w:t>Re-allocated point-intercept plots</w:t>
            </w:r>
          </w:p>
        </w:tc>
        <w:tc>
          <w:tcPr>
            <w:tcW w:w="623" w:type="dxa"/>
          </w:tcPr>
          <w:p w14:paraId="303035B2" w14:textId="77777777" w:rsidR="00EF5B27" w:rsidRDefault="00000000">
            <w:pPr>
              <w:pStyle w:val="TableParagraph"/>
              <w:spacing w:before="117"/>
              <w:jc w:val="center"/>
              <w:rPr>
                <w:sz w:val="14"/>
              </w:rPr>
            </w:pPr>
            <w:r>
              <w:rPr>
                <w:color w:val="4D4D4F"/>
                <w:w w:val="96"/>
                <w:sz w:val="14"/>
              </w:rPr>
              <w:t>6</w:t>
            </w:r>
          </w:p>
        </w:tc>
        <w:tc>
          <w:tcPr>
            <w:tcW w:w="623" w:type="dxa"/>
          </w:tcPr>
          <w:p w14:paraId="4488B1C6" w14:textId="77777777" w:rsidR="00EF5B27" w:rsidRDefault="00000000">
            <w:pPr>
              <w:pStyle w:val="TableParagraph"/>
              <w:spacing w:before="117"/>
              <w:jc w:val="center"/>
              <w:rPr>
                <w:sz w:val="14"/>
              </w:rPr>
            </w:pPr>
            <w:r>
              <w:rPr>
                <w:color w:val="4D4D4F"/>
                <w:w w:val="96"/>
                <w:sz w:val="14"/>
              </w:rPr>
              <w:t>5</w:t>
            </w:r>
          </w:p>
        </w:tc>
        <w:tc>
          <w:tcPr>
            <w:tcW w:w="623" w:type="dxa"/>
          </w:tcPr>
          <w:p w14:paraId="4B18D70A" w14:textId="77777777" w:rsidR="00EF5B27" w:rsidRDefault="00000000">
            <w:pPr>
              <w:pStyle w:val="TableParagraph"/>
              <w:spacing w:before="117"/>
              <w:ind w:left="1"/>
              <w:jc w:val="center"/>
              <w:rPr>
                <w:sz w:val="14"/>
              </w:rPr>
            </w:pPr>
            <w:r>
              <w:rPr>
                <w:color w:val="4D4D4F"/>
                <w:w w:val="96"/>
                <w:sz w:val="14"/>
              </w:rPr>
              <w:t>8</w:t>
            </w:r>
          </w:p>
        </w:tc>
        <w:tc>
          <w:tcPr>
            <w:tcW w:w="623" w:type="dxa"/>
          </w:tcPr>
          <w:p w14:paraId="12FE79DF" w14:textId="77777777" w:rsidR="00EF5B27" w:rsidRDefault="00000000">
            <w:pPr>
              <w:pStyle w:val="TableParagraph"/>
              <w:spacing w:before="117"/>
              <w:ind w:left="2"/>
              <w:jc w:val="center"/>
              <w:rPr>
                <w:sz w:val="14"/>
              </w:rPr>
            </w:pPr>
            <w:r>
              <w:rPr>
                <w:color w:val="4D4D4F"/>
                <w:w w:val="96"/>
                <w:sz w:val="14"/>
              </w:rPr>
              <w:t>9</w:t>
            </w:r>
          </w:p>
        </w:tc>
        <w:tc>
          <w:tcPr>
            <w:tcW w:w="623" w:type="dxa"/>
          </w:tcPr>
          <w:p w14:paraId="47960E51" w14:textId="77777777" w:rsidR="00EF5B27" w:rsidRDefault="00000000">
            <w:pPr>
              <w:pStyle w:val="TableParagraph"/>
              <w:spacing w:before="117"/>
              <w:ind w:left="3"/>
              <w:jc w:val="center"/>
              <w:rPr>
                <w:sz w:val="14"/>
              </w:rPr>
            </w:pPr>
            <w:r>
              <w:rPr>
                <w:color w:val="4D4D4F"/>
                <w:w w:val="96"/>
                <w:sz w:val="14"/>
              </w:rPr>
              <w:t>8</w:t>
            </w:r>
          </w:p>
        </w:tc>
        <w:tc>
          <w:tcPr>
            <w:tcW w:w="623" w:type="dxa"/>
          </w:tcPr>
          <w:p w14:paraId="62B01D01" w14:textId="77777777" w:rsidR="00EF5B27" w:rsidRDefault="00000000">
            <w:pPr>
              <w:pStyle w:val="TableParagraph"/>
              <w:spacing w:before="117"/>
              <w:ind w:left="4"/>
              <w:jc w:val="center"/>
              <w:rPr>
                <w:sz w:val="14"/>
              </w:rPr>
            </w:pPr>
            <w:r>
              <w:rPr>
                <w:color w:val="4D4D4F"/>
                <w:w w:val="96"/>
                <w:sz w:val="14"/>
              </w:rPr>
              <w:t>9</w:t>
            </w:r>
          </w:p>
        </w:tc>
        <w:tc>
          <w:tcPr>
            <w:tcW w:w="623" w:type="dxa"/>
          </w:tcPr>
          <w:p w14:paraId="19559891" w14:textId="77777777" w:rsidR="00EF5B27" w:rsidRDefault="00000000">
            <w:pPr>
              <w:pStyle w:val="TableParagraph"/>
              <w:spacing w:before="117"/>
              <w:ind w:left="72" w:right="70"/>
              <w:jc w:val="center"/>
              <w:rPr>
                <w:sz w:val="14"/>
              </w:rPr>
            </w:pPr>
            <w:r>
              <w:rPr>
                <w:color w:val="4D4D4F"/>
                <w:sz w:val="14"/>
              </w:rPr>
              <w:t>14</w:t>
            </w:r>
          </w:p>
        </w:tc>
        <w:tc>
          <w:tcPr>
            <w:tcW w:w="623" w:type="dxa"/>
          </w:tcPr>
          <w:p w14:paraId="03CAA70E" w14:textId="77777777" w:rsidR="00EF5B27" w:rsidRDefault="00000000">
            <w:pPr>
              <w:pStyle w:val="TableParagraph"/>
              <w:spacing w:before="117"/>
              <w:ind w:left="72" w:right="70"/>
              <w:jc w:val="center"/>
              <w:rPr>
                <w:sz w:val="14"/>
              </w:rPr>
            </w:pPr>
            <w:r>
              <w:rPr>
                <w:color w:val="4D4D4F"/>
                <w:sz w:val="14"/>
              </w:rPr>
              <w:t>12</w:t>
            </w:r>
          </w:p>
        </w:tc>
        <w:tc>
          <w:tcPr>
            <w:tcW w:w="623" w:type="dxa"/>
          </w:tcPr>
          <w:p w14:paraId="1077764B" w14:textId="77777777" w:rsidR="00EF5B27" w:rsidRDefault="00000000">
            <w:pPr>
              <w:pStyle w:val="TableParagraph"/>
              <w:spacing w:before="117"/>
              <w:ind w:left="9"/>
              <w:jc w:val="center"/>
              <w:rPr>
                <w:sz w:val="14"/>
              </w:rPr>
            </w:pPr>
            <w:r>
              <w:rPr>
                <w:color w:val="4D4D4F"/>
                <w:sz w:val="14"/>
              </w:rPr>
              <w:t>-</w:t>
            </w:r>
          </w:p>
        </w:tc>
      </w:tr>
      <w:tr w:rsidR="00EF5B27" w14:paraId="72E38496" w14:textId="77777777">
        <w:trPr>
          <w:trHeight w:val="391"/>
        </w:trPr>
        <w:tc>
          <w:tcPr>
            <w:tcW w:w="4025" w:type="dxa"/>
          </w:tcPr>
          <w:p w14:paraId="28A9B4CC" w14:textId="77777777" w:rsidR="00EF5B27" w:rsidRDefault="00000000">
            <w:pPr>
              <w:pStyle w:val="TableParagraph"/>
              <w:spacing w:before="117"/>
              <w:ind w:left="758" w:right="759"/>
              <w:jc w:val="center"/>
              <w:rPr>
                <w:sz w:val="14"/>
              </w:rPr>
            </w:pPr>
            <w:r>
              <w:rPr>
                <w:color w:val="4D4D4F"/>
                <w:w w:val="105"/>
                <w:sz w:val="14"/>
              </w:rPr>
              <w:t>Herb-rich grassland (HG)</w:t>
            </w:r>
          </w:p>
        </w:tc>
        <w:tc>
          <w:tcPr>
            <w:tcW w:w="623" w:type="dxa"/>
          </w:tcPr>
          <w:p w14:paraId="1189BDF8" w14:textId="77777777" w:rsidR="00EF5B27" w:rsidRDefault="00000000">
            <w:pPr>
              <w:pStyle w:val="TableParagraph"/>
              <w:spacing w:before="117"/>
              <w:jc w:val="center"/>
              <w:rPr>
                <w:sz w:val="14"/>
              </w:rPr>
            </w:pPr>
            <w:r>
              <w:rPr>
                <w:color w:val="4D4D4F"/>
                <w:w w:val="96"/>
                <w:sz w:val="14"/>
              </w:rPr>
              <w:t>3</w:t>
            </w:r>
          </w:p>
        </w:tc>
        <w:tc>
          <w:tcPr>
            <w:tcW w:w="623" w:type="dxa"/>
          </w:tcPr>
          <w:p w14:paraId="6C498DFC" w14:textId="77777777" w:rsidR="00EF5B27" w:rsidRDefault="00000000">
            <w:pPr>
              <w:pStyle w:val="TableParagraph"/>
              <w:spacing w:before="117"/>
              <w:jc w:val="center"/>
              <w:rPr>
                <w:sz w:val="14"/>
              </w:rPr>
            </w:pPr>
            <w:r>
              <w:rPr>
                <w:color w:val="4D4D4F"/>
                <w:w w:val="96"/>
                <w:sz w:val="14"/>
              </w:rPr>
              <w:t>2</w:t>
            </w:r>
          </w:p>
        </w:tc>
        <w:tc>
          <w:tcPr>
            <w:tcW w:w="623" w:type="dxa"/>
          </w:tcPr>
          <w:p w14:paraId="5CD8F3E8" w14:textId="77777777" w:rsidR="00EF5B27" w:rsidRDefault="00000000">
            <w:pPr>
              <w:pStyle w:val="TableParagraph"/>
              <w:spacing w:before="117"/>
              <w:ind w:left="1"/>
              <w:jc w:val="center"/>
              <w:rPr>
                <w:sz w:val="14"/>
              </w:rPr>
            </w:pPr>
            <w:r>
              <w:rPr>
                <w:color w:val="4D4D4F"/>
                <w:w w:val="96"/>
                <w:sz w:val="14"/>
              </w:rPr>
              <w:t>4</w:t>
            </w:r>
          </w:p>
        </w:tc>
        <w:tc>
          <w:tcPr>
            <w:tcW w:w="623" w:type="dxa"/>
          </w:tcPr>
          <w:p w14:paraId="0A11F2C3" w14:textId="77777777" w:rsidR="00EF5B27" w:rsidRDefault="00000000">
            <w:pPr>
              <w:pStyle w:val="TableParagraph"/>
              <w:spacing w:before="117"/>
              <w:ind w:left="2"/>
              <w:jc w:val="center"/>
              <w:rPr>
                <w:sz w:val="14"/>
              </w:rPr>
            </w:pPr>
            <w:r>
              <w:rPr>
                <w:color w:val="4D4D4F"/>
                <w:w w:val="96"/>
                <w:sz w:val="14"/>
              </w:rPr>
              <w:t>4</w:t>
            </w:r>
          </w:p>
        </w:tc>
        <w:tc>
          <w:tcPr>
            <w:tcW w:w="623" w:type="dxa"/>
          </w:tcPr>
          <w:p w14:paraId="6D9AD065" w14:textId="77777777" w:rsidR="00EF5B27" w:rsidRDefault="00000000">
            <w:pPr>
              <w:pStyle w:val="TableParagraph"/>
              <w:spacing w:before="117"/>
              <w:ind w:left="3"/>
              <w:jc w:val="center"/>
              <w:rPr>
                <w:sz w:val="14"/>
              </w:rPr>
            </w:pPr>
            <w:r>
              <w:rPr>
                <w:color w:val="4D4D4F"/>
                <w:w w:val="96"/>
                <w:sz w:val="14"/>
              </w:rPr>
              <w:t>3</w:t>
            </w:r>
          </w:p>
        </w:tc>
        <w:tc>
          <w:tcPr>
            <w:tcW w:w="623" w:type="dxa"/>
          </w:tcPr>
          <w:p w14:paraId="67399D50" w14:textId="77777777" w:rsidR="00EF5B27" w:rsidRDefault="00000000">
            <w:pPr>
              <w:pStyle w:val="TableParagraph"/>
              <w:spacing w:before="117"/>
              <w:ind w:left="4"/>
              <w:jc w:val="center"/>
              <w:rPr>
                <w:sz w:val="14"/>
              </w:rPr>
            </w:pPr>
            <w:r>
              <w:rPr>
                <w:color w:val="4D4D4F"/>
                <w:w w:val="96"/>
                <w:sz w:val="14"/>
              </w:rPr>
              <w:t>1</w:t>
            </w:r>
          </w:p>
        </w:tc>
        <w:tc>
          <w:tcPr>
            <w:tcW w:w="623" w:type="dxa"/>
          </w:tcPr>
          <w:p w14:paraId="2854F230" w14:textId="77777777" w:rsidR="00EF5B27" w:rsidRDefault="00000000">
            <w:pPr>
              <w:pStyle w:val="TableParagraph"/>
              <w:spacing w:before="117"/>
              <w:ind w:left="5"/>
              <w:jc w:val="center"/>
              <w:rPr>
                <w:sz w:val="14"/>
              </w:rPr>
            </w:pPr>
            <w:r>
              <w:rPr>
                <w:color w:val="4D4D4F"/>
                <w:w w:val="96"/>
                <w:sz w:val="14"/>
              </w:rPr>
              <w:t>6</w:t>
            </w:r>
          </w:p>
        </w:tc>
        <w:tc>
          <w:tcPr>
            <w:tcW w:w="623" w:type="dxa"/>
          </w:tcPr>
          <w:p w14:paraId="5DDBD308" w14:textId="77777777" w:rsidR="00EF5B27" w:rsidRDefault="00000000">
            <w:pPr>
              <w:pStyle w:val="TableParagraph"/>
              <w:spacing w:before="117"/>
              <w:ind w:left="6"/>
              <w:jc w:val="center"/>
              <w:rPr>
                <w:sz w:val="14"/>
              </w:rPr>
            </w:pPr>
            <w:r>
              <w:rPr>
                <w:color w:val="4D4D4F"/>
                <w:w w:val="96"/>
                <w:sz w:val="14"/>
              </w:rPr>
              <w:t>3</w:t>
            </w:r>
          </w:p>
        </w:tc>
        <w:tc>
          <w:tcPr>
            <w:tcW w:w="623" w:type="dxa"/>
          </w:tcPr>
          <w:p w14:paraId="553BD191" w14:textId="77777777" w:rsidR="00EF5B27" w:rsidRDefault="00000000">
            <w:pPr>
              <w:pStyle w:val="TableParagraph"/>
              <w:spacing w:before="117"/>
              <w:ind w:left="8"/>
              <w:jc w:val="center"/>
              <w:rPr>
                <w:sz w:val="14"/>
              </w:rPr>
            </w:pPr>
            <w:r>
              <w:rPr>
                <w:color w:val="4D4D4F"/>
                <w:sz w:val="14"/>
              </w:rPr>
              <w:t>-</w:t>
            </w:r>
          </w:p>
        </w:tc>
      </w:tr>
      <w:tr w:rsidR="00EF5B27" w14:paraId="77EE518E" w14:textId="77777777">
        <w:trPr>
          <w:trHeight w:val="391"/>
        </w:trPr>
        <w:tc>
          <w:tcPr>
            <w:tcW w:w="4025" w:type="dxa"/>
          </w:tcPr>
          <w:p w14:paraId="1D625153" w14:textId="77777777" w:rsidR="00EF5B27" w:rsidRDefault="00000000">
            <w:pPr>
              <w:pStyle w:val="TableParagraph"/>
              <w:spacing w:before="117"/>
              <w:ind w:left="758" w:right="758"/>
              <w:jc w:val="center"/>
              <w:rPr>
                <w:sz w:val="14"/>
              </w:rPr>
            </w:pPr>
            <w:r>
              <w:rPr>
                <w:rFonts w:ascii="Arial Narrow"/>
                <w:i/>
                <w:color w:val="4D4D4F"/>
                <w:w w:val="105"/>
                <w:sz w:val="14"/>
              </w:rPr>
              <w:t xml:space="preserve">Themeda </w:t>
            </w:r>
            <w:r>
              <w:rPr>
                <w:color w:val="4D4D4F"/>
                <w:w w:val="105"/>
                <w:sz w:val="14"/>
              </w:rPr>
              <w:t>grassland (TG)</w:t>
            </w:r>
          </w:p>
        </w:tc>
        <w:tc>
          <w:tcPr>
            <w:tcW w:w="623" w:type="dxa"/>
          </w:tcPr>
          <w:p w14:paraId="5FD6A71B" w14:textId="77777777" w:rsidR="00EF5B27" w:rsidRDefault="00000000">
            <w:pPr>
              <w:pStyle w:val="TableParagraph"/>
              <w:spacing w:before="117"/>
              <w:ind w:right="1"/>
              <w:jc w:val="center"/>
              <w:rPr>
                <w:sz w:val="14"/>
              </w:rPr>
            </w:pPr>
            <w:r>
              <w:rPr>
                <w:color w:val="4D4D4F"/>
                <w:w w:val="96"/>
                <w:sz w:val="14"/>
              </w:rPr>
              <w:t>0</w:t>
            </w:r>
          </w:p>
        </w:tc>
        <w:tc>
          <w:tcPr>
            <w:tcW w:w="623" w:type="dxa"/>
          </w:tcPr>
          <w:p w14:paraId="48D59B5D" w14:textId="77777777" w:rsidR="00EF5B27" w:rsidRDefault="00000000">
            <w:pPr>
              <w:pStyle w:val="TableParagraph"/>
              <w:spacing w:before="117"/>
              <w:jc w:val="center"/>
              <w:rPr>
                <w:sz w:val="14"/>
              </w:rPr>
            </w:pPr>
            <w:r>
              <w:rPr>
                <w:color w:val="4D4D4F"/>
                <w:w w:val="96"/>
                <w:sz w:val="14"/>
              </w:rPr>
              <w:t>1</w:t>
            </w:r>
          </w:p>
        </w:tc>
        <w:tc>
          <w:tcPr>
            <w:tcW w:w="623" w:type="dxa"/>
          </w:tcPr>
          <w:p w14:paraId="45B60F7C" w14:textId="77777777" w:rsidR="00EF5B27" w:rsidRDefault="00000000">
            <w:pPr>
              <w:pStyle w:val="TableParagraph"/>
              <w:spacing w:before="117"/>
              <w:jc w:val="center"/>
              <w:rPr>
                <w:sz w:val="14"/>
              </w:rPr>
            </w:pPr>
            <w:r>
              <w:rPr>
                <w:color w:val="4D4D4F"/>
                <w:w w:val="96"/>
                <w:sz w:val="14"/>
              </w:rPr>
              <w:t>1</w:t>
            </w:r>
          </w:p>
        </w:tc>
        <w:tc>
          <w:tcPr>
            <w:tcW w:w="623" w:type="dxa"/>
          </w:tcPr>
          <w:p w14:paraId="747CD392" w14:textId="77777777" w:rsidR="00EF5B27" w:rsidRDefault="00000000">
            <w:pPr>
              <w:pStyle w:val="TableParagraph"/>
              <w:spacing w:before="117"/>
              <w:ind w:left="1"/>
              <w:jc w:val="center"/>
              <w:rPr>
                <w:sz w:val="14"/>
              </w:rPr>
            </w:pPr>
            <w:r>
              <w:rPr>
                <w:color w:val="4D4D4F"/>
                <w:w w:val="96"/>
                <w:sz w:val="14"/>
              </w:rPr>
              <w:t>2</w:t>
            </w:r>
          </w:p>
        </w:tc>
        <w:tc>
          <w:tcPr>
            <w:tcW w:w="623" w:type="dxa"/>
          </w:tcPr>
          <w:p w14:paraId="73CD8BD6" w14:textId="77777777" w:rsidR="00EF5B27" w:rsidRDefault="00000000">
            <w:pPr>
              <w:pStyle w:val="TableParagraph"/>
              <w:spacing w:before="117"/>
              <w:ind w:left="2"/>
              <w:jc w:val="center"/>
              <w:rPr>
                <w:sz w:val="14"/>
              </w:rPr>
            </w:pPr>
            <w:r>
              <w:rPr>
                <w:color w:val="4D4D4F"/>
                <w:w w:val="96"/>
                <w:sz w:val="14"/>
              </w:rPr>
              <w:t>1</w:t>
            </w:r>
          </w:p>
        </w:tc>
        <w:tc>
          <w:tcPr>
            <w:tcW w:w="623" w:type="dxa"/>
          </w:tcPr>
          <w:p w14:paraId="2F7A7E10" w14:textId="77777777" w:rsidR="00EF5B27" w:rsidRDefault="00000000">
            <w:pPr>
              <w:pStyle w:val="TableParagraph"/>
              <w:spacing w:before="117"/>
              <w:ind w:left="3"/>
              <w:jc w:val="center"/>
              <w:rPr>
                <w:sz w:val="14"/>
              </w:rPr>
            </w:pPr>
            <w:r>
              <w:rPr>
                <w:color w:val="4D4D4F"/>
                <w:w w:val="96"/>
                <w:sz w:val="14"/>
              </w:rPr>
              <w:t>4</w:t>
            </w:r>
          </w:p>
        </w:tc>
        <w:tc>
          <w:tcPr>
            <w:tcW w:w="623" w:type="dxa"/>
          </w:tcPr>
          <w:p w14:paraId="09430641" w14:textId="77777777" w:rsidR="00EF5B27" w:rsidRDefault="00000000">
            <w:pPr>
              <w:pStyle w:val="TableParagraph"/>
              <w:spacing w:before="117"/>
              <w:ind w:left="4"/>
              <w:jc w:val="center"/>
              <w:rPr>
                <w:sz w:val="14"/>
              </w:rPr>
            </w:pPr>
            <w:r>
              <w:rPr>
                <w:color w:val="4D4D4F"/>
                <w:w w:val="96"/>
                <w:sz w:val="14"/>
              </w:rPr>
              <w:t>5</w:t>
            </w:r>
          </w:p>
        </w:tc>
        <w:tc>
          <w:tcPr>
            <w:tcW w:w="623" w:type="dxa"/>
          </w:tcPr>
          <w:p w14:paraId="6B53A84E" w14:textId="77777777" w:rsidR="00EF5B27" w:rsidRDefault="00000000">
            <w:pPr>
              <w:pStyle w:val="TableParagraph"/>
              <w:spacing w:before="117"/>
              <w:ind w:left="6"/>
              <w:jc w:val="center"/>
              <w:rPr>
                <w:sz w:val="14"/>
              </w:rPr>
            </w:pPr>
            <w:r>
              <w:rPr>
                <w:color w:val="4D4D4F"/>
                <w:w w:val="96"/>
                <w:sz w:val="14"/>
              </w:rPr>
              <w:t>5</w:t>
            </w:r>
          </w:p>
        </w:tc>
        <w:tc>
          <w:tcPr>
            <w:tcW w:w="623" w:type="dxa"/>
          </w:tcPr>
          <w:p w14:paraId="036C9720" w14:textId="77777777" w:rsidR="00EF5B27" w:rsidRDefault="00000000">
            <w:pPr>
              <w:pStyle w:val="TableParagraph"/>
              <w:spacing w:before="117"/>
              <w:ind w:left="7"/>
              <w:jc w:val="center"/>
              <w:rPr>
                <w:sz w:val="14"/>
              </w:rPr>
            </w:pPr>
            <w:r>
              <w:rPr>
                <w:color w:val="4D4D4F"/>
                <w:sz w:val="14"/>
              </w:rPr>
              <w:t>-</w:t>
            </w:r>
          </w:p>
        </w:tc>
      </w:tr>
      <w:tr w:rsidR="00EF5B27" w14:paraId="476570F1" w14:textId="77777777">
        <w:trPr>
          <w:trHeight w:val="391"/>
        </w:trPr>
        <w:tc>
          <w:tcPr>
            <w:tcW w:w="4025" w:type="dxa"/>
          </w:tcPr>
          <w:p w14:paraId="0CBBB7DD" w14:textId="77777777" w:rsidR="00EF5B27" w:rsidRDefault="00000000">
            <w:pPr>
              <w:pStyle w:val="TableParagraph"/>
              <w:spacing w:before="117"/>
              <w:ind w:left="758" w:right="759"/>
              <w:jc w:val="center"/>
              <w:rPr>
                <w:sz w:val="14"/>
              </w:rPr>
            </w:pPr>
            <w:r>
              <w:rPr>
                <w:color w:val="4D4D4F"/>
                <w:w w:val="105"/>
                <w:sz w:val="14"/>
              </w:rPr>
              <w:t>C3 grassland (C3G)</w:t>
            </w:r>
          </w:p>
        </w:tc>
        <w:tc>
          <w:tcPr>
            <w:tcW w:w="623" w:type="dxa"/>
          </w:tcPr>
          <w:p w14:paraId="188955C1" w14:textId="77777777" w:rsidR="00EF5B27" w:rsidRDefault="00000000">
            <w:pPr>
              <w:pStyle w:val="TableParagraph"/>
              <w:spacing w:before="117"/>
              <w:jc w:val="center"/>
              <w:rPr>
                <w:sz w:val="14"/>
              </w:rPr>
            </w:pPr>
            <w:r>
              <w:rPr>
                <w:color w:val="4D4D4F"/>
                <w:w w:val="96"/>
                <w:sz w:val="14"/>
              </w:rPr>
              <w:t>1</w:t>
            </w:r>
          </w:p>
        </w:tc>
        <w:tc>
          <w:tcPr>
            <w:tcW w:w="623" w:type="dxa"/>
          </w:tcPr>
          <w:p w14:paraId="67AB96FE" w14:textId="77777777" w:rsidR="00EF5B27" w:rsidRDefault="00000000">
            <w:pPr>
              <w:pStyle w:val="TableParagraph"/>
              <w:spacing w:before="117"/>
              <w:ind w:right="1"/>
              <w:jc w:val="center"/>
              <w:rPr>
                <w:sz w:val="14"/>
              </w:rPr>
            </w:pPr>
            <w:r>
              <w:rPr>
                <w:color w:val="4D4D4F"/>
                <w:w w:val="96"/>
                <w:sz w:val="14"/>
              </w:rPr>
              <w:t>0</w:t>
            </w:r>
          </w:p>
        </w:tc>
        <w:tc>
          <w:tcPr>
            <w:tcW w:w="623" w:type="dxa"/>
          </w:tcPr>
          <w:p w14:paraId="3CCC6BDC" w14:textId="77777777" w:rsidR="00EF5B27" w:rsidRDefault="00000000">
            <w:pPr>
              <w:pStyle w:val="TableParagraph"/>
              <w:spacing w:before="117"/>
              <w:jc w:val="center"/>
              <w:rPr>
                <w:sz w:val="14"/>
              </w:rPr>
            </w:pPr>
            <w:r>
              <w:rPr>
                <w:color w:val="4D4D4F"/>
                <w:w w:val="96"/>
                <w:sz w:val="14"/>
              </w:rPr>
              <w:t>0</w:t>
            </w:r>
          </w:p>
        </w:tc>
        <w:tc>
          <w:tcPr>
            <w:tcW w:w="623" w:type="dxa"/>
          </w:tcPr>
          <w:p w14:paraId="0952ABBF" w14:textId="77777777" w:rsidR="00EF5B27" w:rsidRDefault="00000000">
            <w:pPr>
              <w:pStyle w:val="TableParagraph"/>
              <w:spacing w:before="117"/>
              <w:jc w:val="center"/>
              <w:rPr>
                <w:sz w:val="14"/>
              </w:rPr>
            </w:pPr>
            <w:r>
              <w:rPr>
                <w:color w:val="4D4D4F"/>
                <w:w w:val="96"/>
                <w:sz w:val="14"/>
              </w:rPr>
              <w:t>0</w:t>
            </w:r>
          </w:p>
        </w:tc>
        <w:tc>
          <w:tcPr>
            <w:tcW w:w="623" w:type="dxa"/>
          </w:tcPr>
          <w:p w14:paraId="4393632D" w14:textId="77777777" w:rsidR="00EF5B27" w:rsidRDefault="00000000">
            <w:pPr>
              <w:pStyle w:val="TableParagraph"/>
              <w:spacing w:before="117"/>
              <w:ind w:left="1"/>
              <w:jc w:val="center"/>
              <w:rPr>
                <w:sz w:val="14"/>
              </w:rPr>
            </w:pPr>
            <w:r>
              <w:rPr>
                <w:color w:val="4D4D4F"/>
                <w:w w:val="96"/>
                <w:sz w:val="14"/>
              </w:rPr>
              <w:t>1</w:t>
            </w:r>
          </w:p>
        </w:tc>
        <w:tc>
          <w:tcPr>
            <w:tcW w:w="623" w:type="dxa"/>
          </w:tcPr>
          <w:p w14:paraId="0850964F" w14:textId="77777777" w:rsidR="00EF5B27" w:rsidRDefault="00000000">
            <w:pPr>
              <w:pStyle w:val="TableParagraph"/>
              <w:spacing w:before="117"/>
              <w:ind w:left="3"/>
              <w:jc w:val="center"/>
              <w:rPr>
                <w:sz w:val="14"/>
              </w:rPr>
            </w:pPr>
            <w:r>
              <w:rPr>
                <w:color w:val="4D4D4F"/>
                <w:w w:val="96"/>
                <w:sz w:val="14"/>
              </w:rPr>
              <w:t>1</w:t>
            </w:r>
          </w:p>
        </w:tc>
        <w:tc>
          <w:tcPr>
            <w:tcW w:w="623" w:type="dxa"/>
          </w:tcPr>
          <w:p w14:paraId="16A309D4" w14:textId="77777777" w:rsidR="00EF5B27" w:rsidRDefault="00000000">
            <w:pPr>
              <w:pStyle w:val="TableParagraph"/>
              <w:spacing w:before="117"/>
              <w:ind w:left="4"/>
              <w:jc w:val="center"/>
              <w:rPr>
                <w:sz w:val="14"/>
              </w:rPr>
            </w:pPr>
            <w:r>
              <w:rPr>
                <w:color w:val="4D4D4F"/>
                <w:w w:val="96"/>
                <w:sz w:val="14"/>
              </w:rPr>
              <w:t>0</w:t>
            </w:r>
          </w:p>
        </w:tc>
        <w:tc>
          <w:tcPr>
            <w:tcW w:w="623" w:type="dxa"/>
          </w:tcPr>
          <w:p w14:paraId="07BCB52E" w14:textId="77777777" w:rsidR="00EF5B27" w:rsidRDefault="00000000">
            <w:pPr>
              <w:pStyle w:val="TableParagraph"/>
              <w:spacing w:before="117"/>
              <w:ind w:left="5"/>
              <w:jc w:val="center"/>
              <w:rPr>
                <w:sz w:val="14"/>
              </w:rPr>
            </w:pPr>
            <w:r>
              <w:rPr>
                <w:color w:val="4D4D4F"/>
                <w:w w:val="96"/>
                <w:sz w:val="14"/>
              </w:rPr>
              <w:t>1</w:t>
            </w:r>
          </w:p>
        </w:tc>
        <w:tc>
          <w:tcPr>
            <w:tcW w:w="623" w:type="dxa"/>
          </w:tcPr>
          <w:p w14:paraId="6D7F4ACC" w14:textId="77777777" w:rsidR="00EF5B27" w:rsidRDefault="00000000">
            <w:pPr>
              <w:pStyle w:val="TableParagraph"/>
              <w:spacing w:before="117"/>
              <w:ind w:left="6"/>
              <w:jc w:val="center"/>
              <w:rPr>
                <w:sz w:val="14"/>
              </w:rPr>
            </w:pPr>
            <w:r>
              <w:rPr>
                <w:color w:val="4D4D4F"/>
                <w:sz w:val="14"/>
              </w:rPr>
              <w:t>-</w:t>
            </w:r>
          </w:p>
        </w:tc>
      </w:tr>
      <w:tr w:rsidR="00EF5B27" w14:paraId="3C95B9A6" w14:textId="77777777">
        <w:trPr>
          <w:trHeight w:val="391"/>
        </w:trPr>
        <w:tc>
          <w:tcPr>
            <w:tcW w:w="4025" w:type="dxa"/>
          </w:tcPr>
          <w:p w14:paraId="19AA98B5" w14:textId="77777777" w:rsidR="00EF5B27" w:rsidRDefault="00000000">
            <w:pPr>
              <w:pStyle w:val="TableParagraph"/>
              <w:spacing w:before="118"/>
              <w:ind w:left="758" w:right="760"/>
              <w:jc w:val="center"/>
              <w:rPr>
                <w:sz w:val="14"/>
              </w:rPr>
            </w:pPr>
            <w:r>
              <w:rPr>
                <w:color w:val="4D4D4F"/>
                <w:sz w:val="14"/>
              </w:rPr>
              <w:t>Nutrient-enriched grassland (NG)</w:t>
            </w:r>
          </w:p>
        </w:tc>
        <w:tc>
          <w:tcPr>
            <w:tcW w:w="623" w:type="dxa"/>
          </w:tcPr>
          <w:p w14:paraId="40B11259" w14:textId="77777777" w:rsidR="00EF5B27" w:rsidRDefault="00000000">
            <w:pPr>
              <w:pStyle w:val="TableParagraph"/>
              <w:spacing w:before="118"/>
              <w:ind w:right="1"/>
              <w:jc w:val="center"/>
              <w:rPr>
                <w:sz w:val="14"/>
              </w:rPr>
            </w:pPr>
            <w:r>
              <w:rPr>
                <w:color w:val="4D4D4F"/>
                <w:w w:val="96"/>
                <w:sz w:val="14"/>
              </w:rPr>
              <w:t>2</w:t>
            </w:r>
          </w:p>
        </w:tc>
        <w:tc>
          <w:tcPr>
            <w:tcW w:w="623" w:type="dxa"/>
          </w:tcPr>
          <w:p w14:paraId="6419BBD1" w14:textId="77777777" w:rsidR="00EF5B27" w:rsidRDefault="00000000">
            <w:pPr>
              <w:pStyle w:val="TableParagraph"/>
              <w:spacing w:before="118"/>
              <w:jc w:val="center"/>
              <w:rPr>
                <w:sz w:val="14"/>
              </w:rPr>
            </w:pPr>
            <w:r>
              <w:rPr>
                <w:color w:val="4D4D4F"/>
                <w:w w:val="96"/>
                <w:sz w:val="14"/>
              </w:rPr>
              <w:t>2</w:t>
            </w:r>
          </w:p>
        </w:tc>
        <w:tc>
          <w:tcPr>
            <w:tcW w:w="623" w:type="dxa"/>
          </w:tcPr>
          <w:p w14:paraId="4A4738D0" w14:textId="77777777" w:rsidR="00EF5B27" w:rsidRDefault="00000000">
            <w:pPr>
              <w:pStyle w:val="TableParagraph"/>
              <w:spacing w:before="118"/>
              <w:ind w:right="1"/>
              <w:jc w:val="center"/>
              <w:rPr>
                <w:sz w:val="14"/>
              </w:rPr>
            </w:pPr>
            <w:r>
              <w:rPr>
                <w:color w:val="4D4D4F"/>
                <w:w w:val="96"/>
                <w:sz w:val="14"/>
              </w:rPr>
              <w:t>3</w:t>
            </w:r>
          </w:p>
        </w:tc>
        <w:tc>
          <w:tcPr>
            <w:tcW w:w="623" w:type="dxa"/>
          </w:tcPr>
          <w:p w14:paraId="295B4F04" w14:textId="77777777" w:rsidR="00EF5B27" w:rsidRDefault="00000000">
            <w:pPr>
              <w:pStyle w:val="TableParagraph"/>
              <w:spacing w:before="118"/>
              <w:jc w:val="center"/>
              <w:rPr>
                <w:sz w:val="14"/>
              </w:rPr>
            </w:pPr>
            <w:r>
              <w:rPr>
                <w:color w:val="4D4D4F"/>
                <w:w w:val="96"/>
                <w:sz w:val="14"/>
              </w:rPr>
              <w:t>3</w:t>
            </w:r>
          </w:p>
        </w:tc>
        <w:tc>
          <w:tcPr>
            <w:tcW w:w="623" w:type="dxa"/>
          </w:tcPr>
          <w:p w14:paraId="2EF322EC" w14:textId="77777777" w:rsidR="00EF5B27" w:rsidRDefault="00000000">
            <w:pPr>
              <w:pStyle w:val="TableParagraph"/>
              <w:spacing w:before="118"/>
              <w:ind w:left="1"/>
              <w:jc w:val="center"/>
              <w:rPr>
                <w:sz w:val="14"/>
              </w:rPr>
            </w:pPr>
            <w:r>
              <w:rPr>
                <w:color w:val="4D4D4F"/>
                <w:w w:val="96"/>
                <w:sz w:val="14"/>
              </w:rPr>
              <w:t>3</w:t>
            </w:r>
          </w:p>
        </w:tc>
        <w:tc>
          <w:tcPr>
            <w:tcW w:w="623" w:type="dxa"/>
          </w:tcPr>
          <w:p w14:paraId="408F82BD" w14:textId="77777777" w:rsidR="00EF5B27" w:rsidRDefault="00000000">
            <w:pPr>
              <w:pStyle w:val="TableParagraph"/>
              <w:spacing w:before="118"/>
              <w:ind w:left="2"/>
              <w:jc w:val="center"/>
              <w:rPr>
                <w:sz w:val="14"/>
              </w:rPr>
            </w:pPr>
            <w:r>
              <w:rPr>
                <w:color w:val="4D4D4F"/>
                <w:w w:val="96"/>
                <w:sz w:val="14"/>
              </w:rPr>
              <w:t>3</w:t>
            </w:r>
          </w:p>
        </w:tc>
        <w:tc>
          <w:tcPr>
            <w:tcW w:w="623" w:type="dxa"/>
          </w:tcPr>
          <w:p w14:paraId="5C975FAE" w14:textId="77777777" w:rsidR="00EF5B27" w:rsidRDefault="00000000">
            <w:pPr>
              <w:pStyle w:val="TableParagraph"/>
              <w:spacing w:before="118"/>
              <w:ind w:left="3"/>
              <w:jc w:val="center"/>
              <w:rPr>
                <w:sz w:val="14"/>
              </w:rPr>
            </w:pPr>
            <w:r>
              <w:rPr>
                <w:color w:val="4D4D4F"/>
                <w:w w:val="96"/>
                <w:sz w:val="14"/>
              </w:rPr>
              <w:t>3</w:t>
            </w:r>
          </w:p>
        </w:tc>
        <w:tc>
          <w:tcPr>
            <w:tcW w:w="623" w:type="dxa"/>
          </w:tcPr>
          <w:p w14:paraId="363E79F1" w14:textId="77777777" w:rsidR="00EF5B27" w:rsidRDefault="00000000">
            <w:pPr>
              <w:pStyle w:val="TableParagraph"/>
              <w:spacing w:before="118"/>
              <w:ind w:left="4"/>
              <w:jc w:val="center"/>
              <w:rPr>
                <w:sz w:val="14"/>
              </w:rPr>
            </w:pPr>
            <w:r>
              <w:rPr>
                <w:color w:val="4D4D4F"/>
                <w:w w:val="96"/>
                <w:sz w:val="14"/>
              </w:rPr>
              <w:t>3</w:t>
            </w:r>
          </w:p>
        </w:tc>
        <w:tc>
          <w:tcPr>
            <w:tcW w:w="623" w:type="dxa"/>
          </w:tcPr>
          <w:p w14:paraId="15D8E354" w14:textId="77777777" w:rsidR="00EF5B27" w:rsidRDefault="00000000">
            <w:pPr>
              <w:pStyle w:val="TableParagraph"/>
              <w:spacing w:before="118"/>
              <w:ind w:left="5"/>
              <w:jc w:val="center"/>
              <w:rPr>
                <w:sz w:val="14"/>
              </w:rPr>
            </w:pPr>
            <w:r>
              <w:rPr>
                <w:color w:val="4D4D4F"/>
                <w:sz w:val="14"/>
              </w:rPr>
              <w:t>-</w:t>
            </w:r>
          </w:p>
        </w:tc>
      </w:tr>
      <w:tr w:rsidR="00EF5B27" w14:paraId="48737ADC" w14:textId="77777777">
        <w:trPr>
          <w:trHeight w:val="391"/>
        </w:trPr>
        <w:tc>
          <w:tcPr>
            <w:tcW w:w="4025" w:type="dxa"/>
          </w:tcPr>
          <w:p w14:paraId="56FFEE9E" w14:textId="77777777" w:rsidR="00EF5B27" w:rsidRDefault="00000000">
            <w:pPr>
              <w:pStyle w:val="TableParagraph"/>
              <w:spacing w:before="118"/>
              <w:ind w:left="757" w:right="760"/>
              <w:jc w:val="center"/>
              <w:rPr>
                <w:sz w:val="14"/>
              </w:rPr>
            </w:pPr>
            <w:r>
              <w:rPr>
                <w:color w:val="4D4D4F"/>
                <w:sz w:val="14"/>
              </w:rPr>
              <w:t>De-rocked grassland (DG)</w:t>
            </w:r>
          </w:p>
        </w:tc>
        <w:tc>
          <w:tcPr>
            <w:tcW w:w="623" w:type="dxa"/>
          </w:tcPr>
          <w:p w14:paraId="33721105" w14:textId="77777777" w:rsidR="00EF5B27" w:rsidRDefault="00000000">
            <w:pPr>
              <w:pStyle w:val="TableParagraph"/>
              <w:spacing w:before="118"/>
              <w:ind w:right="2"/>
              <w:jc w:val="center"/>
              <w:rPr>
                <w:sz w:val="14"/>
              </w:rPr>
            </w:pPr>
            <w:r>
              <w:rPr>
                <w:color w:val="4D4D4F"/>
                <w:w w:val="96"/>
                <w:sz w:val="14"/>
              </w:rPr>
              <w:t>0</w:t>
            </w:r>
          </w:p>
        </w:tc>
        <w:tc>
          <w:tcPr>
            <w:tcW w:w="623" w:type="dxa"/>
          </w:tcPr>
          <w:p w14:paraId="3A03BCB1" w14:textId="77777777" w:rsidR="00EF5B27" w:rsidRDefault="00000000">
            <w:pPr>
              <w:pStyle w:val="TableParagraph"/>
              <w:spacing w:before="118"/>
              <w:ind w:right="1"/>
              <w:jc w:val="center"/>
              <w:rPr>
                <w:sz w:val="14"/>
              </w:rPr>
            </w:pPr>
            <w:r>
              <w:rPr>
                <w:color w:val="4D4D4F"/>
                <w:w w:val="96"/>
                <w:sz w:val="14"/>
              </w:rPr>
              <w:t>0</w:t>
            </w:r>
          </w:p>
        </w:tc>
        <w:tc>
          <w:tcPr>
            <w:tcW w:w="623" w:type="dxa"/>
          </w:tcPr>
          <w:p w14:paraId="3C6A9DE7" w14:textId="77777777" w:rsidR="00EF5B27" w:rsidRDefault="00000000">
            <w:pPr>
              <w:pStyle w:val="TableParagraph"/>
              <w:spacing w:before="118"/>
              <w:jc w:val="center"/>
              <w:rPr>
                <w:sz w:val="14"/>
              </w:rPr>
            </w:pPr>
            <w:r>
              <w:rPr>
                <w:color w:val="4D4D4F"/>
                <w:w w:val="96"/>
                <w:sz w:val="14"/>
              </w:rPr>
              <w:t>0</w:t>
            </w:r>
          </w:p>
        </w:tc>
        <w:tc>
          <w:tcPr>
            <w:tcW w:w="623" w:type="dxa"/>
          </w:tcPr>
          <w:p w14:paraId="61388B52" w14:textId="77777777" w:rsidR="00EF5B27" w:rsidRDefault="00000000">
            <w:pPr>
              <w:pStyle w:val="TableParagraph"/>
              <w:spacing w:before="118"/>
              <w:jc w:val="center"/>
              <w:rPr>
                <w:sz w:val="14"/>
              </w:rPr>
            </w:pPr>
            <w:r>
              <w:rPr>
                <w:color w:val="4D4D4F"/>
                <w:w w:val="96"/>
                <w:sz w:val="14"/>
              </w:rPr>
              <w:t>0</w:t>
            </w:r>
          </w:p>
        </w:tc>
        <w:tc>
          <w:tcPr>
            <w:tcW w:w="623" w:type="dxa"/>
          </w:tcPr>
          <w:p w14:paraId="5145B1EA" w14:textId="77777777" w:rsidR="00EF5B27" w:rsidRDefault="00000000">
            <w:pPr>
              <w:pStyle w:val="TableParagraph"/>
              <w:spacing w:before="118"/>
              <w:jc w:val="center"/>
              <w:rPr>
                <w:sz w:val="14"/>
              </w:rPr>
            </w:pPr>
            <w:r>
              <w:rPr>
                <w:color w:val="4D4D4F"/>
                <w:w w:val="96"/>
                <w:sz w:val="14"/>
              </w:rPr>
              <w:t>0</w:t>
            </w:r>
          </w:p>
        </w:tc>
        <w:tc>
          <w:tcPr>
            <w:tcW w:w="623" w:type="dxa"/>
          </w:tcPr>
          <w:p w14:paraId="79C731C6" w14:textId="77777777" w:rsidR="00EF5B27" w:rsidRDefault="00000000">
            <w:pPr>
              <w:pStyle w:val="TableParagraph"/>
              <w:spacing w:before="118"/>
              <w:ind w:left="1"/>
              <w:jc w:val="center"/>
              <w:rPr>
                <w:sz w:val="14"/>
              </w:rPr>
            </w:pPr>
            <w:r>
              <w:rPr>
                <w:color w:val="4D4D4F"/>
                <w:w w:val="96"/>
                <w:sz w:val="14"/>
              </w:rPr>
              <w:t>0</w:t>
            </w:r>
          </w:p>
        </w:tc>
        <w:tc>
          <w:tcPr>
            <w:tcW w:w="623" w:type="dxa"/>
          </w:tcPr>
          <w:p w14:paraId="69CD7BFA" w14:textId="77777777" w:rsidR="00EF5B27" w:rsidRDefault="00000000">
            <w:pPr>
              <w:pStyle w:val="TableParagraph"/>
              <w:spacing w:before="118"/>
              <w:ind w:left="2"/>
              <w:jc w:val="center"/>
              <w:rPr>
                <w:sz w:val="14"/>
              </w:rPr>
            </w:pPr>
            <w:r>
              <w:rPr>
                <w:color w:val="4D4D4F"/>
                <w:w w:val="96"/>
                <w:sz w:val="14"/>
              </w:rPr>
              <w:t>0</w:t>
            </w:r>
          </w:p>
        </w:tc>
        <w:tc>
          <w:tcPr>
            <w:tcW w:w="623" w:type="dxa"/>
          </w:tcPr>
          <w:p w14:paraId="0B1A1A30" w14:textId="77777777" w:rsidR="00EF5B27" w:rsidRDefault="00000000">
            <w:pPr>
              <w:pStyle w:val="TableParagraph"/>
              <w:spacing w:before="118"/>
              <w:ind w:left="3"/>
              <w:jc w:val="center"/>
              <w:rPr>
                <w:sz w:val="14"/>
              </w:rPr>
            </w:pPr>
            <w:r>
              <w:rPr>
                <w:color w:val="4D4D4F"/>
                <w:w w:val="96"/>
                <w:sz w:val="14"/>
              </w:rPr>
              <w:t>0</w:t>
            </w:r>
          </w:p>
        </w:tc>
        <w:tc>
          <w:tcPr>
            <w:tcW w:w="623" w:type="dxa"/>
          </w:tcPr>
          <w:p w14:paraId="036B5A4A" w14:textId="77777777" w:rsidR="00EF5B27" w:rsidRDefault="00000000">
            <w:pPr>
              <w:pStyle w:val="TableParagraph"/>
              <w:spacing w:before="118"/>
              <w:ind w:left="4"/>
              <w:jc w:val="center"/>
              <w:rPr>
                <w:sz w:val="14"/>
              </w:rPr>
            </w:pPr>
            <w:r>
              <w:rPr>
                <w:color w:val="4D4D4F"/>
                <w:sz w:val="14"/>
              </w:rPr>
              <w:t>-</w:t>
            </w:r>
          </w:p>
        </w:tc>
      </w:tr>
      <w:tr w:rsidR="00EF5B27" w14:paraId="37EA5DAC" w14:textId="77777777">
        <w:trPr>
          <w:trHeight w:val="391"/>
        </w:trPr>
        <w:tc>
          <w:tcPr>
            <w:tcW w:w="4025" w:type="dxa"/>
          </w:tcPr>
          <w:p w14:paraId="113D29AF" w14:textId="77777777" w:rsidR="00EF5B27" w:rsidRDefault="00000000">
            <w:pPr>
              <w:pStyle w:val="TableParagraph"/>
              <w:spacing w:before="118"/>
              <w:ind w:left="756" w:right="760"/>
              <w:jc w:val="center"/>
              <w:rPr>
                <w:sz w:val="14"/>
              </w:rPr>
            </w:pPr>
            <w:r>
              <w:rPr>
                <w:color w:val="4D4D4F"/>
                <w:sz w:val="14"/>
              </w:rPr>
              <w:t>De-rocked nutrient-enriched pasture (DNP)</w:t>
            </w:r>
          </w:p>
        </w:tc>
        <w:tc>
          <w:tcPr>
            <w:tcW w:w="623" w:type="dxa"/>
          </w:tcPr>
          <w:p w14:paraId="7274D74B" w14:textId="77777777" w:rsidR="00EF5B27" w:rsidRDefault="00000000">
            <w:pPr>
              <w:pStyle w:val="TableParagraph"/>
              <w:spacing w:before="118"/>
              <w:ind w:right="3"/>
              <w:jc w:val="center"/>
              <w:rPr>
                <w:sz w:val="14"/>
              </w:rPr>
            </w:pPr>
            <w:r>
              <w:rPr>
                <w:color w:val="4D4D4F"/>
                <w:w w:val="96"/>
                <w:sz w:val="14"/>
              </w:rPr>
              <w:t>0</w:t>
            </w:r>
          </w:p>
        </w:tc>
        <w:tc>
          <w:tcPr>
            <w:tcW w:w="623" w:type="dxa"/>
          </w:tcPr>
          <w:p w14:paraId="07744558" w14:textId="77777777" w:rsidR="00EF5B27" w:rsidRDefault="00000000">
            <w:pPr>
              <w:pStyle w:val="TableParagraph"/>
              <w:spacing w:before="118"/>
              <w:ind w:right="2"/>
              <w:jc w:val="center"/>
              <w:rPr>
                <w:sz w:val="14"/>
              </w:rPr>
            </w:pPr>
            <w:r>
              <w:rPr>
                <w:color w:val="4D4D4F"/>
                <w:w w:val="96"/>
                <w:sz w:val="14"/>
              </w:rPr>
              <w:t>0</w:t>
            </w:r>
          </w:p>
        </w:tc>
        <w:tc>
          <w:tcPr>
            <w:tcW w:w="623" w:type="dxa"/>
          </w:tcPr>
          <w:p w14:paraId="1295066E" w14:textId="77777777" w:rsidR="00EF5B27" w:rsidRDefault="00000000">
            <w:pPr>
              <w:pStyle w:val="TableParagraph"/>
              <w:spacing w:before="118"/>
              <w:ind w:right="1"/>
              <w:jc w:val="center"/>
              <w:rPr>
                <w:sz w:val="14"/>
              </w:rPr>
            </w:pPr>
            <w:r>
              <w:rPr>
                <w:color w:val="4D4D4F"/>
                <w:w w:val="96"/>
                <w:sz w:val="14"/>
              </w:rPr>
              <w:t>0</w:t>
            </w:r>
          </w:p>
        </w:tc>
        <w:tc>
          <w:tcPr>
            <w:tcW w:w="623" w:type="dxa"/>
          </w:tcPr>
          <w:p w14:paraId="7A246C0B" w14:textId="77777777" w:rsidR="00EF5B27" w:rsidRDefault="00000000">
            <w:pPr>
              <w:pStyle w:val="TableParagraph"/>
              <w:spacing w:before="118"/>
              <w:jc w:val="center"/>
              <w:rPr>
                <w:sz w:val="14"/>
              </w:rPr>
            </w:pPr>
            <w:r>
              <w:rPr>
                <w:color w:val="4D4D4F"/>
                <w:w w:val="96"/>
                <w:sz w:val="14"/>
              </w:rPr>
              <w:t>0</w:t>
            </w:r>
          </w:p>
        </w:tc>
        <w:tc>
          <w:tcPr>
            <w:tcW w:w="623" w:type="dxa"/>
          </w:tcPr>
          <w:p w14:paraId="6251EA24" w14:textId="77777777" w:rsidR="00EF5B27" w:rsidRDefault="00000000">
            <w:pPr>
              <w:pStyle w:val="TableParagraph"/>
              <w:spacing w:before="118"/>
              <w:jc w:val="center"/>
              <w:rPr>
                <w:sz w:val="14"/>
              </w:rPr>
            </w:pPr>
            <w:r>
              <w:rPr>
                <w:color w:val="4D4D4F"/>
                <w:w w:val="96"/>
                <w:sz w:val="14"/>
              </w:rPr>
              <w:t>0</w:t>
            </w:r>
          </w:p>
        </w:tc>
        <w:tc>
          <w:tcPr>
            <w:tcW w:w="623" w:type="dxa"/>
          </w:tcPr>
          <w:p w14:paraId="7B904290" w14:textId="77777777" w:rsidR="00EF5B27" w:rsidRDefault="00000000">
            <w:pPr>
              <w:pStyle w:val="TableParagraph"/>
              <w:spacing w:before="118"/>
              <w:jc w:val="center"/>
              <w:rPr>
                <w:sz w:val="14"/>
              </w:rPr>
            </w:pPr>
            <w:r>
              <w:rPr>
                <w:color w:val="4D4D4F"/>
                <w:w w:val="96"/>
                <w:sz w:val="14"/>
              </w:rPr>
              <w:t>0</w:t>
            </w:r>
          </w:p>
        </w:tc>
        <w:tc>
          <w:tcPr>
            <w:tcW w:w="623" w:type="dxa"/>
          </w:tcPr>
          <w:p w14:paraId="68568632" w14:textId="77777777" w:rsidR="00EF5B27" w:rsidRDefault="00000000">
            <w:pPr>
              <w:pStyle w:val="TableParagraph"/>
              <w:spacing w:before="118"/>
              <w:ind w:left="1"/>
              <w:jc w:val="center"/>
              <w:rPr>
                <w:sz w:val="14"/>
              </w:rPr>
            </w:pPr>
            <w:r>
              <w:rPr>
                <w:color w:val="4D4D4F"/>
                <w:w w:val="96"/>
                <w:sz w:val="14"/>
              </w:rPr>
              <w:t>0</w:t>
            </w:r>
          </w:p>
        </w:tc>
        <w:tc>
          <w:tcPr>
            <w:tcW w:w="623" w:type="dxa"/>
          </w:tcPr>
          <w:p w14:paraId="5A671DFB" w14:textId="77777777" w:rsidR="00EF5B27" w:rsidRDefault="00000000">
            <w:pPr>
              <w:pStyle w:val="TableParagraph"/>
              <w:spacing w:before="118"/>
              <w:ind w:left="2"/>
              <w:jc w:val="center"/>
              <w:rPr>
                <w:sz w:val="14"/>
              </w:rPr>
            </w:pPr>
            <w:r>
              <w:rPr>
                <w:color w:val="4D4D4F"/>
                <w:w w:val="96"/>
                <w:sz w:val="14"/>
              </w:rPr>
              <w:t>0</w:t>
            </w:r>
          </w:p>
        </w:tc>
        <w:tc>
          <w:tcPr>
            <w:tcW w:w="623" w:type="dxa"/>
          </w:tcPr>
          <w:p w14:paraId="40F5FCA7" w14:textId="77777777" w:rsidR="00EF5B27" w:rsidRDefault="00000000">
            <w:pPr>
              <w:pStyle w:val="TableParagraph"/>
              <w:spacing w:before="118"/>
              <w:ind w:left="3"/>
              <w:jc w:val="center"/>
              <w:rPr>
                <w:sz w:val="14"/>
              </w:rPr>
            </w:pPr>
            <w:r>
              <w:rPr>
                <w:color w:val="4D4D4F"/>
                <w:sz w:val="14"/>
              </w:rPr>
              <w:t>-</w:t>
            </w:r>
          </w:p>
        </w:tc>
      </w:tr>
    </w:tbl>
    <w:p w14:paraId="35186282" w14:textId="77777777" w:rsidR="00EF5B27" w:rsidRDefault="00EF5B27">
      <w:pPr>
        <w:pStyle w:val="BodyText"/>
        <w:rPr>
          <w:rFonts w:ascii="Century Gothic"/>
          <w:i/>
        </w:rPr>
      </w:pPr>
    </w:p>
    <w:p w14:paraId="0387D299" w14:textId="77777777" w:rsidR="00EF5B27" w:rsidRDefault="00000000">
      <w:pPr>
        <w:spacing w:before="160"/>
        <w:ind w:left="2608"/>
        <w:rPr>
          <w:b/>
          <w:sz w:val="28"/>
        </w:rPr>
      </w:pPr>
      <w:bookmarkStart w:id="125" w:name="_heading=h.2olpkfy"/>
      <w:bookmarkEnd w:id="125"/>
      <w:r>
        <w:rPr>
          <w:b/>
          <w:color w:val="F99F2A"/>
          <w:sz w:val="28"/>
        </w:rPr>
        <w:t>Changes to the MRF</w:t>
      </w:r>
    </w:p>
    <w:p w14:paraId="0CA6E1FF" w14:textId="77777777" w:rsidR="00EF5B27" w:rsidRDefault="00000000">
      <w:pPr>
        <w:pStyle w:val="BodyText"/>
        <w:spacing w:before="221"/>
        <w:ind w:left="2608"/>
      </w:pPr>
      <w:r>
        <w:rPr>
          <w:color w:val="4D4D4F"/>
        </w:rPr>
        <w:t>The following changes have been adopted since the MRF was published in 2015.</w:t>
      </w:r>
    </w:p>
    <w:p w14:paraId="79389FC4" w14:textId="77777777" w:rsidR="00EF5B27" w:rsidRDefault="00000000">
      <w:pPr>
        <w:pStyle w:val="ListParagraph"/>
        <w:numPr>
          <w:ilvl w:val="0"/>
          <w:numId w:val="34"/>
        </w:numPr>
        <w:tabs>
          <w:tab w:val="left" w:pos="2779"/>
        </w:tabs>
        <w:spacing w:before="129"/>
        <w:rPr>
          <w:sz w:val="20"/>
        </w:rPr>
      </w:pPr>
      <w:r>
        <w:rPr>
          <w:color w:val="4D4D4F"/>
          <w:sz w:val="20"/>
        </w:rPr>
        <w:t>All KPIs have been numbered, 1 to</w:t>
      </w:r>
      <w:r>
        <w:rPr>
          <w:color w:val="4D4D4F"/>
          <w:spacing w:val="28"/>
          <w:sz w:val="20"/>
        </w:rPr>
        <w:t xml:space="preserve"> </w:t>
      </w:r>
      <w:r>
        <w:rPr>
          <w:color w:val="4D4D4F"/>
          <w:spacing w:val="-8"/>
          <w:sz w:val="20"/>
        </w:rPr>
        <w:t>7.</w:t>
      </w:r>
    </w:p>
    <w:p w14:paraId="0C5621E2" w14:textId="77777777" w:rsidR="00EF5B27" w:rsidRDefault="00000000">
      <w:pPr>
        <w:pStyle w:val="ListParagraph"/>
        <w:numPr>
          <w:ilvl w:val="0"/>
          <w:numId w:val="34"/>
        </w:numPr>
        <w:tabs>
          <w:tab w:val="left" w:pos="2779"/>
        </w:tabs>
        <w:spacing w:before="129" w:line="254" w:lineRule="auto"/>
        <w:ind w:right="167"/>
        <w:rPr>
          <w:sz w:val="20"/>
        </w:rPr>
      </w:pPr>
      <w:r>
        <w:rPr>
          <w:color w:val="4D4D4F"/>
          <w:sz w:val="20"/>
        </w:rPr>
        <w:t>The formulation of baselines and targets was clarified to clearly indicate which KPIs are assessed against static baselines, and which are assessed using a continual improvement</w:t>
      </w:r>
      <w:r>
        <w:rPr>
          <w:color w:val="4D4D4F"/>
          <w:spacing w:val="3"/>
          <w:sz w:val="20"/>
        </w:rPr>
        <w:t xml:space="preserve"> </w:t>
      </w:r>
      <w:r>
        <w:rPr>
          <w:color w:val="4D4D4F"/>
          <w:sz w:val="20"/>
        </w:rPr>
        <w:t>model.</w:t>
      </w:r>
    </w:p>
    <w:p w14:paraId="5F5EA25B" w14:textId="77777777" w:rsidR="00EF5B27" w:rsidRDefault="00000000">
      <w:pPr>
        <w:pStyle w:val="ListParagraph"/>
        <w:numPr>
          <w:ilvl w:val="0"/>
          <w:numId w:val="34"/>
        </w:numPr>
        <w:tabs>
          <w:tab w:val="left" w:pos="2779"/>
        </w:tabs>
        <w:spacing w:before="117" w:line="254" w:lineRule="auto"/>
        <w:ind w:right="442"/>
        <w:rPr>
          <w:sz w:val="20"/>
        </w:rPr>
      </w:pPr>
      <w:r>
        <w:rPr>
          <w:color w:val="4D4D4F"/>
          <w:sz w:val="20"/>
        </w:rPr>
        <w:t xml:space="preserve">A new state has been introduced: Restored Grassland </w:t>
      </w:r>
      <w:r>
        <w:rPr>
          <w:color w:val="4D4D4F"/>
          <w:spacing w:val="-4"/>
          <w:sz w:val="20"/>
        </w:rPr>
        <w:t xml:space="preserve">(RG), </w:t>
      </w:r>
      <w:r>
        <w:rPr>
          <w:color w:val="4D4D4F"/>
          <w:sz w:val="20"/>
        </w:rPr>
        <w:t>to describe sites that have</w:t>
      </w:r>
      <w:r>
        <w:rPr>
          <w:color w:val="4D4D4F"/>
          <w:spacing w:val="8"/>
          <w:sz w:val="20"/>
        </w:rPr>
        <w:t xml:space="preserve"> </w:t>
      </w:r>
      <w:r>
        <w:rPr>
          <w:color w:val="4D4D4F"/>
          <w:sz w:val="20"/>
        </w:rPr>
        <w:t>been</w:t>
      </w:r>
      <w:r>
        <w:rPr>
          <w:color w:val="4D4D4F"/>
          <w:spacing w:val="8"/>
          <w:sz w:val="20"/>
        </w:rPr>
        <w:t xml:space="preserve"> </w:t>
      </w:r>
      <w:r>
        <w:rPr>
          <w:color w:val="4D4D4F"/>
          <w:sz w:val="20"/>
        </w:rPr>
        <w:t>resown</w:t>
      </w:r>
      <w:r>
        <w:rPr>
          <w:color w:val="4D4D4F"/>
          <w:spacing w:val="8"/>
          <w:sz w:val="20"/>
        </w:rPr>
        <w:t xml:space="preserve"> </w:t>
      </w:r>
      <w:r>
        <w:rPr>
          <w:color w:val="4D4D4F"/>
          <w:sz w:val="20"/>
        </w:rPr>
        <w:t>or</w:t>
      </w:r>
      <w:r>
        <w:rPr>
          <w:color w:val="4D4D4F"/>
          <w:spacing w:val="9"/>
          <w:sz w:val="20"/>
        </w:rPr>
        <w:t xml:space="preserve"> </w:t>
      </w:r>
      <w:r>
        <w:rPr>
          <w:color w:val="4D4D4F"/>
          <w:sz w:val="20"/>
        </w:rPr>
        <w:t>replanted.</w:t>
      </w:r>
      <w:r>
        <w:rPr>
          <w:color w:val="4D4D4F"/>
          <w:spacing w:val="8"/>
          <w:sz w:val="20"/>
        </w:rPr>
        <w:t xml:space="preserve"> </w:t>
      </w:r>
      <w:r>
        <w:rPr>
          <w:color w:val="4D4D4F"/>
          <w:sz w:val="20"/>
        </w:rPr>
        <w:t>This</w:t>
      </w:r>
      <w:r>
        <w:rPr>
          <w:color w:val="4D4D4F"/>
          <w:spacing w:val="8"/>
          <w:sz w:val="20"/>
        </w:rPr>
        <w:t xml:space="preserve"> </w:t>
      </w:r>
      <w:r>
        <w:rPr>
          <w:color w:val="4D4D4F"/>
          <w:sz w:val="20"/>
        </w:rPr>
        <w:t>was</w:t>
      </w:r>
      <w:r>
        <w:rPr>
          <w:color w:val="4D4D4F"/>
          <w:spacing w:val="9"/>
          <w:sz w:val="20"/>
        </w:rPr>
        <w:t xml:space="preserve"> </w:t>
      </w:r>
      <w:r>
        <w:rPr>
          <w:color w:val="4D4D4F"/>
          <w:sz w:val="20"/>
        </w:rPr>
        <w:t>foreshadowed</w:t>
      </w:r>
      <w:r>
        <w:rPr>
          <w:color w:val="4D4D4F"/>
          <w:spacing w:val="8"/>
          <w:sz w:val="20"/>
        </w:rPr>
        <w:t xml:space="preserve"> </w:t>
      </w:r>
      <w:r>
        <w:rPr>
          <w:color w:val="4D4D4F"/>
          <w:sz w:val="20"/>
        </w:rPr>
        <w:t>in</w:t>
      </w:r>
      <w:r>
        <w:rPr>
          <w:color w:val="4D4D4F"/>
          <w:spacing w:val="8"/>
          <w:sz w:val="20"/>
        </w:rPr>
        <w:t xml:space="preserve"> </w:t>
      </w:r>
      <w:r>
        <w:rPr>
          <w:color w:val="4D4D4F"/>
          <w:sz w:val="20"/>
        </w:rPr>
        <w:t>Sinclair</w:t>
      </w:r>
      <w:r>
        <w:rPr>
          <w:color w:val="4D4D4F"/>
          <w:spacing w:val="9"/>
          <w:sz w:val="20"/>
        </w:rPr>
        <w:t xml:space="preserve"> </w:t>
      </w:r>
      <w:r>
        <w:rPr>
          <w:rFonts w:ascii="Arial Narrow" w:hAnsi="Arial Narrow"/>
          <w:i/>
          <w:color w:val="4D4D4F"/>
          <w:sz w:val="20"/>
        </w:rPr>
        <w:t>et</w:t>
      </w:r>
      <w:r>
        <w:rPr>
          <w:rFonts w:ascii="Arial Narrow" w:hAnsi="Arial Narrow"/>
          <w:i/>
          <w:color w:val="4D4D4F"/>
          <w:spacing w:val="8"/>
          <w:sz w:val="20"/>
        </w:rPr>
        <w:t xml:space="preserve"> </w:t>
      </w:r>
      <w:r>
        <w:rPr>
          <w:rFonts w:ascii="Arial Narrow" w:hAnsi="Arial Narrow"/>
          <w:i/>
          <w:color w:val="4D4D4F"/>
          <w:sz w:val="20"/>
        </w:rPr>
        <w:t>al</w:t>
      </w:r>
      <w:r>
        <w:rPr>
          <w:color w:val="4D4D4F"/>
          <w:sz w:val="20"/>
        </w:rPr>
        <w:t>.</w:t>
      </w:r>
      <w:r>
        <w:rPr>
          <w:color w:val="4D4D4F"/>
          <w:spacing w:val="8"/>
          <w:sz w:val="20"/>
        </w:rPr>
        <w:t xml:space="preserve"> </w:t>
      </w:r>
      <w:r>
        <w:rPr>
          <w:color w:val="4D4D4F"/>
          <w:spacing w:val="-5"/>
          <w:sz w:val="20"/>
        </w:rPr>
        <w:t>(2019).</w:t>
      </w:r>
    </w:p>
    <w:p w14:paraId="4C87734C" w14:textId="77777777" w:rsidR="00EF5B27" w:rsidRDefault="00000000">
      <w:pPr>
        <w:pStyle w:val="ListParagraph"/>
        <w:numPr>
          <w:ilvl w:val="0"/>
          <w:numId w:val="34"/>
        </w:numPr>
        <w:tabs>
          <w:tab w:val="left" w:pos="2779"/>
        </w:tabs>
        <w:spacing w:before="116" w:line="254" w:lineRule="auto"/>
        <w:ind w:right="379"/>
        <w:rPr>
          <w:sz w:val="20"/>
        </w:rPr>
      </w:pPr>
      <w:r>
        <w:rPr>
          <w:color w:val="4D4D4F"/>
          <w:sz w:val="20"/>
        </w:rPr>
        <w:t xml:space="preserve">Clarification has been provided to explain that grassland states are only reported on when a ‘substantial representation’ of the state is protected. This means that the process of defining the baseline (years </w:t>
      </w:r>
      <w:r>
        <w:rPr>
          <w:color w:val="4D4D4F"/>
          <w:spacing w:val="-3"/>
          <w:sz w:val="20"/>
        </w:rPr>
        <w:t xml:space="preserve">1-5) </w:t>
      </w:r>
      <w:r>
        <w:rPr>
          <w:color w:val="4D4D4F"/>
          <w:sz w:val="20"/>
        </w:rPr>
        <w:t>only commences when this level  of</w:t>
      </w:r>
      <w:r>
        <w:rPr>
          <w:color w:val="4D4D4F"/>
          <w:spacing w:val="5"/>
          <w:sz w:val="20"/>
        </w:rPr>
        <w:t xml:space="preserve"> </w:t>
      </w:r>
      <w:r>
        <w:rPr>
          <w:color w:val="4D4D4F"/>
          <w:sz w:val="20"/>
        </w:rPr>
        <w:t>protection</w:t>
      </w:r>
      <w:r>
        <w:rPr>
          <w:color w:val="4D4D4F"/>
          <w:spacing w:val="6"/>
          <w:sz w:val="20"/>
        </w:rPr>
        <w:t xml:space="preserve"> </w:t>
      </w:r>
      <w:r>
        <w:rPr>
          <w:color w:val="4D4D4F"/>
          <w:sz w:val="20"/>
        </w:rPr>
        <w:t>is</w:t>
      </w:r>
      <w:r>
        <w:rPr>
          <w:color w:val="4D4D4F"/>
          <w:spacing w:val="5"/>
          <w:sz w:val="20"/>
        </w:rPr>
        <w:t xml:space="preserve"> </w:t>
      </w:r>
      <w:r>
        <w:rPr>
          <w:color w:val="4D4D4F"/>
          <w:sz w:val="20"/>
        </w:rPr>
        <w:t>achieved.</w:t>
      </w:r>
      <w:r>
        <w:rPr>
          <w:color w:val="4D4D4F"/>
          <w:spacing w:val="6"/>
          <w:sz w:val="20"/>
        </w:rPr>
        <w:t xml:space="preserve"> </w:t>
      </w:r>
      <w:r>
        <w:rPr>
          <w:color w:val="4D4D4F"/>
          <w:sz w:val="20"/>
        </w:rPr>
        <w:t>This</w:t>
      </w:r>
      <w:r>
        <w:rPr>
          <w:color w:val="4D4D4F"/>
          <w:spacing w:val="6"/>
          <w:sz w:val="20"/>
        </w:rPr>
        <w:t xml:space="preserve"> </w:t>
      </w:r>
      <w:r>
        <w:rPr>
          <w:color w:val="4D4D4F"/>
          <w:sz w:val="20"/>
        </w:rPr>
        <w:t>is</w:t>
      </w:r>
      <w:r>
        <w:rPr>
          <w:color w:val="4D4D4F"/>
          <w:spacing w:val="5"/>
          <w:sz w:val="20"/>
        </w:rPr>
        <w:t xml:space="preserve"> </w:t>
      </w:r>
      <w:r>
        <w:rPr>
          <w:color w:val="4D4D4F"/>
          <w:sz w:val="20"/>
        </w:rPr>
        <w:t>to</w:t>
      </w:r>
      <w:r>
        <w:rPr>
          <w:color w:val="4D4D4F"/>
          <w:spacing w:val="6"/>
          <w:sz w:val="20"/>
        </w:rPr>
        <w:t xml:space="preserve"> </w:t>
      </w:r>
      <w:r>
        <w:rPr>
          <w:color w:val="4D4D4F"/>
          <w:sz w:val="20"/>
        </w:rPr>
        <w:t>ensure</w:t>
      </w:r>
      <w:r>
        <w:rPr>
          <w:color w:val="4D4D4F"/>
          <w:spacing w:val="6"/>
          <w:sz w:val="20"/>
        </w:rPr>
        <w:t xml:space="preserve"> </w:t>
      </w:r>
      <w:r>
        <w:rPr>
          <w:color w:val="4D4D4F"/>
          <w:sz w:val="20"/>
        </w:rPr>
        <w:t>that</w:t>
      </w:r>
      <w:r>
        <w:rPr>
          <w:color w:val="4D4D4F"/>
          <w:spacing w:val="5"/>
          <w:sz w:val="20"/>
        </w:rPr>
        <w:t xml:space="preserve"> </w:t>
      </w:r>
      <w:r>
        <w:rPr>
          <w:color w:val="4D4D4F"/>
          <w:sz w:val="20"/>
        </w:rPr>
        <w:t>no</w:t>
      </w:r>
      <w:r>
        <w:rPr>
          <w:color w:val="4D4D4F"/>
          <w:spacing w:val="6"/>
          <w:sz w:val="20"/>
        </w:rPr>
        <w:t xml:space="preserve"> </w:t>
      </w:r>
      <w:r>
        <w:rPr>
          <w:color w:val="4D4D4F"/>
          <w:sz w:val="20"/>
        </w:rPr>
        <w:t>baseline</w:t>
      </w:r>
      <w:r>
        <w:rPr>
          <w:color w:val="4D4D4F"/>
          <w:spacing w:val="6"/>
          <w:sz w:val="20"/>
        </w:rPr>
        <w:t xml:space="preserve"> </w:t>
      </w:r>
      <w:r>
        <w:rPr>
          <w:color w:val="4D4D4F"/>
          <w:sz w:val="20"/>
        </w:rPr>
        <w:t>is</w:t>
      </w:r>
      <w:r>
        <w:rPr>
          <w:color w:val="4D4D4F"/>
          <w:spacing w:val="5"/>
          <w:sz w:val="20"/>
        </w:rPr>
        <w:t xml:space="preserve"> </w:t>
      </w:r>
      <w:r>
        <w:rPr>
          <w:color w:val="4D4D4F"/>
          <w:sz w:val="20"/>
        </w:rPr>
        <w:t>set</w:t>
      </w:r>
      <w:r>
        <w:rPr>
          <w:color w:val="4D4D4F"/>
          <w:spacing w:val="6"/>
          <w:sz w:val="20"/>
        </w:rPr>
        <w:t xml:space="preserve"> </w:t>
      </w:r>
      <w:r>
        <w:rPr>
          <w:color w:val="4D4D4F"/>
          <w:sz w:val="20"/>
        </w:rPr>
        <w:t>from</w:t>
      </w:r>
      <w:r>
        <w:rPr>
          <w:color w:val="4D4D4F"/>
          <w:spacing w:val="6"/>
          <w:sz w:val="20"/>
        </w:rPr>
        <w:t xml:space="preserve"> </w:t>
      </w:r>
      <w:r>
        <w:rPr>
          <w:color w:val="4D4D4F"/>
          <w:sz w:val="20"/>
        </w:rPr>
        <w:t>a</w:t>
      </w:r>
      <w:r>
        <w:rPr>
          <w:color w:val="4D4D4F"/>
          <w:spacing w:val="5"/>
          <w:sz w:val="20"/>
        </w:rPr>
        <w:t xml:space="preserve"> </w:t>
      </w:r>
      <w:r>
        <w:rPr>
          <w:color w:val="4D4D4F"/>
          <w:sz w:val="20"/>
        </w:rPr>
        <w:t>small</w:t>
      </w:r>
      <w:r>
        <w:rPr>
          <w:color w:val="4D4D4F"/>
          <w:spacing w:val="6"/>
          <w:sz w:val="20"/>
        </w:rPr>
        <w:t xml:space="preserve"> </w:t>
      </w:r>
      <w:r>
        <w:rPr>
          <w:color w:val="4D4D4F"/>
          <w:sz w:val="20"/>
        </w:rPr>
        <w:t>or</w:t>
      </w:r>
    </w:p>
    <w:p w14:paraId="035EF637" w14:textId="77777777" w:rsidR="00EF5B27" w:rsidRDefault="00000000">
      <w:pPr>
        <w:pStyle w:val="BodyText"/>
        <w:spacing w:before="5"/>
        <w:ind w:left="2778"/>
      </w:pPr>
      <w:r>
        <w:rPr>
          <w:color w:val="4D4D4F"/>
        </w:rPr>
        <w:t>unrepresentative portion of the state, potentially leading to bias. The start dates for</w:t>
      </w:r>
    </w:p>
    <w:p w14:paraId="6D185A05" w14:textId="77777777" w:rsidR="00EF5B27" w:rsidRDefault="00EF5B27">
      <w:pPr>
        <w:sectPr w:rsidR="00EF5B27">
          <w:pgSz w:w="11910" w:h="16840"/>
          <w:pgMar w:top="1080" w:right="1020" w:bottom="860" w:left="1020" w:header="537" w:footer="678" w:gutter="0"/>
          <w:cols w:space="720"/>
        </w:sectPr>
      </w:pPr>
    </w:p>
    <w:p w14:paraId="5A425AF1" w14:textId="77777777" w:rsidR="00EF5B27" w:rsidRDefault="00000000">
      <w:pPr>
        <w:pStyle w:val="BodyText"/>
      </w:pPr>
      <w:r>
        <w:lastRenderedPageBreak/>
        <w:pict w14:anchorId="736FADFC">
          <v:group id="_x0000_s2300" style="position:absolute;margin-left:587.05pt;margin-top:183.4pt;width:8.25pt;height:153.1pt;z-index:251791872;mso-position-horizontal-relative:page;mso-position-vertical-relative:page" coordorigin="11741,3668" coordsize="165,3062">
            <v:shape id="_x0000_s2307" style="position:absolute;left:11741;top:3668;width:165;height:561" coordorigin="11741,3668" coordsize="165,561" path="m11906,3668r-165,l11741,4228r165,-18l11906,3668xe" fillcolor="#00aed9" stroked="f">
              <v:path arrowok="t"/>
            </v:shape>
            <v:shape id="_x0000_s2306" style="position:absolute;left:11741;top:4118;width:165;height:425" coordorigin="11741,4118" coordsize="165,425" path="m11906,4118r-165,14l11741,4531r165,12l11906,4118xe" fillcolor="#047ebc" stroked="f">
              <v:path arrowok="t"/>
            </v:shape>
            <v:shape id="_x0000_s2305" type="#_x0000_t75" style="position:absolute;left:11741;top:4355;width:165;height:587">
              <v:imagedata r:id="rId42" o:title=""/>
            </v:shape>
            <v:shape id="_x0000_s2304" style="position:absolute;left:11741;top:5343;width:165;height:536" coordorigin="11741,5343" coordsize="165,536" path="m11741,5343r,535l11906,5872r,-525l11741,5343xe" fillcolor="#f36a2e" stroked="f">
              <v:path arrowok="t"/>
            </v:shape>
            <v:shape id="_x0000_s2303" style="position:absolute;left:11741;top:4925;width:165;height:501" coordorigin="11741,4926" coordsize="165,501" path="m11741,4926r,500l11906,5426r,-485l11741,4926xe" fillcolor="#49783f" stroked="f">
              <v:path arrowok="t"/>
            </v:shape>
            <v:shape id="_x0000_s2302" style="position:absolute;left:11741;top:5781;width:165;height:268" coordorigin="11741,5782" coordsize="165,268" path="m11906,5782r-165,8l11741,6039r165,10l11906,5782xe" fillcolor="#f99f2a" stroked="f">
              <v:path arrowok="t"/>
            </v:shape>
            <v:shape id="_x0000_s2301" style="position:absolute;left:11741;top:6023;width:165;height:707" coordorigin="11741,6023" coordsize="165,707" path="m11741,6023r,706l11906,6729r,-690l11741,6023xe" fillcolor="#ef412c" stroked="f">
              <v:path arrowok="t"/>
            </v:shape>
            <w10:wrap anchorx="page" anchory="page"/>
          </v:group>
        </w:pict>
      </w:r>
    </w:p>
    <w:p w14:paraId="3EA7A365" w14:textId="77777777" w:rsidR="00EF5B27" w:rsidRDefault="00EF5B27">
      <w:pPr>
        <w:pStyle w:val="BodyText"/>
      </w:pPr>
    </w:p>
    <w:p w14:paraId="40343D59" w14:textId="77777777" w:rsidR="00EF5B27" w:rsidRDefault="00EF5B27">
      <w:pPr>
        <w:pStyle w:val="BodyText"/>
      </w:pPr>
    </w:p>
    <w:p w14:paraId="2F224923" w14:textId="77777777" w:rsidR="00EF5B27" w:rsidRDefault="00EF5B27">
      <w:pPr>
        <w:pStyle w:val="BodyText"/>
        <w:spacing w:before="4"/>
        <w:rPr>
          <w:sz w:val="25"/>
        </w:rPr>
      </w:pPr>
    </w:p>
    <w:p w14:paraId="515C9A55" w14:textId="77777777" w:rsidR="00EF5B27" w:rsidRDefault="00000000">
      <w:pPr>
        <w:pStyle w:val="BodyText"/>
        <w:spacing w:before="100" w:line="254" w:lineRule="auto"/>
        <w:ind w:left="2778" w:right="221"/>
      </w:pPr>
      <w:r>
        <w:rPr>
          <w:color w:val="4D4D4F"/>
        </w:rPr>
        <w:t xml:space="preserve">state assessment are as follows: HG: </w:t>
      </w:r>
      <w:r>
        <w:rPr>
          <w:color w:val="4D4D4F"/>
          <w:spacing w:val="-4"/>
        </w:rPr>
        <w:t xml:space="preserve">2015 </w:t>
      </w:r>
      <w:r>
        <w:rPr>
          <w:color w:val="4D4D4F"/>
        </w:rPr>
        <w:t xml:space="preserve">(plots on Mount Cottrell NCR, </w:t>
      </w:r>
      <w:r>
        <w:rPr>
          <w:color w:val="4D4D4F"/>
          <w:spacing w:val="-3"/>
        </w:rPr>
        <w:t xml:space="preserve">Truganina </w:t>
      </w:r>
      <w:r>
        <w:rPr>
          <w:color w:val="4D4D4F"/>
        </w:rPr>
        <w:t xml:space="preserve">Cemetery and </w:t>
      </w:r>
      <w:r>
        <w:rPr>
          <w:color w:val="4D4D4F"/>
          <w:spacing w:val="-3"/>
        </w:rPr>
        <w:t xml:space="preserve">Magpie); </w:t>
      </w:r>
      <w:r>
        <w:rPr>
          <w:color w:val="4D4D4F"/>
        </w:rPr>
        <w:t xml:space="preserve">TG: </w:t>
      </w:r>
      <w:r>
        <w:rPr>
          <w:color w:val="4D4D4F"/>
          <w:spacing w:val="-4"/>
        </w:rPr>
        <w:t xml:space="preserve">2014 </w:t>
      </w:r>
      <w:r>
        <w:rPr>
          <w:color w:val="4D4D4F"/>
        </w:rPr>
        <w:t xml:space="preserve">(plots on Wilsons North, Wilsons South and One </w:t>
      </w:r>
      <w:r>
        <w:rPr>
          <w:color w:val="4D4D4F"/>
          <w:spacing w:val="-4"/>
        </w:rPr>
        <w:t xml:space="preserve">Tree); </w:t>
      </w:r>
      <w:r>
        <w:rPr>
          <w:color w:val="4D4D4F"/>
          <w:spacing w:val="2"/>
        </w:rPr>
        <w:t xml:space="preserve">C3G </w:t>
      </w:r>
      <w:r>
        <w:rPr>
          <w:color w:val="4D4D4F"/>
          <w:spacing w:val="-4"/>
        </w:rPr>
        <w:t xml:space="preserve">2018 </w:t>
      </w:r>
      <w:r>
        <w:rPr>
          <w:color w:val="4D4D4F"/>
        </w:rPr>
        <w:t xml:space="preserve">(plots on Mount Cottrell NCR, Little Raven and Basalt); NG: </w:t>
      </w:r>
      <w:r>
        <w:rPr>
          <w:color w:val="4D4D4F"/>
          <w:spacing w:val="-4"/>
        </w:rPr>
        <w:t xml:space="preserve">2013 </w:t>
      </w:r>
      <w:r>
        <w:rPr>
          <w:color w:val="4D4D4F"/>
        </w:rPr>
        <w:t xml:space="preserve">(Plots on Wilsons North, Wilsons South and One </w:t>
      </w:r>
      <w:r>
        <w:rPr>
          <w:color w:val="4D4D4F"/>
          <w:spacing w:val="-4"/>
        </w:rPr>
        <w:t xml:space="preserve">Tree); </w:t>
      </w:r>
      <w:r>
        <w:rPr>
          <w:color w:val="4D4D4F"/>
        </w:rPr>
        <w:t xml:space="preserve">DG: 2021 (plots on </w:t>
      </w:r>
      <w:r>
        <w:rPr>
          <w:color w:val="4D4D4F"/>
          <w:spacing w:val="-3"/>
        </w:rPr>
        <w:t xml:space="preserve">Truganina </w:t>
      </w:r>
      <w:r>
        <w:rPr>
          <w:color w:val="4D4D4F"/>
        </w:rPr>
        <w:t xml:space="preserve">South NCR, Skylark, Lomandra); DNP: 2021 (plots on  Far  </w:t>
      </w:r>
      <w:r>
        <w:rPr>
          <w:color w:val="4D4D4F"/>
          <w:spacing w:val="-4"/>
        </w:rPr>
        <w:t xml:space="preserve">River,  </w:t>
      </w:r>
      <w:r>
        <w:rPr>
          <w:color w:val="4D4D4F"/>
        </w:rPr>
        <w:t>Chain-of-ponds, Rock Correa); R: Not yet</w:t>
      </w:r>
      <w:r>
        <w:rPr>
          <w:color w:val="4D4D4F"/>
          <w:spacing w:val="19"/>
        </w:rPr>
        <w:t xml:space="preserve"> </w:t>
      </w:r>
      <w:r>
        <w:rPr>
          <w:color w:val="4D4D4F"/>
        </w:rPr>
        <w:t>achieved.</w:t>
      </w:r>
    </w:p>
    <w:p w14:paraId="689987D1" w14:textId="77777777" w:rsidR="00EF5B27" w:rsidRDefault="00000000">
      <w:pPr>
        <w:pStyle w:val="ListParagraph"/>
        <w:numPr>
          <w:ilvl w:val="0"/>
          <w:numId w:val="34"/>
        </w:numPr>
        <w:tabs>
          <w:tab w:val="left" w:pos="2779"/>
        </w:tabs>
        <w:spacing w:before="121" w:line="254" w:lineRule="auto"/>
        <w:ind w:right="760"/>
        <w:rPr>
          <w:sz w:val="20"/>
        </w:rPr>
      </w:pPr>
      <w:r>
        <w:rPr>
          <w:color w:val="4D4D4F"/>
          <w:sz w:val="20"/>
        </w:rPr>
        <w:t>All references to native herbs have been changed to native forbs, in line with accepted</w:t>
      </w:r>
      <w:r>
        <w:rPr>
          <w:color w:val="4D4D4F"/>
          <w:spacing w:val="4"/>
          <w:sz w:val="20"/>
        </w:rPr>
        <w:t xml:space="preserve"> </w:t>
      </w:r>
      <w:r>
        <w:rPr>
          <w:color w:val="4D4D4F"/>
          <w:sz w:val="20"/>
        </w:rPr>
        <w:t>usage.</w:t>
      </w:r>
    </w:p>
    <w:p w14:paraId="64FC4E11" w14:textId="77777777" w:rsidR="00EF5B27" w:rsidRDefault="00000000">
      <w:pPr>
        <w:pStyle w:val="ListParagraph"/>
        <w:numPr>
          <w:ilvl w:val="0"/>
          <w:numId w:val="34"/>
        </w:numPr>
        <w:tabs>
          <w:tab w:val="left" w:pos="2779"/>
        </w:tabs>
        <w:spacing w:before="116"/>
        <w:rPr>
          <w:sz w:val="20"/>
        </w:rPr>
      </w:pPr>
      <w:r>
        <w:rPr>
          <w:color w:val="4D4D4F"/>
          <w:spacing w:val="-3"/>
          <w:sz w:val="20"/>
        </w:rPr>
        <w:t xml:space="preserve">In </w:t>
      </w:r>
      <w:r>
        <w:rPr>
          <w:color w:val="4D4D4F"/>
          <w:sz w:val="20"/>
        </w:rPr>
        <w:t xml:space="preserve">KPI 3, the term diversity has been changed to richness, </w:t>
      </w:r>
      <w:r>
        <w:rPr>
          <w:color w:val="4D4D4F"/>
          <w:spacing w:val="-3"/>
          <w:sz w:val="20"/>
        </w:rPr>
        <w:t xml:space="preserve">in line </w:t>
      </w:r>
      <w:r>
        <w:rPr>
          <w:color w:val="4D4D4F"/>
          <w:sz w:val="20"/>
        </w:rPr>
        <w:t>with accepted</w:t>
      </w:r>
      <w:r>
        <w:rPr>
          <w:color w:val="4D4D4F"/>
          <w:spacing w:val="-18"/>
          <w:sz w:val="20"/>
        </w:rPr>
        <w:t xml:space="preserve"> </w:t>
      </w:r>
      <w:r>
        <w:rPr>
          <w:color w:val="4D4D4F"/>
          <w:sz w:val="20"/>
        </w:rPr>
        <w:t>usage.</w:t>
      </w:r>
    </w:p>
    <w:p w14:paraId="3E4BC6A8" w14:textId="77777777" w:rsidR="00EF5B27" w:rsidRDefault="00000000">
      <w:pPr>
        <w:pStyle w:val="ListParagraph"/>
        <w:numPr>
          <w:ilvl w:val="0"/>
          <w:numId w:val="34"/>
        </w:numPr>
        <w:tabs>
          <w:tab w:val="left" w:pos="2779"/>
        </w:tabs>
        <w:spacing w:before="129" w:line="254" w:lineRule="auto"/>
        <w:ind w:right="379"/>
        <w:rPr>
          <w:sz w:val="20"/>
        </w:rPr>
      </w:pPr>
      <w:r>
        <w:rPr>
          <w:color w:val="4D4D4F"/>
          <w:sz w:val="20"/>
        </w:rPr>
        <w:t xml:space="preserve">In KPI 6, it has been clarified that the bare ground cover range includes the value 25.0 (not </w:t>
      </w:r>
      <w:r>
        <w:rPr>
          <w:color w:val="4D4D4F"/>
          <w:spacing w:val="-4"/>
          <w:sz w:val="20"/>
        </w:rPr>
        <w:t xml:space="preserve">24.9) </w:t>
      </w:r>
      <w:r>
        <w:rPr>
          <w:color w:val="4D4D4F"/>
          <w:sz w:val="20"/>
        </w:rPr>
        <w:t>and 75.0 (not</w:t>
      </w:r>
      <w:r>
        <w:rPr>
          <w:color w:val="4D4D4F"/>
          <w:spacing w:val="19"/>
          <w:sz w:val="20"/>
        </w:rPr>
        <w:t xml:space="preserve"> </w:t>
      </w:r>
      <w:r>
        <w:rPr>
          <w:color w:val="4D4D4F"/>
          <w:spacing w:val="-6"/>
          <w:sz w:val="20"/>
        </w:rPr>
        <w:t>75.1).</w:t>
      </w:r>
    </w:p>
    <w:p w14:paraId="7C10E4C2" w14:textId="77777777" w:rsidR="00EF5B27" w:rsidRDefault="00000000">
      <w:pPr>
        <w:pStyle w:val="ListParagraph"/>
        <w:numPr>
          <w:ilvl w:val="0"/>
          <w:numId w:val="34"/>
        </w:numPr>
        <w:tabs>
          <w:tab w:val="left" w:pos="2779"/>
        </w:tabs>
        <w:spacing w:before="116" w:line="254" w:lineRule="auto"/>
        <w:ind w:right="140"/>
        <w:rPr>
          <w:sz w:val="20"/>
        </w:rPr>
      </w:pPr>
      <w:r>
        <w:rPr>
          <w:color w:val="4D4D4F"/>
          <w:sz w:val="20"/>
        </w:rPr>
        <w:t xml:space="preserve">The measurement of KPI 7 has been changed so that it includes all plots and is calculated in the same way as other KPIs which measure vegetation </w:t>
      </w:r>
      <w:r>
        <w:rPr>
          <w:color w:val="4D4D4F"/>
          <w:spacing w:val="-4"/>
          <w:sz w:val="20"/>
        </w:rPr>
        <w:t xml:space="preserve">cover. </w:t>
      </w:r>
      <w:r>
        <w:rPr>
          <w:color w:val="4D4D4F"/>
          <w:sz w:val="20"/>
        </w:rPr>
        <w:t>The baseline for KPI 7 is now set after the first five years and reported by state. This KPI will be assessed using a continuous improvement approach, whereby the baseline will be updated after five years if an improvement has occurred. The trend in perennial weeds is presented as another measure (Other measure</w:t>
      </w:r>
      <w:r>
        <w:rPr>
          <w:color w:val="4D4D4F"/>
          <w:spacing w:val="42"/>
          <w:sz w:val="20"/>
        </w:rPr>
        <w:t xml:space="preserve"> </w:t>
      </w:r>
      <w:r>
        <w:rPr>
          <w:color w:val="4D4D4F"/>
          <w:spacing w:val="-4"/>
          <w:sz w:val="20"/>
        </w:rPr>
        <w:t>9).</w:t>
      </w:r>
    </w:p>
    <w:p w14:paraId="2F24DC7D" w14:textId="77777777" w:rsidR="00EF5B27" w:rsidRDefault="00000000">
      <w:pPr>
        <w:pStyle w:val="ListParagraph"/>
        <w:numPr>
          <w:ilvl w:val="0"/>
          <w:numId w:val="34"/>
        </w:numPr>
        <w:tabs>
          <w:tab w:val="left" w:pos="2779"/>
        </w:tabs>
        <w:spacing w:before="121" w:line="254" w:lineRule="auto"/>
        <w:ind w:right="466"/>
        <w:rPr>
          <w:sz w:val="20"/>
        </w:rPr>
      </w:pPr>
      <w:r>
        <w:rPr>
          <w:color w:val="4D4D4F"/>
          <w:sz w:val="20"/>
        </w:rPr>
        <w:t>The baseline for KPI’s 2, 3, 4 and 5 is the grand mean (i.e. the mean of the mean of each year) of the plots by state for the first five years in 20 x 20 m plots – only permanent and re-randomised plots are</w:t>
      </w:r>
      <w:r>
        <w:rPr>
          <w:color w:val="4D4D4F"/>
          <w:spacing w:val="22"/>
          <w:sz w:val="20"/>
        </w:rPr>
        <w:t xml:space="preserve"> </w:t>
      </w:r>
      <w:r>
        <w:rPr>
          <w:color w:val="4D4D4F"/>
          <w:sz w:val="20"/>
        </w:rPr>
        <w:t>used.</w:t>
      </w:r>
    </w:p>
    <w:p w14:paraId="342B848C" w14:textId="77777777" w:rsidR="00EF5B27" w:rsidRDefault="00000000">
      <w:pPr>
        <w:pStyle w:val="ListParagraph"/>
        <w:numPr>
          <w:ilvl w:val="0"/>
          <w:numId w:val="34"/>
        </w:numPr>
        <w:tabs>
          <w:tab w:val="left" w:pos="2779"/>
        </w:tabs>
        <w:spacing w:before="117" w:line="254" w:lineRule="auto"/>
        <w:ind w:right="152"/>
        <w:rPr>
          <w:sz w:val="20"/>
        </w:rPr>
      </w:pPr>
      <w:r>
        <w:rPr>
          <w:color w:val="4D4D4F"/>
          <w:spacing w:val="-3"/>
          <w:sz w:val="20"/>
        </w:rPr>
        <w:t xml:space="preserve">All </w:t>
      </w:r>
      <w:r>
        <w:rPr>
          <w:color w:val="4D4D4F"/>
          <w:sz w:val="20"/>
        </w:rPr>
        <w:t xml:space="preserve">reference to flora and </w:t>
      </w:r>
      <w:r>
        <w:rPr>
          <w:color w:val="4D4D4F"/>
          <w:spacing w:val="-3"/>
          <w:sz w:val="20"/>
        </w:rPr>
        <w:t xml:space="preserve">fauna inventories </w:t>
      </w:r>
      <w:r>
        <w:rPr>
          <w:color w:val="4D4D4F"/>
          <w:sz w:val="20"/>
        </w:rPr>
        <w:t xml:space="preserve">has been removed. </w:t>
      </w:r>
      <w:r>
        <w:rPr>
          <w:color w:val="4D4D4F"/>
          <w:spacing w:val="-3"/>
          <w:sz w:val="20"/>
        </w:rPr>
        <w:t xml:space="preserve">Inventories </w:t>
      </w:r>
      <w:r>
        <w:rPr>
          <w:color w:val="4D4D4F"/>
          <w:sz w:val="20"/>
        </w:rPr>
        <w:t xml:space="preserve">are </w:t>
      </w:r>
      <w:r>
        <w:rPr>
          <w:color w:val="4D4D4F"/>
          <w:spacing w:val="-3"/>
          <w:sz w:val="20"/>
        </w:rPr>
        <w:t xml:space="preserve">instead </w:t>
      </w:r>
      <w:r>
        <w:rPr>
          <w:color w:val="4D4D4F"/>
          <w:sz w:val="20"/>
        </w:rPr>
        <w:t xml:space="preserve">completed as part of the management preparations for individual parcels, as once- off activities, and not as part of the five-yearly reporting under the </w:t>
      </w:r>
      <w:r>
        <w:rPr>
          <w:color w:val="4D4D4F"/>
          <w:spacing w:val="-5"/>
          <w:sz w:val="20"/>
        </w:rPr>
        <w:t xml:space="preserve">MRF. </w:t>
      </w:r>
      <w:r>
        <w:rPr>
          <w:color w:val="4D4D4F"/>
          <w:sz w:val="20"/>
        </w:rPr>
        <w:t>They are lengthy</w:t>
      </w:r>
      <w:r>
        <w:rPr>
          <w:color w:val="4D4D4F"/>
          <w:spacing w:val="6"/>
          <w:sz w:val="20"/>
        </w:rPr>
        <w:t xml:space="preserve"> </w:t>
      </w:r>
      <w:r>
        <w:rPr>
          <w:color w:val="4D4D4F"/>
          <w:sz w:val="20"/>
        </w:rPr>
        <w:t>and</w:t>
      </w:r>
      <w:r>
        <w:rPr>
          <w:color w:val="4D4D4F"/>
          <w:spacing w:val="6"/>
          <w:sz w:val="20"/>
        </w:rPr>
        <w:t xml:space="preserve"> </w:t>
      </w:r>
      <w:r>
        <w:rPr>
          <w:color w:val="4D4D4F"/>
          <w:sz w:val="20"/>
        </w:rPr>
        <w:t>would</w:t>
      </w:r>
      <w:r>
        <w:rPr>
          <w:color w:val="4D4D4F"/>
          <w:spacing w:val="7"/>
          <w:sz w:val="20"/>
        </w:rPr>
        <w:t xml:space="preserve"> </w:t>
      </w:r>
      <w:r>
        <w:rPr>
          <w:color w:val="4D4D4F"/>
          <w:sz w:val="20"/>
        </w:rPr>
        <w:t>be</w:t>
      </w:r>
      <w:r>
        <w:rPr>
          <w:color w:val="4D4D4F"/>
          <w:spacing w:val="6"/>
          <w:sz w:val="20"/>
        </w:rPr>
        <w:t xml:space="preserve"> </w:t>
      </w:r>
      <w:r>
        <w:rPr>
          <w:color w:val="4D4D4F"/>
          <w:sz w:val="20"/>
        </w:rPr>
        <w:t>a</w:t>
      </w:r>
      <w:r>
        <w:rPr>
          <w:color w:val="4D4D4F"/>
          <w:spacing w:val="7"/>
          <w:sz w:val="20"/>
        </w:rPr>
        <w:t xml:space="preserve"> </w:t>
      </w:r>
      <w:r>
        <w:rPr>
          <w:color w:val="4D4D4F"/>
          <w:sz w:val="20"/>
        </w:rPr>
        <w:t>distraction</w:t>
      </w:r>
      <w:r>
        <w:rPr>
          <w:color w:val="4D4D4F"/>
          <w:spacing w:val="6"/>
          <w:sz w:val="20"/>
        </w:rPr>
        <w:t xml:space="preserve"> </w:t>
      </w:r>
      <w:r>
        <w:rPr>
          <w:color w:val="4D4D4F"/>
          <w:sz w:val="20"/>
        </w:rPr>
        <w:t>in</w:t>
      </w:r>
      <w:r>
        <w:rPr>
          <w:color w:val="4D4D4F"/>
          <w:spacing w:val="7"/>
          <w:sz w:val="20"/>
        </w:rPr>
        <w:t xml:space="preserve"> </w:t>
      </w:r>
      <w:r>
        <w:rPr>
          <w:color w:val="4D4D4F"/>
          <w:sz w:val="20"/>
        </w:rPr>
        <w:t>the</w:t>
      </w:r>
      <w:r>
        <w:rPr>
          <w:color w:val="4D4D4F"/>
          <w:spacing w:val="6"/>
          <w:sz w:val="20"/>
        </w:rPr>
        <w:t xml:space="preserve"> </w:t>
      </w:r>
      <w:r>
        <w:rPr>
          <w:color w:val="4D4D4F"/>
          <w:sz w:val="20"/>
        </w:rPr>
        <w:t>five-yearly</w:t>
      </w:r>
      <w:r>
        <w:rPr>
          <w:color w:val="4D4D4F"/>
          <w:spacing w:val="7"/>
          <w:sz w:val="20"/>
        </w:rPr>
        <w:t xml:space="preserve"> </w:t>
      </w:r>
      <w:r>
        <w:rPr>
          <w:color w:val="4D4D4F"/>
          <w:sz w:val="20"/>
        </w:rPr>
        <w:t>reporting</w:t>
      </w:r>
      <w:r>
        <w:rPr>
          <w:color w:val="4D4D4F"/>
          <w:spacing w:val="6"/>
          <w:sz w:val="20"/>
        </w:rPr>
        <w:t xml:space="preserve"> </w:t>
      </w:r>
      <w:r>
        <w:rPr>
          <w:color w:val="4D4D4F"/>
          <w:sz w:val="20"/>
        </w:rPr>
        <w:t>against</w:t>
      </w:r>
      <w:r>
        <w:rPr>
          <w:color w:val="4D4D4F"/>
          <w:spacing w:val="7"/>
          <w:sz w:val="20"/>
        </w:rPr>
        <w:t xml:space="preserve"> </w:t>
      </w:r>
      <w:r>
        <w:rPr>
          <w:color w:val="4D4D4F"/>
          <w:sz w:val="20"/>
        </w:rPr>
        <w:t>KPIs.</w:t>
      </w:r>
    </w:p>
    <w:p w14:paraId="0488C03C" w14:textId="77777777" w:rsidR="00EF5B27" w:rsidRDefault="00000000">
      <w:pPr>
        <w:pStyle w:val="ListParagraph"/>
        <w:numPr>
          <w:ilvl w:val="0"/>
          <w:numId w:val="34"/>
        </w:numPr>
        <w:tabs>
          <w:tab w:val="left" w:pos="2779"/>
        </w:tabs>
        <w:spacing w:before="118" w:line="254" w:lineRule="auto"/>
        <w:ind w:right="152"/>
        <w:rPr>
          <w:sz w:val="20"/>
        </w:rPr>
      </w:pPr>
      <w:r>
        <w:rPr>
          <w:color w:val="4D4D4F"/>
          <w:sz w:val="20"/>
        </w:rPr>
        <w:t xml:space="preserve">The other measure that tracks the covers of C3 and </w:t>
      </w:r>
      <w:r>
        <w:rPr>
          <w:color w:val="4D4D4F"/>
          <w:spacing w:val="2"/>
          <w:sz w:val="20"/>
        </w:rPr>
        <w:t xml:space="preserve">C4 </w:t>
      </w:r>
      <w:r>
        <w:rPr>
          <w:color w:val="4D4D4F"/>
          <w:sz w:val="20"/>
        </w:rPr>
        <w:t xml:space="preserve">grasses has been changed     </w:t>
      </w:r>
      <w:r>
        <w:rPr>
          <w:color w:val="4D4D4F"/>
          <w:spacing w:val="-4"/>
          <w:sz w:val="20"/>
        </w:rPr>
        <w:t xml:space="preserve">to </w:t>
      </w:r>
      <w:r>
        <w:rPr>
          <w:color w:val="4D4D4F"/>
          <w:spacing w:val="-3"/>
          <w:sz w:val="20"/>
        </w:rPr>
        <w:t xml:space="preserve">report </w:t>
      </w:r>
      <w:r>
        <w:rPr>
          <w:color w:val="4D4D4F"/>
          <w:spacing w:val="-6"/>
          <w:sz w:val="20"/>
        </w:rPr>
        <w:t xml:space="preserve">simple </w:t>
      </w:r>
      <w:r>
        <w:rPr>
          <w:color w:val="4D4D4F"/>
          <w:spacing w:val="-5"/>
          <w:sz w:val="20"/>
        </w:rPr>
        <w:t xml:space="preserve">cover measures </w:t>
      </w:r>
      <w:r>
        <w:rPr>
          <w:color w:val="4D4D4F"/>
          <w:spacing w:val="-4"/>
          <w:sz w:val="20"/>
        </w:rPr>
        <w:t xml:space="preserve">for each, rather </w:t>
      </w:r>
      <w:r>
        <w:rPr>
          <w:color w:val="4D4D4F"/>
          <w:spacing w:val="-5"/>
          <w:sz w:val="20"/>
        </w:rPr>
        <w:t xml:space="preserve">than </w:t>
      </w:r>
      <w:r>
        <w:rPr>
          <w:color w:val="4D4D4F"/>
          <w:sz w:val="20"/>
        </w:rPr>
        <w:t xml:space="preserve">a </w:t>
      </w:r>
      <w:r>
        <w:rPr>
          <w:color w:val="4D4D4F"/>
          <w:spacing w:val="-5"/>
          <w:sz w:val="20"/>
        </w:rPr>
        <w:t xml:space="preserve">combined </w:t>
      </w:r>
      <w:r>
        <w:rPr>
          <w:color w:val="4D4D4F"/>
          <w:spacing w:val="-4"/>
          <w:sz w:val="20"/>
        </w:rPr>
        <w:t>proportional</w:t>
      </w:r>
      <w:r>
        <w:rPr>
          <w:color w:val="4D4D4F"/>
          <w:spacing w:val="22"/>
          <w:sz w:val="20"/>
        </w:rPr>
        <w:t xml:space="preserve"> </w:t>
      </w:r>
      <w:r>
        <w:rPr>
          <w:color w:val="4D4D4F"/>
          <w:spacing w:val="-5"/>
          <w:sz w:val="20"/>
        </w:rPr>
        <w:t>measure.</w:t>
      </w:r>
    </w:p>
    <w:p w14:paraId="0D437B51" w14:textId="77777777" w:rsidR="00EF5B27" w:rsidRDefault="00000000">
      <w:pPr>
        <w:pStyle w:val="ListParagraph"/>
        <w:numPr>
          <w:ilvl w:val="0"/>
          <w:numId w:val="34"/>
        </w:numPr>
        <w:tabs>
          <w:tab w:val="left" w:pos="2779"/>
        </w:tabs>
        <w:spacing w:before="116" w:line="254" w:lineRule="auto"/>
        <w:ind w:right="113"/>
        <w:rPr>
          <w:sz w:val="20"/>
        </w:rPr>
      </w:pPr>
      <w:r>
        <w:rPr>
          <w:color w:val="4D4D4F"/>
          <w:sz w:val="20"/>
        </w:rPr>
        <w:t xml:space="preserve">The stipulation that monitoring of kangaroo abundance and pest </w:t>
      </w:r>
      <w:r>
        <w:rPr>
          <w:color w:val="4D4D4F"/>
          <w:spacing w:val="-3"/>
          <w:sz w:val="20"/>
        </w:rPr>
        <w:t xml:space="preserve">animal </w:t>
      </w:r>
      <w:r>
        <w:rPr>
          <w:color w:val="4D4D4F"/>
          <w:sz w:val="20"/>
        </w:rPr>
        <w:t>abundance is to commence in the Western Grassland Reserve only when a large aggregation of parcels is protected (&gt;5000 ha of connected land). In the smaller Conservation Areas these animals may be monitored on a case-by-case basis, if they are perceived to be problematic.</w:t>
      </w:r>
    </w:p>
    <w:p w14:paraId="70DE8AC5" w14:textId="77777777" w:rsidR="00EF5B27" w:rsidRDefault="00000000">
      <w:pPr>
        <w:pStyle w:val="BodyText"/>
        <w:spacing w:before="119" w:line="254" w:lineRule="auto"/>
        <w:ind w:left="2608" w:right="308"/>
      </w:pPr>
      <w:r>
        <w:rPr>
          <w:color w:val="4D4D4F"/>
        </w:rPr>
        <w:t>The following additional changes were implemented in 2021, specifically in response to the audit of the MSA conducted by VAGO (2020), which recommended further emphasis on mapping and monitoring weeds:</w:t>
      </w:r>
    </w:p>
    <w:p w14:paraId="247E9830" w14:textId="77777777" w:rsidR="00EF5B27" w:rsidRDefault="00000000">
      <w:pPr>
        <w:pStyle w:val="ListParagraph"/>
        <w:numPr>
          <w:ilvl w:val="0"/>
          <w:numId w:val="34"/>
        </w:numPr>
        <w:tabs>
          <w:tab w:val="left" w:pos="2779"/>
        </w:tabs>
        <w:spacing w:before="117" w:line="254" w:lineRule="auto"/>
        <w:ind w:right="205"/>
        <w:rPr>
          <w:sz w:val="20"/>
        </w:rPr>
      </w:pPr>
      <w:r>
        <w:rPr>
          <w:color w:val="4D4D4F"/>
          <w:w w:val="105"/>
          <w:sz w:val="20"/>
        </w:rPr>
        <w:t>Point</w:t>
      </w:r>
      <w:r>
        <w:rPr>
          <w:color w:val="4D4D4F"/>
          <w:spacing w:val="-22"/>
          <w:w w:val="105"/>
          <w:sz w:val="20"/>
        </w:rPr>
        <w:t xml:space="preserve"> </w:t>
      </w:r>
      <w:r>
        <w:rPr>
          <w:color w:val="4D4D4F"/>
          <w:w w:val="105"/>
          <w:sz w:val="20"/>
        </w:rPr>
        <w:t>intercept</w:t>
      </w:r>
      <w:r>
        <w:rPr>
          <w:color w:val="4D4D4F"/>
          <w:spacing w:val="-21"/>
          <w:w w:val="105"/>
          <w:sz w:val="20"/>
        </w:rPr>
        <w:t xml:space="preserve"> </w:t>
      </w:r>
      <w:r>
        <w:rPr>
          <w:color w:val="4D4D4F"/>
          <w:w w:val="105"/>
          <w:sz w:val="20"/>
        </w:rPr>
        <w:t>plots</w:t>
      </w:r>
      <w:r>
        <w:rPr>
          <w:color w:val="4D4D4F"/>
          <w:spacing w:val="-22"/>
          <w:w w:val="105"/>
          <w:sz w:val="20"/>
        </w:rPr>
        <w:t xml:space="preserve"> </w:t>
      </w:r>
      <w:r>
        <w:rPr>
          <w:color w:val="4D4D4F"/>
          <w:w w:val="105"/>
          <w:sz w:val="20"/>
        </w:rPr>
        <w:t>are</w:t>
      </w:r>
      <w:r>
        <w:rPr>
          <w:color w:val="4D4D4F"/>
          <w:spacing w:val="-21"/>
          <w:w w:val="105"/>
          <w:sz w:val="20"/>
        </w:rPr>
        <w:t xml:space="preserve"> </w:t>
      </w:r>
      <w:r>
        <w:rPr>
          <w:color w:val="4D4D4F"/>
          <w:w w:val="105"/>
          <w:sz w:val="20"/>
        </w:rPr>
        <w:t>positioned</w:t>
      </w:r>
      <w:r>
        <w:rPr>
          <w:color w:val="4D4D4F"/>
          <w:spacing w:val="-22"/>
          <w:w w:val="105"/>
          <w:sz w:val="20"/>
        </w:rPr>
        <w:t xml:space="preserve"> </w:t>
      </w:r>
      <w:r>
        <w:rPr>
          <w:color w:val="4D4D4F"/>
          <w:w w:val="105"/>
          <w:sz w:val="20"/>
        </w:rPr>
        <w:t>to</w:t>
      </w:r>
      <w:r>
        <w:rPr>
          <w:color w:val="4D4D4F"/>
          <w:spacing w:val="-21"/>
          <w:w w:val="105"/>
          <w:sz w:val="20"/>
        </w:rPr>
        <w:t xml:space="preserve"> </w:t>
      </w:r>
      <w:r>
        <w:rPr>
          <w:color w:val="4D4D4F"/>
          <w:w w:val="105"/>
          <w:sz w:val="20"/>
        </w:rPr>
        <w:t>sample</w:t>
      </w:r>
      <w:r>
        <w:rPr>
          <w:color w:val="4D4D4F"/>
          <w:spacing w:val="-21"/>
          <w:w w:val="105"/>
          <w:sz w:val="20"/>
        </w:rPr>
        <w:t xml:space="preserve"> </w:t>
      </w:r>
      <w:r>
        <w:rPr>
          <w:color w:val="4D4D4F"/>
          <w:w w:val="105"/>
          <w:sz w:val="20"/>
        </w:rPr>
        <w:t>all</w:t>
      </w:r>
      <w:r>
        <w:rPr>
          <w:color w:val="4D4D4F"/>
          <w:spacing w:val="-22"/>
          <w:w w:val="105"/>
          <w:sz w:val="20"/>
        </w:rPr>
        <w:t xml:space="preserve"> </w:t>
      </w:r>
      <w:r>
        <w:rPr>
          <w:color w:val="4D4D4F"/>
          <w:w w:val="105"/>
          <w:sz w:val="20"/>
        </w:rPr>
        <w:t>protected</w:t>
      </w:r>
      <w:r>
        <w:rPr>
          <w:color w:val="4D4D4F"/>
          <w:spacing w:val="-21"/>
          <w:w w:val="105"/>
          <w:sz w:val="20"/>
        </w:rPr>
        <w:t xml:space="preserve"> </w:t>
      </w:r>
      <w:r>
        <w:rPr>
          <w:color w:val="4D4D4F"/>
          <w:w w:val="105"/>
          <w:sz w:val="20"/>
        </w:rPr>
        <w:t>areas/states,</w:t>
      </w:r>
      <w:r>
        <w:rPr>
          <w:color w:val="4D4D4F"/>
          <w:spacing w:val="-22"/>
          <w:w w:val="105"/>
          <w:sz w:val="20"/>
        </w:rPr>
        <w:t xml:space="preserve"> </w:t>
      </w:r>
      <w:r>
        <w:rPr>
          <w:color w:val="4D4D4F"/>
          <w:w w:val="105"/>
          <w:sz w:val="20"/>
        </w:rPr>
        <w:t>including those which are not Natural Temperate Grassland. State DNP was previously excluded</w:t>
      </w:r>
      <w:r>
        <w:rPr>
          <w:color w:val="4D4D4F"/>
          <w:spacing w:val="-19"/>
          <w:w w:val="105"/>
          <w:sz w:val="20"/>
        </w:rPr>
        <w:t xml:space="preserve"> </w:t>
      </w:r>
      <w:r>
        <w:rPr>
          <w:color w:val="4D4D4F"/>
          <w:w w:val="105"/>
          <w:sz w:val="20"/>
        </w:rPr>
        <w:t>from</w:t>
      </w:r>
      <w:r>
        <w:rPr>
          <w:color w:val="4D4D4F"/>
          <w:spacing w:val="-19"/>
          <w:w w:val="105"/>
          <w:sz w:val="20"/>
        </w:rPr>
        <w:t xml:space="preserve"> </w:t>
      </w:r>
      <w:r>
        <w:rPr>
          <w:color w:val="4D4D4F"/>
          <w:w w:val="105"/>
          <w:sz w:val="20"/>
        </w:rPr>
        <w:t>reporting</w:t>
      </w:r>
      <w:r>
        <w:rPr>
          <w:color w:val="4D4D4F"/>
          <w:spacing w:val="-19"/>
          <w:w w:val="105"/>
          <w:sz w:val="20"/>
        </w:rPr>
        <w:t xml:space="preserve"> </w:t>
      </w:r>
      <w:r>
        <w:rPr>
          <w:color w:val="4D4D4F"/>
          <w:w w:val="105"/>
          <w:sz w:val="20"/>
        </w:rPr>
        <w:t>since</w:t>
      </w:r>
      <w:r>
        <w:rPr>
          <w:color w:val="4D4D4F"/>
          <w:spacing w:val="-19"/>
          <w:w w:val="105"/>
          <w:sz w:val="20"/>
        </w:rPr>
        <w:t xml:space="preserve"> </w:t>
      </w:r>
      <w:r>
        <w:rPr>
          <w:color w:val="4D4D4F"/>
          <w:w w:val="105"/>
          <w:sz w:val="20"/>
        </w:rPr>
        <w:t>it</w:t>
      </w:r>
      <w:r>
        <w:rPr>
          <w:color w:val="4D4D4F"/>
          <w:spacing w:val="-19"/>
          <w:w w:val="105"/>
          <w:sz w:val="20"/>
        </w:rPr>
        <w:t xml:space="preserve"> </w:t>
      </w:r>
      <w:r>
        <w:rPr>
          <w:color w:val="4D4D4F"/>
          <w:w w:val="105"/>
          <w:sz w:val="20"/>
        </w:rPr>
        <w:t>is</w:t>
      </w:r>
      <w:r>
        <w:rPr>
          <w:color w:val="4D4D4F"/>
          <w:spacing w:val="-19"/>
          <w:w w:val="105"/>
          <w:sz w:val="20"/>
        </w:rPr>
        <w:t xml:space="preserve"> </w:t>
      </w:r>
      <w:r>
        <w:rPr>
          <w:color w:val="4D4D4F"/>
          <w:w w:val="105"/>
          <w:sz w:val="20"/>
        </w:rPr>
        <w:t>not</w:t>
      </w:r>
      <w:r>
        <w:rPr>
          <w:color w:val="4D4D4F"/>
          <w:spacing w:val="-19"/>
          <w:w w:val="105"/>
          <w:sz w:val="20"/>
        </w:rPr>
        <w:t xml:space="preserve"> </w:t>
      </w:r>
      <w:r>
        <w:rPr>
          <w:color w:val="4D4D4F"/>
          <w:w w:val="105"/>
          <w:sz w:val="20"/>
        </w:rPr>
        <w:t>strictly</w:t>
      </w:r>
      <w:r>
        <w:rPr>
          <w:color w:val="4D4D4F"/>
          <w:spacing w:val="-19"/>
          <w:w w:val="105"/>
          <w:sz w:val="20"/>
        </w:rPr>
        <w:t xml:space="preserve"> </w:t>
      </w:r>
      <w:r>
        <w:rPr>
          <w:color w:val="4D4D4F"/>
          <w:w w:val="105"/>
          <w:sz w:val="20"/>
        </w:rPr>
        <w:t>Natural</w:t>
      </w:r>
      <w:r>
        <w:rPr>
          <w:color w:val="4D4D4F"/>
          <w:spacing w:val="-19"/>
          <w:w w:val="105"/>
          <w:sz w:val="20"/>
        </w:rPr>
        <w:t xml:space="preserve"> </w:t>
      </w:r>
      <w:r>
        <w:rPr>
          <w:color w:val="4D4D4F"/>
          <w:w w:val="105"/>
          <w:sz w:val="20"/>
        </w:rPr>
        <w:t>Temperate</w:t>
      </w:r>
      <w:r>
        <w:rPr>
          <w:color w:val="4D4D4F"/>
          <w:spacing w:val="-19"/>
          <w:w w:val="105"/>
          <w:sz w:val="20"/>
        </w:rPr>
        <w:t xml:space="preserve"> </w:t>
      </w:r>
      <w:r>
        <w:rPr>
          <w:color w:val="4D4D4F"/>
          <w:w w:val="105"/>
          <w:sz w:val="20"/>
        </w:rPr>
        <w:t>Grassland.</w:t>
      </w:r>
      <w:r>
        <w:rPr>
          <w:color w:val="4D4D4F"/>
          <w:spacing w:val="-19"/>
          <w:w w:val="105"/>
          <w:sz w:val="20"/>
        </w:rPr>
        <w:t xml:space="preserve"> </w:t>
      </w:r>
      <w:r>
        <w:rPr>
          <w:color w:val="4D4D4F"/>
          <w:w w:val="105"/>
          <w:sz w:val="20"/>
        </w:rPr>
        <w:t>Now</w:t>
      </w:r>
      <w:r>
        <w:rPr>
          <w:color w:val="4D4D4F"/>
          <w:spacing w:val="-19"/>
          <w:w w:val="105"/>
          <w:sz w:val="20"/>
        </w:rPr>
        <w:t xml:space="preserve"> </w:t>
      </w:r>
      <w:r>
        <w:rPr>
          <w:color w:val="4D4D4F"/>
          <w:w w:val="105"/>
          <w:sz w:val="20"/>
        </w:rPr>
        <w:t>it is</w:t>
      </w:r>
      <w:r>
        <w:rPr>
          <w:color w:val="4D4D4F"/>
          <w:spacing w:val="-10"/>
          <w:w w:val="105"/>
          <w:sz w:val="20"/>
        </w:rPr>
        <w:t xml:space="preserve"> </w:t>
      </w:r>
      <w:r>
        <w:rPr>
          <w:color w:val="4D4D4F"/>
          <w:w w:val="105"/>
          <w:sz w:val="20"/>
        </w:rPr>
        <w:t>monitored,</w:t>
      </w:r>
      <w:r>
        <w:rPr>
          <w:color w:val="4D4D4F"/>
          <w:spacing w:val="-9"/>
          <w:w w:val="105"/>
          <w:sz w:val="20"/>
        </w:rPr>
        <w:t xml:space="preserve"> </w:t>
      </w:r>
      <w:r>
        <w:rPr>
          <w:color w:val="4D4D4F"/>
          <w:w w:val="105"/>
          <w:sz w:val="20"/>
        </w:rPr>
        <w:t>but</w:t>
      </w:r>
      <w:r>
        <w:rPr>
          <w:color w:val="4D4D4F"/>
          <w:spacing w:val="-9"/>
          <w:w w:val="105"/>
          <w:sz w:val="20"/>
        </w:rPr>
        <w:t xml:space="preserve"> </w:t>
      </w:r>
      <w:r>
        <w:rPr>
          <w:color w:val="4D4D4F"/>
          <w:w w:val="105"/>
          <w:sz w:val="20"/>
        </w:rPr>
        <w:t>not</w:t>
      </w:r>
      <w:r>
        <w:rPr>
          <w:color w:val="4D4D4F"/>
          <w:spacing w:val="-10"/>
          <w:w w:val="105"/>
          <w:sz w:val="20"/>
        </w:rPr>
        <w:t xml:space="preserve"> </w:t>
      </w:r>
      <w:r>
        <w:rPr>
          <w:color w:val="4D4D4F"/>
          <w:w w:val="105"/>
          <w:sz w:val="20"/>
        </w:rPr>
        <w:t>assessed</w:t>
      </w:r>
      <w:r>
        <w:rPr>
          <w:color w:val="4D4D4F"/>
          <w:spacing w:val="-9"/>
          <w:w w:val="105"/>
          <w:sz w:val="20"/>
        </w:rPr>
        <w:t xml:space="preserve"> </w:t>
      </w:r>
      <w:r>
        <w:rPr>
          <w:color w:val="4D4D4F"/>
          <w:w w:val="105"/>
          <w:sz w:val="20"/>
        </w:rPr>
        <w:t>for</w:t>
      </w:r>
      <w:r>
        <w:rPr>
          <w:color w:val="4D4D4F"/>
          <w:spacing w:val="-9"/>
          <w:w w:val="105"/>
          <w:sz w:val="20"/>
        </w:rPr>
        <w:t xml:space="preserve"> </w:t>
      </w:r>
      <w:r>
        <w:rPr>
          <w:color w:val="4D4D4F"/>
          <w:w w:val="105"/>
          <w:sz w:val="20"/>
        </w:rPr>
        <w:t>the</w:t>
      </w:r>
      <w:r>
        <w:rPr>
          <w:color w:val="4D4D4F"/>
          <w:spacing w:val="-9"/>
          <w:w w:val="105"/>
          <w:sz w:val="20"/>
        </w:rPr>
        <w:t xml:space="preserve"> </w:t>
      </w:r>
      <w:r>
        <w:rPr>
          <w:color w:val="4D4D4F"/>
          <w:w w:val="105"/>
          <w:sz w:val="20"/>
        </w:rPr>
        <w:t>KPIs</w:t>
      </w:r>
      <w:r>
        <w:rPr>
          <w:color w:val="4D4D4F"/>
          <w:spacing w:val="-10"/>
          <w:w w:val="105"/>
          <w:sz w:val="20"/>
        </w:rPr>
        <w:t xml:space="preserve"> </w:t>
      </w:r>
      <w:r>
        <w:rPr>
          <w:color w:val="4D4D4F"/>
          <w:spacing w:val="-3"/>
          <w:w w:val="105"/>
          <w:sz w:val="20"/>
        </w:rPr>
        <w:t>(it</w:t>
      </w:r>
      <w:r>
        <w:rPr>
          <w:color w:val="4D4D4F"/>
          <w:spacing w:val="-9"/>
          <w:w w:val="105"/>
          <w:sz w:val="20"/>
        </w:rPr>
        <w:t xml:space="preserve"> </w:t>
      </w:r>
      <w:r>
        <w:rPr>
          <w:color w:val="4D4D4F"/>
          <w:w w:val="105"/>
          <w:sz w:val="20"/>
        </w:rPr>
        <w:t>is</w:t>
      </w:r>
      <w:r>
        <w:rPr>
          <w:color w:val="4D4D4F"/>
          <w:spacing w:val="-9"/>
          <w:w w:val="105"/>
          <w:sz w:val="20"/>
        </w:rPr>
        <w:t xml:space="preserve"> </w:t>
      </w:r>
      <w:r>
        <w:rPr>
          <w:color w:val="4D4D4F"/>
          <w:w w:val="105"/>
          <w:sz w:val="20"/>
        </w:rPr>
        <w:t>included</w:t>
      </w:r>
      <w:r>
        <w:rPr>
          <w:color w:val="4D4D4F"/>
          <w:spacing w:val="-9"/>
          <w:w w:val="105"/>
          <w:sz w:val="20"/>
        </w:rPr>
        <w:t xml:space="preserve"> </w:t>
      </w:r>
      <w:r>
        <w:rPr>
          <w:color w:val="4D4D4F"/>
          <w:w w:val="105"/>
          <w:sz w:val="20"/>
        </w:rPr>
        <w:t>as</w:t>
      </w:r>
      <w:r>
        <w:rPr>
          <w:color w:val="4D4D4F"/>
          <w:spacing w:val="-10"/>
          <w:w w:val="105"/>
          <w:sz w:val="20"/>
        </w:rPr>
        <w:t xml:space="preserve"> </w:t>
      </w:r>
      <w:r>
        <w:rPr>
          <w:color w:val="4D4D4F"/>
          <w:w w:val="105"/>
          <w:sz w:val="20"/>
        </w:rPr>
        <w:t>an</w:t>
      </w:r>
      <w:r>
        <w:rPr>
          <w:color w:val="4D4D4F"/>
          <w:spacing w:val="-9"/>
          <w:w w:val="105"/>
          <w:sz w:val="20"/>
        </w:rPr>
        <w:t xml:space="preserve"> </w:t>
      </w:r>
      <w:r>
        <w:rPr>
          <w:color w:val="4D4D4F"/>
          <w:w w:val="105"/>
          <w:sz w:val="20"/>
        </w:rPr>
        <w:t>other</w:t>
      </w:r>
      <w:r>
        <w:rPr>
          <w:color w:val="4D4D4F"/>
          <w:spacing w:val="-9"/>
          <w:w w:val="105"/>
          <w:sz w:val="20"/>
        </w:rPr>
        <w:t xml:space="preserve"> </w:t>
      </w:r>
      <w:r>
        <w:rPr>
          <w:color w:val="4D4D4F"/>
          <w:w w:val="105"/>
          <w:sz w:val="20"/>
        </w:rPr>
        <w:t>measure).</w:t>
      </w:r>
    </w:p>
    <w:p w14:paraId="27A11D37" w14:textId="77777777" w:rsidR="00EF5B27" w:rsidRDefault="00000000">
      <w:pPr>
        <w:pStyle w:val="ListParagraph"/>
        <w:numPr>
          <w:ilvl w:val="0"/>
          <w:numId w:val="34"/>
        </w:numPr>
        <w:tabs>
          <w:tab w:val="left" w:pos="2779"/>
        </w:tabs>
        <w:spacing w:before="119" w:line="254" w:lineRule="auto"/>
        <w:ind w:right="624"/>
        <w:rPr>
          <w:sz w:val="20"/>
        </w:rPr>
      </w:pPr>
      <w:r>
        <w:rPr>
          <w:color w:val="4D4D4F"/>
          <w:sz w:val="20"/>
        </w:rPr>
        <w:t>The rapid plot method has been replaced by a new rapid plot method, with the following</w:t>
      </w:r>
      <w:r>
        <w:rPr>
          <w:color w:val="4D4D4F"/>
          <w:spacing w:val="4"/>
          <w:sz w:val="20"/>
        </w:rPr>
        <w:t xml:space="preserve"> </w:t>
      </w:r>
      <w:r>
        <w:rPr>
          <w:color w:val="4D4D4F"/>
          <w:sz w:val="20"/>
        </w:rPr>
        <w:t>changes:</w:t>
      </w:r>
    </w:p>
    <w:p w14:paraId="6AEA8E29" w14:textId="77777777" w:rsidR="00EF5B27" w:rsidRDefault="00000000">
      <w:pPr>
        <w:pStyle w:val="ListParagraph"/>
        <w:numPr>
          <w:ilvl w:val="1"/>
          <w:numId w:val="34"/>
        </w:numPr>
        <w:tabs>
          <w:tab w:val="left" w:pos="3329"/>
        </w:tabs>
        <w:spacing w:before="115"/>
        <w:rPr>
          <w:sz w:val="20"/>
        </w:rPr>
      </w:pPr>
      <w:r>
        <w:rPr>
          <w:color w:val="4D4D4F"/>
          <w:sz w:val="20"/>
        </w:rPr>
        <w:t>The</w:t>
      </w:r>
      <w:r>
        <w:rPr>
          <w:color w:val="4D4D4F"/>
          <w:spacing w:val="2"/>
          <w:sz w:val="20"/>
        </w:rPr>
        <w:t xml:space="preserve"> </w:t>
      </w:r>
      <w:r>
        <w:rPr>
          <w:color w:val="4D4D4F"/>
          <w:spacing w:val="-5"/>
          <w:sz w:val="20"/>
        </w:rPr>
        <w:t>variables</w:t>
      </w:r>
      <w:r>
        <w:rPr>
          <w:color w:val="4D4D4F"/>
          <w:spacing w:val="3"/>
          <w:sz w:val="20"/>
        </w:rPr>
        <w:t xml:space="preserve"> </w:t>
      </w:r>
      <w:r>
        <w:rPr>
          <w:color w:val="4D4D4F"/>
          <w:spacing w:val="-4"/>
          <w:sz w:val="20"/>
        </w:rPr>
        <w:t>that</w:t>
      </w:r>
      <w:r>
        <w:rPr>
          <w:color w:val="4D4D4F"/>
          <w:spacing w:val="2"/>
          <w:sz w:val="20"/>
        </w:rPr>
        <w:t xml:space="preserve"> </w:t>
      </w:r>
      <w:r>
        <w:rPr>
          <w:color w:val="4D4D4F"/>
          <w:sz w:val="20"/>
        </w:rPr>
        <w:t>are</w:t>
      </w:r>
      <w:r>
        <w:rPr>
          <w:color w:val="4D4D4F"/>
          <w:spacing w:val="3"/>
          <w:sz w:val="20"/>
        </w:rPr>
        <w:t xml:space="preserve"> </w:t>
      </w:r>
      <w:r>
        <w:rPr>
          <w:color w:val="4D4D4F"/>
          <w:spacing w:val="-6"/>
          <w:sz w:val="20"/>
        </w:rPr>
        <w:t>visually</w:t>
      </w:r>
      <w:r>
        <w:rPr>
          <w:color w:val="4D4D4F"/>
          <w:spacing w:val="2"/>
          <w:sz w:val="20"/>
        </w:rPr>
        <w:t xml:space="preserve"> </w:t>
      </w:r>
      <w:r>
        <w:rPr>
          <w:color w:val="4D4D4F"/>
          <w:spacing w:val="-5"/>
          <w:sz w:val="20"/>
        </w:rPr>
        <w:t>estimated</w:t>
      </w:r>
      <w:r>
        <w:rPr>
          <w:color w:val="4D4D4F"/>
          <w:spacing w:val="3"/>
          <w:sz w:val="20"/>
        </w:rPr>
        <w:t xml:space="preserve"> </w:t>
      </w:r>
      <w:r>
        <w:rPr>
          <w:color w:val="4D4D4F"/>
          <w:spacing w:val="-3"/>
          <w:sz w:val="20"/>
        </w:rPr>
        <w:t>at</w:t>
      </w:r>
      <w:r>
        <w:rPr>
          <w:color w:val="4D4D4F"/>
          <w:spacing w:val="2"/>
          <w:sz w:val="20"/>
        </w:rPr>
        <w:t xml:space="preserve"> </w:t>
      </w:r>
      <w:r>
        <w:rPr>
          <w:color w:val="4D4D4F"/>
          <w:spacing w:val="-3"/>
          <w:sz w:val="20"/>
        </w:rPr>
        <w:t>each</w:t>
      </w:r>
      <w:r>
        <w:rPr>
          <w:color w:val="4D4D4F"/>
          <w:spacing w:val="3"/>
          <w:sz w:val="20"/>
        </w:rPr>
        <w:t xml:space="preserve"> </w:t>
      </w:r>
      <w:r>
        <w:rPr>
          <w:color w:val="4D4D4F"/>
          <w:spacing w:val="-4"/>
          <w:sz w:val="20"/>
        </w:rPr>
        <w:t>plot</w:t>
      </w:r>
      <w:r>
        <w:rPr>
          <w:color w:val="4D4D4F"/>
          <w:spacing w:val="2"/>
          <w:sz w:val="20"/>
        </w:rPr>
        <w:t xml:space="preserve"> </w:t>
      </w:r>
      <w:r>
        <w:rPr>
          <w:color w:val="4D4D4F"/>
          <w:spacing w:val="-4"/>
          <w:sz w:val="20"/>
        </w:rPr>
        <w:t>have</w:t>
      </w:r>
      <w:r>
        <w:rPr>
          <w:color w:val="4D4D4F"/>
          <w:spacing w:val="3"/>
          <w:sz w:val="20"/>
        </w:rPr>
        <w:t xml:space="preserve"> </w:t>
      </w:r>
      <w:r>
        <w:rPr>
          <w:color w:val="4D4D4F"/>
          <w:spacing w:val="-3"/>
          <w:sz w:val="20"/>
        </w:rPr>
        <w:t>been</w:t>
      </w:r>
      <w:r>
        <w:rPr>
          <w:color w:val="4D4D4F"/>
          <w:spacing w:val="2"/>
          <w:sz w:val="20"/>
        </w:rPr>
        <w:t xml:space="preserve"> </w:t>
      </w:r>
      <w:r>
        <w:rPr>
          <w:color w:val="4D4D4F"/>
          <w:spacing w:val="-4"/>
          <w:sz w:val="20"/>
        </w:rPr>
        <w:t>changed</w:t>
      </w:r>
      <w:r>
        <w:rPr>
          <w:color w:val="4D4D4F"/>
          <w:spacing w:val="3"/>
          <w:sz w:val="20"/>
        </w:rPr>
        <w:t xml:space="preserve"> </w:t>
      </w:r>
      <w:r>
        <w:rPr>
          <w:color w:val="4D4D4F"/>
          <w:spacing w:val="-7"/>
          <w:sz w:val="20"/>
        </w:rPr>
        <w:t>slightly.</w:t>
      </w:r>
    </w:p>
    <w:p w14:paraId="435CAA2A" w14:textId="77777777" w:rsidR="00EF5B27" w:rsidRDefault="00000000">
      <w:pPr>
        <w:pStyle w:val="ListParagraph"/>
        <w:numPr>
          <w:ilvl w:val="1"/>
          <w:numId w:val="34"/>
        </w:numPr>
        <w:tabs>
          <w:tab w:val="left" w:pos="3329"/>
        </w:tabs>
        <w:spacing w:before="130" w:line="254" w:lineRule="auto"/>
        <w:ind w:right="240"/>
        <w:jc w:val="both"/>
        <w:rPr>
          <w:sz w:val="20"/>
        </w:rPr>
      </w:pPr>
      <w:r>
        <w:rPr>
          <w:color w:val="4D4D4F"/>
          <w:sz w:val="20"/>
        </w:rPr>
        <w:t xml:space="preserve">These variables are estimated over a </w:t>
      </w:r>
      <w:r>
        <w:rPr>
          <w:color w:val="4D4D4F"/>
          <w:spacing w:val="-5"/>
          <w:sz w:val="20"/>
        </w:rPr>
        <w:t xml:space="preserve">10 </w:t>
      </w:r>
      <w:r>
        <w:rPr>
          <w:color w:val="4D4D4F"/>
          <w:sz w:val="20"/>
        </w:rPr>
        <w:t xml:space="preserve">m radius </w:t>
      </w:r>
      <w:r>
        <w:rPr>
          <w:color w:val="4D4D4F"/>
          <w:spacing w:val="-7"/>
          <w:sz w:val="20"/>
        </w:rPr>
        <w:t xml:space="preserve">(314 </w:t>
      </w:r>
      <w:r>
        <w:rPr>
          <w:color w:val="4D4D4F"/>
          <w:sz w:val="20"/>
        </w:rPr>
        <w:t>m</w:t>
      </w:r>
      <w:r>
        <w:rPr>
          <w:color w:val="4D4D4F"/>
          <w:position w:val="7"/>
          <w:sz w:val="11"/>
        </w:rPr>
        <w:t xml:space="preserve">2), </w:t>
      </w:r>
      <w:r>
        <w:rPr>
          <w:color w:val="4D4D4F"/>
          <w:sz w:val="20"/>
        </w:rPr>
        <w:t>rather than within a 1 m frame. This ensures that much more land area is included in sampling and</w:t>
      </w:r>
      <w:r>
        <w:rPr>
          <w:color w:val="4D4D4F"/>
          <w:spacing w:val="8"/>
          <w:sz w:val="20"/>
        </w:rPr>
        <w:t xml:space="preserve"> </w:t>
      </w:r>
      <w:r>
        <w:rPr>
          <w:color w:val="4D4D4F"/>
          <w:sz w:val="20"/>
        </w:rPr>
        <w:t>solves</w:t>
      </w:r>
      <w:r>
        <w:rPr>
          <w:color w:val="4D4D4F"/>
          <w:spacing w:val="8"/>
          <w:sz w:val="20"/>
        </w:rPr>
        <w:t xml:space="preserve"> </w:t>
      </w:r>
      <w:r>
        <w:rPr>
          <w:color w:val="4D4D4F"/>
          <w:sz w:val="20"/>
        </w:rPr>
        <w:t>the</w:t>
      </w:r>
      <w:r>
        <w:rPr>
          <w:color w:val="4D4D4F"/>
          <w:spacing w:val="8"/>
          <w:sz w:val="20"/>
        </w:rPr>
        <w:t xml:space="preserve"> </w:t>
      </w:r>
      <w:r>
        <w:rPr>
          <w:color w:val="4D4D4F"/>
          <w:sz w:val="20"/>
        </w:rPr>
        <w:t>issue</w:t>
      </w:r>
      <w:r>
        <w:rPr>
          <w:color w:val="4D4D4F"/>
          <w:spacing w:val="9"/>
          <w:sz w:val="20"/>
        </w:rPr>
        <w:t xml:space="preserve"> </w:t>
      </w:r>
      <w:r>
        <w:rPr>
          <w:color w:val="4D4D4F"/>
          <w:sz w:val="20"/>
        </w:rPr>
        <w:t>of</w:t>
      </w:r>
      <w:r>
        <w:rPr>
          <w:color w:val="4D4D4F"/>
          <w:spacing w:val="8"/>
          <w:sz w:val="20"/>
        </w:rPr>
        <w:t xml:space="preserve"> </w:t>
      </w:r>
      <w:r>
        <w:rPr>
          <w:color w:val="4D4D4F"/>
          <w:sz w:val="20"/>
        </w:rPr>
        <w:t>some</w:t>
      </w:r>
      <w:r>
        <w:rPr>
          <w:color w:val="4D4D4F"/>
          <w:spacing w:val="8"/>
          <w:sz w:val="20"/>
        </w:rPr>
        <w:t xml:space="preserve"> </w:t>
      </w:r>
      <w:r>
        <w:rPr>
          <w:color w:val="4D4D4F"/>
          <w:sz w:val="20"/>
        </w:rPr>
        <w:t>plots</w:t>
      </w:r>
      <w:r>
        <w:rPr>
          <w:color w:val="4D4D4F"/>
          <w:spacing w:val="9"/>
          <w:sz w:val="20"/>
        </w:rPr>
        <w:t xml:space="preserve"> </w:t>
      </w:r>
      <w:r>
        <w:rPr>
          <w:color w:val="4D4D4F"/>
          <w:sz w:val="20"/>
        </w:rPr>
        <w:t>sampling</w:t>
      </w:r>
      <w:r>
        <w:rPr>
          <w:color w:val="4D4D4F"/>
          <w:spacing w:val="8"/>
          <w:sz w:val="20"/>
        </w:rPr>
        <w:t xml:space="preserve"> </w:t>
      </w:r>
      <w:r>
        <w:rPr>
          <w:color w:val="4D4D4F"/>
          <w:sz w:val="20"/>
        </w:rPr>
        <w:t>un-representative</w:t>
      </w:r>
      <w:r>
        <w:rPr>
          <w:color w:val="4D4D4F"/>
          <w:spacing w:val="8"/>
          <w:sz w:val="20"/>
        </w:rPr>
        <w:t xml:space="preserve"> </w:t>
      </w:r>
      <w:r>
        <w:rPr>
          <w:color w:val="4D4D4F"/>
          <w:sz w:val="20"/>
        </w:rPr>
        <w:t>vegetation</w:t>
      </w:r>
    </w:p>
    <w:p w14:paraId="54F8DD0E" w14:textId="77777777" w:rsidR="00EF5B27" w:rsidRDefault="00EF5B27">
      <w:pPr>
        <w:spacing w:line="254" w:lineRule="auto"/>
        <w:jc w:val="both"/>
        <w:rPr>
          <w:sz w:val="20"/>
        </w:rPr>
        <w:sectPr w:rsidR="00EF5B27">
          <w:pgSz w:w="11910" w:h="16840"/>
          <w:pgMar w:top="1080" w:right="1020" w:bottom="860" w:left="1020" w:header="537" w:footer="678" w:gutter="0"/>
          <w:cols w:space="720"/>
        </w:sectPr>
      </w:pPr>
    </w:p>
    <w:p w14:paraId="6A454D15" w14:textId="77777777" w:rsidR="00EF5B27" w:rsidRDefault="00000000">
      <w:pPr>
        <w:pStyle w:val="BodyText"/>
      </w:pPr>
      <w:r>
        <w:lastRenderedPageBreak/>
        <w:pict w14:anchorId="1E7283F3">
          <v:group id="_x0000_s2292" style="position:absolute;margin-left:587.05pt;margin-top:183.4pt;width:8.25pt;height:153.1pt;z-index:251792896;mso-position-horizontal-relative:page;mso-position-vertical-relative:page" coordorigin="11741,3668" coordsize="165,3062">
            <v:shape id="_x0000_s2299" style="position:absolute;left:11741;top:3668;width:165;height:561" coordorigin="11741,3668" coordsize="165,561" path="m11906,3668r-165,l11741,4228r165,-18l11906,3668xe" fillcolor="#00aed9" stroked="f">
              <v:path arrowok="t"/>
            </v:shape>
            <v:shape id="_x0000_s2298" style="position:absolute;left:11741;top:4118;width:165;height:425" coordorigin="11741,4118" coordsize="165,425" path="m11906,4118r-165,14l11741,4531r165,12l11906,4118xe" fillcolor="#047ebc" stroked="f">
              <v:path arrowok="t"/>
            </v:shape>
            <v:shape id="_x0000_s2297" type="#_x0000_t75" style="position:absolute;left:11741;top:4355;width:165;height:587">
              <v:imagedata r:id="rId42" o:title=""/>
            </v:shape>
            <v:shape id="_x0000_s2296" style="position:absolute;left:11741;top:5343;width:165;height:536" coordorigin="11741,5343" coordsize="165,536" path="m11741,5343r,535l11906,5872r,-525l11741,5343xe" fillcolor="#f36a2e" stroked="f">
              <v:path arrowok="t"/>
            </v:shape>
            <v:shape id="_x0000_s2295" style="position:absolute;left:11741;top:4925;width:165;height:501" coordorigin="11741,4926" coordsize="165,501" path="m11741,4926r,500l11906,5426r,-485l11741,4926xe" fillcolor="#49783f" stroked="f">
              <v:path arrowok="t"/>
            </v:shape>
            <v:shape id="_x0000_s2294" style="position:absolute;left:11741;top:5781;width:165;height:268" coordorigin="11741,5782" coordsize="165,268" path="m11906,5782r-165,8l11741,6039r165,10l11906,5782xe" fillcolor="#f99f2a" stroked="f">
              <v:path arrowok="t"/>
            </v:shape>
            <v:shape id="_x0000_s2293" style="position:absolute;left:11741;top:6023;width:165;height:707" coordorigin="11741,6023" coordsize="165,707" path="m11741,6023r,706l11906,6729r,-690l11741,6023xe" fillcolor="#ef412c" stroked="f">
              <v:path arrowok="t"/>
            </v:shape>
            <w10:wrap anchorx="page" anchory="page"/>
          </v:group>
        </w:pict>
      </w:r>
    </w:p>
    <w:p w14:paraId="7FAB0726" w14:textId="77777777" w:rsidR="00EF5B27" w:rsidRDefault="00EF5B27">
      <w:pPr>
        <w:pStyle w:val="BodyText"/>
      </w:pPr>
    </w:p>
    <w:p w14:paraId="5F3E4BEB" w14:textId="77777777" w:rsidR="00EF5B27" w:rsidRDefault="00EF5B27">
      <w:pPr>
        <w:pStyle w:val="BodyText"/>
      </w:pPr>
    </w:p>
    <w:p w14:paraId="73F34DCF" w14:textId="77777777" w:rsidR="00EF5B27" w:rsidRDefault="00EF5B27">
      <w:pPr>
        <w:pStyle w:val="BodyText"/>
        <w:spacing w:before="4"/>
        <w:rPr>
          <w:sz w:val="25"/>
        </w:rPr>
      </w:pPr>
    </w:p>
    <w:p w14:paraId="57FCFD6D" w14:textId="77777777" w:rsidR="00EF5B27" w:rsidRDefault="00000000">
      <w:pPr>
        <w:pStyle w:val="BodyText"/>
        <w:spacing w:before="100" w:line="254" w:lineRule="auto"/>
        <w:ind w:left="3328" w:right="151"/>
      </w:pPr>
      <w:r>
        <w:rPr>
          <w:color w:val="4D4D4F"/>
        </w:rPr>
        <w:t>due to their small size in patchy vegetation. There is no requirement to physically mark these plots, a visual estimate of 10 m should be sufficient.</w:t>
      </w:r>
    </w:p>
    <w:p w14:paraId="1F9328EC" w14:textId="77777777" w:rsidR="00EF5B27" w:rsidRDefault="00000000">
      <w:pPr>
        <w:pStyle w:val="ListParagraph"/>
        <w:numPr>
          <w:ilvl w:val="1"/>
          <w:numId w:val="34"/>
        </w:numPr>
        <w:tabs>
          <w:tab w:val="left" w:pos="3329"/>
        </w:tabs>
        <w:spacing w:before="116" w:line="254" w:lineRule="auto"/>
        <w:ind w:right="265"/>
        <w:rPr>
          <w:sz w:val="20"/>
        </w:rPr>
      </w:pPr>
      <w:r>
        <w:rPr>
          <w:color w:val="4D4D4F"/>
          <w:sz w:val="20"/>
        </w:rPr>
        <w:t xml:space="preserve">The plots are placed on a permanent 240 m square grid covering the whole WGR (previously plots were randomly repositioned each year). This almost retains the plot density used previously to assess KPI 6 (recommended 1   plot per 5.8 ha, previously 1 plot per 5 </w:t>
      </w:r>
      <w:r>
        <w:rPr>
          <w:color w:val="4D4D4F"/>
          <w:spacing w:val="-3"/>
          <w:sz w:val="20"/>
        </w:rPr>
        <w:t xml:space="preserve">ha), </w:t>
      </w:r>
      <w:r>
        <w:rPr>
          <w:color w:val="4D4D4F"/>
          <w:sz w:val="20"/>
        </w:rPr>
        <w:t>but allows repeat estimates to be taken which can be used as input data for the Natural Temperate Grassland ecosystem</w:t>
      </w:r>
      <w:r>
        <w:rPr>
          <w:color w:val="4D4D4F"/>
          <w:spacing w:val="11"/>
          <w:sz w:val="20"/>
        </w:rPr>
        <w:t xml:space="preserve"> </w:t>
      </w:r>
      <w:r>
        <w:rPr>
          <w:color w:val="4D4D4F"/>
          <w:sz w:val="20"/>
        </w:rPr>
        <w:t>model.</w:t>
      </w:r>
      <w:r>
        <w:rPr>
          <w:color w:val="4D4D4F"/>
          <w:spacing w:val="11"/>
          <w:sz w:val="20"/>
        </w:rPr>
        <w:t xml:space="preserve"> </w:t>
      </w:r>
      <w:r>
        <w:rPr>
          <w:color w:val="4D4D4F"/>
          <w:sz w:val="20"/>
        </w:rPr>
        <w:t>Sampling</w:t>
      </w:r>
      <w:r>
        <w:rPr>
          <w:color w:val="4D4D4F"/>
          <w:spacing w:val="11"/>
          <w:sz w:val="20"/>
        </w:rPr>
        <w:t xml:space="preserve"> </w:t>
      </w:r>
      <w:r>
        <w:rPr>
          <w:color w:val="4D4D4F"/>
          <w:sz w:val="20"/>
        </w:rPr>
        <w:t>on</w:t>
      </w:r>
      <w:r>
        <w:rPr>
          <w:color w:val="4D4D4F"/>
          <w:spacing w:val="11"/>
          <w:sz w:val="20"/>
        </w:rPr>
        <w:t xml:space="preserve"> </w:t>
      </w:r>
      <w:r>
        <w:rPr>
          <w:color w:val="4D4D4F"/>
          <w:sz w:val="20"/>
        </w:rPr>
        <w:t>this</w:t>
      </w:r>
      <w:r>
        <w:rPr>
          <w:color w:val="4D4D4F"/>
          <w:spacing w:val="11"/>
          <w:sz w:val="20"/>
        </w:rPr>
        <w:t xml:space="preserve"> </w:t>
      </w:r>
      <w:r>
        <w:rPr>
          <w:color w:val="4D4D4F"/>
          <w:sz w:val="20"/>
        </w:rPr>
        <w:t>grid</w:t>
      </w:r>
      <w:r>
        <w:rPr>
          <w:color w:val="4D4D4F"/>
          <w:spacing w:val="11"/>
          <w:sz w:val="20"/>
        </w:rPr>
        <w:t xml:space="preserve"> </w:t>
      </w:r>
      <w:r>
        <w:rPr>
          <w:color w:val="4D4D4F"/>
          <w:sz w:val="20"/>
        </w:rPr>
        <w:t>occurs</w:t>
      </w:r>
      <w:r>
        <w:rPr>
          <w:color w:val="4D4D4F"/>
          <w:spacing w:val="11"/>
          <w:sz w:val="20"/>
        </w:rPr>
        <w:t xml:space="preserve"> </w:t>
      </w:r>
      <w:r>
        <w:rPr>
          <w:color w:val="4D4D4F"/>
          <w:spacing w:val="-3"/>
          <w:sz w:val="20"/>
        </w:rPr>
        <w:t>annually,</w:t>
      </w:r>
      <w:r>
        <w:rPr>
          <w:color w:val="4D4D4F"/>
          <w:spacing w:val="12"/>
          <w:sz w:val="20"/>
        </w:rPr>
        <w:t xml:space="preserve"> </w:t>
      </w:r>
      <w:r>
        <w:rPr>
          <w:color w:val="4D4D4F"/>
          <w:sz w:val="20"/>
        </w:rPr>
        <w:t>to</w:t>
      </w:r>
      <w:r>
        <w:rPr>
          <w:color w:val="4D4D4F"/>
          <w:spacing w:val="11"/>
          <w:sz w:val="20"/>
        </w:rPr>
        <w:t xml:space="preserve"> </w:t>
      </w:r>
      <w:r>
        <w:rPr>
          <w:color w:val="4D4D4F"/>
          <w:sz w:val="20"/>
        </w:rPr>
        <w:t>serve</w:t>
      </w:r>
      <w:r>
        <w:rPr>
          <w:color w:val="4D4D4F"/>
          <w:spacing w:val="11"/>
          <w:sz w:val="20"/>
        </w:rPr>
        <w:t xml:space="preserve"> </w:t>
      </w:r>
      <w:r>
        <w:rPr>
          <w:color w:val="4D4D4F"/>
          <w:sz w:val="20"/>
        </w:rPr>
        <w:t>KPI</w:t>
      </w:r>
      <w:r>
        <w:rPr>
          <w:color w:val="4D4D4F"/>
          <w:spacing w:val="11"/>
          <w:sz w:val="20"/>
        </w:rPr>
        <w:t xml:space="preserve"> </w:t>
      </w:r>
      <w:r>
        <w:rPr>
          <w:color w:val="4D4D4F"/>
          <w:sz w:val="20"/>
        </w:rPr>
        <w:t>6.</w:t>
      </w:r>
    </w:p>
    <w:p w14:paraId="6B95B5E8" w14:textId="77777777" w:rsidR="00EF5B27" w:rsidRDefault="00000000">
      <w:pPr>
        <w:pStyle w:val="ListParagraph"/>
        <w:numPr>
          <w:ilvl w:val="1"/>
          <w:numId w:val="34"/>
        </w:numPr>
        <w:tabs>
          <w:tab w:val="left" w:pos="3329"/>
        </w:tabs>
        <w:spacing w:before="121" w:line="254" w:lineRule="auto"/>
        <w:ind w:right="324"/>
        <w:rPr>
          <w:sz w:val="20"/>
        </w:rPr>
      </w:pPr>
      <w:r>
        <w:rPr>
          <w:color w:val="4D4D4F"/>
          <w:sz w:val="20"/>
        </w:rPr>
        <w:t xml:space="preserve">All reserved land is covered by these surveys, and as much private land as can be accessed, in partnership with Local Government. The inclusion of private land addresses the </w:t>
      </w:r>
      <w:r>
        <w:rPr>
          <w:color w:val="4D4D4F"/>
          <w:spacing w:val="-3"/>
          <w:sz w:val="20"/>
        </w:rPr>
        <w:t xml:space="preserve">VAGO </w:t>
      </w:r>
      <w:r>
        <w:rPr>
          <w:color w:val="4D4D4F"/>
          <w:sz w:val="20"/>
        </w:rPr>
        <w:t>Recommendation 2. Only plots that fall on reserved land serve KPI</w:t>
      </w:r>
      <w:r>
        <w:rPr>
          <w:color w:val="4D4D4F"/>
          <w:spacing w:val="20"/>
          <w:sz w:val="20"/>
        </w:rPr>
        <w:t xml:space="preserve"> </w:t>
      </w:r>
      <w:r>
        <w:rPr>
          <w:color w:val="4D4D4F"/>
          <w:sz w:val="20"/>
        </w:rPr>
        <w:t>6.</w:t>
      </w:r>
    </w:p>
    <w:p w14:paraId="69706CC1" w14:textId="77777777" w:rsidR="00EF5B27" w:rsidRDefault="00000000">
      <w:pPr>
        <w:pStyle w:val="ListParagraph"/>
        <w:numPr>
          <w:ilvl w:val="1"/>
          <w:numId w:val="34"/>
        </w:numPr>
        <w:tabs>
          <w:tab w:val="left" w:pos="3329"/>
        </w:tabs>
        <w:spacing w:before="118" w:line="254" w:lineRule="auto"/>
        <w:ind w:right="138"/>
        <w:rPr>
          <w:sz w:val="20"/>
        </w:rPr>
      </w:pPr>
      <w:r>
        <w:rPr>
          <w:color w:val="4D4D4F"/>
          <w:sz w:val="20"/>
        </w:rPr>
        <w:t xml:space="preserve">Plots are sampled whether the vegetation qualifies as Natural Temperate Grassland or not. This ensures that weed issues on non-Natural Temperate Grassland land are detected. Only plots that sample Natural Temperate Grassland </w:t>
      </w:r>
      <w:r>
        <w:rPr>
          <w:color w:val="4D4D4F"/>
          <w:spacing w:val="-4"/>
          <w:sz w:val="20"/>
        </w:rPr>
        <w:t xml:space="preserve">(as  </w:t>
      </w:r>
      <w:r>
        <w:rPr>
          <w:color w:val="4D4D4F"/>
          <w:sz w:val="20"/>
        </w:rPr>
        <w:t xml:space="preserve">mapped in the inventory report) contribute to the assessment  of KPI 6. Individual </w:t>
      </w:r>
      <w:r>
        <w:rPr>
          <w:color w:val="4D4D4F"/>
          <w:spacing w:val="-5"/>
          <w:sz w:val="20"/>
        </w:rPr>
        <w:t xml:space="preserve">10 </w:t>
      </w:r>
      <w:r>
        <w:rPr>
          <w:color w:val="4D4D4F"/>
          <w:sz w:val="20"/>
        </w:rPr>
        <w:t>m radius plots that appear not to be Natural Temperate Grassland are included if they fall within mapped Natural Temperate Grassland.</w:t>
      </w:r>
    </w:p>
    <w:p w14:paraId="19092279" w14:textId="77777777" w:rsidR="00EF5B27" w:rsidRDefault="00000000">
      <w:pPr>
        <w:pStyle w:val="ListParagraph"/>
        <w:numPr>
          <w:ilvl w:val="1"/>
          <w:numId w:val="34"/>
        </w:numPr>
        <w:tabs>
          <w:tab w:val="left" w:pos="3329"/>
        </w:tabs>
        <w:spacing w:before="122" w:line="254" w:lineRule="auto"/>
        <w:ind w:right="385"/>
        <w:rPr>
          <w:sz w:val="20"/>
        </w:rPr>
      </w:pPr>
      <w:r>
        <w:rPr>
          <w:color w:val="4D4D4F"/>
          <w:sz w:val="20"/>
        </w:rPr>
        <w:t xml:space="preserve">In the first year a </w:t>
      </w:r>
      <w:r>
        <w:rPr>
          <w:color w:val="4D4D4F"/>
          <w:spacing w:val="2"/>
          <w:sz w:val="20"/>
        </w:rPr>
        <w:t xml:space="preserve">property </w:t>
      </w:r>
      <w:r>
        <w:rPr>
          <w:color w:val="4D4D4F"/>
          <w:sz w:val="20"/>
        </w:rPr>
        <w:t xml:space="preserve">is available for sampling, position plots on a higher-density 80 m square grid (positioned to also sample  the  240  m grid, above). When </w:t>
      </w:r>
      <w:r>
        <w:rPr>
          <w:color w:val="4D4D4F"/>
          <w:spacing w:val="-5"/>
          <w:sz w:val="20"/>
        </w:rPr>
        <w:t xml:space="preserve">10 </w:t>
      </w:r>
      <w:r>
        <w:rPr>
          <w:color w:val="4D4D4F"/>
          <w:sz w:val="20"/>
        </w:rPr>
        <w:t>m radius plots are used on an 80 m grid, ~5% of the landscape is within a plot. Each plot can be assigned to a state from its cover data, allowing the state and weed mapping (see above) to be derived from this plot data (guided by the plot data in combination with the visible boundaries on aerial</w:t>
      </w:r>
      <w:r>
        <w:rPr>
          <w:color w:val="4D4D4F"/>
          <w:spacing w:val="12"/>
          <w:sz w:val="20"/>
        </w:rPr>
        <w:t xml:space="preserve"> </w:t>
      </w:r>
      <w:r>
        <w:rPr>
          <w:color w:val="4D4D4F"/>
          <w:sz w:val="20"/>
        </w:rPr>
        <w:t>imagery).</w:t>
      </w:r>
    </w:p>
    <w:p w14:paraId="0E7C4730" w14:textId="77777777" w:rsidR="00EF5B27" w:rsidRDefault="00000000">
      <w:pPr>
        <w:pStyle w:val="ListParagraph"/>
        <w:numPr>
          <w:ilvl w:val="1"/>
          <w:numId w:val="34"/>
        </w:numPr>
        <w:tabs>
          <w:tab w:val="left" w:pos="3329"/>
        </w:tabs>
        <w:spacing w:before="122" w:line="254" w:lineRule="auto"/>
        <w:ind w:right="309"/>
        <w:rPr>
          <w:sz w:val="20"/>
        </w:rPr>
      </w:pPr>
      <w:r>
        <w:rPr>
          <w:color w:val="4D4D4F"/>
          <w:sz w:val="20"/>
        </w:rPr>
        <w:t xml:space="preserve">At least once every five years, ensure that each  </w:t>
      </w:r>
      <w:r>
        <w:rPr>
          <w:color w:val="4D4D4F"/>
          <w:spacing w:val="2"/>
          <w:sz w:val="20"/>
        </w:rPr>
        <w:t xml:space="preserve">property </w:t>
      </w:r>
      <w:r>
        <w:rPr>
          <w:color w:val="4D4D4F"/>
          <w:sz w:val="20"/>
        </w:rPr>
        <w:t xml:space="preserve">is  sampled  at high density </w:t>
      </w:r>
      <w:r>
        <w:rPr>
          <w:color w:val="4D4D4F"/>
          <w:spacing w:val="-2"/>
          <w:sz w:val="20"/>
        </w:rPr>
        <w:t xml:space="preserve">(80 </w:t>
      </w:r>
      <w:r>
        <w:rPr>
          <w:color w:val="4D4D4F"/>
          <w:sz w:val="20"/>
        </w:rPr>
        <w:t>m grid). This ensures that no sizeable area of land goes unobserved for more than five years and allows the spatial capture of most large-scale weed issues and many weed control campaigns.</w:t>
      </w:r>
    </w:p>
    <w:p w14:paraId="50C3BE00" w14:textId="77777777" w:rsidR="00EF5B27" w:rsidRDefault="00000000">
      <w:pPr>
        <w:pStyle w:val="ListParagraph"/>
        <w:numPr>
          <w:ilvl w:val="1"/>
          <w:numId w:val="34"/>
        </w:numPr>
        <w:tabs>
          <w:tab w:val="left" w:pos="3329"/>
        </w:tabs>
        <w:spacing w:before="118" w:line="254" w:lineRule="auto"/>
        <w:ind w:right="192"/>
        <w:rPr>
          <w:sz w:val="20"/>
        </w:rPr>
      </w:pPr>
      <w:r>
        <w:rPr>
          <w:color w:val="4D4D4F"/>
          <w:sz w:val="20"/>
        </w:rPr>
        <w:t xml:space="preserve">Undertake discretionary sampling at high density </w:t>
      </w:r>
      <w:r>
        <w:rPr>
          <w:color w:val="4D4D4F"/>
          <w:spacing w:val="-2"/>
          <w:sz w:val="20"/>
        </w:rPr>
        <w:t xml:space="preserve">(80 </w:t>
      </w:r>
      <w:r>
        <w:rPr>
          <w:color w:val="4D4D4F"/>
          <w:sz w:val="20"/>
        </w:rPr>
        <w:t>or 40 m grid) wherever managers deem finer-scale cover information to be useful. For example, experimental weed control actions may warrant fine-scale data to be collected over several successive</w:t>
      </w:r>
      <w:r>
        <w:rPr>
          <w:color w:val="4D4D4F"/>
          <w:spacing w:val="22"/>
          <w:sz w:val="20"/>
        </w:rPr>
        <w:t xml:space="preserve"> </w:t>
      </w:r>
      <w:r>
        <w:rPr>
          <w:color w:val="4D4D4F"/>
          <w:sz w:val="20"/>
        </w:rPr>
        <w:t>years.</w:t>
      </w:r>
    </w:p>
    <w:p w14:paraId="005CDD5F" w14:textId="77777777" w:rsidR="00EF5B27" w:rsidRDefault="00000000">
      <w:pPr>
        <w:pStyle w:val="ListParagraph"/>
        <w:numPr>
          <w:ilvl w:val="1"/>
          <w:numId w:val="34"/>
        </w:numPr>
        <w:tabs>
          <w:tab w:val="left" w:pos="3329"/>
        </w:tabs>
        <w:spacing w:before="118" w:line="254" w:lineRule="auto"/>
        <w:ind w:right="193"/>
        <w:rPr>
          <w:sz w:val="20"/>
        </w:rPr>
      </w:pPr>
      <w:r>
        <w:rPr>
          <w:color w:val="4D4D4F"/>
          <w:w w:val="105"/>
          <w:sz w:val="20"/>
        </w:rPr>
        <w:t>Align</w:t>
      </w:r>
      <w:r>
        <w:rPr>
          <w:color w:val="4D4D4F"/>
          <w:spacing w:val="-17"/>
          <w:w w:val="105"/>
          <w:sz w:val="20"/>
        </w:rPr>
        <w:t xml:space="preserve"> </w:t>
      </w:r>
      <w:r>
        <w:rPr>
          <w:color w:val="4D4D4F"/>
          <w:w w:val="105"/>
          <w:sz w:val="20"/>
        </w:rPr>
        <w:t>all</w:t>
      </w:r>
      <w:r>
        <w:rPr>
          <w:color w:val="4D4D4F"/>
          <w:spacing w:val="-17"/>
          <w:w w:val="105"/>
          <w:sz w:val="20"/>
        </w:rPr>
        <w:t xml:space="preserve"> </w:t>
      </w:r>
      <w:r>
        <w:rPr>
          <w:color w:val="4D4D4F"/>
          <w:w w:val="105"/>
          <w:sz w:val="20"/>
        </w:rPr>
        <w:t>sampling</w:t>
      </w:r>
      <w:r>
        <w:rPr>
          <w:color w:val="4D4D4F"/>
          <w:spacing w:val="-16"/>
          <w:w w:val="105"/>
          <w:sz w:val="20"/>
        </w:rPr>
        <w:t xml:space="preserve"> </w:t>
      </w:r>
      <w:r>
        <w:rPr>
          <w:color w:val="4D4D4F"/>
          <w:w w:val="105"/>
          <w:sz w:val="20"/>
        </w:rPr>
        <w:t>grids</w:t>
      </w:r>
      <w:r>
        <w:rPr>
          <w:color w:val="4D4D4F"/>
          <w:spacing w:val="-17"/>
          <w:w w:val="105"/>
          <w:sz w:val="20"/>
        </w:rPr>
        <w:t xml:space="preserve"> </w:t>
      </w:r>
      <w:r>
        <w:rPr>
          <w:color w:val="4D4D4F"/>
          <w:w w:val="105"/>
          <w:sz w:val="20"/>
        </w:rPr>
        <w:t>with</w:t>
      </w:r>
      <w:r>
        <w:rPr>
          <w:color w:val="4D4D4F"/>
          <w:spacing w:val="-17"/>
          <w:w w:val="105"/>
          <w:sz w:val="20"/>
        </w:rPr>
        <w:t xml:space="preserve"> </w:t>
      </w:r>
      <w:r>
        <w:rPr>
          <w:color w:val="4D4D4F"/>
          <w:w w:val="105"/>
          <w:sz w:val="20"/>
        </w:rPr>
        <w:t>the</w:t>
      </w:r>
      <w:r>
        <w:rPr>
          <w:color w:val="4D4D4F"/>
          <w:spacing w:val="-16"/>
          <w:w w:val="105"/>
          <w:sz w:val="20"/>
        </w:rPr>
        <w:t xml:space="preserve"> </w:t>
      </w:r>
      <w:r>
        <w:rPr>
          <w:color w:val="4D4D4F"/>
          <w:w w:val="105"/>
          <w:sz w:val="20"/>
        </w:rPr>
        <w:t>pixels</w:t>
      </w:r>
      <w:r>
        <w:rPr>
          <w:color w:val="4D4D4F"/>
          <w:spacing w:val="-17"/>
          <w:w w:val="105"/>
          <w:sz w:val="20"/>
        </w:rPr>
        <w:t xml:space="preserve"> </w:t>
      </w:r>
      <w:r>
        <w:rPr>
          <w:color w:val="4D4D4F"/>
          <w:w w:val="105"/>
          <w:sz w:val="20"/>
        </w:rPr>
        <w:t>used</w:t>
      </w:r>
      <w:r>
        <w:rPr>
          <w:color w:val="4D4D4F"/>
          <w:spacing w:val="-17"/>
          <w:w w:val="105"/>
          <w:sz w:val="20"/>
        </w:rPr>
        <w:t xml:space="preserve"> </w:t>
      </w:r>
      <w:r>
        <w:rPr>
          <w:color w:val="4D4D4F"/>
          <w:w w:val="105"/>
          <w:sz w:val="20"/>
        </w:rPr>
        <w:t>by</w:t>
      </w:r>
      <w:r>
        <w:rPr>
          <w:color w:val="4D4D4F"/>
          <w:spacing w:val="-16"/>
          <w:w w:val="105"/>
          <w:sz w:val="20"/>
        </w:rPr>
        <w:t xml:space="preserve"> </w:t>
      </w:r>
      <w:r>
        <w:rPr>
          <w:color w:val="4D4D4F"/>
          <w:w w:val="105"/>
          <w:sz w:val="20"/>
        </w:rPr>
        <w:t>the</w:t>
      </w:r>
      <w:r>
        <w:rPr>
          <w:color w:val="4D4D4F"/>
          <w:spacing w:val="-17"/>
          <w:w w:val="105"/>
          <w:sz w:val="20"/>
        </w:rPr>
        <w:t xml:space="preserve"> </w:t>
      </w:r>
      <w:r>
        <w:rPr>
          <w:color w:val="4D4D4F"/>
          <w:w w:val="105"/>
          <w:sz w:val="20"/>
        </w:rPr>
        <w:t>Sentinel-2</w:t>
      </w:r>
      <w:r>
        <w:rPr>
          <w:color w:val="4D4D4F"/>
          <w:spacing w:val="-17"/>
          <w:w w:val="105"/>
          <w:sz w:val="20"/>
        </w:rPr>
        <w:t xml:space="preserve"> </w:t>
      </w:r>
      <w:r>
        <w:rPr>
          <w:color w:val="4D4D4F"/>
          <w:w w:val="105"/>
          <w:sz w:val="20"/>
        </w:rPr>
        <w:t>satellite,</w:t>
      </w:r>
      <w:r>
        <w:rPr>
          <w:color w:val="4D4D4F"/>
          <w:spacing w:val="-16"/>
          <w:w w:val="105"/>
          <w:sz w:val="20"/>
        </w:rPr>
        <w:t xml:space="preserve"> </w:t>
      </w:r>
      <w:r>
        <w:rPr>
          <w:color w:val="4D4D4F"/>
          <w:w w:val="105"/>
          <w:sz w:val="20"/>
        </w:rPr>
        <w:t>which operates</w:t>
      </w:r>
      <w:r>
        <w:rPr>
          <w:color w:val="4D4D4F"/>
          <w:spacing w:val="-16"/>
          <w:w w:val="105"/>
          <w:sz w:val="20"/>
        </w:rPr>
        <w:t xml:space="preserve"> </w:t>
      </w:r>
      <w:r>
        <w:rPr>
          <w:color w:val="4D4D4F"/>
          <w:w w:val="105"/>
          <w:sz w:val="20"/>
        </w:rPr>
        <w:t>under</w:t>
      </w:r>
      <w:r>
        <w:rPr>
          <w:color w:val="4D4D4F"/>
          <w:spacing w:val="-16"/>
          <w:w w:val="105"/>
          <w:sz w:val="20"/>
        </w:rPr>
        <w:t xml:space="preserve"> </w:t>
      </w:r>
      <w:r>
        <w:rPr>
          <w:color w:val="4D4D4F"/>
          <w:w w:val="105"/>
          <w:sz w:val="20"/>
        </w:rPr>
        <w:t>the</w:t>
      </w:r>
      <w:r>
        <w:rPr>
          <w:color w:val="4D4D4F"/>
          <w:spacing w:val="-16"/>
          <w:w w:val="105"/>
          <w:sz w:val="20"/>
        </w:rPr>
        <w:t xml:space="preserve"> </w:t>
      </w:r>
      <w:r>
        <w:rPr>
          <w:color w:val="4D4D4F"/>
          <w:w w:val="105"/>
          <w:sz w:val="20"/>
        </w:rPr>
        <w:t>Copernicus</w:t>
      </w:r>
      <w:r>
        <w:rPr>
          <w:color w:val="4D4D4F"/>
          <w:spacing w:val="-16"/>
          <w:w w:val="105"/>
          <w:sz w:val="20"/>
        </w:rPr>
        <w:t xml:space="preserve"> </w:t>
      </w:r>
      <w:r>
        <w:rPr>
          <w:color w:val="4D4D4F"/>
          <w:w w:val="105"/>
          <w:sz w:val="20"/>
        </w:rPr>
        <w:t>Programme</w:t>
      </w:r>
      <w:r>
        <w:rPr>
          <w:color w:val="4D4D4F"/>
          <w:spacing w:val="-16"/>
          <w:w w:val="105"/>
          <w:sz w:val="20"/>
        </w:rPr>
        <w:t xml:space="preserve"> </w:t>
      </w:r>
      <w:r>
        <w:rPr>
          <w:color w:val="4D4D4F"/>
          <w:w w:val="105"/>
          <w:sz w:val="20"/>
        </w:rPr>
        <w:t>of</w:t>
      </w:r>
      <w:r>
        <w:rPr>
          <w:color w:val="4D4D4F"/>
          <w:spacing w:val="-16"/>
          <w:w w:val="105"/>
          <w:sz w:val="20"/>
        </w:rPr>
        <w:t xml:space="preserve"> </w:t>
      </w:r>
      <w:r>
        <w:rPr>
          <w:color w:val="4D4D4F"/>
          <w:w w:val="105"/>
          <w:sz w:val="20"/>
        </w:rPr>
        <w:t>the</w:t>
      </w:r>
      <w:r>
        <w:rPr>
          <w:color w:val="4D4D4F"/>
          <w:spacing w:val="-16"/>
          <w:w w:val="105"/>
          <w:sz w:val="20"/>
        </w:rPr>
        <w:t xml:space="preserve"> </w:t>
      </w:r>
      <w:r>
        <w:rPr>
          <w:color w:val="4D4D4F"/>
          <w:w w:val="105"/>
          <w:sz w:val="20"/>
        </w:rPr>
        <w:t>European</w:t>
      </w:r>
      <w:r>
        <w:rPr>
          <w:color w:val="4D4D4F"/>
          <w:spacing w:val="-15"/>
          <w:w w:val="105"/>
          <w:sz w:val="20"/>
        </w:rPr>
        <w:t xml:space="preserve"> </w:t>
      </w:r>
      <w:r>
        <w:rPr>
          <w:color w:val="4D4D4F"/>
          <w:w w:val="105"/>
          <w:sz w:val="20"/>
        </w:rPr>
        <w:t>Space</w:t>
      </w:r>
      <w:r>
        <w:rPr>
          <w:color w:val="4D4D4F"/>
          <w:spacing w:val="-16"/>
          <w:w w:val="105"/>
          <w:sz w:val="20"/>
        </w:rPr>
        <w:t xml:space="preserve"> </w:t>
      </w:r>
      <w:r>
        <w:rPr>
          <w:color w:val="4D4D4F"/>
          <w:w w:val="105"/>
          <w:sz w:val="20"/>
        </w:rPr>
        <w:t xml:space="preserve">Agency. This satellite provides regular data for fixed </w:t>
      </w:r>
      <w:r>
        <w:rPr>
          <w:color w:val="4D4D4F"/>
          <w:spacing w:val="-5"/>
          <w:w w:val="105"/>
          <w:sz w:val="20"/>
        </w:rPr>
        <w:t xml:space="preserve">10 </w:t>
      </w:r>
      <w:r>
        <w:rPr>
          <w:color w:val="4D4D4F"/>
          <w:w w:val="105"/>
          <w:sz w:val="20"/>
        </w:rPr>
        <w:t xml:space="preserve">x </w:t>
      </w:r>
      <w:r>
        <w:rPr>
          <w:color w:val="4D4D4F"/>
          <w:spacing w:val="-5"/>
          <w:w w:val="105"/>
          <w:sz w:val="20"/>
        </w:rPr>
        <w:t xml:space="preserve">10 </w:t>
      </w:r>
      <w:r>
        <w:rPr>
          <w:color w:val="4D4D4F"/>
          <w:w w:val="105"/>
          <w:sz w:val="20"/>
        </w:rPr>
        <w:t>m pixels across the relevant</w:t>
      </w:r>
      <w:r>
        <w:rPr>
          <w:color w:val="4D4D4F"/>
          <w:spacing w:val="-17"/>
          <w:w w:val="105"/>
          <w:sz w:val="20"/>
        </w:rPr>
        <w:t xml:space="preserve"> </w:t>
      </w:r>
      <w:r>
        <w:rPr>
          <w:color w:val="4D4D4F"/>
          <w:w w:val="105"/>
          <w:sz w:val="20"/>
        </w:rPr>
        <w:t>region,</w:t>
      </w:r>
      <w:r>
        <w:rPr>
          <w:color w:val="4D4D4F"/>
          <w:spacing w:val="-17"/>
          <w:w w:val="105"/>
          <w:sz w:val="20"/>
        </w:rPr>
        <w:t xml:space="preserve"> </w:t>
      </w:r>
      <w:r>
        <w:rPr>
          <w:color w:val="4D4D4F"/>
          <w:spacing w:val="-5"/>
          <w:w w:val="105"/>
          <w:sz w:val="20"/>
        </w:rPr>
        <w:t>10</w:t>
      </w:r>
      <w:r>
        <w:rPr>
          <w:color w:val="4D4D4F"/>
          <w:spacing w:val="-17"/>
          <w:w w:val="105"/>
          <w:sz w:val="20"/>
        </w:rPr>
        <w:t xml:space="preserve"> </w:t>
      </w:r>
      <w:r>
        <w:rPr>
          <w:color w:val="4D4D4F"/>
          <w:w w:val="105"/>
          <w:sz w:val="20"/>
        </w:rPr>
        <w:t>m</w:t>
      </w:r>
      <w:r>
        <w:rPr>
          <w:color w:val="4D4D4F"/>
          <w:spacing w:val="-17"/>
          <w:w w:val="105"/>
          <w:sz w:val="20"/>
        </w:rPr>
        <w:t xml:space="preserve"> </w:t>
      </w:r>
      <w:r>
        <w:rPr>
          <w:color w:val="4D4D4F"/>
          <w:w w:val="105"/>
          <w:sz w:val="20"/>
        </w:rPr>
        <w:t>apart.</w:t>
      </w:r>
      <w:r>
        <w:rPr>
          <w:color w:val="4D4D4F"/>
          <w:spacing w:val="-17"/>
          <w:w w:val="105"/>
          <w:sz w:val="20"/>
        </w:rPr>
        <w:t xml:space="preserve"> </w:t>
      </w:r>
      <w:r>
        <w:rPr>
          <w:color w:val="4D4D4F"/>
          <w:w w:val="105"/>
          <w:sz w:val="20"/>
        </w:rPr>
        <w:t>This</w:t>
      </w:r>
      <w:r>
        <w:rPr>
          <w:color w:val="4D4D4F"/>
          <w:spacing w:val="-17"/>
          <w:w w:val="105"/>
          <w:sz w:val="20"/>
        </w:rPr>
        <w:t xml:space="preserve"> </w:t>
      </w:r>
      <w:r>
        <w:rPr>
          <w:color w:val="4D4D4F"/>
          <w:w w:val="105"/>
          <w:sz w:val="20"/>
        </w:rPr>
        <w:t>alignment</w:t>
      </w:r>
      <w:r>
        <w:rPr>
          <w:color w:val="4D4D4F"/>
          <w:spacing w:val="-17"/>
          <w:w w:val="105"/>
          <w:sz w:val="20"/>
        </w:rPr>
        <w:t xml:space="preserve"> </w:t>
      </w:r>
      <w:r>
        <w:rPr>
          <w:color w:val="4D4D4F"/>
          <w:w w:val="105"/>
          <w:sz w:val="20"/>
        </w:rPr>
        <w:t>will</w:t>
      </w:r>
      <w:r>
        <w:rPr>
          <w:color w:val="4D4D4F"/>
          <w:spacing w:val="-17"/>
          <w:w w:val="105"/>
          <w:sz w:val="20"/>
        </w:rPr>
        <w:t xml:space="preserve"> </w:t>
      </w:r>
      <w:r>
        <w:rPr>
          <w:color w:val="4D4D4F"/>
          <w:w w:val="105"/>
          <w:sz w:val="20"/>
        </w:rPr>
        <w:t>allow</w:t>
      </w:r>
      <w:r>
        <w:rPr>
          <w:color w:val="4D4D4F"/>
          <w:spacing w:val="-17"/>
          <w:w w:val="105"/>
          <w:sz w:val="20"/>
        </w:rPr>
        <w:t xml:space="preserve"> </w:t>
      </w:r>
      <w:r>
        <w:rPr>
          <w:color w:val="4D4D4F"/>
          <w:w w:val="105"/>
          <w:sz w:val="20"/>
        </w:rPr>
        <w:t>all</w:t>
      </w:r>
      <w:r>
        <w:rPr>
          <w:color w:val="4D4D4F"/>
          <w:spacing w:val="-17"/>
          <w:w w:val="105"/>
          <w:sz w:val="20"/>
        </w:rPr>
        <w:t xml:space="preserve"> </w:t>
      </w:r>
      <w:r>
        <w:rPr>
          <w:color w:val="4D4D4F"/>
          <w:w w:val="105"/>
          <w:sz w:val="20"/>
        </w:rPr>
        <w:t>rapid</w:t>
      </w:r>
      <w:r>
        <w:rPr>
          <w:color w:val="4D4D4F"/>
          <w:spacing w:val="-16"/>
          <w:w w:val="105"/>
          <w:sz w:val="20"/>
        </w:rPr>
        <w:t xml:space="preserve"> </w:t>
      </w:r>
      <w:r>
        <w:rPr>
          <w:color w:val="4D4D4F"/>
          <w:w w:val="105"/>
          <w:sz w:val="20"/>
        </w:rPr>
        <w:t>plot</w:t>
      </w:r>
      <w:r>
        <w:rPr>
          <w:color w:val="4D4D4F"/>
          <w:spacing w:val="-17"/>
          <w:w w:val="105"/>
          <w:sz w:val="20"/>
        </w:rPr>
        <w:t xml:space="preserve"> </w:t>
      </w:r>
      <w:r>
        <w:rPr>
          <w:color w:val="4D4D4F"/>
          <w:w w:val="105"/>
          <w:sz w:val="20"/>
        </w:rPr>
        <w:t>data</w:t>
      </w:r>
      <w:r>
        <w:rPr>
          <w:color w:val="4D4D4F"/>
          <w:spacing w:val="-17"/>
          <w:w w:val="105"/>
          <w:sz w:val="20"/>
        </w:rPr>
        <w:t xml:space="preserve"> </w:t>
      </w:r>
      <w:r>
        <w:rPr>
          <w:color w:val="4D4D4F"/>
          <w:w w:val="105"/>
          <w:sz w:val="20"/>
        </w:rPr>
        <w:t>to</w:t>
      </w:r>
      <w:r>
        <w:rPr>
          <w:color w:val="4D4D4F"/>
          <w:spacing w:val="-17"/>
          <w:w w:val="105"/>
          <w:sz w:val="20"/>
        </w:rPr>
        <w:t xml:space="preserve"> </w:t>
      </w:r>
      <w:r>
        <w:rPr>
          <w:color w:val="4D4D4F"/>
          <w:w w:val="105"/>
          <w:sz w:val="20"/>
        </w:rPr>
        <w:t>be used</w:t>
      </w:r>
      <w:r>
        <w:rPr>
          <w:color w:val="4D4D4F"/>
          <w:spacing w:val="-23"/>
          <w:w w:val="105"/>
          <w:sz w:val="20"/>
        </w:rPr>
        <w:t xml:space="preserve"> </w:t>
      </w:r>
      <w:r>
        <w:rPr>
          <w:color w:val="4D4D4F"/>
          <w:w w:val="105"/>
          <w:sz w:val="20"/>
        </w:rPr>
        <w:t>as</w:t>
      </w:r>
      <w:r>
        <w:rPr>
          <w:color w:val="4D4D4F"/>
          <w:spacing w:val="-22"/>
          <w:w w:val="105"/>
          <w:sz w:val="20"/>
        </w:rPr>
        <w:t xml:space="preserve"> </w:t>
      </w:r>
      <w:r>
        <w:rPr>
          <w:color w:val="4D4D4F"/>
          <w:w w:val="105"/>
          <w:sz w:val="20"/>
        </w:rPr>
        <w:t>training</w:t>
      </w:r>
      <w:r>
        <w:rPr>
          <w:color w:val="4D4D4F"/>
          <w:spacing w:val="-22"/>
          <w:w w:val="105"/>
          <w:sz w:val="20"/>
        </w:rPr>
        <w:t xml:space="preserve"> </w:t>
      </w:r>
      <w:r>
        <w:rPr>
          <w:color w:val="4D4D4F"/>
          <w:w w:val="105"/>
          <w:sz w:val="20"/>
        </w:rPr>
        <w:t>data</w:t>
      </w:r>
      <w:r>
        <w:rPr>
          <w:color w:val="4D4D4F"/>
          <w:spacing w:val="-22"/>
          <w:w w:val="105"/>
          <w:sz w:val="20"/>
        </w:rPr>
        <w:t xml:space="preserve"> </w:t>
      </w:r>
      <w:r>
        <w:rPr>
          <w:color w:val="4D4D4F"/>
          <w:w w:val="105"/>
          <w:sz w:val="20"/>
        </w:rPr>
        <w:t>to</w:t>
      </w:r>
      <w:r>
        <w:rPr>
          <w:color w:val="4D4D4F"/>
          <w:spacing w:val="-22"/>
          <w:w w:val="105"/>
          <w:sz w:val="20"/>
        </w:rPr>
        <w:t xml:space="preserve"> </w:t>
      </w:r>
      <w:r>
        <w:rPr>
          <w:color w:val="4D4D4F"/>
          <w:w w:val="105"/>
          <w:sz w:val="20"/>
        </w:rPr>
        <w:t>inform</w:t>
      </w:r>
      <w:r>
        <w:rPr>
          <w:color w:val="4D4D4F"/>
          <w:spacing w:val="-23"/>
          <w:w w:val="105"/>
          <w:sz w:val="20"/>
        </w:rPr>
        <w:t xml:space="preserve"> </w:t>
      </w:r>
      <w:r>
        <w:rPr>
          <w:color w:val="4D4D4F"/>
          <w:w w:val="105"/>
          <w:sz w:val="20"/>
        </w:rPr>
        <w:t>algorithms</w:t>
      </w:r>
      <w:r>
        <w:rPr>
          <w:color w:val="4D4D4F"/>
          <w:spacing w:val="-22"/>
          <w:w w:val="105"/>
          <w:sz w:val="20"/>
        </w:rPr>
        <w:t xml:space="preserve"> </w:t>
      </w:r>
      <w:r>
        <w:rPr>
          <w:color w:val="4D4D4F"/>
          <w:w w:val="105"/>
          <w:sz w:val="20"/>
        </w:rPr>
        <w:t>for</w:t>
      </w:r>
      <w:r>
        <w:rPr>
          <w:color w:val="4D4D4F"/>
          <w:spacing w:val="-22"/>
          <w:w w:val="105"/>
          <w:sz w:val="20"/>
        </w:rPr>
        <w:t xml:space="preserve"> </w:t>
      </w:r>
      <w:r>
        <w:rPr>
          <w:color w:val="4D4D4F"/>
          <w:w w:val="105"/>
          <w:sz w:val="20"/>
        </w:rPr>
        <w:t>the</w:t>
      </w:r>
      <w:r>
        <w:rPr>
          <w:color w:val="4D4D4F"/>
          <w:spacing w:val="-22"/>
          <w:w w:val="105"/>
          <w:sz w:val="20"/>
        </w:rPr>
        <w:t xml:space="preserve"> </w:t>
      </w:r>
      <w:r>
        <w:rPr>
          <w:color w:val="4D4D4F"/>
          <w:w w:val="105"/>
          <w:sz w:val="20"/>
        </w:rPr>
        <w:t>remote</w:t>
      </w:r>
      <w:r>
        <w:rPr>
          <w:color w:val="4D4D4F"/>
          <w:spacing w:val="-22"/>
          <w:w w:val="105"/>
          <w:sz w:val="20"/>
        </w:rPr>
        <w:t xml:space="preserve"> </w:t>
      </w:r>
      <w:r>
        <w:rPr>
          <w:color w:val="4D4D4F"/>
          <w:w w:val="105"/>
          <w:sz w:val="20"/>
        </w:rPr>
        <w:t>detection</w:t>
      </w:r>
      <w:r>
        <w:rPr>
          <w:color w:val="4D4D4F"/>
          <w:spacing w:val="-22"/>
          <w:w w:val="105"/>
          <w:sz w:val="20"/>
        </w:rPr>
        <w:t xml:space="preserve"> </w:t>
      </w:r>
      <w:r>
        <w:rPr>
          <w:color w:val="4D4D4F"/>
          <w:w w:val="105"/>
          <w:sz w:val="20"/>
        </w:rPr>
        <w:t>of</w:t>
      </w:r>
      <w:r>
        <w:rPr>
          <w:color w:val="4D4D4F"/>
          <w:spacing w:val="-23"/>
          <w:w w:val="105"/>
          <w:sz w:val="20"/>
        </w:rPr>
        <w:t xml:space="preserve"> </w:t>
      </w:r>
      <w:r>
        <w:rPr>
          <w:color w:val="4D4D4F"/>
          <w:w w:val="105"/>
          <w:sz w:val="20"/>
        </w:rPr>
        <w:t>weeds and native plant</w:t>
      </w:r>
      <w:r>
        <w:rPr>
          <w:color w:val="4D4D4F"/>
          <w:spacing w:val="2"/>
          <w:w w:val="105"/>
          <w:sz w:val="20"/>
        </w:rPr>
        <w:t xml:space="preserve"> </w:t>
      </w:r>
      <w:r>
        <w:rPr>
          <w:color w:val="4D4D4F"/>
          <w:spacing w:val="-4"/>
          <w:w w:val="105"/>
          <w:sz w:val="20"/>
        </w:rPr>
        <w:t>cover.</w:t>
      </w:r>
    </w:p>
    <w:p w14:paraId="05A5310D" w14:textId="77777777" w:rsidR="00EF5B27" w:rsidRDefault="00000000">
      <w:pPr>
        <w:pStyle w:val="ListParagraph"/>
        <w:numPr>
          <w:ilvl w:val="0"/>
          <w:numId w:val="34"/>
        </w:numPr>
        <w:tabs>
          <w:tab w:val="left" w:pos="2779"/>
        </w:tabs>
        <w:spacing w:before="121" w:line="254" w:lineRule="auto"/>
        <w:ind w:right="125"/>
        <w:rPr>
          <w:sz w:val="20"/>
        </w:rPr>
      </w:pPr>
      <w:r>
        <w:rPr>
          <w:color w:val="4D4D4F"/>
          <w:sz w:val="20"/>
        </w:rPr>
        <w:t>Abandon the use of golf ball plots for Natural Temperate Grassland. Amend the MRF to include the golf ball assessment under the protocols for Striped Legless Lizard    and Golden Sun Moth, where the resultant data are</w:t>
      </w:r>
      <w:r>
        <w:rPr>
          <w:color w:val="4D4D4F"/>
          <w:spacing w:val="31"/>
          <w:sz w:val="20"/>
        </w:rPr>
        <w:t xml:space="preserve"> </w:t>
      </w:r>
      <w:r>
        <w:rPr>
          <w:color w:val="4D4D4F"/>
          <w:sz w:val="20"/>
        </w:rPr>
        <w:t>used.</w:t>
      </w:r>
    </w:p>
    <w:p w14:paraId="2D57614B" w14:textId="77777777" w:rsidR="00EF5B27" w:rsidRDefault="00EF5B27">
      <w:pPr>
        <w:spacing w:line="254" w:lineRule="auto"/>
        <w:rPr>
          <w:sz w:val="20"/>
        </w:rPr>
        <w:sectPr w:rsidR="00EF5B27">
          <w:pgSz w:w="11910" w:h="16840"/>
          <w:pgMar w:top="1080" w:right="1020" w:bottom="860" w:left="1020" w:header="537" w:footer="678" w:gutter="0"/>
          <w:cols w:space="720"/>
        </w:sectPr>
      </w:pPr>
    </w:p>
    <w:p w14:paraId="0C3C4A7C" w14:textId="77777777" w:rsidR="00EF5B27" w:rsidRDefault="00000000">
      <w:pPr>
        <w:pStyle w:val="BodyText"/>
      </w:pPr>
      <w:r>
        <w:lastRenderedPageBreak/>
        <w:pict w14:anchorId="2A3CCE3B">
          <v:group id="_x0000_s2284" style="position:absolute;margin-left:587.05pt;margin-top:183.4pt;width:8.25pt;height:153.1pt;z-index:251793920;mso-position-horizontal-relative:page;mso-position-vertical-relative:page" coordorigin="11741,3668" coordsize="165,3062">
            <v:shape id="_x0000_s2291" style="position:absolute;left:11741;top:3668;width:165;height:561" coordorigin="11741,3668" coordsize="165,561" path="m11906,3668r-165,l11741,4228r165,-18l11906,3668xe" fillcolor="#00aed9" stroked="f">
              <v:path arrowok="t"/>
            </v:shape>
            <v:shape id="_x0000_s2290" style="position:absolute;left:11741;top:4118;width:165;height:425" coordorigin="11741,4118" coordsize="165,425" path="m11906,4118r-165,14l11741,4531r165,12l11906,4118xe" fillcolor="#047ebc" stroked="f">
              <v:path arrowok="t"/>
            </v:shape>
            <v:shape id="_x0000_s2289" type="#_x0000_t75" style="position:absolute;left:11741;top:4355;width:165;height:587">
              <v:imagedata r:id="rId42" o:title=""/>
            </v:shape>
            <v:shape id="_x0000_s2288" style="position:absolute;left:11741;top:5343;width:165;height:536" coordorigin="11741,5343" coordsize="165,536" path="m11741,5343r,535l11906,5872r,-525l11741,5343xe" fillcolor="#f36a2e" stroked="f">
              <v:path arrowok="t"/>
            </v:shape>
            <v:shape id="_x0000_s2287" style="position:absolute;left:11741;top:4925;width:165;height:501" coordorigin="11741,4926" coordsize="165,501" path="m11741,4926r,500l11906,5426r,-485l11741,4926xe" fillcolor="#49783f" stroked="f">
              <v:path arrowok="t"/>
            </v:shape>
            <v:shape id="_x0000_s2286" style="position:absolute;left:11741;top:5781;width:165;height:268" coordorigin="11741,5782" coordsize="165,268" path="m11906,5782r-165,8l11741,6039r165,10l11906,5782xe" fillcolor="#f99f2a" stroked="f">
              <v:path arrowok="t"/>
            </v:shape>
            <v:shape id="_x0000_s2285" style="position:absolute;left:11741;top:6023;width:165;height:707" coordorigin="11741,6023" coordsize="165,707" path="m11741,6023r,706l11906,6729r,-690l11741,6023xe" fillcolor="#ef412c" stroked="f">
              <v:path arrowok="t"/>
            </v:shape>
            <w10:wrap anchorx="page" anchory="page"/>
          </v:group>
        </w:pict>
      </w:r>
    </w:p>
    <w:p w14:paraId="0002283E" w14:textId="77777777" w:rsidR="00EF5B27" w:rsidRDefault="00EF5B27">
      <w:pPr>
        <w:pStyle w:val="BodyText"/>
      </w:pPr>
    </w:p>
    <w:p w14:paraId="6DCE7C4B" w14:textId="77777777" w:rsidR="00EF5B27" w:rsidRDefault="00EF5B27">
      <w:pPr>
        <w:pStyle w:val="BodyText"/>
      </w:pPr>
    </w:p>
    <w:p w14:paraId="2583406C" w14:textId="77777777" w:rsidR="00EF5B27" w:rsidRDefault="00EF5B27">
      <w:pPr>
        <w:pStyle w:val="BodyText"/>
        <w:spacing w:before="8"/>
      </w:pPr>
    </w:p>
    <w:p w14:paraId="374B3FEF" w14:textId="77777777" w:rsidR="00EF5B27" w:rsidRDefault="00000000">
      <w:pPr>
        <w:pStyle w:val="Heading2"/>
      </w:pPr>
      <w:r>
        <w:rPr>
          <w:color w:val="F99F2A"/>
        </w:rPr>
        <w:t>MNES 2: Grassy Eucalypt Woodland</w:t>
      </w:r>
    </w:p>
    <w:p w14:paraId="5CE07F5A" w14:textId="77777777" w:rsidR="00EF5B27" w:rsidRDefault="00000000">
      <w:pPr>
        <w:pStyle w:val="Heading6"/>
        <w:spacing w:before="311" w:line="254" w:lineRule="auto"/>
        <w:ind w:right="465"/>
        <w:rPr>
          <w:sz w:val="11"/>
        </w:rPr>
      </w:pPr>
      <w:r>
        <w:rPr>
          <w:color w:val="4D4D4F"/>
        </w:rPr>
        <w:t>The following is an extract from the 2015 Technical Protocols for Program Outcomes document.</w:t>
      </w:r>
      <w:r>
        <w:rPr>
          <w:color w:val="4D4D4F"/>
          <w:position w:val="7"/>
          <w:sz w:val="11"/>
        </w:rPr>
        <w:t>320</w:t>
      </w:r>
    </w:p>
    <w:p w14:paraId="2B827D22" w14:textId="77777777" w:rsidR="00EF5B27" w:rsidRDefault="00000000">
      <w:pPr>
        <w:spacing w:before="233"/>
        <w:ind w:left="2608"/>
        <w:rPr>
          <w:b/>
          <w:sz w:val="28"/>
        </w:rPr>
      </w:pPr>
      <w:r>
        <w:rPr>
          <w:b/>
          <w:color w:val="F99F2A"/>
          <w:sz w:val="28"/>
        </w:rPr>
        <w:t>Background</w:t>
      </w:r>
    </w:p>
    <w:p w14:paraId="4807483C" w14:textId="77777777" w:rsidR="00EF5B27" w:rsidRDefault="00000000">
      <w:pPr>
        <w:pStyle w:val="BodyText"/>
        <w:spacing w:before="222" w:line="254" w:lineRule="auto"/>
        <w:ind w:left="2608" w:right="221"/>
      </w:pPr>
      <w:r>
        <w:rPr>
          <w:color w:val="4D4D4F"/>
        </w:rPr>
        <w:t xml:space="preserve">The plot design for GEW is similar to that for NTG, but takes into account the tree layer, which is patterned at a relatively large scale (the average mature </w:t>
      </w:r>
      <w:r>
        <w:rPr>
          <w:rFonts w:ascii="Arial Narrow" w:hAnsi="Arial Narrow"/>
          <w:i/>
          <w:color w:val="4D4D4F"/>
        </w:rPr>
        <w:t xml:space="preserve">Eucalyptus camaldulensis </w:t>
      </w:r>
      <w:r>
        <w:rPr>
          <w:color w:val="4D4D4F"/>
        </w:rPr>
        <w:t>canopy is ~20 m wide locally). A mixture of permanently marked and annually re-allocated plots will be employed (to manage the trade-off noted below, under ‘Supporting Information’). It is expected that 75% of the plots in each state will be permanent, and 25% will be re-allocated annually; however, this allocation may be altered if required. Several scales of plot are used.</w:t>
      </w:r>
    </w:p>
    <w:p w14:paraId="5A6AF931" w14:textId="77777777" w:rsidR="00EF5B27" w:rsidRDefault="00000000">
      <w:pPr>
        <w:pStyle w:val="Heading6"/>
        <w:spacing w:before="121"/>
      </w:pPr>
      <w:r>
        <w:rPr>
          <w:color w:val="4D4D4F"/>
        </w:rPr>
        <w:t>Intensive point-intercept plots (20 x 20 m)</w:t>
      </w:r>
    </w:p>
    <w:p w14:paraId="54E6AD02" w14:textId="77777777" w:rsidR="00EF5B27" w:rsidRDefault="00000000">
      <w:pPr>
        <w:pStyle w:val="BodyText"/>
        <w:spacing w:before="130"/>
        <w:ind w:left="2608"/>
      </w:pPr>
      <w:r>
        <w:rPr>
          <w:color w:val="4D4D4F"/>
        </w:rPr>
        <w:t>This sampling method addresses the following KPIs:</w:t>
      </w:r>
    </w:p>
    <w:p w14:paraId="30880842" w14:textId="77777777" w:rsidR="00EF5B27" w:rsidRDefault="00000000">
      <w:pPr>
        <w:pStyle w:val="ListParagraph"/>
        <w:numPr>
          <w:ilvl w:val="0"/>
          <w:numId w:val="3"/>
        </w:numPr>
        <w:tabs>
          <w:tab w:val="left" w:pos="2742"/>
        </w:tabs>
        <w:spacing w:before="129"/>
        <w:ind w:hanging="133"/>
        <w:rPr>
          <w:sz w:val="20"/>
        </w:rPr>
      </w:pPr>
      <w:r>
        <w:rPr>
          <w:color w:val="4D4D4F"/>
          <w:sz w:val="20"/>
        </w:rPr>
        <w:t>Cover of native perennial herbs in GEW</w:t>
      </w:r>
      <w:r>
        <w:rPr>
          <w:color w:val="4D4D4F"/>
          <w:spacing w:val="30"/>
          <w:sz w:val="20"/>
        </w:rPr>
        <w:t xml:space="preserve"> </w:t>
      </w:r>
      <w:r>
        <w:rPr>
          <w:color w:val="4D4D4F"/>
          <w:sz w:val="20"/>
        </w:rPr>
        <w:t>states</w:t>
      </w:r>
    </w:p>
    <w:p w14:paraId="6DB1A058" w14:textId="77777777" w:rsidR="00EF5B27" w:rsidRDefault="00000000">
      <w:pPr>
        <w:pStyle w:val="ListParagraph"/>
        <w:numPr>
          <w:ilvl w:val="0"/>
          <w:numId w:val="3"/>
        </w:numPr>
        <w:tabs>
          <w:tab w:val="left" w:pos="2742"/>
        </w:tabs>
        <w:spacing w:before="129"/>
        <w:ind w:hanging="133"/>
        <w:rPr>
          <w:sz w:val="20"/>
        </w:rPr>
      </w:pPr>
      <w:r>
        <w:rPr>
          <w:color w:val="4D4D4F"/>
          <w:sz w:val="20"/>
        </w:rPr>
        <w:t>Diversity of native perennial herbs in GEW</w:t>
      </w:r>
      <w:r>
        <w:rPr>
          <w:color w:val="4D4D4F"/>
          <w:spacing w:val="31"/>
          <w:sz w:val="20"/>
        </w:rPr>
        <w:t xml:space="preserve"> </w:t>
      </w:r>
      <w:r>
        <w:rPr>
          <w:color w:val="4D4D4F"/>
          <w:sz w:val="20"/>
        </w:rPr>
        <w:t>states</w:t>
      </w:r>
    </w:p>
    <w:p w14:paraId="52613E0A" w14:textId="77777777" w:rsidR="00EF5B27" w:rsidRDefault="00000000">
      <w:pPr>
        <w:pStyle w:val="ListParagraph"/>
        <w:numPr>
          <w:ilvl w:val="0"/>
          <w:numId w:val="3"/>
        </w:numPr>
        <w:tabs>
          <w:tab w:val="left" w:pos="2742"/>
        </w:tabs>
        <w:spacing w:before="129"/>
        <w:ind w:hanging="133"/>
        <w:rPr>
          <w:sz w:val="20"/>
        </w:rPr>
      </w:pPr>
      <w:r>
        <w:rPr>
          <w:color w:val="4D4D4F"/>
          <w:w w:val="105"/>
          <w:sz w:val="20"/>
        </w:rPr>
        <w:t>Cover of target grass species in GEW</w:t>
      </w:r>
      <w:r>
        <w:rPr>
          <w:color w:val="4D4D4F"/>
          <w:spacing w:val="5"/>
          <w:w w:val="105"/>
          <w:sz w:val="20"/>
        </w:rPr>
        <w:t xml:space="preserve"> </w:t>
      </w:r>
      <w:r>
        <w:rPr>
          <w:color w:val="4D4D4F"/>
          <w:w w:val="105"/>
          <w:sz w:val="20"/>
        </w:rPr>
        <w:t>states</w:t>
      </w:r>
    </w:p>
    <w:p w14:paraId="7795D906" w14:textId="77777777" w:rsidR="00EF5B27" w:rsidRDefault="00000000">
      <w:pPr>
        <w:pStyle w:val="ListParagraph"/>
        <w:numPr>
          <w:ilvl w:val="0"/>
          <w:numId w:val="3"/>
        </w:numPr>
        <w:tabs>
          <w:tab w:val="left" w:pos="2742"/>
        </w:tabs>
        <w:spacing w:before="130"/>
        <w:ind w:hanging="133"/>
        <w:rPr>
          <w:sz w:val="20"/>
        </w:rPr>
      </w:pPr>
      <w:r>
        <w:rPr>
          <w:color w:val="4D4D4F"/>
          <w:sz w:val="20"/>
        </w:rPr>
        <w:t>Cover of perennial weeds in GEW</w:t>
      </w:r>
      <w:r>
        <w:rPr>
          <w:color w:val="4D4D4F"/>
          <w:spacing w:val="24"/>
          <w:sz w:val="20"/>
        </w:rPr>
        <w:t xml:space="preserve"> </w:t>
      </w:r>
      <w:r>
        <w:rPr>
          <w:color w:val="4D4D4F"/>
          <w:sz w:val="20"/>
        </w:rPr>
        <w:t>states.</w:t>
      </w:r>
    </w:p>
    <w:p w14:paraId="4AB3C1C0" w14:textId="77777777" w:rsidR="00EF5B27" w:rsidRDefault="00000000">
      <w:pPr>
        <w:pStyle w:val="BodyText"/>
        <w:spacing w:before="129"/>
        <w:ind w:left="2608"/>
      </w:pPr>
      <w:r>
        <w:rPr>
          <w:color w:val="4D4D4F"/>
        </w:rPr>
        <w:t>Sampling will be repeated every year in spring (1 September–30 November).</w:t>
      </w:r>
    </w:p>
    <w:p w14:paraId="6D1CC547" w14:textId="77777777" w:rsidR="00EF5B27" w:rsidRDefault="00000000">
      <w:pPr>
        <w:pStyle w:val="BodyText"/>
        <w:spacing w:before="129" w:line="254" w:lineRule="auto"/>
        <w:ind w:left="2608" w:right="465"/>
      </w:pPr>
      <w:r>
        <w:rPr>
          <w:color w:val="4D4D4F"/>
        </w:rPr>
        <w:t>Each plot will be a square 400 m</w:t>
      </w:r>
      <w:r>
        <w:rPr>
          <w:color w:val="4D4D4F"/>
          <w:position w:val="7"/>
          <w:sz w:val="11"/>
        </w:rPr>
        <w:t xml:space="preserve">2 </w:t>
      </w:r>
      <w:r>
        <w:rPr>
          <w:color w:val="4D4D4F"/>
        </w:rPr>
        <w:t>in area (20 x 20 m). The plots will be aligned with the points of the compass (north, south, east, west), and those plots which are permanently marked with a short metal peg at the north-west corner.</w:t>
      </w:r>
    </w:p>
    <w:p w14:paraId="03C92F88" w14:textId="77777777" w:rsidR="00EF5B27" w:rsidRDefault="00000000">
      <w:pPr>
        <w:pStyle w:val="BodyText"/>
        <w:spacing w:before="117" w:line="254" w:lineRule="auto"/>
        <w:ind w:left="2608" w:right="233"/>
        <w:jc w:val="both"/>
      </w:pPr>
      <w:r>
        <w:rPr>
          <w:color w:val="4D4D4F"/>
        </w:rPr>
        <w:t>Five 20 m lines will be laid out across the plot (meeting the sides at 2, 6, 10, 14, 18 m). These lines will each define a set of 50 sampling points, located 40 cm apart. In total, the plot will contain 250 sampling points.</w:t>
      </w:r>
    </w:p>
    <w:p w14:paraId="583115E6" w14:textId="77777777" w:rsidR="00EF5B27" w:rsidRDefault="00000000">
      <w:pPr>
        <w:pStyle w:val="BodyText"/>
        <w:spacing w:before="117" w:line="254" w:lineRule="auto"/>
        <w:ind w:left="2608" w:right="119"/>
      </w:pPr>
      <w:r>
        <w:rPr>
          <w:color w:val="4D4D4F"/>
        </w:rPr>
        <w:t>At each point, a narrow metal pin will be held vertically, and any vascular plant species, exposed rock, detached plant litter, bare ground or moss intersecting the pin recorded. Multiple items may be recorded at a single point (including multiple plant species, rock and plants), meaning that when the values for all plants are summed, the total cover may exceed 100%. Every data point for plant species will be recorded as basal area (a point where the plant contacts the ground; a stem or tiller), or ‘cover’ (a point where any plant part touches the pin, including leaves held away from the base of the plant). Every basal point also contributes to cover (i.e. basal area is a subset of cover).</w:t>
      </w:r>
    </w:p>
    <w:p w14:paraId="6E21F9CF" w14:textId="77777777" w:rsidR="00EF5B27" w:rsidRDefault="00000000">
      <w:pPr>
        <w:pStyle w:val="BodyText"/>
        <w:spacing w:before="123" w:line="252" w:lineRule="auto"/>
        <w:ind w:left="2608" w:right="221"/>
      </w:pPr>
      <w:r>
        <w:rPr>
          <w:color w:val="4D4D4F"/>
        </w:rPr>
        <w:t xml:space="preserve">After the point intercept measurements are complete, an unstructured 3-minute search of the plot will be undertaken, to record all native herb and shrub species. Native herbs and shrubs are defined as any native species not in the families </w:t>
      </w:r>
      <w:r>
        <w:rPr>
          <w:rFonts w:ascii="Arial Narrow"/>
          <w:i/>
          <w:color w:val="4D4D4F"/>
        </w:rPr>
        <w:t xml:space="preserve">Poaceae, Juncaceae </w:t>
      </w:r>
      <w:r>
        <w:rPr>
          <w:rFonts w:ascii="Century Gothic"/>
          <w:i/>
          <w:color w:val="4D4D4F"/>
        </w:rPr>
        <w:t xml:space="preserve">or </w:t>
      </w:r>
      <w:r>
        <w:rPr>
          <w:rFonts w:ascii="Arial Narrow"/>
          <w:i/>
          <w:color w:val="4D4D4F"/>
        </w:rPr>
        <w:t>Cyperaceae</w:t>
      </w:r>
      <w:r>
        <w:rPr>
          <w:color w:val="4D4D4F"/>
        </w:rPr>
        <w:t>. Species of ambiguous native or exotic status will be ignored.</w:t>
      </w:r>
    </w:p>
    <w:p w14:paraId="28797190" w14:textId="77777777" w:rsidR="00EF5B27" w:rsidRDefault="00EF5B27">
      <w:pPr>
        <w:pStyle w:val="BodyText"/>
      </w:pPr>
    </w:p>
    <w:p w14:paraId="5606626D" w14:textId="77777777" w:rsidR="00EF5B27" w:rsidRDefault="00EF5B27">
      <w:pPr>
        <w:pStyle w:val="BodyText"/>
      </w:pPr>
    </w:p>
    <w:p w14:paraId="4DFAC384" w14:textId="77777777" w:rsidR="00EF5B27" w:rsidRDefault="00EF5B27">
      <w:pPr>
        <w:pStyle w:val="BodyText"/>
      </w:pPr>
    </w:p>
    <w:p w14:paraId="282B8994" w14:textId="77777777" w:rsidR="00EF5B27" w:rsidRDefault="00000000">
      <w:pPr>
        <w:pStyle w:val="BodyText"/>
        <w:spacing w:before="6"/>
        <w:rPr>
          <w:sz w:val="19"/>
        </w:rPr>
      </w:pPr>
      <w:r>
        <w:pict w14:anchorId="79C075D0">
          <v:line id="_x0000_s2283" style="position:absolute;z-index:251759104;mso-wrap-distance-left:0;mso-wrap-distance-right:0;mso-position-horizontal-relative:page" from="181.4pt,14.1pt" to="538.6pt,14.1pt" strokecolor="#4d4d4f" strokeweight=".5pt">
            <w10:wrap type="topAndBottom" anchorx="page"/>
          </v:line>
        </w:pict>
      </w:r>
    </w:p>
    <w:p w14:paraId="2949B873" w14:textId="77777777" w:rsidR="00EF5B27" w:rsidRDefault="00000000">
      <w:pPr>
        <w:pStyle w:val="ListParagraph"/>
        <w:numPr>
          <w:ilvl w:val="0"/>
          <w:numId w:val="4"/>
        </w:numPr>
        <w:tabs>
          <w:tab w:val="left" w:pos="2836"/>
        </w:tabs>
        <w:spacing w:before="83"/>
        <w:rPr>
          <w:sz w:val="12"/>
        </w:rPr>
      </w:pPr>
      <w:r>
        <w:rPr>
          <w:color w:val="4D4D4F"/>
          <w:sz w:val="12"/>
        </w:rPr>
        <w:t>DELWP</w:t>
      </w:r>
      <w:r>
        <w:rPr>
          <w:color w:val="4D4D4F"/>
          <w:spacing w:val="5"/>
          <w:sz w:val="12"/>
        </w:rPr>
        <w:t xml:space="preserve"> </w:t>
      </w:r>
      <w:r>
        <w:rPr>
          <w:color w:val="4D4D4F"/>
          <w:sz w:val="12"/>
        </w:rPr>
        <w:t>2015c,</w:t>
      </w:r>
      <w:r>
        <w:rPr>
          <w:color w:val="4D4D4F"/>
          <w:spacing w:val="6"/>
          <w:sz w:val="12"/>
        </w:rPr>
        <w:t xml:space="preserve"> </w:t>
      </w:r>
      <w:r>
        <w:rPr>
          <w:color w:val="4D4D4F"/>
          <w:sz w:val="12"/>
        </w:rPr>
        <w:t>‘Technical</w:t>
      </w:r>
      <w:r>
        <w:rPr>
          <w:color w:val="4D4D4F"/>
          <w:spacing w:val="6"/>
          <w:sz w:val="12"/>
        </w:rPr>
        <w:t xml:space="preserve"> </w:t>
      </w:r>
      <w:r>
        <w:rPr>
          <w:color w:val="4D4D4F"/>
          <w:spacing w:val="2"/>
          <w:sz w:val="12"/>
        </w:rPr>
        <w:t>Protocols</w:t>
      </w:r>
      <w:r>
        <w:rPr>
          <w:color w:val="4D4D4F"/>
          <w:spacing w:val="6"/>
          <w:sz w:val="12"/>
        </w:rPr>
        <w:t xml:space="preserve"> </w:t>
      </w:r>
      <w:r>
        <w:rPr>
          <w:color w:val="4D4D4F"/>
          <w:sz w:val="12"/>
        </w:rPr>
        <w:t>for</w:t>
      </w:r>
      <w:r>
        <w:rPr>
          <w:color w:val="4D4D4F"/>
          <w:spacing w:val="6"/>
          <w:sz w:val="12"/>
        </w:rPr>
        <w:t xml:space="preserve"> </w:t>
      </w:r>
      <w:r>
        <w:rPr>
          <w:color w:val="4D4D4F"/>
          <w:spacing w:val="2"/>
          <w:sz w:val="12"/>
        </w:rPr>
        <w:t>Program</w:t>
      </w:r>
      <w:r>
        <w:rPr>
          <w:color w:val="4D4D4F"/>
          <w:spacing w:val="5"/>
          <w:sz w:val="12"/>
        </w:rPr>
        <w:t xml:space="preserve"> </w:t>
      </w:r>
      <w:r>
        <w:rPr>
          <w:color w:val="4D4D4F"/>
          <w:sz w:val="12"/>
        </w:rPr>
        <w:t>Outcomes.</w:t>
      </w:r>
      <w:r>
        <w:rPr>
          <w:color w:val="4D4D4F"/>
          <w:spacing w:val="6"/>
          <w:sz w:val="12"/>
        </w:rPr>
        <w:t xml:space="preserve"> </w:t>
      </w:r>
      <w:r>
        <w:rPr>
          <w:color w:val="4D4D4F"/>
          <w:sz w:val="12"/>
        </w:rPr>
        <w:t>Melbourne</w:t>
      </w:r>
      <w:r>
        <w:rPr>
          <w:color w:val="4D4D4F"/>
          <w:spacing w:val="6"/>
          <w:sz w:val="12"/>
        </w:rPr>
        <w:t xml:space="preserve"> </w:t>
      </w:r>
      <w:r>
        <w:rPr>
          <w:color w:val="4D4D4F"/>
          <w:sz w:val="12"/>
        </w:rPr>
        <w:t>Strategic</w:t>
      </w:r>
      <w:r>
        <w:rPr>
          <w:color w:val="4D4D4F"/>
          <w:spacing w:val="6"/>
          <w:sz w:val="12"/>
        </w:rPr>
        <w:t xml:space="preserve"> </w:t>
      </w:r>
      <w:r>
        <w:rPr>
          <w:color w:val="4D4D4F"/>
          <w:sz w:val="12"/>
        </w:rPr>
        <w:t>Assessment’,</w:t>
      </w:r>
      <w:r>
        <w:rPr>
          <w:color w:val="4D4D4F"/>
          <w:spacing w:val="6"/>
          <w:sz w:val="12"/>
        </w:rPr>
        <w:t xml:space="preserve"> </w:t>
      </w:r>
      <w:r>
        <w:rPr>
          <w:color w:val="4D4D4F"/>
          <w:sz w:val="12"/>
        </w:rPr>
        <w:t>East</w:t>
      </w:r>
      <w:r>
        <w:rPr>
          <w:color w:val="4D4D4F"/>
          <w:spacing w:val="6"/>
          <w:sz w:val="12"/>
        </w:rPr>
        <w:t xml:space="preserve"> </w:t>
      </w:r>
      <w:r>
        <w:rPr>
          <w:color w:val="4D4D4F"/>
          <w:sz w:val="12"/>
        </w:rPr>
        <w:t>Melbourne,</w:t>
      </w:r>
      <w:r>
        <w:rPr>
          <w:color w:val="4D4D4F"/>
          <w:spacing w:val="5"/>
          <w:sz w:val="12"/>
        </w:rPr>
        <w:t xml:space="preserve"> </w:t>
      </w:r>
      <w:r>
        <w:rPr>
          <w:color w:val="4D4D4F"/>
          <w:sz w:val="12"/>
        </w:rPr>
        <w:t>Victoria.</w:t>
      </w:r>
    </w:p>
    <w:p w14:paraId="0C35EAC6" w14:textId="77777777" w:rsidR="00EF5B27" w:rsidRDefault="00EF5B27">
      <w:pPr>
        <w:rPr>
          <w:sz w:val="12"/>
        </w:rPr>
        <w:sectPr w:rsidR="00EF5B27">
          <w:pgSz w:w="11910" w:h="16840"/>
          <w:pgMar w:top="1080" w:right="1020" w:bottom="860" w:left="1020" w:header="537" w:footer="678" w:gutter="0"/>
          <w:cols w:space="720"/>
        </w:sectPr>
      </w:pPr>
    </w:p>
    <w:p w14:paraId="0B7C5CFD" w14:textId="77777777" w:rsidR="00EF5B27" w:rsidRDefault="00000000">
      <w:pPr>
        <w:pStyle w:val="BodyText"/>
      </w:pPr>
      <w:r>
        <w:lastRenderedPageBreak/>
        <w:pict w14:anchorId="6774983B">
          <v:group id="_x0000_s2275" style="position:absolute;margin-left:587.05pt;margin-top:183.4pt;width:8.25pt;height:153.1pt;z-index:251794944;mso-position-horizontal-relative:page;mso-position-vertical-relative:page" coordorigin="11741,3668" coordsize="165,3062">
            <v:shape id="_x0000_s2282" style="position:absolute;left:11741;top:3668;width:165;height:561" coordorigin="11741,3668" coordsize="165,561" path="m11906,3668r-165,l11741,4228r165,-18l11906,3668xe" fillcolor="#00aed9" stroked="f">
              <v:path arrowok="t"/>
            </v:shape>
            <v:shape id="_x0000_s2281" style="position:absolute;left:11741;top:4118;width:165;height:425" coordorigin="11741,4118" coordsize="165,425" path="m11906,4118r-165,14l11741,4531r165,12l11906,4118xe" fillcolor="#047ebc" stroked="f">
              <v:path arrowok="t"/>
            </v:shape>
            <v:shape id="_x0000_s2280" type="#_x0000_t75" style="position:absolute;left:11741;top:4355;width:165;height:587">
              <v:imagedata r:id="rId42" o:title=""/>
            </v:shape>
            <v:shape id="_x0000_s2279" style="position:absolute;left:11741;top:5343;width:165;height:536" coordorigin="11741,5343" coordsize="165,536" path="m11741,5343r,535l11906,5872r,-525l11741,5343xe" fillcolor="#f36a2e" stroked="f">
              <v:path arrowok="t"/>
            </v:shape>
            <v:shape id="_x0000_s2278" style="position:absolute;left:11741;top:4925;width:165;height:501" coordorigin="11741,4926" coordsize="165,501" path="m11741,4926r,500l11906,5426r,-485l11741,4926xe" fillcolor="#49783f" stroked="f">
              <v:path arrowok="t"/>
            </v:shape>
            <v:shape id="_x0000_s2277" style="position:absolute;left:11741;top:5781;width:165;height:268" coordorigin="11741,5782" coordsize="165,268" path="m11906,5782r-165,8l11741,6039r165,10l11906,5782xe" fillcolor="#f99f2a" stroked="f">
              <v:path arrowok="t"/>
            </v:shape>
            <v:shape id="_x0000_s2276" style="position:absolute;left:11741;top:6023;width:165;height:707" coordorigin="11741,6023" coordsize="165,707" path="m11741,6023r,706l11906,6729r,-690l11741,6023xe" fillcolor="#ef412c" stroked="f">
              <v:path arrowok="t"/>
            </v:shape>
            <w10:wrap anchorx="page" anchory="page"/>
          </v:group>
        </w:pict>
      </w:r>
    </w:p>
    <w:p w14:paraId="3D080C15" w14:textId="77777777" w:rsidR="00EF5B27" w:rsidRDefault="00EF5B27">
      <w:pPr>
        <w:pStyle w:val="BodyText"/>
      </w:pPr>
    </w:p>
    <w:p w14:paraId="78C467FA" w14:textId="77777777" w:rsidR="00EF5B27" w:rsidRDefault="00EF5B27">
      <w:pPr>
        <w:pStyle w:val="BodyText"/>
      </w:pPr>
    </w:p>
    <w:p w14:paraId="21D5E6AC" w14:textId="77777777" w:rsidR="00EF5B27" w:rsidRDefault="00EF5B27">
      <w:pPr>
        <w:pStyle w:val="BodyText"/>
        <w:spacing w:before="4"/>
        <w:rPr>
          <w:sz w:val="25"/>
        </w:rPr>
      </w:pPr>
    </w:p>
    <w:p w14:paraId="25FF09E9" w14:textId="77777777" w:rsidR="00EF5B27" w:rsidRDefault="00000000">
      <w:pPr>
        <w:pStyle w:val="BodyText"/>
        <w:spacing w:before="100" w:line="254" w:lineRule="auto"/>
        <w:ind w:left="2608" w:right="151"/>
      </w:pPr>
      <w:r>
        <w:rPr>
          <w:color w:val="4D4D4F"/>
        </w:rPr>
        <w:t>Intensive plots will be allocated randomly (some permanent, some re-allocated), and stratified according to state. The stratification will also require that one or more plots fall within populations of Matted Flax-lily, see below. We do not yet know the spatial distribution of the states, so the stratification cannot be tabulated (c.f. grassland).</w:t>
      </w:r>
    </w:p>
    <w:p w14:paraId="442BF6AD" w14:textId="77777777" w:rsidR="00EF5B27" w:rsidRDefault="00000000">
      <w:pPr>
        <w:pStyle w:val="BodyText"/>
        <w:spacing w:before="119" w:line="254" w:lineRule="auto"/>
        <w:ind w:left="2608"/>
      </w:pPr>
      <w:r>
        <w:rPr>
          <w:color w:val="4D4D4F"/>
          <w:spacing w:val="-4"/>
        </w:rPr>
        <w:t xml:space="preserve">Conservation </w:t>
      </w:r>
      <w:r>
        <w:rPr>
          <w:color w:val="4D4D4F"/>
          <w:spacing w:val="-3"/>
        </w:rPr>
        <w:t xml:space="preserve">Areas </w:t>
      </w:r>
      <w:r>
        <w:rPr>
          <w:color w:val="4D4D4F"/>
          <w:spacing w:val="-4"/>
        </w:rPr>
        <w:t xml:space="preserve">outside </w:t>
      </w:r>
      <w:r>
        <w:rPr>
          <w:color w:val="4D4D4F"/>
          <w:spacing w:val="-3"/>
        </w:rPr>
        <w:t xml:space="preserve">the </w:t>
      </w:r>
      <w:r>
        <w:rPr>
          <w:color w:val="4D4D4F"/>
          <w:spacing w:val="-5"/>
        </w:rPr>
        <w:t xml:space="preserve">major </w:t>
      </w:r>
      <w:r>
        <w:rPr>
          <w:color w:val="4D4D4F"/>
        </w:rPr>
        <w:t xml:space="preserve">GEW </w:t>
      </w:r>
      <w:r>
        <w:rPr>
          <w:color w:val="4D4D4F"/>
          <w:spacing w:val="-3"/>
        </w:rPr>
        <w:t xml:space="preserve">Reserve </w:t>
      </w:r>
      <w:r>
        <w:rPr>
          <w:color w:val="4D4D4F"/>
          <w:spacing w:val="-5"/>
        </w:rPr>
        <w:t xml:space="preserve">will </w:t>
      </w:r>
      <w:r>
        <w:rPr>
          <w:color w:val="4D4D4F"/>
        </w:rPr>
        <w:t xml:space="preserve">be </w:t>
      </w:r>
      <w:r>
        <w:rPr>
          <w:color w:val="4D4D4F"/>
          <w:spacing w:val="-4"/>
        </w:rPr>
        <w:t xml:space="preserve">sampled </w:t>
      </w:r>
      <w:r>
        <w:rPr>
          <w:color w:val="4D4D4F"/>
        </w:rPr>
        <w:t xml:space="preserve">by </w:t>
      </w:r>
      <w:r>
        <w:rPr>
          <w:color w:val="4D4D4F"/>
          <w:spacing w:val="-3"/>
        </w:rPr>
        <w:t xml:space="preserve">at </w:t>
      </w:r>
      <w:r>
        <w:rPr>
          <w:color w:val="4D4D4F"/>
          <w:spacing w:val="-5"/>
        </w:rPr>
        <w:t xml:space="preserve">least </w:t>
      </w:r>
      <w:r>
        <w:rPr>
          <w:color w:val="4D4D4F"/>
        </w:rPr>
        <w:t xml:space="preserve">two </w:t>
      </w:r>
      <w:r>
        <w:rPr>
          <w:color w:val="4D4D4F"/>
          <w:spacing w:val="-4"/>
        </w:rPr>
        <w:t xml:space="preserve">plots, </w:t>
      </w:r>
      <w:r>
        <w:rPr>
          <w:color w:val="4D4D4F"/>
        </w:rPr>
        <w:t xml:space="preserve">with an extra plot added for every 50 ha of woodland vegetation </w:t>
      </w:r>
      <w:r>
        <w:rPr>
          <w:color w:val="4D4D4F"/>
          <w:spacing w:val="-4"/>
        </w:rPr>
        <w:t xml:space="preserve">(50–100 </w:t>
      </w:r>
      <w:r>
        <w:rPr>
          <w:color w:val="4D4D4F"/>
        </w:rPr>
        <w:t xml:space="preserve">ha: 3 plots, </w:t>
      </w:r>
      <w:r>
        <w:rPr>
          <w:color w:val="4D4D4F"/>
          <w:spacing w:val="-4"/>
        </w:rPr>
        <w:t xml:space="preserve">100–150 </w:t>
      </w:r>
      <w:r>
        <w:rPr>
          <w:color w:val="4D4D4F"/>
        </w:rPr>
        <w:t xml:space="preserve">ha: 4 plots, etc.). Half will be annually re-allocated </w:t>
      </w:r>
      <w:r>
        <w:rPr>
          <w:color w:val="4D4D4F"/>
          <w:spacing w:val="-4"/>
        </w:rPr>
        <w:t xml:space="preserve">(at </w:t>
      </w:r>
      <w:r>
        <w:rPr>
          <w:color w:val="4D4D4F"/>
        </w:rPr>
        <w:t>least one of each kind in each relevant area).</w:t>
      </w:r>
    </w:p>
    <w:p w14:paraId="65A32C2D" w14:textId="77777777" w:rsidR="00EF5B27" w:rsidRDefault="00000000">
      <w:pPr>
        <w:pStyle w:val="Heading6"/>
        <w:spacing w:before="118"/>
      </w:pPr>
      <w:r>
        <w:rPr>
          <w:color w:val="4D4D4F"/>
          <w:w w:val="105"/>
        </w:rPr>
        <w:t>Larger vegetation structure plots (50 x 50 m)</w:t>
      </w:r>
    </w:p>
    <w:p w14:paraId="3FE2B8AD" w14:textId="77777777" w:rsidR="00EF5B27" w:rsidRDefault="00000000">
      <w:pPr>
        <w:pStyle w:val="BodyText"/>
        <w:spacing w:before="129" w:line="254" w:lineRule="auto"/>
        <w:ind w:left="2608" w:right="151"/>
      </w:pPr>
      <w:r>
        <w:rPr>
          <w:color w:val="4D4D4F"/>
        </w:rPr>
        <w:t>Large 50 x 50 m plots will be employed for woodland structure measurements, addressing the following KPIs:</w:t>
      </w:r>
    </w:p>
    <w:p w14:paraId="77D3A820" w14:textId="77777777" w:rsidR="00EF5B27" w:rsidRDefault="00000000">
      <w:pPr>
        <w:pStyle w:val="ListParagraph"/>
        <w:numPr>
          <w:ilvl w:val="0"/>
          <w:numId w:val="34"/>
        </w:numPr>
        <w:tabs>
          <w:tab w:val="left" w:pos="2779"/>
        </w:tabs>
        <w:spacing w:before="116"/>
        <w:rPr>
          <w:sz w:val="20"/>
        </w:rPr>
      </w:pPr>
      <w:r>
        <w:rPr>
          <w:color w:val="4D4D4F"/>
          <w:sz w:val="20"/>
        </w:rPr>
        <w:t>Percentage of plots in different woodland structure</w:t>
      </w:r>
      <w:r>
        <w:rPr>
          <w:color w:val="4D4D4F"/>
          <w:spacing w:val="33"/>
          <w:sz w:val="20"/>
        </w:rPr>
        <w:t xml:space="preserve"> </w:t>
      </w:r>
      <w:r>
        <w:rPr>
          <w:color w:val="4D4D4F"/>
          <w:sz w:val="20"/>
        </w:rPr>
        <w:t>categories</w:t>
      </w:r>
    </w:p>
    <w:p w14:paraId="0DE5C751" w14:textId="77777777" w:rsidR="00EF5B27" w:rsidRDefault="00000000">
      <w:pPr>
        <w:pStyle w:val="ListParagraph"/>
        <w:numPr>
          <w:ilvl w:val="0"/>
          <w:numId w:val="34"/>
        </w:numPr>
        <w:tabs>
          <w:tab w:val="left" w:pos="2779"/>
        </w:tabs>
        <w:spacing w:before="129"/>
        <w:rPr>
          <w:sz w:val="20"/>
        </w:rPr>
      </w:pPr>
      <w:r>
        <w:rPr>
          <w:color w:val="4D4D4F"/>
          <w:sz w:val="20"/>
        </w:rPr>
        <w:t>Percentage of plots with Eucalypt</w:t>
      </w:r>
      <w:r>
        <w:rPr>
          <w:color w:val="4D4D4F"/>
          <w:spacing w:val="22"/>
          <w:sz w:val="20"/>
        </w:rPr>
        <w:t xml:space="preserve"> </w:t>
      </w:r>
      <w:r>
        <w:rPr>
          <w:color w:val="4D4D4F"/>
          <w:sz w:val="20"/>
        </w:rPr>
        <w:t>recruits.</w:t>
      </w:r>
    </w:p>
    <w:p w14:paraId="431C3349" w14:textId="77777777" w:rsidR="00EF5B27" w:rsidRDefault="00000000">
      <w:pPr>
        <w:pStyle w:val="BodyText"/>
        <w:spacing w:before="130" w:line="254" w:lineRule="auto"/>
        <w:ind w:left="2608" w:right="151"/>
      </w:pPr>
      <w:r>
        <w:rPr>
          <w:color w:val="4D4D4F"/>
        </w:rPr>
        <w:t>The larger plots will each be centred on a 20 x 20 m plot (described above), extending 15 m out each side and marked with a short, permanent peg at each corner.</w:t>
      </w:r>
    </w:p>
    <w:p w14:paraId="2BE84E96" w14:textId="77777777" w:rsidR="00EF5B27" w:rsidRDefault="00000000">
      <w:pPr>
        <w:pStyle w:val="BodyText"/>
        <w:spacing w:before="115" w:line="254" w:lineRule="auto"/>
        <w:ind w:left="2608" w:right="308"/>
      </w:pPr>
      <w:r>
        <w:rPr>
          <w:color w:val="4D4D4F"/>
        </w:rPr>
        <w:t xml:space="preserve">All trees </w:t>
      </w:r>
      <w:r>
        <w:rPr>
          <w:color w:val="4D4D4F"/>
          <w:spacing w:val="-7"/>
        </w:rPr>
        <w:t xml:space="preserve">&gt;1.3  </w:t>
      </w:r>
      <w:r>
        <w:rPr>
          <w:color w:val="4D4D4F"/>
        </w:rPr>
        <w:t xml:space="preserve">m tall (breast height) within the plot will be counted and assigned to  </w:t>
      </w:r>
      <w:r>
        <w:rPr>
          <w:color w:val="4D4D4F"/>
          <w:spacing w:val="-3"/>
        </w:rPr>
        <w:t xml:space="preserve">size </w:t>
      </w:r>
      <w:r>
        <w:rPr>
          <w:color w:val="4D4D4F"/>
        </w:rPr>
        <w:t xml:space="preserve">classes based on their diameter at breast height </w:t>
      </w:r>
      <w:r>
        <w:rPr>
          <w:color w:val="4D4D4F"/>
          <w:spacing w:val="-4"/>
        </w:rPr>
        <w:t xml:space="preserve">(dbh) (&lt;5 </w:t>
      </w:r>
      <w:r>
        <w:rPr>
          <w:color w:val="4D4D4F"/>
        </w:rPr>
        <w:t xml:space="preserve">cm </w:t>
      </w:r>
      <w:r>
        <w:rPr>
          <w:color w:val="4D4D4F"/>
          <w:spacing w:val="-3"/>
        </w:rPr>
        <w:t xml:space="preserve">(saplings), </w:t>
      </w:r>
      <w:r>
        <w:rPr>
          <w:color w:val="4D4D4F"/>
        </w:rPr>
        <w:t xml:space="preserve">5–60 cm </w:t>
      </w:r>
      <w:r>
        <w:rPr>
          <w:color w:val="4D4D4F"/>
          <w:spacing w:val="-3"/>
        </w:rPr>
        <w:t xml:space="preserve">(small </w:t>
      </w:r>
      <w:r>
        <w:rPr>
          <w:color w:val="4D4D4F"/>
        </w:rPr>
        <w:t>trunks), &gt;60 cm (large trunks)). Eucalyptus stems will be distinguished from stems of other groups (wattles, woody</w:t>
      </w:r>
      <w:r>
        <w:rPr>
          <w:color w:val="4D4D4F"/>
          <w:spacing w:val="22"/>
        </w:rPr>
        <w:t xml:space="preserve"> </w:t>
      </w:r>
      <w:r>
        <w:rPr>
          <w:color w:val="4D4D4F"/>
        </w:rPr>
        <w:t>weeds).</w:t>
      </w:r>
    </w:p>
    <w:p w14:paraId="0A1BACE2" w14:textId="77777777" w:rsidR="00EF5B27" w:rsidRDefault="00000000">
      <w:pPr>
        <w:pStyle w:val="BodyText"/>
        <w:spacing w:before="119"/>
        <w:ind w:left="2608"/>
      </w:pPr>
      <w:r>
        <w:rPr>
          <w:color w:val="4D4D4F"/>
          <w:w w:val="105"/>
        </w:rPr>
        <w:t>The presence or absence of Eucalyptus seedlings &lt;1.3 m high will be recorded.</w:t>
      </w:r>
    </w:p>
    <w:p w14:paraId="62C40C27" w14:textId="77777777" w:rsidR="00EF5B27" w:rsidRDefault="00000000">
      <w:pPr>
        <w:pStyle w:val="BodyText"/>
        <w:spacing w:before="129" w:line="254" w:lineRule="auto"/>
        <w:ind w:left="2608" w:right="221"/>
      </w:pPr>
      <w:r>
        <w:rPr>
          <w:color w:val="4D4D4F"/>
        </w:rPr>
        <w:t>Canopy photographs will be taken vertically at breast height to allow automated measurement of canopy cover (the mean of four photographs per plot, each taken from a 1 m high tripod located on the corners of the smaller plot). Canopy thus does not include cover below breast height.</w:t>
      </w:r>
    </w:p>
    <w:p w14:paraId="16131AE6" w14:textId="77777777" w:rsidR="00EF5B27" w:rsidRDefault="00000000">
      <w:pPr>
        <w:pStyle w:val="BodyText"/>
        <w:spacing w:before="118" w:line="254" w:lineRule="auto"/>
        <w:ind w:left="2608" w:right="221"/>
      </w:pPr>
      <w:r>
        <w:rPr>
          <w:color w:val="4D4D4F"/>
        </w:rPr>
        <w:t>Each plot will be assigned to one of three landscape positions, on the basis of subjective field observations:</w:t>
      </w:r>
    </w:p>
    <w:p w14:paraId="75FB9E27" w14:textId="77777777" w:rsidR="00EF5B27" w:rsidRDefault="00000000">
      <w:pPr>
        <w:pStyle w:val="ListParagraph"/>
        <w:numPr>
          <w:ilvl w:val="0"/>
          <w:numId w:val="34"/>
        </w:numPr>
        <w:tabs>
          <w:tab w:val="left" w:pos="2779"/>
        </w:tabs>
        <w:spacing w:before="116"/>
        <w:rPr>
          <w:sz w:val="20"/>
        </w:rPr>
      </w:pPr>
      <w:r>
        <w:rPr>
          <w:color w:val="4D4D4F"/>
          <w:w w:val="105"/>
          <w:sz w:val="20"/>
        </w:rPr>
        <w:t>Undulating</w:t>
      </w:r>
      <w:r>
        <w:rPr>
          <w:color w:val="4D4D4F"/>
          <w:spacing w:val="1"/>
          <w:w w:val="105"/>
          <w:sz w:val="20"/>
        </w:rPr>
        <w:t xml:space="preserve"> </w:t>
      </w:r>
      <w:r>
        <w:rPr>
          <w:color w:val="4D4D4F"/>
          <w:w w:val="105"/>
          <w:sz w:val="20"/>
        </w:rPr>
        <w:t>Plains</w:t>
      </w:r>
    </w:p>
    <w:p w14:paraId="50EF2BA3" w14:textId="77777777" w:rsidR="00EF5B27" w:rsidRDefault="00000000">
      <w:pPr>
        <w:pStyle w:val="ListParagraph"/>
        <w:numPr>
          <w:ilvl w:val="0"/>
          <w:numId w:val="34"/>
        </w:numPr>
        <w:tabs>
          <w:tab w:val="left" w:pos="2779"/>
        </w:tabs>
        <w:spacing w:before="129"/>
        <w:rPr>
          <w:sz w:val="20"/>
        </w:rPr>
      </w:pPr>
      <w:r>
        <w:rPr>
          <w:color w:val="4D4D4F"/>
          <w:w w:val="105"/>
          <w:sz w:val="20"/>
        </w:rPr>
        <w:t>Gilgai</w:t>
      </w:r>
      <w:r>
        <w:rPr>
          <w:color w:val="4D4D4F"/>
          <w:spacing w:val="-16"/>
          <w:w w:val="105"/>
          <w:sz w:val="20"/>
        </w:rPr>
        <w:t xml:space="preserve"> </w:t>
      </w:r>
      <w:r>
        <w:rPr>
          <w:color w:val="4D4D4F"/>
          <w:w w:val="105"/>
          <w:sz w:val="20"/>
        </w:rPr>
        <w:t>Plains</w:t>
      </w:r>
    </w:p>
    <w:p w14:paraId="0269F498" w14:textId="77777777" w:rsidR="00EF5B27" w:rsidRDefault="00000000">
      <w:pPr>
        <w:pStyle w:val="ListParagraph"/>
        <w:numPr>
          <w:ilvl w:val="0"/>
          <w:numId w:val="34"/>
        </w:numPr>
        <w:tabs>
          <w:tab w:val="left" w:pos="2779"/>
        </w:tabs>
        <w:spacing w:before="129"/>
        <w:rPr>
          <w:sz w:val="20"/>
        </w:rPr>
      </w:pPr>
      <w:r>
        <w:rPr>
          <w:color w:val="4D4D4F"/>
          <w:w w:val="105"/>
          <w:sz w:val="20"/>
        </w:rPr>
        <w:t>Stony</w:t>
      </w:r>
      <w:r>
        <w:rPr>
          <w:color w:val="4D4D4F"/>
          <w:spacing w:val="-15"/>
          <w:w w:val="105"/>
          <w:sz w:val="20"/>
        </w:rPr>
        <w:t xml:space="preserve"> </w:t>
      </w:r>
      <w:r>
        <w:rPr>
          <w:color w:val="4D4D4F"/>
          <w:w w:val="105"/>
          <w:sz w:val="20"/>
        </w:rPr>
        <w:t>Rises.</w:t>
      </w:r>
    </w:p>
    <w:p w14:paraId="35D91FAB" w14:textId="77777777" w:rsidR="00EF5B27" w:rsidRDefault="00000000">
      <w:pPr>
        <w:pStyle w:val="BodyText"/>
        <w:spacing w:before="130" w:line="254" w:lineRule="auto"/>
        <w:ind w:left="2608" w:right="151"/>
      </w:pPr>
      <w:r>
        <w:rPr>
          <w:color w:val="4D4D4F"/>
          <w:spacing w:val="-3"/>
          <w:w w:val="105"/>
        </w:rPr>
        <w:t>Each</w:t>
      </w:r>
      <w:r>
        <w:rPr>
          <w:color w:val="4D4D4F"/>
          <w:spacing w:val="-22"/>
          <w:w w:val="105"/>
        </w:rPr>
        <w:t xml:space="preserve"> </w:t>
      </w:r>
      <w:r>
        <w:rPr>
          <w:color w:val="4D4D4F"/>
          <w:spacing w:val="-4"/>
          <w:w w:val="105"/>
        </w:rPr>
        <w:t>plot</w:t>
      </w:r>
      <w:r>
        <w:rPr>
          <w:color w:val="4D4D4F"/>
          <w:spacing w:val="-22"/>
          <w:w w:val="105"/>
        </w:rPr>
        <w:t xml:space="preserve"> </w:t>
      </w:r>
      <w:r>
        <w:rPr>
          <w:color w:val="4D4D4F"/>
          <w:spacing w:val="-5"/>
          <w:w w:val="105"/>
        </w:rPr>
        <w:t>will</w:t>
      </w:r>
      <w:r>
        <w:rPr>
          <w:color w:val="4D4D4F"/>
          <w:spacing w:val="-22"/>
          <w:w w:val="105"/>
        </w:rPr>
        <w:t xml:space="preserve"> </w:t>
      </w:r>
      <w:r>
        <w:rPr>
          <w:color w:val="4D4D4F"/>
          <w:w w:val="105"/>
        </w:rPr>
        <w:t>be</w:t>
      </w:r>
      <w:r>
        <w:rPr>
          <w:color w:val="4D4D4F"/>
          <w:spacing w:val="-22"/>
          <w:w w:val="105"/>
        </w:rPr>
        <w:t xml:space="preserve"> </w:t>
      </w:r>
      <w:r>
        <w:rPr>
          <w:color w:val="4D4D4F"/>
          <w:spacing w:val="-5"/>
          <w:w w:val="105"/>
        </w:rPr>
        <w:t>assigned</w:t>
      </w:r>
      <w:r>
        <w:rPr>
          <w:color w:val="4D4D4F"/>
          <w:spacing w:val="-22"/>
          <w:w w:val="105"/>
        </w:rPr>
        <w:t xml:space="preserve"> </w:t>
      </w:r>
      <w:r>
        <w:rPr>
          <w:color w:val="4D4D4F"/>
          <w:spacing w:val="-3"/>
          <w:w w:val="105"/>
        </w:rPr>
        <w:t>to</w:t>
      </w:r>
      <w:r>
        <w:rPr>
          <w:color w:val="4D4D4F"/>
          <w:spacing w:val="-21"/>
          <w:w w:val="105"/>
        </w:rPr>
        <w:t xml:space="preserve"> </w:t>
      </w:r>
      <w:r>
        <w:rPr>
          <w:color w:val="4D4D4F"/>
          <w:spacing w:val="-3"/>
          <w:w w:val="105"/>
        </w:rPr>
        <w:t>one</w:t>
      </w:r>
      <w:r>
        <w:rPr>
          <w:color w:val="4D4D4F"/>
          <w:spacing w:val="-22"/>
          <w:w w:val="105"/>
        </w:rPr>
        <w:t xml:space="preserve"> </w:t>
      </w:r>
      <w:r>
        <w:rPr>
          <w:color w:val="4D4D4F"/>
          <w:spacing w:val="-3"/>
          <w:w w:val="105"/>
        </w:rPr>
        <w:t>of</w:t>
      </w:r>
      <w:r>
        <w:rPr>
          <w:color w:val="4D4D4F"/>
          <w:spacing w:val="-22"/>
          <w:w w:val="105"/>
        </w:rPr>
        <w:t xml:space="preserve"> </w:t>
      </w:r>
      <w:r>
        <w:rPr>
          <w:color w:val="4D4D4F"/>
          <w:spacing w:val="-4"/>
          <w:w w:val="105"/>
        </w:rPr>
        <w:t>four</w:t>
      </w:r>
      <w:r>
        <w:rPr>
          <w:color w:val="4D4D4F"/>
          <w:spacing w:val="-22"/>
          <w:w w:val="105"/>
        </w:rPr>
        <w:t xml:space="preserve"> </w:t>
      </w:r>
      <w:r>
        <w:rPr>
          <w:color w:val="4D4D4F"/>
          <w:spacing w:val="-4"/>
          <w:w w:val="105"/>
        </w:rPr>
        <w:t>woodland</w:t>
      </w:r>
      <w:r>
        <w:rPr>
          <w:color w:val="4D4D4F"/>
          <w:spacing w:val="-22"/>
          <w:w w:val="105"/>
        </w:rPr>
        <w:t xml:space="preserve"> </w:t>
      </w:r>
      <w:r>
        <w:rPr>
          <w:color w:val="4D4D4F"/>
          <w:spacing w:val="-3"/>
          <w:w w:val="105"/>
        </w:rPr>
        <w:t>structural</w:t>
      </w:r>
      <w:r>
        <w:rPr>
          <w:color w:val="4D4D4F"/>
          <w:spacing w:val="-21"/>
          <w:w w:val="105"/>
        </w:rPr>
        <w:t xml:space="preserve"> </w:t>
      </w:r>
      <w:r>
        <w:rPr>
          <w:color w:val="4D4D4F"/>
          <w:w w:val="105"/>
        </w:rPr>
        <w:t>types,</w:t>
      </w:r>
      <w:r>
        <w:rPr>
          <w:color w:val="4D4D4F"/>
          <w:spacing w:val="-22"/>
          <w:w w:val="105"/>
        </w:rPr>
        <w:t xml:space="preserve"> </w:t>
      </w:r>
      <w:r>
        <w:rPr>
          <w:color w:val="4D4D4F"/>
          <w:spacing w:val="-3"/>
          <w:w w:val="105"/>
        </w:rPr>
        <w:t>as</w:t>
      </w:r>
      <w:r>
        <w:rPr>
          <w:color w:val="4D4D4F"/>
          <w:spacing w:val="-22"/>
          <w:w w:val="105"/>
        </w:rPr>
        <w:t xml:space="preserve"> </w:t>
      </w:r>
      <w:r>
        <w:rPr>
          <w:color w:val="4D4D4F"/>
          <w:spacing w:val="-3"/>
          <w:w w:val="105"/>
        </w:rPr>
        <w:t>shown</w:t>
      </w:r>
      <w:r>
        <w:rPr>
          <w:color w:val="4D4D4F"/>
          <w:spacing w:val="-22"/>
          <w:w w:val="105"/>
        </w:rPr>
        <w:t xml:space="preserve"> </w:t>
      </w:r>
      <w:r>
        <w:rPr>
          <w:color w:val="4D4D4F"/>
          <w:spacing w:val="-4"/>
          <w:w w:val="105"/>
        </w:rPr>
        <w:t>in</w:t>
      </w:r>
      <w:r>
        <w:rPr>
          <w:color w:val="4D4D4F"/>
          <w:spacing w:val="-22"/>
          <w:w w:val="105"/>
        </w:rPr>
        <w:t xml:space="preserve"> </w:t>
      </w:r>
      <w:r>
        <w:rPr>
          <w:color w:val="4D4D4F"/>
          <w:spacing w:val="-8"/>
          <w:w w:val="105"/>
        </w:rPr>
        <w:t>Table</w:t>
      </w:r>
      <w:r>
        <w:rPr>
          <w:color w:val="4D4D4F"/>
          <w:spacing w:val="-22"/>
          <w:w w:val="105"/>
        </w:rPr>
        <w:t xml:space="preserve"> </w:t>
      </w:r>
      <w:r>
        <w:rPr>
          <w:color w:val="4D4D4F"/>
          <w:spacing w:val="-6"/>
          <w:w w:val="105"/>
        </w:rPr>
        <w:t xml:space="preserve">10: </w:t>
      </w:r>
      <w:r>
        <w:rPr>
          <w:color w:val="4D4D4F"/>
          <w:w w:val="105"/>
        </w:rPr>
        <w:t>Plots</w:t>
      </w:r>
      <w:r>
        <w:rPr>
          <w:color w:val="4D4D4F"/>
          <w:spacing w:val="-21"/>
          <w:w w:val="105"/>
        </w:rPr>
        <w:t xml:space="preserve"> </w:t>
      </w:r>
      <w:r>
        <w:rPr>
          <w:color w:val="4D4D4F"/>
          <w:w w:val="105"/>
        </w:rPr>
        <w:t>which</w:t>
      </w:r>
      <w:r>
        <w:rPr>
          <w:color w:val="4D4D4F"/>
          <w:spacing w:val="-21"/>
          <w:w w:val="105"/>
        </w:rPr>
        <w:t xml:space="preserve"> </w:t>
      </w:r>
      <w:r>
        <w:rPr>
          <w:color w:val="4D4D4F"/>
          <w:w w:val="105"/>
        </w:rPr>
        <w:t>do</w:t>
      </w:r>
      <w:r>
        <w:rPr>
          <w:color w:val="4D4D4F"/>
          <w:spacing w:val="-20"/>
          <w:w w:val="105"/>
        </w:rPr>
        <w:t xml:space="preserve"> </w:t>
      </w:r>
      <w:r>
        <w:rPr>
          <w:color w:val="4D4D4F"/>
          <w:w w:val="105"/>
        </w:rPr>
        <w:t>not</w:t>
      </w:r>
      <w:r>
        <w:rPr>
          <w:color w:val="4D4D4F"/>
          <w:spacing w:val="-21"/>
          <w:w w:val="105"/>
        </w:rPr>
        <w:t xml:space="preserve"> </w:t>
      </w:r>
      <w:r>
        <w:rPr>
          <w:color w:val="4D4D4F"/>
          <w:w w:val="105"/>
        </w:rPr>
        <w:t>conform</w:t>
      </w:r>
      <w:r>
        <w:rPr>
          <w:color w:val="4D4D4F"/>
          <w:spacing w:val="-21"/>
          <w:w w:val="105"/>
        </w:rPr>
        <w:t xml:space="preserve"> </w:t>
      </w:r>
      <w:r>
        <w:rPr>
          <w:color w:val="4D4D4F"/>
          <w:w w:val="105"/>
        </w:rPr>
        <w:t>to</w:t>
      </w:r>
      <w:r>
        <w:rPr>
          <w:color w:val="4D4D4F"/>
          <w:spacing w:val="-20"/>
          <w:w w:val="105"/>
        </w:rPr>
        <w:t xml:space="preserve"> </w:t>
      </w:r>
      <w:r>
        <w:rPr>
          <w:color w:val="4D4D4F"/>
          <w:spacing w:val="-3"/>
          <w:w w:val="105"/>
        </w:rPr>
        <w:t>any</w:t>
      </w:r>
      <w:r>
        <w:rPr>
          <w:color w:val="4D4D4F"/>
          <w:spacing w:val="-21"/>
          <w:w w:val="105"/>
        </w:rPr>
        <w:t xml:space="preserve"> </w:t>
      </w:r>
      <w:r>
        <w:rPr>
          <w:color w:val="4D4D4F"/>
          <w:spacing w:val="-3"/>
          <w:w w:val="105"/>
        </w:rPr>
        <w:t>listed</w:t>
      </w:r>
      <w:r>
        <w:rPr>
          <w:color w:val="4D4D4F"/>
          <w:spacing w:val="-21"/>
          <w:w w:val="105"/>
        </w:rPr>
        <w:t xml:space="preserve"> </w:t>
      </w:r>
      <w:r>
        <w:rPr>
          <w:color w:val="4D4D4F"/>
          <w:w w:val="105"/>
        </w:rPr>
        <w:t>structural</w:t>
      </w:r>
      <w:r>
        <w:rPr>
          <w:color w:val="4D4D4F"/>
          <w:spacing w:val="-20"/>
          <w:w w:val="105"/>
        </w:rPr>
        <w:t xml:space="preserve"> </w:t>
      </w:r>
      <w:r>
        <w:rPr>
          <w:color w:val="4D4D4F"/>
          <w:w w:val="105"/>
        </w:rPr>
        <w:t>type</w:t>
      </w:r>
      <w:r>
        <w:rPr>
          <w:color w:val="4D4D4F"/>
          <w:spacing w:val="-21"/>
          <w:w w:val="105"/>
        </w:rPr>
        <w:t xml:space="preserve"> </w:t>
      </w:r>
      <w:r>
        <w:rPr>
          <w:color w:val="4D4D4F"/>
          <w:w w:val="105"/>
        </w:rPr>
        <w:t>are</w:t>
      </w:r>
      <w:r>
        <w:rPr>
          <w:color w:val="4D4D4F"/>
          <w:spacing w:val="-21"/>
          <w:w w:val="105"/>
        </w:rPr>
        <w:t xml:space="preserve"> </w:t>
      </w:r>
      <w:r>
        <w:rPr>
          <w:color w:val="4D4D4F"/>
          <w:spacing w:val="-3"/>
          <w:w w:val="105"/>
        </w:rPr>
        <w:t>physically</w:t>
      </w:r>
      <w:r>
        <w:rPr>
          <w:color w:val="4D4D4F"/>
          <w:spacing w:val="-20"/>
          <w:w w:val="105"/>
        </w:rPr>
        <w:t xml:space="preserve"> </w:t>
      </w:r>
      <w:r>
        <w:rPr>
          <w:color w:val="4D4D4F"/>
          <w:spacing w:val="-3"/>
          <w:w w:val="105"/>
        </w:rPr>
        <w:t>possible</w:t>
      </w:r>
      <w:r>
        <w:rPr>
          <w:color w:val="4D4D4F"/>
          <w:spacing w:val="-21"/>
          <w:w w:val="105"/>
        </w:rPr>
        <w:t xml:space="preserve"> </w:t>
      </w:r>
      <w:r>
        <w:rPr>
          <w:color w:val="4D4D4F"/>
          <w:w w:val="105"/>
        </w:rPr>
        <w:t>but</w:t>
      </w:r>
      <w:r>
        <w:rPr>
          <w:color w:val="4D4D4F"/>
          <w:spacing w:val="-21"/>
          <w:w w:val="105"/>
        </w:rPr>
        <w:t xml:space="preserve"> </w:t>
      </w:r>
      <w:r>
        <w:rPr>
          <w:color w:val="4D4D4F"/>
          <w:w w:val="105"/>
        </w:rPr>
        <w:t>are known</w:t>
      </w:r>
      <w:r>
        <w:rPr>
          <w:color w:val="4D4D4F"/>
          <w:spacing w:val="-14"/>
          <w:w w:val="105"/>
        </w:rPr>
        <w:t xml:space="preserve"> </w:t>
      </w:r>
      <w:r>
        <w:rPr>
          <w:color w:val="4D4D4F"/>
          <w:w w:val="105"/>
        </w:rPr>
        <w:t>to</w:t>
      </w:r>
      <w:r>
        <w:rPr>
          <w:color w:val="4D4D4F"/>
          <w:spacing w:val="-14"/>
          <w:w w:val="105"/>
        </w:rPr>
        <w:t xml:space="preserve"> </w:t>
      </w:r>
      <w:r>
        <w:rPr>
          <w:color w:val="4D4D4F"/>
          <w:w w:val="105"/>
        </w:rPr>
        <w:t>be</w:t>
      </w:r>
      <w:r>
        <w:rPr>
          <w:color w:val="4D4D4F"/>
          <w:spacing w:val="-14"/>
          <w:w w:val="105"/>
        </w:rPr>
        <w:t xml:space="preserve"> </w:t>
      </w:r>
      <w:r>
        <w:rPr>
          <w:color w:val="4D4D4F"/>
          <w:w w:val="105"/>
        </w:rPr>
        <w:t>exceedingly</w:t>
      </w:r>
      <w:r>
        <w:rPr>
          <w:color w:val="4D4D4F"/>
          <w:spacing w:val="-14"/>
          <w:w w:val="105"/>
        </w:rPr>
        <w:t xml:space="preserve"> </w:t>
      </w:r>
      <w:r>
        <w:rPr>
          <w:color w:val="4D4D4F"/>
          <w:w w:val="105"/>
        </w:rPr>
        <w:t>rare.</w:t>
      </w:r>
      <w:r>
        <w:rPr>
          <w:color w:val="4D4D4F"/>
          <w:spacing w:val="-14"/>
          <w:w w:val="105"/>
        </w:rPr>
        <w:t xml:space="preserve"> </w:t>
      </w:r>
      <w:r>
        <w:rPr>
          <w:color w:val="4D4D4F"/>
          <w:w w:val="105"/>
        </w:rPr>
        <w:t>Any</w:t>
      </w:r>
      <w:r>
        <w:rPr>
          <w:color w:val="4D4D4F"/>
          <w:spacing w:val="-14"/>
          <w:w w:val="105"/>
        </w:rPr>
        <w:t xml:space="preserve"> </w:t>
      </w:r>
      <w:r>
        <w:rPr>
          <w:color w:val="4D4D4F"/>
          <w:w w:val="105"/>
        </w:rPr>
        <w:t>such</w:t>
      </w:r>
      <w:r>
        <w:rPr>
          <w:color w:val="4D4D4F"/>
          <w:spacing w:val="-14"/>
          <w:w w:val="105"/>
        </w:rPr>
        <w:t xml:space="preserve"> </w:t>
      </w:r>
      <w:r>
        <w:rPr>
          <w:color w:val="4D4D4F"/>
          <w:w w:val="105"/>
        </w:rPr>
        <w:t>plots</w:t>
      </w:r>
      <w:r>
        <w:rPr>
          <w:color w:val="4D4D4F"/>
          <w:spacing w:val="-14"/>
          <w:w w:val="105"/>
        </w:rPr>
        <w:t xml:space="preserve"> </w:t>
      </w:r>
      <w:r>
        <w:rPr>
          <w:color w:val="4D4D4F"/>
          <w:w w:val="105"/>
        </w:rPr>
        <w:t>should</w:t>
      </w:r>
      <w:r>
        <w:rPr>
          <w:color w:val="4D4D4F"/>
          <w:spacing w:val="-14"/>
          <w:w w:val="105"/>
        </w:rPr>
        <w:t xml:space="preserve"> </w:t>
      </w:r>
      <w:r>
        <w:rPr>
          <w:color w:val="4D4D4F"/>
          <w:w w:val="105"/>
        </w:rPr>
        <w:t>be</w:t>
      </w:r>
      <w:r>
        <w:rPr>
          <w:color w:val="4D4D4F"/>
          <w:spacing w:val="-14"/>
          <w:w w:val="105"/>
        </w:rPr>
        <w:t xml:space="preserve"> </w:t>
      </w:r>
      <w:r>
        <w:rPr>
          <w:color w:val="4D4D4F"/>
          <w:w w:val="105"/>
        </w:rPr>
        <w:t>ignored</w:t>
      </w:r>
      <w:r>
        <w:rPr>
          <w:color w:val="4D4D4F"/>
          <w:spacing w:val="-13"/>
          <w:w w:val="105"/>
        </w:rPr>
        <w:t xml:space="preserve"> </w:t>
      </w:r>
      <w:r>
        <w:rPr>
          <w:color w:val="4D4D4F"/>
          <w:w w:val="105"/>
        </w:rPr>
        <w:t>when</w:t>
      </w:r>
      <w:r>
        <w:rPr>
          <w:color w:val="4D4D4F"/>
          <w:spacing w:val="-14"/>
          <w:w w:val="105"/>
        </w:rPr>
        <w:t xml:space="preserve"> </w:t>
      </w:r>
      <w:r>
        <w:rPr>
          <w:color w:val="4D4D4F"/>
          <w:w w:val="105"/>
        </w:rPr>
        <w:t>assessing</w:t>
      </w:r>
      <w:r>
        <w:rPr>
          <w:color w:val="4D4D4F"/>
          <w:spacing w:val="-14"/>
          <w:w w:val="105"/>
        </w:rPr>
        <w:t xml:space="preserve"> </w:t>
      </w:r>
      <w:r>
        <w:rPr>
          <w:color w:val="4D4D4F"/>
          <w:w w:val="105"/>
        </w:rPr>
        <w:t>the structural</w:t>
      </w:r>
      <w:r>
        <w:rPr>
          <w:color w:val="4D4D4F"/>
          <w:spacing w:val="-15"/>
          <w:w w:val="105"/>
        </w:rPr>
        <w:t xml:space="preserve"> </w:t>
      </w:r>
      <w:r>
        <w:rPr>
          <w:color w:val="4D4D4F"/>
          <w:w w:val="105"/>
        </w:rPr>
        <w:t>KPI</w:t>
      </w:r>
      <w:r>
        <w:rPr>
          <w:color w:val="4D4D4F"/>
          <w:spacing w:val="-14"/>
          <w:w w:val="105"/>
        </w:rPr>
        <w:t xml:space="preserve"> </w:t>
      </w:r>
      <w:r>
        <w:rPr>
          <w:color w:val="4D4D4F"/>
          <w:w w:val="105"/>
        </w:rPr>
        <w:t>(i.e.</w:t>
      </w:r>
      <w:r>
        <w:rPr>
          <w:color w:val="4D4D4F"/>
          <w:spacing w:val="-15"/>
          <w:w w:val="105"/>
        </w:rPr>
        <w:t xml:space="preserve"> </w:t>
      </w:r>
      <w:r>
        <w:rPr>
          <w:color w:val="4D4D4F"/>
          <w:w w:val="105"/>
        </w:rPr>
        <w:t>atypical</w:t>
      </w:r>
      <w:r>
        <w:rPr>
          <w:color w:val="4D4D4F"/>
          <w:spacing w:val="-14"/>
          <w:w w:val="105"/>
        </w:rPr>
        <w:t xml:space="preserve"> </w:t>
      </w:r>
      <w:r>
        <w:rPr>
          <w:color w:val="4D4D4F"/>
          <w:w w:val="105"/>
        </w:rPr>
        <w:t>plots</w:t>
      </w:r>
      <w:r>
        <w:rPr>
          <w:color w:val="4D4D4F"/>
          <w:spacing w:val="-15"/>
          <w:w w:val="105"/>
        </w:rPr>
        <w:t xml:space="preserve"> </w:t>
      </w:r>
      <w:r>
        <w:rPr>
          <w:color w:val="4D4D4F"/>
          <w:w w:val="105"/>
        </w:rPr>
        <w:t>are</w:t>
      </w:r>
      <w:r>
        <w:rPr>
          <w:color w:val="4D4D4F"/>
          <w:spacing w:val="-14"/>
          <w:w w:val="105"/>
        </w:rPr>
        <w:t xml:space="preserve"> </w:t>
      </w:r>
      <w:r>
        <w:rPr>
          <w:color w:val="4D4D4F"/>
          <w:w w:val="105"/>
        </w:rPr>
        <w:t>considered</w:t>
      </w:r>
      <w:r>
        <w:rPr>
          <w:color w:val="4D4D4F"/>
          <w:spacing w:val="-14"/>
          <w:w w:val="105"/>
        </w:rPr>
        <w:t xml:space="preserve"> </w:t>
      </w:r>
      <w:r>
        <w:rPr>
          <w:color w:val="4D4D4F"/>
          <w:w w:val="105"/>
        </w:rPr>
        <w:t>neither</w:t>
      </w:r>
      <w:r>
        <w:rPr>
          <w:color w:val="4D4D4F"/>
          <w:spacing w:val="-15"/>
          <w:w w:val="105"/>
        </w:rPr>
        <w:t xml:space="preserve"> </w:t>
      </w:r>
      <w:r>
        <w:rPr>
          <w:color w:val="4D4D4F"/>
          <w:w w:val="105"/>
        </w:rPr>
        <w:t>desirable</w:t>
      </w:r>
      <w:r>
        <w:rPr>
          <w:color w:val="4D4D4F"/>
          <w:spacing w:val="-14"/>
          <w:w w:val="105"/>
        </w:rPr>
        <w:t xml:space="preserve"> </w:t>
      </w:r>
      <w:r>
        <w:rPr>
          <w:color w:val="4D4D4F"/>
          <w:w w:val="105"/>
        </w:rPr>
        <w:t>nor</w:t>
      </w:r>
      <w:r>
        <w:rPr>
          <w:color w:val="4D4D4F"/>
          <w:spacing w:val="-15"/>
          <w:w w:val="105"/>
        </w:rPr>
        <w:t xml:space="preserve"> </w:t>
      </w:r>
      <w:r>
        <w:rPr>
          <w:color w:val="4D4D4F"/>
          <w:w w:val="105"/>
        </w:rPr>
        <w:t>undesirable</w:t>
      </w:r>
      <w:r>
        <w:rPr>
          <w:color w:val="4D4D4F"/>
          <w:spacing w:val="-14"/>
          <w:w w:val="105"/>
        </w:rPr>
        <w:t xml:space="preserve"> </w:t>
      </w:r>
      <w:r>
        <w:rPr>
          <w:color w:val="4D4D4F"/>
          <w:w w:val="105"/>
        </w:rPr>
        <w:t>in the structural</w:t>
      </w:r>
      <w:r>
        <w:rPr>
          <w:color w:val="4D4D4F"/>
          <w:spacing w:val="2"/>
          <w:w w:val="105"/>
        </w:rPr>
        <w:t xml:space="preserve"> </w:t>
      </w:r>
      <w:r>
        <w:rPr>
          <w:color w:val="4D4D4F"/>
          <w:w w:val="105"/>
        </w:rPr>
        <w:t>mix).</w:t>
      </w:r>
    </w:p>
    <w:p w14:paraId="65A0C2A8" w14:textId="77777777" w:rsidR="00EF5B27" w:rsidRDefault="00EF5B27">
      <w:pPr>
        <w:spacing w:line="254" w:lineRule="auto"/>
        <w:sectPr w:rsidR="00EF5B27">
          <w:pgSz w:w="11910" w:h="16840"/>
          <w:pgMar w:top="1080" w:right="1020" w:bottom="860" w:left="1020" w:header="537" w:footer="678" w:gutter="0"/>
          <w:cols w:space="720"/>
        </w:sectPr>
      </w:pPr>
    </w:p>
    <w:p w14:paraId="63588836" w14:textId="77777777" w:rsidR="00EF5B27" w:rsidRDefault="00000000">
      <w:pPr>
        <w:pStyle w:val="BodyText"/>
      </w:pPr>
      <w:r>
        <w:lastRenderedPageBreak/>
        <w:pict w14:anchorId="7F011062">
          <v:group id="_x0000_s2267" style="position:absolute;margin-left:587.05pt;margin-top:183.4pt;width:8.25pt;height:153.1pt;z-index:251795968;mso-position-horizontal-relative:page;mso-position-vertical-relative:page" coordorigin="11741,3668" coordsize="165,3062">
            <v:shape id="_x0000_s2274" style="position:absolute;left:11741;top:3668;width:165;height:561" coordorigin="11741,3668" coordsize="165,561" path="m11906,3668r-165,l11741,4228r165,-18l11906,3668xe" fillcolor="#00aed9" stroked="f">
              <v:path arrowok="t"/>
            </v:shape>
            <v:shape id="_x0000_s2273" style="position:absolute;left:11741;top:4118;width:165;height:425" coordorigin="11741,4118" coordsize="165,425" path="m11906,4118r-165,14l11741,4531r165,12l11906,4118xe" fillcolor="#047ebc" stroked="f">
              <v:path arrowok="t"/>
            </v:shape>
            <v:shape id="_x0000_s2272" type="#_x0000_t75" style="position:absolute;left:11741;top:4355;width:165;height:587">
              <v:imagedata r:id="rId42" o:title=""/>
            </v:shape>
            <v:shape id="_x0000_s2271" style="position:absolute;left:11741;top:5343;width:165;height:536" coordorigin="11741,5343" coordsize="165,536" path="m11741,5343r,535l11906,5872r,-525l11741,5343xe" fillcolor="#f36a2e" stroked="f">
              <v:path arrowok="t"/>
            </v:shape>
            <v:shape id="_x0000_s2270" style="position:absolute;left:11741;top:4925;width:165;height:501" coordorigin="11741,4926" coordsize="165,501" path="m11741,4926r,500l11906,5426r,-485l11741,4926xe" fillcolor="#49783f" stroked="f">
              <v:path arrowok="t"/>
            </v:shape>
            <v:shape id="_x0000_s2269" style="position:absolute;left:11741;top:5781;width:165;height:268" coordorigin="11741,5782" coordsize="165,268" path="m11906,5782r-165,8l11741,6039r165,10l11906,5782xe" fillcolor="#f99f2a" stroked="f">
              <v:path arrowok="t"/>
            </v:shape>
            <v:shape id="_x0000_s2268" style="position:absolute;left:11741;top:6023;width:165;height:707" coordorigin="11741,6023" coordsize="165,707" path="m11741,6023r,706l11906,6729r,-690l11741,6023xe" fillcolor="#ef412c" stroked="f">
              <v:path arrowok="t"/>
            </v:shape>
            <w10:wrap anchorx="page" anchory="page"/>
          </v:group>
        </w:pict>
      </w:r>
    </w:p>
    <w:p w14:paraId="566E7002" w14:textId="77777777" w:rsidR="00EF5B27" w:rsidRDefault="00EF5B27">
      <w:pPr>
        <w:pStyle w:val="BodyText"/>
      </w:pPr>
    </w:p>
    <w:p w14:paraId="65CBE83F" w14:textId="77777777" w:rsidR="00EF5B27" w:rsidRDefault="00EF5B27">
      <w:pPr>
        <w:pStyle w:val="BodyText"/>
      </w:pPr>
    </w:p>
    <w:p w14:paraId="5A99ABD3" w14:textId="77777777" w:rsidR="00EF5B27" w:rsidRDefault="00EF5B27">
      <w:pPr>
        <w:pStyle w:val="BodyText"/>
      </w:pPr>
    </w:p>
    <w:p w14:paraId="5461AFEB" w14:textId="77777777" w:rsidR="00EF5B27" w:rsidRDefault="00EF5B27">
      <w:pPr>
        <w:pStyle w:val="BodyText"/>
        <w:spacing w:before="8"/>
        <w:rPr>
          <w:sz w:val="19"/>
        </w:rPr>
      </w:pPr>
    </w:p>
    <w:p w14:paraId="42A6A449" w14:textId="77777777" w:rsidR="00EF5B27" w:rsidRDefault="00000000">
      <w:pPr>
        <w:tabs>
          <w:tab w:val="left" w:pos="8977"/>
        </w:tabs>
        <w:ind w:left="2608"/>
        <w:rPr>
          <w:rFonts w:ascii="Century Gothic"/>
          <w:i/>
          <w:sz w:val="12"/>
        </w:rPr>
      </w:pPr>
      <w:bookmarkStart w:id="126" w:name="_bookmark80"/>
      <w:bookmarkEnd w:id="126"/>
      <w:r>
        <w:rPr>
          <w:color w:val="4D4D4F"/>
          <w:sz w:val="16"/>
        </w:rPr>
        <w:t>Table 10: Definitions of woodland</w:t>
      </w:r>
      <w:r>
        <w:rPr>
          <w:color w:val="4D4D4F"/>
          <w:spacing w:val="14"/>
          <w:sz w:val="16"/>
        </w:rPr>
        <w:t xml:space="preserve"> </w:t>
      </w:r>
      <w:r>
        <w:rPr>
          <w:color w:val="4D4D4F"/>
          <w:spacing w:val="2"/>
          <w:sz w:val="16"/>
        </w:rPr>
        <w:t>structural</w:t>
      </w:r>
      <w:r>
        <w:rPr>
          <w:color w:val="4D4D4F"/>
          <w:spacing w:val="3"/>
          <w:sz w:val="16"/>
        </w:rPr>
        <w:t xml:space="preserve"> </w:t>
      </w:r>
      <w:r>
        <w:rPr>
          <w:color w:val="4D4D4F"/>
          <w:spacing w:val="2"/>
          <w:sz w:val="16"/>
        </w:rPr>
        <w:t>types</w:t>
      </w:r>
      <w:r>
        <w:rPr>
          <w:color w:val="4D4D4F"/>
          <w:spacing w:val="2"/>
          <w:sz w:val="16"/>
        </w:rPr>
        <w:tab/>
      </w:r>
      <w:r>
        <w:rPr>
          <w:rFonts w:ascii="Century Gothic"/>
          <w:i/>
          <w:color w:val="4D4D4F"/>
          <w:sz w:val="12"/>
        </w:rPr>
        <w:t>Source:</w:t>
      </w:r>
      <w:r>
        <w:rPr>
          <w:rFonts w:ascii="Century Gothic"/>
          <w:i/>
          <w:color w:val="4D4D4F"/>
          <w:spacing w:val="-22"/>
          <w:sz w:val="12"/>
        </w:rPr>
        <w:t xml:space="preserve"> </w:t>
      </w:r>
      <w:r>
        <w:rPr>
          <w:rFonts w:ascii="Century Gothic"/>
          <w:i/>
          <w:color w:val="4D4D4F"/>
          <w:sz w:val="12"/>
        </w:rPr>
        <w:t>DELWP</w:t>
      </w:r>
    </w:p>
    <w:p w14:paraId="0DF95D2A" w14:textId="77777777" w:rsidR="00EF5B27" w:rsidRDefault="00EF5B27">
      <w:pPr>
        <w:pStyle w:val="BodyText"/>
        <w:spacing w:before="3"/>
        <w:rPr>
          <w:rFonts w:ascii="Century Gothic"/>
          <w:i/>
          <w:sz w:val="6"/>
        </w:rPr>
      </w:pPr>
    </w:p>
    <w:tbl>
      <w:tblPr>
        <w:tblW w:w="0" w:type="auto"/>
        <w:tblInd w:w="12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3005"/>
        <w:gridCol w:w="2211"/>
        <w:gridCol w:w="2211"/>
        <w:gridCol w:w="2211"/>
      </w:tblGrid>
      <w:tr w:rsidR="00EF5B27" w14:paraId="66A7B1AC" w14:textId="77777777">
        <w:trPr>
          <w:trHeight w:val="505"/>
        </w:trPr>
        <w:tc>
          <w:tcPr>
            <w:tcW w:w="3005" w:type="dxa"/>
            <w:shd w:val="clear" w:color="auto" w:fill="FECC91"/>
          </w:tcPr>
          <w:p w14:paraId="3277C32A" w14:textId="77777777" w:rsidR="00EF5B27" w:rsidRDefault="00000000">
            <w:pPr>
              <w:pStyle w:val="TableParagraph"/>
              <w:spacing w:before="162"/>
              <w:ind w:left="776" w:right="772"/>
              <w:jc w:val="center"/>
              <w:rPr>
                <w:b/>
                <w:sz w:val="16"/>
              </w:rPr>
            </w:pPr>
            <w:r>
              <w:rPr>
                <w:b/>
                <w:sz w:val="16"/>
              </w:rPr>
              <w:t>Structural type</w:t>
            </w:r>
          </w:p>
        </w:tc>
        <w:tc>
          <w:tcPr>
            <w:tcW w:w="2211" w:type="dxa"/>
            <w:shd w:val="clear" w:color="auto" w:fill="FECC91"/>
          </w:tcPr>
          <w:p w14:paraId="3786F0DC" w14:textId="77777777" w:rsidR="00EF5B27" w:rsidRDefault="00000000">
            <w:pPr>
              <w:pStyle w:val="TableParagraph"/>
              <w:spacing w:before="162"/>
              <w:ind w:left="197" w:right="193"/>
              <w:jc w:val="center"/>
              <w:rPr>
                <w:b/>
                <w:sz w:val="16"/>
              </w:rPr>
            </w:pPr>
            <w:r>
              <w:rPr>
                <w:b/>
                <w:w w:val="105"/>
                <w:sz w:val="16"/>
              </w:rPr>
              <w:t>Saplings / shrubs per plot</w:t>
            </w:r>
          </w:p>
        </w:tc>
        <w:tc>
          <w:tcPr>
            <w:tcW w:w="2211" w:type="dxa"/>
            <w:shd w:val="clear" w:color="auto" w:fill="FECC91"/>
          </w:tcPr>
          <w:p w14:paraId="4ED2F027" w14:textId="77777777" w:rsidR="00EF5B27" w:rsidRDefault="00000000">
            <w:pPr>
              <w:pStyle w:val="TableParagraph"/>
              <w:spacing w:before="162"/>
              <w:ind w:left="197" w:right="193"/>
              <w:jc w:val="center"/>
              <w:rPr>
                <w:b/>
                <w:sz w:val="16"/>
              </w:rPr>
            </w:pPr>
            <w:r>
              <w:rPr>
                <w:b/>
                <w:w w:val="105"/>
                <w:sz w:val="16"/>
              </w:rPr>
              <w:t>Trunks per plot</w:t>
            </w:r>
          </w:p>
        </w:tc>
        <w:tc>
          <w:tcPr>
            <w:tcW w:w="2211" w:type="dxa"/>
            <w:shd w:val="clear" w:color="auto" w:fill="FECC91"/>
          </w:tcPr>
          <w:p w14:paraId="0D53E5E8" w14:textId="77777777" w:rsidR="00EF5B27" w:rsidRDefault="00000000">
            <w:pPr>
              <w:pStyle w:val="TableParagraph"/>
              <w:spacing w:before="162"/>
              <w:ind w:left="197" w:right="192"/>
              <w:jc w:val="center"/>
              <w:rPr>
                <w:b/>
                <w:sz w:val="16"/>
              </w:rPr>
            </w:pPr>
            <w:r>
              <w:rPr>
                <w:b/>
                <w:sz w:val="16"/>
              </w:rPr>
              <w:t>Canopy cover</w:t>
            </w:r>
          </w:p>
        </w:tc>
      </w:tr>
      <w:tr w:rsidR="00EF5B27" w14:paraId="23E6C27A" w14:textId="77777777">
        <w:trPr>
          <w:trHeight w:val="391"/>
        </w:trPr>
        <w:tc>
          <w:tcPr>
            <w:tcW w:w="3005" w:type="dxa"/>
          </w:tcPr>
          <w:p w14:paraId="4A57FCC2" w14:textId="77777777" w:rsidR="00EF5B27" w:rsidRDefault="00000000">
            <w:pPr>
              <w:pStyle w:val="TableParagraph"/>
              <w:spacing w:before="117"/>
              <w:ind w:left="776" w:right="772"/>
              <w:jc w:val="center"/>
              <w:rPr>
                <w:sz w:val="14"/>
              </w:rPr>
            </w:pPr>
            <w:r>
              <w:rPr>
                <w:color w:val="4D4D4F"/>
                <w:sz w:val="14"/>
              </w:rPr>
              <w:t>Multi-layered vegetation</w:t>
            </w:r>
          </w:p>
        </w:tc>
        <w:tc>
          <w:tcPr>
            <w:tcW w:w="2211" w:type="dxa"/>
          </w:tcPr>
          <w:p w14:paraId="2C88802F" w14:textId="77777777" w:rsidR="00EF5B27" w:rsidRDefault="00000000">
            <w:pPr>
              <w:pStyle w:val="TableParagraph"/>
              <w:spacing w:before="117"/>
              <w:ind w:left="197" w:right="193"/>
              <w:jc w:val="center"/>
              <w:rPr>
                <w:sz w:val="14"/>
              </w:rPr>
            </w:pPr>
            <w:r>
              <w:rPr>
                <w:color w:val="4D4D4F"/>
                <w:sz w:val="14"/>
              </w:rPr>
              <w:t>10 – 200</w:t>
            </w:r>
          </w:p>
        </w:tc>
        <w:tc>
          <w:tcPr>
            <w:tcW w:w="2211" w:type="dxa"/>
          </w:tcPr>
          <w:p w14:paraId="0BAA5F86" w14:textId="77777777" w:rsidR="00EF5B27" w:rsidRDefault="00000000">
            <w:pPr>
              <w:pStyle w:val="TableParagraph"/>
              <w:spacing w:before="117"/>
              <w:ind w:left="197" w:right="193"/>
              <w:jc w:val="center"/>
              <w:rPr>
                <w:sz w:val="14"/>
              </w:rPr>
            </w:pPr>
            <w:r>
              <w:rPr>
                <w:color w:val="4D4D4F"/>
                <w:sz w:val="14"/>
              </w:rPr>
              <w:t>&gt;0</w:t>
            </w:r>
          </w:p>
        </w:tc>
        <w:tc>
          <w:tcPr>
            <w:tcW w:w="2211" w:type="dxa"/>
          </w:tcPr>
          <w:p w14:paraId="221F3FFE" w14:textId="77777777" w:rsidR="00EF5B27" w:rsidRDefault="00000000">
            <w:pPr>
              <w:pStyle w:val="TableParagraph"/>
              <w:spacing w:before="117"/>
              <w:ind w:left="192" w:right="193"/>
              <w:jc w:val="center"/>
              <w:rPr>
                <w:sz w:val="14"/>
              </w:rPr>
            </w:pPr>
            <w:r>
              <w:rPr>
                <w:color w:val="4D4D4F"/>
                <w:sz w:val="14"/>
              </w:rPr>
              <w:t>&gt;1</w:t>
            </w:r>
          </w:p>
        </w:tc>
      </w:tr>
      <w:tr w:rsidR="00EF5B27" w14:paraId="36A60837" w14:textId="77777777">
        <w:trPr>
          <w:trHeight w:val="391"/>
        </w:trPr>
        <w:tc>
          <w:tcPr>
            <w:tcW w:w="3005" w:type="dxa"/>
          </w:tcPr>
          <w:p w14:paraId="66BF7592" w14:textId="77777777" w:rsidR="00EF5B27" w:rsidRDefault="00000000">
            <w:pPr>
              <w:pStyle w:val="TableParagraph"/>
              <w:spacing w:before="117"/>
              <w:ind w:left="776" w:right="772"/>
              <w:jc w:val="center"/>
              <w:rPr>
                <w:sz w:val="14"/>
              </w:rPr>
            </w:pPr>
            <w:r>
              <w:rPr>
                <w:color w:val="4D4D4F"/>
                <w:sz w:val="14"/>
              </w:rPr>
              <w:t>Open vegetation</w:t>
            </w:r>
          </w:p>
        </w:tc>
        <w:tc>
          <w:tcPr>
            <w:tcW w:w="2211" w:type="dxa"/>
          </w:tcPr>
          <w:p w14:paraId="5A0E452B" w14:textId="77777777" w:rsidR="00EF5B27" w:rsidRDefault="00000000">
            <w:pPr>
              <w:pStyle w:val="TableParagraph"/>
              <w:spacing w:before="117"/>
              <w:ind w:left="193" w:right="193"/>
              <w:jc w:val="center"/>
              <w:rPr>
                <w:sz w:val="14"/>
              </w:rPr>
            </w:pPr>
            <w:r>
              <w:rPr>
                <w:color w:val="4D4D4F"/>
                <w:sz w:val="14"/>
              </w:rPr>
              <w:t>&lt;10</w:t>
            </w:r>
          </w:p>
        </w:tc>
        <w:tc>
          <w:tcPr>
            <w:tcW w:w="2211" w:type="dxa"/>
          </w:tcPr>
          <w:p w14:paraId="7080685F" w14:textId="77777777" w:rsidR="00EF5B27" w:rsidRDefault="00000000">
            <w:pPr>
              <w:pStyle w:val="TableParagraph"/>
              <w:spacing w:before="117"/>
              <w:ind w:left="4"/>
              <w:jc w:val="center"/>
              <w:rPr>
                <w:sz w:val="14"/>
              </w:rPr>
            </w:pPr>
            <w:r>
              <w:rPr>
                <w:color w:val="4D4D4F"/>
                <w:w w:val="96"/>
                <w:sz w:val="14"/>
              </w:rPr>
              <w:t>0</w:t>
            </w:r>
          </w:p>
        </w:tc>
        <w:tc>
          <w:tcPr>
            <w:tcW w:w="2211" w:type="dxa"/>
          </w:tcPr>
          <w:p w14:paraId="0930F7FB" w14:textId="77777777" w:rsidR="00EF5B27" w:rsidRDefault="00000000">
            <w:pPr>
              <w:pStyle w:val="TableParagraph"/>
              <w:spacing w:before="117"/>
              <w:ind w:left="195" w:right="193"/>
              <w:jc w:val="center"/>
              <w:rPr>
                <w:sz w:val="14"/>
              </w:rPr>
            </w:pPr>
            <w:r>
              <w:rPr>
                <w:color w:val="4D4D4F"/>
                <w:sz w:val="14"/>
              </w:rPr>
              <w:t>&lt;1</w:t>
            </w:r>
          </w:p>
        </w:tc>
      </w:tr>
      <w:tr w:rsidR="00EF5B27" w14:paraId="3922D6C4" w14:textId="77777777">
        <w:trPr>
          <w:trHeight w:val="391"/>
        </w:trPr>
        <w:tc>
          <w:tcPr>
            <w:tcW w:w="3005" w:type="dxa"/>
          </w:tcPr>
          <w:p w14:paraId="1A95EA05" w14:textId="77777777" w:rsidR="00EF5B27" w:rsidRDefault="00000000">
            <w:pPr>
              <w:pStyle w:val="TableParagraph"/>
              <w:spacing w:before="117"/>
              <w:ind w:left="776" w:right="772"/>
              <w:jc w:val="center"/>
              <w:rPr>
                <w:sz w:val="14"/>
              </w:rPr>
            </w:pPr>
            <w:r>
              <w:rPr>
                <w:color w:val="4D4D4F"/>
                <w:sz w:val="14"/>
              </w:rPr>
              <w:t>Park-like vegetation</w:t>
            </w:r>
          </w:p>
        </w:tc>
        <w:tc>
          <w:tcPr>
            <w:tcW w:w="2211" w:type="dxa"/>
          </w:tcPr>
          <w:p w14:paraId="043F7299" w14:textId="77777777" w:rsidR="00EF5B27" w:rsidRDefault="00000000">
            <w:pPr>
              <w:pStyle w:val="TableParagraph"/>
              <w:spacing w:before="117"/>
              <w:ind w:left="193" w:right="193"/>
              <w:jc w:val="center"/>
              <w:rPr>
                <w:sz w:val="14"/>
              </w:rPr>
            </w:pPr>
            <w:r>
              <w:rPr>
                <w:color w:val="4D4D4F"/>
                <w:sz w:val="14"/>
              </w:rPr>
              <w:t>&lt;10</w:t>
            </w:r>
          </w:p>
        </w:tc>
        <w:tc>
          <w:tcPr>
            <w:tcW w:w="2211" w:type="dxa"/>
          </w:tcPr>
          <w:p w14:paraId="111C1494" w14:textId="77777777" w:rsidR="00EF5B27" w:rsidRDefault="00000000">
            <w:pPr>
              <w:pStyle w:val="TableParagraph"/>
              <w:spacing w:before="117"/>
              <w:ind w:left="197" w:right="193"/>
              <w:jc w:val="center"/>
              <w:rPr>
                <w:sz w:val="14"/>
              </w:rPr>
            </w:pPr>
            <w:r>
              <w:rPr>
                <w:color w:val="4D4D4F"/>
                <w:sz w:val="14"/>
              </w:rPr>
              <w:t>&gt;0</w:t>
            </w:r>
          </w:p>
        </w:tc>
        <w:tc>
          <w:tcPr>
            <w:tcW w:w="2211" w:type="dxa"/>
          </w:tcPr>
          <w:p w14:paraId="7D4E1FB1" w14:textId="77777777" w:rsidR="00EF5B27" w:rsidRDefault="00000000">
            <w:pPr>
              <w:pStyle w:val="TableParagraph"/>
              <w:spacing w:before="117"/>
              <w:ind w:left="191" w:right="193"/>
              <w:jc w:val="center"/>
              <w:rPr>
                <w:sz w:val="14"/>
              </w:rPr>
            </w:pPr>
            <w:r>
              <w:rPr>
                <w:color w:val="4D4D4F"/>
                <w:sz w:val="14"/>
              </w:rPr>
              <w:t>&gt;1</w:t>
            </w:r>
          </w:p>
        </w:tc>
      </w:tr>
      <w:tr w:rsidR="00EF5B27" w14:paraId="13F05FBE" w14:textId="77777777">
        <w:trPr>
          <w:trHeight w:val="391"/>
        </w:trPr>
        <w:tc>
          <w:tcPr>
            <w:tcW w:w="3005" w:type="dxa"/>
          </w:tcPr>
          <w:p w14:paraId="0895F4A6" w14:textId="77777777" w:rsidR="00EF5B27" w:rsidRDefault="00000000">
            <w:pPr>
              <w:pStyle w:val="TableParagraph"/>
              <w:spacing w:before="117"/>
              <w:ind w:left="776" w:right="772"/>
              <w:jc w:val="center"/>
              <w:rPr>
                <w:sz w:val="14"/>
              </w:rPr>
            </w:pPr>
            <w:r>
              <w:rPr>
                <w:color w:val="4D4D4F"/>
                <w:sz w:val="14"/>
              </w:rPr>
              <w:t>Vigorous regeneration</w:t>
            </w:r>
          </w:p>
        </w:tc>
        <w:tc>
          <w:tcPr>
            <w:tcW w:w="2211" w:type="dxa"/>
          </w:tcPr>
          <w:p w14:paraId="7BD736CE" w14:textId="77777777" w:rsidR="00EF5B27" w:rsidRDefault="00000000">
            <w:pPr>
              <w:pStyle w:val="TableParagraph"/>
              <w:spacing w:before="117"/>
              <w:ind w:left="197" w:right="193"/>
              <w:jc w:val="center"/>
              <w:rPr>
                <w:sz w:val="14"/>
              </w:rPr>
            </w:pPr>
            <w:r>
              <w:rPr>
                <w:color w:val="4D4D4F"/>
                <w:sz w:val="14"/>
              </w:rPr>
              <w:t>&gt;200</w:t>
            </w:r>
          </w:p>
        </w:tc>
        <w:tc>
          <w:tcPr>
            <w:tcW w:w="2211" w:type="dxa"/>
          </w:tcPr>
          <w:p w14:paraId="0A5E6703" w14:textId="77777777" w:rsidR="00EF5B27" w:rsidRDefault="00000000">
            <w:pPr>
              <w:pStyle w:val="TableParagraph"/>
              <w:spacing w:before="117"/>
              <w:ind w:left="197" w:right="193"/>
              <w:jc w:val="center"/>
              <w:rPr>
                <w:sz w:val="14"/>
              </w:rPr>
            </w:pPr>
            <w:r>
              <w:rPr>
                <w:color w:val="4D4D4F"/>
                <w:sz w:val="14"/>
              </w:rPr>
              <w:t>any number</w:t>
            </w:r>
          </w:p>
        </w:tc>
        <w:tc>
          <w:tcPr>
            <w:tcW w:w="2211" w:type="dxa"/>
          </w:tcPr>
          <w:p w14:paraId="62A2A066" w14:textId="77777777" w:rsidR="00EF5B27" w:rsidRDefault="00000000">
            <w:pPr>
              <w:pStyle w:val="TableParagraph"/>
              <w:spacing w:before="117"/>
              <w:ind w:left="197" w:right="193"/>
              <w:jc w:val="center"/>
              <w:rPr>
                <w:sz w:val="14"/>
              </w:rPr>
            </w:pPr>
            <w:r>
              <w:rPr>
                <w:color w:val="4D4D4F"/>
                <w:sz w:val="14"/>
              </w:rPr>
              <w:t>any number</w:t>
            </w:r>
          </w:p>
        </w:tc>
      </w:tr>
    </w:tbl>
    <w:p w14:paraId="0795CB14" w14:textId="77777777" w:rsidR="00EF5B27" w:rsidRDefault="00EF5B27">
      <w:pPr>
        <w:pStyle w:val="BodyText"/>
        <w:rPr>
          <w:rFonts w:ascii="Century Gothic"/>
          <w:i/>
        </w:rPr>
      </w:pPr>
    </w:p>
    <w:p w14:paraId="189C6395" w14:textId="77777777" w:rsidR="00EF5B27" w:rsidRDefault="00000000">
      <w:pPr>
        <w:spacing w:before="160"/>
        <w:ind w:left="2608"/>
        <w:rPr>
          <w:b/>
          <w:sz w:val="28"/>
        </w:rPr>
      </w:pPr>
      <w:r>
        <w:rPr>
          <w:b/>
          <w:color w:val="F99F2A"/>
          <w:sz w:val="28"/>
        </w:rPr>
        <w:t>Changes to the MRF</w:t>
      </w:r>
    </w:p>
    <w:p w14:paraId="42A51023" w14:textId="77777777" w:rsidR="00EF5B27" w:rsidRDefault="00EF5B27">
      <w:pPr>
        <w:pStyle w:val="BodyText"/>
        <w:spacing w:before="5"/>
        <w:rPr>
          <w:b/>
          <w:sz w:val="27"/>
        </w:rPr>
      </w:pPr>
    </w:p>
    <w:p w14:paraId="5168F3B8" w14:textId="77777777" w:rsidR="00EF5B27" w:rsidRDefault="00000000">
      <w:pPr>
        <w:pStyle w:val="BodyText"/>
        <w:spacing w:line="254" w:lineRule="auto"/>
        <w:ind w:left="2608"/>
      </w:pPr>
      <w:r>
        <w:rPr>
          <w:color w:val="4D4D4F"/>
        </w:rPr>
        <w:t>No changes have been adopted for Grassy Eucalypt Woodland since the MRF was published in 2015.</w:t>
      </w:r>
    </w:p>
    <w:p w14:paraId="425AADFD" w14:textId="77777777" w:rsidR="00EF5B27" w:rsidRDefault="00EF5B27">
      <w:pPr>
        <w:pStyle w:val="BodyText"/>
        <w:spacing w:before="11"/>
        <w:rPr>
          <w:sz w:val="25"/>
        </w:rPr>
      </w:pPr>
    </w:p>
    <w:p w14:paraId="2BD19C14" w14:textId="77777777" w:rsidR="00EF5B27" w:rsidRDefault="00000000">
      <w:pPr>
        <w:pStyle w:val="Heading2"/>
        <w:spacing w:before="1"/>
      </w:pPr>
      <w:r>
        <w:rPr>
          <w:color w:val="F99F2A"/>
        </w:rPr>
        <w:t>MNES 3: Seasonal Herbaceous Wetland</w:t>
      </w:r>
    </w:p>
    <w:p w14:paraId="235D6496" w14:textId="77777777" w:rsidR="00EF5B27" w:rsidRDefault="00000000">
      <w:pPr>
        <w:spacing w:before="308" w:line="350" w:lineRule="auto"/>
        <w:ind w:left="2608" w:right="1240"/>
        <w:rPr>
          <w:b/>
          <w:sz w:val="20"/>
        </w:rPr>
      </w:pPr>
      <w:r>
        <w:rPr>
          <w:b/>
          <w:color w:val="4D4D4F"/>
          <w:w w:val="105"/>
        </w:rPr>
        <w:t>The</w:t>
      </w:r>
      <w:r>
        <w:rPr>
          <w:b/>
          <w:color w:val="4D4D4F"/>
          <w:spacing w:val="-27"/>
          <w:w w:val="105"/>
        </w:rPr>
        <w:t xml:space="preserve"> </w:t>
      </w:r>
      <w:r>
        <w:rPr>
          <w:b/>
          <w:color w:val="4D4D4F"/>
          <w:w w:val="105"/>
        </w:rPr>
        <w:t>following</w:t>
      </w:r>
      <w:r>
        <w:rPr>
          <w:b/>
          <w:color w:val="4D4D4F"/>
          <w:spacing w:val="-26"/>
          <w:w w:val="105"/>
        </w:rPr>
        <w:t xml:space="preserve"> </w:t>
      </w:r>
      <w:r>
        <w:rPr>
          <w:b/>
          <w:color w:val="4D4D4F"/>
          <w:w w:val="105"/>
        </w:rPr>
        <w:t>is</w:t>
      </w:r>
      <w:r>
        <w:rPr>
          <w:b/>
          <w:color w:val="4D4D4F"/>
          <w:spacing w:val="-27"/>
          <w:w w:val="105"/>
        </w:rPr>
        <w:t xml:space="preserve"> </w:t>
      </w:r>
      <w:r>
        <w:rPr>
          <w:b/>
          <w:color w:val="4D4D4F"/>
          <w:w w:val="105"/>
        </w:rPr>
        <w:t>an</w:t>
      </w:r>
      <w:r>
        <w:rPr>
          <w:b/>
          <w:color w:val="4D4D4F"/>
          <w:spacing w:val="-26"/>
          <w:w w:val="105"/>
        </w:rPr>
        <w:t xml:space="preserve"> </w:t>
      </w:r>
      <w:r>
        <w:rPr>
          <w:b/>
          <w:color w:val="4D4D4F"/>
          <w:w w:val="105"/>
        </w:rPr>
        <w:t>extract</w:t>
      </w:r>
      <w:r>
        <w:rPr>
          <w:b/>
          <w:color w:val="4D4D4F"/>
          <w:spacing w:val="-26"/>
          <w:w w:val="105"/>
        </w:rPr>
        <w:t xml:space="preserve"> </w:t>
      </w:r>
      <w:r>
        <w:rPr>
          <w:b/>
          <w:color w:val="4D4D4F"/>
          <w:w w:val="105"/>
        </w:rPr>
        <w:t>from</w:t>
      </w:r>
      <w:r>
        <w:rPr>
          <w:b/>
          <w:color w:val="4D4D4F"/>
          <w:spacing w:val="-27"/>
          <w:w w:val="105"/>
        </w:rPr>
        <w:t xml:space="preserve"> </w:t>
      </w:r>
      <w:r>
        <w:rPr>
          <w:b/>
          <w:color w:val="4D4D4F"/>
          <w:w w:val="105"/>
        </w:rPr>
        <w:t>the</w:t>
      </w:r>
      <w:r>
        <w:rPr>
          <w:b/>
          <w:color w:val="4D4D4F"/>
          <w:spacing w:val="-26"/>
          <w:w w:val="105"/>
        </w:rPr>
        <w:t xml:space="preserve"> </w:t>
      </w:r>
      <w:r>
        <w:rPr>
          <w:b/>
          <w:color w:val="4D4D4F"/>
          <w:w w:val="105"/>
          <w:sz w:val="20"/>
        </w:rPr>
        <w:t>Outcomes</w:t>
      </w:r>
      <w:r>
        <w:rPr>
          <w:b/>
          <w:color w:val="4D4D4F"/>
          <w:spacing w:val="-24"/>
          <w:w w:val="105"/>
          <w:sz w:val="20"/>
        </w:rPr>
        <w:t xml:space="preserve"> </w:t>
      </w:r>
      <w:r>
        <w:rPr>
          <w:b/>
          <w:color w:val="4D4D4F"/>
          <w:w w:val="105"/>
          <w:sz w:val="20"/>
        </w:rPr>
        <w:t>Report</w:t>
      </w:r>
      <w:r>
        <w:rPr>
          <w:b/>
          <w:color w:val="4D4D4F"/>
          <w:spacing w:val="-25"/>
          <w:w w:val="105"/>
          <w:sz w:val="20"/>
        </w:rPr>
        <w:t xml:space="preserve"> </w:t>
      </w:r>
      <w:r>
        <w:rPr>
          <w:b/>
          <w:color w:val="4D4D4F"/>
          <w:w w:val="105"/>
          <w:sz w:val="20"/>
        </w:rPr>
        <w:t>2014–2020.</w:t>
      </w:r>
      <w:r>
        <w:rPr>
          <w:b/>
          <w:color w:val="4D4D4F"/>
          <w:w w:val="105"/>
          <w:position w:val="7"/>
          <w:sz w:val="11"/>
        </w:rPr>
        <w:t xml:space="preserve">321 </w:t>
      </w:r>
      <w:r>
        <w:rPr>
          <w:b/>
          <w:color w:val="4D4D4F"/>
          <w:w w:val="105"/>
          <w:sz w:val="20"/>
        </w:rPr>
        <w:t>Timing of</w:t>
      </w:r>
      <w:r>
        <w:rPr>
          <w:b/>
          <w:color w:val="4D4D4F"/>
          <w:spacing w:val="2"/>
          <w:w w:val="105"/>
          <w:sz w:val="20"/>
        </w:rPr>
        <w:t xml:space="preserve"> </w:t>
      </w:r>
      <w:r>
        <w:rPr>
          <w:b/>
          <w:color w:val="4D4D4F"/>
          <w:w w:val="105"/>
          <w:sz w:val="20"/>
        </w:rPr>
        <w:t>sampling</w:t>
      </w:r>
    </w:p>
    <w:p w14:paraId="50E8A69B" w14:textId="77777777" w:rsidR="00EF5B27" w:rsidRDefault="00000000">
      <w:pPr>
        <w:pStyle w:val="BodyText"/>
        <w:spacing w:before="17" w:line="254" w:lineRule="auto"/>
        <w:ind w:left="2608" w:right="151"/>
      </w:pPr>
      <w:r>
        <w:rPr>
          <w:color w:val="4D4D4F"/>
        </w:rPr>
        <w:t>The monitoring protocol</w:t>
      </w:r>
      <w:r>
        <w:rPr>
          <w:color w:val="4D4D4F"/>
          <w:position w:val="7"/>
          <w:sz w:val="11"/>
        </w:rPr>
        <w:t xml:space="preserve">322 </w:t>
      </w:r>
      <w:r>
        <w:rPr>
          <w:color w:val="4D4D4F"/>
        </w:rPr>
        <w:t>requires that the timing of Seasonal Herbaceous Wetlands monitoring is governed by two temporal considerations. These result in two parallel lines of reporting for Seasonal Herbaceous Wetlands:</w:t>
      </w:r>
    </w:p>
    <w:p w14:paraId="084C7987" w14:textId="77777777" w:rsidR="00EF5B27" w:rsidRDefault="00000000">
      <w:pPr>
        <w:pStyle w:val="BodyText"/>
        <w:spacing w:before="117" w:line="254" w:lineRule="auto"/>
        <w:ind w:left="2608" w:right="134"/>
      </w:pPr>
      <w:r>
        <w:rPr>
          <w:b/>
          <w:color w:val="4D4D4F"/>
        </w:rPr>
        <w:t>On drawdown</w:t>
      </w:r>
      <w:r>
        <w:rPr>
          <w:color w:val="4D4D4F"/>
        </w:rPr>
        <w:t xml:space="preserve">: Wetlands must be assessed each time they draw down after filling, regardless of the date (but only once per year). Filling is here taken to be when most   of the wetland area (&gt;50%) meets the definition of ‘full’ given by Casanova and Powling </w:t>
      </w:r>
      <w:r>
        <w:rPr>
          <w:color w:val="4D4D4F"/>
          <w:spacing w:val="-4"/>
        </w:rPr>
        <w:t>(2014),</w:t>
      </w:r>
      <w:r>
        <w:rPr>
          <w:color w:val="4D4D4F"/>
          <w:spacing w:val="-4"/>
          <w:position w:val="7"/>
          <w:sz w:val="11"/>
        </w:rPr>
        <w:t xml:space="preserve">323 </w:t>
      </w:r>
      <w:r>
        <w:rPr>
          <w:color w:val="4D4D4F"/>
          <w:spacing w:val="-3"/>
        </w:rPr>
        <w:t xml:space="preserve">that water </w:t>
      </w:r>
      <w:r>
        <w:rPr>
          <w:color w:val="4D4D4F"/>
        </w:rPr>
        <w:t xml:space="preserve">reaches a </w:t>
      </w:r>
      <w:r>
        <w:rPr>
          <w:color w:val="4D4D4F"/>
          <w:spacing w:val="-3"/>
        </w:rPr>
        <w:t xml:space="preserve">depth </w:t>
      </w:r>
      <w:r>
        <w:rPr>
          <w:color w:val="4D4D4F"/>
        </w:rPr>
        <w:t xml:space="preserve">of </w:t>
      </w:r>
      <w:r>
        <w:rPr>
          <w:color w:val="4D4D4F"/>
          <w:spacing w:val="-6"/>
        </w:rPr>
        <w:t xml:space="preserve">10 </w:t>
      </w:r>
      <w:r>
        <w:rPr>
          <w:color w:val="4D4D4F"/>
        </w:rPr>
        <w:t xml:space="preserve">cm. </w:t>
      </w:r>
      <w:r>
        <w:rPr>
          <w:color w:val="4D4D4F"/>
          <w:spacing w:val="-4"/>
        </w:rPr>
        <w:t xml:space="preserve">Filling </w:t>
      </w:r>
      <w:r>
        <w:rPr>
          <w:color w:val="4D4D4F"/>
        </w:rPr>
        <w:t>does not occur every</w:t>
      </w:r>
      <w:r>
        <w:rPr>
          <w:color w:val="4D4D4F"/>
          <w:spacing w:val="22"/>
        </w:rPr>
        <w:t xml:space="preserve"> </w:t>
      </w:r>
      <w:r>
        <w:rPr>
          <w:color w:val="4D4D4F"/>
          <w:spacing w:val="-6"/>
        </w:rPr>
        <w:t>year.</w:t>
      </w:r>
    </w:p>
    <w:p w14:paraId="78DEF520" w14:textId="77777777" w:rsidR="00EF5B27" w:rsidRDefault="00000000">
      <w:pPr>
        <w:pStyle w:val="BodyText"/>
        <w:spacing w:before="118" w:line="254" w:lineRule="auto"/>
        <w:ind w:left="2608" w:right="151"/>
      </w:pPr>
      <w:r>
        <w:rPr>
          <w:b/>
          <w:color w:val="4D4D4F"/>
        </w:rPr>
        <w:t>Annual</w:t>
      </w:r>
      <w:r>
        <w:rPr>
          <w:color w:val="4D4D4F"/>
        </w:rPr>
        <w:t>: Wetlands must be assessed every year between September and December, regardless of their hydrological status. If the drawdown sampling happens to coincide with this period, only a single round of monitoring is required to cover both on drawdown and annual</w:t>
      </w:r>
      <w:r>
        <w:rPr>
          <w:color w:val="4D4D4F"/>
          <w:spacing w:val="12"/>
        </w:rPr>
        <w:t xml:space="preserve"> </w:t>
      </w:r>
      <w:r>
        <w:rPr>
          <w:color w:val="4D4D4F"/>
        </w:rPr>
        <w:t>sampling.</w:t>
      </w:r>
    </w:p>
    <w:p w14:paraId="1C6EB899" w14:textId="77777777" w:rsidR="00EF5B27" w:rsidRDefault="00000000">
      <w:pPr>
        <w:pStyle w:val="BodyText"/>
        <w:spacing w:before="118" w:line="254" w:lineRule="auto"/>
        <w:ind w:left="2608" w:right="198"/>
      </w:pPr>
      <w:r>
        <w:rPr>
          <w:color w:val="4D4D4F"/>
        </w:rPr>
        <w:t xml:space="preserve">At each </w:t>
      </w:r>
      <w:r>
        <w:rPr>
          <w:color w:val="4D4D4F"/>
          <w:spacing w:val="-3"/>
        </w:rPr>
        <w:t xml:space="preserve">sampling, </w:t>
      </w:r>
      <w:r>
        <w:rPr>
          <w:color w:val="4D4D4F"/>
        </w:rPr>
        <w:t xml:space="preserve">the </w:t>
      </w:r>
      <w:r>
        <w:rPr>
          <w:color w:val="4D4D4F"/>
          <w:spacing w:val="-3"/>
        </w:rPr>
        <w:t xml:space="preserve">hydrological </w:t>
      </w:r>
      <w:r>
        <w:rPr>
          <w:color w:val="4D4D4F"/>
        </w:rPr>
        <w:t xml:space="preserve">phase of the </w:t>
      </w:r>
      <w:r>
        <w:rPr>
          <w:color w:val="4D4D4F"/>
          <w:spacing w:val="-3"/>
        </w:rPr>
        <w:t xml:space="preserve">wetlands is </w:t>
      </w:r>
      <w:r>
        <w:rPr>
          <w:color w:val="4D4D4F"/>
        </w:rPr>
        <w:t xml:space="preserve">recorded, </w:t>
      </w:r>
      <w:r>
        <w:rPr>
          <w:color w:val="4D4D4F"/>
          <w:spacing w:val="-3"/>
        </w:rPr>
        <w:t xml:space="preserve">using </w:t>
      </w:r>
      <w:r>
        <w:rPr>
          <w:color w:val="4D4D4F"/>
        </w:rPr>
        <w:t xml:space="preserve">a </w:t>
      </w:r>
      <w:r>
        <w:rPr>
          <w:color w:val="4D4D4F"/>
          <w:spacing w:val="-3"/>
        </w:rPr>
        <w:t xml:space="preserve">conceptual </w:t>
      </w:r>
      <w:r>
        <w:rPr>
          <w:color w:val="4D4D4F"/>
        </w:rPr>
        <w:t xml:space="preserve">model adapted from Bayes and Cook </w:t>
      </w:r>
      <w:r>
        <w:rPr>
          <w:color w:val="4D4D4F"/>
          <w:spacing w:val="-3"/>
        </w:rPr>
        <w:t>(2015)</w:t>
      </w:r>
      <w:r>
        <w:rPr>
          <w:color w:val="4D4D4F"/>
          <w:spacing w:val="-3"/>
          <w:position w:val="7"/>
          <w:sz w:val="11"/>
        </w:rPr>
        <w:t xml:space="preserve">324  </w:t>
      </w:r>
      <w:r>
        <w:rPr>
          <w:color w:val="4D4D4F"/>
        </w:rPr>
        <w:t>which categorises wetland dynamics   into the following five</w:t>
      </w:r>
      <w:r>
        <w:rPr>
          <w:color w:val="4D4D4F"/>
          <w:spacing w:val="14"/>
        </w:rPr>
        <w:t xml:space="preserve"> </w:t>
      </w:r>
      <w:r>
        <w:rPr>
          <w:color w:val="4D4D4F"/>
        </w:rPr>
        <w:t>categories:</w:t>
      </w:r>
    </w:p>
    <w:p w14:paraId="5EAC95AE" w14:textId="77777777" w:rsidR="00EF5B27" w:rsidRDefault="00000000">
      <w:pPr>
        <w:pStyle w:val="BodyText"/>
        <w:spacing w:before="117" w:line="254" w:lineRule="auto"/>
        <w:ind w:left="2608" w:right="308"/>
      </w:pPr>
      <w:r>
        <w:rPr>
          <w:b/>
          <w:color w:val="4D4D4F"/>
        </w:rPr>
        <w:t>First fill</w:t>
      </w:r>
      <w:r>
        <w:rPr>
          <w:color w:val="4D4D4F"/>
        </w:rPr>
        <w:t>: Water present, meets definition of ‘full’. Aquatic plants growing but leaves not yet at the water surface. Non-aquatic species present but many drowning. Much decomposing material in the water. Aquatic fauna not yet conspicuous.</w:t>
      </w:r>
    </w:p>
    <w:p w14:paraId="1DF714B9" w14:textId="77777777" w:rsidR="00EF5B27" w:rsidRDefault="00000000">
      <w:pPr>
        <w:pStyle w:val="BodyText"/>
        <w:spacing w:before="117" w:line="254" w:lineRule="auto"/>
        <w:ind w:left="2608"/>
      </w:pPr>
      <w:r>
        <w:rPr>
          <w:b/>
          <w:color w:val="4D4D4F"/>
        </w:rPr>
        <w:t>Full</w:t>
      </w:r>
      <w:r>
        <w:rPr>
          <w:color w:val="4D4D4F"/>
        </w:rPr>
        <w:t>: Water present, meets definition of ‘full’. Aquatic plants abundant, many emergent and flowering species are prominent on the surface and most are flowering. Aquatic fauna can be abundant (e.g. Shield shrimp, Water Boatmen, frogs).</w:t>
      </w:r>
    </w:p>
    <w:p w14:paraId="2AE2AEE3" w14:textId="77777777" w:rsidR="00EF5B27" w:rsidRDefault="00EF5B27">
      <w:pPr>
        <w:pStyle w:val="BodyText"/>
      </w:pPr>
    </w:p>
    <w:p w14:paraId="555BFE59" w14:textId="77777777" w:rsidR="00EF5B27" w:rsidRDefault="00000000">
      <w:pPr>
        <w:pStyle w:val="BodyText"/>
        <w:spacing w:before="6"/>
        <w:rPr>
          <w:sz w:val="10"/>
        </w:rPr>
      </w:pPr>
      <w:r>
        <w:pict w14:anchorId="66DE7097">
          <v:line id="_x0000_s2266" style="position:absolute;z-index:251760128;mso-wrap-distance-left:0;mso-wrap-distance-right:0;mso-position-horizontal-relative:page" from="181.4pt,8.65pt" to="538.6pt,8.65pt" strokecolor="#4d4d4f" strokeweight=".5pt">
            <w10:wrap type="topAndBottom" anchorx="page"/>
          </v:line>
        </w:pict>
      </w:r>
    </w:p>
    <w:p w14:paraId="45398BE6" w14:textId="77777777" w:rsidR="00EF5B27" w:rsidRDefault="00000000">
      <w:pPr>
        <w:pStyle w:val="ListParagraph"/>
        <w:numPr>
          <w:ilvl w:val="0"/>
          <w:numId w:val="4"/>
        </w:numPr>
        <w:tabs>
          <w:tab w:val="left" w:pos="2836"/>
        </w:tabs>
        <w:spacing w:before="88" w:line="230" w:lineRule="auto"/>
        <w:ind w:right="112"/>
        <w:rPr>
          <w:sz w:val="12"/>
        </w:rPr>
      </w:pPr>
      <w:r>
        <w:rPr>
          <w:color w:val="4D4D4F"/>
          <w:spacing w:val="2"/>
          <w:sz w:val="12"/>
        </w:rPr>
        <w:t xml:space="preserve">Bruce </w:t>
      </w:r>
      <w:r>
        <w:rPr>
          <w:color w:val="4D4D4F"/>
          <w:sz w:val="12"/>
        </w:rPr>
        <w:t xml:space="preserve">M, Batpurev </w:t>
      </w:r>
      <w:r>
        <w:rPr>
          <w:color w:val="4D4D4F"/>
          <w:spacing w:val="2"/>
          <w:sz w:val="12"/>
        </w:rPr>
        <w:t xml:space="preserve">K, </w:t>
      </w:r>
      <w:r>
        <w:rPr>
          <w:color w:val="4D4D4F"/>
          <w:sz w:val="12"/>
        </w:rPr>
        <w:t xml:space="preserve">Bryant D, Sinclair S and Kohout M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DELWP, Heidelberg,</w:t>
      </w:r>
      <w:r>
        <w:rPr>
          <w:color w:val="4D4D4F"/>
          <w:spacing w:val="8"/>
          <w:sz w:val="12"/>
        </w:rPr>
        <w:t xml:space="preserve"> </w:t>
      </w:r>
      <w:r>
        <w:rPr>
          <w:color w:val="4D4D4F"/>
          <w:sz w:val="12"/>
        </w:rPr>
        <w:t>Victoria.</w:t>
      </w:r>
    </w:p>
    <w:p w14:paraId="4BB8E227" w14:textId="77777777" w:rsidR="00EF5B27" w:rsidRDefault="00000000">
      <w:pPr>
        <w:pStyle w:val="ListParagraph"/>
        <w:numPr>
          <w:ilvl w:val="0"/>
          <w:numId w:val="4"/>
        </w:numPr>
        <w:tabs>
          <w:tab w:val="left" w:pos="2836"/>
        </w:tabs>
        <w:spacing w:line="138" w:lineRule="exact"/>
        <w:rPr>
          <w:sz w:val="12"/>
        </w:rPr>
      </w:pPr>
      <w:r>
        <w:rPr>
          <w:color w:val="4D4D4F"/>
          <w:sz w:val="12"/>
        </w:rPr>
        <w:t>DELWP</w:t>
      </w:r>
      <w:r>
        <w:rPr>
          <w:color w:val="4D4D4F"/>
          <w:spacing w:val="4"/>
          <w:sz w:val="12"/>
        </w:rPr>
        <w:t xml:space="preserve"> </w:t>
      </w:r>
      <w:r>
        <w:rPr>
          <w:color w:val="4D4D4F"/>
          <w:sz w:val="12"/>
        </w:rPr>
        <w:t>2015,</w:t>
      </w:r>
      <w:r>
        <w:rPr>
          <w:color w:val="4D4D4F"/>
          <w:spacing w:val="5"/>
          <w:sz w:val="12"/>
        </w:rPr>
        <w:t xml:space="preserve"> </w:t>
      </w:r>
      <w:r>
        <w:rPr>
          <w:color w:val="4D4D4F"/>
          <w:sz w:val="12"/>
        </w:rPr>
        <w:t>‘Monitoring</w:t>
      </w:r>
      <w:r>
        <w:rPr>
          <w:color w:val="4D4D4F"/>
          <w:spacing w:val="5"/>
          <w:sz w:val="12"/>
        </w:rPr>
        <w:t xml:space="preserve"> </w:t>
      </w:r>
      <w:r>
        <w:rPr>
          <w:color w:val="4D4D4F"/>
          <w:sz w:val="12"/>
        </w:rPr>
        <w:t>and</w:t>
      </w:r>
      <w:r>
        <w:rPr>
          <w:color w:val="4D4D4F"/>
          <w:spacing w:val="5"/>
          <w:sz w:val="12"/>
        </w:rPr>
        <w:t xml:space="preserve"> </w:t>
      </w:r>
      <w:r>
        <w:rPr>
          <w:color w:val="4D4D4F"/>
          <w:sz w:val="12"/>
        </w:rPr>
        <w:t>Reporting</w:t>
      </w:r>
      <w:r>
        <w:rPr>
          <w:color w:val="4D4D4F"/>
          <w:spacing w:val="5"/>
          <w:sz w:val="12"/>
        </w:rPr>
        <w:t xml:space="preserve"> </w:t>
      </w:r>
      <w:r>
        <w:rPr>
          <w:color w:val="4D4D4F"/>
          <w:sz w:val="12"/>
        </w:rPr>
        <w:t>Framework</w:t>
      </w:r>
      <w:r>
        <w:rPr>
          <w:color w:val="4D4D4F"/>
          <w:spacing w:val="5"/>
          <w:sz w:val="12"/>
        </w:rPr>
        <w:t xml:space="preserve"> </w:t>
      </w:r>
      <w:r>
        <w:rPr>
          <w:color w:val="4D4D4F"/>
          <w:sz w:val="12"/>
        </w:rPr>
        <w:t>–</w:t>
      </w:r>
      <w:r>
        <w:rPr>
          <w:color w:val="4D4D4F"/>
          <w:spacing w:val="5"/>
          <w:sz w:val="12"/>
        </w:rPr>
        <w:t xml:space="preserve"> </w:t>
      </w:r>
      <w:r>
        <w:rPr>
          <w:color w:val="4D4D4F"/>
          <w:sz w:val="12"/>
        </w:rPr>
        <w:t>Melbourne</w:t>
      </w:r>
      <w:r>
        <w:rPr>
          <w:color w:val="4D4D4F"/>
          <w:spacing w:val="5"/>
          <w:sz w:val="12"/>
        </w:rPr>
        <w:t xml:space="preserve"> </w:t>
      </w:r>
      <w:r>
        <w:rPr>
          <w:color w:val="4D4D4F"/>
          <w:sz w:val="12"/>
        </w:rPr>
        <w:t>Strategic</w:t>
      </w:r>
      <w:r>
        <w:rPr>
          <w:color w:val="4D4D4F"/>
          <w:spacing w:val="5"/>
          <w:sz w:val="12"/>
        </w:rPr>
        <w:t xml:space="preserve"> </w:t>
      </w:r>
      <w:r>
        <w:rPr>
          <w:color w:val="4D4D4F"/>
          <w:sz w:val="12"/>
        </w:rPr>
        <w:t>Assessment’,</w:t>
      </w:r>
      <w:r>
        <w:rPr>
          <w:color w:val="4D4D4F"/>
          <w:spacing w:val="5"/>
          <w:sz w:val="12"/>
        </w:rPr>
        <w:t xml:space="preserve"> </w:t>
      </w:r>
      <w:r>
        <w:rPr>
          <w:color w:val="4D4D4F"/>
          <w:sz w:val="12"/>
        </w:rPr>
        <w:t>East</w:t>
      </w:r>
      <w:r>
        <w:rPr>
          <w:color w:val="4D4D4F"/>
          <w:spacing w:val="5"/>
          <w:sz w:val="12"/>
        </w:rPr>
        <w:t xml:space="preserve"> </w:t>
      </w:r>
      <w:r>
        <w:rPr>
          <w:color w:val="4D4D4F"/>
          <w:sz w:val="12"/>
        </w:rPr>
        <w:t>Melbourne,</w:t>
      </w:r>
      <w:r>
        <w:rPr>
          <w:color w:val="4D4D4F"/>
          <w:spacing w:val="5"/>
          <w:sz w:val="12"/>
        </w:rPr>
        <w:t xml:space="preserve"> </w:t>
      </w:r>
      <w:r>
        <w:rPr>
          <w:color w:val="4D4D4F"/>
          <w:sz w:val="12"/>
        </w:rPr>
        <w:t>Victoria.</w:t>
      </w:r>
    </w:p>
    <w:p w14:paraId="0EC8C5B7" w14:textId="77777777" w:rsidR="00EF5B27" w:rsidRDefault="00000000">
      <w:pPr>
        <w:pStyle w:val="ListParagraph"/>
        <w:numPr>
          <w:ilvl w:val="0"/>
          <w:numId w:val="4"/>
        </w:numPr>
        <w:tabs>
          <w:tab w:val="left" w:pos="2836"/>
        </w:tabs>
        <w:spacing w:before="1" w:line="230" w:lineRule="auto"/>
        <w:ind w:right="112"/>
        <w:rPr>
          <w:sz w:val="12"/>
        </w:rPr>
      </w:pPr>
      <w:r>
        <w:rPr>
          <w:color w:val="4D4D4F"/>
          <w:sz w:val="12"/>
        </w:rPr>
        <w:t xml:space="preserve">Casanova MT and Powling IJ 2014, </w:t>
      </w:r>
      <w:r>
        <w:rPr>
          <w:color w:val="4D4D4F"/>
          <w:spacing w:val="2"/>
          <w:sz w:val="12"/>
        </w:rPr>
        <w:t xml:space="preserve">‘What </w:t>
      </w:r>
      <w:r>
        <w:rPr>
          <w:color w:val="4D4D4F"/>
          <w:sz w:val="12"/>
        </w:rPr>
        <w:t xml:space="preserve">makes a swamp </w:t>
      </w:r>
      <w:r>
        <w:rPr>
          <w:color w:val="4D4D4F"/>
          <w:spacing w:val="2"/>
          <w:sz w:val="12"/>
        </w:rPr>
        <w:t xml:space="preserve">swampy? </w:t>
      </w:r>
      <w:r>
        <w:rPr>
          <w:color w:val="4D4D4F"/>
          <w:sz w:val="12"/>
        </w:rPr>
        <w:t>Water regime and the botany of endangered wetlands in western Victoria.’ Australian Journal of Botany 62,</w:t>
      </w:r>
      <w:r>
        <w:rPr>
          <w:color w:val="4D4D4F"/>
          <w:spacing w:val="14"/>
          <w:sz w:val="12"/>
        </w:rPr>
        <w:t xml:space="preserve"> </w:t>
      </w:r>
      <w:r>
        <w:rPr>
          <w:color w:val="4D4D4F"/>
          <w:spacing w:val="2"/>
          <w:sz w:val="12"/>
        </w:rPr>
        <w:t>469-480.</w:t>
      </w:r>
    </w:p>
    <w:p w14:paraId="4755C543" w14:textId="77777777" w:rsidR="00EF5B27" w:rsidRDefault="00000000">
      <w:pPr>
        <w:pStyle w:val="ListParagraph"/>
        <w:numPr>
          <w:ilvl w:val="0"/>
          <w:numId w:val="4"/>
        </w:numPr>
        <w:tabs>
          <w:tab w:val="left" w:pos="2836"/>
        </w:tabs>
        <w:spacing w:line="230" w:lineRule="auto"/>
        <w:ind w:right="113"/>
        <w:rPr>
          <w:sz w:val="12"/>
        </w:rPr>
      </w:pPr>
      <w:r>
        <w:rPr>
          <w:color w:val="4D4D4F"/>
          <w:sz w:val="12"/>
        </w:rPr>
        <w:t xml:space="preserve">Bayes E &amp; </w:t>
      </w:r>
      <w:r>
        <w:rPr>
          <w:color w:val="4D4D4F"/>
          <w:spacing w:val="2"/>
          <w:sz w:val="12"/>
        </w:rPr>
        <w:t xml:space="preserve">Cook </w:t>
      </w:r>
      <w:r>
        <w:rPr>
          <w:color w:val="4D4D4F"/>
          <w:sz w:val="12"/>
        </w:rPr>
        <w:t xml:space="preserve">D 2015, ‘Seasonal </w:t>
      </w:r>
      <w:r>
        <w:rPr>
          <w:color w:val="4D4D4F"/>
          <w:spacing w:val="2"/>
          <w:sz w:val="12"/>
        </w:rPr>
        <w:t xml:space="preserve">Herbaceous </w:t>
      </w:r>
      <w:r>
        <w:rPr>
          <w:color w:val="4D4D4F"/>
          <w:sz w:val="12"/>
        </w:rPr>
        <w:t>Wetlands. Identification and Management Handbook.’ Goulburn Broken Catchment Management</w:t>
      </w:r>
      <w:r>
        <w:rPr>
          <w:color w:val="4D4D4F"/>
          <w:spacing w:val="2"/>
          <w:sz w:val="12"/>
        </w:rPr>
        <w:t xml:space="preserve"> </w:t>
      </w:r>
      <w:r>
        <w:rPr>
          <w:color w:val="4D4D4F"/>
          <w:sz w:val="12"/>
        </w:rPr>
        <w:t>Authority.</w:t>
      </w:r>
    </w:p>
    <w:p w14:paraId="407D75A1"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2816769C" w14:textId="77777777" w:rsidR="00EF5B27" w:rsidRDefault="00000000">
      <w:pPr>
        <w:pStyle w:val="BodyText"/>
      </w:pPr>
      <w:r>
        <w:lastRenderedPageBreak/>
        <w:pict w14:anchorId="7E924DC2">
          <v:group id="_x0000_s2258" style="position:absolute;margin-left:587.05pt;margin-top:183.4pt;width:8.25pt;height:153.1pt;z-index:251796992;mso-position-horizontal-relative:page;mso-position-vertical-relative:page" coordorigin="11741,3668" coordsize="165,3062">
            <v:shape id="_x0000_s2265" style="position:absolute;left:11741;top:3668;width:165;height:561" coordorigin="11741,3668" coordsize="165,561" path="m11906,3668r-165,l11741,4228r165,-18l11906,3668xe" fillcolor="#00aed9" stroked="f">
              <v:path arrowok="t"/>
            </v:shape>
            <v:shape id="_x0000_s2264" style="position:absolute;left:11741;top:4118;width:165;height:425" coordorigin="11741,4118" coordsize="165,425" path="m11906,4118r-165,14l11741,4531r165,12l11906,4118xe" fillcolor="#047ebc" stroked="f">
              <v:path arrowok="t"/>
            </v:shape>
            <v:shape id="_x0000_s2263" type="#_x0000_t75" style="position:absolute;left:11741;top:4355;width:165;height:587">
              <v:imagedata r:id="rId42" o:title=""/>
            </v:shape>
            <v:shape id="_x0000_s2262" style="position:absolute;left:11741;top:5343;width:165;height:536" coordorigin="11741,5343" coordsize="165,536" path="m11741,5343r,535l11906,5872r,-525l11741,5343xe" fillcolor="#f36a2e" stroked="f">
              <v:path arrowok="t"/>
            </v:shape>
            <v:shape id="_x0000_s2261" style="position:absolute;left:11741;top:4925;width:165;height:501" coordorigin="11741,4926" coordsize="165,501" path="m11741,4926r,500l11906,5426r,-485l11741,4926xe" fillcolor="#49783f" stroked="f">
              <v:path arrowok="t"/>
            </v:shape>
            <v:shape id="_x0000_s2260" style="position:absolute;left:11741;top:5781;width:165;height:268" coordorigin="11741,5782" coordsize="165,268" path="m11906,5782r-165,8l11741,6039r165,10l11906,5782xe" fillcolor="#f99f2a" stroked="f">
              <v:path arrowok="t"/>
            </v:shape>
            <v:shape id="_x0000_s2259" style="position:absolute;left:11741;top:6023;width:165;height:707" coordorigin="11741,6023" coordsize="165,707" path="m11741,6023r,706l11906,6729r,-690l11741,6023xe" fillcolor="#ef412c" stroked="f">
              <v:path arrowok="t"/>
            </v:shape>
            <w10:wrap anchorx="page" anchory="page"/>
          </v:group>
        </w:pict>
      </w:r>
    </w:p>
    <w:p w14:paraId="00D0FF57" w14:textId="77777777" w:rsidR="00EF5B27" w:rsidRDefault="00EF5B27">
      <w:pPr>
        <w:pStyle w:val="BodyText"/>
      </w:pPr>
    </w:p>
    <w:p w14:paraId="6CE056B6" w14:textId="77777777" w:rsidR="00EF5B27" w:rsidRDefault="00EF5B27">
      <w:pPr>
        <w:pStyle w:val="BodyText"/>
      </w:pPr>
    </w:p>
    <w:p w14:paraId="756B8777" w14:textId="77777777" w:rsidR="00EF5B27" w:rsidRDefault="00EF5B27">
      <w:pPr>
        <w:pStyle w:val="BodyText"/>
        <w:spacing w:before="9"/>
        <w:rPr>
          <w:sz w:val="21"/>
        </w:rPr>
      </w:pPr>
    </w:p>
    <w:p w14:paraId="3938D5A5" w14:textId="77777777" w:rsidR="00EF5B27" w:rsidRDefault="00000000">
      <w:pPr>
        <w:pStyle w:val="BodyText"/>
        <w:spacing w:before="111" w:line="254" w:lineRule="auto"/>
        <w:ind w:left="2608"/>
      </w:pPr>
      <w:bookmarkStart w:id="127" w:name="_bookmark82"/>
      <w:bookmarkEnd w:id="127"/>
      <w:r>
        <w:rPr>
          <w:b/>
          <w:color w:val="4D4D4F"/>
        </w:rPr>
        <w:t>Drawing down</w:t>
      </w:r>
      <w:r>
        <w:rPr>
          <w:color w:val="4D4D4F"/>
        </w:rPr>
        <w:t>: Puddles and mud present, has recently been full, but no longer meets definition of full. Aquatic and dampland species remain prominent, many seeding.</w:t>
      </w:r>
    </w:p>
    <w:p w14:paraId="5468E6B1" w14:textId="77777777" w:rsidR="00EF5B27" w:rsidRDefault="00000000">
      <w:pPr>
        <w:pStyle w:val="BodyText"/>
        <w:spacing w:before="3"/>
        <w:ind w:left="2608"/>
      </w:pPr>
      <w:r>
        <w:rPr>
          <w:color w:val="4D4D4F"/>
        </w:rPr>
        <w:t>Annual or geophyte plants prominent. Aquatic fauna often present.</w:t>
      </w:r>
    </w:p>
    <w:p w14:paraId="576706A4" w14:textId="77777777" w:rsidR="00EF5B27" w:rsidRDefault="00000000">
      <w:pPr>
        <w:pStyle w:val="BodyText"/>
        <w:spacing w:before="129" w:line="254" w:lineRule="auto"/>
        <w:ind w:left="2608" w:right="151"/>
      </w:pPr>
      <w:r>
        <w:rPr>
          <w:b/>
          <w:color w:val="4D4D4F"/>
        </w:rPr>
        <w:t>Empty</w:t>
      </w:r>
      <w:r>
        <w:rPr>
          <w:color w:val="4D4D4F"/>
        </w:rPr>
        <w:t xml:space="preserve">: No </w:t>
      </w:r>
      <w:r>
        <w:rPr>
          <w:color w:val="4D4D4F"/>
          <w:spacing w:val="-5"/>
        </w:rPr>
        <w:t xml:space="preserve">water. </w:t>
      </w:r>
      <w:r>
        <w:rPr>
          <w:color w:val="4D4D4F"/>
        </w:rPr>
        <w:t>Soil cracks closed. Aquatic species retreated underground, dampland and semi-aquatic species abundant. Perennial native grasses, rushes and sedges actively growing. Terrestrial ruderals may be common. Aquatic fauna virtually</w:t>
      </w:r>
      <w:r>
        <w:rPr>
          <w:color w:val="4D4D4F"/>
          <w:spacing w:val="19"/>
        </w:rPr>
        <w:t xml:space="preserve"> </w:t>
      </w:r>
      <w:r>
        <w:rPr>
          <w:color w:val="4D4D4F"/>
        </w:rPr>
        <w:t>absent.</w:t>
      </w:r>
    </w:p>
    <w:p w14:paraId="2676A276" w14:textId="77777777" w:rsidR="00EF5B27" w:rsidRDefault="00000000">
      <w:pPr>
        <w:pStyle w:val="BodyText"/>
        <w:spacing w:before="117" w:line="254" w:lineRule="auto"/>
        <w:ind w:left="2608"/>
      </w:pPr>
      <w:r>
        <w:rPr>
          <w:b/>
          <w:color w:val="4D4D4F"/>
        </w:rPr>
        <w:t>Dry</w:t>
      </w:r>
      <w:r>
        <w:rPr>
          <w:color w:val="4D4D4F"/>
        </w:rPr>
        <w:t>: No water. Bare ground prominent. Soil cracks evident. Aquatic species retreated underground. Damp-land forbs low cover and stunted. Perennial grasses, sedges and rushes remain prominent, but often inactive. Terrestrial ruderals may be common.</w:t>
      </w:r>
    </w:p>
    <w:p w14:paraId="30435D63" w14:textId="77777777" w:rsidR="00EF5B27" w:rsidRDefault="00000000">
      <w:pPr>
        <w:pStyle w:val="BodyText"/>
        <w:spacing w:before="117" w:line="254" w:lineRule="auto"/>
        <w:ind w:left="2608" w:right="189"/>
      </w:pPr>
      <w:r>
        <w:rPr>
          <w:color w:val="4D4D4F"/>
        </w:rPr>
        <w:t xml:space="preserve">It is acknowledged that some degree of subjectivity is involved with the assignment    of a phase at the time of sampling. A diagram depicting the hydrological phases of the wetlands is shown in </w:t>
      </w:r>
      <w:hyperlink w:anchor="_bookmark81" w:history="1">
        <w:r>
          <w:rPr>
            <w:color w:val="4D4D4F"/>
          </w:rPr>
          <w:t>Figure</w:t>
        </w:r>
        <w:r>
          <w:rPr>
            <w:color w:val="4D4D4F"/>
            <w:spacing w:val="21"/>
          </w:rPr>
          <w:t xml:space="preserve"> </w:t>
        </w:r>
        <w:r>
          <w:rPr>
            <w:color w:val="4D4D4F"/>
            <w:spacing w:val="-8"/>
          </w:rPr>
          <w:t>47</w:t>
        </w:r>
      </w:hyperlink>
      <w:r>
        <w:rPr>
          <w:color w:val="4D4D4F"/>
          <w:spacing w:val="-8"/>
        </w:rPr>
        <w:t>.</w:t>
      </w:r>
    </w:p>
    <w:p w14:paraId="2362749C" w14:textId="77777777" w:rsidR="00EF5B27" w:rsidRDefault="00000000">
      <w:pPr>
        <w:pStyle w:val="BodyText"/>
        <w:spacing w:before="6"/>
        <w:rPr>
          <w:sz w:val="28"/>
        </w:rPr>
      </w:pPr>
      <w:r>
        <w:pict w14:anchorId="4DBE03D0">
          <v:group id="_x0000_s2223" style="position:absolute;margin-left:181.3pt;margin-top:19.4pt;width:357.45pt;height:201.2pt;z-index:251763200;mso-wrap-distance-left:0;mso-wrap-distance-right:0;mso-position-horizontal-relative:page" coordorigin="3626,388" coordsize="7149,4024">
            <v:shape id="_x0000_s2257" style="position:absolute;left:8087;top:1300;width:754;height:823" coordorigin="8087,1301" coordsize="754,823" o:spt="100" adj="0,,0" path="m8140,1301r-53,47l8756,2087r-2,2l8749,2099r,9l8755,2116r10,4l8829,2123r9,-7l8841,2051r-3,-10l8837,2040r-28,l8140,1301xm8821,2033r-9,4l8809,2040r28,l8831,2034r-10,-1xe" fillcolor="#f99f2a" stroked="f">
              <v:stroke joinstyle="round"/>
              <v:formulas/>
              <v:path arrowok="t" o:connecttype="segments"/>
            </v:shape>
            <v:shape id="_x0000_s2256" style="position:absolute;left:8077;top:1564;width:754;height:823" coordorigin="8077,1565" coordsize="754,823" o:spt="100" adj="0,,0" path="m8205,1648r-96,l8778,2387r53,-47l8205,1648xm8089,1565r-8,7l8077,1637r3,10l8088,1654r9,1l8107,1651r2,-3l8205,1648r-43,-47l8164,1599r6,-9l8169,1580r-6,-8l8154,1568r-65,-3xe" fillcolor="#00aed9" stroked="f">
              <v:stroke joinstyle="round"/>
              <v:formulas/>
              <v:path arrowok="t" o:connecttype="segments"/>
            </v:shape>
            <v:shape id="_x0000_s2255" style="position:absolute;left:7559;top:535;width:882;height:800" coordorigin="7559,536" coordsize="882,800" o:spt="100" adj="0,,0" path="m8233,1237r-11,2l8214,1246r-3,11l8214,1327r9,8l8293,1332r11,-4l8310,1319r1,-10l8305,1299r-3,-3l8306,1293r2,-1l8310,1290r5,-5l8318,1281r3,-3l8327,1272r-1,l8347,1245r-101,l8243,1242r-10,-5xm8248,613r-248,l8073,621r68,21l8203,676r54,44l8301,774r34,61l8356,903r7,74l8357,1045r-19,65l8307,1170r-42,54l8246,1245r101,l8375,1207r36,-72l8433,1058r8,-81l8435,905r-17,-68l8392,774r-36,-58l8312,665r-52,-44l8248,613xm8000,536r-71,6l7861,558r-63,27l7740,621r-51,44l7645,716r-36,58l7582,837r-17,68l7559,977r3,15l7571,1004r12,8l7598,1015r15,-3l7626,1004r8,-12l7637,977r7,-74l7666,835r33,-61l7744,720r53,-44l7859,642r68,-21l8000,613r248,l8203,585r-64,-27l8072,542r-72,-6xe" fillcolor="#00aed9" stroked="f">
              <v:stroke joinstyle="round"/>
              <v:formulas/>
              <v:path arrowok="t" o:connecttype="segments"/>
            </v:shape>
            <v:shape id="_x0000_s2254" style="position:absolute;left:5419;top:1567;width:754;height:823" coordorigin="5419,1567" coordsize="754,823" o:spt="100" adj="0,,0" path="m6161,1567r-64,3l6087,1574r-6,8l6081,1592r5,9l6088,1603r-669,739l5472,2390r669,-739l6169,1651r1,-2l6173,1639r-3,-64l6161,1567xm6169,1651r-28,l6144,1653r9,5l6163,1656r6,-5xe" fillcolor="#5cb84c" stroked="f">
              <v:stroke joinstyle="round"/>
              <v:formulas/>
              <v:path arrowok="t" o:connecttype="segments"/>
            </v:shape>
            <v:shape id="_x0000_s2253" style="position:absolute;left:6210;top:1059;width:1979;height:507" coordorigin="6211,1059" coordsize="1979,507" path="m7936,1059r-1472,l6396,1068r-60,26l6285,1133r-40,52l6220,1245r-9,67l6220,1380r25,60l6285,1491r51,40l6396,1557r68,9l7936,1566r67,-9l8064,1531r51,-40l8155,1440r25,-60l8189,1312r-9,-67l8155,1185r-40,-52l8064,1094r-61,-26l7936,1059xe" fillcolor="#e6e7e8" stroked="f">
              <v:path arrowok="t"/>
            </v:shape>
            <v:shape id="_x0000_s2252" style="position:absolute;left:6639;top:2509;width:1897;height:1026" coordorigin="6639,2509" coordsize="1897,1026" o:spt="100" adj="0,,0" path="m6846,2600r-154,l8502,3535r34,-62l6846,2600xm6707,2509r-62,19l6639,2538r3,9l6658,2600r6,8l6673,2612r10,-2l6690,2603r2,-3l6846,2600r-120,-62l6727,2535r2,-11l6725,2515r-8,-6l6707,2509xe" fillcolor="#00aed9" stroked="f">
              <v:stroke joinstyle="round"/>
              <v:formulas/>
              <v:path arrowok="t" o:connecttype="segments"/>
            </v:shape>
            <v:shape id="_x0000_s2251" style="position:absolute;left:7876;top:2159;width:1979;height:507" coordorigin="7877,2159" coordsize="1979,507" path="m9602,2159r-1472,l8063,2168r-61,26l7951,2233r-40,51l7886,2345r-9,67l7886,2480r25,60l7951,2591r51,40l8063,2656r67,9l9602,2665r67,-9l9730,2631r51,-40l9821,2540r25,-60l9855,2412r-9,-67l9821,2284r-40,-51l9730,2194r-61,-26l9602,2159xe" fillcolor="#e6e7e8" stroked="f">
              <v:path arrowok="t"/>
            </v:shape>
            <v:shape id="_x0000_s2250" style="position:absolute;left:4543;top:2159;width:1979;height:507" coordorigin="4543,2159" coordsize="1979,507" path="m6269,2159r-1472,l4729,2168r-60,26l4618,2233r-40,51l4552,2345r-9,67l4552,2480r26,60l4618,2591r51,40l4729,2656r68,9l6269,2665r67,-9l6397,2631r51,-40l6488,2540r25,-60l6522,2412r-9,-67l6488,2284r-40,-51l6397,2194r-61,-26l6269,2159xe" fillcolor="#e6e7e8" stroked="f">
              <v:path arrowok="t"/>
            </v:shape>
            <v:shape id="_x0000_s2249" style="position:absolute;left:7876;top:3444;width:1979;height:507" coordorigin="7877,3445" coordsize="1979,507" path="m9602,3445r-1472,l8063,3454r-61,25l7951,3519r-40,51l7886,3631r-9,67l7886,3765r25,61l7951,3877r51,40l8063,3942r67,9l9602,3951r67,-9l9730,3917r51,-40l9821,3826r25,-61l9855,3698r-9,-67l9821,3570r-40,-51l9730,3479r-61,-25l9602,3445xe" fillcolor="#e6e7e8" stroked="f">
              <v:path arrowok="t"/>
            </v:shape>
            <v:shape id="_x0000_s2248" style="position:absolute;left:4543;top:3444;width:1979;height:507" coordorigin="4543,3445" coordsize="1979,507" path="m6269,3445r-1472,l4729,3454r-60,25l4618,3519r-40,51l4552,3631r-9,67l4552,3765r26,61l4618,3877r51,40l4729,3942r68,9l6269,3951r67,-9l6397,3917r51,-40l6488,3826r25,-61l6522,3698r-9,-67l6488,3570r-40,-51l6397,3479r-61,-25l6269,3445xe" fillcolor="#e6e7e8" stroked="f">
              <v:path arrowok="t"/>
            </v:shape>
            <v:shape id="_x0000_s2247" type="#_x0000_t75" style="position:absolute;left:6421;top:1565;width:1524;height:116">
              <v:imagedata r:id="rId180" o:title=""/>
            </v:shape>
            <v:shape id="_x0000_s2246" type="#_x0000_t75" style="position:absolute;left:4767;top:2665;width:1524;height:116">
              <v:imagedata r:id="rId180" o:title=""/>
            </v:shape>
            <v:shape id="_x0000_s2245" type="#_x0000_t75" style="position:absolute;left:8126;top:2665;width:1524;height:131">
              <v:imagedata r:id="rId181" o:title=""/>
            </v:shape>
            <v:shape id="_x0000_s2244" type="#_x0000_t75" style="position:absolute;left:4767;top:3951;width:1524;height:116">
              <v:imagedata r:id="rId180" o:title=""/>
            </v:shape>
            <v:shape id="_x0000_s2243" type="#_x0000_t75" style="position:absolute;left:8126;top:3951;width:1524;height:116">
              <v:imagedata r:id="rId180" o:title=""/>
            </v:shape>
            <v:shape id="_x0000_s2242" style="position:absolute;left:8825;top:2720;width:113;height:683" coordorigin="8825,2721" coordsize="113,683" path="m8882,2721r-36,606l8843,3327r-10,3l8827,3338r-2,10l8830,3357r46,46l8887,3403r46,-46l8938,3347r-1,-9l8931,3330r-11,-3l8917,3327r,-571l8914,2742r-7,-11l8896,2723r-14,-2xe" fillcolor="#f99f2a" stroked="f">
              <v:path arrowok="t"/>
            </v:shape>
            <v:shape id="_x0000_s2241" style="position:absolute;left:6603;top:3738;width:1206;height:113" coordorigin="6603,3738" coordsize="1206,113" o:spt="100" adj="0,,0" path="m6658,3738r-9,5l6603,3789r,11l6649,3846r9,5l6668,3849r8,-6l6679,3833r,-3l7774,3830r13,-3l7798,3819r8,-11l7809,3794r-3,-13l7798,3769r-11,-7l7773,3759r-1094,l6679,3756r-3,-11l6668,3739r-10,-1xm7774,3830r-1095,l7773,3830r1,xe" fillcolor="#f26a2e" stroked="f">
              <v:stroke joinstyle="round"/>
              <v:formulas/>
              <v:path arrowok="t" o:connecttype="segments"/>
            </v:shape>
            <v:shape id="_x0000_s2240" style="position:absolute;left:6604;top:3563;width:1206;height:113" coordorigin="6605,3563" coordsize="1206,113" o:spt="100" adj="0,,0" path="m6640,3584r-14,3l6615,3594r-7,11l6605,3619r3,14l6615,3644r11,8l6640,3655r1095,l7735,3658r3,10l7746,3674r9,2l7765,3671r45,-46l7810,3614r-29,-30l6640,3584xm7755,3563r-10,1l7738,3570r-3,11l7735,3584r46,l7765,3568r-10,-5xe" fillcolor="#00aed9" stroked="f">
              <v:stroke joinstyle="round"/>
              <v:formulas/>
              <v:path arrowok="t" o:connecttype="segments"/>
            </v:shape>
            <v:shape id="_x0000_s2239" style="position:absolute;left:5477;top:2718;width:113;height:683" coordorigin="5478,2719" coordsize="113,683" path="m5540,2719r-12,l5483,2765r-5,9l5479,2784r6,8l5495,2795r4,l5499,3365r3,14l5509,3390r11,8l5534,3401r14,-3l5559,3390r8,-11l5570,3365r,-571l5573,2794r10,-3l5589,2784r1,-10l5585,2764r-45,-45xe" fillcolor="#00aed9" stroked="f">
              <v:path arrowok="t"/>
            </v:shape>
            <v:rect id="_x0000_s2238" style="position:absolute;left:3628;top:390;width:7144;height:4019" filled="f" strokeweight=".25pt"/>
            <v:shape id="_x0000_s2237" type="#_x0000_t202" style="position:absolute;left:6819;top:3931;width:813;height:281" filled="f" stroked="f">
              <v:textbox inset="0,0,0,0">
                <w:txbxContent>
                  <w:p w14:paraId="1D3D3A03" w14:textId="77777777" w:rsidR="00EF5B27" w:rsidRDefault="00000000">
                    <w:pPr>
                      <w:spacing w:before="2" w:line="249" w:lineRule="auto"/>
                      <w:ind w:left="89" w:right="-6" w:hanging="90"/>
                      <w:rPr>
                        <w:rFonts w:ascii="Century Gothic"/>
                        <w:sz w:val="11"/>
                      </w:rPr>
                    </w:pPr>
                    <w:r>
                      <w:rPr>
                        <w:rFonts w:ascii="Century Gothic"/>
                        <w:color w:val="F26A2E"/>
                        <w:w w:val="90"/>
                        <w:sz w:val="11"/>
                      </w:rPr>
                      <w:t xml:space="preserve">Deep drying </w:t>
                    </w:r>
                    <w:r>
                      <w:rPr>
                        <w:rFonts w:ascii="Century Gothic"/>
                        <w:color w:val="F26A2E"/>
                        <w:spacing w:val="-6"/>
                        <w:w w:val="90"/>
                        <w:sz w:val="11"/>
                      </w:rPr>
                      <w:t xml:space="preserve">and </w:t>
                    </w:r>
                    <w:r>
                      <w:rPr>
                        <w:rFonts w:ascii="Century Gothic"/>
                        <w:color w:val="F26A2E"/>
                        <w:sz w:val="11"/>
                      </w:rPr>
                      <w:t>soil cracking</w:t>
                    </w:r>
                  </w:p>
                </w:txbxContent>
              </v:textbox>
            </v:shape>
            <v:shape id="_x0000_s2236" type="#_x0000_t202" style="position:absolute;left:8245;top:3473;width:1266;height:415" filled="f" stroked="f">
              <v:textbox inset="0,0,0,0">
                <w:txbxContent>
                  <w:p w14:paraId="549C7FE0" w14:textId="77777777" w:rsidR="00EF5B27" w:rsidRDefault="00000000">
                    <w:pPr>
                      <w:spacing w:before="17" w:line="265" w:lineRule="exact"/>
                      <w:ind w:right="19"/>
                      <w:jc w:val="center"/>
                      <w:rPr>
                        <w:b/>
                      </w:rPr>
                    </w:pPr>
                    <w:r>
                      <w:rPr>
                        <w:b/>
                      </w:rPr>
                      <w:t>Empty</w:t>
                    </w:r>
                  </w:p>
                  <w:p w14:paraId="12E2A8E4" w14:textId="77777777" w:rsidR="00EF5B27" w:rsidRDefault="00000000">
                    <w:pPr>
                      <w:spacing w:line="131" w:lineRule="exact"/>
                      <w:ind w:right="18"/>
                      <w:jc w:val="center"/>
                      <w:rPr>
                        <w:sz w:val="11"/>
                      </w:rPr>
                    </w:pPr>
                    <w:r>
                      <w:rPr>
                        <w:w w:val="105"/>
                        <w:sz w:val="11"/>
                      </w:rPr>
                      <w:t xml:space="preserve">(no/little water, Soil </w:t>
                    </w:r>
                    <w:r>
                      <w:rPr>
                        <w:spacing w:val="-3"/>
                        <w:w w:val="105"/>
                        <w:sz w:val="11"/>
                      </w:rPr>
                      <w:t>moist)</w:t>
                    </w:r>
                  </w:p>
                </w:txbxContent>
              </v:textbox>
            </v:shape>
            <v:shape id="_x0000_s2235" type="#_x0000_t202" style="position:absolute;left:7098;top:3373;width:237;height:142" filled="f" stroked="f">
              <v:textbox inset="0,0,0,0">
                <w:txbxContent>
                  <w:p w14:paraId="74A91221" w14:textId="77777777" w:rsidR="00EF5B27" w:rsidRDefault="00000000">
                    <w:pPr>
                      <w:spacing w:before="2"/>
                      <w:rPr>
                        <w:rFonts w:ascii="Century Gothic"/>
                        <w:sz w:val="11"/>
                      </w:rPr>
                    </w:pPr>
                    <w:r>
                      <w:rPr>
                        <w:rFonts w:ascii="Century Gothic"/>
                        <w:color w:val="00AED9"/>
                        <w:w w:val="95"/>
                        <w:sz w:val="11"/>
                      </w:rPr>
                      <w:t>Rain</w:t>
                    </w:r>
                  </w:p>
                </w:txbxContent>
              </v:textbox>
            </v:shape>
            <v:shape id="_x0000_s2234" type="#_x0000_t202" style="position:absolute;left:5101;top:3473;width:887;height:415" filled="f" stroked="f">
              <v:textbox inset="0,0,0,0">
                <w:txbxContent>
                  <w:p w14:paraId="748E09F6" w14:textId="77777777" w:rsidR="00EF5B27" w:rsidRDefault="00000000">
                    <w:pPr>
                      <w:spacing w:before="17" w:line="265" w:lineRule="exact"/>
                      <w:ind w:right="18"/>
                      <w:jc w:val="center"/>
                      <w:rPr>
                        <w:b/>
                      </w:rPr>
                    </w:pPr>
                    <w:r>
                      <w:rPr>
                        <w:b/>
                        <w:w w:val="105"/>
                      </w:rPr>
                      <w:t>Dry</w:t>
                    </w:r>
                  </w:p>
                  <w:p w14:paraId="08210C9F" w14:textId="77777777" w:rsidR="00EF5B27" w:rsidRDefault="00000000">
                    <w:pPr>
                      <w:spacing w:line="131" w:lineRule="exact"/>
                      <w:ind w:left="-1" w:right="18"/>
                      <w:jc w:val="center"/>
                      <w:rPr>
                        <w:sz w:val="11"/>
                      </w:rPr>
                    </w:pPr>
                    <w:r>
                      <w:rPr>
                        <w:sz w:val="11"/>
                      </w:rPr>
                      <w:t>(no water, soil</w:t>
                    </w:r>
                    <w:r>
                      <w:rPr>
                        <w:spacing w:val="24"/>
                        <w:sz w:val="11"/>
                      </w:rPr>
                      <w:t xml:space="preserve"> </w:t>
                    </w:r>
                    <w:r>
                      <w:rPr>
                        <w:spacing w:val="-6"/>
                        <w:sz w:val="11"/>
                      </w:rPr>
                      <w:t>dry)</w:t>
                    </w:r>
                  </w:p>
                </w:txbxContent>
              </v:textbox>
            </v:shape>
            <v:shape id="_x0000_s2233" type="#_x0000_t202" style="position:absolute;left:9099;top:2985;width:968;height:142" filled="f" stroked="f">
              <v:textbox inset="0,0,0,0">
                <w:txbxContent>
                  <w:p w14:paraId="1CBB0949" w14:textId="77777777" w:rsidR="00EF5B27" w:rsidRDefault="00000000">
                    <w:pPr>
                      <w:spacing w:before="2"/>
                      <w:rPr>
                        <w:rFonts w:ascii="Century Gothic"/>
                        <w:sz w:val="11"/>
                      </w:rPr>
                    </w:pPr>
                    <w:r>
                      <w:rPr>
                        <w:rFonts w:ascii="Century Gothic"/>
                        <w:color w:val="F99F2A"/>
                        <w:w w:val="90"/>
                        <w:sz w:val="11"/>
                      </w:rPr>
                      <w:t>Evaporation, drying</w:t>
                    </w:r>
                  </w:p>
                </w:txbxContent>
              </v:textbox>
            </v:shape>
            <v:shape id="_x0000_s2232" type="#_x0000_t202" style="position:absolute;left:7098;top:2985;width:237;height:142" filled="f" stroked="f">
              <v:textbox inset="0,0,0,0">
                <w:txbxContent>
                  <w:p w14:paraId="541226EC" w14:textId="77777777" w:rsidR="00EF5B27" w:rsidRDefault="00000000">
                    <w:pPr>
                      <w:spacing w:before="2"/>
                      <w:rPr>
                        <w:rFonts w:ascii="Century Gothic"/>
                        <w:sz w:val="11"/>
                      </w:rPr>
                    </w:pPr>
                    <w:r>
                      <w:rPr>
                        <w:rFonts w:ascii="Century Gothic"/>
                        <w:color w:val="00AED9"/>
                        <w:w w:val="95"/>
                        <w:sz w:val="11"/>
                      </w:rPr>
                      <w:t>Rain</w:t>
                    </w:r>
                  </w:p>
                </w:txbxContent>
              </v:textbox>
            </v:shape>
            <v:shape id="_x0000_s2231" type="#_x0000_t202" style="position:absolute;left:4505;top:2989;width:799;height:142" filled="f" stroked="f">
              <v:textbox inset="0,0,0,0">
                <w:txbxContent>
                  <w:p w14:paraId="69A54177" w14:textId="77777777" w:rsidR="00EF5B27" w:rsidRDefault="00000000">
                    <w:pPr>
                      <w:spacing w:before="2"/>
                      <w:rPr>
                        <w:rFonts w:ascii="Century Gothic"/>
                        <w:sz w:val="11"/>
                      </w:rPr>
                    </w:pPr>
                    <w:r>
                      <w:rPr>
                        <w:rFonts w:ascii="Century Gothic"/>
                        <w:color w:val="00AED9"/>
                        <w:w w:val="95"/>
                        <w:sz w:val="11"/>
                      </w:rPr>
                      <w:t>Exceptional</w:t>
                    </w:r>
                    <w:r>
                      <w:rPr>
                        <w:rFonts w:ascii="Century Gothic"/>
                        <w:color w:val="00AED9"/>
                        <w:spacing w:val="-20"/>
                        <w:w w:val="95"/>
                        <w:sz w:val="11"/>
                      </w:rPr>
                      <w:t xml:space="preserve"> </w:t>
                    </w:r>
                    <w:r>
                      <w:rPr>
                        <w:rFonts w:ascii="Century Gothic"/>
                        <w:color w:val="00AED9"/>
                        <w:w w:val="95"/>
                        <w:sz w:val="11"/>
                      </w:rPr>
                      <w:t>rain</w:t>
                    </w:r>
                  </w:p>
                </w:txbxContent>
              </v:textbox>
            </v:shape>
            <v:shape id="_x0000_s2230" type="#_x0000_t202" style="position:absolute;left:8184;top:2188;width:1387;height:415" filled="f" stroked="f">
              <v:textbox inset="0,0,0,0">
                <w:txbxContent>
                  <w:p w14:paraId="77678F23" w14:textId="77777777" w:rsidR="00EF5B27" w:rsidRDefault="00000000">
                    <w:pPr>
                      <w:spacing w:before="17" w:line="265" w:lineRule="exact"/>
                      <w:rPr>
                        <w:b/>
                      </w:rPr>
                    </w:pPr>
                    <w:r>
                      <w:rPr>
                        <w:b/>
                      </w:rPr>
                      <w:t>Drawing-down</w:t>
                    </w:r>
                  </w:p>
                  <w:p w14:paraId="5AEB2A93" w14:textId="77777777" w:rsidR="00EF5B27" w:rsidRDefault="00000000">
                    <w:pPr>
                      <w:spacing w:line="131" w:lineRule="exact"/>
                      <w:ind w:left="39"/>
                      <w:rPr>
                        <w:sz w:val="11"/>
                      </w:rPr>
                    </w:pPr>
                    <w:r>
                      <w:rPr>
                        <w:sz w:val="11"/>
                      </w:rPr>
                      <w:t>(&gt;50% of area : &gt;10cm deep)</w:t>
                    </w:r>
                  </w:p>
                </w:txbxContent>
              </v:textbox>
            </v:shape>
            <v:shape id="_x0000_s2229" type="#_x0000_t202" style="position:absolute;left:4891;top:2188;width:1307;height:415" filled="f" stroked="f">
              <v:textbox inset="0,0,0,0">
                <w:txbxContent>
                  <w:p w14:paraId="7ABC93F8" w14:textId="77777777" w:rsidR="00EF5B27" w:rsidRDefault="00000000">
                    <w:pPr>
                      <w:spacing w:before="17" w:line="265" w:lineRule="exact"/>
                      <w:ind w:right="18"/>
                      <w:jc w:val="center"/>
                      <w:rPr>
                        <w:b/>
                      </w:rPr>
                    </w:pPr>
                    <w:r>
                      <w:rPr>
                        <w:b/>
                        <w:w w:val="115"/>
                      </w:rPr>
                      <w:t>First Fill</w:t>
                    </w:r>
                  </w:p>
                  <w:p w14:paraId="2F858336" w14:textId="77777777" w:rsidR="00EF5B27" w:rsidRDefault="00000000">
                    <w:pPr>
                      <w:spacing w:line="131" w:lineRule="exact"/>
                      <w:ind w:left="-1" w:right="18"/>
                      <w:jc w:val="center"/>
                      <w:rPr>
                        <w:sz w:val="11"/>
                      </w:rPr>
                    </w:pPr>
                    <w:r>
                      <w:rPr>
                        <w:sz w:val="11"/>
                      </w:rPr>
                      <w:t>(&gt;50% of area : &gt;10cm</w:t>
                    </w:r>
                    <w:r>
                      <w:rPr>
                        <w:spacing w:val="5"/>
                        <w:sz w:val="11"/>
                      </w:rPr>
                      <w:t xml:space="preserve"> </w:t>
                    </w:r>
                    <w:r>
                      <w:rPr>
                        <w:spacing w:val="-4"/>
                        <w:sz w:val="11"/>
                      </w:rPr>
                      <w:t>deep)</w:t>
                    </w:r>
                  </w:p>
                </w:txbxContent>
              </v:textbox>
            </v:shape>
            <v:shape id="_x0000_s2228" type="#_x0000_t202" style="position:absolute;left:7920;top:1830;width:237;height:142" filled="f" stroked="f">
              <v:textbox inset="0,0,0,0">
                <w:txbxContent>
                  <w:p w14:paraId="29F9D9F9" w14:textId="77777777" w:rsidR="00EF5B27" w:rsidRDefault="00000000">
                    <w:pPr>
                      <w:spacing w:before="2"/>
                      <w:rPr>
                        <w:rFonts w:ascii="Century Gothic"/>
                        <w:sz w:val="11"/>
                      </w:rPr>
                    </w:pPr>
                    <w:r>
                      <w:rPr>
                        <w:rFonts w:ascii="Century Gothic"/>
                        <w:color w:val="00AED9"/>
                        <w:w w:val="95"/>
                        <w:sz w:val="11"/>
                      </w:rPr>
                      <w:t>Rain</w:t>
                    </w:r>
                  </w:p>
                </w:txbxContent>
              </v:textbox>
            </v:shape>
            <v:shape id="_x0000_s2227" type="#_x0000_t202" style="position:absolute;left:8784;top:1618;width:968;height:142" filled="f" stroked="f">
              <v:textbox inset="0,0,0,0">
                <w:txbxContent>
                  <w:p w14:paraId="3E83A894" w14:textId="77777777" w:rsidR="00EF5B27" w:rsidRDefault="00000000">
                    <w:pPr>
                      <w:spacing w:before="2"/>
                      <w:rPr>
                        <w:rFonts w:ascii="Century Gothic"/>
                        <w:sz w:val="11"/>
                      </w:rPr>
                    </w:pPr>
                    <w:r>
                      <w:rPr>
                        <w:rFonts w:ascii="Century Gothic"/>
                        <w:color w:val="F99F2A"/>
                        <w:w w:val="90"/>
                        <w:sz w:val="11"/>
                      </w:rPr>
                      <w:t>Evaporation, drying</w:t>
                    </w:r>
                  </w:p>
                </w:txbxContent>
              </v:textbox>
            </v:shape>
            <v:shape id="_x0000_s2226" type="#_x0000_t202" style="position:absolute;left:6558;top:1088;width:1307;height:415" filled="f" stroked="f">
              <v:textbox inset="0,0,0,0">
                <w:txbxContent>
                  <w:p w14:paraId="47911E89" w14:textId="77777777" w:rsidR="00EF5B27" w:rsidRDefault="00000000">
                    <w:pPr>
                      <w:spacing w:before="17" w:line="265" w:lineRule="exact"/>
                      <w:ind w:right="18"/>
                      <w:jc w:val="center"/>
                      <w:rPr>
                        <w:b/>
                      </w:rPr>
                    </w:pPr>
                    <w:r>
                      <w:rPr>
                        <w:b/>
                        <w:w w:val="110"/>
                      </w:rPr>
                      <w:t>Full</w:t>
                    </w:r>
                  </w:p>
                  <w:p w14:paraId="254D4F41" w14:textId="77777777" w:rsidR="00EF5B27" w:rsidRDefault="00000000">
                    <w:pPr>
                      <w:spacing w:line="131" w:lineRule="exact"/>
                      <w:ind w:right="18"/>
                      <w:jc w:val="center"/>
                      <w:rPr>
                        <w:sz w:val="11"/>
                      </w:rPr>
                    </w:pPr>
                    <w:r>
                      <w:rPr>
                        <w:sz w:val="11"/>
                      </w:rPr>
                      <w:t>(&gt;50% of area : &gt;10cm deep)</w:t>
                    </w:r>
                  </w:p>
                </w:txbxContent>
              </v:textbox>
            </v:shape>
            <v:shape id="_x0000_s2225" type="#_x0000_t202" style="position:absolute;left:4724;top:1443;width:943;height:281" filled="f" stroked="f">
              <v:textbox inset="0,0,0,0">
                <w:txbxContent>
                  <w:p w14:paraId="16D22335" w14:textId="77777777" w:rsidR="00EF5B27" w:rsidRDefault="00000000">
                    <w:pPr>
                      <w:spacing w:before="2" w:line="249" w:lineRule="auto"/>
                      <w:ind w:left="71" w:right="-11" w:hanging="72"/>
                      <w:rPr>
                        <w:rFonts w:ascii="Century Gothic"/>
                        <w:sz w:val="11"/>
                      </w:rPr>
                    </w:pPr>
                    <w:r>
                      <w:rPr>
                        <w:rFonts w:ascii="Century Gothic"/>
                        <w:color w:val="5CB84C"/>
                        <w:w w:val="90"/>
                        <w:sz w:val="11"/>
                      </w:rPr>
                      <w:t xml:space="preserve">Decomposition </w:t>
                    </w:r>
                    <w:r>
                      <w:rPr>
                        <w:rFonts w:ascii="Century Gothic"/>
                        <w:color w:val="5CB84C"/>
                        <w:spacing w:val="-6"/>
                        <w:w w:val="90"/>
                        <w:sz w:val="11"/>
                      </w:rPr>
                      <w:t xml:space="preserve">and </w:t>
                    </w:r>
                    <w:r>
                      <w:rPr>
                        <w:rFonts w:ascii="Century Gothic"/>
                        <w:color w:val="5CB84C"/>
                        <w:sz w:val="11"/>
                      </w:rPr>
                      <w:t>Filling response</w:t>
                    </w:r>
                  </w:p>
                </w:txbxContent>
              </v:textbox>
            </v:shape>
            <v:shape id="_x0000_s2224" type="#_x0000_t202" style="position:absolute;left:7899;top:834;width:237;height:142" filled="f" stroked="f">
              <v:textbox inset="0,0,0,0">
                <w:txbxContent>
                  <w:p w14:paraId="31D158B2" w14:textId="77777777" w:rsidR="00EF5B27" w:rsidRDefault="00000000">
                    <w:pPr>
                      <w:spacing w:before="2"/>
                      <w:rPr>
                        <w:rFonts w:ascii="Century Gothic"/>
                        <w:sz w:val="11"/>
                      </w:rPr>
                    </w:pPr>
                    <w:r>
                      <w:rPr>
                        <w:rFonts w:ascii="Century Gothic"/>
                        <w:color w:val="00AED9"/>
                        <w:w w:val="95"/>
                        <w:sz w:val="11"/>
                      </w:rPr>
                      <w:t>Rain</w:t>
                    </w:r>
                  </w:p>
                </w:txbxContent>
              </v:textbox>
            </v:shape>
            <w10:wrap type="topAndBottom" anchorx="page"/>
          </v:group>
        </w:pict>
      </w:r>
    </w:p>
    <w:p w14:paraId="13204FC1" w14:textId="77777777" w:rsidR="00EF5B27" w:rsidRDefault="00000000">
      <w:pPr>
        <w:tabs>
          <w:tab w:val="left" w:pos="8977"/>
        </w:tabs>
        <w:spacing w:before="113"/>
        <w:ind w:left="2608"/>
        <w:rPr>
          <w:rFonts w:ascii="Century Gothic"/>
          <w:i/>
          <w:sz w:val="12"/>
        </w:rPr>
      </w:pPr>
      <w:bookmarkStart w:id="128" w:name="_Ref113026055"/>
      <w:bookmarkStart w:id="129" w:name="_bookmark81"/>
      <w:bookmarkEnd w:id="128"/>
      <w:bookmarkEnd w:id="129"/>
      <w:r>
        <w:rPr>
          <w:color w:val="4D4D4F"/>
          <w:sz w:val="16"/>
        </w:rPr>
        <w:t>Figure</w:t>
      </w:r>
      <w:r>
        <w:rPr>
          <w:color w:val="4D4D4F"/>
          <w:spacing w:val="15"/>
          <w:sz w:val="16"/>
        </w:rPr>
        <w:t xml:space="preserve"> </w:t>
      </w:r>
      <w:r>
        <w:rPr>
          <w:color w:val="4D4D4F"/>
          <w:sz w:val="16"/>
        </w:rPr>
        <w:t>47:</w:t>
      </w:r>
      <w:r>
        <w:rPr>
          <w:color w:val="4D4D4F"/>
          <w:spacing w:val="15"/>
          <w:sz w:val="16"/>
        </w:rPr>
        <w:t xml:space="preserve"> </w:t>
      </w:r>
      <w:r>
        <w:rPr>
          <w:color w:val="4D4D4F"/>
          <w:sz w:val="16"/>
        </w:rPr>
        <w:t>Hydrological</w:t>
      </w:r>
      <w:r>
        <w:rPr>
          <w:color w:val="4D4D4F"/>
          <w:spacing w:val="16"/>
          <w:sz w:val="16"/>
        </w:rPr>
        <w:t xml:space="preserve"> </w:t>
      </w:r>
      <w:r>
        <w:rPr>
          <w:color w:val="4D4D4F"/>
          <w:sz w:val="16"/>
        </w:rPr>
        <w:t>phases</w:t>
      </w:r>
      <w:r>
        <w:rPr>
          <w:color w:val="4D4D4F"/>
          <w:spacing w:val="15"/>
          <w:sz w:val="16"/>
        </w:rPr>
        <w:t xml:space="preserve"> </w:t>
      </w:r>
      <w:r>
        <w:rPr>
          <w:color w:val="4D4D4F"/>
          <w:sz w:val="16"/>
        </w:rPr>
        <w:t>of</w:t>
      </w:r>
      <w:r>
        <w:rPr>
          <w:color w:val="4D4D4F"/>
          <w:spacing w:val="16"/>
          <w:sz w:val="16"/>
        </w:rPr>
        <w:t xml:space="preserve"> </w:t>
      </w:r>
      <w:r>
        <w:rPr>
          <w:color w:val="4D4D4F"/>
          <w:sz w:val="16"/>
        </w:rPr>
        <w:t>the</w:t>
      </w:r>
      <w:r>
        <w:rPr>
          <w:color w:val="4D4D4F"/>
          <w:spacing w:val="15"/>
          <w:sz w:val="16"/>
        </w:rPr>
        <w:t xml:space="preserve"> </w:t>
      </w:r>
      <w:r>
        <w:rPr>
          <w:color w:val="4D4D4F"/>
          <w:sz w:val="16"/>
        </w:rPr>
        <w:t>Seasonal</w:t>
      </w:r>
      <w:r>
        <w:rPr>
          <w:color w:val="4D4D4F"/>
          <w:spacing w:val="16"/>
          <w:sz w:val="16"/>
        </w:rPr>
        <w:t xml:space="preserve"> </w:t>
      </w:r>
      <w:r>
        <w:rPr>
          <w:color w:val="4D4D4F"/>
          <w:sz w:val="16"/>
        </w:rPr>
        <w:t>Herbaceous</w:t>
      </w:r>
      <w:r>
        <w:rPr>
          <w:color w:val="4D4D4F"/>
          <w:spacing w:val="15"/>
          <w:sz w:val="16"/>
        </w:rPr>
        <w:t xml:space="preserve"> </w:t>
      </w:r>
      <w:r>
        <w:rPr>
          <w:color w:val="4D4D4F"/>
          <w:sz w:val="16"/>
        </w:rPr>
        <w:t>Wetlands</w:t>
      </w:r>
      <w:r>
        <w:rPr>
          <w:color w:val="4D4D4F"/>
          <w:sz w:val="16"/>
        </w:rPr>
        <w:tab/>
      </w:r>
      <w:r>
        <w:rPr>
          <w:rFonts w:ascii="Century Gothic"/>
          <w:i/>
          <w:color w:val="4D4D4F"/>
          <w:sz w:val="12"/>
        </w:rPr>
        <w:t>Source:</w:t>
      </w:r>
      <w:r>
        <w:rPr>
          <w:rFonts w:ascii="Century Gothic"/>
          <w:i/>
          <w:color w:val="4D4D4F"/>
          <w:spacing w:val="-22"/>
          <w:sz w:val="12"/>
        </w:rPr>
        <w:t xml:space="preserve"> </w:t>
      </w:r>
      <w:r>
        <w:rPr>
          <w:rFonts w:ascii="Century Gothic"/>
          <w:i/>
          <w:color w:val="4D4D4F"/>
          <w:sz w:val="12"/>
        </w:rPr>
        <w:t>DELWP</w:t>
      </w:r>
    </w:p>
    <w:p w14:paraId="59A052BD" w14:textId="77777777" w:rsidR="00EF5B27" w:rsidRDefault="00EF5B27">
      <w:pPr>
        <w:pStyle w:val="BodyText"/>
        <w:spacing w:before="11"/>
        <w:rPr>
          <w:rFonts w:ascii="Century Gothic"/>
          <w:i/>
        </w:rPr>
      </w:pPr>
    </w:p>
    <w:p w14:paraId="7692FC44" w14:textId="77777777" w:rsidR="00EF5B27" w:rsidRDefault="00000000">
      <w:pPr>
        <w:pStyle w:val="Heading3"/>
        <w:spacing w:before="1"/>
      </w:pPr>
      <w:r>
        <w:rPr>
          <w:color w:val="F99F2A"/>
          <w:spacing w:val="-6"/>
        </w:rPr>
        <w:t xml:space="preserve">Sampling </w:t>
      </w:r>
      <w:r>
        <w:rPr>
          <w:color w:val="F99F2A"/>
          <w:spacing w:val="-4"/>
        </w:rPr>
        <w:t xml:space="preserve">with </w:t>
      </w:r>
      <w:r>
        <w:rPr>
          <w:color w:val="F99F2A"/>
          <w:spacing w:val="-5"/>
        </w:rPr>
        <w:t>point intercept</w:t>
      </w:r>
      <w:r>
        <w:rPr>
          <w:color w:val="F99F2A"/>
          <w:spacing w:val="26"/>
        </w:rPr>
        <w:t xml:space="preserve"> </w:t>
      </w:r>
      <w:r>
        <w:rPr>
          <w:color w:val="F99F2A"/>
          <w:spacing w:val="-4"/>
        </w:rPr>
        <w:t>plots</w:t>
      </w:r>
    </w:p>
    <w:p w14:paraId="7FE4B436" w14:textId="77777777" w:rsidR="00EF5B27" w:rsidRDefault="00000000">
      <w:pPr>
        <w:pStyle w:val="BodyText"/>
        <w:spacing w:before="221" w:line="254" w:lineRule="auto"/>
        <w:ind w:left="2608" w:right="175"/>
      </w:pPr>
      <w:r>
        <w:rPr>
          <w:color w:val="4D4D4F"/>
          <w:spacing w:val="-3"/>
        </w:rPr>
        <w:t xml:space="preserve">Parallel line </w:t>
      </w:r>
      <w:r>
        <w:rPr>
          <w:color w:val="4D4D4F"/>
        </w:rPr>
        <w:t xml:space="preserve">transects 25 metres apart are </w:t>
      </w:r>
      <w:r>
        <w:rPr>
          <w:color w:val="4D4D4F"/>
          <w:spacing w:val="-2"/>
        </w:rPr>
        <w:t xml:space="preserve">set </w:t>
      </w:r>
      <w:r>
        <w:rPr>
          <w:color w:val="4D4D4F"/>
        </w:rPr>
        <w:t xml:space="preserve">up at fixed </w:t>
      </w:r>
      <w:r>
        <w:rPr>
          <w:color w:val="4D4D4F"/>
          <w:spacing w:val="-3"/>
        </w:rPr>
        <w:t xml:space="preserve">locations, </w:t>
      </w:r>
      <w:r>
        <w:rPr>
          <w:color w:val="4D4D4F"/>
        </w:rPr>
        <w:t xml:space="preserve">to cross the majority of each Seasonal Herbaceous Wetlands area. Along each transect, a 1 x 1 m plot is sampled every </w:t>
      </w:r>
      <w:r>
        <w:rPr>
          <w:color w:val="4D4D4F"/>
          <w:spacing w:val="-5"/>
        </w:rPr>
        <w:t xml:space="preserve">10 </w:t>
      </w:r>
      <w:r>
        <w:rPr>
          <w:color w:val="4D4D4F"/>
        </w:rPr>
        <w:t xml:space="preserve">metres, provided the location falls within the Seasonal Herbaceous Wetlands </w:t>
      </w:r>
      <w:r>
        <w:rPr>
          <w:color w:val="4D4D4F"/>
          <w:spacing w:val="-3"/>
        </w:rPr>
        <w:t xml:space="preserve">(which </w:t>
      </w:r>
      <w:r>
        <w:rPr>
          <w:color w:val="4D4D4F"/>
        </w:rPr>
        <w:t xml:space="preserve">is irregularly shaped and </w:t>
      </w:r>
      <w:r>
        <w:rPr>
          <w:color w:val="4D4D4F"/>
          <w:spacing w:val="-3"/>
        </w:rPr>
        <w:t xml:space="preserve">patchy). </w:t>
      </w:r>
      <w:r>
        <w:rPr>
          <w:color w:val="4D4D4F"/>
        </w:rPr>
        <w:t xml:space="preserve">If it does not fall </w:t>
      </w:r>
      <w:r>
        <w:rPr>
          <w:color w:val="4D4D4F"/>
          <w:spacing w:val="-2"/>
        </w:rPr>
        <w:t xml:space="preserve">within </w:t>
      </w:r>
      <w:r>
        <w:rPr>
          <w:color w:val="4D4D4F"/>
        </w:rPr>
        <w:t xml:space="preserve">the Seasonal Herbaceous </w:t>
      </w:r>
      <w:r>
        <w:rPr>
          <w:color w:val="4D4D4F"/>
          <w:spacing w:val="-3"/>
        </w:rPr>
        <w:t xml:space="preserve">Wetlands, that potential sampling location is </w:t>
      </w:r>
      <w:r>
        <w:rPr>
          <w:color w:val="4D4D4F"/>
        </w:rPr>
        <w:t xml:space="preserve">ignored and the next </w:t>
      </w:r>
      <w:r>
        <w:rPr>
          <w:color w:val="4D4D4F"/>
          <w:spacing w:val="-3"/>
        </w:rPr>
        <w:t xml:space="preserve">sampled. </w:t>
      </w:r>
      <w:r>
        <w:rPr>
          <w:color w:val="4D4D4F"/>
        </w:rPr>
        <w:t>Thus, the transects are of varying length for different wetlands and have gaps where  no Seasonal Herbaceous Wetlands are</w:t>
      </w:r>
      <w:r>
        <w:rPr>
          <w:color w:val="4D4D4F"/>
          <w:spacing w:val="23"/>
        </w:rPr>
        <w:t xml:space="preserve"> </w:t>
      </w:r>
      <w:r>
        <w:rPr>
          <w:color w:val="4D4D4F"/>
        </w:rPr>
        <w:t>sampled.</w:t>
      </w:r>
    </w:p>
    <w:p w14:paraId="03E27109" w14:textId="77777777" w:rsidR="00EF5B27" w:rsidRDefault="00000000">
      <w:pPr>
        <w:pStyle w:val="BodyText"/>
        <w:spacing w:before="122" w:line="254" w:lineRule="auto"/>
        <w:ind w:left="2608" w:right="151"/>
      </w:pPr>
      <w:r>
        <w:rPr>
          <w:color w:val="4D4D4F"/>
        </w:rPr>
        <w:t>Within each 1 x 1 m plot, a wired frame is used to define nine points (spaced on a grid at 10, 50, 90 cm). At every point, the identity of the vegetation (by group) intercepting the points is recorded, in the following categories:</w:t>
      </w:r>
    </w:p>
    <w:p w14:paraId="21170BA9" w14:textId="77777777" w:rsidR="00EF5B27" w:rsidRDefault="00000000">
      <w:pPr>
        <w:pStyle w:val="ListParagraph"/>
        <w:numPr>
          <w:ilvl w:val="0"/>
          <w:numId w:val="34"/>
        </w:numPr>
        <w:tabs>
          <w:tab w:val="left" w:pos="2779"/>
        </w:tabs>
        <w:spacing w:before="117"/>
        <w:rPr>
          <w:sz w:val="20"/>
        </w:rPr>
      </w:pPr>
      <w:r>
        <w:rPr>
          <w:color w:val="4D4D4F"/>
          <w:w w:val="105"/>
          <w:sz w:val="20"/>
        </w:rPr>
        <w:t>Persistent perennial native</w:t>
      </w:r>
      <w:r>
        <w:rPr>
          <w:color w:val="4D4D4F"/>
          <w:spacing w:val="3"/>
          <w:w w:val="105"/>
          <w:sz w:val="20"/>
        </w:rPr>
        <w:t xml:space="preserve"> </w:t>
      </w:r>
      <w:r>
        <w:rPr>
          <w:color w:val="4D4D4F"/>
          <w:w w:val="105"/>
          <w:sz w:val="20"/>
        </w:rPr>
        <w:t>grasses</w:t>
      </w:r>
    </w:p>
    <w:p w14:paraId="0C271E60" w14:textId="77777777" w:rsidR="00EF5B27" w:rsidRDefault="00000000">
      <w:pPr>
        <w:pStyle w:val="ListParagraph"/>
        <w:numPr>
          <w:ilvl w:val="0"/>
          <w:numId w:val="34"/>
        </w:numPr>
        <w:tabs>
          <w:tab w:val="left" w:pos="2779"/>
        </w:tabs>
        <w:spacing w:before="129"/>
        <w:rPr>
          <w:sz w:val="20"/>
        </w:rPr>
      </w:pPr>
      <w:r>
        <w:rPr>
          <w:color w:val="4D4D4F"/>
          <w:w w:val="105"/>
          <w:sz w:val="20"/>
        </w:rPr>
        <w:t>Opportunistically growing native</w:t>
      </w:r>
      <w:r>
        <w:rPr>
          <w:color w:val="4D4D4F"/>
          <w:spacing w:val="2"/>
          <w:w w:val="105"/>
          <w:sz w:val="20"/>
        </w:rPr>
        <w:t xml:space="preserve"> </w:t>
      </w:r>
      <w:r>
        <w:rPr>
          <w:color w:val="4D4D4F"/>
          <w:w w:val="105"/>
          <w:sz w:val="20"/>
        </w:rPr>
        <w:t>grasses</w:t>
      </w:r>
    </w:p>
    <w:p w14:paraId="53C50365" w14:textId="77777777" w:rsidR="00EF5B27" w:rsidRDefault="00000000">
      <w:pPr>
        <w:pStyle w:val="ListParagraph"/>
        <w:numPr>
          <w:ilvl w:val="0"/>
          <w:numId w:val="34"/>
        </w:numPr>
        <w:tabs>
          <w:tab w:val="left" w:pos="2779"/>
        </w:tabs>
        <w:spacing w:before="129"/>
        <w:rPr>
          <w:sz w:val="20"/>
        </w:rPr>
      </w:pPr>
      <w:r>
        <w:rPr>
          <w:color w:val="4D4D4F"/>
          <w:w w:val="105"/>
          <w:sz w:val="20"/>
        </w:rPr>
        <w:t xml:space="preserve">Perennial native tussock-forming sedges and rushes </w:t>
      </w:r>
      <w:r>
        <w:rPr>
          <w:color w:val="4D4D4F"/>
          <w:spacing w:val="-3"/>
          <w:w w:val="105"/>
          <w:sz w:val="20"/>
        </w:rPr>
        <w:t>(</w:t>
      </w:r>
      <w:r>
        <w:rPr>
          <w:rFonts w:ascii="Arial Narrow" w:hAnsi="Arial Narrow"/>
          <w:i/>
          <w:color w:val="4D4D4F"/>
          <w:spacing w:val="-3"/>
          <w:w w:val="105"/>
          <w:sz w:val="20"/>
        </w:rPr>
        <w:t xml:space="preserve">Cyperaceae </w:t>
      </w:r>
      <w:r>
        <w:rPr>
          <w:color w:val="4D4D4F"/>
          <w:w w:val="105"/>
          <w:sz w:val="20"/>
        </w:rPr>
        <w:t>or</w:t>
      </w:r>
      <w:r>
        <w:rPr>
          <w:color w:val="4D4D4F"/>
          <w:spacing w:val="-2"/>
          <w:w w:val="105"/>
          <w:sz w:val="20"/>
        </w:rPr>
        <w:t xml:space="preserve"> </w:t>
      </w:r>
      <w:r>
        <w:rPr>
          <w:rFonts w:ascii="Arial Narrow" w:hAnsi="Arial Narrow"/>
          <w:i/>
          <w:color w:val="4D4D4F"/>
          <w:w w:val="105"/>
          <w:sz w:val="20"/>
        </w:rPr>
        <w:t>Juncaceae</w:t>
      </w:r>
      <w:r>
        <w:rPr>
          <w:color w:val="4D4D4F"/>
          <w:w w:val="105"/>
          <w:sz w:val="20"/>
        </w:rPr>
        <w:t>)</w:t>
      </w:r>
    </w:p>
    <w:p w14:paraId="48200E36" w14:textId="77777777" w:rsidR="00EF5B27" w:rsidRDefault="00EF5B27">
      <w:pPr>
        <w:rPr>
          <w:sz w:val="20"/>
        </w:rPr>
        <w:sectPr w:rsidR="00EF5B27">
          <w:pgSz w:w="11910" w:h="16840"/>
          <w:pgMar w:top="1080" w:right="1020" w:bottom="860" w:left="1020" w:header="537" w:footer="678" w:gutter="0"/>
          <w:cols w:space="720"/>
        </w:sectPr>
      </w:pPr>
    </w:p>
    <w:p w14:paraId="10CE0343" w14:textId="77777777" w:rsidR="00EF5B27" w:rsidRDefault="00000000">
      <w:pPr>
        <w:pStyle w:val="BodyText"/>
      </w:pPr>
      <w:r>
        <w:lastRenderedPageBreak/>
        <w:pict w14:anchorId="0DA5119E">
          <v:group id="_x0000_s2215" style="position:absolute;margin-left:587.05pt;margin-top:183.4pt;width:8.25pt;height:153.1pt;z-index:251798016;mso-position-horizontal-relative:page;mso-position-vertical-relative:page" coordorigin="11741,3668" coordsize="165,3062">
            <v:shape id="_x0000_s2222" style="position:absolute;left:11741;top:3668;width:165;height:561" coordorigin="11741,3668" coordsize="165,561" path="m11906,3668r-165,l11741,4228r165,-18l11906,3668xe" fillcolor="#00aed9" stroked="f">
              <v:path arrowok="t"/>
            </v:shape>
            <v:shape id="_x0000_s2221" style="position:absolute;left:11741;top:4118;width:165;height:425" coordorigin="11741,4118" coordsize="165,425" path="m11906,4118r-165,14l11741,4531r165,12l11906,4118xe" fillcolor="#047ebc" stroked="f">
              <v:path arrowok="t"/>
            </v:shape>
            <v:shape id="_x0000_s2220" type="#_x0000_t75" style="position:absolute;left:11741;top:4355;width:165;height:587">
              <v:imagedata r:id="rId42" o:title=""/>
            </v:shape>
            <v:shape id="_x0000_s2219" style="position:absolute;left:11741;top:5343;width:165;height:536" coordorigin="11741,5343" coordsize="165,536" path="m11741,5343r,535l11906,5872r,-525l11741,5343xe" fillcolor="#f36a2e" stroked="f">
              <v:path arrowok="t"/>
            </v:shape>
            <v:shape id="_x0000_s2218" style="position:absolute;left:11741;top:4925;width:165;height:501" coordorigin="11741,4926" coordsize="165,501" path="m11741,4926r,500l11906,5426r,-485l11741,4926xe" fillcolor="#49783f" stroked="f">
              <v:path arrowok="t"/>
            </v:shape>
            <v:shape id="_x0000_s2217" style="position:absolute;left:11741;top:5781;width:165;height:268" coordorigin="11741,5782" coordsize="165,268" path="m11906,5782r-165,8l11741,6039r165,10l11906,5782xe" fillcolor="#f99f2a" stroked="f">
              <v:path arrowok="t"/>
            </v:shape>
            <v:shape id="_x0000_s2216" style="position:absolute;left:11741;top:6023;width:165;height:707" coordorigin="11741,6023" coordsize="165,707" path="m11741,6023r,706l11906,6729r,-690l11741,6023xe" fillcolor="#ef412c" stroked="f">
              <v:path arrowok="t"/>
            </v:shape>
            <w10:wrap anchorx="page" anchory="page"/>
          </v:group>
        </w:pict>
      </w:r>
    </w:p>
    <w:p w14:paraId="4A5FEC6B" w14:textId="77777777" w:rsidR="00EF5B27" w:rsidRDefault="00EF5B27">
      <w:pPr>
        <w:pStyle w:val="BodyText"/>
      </w:pPr>
    </w:p>
    <w:p w14:paraId="5CFD9EDC" w14:textId="77777777" w:rsidR="00EF5B27" w:rsidRDefault="00EF5B27">
      <w:pPr>
        <w:pStyle w:val="BodyText"/>
      </w:pPr>
    </w:p>
    <w:p w14:paraId="08C43D89" w14:textId="77777777" w:rsidR="00EF5B27" w:rsidRDefault="00EF5B27">
      <w:pPr>
        <w:pStyle w:val="BodyText"/>
        <w:spacing w:before="4"/>
        <w:rPr>
          <w:sz w:val="25"/>
        </w:rPr>
      </w:pPr>
    </w:p>
    <w:p w14:paraId="6B795B8D" w14:textId="77777777" w:rsidR="00EF5B27" w:rsidRDefault="00000000">
      <w:pPr>
        <w:pStyle w:val="ListParagraph"/>
        <w:numPr>
          <w:ilvl w:val="0"/>
          <w:numId w:val="34"/>
        </w:numPr>
        <w:tabs>
          <w:tab w:val="left" w:pos="2779"/>
        </w:tabs>
        <w:spacing w:before="100"/>
        <w:rPr>
          <w:sz w:val="20"/>
        </w:rPr>
      </w:pPr>
      <w:bookmarkStart w:id="130" w:name="_bookmark84"/>
      <w:bookmarkEnd w:id="130"/>
      <w:r>
        <w:rPr>
          <w:color w:val="4D4D4F"/>
          <w:w w:val="105"/>
          <w:sz w:val="20"/>
        </w:rPr>
        <w:t>Perennial native rhizomatous</w:t>
      </w:r>
      <w:r>
        <w:rPr>
          <w:color w:val="4D4D4F"/>
          <w:spacing w:val="1"/>
          <w:w w:val="105"/>
          <w:sz w:val="20"/>
        </w:rPr>
        <w:t xml:space="preserve"> </w:t>
      </w:r>
      <w:r>
        <w:rPr>
          <w:color w:val="4D4D4F"/>
          <w:w w:val="105"/>
          <w:sz w:val="20"/>
        </w:rPr>
        <w:t>sedges</w:t>
      </w:r>
    </w:p>
    <w:p w14:paraId="29BA2590" w14:textId="77777777" w:rsidR="00EF5B27" w:rsidRDefault="00000000">
      <w:pPr>
        <w:pStyle w:val="ListParagraph"/>
        <w:numPr>
          <w:ilvl w:val="0"/>
          <w:numId w:val="34"/>
        </w:numPr>
        <w:tabs>
          <w:tab w:val="left" w:pos="2779"/>
        </w:tabs>
        <w:spacing w:before="130"/>
        <w:rPr>
          <w:sz w:val="20"/>
        </w:rPr>
      </w:pPr>
      <w:r>
        <w:rPr>
          <w:color w:val="4D4D4F"/>
          <w:sz w:val="20"/>
        </w:rPr>
        <w:t>Perennial native forbs</w:t>
      </w:r>
      <w:r>
        <w:rPr>
          <w:color w:val="4D4D4F"/>
          <w:spacing w:val="12"/>
          <w:sz w:val="20"/>
        </w:rPr>
        <w:t xml:space="preserve"> </w:t>
      </w:r>
      <w:r>
        <w:rPr>
          <w:color w:val="4D4D4F"/>
          <w:spacing w:val="-3"/>
          <w:sz w:val="20"/>
        </w:rPr>
        <w:t>(aquatic)</w:t>
      </w:r>
    </w:p>
    <w:p w14:paraId="653FCA2B" w14:textId="77777777" w:rsidR="00EF5B27" w:rsidRDefault="00000000">
      <w:pPr>
        <w:pStyle w:val="ListParagraph"/>
        <w:numPr>
          <w:ilvl w:val="0"/>
          <w:numId w:val="34"/>
        </w:numPr>
        <w:tabs>
          <w:tab w:val="left" w:pos="2779"/>
        </w:tabs>
        <w:spacing w:before="129"/>
        <w:rPr>
          <w:sz w:val="20"/>
        </w:rPr>
      </w:pPr>
      <w:r>
        <w:rPr>
          <w:color w:val="4D4D4F"/>
          <w:sz w:val="20"/>
        </w:rPr>
        <w:t>Perennial native forbs (damp-land</w:t>
      </w:r>
      <w:r>
        <w:rPr>
          <w:color w:val="4D4D4F"/>
          <w:spacing w:val="15"/>
          <w:sz w:val="20"/>
        </w:rPr>
        <w:t xml:space="preserve"> </w:t>
      </w:r>
      <w:r>
        <w:rPr>
          <w:color w:val="4D4D4F"/>
          <w:sz w:val="20"/>
        </w:rPr>
        <w:t>dependent)</w:t>
      </w:r>
    </w:p>
    <w:p w14:paraId="5B3BD10D" w14:textId="77777777" w:rsidR="00EF5B27" w:rsidRDefault="00000000">
      <w:pPr>
        <w:pStyle w:val="ListParagraph"/>
        <w:numPr>
          <w:ilvl w:val="0"/>
          <w:numId w:val="34"/>
        </w:numPr>
        <w:tabs>
          <w:tab w:val="left" w:pos="2779"/>
        </w:tabs>
        <w:spacing w:before="129"/>
        <w:rPr>
          <w:sz w:val="20"/>
        </w:rPr>
      </w:pPr>
      <w:r>
        <w:rPr>
          <w:color w:val="4D4D4F"/>
          <w:w w:val="105"/>
          <w:sz w:val="20"/>
        </w:rPr>
        <w:t>Perennial native forbs (terrestrial or</w:t>
      </w:r>
      <w:r>
        <w:rPr>
          <w:color w:val="4D4D4F"/>
          <w:spacing w:val="1"/>
          <w:w w:val="105"/>
          <w:sz w:val="20"/>
        </w:rPr>
        <w:t xml:space="preserve"> </w:t>
      </w:r>
      <w:r>
        <w:rPr>
          <w:color w:val="4D4D4F"/>
          <w:w w:val="105"/>
          <w:sz w:val="20"/>
        </w:rPr>
        <w:t>ruderal)</w:t>
      </w:r>
    </w:p>
    <w:p w14:paraId="20CFBC1D" w14:textId="77777777" w:rsidR="00EF5B27" w:rsidRDefault="00000000">
      <w:pPr>
        <w:pStyle w:val="ListParagraph"/>
        <w:numPr>
          <w:ilvl w:val="0"/>
          <w:numId w:val="34"/>
        </w:numPr>
        <w:tabs>
          <w:tab w:val="left" w:pos="2779"/>
        </w:tabs>
        <w:spacing w:before="129"/>
        <w:rPr>
          <w:sz w:val="20"/>
        </w:rPr>
      </w:pPr>
      <w:r>
        <w:rPr>
          <w:color w:val="4D4D4F"/>
          <w:sz w:val="20"/>
        </w:rPr>
        <w:t>Annual native</w:t>
      </w:r>
      <w:r>
        <w:rPr>
          <w:color w:val="4D4D4F"/>
          <w:spacing w:val="8"/>
          <w:sz w:val="20"/>
        </w:rPr>
        <w:t xml:space="preserve"> </w:t>
      </w:r>
      <w:r>
        <w:rPr>
          <w:color w:val="4D4D4F"/>
          <w:sz w:val="20"/>
        </w:rPr>
        <w:t>forbs</w:t>
      </w:r>
    </w:p>
    <w:p w14:paraId="5C705696" w14:textId="77777777" w:rsidR="00EF5B27" w:rsidRDefault="00000000">
      <w:pPr>
        <w:pStyle w:val="ListParagraph"/>
        <w:numPr>
          <w:ilvl w:val="0"/>
          <w:numId w:val="34"/>
        </w:numPr>
        <w:tabs>
          <w:tab w:val="left" w:pos="2779"/>
        </w:tabs>
        <w:spacing w:before="130"/>
        <w:rPr>
          <w:sz w:val="20"/>
        </w:rPr>
      </w:pPr>
      <w:r>
        <w:rPr>
          <w:color w:val="4D4D4F"/>
          <w:w w:val="105"/>
          <w:sz w:val="20"/>
        </w:rPr>
        <w:t>Perennial dryland exotic</w:t>
      </w:r>
      <w:r>
        <w:rPr>
          <w:color w:val="4D4D4F"/>
          <w:spacing w:val="2"/>
          <w:w w:val="105"/>
          <w:sz w:val="20"/>
        </w:rPr>
        <w:t xml:space="preserve"> </w:t>
      </w:r>
      <w:r>
        <w:rPr>
          <w:color w:val="4D4D4F"/>
          <w:w w:val="105"/>
          <w:sz w:val="20"/>
        </w:rPr>
        <w:t>species</w:t>
      </w:r>
    </w:p>
    <w:p w14:paraId="5CB69F38" w14:textId="77777777" w:rsidR="00EF5B27" w:rsidRDefault="00000000">
      <w:pPr>
        <w:pStyle w:val="ListParagraph"/>
        <w:numPr>
          <w:ilvl w:val="0"/>
          <w:numId w:val="34"/>
        </w:numPr>
        <w:tabs>
          <w:tab w:val="left" w:pos="2779"/>
        </w:tabs>
        <w:spacing w:before="129"/>
        <w:rPr>
          <w:sz w:val="20"/>
        </w:rPr>
      </w:pPr>
      <w:r>
        <w:rPr>
          <w:color w:val="4D4D4F"/>
          <w:sz w:val="20"/>
        </w:rPr>
        <w:t>Perennial aquatic exotic</w:t>
      </w:r>
      <w:r>
        <w:rPr>
          <w:color w:val="4D4D4F"/>
          <w:spacing w:val="12"/>
          <w:sz w:val="20"/>
        </w:rPr>
        <w:t xml:space="preserve"> </w:t>
      </w:r>
      <w:r>
        <w:rPr>
          <w:color w:val="4D4D4F"/>
          <w:sz w:val="20"/>
        </w:rPr>
        <w:t>species</w:t>
      </w:r>
    </w:p>
    <w:p w14:paraId="6507024E" w14:textId="77777777" w:rsidR="00EF5B27" w:rsidRDefault="00000000">
      <w:pPr>
        <w:pStyle w:val="ListParagraph"/>
        <w:numPr>
          <w:ilvl w:val="0"/>
          <w:numId w:val="34"/>
        </w:numPr>
        <w:tabs>
          <w:tab w:val="left" w:pos="2779"/>
        </w:tabs>
        <w:spacing w:before="129"/>
        <w:rPr>
          <w:sz w:val="20"/>
        </w:rPr>
      </w:pPr>
      <w:r>
        <w:rPr>
          <w:color w:val="4D4D4F"/>
          <w:sz w:val="20"/>
        </w:rPr>
        <w:t>Annual and biennial exotic</w:t>
      </w:r>
      <w:r>
        <w:rPr>
          <w:color w:val="4D4D4F"/>
          <w:spacing w:val="15"/>
          <w:sz w:val="20"/>
        </w:rPr>
        <w:t xml:space="preserve"> </w:t>
      </w:r>
      <w:r>
        <w:rPr>
          <w:color w:val="4D4D4F"/>
          <w:sz w:val="20"/>
        </w:rPr>
        <w:t>species</w:t>
      </w:r>
    </w:p>
    <w:p w14:paraId="58F057CE" w14:textId="77777777" w:rsidR="00EF5B27" w:rsidRDefault="00000000">
      <w:pPr>
        <w:pStyle w:val="ListParagraph"/>
        <w:numPr>
          <w:ilvl w:val="0"/>
          <w:numId w:val="34"/>
        </w:numPr>
        <w:tabs>
          <w:tab w:val="left" w:pos="2779"/>
        </w:tabs>
        <w:spacing w:before="130"/>
        <w:rPr>
          <w:sz w:val="20"/>
        </w:rPr>
      </w:pPr>
      <w:r>
        <w:rPr>
          <w:color w:val="4D4D4F"/>
          <w:sz w:val="20"/>
        </w:rPr>
        <w:t>Water</w:t>
      </w:r>
    </w:p>
    <w:p w14:paraId="17656224" w14:textId="77777777" w:rsidR="00EF5B27" w:rsidRDefault="00000000">
      <w:pPr>
        <w:pStyle w:val="ListParagraph"/>
        <w:numPr>
          <w:ilvl w:val="0"/>
          <w:numId w:val="34"/>
        </w:numPr>
        <w:tabs>
          <w:tab w:val="left" w:pos="2779"/>
        </w:tabs>
        <w:spacing w:before="129"/>
        <w:rPr>
          <w:sz w:val="20"/>
        </w:rPr>
      </w:pPr>
      <w:r>
        <w:rPr>
          <w:color w:val="4D4D4F"/>
          <w:sz w:val="20"/>
        </w:rPr>
        <w:t>Bare ground, stones or</w:t>
      </w:r>
      <w:r>
        <w:rPr>
          <w:color w:val="4D4D4F"/>
          <w:spacing w:val="16"/>
          <w:sz w:val="20"/>
        </w:rPr>
        <w:t xml:space="preserve"> </w:t>
      </w:r>
      <w:r>
        <w:rPr>
          <w:color w:val="4D4D4F"/>
          <w:sz w:val="20"/>
        </w:rPr>
        <w:t>mud.</w:t>
      </w:r>
    </w:p>
    <w:p w14:paraId="2772AC90" w14:textId="77777777" w:rsidR="00EF5B27" w:rsidRDefault="00000000">
      <w:pPr>
        <w:pStyle w:val="BodyText"/>
        <w:spacing w:before="129" w:line="254" w:lineRule="auto"/>
        <w:ind w:left="2608" w:right="145"/>
        <w:jc w:val="both"/>
      </w:pPr>
      <w:r>
        <w:rPr>
          <w:color w:val="4D4D4F"/>
        </w:rPr>
        <w:t>Multiple categories are recorded at some points where multiple species overlapped at the point. This data is used to derive cover estimates for each category and hence the percentage of perennial cover that is exotic, as required to address the KPIs. The data are also used to inform the ecosystem model for Seasonal Herbaceous Wetlands.</w:t>
      </w:r>
    </w:p>
    <w:p w14:paraId="7552CD9A" w14:textId="77777777" w:rsidR="00EF5B27" w:rsidRDefault="00000000">
      <w:pPr>
        <w:pStyle w:val="BodyText"/>
        <w:spacing w:before="118"/>
        <w:ind w:left="2608"/>
      </w:pPr>
      <w:r>
        <w:rPr>
          <w:color w:val="4D4D4F"/>
        </w:rPr>
        <w:t xml:space="preserve">An example of a plot used in sampling a wetland is shown in </w:t>
      </w:r>
      <w:hyperlink w:anchor="_bookmark83" w:history="1">
        <w:r>
          <w:rPr>
            <w:color w:val="4D4D4F"/>
          </w:rPr>
          <w:t>Figure 48</w:t>
        </w:r>
      </w:hyperlink>
      <w:r>
        <w:rPr>
          <w:color w:val="4D4D4F"/>
        </w:rPr>
        <w:t>.</w:t>
      </w:r>
    </w:p>
    <w:p w14:paraId="04A67D1E" w14:textId="77777777" w:rsidR="00EF5B27" w:rsidRDefault="00EF5B27">
      <w:pPr>
        <w:pStyle w:val="BodyText"/>
        <w:spacing w:before="2"/>
      </w:pPr>
    </w:p>
    <w:p w14:paraId="021A983B" w14:textId="77777777" w:rsidR="00EF5B27" w:rsidRDefault="00000000">
      <w:pPr>
        <w:pStyle w:val="Heading3"/>
      </w:pPr>
      <w:r>
        <w:rPr>
          <w:color w:val="F99F2A"/>
        </w:rPr>
        <w:t>Assessing the diversity of native forbs</w:t>
      </w:r>
    </w:p>
    <w:p w14:paraId="514EC8FA" w14:textId="77777777" w:rsidR="00EF5B27" w:rsidRDefault="00000000">
      <w:pPr>
        <w:pStyle w:val="BodyText"/>
        <w:spacing w:before="222" w:line="254" w:lineRule="auto"/>
        <w:ind w:left="2608" w:right="151"/>
      </w:pPr>
      <w:r>
        <w:rPr>
          <w:color w:val="4D4D4F"/>
        </w:rPr>
        <w:t>All native forbs species encountered during the point-intercept sampling are recorded. One observer spends an additional 20 min/ha actively searching for forb species over the full extent of each wetland.</w:t>
      </w:r>
    </w:p>
    <w:p w14:paraId="56810BD8" w14:textId="77777777" w:rsidR="00EF5B27" w:rsidRDefault="00EF5B27">
      <w:pPr>
        <w:pStyle w:val="BodyText"/>
      </w:pPr>
    </w:p>
    <w:p w14:paraId="2FB032F7" w14:textId="77777777" w:rsidR="00EF5B27" w:rsidRDefault="00000000">
      <w:pPr>
        <w:pStyle w:val="BodyText"/>
        <w:spacing w:before="2"/>
        <w:rPr>
          <w:sz w:val="12"/>
        </w:rPr>
      </w:pPr>
      <w:r>
        <w:rPr>
          <w:noProof/>
        </w:rPr>
        <w:drawing>
          <wp:anchor distT="0" distB="0" distL="0" distR="0" simplePos="0" relativeHeight="251305472" behindDoc="0" locked="0" layoutInCell="1" allowOverlap="1" wp14:anchorId="10A17FB7" wp14:editId="1EAD547E">
            <wp:simplePos x="0" y="0"/>
            <wp:positionH relativeFrom="page">
              <wp:posOffset>2304000</wp:posOffset>
            </wp:positionH>
            <wp:positionV relativeFrom="paragraph">
              <wp:posOffset>119641</wp:posOffset>
            </wp:positionV>
            <wp:extent cx="4535423" cy="2551176"/>
            <wp:effectExtent l="0" t="0" r="0" b="0"/>
            <wp:wrapTopAndBottom/>
            <wp:docPr id="523"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221.png"/>
                    <pic:cNvPicPr/>
                  </pic:nvPicPr>
                  <pic:blipFill>
                    <a:blip r:embed="rId182" cstate="print"/>
                    <a:stretch>
                      <a:fillRect/>
                    </a:stretch>
                  </pic:blipFill>
                  <pic:spPr>
                    <a:xfrm>
                      <a:off x="0" y="0"/>
                      <a:ext cx="4535423" cy="2551176"/>
                    </a:xfrm>
                    <a:prstGeom prst="rect">
                      <a:avLst/>
                    </a:prstGeom>
                  </pic:spPr>
                </pic:pic>
              </a:graphicData>
            </a:graphic>
          </wp:anchor>
        </w:drawing>
      </w:r>
    </w:p>
    <w:p w14:paraId="159FEAE0" w14:textId="77777777" w:rsidR="00EF5B27" w:rsidRDefault="00000000">
      <w:pPr>
        <w:tabs>
          <w:tab w:val="left" w:pos="8977"/>
        </w:tabs>
        <w:spacing w:before="113" w:line="244" w:lineRule="auto"/>
        <w:ind w:left="2608" w:right="111"/>
        <w:rPr>
          <w:rFonts w:ascii="Century Gothic"/>
          <w:i/>
          <w:sz w:val="12"/>
        </w:rPr>
      </w:pPr>
      <w:bookmarkStart w:id="131" w:name="_Ref113026372"/>
      <w:bookmarkStart w:id="132" w:name="_bookmark83"/>
      <w:bookmarkEnd w:id="131"/>
      <w:bookmarkEnd w:id="132"/>
      <w:r>
        <w:rPr>
          <w:color w:val="4D4D4F"/>
          <w:sz w:val="16"/>
        </w:rPr>
        <w:t xml:space="preserve">Figure </w:t>
      </w:r>
      <w:r>
        <w:rPr>
          <w:color w:val="4D4D4F"/>
          <w:spacing w:val="2"/>
          <w:sz w:val="16"/>
        </w:rPr>
        <w:t xml:space="preserve">48: </w:t>
      </w:r>
      <w:r>
        <w:rPr>
          <w:color w:val="4D4D4F"/>
          <w:sz w:val="16"/>
        </w:rPr>
        <w:t>The small plot used to sample Seasonal Herbaceous Wetland, lying alongside the tape measure that defines</w:t>
      </w:r>
      <w:r>
        <w:rPr>
          <w:color w:val="4D4D4F"/>
          <w:spacing w:val="6"/>
          <w:sz w:val="16"/>
        </w:rPr>
        <w:t xml:space="preserve"> </w:t>
      </w:r>
      <w:r>
        <w:rPr>
          <w:color w:val="4D4D4F"/>
          <w:sz w:val="16"/>
        </w:rPr>
        <w:t>the</w:t>
      </w:r>
      <w:r>
        <w:rPr>
          <w:color w:val="4D4D4F"/>
          <w:spacing w:val="4"/>
          <w:sz w:val="16"/>
        </w:rPr>
        <w:t xml:space="preserve"> </w:t>
      </w:r>
      <w:r>
        <w:rPr>
          <w:color w:val="4D4D4F"/>
          <w:spacing w:val="2"/>
          <w:sz w:val="16"/>
        </w:rPr>
        <w:t>transect</w:t>
      </w:r>
      <w:r>
        <w:rPr>
          <w:color w:val="4D4D4F"/>
          <w:spacing w:val="2"/>
          <w:sz w:val="16"/>
        </w:rPr>
        <w:tab/>
      </w:r>
      <w:r>
        <w:rPr>
          <w:rFonts w:ascii="Century Gothic"/>
          <w:i/>
          <w:color w:val="4D4D4F"/>
          <w:w w:val="90"/>
          <w:sz w:val="12"/>
        </w:rPr>
        <w:t>Source:</w:t>
      </w:r>
      <w:r>
        <w:rPr>
          <w:rFonts w:ascii="Century Gothic"/>
          <w:i/>
          <w:color w:val="4D4D4F"/>
          <w:spacing w:val="1"/>
          <w:w w:val="90"/>
          <w:sz w:val="12"/>
        </w:rPr>
        <w:t xml:space="preserve"> </w:t>
      </w:r>
      <w:r>
        <w:rPr>
          <w:rFonts w:ascii="Century Gothic"/>
          <w:i/>
          <w:color w:val="4D4D4F"/>
          <w:spacing w:val="-5"/>
          <w:w w:val="90"/>
          <w:sz w:val="12"/>
        </w:rPr>
        <w:t>DELWP</w:t>
      </w:r>
    </w:p>
    <w:p w14:paraId="33024F3E" w14:textId="77777777" w:rsidR="00EF5B27" w:rsidRDefault="00EF5B27">
      <w:pPr>
        <w:spacing w:line="244" w:lineRule="auto"/>
        <w:rPr>
          <w:rFonts w:ascii="Century Gothic"/>
          <w:sz w:val="12"/>
        </w:rPr>
        <w:sectPr w:rsidR="00EF5B27">
          <w:pgSz w:w="11910" w:h="16840"/>
          <w:pgMar w:top="1080" w:right="1020" w:bottom="860" w:left="1020" w:header="537" w:footer="678" w:gutter="0"/>
          <w:cols w:space="720"/>
        </w:sectPr>
      </w:pPr>
    </w:p>
    <w:p w14:paraId="7AA6DC61" w14:textId="77777777" w:rsidR="00EF5B27" w:rsidRDefault="00000000">
      <w:pPr>
        <w:pStyle w:val="BodyText"/>
        <w:rPr>
          <w:rFonts w:ascii="Century Gothic"/>
          <w:i/>
        </w:rPr>
      </w:pPr>
      <w:r>
        <w:lastRenderedPageBreak/>
        <w:pict w14:anchorId="7A8F2469">
          <v:group id="_x0000_s2207" style="position:absolute;margin-left:587.05pt;margin-top:183.4pt;width:8.25pt;height:153.1pt;z-index:251799040;mso-position-horizontal-relative:page;mso-position-vertical-relative:page" coordorigin="11741,3668" coordsize="165,3062">
            <v:shape id="_x0000_s2214" style="position:absolute;left:11741;top:3668;width:165;height:561" coordorigin="11741,3668" coordsize="165,561" path="m11906,3668r-165,l11741,4228r165,-18l11906,3668xe" fillcolor="#00aed9" stroked="f">
              <v:path arrowok="t"/>
            </v:shape>
            <v:shape id="_x0000_s2213" style="position:absolute;left:11741;top:4118;width:165;height:425" coordorigin="11741,4118" coordsize="165,425" path="m11906,4118r-165,14l11741,4531r165,12l11906,4118xe" fillcolor="#047ebc" stroked="f">
              <v:path arrowok="t"/>
            </v:shape>
            <v:shape id="_x0000_s2212" type="#_x0000_t75" style="position:absolute;left:11741;top:4355;width:165;height:587">
              <v:imagedata r:id="rId42" o:title=""/>
            </v:shape>
            <v:shape id="_x0000_s2211" style="position:absolute;left:11741;top:5343;width:165;height:536" coordorigin="11741,5343" coordsize="165,536" path="m11741,5343r,535l11906,5872r,-525l11741,5343xe" fillcolor="#f36a2e" stroked="f">
              <v:path arrowok="t"/>
            </v:shape>
            <v:shape id="_x0000_s2210" style="position:absolute;left:11741;top:4925;width:165;height:501" coordorigin="11741,4926" coordsize="165,501" path="m11741,4926r,500l11906,5426r,-485l11741,4926xe" fillcolor="#49783f" stroked="f">
              <v:path arrowok="t"/>
            </v:shape>
            <v:shape id="_x0000_s2209" style="position:absolute;left:11741;top:5781;width:165;height:268" coordorigin="11741,5782" coordsize="165,268" path="m11906,5782r-165,8l11741,6039r165,10l11906,5782xe" fillcolor="#f99f2a" stroked="f">
              <v:path arrowok="t"/>
            </v:shape>
            <v:shape id="_x0000_s2208" style="position:absolute;left:11741;top:6023;width:165;height:707" coordorigin="11741,6023" coordsize="165,707" path="m11741,6023r,706l11906,6729r,-690l11741,6023xe" fillcolor="#ef412c" stroked="f">
              <v:path arrowok="t"/>
            </v:shape>
            <w10:wrap anchorx="page" anchory="page"/>
          </v:group>
        </w:pict>
      </w:r>
    </w:p>
    <w:p w14:paraId="6E6173CA" w14:textId="77777777" w:rsidR="00EF5B27" w:rsidRDefault="00EF5B27">
      <w:pPr>
        <w:pStyle w:val="BodyText"/>
        <w:rPr>
          <w:rFonts w:ascii="Century Gothic"/>
          <w:i/>
        </w:rPr>
      </w:pPr>
    </w:p>
    <w:p w14:paraId="2BA404A5" w14:textId="77777777" w:rsidR="00EF5B27" w:rsidRDefault="00EF5B27">
      <w:pPr>
        <w:pStyle w:val="BodyText"/>
        <w:rPr>
          <w:rFonts w:ascii="Century Gothic"/>
          <w:i/>
        </w:rPr>
      </w:pPr>
    </w:p>
    <w:p w14:paraId="4E52F5F2" w14:textId="77777777" w:rsidR="00EF5B27" w:rsidRDefault="00EF5B27">
      <w:pPr>
        <w:pStyle w:val="BodyText"/>
        <w:spacing w:before="7"/>
        <w:rPr>
          <w:rFonts w:ascii="Century Gothic"/>
          <w:i/>
          <w:sz w:val="22"/>
        </w:rPr>
      </w:pPr>
    </w:p>
    <w:p w14:paraId="5FB2341B" w14:textId="77777777" w:rsidR="00EF5B27" w:rsidRDefault="00000000">
      <w:pPr>
        <w:pStyle w:val="Heading3"/>
        <w:spacing w:before="116"/>
      </w:pPr>
      <w:r>
        <w:rPr>
          <w:color w:val="F99F2A"/>
        </w:rPr>
        <w:t>Changes to the MRF</w:t>
      </w:r>
    </w:p>
    <w:p w14:paraId="5285DEED" w14:textId="77777777" w:rsidR="00EF5B27" w:rsidRDefault="00000000">
      <w:pPr>
        <w:pStyle w:val="BodyText"/>
        <w:spacing w:before="221"/>
        <w:ind w:left="2608"/>
      </w:pPr>
      <w:r>
        <w:rPr>
          <w:color w:val="4D4D4F"/>
        </w:rPr>
        <w:t>The following changes have been adopted since the MRF was published in 2015.</w:t>
      </w:r>
    </w:p>
    <w:p w14:paraId="74C6123F" w14:textId="77777777" w:rsidR="00EF5B27" w:rsidRDefault="00000000">
      <w:pPr>
        <w:pStyle w:val="ListParagraph"/>
        <w:numPr>
          <w:ilvl w:val="0"/>
          <w:numId w:val="34"/>
        </w:numPr>
        <w:tabs>
          <w:tab w:val="left" w:pos="2779"/>
        </w:tabs>
        <w:spacing w:before="129" w:line="254" w:lineRule="auto"/>
        <w:ind w:right="760"/>
        <w:rPr>
          <w:sz w:val="20"/>
        </w:rPr>
      </w:pPr>
      <w:r>
        <w:rPr>
          <w:color w:val="4D4D4F"/>
          <w:sz w:val="20"/>
        </w:rPr>
        <w:t>All references to native herbs have been changed to native forbs, in line with accepted</w:t>
      </w:r>
      <w:r>
        <w:rPr>
          <w:color w:val="4D4D4F"/>
          <w:spacing w:val="4"/>
          <w:sz w:val="20"/>
        </w:rPr>
        <w:t xml:space="preserve"> </w:t>
      </w:r>
      <w:r>
        <w:rPr>
          <w:color w:val="4D4D4F"/>
          <w:sz w:val="20"/>
        </w:rPr>
        <w:t>usage.</w:t>
      </w:r>
    </w:p>
    <w:p w14:paraId="6DB6E728" w14:textId="77777777" w:rsidR="00EF5B27" w:rsidRDefault="00000000">
      <w:pPr>
        <w:pStyle w:val="ListParagraph"/>
        <w:numPr>
          <w:ilvl w:val="0"/>
          <w:numId w:val="34"/>
        </w:numPr>
        <w:tabs>
          <w:tab w:val="left" w:pos="2779"/>
        </w:tabs>
        <w:spacing w:before="116" w:line="254" w:lineRule="auto"/>
        <w:ind w:right="776"/>
        <w:rPr>
          <w:sz w:val="20"/>
        </w:rPr>
      </w:pPr>
      <w:r>
        <w:rPr>
          <w:color w:val="4D4D4F"/>
          <w:sz w:val="20"/>
        </w:rPr>
        <w:t>The term diversity has been changed to richness in KPIs 1 and 2, in line with accepted</w:t>
      </w:r>
      <w:r>
        <w:rPr>
          <w:color w:val="4D4D4F"/>
          <w:spacing w:val="4"/>
          <w:sz w:val="20"/>
        </w:rPr>
        <w:t xml:space="preserve"> </w:t>
      </w:r>
      <w:r>
        <w:rPr>
          <w:color w:val="4D4D4F"/>
          <w:sz w:val="20"/>
        </w:rPr>
        <w:t>usage.</w:t>
      </w:r>
    </w:p>
    <w:p w14:paraId="1CCED581" w14:textId="77777777" w:rsidR="00EF5B27" w:rsidRDefault="00000000">
      <w:pPr>
        <w:pStyle w:val="ListParagraph"/>
        <w:numPr>
          <w:ilvl w:val="0"/>
          <w:numId w:val="34"/>
        </w:numPr>
        <w:tabs>
          <w:tab w:val="left" w:pos="2779"/>
        </w:tabs>
        <w:spacing w:before="116"/>
        <w:rPr>
          <w:sz w:val="20"/>
        </w:rPr>
      </w:pPr>
      <w:r>
        <w:rPr>
          <w:color w:val="4D4D4F"/>
          <w:sz w:val="20"/>
        </w:rPr>
        <w:t>All KPIs have now been</w:t>
      </w:r>
      <w:r>
        <w:rPr>
          <w:color w:val="4D4D4F"/>
          <w:spacing w:val="21"/>
          <w:sz w:val="20"/>
        </w:rPr>
        <w:t xml:space="preserve"> </w:t>
      </w:r>
      <w:r>
        <w:rPr>
          <w:color w:val="4D4D4F"/>
          <w:sz w:val="20"/>
        </w:rPr>
        <w:t>numbered.</w:t>
      </w:r>
    </w:p>
    <w:p w14:paraId="45E185F6" w14:textId="77777777" w:rsidR="00EF5B27" w:rsidRDefault="00000000">
      <w:pPr>
        <w:pStyle w:val="ListParagraph"/>
        <w:numPr>
          <w:ilvl w:val="0"/>
          <w:numId w:val="34"/>
        </w:numPr>
        <w:tabs>
          <w:tab w:val="left" w:pos="2779"/>
        </w:tabs>
        <w:spacing w:before="129" w:line="254" w:lineRule="auto"/>
        <w:ind w:right="512"/>
        <w:rPr>
          <w:sz w:val="20"/>
        </w:rPr>
      </w:pPr>
      <w:r>
        <w:rPr>
          <w:color w:val="4D4D4F"/>
          <w:sz w:val="20"/>
        </w:rPr>
        <w:t>The formulation of baselines and targets was clarified to clearly indicate that all KPIs are assessed using a continual improvement</w:t>
      </w:r>
      <w:r>
        <w:rPr>
          <w:color w:val="4D4D4F"/>
          <w:spacing w:val="42"/>
          <w:sz w:val="20"/>
        </w:rPr>
        <w:t xml:space="preserve"> </w:t>
      </w:r>
      <w:r>
        <w:rPr>
          <w:color w:val="4D4D4F"/>
          <w:sz w:val="20"/>
        </w:rPr>
        <w:t>model.</w:t>
      </w:r>
    </w:p>
    <w:p w14:paraId="77DD0EDF" w14:textId="77777777" w:rsidR="00EF5B27" w:rsidRDefault="00000000">
      <w:pPr>
        <w:pStyle w:val="ListParagraph"/>
        <w:numPr>
          <w:ilvl w:val="0"/>
          <w:numId w:val="34"/>
        </w:numPr>
        <w:tabs>
          <w:tab w:val="left" w:pos="2779"/>
        </w:tabs>
        <w:spacing w:before="116" w:line="254" w:lineRule="auto"/>
        <w:ind w:right="261"/>
        <w:rPr>
          <w:sz w:val="20"/>
        </w:rPr>
      </w:pPr>
      <w:r>
        <w:rPr>
          <w:color w:val="4D4D4F"/>
          <w:sz w:val="20"/>
        </w:rPr>
        <w:t xml:space="preserve">The </w:t>
      </w:r>
      <w:r>
        <w:rPr>
          <w:color w:val="4D4D4F"/>
          <w:spacing w:val="-3"/>
          <w:sz w:val="20"/>
        </w:rPr>
        <w:t xml:space="preserve">clarification has </w:t>
      </w:r>
      <w:r>
        <w:rPr>
          <w:color w:val="4D4D4F"/>
          <w:sz w:val="20"/>
        </w:rPr>
        <w:t xml:space="preserve">been </w:t>
      </w:r>
      <w:r>
        <w:rPr>
          <w:color w:val="4D4D4F"/>
          <w:spacing w:val="-3"/>
          <w:sz w:val="20"/>
        </w:rPr>
        <w:t xml:space="preserve">added that </w:t>
      </w:r>
      <w:r>
        <w:rPr>
          <w:color w:val="4D4D4F"/>
          <w:sz w:val="20"/>
        </w:rPr>
        <w:t xml:space="preserve">if a </w:t>
      </w:r>
      <w:r>
        <w:rPr>
          <w:color w:val="4D4D4F"/>
          <w:spacing w:val="-4"/>
          <w:sz w:val="20"/>
        </w:rPr>
        <w:t xml:space="preserve">wetland </w:t>
      </w:r>
      <w:r>
        <w:rPr>
          <w:color w:val="4D4D4F"/>
          <w:spacing w:val="-3"/>
          <w:sz w:val="20"/>
        </w:rPr>
        <w:t xml:space="preserve">is divided </w:t>
      </w:r>
      <w:r>
        <w:rPr>
          <w:color w:val="4D4D4F"/>
          <w:spacing w:val="-5"/>
          <w:sz w:val="20"/>
        </w:rPr>
        <w:t xml:space="preserve">into multiple </w:t>
      </w:r>
      <w:r>
        <w:rPr>
          <w:color w:val="4D4D4F"/>
          <w:spacing w:val="-4"/>
          <w:sz w:val="20"/>
        </w:rPr>
        <w:t xml:space="preserve">management </w:t>
      </w:r>
      <w:r>
        <w:rPr>
          <w:color w:val="4D4D4F"/>
          <w:sz w:val="20"/>
        </w:rPr>
        <w:t>units (e.g. by a fence), then these may be reported as separate wetlands,</w:t>
      </w:r>
      <w:r>
        <w:rPr>
          <w:color w:val="4D4D4F"/>
          <w:spacing w:val="35"/>
          <w:sz w:val="20"/>
        </w:rPr>
        <w:t xml:space="preserve"> </w:t>
      </w:r>
      <w:r>
        <w:rPr>
          <w:color w:val="4D4D4F"/>
          <w:sz w:val="20"/>
        </w:rPr>
        <w:t>even</w:t>
      </w:r>
    </w:p>
    <w:p w14:paraId="76907F6A" w14:textId="77777777" w:rsidR="00EF5B27" w:rsidRDefault="00000000">
      <w:pPr>
        <w:pStyle w:val="BodyText"/>
        <w:spacing w:before="2" w:line="254" w:lineRule="auto"/>
        <w:ind w:left="2778" w:right="543"/>
        <w:jc w:val="both"/>
      </w:pPr>
      <w:r>
        <w:rPr>
          <w:color w:val="4D4D4F"/>
        </w:rPr>
        <w:t>if they are each under 3 ha. Distinguishing wetlands with different management is important for modelling and adaptive management. This situation has not yet occurred; currently all wetlands are single management units.</w:t>
      </w:r>
    </w:p>
    <w:p w14:paraId="2074EFD5" w14:textId="77777777" w:rsidR="00EF5B27" w:rsidRDefault="00000000">
      <w:pPr>
        <w:pStyle w:val="ListParagraph"/>
        <w:numPr>
          <w:ilvl w:val="0"/>
          <w:numId w:val="34"/>
        </w:numPr>
        <w:tabs>
          <w:tab w:val="left" w:pos="2779"/>
        </w:tabs>
        <w:spacing w:before="117"/>
        <w:rPr>
          <w:sz w:val="20"/>
        </w:rPr>
      </w:pPr>
      <w:r>
        <w:rPr>
          <w:color w:val="4D4D4F"/>
          <w:sz w:val="20"/>
        </w:rPr>
        <w:t>Filling is now defined in the methods section; this was left undefined in the</w:t>
      </w:r>
      <w:r>
        <w:rPr>
          <w:color w:val="4D4D4F"/>
          <w:spacing w:val="24"/>
          <w:sz w:val="20"/>
        </w:rPr>
        <w:t xml:space="preserve"> </w:t>
      </w:r>
      <w:r>
        <w:rPr>
          <w:color w:val="4D4D4F"/>
          <w:spacing w:val="-5"/>
          <w:sz w:val="20"/>
        </w:rPr>
        <w:t>MRF.</w:t>
      </w:r>
    </w:p>
    <w:p w14:paraId="41218EA1" w14:textId="77777777" w:rsidR="00EF5B27" w:rsidRDefault="00000000">
      <w:pPr>
        <w:pStyle w:val="ListParagraph"/>
        <w:numPr>
          <w:ilvl w:val="0"/>
          <w:numId w:val="34"/>
        </w:numPr>
        <w:tabs>
          <w:tab w:val="left" w:pos="2779"/>
        </w:tabs>
        <w:spacing w:before="130" w:line="254" w:lineRule="auto"/>
        <w:ind w:right="563"/>
        <w:rPr>
          <w:sz w:val="20"/>
        </w:rPr>
      </w:pPr>
      <w:r>
        <w:rPr>
          <w:color w:val="4D4D4F"/>
          <w:sz w:val="20"/>
        </w:rPr>
        <w:t>It is now clearly stipulated that the hydrological phase must be noted at time of monitoring, with a full definition of each phase added to the</w:t>
      </w:r>
      <w:r>
        <w:rPr>
          <w:color w:val="4D4D4F"/>
          <w:spacing w:val="4"/>
          <w:sz w:val="20"/>
        </w:rPr>
        <w:t xml:space="preserve"> </w:t>
      </w:r>
      <w:r>
        <w:rPr>
          <w:color w:val="4D4D4F"/>
          <w:sz w:val="20"/>
        </w:rPr>
        <w:t>methods.</w:t>
      </w:r>
    </w:p>
    <w:p w14:paraId="3F697E92" w14:textId="77777777" w:rsidR="00EF5B27" w:rsidRDefault="00000000">
      <w:pPr>
        <w:pStyle w:val="ListParagraph"/>
        <w:numPr>
          <w:ilvl w:val="0"/>
          <w:numId w:val="34"/>
        </w:numPr>
        <w:tabs>
          <w:tab w:val="left" w:pos="2779"/>
        </w:tabs>
        <w:spacing w:before="115" w:line="254" w:lineRule="auto"/>
        <w:ind w:right="512"/>
        <w:rPr>
          <w:sz w:val="20"/>
        </w:rPr>
      </w:pPr>
      <w:r>
        <w:rPr>
          <w:color w:val="4D4D4F"/>
          <w:sz w:val="20"/>
        </w:rPr>
        <w:t>It has been clarified that for KPIs 3 and 4, the baseline is set for a given wetland after the first five years of monitoring, not after one</w:t>
      </w:r>
      <w:r>
        <w:rPr>
          <w:color w:val="4D4D4F"/>
          <w:spacing w:val="30"/>
          <w:sz w:val="20"/>
        </w:rPr>
        <w:t xml:space="preserve"> </w:t>
      </w:r>
      <w:r>
        <w:rPr>
          <w:color w:val="4D4D4F"/>
          <w:spacing w:val="-4"/>
          <w:sz w:val="20"/>
        </w:rPr>
        <w:t>year.</w:t>
      </w:r>
    </w:p>
    <w:p w14:paraId="4D2976D6" w14:textId="77777777" w:rsidR="00EF5B27" w:rsidRDefault="00000000">
      <w:pPr>
        <w:pStyle w:val="ListParagraph"/>
        <w:numPr>
          <w:ilvl w:val="0"/>
          <w:numId w:val="34"/>
        </w:numPr>
        <w:tabs>
          <w:tab w:val="left" w:pos="2779"/>
        </w:tabs>
        <w:spacing w:before="116" w:line="254" w:lineRule="auto"/>
        <w:ind w:right="562"/>
        <w:rPr>
          <w:sz w:val="20"/>
        </w:rPr>
      </w:pPr>
      <w:r>
        <w:rPr>
          <w:color w:val="4D4D4F"/>
          <w:sz w:val="20"/>
        </w:rPr>
        <w:t xml:space="preserve">The phrasing of KPIs 3 and 4 has been altered </w:t>
      </w:r>
      <w:r>
        <w:rPr>
          <w:color w:val="4D4D4F"/>
          <w:spacing w:val="-3"/>
          <w:sz w:val="20"/>
        </w:rPr>
        <w:t xml:space="preserve">slightly </w:t>
      </w:r>
      <w:r>
        <w:rPr>
          <w:color w:val="4D4D4F"/>
          <w:sz w:val="20"/>
        </w:rPr>
        <w:t>to match the phrasing of the equivalent KPIs for Natural Temperate</w:t>
      </w:r>
      <w:r>
        <w:rPr>
          <w:color w:val="4D4D4F"/>
          <w:spacing w:val="30"/>
          <w:sz w:val="20"/>
        </w:rPr>
        <w:t xml:space="preserve"> </w:t>
      </w:r>
      <w:r>
        <w:rPr>
          <w:color w:val="4D4D4F"/>
          <w:sz w:val="20"/>
        </w:rPr>
        <w:t>Grassland.</w:t>
      </w:r>
    </w:p>
    <w:p w14:paraId="4AC0DABD" w14:textId="77777777" w:rsidR="00EF5B27" w:rsidRDefault="00EF5B27">
      <w:pPr>
        <w:pStyle w:val="BodyText"/>
        <w:spacing w:before="8"/>
        <w:rPr>
          <w:sz w:val="25"/>
        </w:rPr>
      </w:pPr>
    </w:p>
    <w:p w14:paraId="63946D2F" w14:textId="77777777" w:rsidR="00EF5B27" w:rsidRDefault="00000000">
      <w:pPr>
        <w:pStyle w:val="Heading2"/>
        <w:spacing w:before="0"/>
      </w:pPr>
      <w:r>
        <w:rPr>
          <w:color w:val="F99F2A"/>
        </w:rPr>
        <w:t>MNES 4: Golden Sun Moth</w:t>
      </w:r>
    </w:p>
    <w:p w14:paraId="502D8CD3" w14:textId="77777777" w:rsidR="00EF5B27" w:rsidRDefault="00000000">
      <w:pPr>
        <w:spacing w:before="340"/>
        <w:ind w:left="2608"/>
        <w:rPr>
          <w:b/>
          <w:sz w:val="11"/>
        </w:rPr>
      </w:pPr>
      <w:r>
        <w:rPr>
          <w:b/>
          <w:color w:val="4D4D4F"/>
          <w:w w:val="105"/>
        </w:rPr>
        <w:t xml:space="preserve">The following is an extract from the </w:t>
      </w:r>
      <w:r>
        <w:rPr>
          <w:b/>
          <w:color w:val="4D4D4F"/>
          <w:w w:val="105"/>
          <w:sz w:val="20"/>
        </w:rPr>
        <w:t>Outcomes Report 2014–2020.</w:t>
      </w:r>
      <w:r>
        <w:rPr>
          <w:b/>
          <w:color w:val="4D4D4F"/>
          <w:w w:val="105"/>
          <w:position w:val="7"/>
          <w:sz w:val="11"/>
        </w:rPr>
        <w:t>325</w:t>
      </w:r>
    </w:p>
    <w:p w14:paraId="7E8051F1" w14:textId="77777777" w:rsidR="00EF5B27" w:rsidRDefault="00000000">
      <w:pPr>
        <w:pStyle w:val="Heading3"/>
        <w:spacing w:before="241"/>
      </w:pPr>
      <w:r>
        <w:rPr>
          <w:color w:val="F99F2A"/>
        </w:rPr>
        <w:t>KPI 1: Detection of moths</w:t>
      </w:r>
    </w:p>
    <w:p w14:paraId="1BD47BD8" w14:textId="77777777" w:rsidR="00EF5B27" w:rsidRDefault="00000000">
      <w:pPr>
        <w:pStyle w:val="BodyText"/>
        <w:spacing w:before="221" w:line="254" w:lineRule="auto"/>
        <w:ind w:left="2608" w:right="221"/>
      </w:pPr>
      <w:r>
        <w:rPr>
          <w:color w:val="4D4D4F"/>
          <w:spacing w:val="-7"/>
        </w:rPr>
        <w:t xml:space="preserve">To </w:t>
      </w:r>
      <w:r>
        <w:rPr>
          <w:color w:val="4D4D4F"/>
        </w:rPr>
        <w:t xml:space="preserve">stratify Golden Sun Moth surveys, the Western Grassland Reserve is divided into  250 ha grids. Within each grid a </w:t>
      </w:r>
      <w:r>
        <w:rPr>
          <w:color w:val="4D4D4F"/>
          <w:spacing w:val="2"/>
        </w:rPr>
        <w:t xml:space="preserve">400 </w:t>
      </w:r>
      <w:r>
        <w:rPr>
          <w:color w:val="4D4D4F"/>
        </w:rPr>
        <w:t xml:space="preserve">x </w:t>
      </w:r>
      <w:r>
        <w:rPr>
          <w:color w:val="4D4D4F"/>
          <w:spacing w:val="2"/>
        </w:rPr>
        <w:t xml:space="preserve">400 </w:t>
      </w:r>
      <w:r>
        <w:rPr>
          <w:color w:val="4D4D4F"/>
        </w:rPr>
        <w:t xml:space="preserve">m plot is randomly allocated within Natural Temperate Grassland </w:t>
      </w:r>
      <w:r>
        <w:rPr>
          <w:color w:val="4D4D4F"/>
          <w:spacing w:val="-3"/>
        </w:rPr>
        <w:t xml:space="preserve">(excluding </w:t>
      </w:r>
      <w:r>
        <w:rPr>
          <w:color w:val="4D4D4F"/>
        </w:rPr>
        <w:t xml:space="preserve">the states De-rocked grassland, De-rocked nutrient- enriched pasture, which are assumed to be inappropriate habitat for Golden Sun Moth). This plot allocation has resulted in </w:t>
      </w:r>
      <w:r>
        <w:rPr>
          <w:color w:val="4D4D4F"/>
          <w:spacing w:val="-10"/>
        </w:rPr>
        <w:t xml:space="preserve">11 </w:t>
      </w:r>
      <w:r>
        <w:rPr>
          <w:color w:val="4D4D4F"/>
        </w:rPr>
        <w:t xml:space="preserve">permanent plots being established in the existing protected area, as of </w:t>
      </w:r>
      <w:r>
        <w:rPr>
          <w:color w:val="4D4D4F"/>
          <w:spacing w:val="-6"/>
        </w:rPr>
        <w:t xml:space="preserve">2019. </w:t>
      </w:r>
      <w:r>
        <w:rPr>
          <w:color w:val="4D4D4F"/>
        </w:rPr>
        <w:t>Additional plots will be established in new areas as they are</w:t>
      </w:r>
      <w:r>
        <w:rPr>
          <w:color w:val="4D4D4F"/>
          <w:spacing w:val="7"/>
        </w:rPr>
        <w:t xml:space="preserve"> </w:t>
      </w:r>
      <w:r>
        <w:rPr>
          <w:color w:val="4D4D4F"/>
        </w:rPr>
        <w:t>protected.</w:t>
      </w:r>
    </w:p>
    <w:p w14:paraId="419FD985" w14:textId="77777777" w:rsidR="00EF5B27" w:rsidRDefault="00EF5B27">
      <w:pPr>
        <w:pStyle w:val="BodyText"/>
      </w:pPr>
    </w:p>
    <w:p w14:paraId="2C68AB2B" w14:textId="77777777" w:rsidR="00EF5B27" w:rsidRDefault="00EF5B27">
      <w:pPr>
        <w:pStyle w:val="BodyText"/>
      </w:pPr>
    </w:p>
    <w:p w14:paraId="467B6105" w14:textId="77777777" w:rsidR="00EF5B27" w:rsidRDefault="00EF5B27">
      <w:pPr>
        <w:pStyle w:val="BodyText"/>
      </w:pPr>
    </w:p>
    <w:p w14:paraId="0645D2D7" w14:textId="77777777" w:rsidR="00EF5B27" w:rsidRDefault="00EF5B27">
      <w:pPr>
        <w:pStyle w:val="BodyText"/>
      </w:pPr>
    </w:p>
    <w:p w14:paraId="3FB6234D" w14:textId="77777777" w:rsidR="00EF5B27" w:rsidRDefault="00EF5B27">
      <w:pPr>
        <w:pStyle w:val="BodyText"/>
      </w:pPr>
    </w:p>
    <w:p w14:paraId="4975065B" w14:textId="77777777" w:rsidR="00EF5B27" w:rsidRDefault="00EF5B27">
      <w:pPr>
        <w:pStyle w:val="BodyText"/>
      </w:pPr>
    </w:p>
    <w:p w14:paraId="2981B28B" w14:textId="77777777" w:rsidR="00EF5B27" w:rsidRDefault="00000000">
      <w:pPr>
        <w:pStyle w:val="BodyText"/>
        <w:spacing w:before="7"/>
        <w:rPr>
          <w:sz w:val="17"/>
        </w:rPr>
      </w:pPr>
      <w:r>
        <w:pict w14:anchorId="6074CAA7">
          <v:line id="_x0000_s2206" style="position:absolute;z-index:251765248;mso-wrap-distance-left:0;mso-wrap-distance-right:0;mso-position-horizontal-relative:page" from="181.4pt,12.95pt" to="538.6pt,12.95pt" strokecolor="#4d4d4f" strokeweight=".5pt">
            <w10:wrap type="topAndBottom" anchorx="page"/>
          </v:line>
        </w:pict>
      </w:r>
    </w:p>
    <w:p w14:paraId="6FAB3E08" w14:textId="77777777" w:rsidR="00EF5B27" w:rsidRDefault="00000000">
      <w:pPr>
        <w:pStyle w:val="ListParagraph"/>
        <w:numPr>
          <w:ilvl w:val="0"/>
          <w:numId w:val="4"/>
        </w:numPr>
        <w:tabs>
          <w:tab w:val="left" w:pos="2836"/>
        </w:tabs>
        <w:spacing w:before="88" w:line="230" w:lineRule="auto"/>
        <w:ind w:right="112"/>
        <w:rPr>
          <w:sz w:val="12"/>
        </w:rPr>
      </w:pPr>
      <w:r>
        <w:rPr>
          <w:color w:val="4D4D4F"/>
          <w:spacing w:val="2"/>
          <w:sz w:val="12"/>
        </w:rPr>
        <w:t xml:space="preserve">Bruce </w:t>
      </w:r>
      <w:r>
        <w:rPr>
          <w:color w:val="4D4D4F"/>
          <w:sz w:val="12"/>
        </w:rPr>
        <w:t xml:space="preserve">M, Batpurev </w:t>
      </w:r>
      <w:r>
        <w:rPr>
          <w:color w:val="4D4D4F"/>
          <w:spacing w:val="2"/>
          <w:sz w:val="12"/>
        </w:rPr>
        <w:t xml:space="preserve">K, </w:t>
      </w:r>
      <w:r>
        <w:rPr>
          <w:color w:val="4D4D4F"/>
          <w:sz w:val="12"/>
        </w:rPr>
        <w:t xml:space="preserve">Bryant D, Sinclair S and Kohout M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DELWP, Heidelberg,</w:t>
      </w:r>
      <w:r>
        <w:rPr>
          <w:color w:val="4D4D4F"/>
          <w:spacing w:val="8"/>
          <w:sz w:val="12"/>
        </w:rPr>
        <w:t xml:space="preserve"> </w:t>
      </w:r>
      <w:r>
        <w:rPr>
          <w:color w:val="4D4D4F"/>
          <w:sz w:val="12"/>
        </w:rPr>
        <w:t>Victoria.</w:t>
      </w:r>
    </w:p>
    <w:p w14:paraId="1777BA4F"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673336D9" w14:textId="77777777" w:rsidR="00EF5B27" w:rsidRDefault="00000000">
      <w:pPr>
        <w:pStyle w:val="BodyText"/>
      </w:pPr>
      <w:r>
        <w:lastRenderedPageBreak/>
        <w:pict w14:anchorId="7B8F41E7">
          <v:group id="_x0000_s2198" style="position:absolute;margin-left:587.05pt;margin-top:183.4pt;width:8.25pt;height:153.1pt;z-index:251800064;mso-position-horizontal-relative:page;mso-position-vertical-relative:page" coordorigin="11741,3668" coordsize="165,3062">
            <v:shape id="_x0000_s2205" style="position:absolute;left:11741;top:3668;width:165;height:561" coordorigin="11741,3668" coordsize="165,561" path="m11906,3668r-165,l11741,4228r165,-18l11906,3668xe" fillcolor="#00aed9" stroked="f">
              <v:path arrowok="t"/>
            </v:shape>
            <v:shape id="_x0000_s2204" style="position:absolute;left:11741;top:4118;width:165;height:425" coordorigin="11741,4118" coordsize="165,425" path="m11906,4118r-165,14l11741,4531r165,12l11906,4118xe" fillcolor="#047ebc" stroked="f">
              <v:path arrowok="t"/>
            </v:shape>
            <v:shape id="_x0000_s2203" type="#_x0000_t75" style="position:absolute;left:11741;top:4355;width:165;height:587">
              <v:imagedata r:id="rId42" o:title=""/>
            </v:shape>
            <v:shape id="_x0000_s2202" style="position:absolute;left:11741;top:5343;width:165;height:536" coordorigin="11741,5343" coordsize="165,536" path="m11741,5343r,535l11906,5872r,-525l11741,5343xe" fillcolor="#f36a2e" stroked="f">
              <v:path arrowok="t"/>
            </v:shape>
            <v:shape id="_x0000_s2201" style="position:absolute;left:11741;top:4925;width:165;height:501" coordorigin="11741,4926" coordsize="165,501" path="m11741,4926r,500l11906,5426r,-485l11741,4926xe" fillcolor="#49783f" stroked="f">
              <v:path arrowok="t"/>
            </v:shape>
            <v:shape id="_x0000_s2200" style="position:absolute;left:11741;top:5781;width:165;height:268" coordorigin="11741,5782" coordsize="165,268" path="m11906,5782r-165,8l11741,6039r165,10l11906,5782xe" fillcolor="#f99f2a" stroked="f">
              <v:path arrowok="t"/>
            </v:shape>
            <v:shape id="_x0000_s2199" style="position:absolute;left:11741;top:6023;width:165;height:707" coordorigin="11741,6023" coordsize="165,707" path="m11741,6023r,706l11906,6729r,-690l11741,6023xe" fillcolor="#ef412c" stroked="f">
              <v:path arrowok="t"/>
            </v:shape>
            <w10:wrap anchorx="page" anchory="page"/>
          </v:group>
        </w:pict>
      </w:r>
    </w:p>
    <w:p w14:paraId="32CC0DFB" w14:textId="77777777" w:rsidR="00EF5B27" w:rsidRDefault="00EF5B27">
      <w:pPr>
        <w:pStyle w:val="BodyText"/>
      </w:pPr>
    </w:p>
    <w:p w14:paraId="59412648" w14:textId="77777777" w:rsidR="00EF5B27" w:rsidRDefault="00EF5B27">
      <w:pPr>
        <w:pStyle w:val="BodyText"/>
      </w:pPr>
    </w:p>
    <w:p w14:paraId="336678AA" w14:textId="77777777" w:rsidR="00EF5B27" w:rsidRDefault="00EF5B27">
      <w:pPr>
        <w:pStyle w:val="BodyText"/>
        <w:spacing w:before="4"/>
        <w:rPr>
          <w:sz w:val="25"/>
        </w:rPr>
      </w:pPr>
    </w:p>
    <w:p w14:paraId="7D2FE9CC" w14:textId="77777777" w:rsidR="00EF5B27" w:rsidRDefault="00000000">
      <w:pPr>
        <w:pStyle w:val="BodyText"/>
        <w:spacing w:before="100" w:line="254" w:lineRule="auto"/>
        <w:ind w:left="2608" w:right="113"/>
      </w:pPr>
      <w:r>
        <w:rPr>
          <w:color w:val="4D4D4F"/>
        </w:rPr>
        <w:t xml:space="preserve">Surveys are undertaken between November and January in each </w:t>
      </w:r>
      <w:r>
        <w:rPr>
          <w:color w:val="4D4D4F"/>
          <w:spacing w:val="-5"/>
        </w:rPr>
        <w:t xml:space="preserve">year, </w:t>
      </w:r>
      <w:r>
        <w:rPr>
          <w:color w:val="4D4D4F"/>
        </w:rPr>
        <w:t xml:space="preserve">with each plot surveyed once per </w:t>
      </w:r>
      <w:r>
        <w:rPr>
          <w:color w:val="4D4D4F"/>
          <w:spacing w:val="-4"/>
        </w:rPr>
        <w:t xml:space="preserve">year. </w:t>
      </w:r>
      <w:r>
        <w:rPr>
          <w:color w:val="4D4D4F"/>
        </w:rPr>
        <w:t xml:space="preserve">In each plot </w:t>
      </w:r>
      <w:r>
        <w:rPr>
          <w:color w:val="4D4D4F"/>
          <w:spacing w:val="-3"/>
        </w:rPr>
        <w:t xml:space="preserve">21 </w:t>
      </w:r>
      <w:r>
        <w:rPr>
          <w:color w:val="4D4D4F"/>
        </w:rPr>
        <w:t xml:space="preserve">transects are established (20 m apart) and  these transects are walked noting the time to first detection, the total number of moths detected and the total survey time. If all transects are walked with no moth detection the species is recorded as absent from that plot). In cases where the shape of the grassland does not </w:t>
      </w:r>
      <w:r>
        <w:rPr>
          <w:color w:val="4D4D4F"/>
          <w:spacing w:val="-3"/>
        </w:rPr>
        <w:t xml:space="preserve">allow </w:t>
      </w:r>
      <w:r>
        <w:rPr>
          <w:color w:val="4D4D4F"/>
        </w:rPr>
        <w:t xml:space="preserve">a </w:t>
      </w:r>
      <w:r>
        <w:rPr>
          <w:color w:val="4D4D4F"/>
          <w:spacing w:val="-3"/>
        </w:rPr>
        <w:t xml:space="preserve">plot </w:t>
      </w:r>
      <w:r>
        <w:rPr>
          <w:color w:val="4D4D4F"/>
        </w:rPr>
        <w:t xml:space="preserve">to fit, transects are arranged 20 m apart </w:t>
      </w:r>
      <w:r>
        <w:rPr>
          <w:color w:val="4D4D4F"/>
          <w:spacing w:val="-3"/>
        </w:rPr>
        <w:t xml:space="preserve">that adequately </w:t>
      </w:r>
      <w:r>
        <w:rPr>
          <w:color w:val="4D4D4F"/>
          <w:spacing w:val="-4"/>
        </w:rPr>
        <w:t xml:space="preserve">sample </w:t>
      </w:r>
      <w:r>
        <w:rPr>
          <w:color w:val="4D4D4F"/>
          <w:spacing w:val="-3"/>
        </w:rPr>
        <w:t xml:space="preserve">the </w:t>
      </w:r>
      <w:r>
        <w:rPr>
          <w:color w:val="4D4D4F"/>
          <w:spacing w:val="-4"/>
        </w:rPr>
        <w:t xml:space="preserve">site </w:t>
      </w:r>
      <w:r>
        <w:rPr>
          <w:color w:val="4D4D4F"/>
          <w:spacing w:val="-5"/>
        </w:rPr>
        <w:t xml:space="preserve">(e.g. Truganina </w:t>
      </w:r>
      <w:r>
        <w:rPr>
          <w:color w:val="4D4D4F"/>
        </w:rPr>
        <w:t xml:space="preserve">South NCR, </w:t>
      </w:r>
      <w:r>
        <w:rPr>
          <w:color w:val="4D4D4F"/>
          <w:spacing w:val="-3"/>
        </w:rPr>
        <w:t xml:space="preserve">in </w:t>
      </w:r>
      <w:r>
        <w:rPr>
          <w:color w:val="4D4D4F"/>
          <w:spacing w:val="-4"/>
        </w:rPr>
        <w:t xml:space="preserve">this </w:t>
      </w:r>
      <w:r>
        <w:rPr>
          <w:color w:val="4D4D4F"/>
        </w:rPr>
        <w:t xml:space="preserve">case </w:t>
      </w:r>
      <w:r>
        <w:rPr>
          <w:color w:val="4D4D4F"/>
          <w:spacing w:val="-4"/>
        </w:rPr>
        <w:t xml:space="preserve">all native </w:t>
      </w:r>
      <w:r>
        <w:rPr>
          <w:color w:val="4D4D4F"/>
          <w:spacing w:val="-3"/>
        </w:rPr>
        <w:t xml:space="preserve">grassland </w:t>
      </w:r>
      <w:r>
        <w:rPr>
          <w:color w:val="4D4D4F"/>
          <w:spacing w:val="-2"/>
        </w:rPr>
        <w:t xml:space="preserve">was </w:t>
      </w:r>
      <w:r>
        <w:rPr>
          <w:color w:val="4D4D4F"/>
          <w:spacing w:val="-3"/>
        </w:rPr>
        <w:t xml:space="preserve">surveyed  </w:t>
      </w:r>
      <w:r>
        <w:rPr>
          <w:color w:val="4D4D4F"/>
        </w:rPr>
        <w:t xml:space="preserve">via transects 20 m apart). As far as practical, surveys are undertaken during conditions thought to maximise the probability of detection (between </w:t>
      </w:r>
      <w:r>
        <w:rPr>
          <w:color w:val="4D4D4F"/>
          <w:spacing w:val="-10"/>
        </w:rPr>
        <w:t xml:space="preserve">11 </w:t>
      </w:r>
      <w:r>
        <w:rPr>
          <w:color w:val="4D4D4F"/>
        </w:rPr>
        <w:t>am and 3 pm, ambient temperature 20-35</w:t>
      </w:r>
      <w:r>
        <w:rPr>
          <w:rFonts w:ascii="Calibri Light" w:hAnsi="Calibri Light"/>
          <w:color w:val="4D4D4F"/>
        </w:rPr>
        <w:t>⁰</w:t>
      </w:r>
      <w:r>
        <w:rPr>
          <w:color w:val="4D4D4F"/>
        </w:rPr>
        <w:t>C, cloud cover &lt;50% and light</w:t>
      </w:r>
      <w:r>
        <w:rPr>
          <w:color w:val="4D4D4F"/>
          <w:spacing w:val="25"/>
        </w:rPr>
        <w:t xml:space="preserve"> </w:t>
      </w:r>
      <w:r>
        <w:rPr>
          <w:color w:val="4D4D4F"/>
        </w:rPr>
        <w:t>winds).</w:t>
      </w:r>
    </w:p>
    <w:p w14:paraId="3229215C" w14:textId="77777777" w:rsidR="00EF5B27" w:rsidRDefault="00000000">
      <w:pPr>
        <w:pStyle w:val="BodyText"/>
        <w:spacing w:before="126" w:line="254" w:lineRule="auto"/>
        <w:ind w:left="2608"/>
      </w:pPr>
      <w:r>
        <w:rPr>
          <w:color w:val="4D4D4F"/>
        </w:rPr>
        <w:t>The baseline is the mean proportion of the number of plots occupied over the first five years of monitoring. This was set in 2018 as 0.89.</w:t>
      </w:r>
    </w:p>
    <w:p w14:paraId="6EF18FC6" w14:textId="77777777" w:rsidR="00EF5B27" w:rsidRDefault="00EF5B27">
      <w:pPr>
        <w:pStyle w:val="BodyText"/>
        <w:spacing w:before="1"/>
        <w:rPr>
          <w:sz w:val="19"/>
        </w:rPr>
      </w:pPr>
    </w:p>
    <w:p w14:paraId="44259877" w14:textId="77777777" w:rsidR="00EF5B27" w:rsidRDefault="00000000">
      <w:pPr>
        <w:pStyle w:val="Heading3"/>
      </w:pPr>
      <w:r>
        <w:rPr>
          <w:color w:val="F99F2A"/>
        </w:rPr>
        <w:t>Changes to the MRF</w:t>
      </w:r>
    </w:p>
    <w:p w14:paraId="7156D8AE" w14:textId="77777777" w:rsidR="00EF5B27" w:rsidRDefault="00000000">
      <w:pPr>
        <w:pStyle w:val="BodyText"/>
        <w:spacing w:before="221"/>
        <w:ind w:left="2608"/>
      </w:pPr>
      <w:r>
        <w:rPr>
          <w:color w:val="4D4D4F"/>
        </w:rPr>
        <w:t>The following changes have been adopted since the MRF was published in 2015.</w:t>
      </w:r>
    </w:p>
    <w:p w14:paraId="2BC3880B" w14:textId="77777777" w:rsidR="00EF5B27" w:rsidRDefault="00000000">
      <w:pPr>
        <w:pStyle w:val="ListParagraph"/>
        <w:numPr>
          <w:ilvl w:val="0"/>
          <w:numId w:val="34"/>
        </w:numPr>
        <w:tabs>
          <w:tab w:val="left" w:pos="2779"/>
        </w:tabs>
        <w:spacing w:before="129" w:line="254" w:lineRule="auto"/>
        <w:ind w:right="147"/>
        <w:rPr>
          <w:sz w:val="20"/>
        </w:rPr>
      </w:pPr>
      <w:r>
        <w:rPr>
          <w:color w:val="4D4D4F"/>
          <w:sz w:val="20"/>
        </w:rPr>
        <w:t>The Other measures have been amended to include an estimate of Golden Sun Moth abundance</w:t>
      </w:r>
      <w:r>
        <w:rPr>
          <w:color w:val="4D4D4F"/>
          <w:spacing w:val="5"/>
          <w:sz w:val="20"/>
        </w:rPr>
        <w:t xml:space="preserve"> </w:t>
      </w:r>
      <w:r>
        <w:rPr>
          <w:color w:val="4D4D4F"/>
          <w:sz w:val="20"/>
        </w:rPr>
        <w:t>taken</w:t>
      </w:r>
      <w:r>
        <w:rPr>
          <w:color w:val="4D4D4F"/>
          <w:spacing w:val="6"/>
          <w:sz w:val="20"/>
        </w:rPr>
        <w:t xml:space="preserve"> </w:t>
      </w:r>
      <w:r>
        <w:rPr>
          <w:color w:val="4D4D4F"/>
          <w:sz w:val="20"/>
        </w:rPr>
        <w:t>from</w:t>
      </w:r>
      <w:r>
        <w:rPr>
          <w:color w:val="4D4D4F"/>
          <w:spacing w:val="5"/>
          <w:sz w:val="20"/>
        </w:rPr>
        <w:t xml:space="preserve"> </w:t>
      </w:r>
      <w:r>
        <w:rPr>
          <w:color w:val="4D4D4F"/>
          <w:sz w:val="20"/>
        </w:rPr>
        <w:t>counts</w:t>
      </w:r>
      <w:r>
        <w:rPr>
          <w:color w:val="4D4D4F"/>
          <w:spacing w:val="6"/>
          <w:sz w:val="20"/>
        </w:rPr>
        <w:t xml:space="preserve"> </w:t>
      </w:r>
      <w:r>
        <w:rPr>
          <w:color w:val="4D4D4F"/>
          <w:sz w:val="20"/>
        </w:rPr>
        <w:t>of</w:t>
      </w:r>
      <w:r>
        <w:rPr>
          <w:color w:val="4D4D4F"/>
          <w:spacing w:val="5"/>
          <w:sz w:val="20"/>
        </w:rPr>
        <w:t xml:space="preserve"> </w:t>
      </w:r>
      <w:r>
        <w:rPr>
          <w:color w:val="4D4D4F"/>
          <w:sz w:val="20"/>
        </w:rPr>
        <w:t>individuals</w:t>
      </w:r>
      <w:r>
        <w:rPr>
          <w:color w:val="4D4D4F"/>
          <w:spacing w:val="6"/>
          <w:sz w:val="20"/>
        </w:rPr>
        <w:t xml:space="preserve"> </w:t>
      </w:r>
      <w:r>
        <w:rPr>
          <w:color w:val="4D4D4F"/>
          <w:sz w:val="20"/>
        </w:rPr>
        <w:t>in</w:t>
      </w:r>
      <w:r>
        <w:rPr>
          <w:color w:val="4D4D4F"/>
          <w:spacing w:val="5"/>
          <w:sz w:val="20"/>
        </w:rPr>
        <w:t xml:space="preserve"> </w:t>
      </w:r>
      <w:r>
        <w:rPr>
          <w:color w:val="4D4D4F"/>
          <w:sz w:val="20"/>
        </w:rPr>
        <w:t>each</w:t>
      </w:r>
      <w:r>
        <w:rPr>
          <w:color w:val="4D4D4F"/>
          <w:spacing w:val="6"/>
          <w:sz w:val="20"/>
        </w:rPr>
        <w:t xml:space="preserve"> </w:t>
      </w:r>
      <w:r>
        <w:rPr>
          <w:color w:val="4D4D4F"/>
          <w:sz w:val="20"/>
        </w:rPr>
        <w:t>plot.</w:t>
      </w:r>
      <w:r>
        <w:rPr>
          <w:color w:val="4D4D4F"/>
          <w:spacing w:val="6"/>
          <w:sz w:val="20"/>
        </w:rPr>
        <w:t xml:space="preserve"> </w:t>
      </w:r>
      <w:r>
        <w:rPr>
          <w:color w:val="4D4D4F"/>
          <w:sz w:val="20"/>
        </w:rPr>
        <w:t>This</w:t>
      </w:r>
      <w:r>
        <w:rPr>
          <w:color w:val="4D4D4F"/>
          <w:spacing w:val="5"/>
          <w:sz w:val="20"/>
        </w:rPr>
        <w:t xml:space="preserve"> </w:t>
      </w:r>
      <w:r>
        <w:rPr>
          <w:color w:val="4D4D4F"/>
          <w:sz w:val="20"/>
        </w:rPr>
        <w:t>requires</w:t>
      </w:r>
      <w:r>
        <w:rPr>
          <w:color w:val="4D4D4F"/>
          <w:spacing w:val="6"/>
          <w:sz w:val="20"/>
        </w:rPr>
        <w:t xml:space="preserve"> </w:t>
      </w:r>
      <w:r>
        <w:rPr>
          <w:color w:val="4D4D4F"/>
          <w:sz w:val="20"/>
        </w:rPr>
        <w:t>a</w:t>
      </w:r>
      <w:r>
        <w:rPr>
          <w:color w:val="4D4D4F"/>
          <w:spacing w:val="5"/>
          <w:sz w:val="20"/>
        </w:rPr>
        <w:t xml:space="preserve"> </w:t>
      </w:r>
      <w:r>
        <w:rPr>
          <w:color w:val="4D4D4F"/>
          <w:sz w:val="20"/>
        </w:rPr>
        <w:t>change</w:t>
      </w:r>
    </w:p>
    <w:p w14:paraId="0746D927" w14:textId="77777777" w:rsidR="00EF5B27" w:rsidRDefault="00000000">
      <w:pPr>
        <w:pStyle w:val="BodyText"/>
        <w:spacing w:before="3" w:line="254" w:lineRule="auto"/>
        <w:ind w:left="2778" w:right="604"/>
        <w:jc w:val="both"/>
      </w:pPr>
      <w:r>
        <w:rPr>
          <w:color w:val="4D4D4F"/>
          <w:w w:val="105"/>
        </w:rPr>
        <w:t>in</w:t>
      </w:r>
      <w:r>
        <w:rPr>
          <w:color w:val="4D4D4F"/>
          <w:spacing w:val="-22"/>
          <w:w w:val="105"/>
        </w:rPr>
        <w:t xml:space="preserve"> </w:t>
      </w:r>
      <w:r>
        <w:rPr>
          <w:color w:val="4D4D4F"/>
          <w:w w:val="105"/>
        </w:rPr>
        <w:t>the</w:t>
      </w:r>
      <w:r>
        <w:rPr>
          <w:color w:val="4D4D4F"/>
          <w:spacing w:val="-21"/>
          <w:w w:val="105"/>
        </w:rPr>
        <w:t xml:space="preserve"> </w:t>
      </w:r>
      <w:r>
        <w:rPr>
          <w:color w:val="4D4D4F"/>
          <w:w w:val="105"/>
        </w:rPr>
        <w:t>monitoring</w:t>
      </w:r>
      <w:r>
        <w:rPr>
          <w:color w:val="4D4D4F"/>
          <w:spacing w:val="-21"/>
          <w:w w:val="105"/>
        </w:rPr>
        <w:t xml:space="preserve"> </w:t>
      </w:r>
      <w:r>
        <w:rPr>
          <w:color w:val="4D4D4F"/>
          <w:w w:val="105"/>
        </w:rPr>
        <w:t>protocol</w:t>
      </w:r>
      <w:r>
        <w:rPr>
          <w:color w:val="4D4D4F"/>
          <w:spacing w:val="-21"/>
          <w:w w:val="105"/>
        </w:rPr>
        <w:t xml:space="preserve"> </w:t>
      </w:r>
      <w:r>
        <w:rPr>
          <w:color w:val="4D4D4F"/>
          <w:w w:val="105"/>
        </w:rPr>
        <w:t>such</w:t>
      </w:r>
      <w:r>
        <w:rPr>
          <w:color w:val="4D4D4F"/>
          <w:spacing w:val="-21"/>
          <w:w w:val="105"/>
        </w:rPr>
        <w:t xml:space="preserve"> </w:t>
      </w:r>
      <w:r>
        <w:rPr>
          <w:color w:val="4D4D4F"/>
          <w:w w:val="105"/>
        </w:rPr>
        <w:t>that</w:t>
      </w:r>
      <w:r>
        <w:rPr>
          <w:color w:val="4D4D4F"/>
          <w:spacing w:val="-21"/>
          <w:w w:val="105"/>
        </w:rPr>
        <w:t xml:space="preserve"> </w:t>
      </w:r>
      <w:r>
        <w:rPr>
          <w:color w:val="4D4D4F"/>
          <w:w w:val="105"/>
        </w:rPr>
        <w:t>each</w:t>
      </w:r>
      <w:r>
        <w:rPr>
          <w:color w:val="4D4D4F"/>
          <w:spacing w:val="-21"/>
          <w:w w:val="105"/>
        </w:rPr>
        <w:t xml:space="preserve"> </w:t>
      </w:r>
      <w:r>
        <w:rPr>
          <w:color w:val="4D4D4F"/>
          <w:w w:val="105"/>
        </w:rPr>
        <w:t>plot</w:t>
      </w:r>
      <w:r>
        <w:rPr>
          <w:color w:val="4D4D4F"/>
          <w:spacing w:val="-21"/>
          <w:w w:val="105"/>
        </w:rPr>
        <w:t xml:space="preserve"> </w:t>
      </w:r>
      <w:r>
        <w:rPr>
          <w:color w:val="4D4D4F"/>
          <w:w w:val="105"/>
        </w:rPr>
        <w:t>is</w:t>
      </w:r>
      <w:r>
        <w:rPr>
          <w:color w:val="4D4D4F"/>
          <w:spacing w:val="-21"/>
          <w:w w:val="105"/>
        </w:rPr>
        <w:t xml:space="preserve"> </w:t>
      </w:r>
      <w:r>
        <w:rPr>
          <w:color w:val="4D4D4F"/>
          <w:w w:val="105"/>
        </w:rPr>
        <w:t>fully</w:t>
      </w:r>
      <w:r>
        <w:rPr>
          <w:color w:val="4D4D4F"/>
          <w:spacing w:val="-22"/>
          <w:w w:val="105"/>
        </w:rPr>
        <w:t xml:space="preserve"> </w:t>
      </w:r>
      <w:r>
        <w:rPr>
          <w:color w:val="4D4D4F"/>
          <w:w w:val="105"/>
        </w:rPr>
        <w:t>covered,</w:t>
      </w:r>
      <w:r>
        <w:rPr>
          <w:color w:val="4D4D4F"/>
          <w:spacing w:val="-21"/>
          <w:w w:val="105"/>
        </w:rPr>
        <w:t xml:space="preserve"> </w:t>
      </w:r>
      <w:r>
        <w:rPr>
          <w:color w:val="4D4D4F"/>
          <w:w w:val="105"/>
        </w:rPr>
        <w:t>and</w:t>
      </w:r>
      <w:r>
        <w:rPr>
          <w:color w:val="4D4D4F"/>
          <w:spacing w:val="-21"/>
          <w:w w:val="105"/>
        </w:rPr>
        <w:t xml:space="preserve"> </w:t>
      </w:r>
      <w:r>
        <w:rPr>
          <w:color w:val="4D4D4F"/>
          <w:w w:val="105"/>
        </w:rPr>
        <w:t>all</w:t>
      </w:r>
      <w:r>
        <w:rPr>
          <w:color w:val="4D4D4F"/>
          <w:spacing w:val="-21"/>
          <w:w w:val="105"/>
        </w:rPr>
        <w:t xml:space="preserve"> </w:t>
      </w:r>
      <w:r>
        <w:rPr>
          <w:color w:val="4D4D4F"/>
          <w:w w:val="105"/>
        </w:rPr>
        <w:t>detected individuals</w:t>
      </w:r>
      <w:r>
        <w:rPr>
          <w:color w:val="4D4D4F"/>
          <w:spacing w:val="-17"/>
          <w:w w:val="105"/>
        </w:rPr>
        <w:t xml:space="preserve"> </w:t>
      </w:r>
      <w:r>
        <w:rPr>
          <w:color w:val="4D4D4F"/>
          <w:w w:val="105"/>
        </w:rPr>
        <w:t>are</w:t>
      </w:r>
      <w:r>
        <w:rPr>
          <w:color w:val="4D4D4F"/>
          <w:spacing w:val="-16"/>
          <w:w w:val="105"/>
        </w:rPr>
        <w:t xml:space="preserve"> </w:t>
      </w:r>
      <w:r>
        <w:rPr>
          <w:color w:val="4D4D4F"/>
          <w:w w:val="105"/>
        </w:rPr>
        <w:t>recorded.</w:t>
      </w:r>
      <w:r>
        <w:rPr>
          <w:color w:val="4D4D4F"/>
          <w:spacing w:val="-17"/>
          <w:w w:val="105"/>
        </w:rPr>
        <w:t xml:space="preserve"> </w:t>
      </w:r>
      <w:r>
        <w:rPr>
          <w:color w:val="4D4D4F"/>
          <w:w w:val="105"/>
        </w:rPr>
        <w:t>This</w:t>
      </w:r>
      <w:r>
        <w:rPr>
          <w:color w:val="4D4D4F"/>
          <w:spacing w:val="-16"/>
          <w:w w:val="105"/>
        </w:rPr>
        <w:t xml:space="preserve"> </w:t>
      </w:r>
      <w:r>
        <w:rPr>
          <w:color w:val="4D4D4F"/>
          <w:w w:val="105"/>
        </w:rPr>
        <w:t>is</w:t>
      </w:r>
      <w:r>
        <w:rPr>
          <w:color w:val="4D4D4F"/>
          <w:spacing w:val="-17"/>
          <w:w w:val="105"/>
        </w:rPr>
        <w:t xml:space="preserve"> </w:t>
      </w:r>
      <w:r>
        <w:rPr>
          <w:color w:val="4D4D4F"/>
          <w:w w:val="105"/>
        </w:rPr>
        <w:t>now</w:t>
      </w:r>
      <w:r>
        <w:rPr>
          <w:color w:val="4D4D4F"/>
          <w:spacing w:val="-16"/>
          <w:w w:val="105"/>
        </w:rPr>
        <w:t xml:space="preserve"> </w:t>
      </w:r>
      <w:r>
        <w:rPr>
          <w:color w:val="4D4D4F"/>
          <w:w w:val="105"/>
        </w:rPr>
        <w:t>reported</w:t>
      </w:r>
      <w:r>
        <w:rPr>
          <w:color w:val="4D4D4F"/>
          <w:spacing w:val="-17"/>
          <w:w w:val="105"/>
        </w:rPr>
        <w:t xml:space="preserve"> </w:t>
      </w:r>
      <w:r>
        <w:rPr>
          <w:color w:val="4D4D4F"/>
          <w:w w:val="105"/>
        </w:rPr>
        <w:t>as</w:t>
      </w:r>
      <w:r>
        <w:rPr>
          <w:color w:val="4D4D4F"/>
          <w:spacing w:val="-16"/>
          <w:w w:val="105"/>
        </w:rPr>
        <w:t xml:space="preserve"> </w:t>
      </w:r>
      <w:r>
        <w:rPr>
          <w:color w:val="4D4D4F"/>
          <w:w w:val="105"/>
        </w:rPr>
        <w:t>Other</w:t>
      </w:r>
      <w:r>
        <w:rPr>
          <w:color w:val="4D4D4F"/>
          <w:spacing w:val="-17"/>
          <w:w w:val="105"/>
        </w:rPr>
        <w:t xml:space="preserve"> </w:t>
      </w:r>
      <w:r>
        <w:rPr>
          <w:color w:val="4D4D4F"/>
          <w:w w:val="105"/>
        </w:rPr>
        <w:t>measure</w:t>
      </w:r>
      <w:r>
        <w:rPr>
          <w:color w:val="4D4D4F"/>
          <w:spacing w:val="-16"/>
          <w:w w:val="105"/>
        </w:rPr>
        <w:t xml:space="preserve"> </w:t>
      </w:r>
      <w:r>
        <w:rPr>
          <w:color w:val="4D4D4F"/>
          <w:w w:val="105"/>
        </w:rPr>
        <w:t>6:</w:t>
      </w:r>
      <w:r>
        <w:rPr>
          <w:color w:val="4D4D4F"/>
          <w:spacing w:val="-17"/>
          <w:w w:val="105"/>
        </w:rPr>
        <w:t xml:space="preserve"> </w:t>
      </w:r>
      <w:r>
        <w:rPr>
          <w:color w:val="4D4D4F"/>
          <w:w w:val="105"/>
        </w:rPr>
        <w:t>number</w:t>
      </w:r>
      <w:r>
        <w:rPr>
          <w:color w:val="4D4D4F"/>
          <w:spacing w:val="-16"/>
          <w:w w:val="105"/>
        </w:rPr>
        <w:t xml:space="preserve"> </w:t>
      </w:r>
      <w:r>
        <w:rPr>
          <w:color w:val="4D4D4F"/>
          <w:w w:val="105"/>
        </w:rPr>
        <w:t>of moths per</w:t>
      </w:r>
      <w:r>
        <w:rPr>
          <w:color w:val="4D4D4F"/>
          <w:spacing w:val="2"/>
          <w:w w:val="105"/>
        </w:rPr>
        <w:t xml:space="preserve"> </w:t>
      </w:r>
      <w:r>
        <w:rPr>
          <w:color w:val="4D4D4F"/>
          <w:w w:val="105"/>
        </w:rPr>
        <w:t>plot.</w:t>
      </w:r>
    </w:p>
    <w:p w14:paraId="440567C3" w14:textId="77777777" w:rsidR="00EF5B27" w:rsidRDefault="00000000">
      <w:pPr>
        <w:pStyle w:val="ListParagraph"/>
        <w:numPr>
          <w:ilvl w:val="0"/>
          <w:numId w:val="34"/>
        </w:numPr>
        <w:tabs>
          <w:tab w:val="left" w:pos="2779"/>
        </w:tabs>
        <w:spacing w:before="117" w:line="254" w:lineRule="auto"/>
        <w:ind w:right="215"/>
        <w:rPr>
          <w:sz w:val="20"/>
        </w:rPr>
      </w:pPr>
      <w:r>
        <w:rPr>
          <w:color w:val="4D4D4F"/>
          <w:sz w:val="20"/>
        </w:rPr>
        <w:t>The formulation of the baselines and targets has been clarified to make it clear that the KPI is assessed against a static</w:t>
      </w:r>
      <w:r>
        <w:rPr>
          <w:color w:val="4D4D4F"/>
          <w:spacing w:val="38"/>
          <w:sz w:val="20"/>
        </w:rPr>
        <w:t xml:space="preserve"> </w:t>
      </w:r>
      <w:r>
        <w:rPr>
          <w:color w:val="4D4D4F"/>
          <w:sz w:val="20"/>
        </w:rPr>
        <w:t>baseline.</w:t>
      </w:r>
    </w:p>
    <w:p w14:paraId="1E6A7F54" w14:textId="77777777" w:rsidR="00EF5B27" w:rsidRDefault="00000000">
      <w:pPr>
        <w:pStyle w:val="ListParagraph"/>
        <w:numPr>
          <w:ilvl w:val="0"/>
          <w:numId w:val="34"/>
        </w:numPr>
        <w:tabs>
          <w:tab w:val="left" w:pos="2779"/>
        </w:tabs>
        <w:spacing w:before="116" w:line="254" w:lineRule="auto"/>
        <w:ind w:right="280"/>
        <w:rPr>
          <w:sz w:val="20"/>
        </w:rPr>
      </w:pPr>
      <w:r>
        <w:rPr>
          <w:color w:val="4D4D4F"/>
          <w:sz w:val="20"/>
        </w:rPr>
        <w:t xml:space="preserve">The requirement for other measures to </w:t>
      </w:r>
      <w:r>
        <w:rPr>
          <w:color w:val="4D4D4F"/>
          <w:spacing w:val="2"/>
          <w:sz w:val="20"/>
        </w:rPr>
        <w:t xml:space="preserve">report </w:t>
      </w:r>
      <w:r>
        <w:rPr>
          <w:color w:val="4D4D4F"/>
          <w:sz w:val="20"/>
        </w:rPr>
        <w:t>the cover of all weeds has been removed as this measure includes exotic C3 grasses that might provide habitat for Golden Sun Moth, hence this may be a misleading</w:t>
      </w:r>
      <w:r>
        <w:rPr>
          <w:color w:val="4D4D4F"/>
          <w:spacing w:val="32"/>
          <w:sz w:val="20"/>
        </w:rPr>
        <w:t xml:space="preserve"> </w:t>
      </w:r>
      <w:r>
        <w:rPr>
          <w:color w:val="4D4D4F"/>
          <w:sz w:val="20"/>
        </w:rPr>
        <w:t>measure.</w:t>
      </w:r>
    </w:p>
    <w:p w14:paraId="76A38B09" w14:textId="77777777" w:rsidR="00EF5B27" w:rsidRDefault="00000000">
      <w:pPr>
        <w:pStyle w:val="ListParagraph"/>
        <w:numPr>
          <w:ilvl w:val="0"/>
          <w:numId w:val="34"/>
        </w:numPr>
        <w:tabs>
          <w:tab w:val="left" w:pos="2779"/>
        </w:tabs>
        <w:spacing w:before="117" w:line="254" w:lineRule="auto"/>
        <w:ind w:right="300"/>
        <w:rPr>
          <w:sz w:val="20"/>
        </w:rPr>
      </w:pPr>
      <w:r>
        <w:rPr>
          <w:color w:val="4D4D4F"/>
          <w:sz w:val="20"/>
        </w:rPr>
        <w:t xml:space="preserve">The other measures (Other measure </w:t>
      </w:r>
      <w:r>
        <w:rPr>
          <w:color w:val="4D4D4F"/>
          <w:spacing w:val="-4"/>
          <w:sz w:val="20"/>
        </w:rPr>
        <w:t xml:space="preserve">5) </w:t>
      </w:r>
      <w:r>
        <w:rPr>
          <w:color w:val="4D4D4F"/>
          <w:sz w:val="20"/>
        </w:rPr>
        <w:t>have been amended to include an estimate of biomass as determined by the “golf ball method”, using the Natural Temperate Grassland rapid plots located within the relevant management</w:t>
      </w:r>
      <w:r>
        <w:rPr>
          <w:color w:val="4D4D4F"/>
          <w:spacing w:val="31"/>
          <w:sz w:val="20"/>
        </w:rPr>
        <w:t xml:space="preserve"> </w:t>
      </w:r>
      <w:r>
        <w:rPr>
          <w:color w:val="4D4D4F"/>
          <w:sz w:val="20"/>
        </w:rPr>
        <w:t>unit.</w:t>
      </w:r>
    </w:p>
    <w:p w14:paraId="7B19CA15" w14:textId="77777777" w:rsidR="00EF5B27" w:rsidRDefault="00000000">
      <w:pPr>
        <w:pStyle w:val="ListParagraph"/>
        <w:numPr>
          <w:ilvl w:val="0"/>
          <w:numId w:val="34"/>
        </w:numPr>
        <w:tabs>
          <w:tab w:val="left" w:pos="2779"/>
        </w:tabs>
        <w:spacing w:before="117" w:line="254" w:lineRule="auto"/>
        <w:ind w:right="274"/>
        <w:rPr>
          <w:sz w:val="20"/>
        </w:rPr>
      </w:pPr>
      <w:r>
        <w:rPr>
          <w:color w:val="4D4D4F"/>
          <w:sz w:val="20"/>
        </w:rPr>
        <w:t xml:space="preserve">The requirement for other measures to </w:t>
      </w:r>
      <w:r>
        <w:rPr>
          <w:color w:val="4D4D4F"/>
          <w:spacing w:val="2"/>
          <w:sz w:val="20"/>
        </w:rPr>
        <w:t xml:space="preserve">report </w:t>
      </w:r>
      <w:r>
        <w:rPr>
          <w:color w:val="4D4D4F"/>
          <w:sz w:val="20"/>
        </w:rPr>
        <w:t xml:space="preserve">the dominant grass in each plot has been removed, and instead the cover of C3 and </w:t>
      </w:r>
      <w:r>
        <w:rPr>
          <w:color w:val="4D4D4F"/>
          <w:spacing w:val="2"/>
          <w:sz w:val="20"/>
        </w:rPr>
        <w:t xml:space="preserve">C4 </w:t>
      </w:r>
      <w:r>
        <w:rPr>
          <w:color w:val="4D4D4F"/>
          <w:sz w:val="20"/>
        </w:rPr>
        <w:t>grasses is reported as other measure</w:t>
      </w:r>
      <w:r>
        <w:rPr>
          <w:color w:val="4D4D4F"/>
          <w:spacing w:val="4"/>
          <w:sz w:val="20"/>
        </w:rPr>
        <w:t xml:space="preserve"> </w:t>
      </w:r>
      <w:r>
        <w:rPr>
          <w:color w:val="4D4D4F"/>
          <w:sz w:val="20"/>
        </w:rPr>
        <w:t>4.</w:t>
      </w:r>
    </w:p>
    <w:p w14:paraId="276A8489" w14:textId="77777777" w:rsidR="00EF5B27" w:rsidRDefault="00000000">
      <w:pPr>
        <w:pStyle w:val="ListParagraph"/>
        <w:numPr>
          <w:ilvl w:val="0"/>
          <w:numId w:val="34"/>
        </w:numPr>
        <w:tabs>
          <w:tab w:val="left" w:pos="2779"/>
        </w:tabs>
        <w:spacing w:before="117" w:line="254" w:lineRule="auto"/>
        <w:ind w:right="1244"/>
        <w:rPr>
          <w:sz w:val="20"/>
        </w:rPr>
      </w:pPr>
      <w:r>
        <w:rPr>
          <w:color w:val="4D4D4F"/>
          <w:sz w:val="20"/>
        </w:rPr>
        <w:t>The recommended survey conditions have been changed such that the recommended cloud cover is up to</w:t>
      </w:r>
      <w:r>
        <w:rPr>
          <w:color w:val="4D4D4F"/>
          <w:spacing w:val="22"/>
          <w:sz w:val="20"/>
        </w:rPr>
        <w:t xml:space="preserve"> </w:t>
      </w:r>
      <w:r>
        <w:rPr>
          <w:color w:val="4D4D4F"/>
          <w:spacing w:val="3"/>
          <w:sz w:val="20"/>
        </w:rPr>
        <w:t>50%.</w:t>
      </w:r>
    </w:p>
    <w:p w14:paraId="3C6B4DD1" w14:textId="77777777" w:rsidR="00EF5B27" w:rsidRDefault="00000000">
      <w:pPr>
        <w:pStyle w:val="ListParagraph"/>
        <w:numPr>
          <w:ilvl w:val="0"/>
          <w:numId w:val="34"/>
        </w:numPr>
        <w:tabs>
          <w:tab w:val="left" w:pos="2779"/>
        </w:tabs>
        <w:spacing w:before="116" w:line="254" w:lineRule="auto"/>
        <w:ind w:right="163"/>
        <w:rPr>
          <w:sz w:val="20"/>
        </w:rPr>
      </w:pPr>
      <w:r>
        <w:rPr>
          <w:color w:val="4D4D4F"/>
          <w:sz w:val="20"/>
        </w:rPr>
        <w:t>It is now specified that the other measure of wind direction is reported as the modal (most common) direction recorded at the time of survey for each</w:t>
      </w:r>
      <w:r>
        <w:rPr>
          <w:color w:val="4D4D4F"/>
          <w:spacing w:val="30"/>
          <w:sz w:val="20"/>
        </w:rPr>
        <w:t xml:space="preserve"> </w:t>
      </w:r>
      <w:r>
        <w:rPr>
          <w:color w:val="4D4D4F"/>
          <w:sz w:val="20"/>
        </w:rPr>
        <w:t>plot.</w:t>
      </w:r>
    </w:p>
    <w:p w14:paraId="7B9520CA" w14:textId="77777777" w:rsidR="00EF5B27" w:rsidRDefault="00EF5B27">
      <w:pPr>
        <w:spacing w:line="254" w:lineRule="auto"/>
        <w:rPr>
          <w:sz w:val="20"/>
        </w:rPr>
        <w:sectPr w:rsidR="00EF5B27">
          <w:pgSz w:w="11910" w:h="16840"/>
          <w:pgMar w:top="1080" w:right="1020" w:bottom="860" w:left="1020" w:header="537" w:footer="678" w:gutter="0"/>
          <w:cols w:space="720"/>
        </w:sectPr>
      </w:pPr>
    </w:p>
    <w:p w14:paraId="2317EBBB" w14:textId="77777777" w:rsidR="00EF5B27" w:rsidRDefault="00000000">
      <w:pPr>
        <w:pStyle w:val="BodyText"/>
      </w:pPr>
      <w:r>
        <w:lastRenderedPageBreak/>
        <w:pict w14:anchorId="41E047EF">
          <v:group id="_x0000_s2190" style="position:absolute;margin-left:587.05pt;margin-top:183.4pt;width:8.25pt;height:153.1pt;z-index:251801088;mso-position-horizontal-relative:page;mso-position-vertical-relative:page" coordorigin="11741,3668" coordsize="165,3062">
            <v:shape id="_x0000_s2197" style="position:absolute;left:11741;top:3668;width:165;height:561" coordorigin="11741,3668" coordsize="165,561" path="m11906,3668r-165,l11741,4228r165,-18l11906,3668xe" fillcolor="#00aed9" stroked="f">
              <v:path arrowok="t"/>
            </v:shape>
            <v:shape id="_x0000_s2196" style="position:absolute;left:11741;top:4118;width:165;height:425" coordorigin="11741,4118" coordsize="165,425" path="m11906,4118r-165,14l11741,4531r165,12l11906,4118xe" fillcolor="#047ebc" stroked="f">
              <v:path arrowok="t"/>
            </v:shape>
            <v:shape id="_x0000_s2195" type="#_x0000_t75" style="position:absolute;left:11741;top:4355;width:165;height:587">
              <v:imagedata r:id="rId42" o:title=""/>
            </v:shape>
            <v:shape id="_x0000_s2194" style="position:absolute;left:11741;top:5343;width:165;height:536" coordorigin="11741,5343" coordsize="165,536" path="m11741,5343r,535l11906,5872r,-525l11741,5343xe" fillcolor="#f36a2e" stroked="f">
              <v:path arrowok="t"/>
            </v:shape>
            <v:shape id="_x0000_s2193" style="position:absolute;left:11741;top:4925;width:165;height:501" coordorigin="11741,4926" coordsize="165,501" path="m11741,4926r,500l11906,5426r,-485l11741,4926xe" fillcolor="#49783f" stroked="f">
              <v:path arrowok="t"/>
            </v:shape>
            <v:shape id="_x0000_s2192" style="position:absolute;left:11741;top:5781;width:165;height:268" coordorigin="11741,5782" coordsize="165,268" path="m11906,5782r-165,8l11741,6039r165,10l11906,5782xe" fillcolor="#f99f2a" stroked="f">
              <v:path arrowok="t"/>
            </v:shape>
            <v:shape id="_x0000_s2191" style="position:absolute;left:11741;top:6023;width:165;height:707" coordorigin="11741,6023" coordsize="165,707" path="m11741,6023r,706l11906,6729r,-690l11741,6023xe" fillcolor="#ef412c" stroked="f">
              <v:path arrowok="t"/>
            </v:shape>
            <w10:wrap anchorx="page" anchory="page"/>
          </v:group>
        </w:pict>
      </w:r>
    </w:p>
    <w:p w14:paraId="67BB32A2" w14:textId="77777777" w:rsidR="00EF5B27" w:rsidRDefault="00EF5B27">
      <w:pPr>
        <w:pStyle w:val="BodyText"/>
      </w:pPr>
    </w:p>
    <w:p w14:paraId="1392588E" w14:textId="77777777" w:rsidR="00EF5B27" w:rsidRDefault="00EF5B27">
      <w:pPr>
        <w:pStyle w:val="BodyText"/>
      </w:pPr>
    </w:p>
    <w:p w14:paraId="705C020B" w14:textId="77777777" w:rsidR="00EF5B27" w:rsidRDefault="00EF5B27">
      <w:pPr>
        <w:pStyle w:val="BodyText"/>
        <w:spacing w:before="8"/>
      </w:pPr>
    </w:p>
    <w:p w14:paraId="14C7649F" w14:textId="77777777" w:rsidR="00EF5B27" w:rsidRDefault="00000000">
      <w:pPr>
        <w:pStyle w:val="Heading2"/>
      </w:pPr>
      <w:r>
        <w:rPr>
          <w:color w:val="F99F2A"/>
          <w:w w:val="105"/>
        </w:rPr>
        <w:t>MNES 5: Matted Flax-lily</w:t>
      </w:r>
    </w:p>
    <w:p w14:paraId="406BEEB8" w14:textId="77777777" w:rsidR="00EF5B27" w:rsidRDefault="00000000">
      <w:pPr>
        <w:spacing w:before="368"/>
        <w:ind w:left="2608"/>
        <w:rPr>
          <w:b/>
          <w:sz w:val="11"/>
        </w:rPr>
      </w:pPr>
      <w:r>
        <w:rPr>
          <w:b/>
          <w:color w:val="4D4D4F"/>
          <w:w w:val="105"/>
        </w:rPr>
        <w:t xml:space="preserve">The following is an extract from the </w:t>
      </w:r>
      <w:r>
        <w:rPr>
          <w:b/>
          <w:color w:val="4D4D4F"/>
          <w:w w:val="105"/>
          <w:sz w:val="20"/>
        </w:rPr>
        <w:t>Outcomes Report 2014-2020.</w:t>
      </w:r>
      <w:r>
        <w:rPr>
          <w:b/>
          <w:color w:val="4D4D4F"/>
          <w:w w:val="105"/>
          <w:position w:val="7"/>
          <w:sz w:val="11"/>
        </w:rPr>
        <w:t>326</w:t>
      </w:r>
    </w:p>
    <w:p w14:paraId="07B1E336" w14:textId="77777777" w:rsidR="00EF5B27" w:rsidRDefault="00000000">
      <w:pPr>
        <w:pStyle w:val="Heading3"/>
        <w:spacing w:before="241"/>
      </w:pPr>
      <w:r>
        <w:rPr>
          <w:color w:val="F99F2A"/>
        </w:rPr>
        <w:t>KPI: Detection of plants</w:t>
      </w:r>
    </w:p>
    <w:p w14:paraId="4E664457" w14:textId="77777777" w:rsidR="00EF5B27" w:rsidRDefault="00000000">
      <w:pPr>
        <w:pStyle w:val="BodyText"/>
        <w:spacing w:before="221" w:line="254" w:lineRule="auto"/>
        <w:ind w:left="2608"/>
      </w:pPr>
      <w:r>
        <w:rPr>
          <w:color w:val="4D4D4F"/>
        </w:rPr>
        <w:t xml:space="preserve">A database of the locations of known individuals is maintained and these locations are </w:t>
      </w:r>
      <w:r>
        <w:rPr>
          <w:color w:val="4D4D4F"/>
          <w:spacing w:val="-5"/>
        </w:rPr>
        <w:t xml:space="preserve">checked </w:t>
      </w:r>
      <w:r>
        <w:rPr>
          <w:color w:val="4D4D4F"/>
          <w:spacing w:val="-3"/>
        </w:rPr>
        <w:t xml:space="preserve">every </w:t>
      </w:r>
      <w:r>
        <w:rPr>
          <w:color w:val="4D4D4F"/>
          <w:spacing w:val="-8"/>
        </w:rPr>
        <w:t xml:space="preserve">year. </w:t>
      </w:r>
      <w:r>
        <w:rPr>
          <w:color w:val="4D4D4F"/>
          <w:spacing w:val="-6"/>
        </w:rPr>
        <w:t xml:space="preserve">Individuals </w:t>
      </w:r>
      <w:r>
        <w:rPr>
          <w:color w:val="4D4D4F"/>
          <w:spacing w:val="-3"/>
        </w:rPr>
        <w:t xml:space="preserve">are </w:t>
      </w:r>
      <w:r>
        <w:rPr>
          <w:color w:val="4D4D4F"/>
          <w:spacing w:val="-4"/>
        </w:rPr>
        <w:t xml:space="preserve">recorded </w:t>
      </w:r>
      <w:r>
        <w:rPr>
          <w:color w:val="4D4D4F"/>
          <w:spacing w:val="-3"/>
        </w:rPr>
        <w:t xml:space="preserve">as </w:t>
      </w:r>
      <w:r>
        <w:rPr>
          <w:color w:val="4D4D4F"/>
          <w:spacing w:val="-5"/>
        </w:rPr>
        <w:t xml:space="preserve">alive, </w:t>
      </w:r>
      <w:r>
        <w:rPr>
          <w:color w:val="4D4D4F"/>
          <w:spacing w:val="-7"/>
        </w:rPr>
        <w:t xml:space="preserve">visibly </w:t>
      </w:r>
      <w:r>
        <w:rPr>
          <w:color w:val="4D4D4F"/>
          <w:spacing w:val="-4"/>
        </w:rPr>
        <w:t xml:space="preserve">dead, </w:t>
      </w:r>
      <w:r>
        <w:rPr>
          <w:color w:val="4D4D4F"/>
          <w:spacing w:val="-3"/>
        </w:rPr>
        <w:t xml:space="preserve">or </w:t>
      </w:r>
      <w:r>
        <w:rPr>
          <w:color w:val="4D4D4F"/>
          <w:spacing w:val="-5"/>
        </w:rPr>
        <w:t xml:space="preserve">absent </w:t>
      </w:r>
      <w:r>
        <w:rPr>
          <w:color w:val="4D4D4F"/>
          <w:spacing w:val="-4"/>
        </w:rPr>
        <w:t>above ground.</w:t>
      </w:r>
    </w:p>
    <w:p w14:paraId="4458A083" w14:textId="77777777" w:rsidR="00EF5B27" w:rsidRDefault="00000000">
      <w:pPr>
        <w:pStyle w:val="BodyText"/>
        <w:spacing w:before="116" w:line="254" w:lineRule="auto"/>
        <w:ind w:left="2608"/>
      </w:pPr>
      <w:r>
        <w:rPr>
          <w:color w:val="4D4D4F"/>
        </w:rPr>
        <w:t>Every five years, all relevant areas are searched for new plants. Any new plants found during these area searches or by chance during other field work, are added to the database and checked in all subsequent years.</w:t>
      </w:r>
    </w:p>
    <w:p w14:paraId="17129271" w14:textId="77777777" w:rsidR="00EF5B27" w:rsidRDefault="00000000">
      <w:pPr>
        <w:pStyle w:val="BodyText"/>
        <w:spacing w:before="117" w:line="254" w:lineRule="auto"/>
        <w:ind w:left="2608"/>
      </w:pPr>
      <w:r>
        <w:rPr>
          <w:color w:val="4D4D4F"/>
        </w:rPr>
        <w:t>In each year, as new plants are found, the cumulative count of known plants increases. Each year, all plant locations then known are checked and a percentage of plants detected is calculated. The value used to monitor Matted Flax-lily is the percentage</w:t>
      </w:r>
    </w:p>
    <w:p w14:paraId="3E88AC27" w14:textId="77777777" w:rsidR="00EF5B27" w:rsidRDefault="00000000">
      <w:pPr>
        <w:pStyle w:val="BodyText"/>
        <w:spacing w:before="3" w:line="254" w:lineRule="auto"/>
        <w:ind w:left="2608"/>
      </w:pPr>
      <w:r>
        <w:rPr>
          <w:color w:val="4D4D4F"/>
          <w:w w:val="105"/>
        </w:rPr>
        <w:t xml:space="preserve">of known plants found in each </w:t>
      </w:r>
      <w:r>
        <w:rPr>
          <w:color w:val="4D4D4F"/>
          <w:spacing w:val="-4"/>
          <w:w w:val="105"/>
        </w:rPr>
        <w:t xml:space="preserve">year. </w:t>
      </w:r>
      <w:r>
        <w:rPr>
          <w:color w:val="4D4D4F"/>
          <w:w w:val="105"/>
        </w:rPr>
        <w:t>The baseline is the arithmetic mean of these percentages</w:t>
      </w:r>
      <w:r>
        <w:rPr>
          <w:color w:val="4D4D4F"/>
          <w:spacing w:val="-19"/>
          <w:w w:val="105"/>
        </w:rPr>
        <w:t xml:space="preserve"> </w:t>
      </w:r>
      <w:r>
        <w:rPr>
          <w:color w:val="4D4D4F"/>
          <w:w w:val="105"/>
        </w:rPr>
        <w:t>in</w:t>
      </w:r>
      <w:r>
        <w:rPr>
          <w:color w:val="4D4D4F"/>
          <w:spacing w:val="-18"/>
          <w:w w:val="105"/>
        </w:rPr>
        <w:t xml:space="preserve"> </w:t>
      </w:r>
      <w:r>
        <w:rPr>
          <w:color w:val="4D4D4F"/>
          <w:w w:val="105"/>
        </w:rPr>
        <w:t>years</w:t>
      </w:r>
      <w:r>
        <w:rPr>
          <w:color w:val="4D4D4F"/>
          <w:spacing w:val="-18"/>
          <w:w w:val="105"/>
        </w:rPr>
        <w:t xml:space="preserve"> </w:t>
      </w:r>
      <w:r>
        <w:rPr>
          <w:color w:val="4D4D4F"/>
          <w:w w:val="105"/>
        </w:rPr>
        <w:t>two</w:t>
      </w:r>
      <w:r>
        <w:rPr>
          <w:color w:val="4D4D4F"/>
          <w:spacing w:val="-18"/>
          <w:w w:val="105"/>
        </w:rPr>
        <w:t xml:space="preserve"> </w:t>
      </w:r>
      <w:r>
        <w:rPr>
          <w:color w:val="4D4D4F"/>
          <w:w w:val="105"/>
        </w:rPr>
        <w:t>to</w:t>
      </w:r>
      <w:r>
        <w:rPr>
          <w:color w:val="4D4D4F"/>
          <w:spacing w:val="-18"/>
          <w:w w:val="105"/>
        </w:rPr>
        <w:t xml:space="preserve"> </w:t>
      </w:r>
      <w:r>
        <w:rPr>
          <w:color w:val="4D4D4F"/>
          <w:w w:val="105"/>
        </w:rPr>
        <w:t>five</w:t>
      </w:r>
      <w:r>
        <w:rPr>
          <w:color w:val="4D4D4F"/>
          <w:spacing w:val="-18"/>
          <w:w w:val="105"/>
        </w:rPr>
        <w:t xml:space="preserve"> </w:t>
      </w:r>
      <w:r>
        <w:rPr>
          <w:color w:val="4D4D4F"/>
          <w:w w:val="105"/>
        </w:rPr>
        <w:t>(year</w:t>
      </w:r>
      <w:r>
        <w:rPr>
          <w:color w:val="4D4D4F"/>
          <w:spacing w:val="-18"/>
          <w:w w:val="105"/>
        </w:rPr>
        <w:t xml:space="preserve"> </w:t>
      </w:r>
      <w:r>
        <w:rPr>
          <w:color w:val="4D4D4F"/>
          <w:w w:val="105"/>
        </w:rPr>
        <w:t>one</w:t>
      </w:r>
      <w:r>
        <w:rPr>
          <w:color w:val="4D4D4F"/>
          <w:spacing w:val="-18"/>
          <w:w w:val="105"/>
        </w:rPr>
        <w:t xml:space="preserve"> </w:t>
      </w:r>
      <w:r>
        <w:rPr>
          <w:color w:val="4D4D4F"/>
          <w:w w:val="105"/>
        </w:rPr>
        <w:t>is</w:t>
      </w:r>
      <w:r>
        <w:rPr>
          <w:color w:val="4D4D4F"/>
          <w:spacing w:val="-18"/>
          <w:w w:val="105"/>
        </w:rPr>
        <w:t xml:space="preserve"> </w:t>
      </w:r>
      <w:r>
        <w:rPr>
          <w:color w:val="4D4D4F"/>
          <w:w w:val="105"/>
        </w:rPr>
        <w:t>omitted</w:t>
      </w:r>
      <w:r>
        <w:rPr>
          <w:color w:val="4D4D4F"/>
          <w:spacing w:val="-19"/>
          <w:w w:val="105"/>
        </w:rPr>
        <w:t xml:space="preserve"> </w:t>
      </w:r>
      <w:r>
        <w:rPr>
          <w:color w:val="4D4D4F"/>
          <w:w w:val="105"/>
        </w:rPr>
        <w:t>because</w:t>
      </w:r>
      <w:r>
        <w:rPr>
          <w:color w:val="4D4D4F"/>
          <w:spacing w:val="-18"/>
          <w:w w:val="105"/>
        </w:rPr>
        <w:t xml:space="preserve"> </w:t>
      </w:r>
      <w:r>
        <w:rPr>
          <w:color w:val="4D4D4F"/>
          <w:w w:val="105"/>
        </w:rPr>
        <w:t>it</w:t>
      </w:r>
      <w:r>
        <w:rPr>
          <w:color w:val="4D4D4F"/>
          <w:spacing w:val="-18"/>
          <w:w w:val="105"/>
        </w:rPr>
        <w:t xml:space="preserve"> </w:t>
      </w:r>
      <w:r>
        <w:rPr>
          <w:color w:val="4D4D4F"/>
          <w:w w:val="105"/>
        </w:rPr>
        <w:t>is</w:t>
      </w:r>
      <w:r>
        <w:rPr>
          <w:color w:val="4D4D4F"/>
          <w:spacing w:val="-18"/>
          <w:w w:val="105"/>
        </w:rPr>
        <w:t xml:space="preserve"> </w:t>
      </w:r>
      <w:r>
        <w:rPr>
          <w:color w:val="4D4D4F"/>
          <w:w w:val="105"/>
        </w:rPr>
        <w:t>necessarily</w:t>
      </w:r>
      <w:r>
        <w:rPr>
          <w:color w:val="4D4D4F"/>
          <w:spacing w:val="-18"/>
          <w:w w:val="105"/>
        </w:rPr>
        <w:t xml:space="preserve"> </w:t>
      </w:r>
      <w:r>
        <w:rPr>
          <w:color w:val="4D4D4F"/>
          <w:w w:val="105"/>
        </w:rPr>
        <w:t>100%).</w:t>
      </w:r>
    </w:p>
    <w:p w14:paraId="1C41295D" w14:textId="77777777" w:rsidR="00EF5B27" w:rsidRDefault="00000000">
      <w:pPr>
        <w:pStyle w:val="BodyText"/>
        <w:spacing w:before="116" w:line="254" w:lineRule="auto"/>
        <w:ind w:left="2608" w:right="181"/>
      </w:pPr>
      <w:r>
        <w:rPr>
          <w:color w:val="4D4D4F"/>
          <w:spacing w:val="-5"/>
        </w:rPr>
        <w:t xml:space="preserve">Occasionally, </w:t>
      </w:r>
      <w:r>
        <w:rPr>
          <w:color w:val="4D4D4F"/>
        </w:rPr>
        <w:t xml:space="preserve">it can be </w:t>
      </w:r>
      <w:r>
        <w:rPr>
          <w:color w:val="4D4D4F"/>
          <w:spacing w:val="-3"/>
        </w:rPr>
        <w:t xml:space="preserve">difficult to </w:t>
      </w:r>
      <w:r>
        <w:rPr>
          <w:color w:val="4D4D4F"/>
          <w:spacing w:val="-4"/>
        </w:rPr>
        <w:t xml:space="preserve">determine </w:t>
      </w:r>
      <w:r>
        <w:rPr>
          <w:color w:val="4D4D4F"/>
          <w:spacing w:val="-3"/>
        </w:rPr>
        <w:t xml:space="preserve">whether </w:t>
      </w:r>
      <w:r>
        <w:rPr>
          <w:color w:val="4D4D4F"/>
          <w:spacing w:val="-4"/>
        </w:rPr>
        <w:t xml:space="preserve">clumps </w:t>
      </w:r>
      <w:r>
        <w:rPr>
          <w:color w:val="4D4D4F"/>
        </w:rPr>
        <w:t xml:space="preserve">of </w:t>
      </w:r>
      <w:r>
        <w:rPr>
          <w:color w:val="4D4D4F"/>
          <w:spacing w:val="-3"/>
        </w:rPr>
        <w:t xml:space="preserve">Matted </w:t>
      </w:r>
      <w:r>
        <w:rPr>
          <w:color w:val="4D4D4F"/>
          <w:spacing w:val="-4"/>
        </w:rPr>
        <w:t xml:space="preserve">Flax-lily </w:t>
      </w:r>
      <w:r>
        <w:rPr>
          <w:color w:val="4D4D4F"/>
          <w:spacing w:val="-3"/>
        </w:rPr>
        <w:t xml:space="preserve">represent </w:t>
      </w:r>
      <w:r>
        <w:rPr>
          <w:color w:val="4D4D4F"/>
        </w:rPr>
        <w:t xml:space="preserve">a </w:t>
      </w:r>
      <w:r>
        <w:rPr>
          <w:color w:val="4D4D4F"/>
          <w:spacing w:val="-5"/>
        </w:rPr>
        <w:t xml:space="preserve">single </w:t>
      </w:r>
      <w:r>
        <w:rPr>
          <w:color w:val="4D4D4F"/>
          <w:spacing w:val="-3"/>
        </w:rPr>
        <w:t xml:space="preserve">large </w:t>
      </w:r>
      <w:r>
        <w:rPr>
          <w:color w:val="4D4D4F"/>
          <w:spacing w:val="-5"/>
        </w:rPr>
        <w:t xml:space="preserve">individual </w:t>
      </w:r>
      <w:r>
        <w:rPr>
          <w:color w:val="4D4D4F"/>
        </w:rPr>
        <w:t xml:space="preserve">or </w:t>
      </w:r>
      <w:r>
        <w:rPr>
          <w:color w:val="4D4D4F"/>
          <w:spacing w:val="-4"/>
        </w:rPr>
        <w:t xml:space="preserve">several </w:t>
      </w:r>
      <w:r>
        <w:rPr>
          <w:color w:val="4D4D4F"/>
          <w:spacing w:val="-5"/>
        </w:rPr>
        <w:t xml:space="preserve">individuals </w:t>
      </w:r>
      <w:r>
        <w:rPr>
          <w:color w:val="4D4D4F"/>
          <w:spacing w:val="-4"/>
        </w:rPr>
        <w:t xml:space="preserve">growing </w:t>
      </w:r>
      <w:r>
        <w:rPr>
          <w:color w:val="4D4D4F"/>
          <w:spacing w:val="-5"/>
        </w:rPr>
        <w:t xml:space="preserve">nearby. </w:t>
      </w:r>
      <w:r>
        <w:rPr>
          <w:color w:val="4D4D4F"/>
          <w:spacing w:val="-4"/>
        </w:rPr>
        <w:t xml:space="preserve">This cannot </w:t>
      </w:r>
      <w:r>
        <w:rPr>
          <w:color w:val="4D4D4F"/>
        </w:rPr>
        <w:t xml:space="preserve">be </w:t>
      </w:r>
      <w:r>
        <w:rPr>
          <w:color w:val="4D4D4F"/>
          <w:spacing w:val="-5"/>
        </w:rPr>
        <w:t xml:space="preserve">definitively </w:t>
      </w:r>
      <w:r>
        <w:rPr>
          <w:color w:val="4D4D4F"/>
        </w:rPr>
        <w:t>addressed without genetic analysis. For practical purposes, any clumps of Matted Flax-lily separated by more than 75 cm are here considered to be separate individuals.</w:t>
      </w:r>
    </w:p>
    <w:p w14:paraId="0ADC9C6C" w14:textId="77777777" w:rsidR="00EF5B27" w:rsidRDefault="00EF5B27">
      <w:pPr>
        <w:pStyle w:val="BodyText"/>
        <w:spacing w:before="3"/>
        <w:rPr>
          <w:sz w:val="19"/>
        </w:rPr>
      </w:pPr>
    </w:p>
    <w:p w14:paraId="4C698139" w14:textId="77777777" w:rsidR="00EF5B27" w:rsidRDefault="00000000">
      <w:pPr>
        <w:pStyle w:val="Heading3"/>
        <w:spacing w:before="1"/>
      </w:pPr>
      <w:r>
        <w:rPr>
          <w:color w:val="F99F2A"/>
        </w:rPr>
        <w:t>Changes to the MRF</w:t>
      </w:r>
    </w:p>
    <w:p w14:paraId="068F4512" w14:textId="77777777" w:rsidR="00EF5B27" w:rsidRDefault="00000000">
      <w:pPr>
        <w:pStyle w:val="BodyText"/>
        <w:spacing w:before="221"/>
        <w:ind w:left="2608"/>
      </w:pPr>
      <w:r>
        <w:rPr>
          <w:color w:val="4D4D4F"/>
        </w:rPr>
        <w:t>The following changes have been adopted since the MRF was published in 2015.</w:t>
      </w:r>
    </w:p>
    <w:p w14:paraId="41598374" w14:textId="77777777" w:rsidR="00EF5B27" w:rsidRDefault="00000000">
      <w:pPr>
        <w:pStyle w:val="ListParagraph"/>
        <w:numPr>
          <w:ilvl w:val="0"/>
          <w:numId w:val="34"/>
        </w:numPr>
        <w:tabs>
          <w:tab w:val="left" w:pos="2779"/>
        </w:tabs>
        <w:spacing w:before="129" w:line="254" w:lineRule="auto"/>
        <w:ind w:right="129"/>
        <w:rPr>
          <w:sz w:val="20"/>
        </w:rPr>
      </w:pPr>
      <w:r>
        <w:rPr>
          <w:color w:val="4D4D4F"/>
          <w:sz w:val="20"/>
        </w:rPr>
        <w:t xml:space="preserve">MRF (DELWP </w:t>
      </w:r>
      <w:r>
        <w:rPr>
          <w:color w:val="4D4D4F"/>
          <w:spacing w:val="-4"/>
          <w:sz w:val="20"/>
        </w:rPr>
        <w:t xml:space="preserve">2015a) </w:t>
      </w:r>
      <w:r>
        <w:rPr>
          <w:color w:val="4D4D4F"/>
          <w:sz w:val="20"/>
        </w:rPr>
        <w:t xml:space="preserve">suggested that the raw counts of plants detected each year are reported, and that the baseline is formed from the mean of the counts in the first  five years. This approach has proven problematic due to the steady discovery of new plants </w:t>
      </w:r>
      <w:r>
        <w:rPr>
          <w:color w:val="4D4D4F"/>
          <w:spacing w:val="-3"/>
          <w:sz w:val="20"/>
        </w:rPr>
        <w:t xml:space="preserve">(due </w:t>
      </w:r>
      <w:r>
        <w:rPr>
          <w:color w:val="4D4D4F"/>
          <w:sz w:val="20"/>
        </w:rPr>
        <w:t xml:space="preserve">to the large sites, the intermittent appearance of plants above ground, and the relatively low detectability of </w:t>
      </w:r>
      <w:r>
        <w:rPr>
          <w:color w:val="4D4D4F"/>
          <w:spacing w:val="-3"/>
          <w:sz w:val="20"/>
        </w:rPr>
        <w:t xml:space="preserve">this species). </w:t>
      </w:r>
      <w:r>
        <w:rPr>
          <w:color w:val="4D4D4F"/>
          <w:sz w:val="20"/>
        </w:rPr>
        <w:t xml:space="preserve">If the baseline is set from the first five years </w:t>
      </w:r>
      <w:r>
        <w:rPr>
          <w:color w:val="4D4D4F"/>
          <w:spacing w:val="-3"/>
          <w:sz w:val="20"/>
        </w:rPr>
        <w:t xml:space="preserve">alone, </w:t>
      </w:r>
      <w:r>
        <w:rPr>
          <w:color w:val="4D4D4F"/>
          <w:sz w:val="20"/>
        </w:rPr>
        <w:t xml:space="preserve">it </w:t>
      </w:r>
      <w:r>
        <w:rPr>
          <w:color w:val="4D4D4F"/>
          <w:spacing w:val="-3"/>
          <w:sz w:val="20"/>
        </w:rPr>
        <w:t xml:space="preserve">will </w:t>
      </w:r>
      <w:r>
        <w:rPr>
          <w:color w:val="4D4D4F"/>
          <w:sz w:val="20"/>
        </w:rPr>
        <w:t xml:space="preserve">be </w:t>
      </w:r>
      <w:r>
        <w:rPr>
          <w:color w:val="4D4D4F"/>
          <w:spacing w:val="-2"/>
          <w:sz w:val="20"/>
        </w:rPr>
        <w:t xml:space="preserve">set </w:t>
      </w:r>
      <w:r>
        <w:rPr>
          <w:color w:val="4D4D4F"/>
          <w:sz w:val="20"/>
        </w:rPr>
        <w:t xml:space="preserve">at a </w:t>
      </w:r>
      <w:r>
        <w:rPr>
          <w:color w:val="4D4D4F"/>
          <w:spacing w:val="-3"/>
          <w:sz w:val="20"/>
        </w:rPr>
        <w:t xml:space="preserve">relatively </w:t>
      </w:r>
      <w:r>
        <w:rPr>
          <w:color w:val="4D4D4F"/>
          <w:sz w:val="20"/>
        </w:rPr>
        <w:t xml:space="preserve">low </w:t>
      </w:r>
      <w:r>
        <w:rPr>
          <w:color w:val="4D4D4F"/>
          <w:spacing w:val="-2"/>
          <w:sz w:val="20"/>
        </w:rPr>
        <w:t xml:space="preserve">count, </w:t>
      </w:r>
      <w:r>
        <w:rPr>
          <w:color w:val="4D4D4F"/>
          <w:sz w:val="20"/>
        </w:rPr>
        <w:t xml:space="preserve">which </w:t>
      </w:r>
      <w:r>
        <w:rPr>
          <w:color w:val="4D4D4F"/>
          <w:spacing w:val="-3"/>
          <w:sz w:val="20"/>
        </w:rPr>
        <w:t xml:space="preserve">would </w:t>
      </w:r>
      <w:r>
        <w:rPr>
          <w:color w:val="4D4D4F"/>
          <w:sz w:val="20"/>
        </w:rPr>
        <w:t xml:space="preserve">be easy to </w:t>
      </w:r>
      <w:r>
        <w:rPr>
          <w:color w:val="4D4D4F"/>
          <w:spacing w:val="-3"/>
          <w:sz w:val="20"/>
        </w:rPr>
        <w:t xml:space="preserve">achieve </w:t>
      </w:r>
      <w:r>
        <w:rPr>
          <w:color w:val="4D4D4F"/>
          <w:sz w:val="20"/>
        </w:rPr>
        <w:t xml:space="preserve">in future years, even if the species was declining. </w:t>
      </w:r>
      <w:r>
        <w:rPr>
          <w:color w:val="4D4D4F"/>
          <w:spacing w:val="-7"/>
          <w:sz w:val="20"/>
        </w:rPr>
        <w:t xml:space="preserve">To </w:t>
      </w:r>
      <w:r>
        <w:rPr>
          <w:color w:val="4D4D4F"/>
          <w:sz w:val="20"/>
        </w:rPr>
        <w:t>counter this effect, the MRF has been amended to reflect the monitoring and reporting approach described</w:t>
      </w:r>
      <w:r>
        <w:rPr>
          <w:color w:val="4D4D4F"/>
          <w:spacing w:val="25"/>
          <w:sz w:val="20"/>
        </w:rPr>
        <w:t xml:space="preserve"> </w:t>
      </w:r>
      <w:r>
        <w:rPr>
          <w:color w:val="4D4D4F"/>
          <w:sz w:val="20"/>
        </w:rPr>
        <w:t>above.</w:t>
      </w:r>
    </w:p>
    <w:p w14:paraId="2214D0A9" w14:textId="77777777" w:rsidR="00EF5B27" w:rsidRDefault="00000000">
      <w:pPr>
        <w:pStyle w:val="ListParagraph"/>
        <w:numPr>
          <w:ilvl w:val="0"/>
          <w:numId w:val="34"/>
        </w:numPr>
        <w:tabs>
          <w:tab w:val="left" w:pos="2779"/>
        </w:tabs>
        <w:spacing w:before="123" w:line="254" w:lineRule="auto"/>
        <w:ind w:right="471"/>
        <w:rPr>
          <w:sz w:val="20"/>
        </w:rPr>
      </w:pPr>
      <w:r>
        <w:rPr>
          <w:color w:val="4D4D4F"/>
          <w:sz w:val="20"/>
        </w:rPr>
        <w:t xml:space="preserve">It has been clarified that a single baseline </w:t>
      </w:r>
      <w:r>
        <w:rPr>
          <w:color w:val="4D4D4F"/>
          <w:spacing w:val="-3"/>
          <w:sz w:val="20"/>
        </w:rPr>
        <w:t xml:space="preserve">(set </w:t>
      </w:r>
      <w:r>
        <w:rPr>
          <w:color w:val="4D4D4F"/>
          <w:sz w:val="20"/>
        </w:rPr>
        <w:t>from Kalkallo Common) will be applied to all populations. This assumes all populations have a similar detection rate. This can be tested, by examining how often surviving plants have gone undetected in intervening years. If rates differ significantly between populations, the baselines can be reviewed and applied</w:t>
      </w:r>
      <w:r>
        <w:rPr>
          <w:color w:val="4D4D4F"/>
          <w:spacing w:val="22"/>
          <w:sz w:val="20"/>
        </w:rPr>
        <w:t xml:space="preserve"> </w:t>
      </w:r>
      <w:r>
        <w:rPr>
          <w:color w:val="4D4D4F"/>
          <w:sz w:val="20"/>
        </w:rPr>
        <w:t>population-by-population.</w:t>
      </w:r>
    </w:p>
    <w:p w14:paraId="13959CDE" w14:textId="77777777" w:rsidR="00EF5B27" w:rsidRDefault="00000000">
      <w:pPr>
        <w:pStyle w:val="ListParagraph"/>
        <w:numPr>
          <w:ilvl w:val="0"/>
          <w:numId w:val="34"/>
        </w:numPr>
        <w:tabs>
          <w:tab w:val="left" w:pos="2779"/>
        </w:tabs>
        <w:spacing w:before="120" w:line="254" w:lineRule="auto"/>
        <w:ind w:right="153"/>
        <w:rPr>
          <w:sz w:val="20"/>
        </w:rPr>
      </w:pPr>
      <w:r>
        <w:rPr>
          <w:color w:val="4D4D4F"/>
          <w:sz w:val="20"/>
        </w:rPr>
        <w:t xml:space="preserve">The </w:t>
      </w:r>
      <w:r>
        <w:rPr>
          <w:color w:val="4D4D4F"/>
          <w:spacing w:val="-3"/>
          <w:sz w:val="20"/>
        </w:rPr>
        <w:t xml:space="preserve">formulation </w:t>
      </w:r>
      <w:r>
        <w:rPr>
          <w:color w:val="4D4D4F"/>
          <w:sz w:val="20"/>
        </w:rPr>
        <w:t xml:space="preserve">of the </w:t>
      </w:r>
      <w:r>
        <w:rPr>
          <w:color w:val="4D4D4F"/>
          <w:spacing w:val="-3"/>
          <w:sz w:val="20"/>
        </w:rPr>
        <w:t xml:space="preserve">baseline </w:t>
      </w:r>
      <w:r>
        <w:rPr>
          <w:color w:val="4D4D4F"/>
          <w:sz w:val="20"/>
        </w:rPr>
        <w:t xml:space="preserve">and target was clarified to </w:t>
      </w:r>
      <w:r>
        <w:rPr>
          <w:color w:val="4D4D4F"/>
          <w:spacing w:val="-3"/>
          <w:sz w:val="20"/>
        </w:rPr>
        <w:t xml:space="preserve">clearly indicate that </w:t>
      </w:r>
      <w:r>
        <w:rPr>
          <w:color w:val="4D4D4F"/>
          <w:sz w:val="20"/>
        </w:rPr>
        <w:t xml:space="preserve">the KPI is assessed using a static baseline </w:t>
      </w:r>
      <w:r>
        <w:rPr>
          <w:color w:val="4D4D4F"/>
          <w:spacing w:val="-3"/>
          <w:sz w:val="20"/>
        </w:rPr>
        <w:t xml:space="preserve">(the </w:t>
      </w:r>
      <w:r>
        <w:rPr>
          <w:color w:val="4D4D4F"/>
          <w:sz w:val="20"/>
        </w:rPr>
        <w:t>quantity being the proportion of</w:t>
      </w:r>
      <w:r>
        <w:rPr>
          <w:color w:val="4D4D4F"/>
          <w:spacing w:val="7"/>
          <w:sz w:val="20"/>
        </w:rPr>
        <w:t xml:space="preserve"> </w:t>
      </w:r>
      <w:r>
        <w:rPr>
          <w:color w:val="4D4D4F"/>
          <w:sz w:val="20"/>
        </w:rPr>
        <w:t>detection).</w:t>
      </w:r>
    </w:p>
    <w:p w14:paraId="6DAFB056" w14:textId="77777777" w:rsidR="00EF5B27" w:rsidRDefault="00EF5B27">
      <w:pPr>
        <w:pStyle w:val="BodyText"/>
      </w:pPr>
    </w:p>
    <w:p w14:paraId="080CBC38" w14:textId="77777777" w:rsidR="00EF5B27" w:rsidRDefault="00EF5B27">
      <w:pPr>
        <w:pStyle w:val="BodyText"/>
      </w:pPr>
    </w:p>
    <w:p w14:paraId="6B9D7640" w14:textId="77777777" w:rsidR="00EF5B27" w:rsidRDefault="00EF5B27">
      <w:pPr>
        <w:pStyle w:val="BodyText"/>
      </w:pPr>
    </w:p>
    <w:p w14:paraId="12CE6126" w14:textId="77777777" w:rsidR="00EF5B27" w:rsidRDefault="00EF5B27">
      <w:pPr>
        <w:pStyle w:val="BodyText"/>
      </w:pPr>
    </w:p>
    <w:p w14:paraId="1271B7DD" w14:textId="77777777" w:rsidR="00EF5B27" w:rsidRDefault="00000000">
      <w:pPr>
        <w:pStyle w:val="BodyText"/>
        <w:spacing w:before="6"/>
        <w:rPr>
          <w:sz w:val="27"/>
        </w:rPr>
      </w:pPr>
      <w:r>
        <w:pict w14:anchorId="54346FF8">
          <v:line id="_x0000_s2189" style="position:absolute;z-index:251766272;mso-wrap-distance-left:0;mso-wrap-distance-right:0;mso-position-horizontal-relative:page" from="181.4pt,19pt" to="538.6pt,19pt" strokecolor="#4d4d4f" strokeweight=".5pt">
            <w10:wrap type="topAndBottom" anchorx="page"/>
          </v:line>
        </w:pict>
      </w:r>
    </w:p>
    <w:p w14:paraId="2FA75095" w14:textId="77777777" w:rsidR="00EF5B27" w:rsidRDefault="00000000">
      <w:pPr>
        <w:pStyle w:val="ListParagraph"/>
        <w:numPr>
          <w:ilvl w:val="0"/>
          <w:numId w:val="4"/>
        </w:numPr>
        <w:tabs>
          <w:tab w:val="left" w:pos="2836"/>
        </w:tabs>
        <w:spacing w:before="88" w:line="230" w:lineRule="auto"/>
        <w:ind w:right="112"/>
        <w:rPr>
          <w:sz w:val="12"/>
        </w:rPr>
      </w:pPr>
      <w:r>
        <w:rPr>
          <w:color w:val="4D4D4F"/>
          <w:spacing w:val="2"/>
          <w:sz w:val="12"/>
        </w:rPr>
        <w:t xml:space="preserve">Bruce </w:t>
      </w:r>
      <w:r>
        <w:rPr>
          <w:color w:val="4D4D4F"/>
          <w:sz w:val="12"/>
        </w:rPr>
        <w:t xml:space="preserve">M, Batpurev </w:t>
      </w:r>
      <w:r>
        <w:rPr>
          <w:color w:val="4D4D4F"/>
          <w:spacing w:val="2"/>
          <w:sz w:val="12"/>
        </w:rPr>
        <w:t xml:space="preserve">K, </w:t>
      </w:r>
      <w:r>
        <w:rPr>
          <w:color w:val="4D4D4F"/>
          <w:sz w:val="12"/>
        </w:rPr>
        <w:t xml:space="preserve">Bryant D, Sinclair S and Kohout M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DEWLP, Heidelberg,</w:t>
      </w:r>
      <w:r>
        <w:rPr>
          <w:color w:val="4D4D4F"/>
          <w:spacing w:val="8"/>
          <w:sz w:val="12"/>
        </w:rPr>
        <w:t xml:space="preserve"> </w:t>
      </w:r>
      <w:r>
        <w:rPr>
          <w:color w:val="4D4D4F"/>
          <w:sz w:val="12"/>
        </w:rPr>
        <w:t>Victoria.</w:t>
      </w:r>
    </w:p>
    <w:p w14:paraId="40CB3FEB"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505FE167" w14:textId="77777777" w:rsidR="00EF5B27" w:rsidRDefault="00000000">
      <w:pPr>
        <w:pStyle w:val="BodyText"/>
      </w:pPr>
      <w:r>
        <w:lastRenderedPageBreak/>
        <w:pict w14:anchorId="7AB85641">
          <v:group id="_x0000_s2181" style="position:absolute;margin-left:587.05pt;margin-top:183.4pt;width:8.25pt;height:153.1pt;z-index:251802112;mso-position-horizontal-relative:page;mso-position-vertical-relative:page" coordorigin="11741,3668" coordsize="165,3062">
            <v:shape id="_x0000_s2188" style="position:absolute;left:11741;top:3668;width:165;height:561" coordorigin="11741,3668" coordsize="165,561" path="m11906,3668r-165,l11741,4228r165,-18l11906,3668xe" fillcolor="#00aed9" stroked="f">
              <v:path arrowok="t"/>
            </v:shape>
            <v:shape id="_x0000_s2187" style="position:absolute;left:11741;top:4118;width:165;height:425" coordorigin="11741,4118" coordsize="165,425" path="m11906,4118r-165,14l11741,4531r165,12l11906,4118xe" fillcolor="#047ebc" stroked="f">
              <v:path arrowok="t"/>
            </v:shape>
            <v:shape id="_x0000_s2186" type="#_x0000_t75" style="position:absolute;left:11741;top:4355;width:165;height:587">
              <v:imagedata r:id="rId42" o:title=""/>
            </v:shape>
            <v:shape id="_x0000_s2185" style="position:absolute;left:11741;top:5343;width:165;height:536" coordorigin="11741,5343" coordsize="165,536" path="m11741,5343r,535l11906,5872r,-525l11741,5343xe" fillcolor="#f36a2e" stroked="f">
              <v:path arrowok="t"/>
            </v:shape>
            <v:shape id="_x0000_s2184" style="position:absolute;left:11741;top:4925;width:165;height:501" coordorigin="11741,4926" coordsize="165,501" path="m11741,4926r,500l11906,5426r,-485l11741,4926xe" fillcolor="#49783f" stroked="f">
              <v:path arrowok="t"/>
            </v:shape>
            <v:shape id="_x0000_s2183" style="position:absolute;left:11741;top:5781;width:165;height:268" coordorigin="11741,5782" coordsize="165,268" path="m11906,5782r-165,8l11741,6039r165,10l11906,5782xe" fillcolor="#f99f2a" stroked="f">
              <v:path arrowok="t"/>
            </v:shape>
            <v:shape id="_x0000_s2182" style="position:absolute;left:11741;top:6023;width:165;height:707" coordorigin="11741,6023" coordsize="165,707" path="m11741,6023r,706l11906,6729r,-690l11741,6023xe" fillcolor="#ef412c" stroked="f">
              <v:path arrowok="t"/>
            </v:shape>
            <w10:wrap anchorx="page" anchory="page"/>
          </v:group>
        </w:pict>
      </w:r>
    </w:p>
    <w:p w14:paraId="09570DC1" w14:textId="77777777" w:rsidR="00EF5B27" w:rsidRDefault="00EF5B27">
      <w:pPr>
        <w:pStyle w:val="BodyText"/>
      </w:pPr>
    </w:p>
    <w:p w14:paraId="6BB756B7" w14:textId="77777777" w:rsidR="00EF5B27" w:rsidRDefault="00EF5B27">
      <w:pPr>
        <w:pStyle w:val="BodyText"/>
      </w:pPr>
    </w:p>
    <w:p w14:paraId="73868DC2" w14:textId="77777777" w:rsidR="00EF5B27" w:rsidRDefault="00EF5B27">
      <w:pPr>
        <w:pStyle w:val="BodyText"/>
        <w:spacing w:before="4"/>
        <w:rPr>
          <w:sz w:val="25"/>
        </w:rPr>
      </w:pPr>
    </w:p>
    <w:p w14:paraId="0BF93F3F" w14:textId="77777777" w:rsidR="00EF5B27" w:rsidRDefault="00000000">
      <w:pPr>
        <w:pStyle w:val="ListParagraph"/>
        <w:numPr>
          <w:ilvl w:val="0"/>
          <w:numId w:val="34"/>
        </w:numPr>
        <w:tabs>
          <w:tab w:val="left" w:pos="2779"/>
        </w:tabs>
        <w:spacing w:before="100" w:line="254" w:lineRule="auto"/>
        <w:ind w:right="208"/>
        <w:rPr>
          <w:sz w:val="20"/>
        </w:rPr>
      </w:pPr>
      <w:r>
        <w:rPr>
          <w:color w:val="4D4D4F"/>
          <w:sz w:val="20"/>
        </w:rPr>
        <w:t xml:space="preserve">The methods have been amended to make it clear that any clumps of Matted Flax- </w:t>
      </w:r>
      <w:r>
        <w:rPr>
          <w:color w:val="4D4D4F"/>
          <w:spacing w:val="-3"/>
          <w:sz w:val="20"/>
        </w:rPr>
        <w:t xml:space="preserve">lily </w:t>
      </w:r>
      <w:r>
        <w:rPr>
          <w:color w:val="4D4D4F"/>
          <w:sz w:val="20"/>
        </w:rPr>
        <w:t xml:space="preserve">separated by more than 75 cm should be considered separate individuals. The only exception to this rule is where genetic analysis is used to determine which clumps are clones or distinct individuals. Genetic analysis was undertaken for most known plants in </w:t>
      </w:r>
      <w:r>
        <w:rPr>
          <w:color w:val="4D4D4F"/>
          <w:spacing w:val="-4"/>
          <w:sz w:val="20"/>
        </w:rPr>
        <w:t xml:space="preserve">2019–20, </w:t>
      </w:r>
      <w:r>
        <w:rPr>
          <w:color w:val="4D4D4F"/>
          <w:sz w:val="20"/>
        </w:rPr>
        <w:t xml:space="preserve">and several adjustments were made to the data. For example, two pairs </w:t>
      </w:r>
      <w:r>
        <w:rPr>
          <w:color w:val="4D4D4F"/>
          <w:spacing w:val="-3"/>
          <w:sz w:val="20"/>
        </w:rPr>
        <w:t xml:space="preserve">(four </w:t>
      </w:r>
      <w:r>
        <w:rPr>
          <w:color w:val="4D4D4F"/>
          <w:sz w:val="20"/>
        </w:rPr>
        <w:t xml:space="preserve">plants) of apparently separate plants were combined (two plants), despite being separated by </w:t>
      </w:r>
      <w:r>
        <w:rPr>
          <w:color w:val="4D4D4F"/>
          <w:spacing w:val="-4"/>
          <w:sz w:val="20"/>
        </w:rPr>
        <w:t>&gt;75</w:t>
      </w:r>
      <w:r>
        <w:rPr>
          <w:color w:val="4D4D4F"/>
          <w:spacing w:val="21"/>
          <w:sz w:val="20"/>
        </w:rPr>
        <w:t xml:space="preserve"> </w:t>
      </w:r>
      <w:r>
        <w:rPr>
          <w:color w:val="4D4D4F"/>
          <w:sz w:val="20"/>
        </w:rPr>
        <w:t>cm.</w:t>
      </w:r>
    </w:p>
    <w:p w14:paraId="73FBF96C" w14:textId="77777777" w:rsidR="00EF5B27" w:rsidRDefault="00000000">
      <w:pPr>
        <w:pStyle w:val="ListParagraph"/>
        <w:numPr>
          <w:ilvl w:val="0"/>
          <w:numId w:val="34"/>
        </w:numPr>
        <w:tabs>
          <w:tab w:val="left" w:pos="2779"/>
        </w:tabs>
        <w:spacing w:before="122" w:line="254" w:lineRule="auto"/>
        <w:ind w:right="128"/>
        <w:rPr>
          <w:sz w:val="20"/>
        </w:rPr>
      </w:pPr>
      <w:r>
        <w:rPr>
          <w:color w:val="4D4D4F"/>
          <w:sz w:val="20"/>
        </w:rPr>
        <w:t xml:space="preserve">The methods now ensure that other measures include counts of the number of </w:t>
      </w:r>
      <w:r>
        <w:rPr>
          <w:color w:val="4D4D4F"/>
          <w:spacing w:val="-3"/>
          <w:sz w:val="20"/>
        </w:rPr>
        <w:t xml:space="preserve">inflorescences, buds, </w:t>
      </w:r>
      <w:r>
        <w:rPr>
          <w:color w:val="4D4D4F"/>
          <w:spacing w:val="-2"/>
          <w:sz w:val="20"/>
        </w:rPr>
        <w:t xml:space="preserve">flower </w:t>
      </w:r>
      <w:r>
        <w:rPr>
          <w:color w:val="4D4D4F"/>
          <w:spacing w:val="-3"/>
          <w:sz w:val="20"/>
        </w:rPr>
        <w:t xml:space="preserve">heads and fruits </w:t>
      </w:r>
      <w:r>
        <w:rPr>
          <w:color w:val="4D4D4F"/>
          <w:sz w:val="20"/>
        </w:rPr>
        <w:t xml:space="preserve">per </w:t>
      </w:r>
      <w:r>
        <w:rPr>
          <w:color w:val="4D4D4F"/>
          <w:spacing w:val="-4"/>
          <w:sz w:val="20"/>
        </w:rPr>
        <w:t xml:space="preserve">plant, </w:t>
      </w:r>
      <w:r>
        <w:rPr>
          <w:color w:val="4D4D4F"/>
          <w:spacing w:val="-3"/>
          <w:sz w:val="20"/>
        </w:rPr>
        <w:t xml:space="preserve">to </w:t>
      </w:r>
      <w:r>
        <w:rPr>
          <w:color w:val="4D4D4F"/>
          <w:sz w:val="20"/>
        </w:rPr>
        <w:t xml:space="preserve">support </w:t>
      </w:r>
      <w:r>
        <w:rPr>
          <w:color w:val="4D4D4F"/>
          <w:spacing w:val="-3"/>
          <w:sz w:val="20"/>
        </w:rPr>
        <w:t xml:space="preserve">the </w:t>
      </w:r>
      <w:r>
        <w:rPr>
          <w:color w:val="4D4D4F"/>
          <w:spacing w:val="-4"/>
          <w:sz w:val="20"/>
        </w:rPr>
        <w:t xml:space="preserve">parameterisation </w:t>
      </w:r>
      <w:r>
        <w:rPr>
          <w:color w:val="4D4D4F"/>
          <w:sz w:val="20"/>
        </w:rPr>
        <w:t>of</w:t>
      </w:r>
      <w:r>
        <w:rPr>
          <w:color w:val="4D4D4F"/>
          <w:spacing w:val="6"/>
          <w:sz w:val="20"/>
        </w:rPr>
        <w:t xml:space="preserve"> </w:t>
      </w:r>
      <w:r>
        <w:rPr>
          <w:color w:val="4D4D4F"/>
          <w:spacing w:val="-3"/>
          <w:sz w:val="20"/>
        </w:rPr>
        <w:t>PVA</w:t>
      </w:r>
      <w:r>
        <w:rPr>
          <w:color w:val="4D4D4F"/>
          <w:spacing w:val="6"/>
          <w:sz w:val="20"/>
        </w:rPr>
        <w:t xml:space="preserve"> </w:t>
      </w:r>
      <w:r>
        <w:rPr>
          <w:color w:val="4D4D4F"/>
          <w:sz w:val="20"/>
        </w:rPr>
        <w:t>models.</w:t>
      </w:r>
      <w:r>
        <w:rPr>
          <w:color w:val="4D4D4F"/>
          <w:spacing w:val="6"/>
          <w:sz w:val="20"/>
        </w:rPr>
        <w:t xml:space="preserve"> </w:t>
      </w:r>
      <w:r>
        <w:rPr>
          <w:color w:val="4D4D4F"/>
          <w:sz w:val="20"/>
        </w:rPr>
        <w:t>Such</w:t>
      </w:r>
      <w:r>
        <w:rPr>
          <w:color w:val="4D4D4F"/>
          <w:spacing w:val="6"/>
          <w:sz w:val="20"/>
        </w:rPr>
        <w:t xml:space="preserve"> </w:t>
      </w:r>
      <w:r>
        <w:rPr>
          <w:color w:val="4D4D4F"/>
          <w:sz w:val="20"/>
        </w:rPr>
        <w:t>data</w:t>
      </w:r>
      <w:r>
        <w:rPr>
          <w:color w:val="4D4D4F"/>
          <w:spacing w:val="6"/>
          <w:sz w:val="20"/>
        </w:rPr>
        <w:t xml:space="preserve"> </w:t>
      </w:r>
      <w:r>
        <w:rPr>
          <w:color w:val="4D4D4F"/>
          <w:sz w:val="20"/>
        </w:rPr>
        <w:t>should</w:t>
      </w:r>
      <w:r>
        <w:rPr>
          <w:color w:val="4D4D4F"/>
          <w:spacing w:val="6"/>
          <w:sz w:val="20"/>
        </w:rPr>
        <w:t xml:space="preserve"> </w:t>
      </w:r>
      <w:r>
        <w:rPr>
          <w:color w:val="4D4D4F"/>
          <w:sz w:val="20"/>
        </w:rPr>
        <w:t>be</w:t>
      </w:r>
      <w:r>
        <w:rPr>
          <w:color w:val="4D4D4F"/>
          <w:spacing w:val="6"/>
          <w:sz w:val="20"/>
        </w:rPr>
        <w:t xml:space="preserve"> </w:t>
      </w:r>
      <w:r>
        <w:rPr>
          <w:color w:val="4D4D4F"/>
          <w:sz w:val="20"/>
        </w:rPr>
        <w:t>collected</w:t>
      </w:r>
      <w:r>
        <w:rPr>
          <w:color w:val="4D4D4F"/>
          <w:spacing w:val="6"/>
          <w:sz w:val="20"/>
        </w:rPr>
        <w:t xml:space="preserve"> </w:t>
      </w:r>
      <w:r>
        <w:rPr>
          <w:color w:val="4D4D4F"/>
          <w:sz w:val="20"/>
        </w:rPr>
        <w:t>at</w:t>
      </w:r>
      <w:r>
        <w:rPr>
          <w:color w:val="4D4D4F"/>
          <w:spacing w:val="6"/>
          <w:sz w:val="20"/>
        </w:rPr>
        <w:t xml:space="preserve"> </w:t>
      </w:r>
      <w:r>
        <w:rPr>
          <w:color w:val="4D4D4F"/>
          <w:sz w:val="20"/>
        </w:rPr>
        <w:t>least</w:t>
      </w:r>
      <w:r>
        <w:rPr>
          <w:color w:val="4D4D4F"/>
          <w:spacing w:val="6"/>
          <w:sz w:val="20"/>
        </w:rPr>
        <w:t xml:space="preserve"> </w:t>
      </w:r>
      <w:r>
        <w:rPr>
          <w:color w:val="4D4D4F"/>
          <w:sz w:val="20"/>
        </w:rPr>
        <w:t>once</w:t>
      </w:r>
      <w:r>
        <w:rPr>
          <w:color w:val="4D4D4F"/>
          <w:spacing w:val="6"/>
          <w:sz w:val="20"/>
        </w:rPr>
        <w:t xml:space="preserve"> </w:t>
      </w:r>
      <w:r>
        <w:rPr>
          <w:color w:val="4D4D4F"/>
          <w:sz w:val="20"/>
        </w:rPr>
        <w:t>every</w:t>
      </w:r>
      <w:r>
        <w:rPr>
          <w:color w:val="4D4D4F"/>
          <w:spacing w:val="6"/>
          <w:sz w:val="20"/>
        </w:rPr>
        <w:t xml:space="preserve"> </w:t>
      </w:r>
      <w:r>
        <w:rPr>
          <w:color w:val="4D4D4F"/>
          <w:sz w:val="20"/>
        </w:rPr>
        <w:t>five</w:t>
      </w:r>
      <w:r>
        <w:rPr>
          <w:color w:val="4D4D4F"/>
          <w:spacing w:val="6"/>
          <w:sz w:val="20"/>
        </w:rPr>
        <w:t xml:space="preserve"> </w:t>
      </w:r>
      <w:r>
        <w:rPr>
          <w:color w:val="4D4D4F"/>
          <w:sz w:val="20"/>
        </w:rPr>
        <w:t>years.</w:t>
      </w:r>
    </w:p>
    <w:p w14:paraId="249CA483" w14:textId="77777777" w:rsidR="00EF5B27" w:rsidRDefault="00EF5B27">
      <w:pPr>
        <w:pStyle w:val="BodyText"/>
        <w:rPr>
          <w:sz w:val="26"/>
        </w:rPr>
      </w:pPr>
    </w:p>
    <w:p w14:paraId="28600E3B" w14:textId="77777777" w:rsidR="00EF5B27" w:rsidRDefault="00000000">
      <w:pPr>
        <w:pStyle w:val="Heading2"/>
        <w:spacing w:before="0"/>
      </w:pPr>
      <w:r>
        <w:rPr>
          <w:color w:val="F99F2A"/>
        </w:rPr>
        <w:t>MNES 6: Spiny Rice-flower</w:t>
      </w:r>
    </w:p>
    <w:p w14:paraId="080EC2B5" w14:textId="77777777" w:rsidR="00EF5B27" w:rsidRDefault="00000000">
      <w:pPr>
        <w:spacing w:before="308" w:line="350" w:lineRule="auto"/>
        <w:ind w:left="2608" w:right="1266"/>
        <w:rPr>
          <w:b/>
          <w:sz w:val="20"/>
        </w:rPr>
      </w:pPr>
      <w:r>
        <w:rPr>
          <w:b/>
          <w:color w:val="4D4D4F"/>
          <w:w w:val="105"/>
        </w:rPr>
        <w:t>The</w:t>
      </w:r>
      <w:r>
        <w:rPr>
          <w:b/>
          <w:color w:val="4D4D4F"/>
          <w:spacing w:val="-25"/>
          <w:w w:val="105"/>
        </w:rPr>
        <w:t xml:space="preserve"> </w:t>
      </w:r>
      <w:r>
        <w:rPr>
          <w:b/>
          <w:color w:val="4D4D4F"/>
          <w:w w:val="105"/>
        </w:rPr>
        <w:t>following</w:t>
      </w:r>
      <w:r>
        <w:rPr>
          <w:b/>
          <w:color w:val="4D4D4F"/>
          <w:spacing w:val="-25"/>
          <w:w w:val="105"/>
        </w:rPr>
        <w:t xml:space="preserve"> </w:t>
      </w:r>
      <w:r>
        <w:rPr>
          <w:b/>
          <w:color w:val="4D4D4F"/>
          <w:w w:val="105"/>
        </w:rPr>
        <w:t>is</w:t>
      </w:r>
      <w:r>
        <w:rPr>
          <w:b/>
          <w:color w:val="4D4D4F"/>
          <w:spacing w:val="-25"/>
          <w:w w:val="105"/>
        </w:rPr>
        <w:t xml:space="preserve"> </w:t>
      </w:r>
      <w:r>
        <w:rPr>
          <w:b/>
          <w:color w:val="4D4D4F"/>
          <w:w w:val="105"/>
        </w:rPr>
        <w:t>an</w:t>
      </w:r>
      <w:r>
        <w:rPr>
          <w:b/>
          <w:color w:val="4D4D4F"/>
          <w:spacing w:val="-25"/>
          <w:w w:val="105"/>
        </w:rPr>
        <w:t xml:space="preserve"> </w:t>
      </w:r>
      <w:r>
        <w:rPr>
          <w:b/>
          <w:color w:val="4D4D4F"/>
          <w:w w:val="105"/>
        </w:rPr>
        <w:t>extract</w:t>
      </w:r>
      <w:r>
        <w:rPr>
          <w:b/>
          <w:color w:val="4D4D4F"/>
          <w:spacing w:val="-25"/>
          <w:w w:val="105"/>
        </w:rPr>
        <w:t xml:space="preserve"> </w:t>
      </w:r>
      <w:r>
        <w:rPr>
          <w:b/>
          <w:color w:val="4D4D4F"/>
          <w:w w:val="105"/>
        </w:rPr>
        <w:t>from</w:t>
      </w:r>
      <w:r>
        <w:rPr>
          <w:b/>
          <w:color w:val="4D4D4F"/>
          <w:spacing w:val="-25"/>
          <w:w w:val="105"/>
        </w:rPr>
        <w:t xml:space="preserve"> </w:t>
      </w:r>
      <w:r>
        <w:rPr>
          <w:b/>
          <w:color w:val="4D4D4F"/>
          <w:w w:val="105"/>
        </w:rPr>
        <w:t>the</w:t>
      </w:r>
      <w:r>
        <w:rPr>
          <w:b/>
          <w:color w:val="4D4D4F"/>
          <w:spacing w:val="-25"/>
          <w:w w:val="105"/>
        </w:rPr>
        <w:t xml:space="preserve"> </w:t>
      </w:r>
      <w:r>
        <w:rPr>
          <w:b/>
          <w:color w:val="4D4D4F"/>
          <w:w w:val="105"/>
          <w:sz w:val="20"/>
        </w:rPr>
        <w:t>Outcomes</w:t>
      </w:r>
      <w:r>
        <w:rPr>
          <w:b/>
          <w:color w:val="4D4D4F"/>
          <w:spacing w:val="-22"/>
          <w:w w:val="105"/>
          <w:sz w:val="20"/>
        </w:rPr>
        <w:t xml:space="preserve"> </w:t>
      </w:r>
      <w:r>
        <w:rPr>
          <w:b/>
          <w:color w:val="4D4D4F"/>
          <w:w w:val="105"/>
          <w:sz w:val="20"/>
        </w:rPr>
        <w:t>Report</w:t>
      </w:r>
      <w:r>
        <w:rPr>
          <w:b/>
          <w:color w:val="4D4D4F"/>
          <w:spacing w:val="-23"/>
          <w:w w:val="105"/>
          <w:sz w:val="20"/>
        </w:rPr>
        <w:t xml:space="preserve"> </w:t>
      </w:r>
      <w:r>
        <w:rPr>
          <w:b/>
          <w:color w:val="4D4D4F"/>
          <w:w w:val="105"/>
          <w:sz w:val="20"/>
        </w:rPr>
        <w:t>2014-2020.</w:t>
      </w:r>
      <w:r>
        <w:rPr>
          <w:b/>
          <w:color w:val="4D4D4F"/>
          <w:w w:val="105"/>
          <w:position w:val="7"/>
          <w:sz w:val="11"/>
        </w:rPr>
        <w:t>327</w:t>
      </w:r>
      <w:bookmarkStart w:id="133" w:name="_heading=h.13qzunr"/>
      <w:bookmarkEnd w:id="133"/>
      <w:r>
        <w:rPr>
          <w:b/>
          <w:color w:val="4D4D4F"/>
          <w:w w:val="105"/>
          <w:position w:val="7"/>
          <w:sz w:val="11"/>
        </w:rPr>
        <w:t xml:space="preserve"> </w:t>
      </w:r>
      <w:r>
        <w:rPr>
          <w:b/>
          <w:color w:val="4D4D4F"/>
          <w:w w:val="105"/>
          <w:sz w:val="20"/>
        </w:rPr>
        <w:t>Population</w:t>
      </w:r>
      <w:r>
        <w:rPr>
          <w:b/>
          <w:color w:val="4D4D4F"/>
          <w:spacing w:val="1"/>
          <w:w w:val="105"/>
          <w:sz w:val="20"/>
        </w:rPr>
        <w:t xml:space="preserve"> </w:t>
      </w:r>
      <w:r>
        <w:rPr>
          <w:b/>
          <w:color w:val="4D4D4F"/>
          <w:w w:val="105"/>
          <w:sz w:val="20"/>
        </w:rPr>
        <w:t>census</w:t>
      </w:r>
    </w:p>
    <w:p w14:paraId="395041FE" w14:textId="77777777" w:rsidR="00EF5B27" w:rsidRDefault="00000000">
      <w:pPr>
        <w:spacing w:before="20"/>
        <w:ind w:left="2608"/>
        <w:rPr>
          <w:rFonts w:ascii="Arial Narrow"/>
          <w:i/>
          <w:sz w:val="20"/>
        </w:rPr>
      </w:pPr>
      <w:r>
        <w:rPr>
          <w:rFonts w:ascii="Arial Narrow"/>
          <w:i/>
          <w:color w:val="4D4D4F"/>
          <w:w w:val="120"/>
          <w:sz w:val="20"/>
        </w:rPr>
        <w:t>Spatial structure of monitoring</w:t>
      </w:r>
    </w:p>
    <w:p w14:paraId="57007581" w14:textId="77777777" w:rsidR="00EF5B27" w:rsidRDefault="00000000">
      <w:pPr>
        <w:pStyle w:val="BodyText"/>
        <w:spacing w:before="141" w:line="254" w:lineRule="auto"/>
        <w:ind w:left="2608"/>
      </w:pPr>
      <w:r>
        <w:rPr>
          <w:color w:val="4D4D4F"/>
        </w:rPr>
        <w:t xml:space="preserve">Spiny Rice-flower plants occur in varying spatial arrangements; in clusters of varying </w:t>
      </w:r>
      <w:r>
        <w:rPr>
          <w:color w:val="4D4D4F"/>
          <w:spacing w:val="-5"/>
        </w:rPr>
        <w:t xml:space="preserve">extent </w:t>
      </w:r>
      <w:r>
        <w:rPr>
          <w:color w:val="4D4D4F"/>
          <w:spacing w:val="-4"/>
        </w:rPr>
        <w:t xml:space="preserve">and </w:t>
      </w:r>
      <w:r>
        <w:rPr>
          <w:color w:val="4D4D4F"/>
          <w:spacing w:val="-5"/>
        </w:rPr>
        <w:t xml:space="preserve">density </w:t>
      </w:r>
      <w:r>
        <w:rPr>
          <w:color w:val="4D4D4F"/>
          <w:spacing w:val="-6"/>
        </w:rPr>
        <w:t xml:space="preserve">(sometimes </w:t>
      </w:r>
      <w:r>
        <w:rPr>
          <w:color w:val="4D4D4F"/>
          <w:spacing w:val="-5"/>
        </w:rPr>
        <w:t xml:space="preserve">numbering hundreds </w:t>
      </w:r>
      <w:r>
        <w:rPr>
          <w:color w:val="4D4D4F"/>
          <w:spacing w:val="-3"/>
        </w:rPr>
        <w:t xml:space="preserve">of </w:t>
      </w:r>
      <w:r>
        <w:rPr>
          <w:color w:val="4D4D4F"/>
          <w:spacing w:val="-5"/>
        </w:rPr>
        <w:t xml:space="preserve">plants </w:t>
      </w:r>
      <w:r>
        <w:rPr>
          <w:color w:val="4D4D4F"/>
          <w:spacing w:val="-4"/>
        </w:rPr>
        <w:t xml:space="preserve">and </w:t>
      </w:r>
      <w:r>
        <w:rPr>
          <w:color w:val="4D4D4F"/>
          <w:spacing w:val="-5"/>
        </w:rPr>
        <w:t xml:space="preserve">covering hundreds </w:t>
      </w:r>
      <w:r>
        <w:rPr>
          <w:color w:val="4D4D4F"/>
          <w:spacing w:val="-3"/>
        </w:rPr>
        <w:t>of m</w:t>
      </w:r>
      <w:r>
        <w:rPr>
          <w:color w:val="4D4D4F"/>
          <w:spacing w:val="-3"/>
          <w:position w:val="7"/>
          <w:sz w:val="11"/>
        </w:rPr>
        <w:t>2</w:t>
      </w:r>
      <w:r>
        <w:rPr>
          <w:color w:val="4D4D4F"/>
          <w:spacing w:val="-3"/>
        </w:rPr>
        <w:t xml:space="preserve">) </w:t>
      </w:r>
      <w:r>
        <w:rPr>
          <w:color w:val="4D4D4F"/>
        </w:rPr>
        <w:t xml:space="preserve">and as isolated small clumps or lone individuals. </w:t>
      </w:r>
      <w:r>
        <w:rPr>
          <w:color w:val="4D4D4F"/>
          <w:spacing w:val="-7"/>
        </w:rPr>
        <w:t xml:space="preserve">To </w:t>
      </w:r>
      <w:r>
        <w:rPr>
          <w:color w:val="4D4D4F"/>
        </w:rPr>
        <w:t xml:space="preserve">ensure that monitoring effort is focused </w:t>
      </w:r>
      <w:r>
        <w:rPr>
          <w:color w:val="4D4D4F"/>
          <w:spacing w:val="-3"/>
        </w:rPr>
        <w:t xml:space="preserve">efficiently </w:t>
      </w:r>
      <w:r>
        <w:rPr>
          <w:color w:val="4D4D4F"/>
        </w:rPr>
        <w:t xml:space="preserve">on the </w:t>
      </w:r>
      <w:r>
        <w:rPr>
          <w:color w:val="4D4D4F"/>
          <w:spacing w:val="-4"/>
        </w:rPr>
        <w:t xml:space="preserve">main </w:t>
      </w:r>
      <w:r>
        <w:rPr>
          <w:color w:val="4D4D4F"/>
        </w:rPr>
        <w:t xml:space="preserve">centres of </w:t>
      </w:r>
      <w:r>
        <w:rPr>
          <w:color w:val="4D4D4F"/>
          <w:spacing w:val="-3"/>
        </w:rPr>
        <w:t xml:space="preserve">population, monitoring is divided </w:t>
      </w:r>
      <w:r>
        <w:rPr>
          <w:color w:val="4D4D4F"/>
          <w:spacing w:val="-4"/>
        </w:rPr>
        <w:t xml:space="preserve">into </w:t>
      </w:r>
      <w:r>
        <w:rPr>
          <w:color w:val="4D4D4F"/>
        </w:rPr>
        <w:t xml:space="preserve">two </w:t>
      </w:r>
      <w:r>
        <w:rPr>
          <w:color w:val="4D4D4F"/>
          <w:spacing w:val="-2"/>
        </w:rPr>
        <w:t>tiers:</w:t>
      </w:r>
    </w:p>
    <w:p w14:paraId="47A8B399" w14:textId="77777777" w:rsidR="00EF5B27" w:rsidRDefault="00000000">
      <w:pPr>
        <w:pStyle w:val="ListParagraph"/>
        <w:numPr>
          <w:ilvl w:val="0"/>
          <w:numId w:val="34"/>
        </w:numPr>
        <w:tabs>
          <w:tab w:val="left" w:pos="2779"/>
        </w:tabs>
        <w:spacing w:before="118" w:line="254" w:lineRule="auto"/>
        <w:ind w:right="175"/>
        <w:rPr>
          <w:sz w:val="20"/>
        </w:rPr>
      </w:pPr>
      <w:r>
        <w:rPr>
          <w:color w:val="4D4D4F"/>
          <w:sz w:val="20"/>
        </w:rPr>
        <w:t xml:space="preserve">Clusters of plants are monitored every year and contribute to the assessment of KPIs. A cluster is any group of </w:t>
      </w:r>
      <w:r>
        <w:rPr>
          <w:color w:val="4D4D4F"/>
          <w:spacing w:val="-5"/>
          <w:sz w:val="20"/>
        </w:rPr>
        <w:t xml:space="preserve">10  </w:t>
      </w:r>
      <w:r>
        <w:rPr>
          <w:color w:val="4D4D4F"/>
          <w:sz w:val="20"/>
        </w:rPr>
        <w:t xml:space="preserve">or more plants, where all plants are within </w:t>
      </w:r>
      <w:r>
        <w:rPr>
          <w:color w:val="4D4D4F"/>
          <w:spacing w:val="-5"/>
          <w:sz w:val="20"/>
        </w:rPr>
        <w:t xml:space="preserve">10  </w:t>
      </w:r>
      <w:r>
        <w:rPr>
          <w:color w:val="4D4D4F"/>
          <w:sz w:val="20"/>
        </w:rPr>
        <w:t xml:space="preserve">m   of another plant in the same </w:t>
      </w:r>
      <w:r>
        <w:rPr>
          <w:color w:val="4D4D4F"/>
          <w:spacing w:val="-4"/>
          <w:sz w:val="20"/>
        </w:rPr>
        <w:t xml:space="preserve">cluster. </w:t>
      </w:r>
      <w:r>
        <w:rPr>
          <w:color w:val="4D4D4F"/>
          <w:sz w:val="20"/>
        </w:rPr>
        <w:t xml:space="preserve">An individual plant must be at least </w:t>
      </w:r>
      <w:r>
        <w:rPr>
          <w:color w:val="4D4D4F"/>
          <w:spacing w:val="-5"/>
          <w:sz w:val="20"/>
        </w:rPr>
        <w:t xml:space="preserve">10 </w:t>
      </w:r>
      <w:r>
        <w:rPr>
          <w:color w:val="4D4D4F"/>
          <w:sz w:val="20"/>
        </w:rPr>
        <w:t>cm from another plant, otherwise it is not counted as a plant (Spiny-Rice Flower can have multiple stems growing from ground</w:t>
      </w:r>
      <w:r>
        <w:rPr>
          <w:color w:val="4D4D4F"/>
          <w:spacing w:val="21"/>
          <w:sz w:val="20"/>
        </w:rPr>
        <w:t xml:space="preserve"> </w:t>
      </w:r>
      <w:r>
        <w:rPr>
          <w:color w:val="4D4D4F"/>
          <w:sz w:val="20"/>
        </w:rPr>
        <w:t>level).</w:t>
      </w:r>
    </w:p>
    <w:p w14:paraId="2DFED757" w14:textId="77777777" w:rsidR="00EF5B27" w:rsidRDefault="00000000">
      <w:pPr>
        <w:pStyle w:val="ListParagraph"/>
        <w:numPr>
          <w:ilvl w:val="0"/>
          <w:numId w:val="34"/>
        </w:numPr>
        <w:tabs>
          <w:tab w:val="left" w:pos="2779"/>
        </w:tabs>
        <w:spacing w:before="120" w:line="254" w:lineRule="auto"/>
        <w:ind w:right="306"/>
        <w:rPr>
          <w:sz w:val="20"/>
        </w:rPr>
      </w:pPr>
      <w:r>
        <w:rPr>
          <w:color w:val="4D4D4F"/>
          <w:sz w:val="20"/>
        </w:rPr>
        <w:t>Scattered plants are monitored every five years and are reported every five years as an ‘other measure’. These are defined as any plants outside</w:t>
      </w:r>
      <w:r>
        <w:rPr>
          <w:color w:val="4D4D4F"/>
          <w:spacing w:val="7"/>
          <w:sz w:val="20"/>
        </w:rPr>
        <w:t xml:space="preserve"> </w:t>
      </w:r>
      <w:r>
        <w:rPr>
          <w:color w:val="4D4D4F"/>
          <w:sz w:val="20"/>
        </w:rPr>
        <w:t>clusters.</w:t>
      </w:r>
    </w:p>
    <w:p w14:paraId="2497E785" w14:textId="77777777" w:rsidR="00EF5B27" w:rsidRDefault="00000000">
      <w:pPr>
        <w:pStyle w:val="BodyText"/>
        <w:spacing w:before="116" w:line="254" w:lineRule="auto"/>
        <w:ind w:left="2608" w:right="151"/>
      </w:pPr>
      <w:r>
        <w:rPr>
          <w:color w:val="4D4D4F"/>
        </w:rPr>
        <w:t>It is estimated that &gt;95% of all plants are within clusters, so that the KPI is adequately addressed by the measurement of clusters only. The previous monitoring method described in the MRF covered a far lower percentage of plants and has been replaced for that reason.</w:t>
      </w:r>
    </w:p>
    <w:p w14:paraId="729994A8" w14:textId="77777777" w:rsidR="00EF5B27" w:rsidRDefault="00000000">
      <w:pPr>
        <w:pStyle w:val="BodyText"/>
        <w:spacing w:before="118"/>
        <w:ind w:left="2608"/>
      </w:pPr>
      <w:r>
        <w:rPr>
          <w:color w:val="4D4D4F"/>
          <w:spacing w:val="-4"/>
        </w:rPr>
        <w:t xml:space="preserve">KPIs </w:t>
      </w:r>
      <w:r>
        <w:rPr>
          <w:color w:val="4D4D4F"/>
          <w:spacing w:val="-3"/>
        </w:rPr>
        <w:t xml:space="preserve">are </w:t>
      </w:r>
      <w:r>
        <w:rPr>
          <w:color w:val="4D4D4F"/>
          <w:spacing w:val="-4"/>
        </w:rPr>
        <w:t xml:space="preserve">reported </w:t>
      </w:r>
      <w:r>
        <w:rPr>
          <w:color w:val="4D4D4F"/>
          <w:spacing w:val="-3"/>
        </w:rPr>
        <w:t xml:space="preserve">by </w:t>
      </w:r>
      <w:r>
        <w:rPr>
          <w:color w:val="4D4D4F"/>
          <w:spacing w:val="-6"/>
        </w:rPr>
        <w:t xml:space="preserve">site. </w:t>
      </w:r>
      <w:r>
        <w:rPr>
          <w:color w:val="4D4D4F"/>
          <w:spacing w:val="-4"/>
        </w:rPr>
        <w:t xml:space="preserve">Some </w:t>
      </w:r>
      <w:r>
        <w:rPr>
          <w:color w:val="4D4D4F"/>
          <w:spacing w:val="-6"/>
        </w:rPr>
        <w:t xml:space="preserve">sites </w:t>
      </w:r>
      <w:r>
        <w:rPr>
          <w:color w:val="4D4D4F"/>
          <w:spacing w:val="-4"/>
        </w:rPr>
        <w:t xml:space="preserve">may </w:t>
      </w:r>
      <w:r>
        <w:rPr>
          <w:color w:val="4D4D4F"/>
          <w:spacing w:val="-5"/>
        </w:rPr>
        <w:t xml:space="preserve">have several clusters </w:t>
      </w:r>
      <w:r>
        <w:rPr>
          <w:color w:val="4D4D4F"/>
          <w:spacing w:val="-4"/>
        </w:rPr>
        <w:t xml:space="preserve">and </w:t>
      </w:r>
      <w:r>
        <w:rPr>
          <w:color w:val="4D4D4F"/>
          <w:spacing w:val="-5"/>
        </w:rPr>
        <w:t xml:space="preserve">many </w:t>
      </w:r>
      <w:r>
        <w:rPr>
          <w:color w:val="4D4D4F"/>
          <w:spacing w:val="-4"/>
        </w:rPr>
        <w:t xml:space="preserve">scattered </w:t>
      </w:r>
      <w:r>
        <w:rPr>
          <w:color w:val="4D4D4F"/>
          <w:spacing w:val="-5"/>
        </w:rPr>
        <w:t>plants.</w:t>
      </w:r>
    </w:p>
    <w:p w14:paraId="08E8EBD8" w14:textId="77777777" w:rsidR="00EF5B27" w:rsidRDefault="00000000">
      <w:pPr>
        <w:spacing w:before="132"/>
        <w:ind w:left="2608"/>
        <w:rPr>
          <w:rFonts w:ascii="Arial Narrow"/>
          <w:i/>
          <w:sz w:val="20"/>
        </w:rPr>
      </w:pPr>
      <w:r>
        <w:rPr>
          <w:rFonts w:ascii="Arial Narrow"/>
          <w:i/>
          <w:color w:val="4D4D4F"/>
          <w:w w:val="120"/>
          <w:sz w:val="20"/>
        </w:rPr>
        <w:t>Population counts in clusters</w:t>
      </w:r>
    </w:p>
    <w:p w14:paraId="6AAC65DA" w14:textId="77777777" w:rsidR="00EF5B27" w:rsidRDefault="00000000">
      <w:pPr>
        <w:pStyle w:val="BodyText"/>
        <w:spacing w:before="141" w:line="254" w:lineRule="auto"/>
        <w:ind w:left="2608"/>
      </w:pPr>
      <w:r>
        <w:rPr>
          <w:color w:val="4D4D4F"/>
        </w:rPr>
        <w:t>Spiny Rice-flower is monitored at any time of year, but optimally in winter when it is flowering. A full count is undertaken for each cluster, with the location of every plant recorded as X, Y coordinates on a permanently marked grid. The coordinates from previous years may be used to aid plant searches in subsequent years.</w:t>
      </w:r>
    </w:p>
    <w:p w14:paraId="72CC58B9" w14:textId="77777777" w:rsidR="00EF5B27" w:rsidRDefault="00000000">
      <w:pPr>
        <w:pStyle w:val="BodyText"/>
        <w:spacing w:before="118" w:line="254" w:lineRule="auto"/>
        <w:ind w:left="2608"/>
      </w:pPr>
      <w:r>
        <w:rPr>
          <w:color w:val="4D4D4F"/>
        </w:rPr>
        <w:t>Recruits are identified and recorded (plants not recorded in prior years and with no evidence of previous years’ growth).</w:t>
      </w:r>
    </w:p>
    <w:p w14:paraId="2474AD11" w14:textId="77777777" w:rsidR="00EF5B27" w:rsidRDefault="00EF5B27">
      <w:pPr>
        <w:pStyle w:val="BodyText"/>
      </w:pPr>
    </w:p>
    <w:p w14:paraId="2B202265" w14:textId="77777777" w:rsidR="00EF5B27" w:rsidRDefault="00EF5B27">
      <w:pPr>
        <w:pStyle w:val="BodyText"/>
      </w:pPr>
    </w:p>
    <w:p w14:paraId="0AD43F88" w14:textId="77777777" w:rsidR="00EF5B27" w:rsidRDefault="00EF5B27">
      <w:pPr>
        <w:pStyle w:val="BodyText"/>
        <w:rPr>
          <w:sz w:val="26"/>
        </w:rPr>
      </w:pPr>
    </w:p>
    <w:p w14:paraId="0B95F8C9" w14:textId="77777777" w:rsidR="00EF5B27" w:rsidRDefault="00000000">
      <w:pPr>
        <w:pStyle w:val="ListParagraph"/>
        <w:numPr>
          <w:ilvl w:val="0"/>
          <w:numId w:val="4"/>
        </w:numPr>
        <w:tabs>
          <w:tab w:val="left" w:pos="2836"/>
        </w:tabs>
        <w:spacing w:before="105" w:line="230" w:lineRule="auto"/>
        <w:ind w:right="112"/>
        <w:rPr>
          <w:sz w:val="12"/>
        </w:rPr>
      </w:pPr>
      <w:r>
        <w:rPr>
          <w:color w:val="4D4D4F"/>
          <w:spacing w:val="2"/>
          <w:sz w:val="12"/>
        </w:rPr>
        <w:t xml:space="preserve">Bruce </w:t>
      </w:r>
      <w:r>
        <w:rPr>
          <w:color w:val="4D4D4F"/>
          <w:sz w:val="12"/>
        </w:rPr>
        <w:t xml:space="preserve">M, Batpurev </w:t>
      </w:r>
      <w:r>
        <w:rPr>
          <w:color w:val="4D4D4F"/>
          <w:spacing w:val="2"/>
          <w:sz w:val="12"/>
        </w:rPr>
        <w:t xml:space="preserve">K, </w:t>
      </w:r>
      <w:r>
        <w:rPr>
          <w:color w:val="4D4D4F"/>
          <w:sz w:val="12"/>
        </w:rPr>
        <w:t xml:space="preserve">Bryant D, Sinclair S and Kohout M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DELWP, Heidelberg,</w:t>
      </w:r>
      <w:r>
        <w:rPr>
          <w:color w:val="4D4D4F"/>
          <w:spacing w:val="8"/>
          <w:sz w:val="12"/>
        </w:rPr>
        <w:t xml:space="preserve"> </w:t>
      </w:r>
      <w:r>
        <w:rPr>
          <w:color w:val="4D4D4F"/>
          <w:sz w:val="12"/>
        </w:rPr>
        <w:t>Victoria.</w:t>
      </w:r>
    </w:p>
    <w:p w14:paraId="1375E939" w14:textId="77777777" w:rsidR="00EF5B27" w:rsidRDefault="00EF5B27">
      <w:pPr>
        <w:spacing w:line="230" w:lineRule="auto"/>
        <w:rPr>
          <w:sz w:val="12"/>
        </w:rPr>
        <w:sectPr w:rsidR="00EF5B27">
          <w:footerReference w:type="default" r:id="rId183"/>
          <w:pgSz w:w="11910" w:h="16840"/>
          <w:pgMar w:top="1080" w:right="1020" w:bottom="1580" w:left="1020" w:header="537" w:footer="1399" w:gutter="0"/>
          <w:cols w:space="720"/>
        </w:sectPr>
      </w:pPr>
    </w:p>
    <w:p w14:paraId="2D80FE02" w14:textId="77777777" w:rsidR="00EF5B27" w:rsidRDefault="00000000">
      <w:pPr>
        <w:pStyle w:val="BodyText"/>
      </w:pPr>
      <w:r>
        <w:lastRenderedPageBreak/>
        <w:pict w14:anchorId="0CD201AA">
          <v:group id="_x0000_s2173" style="position:absolute;margin-left:587.05pt;margin-top:183.4pt;width:8.25pt;height:153.1pt;z-index:251803136;mso-position-horizontal-relative:page;mso-position-vertical-relative:page" coordorigin="11741,3668" coordsize="165,3062">
            <v:shape id="_x0000_s2180" style="position:absolute;left:11741;top:3668;width:165;height:561" coordorigin="11741,3668" coordsize="165,561" path="m11906,3668r-165,l11741,4228r165,-18l11906,3668xe" fillcolor="#00aed9" stroked="f">
              <v:path arrowok="t"/>
            </v:shape>
            <v:shape id="_x0000_s2179" style="position:absolute;left:11741;top:4118;width:165;height:425" coordorigin="11741,4118" coordsize="165,425" path="m11906,4118r-165,14l11741,4531r165,12l11906,4118xe" fillcolor="#047ebc" stroked="f">
              <v:path arrowok="t"/>
            </v:shape>
            <v:shape id="_x0000_s2178" type="#_x0000_t75" style="position:absolute;left:11741;top:4355;width:165;height:587">
              <v:imagedata r:id="rId42" o:title=""/>
            </v:shape>
            <v:shape id="_x0000_s2177" style="position:absolute;left:11741;top:5343;width:165;height:536" coordorigin="11741,5343" coordsize="165,536" path="m11741,5343r,535l11906,5872r,-525l11741,5343xe" fillcolor="#f36a2e" stroked="f">
              <v:path arrowok="t"/>
            </v:shape>
            <v:shape id="_x0000_s2176" style="position:absolute;left:11741;top:4925;width:165;height:501" coordorigin="11741,4926" coordsize="165,501" path="m11741,4926r,500l11906,5426r,-485l11741,4926xe" fillcolor="#49783f" stroked="f">
              <v:path arrowok="t"/>
            </v:shape>
            <v:shape id="_x0000_s2175" style="position:absolute;left:11741;top:5781;width:165;height:268" coordorigin="11741,5782" coordsize="165,268" path="m11906,5782r-165,8l11741,6039r165,10l11906,5782xe" fillcolor="#f99f2a" stroked="f">
              <v:path arrowok="t"/>
            </v:shape>
            <v:shape id="_x0000_s2174" style="position:absolute;left:11741;top:6023;width:165;height:707" coordorigin="11741,6023" coordsize="165,707" path="m11741,6023r,706l11906,6729r,-690l11741,6023xe" fillcolor="#ef412c" stroked="f">
              <v:path arrowok="t"/>
            </v:shape>
            <w10:wrap anchorx="page" anchory="page"/>
          </v:group>
        </w:pict>
      </w:r>
    </w:p>
    <w:p w14:paraId="489D6572" w14:textId="77777777" w:rsidR="00EF5B27" w:rsidRDefault="00EF5B27">
      <w:pPr>
        <w:pStyle w:val="BodyText"/>
      </w:pPr>
    </w:p>
    <w:p w14:paraId="5949B4A2" w14:textId="77777777" w:rsidR="00EF5B27" w:rsidRDefault="00EF5B27">
      <w:pPr>
        <w:pStyle w:val="BodyText"/>
      </w:pPr>
    </w:p>
    <w:p w14:paraId="7BA38C1B" w14:textId="77777777" w:rsidR="00EF5B27" w:rsidRDefault="00EF5B27">
      <w:pPr>
        <w:pStyle w:val="BodyText"/>
        <w:spacing w:before="4"/>
        <w:rPr>
          <w:sz w:val="25"/>
        </w:rPr>
      </w:pPr>
    </w:p>
    <w:p w14:paraId="4C42DF2B" w14:textId="77777777" w:rsidR="00EF5B27" w:rsidRDefault="00000000">
      <w:pPr>
        <w:pStyle w:val="BodyText"/>
        <w:spacing w:before="100"/>
        <w:ind w:left="2608"/>
      </w:pPr>
      <w:r>
        <w:rPr>
          <w:color w:val="4D4D4F"/>
        </w:rPr>
        <w:t>Currently, only two MSA properties support clusters of plants:</w:t>
      </w:r>
    </w:p>
    <w:p w14:paraId="3C785C19" w14:textId="77777777" w:rsidR="00EF5B27" w:rsidRDefault="00000000">
      <w:pPr>
        <w:pStyle w:val="ListParagraph"/>
        <w:numPr>
          <w:ilvl w:val="0"/>
          <w:numId w:val="34"/>
        </w:numPr>
        <w:tabs>
          <w:tab w:val="left" w:pos="2779"/>
        </w:tabs>
        <w:spacing w:before="130"/>
        <w:rPr>
          <w:sz w:val="20"/>
        </w:rPr>
      </w:pPr>
      <w:r>
        <w:rPr>
          <w:color w:val="4D4D4F"/>
          <w:spacing w:val="-3"/>
          <w:sz w:val="20"/>
        </w:rPr>
        <w:t xml:space="preserve">Truganina </w:t>
      </w:r>
      <w:r>
        <w:rPr>
          <w:color w:val="4D4D4F"/>
          <w:sz w:val="20"/>
        </w:rPr>
        <w:t>Cemetery Grassland (Conservation Area</w:t>
      </w:r>
      <w:r>
        <w:rPr>
          <w:color w:val="4D4D4F"/>
          <w:spacing w:val="31"/>
          <w:sz w:val="20"/>
        </w:rPr>
        <w:t xml:space="preserve"> </w:t>
      </w:r>
      <w:r>
        <w:rPr>
          <w:color w:val="4D4D4F"/>
          <w:spacing w:val="-6"/>
          <w:sz w:val="20"/>
        </w:rPr>
        <w:t>10)</w:t>
      </w:r>
    </w:p>
    <w:p w14:paraId="7071FF00" w14:textId="77777777" w:rsidR="00EF5B27" w:rsidRDefault="00000000">
      <w:pPr>
        <w:pStyle w:val="ListParagraph"/>
        <w:numPr>
          <w:ilvl w:val="0"/>
          <w:numId w:val="34"/>
        </w:numPr>
        <w:tabs>
          <w:tab w:val="left" w:pos="2779"/>
        </w:tabs>
        <w:spacing w:before="129"/>
        <w:rPr>
          <w:sz w:val="20"/>
        </w:rPr>
      </w:pPr>
      <w:r>
        <w:rPr>
          <w:color w:val="4D4D4F"/>
          <w:sz w:val="20"/>
        </w:rPr>
        <w:t>Western Grassland Reserve, Radio</w:t>
      </w:r>
      <w:r>
        <w:rPr>
          <w:color w:val="4D4D4F"/>
          <w:spacing w:val="19"/>
          <w:sz w:val="20"/>
        </w:rPr>
        <w:t xml:space="preserve"> </w:t>
      </w:r>
      <w:r>
        <w:rPr>
          <w:color w:val="4D4D4F"/>
          <w:sz w:val="20"/>
        </w:rPr>
        <w:t>block.</w:t>
      </w:r>
    </w:p>
    <w:p w14:paraId="60508D9F" w14:textId="77777777" w:rsidR="00EF5B27" w:rsidRDefault="00000000">
      <w:pPr>
        <w:spacing w:before="118"/>
        <w:ind w:left="2608"/>
        <w:rPr>
          <w:rFonts w:ascii="Century Gothic"/>
          <w:i/>
          <w:sz w:val="20"/>
        </w:rPr>
      </w:pPr>
      <w:r>
        <w:rPr>
          <w:rFonts w:ascii="Century Gothic"/>
          <w:i/>
          <w:color w:val="4D4D4F"/>
          <w:sz w:val="20"/>
        </w:rPr>
        <w:t>Counts of scattered plants</w:t>
      </w:r>
    </w:p>
    <w:p w14:paraId="0D55F8E3" w14:textId="77777777" w:rsidR="00EF5B27" w:rsidRDefault="00000000">
      <w:pPr>
        <w:pStyle w:val="BodyText"/>
        <w:spacing w:before="139" w:line="254" w:lineRule="auto"/>
        <w:ind w:left="2608" w:right="151"/>
      </w:pPr>
      <w:r>
        <w:rPr>
          <w:color w:val="4D4D4F"/>
        </w:rPr>
        <w:t>The location of isolated plants is recorded and they are revisited every five years to determine if they remain (next visit due in 2023). Currently this method is used to record plants on three sites: Mount Cottrell Nature Conservation Reserve, Radio and Magpie, all in the Western Grassland Reserve. Any additional scattered plants located over time are simply added to the total reported.</w:t>
      </w:r>
    </w:p>
    <w:p w14:paraId="3639D410" w14:textId="77777777" w:rsidR="00EF5B27" w:rsidRDefault="00000000">
      <w:pPr>
        <w:pStyle w:val="Heading6"/>
        <w:spacing w:before="120"/>
      </w:pPr>
      <w:bookmarkStart w:id="134" w:name="_heading=h.3nqndbk"/>
      <w:bookmarkEnd w:id="134"/>
      <w:r>
        <w:rPr>
          <w:color w:val="4D4D4F"/>
        </w:rPr>
        <w:t>Vegetation measures</w:t>
      </w:r>
    </w:p>
    <w:p w14:paraId="63893B1C" w14:textId="77777777" w:rsidR="00EF5B27" w:rsidRDefault="00000000">
      <w:pPr>
        <w:pStyle w:val="BodyText"/>
        <w:spacing w:before="129" w:line="254" w:lineRule="auto"/>
        <w:ind w:left="2608" w:right="168"/>
      </w:pPr>
      <w:r>
        <w:rPr>
          <w:color w:val="4D4D4F"/>
        </w:rPr>
        <w:t xml:space="preserve">Several habitat parameters relevant to the recruitment and persistence of Spiny Rice- flower are reported for each population: bare ground, cover of all weeds, biomass (cover of all plants), reported per site; and vegetation species composition, reported as the top five most abundant species across all plots (DELWP </w:t>
      </w:r>
      <w:r>
        <w:rPr>
          <w:color w:val="4D4D4F"/>
          <w:spacing w:val="-3"/>
        </w:rPr>
        <w:t xml:space="preserve">2015a). </w:t>
      </w:r>
      <w:r>
        <w:rPr>
          <w:color w:val="4D4D4F"/>
        </w:rPr>
        <w:t xml:space="preserve">These vegetation measures are all derived from 20 x 20 m point intercept plots undertaken as part of   the monitoring for Natural Temperate Grassland. A single plot is located within each </w:t>
      </w:r>
      <w:r>
        <w:rPr>
          <w:color w:val="4D4D4F"/>
          <w:spacing w:val="-4"/>
        </w:rPr>
        <w:t xml:space="preserve">cluster. </w:t>
      </w:r>
      <w:r>
        <w:rPr>
          <w:color w:val="4D4D4F"/>
        </w:rPr>
        <w:t>It is assumed that these plots adequately represent the vegetation supporting the</w:t>
      </w:r>
      <w:r>
        <w:rPr>
          <w:color w:val="4D4D4F"/>
          <w:spacing w:val="3"/>
        </w:rPr>
        <w:t xml:space="preserve"> </w:t>
      </w:r>
      <w:r>
        <w:rPr>
          <w:color w:val="4D4D4F"/>
        </w:rPr>
        <w:t>populations.</w:t>
      </w:r>
    </w:p>
    <w:p w14:paraId="22AD7E16" w14:textId="77777777" w:rsidR="00EF5B27" w:rsidRDefault="00EF5B27">
      <w:pPr>
        <w:pStyle w:val="BodyText"/>
        <w:spacing w:before="8"/>
        <w:rPr>
          <w:sz w:val="19"/>
        </w:rPr>
      </w:pPr>
    </w:p>
    <w:p w14:paraId="74CACE75" w14:textId="77777777" w:rsidR="00EF5B27" w:rsidRDefault="00000000">
      <w:pPr>
        <w:ind w:left="2608"/>
        <w:rPr>
          <w:b/>
          <w:sz w:val="28"/>
        </w:rPr>
      </w:pPr>
      <w:r>
        <w:rPr>
          <w:b/>
          <w:color w:val="F99F2A"/>
          <w:sz w:val="28"/>
        </w:rPr>
        <w:t>Changes to the MRF</w:t>
      </w:r>
    </w:p>
    <w:p w14:paraId="235F4EC0" w14:textId="77777777" w:rsidR="00EF5B27" w:rsidRDefault="00000000">
      <w:pPr>
        <w:pStyle w:val="BodyText"/>
        <w:spacing w:before="222"/>
        <w:ind w:left="2608"/>
      </w:pPr>
      <w:r>
        <w:rPr>
          <w:color w:val="4D4D4F"/>
        </w:rPr>
        <w:t>No changes have been adopted since the MRF was published in 2015.</w:t>
      </w:r>
    </w:p>
    <w:p w14:paraId="1A5CD320" w14:textId="77777777" w:rsidR="00EF5B27" w:rsidRDefault="00EF5B27">
      <w:pPr>
        <w:pStyle w:val="BodyText"/>
        <w:rPr>
          <w:sz w:val="27"/>
        </w:rPr>
      </w:pPr>
    </w:p>
    <w:p w14:paraId="761C2F04" w14:textId="77777777" w:rsidR="00EF5B27" w:rsidRDefault="00000000">
      <w:pPr>
        <w:pStyle w:val="Heading2"/>
        <w:spacing w:before="1"/>
      </w:pPr>
      <w:r>
        <w:rPr>
          <w:color w:val="F99F2A"/>
        </w:rPr>
        <w:t>MNES 7: Southern Brown Bandicoot</w:t>
      </w:r>
    </w:p>
    <w:p w14:paraId="324495BB" w14:textId="77777777" w:rsidR="00EF5B27" w:rsidRDefault="00000000">
      <w:pPr>
        <w:spacing w:before="308"/>
        <w:ind w:left="2608"/>
        <w:rPr>
          <w:b/>
          <w:sz w:val="11"/>
        </w:rPr>
      </w:pPr>
      <w:r>
        <w:rPr>
          <w:b/>
          <w:color w:val="4D4D4F"/>
          <w:w w:val="105"/>
        </w:rPr>
        <w:t xml:space="preserve">The following is an extract from the </w:t>
      </w:r>
      <w:r>
        <w:rPr>
          <w:b/>
          <w:color w:val="4D4D4F"/>
          <w:w w:val="105"/>
          <w:sz w:val="20"/>
        </w:rPr>
        <w:t>Outcomes Report 2014-2020.</w:t>
      </w:r>
      <w:r>
        <w:rPr>
          <w:b/>
          <w:color w:val="4D4D4F"/>
          <w:w w:val="105"/>
          <w:position w:val="7"/>
          <w:sz w:val="11"/>
        </w:rPr>
        <w:t>328</w:t>
      </w:r>
    </w:p>
    <w:p w14:paraId="0C30E25B" w14:textId="77777777" w:rsidR="00EF5B27" w:rsidRDefault="00000000">
      <w:pPr>
        <w:pStyle w:val="Heading3"/>
        <w:spacing w:before="241"/>
      </w:pPr>
      <w:r>
        <w:rPr>
          <w:color w:val="F99F2A"/>
        </w:rPr>
        <w:t>Site selection</w:t>
      </w:r>
    </w:p>
    <w:p w14:paraId="4A68721C" w14:textId="77777777" w:rsidR="00EF5B27" w:rsidRDefault="00000000">
      <w:pPr>
        <w:pStyle w:val="BodyText"/>
        <w:spacing w:before="221" w:line="254" w:lineRule="auto"/>
        <w:ind w:left="2608"/>
      </w:pPr>
      <w:r>
        <w:rPr>
          <w:color w:val="4D4D4F"/>
        </w:rPr>
        <w:t>A GIS layer was created to define likely bandicoot habitat within the management area defined in (DEPI 2014),</w:t>
      </w:r>
      <w:r>
        <w:rPr>
          <w:color w:val="4D4D4F"/>
          <w:position w:val="7"/>
          <w:sz w:val="11"/>
        </w:rPr>
        <w:t xml:space="preserve">329 </w:t>
      </w:r>
      <w:r>
        <w:rPr>
          <w:color w:val="4D4D4F"/>
        </w:rPr>
        <w:t>by combining:</w:t>
      </w:r>
    </w:p>
    <w:p w14:paraId="23EE66BA" w14:textId="77777777" w:rsidR="00EF5B27" w:rsidRDefault="00000000">
      <w:pPr>
        <w:pStyle w:val="ListParagraph"/>
        <w:numPr>
          <w:ilvl w:val="0"/>
          <w:numId w:val="34"/>
        </w:numPr>
        <w:tabs>
          <w:tab w:val="left" w:pos="2779"/>
        </w:tabs>
        <w:spacing w:before="116" w:line="254" w:lineRule="auto"/>
        <w:ind w:right="135"/>
        <w:jc w:val="both"/>
        <w:rPr>
          <w:sz w:val="20"/>
        </w:rPr>
      </w:pPr>
      <w:r>
        <w:rPr>
          <w:color w:val="4D4D4F"/>
          <w:sz w:val="20"/>
        </w:rPr>
        <w:t>the</w:t>
      </w:r>
      <w:r>
        <w:rPr>
          <w:color w:val="4D4D4F"/>
          <w:spacing w:val="-4"/>
          <w:sz w:val="20"/>
        </w:rPr>
        <w:t xml:space="preserve"> </w:t>
      </w:r>
      <w:r>
        <w:rPr>
          <w:color w:val="4D4D4F"/>
          <w:sz w:val="20"/>
        </w:rPr>
        <w:t>area</w:t>
      </w:r>
      <w:r>
        <w:rPr>
          <w:color w:val="4D4D4F"/>
          <w:spacing w:val="-4"/>
          <w:sz w:val="20"/>
        </w:rPr>
        <w:t xml:space="preserve"> </w:t>
      </w:r>
      <w:r>
        <w:rPr>
          <w:color w:val="4D4D4F"/>
          <w:sz w:val="20"/>
        </w:rPr>
        <w:t>predicted</w:t>
      </w:r>
      <w:r>
        <w:rPr>
          <w:color w:val="4D4D4F"/>
          <w:spacing w:val="-4"/>
          <w:sz w:val="20"/>
        </w:rPr>
        <w:t xml:space="preserve"> </w:t>
      </w:r>
      <w:r>
        <w:rPr>
          <w:color w:val="4D4D4F"/>
          <w:sz w:val="20"/>
        </w:rPr>
        <w:t>to</w:t>
      </w:r>
      <w:r>
        <w:rPr>
          <w:color w:val="4D4D4F"/>
          <w:spacing w:val="-5"/>
          <w:sz w:val="20"/>
        </w:rPr>
        <w:t xml:space="preserve"> </w:t>
      </w:r>
      <w:r>
        <w:rPr>
          <w:color w:val="4D4D4F"/>
          <w:sz w:val="20"/>
        </w:rPr>
        <w:t>have</w:t>
      </w:r>
      <w:r>
        <w:rPr>
          <w:color w:val="4D4D4F"/>
          <w:spacing w:val="-4"/>
          <w:sz w:val="20"/>
        </w:rPr>
        <w:t xml:space="preserve"> </w:t>
      </w:r>
      <w:r>
        <w:rPr>
          <w:color w:val="4D4D4F"/>
          <w:sz w:val="20"/>
        </w:rPr>
        <w:t>a</w:t>
      </w:r>
      <w:r>
        <w:rPr>
          <w:color w:val="4D4D4F"/>
          <w:spacing w:val="-4"/>
          <w:sz w:val="20"/>
        </w:rPr>
        <w:t xml:space="preserve"> </w:t>
      </w:r>
      <w:r>
        <w:rPr>
          <w:color w:val="4D4D4F"/>
          <w:spacing w:val="-3"/>
          <w:sz w:val="20"/>
        </w:rPr>
        <w:t>&gt;56%</w:t>
      </w:r>
      <w:r>
        <w:rPr>
          <w:color w:val="4D4D4F"/>
          <w:spacing w:val="-4"/>
          <w:sz w:val="20"/>
        </w:rPr>
        <w:t xml:space="preserve"> likelihood </w:t>
      </w:r>
      <w:r>
        <w:rPr>
          <w:color w:val="4D4D4F"/>
          <w:sz w:val="20"/>
        </w:rPr>
        <w:t>of</w:t>
      </w:r>
      <w:r>
        <w:rPr>
          <w:color w:val="4D4D4F"/>
          <w:spacing w:val="-4"/>
          <w:sz w:val="20"/>
        </w:rPr>
        <w:t xml:space="preserve"> </w:t>
      </w:r>
      <w:r>
        <w:rPr>
          <w:color w:val="4D4D4F"/>
          <w:sz w:val="20"/>
        </w:rPr>
        <w:t>Southern</w:t>
      </w:r>
      <w:r>
        <w:rPr>
          <w:color w:val="4D4D4F"/>
          <w:spacing w:val="-4"/>
          <w:sz w:val="20"/>
        </w:rPr>
        <w:t xml:space="preserve"> </w:t>
      </w:r>
      <w:r>
        <w:rPr>
          <w:color w:val="4D4D4F"/>
          <w:sz w:val="20"/>
        </w:rPr>
        <w:t>Brown</w:t>
      </w:r>
      <w:r>
        <w:rPr>
          <w:color w:val="4D4D4F"/>
          <w:spacing w:val="-4"/>
          <w:sz w:val="20"/>
        </w:rPr>
        <w:t xml:space="preserve"> </w:t>
      </w:r>
      <w:r>
        <w:rPr>
          <w:color w:val="4D4D4F"/>
          <w:spacing w:val="-2"/>
          <w:sz w:val="20"/>
        </w:rPr>
        <w:t>Bandicoot</w:t>
      </w:r>
      <w:r>
        <w:rPr>
          <w:color w:val="4D4D4F"/>
          <w:spacing w:val="-4"/>
          <w:sz w:val="20"/>
        </w:rPr>
        <w:t xml:space="preserve"> </w:t>
      </w:r>
      <w:r>
        <w:rPr>
          <w:color w:val="4D4D4F"/>
          <w:sz w:val="20"/>
        </w:rPr>
        <w:t xml:space="preserve">occurrence by the </w:t>
      </w:r>
      <w:r>
        <w:rPr>
          <w:color w:val="4D4D4F"/>
          <w:spacing w:val="-3"/>
          <w:sz w:val="20"/>
        </w:rPr>
        <w:t xml:space="preserve">DELWP habitat distribution </w:t>
      </w:r>
      <w:r>
        <w:rPr>
          <w:color w:val="4D4D4F"/>
          <w:sz w:val="20"/>
        </w:rPr>
        <w:t xml:space="preserve">model and recent (post 2000) Victorian Biodiversity Atlas records of Southern Brown Bandicoot buffered by </w:t>
      </w:r>
      <w:r>
        <w:rPr>
          <w:color w:val="4D4D4F"/>
          <w:spacing w:val="-3"/>
          <w:sz w:val="20"/>
        </w:rPr>
        <w:t>150</w:t>
      </w:r>
      <w:r>
        <w:rPr>
          <w:color w:val="4D4D4F"/>
          <w:spacing w:val="1"/>
          <w:sz w:val="20"/>
        </w:rPr>
        <w:t xml:space="preserve"> </w:t>
      </w:r>
      <w:r>
        <w:rPr>
          <w:color w:val="4D4D4F"/>
          <w:sz w:val="20"/>
        </w:rPr>
        <w:t>m</w:t>
      </w:r>
    </w:p>
    <w:p w14:paraId="0BE7BD26" w14:textId="77777777" w:rsidR="00EF5B27" w:rsidRDefault="00000000">
      <w:pPr>
        <w:pStyle w:val="ListParagraph"/>
        <w:numPr>
          <w:ilvl w:val="0"/>
          <w:numId w:val="34"/>
        </w:numPr>
        <w:tabs>
          <w:tab w:val="left" w:pos="2779"/>
        </w:tabs>
        <w:spacing w:before="117" w:line="254" w:lineRule="auto"/>
        <w:ind w:right="146"/>
        <w:jc w:val="both"/>
        <w:rPr>
          <w:sz w:val="20"/>
        </w:rPr>
      </w:pPr>
      <w:r>
        <w:rPr>
          <w:color w:val="4D4D4F"/>
          <w:sz w:val="20"/>
        </w:rPr>
        <w:t xml:space="preserve">One hundred sampling locations were randomly positioned within the resulting area with the constraint that all sites must be separated by at least </w:t>
      </w:r>
      <w:r>
        <w:rPr>
          <w:color w:val="4D4D4F"/>
          <w:spacing w:val="2"/>
          <w:sz w:val="20"/>
        </w:rPr>
        <w:t xml:space="preserve">500 </w:t>
      </w:r>
      <w:r>
        <w:rPr>
          <w:color w:val="4D4D4F"/>
          <w:sz w:val="20"/>
        </w:rPr>
        <w:t xml:space="preserve">m. This </w:t>
      </w:r>
      <w:r>
        <w:rPr>
          <w:color w:val="4D4D4F"/>
          <w:spacing w:val="-3"/>
          <w:sz w:val="20"/>
        </w:rPr>
        <w:t xml:space="preserve">minimum </w:t>
      </w:r>
      <w:r>
        <w:rPr>
          <w:color w:val="4D4D4F"/>
          <w:sz w:val="20"/>
        </w:rPr>
        <w:t>distance was chosen to limit the likelihood of an individual bandicoot being detected across multiple</w:t>
      </w:r>
      <w:r>
        <w:rPr>
          <w:color w:val="4D4D4F"/>
          <w:spacing w:val="8"/>
          <w:sz w:val="20"/>
        </w:rPr>
        <w:t xml:space="preserve"> </w:t>
      </w:r>
      <w:r>
        <w:rPr>
          <w:color w:val="4D4D4F"/>
          <w:sz w:val="20"/>
        </w:rPr>
        <w:t>sites.</w:t>
      </w:r>
    </w:p>
    <w:p w14:paraId="54500A88" w14:textId="77777777" w:rsidR="00EF5B27" w:rsidRDefault="00EF5B27">
      <w:pPr>
        <w:pStyle w:val="BodyText"/>
      </w:pPr>
    </w:p>
    <w:p w14:paraId="1DB0F84C" w14:textId="77777777" w:rsidR="00EF5B27" w:rsidRDefault="00EF5B27">
      <w:pPr>
        <w:pStyle w:val="BodyText"/>
      </w:pPr>
    </w:p>
    <w:p w14:paraId="29323CE0" w14:textId="77777777" w:rsidR="00EF5B27" w:rsidRDefault="00EF5B27">
      <w:pPr>
        <w:pStyle w:val="BodyText"/>
      </w:pPr>
    </w:p>
    <w:p w14:paraId="075618DF" w14:textId="77777777" w:rsidR="00EF5B27" w:rsidRDefault="00EF5B27">
      <w:pPr>
        <w:pStyle w:val="BodyText"/>
      </w:pPr>
    </w:p>
    <w:p w14:paraId="0D04DF08" w14:textId="77777777" w:rsidR="00EF5B27" w:rsidRDefault="00000000">
      <w:pPr>
        <w:pStyle w:val="BodyText"/>
        <w:spacing w:before="11"/>
        <w:rPr>
          <w:sz w:val="15"/>
        </w:rPr>
      </w:pPr>
      <w:r>
        <w:pict w14:anchorId="6F968895">
          <v:line id="_x0000_s2172" style="position:absolute;z-index:251767296;mso-wrap-distance-left:0;mso-wrap-distance-right:0;mso-position-horizontal-relative:page" from="181.4pt,11.9pt" to="538.6pt,11.9pt" strokecolor="#4d4d4f" strokeweight=".5pt">
            <w10:wrap type="topAndBottom" anchorx="page"/>
          </v:line>
        </w:pict>
      </w:r>
    </w:p>
    <w:p w14:paraId="0EECFC58" w14:textId="77777777" w:rsidR="00EF5B27" w:rsidRDefault="00000000">
      <w:pPr>
        <w:pStyle w:val="ListParagraph"/>
        <w:numPr>
          <w:ilvl w:val="0"/>
          <w:numId w:val="4"/>
        </w:numPr>
        <w:tabs>
          <w:tab w:val="left" w:pos="2836"/>
        </w:tabs>
        <w:spacing w:before="88" w:line="230" w:lineRule="auto"/>
        <w:ind w:right="112"/>
        <w:rPr>
          <w:sz w:val="12"/>
        </w:rPr>
      </w:pPr>
      <w:r>
        <w:rPr>
          <w:color w:val="4D4D4F"/>
          <w:spacing w:val="2"/>
          <w:sz w:val="12"/>
        </w:rPr>
        <w:t xml:space="preserve">Bruce </w:t>
      </w:r>
      <w:r>
        <w:rPr>
          <w:color w:val="4D4D4F"/>
          <w:sz w:val="12"/>
        </w:rPr>
        <w:t xml:space="preserve">M, Batpurev </w:t>
      </w:r>
      <w:r>
        <w:rPr>
          <w:color w:val="4D4D4F"/>
          <w:spacing w:val="2"/>
          <w:sz w:val="12"/>
        </w:rPr>
        <w:t xml:space="preserve">K, </w:t>
      </w:r>
      <w:r>
        <w:rPr>
          <w:color w:val="4D4D4F"/>
          <w:sz w:val="12"/>
        </w:rPr>
        <w:t xml:space="preserve">Bryant D, Sinclair S and Kohout M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DELWP, Heidelberg,</w:t>
      </w:r>
      <w:r>
        <w:rPr>
          <w:color w:val="4D4D4F"/>
          <w:spacing w:val="8"/>
          <w:sz w:val="12"/>
        </w:rPr>
        <w:t xml:space="preserve"> </w:t>
      </w:r>
      <w:r>
        <w:rPr>
          <w:color w:val="4D4D4F"/>
          <w:sz w:val="12"/>
        </w:rPr>
        <w:t>Victoria.</w:t>
      </w:r>
    </w:p>
    <w:p w14:paraId="3499658E" w14:textId="77777777" w:rsidR="00EF5B27" w:rsidRDefault="00000000">
      <w:pPr>
        <w:pStyle w:val="ListParagraph"/>
        <w:numPr>
          <w:ilvl w:val="0"/>
          <w:numId w:val="4"/>
        </w:numPr>
        <w:tabs>
          <w:tab w:val="left" w:pos="2836"/>
        </w:tabs>
        <w:spacing w:line="141" w:lineRule="exact"/>
        <w:rPr>
          <w:sz w:val="12"/>
        </w:rPr>
      </w:pPr>
      <w:r>
        <w:rPr>
          <w:color w:val="4D4D4F"/>
          <w:sz w:val="12"/>
        </w:rPr>
        <w:t>DEPI</w:t>
      </w:r>
      <w:r>
        <w:rPr>
          <w:color w:val="4D4D4F"/>
          <w:spacing w:val="4"/>
          <w:sz w:val="12"/>
        </w:rPr>
        <w:t xml:space="preserve"> </w:t>
      </w:r>
      <w:r>
        <w:rPr>
          <w:color w:val="4D4D4F"/>
          <w:sz w:val="12"/>
        </w:rPr>
        <w:t>2014,</w:t>
      </w:r>
      <w:r>
        <w:rPr>
          <w:color w:val="4D4D4F"/>
          <w:spacing w:val="4"/>
          <w:sz w:val="12"/>
        </w:rPr>
        <w:t xml:space="preserve"> </w:t>
      </w:r>
      <w:r>
        <w:rPr>
          <w:color w:val="4D4D4F"/>
          <w:spacing w:val="2"/>
          <w:sz w:val="12"/>
        </w:rPr>
        <w:t>‘Sub-regional</w:t>
      </w:r>
      <w:r>
        <w:rPr>
          <w:color w:val="4D4D4F"/>
          <w:spacing w:val="4"/>
          <w:sz w:val="12"/>
        </w:rPr>
        <w:t xml:space="preserve"> </w:t>
      </w:r>
      <w:r>
        <w:rPr>
          <w:color w:val="4D4D4F"/>
          <w:sz w:val="12"/>
        </w:rPr>
        <w:t>Species</w:t>
      </w:r>
      <w:r>
        <w:rPr>
          <w:color w:val="4D4D4F"/>
          <w:spacing w:val="4"/>
          <w:sz w:val="12"/>
        </w:rPr>
        <w:t xml:space="preserve"> </w:t>
      </w:r>
      <w:r>
        <w:rPr>
          <w:color w:val="4D4D4F"/>
          <w:sz w:val="12"/>
        </w:rPr>
        <w:t>Strategy</w:t>
      </w:r>
      <w:r>
        <w:rPr>
          <w:color w:val="4D4D4F"/>
          <w:spacing w:val="4"/>
          <w:sz w:val="12"/>
        </w:rPr>
        <w:t xml:space="preserve"> </w:t>
      </w:r>
      <w:r>
        <w:rPr>
          <w:color w:val="4D4D4F"/>
          <w:sz w:val="12"/>
        </w:rPr>
        <w:t>for</w:t>
      </w:r>
      <w:r>
        <w:rPr>
          <w:color w:val="4D4D4F"/>
          <w:spacing w:val="4"/>
          <w:sz w:val="12"/>
        </w:rPr>
        <w:t xml:space="preserve"> </w:t>
      </w:r>
      <w:r>
        <w:rPr>
          <w:color w:val="4D4D4F"/>
          <w:sz w:val="12"/>
        </w:rPr>
        <w:t>the</w:t>
      </w:r>
      <w:r>
        <w:rPr>
          <w:color w:val="4D4D4F"/>
          <w:spacing w:val="4"/>
          <w:sz w:val="12"/>
        </w:rPr>
        <w:t xml:space="preserve"> </w:t>
      </w:r>
      <w:r>
        <w:rPr>
          <w:color w:val="4D4D4F"/>
          <w:sz w:val="12"/>
        </w:rPr>
        <w:t>Southern</w:t>
      </w:r>
      <w:r>
        <w:rPr>
          <w:color w:val="4D4D4F"/>
          <w:spacing w:val="4"/>
          <w:sz w:val="12"/>
        </w:rPr>
        <w:t xml:space="preserve"> </w:t>
      </w:r>
      <w:r>
        <w:rPr>
          <w:color w:val="4D4D4F"/>
          <w:spacing w:val="2"/>
          <w:sz w:val="12"/>
        </w:rPr>
        <w:t>Brown</w:t>
      </w:r>
      <w:r>
        <w:rPr>
          <w:color w:val="4D4D4F"/>
          <w:spacing w:val="4"/>
          <w:sz w:val="12"/>
        </w:rPr>
        <w:t xml:space="preserve"> </w:t>
      </w:r>
      <w:r>
        <w:rPr>
          <w:color w:val="4D4D4F"/>
          <w:sz w:val="12"/>
        </w:rPr>
        <w:t>Bandicoot.’</w:t>
      </w:r>
      <w:r>
        <w:rPr>
          <w:color w:val="4D4D4F"/>
          <w:spacing w:val="5"/>
          <w:sz w:val="12"/>
        </w:rPr>
        <w:t xml:space="preserve"> </w:t>
      </w:r>
      <w:r>
        <w:rPr>
          <w:color w:val="4D4D4F"/>
          <w:sz w:val="12"/>
        </w:rPr>
        <w:t>East</w:t>
      </w:r>
      <w:r>
        <w:rPr>
          <w:color w:val="4D4D4F"/>
          <w:spacing w:val="4"/>
          <w:sz w:val="12"/>
        </w:rPr>
        <w:t xml:space="preserve"> </w:t>
      </w:r>
      <w:r>
        <w:rPr>
          <w:color w:val="4D4D4F"/>
          <w:sz w:val="12"/>
        </w:rPr>
        <w:t>Melbourne,</w:t>
      </w:r>
      <w:r>
        <w:rPr>
          <w:color w:val="4D4D4F"/>
          <w:spacing w:val="4"/>
          <w:sz w:val="12"/>
        </w:rPr>
        <w:t xml:space="preserve"> </w:t>
      </w:r>
      <w:r>
        <w:rPr>
          <w:color w:val="4D4D4F"/>
          <w:sz w:val="12"/>
        </w:rPr>
        <w:t>Victoria.</w:t>
      </w:r>
    </w:p>
    <w:p w14:paraId="7BD9CB27" w14:textId="77777777" w:rsidR="00EF5B27" w:rsidRDefault="00EF5B27">
      <w:pPr>
        <w:spacing w:line="141" w:lineRule="exact"/>
        <w:rPr>
          <w:sz w:val="12"/>
        </w:rPr>
        <w:sectPr w:rsidR="00EF5B27">
          <w:footerReference w:type="default" r:id="rId184"/>
          <w:pgSz w:w="11910" w:h="16840"/>
          <w:pgMar w:top="1080" w:right="1020" w:bottom="860" w:left="1020" w:header="537" w:footer="678" w:gutter="0"/>
          <w:cols w:space="720"/>
        </w:sectPr>
      </w:pPr>
    </w:p>
    <w:p w14:paraId="6D539DD0" w14:textId="77777777" w:rsidR="00EF5B27" w:rsidRDefault="00000000">
      <w:pPr>
        <w:pStyle w:val="BodyText"/>
      </w:pPr>
      <w:r>
        <w:lastRenderedPageBreak/>
        <w:pict w14:anchorId="7D02B44F">
          <v:group id="_x0000_s2164" style="position:absolute;margin-left:587.05pt;margin-top:183.4pt;width:8.25pt;height:153.1pt;z-index:251804160;mso-position-horizontal-relative:page;mso-position-vertical-relative:page" coordorigin="11741,3668" coordsize="165,3062">
            <v:shape id="_x0000_s2171" style="position:absolute;left:11741;top:3668;width:165;height:561" coordorigin="11741,3668" coordsize="165,561" path="m11906,3668r-165,l11741,4228r165,-18l11906,3668xe" fillcolor="#00aed9" stroked="f">
              <v:path arrowok="t"/>
            </v:shape>
            <v:shape id="_x0000_s2170" style="position:absolute;left:11741;top:4118;width:165;height:425" coordorigin="11741,4118" coordsize="165,425" path="m11906,4118r-165,14l11741,4531r165,12l11906,4118xe" fillcolor="#047ebc" stroked="f">
              <v:path arrowok="t"/>
            </v:shape>
            <v:shape id="_x0000_s2169" type="#_x0000_t75" style="position:absolute;left:11741;top:4355;width:165;height:587">
              <v:imagedata r:id="rId42" o:title=""/>
            </v:shape>
            <v:shape id="_x0000_s2168" style="position:absolute;left:11741;top:5343;width:165;height:536" coordorigin="11741,5343" coordsize="165,536" path="m11741,5343r,535l11906,5872r,-525l11741,5343xe" fillcolor="#f36a2e" stroked="f">
              <v:path arrowok="t"/>
            </v:shape>
            <v:shape id="_x0000_s2167" style="position:absolute;left:11741;top:4925;width:165;height:501" coordorigin="11741,4926" coordsize="165,501" path="m11741,4926r,500l11906,5426r,-485l11741,4926xe" fillcolor="#49783f" stroked="f">
              <v:path arrowok="t"/>
            </v:shape>
            <v:shape id="_x0000_s2166" style="position:absolute;left:11741;top:5781;width:165;height:268" coordorigin="11741,5782" coordsize="165,268" path="m11906,5782r-165,8l11741,6039r165,10l11906,5782xe" fillcolor="#f99f2a" stroked="f">
              <v:path arrowok="t"/>
            </v:shape>
            <v:shape id="_x0000_s2165" style="position:absolute;left:11741;top:6023;width:165;height:707" coordorigin="11741,6023" coordsize="165,707" path="m11741,6023r,706l11906,6729r,-690l11741,6023xe" fillcolor="#ef412c" stroked="f">
              <v:path arrowok="t"/>
            </v:shape>
            <w10:wrap anchorx="page" anchory="page"/>
          </v:group>
        </w:pict>
      </w:r>
    </w:p>
    <w:p w14:paraId="3BDA1E23" w14:textId="77777777" w:rsidR="00EF5B27" w:rsidRDefault="00EF5B27">
      <w:pPr>
        <w:pStyle w:val="BodyText"/>
      </w:pPr>
    </w:p>
    <w:p w14:paraId="39C2FC02" w14:textId="77777777" w:rsidR="00EF5B27" w:rsidRDefault="00EF5B27">
      <w:pPr>
        <w:pStyle w:val="BodyText"/>
      </w:pPr>
    </w:p>
    <w:p w14:paraId="084AA3A9" w14:textId="77777777" w:rsidR="00EF5B27" w:rsidRDefault="00EF5B27">
      <w:pPr>
        <w:pStyle w:val="BodyText"/>
        <w:spacing w:before="4"/>
        <w:rPr>
          <w:sz w:val="25"/>
        </w:rPr>
      </w:pPr>
    </w:p>
    <w:p w14:paraId="32753016" w14:textId="77777777" w:rsidR="00EF5B27" w:rsidRDefault="00000000">
      <w:pPr>
        <w:pStyle w:val="ListParagraph"/>
        <w:numPr>
          <w:ilvl w:val="0"/>
          <w:numId w:val="34"/>
        </w:numPr>
        <w:tabs>
          <w:tab w:val="left" w:pos="2779"/>
        </w:tabs>
        <w:spacing w:before="100" w:line="254" w:lineRule="auto"/>
        <w:ind w:right="258"/>
        <w:rPr>
          <w:sz w:val="20"/>
        </w:rPr>
      </w:pPr>
      <w:r>
        <w:rPr>
          <w:color w:val="4D4D4F"/>
          <w:sz w:val="20"/>
        </w:rPr>
        <w:t xml:space="preserve">These randomly generated sites were examined </w:t>
      </w:r>
      <w:r>
        <w:rPr>
          <w:color w:val="4D4D4F"/>
          <w:spacing w:val="-3"/>
          <w:sz w:val="20"/>
        </w:rPr>
        <w:t xml:space="preserve">initially </w:t>
      </w:r>
      <w:r>
        <w:rPr>
          <w:color w:val="4D4D4F"/>
          <w:sz w:val="20"/>
        </w:rPr>
        <w:t>on aerial photographs and then in the field, to</w:t>
      </w:r>
      <w:r>
        <w:rPr>
          <w:color w:val="4D4D4F"/>
          <w:spacing w:val="16"/>
          <w:sz w:val="20"/>
        </w:rPr>
        <w:t xml:space="preserve"> </w:t>
      </w:r>
      <w:r>
        <w:rPr>
          <w:color w:val="4D4D4F"/>
          <w:sz w:val="20"/>
        </w:rPr>
        <w:t>ensure:</w:t>
      </w:r>
    </w:p>
    <w:p w14:paraId="54C27D7B" w14:textId="77777777" w:rsidR="00EF5B27" w:rsidRDefault="00000000">
      <w:pPr>
        <w:pStyle w:val="ListParagraph"/>
        <w:numPr>
          <w:ilvl w:val="1"/>
          <w:numId w:val="34"/>
        </w:numPr>
        <w:tabs>
          <w:tab w:val="left" w:pos="3329"/>
        </w:tabs>
        <w:spacing w:before="116"/>
        <w:rPr>
          <w:sz w:val="20"/>
        </w:rPr>
      </w:pPr>
      <w:r>
        <w:rPr>
          <w:color w:val="4D4D4F"/>
          <w:sz w:val="20"/>
        </w:rPr>
        <w:t>the security of cameras at the</w:t>
      </w:r>
      <w:r>
        <w:rPr>
          <w:color w:val="4D4D4F"/>
          <w:spacing w:val="25"/>
          <w:sz w:val="20"/>
        </w:rPr>
        <w:t xml:space="preserve"> </w:t>
      </w:r>
      <w:r>
        <w:rPr>
          <w:color w:val="4D4D4F"/>
          <w:sz w:val="20"/>
        </w:rPr>
        <w:t>site</w:t>
      </w:r>
    </w:p>
    <w:p w14:paraId="4454A815" w14:textId="77777777" w:rsidR="00EF5B27" w:rsidRDefault="00000000">
      <w:pPr>
        <w:pStyle w:val="ListParagraph"/>
        <w:numPr>
          <w:ilvl w:val="1"/>
          <w:numId w:val="34"/>
        </w:numPr>
        <w:tabs>
          <w:tab w:val="left" w:pos="3329"/>
        </w:tabs>
        <w:spacing w:before="130"/>
        <w:rPr>
          <w:sz w:val="20"/>
        </w:rPr>
      </w:pPr>
      <w:r>
        <w:rPr>
          <w:color w:val="4D4D4F"/>
          <w:sz w:val="20"/>
        </w:rPr>
        <w:t>the presence of native vegetation (e.g. not in the middle of a</w:t>
      </w:r>
      <w:r>
        <w:rPr>
          <w:color w:val="4D4D4F"/>
          <w:spacing w:val="13"/>
          <w:sz w:val="20"/>
        </w:rPr>
        <w:t xml:space="preserve"> </w:t>
      </w:r>
      <w:r>
        <w:rPr>
          <w:color w:val="4D4D4F"/>
          <w:sz w:val="20"/>
        </w:rPr>
        <w:t>paddock)</w:t>
      </w:r>
    </w:p>
    <w:p w14:paraId="7EC103A5" w14:textId="77777777" w:rsidR="00EF5B27" w:rsidRDefault="00000000">
      <w:pPr>
        <w:pStyle w:val="ListParagraph"/>
        <w:numPr>
          <w:ilvl w:val="1"/>
          <w:numId w:val="34"/>
        </w:numPr>
        <w:tabs>
          <w:tab w:val="left" w:pos="3329"/>
        </w:tabs>
        <w:spacing w:before="129" w:line="254" w:lineRule="auto"/>
        <w:ind w:right="296"/>
        <w:rPr>
          <w:sz w:val="20"/>
        </w:rPr>
      </w:pPr>
      <w:r>
        <w:rPr>
          <w:color w:val="4D4D4F"/>
          <w:sz w:val="20"/>
        </w:rPr>
        <w:t>the presence of sufficiently homogenous habitat to allow two cameras to be installed 50 m</w:t>
      </w:r>
      <w:r>
        <w:rPr>
          <w:color w:val="4D4D4F"/>
          <w:spacing w:val="12"/>
          <w:sz w:val="20"/>
        </w:rPr>
        <w:t xml:space="preserve"> </w:t>
      </w:r>
      <w:r>
        <w:rPr>
          <w:color w:val="4D4D4F"/>
          <w:sz w:val="20"/>
        </w:rPr>
        <w:t>apart</w:t>
      </w:r>
    </w:p>
    <w:p w14:paraId="4DB5BEDC" w14:textId="77777777" w:rsidR="00EF5B27" w:rsidRDefault="00000000">
      <w:pPr>
        <w:pStyle w:val="ListParagraph"/>
        <w:numPr>
          <w:ilvl w:val="1"/>
          <w:numId w:val="34"/>
        </w:numPr>
        <w:tabs>
          <w:tab w:val="left" w:pos="3329"/>
        </w:tabs>
        <w:spacing w:before="116" w:line="254" w:lineRule="auto"/>
        <w:ind w:right="237"/>
        <w:rPr>
          <w:sz w:val="20"/>
        </w:rPr>
      </w:pPr>
      <w:r>
        <w:rPr>
          <w:color w:val="4D4D4F"/>
          <w:w w:val="105"/>
          <w:sz w:val="20"/>
        </w:rPr>
        <w:t>site</w:t>
      </w:r>
      <w:r>
        <w:rPr>
          <w:color w:val="4D4D4F"/>
          <w:spacing w:val="-13"/>
          <w:w w:val="105"/>
          <w:sz w:val="20"/>
        </w:rPr>
        <w:t xml:space="preserve"> </w:t>
      </w:r>
      <w:r>
        <w:rPr>
          <w:color w:val="4D4D4F"/>
          <w:w w:val="105"/>
          <w:sz w:val="20"/>
        </w:rPr>
        <w:t>access</w:t>
      </w:r>
      <w:r>
        <w:rPr>
          <w:color w:val="4D4D4F"/>
          <w:spacing w:val="-12"/>
          <w:w w:val="105"/>
          <w:sz w:val="20"/>
        </w:rPr>
        <w:t xml:space="preserve"> </w:t>
      </w:r>
      <w:r>
        <w:rPr>
          <w:color w:val="4D4D4F"/>
          <w:w w:val="105"/>
          <w:sz w:val="20"/>
        </w:rPr>
        <w:t>was</w:t>
      </w:r>
      <w:r>
        <w:rPr>
          <w:color w:val="4D4D4F"/>
          <w:spacing w:val="-12"/>
          <w:w w:val="105"/>
          <w:sz w:val="20"/>
        </w:rPr>
        <w:t xml:space="preserve"> </w:t>
      </w:r>
      <w:r>
        <w:rPr>
          <w:color w:val="4D4D4F"/>
          <w:w w:val="105"/>
          <w:sz w:val="20"/>
        </w:rPr>
        <w:t>safe</w:t>
      </w:r>
      <w:r>
        <w:rPr>
          <w:color w:val="4D4D4F"/>
          <w:spacing w:val="-12"/>
          <w:w w:val="105"/>
          <w:sz w:val="20"/>
        </w:rPr>
        <w:t xml:space="preserve"> </w:t>
      </w:r>
      <w:r>
        <w:rPr>
          <w:color w:val="4D4D4F"/>
          <w:w w:val="105"/>
          <w:sz w:val="20"/>
        </w:rPr>
        <w:t>and</w:t>
      </w:r>
      <w:r>
        <w:rPr>
          <w:color w:val="4D4D4F"/>
          <w:spacing w:val="-12"/>
          <w:w w:val="105"/>
          <w:sz w:val="20"/>
        </w:rPr>
        <w:t xml:space="preserve"> </w:t>
      </w:r>
      <w:r>
        <w:rPr>
          <w:color w:val="4D4D4F"/>
          <w:w w:val="105"/>
          <w:sz w:val="20"/>
        </w:rPr>
        <w:t>permissible</w:t>
      </w:r>
      <w:r>
        <w:rPr>
          <w:color w:val="4D4D4F"/>
          <w:spacing w:val="-12"/>
          <w:w w:val="105"/>
          <w:sz w:val="20"/>
        </w:rPr>
        <w:t xml:space="preserve"> </w:t>
      </w:r>
      <w:r>
        <w:rPr>
          <w:color w:val="4D4D4F"/>
          <w:w w:val="105"/>
          <w:sz w:val="20"/>
        </w:rPr>
        <w:t>(permission</w:t>
      </w:r>
      <w:r>
        <w:rPr>
          <w:color w:val="4D4D4F"/>
          <w:spacing w:val="-13"/>
          <w:w w:val="105"/>
          <w:sz w:val="20"/>
        </w:rPr>
        <w:t xml:space="preserve"> </w:t>
      </w:r>
      <w:r>
        <w:rPr>
          <w:color w:val="4D4D4F"/>
          <w:w w:val="105"/>
          <w:sz w:val="20"/>
        </w:rPr>
        <w:t>was</w:t>
      </w:r>
      <w:r>
        <w:rPr>
          <w:color w:val="4D4D4F"/>
          <w:spacing w:val="-12"/>
          <w:w w:val="105"/>
          <w:sz w:val="20"/>
        </w:rPr>
        <w:t xml:space="preserve"> </w:t>
      </w:r>
      <w:r>
        <w:rPr>
          <w:color w:val="4D4D4F"/>
          <w:w w:val="105"/>
          <w:sz w:val="20"/>
        </w:rPr>
        <w:t>arranged</w:t>
      </w:r>
      <w:r>
        <w:rPr>
          <w:color w:val="4D4D4F"/>
          <w:spacing w:val="-12"/>
          <w:w w:val="105"/>
          <w:sz w:val="20"/>
        </w:rPr>
        <w:t xml:space="preserve"> </w:t>
      </w:r>
      <w:r>
        <w:rPr>
          <w:color w:val="4D4D4F"/>
          <w:w w:val="105"/>
          <w:sz w:val="20"/>
        </w:rPr>
        <w:t>with</w:t>
      </w:r>
      <w:r>
        <w:rPr>
          <w:color w:val="4D4D4F"/>
          <w:spacing w:val="-12"/>
          <w:w w:val="105"/>
          <w:sz w:val="20"/>
        </w:rPr>
        <w:t xml:space="preserve"> </w:t>
      </w:r>
      <w:r>
        <w:rPr>
          <w:color w:val="4D4D4F"/>
          <w:w w:val="105"/>
          <w:sz w:val="20"/>
        </w:rPr>
        <w:t>private landholders where</w:t>
      </w:r>
      <w:r>
        <w:rPr>
          <w:color w:val="4D4D4F"/>
          <w:spacing w:val="1"/>
          <w:w w:val="105"/>
          <w:sz w:val="20"/>
        </w:rPr>
        <w:t xml:space="preserve"> </w:t>
      </w:r>
      <w:r>
        <w:rPr>
          <w:color w:val="4D4D4F"/>
          <w:w w:val="105"/>
          <w:sz w:val="20"/>
        </w:rPr>
        <w:t>necessary).</w:t>
      </w:r>
    </w:p>
    <w:p w14:paraId="5067E9BE" w14:textId="77777777" w:rsidR="00EF5B27" w:rsidRDefault="00000000">
      <w:pPr>
        <w:pStyle w:val="BodyText"/>
        <w:spacing w:before="115" w:line="254" w:lineRule="auto"/>
        <w:ind w:left="2608" w:right="221"/>
      </w:pPr>
      <w:r>
        <w:rPr>
          <w:color w:val="4D4D4F"/>
        </w:rPr>
        <w:t>In cases where a randomly generated site did not meet these criteria, the site was moved to a new location within 150 m of the randomised sites. In a minority of cases no nearby site could be found and entirely new sites were created in the field, based on drive-by assessments of habitat not guided by the randomised points.</w:t>
      </w:r>
    </w:p>
    <w:p w14:paraId="3D7F0679" w14:textId="77777777" w:rsidR="00EF5B27" w:rsidRDefault="00EF5B27">
      <w:pPr>
        <w:pStyle w:val="BodyText"/>
        <w:spacing w:before="4"/>
        <w:rPr>
          <w:sz w:val="19"/>
        </w:rPr>
      </w:pPr>
    </w:p>
    <w:p w14:paraId="4D2831BD" w14:textId="77777777" w:rsidR="00EF5B27" w:rsidRDefault="00000000">
      <w:pPr>
        <w:pStyle w:val="Heading3"/>
      </w:pPr>
      <w:r>
        <w:rPr>
          <w:color w:val="F99F2A"/>
        </w:rPr>
        <w:t>Camera setup</w:t>
      </w:r>
    </w:p>
    <w:p w14:paraId="1A08FB13" w14:textId="77777777" w:rsidR="00EF5B27" w:rsidRDefault="00000000">
      <w:pPr>
        <w:pStyle w:val="BodyText"/>
        <w:spacing w:before="221" w:line="254" w:lineRule="auto"/>
        <w:ind w:left="2608" w:right="308"/>
      </w:pPr>
      <w:r>
        <w:rPr>
          <w:color w:val="4D4D4F"/>
        </w:rPr>
        <w:t xml:space="preserve">Cameras were deployed in four separate periods with one deployment per site in </w:t>
      </w:r>
      <w:r>
        <w:rPr>
          <w:color w:val="4D4D4F"/>
          <w:spacing w:val="-4"/>
        </w:rPr>
        <w:t xml:space="preserve">2019 </w:t>
      </w:r>
      <w:r>
        <w:rPr>
          <w:color w:val="4D4D4F"/>
        </w:rPr>
        <w:t xml:space="preserve">(February, March/April, May or </w:t>
      </w:r>
      <w:r>
        <w:rPr>
          <w:color w:val="4D4D4F"/>
          <w:spacing w:val="-4"/>
        </w:rPr>
        <w:t xml:space="preserve">June/July). Two </w:t>
      </w:r>
      <w:r>
        <w:rPr>
          <w:color w:val="4D4D4F"/>
        </w:rPr>
        <w:t xml:space="preserve">cameras were deployed at each site, each a different model (Reconyx HP2X Hyperfire 2 Professional Covert IR and Reconyx HC 600). Cameras were deployed between February and July </w:t>
      </w:r>
      <w:r>
        <w:rPr>
          <w:color w:val="4D4D4F"/>
          <w:spacing w:val="-4"/>
        </w:rPr>
        <w:t xml:space="preserve">2019 </w:t>
      </w:r>
      <w:r>
        <w:rPr>
          <w:color w:val="4D4D4F"/>
        </w:rPr>
        <w:t xml:space="preserve">in four separate deployments. All cameras were deployed for a </w:t>
      </w:r>
      <w:r>
        <w:rPr>
          <w:color w:val="4D4D4F"/>
          <w:spacing w:val="-3"/>
        </w:rPr>
        <w:t xml:space="preserve">minimum </w:t>
      </w:r>
      <w:r>
        <w:rPr>
          <w:color w:val="4D4D4F"/>
        </w:rPr>
        <w:t>of 26</w:t>
      </w:r>
      <w:r>
        <w:rPr>
          <w:color w:val="4D4D4F"/>
          <w:spacing w:val="8"/>
        </w:rPr>
        <w:t xml:space="preserve"> </w:t>
      </w:r>
      <w:r>
        <w:rPr>
          <w:color w:val="4D4D4F"/>
        </w:rPr>
        <w:t>days.</w:t>
      </w:r>
    </w:p>
    <w:p w14:paraId="6594D274" w14:textId="77777777" w:rsidR="00EF5B27" w:rsidRDefault="00000000">
      <w:pPr>
        <w:pStyle w:val="BodyText"/>
        <w:spacing w:before="119" w:line="254" w:lineRule="auto"/>
        <w:ind w:left="2608"/>
      </w:pPr>
      <w:r>
        <w:rPr>
          <w:color w:val="4D4D4F"/>
          <w:spacing w:val="-3"/>
        </w:rPr>
        <w:t xml:space="preserve">Cameras were </w:t>
      </w:r>
      <w:r>
        <w:rPr>
          <w:color w:val="4D4D4F"/>
          <w:spacing w:val="-4"/>
        </w:rPr>
        <w:t xml:space="preserve">attached </w:t>
      </w:r>
      <w:r>
        <w:rPr>
          <w:color w:val="4D4D4F"/>
          <w:spacing w:val="-3"/>
        </w:rPr>
        <w:t xml:space="preserve">to the </w:t>
      </w:r>
      <w:r>
        <w:rPr>
          <w:color w:val="4D4D4F"/>
          <w:spacing w:val="-4"/>
        </w:rPr>
        <w:t xml:space="preserve">nearest </w:t>
      </w:r>
      <w:r>
        <w:rPr>
          <w:color w:val="4D4D4F"/>
          <w:spacing w:val="-5"/>
        </w:rPr>
        <w:t xml:space="preserve">suitable </w:t>
      </w:r>
      <w:r>
        <w:rPr>
          <w:color w:val="4D4D4F"/>
          <w:spacing w:val="-3"/>
        </w:rPr>
        <w:t xml:space="preserve">tree, </w:t>
      </w:r>
      <w:r>
        <w:rPr>
          <w:color w:val="4D4D4F"/>
          <w:spacing w:val="-5"/>
        </w:rPr>
        <w:t xml:space="preserve">approximately </w:t>
      </w:r>
      <w:r>
        <w:rPr>
          <w:color w:val="4D4D4F"/>
          <w:spacing w:val="-3"/>
        </w:rPr>
        <w:t xml:space="preserve">0.5 </w:t>
      </w:r>
      <w:r>
        <w:rPr>
          <w:color w:val="4D4D4F"/>
        </w:rPr>
        <w:t xml:space="preserve">m </w:t>
      </w:r>
      <w:r>
        <w:rPr>
          <w:color w:val="4D4D4F"/>
          <w:spacing w:val="-3"/>
        </w:rPr>
        <w:t xml:space="preserve">from the </w:t>
      </w:r>
      <w:r>
        <w:rPr>
          <w:color w:val="4D4D4F"/>
          <w:spacing w:val="-4"/>
        </w:rPr>
        <w:t xml:space="preserve">ground </w:t>
      </w:r>
      <w:r>
        <w:rPr>
          <w:color w:val="4D4D4F"/>
          <w:spacing w:val="-3"/>
        </w:rPr>
        <w:t xml:space="preserve">(using </w:t>
      </w:r>
      <w:r>
        <w:rPr>
          <w:color w:val="4D4D4F"/>
        </w:rPr>
        <w:t>a cable lock to prevent theft). Cameras were pointed at a bait station, located</w:t>
      </w:r>
    </w:p>
    <w:p w14:paraId="195AA215" w14:textId="77777777" w:rsidR="00EF5B27" w:rsidRDefault="00000000">
      <w:pPr>
        <w:pStyle w:val="BodyText"/>
        <w:spacing w:before="3" w:line="254" w:lineRule="auto"/>
        <w:ind w:left="2608" w:right="152"/>
      </w:pPr>
      <w:r>
        <w:rPr>
          <w:color w:val="4D4D4F"/>
        </w:rPr>
        <w:t xml:space="preserve">~2.5 m from the camera </w:t>
      </w:r>
      <w:r>
        <w:rPr>
          <w:color w:val="4D4D4F"/>
          <w:spacing w:val="-3"/>
        </w:rPr>
        <w:t xml:space="preserve">(the </w:t>
      </w:r>
      <w:r>
        <w:rPr>
          <w:color w:val="4D4D4F"/>
        </w:rPr>
        <w:t xml:space="preserve">exact distance and angle is determined by the camera’s detection field, dependent on the camera model and noted in the manufacturer’s instructions). Bait was secured in an inaccessible plastic </w:t>
      </w:r>
      <w:r>
        <w:rPr>
          <w:color w:val="4D4D4F"/>
          <w:spacing w:val="-3"/>
        </w:rPr>
        <w:t xml:space="preserve">container.  </w:t>
      </w:r>
      <w:r>
        <w:rPr>
          <w:color w:val="4D4D4F"/>
        </w:rPr>
        <w:t xml:space="preserve">It consisted of a   </w:t>
      </w:r>
      <w:r>
        <w:rPr>
          <w:color w:val="4D4D4F"/>
          <w:spacing w:val="-6"/>
        </w:rPr>
        <w:t xml:space="preserve">5:1:2 </w:t>
      </w:r>
      <w:r>
        <w:rPr>
          <w:color w:val="4D4D4F"/>
        </w:rPr>
        <w:t xml:space="preserve">mixture of rolled oats, golden syrup and peanut butter with 20 ml/kg of truffle oil. </w:t>
      </w:r>
      <w:r>
        <w:rPr>
          <w:color w:val="4D4D4F"/>
          <w:spacing w:val="-7"/>
        </w:rPr>
        <w:t xml:space="preserve">To </w:t>
      </w:r>
      <w:r>
        <w:rPr>
          <w:color w:val="4D4D4F"/>
          <w:spacing w:val="-3"/>
        </w:rPr>
        <w:t xml:space="preserve">minimise </w:t>
      </w:r>
      <w:r>
        <w:rPr>
          <w:color w:val="4D4D4F"/>
        </w:rPr>
        <w:t>false triggers due to air movement and temperature fluctuation, cameras were directed south and downslope, where possible. The area between the camera  and bait station and 1 m behind the bait station was cleared of vegetation and</w:t>
      </w:r>
      <w:r>
        <w:rPr>
          <w:color w:val="4D4D4F"/>
          <w:spacing w:val="12"/>
        </w:rPr>
        <w:t xml:space="preserve"> </w:t>
      </w:r>
      <w:r>
        <w:rPr>
          <w:color w:val="4D4D4F"/>
        </w:rPr>
        <w:t>debris.</w:t>
      </w:r>
    </w:p>
    <w:p w14:paraId="4508AF5C" w14:textId="77777777" w:rsidR="00EF5B27" w:rsidRDefault="00000000">
      <w:pPr>
        <w:pStyle w:val="BodyText"/>
        <w:spacing w:before="122" w:line="254" w:lineRule="auto"/>
        <w:ind w:left="2608" w:right="308"/>
      </w:pPr>
      <w:r>
        <w:rPr>
          <w:color w:val="4D4D4F"/>
        </w:rPr>
        <w:t xml:space="preserve">All cameras were pre-programmed as follows: five  pictures  per  </w:t>
      </w:r>
      <w:r>
        <w:rPr>
          <w:color w:val="4D4D4F"/>
          <w:spacing w:val="-3"/>
        </w:rPr>
        <w:t xml:space="preserve">trigger,  </w:t>
      </w:r>
      <w:r>
        <w:rPr>
          <w:color w:val="4D4D4F"/>
        </w:rPr>
        <w:t xml:space="preserve">Rapidfire, NO Delay, Sensitivity HIGH, </w:t>
      </w:r>
      <w:r>
        <w:rPr>
          <w:color w:val="4D4D4F"/>
          <w:spacing w:val="-5"/>
        </w:rPr>
        <w:t xml:space="preserve">DAY </w:t>
      </w:r>
      <w:r>
        <w:rPr>
          <w:color w:val="4D4D4F"/>
        </w:rPr>
        <w:t xml:space="preserve">&amp; </w:t>
      </w:r>
      <w:r>
        <w:rPr>
          <w:color w:val="4D4D4F"/>
          <w:spacing w:val="-3"/>
        </w:rPr>
        <w:t xml:space="preserve">NIGHT. </w:t>
      </w:r>
      <w:r>
        <w:rPr>
          <w:color w:val="4D4D4F"/>
        </w:rPr>
        <w:t xml:space="preserve">PIR </w:t>
      </w:r>
      <w:r>
        <w:rPr>
          <w:color w:val="4D4D4F"/>
          <w:spacing w:val="3"/>
        </w:rPr>
        <w:t xml:space="preserve">TYPE </w:t>
      </w:r>
      <w:r>
        <w:rPr>
          <w:color w:val="4D4D4F"/>
        </w:rPr>
        <w:t xml:space="preserve">for HP2X cameras was set to HF Legacy so as the motion detector would function the same as that of the Reconyx HC </w:t>
      </w:r>
      <w:r>
        <w:rPr>
          <w:color w:val="4D4D4F"/>
          <w:spacing w:val="2"/>
        </w:rPr>
        <w:t>600</w:t>
      </w:r>
      <w:r>
        <w:rPr>
          <w:color w:val="4D4D4F"/>
          <w:spacing w:val="4"/>
        </w:rPr>
        <w:t xml:space="preserve"> </w:t>
      </w:r>
      <w:r>
        <w:rPr>
          <w:color w:val="4D4D4F"/>
        </w:rPr>
        <w:t>cameras.</w:t>
      </w:r>
    </w:p>
    <w:p w14:paraId="793C2AF2" w14:textId="77777777" w:rsidR="00EF5B27" w:rsidRDefault="00000000">
      <w:pPr>
        <w:pStyle w:val="BodyText"/>
        <w:spacing w:before="118" w:line="254" w:lineRule="auto"/>
        <w:ind w:left="2608" w:right="102"/>
      </w:pPr>
      <w:r>
        <w:rPr>
          <w:color w:val="4D4D4F"/>
        </w:rPr>
        <w:t>Although the cameras were deployed at 100 sites, only 98 sites yielded data for analysis in 2019; a wildfire in March 2019 (Bunyip complex) destroyed both cameras at two sites and no data could be recovered. These sites should remain as part of the monitoring program in future years. One camera was stolen, but this site was still included in the analysis because the other camera at this site operated without incident.</w:t>
      </w:r>
    </w:p>
    <w:p w14:paraId="14486D8B" w14:textId="77777777" w:rsidR="00EF5B27" w:rsidRDefault="00EF5B27">
      <w:pPr>
        <w:pStyle w:val="BodyText"/>
        <w:spacing w:before="5"/>
        <w:rPr>
          <w:sz w:val="19"/>
        </w:rPr>
      </w:pPr>
    </w:p>
    <w:p w14:paraId="399F2911" w14:textId="77777777" w:rsidR="00EF5B27" w:rsidRDefault="00000000">
      <w:pPr>
        <w:pStyle w:val="Heading3"/>
      </w:pPr>
      <w:r>
        <w:rPr>
          <w:color w:val="F99F2A"/>
        </w:rPr>
        <w:t>Data analysis</w:t>
      </w:r>
    </w:p>
    <w:p w14:paraId="29F7342A" w14:textId="77777777" w:rsidR="00EF5B27" w:rsidRDefault="00000000">
      <w:pPr>
        <w:pStyle w:val="BodyText"/>
        <w:spacing w:before="221" w:line="254" w:lineRule="auto"/>
        <w:ind w:left="2608" w:right="151"/>
      </w:pPr>
      <w:r>
        <w:rPr>
          <w:color w:val="4D4D4F"/>
        </w:rPr>
        <w:t>For Southern Brown Bandicoot, the occupancy is estimated using an occupancy model.</w:t>
      </w:r>
      <w:r>
        <w:rPr>
          <w:color w:val="4D4D4F"/>
          <w:position w:val="7"/>
          <w:sz w:val="11"/>
        </w:rPr>
        <w:t xml:space="preserve">330 </w:t>
      </w:r>
      <w:r>
        <w:rPr>
          <w:color w:val="4D4D4F"/>
        </w:rPr>
        <w:t>Occupancy modelling also provides an estimate of uncertainty (expressed as confidence intervals) which is used to assess whether the KPI has been met.</w:t>
      </w:r>
    </w:p>
    <w:p w14:paraId="0B98F193" w14:textId="77777777" w:rsidR="00EF5B27" w:rsidRDefault="00EF5B27">
      <w:pPr>
        <w:pStyle w:val="BodyText"/>
      </w:pPr>
    </w:p>
    <w:p w14:paraId="05783E5E" w14:textId="77777777" w:rsidR="00EF5B27" w:rsidRDefault="00000000">
      <w:pPr>
        <w:pStyle w:val="BodyText"/>
        <w:spacing w:before="5"/>
        <w:rPr>
          <w:sz w:val="12"/>
        </w:rPr>
      </w:pPr>
      <w:r>
        <w:pict w14:anchorId="6BCC4863">
          <v:line id="_x0000_s2163" style="position:absolute;z-index:251769344;mso-wrap-distance-left:0;mso-wrap-distance-right:0;mso-position-horizontal-relative:page" from="181.4pt,9.8pt" to="538.6pt,9.8pt" strokecolor="#4d4d4f" strokeweight=".5pt">
            <w10:wrap type="topAndBottom" anchorx="page"/>
          </v:line>
        </w:pict>
      </w:r>
    </w:p>
    <w:p w14:paraId="70FD44D5" w14:textId="77777777" w:rsidR="00EF5B27" w:rsidRDefault="00000000">
      <w:pPr>
        <w:pStyle w:val="ListParagraph"/>
        <w:numPr>
          <w:ilvl w:val="0"/>
          <w:numId w:val="4"/>
        </w:numPr>
        <w:tabs>
          <w:tab w:val="left" w:pos="2836"/>
        </w:tabs>
        <w:spacing w:before="88" w:line="230" w:lineRule="auto"/>
        <w:ind w:right="111"/>
        <w:rPr>
          <w:sz w:val="12"/>
        </w:rPr>
      </w:pPr>
      <w:r>
        <w:rPr>
          <w:color w:val="4D4D4F"/>
          <w:sz w:val="12"/>
        </w:rPr>
        <w:t xml:space="preserve">MacKenzie DI, Nichols JD, Royle JA, Pollock, KH and Bailey L (Eds.) </w:t>
      </w:r>
      <w:r>
        <w:rPr>
          <w:color w:val="4D4D4F"/>
          <w:spacing w:val="2"/>
          <w:sz w:val="12"/>
        </w:rPr>
        <w:t xml:space="preserve">2005, ‘Occupancy </w:t>
      </w:r>
      <w:r>
        <w:rPr>
          <w:color w:val="4D4D4F"/>
          <w:sz w:val="12"/>
        </w:rPr>
        <w:t xml:space="preserve">Estimation and Modelling: Inferring Patterns and Dynamics of Species </w:t>
      </w:r>
      <w:r>
        <w:rPr>
          <w:color w:val="4D4D4F"/>
          <w:spacing w:val="2"/>
          <w:sz w:val="12"/>
        </w:rPr>
        <w:t xml:space="preserve">Occurrence.’ </w:t>
      </w:r>
      <w:r>
        <w:rPr>
          <w:color w:val="4D4D4F"/>
          <w:sz w:val="12"/>
        </w:rPr>
        <w:t xml:space="preserve">Academic </w:t>
      </w:r>
      <w:r>
        <w:rPr>
          <w:color w:val="4D4D4F"/>
          <w:spacing w:val="2"/>
          <w:sz w:val="12"/>
        </w:rPr>
        <w:t xml:space="preserve">Press, </w:t>
      </w:r>
      <w:r>
        <w:rPr>
          <w:color w:val="4D4D4F"/>
          <w:sz w:val="12"/>
        </w:rPr>
        <w:t>Cambridge,</w:t>
      </w:r>
      <w:r>
        <w:rPr>
          <w:color w:val="4D4D4F"/>
          <w:spacing w:val="19"/>
          <w:sz w:val="12"/>
        </w:rPr>
        <w:t xml:space="preserve"> </w:t>
      </w:r>
      <w:r>
        <w:rPr>
          <w:color w:val="4D4D4F"/>
          <w:sz w:val="12"/>
        </w:rPr>
        <w:t>Massachusetts.</w:t>
      </w:r>
    </w:p>
    <w:p w14:paraId="3F46916C"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1145A165" w14:textId="77777777" w:rsidR="00EF5B27" w:rsidRDefault="00000000">
      <w:pPr>
        <w:pStyle w:val="BodyText"/>
      </w:pPr>
      <w:r>
        <w:lastRenderedPageBreak/>
        <w:pict w14:anchorId="1701EA64">
          <v:group id="_x0000_s2155" style="position:absolute;margin-left:587.05pt;margin-top:183.4pt;width:8.25pt;height:153.1pt;z-index:251805184;mso-position-horizontal-relative:page;mso-position-vertical-relative:page" coordorigin="11741,3668" coordsize="165,3062">
            <v:shape id="_x0000_s2162" style="position:absolute;left:11741;top:3668;width:165;height:561" coordorigin="11741,3668" coordsize="165,561" path="m11906,3668r-165,l11741,4228r165,-18l11906,3668xe" fillcolor="#00aed9" stroked="f">
              <v:path arrowok="t"/>
            </v:shape>
            <v:shape id="_x0000_s2161" style="position:absolute;left:11741;top:4118;width:165;height:425" coordorigin="11741,4118" coordsize="165,425" path="m11906,4118r-165,14l11741,4531r165,12l11906,4118xe" fillcolor="#047ebc" stroked="f">
              <v:path arrowok="t"/>
            </v:shape>
            <v:shape id="_x0000_s2160" type="#_x0000_t75" style="position:absolute;left:11741;top:4355;width:165;height:587">
              <v:imagedata r:id="rId42" o:title=""/>
            </v:shape>
            <v:shape id="_x0000_s2159" style="position:absolute;left:11741;top:5343;width:165;height:536" coordorigin="11741,5343" coordsize="165,536" path="m11741,5343r,535l11906,5872r,-525l11741,5343xe" fillcolor="#f36a2e" stroked="f">
              <v:path arrowok="t"/>
            </v:shape>
            <v:shape id="_x0000_s2158" style="position:absolute;left:11741;top:4925;width:165;height:501" coordorigin="11741,4926" coordsize="165,501" path="m11741,4926r,500l11906,5426r,-485l11741,4926xe" fillcolor="#49783f" stroked="f">
              <v:path arrowok="t"/>
            </v:shape>
            <v:shape id="_x0000_s2157" style="position:absolute;left:11741;top:5781;width:165;height:268" coordorigin="11741,5782" coordsize="165,268" path="m11906,5782r-165,8l11741,6039r165,10l11906,5782xe" fillcolor="#f99f2a" stroked="f">
              <v:path arrowok="t"/>
            </v:shape>
            <v:shape id="_x0000_s2156" style="position:absolute;left:11741;top:6023;width:165;height:707" coordorigin="11741,6023" coordsize="165,707" path="m11741,6023r,706l11906,6729r,-690l11741,6023xe" fillcolor="#ef412c" stroked="f">
              <v:path arrowok="t"/>
            </v:shape>
            <w10:wrap anchorx="page" anchory="page"/>
          </v:group>
        </w:pict>
      </w:r>
    </w:p>
    <w:p w14:paraId="374D6C45" w14:textId="77777777" w:rsidR="00EF5B27" w:rsidRDefault="00EF5B27">
      <w:pPr>
        <w:pStyle w:val="BodyText"/>
      </w:pPr>
    </w:p>
    <w:p w14:paraId="303F5EF8" w14:textId="77777777" w:rsidR="00EF5B27" w:rsidRDefault="00EF5B27">
      <w:pPr>
        <w:pStyle w:val="BodyText"/>
      </w:pPr>
    </w:p>
    <w:p w14:paraId="0A2B2A03" w14:textId="77777777" w:rsidR="00EF5B27" w:rsidRDefault="00EF5B27">
      <w:pPr>
        <w:pStyle w:val="BodyText"/>
        <w:spacing w:before="4"/>
        <w:rPr>
          <w:sz w:val="25"/>
        </w:rPr>
      </w:pPr>
    </w:p>
    <w:p w14:paraId="34F7675E" w14:textId="77777777" w:rsidR="00EF5B27" w:rsidRDefault="00000000">
      <w:pPr>
        <w:pStyle w:val="BodyText"/>
        <w:spacing w:before="100" w:line="254" w:lineRule="auto"/>
        <w:ind w:left="113" w:right="465"/>
        <w:rPr>
          <w:sz w:val="11"/>
        </w:rPr>
      </w:pPr>
      <w:bookmarkStart w:id="135" w:name="_bookmark85"/>
      <w:bookmarkEnd w:id="135"/>
      <w:r>
        <w:rPr>
          <w:color w:val="4D4D4F"/>
        </w:rPr>
        <w:t>All animals captured on photos were identified by staff experienced in small mammal identification. All photos capturing Southern Brown Bandicoot were tagged to be included in occupancy analysis. Two parameters are estimated in this analysis, the probability of occupancy (the probability of the true presence at a site) and the probability of detection (the probability of detecting a species if it is present at a site). This type of modelling accounts for imperfect detection (where the probability of detection is &lt;1). This approach is commonly used to analyse data obtained from remote camera surveys.</w:t>
      </w:r>
      <w:r>
        <w:rPr>
          <w:color w:val="4D4D4F"/>
          <w:position w:val="7"/>
          <w:sz w:val="11"/>
        </w:rPr>
        <w:t>331</w:t>
      </w:r>
    </w:p>
    <w:p w14:paraId="1245566C" w14:textId="77777777" w:rsidR="00EF5B27" w:rsidRDefault="00000000">
      <w:pPr>
        <w:pStyle w:val="BodyText"/>
        <w:spacing w:before="121" w:line="254" w:lineRule="auto"/>
        <w:ind w:left="113" w:right="292" w:hanging="1"/>
      </w:pPr>
      <w:r>
        <w:rPr>
          <w:color w:val="4D4D4F"/>
        </w:rPr>
        <w:t>Detection histories were compiled in R using the package camtrapR.</w:t>
      </w:r>
      <w:r>
        <w:rPr>
          <w:color w:val="4D4D4F"/>
          <w:position w:val="7"/>
          <w:sz w:val="11"/>
        </w:rPr>
        <w:t xml:space="preserve">332 </w:t>
      </w:r>
      <w:r>
        <w:rPr>
          <w:color w:val="4D4D4F"/>
        </w:rPr>
        <w:t xml:space="preserve">Data from both cameras at a site were combined to produce a single </w:t>
      </w:r>
      <w:r>
        <w:rPr>
          <w:color w:val="4D4D4F"/>
          <w:spacing w:val="-3"/>
        </w:rPr>
        <w:t xml:space="preserve">daily </w:t>
      </w:r>
      <w:r>
        <w:rPr>
          <w:color w:val="4D4D4F"/>
        </w:rPr>
        <w:t xml:space="preserve">detection history for each site. For each 24-hour period </w:t>
      </w:r>
      <w:r>
        <w:rPr>
          <w:color w:val="4D4D4F"/>
          <w:spacing w:val="-3"/>
        </w:rPr>
        <w:t xml:space="preserve">(midnight </w:t>
      </w:r>
      <w:r>
        <w:rPr>
          <w:color w:val="4D4D4F"/>
        </w:rPr>
        <w:t xml:space="preserve">to </w:t>
      </w:r>
      <w:r>
        <w:rPr>
          <w:color w:val="4D4D4F"/>
          <w:spacing w:val="-3"/>
        </w:rPr>
        <w:t xml:space="preserve">midnight)   </w:t>
      </w:r>
      <w:r>
        <w:rPr>
          <w:color w:val="4D4D4F"/>
        </w:rPr>
        <w:t xml:space="preserve">at each site data was coded as either 1 (Southern Brown Bandicoot detected) or 0 (Southern Brown Bandicoot not detected). Detection histories were produced for 26 consecutive days as this was the </w:t>
      </w:r>
      <w:r>
        <w:rPr>
          <w:color w:val="4D4D4F"/>
          <w:spacing w:val="-3"/>
        </w:rPr>
        <w:t xml:space="preserve">minimum </w:t>
      </w:r>
      <w:r>
        <w:rPr>
          <w:color w:val="4D4D4F"/>
        </w:rPr>
        <w:t>amount of time that at least one camera operated per</w:t>
      </w:r>
      <w:r>
        <w:rPr>
          <w:color w:val="4D4D4F"/>
          <w:spacing w:val="23"/>
        </w:rPr>
        <w:t xml:space="preserve"> </w:t>
      </w:r>
      <w:r>
        <w:rPr>
          <w:color w:val="4D4D4F"/>
        </w:rPr>
        <w:t>site.</w:t>
      </w:r>
    </w:p>
    <w:p w14:paraId="09111579" w14:textId="77777777" w:rsidR="00EF5B27" w:rsidRDefault="00000000">
      <w:pPr>
        <w:pStyle w:val="BodyText"/>
        <w:spacing w:before="120" w:line="254" w:lineRule="auto"/>
        <w:ind w:left="113" w:right="151"/>
      </w:pPr>
      <w:r>
        <w:rPr>
          <w:color w:val="4D4D4F"/>
        </w:rPr>
        <w:t>Occupancy analysis was conducted in R using the package unmarked.</w:t>
      </w:r>
      <w:r>
        <w:rPr>
          <w:color w:val="4D4D4F"/>
          <w:position w:val="7"/>
          <w:sz w:val="11"/>
        </w:rPr>
        <w:t xml:space="preserve">333 </w:t>
      </w:r>
      <w:r>
        <w:rPr>
          <w:color w:val="4D4D4F"/>
        </w:rPr>
        <w:t>The probability of occupancy and detection was computed for a single season</w:t>
      </w:r>
      <w:r>
        <w:rPr>
          <w:color w:val="4D4D4F"/>
          <w:position w:val="7"/>
          <w:sz w:val="11"/>
        </w:rPr>
        <w:t xml:space="preserve">334 </w:t>
      </w:r>
      <w:r>
        <w:rPr>
          <w:color w:val="4D4D4F"/>
        </w:rPr>
        <w:t>using the “occu” function. Several co-variates were tested for their impact on occupancy and detection (Table 11) The co-variates were habitat type (roadside, reserve or canal side), vegetation type (‘Eucalypt-dominated woodland’ or ‘Treeless scrub and heathland’) and survey month (February, March/April, May or June/July). The best supported model was chosen as having the lowest Akaike information criterion (AIC) value,</w:t>
      </w:r>
      <w:r>
        <w:rPr>
          <w:color w:val="4D4D4F"/>
          <w:position w:val="7"/>
          <w:sz w:val="11"/>
        </w:rPr>
        <w:t xml:space="preserve">335 </w:t>
      </w:r>
      <w:r>
        <w:rPr>
          <w:color w:val="4D4D4F"/>
        </w:rPr>
        <w:t>using the “modSel” function.</w:t>
      </w:r>
    </w:p>
    <w:p w14:paraId="6F718B2F" w14:textId="77777777" w:rsidR="00EF5B27" w:rsidRDefault="00EF5B27">
      <w:pPr>
        <w:pStyle w:val="BodyText"/>
        <w:rPr>
          <w:sz w:val="24"/>
        </w:rPr>
      </w:pPr>
    </w:p>
    <w:p w14:paraId="71F58E2C" w14:textId="77777777" w:rsidR="00EF5B27" w:rsidRDefault="00EF5B27">
      <w:pPr>
        <w:pStyle w:val="BodyText"/>
        <w:spacing w:before="1"/>
        <w:rPr>
          <w:sz w:val="22"/>
        </w:rPr>
      </w:pPr>
    </w:p>
    <w:p w14:paraId="745C10D0" w14:textId="77777777" w:rsidR="00EF5B27" w:rsidRDefault="00000000">
      <w:pPr>
        <w:tabs>
          <w:tab w:val="left" w:pos="8977"/>
        </w:tabs>
        <w:spacing w:before="1" w:line="244" w:lineRule="auto"/>
        <w:ind w:left="113" w:right="111"/>
        <w:rPr>
          <w:rFonts w:ascii="Century Gothic" w:hAnsi="Century Gothic"/>
          <w:i/>
          <w:sz w:val="12"/>
        </w:rPr>
      </w:pPr>
      <w:r>
        <w:rPr>
          <w:color w:val="4D4D4F"/>
          <w:sz w:val="16"/>
        </w:rPr>
        <w:t xml:space="preserve">Table </w:t>
      </w:r>
      <w:r>
        <w:rPr>
          <w:color w:val="4D4D4F"/>
          <w:spacing w:val="-8"/>
          <w:sz w:val="16"/>
        </w:rPr>
        <w:t xml:space="preserve">11: </w:t>
      </w:r>
      <w:r>
        <w:rPr>
          <w:color w:val="4D4D4F"/>
          <w:sz w:val="16"/>
        </w:rPr>
        <w:t xml:space="preserve">Details of occupancy model covariates and the AIC values for each model. Models with a lower AIC are considered to have more </w:t>
      </w:r>
      <w:r>
        <w:rPr>
          <w:color w:val="4D4D4F"/>
          <w:spacing w:val="2"/>
          <w:sz w:val="16"/>
        </w:rPr>
        <w:t xml:space="preserve">support. </w:t>
      </w:r>
      <w:r>
        <w:rPr>
          <w:color w:val="4D4D4F"/>
          <w:sz w:val="16"/>
        </w:rPr>
        <w:t>The</w:t>
      </w:r>
      <w:r>
        <w:rPr>
          <w:color w:val="4D4D4F"/>
          <w:spacing w:val="6"/>
          <w:sz w:val="16"/>
        </w:rPr>
        <w:t xml:space="preserve"> </w:t>
      </w:r>
      <w:r>
        <w:rPr>
          <w:color w:val="4D4D4F"/>
          <w:sz w:val="16"/>
        </w:rPr>
        <w:t>column</w:t>
      </w:r>
      <w:r>
        <w:rPr>
          <w:color w:val="4D4D4F"/>
          <w:spacing w:val="6"/>
          <w:sz w:val="16"/>
        </w:rPr>
        <w:t xml:space="preserve"> </w:t>
      </w:r>
      <w:r>
        <w:rPr>
          <w:color w:val="4D4D4F"/>
          <w:spacing w:val="2"/>
          <w:sz w:val="16"/>
        </w:rPr>
        <w:t>ΔAIC</w:t>
      </w:r>
      <w:r>
        <w:rPr>
          <w:color w:val="4D4D4F"/>
          <w:spacing w:val="6"/>
          <w:sz w:val="16"/>
        </w:rPr>
        <w:t xml:space="preserve"> </w:t>
      </w:r>
      <w:r>
        <w:rPr>
          <w:color w:val="4D4D4F"/>
          <w:sz w:val="16"/>
        </w:rPr>
        <w:t>shows</w:t>
      </w:r>
      <w:r>
        <w:rPr>
          <w:color w:val="4D4D4F"/>
          <w:spacing w:val="7"/>
          <w:sz w:val="16"/>
        </w:rPr>
        <w:t xml:space="preserve"> </w:t>
      </w:r>
      <w:r>
        <w:rPr>
          <w:color w:val="4D4D4F"/>
          <w:sz w:val="16"/>
        </w:rPr>
        <w:t>the</w:t>
      </w:r>
      <w:r>
        <w:rPr>
          <w:color w:val="4D4D4F"/>
          <w:spacing w:val="6"/>
          <w:sz w:val="16"/>
        </w:rPr>
        <w:t xml:space="preserve"> </w:t>
      </w:r>
      <w:r>
        <w:rPr>
          <w:color w:val="4D4D4F"/>
          <w:sz w:val="16"/>
        </w:rPr>
        <w:t>difference</w:t>
      </w:r>
      <w:r>
        <w:rPr>
          <w:color w:val="4D4D4F"/>
          <w:spacing w:val="6"/>
          <w:sz w:val="16"/>
        </w:rPr>
        <w:t xml:space="preserve"> </w:t>
      </w:r>
      <w:r>
        <w:rPr>
          <w:color w:val="4D4D4F"/>
          <w:sz w:val="16"/>
        </w:rPr>
        <w:t>in</w:t>
      </w:r>
      <w:r>
        <w:rPr>
          <w:color w:val="4D4D4F"/>
          <w:spacing w:val="7"/>
          <w:sz w:val="16"/>
        </w:rPr>
        <w:t xml:space="preserve"> </w:t>
      </w:r>
      <w:r>
        <w:rPr>
          <w:color w:val="4D4D4F"/>
          <w:sz w:val="16"/>
        </w:rPr>
        <w:t>AIC</w:t>
      </w:r>
      <w:r>
        <w:rPr>
          <w:color w:val="4D4D4F"/>
          <w:spacing w:val="6"/>
          <w:sz w:val="16"/>
        </w:rPr>
        <w:t xml:space="preserve"> </w:t>
      </w:r>
      <w:r>
        <w:rPr>
          <w:color w:val="4D4D4F"/>
          <w:sz w:val="16"/>
        </w:rPr>
        <w:t>from</w:t>
      </w:r>
      <w:r>
        <w:rPr>
          <w:color w:val="4D4D4F"/>
          <w:spacing w:val="6"/>
          <w:sz w:val="16"/>
        </w:rPr>
        <w:t xml:space="preserve"> </w:t>
      </w:r>
      <w:r>
        <w:rPr>
          <w:color w:val="4D4D4F"/>
          <w:sz w:val="16"/>
        </w:rPr>
        <w:t>the</w:t>
      </w:r>
      <w:r>
        <w:rPr>
          <w:color w:val="4D4D4F"/>
          <w:spacing w:val="6"/>
          <w:sz w:val="16"/>
        </w:rPr>
        <w:t xml:space="preserve"> </w:t>
      </w:r>
      <w:r>
        <w:rPr>
          <w:color w:val="4D4D4F"/>
          <w:sz w:val="16"/>
        </w:rPr>
        <w:t>best</w:t>
      </w:r>
      <w:r>
        <w:rPr>
          <w:color w:val="4D4D4F"/>
          <w:spacing w:val="7"/>
          <w:sz w:val="16"/>
        </w:rPr>
        <w:t xml:space="preserve"> </w:t>
      </w:r>
      <w:r>
        <w:rPr>
          <w:color w:val="4D4D4F"/>
          <w:sz w:val="16"/>
        </w:rPr>
        <w:t>supported</w:t>
      </w:r>
      <w:r>
        <w:rPr>
          <w:color w:val="4D4D4F"/>
          <w:spacing w:val="6"/>
          <w:sz w:val="16"/>
        </w:rPr>
        <w:t xml:space="preserve"> </w:t>
      </w:r>
      <w:r>
        <w:rPr>
          <w:color w:val="4D4D4F"/>
          <w:sz w:val="16"/>
        </w:rPr>
        <w:t>model</w:t>
      </w:r>
      <w:r>
        <w:rPr>
          <w:color w:val="4D4D4F"/>
          <w:spacing w:val="6"/>
          <w:sz w:val="16"/>
        </w:rPr>
        <w:t xml:space="preserve"> </w:t>
      </w:r>
      <w:r>
        <w:rPr>
          <w:color w:val="4D4D4F"/>
          <w:sz w:val="16"/>
        </w:rPr>
        <w:t>(model</w:t>
      </w:r>
      <w:r>
        <w:rPr>
          <w:color w:val="4D4D4F"/>
          <w:spacing w:val="7"/>
          <w:sz w:val="16"/>
        </w:rPr>
        <w:t xml:space="preserve"> </w:t>
      </w:r>
      <w:r>
        <w:rPr>
          <w:color w:val="4D4D4F"/>
          <w:spacing w:val="-7"/>
          <w:sz w:val="16"/>
        </w:rPr>
        <w:t>11,</w:t>
      </w:r>
      <w:r>
        <w:rPr>
          <w:color w:val="4D4D4F"/>
          <w:spacing w:val="6"/>
          <w:sz w:val="16"/>
        </w:rPr>
        <w:t xml:space="preserve"> </w:t>
      </w:r>
      <w:r>
        <w:rPr>
          <w:color w:val="4D4D4F"/>
          <w:sz w:val="16"/>
        </w:rPr>
        <w:t>highlighted</w:t>
      </w:r>
      <w:r>
        <w:rPr>
          <w:color w:val="4D4D4F"/>
          <w:spacing w:val="6"/>
          <w:sz w:val="16"/>
        </w:rPr>
        <w:t xml:space="preserve"> </w:t>
      </w:r>
      <w:r>
        <w:rPr>
          <w:color w:val="4D4D4F"/>
          <w:sz w:val="16"/>
        </w:rPr>
        <w:t>in</w:t>
      </w:r>
      <w:r>
        <w:rPr>
          <w:color w:val="4D4D4F"/>
          <w:spacing w:val="7"/>
          <w:sz w:val="16"/>
        </w:rPr>
        <w:t xml:space="preserve"> </w:t>
      </w:r>
      <w:r>
        <w:rPr>
          <w:color w:val="4D4D4F"/>
          <w:sz w:val="16"/>
        </w:rPr>
        <w:t>bold).</w:t>
      </w:r>
      <w:r>
        <w:rPr>
          <w:color w:val="4D4D4F"/>
          <w:sz w:val="16"/>
        </w:rPr>
        <w:tab/>
      </w:r>
      <w:r>
        <w:rPr>
          <w:rFonts w:ascii="Century Gothic" w:hAnsi="Century Gothic"/>
          <w:i/>
          <w:color w:val="4D4D4F"/>
          <w:w w:val="90"/>
          <w:sz w:val="12"/>
        </w:rPr>
        <w:t xml:space="preserve">Source: </w:t>
      </w:r>
      <w:r>
        <w:rPr>
          <w:rFonts w:ascii="Century Gothic" w:hAnsi="Century Gothic"/>
          <w:i/>
          <w:color w:val="4D4D4F"/>
          <w:spacing w:val="-5"/>
          <w:w w:val="90"/>
          <w:sz w:val="12"/>
        </w:rPr>
        <w:t>DELWP</w:t>
      </w:r>
    </w:p>
    <w:p w14:paraId="0AFDEBE2" w14:textId="77777777" w:rsidR="00EF5B27" w:rsidRDefault="00EF5B27">
      <w:pPr>
        <w:pStyle w:val="BodyText"/>
        <w:spacing w:before="1"/>
        <w:rPr>
          <w:rFonts w:ascii="Century Gothic"/>
          <w:i/>
          <w:sz w:val="10"/>
        </w:rPr>
      </w:pPr>
    </w:p>
    <w:tbl>
      <w:tblPr>
        <w:tblW w:w="0" w:type="auto"/>
        <w:tblInd w:w="11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361"/>
        <w:gridCol w:w="2211"/>
        <w:gridCol w:w="2211"/>
        <w:gridCol w:w="1928"/>
        <w:gridCol w:w="1928"/>
      </w:tblGrid>
      <w:tr w:rsidR="00EF5B27" w14:paraId="733B008C" w14:textId="77777777">
        <w:trPr>
          <w:trHeight w:val="391"/>
        </w:trPr>
        <w:tc>
          <w:tcPr>
            <w:tcW w:w="1361" w:type="dxa"/>
            <w:shd w:val="clear" w:color="auto" w:fill="FECC91"/>
          </w:tcPr>
          <w:p w14:paraId="4A4EFB5E" w14:textId="77777777" w:rsidR="00EF5B27" w:rsidRDefault="00000000">
            <w:pPr>
              <w:pStyle w:val="TableParagraph"/>
              <w:spacing w:before="106"/>
              <w:ind w:left="91" w:right="86"/>
              <w:jc w:val="center"/>
              <w:rPr>
                <w:b/>
                <w:sz w:val="16"/>
              </w:rPr>
            </w:pPr>
            <w:r>
              <w:rPr>
                <w:b/>
                <w:sz w:val="16"/>
              </w:rPr>
              <w:t>Model number</w:t>
            </w:r>
          </w:p>
        </w:tc>
        <w:tc>
          <w:tcPr>
            <w:tcW w:w="2211" w:type="dxa"/>
            <w:shd w:val="clear" w:color="auto" w:fill="FECC91"/>
          </w:tcPr>
          <w:p w14:paraId="530E1CD0" w14:textId="77777777" w:rsidR="00EF5B27" w:rsidRDefault="00000000">
            <w:pPr>
              <w:pStyle w:val="TableParagraph"/>
              <w:spacing w:before="106"/>
              <w:ind w:right="730"/>
              <w:jc w:val="right"/>
              <w:rPr>
                <w:b/>
                <w:sz w:val="16"/>
              </w:rPr>
            </w:pPr>
            <w:r>
              <w:rPr>
                <w:b/>
                <w:sz w:val="16"/>
              </w:rPr>
              <w:t>Occupancy</w:t>
            </w:r>
          </w:p>
        </w:tc>
        <w:tc>
          <w:tcPr>
            <w:tcW w:w="2211" w:type="dxa"/>
            <w:shd w:val="clear" w:color="auto" w:fill="FECC91"/>
          </w:tcPr>
          <w:p w14:paraId="5F744555" w14:textId="77777777" w:rsidR="00EF5B27" w:rsidRDefault="00000000">
            <w:pPr>
              <w:pStyle w:val="TableParagraph"/>
              <w:spacing w:before="106"/>
              <w:ind w:left="197" w:right="193"/>
              <w:jc w:val="center"/>
              <w:rPr>
                <w:b/>
                <w:sz w:val="16"/>
              </w:rPr>
            </w:pPr>
            <w:r>
              <w:rPr>
                <w:b/>
                <w:sz w:val="16"/>
              </w:rPr>
              <w:t>Detection</w:t>
            </w:r>
          </w:p>
        </w:tc>
        <w:tc>
          <w:tcPr>
            <w:tcW w:w="1928" w:type="dxa"/>
            <w:shd w:val="clear" w:color="auto" w:fill="FECC91"/>
          </w:tcPr>
          <w:p w14:paraId="0A94ABB1" w14:textId="77777777" w:rsidR="00EF5B27" w:rsidRDefault="00000000">
            <w:pPr>
              <w:pStyle w:val="TableParagraph"/>
              <w:spacing w:before="106"/>
              <w:ind w:right="836"/>
              <w:jc w:val="right"/>
              <w:rPr>
                <w:b/>
                <w:sz w:val="16"/>
              </w:rPr>
            </w:pPr>
            <w:r>
              <w:rPr>
                <w:b/>
                <w:w w:val="105"/>
                <w:sz w:val="16"/>
              </w:rPr>
              <w:t>AIC</w:t>
            </w:r>
          </w:p>
        </w:tc>
        <w:tc>
          <w:tcPr>
            <w:tcW w:w="1928" w:type="dxa"/>
            <w:shd w:val="clear" w:color="auto" w:fill="FECC91"/>
          </w:tcPr>
          <w:p w14:paraId="048B68AA" w14:textId="77777777" w:rsidR="00EF5B27" w:rsidRDefault="00000000">
            <w:pPr>
              <w:pStyle w:val="TableParagraph"/>
              <w:spacing w:before="106"/>
              <w:ind w:left="793"/>
              <w:rPr>
                <w:b/>
                <w:sz w:val="16"/>
              </w:rPr>
            </w:pPr>
            <w:r>
              <w:rPr>
                <w:b/>
                <w:w w:val="105"/>
                <w:sz w:val="16"/>
              </w:rPr>
              <w:t>ΔAIC</w:t>
            </w:r>
          </w:p>
        </w:tc>
      </w:tr>
      <w:tr w:rsidR="00EF5B27" w14:paraId="2BDFE9CC" w14:textId="77777777">
        <w:trPr>
          <w:trHeight w:val="391"/>
        </w:trPr>
        <w:tc>
          <w:tcPr>
            <w:tcW w:w="1361" w:type="dxa"/>
          </w:tcPr>
          <w:p w14:paraId="3990DCF1" w14:textId="77777777" w:rsidR="00EF5B27" w:rsidRDefault="00000000">
            <w:pPr>
              <w:pStyle w:val="TableParagraph"/>
              <w:spacing w:before="117"/>
              <w:ind w:left="4"/>
              <w:jc w:val="center"/>
              <w:rPr>
                <w:sz w:val="14"/>
              </w:rPr>
            </w:pPr>
            <w:r>
              <w:rPr>
                <w:color w:val="4D4D4F"/>
                <w:w w:val="96"/>
                <w:sz w:val="14"/>
              </w:rPr>
              <w:t>1</w:t>
            </w:r>
          </w:p>
        </w:tc>
        <w:tc>
          <w:tcPr>
            <w:tcW w:w="2211" w:type="dxa"/>
          </w:tcPr>
          <w:p w14:paraId="0578DA8D" w14:textId="77777777" w:rsidR="00EF5B27" w:rsidRDefault="00000000">
            <w:pPr>
              <w:pStyle w:val="TableParagraph"/>
              <w:spacing w:before="117"/>
              <w:ind w:right="694"/>
              <w:jc w:val="right"/>
              <w:rPr>
                <w:sz w:val="14"/>
              </w:rPr>
            </w:pPr>
            <w:r>
              <w:rPr>
                <w:color w:val="4D4D4F"/>
                <w:sz w:val="14"/>
              </w:rPr>
              <w:t>No covariates</w:t>
            </w:r>
          </w:p>
        </w:tc>
        <w:tc>
          <w:tcPr>
            <w:tcW w:w="2211" w:type="dxa"/>
          </w:tcPr>
          <w:p w14:paraId="08651444" w14:textId="77777777" w:rsidR="00EF5B27" w:rsidRDefault="00000000">
            <w:pPr>
              <w:pStyle w:val="TableParagraph"/>
              <w:spacing w:before="117"/>
              <w:ind w:left="197" w:right="193"/>
              <w:jc w:val="center"/>
              <w:rPr>
                <w:sz w:val="14"/>
              </w:rPr>
            </w:pPr>
            <w:r>
              <w:rPr>
                <w:color w:val="4D4D4F"/>
                <w:sz w:val="14"/>
              </w:rPr>
              <w:t>No covariates</w:t>
            </w:r>
          </w:p>
        </w:tc>
        <w:tc>
          <w:tcPr>
            <w:tcW w:w="1928" w:type="dxa"/>
          </w:tcPr>
          <w:p w14:paraId="28C71B4B" w14:textId="77777777" w:rsidR="00EF5B27" w:rsidRDefault="00000000">
            <w:pPr>
              <w:pStyle w:val="TableParagraph"/>
              <w:spacing w:before="117"/>
              <w:ind w:right="767"/>
              <w:jc w:val="right"/>
              <w:rPr>
                <w:sz w:val="14"/>
              </w:rPr>
            </w:pPr>
            <w:r>
              <w:rPr>
                <w:color w:val="4D4D4F"/>
                <w:w w:val="95"/>
                <w:sz w:val="14"/>
              </w:rPr>
              <w:t>1523.6</w:t>
            </w:r>
          </w:p>
        </w:tc>
        <w:tc>
          <w:tcPr>
            <w:tcW w:w="1928" w:type="dxa"/>
          </w:tcPr>
          <w:p w14:paraId="796ED4A0" w14:textId="77777777" w:rsidR="00EF5B27" w:rsidRDefault="00000000">
            <w:pPr>
              <w:pStyle w:val="TableParagraph"/>
              <w:spacing w:before="117"/>
              <w:ind w:left="839"/>
              <w:rPr>
                <w:sz w:val="14"/>
              </w:rPr>
            </w:pPr>
            <w:r>
              <w:rPr>
                <w:color w:val="4D4D4F"/>
                <w:sz w:val="14"/>
              </w:rPr>
              <w:t>33.6</w:t>
            </w:r>
          </w:p>
        </w:tc>
      </w:tr>
      <w:tr w:rsidR="00EF5B27" w14:paraId="112BB709" w14:textId="77777777">
        <w:trPr>
          <w:trHeight w:val="391"/>
        </w:trPr>
        <w:tc>
          <w:tcPr>
            <w:tcW w:w="1361" w:type="dxa"/>
          </w:tcPr>
          <w:p w14:paraId="481911B3" w14:textId="77777777" w:rsidR="00EF5B27" w:rsidRDefault="00000000">
            <w:pPr>
              <w:pStyle w:val="TableParagraph"/>
              <w:spacing w:before="117"/>
              <w:ind w:left="4"/>
              <w:jc w:val="center"/>
              <w:rPr>
                <w:sz w:val="14"/>
              </w:rPr>
            </w:pPr>
            <w:r>
              <w:rPr>
                <w:color w:val="4D4D4F"/>
                <w:w w:val="96"/>
                <w:sz w:val="14"/>
              </w:rPr>
              <w:t>2</w:t>
            </w:r>
          </w:p>
        </w:tc>
        <w:tc>
          <w:tcPr>
            <w:tcW w:w="2211" w:type="dxa"/>
          </w:tcPr>
          <w:p w14:paraId="04C8CAA9" w14:textId="77777777" w:rsidR="00EF5B27" w:rsidRDefault="00000000">
            <w:pPr>
              <w:pStyle w:val="TableParagraph"/>
              <w:spacing w:before="117"/>
              <w:ind w:right="739"/>
              <w:jc w:val="right"/>
              <w:rPr>
                <w:sz w:val="14"/>
              </w:rPr>
            </w:pPr>
            <w:r>
              <w:rPr>
                <w:color w:val="4D4D4F"/>
                <w:sz w:val="14"/>
              </w:rPr>
              <w:t>Habitat type</w:t>
            </w:r>
          </w:p>
        </w:tc>
        <w:tc>
          <w:tcPr>
            <w:tcW w:w="2211" w:type="dxa"/>
          </w:tcPr>
          <w:p w14:paraId="26136593" w14:textId="77777777" w:rsidR="00EF5B27" w:rsidRDefault="00000000">
            <w:pPr>
              <w:pStyle w:val="TableParagraph"/>
              <w:spacing w:before="117"/>
              <w:ind w:left="197" w:right="193"/>
              <w:jc w:val="center"/>
              <w:rPr>
                <w:sz w:val="14"/>
              </w:rPr>
            </w:pPr>
            <w:r>
              <w:rPr>
                <w:color w:val="4D4D4F"/>
                <w:sz w:val="14"/>
              </w:rPr>
              <w:t>No covariates</w:t>
            </w:r>
          </w:p>
        </w:tc>
        <w:tc>
          <w:tcPr>
            <w:tcW w:w="1928" w:type="dxa"/>
          </w:tcPr>
          <w:p w14:paraId="512C8A60" w14:textId="77777777" w:rsidR="00EF5B27" w:rsidRDefault="00000000">
            <w:pPr>
              <w:pStyle w:val="TableParagraph"/>
              <w:spacing w:before="117"/>
              <w:ind w:right="781"/>
              <w:jc w:val="right"/>
              <w:rPr>
                <w:sz w:val="14"/>
              </w:rPr>
            </w:pPr>
            <w:r>
              <w:rPr>
                <w:color w:val="4D4D4F"/>
                <w:w w:val="95"/>
                <w:sz w:val="14"/>
              </w:rPr>
              <w:t>1517.3</w:t>
            </w:r>
          </w:p>
        </w:tc>
        <w:tc>
          <w:tcPr>
            <w:tcW w:w="1928" w:type="dxa"/>
          </w:tcPr>
          <w:p w14:paraId="34C553C7" w14:textId="77777777" w:rsidR="00EF5B27" w:rsidRDefault="00000000">
            <w:pPr>
              <w:pStyle w:val="TableParagraph"/>
              <w:spacing w:before="117"/>
              <w:ind w:left="845"/>
              <w:rPr>
                <w:sz w:val="14"/>
              </w:rPr>
            </w:pPr>
            <w:r>
              <w:rPr>
                <w:color w:val="4D4D4F"/>
                <w:sz w:val="14"/>
              </w:rPr>
              <w:t>27.3</w:t>
            </w:r>
          </w:p>
        </w:tc>
      </w:tr>
      <w:tr w:rsidR="00EF5B27" w14:paraId="71EACCA4" w14:textId="77777777">
        <w:trPr>
          <w:trHeight w:val="391"/>
        </w:trPr>
        <w:tc>
          <w:tcPr>
            <w:tcW w:w="1361" w:type="dxa"/>
          </w:tcPr>
          <w:p w14:paraId="5519A185" w14:textId="77777777" w:rsidR="00EF5B27" w:rsidRDefault="00000000">
            <w:pPr>
              <w:pStyle w:val="TableParagraph"/>
              <w:spacing w:before="117"/>
              <w:ind w:left="4"/>
              <w:jc w:val="center"/>
              <w:rPr>
                <w:sz w:val="14"/>
              </w:rPr>
            </w:pPr>
            <w:r>
              <w:rPr>
                <w:color w:val="4D4D4F"/>
                <w:w w:val="96"/>
                <w:sz w:val="14"/>
              </w:rPr>
              <w:t>3</w:t>
            </w:r>
          </w:p>
        </w:tc>
        <w:tc>
          <w:tcPr>
            <w:tcW w:w="2211" w:type="dxa"/>
          </w:tcPr>
          <w:p w14:paraId="53564F92" w14:textId="77777777" w:rsidR="00EF5B27" w:rsidRDefault="00000000">
            <w:pPr>
              <w:pStyle w:val="TableParagraph"/>
              <w:spacing w:before="117"/>
              <w:ind w:right="636"/>
              <w:jc w:val="right"/>
              <w:rPr>
                <w:sz w:val="14"/>
              </w:rPr>
            </w:pPr>
            <w:r>
              <w:rPr>
                <w:color w:val="4D4D4F"/>
                <w:sz w:val="14"/>
              </w:rPr>
              <w:t>Vegetation type</w:t>
            </w:r>
          </w:p>
        </w:tc>
        <w:tc>
          <w:tcPr>
            <w:tcW w:w="2211" w:type="dxa"/>
          </w:tcPr>
          <w:p w14:paraId="31376F3A" w14:textId="77777777" w:rsidR="00EF5B27" w:rsidRDefault="00000000">
            <w:pPr>
              <w:pStyle w:val="TableParagraph"/>
              <w:spacing w:before="117"/>
              <w:ind w:left="197" w:right="193"/>
              <w:jc w:val="center"/>
              <w:rPr>
                <w:sz w:val="14"/>
              </w:rPr>
            </w:pPr>
            <w:r>
              <w:rPr>
                <w:color w:val="4D4D4F"/>
                <w:sz w:val="14"/>
              </w:rPr>
              <w:t>No covariates</w:t>
            </w:r>
          </w:p>
        </w:tc>
        <w:tc>
          <w:tcPr>
            <w:tcW w:w="1928" w:type="dxa"/>
          </w:tcPr>
          <w:p w14:paraId="36B2E015" w14:textId="77777777" w:rsidR="00EF5B27" w:rsidRDefault="00000000">
            <w:pPr>
              <w:pStyle w:val="TableParagraph"/>
              <w:spacing w:before="117"/>
              <w:ind w:right="766"/>
              <w:jc w:val="right"/>
              <w:rPr>
                <w:sz w:val="14"/>
              </w:rPr>
            </w:pPr>
            <w:r>
              <w:rPr>
                <w:color w:val="4D4D4F"/>
                <w:w w:val="95"/>
                <w:sz w:val="14"/>
              </w:rPr>
              <w:t>1525.0</w:t>
            </w:r>
          </w:p>
        </w:tc>
        <w:tc>
          <w:tcPr>
            <w:tcW w:w="1928" w:type="dxa"/>
          </w:tcPr>
          <w:p w14:paraId="074B6192" w14:textId="77777777" w:rsidR="00EF5B27" w:rsidRDefault="00000000">
            <w:pPr>
              <w:pStyle w:val="TableParagraph"/>
              <w:spacing w:before="117"/>
              <w:ind w:left="840"/>
              <w:rPr>
                <w:sz w:val="14"/>
              </w:rPr>
            </w:pPr>
            <w:r>
              <w:rPr>
                <w:color w:val="4D4D4F"/>
                <w:sz w:val="14"/>
              </w:rPr>
              <w:t>35.0</w:t>
            </w:r>
          </w:p>
        </w:tc>
      </w:tr>
      <w:tr w:rsidR="00EF5B27" w14:paraId="65ECCB77" w14:textId="77777777">
        <w:trPr>
          <w:trHeight w:val="391"/>
        </w:trPr>
        <w:tc>
          <w:tcPr>
            <w:tcW w:w="1361" w:type="dxa"/>
          </w:tcPr>
          <w:p w14:paraId="57B9AF08" w14:textId="77777777" w:rsidR="00EF5B27" w:rsidRDefault="00000000">
            <w:pPr>
              <w:pStyle w:val="TableParagraph"/>
              <w:spacing w:before="117"/>
              <w:ind w:left="4"/>
              <w:jc w:val="center"/>
              <w:rPr>
                <w:sz w:val="14"/>
              </w:rPr>
            </w:pPr>
            <w:r>
              <w:rPr>
                <w:color w:val="4D4D4F"/>
                <w:w w:val="96"/>
                <w:sz w:val="14"/>
              </w:rPr>
              <w:t>4</w:t>
            </w:r>
          </w:p>
        </w:tc>
        <w:tc>
          <w:tcPr>
            <w:tcW w:w="2211" w:type="dxa"/>
          </w:tcPr>
          <w:p w14:paraId="097C9EB3" w14:textId="77777777" w:rsidR="00EF5B27" w:rsidRDefault="00000000">
            <w:pPr>
              <w:pStyle w:val="TableParagraph"/>
              <w:spacing w:before="117"/>
              <w:ind w:right="694"/>
              <w:jc w:val="right"/>
              <w:rPr>
                <w:sz w:val="14"/>
              </w:rPr>
            </w:pPr>
            <w:r>
              <w:rPr>
                <w:color w:val="4D4D4F"/>
                <w:sz w:val="14"/>
              </w:rPr>
              <w:t>No covariates</w:t>
            </w:r>
          </w:p>
        </w:tc>
        <w:tc>
          <w:tcPr>
            <w:tcW w:w="2211" w:type="dxa"/>
          </w:tcPr>
          <w:p w14:paraId="0CE0F5DF" w14:textId="77777777" w:rsidR="00EF5B27" w:rsidRDefault="00000000">
            <w:pPr>
              <w:pStyle w:val="TableParagraph"/>
              <w:spacing w:before="117"/>
              <w:ind w:left="197" w:right="193"/>
              <w:jc w:val="center"/>
              <w:rPr>
                <w:sz w:val="14"/>
              </w:rPr>
            </w:pPr>
            <w:r>
              <w:rPr>
                <w:color w:val="4D4D4F"/>
                <w:sz w:val="14"/>
              </w:rPr>
              <w:t>Habitat type</w:t>
            </w:r>
          </w:p>
        </w:tc>
        <w:tc>
          <w:tcPr>
            <w:tcW w:w="1928" w:type="dxa"/>
          </w:tcPr>
          <w:p w14:paraId="2D45325F" w14:textId="77777777" w:rsidR="00EF5B27" w:rsidRDefault="00000000">
            <w:pPr>
              <w:pStyle w:val="TableParagraph"/>
              <w:spacing w:before="117"/>
              <w:ind w:right="765"/>
              <w:jc w:val="right"/>
              <w:rPr>
                <w:sz w:val="14"/>
              </w:rPr>
            </w:pPr>
            <w:r>
              <w:rPr>
                <w:color w:val="4D4D4F"/>
                <w:w w:val="95"/>
                <w:sz w:val="14"/>
              </w:rPr>
              <w:t>1504.3</w:t>
            </w:r>
          </w:p>
        </w:tc>
        <w:tc>
          <w:tcPr>
            <w:tcW w:w="1928" w:type="dxa"/>
          </w:tcPr>
          <w:p w14:paraId="52AA2F7E" w14:textId="77777777" w:rsidR="00EF5B27" w:rsidRDefault="00000000">
            <w:pPr>
              <w:pStyle w:val="TableParagraph"/>
              <w:spacing w:before="117"/>
              <w:ind w:left="843"/>
              <w:rPr>
                <w:sz w:val="14"/>
              </w:rPr>
            </w:pPr>
            <w:r>
              <w:rPr>
                <w:color w:val="4D4D4F"/>
                <w:sz w:val="14"/>
              </w:rPr>
              <w:t>14.3</w:t>
            </w:r>
          </w:p>
        </w:tc>
      </w:tr>
      <w:tr w:rsidR="00EF5B27" w14:paraId="49FF1EF6" w14:textId="77777777">
        <w:trPr>
          <w:trHeight w:val="391"/>
        </w:trPr>
        <w:tc>
          <w:tcPr>
            <w:tcW w:w="1361" w:type="dxa"/>
          </w:tcPr>
          <w:p w14:paraId="48467423" w14:textId="77777777" w:rsidR="00EF5B27" w:rsidRDefault="00000000">
            <w:pPr>
              <w:pStyle w:val="TableParagraph"/>
              <w:spacing w:before="117"/>
              <w:ind w:left="4"/>
              <w:jc w:val="center"/>
              <w:rPr>
                <w:sz w:val="14"/>
              </w:rPr>
            </w:pPr>
            <w:r>
              <w:rPr>
                <w:color w:val="4D4D4F"/>
                <w:w w:val="96"/>
                <w:sz w:val="14"/>
              </w:rPr>
              <w:t>5</w:t>
            </w:r>
          </w:p>
        </w:tc>
        <w:tc>
          <w:tcPr>
            <w:tcW w:w="2211" w:type="dxa"/>
          </w:tcPr>
          <w:p w14:paraId="51E24FBC" w14:textId="77777777" w:rsidR="00EF5B27" w:rsidRDefault="00000000">
            <w:pPr>
              <w:pStyle w:val="TableParagraph"/>
              <w:spacing w:before="117"/>
              <w:ind w:right="694"/>
              <w:jc w:val="right"/>
              <w:rPr>
                <w:sz w:val="14"/>
              </w:rPr>
            </w:pPr>
            <w:r>
              <w:rPr>
                <w:color w:val="4D4D4F"/>
                <w:sz w:val="14"/>
              </w:rPr>
              <w:t>No covariates</w:t>
            </w:r>
          </w:p>
        </w:tc>
        <w:tc>
          <w:tcPr>
            <w:tcW w:w="2211" w:type="dxa"/>
          </w:tcPr>
          <w:p w14:paraId="7219C426" w14:textId="77777777" w:rsidR="00EF5B27" w:rsidRDefault="00000000">
            <w:pPr>
              <w:pStyle w:val="TableParagraph"/>
              <w:spacing w:before="117"/>
              <w:ind w:left="197" w:right="191"/>
              <w:jc w:val="center"/>
              <w:rPr>
                <w:sz w:val="14"/>
              </w:rPr>
            </w:pPr>
            <w:r>
              <w:rPr>
                <w:color w:val="4D4D4F"/>
                <w:w w:val="105"/>
                <w:sz w:val="14"/>
              </w:rPr>
              <w:t>Survey month</w:t>
            </w:r>
          </w:p>
        </w:tc>
        <w:tc>
          <w:tcPr>
            <w:tcW w:w="1928" w:type="dxa"/>
          </w:tcPr>
          <w:p w14:paraId="6186D260" w14:textId="77777777" w:rsidR="00EF5B27" w:rsidRDefault="00000000">
            <w:pPr>
              <w:pStyle w:val="TableParagraph"/>
              <w:spacing w:before="117"/>
              <w:ind w:right="770"/>
              <w:jc w:val="right"/>
              <w:rPr>
                <w:sz w:val="14"/>
              </w:rPr>
            </w:pPr>
            <w:r>
              <w:rPr>
                <w:color w:val="4D4D4F"/>
                <w:w w:val="95"/>
                <w:sz w:val="14"/>
              </w:rPr>
              <w:t>1496.3</w:t>
            </w:r>
          </w:p>
        </w:tc>
        <w:tc>
          <w:tcPr>
            <w:tcW w:w="1928" w:type="dxa"/>
          </w:tcPr>
          <w:p w14:paraId="0C418E5C" w14:textId="77777777" w:rsidR="00EF5B27" w:rsidRDefault="00000000">
            <w:pPr>
              <w:pStyle w:val="TableParagraph"/>
              <w:spacing w:before="117"/>
              <w:ind w:left="876"/>
              <w:rPr>
                <w:sz w:val="14"/>
              </w:rPr>
            </w:pPr>
            <w:r>
              <w:rPr>
                <w:color w:val="4D4D4F"/>
                <w:sz w:val="14"/>
              </w:rPr>
              <w:t>6.3</w:t>
            </w:r>
          </w:p>
        </w:tc>
      </w:tr>
      <w:tr w:rsidR="00EF5B27" w14:paraId="26A19993" w14:textId="77777777">
        <w:trPr>
          <w:trHeight w:val="391"/>
        </w:trPr>
        <w:tc>
          <w:tcPr>
            <w:tcW w:w="1361" w:type="dxa"/>
          </w:tcPr>
          <w:p w14:paraId="5B539E67" w14:textId="77777777" w:rsidR="00EF5B27" w:rsidRDefault="00000000">
            <w:pPr>
              <w:pStyle w:val="TableParagraph"/>
              <w:spacing w:before="117"/>
              <w:ind w:left="4"/>
              <w:jc w:val="center"/>
              <w:rPr>
                <w:sz w:val="14"/>
              </w:rPr>
            </w:pPr>
            <w:r>
              <w:rPr>
                <w:color w:val="4D4D4F"/>
                <w:w w:val="96"/>
                <w:sz w:val="14"/>
              </w:rPr>
              <w:t>6</w:t>
            </w:r>
          </w:p>
        </w:tc>
        <w:tc>
          <w:tcPr>
            <w:tcW w:w="2211" w:type="dxa"/>
          </w:tcPr>
          <w:p w14:paraId="31F0C9DC" w14:textId="77777777" w:rsidR="00EF5B27" w:rsidRDefault="00000000">
            <w:pPr>
              <w:pStyle w:val="TableParagraph"/>
              <w:spacing w:before="117"/>
              <w:ind w:right="693"/>
              <w:jc w:val="right"/>
              <w:rPr>
                <w:sz w:val="14"/>
              </w:rPr>
            </w:pPr>
            <w:r>
              <w:rPr>
                <w:color w:val="4D4D4F"/>
                <w:sz w:val="14"/>
              </w:rPr>
              <w:t>No covariates</w:t>
            </w:r>
          </w:p>
        </w:tc>
        <w:tc>
          <w:tcPr>
            <w:tcW w:w="2211" w:type="dxa"/>
          </w:tcPr>
          <w:p w14:paraId="7D7CBABC" w14:textId="77777777" w:rsidR="00EF5B27" w:rsidRDefault="00000000">
            <w:pPr>
              <w:pStyle w:val="TableParagraph"/>
              <w:spacing w:before="117"/>
              <w:ind w:left="197" w:right="193"/>
              <w:jc w:val="center"/>
              <w:rPr>
                <w:sz w:val="14"/>
              </w:rPr>
            </w:pPr>
            <w:r>
              <w:rPr>
                <w:color w:val="4D4D4F"/>
                <w:sz w:val="14"/>
              </w:rPr>
              <w:t>Vegetation type</w:t>
            </w:r>
          </w:p>
        </w:tc>
        <w:tc>
          <w:tcPr>
            <w:tcW w:w="1928" w:type="dxa"/>
          </w:tcPr>
          <w:p w14:paraId="3514B8E1" w14:textId="77777777" w:rsidR="00EF5B27" w:rsidRDefault="00000000">
            <w:pPr>
              <w:pStyle w:val="TableParagraph"/>
              <w:spacing w:before="117"/>
              <w:ind w:right="768"/>
              <w:jc w:val="right"/>
              <w:rPr>
                <w:sz w:val="14"/>
              </w:rPr>
            </w:pPr>
            <w:r>
              <w:rPr>
                <w:color w:val="4D4D4F"/>
                <w:w w:val="95"/>
                <w:sz w:val="14"/>
              </w:rPr>
              <w:t>1524.8</w:t>
            </w:r>
          </w:p>
        </w:tc>
        <w:tc>
          <w:tcPr>
            <w:tcW w:w="1928" w:type="dxa"/>
          </w:tcPr>
          <w:p w14:paraId="77056FDE" w14:textId="77777777" w:rsidR="00EF5B27" w:rsidRDefault="00000000">
            <w:pPr>
              <w:pStyle w:val="TableParagraph"/>
              <w:spacing w:before="117"/>
              <w:ind w:left="838"/>
              <w:rPr>
                <w:sz w:val="14"/>
              </w:rPr>
            </w:pPr>
            <w:r>
              <w:rPr>
                <w:color w:val="4D4D4F"/>
                <w:sz w:val="14"/>
              </w:rPr>
              <w:t>34.8</w:t>
            </w:r>
          </w:p>
        </w:tc>
      </w:tr>
      <w:tr w:rsidR="00EF5B27" w14:paraId="672E2FCA" w14:textId="77777777">
        <w:trPr>
          <w:trHeight w:val="391"/>
        </w:trPr>
        <w:tc>
          <w:tcPr>
            <w:tcW w:w="1361" w:type="dxa"/>
          </w:tcPr>
          <w:p w14:paraId="208D750B" w14:textId="77777777" w:rsidR="00EF5B27" w:rsidRDefault="00000000">
            <w:pPr>
              <w:pStyle w:val="TableParagraph"/>
              <w:spacing w:before="117"/>
              <w:ind w:left="4"/>
              <w:jc w:val="center"/>
              <w:rPr>
                <w:sz w:val="14"/>
              </w:rPr>
            </w:pPr>
            <w:r>
              <w:rPr>
                <w:color w:val="4D4D4F"/>
                <w:w w:val="96"/>
                <w:sz w:val="14"/>
              </w:rPr>
              <w:t>7</w:t>
            </w:r>
          </w:p>
        </w:tc>
        <w:tc>
          <w:tcPr>
            <w:tcW w:w="2211" w:type="dxa"/>
          </w:tcPr>
          <w:p w14:paraId="6DCFFC43" w14:textId="77777777" w:rsidR="00EF5B27" w:rsidRDefault="00000000">
            <w:pPr>
              <w:pStyle w:val="TableParagraph"/>
              <w:spacing w:before="117"/>
              <w:ind w:right="739"/>
              <w:jc w:val="right"/>
              <w:rPr>
                <w:sz w:val="14"/>
              </w:rPr>
            </w:pPr>
            <w:r>
              <w:rPr>
                <w:color w:val="4D4D4F"/>
                <w:sz w:val="14"/>
              </w:rPr>
              <w:t>Habitat type</w:t>
            </w:r>
          </w:p>
        </w:tc>
        <w:tc>
          <w:tcPr>
            <w:tcW w:w="2211" w:type="dxa"/>
          </w:tcPr>
          <w:p w14:paraId="5F0D8B4D" w14:textId="77777777" w:rsidR="00EF5B27" w:rsidRDefault="00000000">
            <w:pPr>
              <w:pStyle w:val="TableParagraph"/>
              <w:spacing w:before="117"/>
              <w:ind w:left="197" w:right="193"/>
              <w:jc w:val="center"/>
              <w:rPr>
                <w:sz w:val="14"/>
              </w:rPr>
            </w:pPr>
            <w:r>
              <w:rPr>
                <w:color w:val="4D4D4F"/>
                <w:sz w:val="14"/>
              </w:rPr>
              <w:t>Habitat type</w:t>
            </w:r>
          </w:p>
        </w:tc>
        <w:tc>
          <w:tcPr>
            <w:tcW w:w="1928" w:type="dxa"/>
          </w:tcPr>
          <w:p w14:paraId="25A5F7A5" w14:textId="77777777" w:rsidR="00EF5B27" w:rsidRDefault="00000000">
            <w:pPr>
              <w:pStyle w:val="TableParagraph"/>
              <w:spacing w:before="117"/>
              <w:ind w:right="780"/>
              <w:jc w:val="right"/>
              <w:rPr>
                <w:sz w:val="14"/>
              </w:rPr>
            </w:pPr>
            <w:r>
              <w:rPr>
                <w:color w:val="4D4D4F"/>
                <w:w w:val="95"/>
                <w:sz w:val="14"/>
              </w:rPr>
              <w:t>1498.1</w:t>
            </w:r>
          </w:p>
        </w:tc>
        <w:tc>
          <w:tcPr>
            <w:tcW w:w="1928" w:type="dxa"/>
          </w:tcPr>
          <w:p w14:paraId="6B1A3348" w14:textId="77777777" w:rsidR="00EF5B27" w:rsidRDefault="00000000">
            <w:pPr>
              <w:pStyle w:val="TableParagraph"/>
              <w:spacing w:before="117"/>
              <w:ind w:left="881"/>
              <w:rPr>
                <w:sz w:val="14"/>
              </w:rPr>
            </w:pPr>
            <w:r>
              <w:rPr>
                <w:color w:val="4D4D4F"/>
                <w:sz w:val="14"/>
              </w:rPr>
              <w:t>8.1</w:t>
            </w:r>
          </w:p>
        </w:tc>
      </w:tr>
      <w:tr w:rsidR="00EF5B27" w14:paraId="60EE5858" w14:textId="77777777">
        <w:trPr>
          <w:trHeight w:val="391"/>
        </w:trPr>
        <w:tc>
          <w:tcPr>
            <w:tcW w:w="1361" w:type="dxa"/>
          </w:tcPr>
          <w:p w14:paraId="71EC421B" w14:textId="77777777" w:rsidR="00EF5B27" w:rsidRDefault="00000000">
            <w:pPr>
              <w:pStyle w:val="TableParagraph"/>
              <w:spacing w:before="117"/>
              <w:ind w:left="4"/>
              <w:jc w:val="center"/>
              <w:rPr>
                <w:sz w:val="14"/>
              </w:rPr>
            </w:pPr>
            <w:r>
              <w:rPr>
                <w:color w:val="4D4D4F"/>
                <w:w w:val="96"/>
                <w:sz w:val="14"/>
              </w:rPr>
              <w:t>8</w:t>
            </w:r>
          </w:p>
        </w:tc>
        <w:tc>
          <w:tcPr>
            <w:tcW w:w="2211" w:type="dxa"/>
          </w:tcPr>
          <w:p w14:paraId="0FB0EAF7" w14:textId="77777777" w:rsidR="00EF5B27" w:rsidRDefault="00000000">
            <w:pPr>
              <w:pStyle w:val="TableParagraph"/>
              <w:spacing w:before="117"/>
              <w:ind w:right="636"/>
              <w:jc w:val="right"/>
              <w:rPr>
                <w:sz w:val="14"/>
              </w:rPr>
            </w:pPr>
            <w:r>
              <w:rPr>
                <w:color w:val="4D4D4F"/>
                <w:sz w:val="14"/>
              </w:rPr>
              <w:t>Vegetation type</w:t>
            </w:r>
          </w:p>
        </w:tc>
        <w:tc>
          <w:tcPr>
            <w:tcW w:w="2211" w:type="dxa"/>
          </w:tcPr>
          <w:p w14:paraId="1132C19A" w14:textId="77777777" w:rsidR="00EF5B27" w:rsidRDefault="00000000">
            <w:pPr>
              <w:pStyle w:val="TableParagraph"/>
              <w:spacing w:before="117"/>
              <w:ind w:left="197" w:right="193"/>
              <w:jc w:val="center"/>
              <w:rPr>
                <w:sz w:val="14"/>
              </w:rPr>
            </w:pPr>
            <w:r>
              <w:rPr>
                <w:color w:val="4D4D4F"/>
                <w:sz w:val="14"/>
              </w:rPr>
              <w:t>Vegetation type</w:t>
            </w:r>
          </w:p>
        </w:tc>
        <w:tc>
          <w:tcPr>
            <w:tcW w:w="1928" w:type="dxa"/>
          </w:tcPr>
          <w:p w14:paraId="6339E970" w14:textId="77777777" w:rsidR="00EF5B27" w:rsidRDefault="00000000">
            <w:pPr>
              <w:pStyle w:val="TableParagraph"/>
              <w:spacing w:before="117"/>
              <w:ind w:right="768"/>
              <w:jc w:val="right"/>
              <w:rPr>
                <w:sz w:val="14"/>
              </w:rPr>
            </w:pPr>
            <w:r>
              <w:rPr>
                <w:color w:val="4D4D4F"/>
                <w:w w:val="95"/>
                <w:sz w:val="14"/>
              </w:rPr>
              <w:t>1526.2</w:t>
            </w:r>
          </w:p>
        </w:tc>
        <w:tc>
          <w:tcPr>
            <w:tcW w:w="1928" w:type="dxa"/>
          </w:tcPr>
          <w:p w14:paraId="3FBD6C3E" w14:textId="77777777" w:rsidR="00EF5B27" w:rsidRDefault="00000000">
            <w:pPr>
              <w:pStyle w:val="TableParagraph"/>
              <w:spacing w:before="117"/>
              <w:ind w:left="839"/>
              <w:rPr>
                <w:sz w:val="14"/>
              </w:rPr>
            </w:pPr>
            <w:r>
              <w:rPr>
                <w:color w:val="4D4D4F"/>
                <w:sz w:val="14"/>
              </w:rPr>
              <w:t>36.2</w:t>
            </w:r>
          </w:p>
        </w:tc>
      </w:tr>
      <w:tr w:rsidR="00EF5B27" w14:paraId="0C0AB0CE" w14:textId="77777777">
        <w:trPr>
          <w:trHeight w:val="391"/>
        </w:trPr>
        <w:tc>
          <w:tcPr>
            <w:tcW w:w="1361" w:type="dxa"/>
          </w:tcPr>
          <w:p w14:paraId="32C00F4C" w14:textId="77777777" w:rsidR="00EF5B27" w:rsidRDefault="00000000">
            <w:pPr>
              <w:pStyle w:val="TableParagraph"/>
              <w:spacing w:before="117"/>
              <w:ind w:left="4"/>
              <w:jc w:val="center"/>
              <w:rPr>
                <w:sz w:val="14"/>
              </w:rPr>
            </w:pPr>
            <w:r>
              <w:rPr>
                <w:color w:val="4D4D4F"/>
                <w:w w:val="96"/>
                <w:sz w:val="14"/>
              </w:rPr>
              <w:t>9</w:t>
            </w:r>
          </w:p>
        </w:tc>
        <w:tc>
          <w:tcPr>
            <w:tcW w:w="2211" w:type="dxa"/>
          </w:tcPr>
          <w:p w14:paraId="0D179C99" w14:textId="77777777" w:rsidR="00EF5B27" w:rsidRDefault="00000000">
            <w:pPr>
              <w:pStyle w:val="TableParagraph"/>
              <w:spacing w:before="117"/>
              <w:ind w:right="636"/>
              <w:jc w:val="right"/>
              <w:rPr>
                <w:sz w:val="14"/>
              </w:rPr>
            </w:pPr>
            <w:r>
              <w:rPr>
                <w:color w:val="4D4D4F"/>
                <w:sz w:val="14"/>
              </w:rPr>
              <w:t>Vegetation type</w:t>
            </w:r>
          </w:p>
        </w:tc>
        <w:tc>
          <w:tcPr>
            <w:tcW w:w="2211" w:type="dxa"/>
          </w:tcPr>
          <w:p w14:paraId="5DDF3FB8" w14:textId="77777777" w:rsidR="00EF5B27" w:rsidRDefault="00000000">
            <w:pPr>
              <w:pStyle w:val="TableParagraph"/>
              <w:spacing w:before="117"/>
              <w:ind w:left="197" w:right="193"/>
              <w:jc w:val="center"/>
              <w:rPr>
                <w:sz w:val="14"/>
              </w:rPr>
            </w:pPr>
            <w:r>
              <w:rPr>
                <w:color w:val="4D4D4F"/>
                <w:sz w:val="14"/>
              </w:rPr>
              <w:t>Habitat type</w:t>
            </w:r>
          </w:p>
        </w:tc>
        <w:tc>
          <w:tcPr>
            <w:tcW w:w="1928" w:type="dxa"/>
          </w:tcPr>
          <w:p w14:paraId="589C6124" w14:textId="77777777" w:rsidR="00EF5B27" w:rsidRDefault="00000000">
            <w:pPr>
              <w:pStyle w:val="TableParagraph"/>
              <w:spacing w:before="117"/>
              <w:ind w:right="770"/>
              <w:jc w:val="right"/>
              <w:rPr>
                <w:sz w:val="14"/>
              </w:rPr>
            </w:pPr>
            <w:r>
              <w:rPr>
                <w:color w:val="4D4D4F"/>
                <w:w w:val="90"/>
                <w:sz w:val="14"/>
              </w:rPr>
              <w:t>1505.7</w:t>
            </w:r>
          </w:p>
        </w:tc>
        <w:tc>
          <w:tcPr>
            <w:tcW w:w="1928" w:type="dxa"/>
          </w:tcPr>
          <w:p w14:paraId="0247801E" w14:textId="77777777" w:rsidR="00EF5B27" w:rsidRDefault="00000000">
            <w:pPr>
              <w:pStyle w:val="TableParagraph"/>
              <w:spacing w:before="117"/>
              <w:ind w:left="848"/>
              <w:rPr>
                <w:sz w:val="14"/>
              </w:rPr>
            </w:pPr>
            <w:r>
              <w:rPr>
                <w:color w:val="4D4D4F"/>
                <w:sz w:val="14"/>
              </w:rPr>
              <w:t>15.7</w:t>
            </w:r>
          </w:p>
        </w:tc>
      </w:tr>
      <w:tr w:rsidR="00EF5B27" w14:paraId="7F7065CC" w14:textId="77777777">
        <w:trPr>
          <w:trHeight w:val="391"/>
        </w:trPr>
        <w:tc>
          <w:tcPr>
            <w:tcW w:w="1361" w:type="dxa"/>
          </w:tcPr>
          <w:p w14:paraId="112D8145" w14:textId="77777777" w:rsidR="00EF5B27" w:rsidRDefault="00000000">
            <w:pPr>
              <w:pStyle w:val="TableParagraph"/>
              <w:spacing w:before="117"/>
              <w:ind w:left="87" w:right="87"/>
              <w:jc w:val="center"/>
              <w:rPr>
                <w:sz w:val="14"/>
              </w:rPr>
            </w:pPr>
            <w:r>
              <w:rPr>
                <w:color w:val="4D4D4F"/>
                <w:sz w:val="14"/>
              </w:rPr>
              <w:t>10</w:t>
            </w:r>
          </w:p>
        </w:tc>
        <w:tc>
          <w:tcPr>
            <w:tcW w:w="2211" w:type="dxa"/>
          </w:tcPr>
          <w:p w14:paraId="19C4E18B" w14:textId="77777777" w:rsidR="00EF5B27" w:rsidRDefault="00000000">
            <w:pPr>
              <w:pStyle w:val="TableParagraph"/>
              <w:spacing w:before="117"/>
              <w:ind w:right="636"/>
              <w:jc w:val="right"/>
              <w:rPr>
                <w:sz w:val="14"/>
              </w:rPr>
            </w:pPr>
            <w:r>
              <w:rPr>
                <w:color w:val="4D4D4F"/>
                <w:sz w:val="14"/>
              </w:rPr>
              <w:t>Vegetation type</w:t>
            </w:r>
          </w:p>
        </w:tc>
        <w:tc>
          <w:tcPr>
            <w:tcW w:w="2211" w:type="dxa"/>
          </w:tcPr>
          <w:p w14:paraId="310D3F8A" w14:textId="77777777" w:rsidR="00EF5B27" w:rsidRDefault="00000000">
            <w:pPr>
              <w:pStyle w:val="TableParagraph"/>
              <w:spacing w:before="117"/>
              <w:ind w:left="197" w:right="191"/>
              <w:jc w:val="center"/>
              <w:rPr>
                <w:sz w:val="14"/>
              </w:rPr>
            </w:pPr>
            <w:r>
              <w:rPr>
                <w:color w:val="4D4D4F"/>
                <w:w w:val="105"/>
                <w:sz w:val="14"/>
              </w:rPr>
              <w:t>Survey month</w:t>
            </w:r>
          </w:p>
        </w:tc>
        <w:tc>
          <w:tcPr>
            <w:tcW w:w="1928" w:type="dxa"/>
          </w:tcPr>
          <w:p w14:paraId="644B6F81" w14:textId="77777777" w:rsidR="00EF5B27" w:rsidRDefault="00000000">
            <w:pPr>
              <w:pStyle w:val="TableParagraph"/>
              <w:spacing w:before="117"/>
              <w:ind w:right="777"/>
              <w:jc w:val="right"/>
              <w:rPr>
                <w:sz w:val="14"/>
              </w:rPr>
            </w:pPr>
            <w:r>
              <w:rPr>
                <w:color w:val="4D4D4F"/>
                <w:w w:val="95"/>
                <w:sz w:val="14"/>
              </w:rPr>
              <w:t>1497.7</w:t>
            </w:r>
          </w:p>
        </w:tc>
        <w:tc>
          <w:tcPr>
            <w:tcW w:w="1928" w:type="dxa"/>
          </w:tcPr>
          <w:p w14:paraId="3D018C4E" w14:textId="77777777" w:rsidR="00EF5B27" w:rsidRDefault="00000000">
            <w:pPr>
              <w:pStyle w:val="TableParagraph"/>
              <w:spacing w:before="117"/>
              <w:ind w:left="885"/>
              <w:rPr>
                <w:sz w:val="14"/>
              </w:rPr>
            </w:pPr>
            <w:r>
              <w:rPr>
                <w:color w:val="4D4D4F"/>
                <w:sz w:val="14"/>
              </w:rPr>
              <w:t>7.7</w:t>
            </w:r>
          </w:p>
        </w:tc>
      </w:tr>
      <w:tr w:rsidR="00EF5B27" w14:paraId="016BA93E" w14:textId="77777777">
        <w:trPr>
          <w:trHeight w:val="391"/>
        </w:trPr>
        <w:tc>
          <w:tcPr>
            <w:tcW w:w="1361" w:type="dxa"/>
          </w:tcPr>
          <w:p w14:paraId="15FE3EAB" w14:textId="77777777" w:rsidR="00EF5B27" w:rsidRDefault="00000000">
            <w:pPr>
              <w:pStyle w:val="TableParagraph"/>
              <w:spacing w:before="117"/>
              <w:ind w:left="83" w:right="87"/>
              <w:jc w:val="center"/>
              <w:rPr>
                <w:sz w:val="14"/>
              </w:rPr>
            </w:pPr>
            <w:r>
              <w:rPr>
                <w:color w:val="4D4D4F"/>
                <w:sz w:val="14"/>
              </w:rPr>
              <w:t>11</w:t>
            </w:r>
          </w:p>
        </w:tc>
        <w:tc>
          <w:tcPr>
            <w:tcW w:w="2211" w:type="dxa"/>
          </w:tcPr>
          <w:p w14:paraId="55B6EDD4" w14:textId="77777777" w:rsidR="00EF5B27" w:rsidRDefault="00000000">
            <w:pPr>
              <w:pStyle w:val="TableParagraph"/>
              <w:spacing w:before="117"/>
              <w:ind w:right="739"/>
              <w:jc w:val="right"/>
              <w:rPr>
                <w:sz w:val="14"/>
              </w:rPr>
            </w:pPr>
            <w:r>
              <w:rPr>
                <w:color w:val="4D4D4F"/>
                <w:sz w:val="14"/>
              </w:rPr>
              <w:t>Habitat type</w:t>
            </w:r>
          </w:p>
        </w:tc>
        <w:tc>
          <w:tcPr>
            <w:tcW w:w="2211" w:type="dxa"/>
          </w:tcPr>
          <w:p w14:paraId="65CEB155" w14:textId="77777777" w:rsidR="00EF5B27" w:rsidRDefault="00000000">
            <w:pPr>
              <w:pStyle w:val="TableParagraph"/>
              <w:spacing w:before="117"/>
              <w:ind w:left="197" w:right="191"/>
              <w:jc w:val="center"/>
              <w:rPr>
                <w:sz w:val="14"/>
              </w:rPr>
            </w:pPr>
            <w:r>
              <w:rPr>
                <w:color w:val="4D4D4F"/>
                <w:w w:val="105"/>
                <w:sz w:val="14"/>
              </w:rPr>
              <w:t>Survey month</w:t>
            </w:r>
          </w:p>
        </w:tc>
        <w:tc>
          <w:tcPr>
            <w:tcW w:w="1928" w:type="dxa"/>
          </w:tcPr>
          <w:p w14:paraId="4576097B" w14:textId="77777777" w:rsidR="00EF5B27" w:rsidRDefault="00000000">
            <w:pPr>
              <w:pStyle w:val="TableParagraph"/>
              <w:spacing w:before="117"/>
              <w:ind w:right="768"/>
              <w:jc w:val="right"/>
              <w:rPr>
                <w:sz w:val="14"/>
              </w:rPr>
            </w:pPr>
            <w:r>
              <w:rPr>
                <w:color w:val="4D4D4F"/>
                <w:w w:val="95"/>
                <w:sz w:val="14"/>
              </w:rPr>
              <w:t>1490.0</w:t>
            </w:r>
          </w:p>
        </w:tc>
        <w:tc>
          <w:tcPr>
            <w:tcW w:w="1928" w:type="dxa"/>
          </w:tcPr>
          <w:p w14:paraId="5C569A55" w14:textId="77777777" w:rsidR="00EF5B27" w:rsidRDefault="00000000">
            <w:pPr>
              <w:pStyle w:val="TableParagraph"/>
              <w:spacing w:before="117"/>
              <w:ind w:left="876"/>
              <w:rPr>
                <w:sz w:val="14"/>
              </w:rPr>
            </w:pPr>
            <w:r>
              <w:rPr>
                <w:color w:val="4D4D4F"/>
                <w:sz w:val="14"/>
              </w:rPr>
              <w:t>0.0</w:t>
            </w:r>
          </w:p>
        </w:tc>
      </w:tr>
      <w:tr w:rsidR="00EF5B27" w14:paraId="024D8782" w14:textId="77777777">
        <w:trPr>
          <w:trHeight w:val="391"/>
        </w:trPr>
        <w:tc>
          <w:tcPr>
            <w:tcW w:w="1361" w:type="dxa"/>
          </w:tcPr>
          <w:p w14:paraId="1A485464" w14:textId="77777777" w:rsidR="00EF5B27" w:rsidRDefault="00000000">
            <w:pPr>
              <w:pStyle w:val="TableParagraph"/>
              <w:spacing w:before="117"/>
              <w:ind w:left="87" w:right="87"/>
              <w:jc w:val="center"/>
              <w:rPr>
                <w:sz w:val="14"/>
              </w:rPr>
            </w:pPr>
            <w:r>
              <w:rPr>
                <w:color w:val="4D4D4F"/>
                <w:sz w:val="14"/>
              </w:rPr>
              <w:t>12</w:t>
            </w:r>
          </w:p>
        </w:tc>
        <w:tc>
          <w:tcPr>
            <w:tcW w:w="2211" w:type="dxa"/>
          </w:tcPr>
          <w:p w14:paraId="63DA41E4" w14:textId="77777777" w:rsidR="00EF5B27" w:rsidRDefault="00000000">
            <w:pPr>
              <w:pStyle w:val="TableParagraph"/>
              <w:spacing w:before="117"/>
              <w:ind w:right="739"/>
              <w:jc w:val="right"/>
              <w:rPr>
                <w:sz w:val="14"/>
              </w:rPr>
            </w:pPr>
            <w:r>
              <w:rPr>
                <w:color w:val="4D4D4F"/>
                <w:sz w:val="14"/>
              </w:rPr>
              <w:t>Habitat type</w:t>
            </w:r>
          </w:p>
        </w:tc>
        <w:tc>
          <w:tcPr>
            <w:tcW w:w="2211" w:type="dxa"/>
          </w:tcPr>
          <w:p w14:paraId="471EAAB2" w14:textId="77777777" w:rsidR="00EF5B27" w:rsidRDefault="00000000">
            <w:pPr>
              <w:pStyle w:val="TableParagraph"/>
              <w:spacing w:before="117"/>
              <w:ind w:left="197" w:right="193"/>
              <w:jc w:val="center"/>
              <w:rPr>
                <w:sz w:val="14"/>
              </w:rPr>
            </w:pPr>
            <w:r>
              <w:rPr>
                <w:color w:val="4D4D4F"/>
                <w:sz w:val="14"/>
              </w:rPr>
              <w:t>Vegetation type</w:t>
            </w:r>
          </w:p>
        </w:tc>
        <w:tc>
          <w:tcPr>
            <w:tcW w:w="1928" w:type="dxa"/>
          </w:tcPr>
          <w:p w14:paraId="7E874F2B" w14:textId="77777777" w:rsidR="00EF5B27" w:rsidRDefault="00000000">
            <w:pPr>
              <w:pStyle w:val="TableParagraph"/>
              <w:spacing w:before="117"/>
              <w:ind w:right="775"/>
              <w:jc w:val="right"/>
              <w:rPr>
                <w:sz w:val="14"/>
              </w:rPr>
            </w:pPr>
            <w:r>
              <w:rPr>
                <w:color w:val="4D4D4F"/>
                <w:w w:val="95"/>
                <w:sz w:val="14"/>
              </w:rPr>
              <w:t>1518.5</w:t>
            </w:r>
          </w:p>
        </w:tc>
        <w:tc>
          <w:tcPr>
            <w:tcW w:w="1928" w:type="dxa"/>
          </w:tcPr>
          <w:p w14:paraId="27F52307" w14:textId="77777777" w:rsidR="00EF5B27" w:rsidRDefault="00000000">
            <w:pPr>
              <w:pStyle w:val="TableParagraph"/>
              <w:spacing w:before="117"/>
              <w:ind w:left="840"/>
              <w:rPr>
                <w:sz w:val="14"/>
              </w:rPr>
            </w:pPr>
            <w:r>
              <w:rPr>
                <w:color w:val="4D4D4F"/>
                <w:sz w:val="14"/>
              </w:rPr>
              <w:t>28.5</w:t>
            </w:r>
          </w:p>
        </w:tc>
      </w:tr>
    </w:tbl>
    <w:p w14:paraId="73543009" w14:textId="77777777" w:rsidR="00EF5B27" w:rsidRDefault="00EF5B27">
      <w:pPr>
        <w:pStyle w:val="BodyText"/>
        <w:rPr>
          <w:rFonts w:ascii="Century Gothic"/>
          <w:i/>
        </w:rPr>
      </w:pPr>
    </w:p>
    <w:p w14:paraId="7FC3B0BF" w14:textId="77777777" w:rsidR="00EF5B27" w:rsidRDefault="00EF5B27">
      <w:pPr>
        <w:pStyle w:val="BodyText"/>
        <w:rPr>
          <w:rFonts w:ascii="Century Gothic"/>
          <w:i/>
        </w:rPr>
      </w:pPr>
    </w:p>
    <w:p w14:paraId="11607A50" w14:textId="77777777" w:rsidR="00EF5B27" w:rsidRDefault="00000000">
      <w:pPr>
        <w:pStyle w:val="BodyText"/>
        <w:rPr>
          <w:rFonts w:ascii="Century Gothic"/>
          <w:i/>
          <w:sz w:val="10"/>
        </w:rPr>
      </w:pPr>
      <w:r>
        <w:pict w14:anchorId="3F89AB83">
          <v:line id="_x0000_s2154" style="position:absolute;z-index:251770368;mso-wrap-distance-left:0;mso-wrap-distance-right:0;mso-position-horizontal-relative:page" from="178.6pt,8.35pt" to="538.6pt,8.35pt" strokecolor="#4d4d4f" strokeweight=".5pt">
            <w10:wrap type="topAndBottom" anchorx="page"/>
          </v:line>
        </w:pict>
      </w:r>
    </w:p>
    <w:p w14:paraId="3D410A55" w14:textId="77777777" w:rsidR="00EF5B27" w:rsidRDefault="00000000">
      <w:pPr>
        <w:pStyle w:val="ListParagraph"/>
        <w:numPr>
          <w:ilvl w:val="0"/>
          <w:numId w:val="4"/>
        </w:numPr>
        <w:tabs>
          <w:tab w:val="left" w:pos="2779"/>
        </w:tabs>
        <w:spacing w:before="88" w:line="230" w:lineRule="auto"/>
        <w:ind w:left="2778" w:right="111"/>
        <w:rPr>
          <w:sz w:val="12"/>
        </w:rPr>
      </w:pPr>
      <w:r>
        <w:rPr>
          <w:color w:val="4D4D4F"/>
          <w:w w:val="105"/>
          <w:sz w:val="12"/>
        </w:rPr>
        <w:t xml:space="preserve">Meek </w:t>
      </w:r>
      <w:r>
        <w:rPr>
          <w:color w:val="4D4D4F"/>
          <w:spacing w:val="-5"/>
          <w:w w:val="105"/>
          <w:sz w:val="12"/>
        </w:rPr>
        <w:t xml:space="preserve">P, </w:t>
      </w:r>
      <w:r>
        <w:rPr>
          <w:color w:val="4D4D4F"/>
          <w:w w:val="105"/>
          <w:sz w:val="12"/>
        </w:rPr>
        <w:t xml:space="preserve">Flemming </w:t>
      </w:r>
      <w:r>
        <w:rPr>
          <w:color w:val="4D4D4F"/>
          <w:spacing w:val="-5"/>
          <w:w w:val="105"/>
          <w:sz w:val="12"/>
        </w:rPr>
        <w:t xml:space="preserve">P, </w:t>
      </w:r>
      <w:r>
        <w:rPr>
          <w:color w:val="4D4D4F"/>
          <w:w w:val="105"/>
          <w:sz w:val="12"/>
        </w:rPr>
        <w:t xml:space="preserve">Ballard G, Banks </w:t>
      </w:r>
      <w:r>
        <w:rPr>
          <w:color w:val="4D4D4F"/>
          <w:spacing w:val="-5"/>
          <w:w w:val="105"/>
          <w:sz w:val="12"/>
        </w:rPr>
        <w:t xml:space="preserve">P, </w:t>
      </w:r>
      <w:r>
        <w:rPr>
          <w:color w:val="4D4D4F"/>
          <w:w w:val="105"/>
          <w:sz w:val="12"/>
        </w:rPr>
        <w:t xml:space="preserve">Claridge </w:t>
      </w:r>
      <w:r>
        <w:rPr>
          <w:color w:val="4D4D4F"/>
          <w:spacing w:val="2"/>
          <w:w w:val="105"/>
          <w:sz w:val="12"/>
        </w:rPr>
        <w:t xml:space="preserve">A, </w:t>
      </w:r>
      <w:r>
        <w:rPr>
          <w:color w:val="4D4D4F"/>
          <w:w w:val="105"/>
          <w:sz w:val="12"/>
        </w:rPr>
        <w:t xml:space="preserve">Sanderson </w:t>
      </w:r>
      <w:r>
        <w:rPr>
          <w:color w:val="4D4D4F"/>
          <w:w w:val="130"/>
          <w:sz w:val="12"/>
        </w:rPr>
        <w:t xml:space="preserve">J </w:t>
      </w:r>
      <w:r>
        <w:rPr>
          <w:color w:val="4D4D4F"/>
          <w:w w:val="105"/>
          <w:sz w:val="12"/>
        </w:rPr>
        <w:t>and Swann D (eds.) 2014, ‘Camera Trapping: Wildlife Management and Research.’ CSIRO</w:t>
      </w:r>
      <w:r>
        <w:rPr>
          <w:color w:val="4D4D4F"/>
          <w:spacing w:val="1"/>
          <w:w w:val="105"/>
          <w:sz w:val="12"/>
        </w:rPr>
        <w:t xml:space="preserve"> </w:t>
      </w:r>
      <w:r>
        <w:rPr>
          <w:color w:val="4D4D4F"/>
          <w:w w:val="105"/>
          <w:sz w:val="12"/>
        </w:rPr>
        <w:t>Publishing.</w:t>
      </w:r>
    </w:p>
    <w:p w14:paraId="03362C5C" w14:textId="77777777" w:rsidR="00EF5B27" w:rsidRDefault="00000000">
      <w:pPr>
        <w:pStyle w:val="ListParagraph"/>
        <w:numPr>
          <w:ilvl w:val="0"/>
          <w:numId w:val="4"/>
        </w:numPr>
        <w:tabs>
          <w:tab w:val="left" w:pos="2779"/>
        </w:tabs>
        <w:spacing w:line="230" w:lineRule="auto"/>
        <w:ind w:left="2778" w:right="112"/>
        <w:rPr>
          <w:sz w:val="12"/>
        </w:rPr>
      </w:pPr>
      <w:r>
        <w:rPr>
          <w:color w:val="4D4D4F"/>
          <w:sz w:val="12"/>
        </w:rPr>
        <w:t xml:space="preserve">Niedballa J, Sollmann R, </w:t>
      </w:r>
      <w:r>
        <w:rPr>
          <w:color w:val="4D4D4F"/>
          <w:spacing w:val="2"/>
          <w:sz w:val="12"/>
        </w:rPr>
        <w:t xml:space="preserve">Courtiol </w:t>
      </w:r>
      <w:r>
        <w:rPr>
          <w:color w:val="4D4D4F"/>
          <w:sz w:val="12"/>
        </w:rPr>
        <w:t xml:space="preserve">A and Wilting A 2016, ‘camtrapR: an R package for efficient camera trap data management.’ Methods in Ecology and Evolution </w:t>
      </w:r>
      <w:r>
        <w:rPr>
          <w:color w:val="4D4D4F"/>
          <w:spacing w:val="-3"/>
          <w:sz w:val="12"/>
        </w:rPr>
        <w:t>7,</w:t>
      </w:r>
      <w:r>
        <w:rPr>
          <w:color w:val="4D4D4F"/>
          <w:spacing w:val="8"/>
          <w:sz w:val="12"/>
        </w:rPr>
        <w:t xml:space="preserve"> </w:t>
      </w:r>
      <w:r>
        <w:rPr>
          <w:color w:val="4D4D4F"/>
          <w:sz w:val="12"/>
        </w:rPr>
        <w:t>1457-1462.</w:t>
      </w:r>
    </w:p>
    <w:p w14:paraId="505071DB" w14:textId="77777777" w:rsidR="00EF5B27" w:rsidRDefault="00000000">
      <w:pPr>
        <w:pStyle w:val="ListParagraph"/>
        <w:numPr>
          <w:ilvl w:val="0"/>
          <w:numId w:val="4"/>
        </w:numPr>
        <w:tabs>
          <w:tab w:val="left" w:pos="2779"/>
        </w:tabs>
        <w:spacing w:line="230" w:lineRule="auto"/>
        <w:ind w:left="2778" w:right="113"/>
        <w:rPr>
          <w:sz w:val="12"/>
        </w:rPr>
      </w:pPr>
      <w:r>
        <w:rPr>
          <w:color w:val="4D4D4F"/>
          <w:w w:val="105"/>
          <w:sz w:val="12"/>
        </w:rPr>
        <w:t xml:space="preserve">Fiske I and Chandler R 2011, ‘unmarked: An R Package for Fitting Hierarchical Models of Wildlife </w:t>
      </w:r>
      <w:r>
        <w:rPr>
          <w:color w:val="4D4D4F"/>
          <w:spacing w:val="2"/>
          <w:w w:val="105"/>
          <w:sz w:val="12"/>
        </w:rPr>
        <w:t xml:space="preserve">Occurrence </w:t>
      </w:r>
      <w:r>
        <w:rPr>
          <w:color w:val="4D4D4F"/>
          <w:w w:val="105"/>
          <w:sz w:val="12"/>
        </w:rPr>
        <w:t xml:space="preserve">and Abundance.’ Journal of Statistical </w:t>
      </w:r>
      <w:r>
        <w:rPr>
          <w:color w:val="4D4D4F"/>
          <w:spacing w:val="2"/>
          <w:w w:val="105"/>
          <w:sz w:val="12"/>
        </w:rPr>
        <w:t>Software, 43,</w:t>
      </w:r>
      <w:r>
        <w:rPr>
          <w:color w:val="4D4D4F"/>
          <w:spacing w:val="-1"/>
          <w:w w:val="105"/>
          <w:sz w:val="12"/>
        </w:rPr>
        <w:t xml:space="preserve"> </w:t>
      </w:r>
      <w:r>
        <w:rPr>
          <w:color w:val="4D4D4F"/>
          <w:w w:val="105"/>
          <w:sz w:val="12"/>
        </w:rPr>
        <w:t>1-23.</w:t>
      </w:r>
    </w:p>
    <w:p w14:paraId="392CAD63" w14:textId="77777777" w:rsidR="00EF5B27" w:rsidRDefault="00000000">
      <w:pPr>
        <w:pStyle w:val="ListParagraph"/>
        <w:numPr>
          <w:ilvl w:val="0"/>
          <w:numId w:val="4"/>
        </w:numPr>
        <w:tabs>
          <w:tab w:val="left" w:pos="2779"/>
        </w:tabs>
        <w:spacing w:line="230" w:lineRule="auto"/>
        <w:ind w:left="2778" w:right="111"/>
        <w:rPr>
          <w:sz w:val="12"/>
        </w:rPr>
      </w:pPr>
      <w:r>
        <w:rPr>
          <w:color w:val="4D4D4F"/>
          <w:w w:val="110"/>
          <w:sz w:val="12"/>
        </w:rPr>
        <w:t>MacKenzie</w:t>
      </w:r>
      <w:r>
        <w:rPr>
          <w:color w:val="4D4D4F"/>
          <w:spacing w:val="-21"/>
          <w:w w:val="110"/>
          <w:sz w:val="12"/>
        </w:rPr>
        <w:t xml:space="preserve"> </w:t>
      </w:r>
      <w:r>
        <w:rPr>
          <w:color w:val="4D4D4F"/>
          <w:w w:val="110"/>
          <w:sz w:val="12"/>
        </w:rPr>
        <w:t>DI,</w:t>
      </w:r>
      <w:r>
        <w:rPr>
          <w:color w:val="4D4D4F"/>
          <w:spacing w:val="-21"/>
          <w:w w:val="110"/>
          <w:sz w:val="12"/>
        </w:rPr>
        <w:t xml:space="preserve"> </w:t>
      </w:r>
      <w:r>
        <w:rPr>
          <w:color w:val="4D4D4F"/>
          <w:w w:val="110"/>
          <w:sz w:val="12"/>
        </w:rPr>
        <w:t>Nichols</w:t>
      </w:r>
      <w:r>
        <w:rPr>
          <w:color w:val="4D4D4F"/>
          <w:spacing w:val="-21"/>
          <w:w w:val="110"/>
          <w:sz w:val="12"/>
        </w:rPr>
        <w:t xml:space="preserve"> </w:t>
      </w:r>
      <w:r>
        <w:rPr>
          <w:color w:val="4D4D4F"/>
          <w:w w:val="110"/>
          <w:sz w:val="12"/>
        </w:rPr>
        <w:t>JD,</w:t>
      </w:r>
      <w:r>
        <w:rPr>
          <w:color w:val="4D4D4F"/>
          <w:spacing w:val="-21"/>
          <w:w w:val="110"/>
          <w:sz w:val="12"/>
        </w:rPr>
        <w:t xml:space="preserve"> </w:t>
      </w:r>
      <w:r>
        <w:rPr>
          <w:color w:val="4D4D4F"/>
          <w:w w:val="110"/>
          <w:sz w:val="12"/>
        </w:rPr>
        <w:t>Royle</w:t>
      </w:r>
      <w:r>
        <w:rPr>
          <w:color w:val="4D4D4F"/>
          <w:spacing w:val="-21"/>
          <w:w w:val="110"/>
          <w:sz w:val="12"/>
        </w:rPr>
        <w:t xml:space="preserve"> </w:t>
      </w:r>
      <w:r>
        <w:rPr>
          <w:color w:val="4D4D4F"/>
          <w:w w:val="110"/>
          <w:sz w:val="12"/>
        </w:rPr>
        <w:t>JA,</w:t>
      </w:r>
      <w:r>
        <w:rPr>
          <w:color w:val="4D4D4F"/>
          <w:spacing w:val="-21"/>
          <w:w w:val="110"/>
          <w:sz w:val="12"/>
        </w:rPr>
        <w:t xml:space="preserve"> </w:t>
      </w:r>
      <w:r>
        <w:rPr>
          <w:color w:val="4D4D4F"/>
          <w:w w:val="110"/>
          <w:sz w:val="12"/>
        </w:rPr>
        <w:t>Pollock</w:t>
      </w:r>
      <w:r>
        <w:rPr>
          <w:color w:val="4D4D4F"/>
          <w:spacing w:val="-21"/>
          <w:w w:val="110"/>
          <w:sz w:val="12"/>
        </w:rPr>
        <w:t xml:space="preserve"> </w:t>
      </w:r>
      <w:r>
        <w:rPr>
          <w:color w:val="4D4D4F"/>
          <w:spacing w:val="2"/>
          <w:w w:val="110"/>
          <w:sz w:val="12"/>
        </w:rPr>
        <w:t>KH,</w:t>
      </w:r>
      <w:r>
        <w:rPr>
          <w:color w:val="4D4D4F"/>
          <w:spacing w:val="-21"/>
          <w:w w:val="110"/>
          <w:sz w:val="12"/>
        </w:rPr>
        <w:t xml:space="preserve"> </w:t>
      </w:r>
      <w:r>
        <w:rPr>
          <w:color w:val="4D4D4F"/>
          <w:w w:val="110"/>
          <w:sz w:val="12"/>
        </w:rPr>
        <w:t>Bailey</w:t>
      </w:r>
      <w:r>
        <w:rPr>
          <w:color w:val="4D4D4F"/>
          <w:spacing w:val="-21"/>
          <w:w w:val="110"/>
          <w:sz w:val="12"/>
        </w:rPr>
        <w:t xml:space="preserve"> </w:t>
      </w:r>
      <w:r>
        <w:rPr>
          <w:color w:val="4D4D4F"/>
          <w:w w:val="110"/>
          <w:sz w:val="12"/>
        </w:rPr>
        <w:t>LL</w:t>
      </w:r>
      <w:r>
        <w:rPr>
          <w:color w:val="4D4D4F"/>
          <w:spacing w:val="-20"/>
          <w:w w:val="110"/>
          <w:sz w:val="12"/>
        </w:rPr>
        <w:t xml:space="preserve"> </w:t>
      </w:r>
      <w:r>
        <w:rPr>
          <w:color w:val="4D4D4F"/>
          <w:w w:val="110"/>
          <w:sz w:val="12"/>
        </w:rPr>
        <w:t>and</w:t>
      </w:r>
      <w:r>
        <w:rPr>
          <w:color w:val="4D4D4F"/>
          <w:spacing w:val="-21"/>
          <w:w w:val="110"/>
          <w:sz w:val="12"/>
        </w:rPr>
        <w:t xml:space="preserve"> </w:t>
      </w:r>
      <w:r>
        <w:rPr>
          <w:color w:val="4D4D4F"/>
          <w:w w:val="110"/>
          <w:sz w:val="12"/>
        </w:rPr>
        <w:t>Hines</w:t>
      </w:r>
      <w:r>
        <w:rPr>
          <w:color w:val="4D4D4F"/>
          <w:spacing w:val="-21"/>
          <w:w w:val="110"/>
          <w:sz w:val="12"/>
        </w:rPr>
        <w:t xml:space="preserve"> </w:t>
      </w:r>
      <w:r>
        <w:rPr>
          <w:color w:val="4D4D4F"/>
          <w:w w:val="110"/>
          <w:sz w:val="12"/>
        </w:rPr>
        <w:t>JE</w:t>
      </w:r>
      <w:r>
        <w:rPr>
          <w:color w:val="4D4D4F"/>
          <w:spacing w:val="-21"/>
          <w:w w:val="110"/>
          <w:sz w:val="12"/>
        </w:rPr>
        <w:t xml:space="preserve"> </w:t>
      </w:r>
      <w:r>
        <w:rPr>
          <w:color w:val="4D4D4F"/>
          <w:w w:val="110"/>
          <w:sz w:val="12"/>
        </w:rPr>
        <w:t>(Eds.)</w:t>
      </w:r>
      <w:r>
        <w:rPr>
          <w:color w:val="4D4D4F"/>
          <w:spacing w:val="-21"/>
          <w:w w:val="110"/>
          <w:sz w:val="12"/>
        </w:rPr>
        <w:t xml:space="preserve"> </w:t>
      </w:r>
      <w:r>
        <w:rPr>
          <w:color w:val="4D4D4F"/>
          <w:w w:val="110"/>
          <w:sz w:val="12"/>
        </w:rPr>
        <w:t>2017,</w:t>
      </w:r>
      <w:r>
        <w:rPr>
          <w:color w:val="4D4D4F"/>
          <w:spacing w:val="-21"/>
          <w:w w:val="110"/>
          <w:sz w:val="12"/>
        </w:rPr>
        <w:t xml:space="preserve"> </w:t>
      </w:r>
      <w:r>
        <w:rPr>
          <w:color w:val="4D4D4F"/>
          <w:spacing w:val="2"/>
          <w:w w:val="110"/>
          <w:sz w:val="12"/>
        </w:rPr>
        <w:t>‘Occupancy</w:t>
      </w:r>
      <w:r>
        <w:rPr>
          <w:color w:val="4D4D4F"/>
          <w:spacing w:val="-21"/>
          <w:w w:val="110"/>
          <w:sz w:val="12"/>
        </w:rPr>
        <w:t xml:space="preserve"> </w:t>
      </w:r>
      <w:r>
        <w:rPr>
          <w:color w:val="4D4D4F"/>
          <w:w w:val="110"/>
          <w:sz w:val="12"/>
        </w:rPr>
        <w:t>Estimation</w:t>
      </w:r>
      <w:r>
        <w:rPr>
          <w:color w:val="4D4D4F"/>
          <w:spacing w:val="-21"/>
          <w:w w:val="110"/>
          <w:sz w:val="12"/>
        </w:rPr>
        <w:t xml:space="preserve"> </w:t>
      </w:r>
      <w:r>
        <w:rPr>
          <w:color w:val="4D4D4F"/>
          <w:w w:val="110"/>
          <w:sz w:val="12"/>
        </w:rPr>
        <w:t>and</w:t>
      </w:r>
      <w:r>
        <w:rPr>
          <w:color w:val="4D4D4F"/>
          <w:spacing w:val="-21"/>
          <w:w w:val="110"/>
          <w:sz w:val="12"/>
        </w:rPr>
        <w:t xml:space="preserve"> </w:t>
      </w:r>
      <w:r>
        <w:rPr>
          <w:color w:val="4D4D4F"/>
          <w:w w:val="110"/>
          <w:sz w:val="12"/>
        </w:rPr>
        <w:t>Modeling’</w:t>
      </w:r>
      <w:r>
        <w:rPr>
          <w:color w:val="4D4D4F"/>
          <w:spacing w:val="-20"/>
          <w:w w:val="110"/>
          <w:sz w:val="12"/>
        </w:rPr>
        <w:t xml:space="preserve"> </w:t>
      </w:r>
      <w:r>
        <w:rPr>
          <w:color w:val="4D4D4F"/>
          <w:w w:val="110"/>
          <w:sz w:val="12"/>
        </w:rPr>
        <w:t>(Second</w:t>
      </w:r>
      <w:r>
        <w:rPr>
          <w:color w:val="4D4D4F"/>
          <w:spacing w:val="-21"/>
          <w:w w:val="110"/>
          <w:sz w:val="12"/>
        </w:rPr>
        <w:t xml:space="preserve"> </w:t>
      </w:r>
      <w:r>
        <w:rPr>
          <w:color w:val="4D4D4F"/>
          <w:w w:val="110"/>
          <w:sz w:val="12"/>
        </w:rPr>
        <w:t xml:space="preserve">Edition), Academic </w:t>
      </w:r>
      <w:r>
        <w:rPr>
          <w:color w:val="4D4D4F"/>
          <w:spacing w:val="2"/>
          <w:w w:val="110"/>
          <w:sz w:val="12"/>
        </w:rPr>
        <w:t xml:space="preserve">Press </w:t>
      </w:r>
      <w:r>
        <w:rPr>
          <w:color w:val="4D4D4F"/>
          <w:w w:val="110"/>
          <w:sz w:val="12"/>
        </w:rPr>
        <w:t>Cambridge,</w:t>
      </w:r>
      <w:r>
        <w:rPr>
          <w:color w:val="4D4D4F"/>
          <w:spacing w:val="-6"/>
          <w:w w:val="110"/>
          <w:sz w:val="12"/>
        </w:rPr>
        <w:t xml:space="preserve"> </w:t>
      </w:r>
      <w:r>
        <w:rPr>
          <w:color w:val="4D4D4F"/>
          <w:w w:val="110"/>
          <w:sz w:val="12"/>
        </w:rPr>
        <w:t>Massachusetts.</w:t>
      </w:r>
    </w:p>
    <w:p w14:paraId="02047CBF" w14:textId="77777777" w:rsidR="00EF5B27" w:rsidRDefault="00000000">
      <w:pPr>
        <w:pStyle w:val="ListParagraph"/>
        <w:numPr>
          <w:ilvl w:val="0"/>
          <w:numId w:val="4"/>
        </w:numPr>
        <w:tabs>
          <w:tab w:val="left" w:pos="2779"/>
        </w:tabs>
        <w:spacing w:line="141" w:lineRule="exact"/>
        <w:ind w:left="2778"/>
        <w:rPr>
          <w:sz w:val="12"/>
        </w:rPr>
      </w:pPr>
      <w:hyperlink r:id="rId185">
        <w:r>
          <w:rPr>
            <w:color w:val="4D4D4F"/>
            <w:sz w:val="12"/>
          </w:rPr>
          <w:t>Akaike</w:t>
        </w:r>
        <w:r>
          <w:rPr>
            <w:color w:val="4D4D4F"/>
            <w:spacing w:val="3"/>
            <w:sz w:val="12"/>
          </w:rPr>
          <w:t xml:space="preserve"> </w:t>
        </w:r>
        <w:r>
          <w:rPr>
            <w:color w:val="4D4D4F"/>
            <w:sz w:val="12"/>
          </w:rPr>
          <w:t>H</w:t>
        </w:r>
        <w:r>
          <w:rPr>
            <w:color w:val="4D4D4F"/>
            <w:spacing w:val="3"/>
            <w:sz w:val="12"/>
          </w:rPr>
          <w:t xml:space="preserve"> </w:t>
        </w:r>
      </w:hyperlink>
      <w:r>
        <w:rPr>
          <w:color w:val="4D4D4F"/>
          <w:sz w:val="12"/>
        </w:rPr>
        <w:t>1974,</w:t>
      </w:r>
      <w:r>
        <w:rPr>
          <w:color w:val="4D4D4F"/>
          <w:spacing w:val="3"/>
          <w:sz w:val="12"/>
        </w:rPr>
        <w:t xml:space="preserve"> </w:t>
      </w:r>
      <w:r>
        <w:rPr>
          <w:color w:val="4D4D4F"/>
          <w:sz w:val="12"/>
        </w:rPr>
        <w:t>‘A</w:t>
      </w:r>
      <w:r>
        <w:rPr>
          <w:color w:val="4D4D4F"/>
          <w:spacing w:val="3"/>
          <w:sz w:val="12"/>
        </w:rPr>
        <w:t xml:space="preserve"> </w:t>
      </w:r>
      <w:r>
        <w:rPr>
          <w:color w:val="4D4D4F"/>
          <w:sz w:val="12"/>
        </w:rPr>
        <w:t>new</w:t>
      </w:r>
      <w:r>
        <w:rPr>
          <w:color w:val="4D4D4F"/>
          <w:spacing w:val="3"/>
          <w:sz w:val="12"/>
        </w:rPr>
        <w:t xml:space="preserve"> </w:t>
      </w:r>
      <w:r>
        <w:rPr>
          <w:color w:val="4D4D4F"/>
          <w:sz w:val="12"/>
        </w:rPr>
        <w:t>look</w:t>
      </w:r>
      <w:r>
        <w:rPr>
          <w:color w:val="4D4D4F"/>
          <w:spacing w:val="3"/>
          <w:sz w:val="12"/>
        </w:rPr>
        <w:t xml:space="preserve"> </w:t>
      </w:r>
      <w:r>
        <w:rPr>
          <w:color w:val="4D4D4F"/>
          <w:sz w:val="12"/>
        </w:rPr>
        <w:t>at</w:t>
      </w:r>
      <w:r>
        <w:rPr>
          <w:color w:val="4D4D4F"/>
          <w:spacing w:val="4"/>
          <w:sz w:val="12"/>
        </w:rPr>
        <w:t xml:space="preserve"> </w:t>
      </w:r>
      <w:r>
        <w:rPr>
          <w:color w:val="4D4D4F"/>
          <w:sz w:val="12"/>
        </w:rPr>
        <w:t>the</w:t>
      </w:r>
      <w:r>
        <w:rPr>
          <w:color w:val="4D4D4F"/>
          <w:spacing w:val="3"/>
          <w:sz w:val="12"/>
        </w:rPr>
        <w:t xml:space="preserve"> </w:t>
      </w:r>
      <w:r>
        <w:rPr>
          <w:color w:val="4D4D4F"/>
          <w:sz w:val="12"/>
        </w:rPr>
        <w:t>statistical</w:t>
      </w:r>
      <w:r>
        <w:rPr>
          <w:color w:val="4D4D4F"/>
          <w:spacing w:val="3"/>
          <w:sz w:val="12"/>
        </w:rPr>
        <w:t xml:space="preserve"> </w:t>
      </w:r>
      <w:r>
        <w:rPr>
          <w:color w:val="4D4D4F"/>
          <w:sz w:val="12"/>
        </w:rPr>
        <w:t>model</w:t>
      </w:r>
      <w:r>
        <w:rPr>
          <w:color w:val="4D4D4F"/>
          <w:spacing w:val="3"/>
          <w:sz w:val="12"/>
        </w:rPr>
        <w:t xml:space="preserve"> </w:t>
      </w:r>
      <w:r>
        <w:rPr>
          <w:color w:val="4D4D4F"/>
          <w:sz w:val="12"/>
        </w:rPr>
        <w:t>identification.’</w:t>
      </w:r>
      <w:r>
        <w:rPr>
          <w:color w:val="4D4D4F"/>
          <w:spacing w:val="3"/>
          <w:sz w:val="12"/>
        </w:rPr>
        <w:t xml:space="preserve"> </w:t>
      </w:r>
      <w:hyperlink r:id="rId186">
        <w:r>
          <w:rPr>
            <w:color w:val="4D4D4F"/>
            <w:sz w:val="12"/>
          </w:rPr>
          <w:t>IEEE</w:t>
        </w:r>
        <w:r>
          <w:rPr>
            <w:color w:val="4D4D4F"/>
            <w:spacing w:val="3"/>
            <w:sz w:val="12"/>
          </w:rPr>
          <w:t xml:space="preserve"> </w:t>
        </w:r>
        <w:r>
          <w:rPr>
            <w:color w:val="4D4D4F"/>
            <w:sz w:val="12"/>
          </w:rPr>
          <w:t>Transactions</w:t>
        </w:r>
        <w:r>
          <w:rPr>
            <w:color w:val="4D4D4F"/>
            <w:spacing w:val="3"/>
            <w:sz w:val="12"/>
          </w:rPr>
          <w:t xml:space="preserve"> </w:t>
        </w:r>
        <w:r>
          <w:rPr>
            <w:color w:val="4D4D4F"/>
            <w:sz w:val="12"/>
          </w:rPr>
          <w:t>on</w:t>
        </w:r>
        <w:r>
          <w:rPr>
            <w:color w:val="4D4D4F"/>
            <w:spacing w:val="4"/>
            <w:sz w:val="12"/>
          </w:rPr>
          <w:t xml:space="preserve"> </w:t>
        </w:r>
        <w:r>
          <w:rPr>
            <w:color w:val="4D4D4F"/>
            <w:sz w:val="12"/>
          </w:rPr>
          <w:t>Automatic</w:t>
        </w:r>
        <w:r>
          <w:rPr>
            <w:color w:val="4D4D4F"/>
            <w:spacing w:val="3"/>
            <w:sz w:val="12"/>
          </w:rPr>
          <w:t xml:space="preserve"> </w:t>
        </w:r>
        <w:r>
          <w:rPr>
            <w:color w:val="4D4D4F"/>
            <w:sz w:val="12"/>
          </w:rPr>
          <w:t>Control</w:t>
        </w:r>
        <w:r>
          <w:rPr>
            <w:color w:val="4D4D4F"/>
            <w:spacing w:val="3"/>
            <w:sz w:val="12"/>
          </w:rPr>
          <w:t xml:space="preserve"> </w:t>
        </w:r>
      </w:hyperlink>
      <w:r>
        <w:rPr>
          <w:color w:val="4D4D4F"/>
          <w:spacing w:val="-3"/>
          <w:sz w:val="12"/>
        </w:rPr>
        <w:t>19,</w:t>
      </w:r>
      <w:r>
        <w:rPr>
          <w:color w:val="4D4D4F"/>
          <w:spacing w:val="3"/>
          <w:sz w:val="12"/>
        </w:rPr>
        <w:t xml:space="preserve"> </w:t>
      </w:r>
      <w:r>
        <w:rPr>
          <w:color w:val="4D4D4F"/>
          <w:sz w:val="12"/>
        </w:rPr>
        <w:t>716–723</w:t>
      </w:r>
    </w:p>
    <w:p w14:paraId="01324D55" w14:textId="77777777" w:rsidR="00EF5B27" w:rsidRDefault="00EF5B27">
      <w:pPr>
        <w:spacing w:line="141" w:lineRule="exact"/>
        <w:rPr>
          <w:sz w:val="12"/>
        </w:rPr>
        <w:sectPr w:rsidR="00EF5B27">
          <w:pgSz w:w="11910" w:h="16840"/>
          <w:pgMar w:top="1080" w:right="1020" w:bottom="860" w:left="1020" w:header="537" w:footer="678" w:gutter="0"/>
          <w:cols w:space="720"/>
        </w:sectPr>
      </w:pPr>
    </w:p>
    <w:p w14:paraId="01CD743A" w14:textId="77777777" w:rsidR="00EF5B27" w:rsidRDefault="00000000">
      <w:pPr>
        <w:pStyle w:val="BodyText"/>
      </w:pPr>
      <w:r>
        <w:lastRenderedPageBreak/>
        <w:pict w14:anchorId="1F858860">
          <v:group id="_x0000_s2146" style="position:absolute;margin-left:587.05pt;margin-top:183.4pt;width:8.25pt;height:153.1pt;z-index:251806208;mso-position-horizontal-relative:page;mso-position-vertical-relative:page" coordorigin="11741,3668" coordsize="165,3062">
            <v:shape id="_x0000_s2153" style="position:absolute;left:11741;top:3668;width:165;height:561" coordorigin="11741,3668" coordsize="165,561" path="m11906,3668r-165,l11741,4228r165,-18l11906,3668xe" fillcolor="#00aed9" stroked="f">
              <v:path arrowok="t"/>
            </v:shape>
            <v:shape id="_x0000_s2152" style="position:absolute;left:11741;top:4118;width:165;height:425" coordorigin="11741,4118" coordsize="165,425" path="m11906,4118r-165,14l11741,4531r165,12l11906,4118xe" fillcolor="#047ebc" stroked="f">
              <v:path arrowok="t"/>
            </v:shape>
            <v:shape id="_x0000_s2151" type="#_x0000_t75" style="position:absolute;left:11741;top:4355;width:165;height:587">
              <v:imagedata r:id="rId42" o:title=""/>
            </v:shape>
            <v:shape id="_x0000_s2150" style="position:absolute;left:11741;top:5343;width:165;height:536" coordorigin="11741,5343" coordsize="165,536" path="m11741,5343r,535l11906,5872r,-525l11741,5343xe" fillcolor="#f36a2e" stroked="f">
              <v:path arrowok="t"/>
            </v:shape>
            <v:shape id="_x0000_s2149" style="position:absolute;left:11741;top:4925;width:165;height:501" coordorigin="11741,4926" coordsize="165,501" path="m11741,4926r,500l11906,5426r,-485l11741,4926xe" fillcolor="#49783f" stroked="f">
              <v:path arrowok="t"/>
            </v:shape>
            <v:shape id="_x0000_s2148" style="position:absolute;left:11741;top:5781;width:165;height:268" coordorigin="11741,5782" coordsize="165,268" path="m11906,5782r-165,8l11741,6039r165,10l11906,5782xe" fillcolor="#f99f2a" stroked="f">
              <v:path arrowok="t"/>
            </v:shape>
            <v:shape id="_x0000_s2147" style="position:absolute;left:11741;top:6023;width:165;height:707" coordorigin="11741,6023" coordsize="165,707" path="m11741,6023r,706l11906,6729r,-690l11741,6023xe" fillcolor="#ef412c" stroked="f">
              <v:path arrowok="t"/>
            </v:shape>
            <w10:wrap anchorx="page" anchory="page"/>
          </v:group>
        </w:pict>
      </w:r>
    </w:p>
    <w:p w14:paraId="41F07DFA" w14:textId="77777777" w:rsidR="00EF5B27" w:rsidRDefault="00EF5B27">
      <w:pPr>
        <w:pStyle w:val="BodyText"/>
      </w:pPr>
    </w:p>
    <w:p w14:paraId="421DAD48" w14:textId="77777777" w:rsidR="00EF5B27" w:rsidRDefault="00EF5B27">
      <w:pPr>
        <w:pStyle w:val="BodyText"/>
      </w:pPr>
    </w:p>
    <w:p w14:paraId="078D6E77" w14:textId="77777777" w:rsidR="00EF5B27" w:rsidRDefault="00EF5B27">
      <w:pPr>
        <w:pStyle w:val="BodyText"/>
        <w:spacing w:before="4"/>
        <w:rPr>
          <w:sz w:val="25"/>
        </w:rPr>
      </w:pPr>
    </w:p>
    <w:p w14:paraId="57D36D66" w14:textId="77777777" w:rsidR="00EF5B27" w:rsidRDefault="00000000">
      <w:pPr>
        <w:pStyle w:val="BodyText"/>
        <w:spacing w:before="100" w:line="254" w:lineRule="auto"/>
        <w:ind w:left="2608" w:right="119"/>
      </w:pPr>
      <w:r>
        <w:rPr>
          <w:color w:val="4D4D4F"/>
        </w:rPr>
        <w:t>The fit of the best supported model (the model with the lowest AIC; model 11 was tested with 2,000 chi-squared simulations using the parboot function. The mean, lower and upper 95% confidence intervals for occupancy and detection probabilities were calculated using the predict function.</w:t>
      </w:r>
    </w:p>
    <w:p w14:paraId="6518B54C" w14:textId="77777777" w:rsidR="00EF5B27" w:rsidRDefault="00EF5B27">
      <w:pPr>
        <w:pStyle w:val="BodyText"/>
        <w:spacing w:before="11"/>
      </w:pPr>
    </w:p>
    <w:p w14:paraId="7FF01D3E" w14:textId="77777777" w:rsidR="00EF5B27" w:rsidRDefault="00000000">
      <w:pPr>
        <w:pStyle w:val="Heading4"/>
      </w:pPr>
      <w:r>
        <w:rPr>
          <w:color w:val="F99F2A"/>
        </w:rPr>
        <w:t>Changes to the MRF</w:t>
      </w:r>
    </w:p>
    <w:p w14:paraId="399EBE4C" w14:textId="77777777" w:rsidR="00EF5B27" w:rsidRDefault="00000000">
      <w:pPr>
        <w:pStyle w:val="BodyText"/>
        <w:spacing w:before="226"/>
        <w:ind w:left="2608"/>
      </w:pPr>
      <w:r>
        <w:rPr>
          <w:color w:val="4D4D4F"/>
        </w:rPr>
        <w:t>The following changes have been adopted since the MRF was published in 2015.</w:t>
      </w:r>
    </w:p>
    <w:p w14:paraId="19F73D4F" w14:textId="77777777" w:rsidR="00EF5B27" w:rsidRDefault="00000000">
      <w:pPr>
        <w:pStyle w:val="ListParagraph"/>
        <w:numPr>
          <w:ilvl w:val="0"/>
          <w:numId w:val="34"/>
        </w:numPr>
        <w:tabs>
          <w:tab w:val="left" w:pos="2779"/>
        </w:tabs>
        <w:spacing w:before="130" w:line="254" w:lineRule="auto"/>
        <w:ind w:right="187"/>
        <w:rPr>
          <w:sz w:val="20"/>
        </w:rPr>
      </w:pPr>
      <w:r>
        <w:rPr>
          <w:color w:val="4D4D4F"/>
          <w:sz w:val="20"/>
        </w:rPr>
        <w:t xml:space="preserve">Detection probability has been added to ‘other measures’ so that the adequacy of survey length (number of days) can be adequately demonstrated. Mean deployment length should be such that a cumulative detection probability of </w:t>
      </w:r>
      <w:r>
        <w:rPr>
          <w:color w:val="4D4D4F"/>
          <w:spacing w:val="-3"/>
          <w:sz w:val="20"/>
        </w:rPr>
        <w:t xml:space="preserve">0.99 </w:t>
      </w:r>
      <w:r>
        <w:rPr>
          <w:color w:val="4D4D4F"/>
          <w:sz w:val="20"/>
        </w:rPr>
        <w:t>is achieved, in this case 20 days would have been</w:t>
      </w:r>
      <w:r>
        <w:rPr>
          <w:color w:val="4D4D4F"/>
          <w:spacing w:val="27"/>
          <w:sz w:val="20"/>
        </w:rPr>
        <w:t xml:space="preserve"> </w:t>
      </w:r>
      <w:r>
        <w:rPr>
          <w:color w:val="4D4D4F"/>
          <w:sz w:val="20"/>
        </w:rPr>
        <w:t>adequate.</w:t>
      </w:r>
    </w:p>
    <w:p w14:paraId="3CF7AF0E" w14:textId="77777777" w:rsidR="00EF5B27" w:rsidRDefault="00000000">
      <w:pPr>
        <w:pStyle w:val="ListParagraph"/>
        <w:numPr>
          <w:ilvl w:val="0"/>
          <w:numId w:val="34"/>
        </w:numPr>
        <w:tabs>
          <w:tab w:val="left" w:pos="2779"/>
        </w:tabs>
        <w:spacing w:before="118" w:line="254" w:lineRule="auto"/>
        <w:ind w:right="419"/>
        <w:rPr>
          <w:sz w:val="20"/>
        </w:rPr>
      </w:pPr>
      <w:r>
        <w:rPr>
          <w:color w:val="4D4D4F"/>
          <w:sz w:val="20"/>
        </w:rPr>
        <w:t>The source of the other measure ‘fox occupancy’ has been changed from fox bait take to the percentage monitoring of sites at which foxes were detected, so that available data can be utilised. The frequency of this measure has been changed from as required by the baiting program to five</w:t>
      </w:r>
      <w:r>
        <w:rPr>
          <w:color w:val="4D4D4F"/>
          <w:spacing w:val="36"/>
          <w:sz w:val="20"/>
        </w:rPr>
        <w:t xml:space="preserve"> </w:t>
      </w:r>
      <w:r>
        <w:rPr>
          <w:color w:val="4D4D4F"/>
          <w:sz w:val="20"/>
        </w:rPr>
        <w:t>yearly.</w:t>
      </w:r>
    </w:p>
    <w:p w14:paraId="05037E23" w14:textId="77777777" w:rsidR="00EF5B27" w:rsidRDefault="00000000">
      <w:pPr>
        <w:pStyle w:val="ListParagraph"/>
        <w:numPr>
          <w:ilvl w:val="0"/>
          <w:numId w:val="34"/>
        </w:numPr>
        <w:tabs>
          <w:tab w:val="left" w:pos="2779"/>
        </w:tabs>
        <w:spacing w:before="118"/>
        <w:rPr>
          <w:sz w:val="20"/>
        </w:rPr>
      </w:pPr>
      <w:r>
        <w:rPr>
          <w:color w:val="4D4D4F"/>
          <w:sz w:val="20"/>
        </w:rPr>
        <w:t xml:space="preserve">The KPI </w:t>
      </w:r>
      <w:r>
        <w:rPr>
          <w:color w:val="4D4D4F"/>
          <w:spacing w:val="-3"/>
          <w:sz w:val="20"/>
        </w:rPr>
        <w:t xml:space="preserve">and </w:t>
      </w:r>
      <w:r>
        <w:rPr>
          <w:color w:val="4D4D4F"/>
          <w:spacing w:val="-4"/>
          <w:sz w:val="20"/>
        </w:rPr>
        <w:t xml:space="preserve">baselines </w:t>
      </w:r>
      <w:r>
        <w:rPr>
          <w:color w:val="4D4D4F"/>
          <w:sz w:val="20"/>
        </w:rPr>
        <w:t xml:space="preserve">are reported by </w:t>
      </w:r>
      <w:r>
        <w:rPr>
          <w:color w:val="4D4D4F"/>
          <w:spacing w:val="-3"/>
          <w:sz w:val="20"/>
        </w:rPr>
        <w:t xml:space="preserve">three </w:t>
      </w:r>
      <w:r>
        <w:rPr>
          <w:color w:val="4D4D4F"/>
          <w:spacing w:val="-4"/>
          <w:sz w:val="20"/>
        </w:rPr>
        <w:t xml:space="preserve">habitat </w:t>
      </w:r>
      <w:r>
        <w:rPr>
          <w:color w:val="4D4D4F"/>
          <w:sz w:val="20"/>
        </w:rPr>
        <w:t xml:space="preserve">types: </w:t>
      </w:r>
      <w:r>
        <w:rPr>
          <w:color w:val="4D4D4F"/>
          <w:spacing w:val="-3"/>
          <w:sz w:val="20"/>
        </w:rPr>
        <w:t>canal, roadside and</w:t>
      </w:r>
      <w:r>
        <w:rPr>
          <w:color w:val="4D4D4F"/>
          <w:spacing w:val="38"/>
          <w:sz w:val="20"/>
        </w:rPr>
        <w:t xml:space="preserve"> </w:t>
      </w:r>
      <w:r>
        <w:rPr>
          <w:color w:val="4D4D4F"/>
          <w:sz w:val="20"/>
        </w:rPr>
        <w:t>reserve.</w:t>
      </w:r>
    </w:p>
    <w:p w14:paraId="720AB437" w14:textId="77777777" w:rsidR="00EF5B27" w:rsidRDefault="00000000">
      <w:pPr>
        <w:pStyle w:val="ListParagraph"/>
        <w:numPr>
          <w:ilvl w:val="0"/>
          <w:numId w:val="34"/>
        </w:numPr>
        <w:tabs>
          <w:tab w:val="left" w:pos="2779"/>
        </w:tabs>
        <w:spacing w:before="129"/>
        <w:rPr>
          <w:sz w:val="20"/>
        </w:rPr>
      </w:pPr>
      <w:r>
        <w:rPr>
          <w:color w:val="4D4D4F"/>
          <w:sz w:val="20"/>
        </w:rPr>
        <w:t>The other measure: ‘extent of development’ has been</w:t>
      </w:r>
      <w:r>
        <w:rPr>
          <w:color w:val="4D4D4F"/>
          <w:spacing w:val="19"/>
          <w:sz w:val="20"/>
        </w:rPr>
        <w:t xml:space="preserve"> </w:t>
      </w:r>
      <w:r>
        <w:rPr>
          <w:color w:val="4D4D4F"/>
          <w:sz w:val="20"/>
        </w:rPr>
        <w:t>removed.</w:t>
      </w:r>
    </w:p>
    <w:p w14:paraId="1FB0A854" w14:textId="77777777" w:rsidR="00EF5B27" w:rsidRDefault="00EF5B27">
      <w:pPr>
        <w:pStyle w:val="BodyText"/>
        <w:spacing w:before="1"/>
        <w:rPr>
          <w:sz w:val="27"/>
        </w:rPr>
      </w:pPr>
    </w:p>
    <w:p w14:paraId="57366C37" w14:textId="77777777" w:rsidR="00EF5B27" w:rsidRDefault="00000000">
      <w:pPr>
        <w:pStyle w:val="Heading2"/>
        <w:spacing w:before="0"/>
      </w:pPr>
      <w:r>
        <w:rPr>
          <w:color w:val="F99F2A"/>
          <w:w w:val="105"/>
        </w:rPr>
        <w:t>MNES 8: Growling Grass Frog</w:t>
      </w:r>
    </w:p>
    <w:p w14:paraId="5DE261AE" w14:textId="77777777" w:rsidR="00EF5B27" w:rsidRDefault="00000000">
      <w:pPr>
        <w:pStyle w:val="Heading6"/>
        <w:spacing w:before="326" w:line="254" w:lineRule="auto"/>
        <w:ind w:right="465"/>
        <w:rPr>
          <w:sz w:val="11"/>
        </w:rPr>
      </w:pPr>
      <w:r>
        <w:rPr>
          <w:color w:val="4D4D4F"/>
        </w:rPr>
        <w:t>The following is an extract from the 2015 Technical Protocols for Program Outcomes document.</w:t>
      </w:r>
      <w:r>
        <w:rPr>
          <w:color w:val="4D4D4F"/>
          <w:position w:val="7"/>
          <w:sz w:val="11"/>
        </w:rPr>
        <w:t>336</w:t>
      </w:r>
    </w:p>
    <w:p w14:paraId="50CA3909" w14:textId="77777777" w:rsidR="00EF5B27" w:rsidRDefault="00000000">
      <w:pPr>
        <w:spacing w:before="233"/>
        <w:ind w:left="2608"/>
        <w:rPr>
          <w:b/>
          <w:sz w:val="28"/>
        </w:rPr>
      </w:pPr>
      <w:r>
        <w:rPr>
          <w:b/>
          <w:color w:val="F99F2A"/>
          <w:spacing w:val="-4"/>
          <w:sz w:val="28"/>
        </w:rPr>
        <w:t xml:space="preserve">Predicted </w:t>
      </w:r>
      <w:r>
        <w:rPr>
          <w:b/>
          <w:color w:val="F99F2A"/>
          <w:spacing w:val="-5"/>
          <w:sz w:val="28"/>
        </w:rPr>
        <w:t xml:space="preserve">risk </w:t>
      </w:r>
      <w:r>
        <w:rPr>
          <w:b/>
          <w:color w:val="F99F2A"/>
          <w:sz w:val="28"/>
        </w:rPr>
        <w:t xml:space="preserve">of </w:t>
      </w:r>
      <w:r>
        <w:rPr>
          <w:b/>
          <w:color w:val="F99F2A"/>
          <w:spacing w:val="-5"/>
          <w:sz w:val="28"/>
        </w:rPr>
        <w:t xml:space="preserve">extinction </w:t>
      </w:r>
      <w:r>
        <w:rPr>
          <w:b/>
          <w:color w:val="F99F2A"/>
          <w:spacing w:val="-6"/>
          <w:sz w:val="28"/>
        </w:rPr>
        <w:t xml:space="preserve">using </w:t>
      </w:r>
      <w:r>
        <w:rPr>
          <w:b/>
          <w:color w:val="F99F2A"/>
          <w:sz w:val="28"/>
        </w:rPr>
        <w:t xml:space="preserve">a </w:t>
      </w:r>
      <w:r>
        <w:rPr>
          <w:b/>
          <w:color w:val="F99F2A"/>
          <w:spacing w:val="-5"/>
          <w:sz w:val="28"/>
        </w:rPr>
        <w:t xml:space="preserve">stochastic </w:t>
      </w:r>
      <w:r>
        <w:rPr>
          <w:b/>
          <w:color w:val="F99F2A"/>
          <w:spacing w:val="-4"/>
          <w:sz w:val="28"/>
        </w:rPr>
        <w:t xml:space="preserve">patch </w:t>
      </w:r>
      <w:r>
        <w:rPr>
          <w:b/>
          <w:color w:val="F99F2A"/>
          <w:spacing w:val="-3"/>
          <w:sz w:val="28"/>
        </w:rPr>
        <w:t xml:space="preserve">occupancy </w:t>
      </w:r>
      <w:r>
        <w:rPr>
          <w:b/>
          <w:color w:val="F99F2A"/>
          <w:spacing w:val="-4"/>
          <w:sz w:val="28"/>
        </w:rPr>
        <w:t xml:space="preserve">model </w:t>
      </w:r>
      <w:r>
        <w:rPr>
          <w:b/>
          <w:color w:val="F99F2A"/>
          <w:spacing w:val="-7"/>
          <w:sz w:val="28"/>
        </w:rPr>
        <w:t>(SPOM)</w:t>
      </w:r>
    </w:p>
    <w:p w14:paraId="78FAEC87" w14:textId="77777777" w:rsidR="00EF5B27" w:rsidRDefault="00000000">
      <w:pPr>
        <w:pStyle w:val="BodyText"/>
        <w:spacing w:before="219" w:line="254" w:lineRule="auto"/>
        <w:ind w:left="2608" w:right="151"/>
      </w:pPr>
      <w:r>
        <w:rPr>
          <w:color w:val="4D4D4F"/>
        </w:rPr>
        <w:t>The predicted risk of extinction will be determined using a SPOM which simulates the stochastic changes in the occupancy of each patch though time. Changes in occupancy is a function of the per time-step probabilities of extinction and colonisation.</w:t>
      </w:r>
      <w:r>
        <w:rPr>
          <w:color w:val="4D4D4F"/>
          <w:spacing w:val="17"/>
        </w:rPr>
        <w:t xml:space="preserve"> </w:t>
      </w:r>
      <w:r>
        <w:rPr>
          <w:color w:val="4D4D4F"/>
        </w:rPr>
        <w:t>From</w:t>
      </w:r>
    </w:p>
    <w:p w14:paraId="4D50E437" w14:textId="77777777" w:rsidR="00EF5B27" w:rsidRDefault="00000000">
      <w:pPr>
        <w:pStyle w:val="BodyText"/>
        <w:spacing w:before="4" w:line="254" w:lineRule="auto"/>
        <w:ind w:left="2608" w:right="151"/>
        <w:rPr>
          <w:sz w:val="11"/>
        </w:rPr>
      </w:pPr>
      <w:r>
        <w:rPr>
          <w:color w:val="4D4D4F"/>
        </w:rPr>
        <w:t>this process the predicted risk of metapopulation extinction over a 50-year period will be derived by calculating the proportion of simulations in each time-step where the number of extant populations is zero. The predicted risk of extinction will initially be determined assuming that all development of category 2 Growling Grass Frog habitat has occurred. Program interventions will then be updated in the model to determine the predicted risk of extinction resulting from those interventions. Full details of the derivation of these parameters are given in Heard et al. (2013).</w:t>
      </w:r>
      <w:r>
        <w:rPr>
          <w:color w:val="4D4D4F"/>
          <w:position w:val="7"/>
          <w:sz w:val="11"/>
        </w:rPr>
        <w:t>337</w:t>
      </w:r>
    </w:p>
    <w:p w14:paraId="334FDE7C" w14:textId="77777777" w:rsidR="00EF5B27" w:rsidRDefault="00000000">
      <w:pPr>
        <w:pStyle w:val="BodyText"/>
        <w:spacing w:before="122" w:line="254" w:lineRule="auto"/>
        <w:ind w:left="2608" w:right="151"/>
      </w:pPr>
      <w:r>
        <w:rPr>
          <w:color w:val="4D4D4F"/>
        </w:rPr>
        <w:t>It is important to note here that the probability of occupancy for each time step is calculated according to the probability of occupancy at the previous time-step. For this reason empirical data derived from regular surveys can improve model performance. The baseline may also be adjusted as a result of the new data.</w:t>
      </w:r>
    </w:p>
    <w:p w14:paraId="1A16FFFC" w14:textId="77777777" w:rsidR="00EF5B27" w:rsidRDefault="00EF5B27">
      <w:pPr>
        <w:pStyle w:val="BodyText"/>
      </w:pPr>
    </w:p>
    <w:p w14:paraId="7F671E37" w14:textId="77777777" w:rsidR="00EF5B27" w:rsidRDefault="00EF5B27">
      <w:pPr>
        <w:pStyle w:val="BodyText"/>
      </w:pPr>
    </w:p>
    <w:p w14:paraId="31FF229C" w14:textId="77777777" w:rsidR="00EF5B27" w:rsidRDefault="00000000">
      <w:pPr>
        <w:pStyle w:val="BodyText"/>
        <w:spacing w:before="4"/>
        <w:rPr>
          <w:sz w:val="14"/>
        </w:rPr>
      </w:pPr>
      <w:r>
        <w:pict w14:anchorId="60CD7ECC">
          <v:line id="_x0000_s2145" style="position:absolute;z-index:251771392;mso-wrap-distance-left:0;mso-wrap-distance-right:0;mso-position-horizontal-relative:page" from="181.4pt,11pt" to="538.6pt,11pt" strokecolor="#4d4d4f" strokeweight=".5pt">
            <w10:wrap type="topAndBottom" anchorx="page"/>
          </v:line>
        </w:pict>
      </w:r>
    </w:p>
    <w:p w14:paraId="23DF939D" w14:textId="77777777" w:rsidR="00EF5B27" w:rsidRDefault="00000000">
      <w:pPr>
        <w:pStyle w:val="ListParagraph"/>
        <w:numPr>
          <w:ilvl w:val="0"/>
          <w:numId w:val="4"/>
        </w:numPr>
        <w:tabs>
          <w:tab w:val="left" w:pos="2836"/>
        </w:tabs>
        <w:spacing w:before="83" w:line="143" w:lineRule="exact"/>
        <w:rPr>
          <w:sz w:val="12"/>
        </w:rPr>
      </w:pPr>
      <w:r>
        <w:rPr>
          <w:color w:val="4D4D4F"/>
          <w:sz w:val="12"/>
        </w:rPr>
        <w:t>DELWP</w:t>
      </w:r>
      <w:r>
        <w:rPr>
          <w:color w:val="4D4D4F"/>
          <w:spacing w:val="5"/>
          <w:sz w:val="12"/>
        </w:rPr>
        <w:t xml:space="preserve"> </w:t>
      </w:r>
      <w:r>
        <w:rPr>
          <w:color w:val="4D4D4F"/>
          <w:sz w:val="12"/>
        </w:rPr>
        <w:t>2015c,</w:t>
      </w:r>
      <w:r>
        <w:rPr>
          <w:color w:val="4D4D4F"/>
          <w:spacing w:val="6"/>
          <w:sz w:val="12"/>
        </w:rPr>
        <w:t xml:space="preserve"> </w:t>
      </w:r>
      <w:r>
        <w:rPr>
          <w:color w:val="4D4D4F"/>
          <w:sz w:val="12"/>
        </w:rPr>
        <w:t>‘Technical</w:t>
      </w:r>
      <w:r>
        <w:rPr>
          <w:color w:val="4D4D4F"/>
          <w:spacing w:val="6"/>
          <w:sz w:val="12"/>
        </w:rPr>
        <w:t xml:space="preserve"> </w:t>
      </w:r>
      <w:r>
        <w:rPr>
          <w:color w:val="4D4D4F"/>
          <w:spacing w:val="2"/>
          <w:sz w:val="12"/>
        </w:rPr>
        <w:t>Protocols</w:t>
      </w:r>
      <w:r>
        <w:rPr>
          <w:color w:val="4D4D4F"/>
          <w:spacing w:val="6"/>
          <w:sz w:val="12"/>
        </w:rPr>
        <w:t xml:space="preserve"> </w:t>
      </w:r>
      <w:r>
        <w:rPr>
          <w:color w:val="4D4D4F"/>
          <w:sz w:val="12"/>
        </w:rPr>
        <w:t>for</w:t>
      </w:r>
      <w:r>
        <w:rPr>
          <w:color w:val="4D4D4F"/>
          <w:spacing w:val="6"/>
          <w:sz w:val="12"/>
        </w:rPr>
        <w:t xml:space="preserve"> </w:t>
      </w:r>
      <w:r>
        <w:rPr>
          <w:color w:val="4D4D4F"/>
          <w:spacing w:val="2"/>
          <w:sz w:val="12"/>
        </w:rPr>
        <w:t>Program</w:t>
      </w:r>
      <w:r>
        <w:rPr>
          <w:color w:val="4D4D4F"/>
          <w:spacing w:val="5"/>
          <w:sz w:val="12"/>
        </w:rPr>
        <w:t xml:space="preserve"> </w:t>
      </w:r>
      <w:r>
        <w:rPr>
          <w:color w:val="4D4D4F"/>
          <w:sz w:val="12"/>
        </w:rPr>
        <w:t>Outcomes.</w:t>
      </w:r>
      <w:r>
        <w:rPr>
          <w:color w:val="4D4D4F"/>
          <w:spacing w:val="6"/>
          <w:sz w:val="12"/>
        </w:rPr>
        <w:t xml:space="preserve"> </w:t>
      </w:r>
      <w:r>
        <w:rPr>
          <w:color w:val="4D4D4F"/>
          <w:sz w:val="12"/>
        </w:rPr>
        <w:t>Melbourne</w:t>
      </w:r>
      <w:r>
        <w:rPr>
          <w:color w:val="4D4D4F"/>
          <w:spacing w:val="6"/>
          <w:sz w:val="12"/>
        </w:rPr>
        <w:t xml:space="preserve"> </w:t>
      </w:r>
      <w:r>
        <w:rPr>
          <w:color w:val="4D4D4F"/>
          <w:sz w:val="12"/>
        </w:rPr>
        <w:t>Strategic</w:t>
      </w:r>
      <w:r>
        <w:rPr>
          <w:color w:val="4D4D4F"/>
          <w:spacing w:val="6"/>
          <w:sz w:val="12"/>
        </w:rPr>
        <w:t xml:space="preserve"> </w:t>
      </w:r>
      <w:r>
        <w:rPr>
          <w:color w:val="4D4D4F"/>
          <w:sz w:val="12"/>
        </w:rPr>
        <w:t>Assessment’,</w:t>
      </w:r>
      <w:r>
        <w:rPr>
          <w:color w:val="4D4D4F"/>
          <w:spacing w:val="6"/>
          <w:sz w:val="12"/>
        </w:rPr>
        <w:t xml:space="preserve"> </w:t>
      </w:r>
      <w:r>
        <w:rPr>
          <w:color w:val="4D4D4F"/>
          <w:sz w:val="12"/>
        </w:rPr>
        <w:t>East</w:t>
      </w:r>
      <w:r>
        <w:rPr>
          <w:color w:val="4D4D4F"/>
          <w:spacing w:val="6"/>
          <w:sz w:val="12"/>
        </w:rPr>
        <w:t xml:space="preserve"> </w:t>
      </w:r>
      <w:r>
        <w:rPr>
          <w:color w:val="4D4D4F"/>
          <w:sz w:val="12"/>
        </w:rPr>
        <w:t>Melbourne,</w:t>
      </w:r>
      <w:r>
        <w:rPr>
          <w:color w:val="4D4D4F"/>
          <w:spacing w:val="5"/>
          <w:sz w:val="12"/>
        </w:rPr>
        <w:t xml:space="preserve"> </w:t>
      </w:r>
      <w:r>
        <w:rPr>
          <w:color w:val="4D4D4F"/>
          <w:sz w:val="12"/>
        </w:rPr>
        <w:t>Victoria.</w:t>
      </w:r>
    </w:p>
    <w:p w14:paraId="532EB8D0" w14:textId="77777777" w:rsidR="00EF5B27" w:rsidRDefault="00000000">
      <w:pPr>
        <w:pStyle w:val="ListParagraph"/>
        <w:numPr>
          <w:ilvl w:val="0"/>
          <w:numId w:val="4"/>
        </w:numPr>
        <w:tabs>
          <w:tab w:val="left" w:pos="2836"/>
        </w:tabs>
        <w:spacing w:before="2" w:line="230" w:lineRule="auto"/>
        <w:ind w:right="112"/>
        <w:rPr>
          <w:sz w:val="12"/>
        </w:rPr>
      </w:pPr>
      <w:r>
        <w:rPr>
          <w:color w:val="4D4D4F"/>
          <w:w w:val="105"/>
          <w:sz w:val="12"/>
        </w:rPr>
        <w:t xml:space="preserve">Heard GW, </w:t>
      </w:r>
      <w:r>
        <w:rPr>
          <w:color w:val="4D4D4F"/>
          <w:spacing w:val="2"/>
          <w:w w:val="105"/>
          <w:sz w:val="12"/>
        </w:rPr>
        <w:t xml:space="preserve">McCarthy MA, Scroggie </w:t>
      </w:r>
      <w:r>
        <w:rPr>
          <w:color w:val="4D4D4F"/>
          <w:spacing w:val="-3"/>
          <w:w w:val="105"/>
          <w:sz w:val="12"/>
        </w:rPr>
        <w:t xml:space="preserve">MP, </w:t>
      </w:r>
      <w:r>
        <w:rPr>
          <w:color w:val="4D4D4F"/>
          <w:w w:val="105"/>
          <w:sz w:val="12"/>
        </w:rPr>
        <w:t xml:space="preserve">Baumgartner JB and </w:t>
      </w:r>
      <w:r>
        <w:rPr>
          <w:color w:val="4D4D4F"/>
          <w:spacing w:val="2"/>
          <w:w w:val="105"/>
          <w:sz w:val="12"/>
        </w:rPr>
        <w:t xml:space="preserve">Parris </w:t>
      </w:r>
      <w:r>
        <w:rPr>
          <w:color w:val="4D4D4F"/>
          <w:w w:val="105"/>
          <w:sz w:val="12"/>
        </w:rPr>
        <w:t xml:space="preserve">KM 2013. ‘A Bayesian model of metapopulation viability, with application to an endangered amphibian.’ </w:t>
      </w:r>
      <w:r>
        <w:rPr>
          <w:color w:val="4D4D4F"/>
          <w:spacing w:val="2"/>
          <w:w w:val="105"/>
          <w:sz w:val="12"/>
        </w:rPr>
        <w:t xml:space="preserve">Diversity </w:t>
      </w:r>
      <w:r>
        <w:rPr>
          <w:color w:val="4D4D4F"/>
          <w:w w:val="105"/>
          <w:sz w:val="12"/>
        </w:rPr>
        <w:t xml:space="preserve">and Distribution. </w:t>
      </w:r>
      <w:r>
        <w:rPr>
          <w:color w:val="4D4D4F"/>
          <w:spacing w:val="-3"/>
          <w:w w:val="105"/>
          <w:sz w:val="12"/>
        </w:rPr>
        <w:t>19,</w:t>
      </w:r>
      <w:r>
        <w:rPr>
          <w:color w:val="4D4D4F"/>
          <w:spacing w:val="-10"/>
          <w:w w:val="105"/>
          <w:sz w:val="12"/>
        </w:rPr>
        <w:t xml:space="preserve"> </w:t>
      </w:r>
      <w:r>
        <w:rPr>
          <w:color w:val="4D4D4F"/>
          <w:spacing w:val="2"/>
          <w:w w:val="105"/>
          <w:sz w:val="12"/>
        </w:rPr>
        <w:t>555–566.</w:t>
      </w:r>
    </w:p>
    <w:p w14:paraId="4274E80B"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19F6B7BA" w14:textId="77777777" w:rsidR="00EF5B27" w:rsidRDefault="00000000">
      <w:pPr>
        <w:pStyle w:val="BodyText"/>
      </w:pPr>
      <w:r>
        <w:lastRenderedPageBreak/>
        <w:pict w14:anchorId="46865397">
          <v:group id="_x0000_s2137" style="position:absolute;margin-left:587.05pt;margin-top:183.4pt;width:8.25pt;height:153.1pt;z-index:251807232;mso-position-horizontal-relative:page;mso-position-vertical-relative:page" coordorigin="11741,3668" coordsize="165,3062">
            <v:shape id="_x0000_s2144" style="position:absolute;left:11741;top:3668;width:165;height:561" coordorigin="11741,3668" coordsize="165,561" path="m11906,3668r-165,l11741,4228r165,-18l11906,3668xe" fillcolor="#00aed9" stroked="f">
              <v:path arrowok="t"/>
            </v:shape>
            <v:shape id="_x0000_s2143" style="position:absolute;left:11741;top:4118;width:165;height:425" coordorigin="11741,4118" coordsize="165,425" path="m11906,4118r-165,14l11741,4531r165,12l11906,4118xe" fillcolor="#047ebc" stroked="f">
              <v:path arrowok="t"/>
            </v:shape>
            <v:shape id="_x0000_s2142" type="#_x0000_t75" style="position:absolute;left:11741;top:4355;width:165;height:587">
              <v:imagedata r:id="rId42" o:title=""/>
            </v:shape>
            <v:shape id="_x0000_s2141" style="position:absolute;left:11741;top:5343;width:165;height:536" coordorigin="11741,5343" coordsize="165,536" path="m11741,5343r,535l11906,5872r,-525l11741,5343xe" fillcolor="#f36a2e" stroked="f">
              <v:path arrowok="t"/>
            </v:shape>
            <v:shape id="_x0000_s2140" style="position:absolute;left:11741;top:4925;width:165;height:501" coordorigin="11741,4926" coordsize="165,501" path="m11741,4926r,500l11906,5426r,-485l11741,4926xe" fillcolor="#49783f" stroked="f">
              <v:path arrowok="t"/>
            </v:shape>
            <v:shape id="_x0000_s2139" style="position:absolute;left:11741;top:5781;width:165;height:268" coordorigin="11741,5782" coordsize="165,268" path="m11906,5782r-165,8l11741,6039r165,10l11906,5782xe" fillcolor="#f99f2a" stroked="f">
              <v:path arrowok="t"/>
            </v:shape>
            <v:shape id="_x0000_s2138" style="position:absolute;left:11741;top:6023;width:165;height:707" coordorigin="11741,6023" coordsize="165,707" path="m11741,6023r,706l11906,6729r,-690l11741,6023xe" fillcolor="#ef412c" stroked="f">
              <v:path arrowok="t"/>
            </v:shape>
            <w10:wrap anchorx="page" anchory="page"/>
          </v:group>
        </w:pict>
      </w:r>
    </w:p>
    <w:p w14:paraId="28F32A39" w14:textId="77777777" w:rsidR="00EF5B27" w:rsidRDefault="00EF5B27">
      <w:pPr>
        <w:pStyle w:val="BodyText"/>
      </w:pPr>
    </w:p>
    <w:p w14:paraId="13A78368" w14:textId="77777777" w:rsidR="00EF5B27" w:rsidRDefault="00EF5B27">
      <w:pPr>
        <w:pStyle w:val="BodyText"/>
      </w:pPr>
    </w:p>
    <w:p w14:paraId="1C68F730" w14:textId="77777777" w:rsidR="00EF5B27" w:rsidRDefault="00EF5B27">
      <w:pPr>
        <w:pStyle w:val="BodyText"/>
        <w:spacing w:before="12"/>
        <w:rPr>
          <w:sz w:val="22"/>
        </w:rPr>
      </w:pPr>
    </w:p>
    <w:p w14:paraId="01DFAE14" w14:textId="77777777" w:rsidR="00EF5B27" w:rsidRDefault="00000000">
      <w:pPr>
        <w:spacing w:before="115"/>
        <w:ind w:left="2608"/>
        <w:rPr>
          <w:b/>
          <w:sz w:val="28"/>
        </w:rPr>
      </w:pPr>
      <w:r>
        <w:rPr>
          <w:b/>
          <w:color w:val="F99F2A"/>
          <w:w w:val="105"/>
          <w:sz w:val="28"/>
        </w:rPr>
        <w:t>Surveys</w:t>
      </w:r>
    </w:p>
    <w:p w14:paraId="7D25ED3C" w14:textId="77777777" w:rsidR="00EF5B27" w:rsidRDefault="00000000">
      <w:pPr>
        <w:pStyle w:val="BodyText"/>
        <w:spacing w:before="221" w:line="254" w:lineRule="auto"/>
        <w:ind w:left="2608"/>
      </w:pPr>
      <w:r>
        <w:rPr>
          <w:color w:val="4D4D4F"/>
        </w:rPr>
        <w:t>At least 40 wetlands per metapopulation will be sampled in a given year and where possible sampling will be balanced between on-stream and off-stream habitat within conservation areas.</w:t>
      </w:r>
    </w:p>
    <w:p w14:paraId="330B0AF0" w14:textId="77777777" w:rsidR="00EF5B27" w:rsidRDefault="00000000">
      <w:pPr>
        <w:pStyle w:val="BodyText"/>
        <w:spacing w:before="117" w:line="254" w:lineRule="auto"/>
        <w:ind w:left="2608" w:right="221"/>
        <w:rPr>
          <w:sz w:val="11"/>
        </w:rPr>
      </w:pPr>
      <w:r>
        <w:rPr>
          <w:color w:val="4D4D4F"/>
        </w:rPr>
        <w:t xml:space="preserve">Frog surveys will be undertaken by experienced observers. Surveys will be conducted at night, between October and March, with at least two repeat surveys requires per wetland wherever possible. The number of surveys required to achieve a detection probability of </w:t>
      </w:r>
      <w:r>
        <w:rPr>
          <w:color w:val="4D4D4F"/>
          <w:spacing w:val="-3"/>
        </w:rPr>
        <w:t xml:space="preserve">0.95 </w:t>
      </w:r>
      <w:r>
        <w:rPr>
          <w:color w:val="4D4D4F"/>
        </w:rPr>
        <w:t>is two from October to December and three from January to February.</w:t>
      </w:r>
      <w:r>
        <w:rPr>
          <w:color w:val="4D4D4F"/>
          <w:spacing w:val="5"/>
        </w:rPr>
        <w:t xml:space="preserve"> </w:t>
      </w:r>
      <w:r>
        <w:rPr>
          <w:color w:val="4D4D4F"/>
        </w:rPr>
        <w:t>Each</w:t>
      </w:r>
      <w:r>
        <w:rPr>
          <w:color w:val="4D4D4F"/>
          <w:spacing w:val="5"/>
        </w:rPr>
        <w:t xml:space="preserve"> </w:t>
      </w:r>
      <w:r>
        <w:rPr>
          <w:color w:val="4D4D4F"/>
        </w:rPr>
        <w:t>repeat</w:t>
      </w:r>
      <w:r>
        <w:rPr>
          <w:color w:val="4D4D4F"/>
          <w:spacing w:val="5"/>
        </w:rPr>
        <w:t xml:space="preserve"> </w:t>
      </w:r>
      <w:r>
        <w:rPr>
          <w:color w:val="4D4D4F"/>
        </w:rPr>
        <w:t>survey</w:t>
      </w:r>
      <w:r>
        <w:rPr>
          <w:color w:val="4D4D4F"/>
          <w:spacing w:val="6"/>
        </w:rPr>
        <w:t xml:space="preserve"> </w:t>
      </w:r>
      <w:r>
        <w:rPr>
          <w:color w:val="4D4D4F"/>
        </w:rPr>
        <w:t>will</w:t>
      </w:r>
      <w:r>
        <w:rPr>
          <w:color w:val="4D4D4F"/>
          <w:spacing w:val="5"/>
        </w:rPr>
        <w:t xml:space="preserve"> </w:t>
      </w:r>
      <w:r>
        <w:rPr>
          <w:color w:val="4D4D4F"/>
        </w:rPr>
        <w:t>consist</w:t>
      </w:r>
      <w:r>
        <w:rPr>
          <w:color w:val="4D4D4F"/>
          <w:spacing w:val="5"/>
        </w:rPr>
        <w:t xml:space="preserve"> </w:t>
      </w:r>
      <w:r>
        <w:rPr>
          <w:color w:val="4D4D4F"/>
        </w:rPr>
        <w:t>of</w:t>
      </w:r>
      <w:r>
        <w:rPr>
          <w:color w:val="4D4D4F"/>
          <w:spacing w:val="6"/>
        </w:rPr>
        <w:t xml:space="preserve"> </w:t>
      </w:r>
      <w:r>
        <w:rPr>
          <w:color w:val="4D4D4F"/>
        </w:rPr>
        <w:t>the</w:t>
      </w:r>
      <w:r>
        <w:rPr>
          <w:color w:val="4D4D4F"/>
          <w:spacing w:val="5"/>
        </w:rPr>
        <w:t xml:space="preserve"> </w:t>
      </w:r>
      <w:r>
        <w:rPr>
          <w:color w:val="4D4D4F"/>
        </w:rPr>
        <w:t>following</w:t>
      </w:r>
      <w:r>
        <w:rPr>
          <w:color w:val="4D4D4F"/>
          <w:spacing w:val="5"/>
        </w:rPr>
        <w:t xml:space="preserve"> </w:t>
      </w:r>
      <w:r>
        <w:rPr>
          <w:color w:val="4D4D4F"/>
        </w:rPr>
        <w:t>(from</w:t>
      </w:r>
      <w:r>
        <w:rPr>
          <w:color w:val="4D4D4F"/>
          <w:spacing w:val="6"/>
        </w:rPr>
        <w:t xml:space="preserve"> </w:t>
      </w:r>
      <w:r>
        <w:rPr>
          <w:color w:val="4D4D4F"/>
        </w:rPr>
        <w:t>Heard</w:t>
      </w:r>
      <w:r>
        <w:rPr>
          <w:color w:val="4D4D4F"/>
          <w:spacing w:val="5"/>
        </w:rPr>
        <w:t xml:space="preserve"> </w:t>
      </w:r>
      <w:r>
        <w:rPr>
          <w:color w:val="4D4D4F"/>
        </w:rPr>
        <w:t>et</w:t>
      </w:r>
      <w:r>
        <w:rPr>
          <w:color w:val="4D4D4F"/>
          <w:spacing w:val="5"/>
        </w:rPr>
        <w:t xml:space="preserve"> </w:t>
      </w:r>
      <w:r>
        <w:rPr>
          <w:color w:val="4D4D4F"/>
        </w:rPr>
        <w:t>al.</w:t>
      </w:r>
      <w:r>
        <w:rPr>
          <w:color w:val="4D4D4F"/>
          <w:spacing w:val="5"/>
        </w:rPr>
        <w:t xml:space="preserve"> </w:t>
      </w:r>
      <w:r>
        <w:rPr>
          <w:color w:val="4D4D4F"/>
        </w:rPr>
        <w:t>2010).</w:t>
      </w:r>
      <w:r>
        <w:rPr>
          <w:color w:val="4D4D4F"/>
          <w:position w:val="7"/>
          <w:sz w:val="11"/>
        </w:rPr>
        <w:t>338</w:t>
      </w:r>
    </w:p>
    <w:p w14:paraId="49AF7892" w14:textId="77777777" w:rsidR="00EF5B27" w:rsidRDefault="00000000">
      <w:pPr>
        <w:pStyle w:val="ListParagraph"/>
        <w:numPr>
          <w:ilvl w:val="0"/>
          <w:numId w:val="2"/>
        </w:numPr>
        <w:tabs>
          <w:tab w:val="left" w:pos="2789"/>
        </w:tabs>
        <w:spacing w:before="120"/>
        <w:ind w:hanging="180"/>
        <w:rPr>
          <w:sz w:val="20"/>
        </w:rPr>
      </w:pPr>
      <w:r>
        <w:rPr>
          <w:color w:val="4D4D4F"/>
          <w:sz w:val="20"/>
        </w:rPr>
        <w:t>Ten-minute quiet observation from the waterline, listening for males</w:t>
      </w:r>
      <w:r>
        <w:rPr>
          <w:color w:val="4D4D4F"/>
          <w:spacing w:val="28"/>
          <w:sz w:val="20"/>
        </w:rPr>
        <w:t xml:space="preserve"> </w:t>
      </w:r>
      <w:r>
        <w:rPr>
          <w:color w:val="4D4D4F"/>
          <w:sz w:val="20"/>
        </w:rPr>
        <w:t>calling.</w:t>
      </w:r>
    </w:p>
    <w:p w14:paraId="6BB15BA4" w14:textId="77777777" w:rsidR="00EF5B27" w:rsidRDefault="00000000">
      <w:pPr>
        <w:pStyle w:val="ListParagraph"/>
        <w:numPr>
          <w:ilvl w:val="0"/>
          <w:numId w:val="2"/>
        </w:numPr>
        <w:tabs>
          <w:tab w:val="left" w:pos="2800"/>
        </w:tabs>
        <w:spacing w:before="129"/>
        <w:ind w:left="2799" w:hanging="191"/>
        <w:rPr>
          <w:sz w:val="20"/>
        </w:rPr>
      </w:pPr>
      <w:r>
        <w:rPr>
          <w:color w:val="4D4D4F"/>
          <w:sz w:val="20"/>
        </w:rPr>
        <w:t>Systematic search of the site with spotlights looking for active</w:t>
      </w:r>
      <w:r>
        <w:rPr>
          <w:color w:val="4D4D4F"/>
          <w:spacing w:val="7"/>
          <w:sz w:val="20"/>
        </w:rPr>
        <w:t xml:space="preserve"> </w:t>
      </w:r>
      <w:r>
        <w:rPr>
          <w:color w:val="4D4D4F"/>
          <w:sz w:val="20"/>
        </w:rPr>
        <w:t>frogs.</w:t>
      </w:r>
    </w:p>
    <w:p w14:paraId="0E15A448" w14:textId="77777777" w:rsidR="00EF5B27" w:rsidRDefault="00000000">
      <w:pPr>
        <w:pStyle w:val="ListParagraph"/>
        <w:numPr>
          <w:ilvl w:val="0"/>
          <w:numId w:val="2"/>
        </w:numPr>
        <w:tabs>
          <w:tab w:val="left" w:pos="2801"/>
        </w:tabs>
        <w:spacing w:before="129" w:line="254" w:lineRule="auto"/>
        <w:ind w:left="2608" w:right="353" w:firstLine="0"/>
        <w:rPr>
          <w:sz w:val="20"/>
        </w:rPr>
      </w:pPr>
      <w:r>
        <w:rPr>
          <w:color w:val="4D4D4F"/>
          <w:sz w:val="20"/>
        </w:rPr>
        <w:t>Where appropriate, within 20 m of the waterline, an active search by lifting rocks, logs or other surface debris (e.g. sheets of</w:t>
      </w:r>
      <w:r>
        <w:rPr>
          <w:color w:val="4D4D4F"/>
          <w:spacing w:val="34"/>
          <w:sz w:val="20"/>
        </w:rPr>
        <w:t xml:space="preserve"> </w:t>
      </w:r>
      <w:r>
        <w:rPr>
          <w:color w:val="4D4D4F"/>
          <w:spacing w:val="-3"/>
          <w:sz w:val="20"/>
        </w:rPr>
        <w:t>tin).</w:t>
      </w:r>
    </w:p>
    <w:p w14:paraId="6F4C21D0" w14:textId="77777777" w:rsidR="00EF5B27" w:rsidRDefault="00000000">
      <w:pPr>
        <w:pStyle w:val="ListParagraph"/>
        <w:numPr>
          <w:ilvl w:val="0"/>
          <w:numId w:val="2"/>
        </w:numPr>
        <w:tabs>
          <w:tab w:val="left" w:pos="2803"/>
        </w:tabs>
        <w:spacing w:before="116" w:line="254" w:lineRule="auto"/>
        <w:ind w:left="2608" w:right="131" w:firstLine="0"/>
        <w:rPr>
          <w:sz w:val="20"/>
        </w:rPr>
      </w:pPr>
      <w:r>
        <w:rPr>
          <w:color w:val="4D4D4F"/>
          <w:sz w:val="20"/>
        </w:rPr>
        <w:t>The detection or non-detection of frogs during the call and visual surveys should be recorded</w:t>
      </w:r>
      <w:r>
        <w:rPr>
          <w:color w:val="4D4D4F"/>
          <w:spacing w:val="4"/>
          <w:sz w:val="20"/>
        </w:rPr>
        <w:t xml:space="preserve"> </w:t>
      </w:r>
      <w:r>
        <w:rPr>
          <w:color w:val="4D4D4F"/>
          <w:sz w:val="20"/>
        </w:rPr>
        <w:t>separately.</w:t>
      </w:r>
    </w:p>
    <w:p w14:paraId="56BA2997" w14:textId="77777777" w:rsidR="00EF5B27" w:rsidRDefault="00000000">
      <w:pPr>
        <w:pStyle w:val="ListParagraph"/>
        <w:numPr>
          <w:ilvl w:val="0"/>
          <w:numId w:val="2"/>
        </w:numPr>
        <w:tabs>
          <w:tab w:val="left" w:pos="2800"/>
        </w:tabs>
        <w:spacing w:before="116"/>
        <w:ind w:left="2799" w:hanging="191"/>
        <w:rPr>
          <w:sz w:val="20"/>
        </w:rPr>
      </w:pPr>
      <w:r>
        <w:rPr>
          <w:color w:val="4D4D4F"/>
          <w:sz w:val="20"/>
        </w:rPr>
        <w:t>Other information to be recorded at each</w:t>
      </w:r>
      <w:r>
        <w:rPr>
          <w:color w:val="4D4D4F"/>
          <w:spacing w:val="20"/>
          <w:sz w:val="20"/>
        </w:rPr>
        <w:t xml:space="preserve"> </w:t>
      </w:r>
      <w:r>
        <w:rPr>
          <w:color w:val="4D4D4F"/>
          <w:sz w:val="20"/>
        </w:rPr>
        <w:t>wetland:</w:t>
      </w:r>
    </w:p>
    <w:p w14:paraId="3EDA579A" w14:textId="77777777" w:rsidR="00EF5B27" w:rsidRDefault="00000000">
      <w:pPr>
        <w:pStyle w:val="ListParagraph"/>
        <w:numPr>
          <w:ilvl w:val="1"/>
          <w:numId w:val="2"/>
        </w:numPr>
        <w:tabs>
          <w:tab w:val="left" w:pos="3366"/>
        </w:tabs>
        <w:spacing w:before="129"/>
        <w:ind w:hanging="190"/>
        <w:rPr>
          <w:sz w:val="20"/>
        </w:rPr>
      </w:pPr>
      <w:r>
        <w:rPr>
          <w:color w:val="4D4D4F"/>
          <w:sz w:val="20"/>
        </w:rPr>
        <w:t>Site location (coordinates) and unique site</w:t>
      </w:r>
      <w:r>
        <w:rPr>
          <w:color w:val="4D4D4F"/>
          <w:spacing w:val="20"/>
          <w:sz w:val="20"/>
        </w:rPr>
        <w:t xml:space="preserve"> </w:t>
      </w:r>
      <w:r>
        <w:rPr>
          <w:color w:val="4D4D4F"/>
          <w:sz w:val="20"/>
        </w:rPr>
        <w:t>code</w:t>
      </w:r>
    </w:p>
    <w:p w14:paraId="595F8F4D" w14:textId="77777777" w:rsidR="00EF5B27" w:rsidRDefault="00000000">
      <w:pPr>
        <w:pStyle w:val="ListParagraph"/>
        <w:numPr>
          <w:ilvl w:val="1"/>
          <w:numId w:val="2"/>
        </w:numPr>
        <w:tabs>
          <w:tab w:val="left" w:pos="3371"/>
        </w:tabs>
        <w:spacing w:before="130"/>
        <w:ind w:left="3370" w:hanging="195"/>
        <w:rPr>
          <w:sz w:val="20"/>
        </w:rPr>
      </w:pPr>
      <w:r>
        <w:rPr>
          <w:color w:val="4D4D4F"/>
          <w:sz w:val="20"/>
        </w:rPr>
        <w:t>Date of survey and survey number (e.g. 1 of</w:t>
      </w:r>
      <w:r>
        <w:rPr>
          <w:color w:val="4D4D4F"/>
          <w:spacing w:val="35"/>
          <w:sz w:val="20"/>
        </w:rPr>
        <w:t xml:space="preserve"> </w:t>
      </w:r>
      <w:r>
        <w:rPr>
          <w:color w:val="4D4D4F"/>
          <w:spacing w:val="-4"/>
          <w:sz w:val="20"/>
        </w:rPr>
        <w:t>3)</w:t>
      </w:r>
    </w:p>
    <w:p w14:paraId="42096D71" w14:textId="77777777" w:rsidR="00EF5B27" w:rsidRDefault="00000000">
      <w:pPr>
        <w:pStyle w:val="ListParagraph"/>
        <w:numPr>
          <w:ilvl w:val="1"/>
          <w:numId w:val="2"/>
        </w:numPr>
        <w:tabs>
          <w:tab w:val="left" w:pos="3360"/>
        </w:tabs>
        <w:spacing w:before="129"/>
        <w:ind w:left="3359" w:hanging="184"/>
        <w:rPr>
          <w:sz w:val="20"/>
        </w:rPr>
      </w:pPr>
      <w:r>
        <w:rPr>
          <w:color w:val="4D4D4F"/>
          <w:sz w:val="20"/>
        </w:rPr>
        <w:t>Start and finish</w:t>
      </w:r>
      <w:r>
        <w:rPr>
          <w:color w:val="4D4D4F"/>
          <w:spacing w:val="12"/>
          <w:sz w:val="20"/>
        </w:rPr>
        <w:t xml:space="preserve"> </w:t>
      </w:r>
      <w:r>
        <w:rPr>
          <w:color w:val="4D4D4F"/>
          <w:sz w:val="20"/>
        </w:rPr>
        <w:t>times</w:t>
      </w:r>
    </w:p>
    <w:p w14:paraId="7EB8542D" w14:textId="77777777" w:rsidR="00EF5B27" w:rsidRDefault="00000000">
      <w:pPr>
        <w:pStyle w:val="ListParagraph"/>
        <w:numPr>
          <w:ilvl w:val="1"/>
          <w:numId w:val="2"/>
        </w:numPr>
        <w:tabs>
          <w:tab w:val="left" w:pos="3372"/>
        </w:tabs>
        <w:spacing w:before="129"/>
        <w:ind w:left="3371" w:hanging="196"/>
        <w:rPr>
          <w:sz w:val="20"/>
        </w:rPr>
      </w:pPr>
      <w:r>
        <w:rPr>
          <w:color w:val="4D4D4F"/>
          <w:sz w:val="20"/>
        </w:rPr>
        <w:t>Air temperature, wind strength, relative humidity and rain</w:t>
      </w:r>
      <w:r>
        <w:rPr>
          <w:color w:val="4D4D4F"/>
          <w:spacing w:val="25"/>
          <w:sz w:val="20"/>
        </w:rPr>
        <w:t xml:space="preserve"> </w:t>
      </w:r>
      <w:r>
        <w:rPr>
          <w:color w:val="4D4D4F"/>
          <w:sz w:val="20"/>
        </w:rPr>
        <w:t>intensity</w:t>
      </w:r>
    </w:p>
    <w:p w14:paraId="0082312C" w14:textId="77777777" w:rsidR="00EF5B27" w:rsidRDefault="00000000">
      <w:pPr>
        <w:pStyle w:val="ListParagraph"/>
        <w:numPr>
          <w:ilvl w:val="1"/>
          <w:numId w:val="2"/>
        </w:numPr>
        <w:tabs>
          <w:tab w:val="left" w:pos="3364"/>
        </w:tabs>
        <w:spacing w:before="129"/>
        <w:ind w:left="3363" w:hanging="188"/>
        <w:rPr>
          <w:sz w:val="20"/>
        </w:rPr>
      </w:pPr>
      <w:r>
        <w:rPr>
          <w:color w:val="4D4D4F"/>
          <w:sz w:val="20"/>
        </w:rPr>
        <w:t>Water</w:t>
      </w:r>
      <w:r>
        <w:rPr>
          <w:color w:val="4D4D4F"/>
          <w:spacing w:val="3"/>
          <w:sz w:val="20"/>
        </w:rPr>
        <w:t xml:space="preserve"> </w:t>
      </w:r>
      <w:r>
        <w:rPr>
          <w:color w:val="4D4D4F"/>
          <w:sz w:val="20"/>
        </w:rPr>
        <w:t>temperature</w:t>
      </w:r>
    </w:p>
    <w:p w14:paraId="1DA50AFA" w14:textId="77777777" w:rsidR="00EF5B27" w:rsidRDefault="00000000">
      <w:pPr>
        <w:pStyle w:val="ListParagraph"/>
        <w:numPr>
          <w:ilvl w:val="1"/>
          <w:numId w:val="2"/>
        </w:numPr>
        <w:tabs>
          <w:tab w:val="left" w:pos="3319"/>
        </w:tabs>
        <w:spacing w:before="130"/>
        <w:ind w:left="3318" w:hanging="143"/>
        <w:rPr>
          <w:sz w:val="20"/>
        </w:rPr>
      </w:pPr>
      <w:r>
        <w:rPr>
          <w:color w:val="4D4D4F"/>
          <w:sz w:val="20"/>
        </w:rPr>
        <w:t>Salinity (measured via electrical</w:t>
      </w:r>
      <w:r>
        <w:rPr>
          <w:color w:val="4D4D4F"/>
          <w:spacing w:val="19"/>
          <w:sz w:val="20"/>
        </w:rPr>
        <w:t xml:space="preserve"> </w:t>
      </w:r>
      <w:r>
        <w:rPr>
          <w:color w:val="4D4D4F"/>
          <w:sz w:val="20"/>
        </w:rPr>
        <w:t>conductivity)</w:t>
      </w:r>
    </w:p>
    <w:p w14:paraId="5FA2CFD1" w14:textId="77777777" w:rsidR="00EF5B27" w:rsidRDefault="00000000">
      <w:pPr>
        <w:pStyle w:val="ListParagraph"/>
        <w:numPr>
          <w:ilvl w:val="1"/>
          <w:numId w:val="2"/>
        </w:numPr>
        <w:tabs>
          <w:tab w:val="left" w:pos="3372"/>
        </w:tabs>
        <w:spacing w:before="129"/>
        <w:ind w:left="3371" w:hanging="196"/>
        <w:rPr>
          <w:sz w:val="20"/>
        </w:rPr>
      </w:pPr>
      <w:r>
        <w:rPr>
          <w:color w:val="4D4D4F"/>
          <w:sz w:val="20"/>
        </w:rPr>
        <w:t>Names of</w:t>
      </w:r>
      <w:r>
        <w:rPr>
          <w:color w:val="4D4D4F"/>
          <w:spacing w:val="8"/>
          <w:sz w:val="20"/>
        </w:rPr>
        <w:t xml:space="preserve"> </w:t>
      </w:r>
      <w:r>
        <w:rPr>
          <w:color w:val="4D4D4F"/>
          <w:sz w:val="20"/>
        </w:rPr>
        <w:t>personnel</w:t>
      </w:r>
    </w:p>
    <w:p w14:paraId="040B76B5" w14:textId="77777777" w:rsidR="00EF5B27" w:rsidRDefault="00000000">
      <w:pPr>
        <w:pStyle w:val="ListParagraph"/>
        <w:numPr>
          <w:ilvl w:val="1"/>
          <w:numId w:val="2"/>
        </w:numPr>
        <w:tabs>
          <w:tab w:val="left" w:pos="3374"/>
        </w:tabs>
        <w:spacing w:before="129" w:line="254" w:lineRule="auto"/>
        <w:ind w:left="3175" w:right="307" w:firstLine="0"/>
        <w:rPr>
          <w:sz w:val="20"/>
        </w:rPr>
      </w:pPr>
      <w:r>
        <w:rPr>
          <w:color w:val="4D4D4F"/>
          <w:sz w:val="20"/>
        </w:rPr>
        <w:t xml:space="preserve">Vegetation structure should be visually assessed, using the protocols used by Heard et al. </w:t>
      </w:r>
      <w:r>
        <w:rPr>
          <w:color w:val="4D4D4F"/>
          <w:spacing w:val="-3"/>
          <w:sz w:val="20"/>
        </w:rPr>
        <w:t>(2012,</w:t>
      </w:r>
      <w:r>
        <w:rPr>
          <w:color w:val="4D4D4F"/>
          <w:spacing w:val="17"/>
          <w:sz w:val="20"/>
        </w:rPr>
        <w:t xml:space="preserve"> </w:t>
      </w:r>
      <w:r>
        <w:rPr>
          <w:color w:val="4D4D4F"/>
          <w:spacing w:val="-5"/>
          <w:sz w:val="20"/>
        </w:rPr>
        <w:t>2013).</w:t>
      </w:r>
    </w:p>
    <w:p w14:paraId="46D5BD98" w14:textId="77777777" w:rsidR="00EF5B27" w:rsidRDefault="00000000">
      <w:pPr>
        <w:pStyle w:val="BodyText"/>
        <w:spacing w:before="116" w:line="254" w:lineRule="auto"/>
        <w:ind w:left="2608" w:right="115"/>
        <w:jc w:val="both"/>
      </w:pPr>
      <w:r>
        <w:rPr>
          <w:color w:val="4D4D4F"/>
        </w:rPr>
        <w:t>Repeat surveys at most monitoring sites in each year are necessary to provide a basis for assessing the likely rate of false-negatives (i.e. failure to detect at occupied sites) in the data.</w:t>
      </w:r>
    </w:p>
    <w:p w14:paraId="10D740C5" w14:textId="77777777" w:rsidR="00EF5B27" w:rsidRDefault="00EF5B27">
      <w:pPr>
        <w:pStyle w:val="BodyText"/>
        <w:spacing w:before="2"/>
        <w:rPr>
          <w:sz w:val="19"/>
        </w:rPr>
      </w:pPr>
    </w:p>
    <w:p w14:paraId="2CDC8329" w14:textId="77777777" w:rsidR="00EF5B27" w:rsidRDefault="00000000">
      <w:pPr>
        <w:pStyle w:val="Heading3"/>
      </w:pPr>
      <w:r>
        <w:rPr>
          <w:color w:val="F99F2A"/>
        </w:rPr>
        <w:t>Changes to the MRF</w:t>
      </w:r>
    </w:p>
    <w:p w14:paraId="22A07B36" w14:textId="77777777" w:rsidR="00EF5B27" w:rsidRDefault="00000000">
      <w:pPr>
        <w:pStyle w:val="BodyText"/>
        <w:spacing w:before="221"/>
        <w:ind w:left="2608"/>
      </w:pPr>
      <w:r>
        <w:rPr>
          <w:color w:val="4D4D4F"/>
        </w:rPr>
        <w:t>No changes have been adopted since the MRF was published in 2015.</w:t>
      </w:r>
    </w:p>
    <w:p w14:paraId="01A38CC1" w14:textId="77777777" w:rsidR="00EF5B27" w:rsidRDefault="00EF5B27">
      <w:pPr>
        <w:pStyle w:val="BodyText"/>
      </w:pPr>
    </w:p>
    <w:p w14:paraId="7A5B7C2F" w14:textId="77777777" w:rsidR="00EF5B27" w:rsidRDefault="00EF5B27">
      <w:pPr>
        <w:pStyle w:val="BodyText"/>
      </w:pPr>
    </w:p>
    <w:p w14:paraId="22B8207F" w14:textId="77777777" w:rsidR="00EF5B27" w:rsidRDefault="00EF5B27">
      <w:pPr>
        <w:pStyle w:val="BodyText"/>
      </w:pPr>
    </w:p>
    <w:p w14:paraId="0CC36C1A" w14:textId="77777777" w:rsidR="00EF5B27" w:rsidRDefault="00EF5B27">
      <w:pPr>
        <w:pStyle w:val="BodyText"/>
      </w:pPr>
    </w:p>
    <w:p w14:paraId="4016CB41" w14:textId="77777777" w:rsidR="00EF5B27" w:rsidRDefault="00EF5B27">
      <w:pPr>
        <w:pStyle w:val="BodyText"/>
      </w:pPr>
    </w:p>
    <w:p w14:paraId="45806417" w14:textId="77777777" w:rsidR="00EF5B27" w:rsidRDefault="00EF5B27">
      <w:pPr>
        <w:pStyle w:val="BodyText"/>
      </w:pPr>
    </w:p>
    <w:p w14:paraId="698C9A46" w14:textId="77777777" w:rsidR="00EF5B27" w:rsidRDefault="00EF5B27">
      <w:pPr>
        <w:pStyle w:val="BodyText"/>
      </w:pPr>
    </w:p>
    <w:p w14:paraId="52075A0D" w14:textId="77777777" w:rsidR="00EF5B27" w:rsidRDefault="00EF5B27">
      <w:pPr>
        <w:pStyle w:val="BodyText"/>
      </w:pPr>
    </w:p>
    <w:p w14:paraId="7F1690C4" w14:textId="77777777" w:rsidR="00EF5B27" w:rsidRDefault="00EF5B27">
      <w:pPr>
        <w:pStyle w:val="BodyText"/>
        <w:spacing w:before="3"/>
      </w:pPr>
    </w:p>
    <w:p w14:paraId="1FBCAC8F" w14:textId="77777777" w:rsidR="00EF5B27" w:rsidRDefault="00000000">
      <w:pPr>
        <w:pStyle w:val="ListParagraph"/>
        <w:numPr>
          <w:ilvl w:val="0"/>
          <w:numId w:val="1"/>
        </w:numPr>
        <w:tabs>
          <w:tab w:val="left" w:pos="2836"/>
        </w:tabs>
        <w:spacing w:line="230" w:lineRule="auto"/>
        <w:ind w:right="112"/>
        <w:jc w:val="both"/>
        <w:rPr>
          <w:sz w:val="12"/>
        </w:rPr>
      </w:pPr>
      <w:r>
        <w:rPr>
          <w:color w:val="4D4D4F"/>
          <w:sz w:val="12"/>
        </w:rPr>
        <w:t xml:space="preserve">Heard GW, </w:t>
      </w:r>
      <w:r>
        <w:rPr>
          <w:color w:val="4D4D4F"/>
          <w:spacing w:val="2"/>
          <w:sz w:val="12"/>
        </w:rPr>
        <w:t xml:space="preserve">Scroggie </w:t>
      </w:r>
      <w:r>
        <w:rPr>
          <w:color w:val="4D4D4F"/>
          <w:spacing w:val="-3"/>
          <w:sz w:val="12"/>
        </w:rPr>
        <w:t xml:space="preserve">MP, </w:t>
      </w:r>
      <w:r>
        <w:rPr>
          <w:color w:val="4D4D4F"/>
          <w:sz w:val="12"/>
        </w:rPr>
        <w:t xml:space="preserve">Clemann N 2010, ‘Guidelines for managing the  endangered  Growling  Grass  Frog  in  urbanising  landscapes.’ </w:t>
      </w:r>
      <w:r>
        <w:rPr>
          <w:color w:val="4D4D4F"/>
          <w:spacing w:val="2"/>
          <w:sz w:val="12"/>
        </w:rPr>
        <w:t xml:space="preserve">Arthur Rylah </w:t>
      </w:r>
      <w:r>
        <w:rPr>
          <w:color w:val="4D4D4F"/>
          <w:sz w:val="12"/>
        </w:rPr>
        <w:t xml:space="preserve">Institute for Environmental Research Technical </w:t>
      </w:r>
      <w:r>
        <w:rPr>
          <w:color w:val="4D4D4F"/>
          <w:spacing w:val="2"/>
          <w:sz w:val="12"/>
        </w:rPr>
        <w:t xml:space="preserve">Report </w:t>
      </w:r>
      <w:r>
        <w:rPr>
          <w:color w:val="4D4D4F"/>
          <w:sz w:val="12"/>
        </w:rPr>
        <w:t xml:space="preserve">Series No. </w:t>
      </w:r>
      <w:r>
        <w:rPr>
          <w:color w:val="4D4D4F"/>
          <w:spacing w:val="2"/>
          <w:sz w:val="12"/>
        </w:rPr>
        <w:t xml:space="preserve">208. </w:t>
      </w:r>
      <w:r>
        <w:rPr>
          <w:color w:val="4D4D4F"/>
          <w:sz w:val="12"/>
        </w:rPr>
        <w:t>Department of Sustainability and Environment, Heidelberg,</w:t>
      </w:r>
      <w:r>
        <w:rPr>
          <w:color w:val="4D4D4F"/>
          <w:spacing w:val="2"/>
          <w:sz w:val="12"/>
        </w:rPr>
        <w:t xml:space="preserve"> </w:t>
      </w:r>
      <w:r>
        <w:rPr>
          <w:color w:val="4D4D4F"/>
          <w:sz w:val="12"/>
        </w:rPr>
        <w:t>Victoria.</w:t>
      </w:r>
    </w:p>
    <w:p w14:paraId="2434BF72" w14:textId="77777777" w:rsidR="00EF5B27" w:rsidRDefault="00EF5B27">
      <w:pPr>
        <w:spacing w:line="230" w:lineRule="auto"/>
        <w:jc w:val="both"/>
        <w:rPr>
          <w:sz w:val="12"/>
        </w:rPr>
        <w:sectPr w:rsidR="00EF5B27">
          <w:footerReference w:type="default" r:id="rId187"/>
          <w:pgSz w:w="11910" w:h="16840"/>
          <w:pgMar w:top="1080" w:right="1020" w:bottom="1580" w:left="1020" w:header="537" w:footer="1395" w:gutter="0"/>
          <w:cols w:space="720"/>
        </w:sectPr>
      </w:pPr>
    </w:p>
    <w:p w14:paraId="16A1358F" w14:textId="77777777" w:rsidR="00EF5B27" w:rsidRDefault="00000000">
      <w:pPr>
        <w:pStyle w:val="BodyText"/>
      </w:pPr>
      <w:r>
        <w:lastRenderedPageBreak/>
        <w:pict w14:anchorId="2A41AEE2">
          <v:group id="_x0000_s2129" style="position:absolute;margin-left:587.05pt;margin-top:183.4pt;width:8.25pt;height:153.1pt;z-index:251808256;mso-position-horizontal-relative:page;mso-position-vertical-relative:page" coordorigin="11741,3668" coordsize="165,3062">
            <v:shape id="_x0000_s2136" style="position:absolute;left:11741;top:3668;width:165;height:561" coordorigin="11741,3668" coordsize="165,561" path="m11906,3668r-165,l11741,4228r165,-18l11906,3668xe" fillcolor="#00aed9" stroked="f">
              <v:path arrowok="t"/>
            </v:shape>
            <v:shape id="_x0000_s2135" style="position:absolute;left:11741;top:4118;width:165;height:425" coordorigin="11741,4118" coordsize="165,425" path="m11906,4118r-165,14l11741,4531r165,12l11906,4118xe" fillcolor="#047ebc" stroked="f">
              <v:path arrowok="t"/>
            </v:shape>
            <v:shape id="_x0000_s2134" type="#_x0000_t75" style="position:absolute;left:11741;top:4355;width:165;height:587">
              <v:imagedata r:id="rId42" o:title=""/>
            </v:shape>
            <v:shape id="_x0000_s2133" style="position:absolute;left:11741;top:5343;width:165;height:536" coordorigin="11741,5343" coordsize="165,536" path="m11741,5343r,535l11906,5872r,-525l11741,5343xe" fillcolor="#f36a2e" stroked="f">
              <v:path arrowok="t"/>
            </v:shape>
            <v:shape id="_x0000_s2132" style="position:absolute;left:11741;top:4925;width:165;height:501" coordorigin="11741,4926" coordsize="165,501" path="m11741,4926r,500l11906,5426r,-485l11741,4926xe" fillcolor="#49783f" stroked="f">
              <v:path arrowok="t"/>
            </v:shape>
            <v:shape id="_x0000_s2131" style="position:absolute;left:11741;top:5781;width:165;height:268" coordorigin="11741,5782" coordsize="165,268" path="m11906,5782r-165,8l11741,6039r165,10l11906,5782xe" fillcolor="#f99f2a" stroked="f">
              <v:path arrowok="t"/>
            </v:shape>
            <v:shape id="_x0000_s2130" style="position:absolute;left:11741;top:6023;width:165;height:707" coordorigin="11741,6023" coordsize="165,707" path="m11741,6023r,706l11906,6729r,-690l11741,6023xe" fillcolor="#ef412c" stroked="f">
              <v:path arrowok="t"/>
            </v:shape>
            <w10:wrap anchorx="page" anchory="page"/>
          </v:group>
        </w:pict>
      </w:r>
    </w:p>
    <w:p w14:paraId="41906AD1" w14:textId="77777777" w:rsidR="00EF5B27" w:rsidRDefault="00EF5B27">
      <w:pPr>
        <w:pStyle w:val="BodyText"/>
      </w:pPr>
    </w:p>
    <w:p w14:paraId="5C5EB2C9" w14:textId="77777777" w:rsidR="00EF5B27" w:rsidRDefault="00EF5B27">
      <w:pPr>
        <w:pStyle w:val="BodyText"/>
      </w:pPr>
    </w:p>
    <w:p w14:paraId="37FDA136" w14:textId="77777777" w:rsidR="00EF5B27" w:rsidRDefault="00EF5B27">
      <w:pPr>
        <w:pStyle w:val="BodyText"/>
        <w:spacing w:before="8"/>
      </w:pPr>
    </w:p>
    <w:p w14:paraId="181E6671" w14:textId="77777777" w:rsidR="00EF5B27" w:rsidRDefault="00000000">
      <w:pPr>
        <w:pStyle w:val="Heading2"/>
      </w:pPr>
      <w:r>
        <w:rPr>
          <w:color w:val="F99F2A"/>
        </w:rPr>
        <w:t>MNES 9: Small Golden Moths Orchid</w:t>
      </w:r>
    </w:p>
    <w:p w14:paraId="614CBE03" w14:textId="77777777" w:rsidR="00EF5B27" w:rsidRDefault="00000000">
      <w:pPr>
        <w:spacing w:before="314" w:line="232" w:lineRule="auto"/>
        <w:ind w:left="2608"/>
        <w:rPr>
          <w:b/>
          <w:sz w:val="13"/>
        </w:rPr>
      </w:pPr>
      <w:r>
        <w:rPr>
          <w:b/>
          <w:color w:val="4D4D4F"/>
        </w:rPr>
        <w:t>The following is an extract from the 2015 Technical Protocols for Program Outcomes document.</w:t>
      </w:r>
      <w:r>
        <w:rPr>
          <w:b/>
          <w:color w:val="4D4D4F"/>
          <w:position w:val="7"/>
          <w:sz w:val="13"/>
        </w:rPr>
        <w:t>339</w:t>
      </w:r>
    </w:p>
    <w:p w14:paraId="5822656F" w14:textId="77777777" w:rsidR="00EF5B27" w:rsidRDefault="00000000">
      <w:pPr>
        <w:pStyle w:val="Heading3"/>
        <w:spacing w:before="243"/>
      </w:pPr>
      <w:r>
        <w:rPr>
          <w:color w:val="F99F2A"/>
        </w:rPr>
        <w:t>General protocol</w:t>
      </w:r>
    </w:p>
    <w:p w14:paraId="3A9A4631" w14:textId="77777777" w:rsidR="00EF5B27" w:rsidRDefault="00000000">
      <w:pPr>
        <w:pStyle w:val="BodyText"/>
        <w:spacing w:before="221" w:line="254" w:lineRule="auto"/>
        <w:ind w:left="2608" w:right="221"/>
      </w:pPr>
      <w:r>
        <w:rPr>
          <w:color w:val="4D4D4F"/>
        </w:rPr>
        <w:t>Monitoring for this species will include an annual intensive count of known plants and a five-yearly broad area survey to locate any new or previously undetected plants.</w:t>
      </w:r>
    </w:p>
    <w:p w14:paraId="4B838ABC" w14:textId="77777777" w:rsidR="00EF5B27" w:rsidRDefault="00000000">
      <w:pPr>
        <w:pStyle w:val="BodyText"/>
        <w:spacing w:before="2" w:line="254" w:lineRule="auto"/>
        <w:ind w:left="2608"/>
      </w:pPr>
      <w:r>
        <w:rPr>
          <w:color w:val="4D4D4F"/>
        </w:rPr>
        <w:t>All surveys will be undertaken by trained botanists, familiar with identification of this species.</w:t>
      </w:r>
    </w:p>
    <w:p w14:paraId="106E2C56" w14:textId="77777777" w:rsidR="00EF5B27" w:rsidRDefault="00EF5B27">
      <w:pPr>
        <w:pStyle w:val="BodyText"/>
        <w:spacing w:before="1"/>
        <w:rPr>
          <w:sz w:val="19"/>
        </w:rPr>
      </w:pPr>
    </w:p>
    <w:p w14:paraId="6DA79124" w14:textId="77777777" w:rsidR="00EF5B27" w:rsidRDefault="00000000">
      <w:pPr>
        <w:pStyle w:val="Heading3"/>
      </w:pPr>
      <w:r>
        <w:rPr>
          <w:color w:val="F99F2A"/>
          <w:w w:val="105"/>
        </w:rPr>
        <w:t>Broad area survey</w:t>
      </w:r>
    </w:p>
    <w:p w14:paraId="5078113B" w14:textId="77777777" w:rsidR="00EF5B27" w:rsidRDefault="00000000">
      <w:pPr>
        <w:pStyle w:val="BodyText"/>
        <w:spacing w:before="222" w:line="254" w:lineRule="auto"/>
        <w:ind w:left="2608" w:right="582"/>
      </w:pPr>
      <w:r>
        <w:rPr>
          <w:color w:val="4D4D4F"/>
        </w:rPr>
        <w:t>Transects 50 m apart will be established, running north-south across the area of high-quality native vegetation in the south-east corner of the Conservation Area (~30 ha, transect length ~6 km).</w:t>
      </w:r>
    </w:p>
    <w:p w14:paraId="2939E7B7" w14:textId="77777777" w:rsidR="00EF5B27" w:rsidRDefault="00000000">
      <w:pPr>
        <w:pStyle w:val="BodyText"/>
        <w:spacing w:before="117" w:line="254" w:lineRule="auto"/>
        <w:ind w:left="2608" w:right="221"/>
      </w:pPr>
      <w:r>
        <w:rPr>
          <w:color w:val="4D4D4F"/>
        </w:rPr>
        <w:t>Each transect will be examined once (single experienced observer each transect) and any plants visible from the transect will be recorded, in order to detect the spatial distribution of clusters of plants in the Conservation Area. New plants will be marked so that they can be included in the intensive surveys.</w:t>
      </w:r>
    </w:p>
    <w:p w14:paraId="2D7B24CF" w14:textId="77777777" w:rsidR="00EF5B27" w:rsidRDefault="00EF5B27">
      <w:pPr>
        <w:pStyle w:val="BodyText"/>
        <w:spacing w:before="3"/>
        <w:rPr>
          <w:sz w:val="19"/>
        </w:rPr>
      </w:pPr>
    </w:p>
    <w:p w14:paraId="683FDE0E" w14:textId="77777777" w:rsidR="00EF5B27" w:rsidRDefault="00000000">
      <w:pPr>
        <w:pStyle w:val="Heading3"/>
      </w:pPr>
      <w:r>
        <w:rPr>
          <w:color w:val="F99F2A"/>
        </w:rPr>
        <w:t>Intensive count</w:t>
      </w:r>
    </w:p>
    <w:p w14:paraId="7536BC83" w14:textId="77777777" w:rsidR="00EF5B27" w:rsidRDefault="00000000">
      <w:pPr>
        <w:pStyle w:val="BodyText"/>
        <w:spacing w:before="221" w:line="254" w:lineRule="auto"/>
        <w:ind w:left="2608" w:right="144"/>
        <w:jc w:val="both"/>
      </w:pPr>
      <w:r>
        <w:rPr>
          <w:color w:val="4D4D4F"/>
        </w:rPr>
        <w:t>At the first survey, a permanent transect grid will be established, aligned north-south, with transects 4 m apart. It will cover the whole known population in the conservation area (total estimated transect length ~10 km).</w:t>
      </w:r>
    </w:p>
    <w:p w14:paraId="4FEAF057" w14:textId="77777777" w:rsidR="00EF5B27" w:rsidRDefault="00000000">
      <w:pPr>
        <w:pStyle w:val="BodyText"/>
        <w:spacing w:before="117" w:line="254" w:lineRule="auto"/>
        <w:ind w:left="2608" w:right="149"/>
      </w:pPr>
      <w:r>
        <w:rPr>
          <w:color w:val="4D4D4F"/>
        </w:rPr>
        <w:t xml:space="preserve">Plants will be located by systematically walking the transects. Plants will be marked with a numbered pin, representing the north-east corner of a </w:t>
      </w:r>
      <w:r>
        <w:rPr>
          <w:color w:val="4D4D4F"/>
          <w:spacing w:val="-5"/>
        </w:rPr>
        <w:t xml:space="preserve">10 </w:t>
      </w:r>
      <w:r>
        <w:rPr>
          <w:color w:val="4D4D4F"/>
        </w:rPr>
        <w:t xml:space="preserve">x </w:t>
      </w:r>
      <w:r>
        <w:rPr>
          <w:color w:val="4D4D4F"/>
          <w:spacing w:val="-5"/>
        </w:rPr>
        <w:t xml:space="preserve">10 </w:t>
      </w:r>
      <w:r>
        <w:rPr>
          <w:color w:val="4D4D4F"/>
        </w:rPr>
        <w:t>cm square centred on the plant, aligned so that one edge is parallel to the transects (north-south). The</w:t>
      </w:r>
      <w:r>
        <w:rPr>
          <w:color w:val="4D4D4F"/>
          <w:spacing w:val="3"/>
        </w:rPr>
        <w:t xml:space="preserve"> </w:t>
      </w:r>
      <w:r>
        <w:rPr>
          <w:color w:val="4D4D4F"/>
        </w:rPr>
        <w:t>positions</w:t>
      </w:r>
      <w:r>
        <w:rPr>
          <w:color w:val="4D4D4F"/>
          <w:spacing w:val="4"/>
        </w:rPr>
        <w:t xml:space="preserve"> </w:t>
      </w:r>
      <w:r>
        <w:rPr>
          <w:color w:val="4D4D4F"/>
        </w:rPr>
        <w:t>of</w:t>
      </w:r>
      <w:r>
        <w:rPr>
          <w:color w:val="4D4D4F"/>
          <w:spacing w:val="4"/>
        </w:rPr>
        <w:t xml:space="preserve"> </w:t>
      </w:r>
      <w:r>
        <w:rPr>
          <w:color w:val="4D4D4F"/>
          <w:spacing w:val="-2"/>
        </w:rPr>
        <w:t>all</w:t>
      </w:r>
      <w:r>
        <w:rPr>
          <w:color w:val="4D4D4F"/>
          <w:spacing w:val="4"/>
        </w:rPr>
        <w:t xml:space="preserve"> </w:t>
      </w:r>
      <w:r>
        <w:rPr>
          <w:color w:val="4D4D4F"/>
        </w:rPr>
        <w:t>plants</w:t>
      </w:r>
      <w:r>
        <w:rPr>
          <w:color w:val="4D4D4F"/>
          <w:spacing w:val="4"/>
        </w:rPr>
        <w:t xml:space="preserve"> </w:t>
      </w:r>
      <w:r>
        <w:rPr>
          <w:color w:val="4D4D4F"/>
        </w:rPr>
        <w:t>will</w:t>
      </w:r>
      <w:r>
        <w:rPr>
          <w:color w:val="4D4D4F"/>
          <w:spacing w:val="3"/>
        </w:rPr>
        <w:t xml:space="preserve"> </w:t>
      </w:r>
      <w:r>
        <w:rPr>
          <w:color w:val="4D4D4F"/>
        </w:rPr>
        <w:t>be</w:t>
      </w:r>
      <w:r>
        <w:rPr>
          <w:color w:val="4D4D4F"/>
          <w:spacing w:val="4"/>
        </w:rPr>
        <w:t xml:space="preserve"> </w:t>
      </w:r>
      <w:r>
        <w:rPr>
          <w:color w:val="4D4D4F"/>
        </w:rPr>
        <w:t>recorded</w:t>
      </w:r>
      <w:r>
        <w:rPr>
          <w:color w:val="4D4D4F"/>
          <w:spacing w:val="4"/>
        </w:rPr>
        <w:t xml:space="preserve"> </w:t>
      </w:r>
      <w:r>
        <w:rPr>
          <w:color w:val="4D4D4F"/>
          <w:spacing w:val="-3"/>
        </w:rPr>
        <w:t>using</w:t>
      </w:r>
      <w:r>
        <w:rPr>
          <w:color w:val="4D4D4F"/>
          <w:spacing w:val="4"/>
        </w:rPr>
        <w:t xml:space="preserve"> </w:t>
      </w:r>
      <w:r>
        <w:rPr>
          <w:color w:val="4D4D4F"/>
          <w:spacing w:val="-3"/>
        </w:rPr>
        <w:t>their</w:t>
      </w:r>
      <w:r>
        <w:rPr>
          <w:color w:val="4D4D4F"/>
          <w:spacing w:val="4"/>
        </w:rPr>
        <w:t xml:space="preserve"> </w:t>
      </w:r>
      <w:r>
        <w:rPr>
          <w:color w:val="4D4D4F"/>
        </w:rPr>
        <w:t>coordinates</w:t>
      </w:r>
      <w:r>
        <w:rPr>
          <w:color w:val="4D4D4F"/>
          <w:spacing w:val="3"/>
        </w:rPr>
        <w:t xml:space="preserve"> </w:t>
      </w:r>
      <w:r>
        <w:rPr>
          <w:color w:val="4D4D4F"/>
        </w:rPr>
        <w:t>on</w:t>
      </w:r>
      <w:r>
        <w:rPr>
          <w:color w:val="4D4D4F"/>
          <w:spacing w:val="4"/>
        </w:rPr>
        <w:t xml:space="preserve"> </w:t>
      </w:r>
      <w:r>
        <w:rPr>
          <w:color w:val="4D4D4F"/>
        </w:rPr>
        <w:t>the</w:t>
      </w:r>
      <w:r>
        <w:rPr>
          <w:color w:val="4D4D4F"/>
          <w:spacing w:val="4"/>
        </w:rPr>
        <w:t xml:space="preserve"> </w:t>
      </w:r>
      <w:r>
        <w:rPr>
          <w:color w:val="4D4D4F"/>
        </w:rPr>
        <w:t>transect</w:t>
      </w:r>
      <w:r>
        <w:rPr>
          <w:color w:val="4D4D4F"/>
          <w:spacing w:val="4"/>
        </w:rPr>
        <w:t xml:space="preserve"> </w:t>
      </w:r>
      <w:r>
        <w:rPr>
          <w:color w:val="4D4D4F"/>
        </w:rPr>
        <w:t>grid.</w:t>
      </w:r>
    </w:p>
    <w:p w14:paraId="0313121A" w14:textId="77777777" w:rsidR="00EF5B27" w:rsidRDefault="00000000">
      <w:pPr>
        <w:pStyle w:val="BodyText"/>
        <w:spacing w:before="119" w:line="254" w:lineRule="auto"/>
        <w:ind w:left="2608" w:right="177"/>
      </w:pPr>
      <w:r>
        <w:rPr>
          <w:color w:val="4D4D4F"/>
        </w:rPr>
        <w:t>The status of any previously marked plants (with marker pins) will be noted as either emergent or not. Plants are considered to be the same individual if they emerge within the 10 x 10 cm square aligned as described above. A metal detector may be used to re- locate marker pins; the final count of emergent individuals for each year is the number of occupied squares.</w:t>
      </w:r>
    </w:p>
    <w:p w14:paraId="0DAA106B" w14:textId="77777777" w:rsidR="00EF5B27" w:rsidRDefault="00EF5B27">
      <w:pPr>
        <w:pStyle w:val="BodyText"/>
        <w:spacing w:before="4"/>
        <w:rPr>
          <w:sz w:val="19"/>
        </w:rPr>
      </w:pPr>
    </w:p>
    <w:p w14:paraId="5044895A" w14:textId="77777777" w:rsidR="00EF5B27" w:rsidRDefault="00000000">
      <w:pPr>
        <w:pStyle w:val="Heading3"/>
      </w:pPr>
      <w:r>
        <w:rPr>
          <w:color w:val="F99F2A"/>
        </w:rPr>
        <w:t>Changes to the MRF</w:t>
      </w:r>
    </w:p>
    <w:p w14:paraId="7056202D" w14:textId="77777777" w:rsidR="00EF5B27" w:rsidRDefault="00000000">
      <w:pPr>
        <w:pStyle w:val="BodyText"/>
        <w:spacing w:before="221"/>
        <w:ind w:left="2608"/>
      </w:pPr>
      <w:r>
        <w:rPr>
          <w:color w:val="4D4D4F"/>
        </w:rPr>
        <w:t>No changes have been adopted since the MRF was published in 2015.</w:t>
      </w:r>
    </w:p>
    <w:p w14:paraId="331D606D" w14:textId="77777777" w:rsidR="00EF5B27" w:rsidRDefault="00EF5B27">
      <w:pPr>
        <w:pStyle w:val="BodyText"/>
      </w:pPr>
    </w:p>
    <w:p w14:paraId="0908F5AA" w14:textId="77777777" w:rsidR="00EF5B27" w:rsidRDefault="00EF5B27">
      <w:pPr>
        <w:pStyle w:val="BodyText"/>
      </w:pPr>
    </w:p>
    <w:p w14:paraId="37C539D9" w14:textId="77777777" w:rsidR="00EF5B27" w:rsidRDefault="00EF5B27">
      <w:pPr>
        <w:pStyle w:val="BodyText"/>
      </w:pPr>
    </w:p>
    <w:p w14:paraId="2449116D" w14:textId="77777777" w:rsidR="00EF5B27" w:rsidRDefault="00EF5B27">
      <w:pPr>
        <w:pStyle w:val="BodyText"/>
      </w:pPr>
    </w:p>
    <w:p w14:paraId="222E430A" w14:textId="77777777" w:rsidR="00EF5B27" w:rsidRDefault="00EF5B27">
      <w:pPr>
        <w:pStyle w:val="BodyText"/>
      </w:pPr>
    </w:p>
    <w:p w14:paraId="63CE9233" w14:textId="77777777" w:rsidR="00EF5B27" w:rsidRDefault="00EF5B27">
      <w:pPr>
        <w:pStyle w:val="BodyText"/>
      </w:pPr>
    </w:p>
    <w:p w14:paraId="06CB97E1" w14:textId="77777777" w:rsidR="00EF5B27" w:rsidRDefault="00000000">
      <w:pPr>
        <w:pStyle w:val="BodyText"/>
        <w:spacing w:before="8"/>
        <w:rPr>
          <w:sz w:val="13"/>
        </w:rPr>
      </w:pPr>
      <w:r>
        <w:pict w14:anchorId="34DEE493">
          <v:line id="_x0000_s2128" style="position:absolute;z-index:251772416;mso-wrap-distance-left:0;mso-wrap-distance-right:0;mso-position-horizontal-relative:page" from="181.4pt,10.55pt" to="538.6pt,10.55pt" strokecolor="#4d4d4f" strokeweight=".5pt">
            <w10:wrap type="topAndBottom" anchorx="page"/>
          </v:line>
        </w:pict>
      </w:r>
    </w:p>
    <w:p w14:paraId="4B8E550D" w14:textId="77777777" w:rsidR="00EF5B27" w:rsidRDefault="00000000">
      <w:pPr>
        <w:pStyle w:val="ListParagraph"/>
        <w:numPr>
          <w:ilvl w:val="0"/>
          <w:numId w:val="1"/>
        </w:numPr>
        <w:tabs>
          <w:tab w:val="left" w:pos="2836"/>
        </w:tabs>
        <w:spacing w:before="83"/>
        <w:rPr>
          <w:sz w:val="12"/>
        </w:rPr>
      </w:pPr>
      <w:r>
        <w:rPr>
          <w:color w:val="4D4D4F"/>
          <w:sz w:val="12"/>
        </w:rPr>
        <w:t>DELWP</w:t>
      </w:r>
      <w:r>
        <w:rPr>
          <w:color w:val="4D4D4F"/>
          <w:spacing w:val="5"/>
          <w:sz w:val="12"/>
        </w:rPr>
        <w:t xml:space="preserve"> </w:t>
      </w:r>
      <w:r>
        <w:rPr>
          <w:color w:val="4D4D4F"/>
          <w:sz w:val="12"/>
        </w:rPr>
        <w:t>2015c,</w:t>
      </w:r>
      <w:r>
        <w:rPr>
          <w:color w:val="4D4D4F"/>
          <w:spacing w:val="6"/>
          <w:sz w:val="12"/>
        </w:rPr>
        <w:t xml:space="preserve"> </w:t>
      </w:r>
      <w:r>
        <w:rPr>
          <w:color w:val="4D4D4F"/>
          <w:sz w:val="12"/>
        </w:rPr>
        <w:t>‘Technical</w:t>
      </w:r>
      <w:r>
        <w:rPr>
          <w:color w:val="4D4D4F"/>
          <w:spacing w:val="6"/>
          <w:sz w:val="12"/>
        </w:rPr>
        <w:t xml:space="preserve"> </w:t>
      </w:r>
      <w:r>
        <w:rPr>
          <w:color w:val="4D4D4F"/>
          <w:spacing w:val="2"/>
          <w:sz w:val="12"/>
        </w:rPr>
        <w:t>Protocols</w:t>
      </w:r>
      <w:r>
        <w:rPr>
          <w:color w:val="4D4D4F"/>
          <w:spacing w:val="6"/>
          <w:sz w:val="12"/>
        </w:rPr>
        <w:t xml:space="preserve"> </w:t>
      </w:r>
      <w:r>
        <w:rPr>
          <w:color w:val="4D4D4F"/>
          <w:sz w:val="12"/>
        </w:rPr>
        <w:t>for</w:t>
      </w:r>
      <w:r>
        <w:rPr>
          <w:color w:val="4D4D4F"/>
          <w:spacing w:val="6"/>
          <w:sz w:val="12"/>
        </w:rPr>
        <w:t xml:space="preserve"> </w:t>
      </w:r>
      <w:r>
        <w:rPr>
          <w:color w:val="4D4D4F"/>
          <w:spacing w:val="2"/>
          <w:sz w:val="12"/>
        </w:rPr>
        <w:t>Program</w:t>
      </w:r>
      <w:r>
        <w:rPr>
          <w:color w:val="4D4D4F"/>
          <w:spacing w:val="5"/>
          <w:sz w:val="12"/>
        </w:rPr>
        <w:t xml:space="preserve"> </w:t>
      </w:r>
      <w:r>
        <w:rPr>
          <w:color w:val="4D4D4F"/>
          <w:sz w:val="12"/>
        </w:rPr>
        <w:t>Outcomes.</w:t>
      </w:r>
      <w:r>
        <w:rPr>
          <w:color w:val="4D4D4F"/>
          <w:spacing w:val="6"/>
          <w:sz w:val="12"/>
        </w:rPr>
        <w:t xml:space="preserve"> </w:t>
      </w:r>
      <w:r>
        <w:rPr>
          <w:color w:val="4D4D4F"/>
          <w:sz w:val="12"/>
        </w:rPr>
        <w:t>Melbourne</w:t>
      </w:r>
      <w:r>
        <w:rPr>
          <w:color w:val="4D4D4F"/>
          <w:spacing w:val="6"/>
          <w:sz w:val="12"/>
        </w:rPr>
        <w:t xml:space="preserve"> </w:t>
      </w:r>
      <w:r>
        <w:rPr>
          <w:color w:val="4D4D4F"/>
          <w:sz w:val="12"/>
        </w:rPr>
        <w:t>Strategic</w:t>
      </w:r>
      <w:r>
        <w:rPr>
          <w:color w:val="4D4D4F"/>
          <w:spacing w:val="6"/>
          <w:sz w:val="12"/>
        </w:rPr>
        <w:t xml:space="preserve"> </w:t>
      </w:r>
      <w:r>
        <w:rPr>
          <w:color w:val="4D4D4F"/>
          <w:sz w:val="12"/>
        </w:rPr>
        <w:t>Assessment’,</w:t>
      </w:r>
      <w:r>
        <w:rPr>
          <w:color w:val="4D4D4F"/>
          <w:spacing w:val="6"/>
          <w:sz w:val="12"/>
        </w:rPr>
        <w:t xml:space="preserve"> </w:t>
      </w:r>
      <w:r>
        <w:rPr>
          <w:color w:val="4D4D4F"/>
          <w:sz w:val="12"/>
        </w:rPr>
        <w:t>East</w:t>
      </w:r>
      <w:r>
        <w:rPr>
          <w:color w:val="4D4D4F"/>
          <w:spacing w:val="6"/>
          <w:sz w:val="12"/>
        </w:rPr>
        <w:t xml:space="preserve"> </w:t>
      </w:r>
      <w:r>
        <w:rPr>
          <w:color w:val="4D4D4F"/>
          <w:sz w:val="12"/>
        </w:rPr>
        <w:t>Melbourne,</w:t>
      </w:r>
      <w:r>
        <w:rPr>
          <w:color w:val="4D4D4F"/>
          <w:spacing w:val="5"/>
          <w:sz w:val="12"/>
        </w:rPr>
        <w:t xml:space="preserve"> </w:t>
      </w:r>
      <w:r>
        <w:rPr>
          <w:color w:val="4D4D4F"/>
          <w:sz w:val="12"/>
        </w:rPr>
        <w:t>Victoria.</w:t>
      </w:r>
    </w:p>
    <w:p w14:paraId="2E61A40C" w14:textId="77777777" w:rsidR="00EF5B27" w:rsidRDefault="00EF5B27">
      <w:pPr>
        <w:rPr>
          <w:sz w:val="12"/>
        </w:rPr>
        <w:sectPr w:rsidR="00EF5B27">
          <w:footerReference w:type="default" r:id="rId188"/>
          <w:pgSz w:w="11910" w:h="16840"/>
          <w:pgMar w:top="1080" w:right="1020" w:bottom="860" w:left="1020" w:header="537" w:footer="678" w:gutter="0"/>
          <w:cols w:space="720"/>
        </w:sectPr>
      </w:pPr>
    </w:p>
    <w:p w14:paraId="72DF2F68" w14:textId="77777777" w:rsidR="00EF5B27" w:rsidRDefault="00000000">
      <w:pPr>
        <w:pStyle w:val="BodyText"/>
      </w:pPr>
      <w:r>
        <w:lastRenderedPageBreak/>
        <w:pict w14:anchorId="65F3B863">
          <v:group id="_x0000_s2120" style="position:absolute;margin-left:587.05pt;margin-top:183.4pt;width:8.25pt;height:153.1pt;z-index:251809280;mso-position-horizontal-relative:page;mso-position-vertical-relative:page" coordorigin="11741,3668" coordsize="165,3062">
            <v:shape id="_x0000_s2127" style="position:absolute;left:11741;top:3668;width:165;height:561" coordorigin="11741,3668" coordsize="165,561" path="m11906,3668r-165,l11741,4228r165,-18l11906,3668xe" fillcolor="#00aed9" stroked="f">
              <v:path arrowok="t"/>
            </v:shape>
            <v:shape id="_x0000_s2126" style="position:absolute;left:11741;top:4118;width:165;height:425" coordorigin="11741,4118" coordsize="165,425" path="m11906,4118r-165,14l11741,4531r165,12l11906,4118xe" fillcolor="#047ebc" stroked="f">
              <v:path arrowok="t"/>
            </v:shape>
            <v:shape id="_x0000_s2125" type="#_x0000_t75" style="position:absolute;left:11741;top:4355;width:165;height:587">
              <v:imagedata r:id="rId42" o:title=""/>
            </v:shape>
            <v:shape id="_x0000_s2124" style="position:absolute;left:11741;top:5343;width:165;height:536" coordorigin="11741,5343" coordsize="165,536" path="m11741,5343r,535l11906,5872r,-525l11741,5343xe" fillcolor="#f36a2e" stroked="f">
              <v:path arrowok="t"/>
            </v:shape>
            <v:shape id="_x0000_s2123" style="position:absolute;left:11741;top:4925;width:165;height:501" coordorigin="11741,4926" coordsize="165,501" path="m11741,4926r,500l11906,5426r,-485l11741,4926xe" fillcolor="#49783f" stroked="f">
              <v:path arrowok="t"/>
            </v:shape>
            <v:shape id="_x0000_s2122" style="position:absolute;left:11741;top:5781;width:165;height:268" coordorigin="11741,5782" coordsize="165,268" path="m11906,5782r-165,8l11741,6039r165,10l11906,5782xe" fillcolor="#f99f2a" stroked="f">
              <v:path arrowok="t"/>
            </v:shape>
            <v:shape id="_x0000_s2121" style="position:absolute;left:11741;top:6023;width:165;height:707" coordorigin="11741,6023" coordsize="165,707" path="m11741,6023r,706l11906,6729r,-690l11741,6023xe" fillcolor="#ef412c" stroked="f">
              <v:path arrowok="t"/>
            </v:shape>
            <w10:wrap anchorx="page" anchory="page"/>
          </v:group>
        </w:pict>
      </w:r>
    </w:p>
    <w:p w14:paraId="772A9AD2" w14:textId="77777777" w:rsidR="00EF5B27" w:rsidRDefault="00EF5B27">
      <w:pPr>
        <w:pStyle w:val="BodyText"/>
      </w:pPr>
    </w:p>
    <w:p w14:paraId="388255D0" w14:textId="77777777" w:rsidR="00EF5B27" w:rsidRDefault="00EF5B27">
      <w:pPr>
        <w:pStyle w:val="BodyText"/>
      </w:pPr>
    </w:p>
    <w:p w14:paraId="7B22D936" w14:textId="77777777" w:rsidR="00EF5B27" w:rsidRDefault="00EF5B27">
      <w:pPr>
        <w:pStyle w:val="BodyText"/>
        <w:spacing w:before="8"/>
      </w:pPr>
    </w:p>
    <w:p w14:paraId="02F3E5DB" w14:textId="77777777" w:rsidR="00EF5B27" w:rsidRDefault="00000000">
      <w:pPr>
        <w:pStyle w:val="Heading2"/>
      </w:pPr>
      <w:r>
        <w:rPr>
          <w:color w:val="F99F2A"/>
          <w:w w:val="105"/>
        </w:rPr>
        <w:t>MNES 10: Striped Legless Lizard</w:t>
      </w:r>
    </w:p>
    <w:p w14:paraId="61C5B223" w14:textId="77777777" w:rsidR="00EF5B27" w:rsidRDefault="00000000">
      <w:pPr>
        <w:spacing w:before="308"/>
        <w:ind w:left="2608"/>
        <w:rPr>
          <w:b/>
          <w:sz w:val="11"/>
        </w:rPr>
      </w:pPr>
      <w:r>
        <w:rPr>
          <w:b/>
          <w:color w:val="4D4D4F"/>
          <w:w w:val="105"/>
        </w:rPr>
        <w:t xml:space="preserve">The following is an extract from the </w:t>
      </w:r>
      <w:r>
        <w:rPr>
          <w:b/>
          <w:color w:val="4D4D4F"/>
          <w:w w:val="105"/>
          <w:sz w:val="20"/>
        </w:rPr>
        <w:t>Outcomes Report 2014–2020.</w:t>
      </w:r>
      <w:r>
        <w:rPr>
          <w:b/>
          <w:color w:val="4D4D4F"/>
          <w:w w:val="105"/>
          <w:position w:val="7"/>
          <w:sz w:val="11"/>
        </w:rPr>
        <w:t>340</w:t>
      </w:r>
    </w:p>
    <w:p w14:paraId="784FCFAA" w14:textId="77777777" w:rsidR="00EF5B27" w:rsidRDefault="00000000">
      <w:pPr>
        <w:pStyle w:val="Heading3"/>
        <w:spacing w:before="241"/>
      </w:pPr>
      <w:r>
        <w:rPr>
          <w:color w:val="F99F2A"/>
        </w:rPr>
        <w:t>General protocol</w:t>
      </w:r>
    </w:p>
    <w:p w14:paraId="28DEB3A1" w14:textId="77777777" w:rsidR="00EF5B27" w:rsidRDefault="00000000">
      <w:pPr>
        <w:pStyle w:val="BodyText"/>
        <w:spacing w:before="221" w:line="254" w:lineRule="auto"/>
        <w:ind w:left="2608" w:right="308"/>
      </w:pPr>
      <w:r>
        <w:rPr>
          <w:color w:val="4D4D4F"/>
        </w:rPr>
        <w:t>Striped Legless Lizard is surveyed under artificial habitat in the form of roof tiles, which can be routinely inspected for the presence of the lizard. Roof tiles are laid on grids, each being a rectangle of 50 (10 x 5) roof tiles spaced 5 m apart, oriented such that the long axis runs north-south.</w:t>
      </w:r>
    </w:p>
    <w:p w14:paraId="029DFF88" w14:textId="77777777" w:rsidR="00EF5B27" w:rsidRDefault="00000000">
      <w:pPr>
        <w:pStyle w:val="BodyText"/>
        <w:spacing w:before="119" w:line="254" w:lineRule="auto"/>
        <w:ind w:left="2608" w:right="112"/>
        <w:jc w:val="both"/>
      </w:pPr>
      <w:r>
        <w:rPr>
          <w:color w:val="4D4D4F"/>
        </w:rPr>
        <w:t>The tile grids are surveyed annually. The tile grids are established two months prior to commencing surveys. The locations of the corner tiles are recorded using a hand-held GPS unit.</w:t>
      </w:r>
    </w:p>
    <w:p w14:paraId="0260C84C" w14:textId="77777777" w:rsidR="00EF5B27" w:rsidRDefault="00000000">
      <w:pPr>
        <w:pStyle w:val="BodyText"/>
        <w:spacing w:before="117" w:line="254" w:lineRule="auto"/>
        <w:ind w:left="2608" w:right="352"/>
      </w:pPr>
      <w:r>
        <w:rPr>
          <w:color w:val="4D4D4F"/>
        </w:rPr>
        <w:t xml:space="preserve">At each tile grid the sheltered area underneath the tiles is inspected for evidence of Striped Legless Lizards, including sloughed skins. Six repeat tile checks of each grid are conducted each </w:t>
      </w:r>
      <w:r>
        <w:rPr>
          <w:color w:val="4D4D4F"/>
          <w:spacing w:val="-4"/>
        </w:rPr>
        <w:t xml:space="preserve">year, </w:t>
      </w:r>
      <w:r>
        <w:rPr>
          <w:color w:val="4D4D4F"/>
        </w:rPr>
        <w:t xml:space="preserve">with checks at least one week apart. The tiles are checked between </w:t>
      </w:r>
      <w:r>
        <w:rPr>
          <w:color w:val="4D4D4F"/>
          <w:spacing w:val="-3"/>
        </w:rPr>
        <w:t xml:space="preserve">10am </w:t>
      </w:r>
      <w:r>
        <w:rPr>
          <w:color w:val="4D4D4F"/>
        </w:rPr>
        <w:t>and 4pm, when the tile temperature is between 18–40°C and the ambient air temperature is between 15–30°C. Tile checks do not occur at the same time</w:t>
      </w:r>
      <w:r>
        <w:rPr>
          <w:color w:val="4D4D4F"/>
          <w:spacing w:val="4"/>
        </w:rPr>
        <w:t xml:space="preserve"> </w:t>
      </w:r>
      <w:r>
        <w:rPr>
          <w:color w:val="4D4D4F"/>
        </w:rPr>
        <w:t>of</w:t>
      </w:r>
      <w:r>
        <w:rPr>
          <w:color w:val="4D4D4F"/>
          <w:spacing w:val="4"/>
        </w:rPr>
        <w:t xml:space="preserve"> </w:t>
      </w:r>
      <w:r>
        <w:rPr>
          <w:color w:val="4D4D4F"/>
        </w:rPr>
        <w:t>day</w:t>
      </w:r>
      <w:r>
        <w:rPr>
          <w:color w:val="4D4D4F"/>
          <w:spacing w:val="4"/>
        </w:rPr>
        <w:t xml:space="preserve"> </w:t>
      </w:r>
      <w:r>
        <w:rPr>
          <w:color w:val="4D4D4F"/>
        </w:rPr>
        <w:t>on</w:t>
      </w:r>
      <w:r>
        <w:rPr>
          <w:color w:val="4D4D4F"/>
          <w:spacing w:val="5"/>
        </w:rPr>
        <w:t xml:space="preserve"> </w:t>
      </w:r>
      <w:r>
        <w:rPr>
          <w:color w:val="4D4D4F"/>
        </w:rPr>
        <w:t>each</w:t>
      </w:r>
      <w:r>
        <w:rPr>
          <w:color w:val="4D4D4F"/>
          <w:spacing w:val="4"/>
        </w:rPr>
        <w:t xml:space="preserve"> </w:t>
      </w:r>
      <w:r>
        <w:rPr>
          <w:color w:val="4D4D4F"/>
        </w:rPr>
        <w:t>occasion</w:t>
      </w:r>
      <w:r>
        <w:rPr>
          <w:color w:val="4D4D4F"/>
          <w:spacing w:val="4"/>
        </w:rPr>
        <w:t xml:space="preserve"> </w:t>
      </w:r>
      <w:r>
        <w:rPr>
          <w:color w:val="4D4D4F"/>
        </w:rPr>
        <w:t>for</w:t>
      </w:r>
      <w:r>
        <w:rPr>
          <w:color w:val="4D4D4F"/>
          <w:spacing w:val="5"/>
        </w:rPr>
        <w:t xml:space="preserve"> </w:t>
      </w:r>
      <w:r>
        <w:rPr>
          <w:color w:val="4D4D4F"/>
        </w:rPr>
        <w:t>any</w:t>
      </w:r>
      <w:r>
        <w:rPr>
          <w:color w:val="4D4D4F"/>
          <w:spacing w:val="4"/>
        </w:rPr>
        <w:t xml:space="preserve"> </w:t>
      </w:r>
      <w:r>
        <w:rPr>
          <w:color w:val="4D4D4F"/>
        </w:rPr>
        <w:t>given</w:t>
      </w:r>
      <w:r>
        <w:rPr>
          <w:color w:val="4D4D4F"/>
          <w:spacing w:val="4"/>
        </w:rPr>
        <w:t xml:space="preserve"> </w:t>
      </w:r>
      <w:r>
        <w:rPr>
          <w:color w:val="4D4D4F"/>
        </w:rPr>
        <w:t>tile</w:t>
      </w:r>
      <w:r>
        <w:rPr>
          <w:color w:val="4D4D4F"/>
          <w:spacing w:val="4"/>
        </w:rPr>
        <w:t xml:space="preserve"> </w:t>
      </w:r>
      <w:r>
        <w:rPr>
          <w:color w:val="4D4D4F"/>
        </w:rPr>
        <w:t>grid</w:t>
      </w:r>
      <w:r>
        <w:rPr>
          <w:color w:val="4D4D4F"/>
          <w:spacing w:val="5"/>
        </w:rPr>
        <w:t xml:space="preserve"> </w:t>
      </w:r>
      <w:r>
        <w:rPr>
          <w:color w:val="4D4D4F"/>
        </w:rPr>
        <w:t>during</w:t>
      </w:r>
      <w:r>
        <w:rPr>
          <w:color w:val="4D4D4F"/>
          <w:spacing w:val="4"/>
        </w:rPr>
        <w:t xml:space="preserve"> </w:t>
      </w:r>
      <w:r>
        <w:rPr>
          <w:color w:val="4D4D4F"/>
        </w:rPr>
        <w:t>the</w:t>
      </w:r>
      <w:r>
        <w:rPr>
          <w:color w:val="4D4D4F"/>
          <w:spacing w:val="4"/>
        </w:rPr>
        <w:t xml:space="preserve"> </w:t>
      </w:r>
      <w:r>
        <w:rPr>
          <w:color w:val="4D4D4F"/>
        </w:rPr>
        <w:t>survey</w:t>
      </w:r>
      <w:r>
        <w:rPr>
          <w:color w:val="4D4D4F"/>
          <w:spacing w:val="5"/>
        </w:rPr>
        <w:t xml:space="preserve"> </w:t>
      </w:r>
      <w:r>
        <w:rPr>
          <w:color w:val="4D4D4F"/>
        </w:rPr>
        <w:t>period.</w:t>
      </w:r>
    </w:p>
    <w:p w14:paraId="55F0AE74" w14:textId="77777777" w:rsidR="00EF5B27" w:rsidRDefault="00000000">
      <w:pPr>
        <w:pStyle w:val="Heading6"/>
        <w:spacing w:before="120"/>
      </w:pPr>
      <w:r>
        <w:rPr>
          <w:color w:val="4D4D4F"/>
        </w:rPr>
        <w:t>Identification of permanent monitoring locations</w:t>
      </w:r>
    </w:p>
    <w:p w14:paraId="0D617460" w14:textId="77777777" w:rsidR="00EF5B27" w:rsidRDefault="00000000">
      <w:pPr>
        <w:pStyle w:val="BodyText"/>
        <w:spacing w:before="130" w:line="254" w:lineRule="auto"/>
        <w:ind w:left="2608" w:right="308"/>
      </w:pPr>
      <w:r>
        <w:rPr>
          <w:color w:val="4D4D4F"/>
        </w:rPr>
        <w:t>The Western Grassland Reserve is divided into 250 ha square blocks. Any block already containing one or more permanent monitoring plots (from phase 1) are excluded from this phase. Within each of the remaining blocks, 10 random locations are identified, each at least 50 m from any other grid location. One location (one tile grid per location) is surveyed each year, over 10 years, to detect lizards. Any grid found to contain evidence of Striped Legless Lizard (alive, dead or a lizard slough) becomes a permanent monitoring plot (see phase 3). Phase 2 will cease in a 250-ha block if one or more of the following occurs:</w:t>
      </w:r>
    </w:p>
    <w:p w14:paraId="6EBA49B5" w14:textId="77777777" w:rsidR="00EF5B27" w:rsidRDefault="00000000">
      <w:pPr>
        <w:pStyle w:val="ListParagraph"/>
        <w:numPr>
          <w:ilvl w:val="0"/>
          <w:numId w:val="34"/>
        </w:numPr>
        <w:tabs>
          <w:tab w:val="left" w:pos="2779"/>
        </w:tabs>
        <w:spacing w:before="123"/>
        <w:rPr>
          <w:sz w:val="20"/>
        </w:rPr>
      </w:pPr>
      <w:r>
        <w:rPr>
          <w:color w:val="4D4D4F"/>
          <w:sz w:val="20"/>
        </w:rPr>
        <w:t>evidence</w:t>
      </w:r>
      <w:r>
        <w:rPr>
          <w:color w:val="4D4D4F"/>
          <w:spacing w:val="4"/>
          <w:sz w:val="20"/>
        </w:rPr>
        <w:t xml:space="preserve"> </w:t>
      </w:r>
      <w:r>
        <w:rPr>
          <w:color w:val="4D4D4F"/>
          <w:sz w:val="20"/>
        </w:rPr>
        <w:t>of</w:t>
      </w:r>
      <w:r>
        <w:rPr>
          <w:color w:val="4D4D4F"/>
          <w:spacing w:val="5"/>
          <w:sz w:val="20"/>
        </w:rPr>
        <w:t xml:space="preserve"> </w:t>
      </w:r>
      <w:r>
        <w:rPr>
          <w:color w:val="4D4D4F"/>
          <w:sz w:val="20"/>
        </w:rPr>
        <w:t>Striped</w:t>
      </w:r>
      <w:r>
        <w:rPr>
          <w:color w:val="4D4D4F"/>
          <w:spacing w:val="5"/>
          <w:sz w:val="20"/>
        </w:rPr>
        <w:t xml:space="preserve"> </w:t>
      </w:r>
      <w:r>
        <w:rPr>
          <w:color w:val="4D4D4F"/>
          <w:sz w:val="20"/>
        </w:rPr>
        <w:t>Legless</w:t>
      </w:r>
      <w:r>
        <w:rPr>
          <w:color w:val="4D4D4F"/>
          <w:spacing w:val="4"/>
          <w:sz w:val="20"/>
        </w:rPr>
        <w:t xml:space="preserve"> </w:t>
      </w:r>
      <w:r>
        <w:rPr>
          <w:color w:val="4D4D4F"/>
          <w:sz w:val="20"/>
        </w:rPr>
        <w:t>Lizard</w:t>
      </w:r>
      <w:r>
        <w:rPr>
          <w:color w:val="4D4D4F"/>
          <w:spacing w:val="5"/>
          <w:sz w:val="20"/>
        </w:rPr>
        <w:t xml:space="preserve"> </w:t>
      </w:r>
      <w:r>
        <w:rPr>
          <w:color w:val="4D4D4F"/>
          <w:sz w:val="20"/>
        </w:rPr>
        <w:t>is</w:t>
      </w:r>
      <w:r>
        <w:rPr>
          <w:color w:val="4D4D4F"/>
          <w:spacing w:val="5"/>
          <w:sz w:val="20"/>
        </w:rPr>
        <w:t xml:space="preserve"> </w:t>
      </w:r>
      <w:r>
        <w:rPr>
          <w:color w:val="4D4D4F"/>
          <w:sz w:val="20"/>
        </w:rPr>
        <w:t>detected</w:t>
      </w:r>
      <w:r>
        <w:rPr>
          <w:color w:val="4D4D4F"/>
          <w:spacing w:val="5"/>
          <w:sz w:val="20"/>
        </w:rPr>
        <w:t xml:space="preserve"> </w:t>
      </w:r>
      <w:r>
        <w:rPr>
          <w:color w:val="4D4D4F"/>
          <w:sz w:val="20"/>
        </w:rPr>
        <w:t>at</w:t>
      </w:r>
      <w:r>
        <w:rPr>
          <w:color w:val="4D4D4F"/>
          <w:spacing w:val="4"/>
          <w:sz w:val="20"/>
        </w:rPr>
        <w:t xml:space="preserve"> </w:t>
      </w:r>
      <w:r>
        <w:rPr>
          <w:color w:val="4D4D4F"/>
          <w:sz w:val="20"/>
        </w:rPr>
        <w:t>one</w:t>
      </w:r>
      <w:r>
        <w:rPr>
          <w:color w:val="4D4D4F"/>
          <w:spacing w:val="5"/>
          <w:sz w:val="20"/>
        </w:rPr>
        <w:t xml:space="preserve"> </w:t>
      </w:r>
      <w:r>
        <w:rPr>
          <w:color w:val="4D4D4F"/>
          <w:sz w:val="20"/>
        </w:rPr>
        <w:t>of</w:t>
      </w:r>
      <w:r>
        <w:rPr>
          <w:color w:val="4D4D4F"/>
          <w:spacing w:val="5"/>
          <w:sz w:val="20"/>
        </w:rPr>
        <w:t xml:space="preserve"> </w:t>
      </w:r>
      <w:r>
        <w:rPr>
          <w:color w:val="4D4D4F"/>
          <w:sz w:val="20"/>
        </w:rPr>
        <w:t>the</w:t>
      </w:r>
      <w:r>
        <w:rPr>
          <w:color w:val="4D4D4F"/>
          <w:spacing w:val="4"/>
          <w:sz w:val="20"/>
        </w:rPr>
        <w:t xml:space="preserve"> </w:t>
      </w:r>
      <w:r>
        <w:rPr>
          <w:color w:val="4D4D4F"/>
          <w:spacing w:val="-5"/>
          <w:sz w:val="20"/>
        </w:rPr>
        <w:t>10</w:t>
      </w:r>
      <w:r>
        <w:rPr>
          <w:color w:val="4D4D4F"/>
          <w:spacing w:val="5"/>
          <w:sz w:val="20"/>
        </w:rPr>
        <w:t xml:space="preserve"> </w:t>
      </w:r>
      <w:r>
        <w:rPr>
          <w:color w:val="4D4D4F"/>
          <w:sz w:val="20"/>
        </w:rPr>
        <w:t>locations;</w:t>
      </w:r>
    </w:p>
    <w:p w14:paraId="7BAAA5DA" w14:textId="77777777" w:rsidR="00EF5B27" w:rsidRDefault="00000000">
      <w:pPr>
        <w:pStyle w:val="ListParagraph"/>
        <w:numPr>
          <w:ilvl w:val="0"/>
          <w:numId w:val="34"/>
        </w:numPr>
        <w:tabs>
          <w:tab w:val="left" w:pos="2779"/>
        </w:tabs>
        <w:spacing w:before="129" w:line="254" w:lineRule="auto"/>
        <w:ind w:right="208"/>
        <w:rPr>
          <w:sz w:val="20"/>
        </w:rPr>
      </w:pPr>
      <w:r>
        <w:rPr>
          <w:color w:val="4D4D4F"/>
          <w:sz w:val="20"/>
        </w:rPr>
        <w:t>evidence of Striped Legless Lizard is detected during Phase 1 inventory surveys on other parcels within the 250-ha</w:t>
      </w:r>
      <w:r>
        <w:rPr>
          <w:color w:val="4D4D4F"/>
          <w:spacing w:val="20"/>
          <w:sz w:val="20"/>
        </w:rPr>
        <w:t xml:space="preserve"> </w:t>
      </w:r>
      <w:r>
        <w:rPr>
          <w:color w:val="4D4D4F"/>
          <w:sz w:val="20"/>
        </w:rPr>
        <w:t>block;</w:t>
      </w:r>
    </w:p>
    <w:p w14:paraId="5CA99B33" w14:textId="77777777" w:rsidR="00EF5B27" w:rsidRDefault="00000000">
      <w:pPr>
        <w:pStyle w:val="ListParagraph"/>
        <w:numPr>
          <w:ilvl w:val="0"/>
          <w:numId w:val="34"/>
        </w:numPr>
        <w:tabs>
          <w:tab w:val="left" w:pos="2779"/>
        </w:tabs>
        <w:spacing w:before="116"/>
        <w:rPr>
          <w:sz w:val="20"/>
        </w:rPr>
      </w:pPr>
      <w:r>
        <w:rPr>
          <w:color w:val="4D4D4F"/>
          <w:sz w:val="20"/>
        </w:rPr>
        <w:t>all</w:t>
      </w:r>
      <w:r>
        <w:rPr>
          <w:color w:val="4D4D4F"/>
          <w:spacing w:val="5"/>
          <w:sz w:val="20"/>
        </w:rPr>
        <w:t xml:space="preserve"> </w:t>
      </w:r>
      <w:r>
        <w:rPr>
          <w:color w:val="4D4D4F"/>
          <w:sz w:val="20"/>
        </w:rPr>
        <w:t>the</w:t>
      </w:r>
      <w:r>
        <w:rPr>
          <w:color w:val="4D4D4F"/>
          <w:spacing w:val="5"/>
          <w:sz w:val="20"/>
        </w:rPr>
        <w:t xml:space="preserve"> </w:t>
      </w:r>
      <w:r>
        <w:rPr>
          <w:color w:val="4D4D4F"/>
          <w:sz w:val="20"/>
        </w:rPr>
        <w:t>grassland</w:t>
      </w:r>
      <w:r>
        <w:rPr>
          <w:color w:val="4D4D4F"/>
          <w:spacing w:val="5"/>
          <w:sz w:val="20"/>
        </w:rPr>
        <w:t xml:space="preserve"> </w:t>
      </w:r>
      <w:r>
        <w:rPr>
          <w:color w:val="4D4D4F"/>
          <w:sz w:val="20"/>
        </w:rPr>
        <w:t>is</w:t>
      </w:r>
      <w:r>
        <w:rPr>
          <w:color w:val="4D4D4F"/>
          <w:spacing w:val="6"/>
          <w:sz w:val="20"/>
        </w:rPr>
        <w:t xml:space="preserve"> </w:t>
      </w:r>
      <w:r>
        <w:rPr>
          <w:color w:val="4D4D4F"/>
          <w:sz w:val="20"/>
        </w:rPr>
        <w:t>exhausted</w:t>
      </w:r>
      <w:r>
        <w:rPr>
          <w:color w:val="4D4D4F"/>
          <w:spacing w:val="5"/>
          <w:sz w:val="20"/>
        </w:rPr>
        <w:t xml:space="preserve"> </w:t>
      </w:r>
      <w:r>
        <w:rPr>
          <w:color w:val="4D4D4F"/>
          <w:sz w:val="20"/>
        </w:rPr>
        <w:t>(i.e.</w:t>
      </w:r>
      <w:r>
        <w:rPr>
          <w:color w:val="4D4D4F"/>
          <w:spacing w:val="5"/>
          <w:sz w:val="20"/>
        </w:rPr>
        <w:t xml:space="preserve"> </w:t>
      </w:r>
      <w:r>
        <w:rPr>
          <w:color w:val="4D4D4F"/>
          <w:sz w:val="20"/>
        </w:rPr>
        <w:t>no</w:t>
      </w:r>
      <w:r>
        <w:rPr>
          <w:color w:val="4D4D4F"/>
          <w:spacing w:val="6"/>
          <w:sz w:val="20"/>
        </w:rPr>
        <w:t xml:space="preserve"> </w:t>
      </w:r>
      <w:r>
        <w:rPr>
          <w:color w:val="4D4D4F"/>
          <w:sz w:val="20"/>
        </w:rPr>
        <w:t>more</w:t>
      </w:r>
      <w:r>
        <w:rPr>
          <w:color w:val="4D4D4F"/>
          <w:spacing w:val="5"/>
          <w:sz w:val="20"/>
        </w:rPr>
        <w:t xml:space="preserve"> </w:t>
      </w:r>
      <w:r>
        <w:rPr>
          <w:color w:val="4D4D4F"/>
          <w:sz w:val="20"/>
        </w:rPr>
        <w:t>plots</w:t>
      </w:r>
      <w:r>
        <w:rPr>
          <w:color w:val="4D4D4F"/>
          <w:spacing w:val="5"/>
          <w:sz w:val="20"/>
        </w:rPr>
        <w:t xml:space="preserve"> </w:t>
      </w:r>
      <w:r>
        <w:rPr>
          <w:color w:val="4D4D4F"/>
          <w:sz w:val="20"/>
        </w:rPr>
        <w:t>can</w:t>
      </w:r>
      <w:r>
        <w:rPr>
          <w:color w:val="4D4D4F"/>
          <w:spacing w:val="5"/>
          <w:sz w:val="20"/>
        </w:rPr>
        <w:t xml:space="preserve"> </w:t>
      </w:r>
      <w:r>
        <w:rPr>
          <w:color w:val="4D4D4F"/>
          <w:sz w:val="20"/>
        </w:rPr>
        <w:t>fit</w:t>
      </w:r>
      <w:r>
        <w:rPr>
          <w:color w:val="4D4D4F"/>
          <w:spacing w:val="6"/>
          <w:sz w:val="20"/>
        </w:rPr>
        <w:t xml:space="preserve"> </w:t>
      </w:r>
      <w:r>
        <w:rPr>
          <w:color w:val="4D4D4F"/>
          <w:sz w:val="20"/>
        </w:rPr>
        <w:t>given</w:t>
      </w:r>
      <w:r>
        <w:rPr>
          <w:color w:val="4D4D4F"/>
          <w:spacing w:val="5"/>
          <w:sz w:val="20"/>
        </w:rPr>
        <w:t xml:space="preserve"> </w:t>
      </w:r>
      <w:r>
        <w:rPr>
          <w:color w:val="4D4D4F"/>
          <w:sz w:val="20"/>
        </w:rPr>
        <w:t>the</w:t>
      </w:r>
      <w:r>
        <w:rPr>
          <w:color w:val="4D4D4F"/>
          <w:spacing w:val="5"/>
          <w:sz w:val="20"/>
        </w:rPr>
        <w:t xml:space="preserve"> </w:t>
      </w:r>
      <w:r>
        <w:rPr>
          <w:color w:val="4D4D4F"/>
          <w:sz w:val="20"/>
        </w:rPr>
        <w:t>distance</w:t>
      </w:r>
      <w:r>
        <w:rPr>
          <w:color w:val="4D4D4F"/>
          <w:spacing w:val="6"/>
          <w:sz w:val="20"/>
        </w:rPr>
        <w:t xml:space="preserve"> </w:t>
      </w:r>
      <w:r>
        <w:rPr>
          <w:color w:val="4D4D4F"/>
          <w:sz w:val="20"/>
        </w:rPr>
        <w:t>rules);</w:t>
      </w:r>
    </w:p>
    <w:p w14:paraId="71B3C8DE" w14:textId="77777777" w:rsidR="00EF5B27" w:rsidRDefault="00000000">
      <w:pPr>
        <w:pStyle w:val="ListParagraph"/>
        <w:numPr>
          <w:ilvl w:val="0"/>
          <w:numId w:val="34"/>
        </w:numPr>
        <w:tabs>
          <w:tab w:val="left" w:pos="2779"/>
        </w:tabs>
        <w:spacing w:before="129"/>
        <w:rPr>
          <w:sz w:val="20"/>
        </w:rPr>
      </w:pPr>
      <w:r>
        <w:rPr>
          <w:color w:val="4D4D4F"/>
          <w:sz w:val="20"/>
        </w:rPr>
        <w:t xml:space="preserve">all </w:t>
      </w:r>
      <w:r>
        <w:rPr>
          <w:color w:val="4D4D4F"/>
          <w:spacing w:val="-5"/>
          <w:sz w:val="20"/>
        </w:rPr>
        <w:t xml:space="preserve">10 </w:t>
      </w:r>
      <w:r>
        <w:rPr>
          <w:color w:val="4D4D4F"/>
          <w:sz w:val="20"/>
        </w:rPr>
        <w:t>random locations have been</w:t>
      </w:r>
      <w:r>
        <w:rPr>
          <w:color w:val="4D4D4F"/>
          <w:spacing w:val="31"/>
          <w:sz w:val="20"/>
        </w:rPr>
        <w:t xml:space="preserve"> </w:t>
      </w:r>
      <w:r>
        <w:rPr>
          <w:color w:val="4D4D4F"/>
          <w:sz w:val="20"/>
        </w:rPr>
        <w:t>surveyed.</w:t>
      </w:r>
    </w:p>
    <w:p w14:paraId="192DE895" w14:textId="77777777" w:rsidR="00EF5B27" w:rsidRDefault="00000000">
      <w:pPr>
        <w:pStyle w:val="BodyText"/>
        <w:spacing w:before="129" w:line="254" w:lineRule="auto"/>
        <w:ind w:left="2608" w:right="264"/>
      </w:pPr>
      <w:r>
        <w:rPr>
          <w:color w:val="4D4D4F"/>
        </w:rPr>
        <w:t>This is supplemented by the deployment of tile grids as part of the inventory of newly acquired parcels. Grids under which lizards are detected during these surveys may also become monitoring subject to the distance rules outlined</w:t>
      </w:r>
      <w:r>
        <w:rPr>
          <w:color w:val="4D4D4F"/>
          <w:spacing w:val="29"/>
        </w:rPr>
        <w:t xml:space="preserve"> </w:t>
      </w:r>
      <w:r>
        <w:rPr>
          <w:color w:val="4D4D4F"/>
        </w:rPr>
        <w:t>below.</w:t>
      </w:r>
    </w:p>
    <w:p w14:paraId="11406064" w14:textId="77777777" w:rsidR="00EF5B27" w:rsidRDefault="00EF5B27">
      <w:pPr>
        <w:pStyle w:val="BodyText"/>
        <w:spacing w:before="2"/>
        <w:rPr>
          <w:sz w:val="19"/>
        </w:rPr>
      </w:pPr>
    </w:p>
    <w:p w14:paraId="6DBEA202" w14:textId="77777777" w:rsidR="00EF5B27" w:rsidRDefault="00000000">
      <w:pPr>
        <w:pStyle w:val="Heading3"/>
      </w:pPr>
      <w:r>
        <w:rPr>
          <w:color w:val="F99F2A"/>
        </w:rPr>
        <w:t>Ongoing monitoring of known populations</w:t>
      </w:r>
    </w:p>
    <w:p w14:paraId="455A2415" w14:textId="77777777" w:rsidR="00EF5B27" w:rsidRDefault="00000000">
      <w:pPr>
        <w:pStyle w:val="BodyText"/>
        <w:spacing w:before="222" w:line="254" w:lineRule="auto"/>
        <w:ind w:left="2608"/>
      </w:pPr>
      <w:r>
        <w:rPr>
          <w:color w:val="4D4D4F"/>
        </w:rPr>
        <w:t>Any tile grids that have had a Striped Legless Lizard detected become permanent monitoring grids and are monitored for the remainder of the MSA program. At each monitoring location, the original tile grid where the lizard was detected is expanded,</w:t>
      </w:r>
    </w:p>
    <w:p w14:paraId="2E270F20" w14:textId="77777777" w:rsidR="00EF5B27" w:rsidRDefault="00EF5B27">
      <w:pPr>
        <w:pStyle w:val="BodyText"/>
      </w:pPr>
    </w:p>
    <w:p w14:paraId="2B7BFBC5" w14:textId="77777777" w:rsidR="00EF5B27" w:rsidRDefault="00EF5B27">
      <w:pPr>
        <w:pStyle w:val="BodyText"/>
        <w:rPr>
          <w:sz w:val="15"/>
        </w:rPr>
      </w:pPr>
    </w:p>
    <w:p w14:paraId="4E76706F" w14:textId="77777777" w:rsidR="00EF5B27" w:rsidRDefault="00000000">
      <w:pPr>
        <w:pStyle w:val="ListParagraph"/>
        <w:numPr>
          <w:ilvl w:val="0"/>
          <w:numId w:val="1"/>
        </w:numPr>
        <w:tabs>
          <w:tab w:val="left" w:pos="2836"/>
        </w:tabs>
        <w:spacing w:before="105" w:line="230" w:lineRule="auto"/>
        <w:ind w:right="112"/>
        <w:rPr>
          <w:sz w:val="12"/>
        </w:rPr>
      </w:pPr>
      <w:r>
        <w:rPr>
          <w:color w:val="4D4D4F"/>
          <w:spacing w:val="2"/>
          <w:sz w:val="12"/>
        </w:rPr>
        <w:t xml:space="preserve">Bruce </w:t>
      </w:r>
      <w:r>
        <w:rPr>
          <w:color w:val="4D4D4F"/>
          <w:sz w:val="12"/>
        </w:rPr>
        <w:t xml:space="preserve">M, Batpurev </w:t>
      </w:r>
      <w:r>
        <w:rPr>
          <w:color w:val="4D4D4F"/>
          <w:spacing w:val="2"/>
          <w:sz w:val="12"/>
        </w:rPr>
        <w:t xml:space="preserve">K, </w:t>
      </w:r>
      <w:r>
        <w:rPr>
          <w:color w:val="4D4D4F"/>
          <w:sz w:val="12"/>
        </w:rPr>
        <w:t xml:space="preserve">Bryant D, Sinclair S and Kohout M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DELWP, Heidelberg,</w:t>
      </w:r>
      <w:r>
        <w:rPr>
          <w:color w:val="4D4D4F"/>
          <w:spacing w:val="8"/>
          <w:sz w:val="12"/>
        </w:rPr>
        <w:t xml:space="preserve"> </w:t>
      </w:r>
      <w:r>
        <w:rPr>
          <w:color w:val="4D4D4F"/>
          <w:sz w:val="12"/>
        </w:rPr>
        <w:t>Victoria.</w:t>
      </w:r>
    </w:p>
    <w:p w14:paraId="30C4312F" w14:textId="77777777" w:rsidR="00EF5B27" w:rsidRDefault="00EF5B27">
      <w:pPr>
        <w:spacing w:line="230" w:lineRule="auto"/>
        <w:rPr>
          <w:sz w:val="12"/>
        </w:rPr>
        <w:sectPr w:rsidR="00EF5B27">
          <w:footerReference w:type="default" r:id="rId189"/>
          <w:pgSz w:w="11910" w:h="16840"/>
          <w:pgMar w:top="1080" w:right="1020" w:bottom="1480" w:left="1020" w:header="537" w:footer="1285" w:gutter="0"/>
          <w:cols w:space="720"/>
        </w:sectPr>
      </w:pPr>
    </w:p>
    <w:p w14:paraId="719FB043" w14:textId="77777777" w:rsidR="00EF5B27" w:rsidRDefault="00000000">
      <w:pPr>
        <w:pStyle w:val="BodyText"/>
      </w:pPr>
      <w:r>
        <w:lastRenderedPageBreak/>
        <w:pict w14:anchorId="51F597C3">
          <v:group id="_x0000_s2112" style="position:absolute;margin-left:587.05pt;margin-top:183.4pt;width:8.25pt;height:153.1pt;z-index:251810304;mso-position-horizontal-relative:page;mso-position-vertical-relative:page" coordorigin="11741,3668" coordsize="165,3062">
            <v:shape id="_x0000_s2119" style="position:absolute;left:11741;top:3668;width:165;height:561" coordorigin="11741,3668" coordsize="165,561" path="m11906,3668r-165,l11741,4228r165,-18l11906,3668xe" fillcolor="#00aed9" stroked="f">
              <v:path arrowok="t"/>
            </v:shape>
            <v:shape id="_x0000_s2118" style="position:absolute;left:11741;top:4118;width:165;height:425" coordorigin="11741,4118" coordsize="165,425" path="m11906,4118r-165,14l11741,4531r165,12l11906,4118xe" fillcolor="#047ebc" stroked="f">
              <v:path arrowok="t"/>
            </v:shape>
            <v:shape id="_x0000_s2117" type="#_x0000_t75" style="position:absolute;left:11741;top:4355;width:165;height:587">
              <v:imagedata r:id="rId42" o:title=""/>
            </v:shape>
            <v:shape id="_x0000_s2116" style="position:absolute;left:11741;top:5343;width:165;height:536" coordorigin="11741,5343" coordsize="165,536" path="m11741,5343r,535l11906,5872r,-525l11741,5343xe" fillcolor="#f36a2e" stroked="f">
              <v:path arrowok="t"/>
            </v:shape>
            <v:shape id="_x0000_s2115" style="position:absolute;left:11741;top:4925;width:165;height:501" coordorigin="11741,4926" coordsize="165,501" path="m11741,4926r,500l11906,5426r,-485l11741,4926xe" fillcolor="#49783f" stroked="f">
              <v:path arrowok="t"/>
            </v:shape>
            <v:shape id="_x0000_s2114" style="position:absolute;left:11741;top:5781;width:165;height:268" coordorigin="11741,5782" coordsize="165,268" path="m11906,5782r-165,8l11741,6039r165,10l11906,5782xe" fillcolor="#f99f2a" stroked="f">
              <v:path arrowok="t"/>
            </v:shape>
            <v:shape id="_x0000_s2113" style="position:absolute;left:11741;top:6023;width:165;height:707" coordorigin="11741,6023" coordsize="165,707" path="m11741,6023r,706l11906,6729r,-690l11741,6023xe" fillcolor="#ef412c" stroked="f">
              <v:path arrowok="t"/>
            </v:shape>
            <w10:wrap anchorx="page" anchory="page"/>
          </v:group>
        </w:pict>
      </w:r>
    </w:p>
    <w:p w14:paraId="1639F287" w14:textId="77777777" w:rsidR="00EF5B27" w:rsidRDefault="00EF5B27">
      <w:pPr>
        <w:pStyle w:val="BodyText"/>
      </w:pPr>
    </w:p>
    <w:p w14:paraId="4819E601" w14:textId="77777777" w:rsidR="00EF5B27" w:rsidRDefault="00EF5B27">
      <w:pPr>
        <w:pStyle w:val="BodyText"/>
      </w:pPr>
    </w:p>
    <w:p w14:paraId="2499A0B6" w14:textId="77777777" w:rsidR="00EF5B27" w:rsidRDefault="00EF5B27">
      <w:pPr>
        <w:pStyle w:val="BodyText"/>
        <w:spacing w:before="4"/>
        <w:rPr>
          <w:sz w:val="25"/>
        </w:rPr>
      </w:pPr>
    </w:p>
    <w:p w14:paraId="34B7329F" w14:textId="77777777" w:rsidR="00EF5B27" w:rsidRDefault="00000000">
      <w:pPr>
        <w:pStyle w:val="BodyText"/>
        <w:spacing w:before="100" w:line="254" w:lineRule="auto"/>
        <w:ind w:left="2608" w:right="468"/>
        <w:jc w:val="both"/>
      </w:pPr>
      <w:r>
        <w:rPr>
          <w:color w:val="4D4D4F"/>
        </w:rPr>
        <w:t>via the addition of four additional grids nearby, off each corner of the original grid, to form an X arrangement. These expanded grids are located at least 100 m apart. To ensure this spatial separation, the centre point of permanent plots should be at least 282 metres apart (twice the radius of the circle containing the X-shaped plot</w:t>
      </w:r>
    </w:p>
    <w:p w14:paraId="731DC2B1" w14:textId="77777777" w:rsidR="00EF5B27" w:rsidRDefault="00000000">
      <w:pPr>
        <w:pStyle w:val="BodyText"/>
        <w:spacing w:before="5" w:line="254" w:lineRule="auto"/>
        <w:ind w:left="2608" w:right="328"/>
      </w:pPr>
      <w:r>
        <w:rPr>
          <w:color w:val="4D4D4F"/>
        </w:rPr>
        <w:t xml:space="preserve">plus 100 </w:t>
      </w:r>
      <w:r>
        <w:rPr>
          <w:color w:val="4D4D4F"/>
          <w:spacing w:val="-3"/>
        </w:rPr>
        <w:t xml:space="preserve">m). </w:t>
      </w:r>
      <w:r>
        <w:rPr>
          <w:color w:val="4D4D4F"/>
        </w:rPr>
        <w:t xml:space="preserve">In the case of two new permanent plots being installed in the same year the distance rule also applies where two plots are too close </w:t>
      </w:r>
      <w:r>
        <w:rPr>
          <w:color w:val="4D4D4F"/>
          <w:spacing w:val="-3"/>
        </w:rPr>
        <w:t xml:space="preserve">together, </w:t>
      </w:r>
      <w:r>
        <w:rPr>
          <w:color w:val="4D4D4F"/>
        </w:rPr>
        <w:t xml:space="preserve">the grid where  a lizard was first located becomes the permanent plot </w:t>
      </w:r>
      <w:r>
        <w:rPr>
          <w:color w:val="4D4D4F"/>
          <w:spacing w:val="-3"/>
        </w:rPr>
        <w:t xml:space="preserve">(the </w:t>
      </w:r>
      <w:r>
        <w:rPr>
          <w:color w:val="4D4D4F"/>
        </w:rPr>
        <w:t>location of the other plot will be noted). The rule applies regardless of property, parcel or management unit boundaries.</w:t>
      </w:r>
    </w:p>
    <w:p w14:paraId="57C304B3" w14:textId="77777777" w:rsidR="00EF5B27" w:rsidRDefault="00EF5B27">
      <w:pPr>
        <w:pStyle w:val="BodyText"/>
        <w:spacing w:before="5"/>
        <w:rPr>
          <w:sz w:val="19"/>
        </w:rPr>
      </w:pPr>
    </w:p>
    <w:p w14:paraId="6F981F5D" w14:textId="77777777" w:rsidR="00EF5B27" w:rsidRDefault="00000000">
      <w:pPr>
        <w:pStyle w:val="Heading3"/>
      </w:pPr>
      <w:r>
        <w:rPr>
          <w:color w:val="F99F2A"/>
        </w:rPr>
        <w:t>Monitoring to date</w:t>
      </w:r>
    </w:p>
    <w:p w14:paraId="39F838E8" w14:textId="77777777" w:rsidR="00EF5B27" w:rsidRDefault="00000000">
      <w:pPr>
        <w:pStyle w:val="BodyText"/>
        <w:spacing w:before="221" w:line="254" w:lineRule="auto"/>
        <w:ind w:left="2608" w:right="282"/>
      </w:pPr>
      <w:r>
        <w:rPr>
          <w:color w:val="4D4D4F"/>
        </w:rPr>
        <w:t xml:space="preserve">Prior to </w:t>
      </w:r>
      <w:r>
        <w:rPr>
          <w:color w:val="4D4D4F"/>
          <w:spacing w:val="-4"/>
        </w:rPr>
        <w:t xml:space="preserve">2019  </w:t>
      </w:r>
      <w:r>
        <w:rPr>
          <w:color w:val="4D4D4F"/>
        </w:rPr>
        <w:t xml:space="preserve">two permanent monitoring plots have been established for this  species. One is on Mt Cottrell NCR, following a detection in </w:t>
      </w:r>
      <w:r>
        <w:rPr>
          <w:color w:val="4D4D4F"/>
          <w:spacing w:val="-3"/>
        </w:rPr>
        <w:t xml:space="preserve">2016. </w:t>
      </w:r>
      <w:r>
        <w:rPr>
          <w:color w:val="4D4D4F"/>
        </w:rPr>
        <w:t>In this case the</w:t>
      </w:r>
      <w:r>
        <w:rPr>
          <w:color w:val="4D4D4F"/>
          <w:spacing w:val="44"/>
        </w:rPr>
        <w:t xml:space="preserve"> </w:t>
      </w:r>
      <w:r>
        <w:rPr>
          <w:color w:val="4D4D4F"/>
        </w:rPr>
        <w:t>grid</w:t>
      </w:r>
    </w:p>
    <w:p w14:paraId="02ABFB85" w14:textId="77777777" w:rsidR="00EF5B27" w:rsidRDefault="00000000">
      <w:pPr>
        <w:pStyle w:val="BodyText"/>
        <w:spacing w:before="3" w:line="254" w:lineRule="auto"/>
        <w:ind w:left="2608" w:right="151"/>
      </w:pPr>
      <w:r>
        <w:rPr>
          <w:color w:val="4D4D4F"/>
        </w:rPr>
        <w:t>arrangement was altered (from the standard X arrangement) such that the additional grids were placed to the south, west and north of the original location due to a mown fire break and fence directly to the east. On Truganina South NCR the plot is in the standard X arrangement.</w:t>
      </w:r>
    </w:p>
    <w:p w14:paraId="1ADCCBA0" w14:textId="77777777" w:rsidR="00EF5B27" w:rsidRDefault="00EF5B27">
      <w:pPr>
        <w:pStyle w:val="BodyText"/>
        <w:spacing w:before="3"/>
        <w:rPr>
          <w:sz w:val="19"/>
        </w:rPr>
      </w:pPr>
    </w:p>
    <w:p w14:paraId="237C7659" w14:textId="77777777" w:rsidR="00EF5B27" w:rsidRDefault="00000000">
      <w:pPr>
        <w:pStyle w:val="Heading3"/>
      </w:pPr>
      <w:r>
        <w:rPr>
          <w:color w:val="F99F2A"/>
        </w:rPr>
        <w:t>Changes to the MRF</w:t>
      </w:r>
    </w:p>
    <w:p w14:paraId="78D4E7CE" w14:textId="77777777" w:rsidR="00EF5B27" w:rsidRDefault="00000000">
      <w:pPr>
        <w:pStyle w:val="BodyText"/>
        <w:spacing w:before="221"/>
        <w:ind w:left="2608"/>
      </w:pPr>
      <w:r>
        <w:rPr>
          <w:color w:val="4D4D4F"/>
        </w:rPr>
        <w:t>The following changes have been adopted since the MRF was published in 2015.</w:t>
      </w:r>
    </w:p>
    <w:p w14:paraId="1ACDC1E0" w14:textId="77777777" w:rsidR="00EF5B27" w:rsidRDefault="00000000">
      <w:pPr>
        <w:pStyle w:val="ListParagraph"/>
        <w:numPr>
          <w:ilvl w:val="0"/>
          <w:numId w:val="34"/>
        </w:numPr>
        <w:tabs>
          <w:tab w:val="left" w:pos="2779"/>
        </w:tabs>
        <w:spacing w:before="130" w:line="254" w:lineRule="auto"/>
        <w:ind w:right="405"/>
        <w:rPr>
          <w:sz w:val="20"/>
        </w:rPr>
      </w:pPr>
      <w:r>
        <w:rPr>
          <w:color w:val="4D4D4F"/>
          <w:sz w:val="20"/>
        </w:rPr>
        <w:t>The stipulation that tiles be removed and stored at the end of each survey period has been</w:t>
      </w:r>
      <w:r>
        <w:rPr>
          <w:color w:val="4D4D4F"/>
          <w:spacing w:val="8"/>
          <w:sz w:val="20"/>
        </w:rPr>
        <w:t xml:space="preserve"> </w:t>
      </w:r>
      <w:r>
        <w:rPr>
          <w:color w:val="4D4D4F"/>
          <w:sz w:val="20"/>
        </w:rPr>
        <w:t>removed.</w:t>
      </w:r>
    </w:p>
    <w:p w14:paraId="6293618D" w14:textId="77777777" w:rsidR="00EF5B27" w:rsidRDefault="00000000">
      <w:pPr>
        <w:pStyle w:val="ListParagraph"/>
        <w:numPr>
          <w:ilvl w:val="0"/>
          <w:numId w:val="34"/>
        </w:numPr>
        <w:tabs>
          <w:tab w:val="left" w:pos="2779"/>
        </w:tabs>
        <w:spacing w:before="115" w:line="254" w:lineRule="auto"/>
        <w:ind w:right="289"/>
        <w:rPr>
          <w:sz w:val="20"/>
        </w:rPr>
      </w:pPr>
      <w:r>
        <w:rPr>
          <w:color w:val="4D4D4F"/>
          <w:sz w:val="20"/>
        </w:rPr>
        <w:t>The other measures have been expanded to include all reptiles and frogs detected under permanent tile</w:t>
      </w:r>
      <w:r>
        <w:rPr>
          <w:color w:val="4D4D4F"/>
          <w:spacing w:val="12"/>
          <w:sz w:val="20"/>
        </w:rPr>
        <w:t xml:space="preserve"> </w:t>
      </w:r>
      <w:r>
        <w:rPr>
          <w:color w:val="4D4D4F"/>
          <w:sz w:val="20"/>
        </w:rPr>
        <w:t>grids.</w:t>
      </w:r>
    </w:p>
    <w:p w14:paraId="4B123A62" w14:textId="77777777" w:rsidR="00EF5B27" w:rsidRDefault="00000000">
      <w:pPr>
        <w:pStyle w:val="ListParagraph"/>
        <w:numPr>
          <w:ilvl w:val="0"/>
          <w:numId w:val="34"/>
        </w:numPr>
        <w:tabs>
          <w:tab w:val="left" w:pos="2779"/>
        </w:tabs>
        <w:spacing w:before="116" w:line="254" w:lineRule="auto"/>
        <w:ind w:right="111"/>
        <w:rPr>
          <w:sz w:val="20"/>
        </w:rPr>
      </w:pPr>
      <w:r>
        <w:rPr>
          <w:color w:val="4D4D4F"/>
          <w:sz w:val="20"/>
        </w:rPr>
        <w:t xml:space="preserve">The permissible </w:t>
      </w:r>
      <w:r>
        <w:rPr>
          <w:color w:val="4D4D4F"/>
          <w:spacing w:val="-3"/>
          <w:sz w:val="20"/>
        </w:rPr>
        <w:t xml:space="preserve">timing </w:t>
      </w:r>
      <w:r>
        <w:rPr>
          <w:color w:val="4D4D4F"/>
          <w:sz w:val="20"/>
        </w:rPr>
        <w:t xml:space="preserve">of surveys has been extended to </w:t>
      </w:r>
      <w:r>
        <w:rPr>
          <w:color w:val="4D4D4F"/>
          <w:spacing w:val="-3"/>
          <w:sz w:val="20"/>
        </w:rPr>
        <w:t xml:space="preserve">allow tile </w:t>
      </w:r>
      <w:r>
        <w:rPr>
          <w:color w:val="4D4D4F"/>
          <w:sz w:val="20"/>
        </w:rPr>
        <w:t xml:space="preserve">grids to be checked between 9 am and </w:t>
      </w:r>
      <w:r>
        <w:rPr>
          <w:color w:val="4D4D4F"/>
          <w:spacing w:val="-6"/>
          <w:sz w:val="20"/>
        </w:rPr>
        <w:t xml:space="preserve">10 </w:t>
      </w:r>
      <w:r>
        <w:rPr>
          <w:color w:val="4D4D4F"/>
          <w:sz w:val="20"/>
        </w:rPr>
        <w:t>am, provided the other optimal survey conditions are</w:t>
      </w:r>
      <w:r>
        <w:rPr>
          <w:color w:val="4D4D4F"/>
          <w:spacing w:val="-26"/>
          <w:sz w:val="20"/>
        </w:rPr>
        <w:t xml:space="preserve"> </w:t>
      </w:r>
      <w:r>
        <w:rPr>
          <w:color w:val="4D4D4F"/>
          <w:sz w:val="20"/>
        </w:rPr>
        <w:t>met.</w:t>
      </w:r>
    </w:p>
    <w:p w14:paraId="1556AB7A" w14:textId="77777777" w:rsidR="00EF5B27" w:rsidRDefault="00000000">
      <w:pPr>
        <w:pStyle w:val="ListParagraph"/>
        <w:numPr>
          <w:ilvl w:val="0"/>
          <w:numId w:val="34"/>
        </w:numPr>
        <w:tabs>
          <w:tab w:val="left" w:pos="2779"/>
        </w:tabs>
        <w:spacing w:before="116"/>
        <w:rPr>
          <w:sz w:val="20"/>
        </w:rPr>
      </w:pPr>
      <w:r>
        <w:rPr>
          <w:color w:val="4D4D4F"/>
          <w:spacing w:val="-8"/>
          <w:sz w:val="20"/>
        </w:rPr>
        <w:t xml:space="preserve">Truganina </w:t>
      </w:r>
      <w:r>
        <w:rPr>
          <w:color w:val="4D4D4F"/>
          <w:spacing w:val="-5"/>
          <w:sz w:val="20"/>
        </w:rPr>
        <w:t xml:space="preserve">South </w:t>
      </w:r>
      <w:r>
        <w:rPr>
          <w:color w:val="4D4D4F"/>
          <w:spacing w:val="-4"/>
          <w:sz w:val="20"/>
        </w:rPr>
        <w:t xml:space="preserve">NCR </w:t>
      </w:r>
      <w:r>
        <w:rPr>
          <w:color w:val="4D4D4F"/>
          <w:spacing w:val="-5"/>
          <w:sz w:val="20"/>
        </w:rPr>
        <w:t xml:space="preserve">has been added </w:t>
      </w:r>
      <w:r>
        <w:rPr>
          <w:color w:val="4D4D4F"/>
          <w:spacing w:val="-4"/>
          <w:sz w:val="20"/>
        </w:rPr>
        <w:t xml:space="preserve">to </w:t>
      </w:r>
      <w:r>
        <w:rPr>
          <w:color w:val="4D4D4F"/>
          <w:spacing w:val="-5"/>
          <w:sz w:val="20"/>
        </w:rPr>
        <w:t xml:space="preserve">the area </w:t>
      </w:r>
      <w:r>
        <w:rPr>
          <w:color w:val="4D4D4F"/>
          <w:spacing w:val="-6"/>
          <w:sz w:val="20"/>
        </w:rPr>
        <w:t xml:space="preserve">considered </w:t>
      </w:r>
      <w:r>
        <w:rPr>
          <w:color w:val="4D4D4F"/>
          <w:spacing w:val="-5"/>
          <w:sz w:val="20"/>
        </w:rPr>
        <w:t xml:space="preserve">for </w:t>
      </w:r>
      <w:r>
        <w:rPr>
          <w:color w:val="4D4D4F"/>
          <w:spacing w:val="-7"/>
          <w:sz w:val="20"/>
        </w:rPr>
        <w:t xml:space="preserve">monitoring </w:t>
      </w:r>
      <w:r>
        <w:rPr>
          <w:color w:val="4D4D4F"/>
          <w:spacing w:val="-4"/>
          <w:sz w:val="20"/>
        </w:rPr>
        <w:t xml:space="preserve">of </w:t>
      </w:r>
      <w:r>
        <w:rPr>
          <w:color w:val="4D4D4F"/>
          <w:spacing w:val="-7"/>
          <w:sz w:val="20"/>
        </w:rPr>
        <w:t>this</w:t>
      </w:r>
      <w:r>
        <w:rPr>
          <w:color w:val="4D4D4F"/>
          <w:spacing w:val="-2"/>
          <w:sz w:val="20"/>
        </w:rPr>
        <w:t xml:space="preserve"> </w:t>
      </w:r>
      <w:r>
        <w:rPr>
          <w:color w:val="4D4D4F"/>
          <w:spacing w:val="-6"/>
          <w:sz w:val="20"/>
        </w:rPr>
        <w:t>species</w:t>
      </w:r>
    </w:p>
    <w:p w14:paraId="38FD340C" w14:textId="77777777" w:rsidR="00EF5B27" w:rsidRDefault="00000000">
      <w:pPr>
        <w:pStyle w:val="ListParagraph"/>
        <w:numPr>
          <w:ilvl w:val="0"/>
          <w:numId w:val="34"/>
        </w:numPr>
        <w:tabs>
          <w:tab w:val="left" w:pos="2779"/>
        </w:tabs>
        <w:spacing w:before="129" w:line="254" w:lineRule="auto"/>
        <w:ind w:right="298"/>
        <w:rPr>
          <w:sz w:val="20"/>
        </w:rPr>
      </w:pPr>
      <w:r>
        <w:rPr>
          <w:color w:val="4D4D4F"/>
          <w:sz w:val="20"/>
        </w:rPr>
        <w:t xml:space="preserve">The distance rules for the installation of permanent monitoring plots have been amended. The intent is that the edges of permanent plots are at least 100 m apart. </w:t>
      </w:r>
      <w:r>
        <w:rPr>
          <w:color w:val="4D4D4F"/>
          <w:spacing w:val="-7"/>
          <w:sz w:val="20"/>
        </w:rPr>
        <w:t xml:space="preserve">To </w:t>
      </w:r>
      <w:r>
        <w:rPr>
          <w:color w:val="4D4D4F"/>
          <w:sz w:val="20"/>
        </w:rPr>
        <w:t>ensure this, the centre point of new permanent plots should be at least 282 m from the centre point of an existing plot. In the case of two new permanent plots being installed in the same year this distance rule applies. The rule applies regardless of property, parcel or management unit</w:t>
      </w:r>
      <w:r>
        <w:rPr>
          <w:color w:val="4D4D4F"/>
          <w:spacing w:val="35"/>
          <w:sz w:val="20"/>
        </w:rPr>
        <w:t xml:space="preserve"> </w:t>
      </w:r>
      <w:r>
        <w:rPr>
          <w:color w:val="4D4D4F"/>
          <w:sz w:val="20"/>
        </w:rPr>
        <w:t>boundaries.</w:t>
      </w:r>
    </w:p>
    <w:p w14:paraId="64C28A32" w14:textId="77777777" w:rsidR="00EF5B27" w:rsidRDefault="00EF5B27">
      <w:pPr>
        <w:spacing w:line="254" w:lineRule="auto"/>
        <w:rPr>
          <w:sz w:val="20"/>
        </w:rPr>
        <w:sectPr w:rsidR="00EF5B27">
          <w:footerReference w:type="default" r:id="rId190"/>
          <w:pgSz w:w="11910" w:h="16840"/>
          <w:pgMar w:top="1080" w:right="1020" w:bottom="860" w:left="1020" w:header="537" w:footer="678" w:gutter="0"/>
          <w:cols w:space="720"/>
        </w:sectPr>
      </w:pPr>
    </w:p>
    <w:p w14:paraId="163C9834" w14:textId="77777777" w:rsidR="00EF5B27" w:rsidRDefault="00000000">
      <w:pPr>
        <w:pStyle w:val="BodyText"/>
      </w:pPr>
      <w:r>
        <w:lastRenderedPageBreak/>
        <w:pict w14:anchorId="55CBFFF6">
          <v:group id="_x0000_s2104" style="position:absolute;margin-left:587.05pt;margin-top:183.4pt;width:8.25pt;height:153.1pt;z-index:251811328;mso-position-horizontal-relative:page;mso-position-vertical-relative:page" coordorigin="11741,3668" coordsize="165,3062">
            <v:shape id="_x0000_s2111" style="position:absolute;left:11741;top:3668;width:165;height:561" coordorigin="11741,3668" coordsize="165,561" path="m11906,3668r-165,l11741,4228r165,-18l11906,3668xe" fillcolor="#00aed9" stroked="f">
              <v:path arrowok="t"/>
            </v:shape>
            <v:shape id="_x0000_s2110" style="position:absolute;left:11741;top:4118;width:165;height:425" coordorigin="11741,4118" coordsize="165,425" path="m11906,4118r-165,14l11741,4531r165,12l11906,4118xe" fillcolor="#047ebc" stroked="f">
              <v:path arrowok="t"/>
            </v:shape>
            <v:shape id="_x0000_s2109" type="#_x0000_t75" style="position:absolute;left:11741;top:4355;width:165;height:587">
              <v:imagedata r:id="rId42" o:title=""/>
            </v:shape>
            <v:shape id="_x0000_s2108" style="position:absolute;left:11741;top:5343;width:165;height:536" coordorigin="11741,5343" coordsize="165,536" path="m11741,5343r,535l11906,5872r,-525l11741,5343xe" fillcolor="#f36a2e" stroked="f">
              <v:path arrowok="t"/>
            </v:shape>
            <v:shape id="_x0000_s2107" style="position:absolute;left:11741;top:4925;width:165;height:501" coordorigin="11741,4926" coordsize="165,501" path="m11741,4926r,500l11906,5426r,-485l11741,4926xe" fillcolor="#49783f" stroked="f">
              <v:path arrowok="t"/>
            </v:shape>
            <v:shape id="_x0000_s2106" style="position:absolute;left:11741;top:5781;width:165;height:268" coordorigin="11741,5782" coordsize="165,268" path="m11906,5782r-165,8l11741,6039r165,10l11906,5782xe" fillcolor="#f99f2a" stroked="f">
              <v:path arrowok="t"/>
            </v:shape>
            <v:shape id="_x0000_s2105" style="position:absolute;left:11741;top:6023;width:165;height:707" coordorigin="11741,6023" coordsize="165,707" path="m11741,6023r,706l11906,6729r,-690l11741,6023xe" fillcolor="#ef412c" stroked="f">
              <v:path arrowok="t"/>
            </v:shape>
            <w10:wrap anchorx="page" anchory="page"/>
          </v:group>
        </w:pict>
      </w:r>
    </w:p>
    <w:p w14:paraId="2DA7B5EB" w14:textId="77777777" w:rsidR="00EF5B27" w:rsidRDefault="00EF5B27">
      <w:pPr>
        <w:pStyle w:val="BodyText"/>
      </w:pPr>
    </w:p>
    <w:p w14:paraId="15FAC699" w14:textId="77777777" w:rsidR="00EF5B27" w:rsidRDefault="00EF5B27">
      <w:pPr>
        <w:pStyle w:val="BodyText"/>
      </w:pPr>
    </w:p>
    <w:p w14:paraId="50A1A755" w14:textId="77777777" w:rsidR="00EF5B27" w:rsidRDefault="00EF5B27">
      <w:pPr>
        <w:pStyle w:val="BodyText"/>
        <w:spacing w:before="8"/>
      </w:pPr>
    </w:p>
    <w:p w14:paraId="649D5A38" w14:textId="77777777" w:rsidR="00EF5B27" w:rsidRDefault="00000000">
      <w:pPr>
        <w:pStyle w:val="Heading2"/>
      </w:pPr>
      <w:r>
        <w:rPr>
          <w:color w:val="F99F2A"/>
        </w:rPr>
        <w:t>MNES 11: Button Wrinklewort</w:t>
      </w:r>
    </w:p>
    <w:p w14:paraId="039AF73B" w14:textId="77777777" w:rsidR="00EF5B27" w:rsidRDefault="00000000">
      <w:pPr>
        <w:spacing w:before="308"/>
        <w:ind w:left="2608"/>
        <w:rPr>
          <w:b/>
          <w:sz w:val="11"/>
        </w:rPr>
      </w:pPr>
      <w:r>
        <w:rPr>
          <w:b/>
          <w:color w:val="4D4D4F"/>
          <w:w w:val="105"/>
        </w:rPr>
        <w:t xml:space="preserve">The following is an extract from the </w:t>
      </w:r>
      <w:r>
        <w:rPr>
          <w:b/>
          <w:color w:val="4D4D4F"/>
          <w:w w:val="105"/>
          <w:sz w:val="20"/>
        </w:rPr>
        <w:t>Outcomes Report 2014-2020.</w:t>
      </w:r>
      <w:r>
        <w:rPr>
          <w:b/>
          <w:color w:val="4D4D4F"/>
          <w:w w:val="105"/>
          <w:position w:val="7"/>
          <w:sz w:val="11"/>
        </w:rPr>
        <w:t>341</w:t>
      </w:r>
    </w:p>
    <w:p w14:paraId="6B0B4096" w14:textId="77777777" w:rsidR="00EF5B27" w:rsidRDefault="00000000">
      <w:pPr>
        <w:pStyle w:val="Heading3"/>
        <w:spacing w:before="241"/>
      </w:pPr>
      <w:r>
        <w:rPr>
          <w:color w:val="F99F2A"/>
        </w:rPr>
        <w:t>Population census</w:t>
      </w:r>
    </w:p>
    <w:p w14:paraId="29B9B680" w14:textId="77777777" w:rsidR="00EF5B27" w:rsidRDefault="00000000">
      <w:pPr>
        <w:pStyle w:val="BodyText"/>
        <w:spacing w:before="221" w:line="254" w:lineRule="auto"/>
        <w:ind w:left="2608" w:right="491"/>
      </w:pPr>
      <w:r>
        <w:rPr>
          <w:color w:val="4D4D4F"/>
        </w:rPr>
        <w:t xml:space="preserve">Button Wrinklewort is monitored between 1 November and </w:t>
      </w:r>
      <w:r>
        <w:rPr>
          <w:color w:val="4D4D4F"/>
          <w:spacing w:val="-3"/>
        </w:rPr>
        <w:t xml:space="preserve">31 </w:t>
      </w:r>
      <w:r>
        <w:rPr>
          <w:color w:val="4D4D4F"/>
        </w:rPr>
        <w:t>December when it is flowering. A full population count is taken, using 3 m wide transects to structure systematic searches of the entire cemetery site. The transects are also used to record the location of every plant as X, Y coordinates. The X, Y coordinates from previous</w:t>
      </w:r>
      <w:r>
        <w:rPr>
          <w:color w:val="4D4D4F"/>
          <w:spacing w:val="6"/>
        </w:rPr>
        <w:t xml:space="preserve"> </w:t>
      </w:r>
      <w:r>
        <w:rPr>
          <w:color w:val="4D4D4F"/>
        </w:rPr>
        <w:t>years</w:t>
      </w:r>
      <w:r>
        <w:rPr>
          <w:color w:val="4D4D4F"/>
          <w:spacing w:val="7"/>
        </w:rPr>
        <w:t xml:space="preserve"> </w:t>
      </w:r>
      <w:r>
        <w:rPr>
          <w:color w:val="4D4D4F"/>
        </w:rPr>
        <w:t>may</w:t>
      </w:r>
      <w:r>
        <w:rPr>
          <w:color w:val="4D4D4F"/>
          <w:spacing w:val="6"/>
        </w:rPr>
        <w:t xml:space="preserve"> </w:t>
      </w:r>
      <w:r>
        <w:rPr>
          <w:color w:val="4D4D4F"/>
        </w:rPr>
        <w:t>be</w:t>
      </w:r>
      <w:r>
        <w:rPr>
          <w:color w:val="4D4D4F"/>
          <w:spacing w:val="7"/>
        </w:rPr>
        <w:t xml:space="preserve"> </w:t>
      </w:r>
      <w:r>
        <w:rPr>
          <w:color w:val="4D4D4F"/>
        </w:rPr>
        <w:t>used</w:t>
      </w:r>
      <w:r>
        <w:rPr>
          <w:color w:val="4D4D4F"/>
          <w:spacing w:val="7"/>
        </w:rPr>
        <w:t xml:space="preserve"> </w:t>
      </w:r>
      <w:r>
        <w:rPr>
          <w:color w:val="4D4D4F"/>
        </w:rPr>
        <w:t>to</w:t>
      </w:r>
      <w:r>
        <w:rPr>
          <w:color w:val="4D4D4F"/>
          <w:spacing w:val="6"/>
        </w:rPr>
        <w:t xml:space="preserve"> </w:t>
      </w:r>
      <w:r>
        <w:rPr>
          <w:color w:val="4D4D4F"/>
        </w:rPr>
        <w:t>aid</w:t>
      </w:r>
      <w:r>
        <w:rPr>
          <w:color w:val="4D4D4F"/>
          <w:spacing w:val="7"/>
        </w:rPr>
        <w:t xml:space="preserve"> </w:t>
      </w:r>
      <w:r>
        <w:rPr>
          <w:color w:val="4D4D4F"/>
        </w:rPr>
        <w:t>plant</w:t>
      </w:r>
      <w:r>
        <w:rPr>
          <w:color w:val="4D4D4F"/>
          <w:spacing w:val="7"/>
        </w:rPr>
        <w:t xml:space="preserve"> </w:t>
      </w:r>
      <w:r>
        <w:rPr>
          <w:color w:val="4D4D4F"/>
        </w:rPr>
        <w:t>searches</w:t>
      </w:r>
      <w:r>
        <w:rPr>
          <w:color w:val="4D4D4F"/>
          <w:spacing w:val="6"/>
        </w:rPr>
        <w:t xml:space="preserve"> </w:t>
      </w:r>
      <w:r>
        <w:rPr>
          <w:color w:val="4D4D4F"/>
        </w:rPr>
        <w:t>in</w:t>
      </w:r>
      <w:r>
        <w:rPr>
          <w:color w:val="4D4D4F"/>
          <w:spacing w:val="7"/>
        </w:rPr>
        <w:t xml:space="preserve"> </w:t>
      </w:r>
      <w:r>
        <w:rPr>
          <w:color w:val="4D4D4F"/>
        </w:rPr>
        <w:t>subsequent</w:t>
      </w:r>
      <w:r>
        <w:rPr>
          <w:color w:val="4D4D4F"/>
          <w:spacing w:val="6"/>
        </w:rPr>
        <w:t xml:space="preserve"> </w:t>
      </w:r>
      <w:r>
        <w:rPr>
          <w:color w:val="4D4D4F"/>
        </w:rPr>
        <w:t>years.</w:t>
      </w:r>
    </w:p>
    <w:p w14:paraId="549B17A7" w14:textId="77777777" w:rsidR="00EF5B27" w:rsidRDefault="00000000">
      <w:pPr>
        <w:pStyle w:val="BodyText"/>
        <w:spacing w:before="120" w:line="254" w:lineRule="auto"/>
        <w:ind w:left="2608" w:right="151"/>
      </w:pPr>
      <w:r>
        <w:rPr>
          <w:color w:val="4D4D4F"/>
        </w:rPr>
        <w:t xml:space="preserve">Recruits are identified and recorded (plants not recorded in prior years and with no </w:t>
      </w:r>
      <w:r>
        <w:rPr>
          <w:color w:val="4D4D4F"/>
          <w:spacing w:val="-4"/>
        </w:rPr>
        <w:t xml:space="preserve">evidence </w:t>
      </w:r>
      <w:r>
        <w:rPr>
          <w:color w:val="4D4D4F"/>
          <w:spacing w:val="-3"/>
        </w:rPr>
        <w:t xml:space="preserve">of </w:t>
      </w:r>
      <w:r>
        <w:rPr>
          <w:color w:val="4D4D4F"/>
          <w:spacing w:val="-4"/>
        </w:rPr>
        <w:t xml:space="preserve">previous years’ growth). Reproductive plants </w:t>
      </w:r>
      <w:r>
        <w:rPr>
          <w:color w:val="4D4D4F"/>
        </w:rPr>
        <w:t xml:space="preserve">are </w:t>
      </w:r>
      <w:r>
        <w:rPr>
          <w:color w:val="4D4D4F"/>
          <w:spacing w:val="-3"/>
        </w:rPr>
        <w:t xml:space="preserve">also </w:t>
      </w:r>
      <w:r>
        <w:rPr>
          <w:color w:val="4D4D4F"/>
          <w:spacing w:val="-5"/>
        </w:rPr>
        <w:t xml:space="preserve">identified </w:t>
      </w:r>
      <w:r>
        <w:rPr>
          <w:color w:val="4D4D4F"/>
          <w:spacing w:val="-3"/>
        </w:rPr>
        <w:t xml:space="preserve">and recorded (plants </w:t>
      </w:r>
      <w:r>
        <w:rPr>
          <w:color w:val="4D4D4F"/>
        </w:rPr>
        <w:t xml:space="preserve">with buds, flowers or seed heads from the current year </w:t>
      </w:r>
      <w:r>
        <w:rPr>
          <w:color w:val="4D4D4F"/>
          <w:spacing w:val="-4"/>
        </w:rPr>
        <w:t xml:space="preserve">(being </w:t>
      </w:r>
      <w:r>
        <w:rPr>
          <w:color w:val="4D4D4F"/>
        </w:rPr>
        <w:t xml:space="preserve">careful to </w:t>
      </w:r>
      <w:r>
        <w:rPr>
          <w:color w:val="4D4D4F"/>
          <w:spacing w:val="-3"/>
        </w:rPr>
        <w:t xml:space="preserve">exclude </w:t>
      </w:r>
      <w:r>
        <w:rPr>
          <w:color w:val="4D4D4F"/>
        </w:rPr>
        <w:t xml:space="preserve">seed heads from previous years, which are sometimes retained). On every plant, the number of stems, buds, flowers and seed heads is recorded </w:t>
      </w:r>
      <w:r>
        <w:rPr>
          <w:color w:val="4D4D4F"/>
          <w:spacing w:val="-4"/>
        </w:rPr>
        <w:t xml:space="preserve">(at </w:t>
      </w:r>
      <w:r>
        <w:rPr>
          <w:color w:val="4D4D4F"/>
        </w:rPr>
        <w:t xml:space="preserve">least once every five years, to provide estimates of reproductive output for </w:t>
      </w:r>
      <w:r>
        <w:rPr>
          <w:color w:val="4D4D4F"/>
          <w:spacing w:val="-3"/>
        </w:rPr>
        <w:t xml:space="preserve">PVA </w:t>
      </w:r>
      <w:r>
        <w:rPr>
          <w:color w:val="4D4D4F"/>
        </w:rPr>
        <w:t>models).</w:t>
      </w:r>
    </w:p>
    <w:p w14:paraId="5CE742A0" w14:textId="77777777" w:rsidR="00EF5B27" w:rsidRDefault="00EF5B27">
      <w:pPr>
        <w:pStyle w:val="BodyText"/>
        <w:spacing w:before="5"/>
        <w:rPr>
          <w:sz w:val="19"/>
        </w:rPr>
      </w:pPr>
    </w:p>
    <w:p w14:paraId="2EF3CF9D" w14:textId="77777777" w:rsidR="00EF5B27" w:rsidRDefault="00000000">
      <w:pPr>
        <w:pStyle w:val="Heading3"/>
      </w:pPr>
      <w:r>
        <w:rPr>
          <w:color w:val="F99F2A"/>
        </w:rPr>
        <w:t>Habitat measurements</w:t>
      </w:r>
    </w:p>
    <w:p w14:paraId="5A708B8E" w14:textId="77777777" w:rsidR="00EF5B27" w:rsidRDefault="00000000">
      <w:pPr>
        <w:pStyle w:val="BodyText"/>
        <w:spacing w:before="222" w:line="254" w:lineRule="auto"/>
        <w:ind w:left="2608" w:right="715"/>
      </w:pPr>
      <w:r>
        <w:rPr>
          <w:color w:val="4D4D4F"/>
        </w:rPr>
        <w:t>Several habitat parameters known to influence recruitment success of Button Wrinklewort are monitored: bare ground, perennial and annual weed cover.</w:t>
      </w:r>
      <w:r>
        <w:rPr>
          <w:color w:val="4D4D4F"/>
          <w:position w:val="7"/>
          <w:sz w:val="11"/>
        </w:rPr>
        <w:t xml:space="preserve">342 </w:t>
      </w:r>
      <w:r>
        <w:rPr>
          <w:color w:val="4D4D4F"/>
        </w:rPr>
        <w:t xml:space="preserve">These parameters are quantified using a single permanent point intercept plot located within the </w:t>
      </w:r>
      <w:r>
        <w:rPr>
          <w:color w:val="4D4D4F"/>
          <w:spacing w:val="-3"/>
        </w:rPr>
        <w:t xml:space="preserve">Truganina </w:t>
      </w:r>
      <w:r>
        <w:rPr>
          <w:color w:val="4D4D4F"/>
        </w:rPr>
        <w:t xml:space="preserve">Cemetery Button Wrinklewort population, which forms part of the monitoring for Natural Temperate Grassland. This single plot </w:t>
      </w:r>
      <w:r>
        <w:rPr>
          <w:color w:val="4D4D4F"/>
          <w:spacing w:val="-3"/>
        </w:rPr>
        <w:t xml:space="preserve">(20 </w:t>
      </w:r>
      <w:r>
        <w:rPr>
          <w:color w:val="4D4D4F"/>
        </w:rPr>
        <w:t xml:space="preserve">x 20 </w:t>
      </w:r>
      <w:r>
        <w:rPr>
          <w:color w:val="4D4D4F"/>
          <w:spacing w:val="-5"/>
        </w:rPr>
        <w:t xml:space="preserve">m) </w:t>
      </w:r>
      <w:r>
        <w:rPr>
          <w:color w:val="4D4D4F"/>
        </w:rPr>
        <w:t xml:space="preserve">covers a </w:t>
      </w:r>
      <w:r>
        <w:rPr>
          <w:color w:val="4D4D4F"/>
          <w:spacing w:val="-4"/>
        </w:rPr>
        <w:t xml:space="preserve">substantial </w:t>
      </w:r>
      <w:r>
        <w:rPr>
          <w:color w:val="4D4D4F"/>
        </w:rPr>
        <w:t xml:space="preserve">portion of </w:t>
      </w:r>
      <w:r>
        <w:rPr>
          <w:color w:val="4D4D4F"/>
          <w:spacing w:val="-3"/>
        </w:rPr>
        <w:t xml:space="preserve">the Button Wrinklewort </w:t>
      </w:r>
      <w:r>
        <w:rPr>
          <w:color w:val="4D4D4F"/>
          <w:spacing w:val="-4"/>
        </w:rPr>
        <w:t xml:space="preserve">population </w:t>
      </w:r>
      <w:r>
        <w:rPr>
          <w:color w:val="4D4D4F"/>
          <w:spacing w:val="-3"/>
        </w:rPr>
        <w:t xml:space="preserve">and </w:t>
      </w:r>
      <w:r>
        <w:rPr>
          <w:color w:val="4D4D4F"/>
        </w:rPr>
        <w:t>is assumed to adequately represent the vegetation supporting the population.</w:t>
      </w:r>
    </w:p>
    <w:p w14:paraId="2AA6B867" w14:textId="77777777" w:rsidR="00EF5B27" w:rsidRDefault="00EF5B27">
      <w:pPr>
        <w:pStyle w:val="BodyText"/>
        <w:spacing w:before="7"/>
        <w:rPr>
          <w:sz w:val="19"/>
        </w:rPr>
      </w:pPr>
    </w:p>
    <w:p w14:paraId="58FD1DE2" w14:textId="77777777" w:rsidR="00EF5B27" w:rsidRDefault="00000000">
      <w:pPr>
        <w:pStyle w:val="Heading3"/>
      </w:pPr>
      <w:r>
        <w:rPr>
          <w:color w:val="F99F2A"/>
        </w:rPr>
        <w:t>Changes to the MRF</w:t>
      </w:r>
    </w:p>
    <w:p w14:paraId="01705879" w14:textId="77777777" w:rsidR="00EF5B27" w:rsidRDefault="00000000">
      <w:pPr>
        <w:pStyle w:val="BodyText"/>
        <w:spacing w:before="221"/>
        <w:ind w:left="2608"/>
      </w:pPr>
      <w:r>
        <w:rPr>
          <w:color w:val="4D4D4F"/>
        </w:rPr>
        <w:t>The following changes have been adopted since the MRF was published in 2015.</w:t>
      </w:r>
    </w:p>
    <w:p w14:paraId="4DFEC69D" w14:textId="77777777" w:rsidR="00EF5B27" w:rsidRDefault="00000000">
      <w:pPr>
        <w:pStyle w:val="ListParagraph"/>
        <w:numPr>
          <w:ilvl w:val="0"/>
          <w:numId w:val="34"/>
        </w:numPr>
        <w:tabs>
          <w:tab w:val="left" w:pos="2779"/>
        </w:tabs>
        <w:spacing w:before="129" w:line="254" w:lineRule="auto"/>
        <w:ind w:right="450"/>
        <w:rPr>
          <w:sz w:val="20"/>
        </w:rPr>
      </w:pPr>
      <w:r>
        <w:rPr>
          <w:color w:val="4D4D4F"/>
          <w:sz w:val="20"/>
        </w:rPr>
        <w:t>The formulation of baselines and targets was clarified to clearly indicate that the KPI is assessed using a continual improvement</w:t>
      </w:r>
      <w:r>
        <w:rPr>
          <w:color w:val="4D4D4F"/>
          <w:spacing w:val="38"/>
          <w:sz w:val="20"/>
        </w:rPr>
        <w:t xml:space="preserve"> </w:t>
      </w:r>
      <w:r>
        <w:rPr>
          <w:color w:val="4D4D4F"/>
          <w:sz w:val="20"/>
        </w:rPr>
        <w:t>model.</w:t>
      </w:r>
    </w:p>
    <w:p w14:paraId="421658C4" w14:textId="77777777" w:rsidR="00EF5B27" w:rsidRDefault="00000000">
      <w:pPr>
        <w:pStyle w:val="ListParagraph"/>
        <w:numPr>
          <w:ilvl w:val="0"/>
          <w:numId w:val="34"/>
        </w:numPr>
        <w:tabs>
          <w:tab w:val="left" w:pos="2779"/>
        </w:tabs>
        <w:spacing w:before="116" w:line="254" w:lineRule="auto"/>
        <w:ind w:right="190"/>
        <w:rPr>
          <w:sz w:val="20"/>
        </w:rPr>
      </w:pPr>
      <w:r>
        <w:rPr>
          <w:color w:val="4D4D4F"/>
          <w:sz w:val="20"/>
        </w:rPr>
        <w:t xml:space="preserve">It has now been stated that a belt transect delineated by a pair of tapes 3 m apart    is </w:t>
      </w:r>
      <w:r>
        <w:rPr>
          <w:color w:val="4D4D4F"/>
          <w:spacing w:val="-4"/>
          <w:sz w:val="20"/>
        </w:rPr>
        <w:t xml:space="preserve">the preferred </w:t>
      </w:r>
      <w:r>
        <w:rPr>
          <w:color w:val="4D4D4F"/>
          <w:spacing w:val="-6"/>
          <w:sz w:val="20"/>
        </w:rPr>
        <w:t xml:space="preserve">monitoring </w:t>
      </w:r>
      <w:r>
        <w:rPr>
          <w:color w:val="4D4D4F"/>
          <w:spacing w:val="-5"/>
          <w:sz w:val="20"/>
        </w:rPr>
        <w:t xml:space="preserve">method. This provides </w:t>
      </w:r>
      <w:r>
        <w:rPr>
          <w:color w:val="4D4D4F"/>
          <w:spacing w:val="-6"/>
          <w:sz w:val="20"/>
        </w:rPr>
        <w:t xml:space="preserve">equivalent </w:t>
      </w:r>
      <w:r>
        <w:rPr>
          <w:color w:val="4D4D4F"/>
          <w:spacing w:val="-4"/>
          <w:sz w:val="20"/>
        </w:rPr>
        <w:t xml:space="preserve">coverage to the </w:t>
      </w:r>
      <w:r>
        <w:rPr>
          <w:color w:val="4D4D4F"/>
          <w:spacing w:val="-6"/>
          <w:sz w:val="20"/>
        </w:rPr>
        <w:t xml:space="preserve">single </w:t>
      </w:r>
      <w:r>
        <w:rPr>
          <w:color w:val="4D4D4F"/>
          <w:spacing w:val="-4"/>
          <w:sz w:val="20"/>
        </w:rPr>
        <w:t xml:space="preserve">tape </w:t>
      </w:r>
      <w:r>
        <w:rPr>
          <w:color w:val="4D4D4F"/>
          <w:sz w:val="20"/>
        </w:rPr>
        <w:t>lines</w:t>
      </w:r>
      <w:r>
        <w:rPr>
          <w:color w:val="4D4D4F"/>
          <w:spacing w:val="5"/>
          <w:sz w:val="20"/>
        </w:rPr>
        <w:t xml:space="preserve"> </w:t>
      </w:r>
      <w:r>
        <w:rPr>
          <w:color w:val="4D4D4F"/>
          <w:sz w:val="20"/>
        </w:rPr>
        <w:t>described</w:t>
      </w:r>
      <w:r>
        <w:rPr>
          <w:color w:val="4D4D4F"/>
          <w:spacing w:val="5"/>
          <w:sz w:val="20"/>
        </w:rPr>
        <w:t xml:space="preserve"> </w:t>
      </w:r>
      <w:r>
        <w:rPr>
          <w:color w:val="4D4D4F"/>
          <w:sz w:val="20"/>
        </w:rPr>
        <w:t>in</w:t>
      </w:r>
      <w:r>
        <w:rPr>
          <w:color w:val="4D4D4F"/>
          <w:spacing w:val="5"/>
          <w:sz w:val="20"/>
        </w:rPr>
        <w:t xml:space="preserve"> </w:t>
      </w:r>
      <w:r>
        <w:rPr>
          <w:color w:val="4D4D4F"/>
          <w:sz w:val="20"/>
        </w:rPr>
        <w:t>the</w:t>
      </w:r>
      <w:r>
        <w:rPr>
          <w:color w:val="4D4D4F"/>
          <w:spacing w:val="5"/>
          <w:sz w:val="20"/>
        </w:rPr>
        <w:t xml:space="preserve"> </w:t>
      </w:r>
      <w:r>
        <w:rPr>
          <w:color w:val="4D4D4F"/>
          <w:sz w:val="20"/>
        </w:rPr>
        <w:t>MRF</w:t>
      </w:r>
      <w:r>
        <w:rPr>
          <w:color w:val="4D4D4F"/>
          <w:spacing w:val="5"/>
          <w:sz w:val="20"/>
        </w:rPr>
        <w:t xml:space="preserve"> </w:t>
      </w:r>
      <w:r>
        <w:rPr>
          <w:color w:val="4D4D4F"/>
          <w:spacing w:val="-5"/>
          <w:sz w:val="20"/>
        </w:rPr>
        <w:t>(3</w:t>
      </w:r>
      <w:r>
        <w:rPr>
          <w:color w:val="4D4D4F"/>
          <w:spacing w:val="5"/>
          <w:sz w:val="20"/>
        </w:rPr>
        <w:t xml:space="preserve"> </w:t>
      </w:r>
      <w:r>
        <w:rPr>
          <w:color w:val="4D4D4F"/>
          <w:sz w:val="20"/>
        </w:rPr>
        <w:t>m</w:t>
      </w:r>
      <w:r>
        <w:rPr>
          <w:color w:val="4D4D4F"/>
          <w:spacing w:val="5"/>
          <w:sz w:val="20"/>
        </w:rPr>
        <w:t xml:space="preserve"> </w:t>
      </w:r>
      <w:r>
        <w:rPr>
          <w:color w:val="4D4D4F"/>
          <w:sz w:val="20"/>
        </w:rPr>
        <w:t>apart,</w:t>
      </w:r>
      <w:r>
        <w:rPr>
          <w:color w:val="4D4D4F"/>
          <w:spacing w:val="6"/>
          <w:sz w:val="20"/>
        </w:rPr>
        <w:t xml:space="preserve"> </w:t>
      </w:r>
      <w:r>
        <w:rPr>
          <w:color w:val="4D4D4F"/>
          <w:sz w:val="20"/>
        </w:rPr>
        <w:t>searched</w:t>
      </w:r>
      <w:r>
        <w:rPr>
          <w:color w:val="4D4D4F"/>
          <w:spacing w:val="5"/>
          <w:sz w:val="20"/>
        </w:rPr>
        <w:t xml:space="preserve"> </w:t>
      </w:r>
      <w:r>
        <w:rPr>
          <w:color w:val="4D4D4F"/>
          <w:spacing w:val="-4"/>
          <w:sz w:val="20"/>
        </w:rPr>
        <w:t>1.5</w:t>
      </w:r>
      <w:r>
        <w:rPr>
          <w:color w:val="4D4D4F"/>
          <w:spacing w:val="5"/>
          <w:sz w:val="20"/>
        </w:rPr>
        <w:t xml:space="preserve"> </w:t>
      </w:r>
      <w:r>
        <w:rPr>
          <w:color w:val="4D4D4F"/>
          <w:sz w:val="20"/>
        </w:rPr>
        <w:t>m</w:t>
      </w:r>
      <w:r>
        <w:rPr>
          <w:color w:val="4D4D4F"/>
          <w:spacing w:val="5"/>
          <w:sz w:val="20"/>
        </w:rPr>
        <w:t xml:space="preserve"> </w:t>
      </w:r>
      <w:r>
        <w:rPr>
          <w:color w:val="4D4D4F"/>
          <w:sz w:val="20"/>
        </w:rPr>
        <w:t>either</w:t>
      </w:r>
      <w:r>
        <w:rPr>
          <w:color w:val="4D4D4F"/>
          <w:spacing w:val="5"/>
          <w:sz w:val="20"/>
        </w:rPr>
        <w:t xml:space="preserve"> </w:t>
      </w:r>
      <w:r>
        <w:rPr>
          <w:color w:val="4D4D4F"/>
          <w:spacing w:val="-3"/>
          <w:sz w:val="20"/>
        </w:rPr>
        <w:t>side),</w:t>
      </w:r>
      <w:r>
        <w:rPr>
          <w:color w:val="4D4D4F"/>
          <w:spacing w:val="5"/>
          <w:sz w:val="20"/>
        </w:rPr>
        <w:t xml:space="preserve"> </w:t>
      </w:r>
      <w:r>
        <w:rPr>
          <w:color w:val="4D4D4F"/>
          <w:sz w:val="20"/>
        </w:rPr>
        <w:t>but</w:t>
      </w:r>
      <w:r>
        <w:rPr>
          <w:color w:val="4D4D4F"/>
          <w:spacing w:val="5"/>
          <w:sz w:val="20"/>
        </w:rPr>
        <w:t xml:space="preserve"> </w:t>
      </w:r>
      <w:r>
        <w:rPr>
          <w:color w:val="4D4D4F"/>
          <w:sz w:val="20"/>
        </w:rPr>
        <w:t>prevents</w:t>
      </w:r>
    </w:p>
    <w:p w14:paraId="6E583370" w14:textId="77777777" w:rsidR="00EF5B27" w:rsidRDefault="00000000">
      <w:pPr>
        <w:pStyle w:val="BodyText"/>
        <w:spacing w:before="4"/>
        <w:ind w:left="2778"/>
      </w:pPr>
      <w:r>
        <w:rPr>
          <w:color w:val="4D4D4F"/>
          <w:spacing w:val="-5"/>
        </w:rPr>
        <w:t xml:space="preserve">accidental </w:t>
      </w:r>
      <w:r>
        <w:rPr>
          <w:color w:val="4D4D4F"/>
          <w:spacing w:val="-4"/>
        </w:rPr>
        <w:t xml:space="preserve">double </w:t>
      </w:r>
      <w:r>
        <w:rPr>
          <w:color w:val="4D4D4F"/>
          <w:spacing w:val="-5"/>
        </w:rPr>
        <w:t xml:space="preserve">counting </w:t>
      </w:r>
      <w:r>
        <w:rPr>
          <w:color w:val="4D4D4F"/>
          <w:spacing w:val="-3"/>
        </w:rPr>
        <w:t xml:space="preserve">at the </w:t>
      </w:r>
      <w:r>
        <w:rPr>
          <w:color w:val="4D4D4F"/>
          <w:spacing w:val="-4"/>
        </w:rPr>
        <w:t xml:space="preserve">margins, because </w:t>
      </w:r>
      <w:r>
        <w:rPr>
          <w:color w:val="4D4D4F"/>
          <w:spacing w:val="-3"/>
        </w:rPr>
        <w:t xml:space="preserve">the </w:t>
      </w:r>
      <w:r>
        <w:rPr>
          <w:color w:val="4D4D4F"/>
          <w:spacing w:val="-5"/>
        </w:rPr>
        <w:t xml:space="preserve">margins </w:t>
      </w:r>
      <w:r>
        <w:rPr>
          <w:color w:val="4D4D4F"/>
        </w:rPr>
        <w:t xml:space="preserve">are </w:t>
      </w:r>
      <w:r>
        <w:rPr>
          <w:color w:val="4D4D4F"/>
          <w:spacing w:val="-4"/>
        </w:rPr>
        <w:t xml:space="preserve">defined </w:t>
      </w:r>
      <w:r>
        <w:rPr>
          <w:color w:val="4D4D4F"/>
        </w:rPr>
        <w:t xml:space="preserve">by </w:t>
      </w:r>
      <w:r>
        <w:rPr>
          <w:color w:val="4D4D4F"/>
          <w:spacing w:val="-3"/>
        </w:rPr>
        <w:t xml:space="preserve">the </w:t>
      </w:r>
      <w:r>
        <w:rPr>
          <w:color w:val="4D4D4F"/>
          <w:spacing w:val="-4"/>
        </w:rPr>
        <w:t>tape.</w:t>
      </w:r>
    </w:p>
    <w:p w14:paraId="48BA4088" w14:textId="77777777" w:rsidR="00EF5B27" w:rsidRDefault="00000000">
      <w:pPr>
        <w:pStyle w:val="ListParagraph"/>
        <w:numPr>
          <w:ilvl w:val="0"/>
          <w:numId w:val="34"/>
        </w:numPr>
        <w:tabs>
          <w:tab w:val="left" w:pos="2779"/>
        </w:tabs>
        <w:spacing w:before="129" w:line="254" w:lineRule="auto"/>
        <w:ind w:right="124"/>
        <w:rPr>
          <w:sz w:val="20"/>
        </w:rPr>
      </w:pPr>
      <w:r>
        <w:rPr>
          <w:color w:val="4D4D4F"/>
          <w:sz w:val="20"/>
        </w:rPr>
        <w:t xml:space="preserve">The other measures have been updated to include the number of buds, flower heads and seed heads on every plant, to support the parameterisation of </w:t>
      </w:r>
      <w:r>
        <w:rPr>
          <w:color w:val="4D4D4F"/>
          <w:spacing w:val="-3"/>
          <w:sz w:val="20"/>
        </w:rPr>
        <w:t xml:space="preserve">PVA  </w:t>
      </w:r>
      <w:r>
        <w:rPr>
          <w:color w:val="4D4D4F"/>
          <w:sz w:val="20"/>
        </w:rPr>
        <w:t>models.  Such</w:t>
      </w:r>
      <w:r>
        <w:rPr>
          <w:color w:val="4D4D4F"/>
          <w:spacing w:val="5"/>
          <w:sz w:val="20"/>
        </w:rPr>
        <w:t xml:space="preserve"> </w:t>
      </w:r>
      <w:r>
        <w:rPr>
          <w:color w:val="4D4D4F"/>
          <w:sz w:val="20"/>
        </w:rPr>
        <w:t>data</w:t>
      </w:r>
      <w:r>
        <w:rPr>
          <w:color w:val="4D4D4F"/>
          <w:spacing w:val="5"/>
          <w:sz w:val="20"/>
        </w:rPr>
        <w:t xml:space="preserve"> </w:t>
      </w:r>
      <w:r>
        <w:rPr>
          <w:color w:val="4D4D4F"/>
          <w:sz w:val="20"/>
        </w:rPr>
        <w:t>should</w:t>
      </w:r>
      <w:r>
        <w:rPr>
          <w:color w:val="4D4D4F"/>
          <w:spacing w:val="5"/>
          <w:sz w:val="20"/>
        </w:rPr>
        <w:t xml:space="preserve"> </w:t>
      </w:r>
      <w:r>
        <w:rPr>
          <w:color w:val="4D4D4F"/>
          <w:sz w:val="20"/>
        </w:rPr>
        <w:t>be</w:t>
      </w:r>
      <w:r>
        <w:rPr>
          <w:color w:val="4D4D4F"/>
          <w:spacing w:val="6"/>
          <w:sz w:val="20"/>
        </w:rPr>
        <w:t xml:space="preserve"> </w:t>
      </w:r>
      <w:r>
        <w:rPr>
          <w:color w:val="4D4D4F"/>
          <w:sz w:val="20"/>
        </w:rPr>
        <w:t>collected</w:t>
      </w:r>
      <w:r>
        <w:rPr>
          <w:color w:val="4D4D4F"/>
          <w:spacing w:val="5"/>
          <w:sz w:val="20"/>
        </w:rPr>
        <w:t xml:space="preserve"> </w:t>
      </w:r>
      <w:r>
        <w:rPr>
          <w:color w:val="4D4D4F"/>
          <w:sz w:val="20"/>
        </w:rPr>
        <w:t>in</w:t>
      </w:r>
      <w:r>
        <w:rPr>
          <w:color w:val="4D4D4F"/>
          <w:spacing w:val="5"/>
          <w:sz w:val="20"/>
        </w:rPr>
        <w:t xml:space="preserve"> </w:t>
      </w:r>
      <w:r>
        <w:rPr>
          <w:color w:val="4D4D4F"/>
          <w:sz w:val="20"/>
        </w:rPr>
        <w:t>full</w:t>
      </w:r>
      <w:r>
        <w:rPr>
          <w:color w:val="4D4D4F"/>
          <w:spacing w:val="6"/>
          <w:sz w:val="20"/>
        </w:rPr>
        <w:t xml:space="preserve"> </w:t>
      </w:r>
      <w:r>
        <w:rPr>
          <w:color w:val="4D4D4F"/>
          <w:sz w:val="20"/>
        </w:rPr>
        <w:t>at</w:t>
      </w:r>
      <w:r>
        <w:rPr>
          <w:color w:val="4D4D4F"/>
          <w:spacing w:val="5"/>
          <w:sz w:val="20"/>
        </w:rPr>
        <w:t xml:space="preserve"> </w:t>
      </w:r>
      <w:r>
        <w:rPr>
          <w:color w:val="4D4D4F"/>
          <w:sz w:val="20"/>
        </w:rPr>
        <w:t>least</w:t>
      </w:r>
      <w:r>
        <w:rPr>
          <w:color w:val="4D4D4F"/>
          <w:spacing w:val="5"/>
          <w:sz w:val="20"/>
        </w:rPr>
        <w:t xml:space="preserve"> </w:t>
      </w:r>
      <w:r>
        <w:rPr>
          <w:color w:val="4D4D4F"/>
          <w:sz w:val="20"/>
        </w:rPr>
        <w:t>once</w:t>
      </w:r>
      <w:r>
        <w:rPr>
          <w:color w:val="4D4D4F"/>
          <w:spacing w:val="5"/>
          <w:sz w:val="20"/>
        </w:rPr>
        <w:t xml:space="preserve"> </w:t>
      </w:r>
      <w:r>
        <w:rPr>
          <w:color w:val="4D4D4F"/>
          <w:sz w:val="20"/>
        </w:rPr>
        <w:t>every</w:t>
      </w:r>
      <w:r>
        <w:rPr>
          <w:color w:val="4D4D4F"/>
          <w:spacing w:val="6"/>
          <w:sz w:val="20"/>
        </w:rPr>
        <w:t xml:space="preserve"> </w:t>
      </w:r>
      <w:r>
        <w:rPr>
          <w:color w:val="4D4D4F"/>
          <w:sz w:val="20"/>
        </w:rPr>
        <w:t>five</w:t>
      </w:r>
      <w:r>
        <w:rPr>
          <w:color w:val="4D4D4F"/>
          <w:spacing w:val="5"/>
          <w:sz w:val="20"/>
        </w:rPr>
        <w:t xml:space="preserve"> </w:t>
      </w:r>
      <w:r>
        <w:rPr>
          <w:color w:val="4D4D4F"/>
          <w:sz w:val="20"/>
        </w:rPr>
        <w:t>years.</w:t>
      </w:r>
    </w:p>
    <w:p w14:paraId="2C4A6A2A" w14:textId="77777777" w:rsidR="00EF5B27" w:rsidRDefault="00000000">
      <w:pPr>
        <w:pStyle w:val="ListParagraph"/>
        <w:numPr>
          <w:ilvl w:val="0"/>
          <w:numId w:val="34"/>
        </w:numPr>
        <w:tabs>
          <w:tab w:val="left" w:pos="2779"/>
        </w:tabs>
        <w:spacing w:before="117" w:line="254" w:lineRule="auto"/>
        <w:ind w:right="330"/>
        <w:rPr>
          <w:sz w:val="20"/>
        </w:rPr>
      </w:pPr>
      <w:r>
        <w:rPr>
          <w:color w:val="4D4D4F"/>
          <w:sz w:val="20"/>
        </w:rPr>
        <w:t>The methods have been updated to clarify that the X, Y coordinates from previous years may be used to aid plant searches in subsequent</w:t>
      </w:r>
      <w:r>
        <w:rPr>
          <w:color w:val="4D4D4F"/>
          <w:spacing w:val="9"/>
          <w:sz w:val="20"/>
        </w:rPr>
        <w:t xml:space="preserve"> </w:t>
      </w:r>
      <w:r>
        <w:rPr>
          <w:color w:val="4D4D4F"/>
          <w:sz w:val="20"/>
        </w:rPr>
        <w:t>years.</w:t>
      </w:r>
    </w:p>
    <w:p w14:paraId="3DD78F0C" w14:textId="77777777" w:rsidR="00EF5B27" w:rsidRDefault="00EF5B27">
      <w:pPr>
        <w:pStyle w:val="BodyText"/>
      </w:pPr>
    </w:p>
    <w:p w14:paraId="11978545" w14:textId="77777777" w:rsidR="00EF5B27" w:rsidRDefault="00000000">
      <w:pPr>
        <w:pStyle w:val="BodyText"/>
        <w:rPr>
          <w:sz w:val="13"/>
        </w:rPr>
      </w:pPr>
      <w:r>
        <w:pict w14:anchorId="0E275E55">
          <v:line id="_x0000_s2103" style="position:absolute;z-index:251773440;mso-wrap-distance-left:0;mso-wrap-distance-right:0;mso-position-horizontal-relative:page" from="181.4pt,10.15pt" to="538.6pt,10.15pt" strokecolor="#4d4d4f" strokeweight=".5pt">
            <w10:wrap type="topAndBottom" anchorx="page"/>
          </v:line>
        </w:pict>
      </w:r>
    </w:p>
    <w:p w14:paraId="7CE06D99" w14:textId="77777777" w:rsidR="00EF5B27" w:rsidRDefault="00000000">
      <w:pPr>
        <w:pStyle w:val="ListParagraph"/>
        <w:numPr>
          <w:ilvl w:val="0"/>
          <w:numId w:val="1"/>
        </w:numPr>
        <w:tabs>
          <w:tab w:val="left" w:pos="2836"/>
        </w:tabs>
        <w:spacing w:before="88" w:line="230" w:lineRule="auto"/>
        <w:ind w:right="112"/>
        <w:rPr>
          <w:sz w:val="12"/>
        </w:rPr>
      </w:pPr>
      <w:r>
        <w:rPr>
          <w:color w:val="4D4D4F"/>
          <w:spacing w:val="2"/>
          <w:sz w:val="12"/>
        </w:rPr>
        <w:t xml:space="preserve">Bruce </w:t>
      </w:r>
      <w:r>
        <w:rPr>
          <w:color w:val="4D4D4F"/>
          <w:sz w:val="12"/>
        </w:rPr>
        <w:t xml:space="preserve">M, Batpurev </w:t>
      </w:r>
      <w:r>
        <w:rPr>
          <w:color w:val="4D4D4F"/>
          <w:spacing w:val="2"/>
          <w:sz w:val="12"/>
        </w:rPr>
        <w:t xml:space="preserve">K, </w:t>
      </w:r>
      <w:r>
        <w:rPr>
          <w:color w:val="4D4D4F"/>
          <w:sz w:val="12"/>
        </w:rPr>
        <w:t xml:space="preserve">Bryant D, Sinclair S and Kohout M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DELWP, Heidelberg,</w:t>
      </w:r>
      <w:r>
        <w:rPr>
          <w:color w:val="4D4D4F"/>
          <w:spacing w:val="8"/>
          <w:sz w:val="12"/>
        </w:rPr>
        <w:t xml:space="preserve"> </w:t>
      </w:r>
      <w:r>
        <w:rPr>
          <w:color w:val="4D4D4F"/>
          <w:sz w:val="12"/>
        </w:rPr>
        <w:t>Victoria.</w:t>
      </w:r>
    </w:p>
    <w:p w14:paraId="48D97600" w14:textId="77777777" w:rsidR="00EF5B27" w:rsidRDefault="00000000">
      <w:pPr>
        <w:pStyle w:val="ListParagraph"/>
        <w:numPr>
          <w:ilvl w:val="0"/>
          <w:numId w:val="1"/>
        </w:numPr>
        <w:tabs>
          <w:tab w:val="left" w:pos="2836"/>
        </w:tabs>
        <w:spacing w:line="138" w:lineRule="exact"/>
        <w:rPr>
          <w:rFonts w:ascii="Arial Narrow" w:hAnsi="Arial Narrow"/>
          <w:i/>
          <w:sz w:val="12"/>
        </w:rPr>
      </w:pPr>
      <w:r>
        <w:rPr>
          <w:color w:val="4D4D4F"/>
          <w:w w:val="105"/>
          <w:sz w:val="12"/>
        </w:rPr>
        <w:t>Morgan</w:t>
      </w:r>
      <w:r>
        <w:rPr>
          <w:color w:val="4D4D4F"/>
          <w:spacing w:val="-4"/>
          <w:w w:val="105"/>
          <w:sz w:val="12"/>
        </w:rPr>
        <w:t xml:space="preserve"> </w:t>
      </w:r>
      <w:r>
        <w:rPr>
          <w:color w:val="4D4D4F"/>
          <w:w w:val="105"/>
          <w:sz w:val="12"/>
        </w:rPr>
        <w:t>JW</w:t>
      </w:r>
      <w:r>
        <w:rPr>
          <w:color w:val="4D4D4F"/>
          <w:spacing w:val="-3"/>
          <w:w w:val="105"/>
          <w:sz w:val="12"/>
        </w:rPr>
        <w:t xml:space="preserve"> </w:t>
      </w:r>
      <w:r>
        <w:rPr>
          <w:color w:val="4D4D4F"/>
          <w:spacing w:val="-4"/>
          <w:w w:val="105"/>
          <w:sz w:val="12"/>
        </w:rPr>
        <w:t xml:space="preserve">1997, </w:t>
      </w:r>
      <w:r>
        <w:rPr>
          <w:color w:val="4D4D4F"/>
          <w:w w:val="105"/>
          <w:sz w:val="12"/>
        </w:rPr>
        <w:t>‘The</w:t>
      </w:r>
      <w:r>
        <w:rPr>
          <w:color w:val="4D4D4F"/>
          <w:spacing w:val="-3"/>
          <w:w w:val="105"/>
          <w:sz w:val="12"/>
        </w:rPr>
        <w:t xml:space="preserve"> </w:t>
      </w:r>
      <w:r>
        <w:rPr>
          <w:color w:val="4D4D4F"/>
          <w:w w:val="105"/>
          <w:sz w:val="12"/>
        </w:rPr>
        <w:t>effect</w:t>
      </w:r>
      <w:r>
        <w:rPr>
          <w:color w:val="4D4D4F"/>
          <w:spacing w:val="-3"/>
          <w:w w:val="105"/>
          <w:sz w:val="12"/>
        </w:rPr>
        <w:t xml:space="preserve"> </w:t>
      </w:r>
      <w:r>
        <w:rPr>
          <w:color w:val="4D4D4F"/>
          <w:w w:val="105"/>
          <w:sz w:val="12"/>
        </w:rPr>
        <w:t>of</w:t>
      </w:r>
      <w:r>
        <w:rPr>
          <w:color w:val="4D4D4F"/>
          <w:spacing w:val="-4"/>
          <w:w w:val="105"/>
          <w:sz w:val="12"/>
        </w:rPr>
        <w:t xml:space="preserve"> </w:t>
      </w:r>
      <w:r>
        <w:rPr>
          <w:color w:val="4D4D4F"/>
          <w:w w:val="105"/>
          <w:sz w:val="12"/>
        </w:rPr>
        <w:t>grassland</w:t>
      </w:r>
      <w:r>
        <w:rPr>
          <w:color w:val="4D4D4F"/>
          <w:spacing w:val="-3"/>
          <w:w w:val="105"/>
          <w:sz w:val="12"/>
        </w:rPr>
        <w:t xml:space="preserve"> </w:t>
      </w:r>
      <w:r>
        <w:rPr>
          <w:color w:val="4D4D4F"/>
          <w:w w:val="105"/>
          <w:sz w:val="12"/>
        </w:rPr>
        <w:t>gap</w:t>
      </w:r>
      <w:r>
        <w:rPr>
          <w:color w:val="4D4D4F"/>
          <w:spacing w:val="-4"/>
          <w:w w:val="105"/>
          <w:sz w:val="12"/>
        </w:rPr>
        <w:t xml:space="preserve"> </w:t>
      </w:r>
      <w:r>
        <w:rPr>
          <w:color w:val="4D4D4F"/>
          <w:spacing w:val="-3"/>
          <w:w w:val="105"/>
          <w:sz w:val="12"/>
        </w:rPr>
        <w:t xml:space="preserve">size </w:t>
      </w:r>
      <w:r>
        <w:rPr>
          <w:color w:val="4D4D4F"/>
          <w:w w:val="105"/>
          <w:sz w:val="12"/>
        </w:rPr>
        <w:t>on</w:t>
      </w:r>
      <w:r>
        <w:rPr>
          <w:color w:val="4D4D4F"/>
          <w:spacing w:val="-3"/>
          <w:w w:val="105"/>
          <w:sz w:val="12"/>
        </w:rPr>
        <w:t xml:space="preserve"> </w:t>
      </w:r>
      <w:r>
        <w:rPr>
          <w:color w:val="4D4D4F"/>
          <w:w w:val="105"/>
          <w:sz w:val="12"/>
        </w:rPr>
        <w:t>the</w:t>
      </w:r>
      <w:r>
        <w:rPr>
          <w:color w:val="4D4D4F"/>
          <w:spacing w:val="-4"/>
          <w:w w:val="105"/>
          <w:sz w:val="12"/>
        </w:rPr>
        <w:t xml:space="preserve"> </w:t>
      </w:r>
      <w:r>
        <w:rPr>
          <w:color w:val="4D4D4F"/>
          <w:w w:val="105"/>
          <w:sz w:val="12"/>
        </w:rPr>
        <w:t>establishment,</w:t>
      </w:r>
      <w:r>
        <w:rPr>
          <w:color w:val="4D4D4F"/>
          <w:spacing w:val="-3"/>
          <w:w w:val="105"/>
          <w:sz w:val="12"/>
        </w:rPr>
        <w:t xml:space="preserve"> </w:t>
      </w:r>
      <w:r>
        <w:rPr>
          <w:color w:val="4D4D4F"/>
          <w:w w:val="105"/>
          <w:sz w:val="12"/>
        </w:rPr>
        <w:t>growth</w:t>
      </w:r>
      <w:r>
        <w:rPr>
          <w:color w:val="4D4D4F"/>
          <w:spacing w:val="-3"/>
          <w:w w:val="105"/>
          <w:sz w:val="12"/>
        </w:rPr>
        <w:t xml:space="preserve"> </w:t>
      </w:r>
      <w:r>
        <w:rPr>
          <w:color w:val="4D4D4F"/>
          <w:w w:val="105"/>
          <w:sz w:val="12"/>
        </w:rPr>
        <w:t>and</w:t>
      </w:r>
      <w:r>
        <w:rPr>
          <w:color w:val="4D4D4F"/>
          <w:spacing w:val="-4"/>
          <w:w w:val="105"/>
          <w:sz w:val="12"/>
        </w:rPr>
        <w:t xml:space="preserve"> </w:t>
      </w:r>
      <w:r>
        <w:rPr>
          <w:color w:val="4D4D4F"/>
          <w:w w:val="105"/>
          <w:sz w:val="12"/>
        </w:rPr>
        <w:t>flowering</w:t>
      </w:r>
      <w:r>
        <w:rPr>
          <w:color w:val="4D4D4F"/>
          <w:spacing w:val="-3"/>
          <w:w w:val="105"/>
          <w:sz w:val="12"/>
        </w:rPr>
        <w:t xml:space="preserve"> </w:t>
      </w:r>
      <w:r>
        <w:rPr>
          <w:color w:val="4D4D4F"/>
          <w:w w:val="105"/>
          <w:sz w:val="12"/>
        </w:rPr>
        <w:t>of</w:t>
      </w:r>
      <w:r>
        <w:rPr>
          <w:color w:val="4D4D4F"/>
          <w:spacing w:val="-4"/>
          <w:w w:val="105"/>
          <w:sz w:val="12"/>
        </w:rPr>
        <w:t xml:space="preserve"> </w:t>
      </w:r>
      <w:r>
        <w:rPr>
          <w:color w:val="4D4D4F"/>
          <w:w w:val="105"/>
          <w:sz w:val="12"/>
        </w:rPr>
        <w:t>the</w:t>
      </w:r>
      <w:r>
        <w:rPr>
          <w:color w:val="4D4D4F"/>
          <w:spacing w:val="-3"/>
          <w:w w:val="105"/>
          <w:sz w:val="12"/>
        </w:rPr>
        <w:t xml:space="preserve"> </w:t>
      </w:r>
      <w:r>
        <w:rPr>
          <w:color w:val="4D4D4F"/>
          <w:w w:val="105"/>
          <w:sz w:val="12"/>
        </w:rPr>
        <w:t>endangered</w:t>
      </w:r>
      <w:r>
        <w:rPr>
          <w:color w:val="4D4D4F"/>
          <w:spacing w:val="-3"/>
          <w:w w:val="105"/>
          <w:sz w:val="12"/>
        </w:rPr>
        <w:t xml:space="preserve"> </w:t>
      </w:r>
      <w:r>
        <w:rPr>
          <w:rFonts w:ascii="Arial Narrow" w:hAnsi="Arial Narrow"/>
          <w:i/>
          <w:color w:val="4D4D4F"/>
          <w:spacing w:val="-4"/>
          <w:w w:val="105"/>
          <w:sz w:val="12"/>
        </w:rPr>
        <w:t>Rutidosis leptorrhynchoides</w:t>
      </w:r>
    </w:p>
    <w:p w14:paraId="5990BBBC" w14:textId="77777777" w:rsidR="00EF5B27" w:rsidRDefault="00000000">
      <w:pPr>
        <w:spacing w:line="143" w:lineRule="exact"/>
        <w:ind w:left="2835"/>
        <w:rPr>
          <w:sz w:val="12"/>
        </w:rPr>
      </w:pPr>
      <w:r>
        <w:rPr>
          <w:color w:val="4D4D4F"/>
          <w:sz w:val="12"/>
        </w:rPr>
        <w:t>(Asteraceae).’ Journal of Applied Ecology 34, 566-576.</w:t>
      </w:r>
    </w:p>
    <w:p w14:paraId="207EFE0E" w14:textId="77777777" w:rsidR="00EF5B27" w:rsidRDefault="00EF5B27">
      <w:pPr>
        <w:spacing w:line="143" w:lineRule="exact"/>
        <w:rPr>
          <w:sz w:val="12"/>
        </w:rPr>
        <w:sectPr w:rsidR="00EF5B27">
          <w:pgSz w:w="11910" w:h="16840"/>
          <w:pgMar w:top="1080" w:right="1020" w:bottom="860" w:left="1020" w:header="537" w:footer="678" w:gutter="0"/>
          <w:cols w:space="720"/>
        </w:sectPr>
      </w:pPr>
    </w:p>
    <w:p w14:paraId="42E521FF" w14:textId="77777777" w:rsidR="00EF5B27" w:rsidRDefault="00000000">
      <w:pPr>
        <w:pStyle w:val="BodyText"/>
      </w:pPr>
      <w:r>
        <w:lastRenderedPageBreak/>
        <w:pict w14:anchorId="175A8DD1">
          <v:group id="_x0000_s2095" style="position:absolute;margin-left:587.05pt;margin-top:183.4pt;width:8.25pt;height:153.1pt;z-index:251812352;mso-position-horizontal-relative:page;mso-position-vertical-relative:page" coordorigin="11741,3668" coordsize="165,3062">
            <v:shape id="_x0000_s2102" style="position:absolute;left:11741;top:3668;width:165;height:561" coordorigin="11741,3668" coordsize="165,561" path="m11906,3668r-165,l11741,4228r165,-18l11906,3668xe" fillcolor="#00aed9" stroked="f">
              <v:path arrowok="t"/>
            </v:shape>
            <v:shape id="_x0000_s2101" style="position:absolute;left:11741;top:4118;width:165;height:425" coordorigin="11741,4118" coordsize="165,425" path="m11906,4118r-165,14l11741,4531r165,12l11906,4118xe" fillcolor="#047ebc" stroked="f">
              <v:path arrowok="t"/>
            </v:shape>
            <v:shape id="_x0000_s2100" type="#_x0000_t75" style="position:absolute;left:11741;top:4355;width:165;height:587">
              <v:imagedata r:id="rId42" o:title=""/>
            </v:shape>
            <v:shape id="_x0000_s2099" style="position:absolute;left:11741;top:5343;width:165;height:536" coordorigin="11741,5343" coordsize="165,536" path="m11741,5343r,535l11906,5872r,-525l11741,5343xe" fillcolor="#f36a2e" stroked="f">
              <v:path arrowok="t"/>
            </v:shape>
            <v:shape id="_x0000_s2098" style="position:absolute;left:11741;top:4925;width:165;height:501" coordorigin="11741,4926" coordsize="165,501" path="m11741,4926r,500l11906,5426r,-485l11741,4926xe" fillcolor="#49783f" stroked="f">
              <v:path arrowok="t"/>
            </v:shape>
            <v:shape id="_x0000_s2097" style="position:absolute;left:11741;top:5781;width:165;height:268" coordorigin="11741,5782" coordsize="165,268" path="m11906,5782r-165,8l11741,6039r165,10l11906,5782xe" fillcolor="#f99f2a" stroked="f">
              <v:path arrowok="t"/>
            </v:shape>
            <v:shape id="_x0000_s2096" style="position:absolute;left:11741;top:6023;width:165;height:707" coordorigin="11741,6023" coordsize="165,707" path="m11741,6023r,706l11906,6729r,-690l11741,6023xe" fillcolor="#ef412c" stroked="f">
              <v:path arrowok="t"/>
            </v:shape>
            <w10:wrap anchorx="page" anchory="page"/>
          </v:group>
        </w:pict>
      </w:r>
    </w:p>
    <w:p w14:paraId="6B561557" w14:textId="77777777" w:rsidR="00EF5B27" w:rsidRDefault="00EF5B27">
      <w:pPr>
        <w:pStyle w:val="BodyText"/>
      </w:pPr>
    </w:p>
    <w:p w14:paraId="607DA569" w14:textId="77777777" w:rsidR="00EF5B27" w:rsidRDefault="00EF5B27">
      <w:pPr>
        <w:pStyle w:val="BodyText"/>
      </w:pPr>
    </w:p>
    <w:p w14:paraId="4F3FA242" w14:textId="77777777" w:rsidR="00EF5B27" w:rsidRDefault="00EF5B27">
      <w:pPr>
        <w:pStyle w:val="BodyText"/>
        <w:spacing w:before="8"/>
      </w:pPr>
    </w:p>
    <w:p w14:paraId="57409425" w14:textId="77777777" w:rsidR="00EF5B27" w:rsidRDefault="00000000">
      <w:pPr>
        <w:pStyle w:val="Heading2"/>
      </w:pPr>
      <w:r>
        <w:rPr>
          <w:color w:val="F99F2A"/>
        </w:rPr>
        <w:t>MNES 12: Large-fruit Groundsel</w:t>
      </w:r>
    </w:p>
    <w:p w14:paraId="638024EF" w14:textId="77777777" w:rsidR="00EF5B27" w:rsidRDefault="00000000">
      <w:pPr>
        <w:spacing w:before="308"/>
        <w:ind w:left="2608"/>
        <w:rPr>
          <w:b/>
          <w:sz w:val="11"/>
        </w:rPr>
      </w:pPr>
      <w:r>
        <w:rPr>
          <w:b/>
          <w:color w:val="4D4D4F"/>
          <w:w w:val="105"/>
        </w:rPr>
        <w:t xml:space="preserve">The following is an extract from the </w:t>
      </w:r>
      <w:r>
        <w:rPr>
          <w:b/>
          <w:color w:val="4D4D4F"/>
          <w:w w:val="105"/>
          <w:sz w:val="20"/>
        </w:rPr>
        <w:t>Outcomes Report 2014–2020.</w:t>
      </w:r>
      <w:r>
        <w:rPr>
          <w:b/>
          <w:color w:val="4D4D4F"/>
          <w:w w:val="105"/>
          <w:position w:val="7"/>
          <w:sz w:val="11"/>
        </w:rPr>
        <w:t>343</w:t>
      </w:r>
    </w:p>
    <w:p w14:paraId="4615C854" w14:textId="77777777" w:rsidR="00EF5B27" w:rsidRDefault="00000000">
      <w:pPr>
        <w:pStyle w:val="Heading3"/>
        <w:spacing w:before="241"/>
      </w:pPr>
      <w:r>
        <w:rPr>
          <w:color w:val="F99F2A"/>
        </w:rPr>
        <w:t>Population census</w:t>
      </w:r>
    </w:p>
    <w:p w14:paraId="4CB320BF" w14:textId="77777777" w:rsidR="00EF5B27" w:rsidRDefault="00000000">
      <w:pPr>
        <w:pStyle w:val="BodyText"/>
        <w:spacing w:before="221" w:line="254" w:lineRule="auto"/>
        <w:ind w:left="2608" w:right="196"/>
      </w:pPr>
      <w:r>
        <w:rPr>
          <w:color w:val="4D4D4F"/>
          <w:w w:val="105"/>
        </w:rPr>
        <w:t>Large-fruit</w:t>
      </w:r>
      <w:r>
        <w:rPr>
          <w:color w:val="4D4D4F"/>
          <w:spacing w:val="-19"/>
          <w:w w:val="105"/>
        </w:rPr>
        <w:t xml:space="preserve"> </w:t>
      </w:r>
      <w:r>
        <w:rPr>
          <w:color w:val="4D4D4F"/>
          <w:w w:val="105"/>
        </w:rPr>
        <w:t>Groundsel</w:t>
      </w:r>
      <w:r>
        <w:rPr>
          <w:color w:val="4D4D4F"/>
          <w:spacing w:val="-19"/>
          <w:w w:val="105"/>
        </w:rPr>
        <w:t xml:space="preserve"> </w:t>
      </w:r>
      <w:r>
        <w:rPr>
          <w:color w:val="4D4D4F"/>
          <w:w w:val="105"/>
        </w:rPr>
        <w:t>is</w:t>
      </w:r>
      <w:r>
        <w:rPr>
          <w:color w:val="4D4D4F"/>
          <w:spacing w:val="-19"/>
          <w:w w:val="105"/>
        </w:rPr>
        <w:t xml:space="preserve"> </w:t>
      </w:r>
      <w:r>
        <w:rPr>
          <w:color w:val="4D4D4F"/>
          <w:w w:val="105"/>
        </w:rPr>
        <w:t>monitored</w:t>
      </w:r>
      <w:r>
        <w:rPr>
          <w:color w:val="4D4D4F"/>
          <w:spacing w:val="-19"/>
          <w:w w:val="105"/>
        </w:rPr>
        <w:t xml:space="preserve"> </w:t>
      </w:r>
      <w:r>
        <w:rPr>
          <w:color w:val="4D4D4F"/>
          <w:w w:val="105"/>
        </w:rPr>
        <w:t>between</w:t>
      </w:r>
      <w:r>
        <w:rPr>
          <w:color w:val="4D4D4F"/>
          <w:spacing w:val="-18"/>
          <w:w w:val="105"/>
        </w:rPr>
        <w:t xml:space="preserve"> </w:t>
      </w:r>
      <w:r>
        <w:rPr>
          <w:color w:val="4D4D4F"/>
          <w:w w:val="105"/>
        </w:rPr>
        <w:t>1</w:t>
      </w:r>
      <w:r>
        <w:rPr>
          <w:color w:val="4D4D4F"/>
          <w:spacing w:val="-19"/>
          <w:w w:val="105"/>
        </w:rPr>
        <w:t xml:space="preserve"> </w:t>
      </w:r>
      <w:r>
        <w:rPr>
          <w:color w:val="4D4D4F"/>
          <w:w w:val="105"/>
        </w:rPr>
        <w:t>September</w:t>
      </w:r>
      <w:r>
        <w:rPr>
          <w:color w:val="4D4D4F"/>
          <w:spacing w:val="-19"/>
          <w:w w:val="105"/>
        </w:rPr>
        <w:t xml:space="preserve"> </w:t>
      </w:r>
      <w:r>
        <w:rPr>
          <w:color w:val="4D4D4F"/>
          <w:w w:val="105"/>
        </w:rPr>
        <w:t>and</w:t>
      </w:r>
      <w:r>
        <w:rPr>
          <w:color w:val="4D4D4F"/>
          <w:spacing w:val="-19"/>
          <w:w w:val="105"/>
        </w:rPr>
        <w:t xml:space="preserve"> </w:t>
      </w:r>
      <w:r>
        <w:rPr>
          <w:color w:val="4D4D4F"/>
          <w:w w:val="105"/>
        </w:rPr>
        <w:t>30</w:t>
      </w:r>
      <w:r>
        <w:rPr>
          <w:color w:val="4D4D4F"/>
          <w:spacing w:val="-19"/>
          <w:w w:val="105"/>
        </w:rPr>
        <w:t xml:space="preserve"> </w:t>
      </w:r>
      <w:r>
        <w:rPr>
          <w:color w:val="4D4D4F"/>
          <w:w w:val="105"/>
        </w:rPr>
        <w:t>November</w:t>
      </w:r>
      <w:r>
        <w:rPr>
          <w:color w:val="4D4D4F"/>
          <w:spacing w:val="-18"/>
          <w:w w:val="105"/>
        </w:rPr>
        <w:t xml:space="preserve"> </w:t>
      </w:r>
      <w:r>
        <w:rPr>
          <w:color w:val="4D4D4F"/>
          <w:w w:val="105"/>
        </w:rPr>
        <w:t>when</w:t>
      </w:r>
      <w:r>
        <w:rPr>
          <w:color w:val="4D4D4F"/>
          <w:spacing w:val="-19"/>
          <w:w w:val="105"/>
        </w:rPr>
        <w:t xml:space="preserve"> </w:t>
      </w:r>
      <w:r>
        <w:rPr>
          <w:color w:val="4D4D4F"/>
          <w:w w:val="105"/>
        </w:rPr>
        <w:t>it is</w:t>
      </w:r>
      <w:r>
        <w:rPr>
          <w:color w:val="4D4D4F"/>
          <w:spacing w:val="-21"/>
          <w:w w:val="105"/>
        </w:rPr>
        <w:t xml:space="preserve"> </w:t>
      </w:r>
      <w:r>
        <w:rPr>
          <w:color w:val="4D4D4F"/>
          <w:w w:val="105"/>
        </w:rPr>
        <w:t>flowering.</w:t>
      </w:r>
      <w:r>
        <w:rPr>
          <w:color w:val="4D4D4F"/>
          <w:spacing w:val="-21"/>
          <w:w w:val="105"/>
        </w:rPr>
        <w:t xml:space="preserve"> </w:t>
      </w:r>
      <w:r>
        <w:rPr>
          <w:color w:val="4D4D4F"/>
          <w:w w:val="105"/>
        </w:rPr>
        <w:t>A</w:t>
      </w:r>
      <w:r>
        <w:rPr>
          <w:color w:val="4D4D4F"/>
          <w:spacing w:val="-20"/>
          <w:w w:val="105"/>
        </w:rPr>
        <w:t xml:space="preserve"> </w:t>
      </w:r>
      <w:r>
        <w:rPr>
          <w:color w:val="4D4D4F"/>
          <w:w w:val="105"/>
        </w:rPr>
        <w:t>full</w:t>
      </w:r>
      <w:r>
        <w:rPr>
          <w:color w:val="4D4D4F"/>
          <w:spacing w:val="-21"/>
          <w:w w:val="105"/>
        </w:rPr>
        <w:t xml:space="preserve"> </w:t>
      </w:r>
      <w:r>
        <w:rPr>
          <w:color w:val="4D4D4F"/>
          <w:w w:val="105"/>
        </w:rPr>
        <w:t>population</w:t>
      </w:r>
      <w:r>
        <w:rPr>
          <w:color w:val="4D4D4F"/>
          <w:spacing w:val="-20"/>
          <w:w w:val="105"/>
        </w:rPr>
        <w:t xml:space="preserve"> </w:t>
      </w:r>
      <w:r>
        <w:rPr>
          <w:color w:val="4D4D4F"/>
          <w:w w:val="105"/>
        </w:rPr>
        <w:t>count</w:t>
      </w:r>
      <w:r>
        <w:rPr>
          <w:color w:val="4D4D4F"/>
          <w:spacing w:val="-21"/>
          <w:w w:val="105"/>
        </w:rPr>
        <w:t xml:space="preserve"> </w:t>
      </w:r>
      <w:r>
        <w:rPr>
          <w:color w:val="4D4D4F"/>
          <w:w w:val="105"/>
        </w:rPr>
        <w:t>is</w:t>
      </w:r>
      <w:r>
        <w:rPr>
          <w:color w:val="4D4D4F"/>
          <w:spacing w:val="-20"/>
          <w:w w:val="105"/>
        </w:rPr>
        <w:t xml:space="preserve"> </w:t>
      </w:r>
      <w:r>
        <w:rPr>
          <w:color w:val="4D4D4F"/>
          <w:w w:val="105"/>
        </w:rPr>
        <w:t>taken</w:t>
      </w:r>
      <w:r>
        <w:rPr>
          <w:color w:val="4D4D4F"/>
          <w:spacing w:val="-21"/>
          <w:w w:val="105"/>
        </w:rPr>
        <w:t xml:space="preserve"> </w:t>
      </w:r>
      <w:r>
        <w:rPr>
          <w:color w:val="4D4D4F"/>
          <w:w w:val="105"/>
        </w:rPr>
        <w:t>for</w:t>
      </w:r>
      <w:r>
        <w:rPr>
          <w:color w:val="4D4D4F"/>
          <w:spacing w:val="-21"/>
          <w:w w:val="105"/>
        </w:rPr>
        <w:t xml:space="preserve"> </w:t>
      </w:r>
      <w:r>
        <w:rPr>
          <w:color w:val="4D4D4F"/>
          <w:w w:val="105"/>
        </w:rPr>
        <w:t>each</w:t>
      </w:r>
      <w:r>
        <w:rPr>
          <w:color w:val="4D4D4F"/>
          <w:spacing w:val="-20"/>
          <w:w w:val="105"/>
        </w:rPr>
        <w:t xml:space="preserve"> </w:t>
      </w:r>
      <w:r>
        <w:rPr>
          <w:color w:val="4D4D4F"/>
          <w:w w:val="105"/>
        </w:rPr>
        <w:t>population,</w:t>
      </w:r>
      <w:r>
        <w:rPr>
          <w:color w:val="4D4D4F"/>
          <w:spacing w:val="-21"/>
          <w:w w:val="105"/>
        </w:rPr>
        <w:t xml:space="preserve"> </w:t>
      </w:r>
      <w:r>
        <w:rPr>
          <w:color w:val="4D4D4F"/>
          <w:w w:val="105"/>
        </w:rPr>
        <w:t>with</w:t>
      </w:r>
      <w:r>
        <w:rPr>
          <w:color w:val="4D4D4F"/>
          <w:spacing w:val="-20"/>
          <w:w w:val="105"/>
        </w:rPr>
        <w:t xml:space="preserve"> </w:t>
      </w:r>
      <w:r>
        <w:rPr>
          <w:color w:val="4D4D4F"/>
          <w:w w:val="105"/>
        </w:rPr>
        <w:t>the</w:t>
      </w:r>
      <w:r>
        <w:rPr>
          <w:color w:val="4D4D4F"/>
          <w:spacing w:val="-21"/>
          <w:w w:val="105"/>
        </w:rPr>
        <w:t xml:space="preserve"> </w:t>
      </w:r>
      <w:r>
        <w:rPr>
          <w:color w:val="4D4D4F"/>
          <w:w w:val="105"/>
        </w:rPr>
        <w:t>location</w:t>
      </w:r>
      <w:r>
        <w:rPr>
          <w:color w:val="4D4D4F"/>
          <w:spacing w:val="-20"/>
          <w:w w:val="105"/>
        </w:rPr>
        <w:t xml:space="preserve"> </w:t>
      </w:r>
      <w:r>
        <w:rPr>
          <w:color w:val="4D4D4F"/>
          <w:w w:val="105"/>
        </w:rPr>
        <w:t>of every</w:t>
      </w:r>
      <w:r>
        <w:rPr>
          <w:color w:val="4D4D4F"/>
          <w:spacing w:val="-18"/>
          <w:w w:val="105"/>
        </w:rPr>
        <w:t xml:space="preserve"> </w:t>
      </w:r>
      <w:r>
        <w:rPr>
          <w:color w:val="4D4D4F"/>
          <w:w w:val="105"/>
        </w:rPr>
        <w:t>plant</w:t>
      </w:r>
      <w:r>
        <w:rPr>
          <w:color w:val="4D4D4F"/>
          <w:spacing w:val="-17"/>
          <w:w w:val="105"/>
        </w:rPr>
        <w:t xml:space="preserve"> </w:t>
      </w:r>
      <w:r>
        <w:rPr>
          <w:color w:val="4D4D4F"/>
          <w:w w:val="105"/>
        </w:rPr>
        <w:t>recorded</w:t>
      </w:r>
      <w:r>
        <w:rPr>
          <w:color w:val="4D4D4F"/>
          <w:spacing w:val="-17"/>
          <w:w w:val="105"/>
        </w:rPr>
        <w:t xml:space="preserve"> </w:t>
      </w:r>
      <w:r>
        <w:rPr>
          <w:color w:val="4D4D4F"/>
          <w:w w:val="105"/>
        </w:rPr>
        <w:t>as</w:t>
      </w:r>
      <w:r>
        <w:rPr>
          <w:color w:val="4D4D4F"/>
          <w:spacing w:val="-18"/>
          <w:w w:val="105"/>
        </w:rPr>
        <w:t xml:space="preserve"> </w:t>
      </w:r>
      <w:r>
        <w:rPr>
          <w:color w:val="4D4D4F"/>
          <w:w w:val="105"/>
        </w:rPr>
        <w:t>X,</w:t>
      </w:r>
      <w:r>
        <w:rPr>
          <w:color w:val="4D4D4F"/>
          <w:spacing w:val="-17"/>
          <w:w w:val="105"/>
        </w:rPr>
        <w:t xml:space="preserve"> </w:t>
      </w:r>
      <w:r>
        <w:rPr>
          <w:color w:val="4D4D4F"/>
          <w:w w:val="105"/>
        </w:rPr>
        <w:t>Y</w:t>
      </w:r>
      <w:r>
        <w:rPr>
          <w:color w:val="4D4D4F"/>
          <w:spacing w:val="-17"/>
          <w:w w:val="105"/>
        </w:rPr>
        <w:t xml:space="preserve"> </w:t>
      </w:r>
      <w:r>
        <w:rPr>
          <w:color w:val="4D4D4F"/>
          <w:w w:val="105"/>
        </w:rPr>
        <w:t>coordinates</w:t>
      </w:r>
      <w:r>
        <w:rPr>
          <w:color w:val="4D4D4F"/>
          <w:spacing w:val="-18"/>
          <w:w w:val="105"/>
        </w:rPr>
        <w:t xml:space="preserve"> </w:t>
      </w:r>
      <w:r>
        <w:rPr>
          <w:color w:val="4D4D4F"/>
          <w:w w:val="105"/>
        </w:rPr>
        <w:t>on</w:t>
      </w:r>
      <w:r>
        <w:rPr>
          <w:color w:val="4D4D4F"/>
          <w:spacing w:val="-17"/>
          <w:w w:val="105"/>
        </w:rPr>
        <w:t xml:space="preserve"> </w:t>
      </w:r>
      <w:r>
        <w:rPr>
          <w:color w:val="4D4D4F"/>
          <w:w w:val="105"/>
        </w:rPr>
        <w:t>a</w:t>
      </w:r>
      <w:r>
        <w:rPr>
          <w:color w:val="4D4D4F"/>
          <w:spacing w:val="-17"/>
          <w:w w:val="105"/>
        </w:rPr>
        <w:t xml:space="preserve"> </w:t>
      </w:r>
      <w:r>
        <w:rPr>
          <w:color w:val="4D4D4F"/>
          <w:w w:val="105"/>
        </w:rPr>
        <w:t>permanently</w:t>
      </w:r>
      <w:r>
        <w:rPr>
          <w:color w:val="4D4D4F"/>
          <w:spacing w:val="-17"/>
          <w:w w:val="105"/>
        </w:rPr>
        <w:t xml:space="preserve"> </w:t>
      </w:r>
      <w:r>
        <w:rPr>
          <w:color w:val="4D4D4F"/>
          <w:w w:val="105"/>
        </w:rPr>
        <w:t>marked</w:t>
      </w:r>
      <w:r>
        <w:rPr>
          <w:color w:val="4D4D4F"/>
          <w:spacing w:val="-18"/>
          <w:w w:val="105"/>
        </w:rPr>
        <w:t xml:space="preserve"> </w:t>
      </w:r>
      <w:r>
        <w:rPr>
          <w:color w:val="4D4D4F"/>
          <w:w w:val="105"/>
        </w:rPr>
        <w:t>grid.</w:t>
      </w:r>
      <w:r>
        <w:rPr>
          <w:color w:val="4D4D4F"/>
          <w:spacing w:val="-17"/>
          <w:w w:val="105"/>
        </w:rPr>
        <w:t xml:space="preserve"> </w:t>
      </w:r>
      <w:r>
        <w:rPr>
          <w:color w:val="4D4D4F"/>
          <w:w w:val="105"/>
        </w:rPr>
        <w:t>Three-metre wide</w:t>
      </w:r>
      <w:r>
        <w:rPr>
          <w:color w:val="4D4D4F"/>
          <w:spacing w:val="-16"/>
          <w:w w:val="105"/>
        </w:rPr>
        <w:t xml:space="preserve"> </w:t>
      </w:r>
      <w:r>
        <w:rPr>
          <w:color w:val="4D4D4F"/>
          <w:w w:val="105"/>
        </w:rPr>
        <w:t>transects</w:t>
      </w:r>
      <w:r>
        <w:rPr>
          <w:color w:val="4D4D4F"/>
          <w:spacing w:val="-16"/>
          <w:w w:val="105"/>
        </w:rPr>
        <w:t xml:space="preserve"> </w:t>
      </w:r>
      <w:r>
        <w:rPr>
          <w:color w:val="4D4D4F"/>
          <w:w w:val="105"/>
        </w:rPr>
        <w:t>are</w:t>
      </w:r>
      <w:r>
        <w:rPr>
          <w:color w:val="4D4D4F"/>
          <w:spacing w:val="-16"/>
          <w:w w:val="105"/>
        </w:rPr>
        <w:t xml:space="preserve"> </w:t>
      </w:r>
      <w:r>
        <w:rPr>
          <w:color w:val="4D4D4F"/>
          <w:w w:val="105"/>
        </w:rPr>
        <w:t>used</w:t>
      </w:r>
      <w:r>
        <w:rPr>
          <w:color w:val="4D4D4F"/>
          <w:spacing w:val="-16"/>
          <w:w w:val="105"/>
        </w:rPr>
        <w:t xml:space="preserve"> </w:t>
      </w:r>
      <w:r>
        <w:rPr>
          <w:color w:val="4D4D4F"/>
          <w:w w:val="105"/>
        </w:rPr>
        <w:t>to</w:t>
      </w:r>
      <w:r>
        <w:rPr>
          <w:color w:val="4D4D4F"/>
          <w:spacing w:val="-15"/>
          <w:w w:val="105"/>
        </w:rPr>
        <w:t xml:space="preserve"> </w:t>
      </w:r>
      <w:r>
        <w:rPr>
          <w:color w:val="4D4D4F"/>
          <w:w w:val="105"/>
        </w:rPr>
        <w:t>systematically</w:t>
      </w:r>
      <w:r>
        <w:rPr>
          <w:color w:val="4D4D4F"/>
          <w:spacing w:val="-16"/>
          <w:w w:val="105"/>
        </w:rPr>
        <w:t xml:space="preserve"> </w:t>
      </w:r>
      <w:r>
        <w:rPr>
          <w:color w:val="4D4D4F"/>
          <w:w w:val="105"/>
        </w:rPr>
        <w:t>cover</w:t>
      </w:r>
      <w:r>
        <w:rPr>
          <w:color w:val="4D4D4F"/>
          <w:spacing w:val="-16"/>
          <w:w w:val="105"/>
        </w:rPr>
        <w:t xml:space="preserve"> </w:t>
      </w:r>
      <w:r>
        <w:rPr>
          <w:color w:val="4D4D4F"/>
          <w:w w:val="105"/>
        </w:rPr>
        <w:t>the</w:t>
      </w:r>
      <w:r>
        <w:rPr>
          <w:color w:val="4D4D4F"/>
          <w:spacing w:val="-16"/>
          <w:w w:val="105"/>
        </w:rPr>
        <w:t xml:space="preserve"> </w:t>
      </w:r>
      <w:r>
        <w:rPr>
          <w:color w:val="4D4D4F"/>
          <w:w w:val="105"/>
        </w:rPr>
        <w:t>population</w:t>
      </w:r>
      <w:r>
        <w:rPr>
          <w:color w:val="4D4D4F"/>
          <w:spacing w:val="-16"/>
          <w:w w:val="105"/>
        </w:rPr>
        <w:t xml:space="preserve"> </w:t>
      </w:r>
      <w:r>
        <w:rPr>
          <w:color w:val="4D4D4F"/>
          <w:w w:val="105"/>
        </w:rPr>
        <w:t>area.</w:t>
      </w:r>
      <w:r>
        <w:rPr>
          <w:color w:val="4D4D4F"/>
          <w:spacing w:val="-15"/>
          <w:w w:val="105"/>
        </w:rPr>
        <w:t xml:space="preserve"> </w:t>
      </w:r>
      <w:r>
        <w:rPr>
          <w:color w:val="4D4D4F"/>
          <w:w w:val="105"/>
        </w:rPr>
        <w:t>Isolated</w:t>
      </w:r>
      <w:r>
        <w:rPr>
          <w:color w:val="4D4D4F"/>
          <w:spacing w:val="-16"/>
          <w:w w:val="105"/>
        </w:rPr>
        <w:t xml:space="preserve"> </w:t>
      </w:r>
      <w:r>
        <w:rPr>
          <w:color w:val="4D4D4F"/>
          <w:w w:val="105"/>
        </w:rPr>
        <w:t>plants away</w:t>
      </w:r>
      <w:r>
        <w:rPr>
          <w:color w:val="4D4D4F"/>
          <w:spacing w:val="-14"/>
          <w:w w:val="105"/>
        </w:rPr>
        <w:t xml:space="preserve"> </w:t>
      </w:r>
      <w:r>
        <w:rPr>
          <w:color w:val="4D4D4F"/>
          <w:w w:val="105"/>
        </w:rPr>
        <w:t>from</w:t>
      </w:r>
      <w:r>
        <w:rPr>
          <w:color w:val="4D4D4F"/>
          <w:spacing w:val="-13"/>
          <w:w w:val="105"/>
        </w:rPr>
        <w:t xml:space="preserve"> </w:t>
      </w:r>
      <w:r>
        <w:rPr>
          <w:color w:val="4D4D4F"/>
          <w:w w:val="105"/>
        </w:rPr>
        <w:t>the</w:t>
      </w:r>
      <w:r>
        <w:rPr>
          <w:color w:val="4D4D4F"/>
          <w:spacing w:val="-13"/>
          <w:w w:val="105"/>
        </w:rPr>
        <w:t xml:space="preserve"> </w:t>
      </w:r>
      <w:r>
        <w:rPr>
          <w:color w:val="4D4D4F"/>
          <w:w w:val="105"/>
        </w:rPr>
        <w:t>monitoring</w:t>
      </w:r>
      <w:r>
        <w:rPr>
          <w:color w:val="4D4D4F"/>
          <w:spacing w:val="-14"/>
          <w:w w:val="105"/>
        </w:rPr>
        <w:t xml:space="preserve"> </w:t>
      </w:r>
      <w:r>
        <w:rPr>
          <w:color w:val="4D4D4F"/>
          <w:w w:val="105"/>
        </w:rPr>
        <w:t>grid</w:t>
      </w:r>
      <w:r>
        <w:rPr>
          <w:color w:val="4D4D4F"/>
          <w:spacing w:val="-13"/>
          <w:w w:val="105"/>
        </w:rPr>
        <w:t xml:space="preserve"> </w:t>
      </w:r>
      <w:r>
        <w:rPr>
          <w:color w:val="4D4D4F"/>
          <w:w w:val="105"/>
        </w:rPr>
        <w:t>may</w:t>
      </w:r>
      <w:r>
        <w:rPr>
          <w:color w:val="4D4D4F"/>
          <w:spacing w:val="-13"/>
          <w:w w:val="105"/>
        </w:rPr>
        <w:t xml:space="preserve"> </w:t>
      </w:r>
      <w:r>
        <w:rPr>
          <w:color w:val="4D4D4F"/>
          <w:w w:val="105"/>
        </w:rPr>
        <w:t>be</w:t>
      </w:r>
      <w:r>
        <w:rPr>
          <w:color w:val="4D4D4F"/>
          <w:spacing w:val="-13"/>
          <w:w w:val="105"/>
        </w:rPr>
        <w:t xml:space="preserve"> </w:t>
      </w:r>
      <w:r>
        <w:rPr>
          <w:color w:val="4D4D4F"/>
          <w:w w:val="105"/>
        </w:rPr>
        <w:t>recorded</w:t>
      </w:r>
      <w:r>
        <w:rPr>
          <w:color w:val="4D4D4F"/>
          <w:spacing w:val="-14"/>
          <w:w w:val="105"/>
        </w:rPr>
        <w:t xml:space="preserve"> </w:t>
      </w:r>
      <w:r>
        <w:rPr>
          <w:color w:val="4D4D4F"/>
          <w:w w:val="105"/>
        </w:rPr>
        <w:t>with</w:t>
      </w:r>
      <w:r>
        <w:rPr>
          <w:color w:val="4D4D4F"/>
          <w:spacing w:val="-13"/>
          <w:w w:val="105"/>
        </w:rPr>
        <w:t xml:space="preserve"> </w:t>
      </w:r>
      <w:r>
        <w:rPr>
          <w:color w:val="4D4D4F"/>
          <w:w w:val="105"/>
        </w:rPr>
        <w:t>a</w:t>
      </w:r>
      <w:r>
        <w:rPr>
          <w:color w:val="4D4D4F"/>
          <w:spacing w:val="-13"/>
          <w:w w:val="105"/>
        </w:rPr>
        <w:t xml:space="preserve"> </w:t>
      </w:r>
      <w:r>
        <w:rPr>
          <w:color w:val="4D4D4F"/>
          <w:w w:val="105"/>
        </w:rPr>
        <w:t>GPS</w:t>
      </w:r>
      <w:r>
        <w:rPr>
          <w:color w:val="4D4D4F"/>
          <w:spacing w:val="-13"/>
          <w:w w:val="105"/>
        </w:rPr>
        <w:t xml:space="preserve"> </w:t>
      </w:r>
      <w:r>
        <w:rPr>
          <w:color w:val="4D4D4F"/>
          <w:w w:val="105"/>
        </w:rPr>
        <w:t>and</w:t>
      </w:r>
      <w:r>
        <w:rPr>
          <w:color w:val="4D4D4F"/>
          <w:spacing w:val="-14"/>
          <w:w w:val="105"/>
        </w:rPr>
        <w:t xml:space="preserve"> </w:t>
      </w:r>
      <w:r>
        <w:rPr>
          <w:color w:val="4D4D4F"/>
          <w:w w:val="105"/>
        </w:rPr>
        <w:t>marked</w:t>
      </w:r>
      <w:r>
        <w:rPr>
          <w:color w:val="4D4D4F"/>
          <w:spacing w:val="-13"/>
          <w:w w:val="105"/>
        </w:rPr>
        <w:t xml:space="preserve"> </w:t>
      </w:r>
      <w:r>
        <w:rPr>
          <w:color w:val="4D4D4F"/>
          <w:w w:val="105"/>
        </w:rPr>
        <w:t>with</w:t>
      </w:r>
      <w:r>
        <w:rPr>
          <w:color w:val="4D4D4F"/>
          <w:spacing w:val="-13"/>
          <w:w w:val="105"/>
        </w:rPr>
        <w:t xml:space="preserve"> </w:t>
      </w:r>
      <w:r>
        <w:rPr>
          <w:color w:val="4D4D4F"/>
          <w:w w:val="105"/>
        </w:rPr>
        <w:t>stakes if</w:t>
      </w:r>
      <w:r>
        <w:rPr>
          <w:color w:val="4D4D4F"/>
          <w:spacing w:val="-19"/>
          <w:w w:val="105"/>
        </w:rPr>
        <w:t xml:space="preserve"> </w:t>
      </w:r>
      <w:r>
        <w:rPr>
          <w:color w:val="4D4D4F"/>
          <w:w w:val="105"/>
        </w:rPr>
        <w:t>appropriate,</w:t>
      </w:r>
      <w:r>
        <w:rPr>
          <w:color w:val="4D4D4F"/>
          <w:spacing w:val="-19"/>
          <w:w w:val="105"/>
        </w:rPr>
        <w:t xml:space="preserve"> </w:t>
      </w:r>
      <w:r>
        <w:rPr>
          <w:color w:val="4D4D4F"/>
          <w:w w:val="105"/>
        </w:rPr>
        <w:t>but</w:t>
      </w:r>
      <w:r>
        <w:rPr>
          <w:color w:val="4D4D4F"/>
          <w:spacing w:val="-18"/>
          <w:w w:val="105"/>
        </w:rPr>
        <w:t xml:space="preserve"> </w:t>
      </w:r>
      <w:r>
        <w:rPr>
          <w:color w:val="4D4D4F"/>
          <w:w w:val="105"/>
        </w:rPr>
        <w:t>they</w:t>
      </w:r>
      <w:r>
        <w:rPr>
          <w:color w:val="4D4D4F"/>
          <w:spacing w:val="-19"/>
          <w:w w:val="105"/>
        </w:rPr>
        <w:t xml:space="preserve"> </w:t>
      </w:r>
      <w:r>
        <w:rPr>
          <w:color w:val="4D4D4F"/>
          <w:w w:val="105"/>
        </w:rPr>
        <w:t>are</w:t>
      </w:r>
      <w:r>
        <w:rPr>
          <w:color w:val="4D4D4F"/>
          <w:spacing w:val="-18"/>
          <w:w w:val="105"/>
        </w:rPr>
        <w:t xml:space="preserve"> </w:t>
      </w:r>
      <w:r>
        <w:rPr>
          <w:color w:val="4D4D4F"/>
          <w:w w:val="105"/>
        </w:rPr>
        <w:t>included</w:t>
      </w:r>
      <w:r>
        <w:rPr>
          <w:color w:val="4D4D4F"/>
          <w:spacing w:val="-19"/>
          <w:w w:val="105"/>
        </w:rPr>
        <w:t xml:space="preserve"> </w:t>
      </w:r>
      <w:r>
        <w:rPr>
          <w:color w:val="4D4D4F"/>
          <w:w w:val="105"/>
        </w:rPr>
        <w:t>in</w:t>
      </w:r>
      <w:r>
        <w:rPr>
          <w:color w:val="4D4D4F"/>
          <w:spacing w:val="-18"/>
          <w:w w:val="105"/>
        </w:rPr>
        <w:t xml:space="preserve"> </w:t>
      </w:r>
      <w:r>
        <w:rPr>
          <w:color w:val="4D4D4F"/>
          <w:w w:val="105"/>
        </w:rPr>
        <w:t>the</w:t>
      </w:r>
      <w:r>
        <w:rPr>
          <w:color w:val="4D4D4F"/>
          <w:spacing w:val="-19"/>
          <w:w w:val="105"/>
        </w:rPr>
        <w:t xml:space="preserve"> </w:t>
      </w:r>
      <w:r>
        <w:rPr>
          <w:color w:val="4D4D4F"/>
          <w:w w:val="105"/>
        </w:rPr>
        <w:t>population</w:t>
      </w:r>
      <w:r>
        <w:rPr>
          <w:color w:val="4D4D4F"/>
          <w:spacing w:val="-18"/>
          <w:w w:val="105"/>
        </w:rPr>
        <w:t xml:space="preserve"> </w:t>
      </w:r>
      <w:r>
        <w:rPr>
          <w:color w:val="4D4D4F"/>
          <w:w w:val="105"/>
        </w:rPr>
        <w:t>count.</w:t>
      </w:r>
      <w:r>
        <w:rPr>
          <w:color w:val="4D4D4F"/>
          <w:spacing w:val="-19"/>
          <w:w w:val="105"/>
        </w:rPr>
        <w:t xml:space="preserve"> </w:t>
      </w:r>
      <w:r>
        <w:rPr>
          <w:color w:val="4D4D4F"/>
          <w:w w:val="105"/>
        </w:rPr>
        <w:t>The</w:t>
      </w:r>
      <w:r>
        <w:rPr>
          <w:color w:val="4D4D4F"/>
          <w:spacing w:val="-18"/>
          <w:w w:val="105"/>
        </w:rPr>
        <w:t xml:space="preserve"> </w:t>
      </w:r>
      <w:r>
        <w:rPr>
          <w:color w:val="4D4D4F"/>
          <w:w w:val="105"/>
        </w:rPr>
        <w:t>coordinates</w:t>
      </w:r>
      <w:r>
        <w:rPr>
          <w:color w:val="4D4D4F"/>
          <w:spacing w:val="-19"/>
          <w:w w:val="105"/>
        </w:rPr>
        <w:t xml:space="preserve"> </w:t>
      </w:r>
      <w:r>
        <w:rPr>
          <w:color w:val="4D4D4F"/>
          <w:w w:val="105"/>
        </w:rPr>
        <w:t>from previous</w:t>
      </w:r>
      <w:r>
        <w:rPr>
          <w:color w:val="4D4D4F"/>
          <w:spacing w:val="-4"/>
          <w:w w:val="105"/>
        </w:rPr>
        <w:t xml:space="preserve"> </w:t>
      </w:r>
      <w:r>
        <w:rPr>
          <w:color w:val="4D4D4F"/>
          <w:w w:val="105"/>
        </w:rPr>
        <w:t>years</w:t>
      </w:r>
      <w:r>
        <w:rPr>
          <w:color w:val="4D4D4F"/>
          <w:spacing w:val="-3"/>
          <w:w w:val="105"/>
        </w:rPr>
        <w:t xml:space="preserve"> </w:t>
      </w:r>
      <w:r>
        <w:rPr>
          <w:color w:val="4D4D4F"/>
          <w:w w:val="105"/>
        </w:rPr>
        <w:t>may</w:t>
      </w:r>
      <w:r>
        <w:rPr>
          <w:color w:val="4D4D4F"/>
          <w:spacing w:val="-3"/>
          <w:w w:val="105"/>
        </w:rPr>
        <w:t xml:space="preserve"> </w:t>
      </w:r>
      <w:r>
        <w:rPr>
          <w:color w:val="4D4D4F"/>
          <w:w w:val="105"/>
        </w:rPr>
        <w:t>be</w:t>
      </w:r>
      <w:r>
        <w:rPr>
          <w:color w:val="4D4D4F"/>
          <w:spacing w:val="-3"/>
          <w:w w:val="105"/>
        </w:rPr>
        <w:t xml:space="preserve"> </w:t>
      </w:r>
      <w:r>
        <w:rPr>
          <w:color w:val="4D4D4F"/>
          <w:w w:val="105"/>
        </w:rPr>
        <w:t>used</w:t>
      </w:r>
      <w:r>
        <w:rPr>
          <w:color w:val="4D4D4F"/>
          <w:spacing w:val="-3"/>
          <w:w w:val="105"/>
        </w:rPr>
        <w:t xml:space="preserve"> </w:t>
      </w:r>
      <w:r>
        <w:rPr>
          <w:color w:val="4D4D4F"/>
          <w:w w:val="105"/>
        </w:rPr>
        <w:t>to</w:t>
      </w:r>
      <w:r>
        <w:rPr>
          <w:color w:val="4D4D4F"/>
          <w:spacing w:val="-4"/>
          <w:w w:val="105"/>
        </w:rPr>
        <w:t xml:space="preserve"> </w:t>
      </w:r>
      <w:r>
        <w:rPr>
          <w:color w:val="4D4D4F"/>
          <w:w w:val="105"/>
        </w:rPr>
        <w:t>aid</w:t>
      </w:r>
      <w:r>
        <w:rPr>
          <w:color w:val="4D4D4F"/>
          <w:spacing w:val="-3"/>
          <w:w w:val="105"/>
        </w:rPr>
        <w:t xml:space="preserve"> </w:t>
      </w:r>
      <w:r>
        <w:rPr>
          <w:color w:val="4D4D4F"/>
          <w:w w:val="105"/>
        </w:rPr>
        <w:t>plant</w:t>
      </w:r>
      <w:r>
        <w:rPr>
          <w:color w:val="4D4D4F"/>
          <w:spacing w:val="-3"/>
          <w:w w:val="105"/>
        </w:rPr>
        <w:t xml:space="preserve"> </w:t>
      </w:r>
      <w:r>
        <w:rPr>
          <w:color w:val="4D4D4F"/>
          <w:w w:val="105"/>
        </w:rPr>
        <w:t>searches</w:t>
      </w:r>
      <w:r>
        <w:rPr>
          <w:color w:val="4D4D4F"/>
          <w:spacing w:val="-3"/>
          <w:w w:val="105"/>
        </w:rPr>
        <w:t xml:space="preserve"> </w:t>
      </w:r>
      <w:r>
        <w:rPr>
          <w:color w:val="4D4D4F"/>
          <w:w w:val="105"/>
        </w:rPr>
        <w:t>in</w:t>
      </w:r>
      <w:r>
        <w:rPr>
          <w:color w:val="4D4D4F"/>
          <w:spacing w:val="-3"/>
          <w:w w:val="105"/>
        </w:rPr>
        <w:t xml:space="preserve"> </w:t>
      </w:r>
      <w:r>
        <w:rPr>
          <w:color w:val="4D4D4F"/>
          <w:w w:val="105"/>
        </w:rPr>
        <w:t>subsequent</w:t>
      </w:r>
      <w:r>
        <w:rPr>
          <w:color w:val="4D4D4F"/>
          <w:spacing w:val="-4"/>
          <w:w w:val="105"/>
        </w:rPr>
        <w:t xml:space="preserve"> </w:t>
      </w:r>
      <w:r>
        <w:rPr>
          <w:color w:val="4D4D4F"/>
          <w:w w:val="105"/>
        </w:rPr>
        <w:t>years.</w:t>
      </w:r>
    </w:p>
    <w:p w14:paraId="0EFC1E40" w14:textId="77777777" w:rsidR="00EF5B27" w:rsidRDefault="00000000">
      <w:pPr>
        <w:pStyle w:val="BodyText"/>
        <w:spacing w:before="122" w:line="254" w:lineRule="auto"/>
        <w:ind w:left="2608" w:right="339"/>
        <w:jc w:val="both"/>
      </w:pPr>
      <w:r>
        <w:rPr>
          <w:color w:val="4D4D4F"/>
        </w:rPr>
        <w:t>Given this species is known to have seeds which disperse on the wind, there will be  a five-yearly broad area survey of the broader management unit that supports each population to locate any new or previously undetected</w:t>
      </w:r>
      <w:r>
        <w:rPr>
          <w:color w:val="4D4D4F"/>
          <w:spacing w:val="25"/>
        </w:rPr>
        <w:t xml:space="preserve"> </w:t>
      </w:r>
      <w:r>
        <w:rPr>
          <w:color w:val="4D4D4F"/>
        </w:rPr>
        <w:t>plants.</w:t>
      </w:r>
    </w:p>
    <w:p w14:paraId="79212F13" w14:textId="77777777" w:rsidR="00EF5B27" w:rsidRDefault="00000000">
      <w:pPr>
        <w:pStyle w:val="BodyText"/>
        <w:spacing w:before="117" w:line="254" w:lineRule="auto"/>
        <w:ind w:left="2608" w:right="715"/>
      </w:pPr>
      <w:r>
        <w:rPr>
          <w:color w:val="4D4D4F"/>
        </w:rPr>
        <w:t>Reproductive plants are also identified and recorded (plants with buds, flowers or seed heads from the current year, being careful to exclude seed heads from</w:t>
      </w:r>
    </w:p>
    <w:p w14:paraId="0917E417" w14:textId="77777777" w:rsidR="00EF5B27" w:rsidRDefault="00000000">
      <w:pPr>
        <w:pStyle w:val="BodyText"/>
        <w:spacing w:before="2" w:line="254" w:lineRule="auto"/>
        <w:ind w:left="2608"/>
      </w:pPr>
      <w:r>
        <w:rPr>
          <w:color w:val="4D4D4F"/>
        </w:rPr>
        <w:t>previous years, which are sometimes retained). On every plant, the number of stems, buds, flowers and seed heads is recorded (at least once every five years to provide estimates of reproductive output for PVA models).</w:t>
      </w:r>
    </w:p>
    <w:p w14:paraId="74960751" w14:textId="77777777" w:rsidR="00EF5B27" w:rsidRDefault="00EF5B27">
      <w:pPr>
        <w:pStyle w:val="BodyText"/>
        <w:spacing w:before="3"/>
        <w:rPr>
          <w:sz w:val="19"/>
        </w:rPr>
      </w:pPr>
    </w:p>
    <w:p w14:paraId="3AA39AC6" w14:textId="77777777" w:rsidR="00EF5B27" w:rsidRDefault="00000000">
      <w:pPr>
        <w:pStyle w:val="Heading3"/>
      </w:pPr>
      <w:r>
        <w:rPr>
          <w:color w:val="F99F2A"/>
        </w:rPr>
        <w:t>Changes to the MRF</w:t>
      </w:r>
    </w:p>
    <w:p w14:paraId="31756A95" w14:textId="77777777" w:rsidR="00EF5B27" w:rsidRDefault="00000000">
      <w:pPr>
        <w:pStyle w:val="BodyText"/>
        <w:spacing w:before="221"/>
        <w:ind w:left="2608"/>
      </w:pPr>
      <w:r>
        <w:rPr>
          <w:color w:val="4D4D4F"/>
        </w:rPr>
        <w:t>The following changes have been adopted since the MRF was published in 2015.</w:t>
      </w:r>
    </w:p>
    <w:p w14:paraId="0086A901" w14:textId="77777777" w:rsidR="00EF5B27" w:rsidRDefault="00000000">
      <w:pPr>
        <w:pStyle w:val="ListParagraph"/>
        <w:numPr>
          <w:ilvl w:val="0"/>
          <w:numId w:val="34"/>
        </w:numPr>
        <w:tabs>
          <w:tab w:val="left" w:pos="2779"/>
        </w:tabs>
        <w:spacing w:before="129" w:line="254" w:lineRule="auto"/>
        <w:ind w:right="450"/>
        <w:rPr>
          <w:sz w:val="20"/>
        </w:rPr>
      </w:pPr>
      <w:r>
        <w:rPr>
          <w:color w:val="4D4D4F"/>
          <w:sz w:val="20"/>
        </w:rPr>
        <w:t>The formulation of baselines and targets was clarified to clearly indicate that the KPI is assessed using a continual improvement</w:t>
      </w:r>
      <w:r>
        <w:rPr>
          <w:color w:val="4D4D4F"/>
          <w:spacing w:val="38"/>
          <w:sz w:val="20"/>
        </w:rPr>
        <w:t xml:space="preserve"> </w:t>
      </w:r>
      <w:r>
        <w:rPr>
          <w:color w:val="4D4D4F"/>
          <w:sz w:val="20"/>
        </w:rPr>
        <w:t>model.</w:t>
      </w:r>
    </w:p>
    <w:p w14:paraId="490E3ACB" w14:textId="77777777" w:rsidR="00EF5B27" w:rsidRDefault="00000000">
      <w:pPr>
        <w:pStyle w:val="ListParagraph"/>
        <w:numPr>
          <w:ilvl w:val="0"/>
          <w:numId w:val="34"/>
        </w:numPr>
        <w:tabs>
          <w:tab w:val="left" w:pos="2779"/>
        </w:tabs>
        <w:spacing w:before="116" w:line="254" w:lineRule="auto"/>
        <w:ind w:right="169"/>
        <w:rPr>
          <w:sz w:val="20"/>
        </w:rPr>
      </w:pPr>
      <w:r>
        <w:rPr>
          <w:color w:val="4D4D4F"/>
          <w:sz w:val="20"/>
        </w:rPr>
        <w:t xml:space="preserve">It has been stated that a belt transect delineated by a pair of tapes 3 m apart is the preferred monitoring method. This provides equivalent coverage to the single tape lines described in the MRF </w:t>
      </w:r>
      <w:r>
        <w:rPr>
          <w:color w:val="4D4D4F"/>
          <w:spacing w:val="-5"/>
          <w:sz w:val="20"/>
        </w:rPr>
        <w:t xml:space="preserve">(3 </w:t>
      </w:r>
      <w:r>
        <w:rPr>
          <w:color w:val="4D4D4F"/>
          <w:sz w:val="20"/>
        </w:rPr>
        <w:t xml:space="preserve">m apart, searched </w:t>
      </w:r>
      <w:r>
        <w:rPr>
          <w:color w:val="4D4D4F"/>
          <w:spacing w:val="-4"/>
          <w:sz w:val="20"/>
        </w:rPr>
        <w:t xml:space="preserve">1.5 </w:t>
      </w:r>
      <w:r>
        <w:rPr>
          <w:color w:val="4D4D4F"/>
          <w:sz w:val="20"/>
        </w:rPr>
        <w:t xml:space="preserve">m either </w:t>
      </w:r>
      <w:r>
        <w:rPr>
          <w:color w:val="4D4D4F"/>
          <w:spacing w:val="-3"/>
          <w:sz w:val="20"/>
        </w:rPr>
        <w:t xml:space="preserve">side), </w:t>
      </w:r>
      <w:r>
        <w:rPr>
          <w:color w:val="4D4D4F"/>
          <w:sz w:val="20"/>
        </w:rPr>
        <w:t xml:space="preserve">but prevents </w:t>
      </w:r>
      <w:r>
        <w:rPr>
          <w:color w:val="4D4D4F"/>
          <w:spacing w:val="-5"/>
          <w:sz w:val="20"/>
        </w:rPr>
        <w:t xml:space="preserve">accidental </w:t>
      </w:r>
      <w:r>
        <w:rPr>
          <w:color w:val="4D4D4F"/>
          <w:spacing w:val="-4"/>
          <w:sz w:val="20"/>
        </w:rPr>
        <w:t xml:space="preserve">double </w:t>
      </w:r>
      <w:r>
        <w:rPr>
          <w:color w:val="4D4D4F"/>
          <w:spacing w:val="-5"/>
          <w:sz w:val="20"/>
        </w:rPr>
        <w:t xml:space="preserve">counting </w:t>
      </w:r>
      <w:r>
        <w:rPr>
          <w:color w:val="4D4D4F"/>
          <w:spacing w:val="-3"/>
          <w:sz w:val="20"/>
        </w:rPr>
        <w:t xml:space="preserve">at the </w:t>
      </w:r>
      <w:r>
        <w:rPr>
          <w:color w:val="4D4D4F"/>
          <w:spacing w:val="-4"/>
          <w:sz w:val="20"/>
        </w:rPr>
        <w:t xml:space="preserve">margins, because </w:t>
      </w:r>
      <w:r>
        <w:rPr>
          <w:color w:val="4D4D4F"/>
          <w:spacing w:val="-3"/>
          <w:sz w:val="20"/>
        </w:rPr>
        <w:t xml:space="preserve">the </w:t>
      </w:r>
      <w:r>
        <w:rPr>
          <w:color w:val="4D4D4F"/>
          <w:spacing w:val="-5"/>
          <w:sz w:val="20"/>
        </w:rPr>
        <w:t xml:space="preserve">margins </w:t>
      </w:r>
      <w:r>
        <w:rPr>
          <w:color w:val="4D4D4F"/>
          <w:sz w:val="20"/>
        </w:rPr>
        <w:t xml:space="preserve">are </w:t>
      </w:r>
      <w:r>
        <w:rPr>
          <w:color w:val="4D4D4F"/>
          <w:spacing w:val="-4"/>
          <w:sz w:val="20"/>
        </w:rPr>
        <w:t xml:space="preserve">defined </w:t>
      </w:r>
      <w:r>
        <w:rPr>
          <w:color w:val="4D4D4F"/>
          <w:sz w:val="20"/>
        </w:rPr>
        <w:t xml:space="preserve">by </w:t>
      </w:r>
      <w:r>
        <w:rPr>
          <w:color w:val="4D4D4F"/>
          <w:spacing w:val="-3"/>
          <w:sz w:val="20"/>
        </w:rPr>
        <w:t>the</w:t>
      </w:r>
      <w:r>
        <w:rPr>
          <w:color w:val="4D4D4F"/>
          <w:spacing w:val="16"/>
          <w:sz w:val="20"/>
        </w:rPr>
        <w:t xml:space="preserve"> </w:t>
      </w:r>
      <w:r>
        <w:rPr>
          <w:color w:val="4D4D4F"/>
          <w:spacing w:val="-4"/>
          <w:sz w:val="20"/>
        </w:rPr>
        <w:t>tape.</w:t>
      </w:r>
    </w:p>
    <w:p w14:paraId="41F256C3" w14:textId="77777777" w:rsidR="00EF5B27" w:rsidRDefault="00000000">
      <w:pPr>
        <w:pStyle w:val="ListParagraph"/>
        <w:numPr>
          <w:ilvl w:val="0"/>
          <w:numId w:val="34"/>
        </w:numPr>
        <w:tabs>
          <w:tab w:val="left" w:pos="2779"/>
        </w:tabs>
        <w:spacing w:before="118" w:line="254" w:lineRule="auto"/>
        <w:ind w:right="124"/>
        <w:rPr>
          <w:sz w:val="20"/>
        </w:rPr>
      </w:pPr>
      <w:r>
        <w:rPr>
          <w:color w:val="4D4D4F"/>
          <w:sz w:val="20"/>
        </w:rPr>
        <w:t xml:space="preserve">The other measures have been updated to include the number of buds, flower heads and seed heads on every plant, to support the parameterisation of </w:t>
      </w:r>
      <w:r>
        <w:rPr>
          <w:color w:val="4D4D4F"/>
          <w:spacing w:val="-3"/>
          <w:sz w:val="20"/>
        </w:rPr>
        <w:t xml:space="preserve">PVA  </w:t>
      </w:r>
      <w:r>
        <w:rPr>
          <w:color w:val="4D4D4F"/>
          <w:sz w:val="20"/>
        </w:rPr>
        <w:t>models.  Such data should be collected at least once every five</w:t>
      </w:r>
      <w:r>
        <w:rPr>
          <w:color w:val="4D4D4F"/>
          <w:spacing w:val="4"/>
          <w:sz w:val="20"/>
        </w:rPr>
        <w:t xml:space="preserve"> </w:t>
      </w:r>
      <w:r>
        <w:rPr>
          <w:color w:val="4D4D4F"/>
          <w:sz w:val="20"/>
        </w:rPr>
        <w:t>years.</w:t>
      </w:r>
    </w:p>
    <w:p w14:paraId="08F7540E" w14:textId="77777777" w:rsidR="00EF5B27" w:rsidRDefault="00000000">
      <w:pPr>
        <w:pStyle w:val="ListParagraph"/>
        <w:numPr>
          <w:ilvl w:val="0"/>
          <w:numId w:val="34"/>
        </w:numPr>
        <w:tabs>
          <w:tab w:val="left" w:pos="2779"/>
        </w:tabs>
        <w:spacing w:before="117" w:line="254" w:lineRule="auto"/>
        <w:ind w:right="330"/>
        <w:rPr>
          <w:sz w:val="20"/>
        </w:rPr>
      </w:pPr>
      <w:r>
        <w:rPr>
          <w:color w:val="4D4D4F"/>
          <w:sz w:val="20"/>
        </w:rPr>
        <w:t>The methods have been updated to clarify that the X, Y coordinates from previous years may be used to aid plant searches in subsequent</w:t>
      </w:r>
      <w:r>
        <w:rPr>
          <w:color w:val="4D4D4F"/>
          <w:spacing w:val="9"/>
          <w:sz w:val="20"/>
        </w:rPr>
        <w:t xml:space="preserve"> </w:t>
      </w:r>
      <w:r>
        <w:rPr>
          <w:color w:val="4D4D4F"/>
          <w:sz w:val="20"/>
        </w:rPr>
        <w:t>years.</w:t>
      </w:r>
    </w:p>
    <w:p w14:paraId="13604F11" w14:textId="77777777" w:rsidR="00EF5B27" w:rsidRDefault="00000000">
      <w:pPr>
        <w:pStyle w:val="ListParagraph"/>
        <w:numPr>
          <w:ilvl w:val="0"/>
          <w:numId w:val="34"/>
        </w:numPr>
        <w:tabs>
          <w:tab w:val="left" w:pos="2779"/>
        </w:tabs>
        <w:spacing w:before="116" w:line="254" w:lineRule="auto"/>
        <w:ind w:right="189"/>
        <w:rPr>
          <w:sz w:val="20"/>
        </w:rPr>
      </w:pPr>
      <w:r>
        <w:rPr>
          <w:color w:val="4D4D4F"/>
          <w:sz w:val="20"/>
        </w:rPr>
        <w:t>The MRF has been updated to clarify that KPIs are assessed at natural populations, while planted populations are monitored as other</w:t>
      </w:r>
      <w:r>
        <w:rPr>
          <w:color w:val="4D4D4F"/>
          <w:spacing w:val="27"/>
          <w:sz w:val="20"/>
        </w:rPr>
        <w:t xml:space="preserve"> </w:t>
      </w:r>
      <w:r>
        <w:rPr>
          <w:color w:val="4D4D4F"/>
          <w:sz w:val="20"/>
        </w:rPr>
        <w:t>measures.</w:t>
      </w:r>
    </w:p>
    <w:p w14:paraId="70C5F891" w14:textId="77777777" w:rsidR="00EF5B27" w:rsidRDefault="00EF5B27">
      <w:pPr>
        <w:pStyle w:val="BodyText"/>
      </w:pPr>
    </w:p>
    <w:p w14:paraId="75DDD81F" w14:textId="77777777" w:rsidR="00EF5B27" w:rsidRDefault="00EF5B27">
      <w:pPr>
        <w:pStyle w:val="BodyText"/>
      </w:pPr>
    </w:p>
    <w:p w14:paraId="5AB90A6E" w14:textId="77777777" w:rsidR="00EF5B27" w:rsidRDefault="00EF5B27">
      <w:pPr>
        <w:pStyle w:val="BodyText"/>
      </w:pPr>
    </w:p>
    <w:p w14:paraId="07D210D4" w14:textId="77777777" w:rsidR="00EF5B27" w:rsidRDefault="00EF5B27">
      <w:pPr>
        <w:pStyle w:val="BodyText"/>
      </w:pPr>
    </w:p>
    <w:p w14:paraId="20DC59F4" w14:textId="77777777" w:rsidR="00EF5B27" w:rsidRDefault="00EF5B27">
      <w:pPr>
        <w:pStyle w:val="BodyText"/>
      </w:pPr>
    </w:p>
    <w:p w14:paraId="40739D50" w14:textId="77777777" w:rsidR="00EF5B27" w:rsidRDefault="00000000">
      <w:pPr>
        <w:pStyle w:val="BodyText"/>
        <w:spacing w:before="3"/>
        <w:rPr>
          <w:sz w:val="25"/>
        </w:rPr>
      </w:pPr>
      <w:r>
        <w:pict w14:anchorId="07FF417A">
          <v:line id="_x0000_s2094" style="position:absolute;z-index:251774464;mso-wrap-distance-left:0;mso-wrap-distance-right:0;mso-position-horizontal-relative:page" from="181.4pt,17.65pt" to="538.6pt,17.65pt" strokecolor="#4d4d4f" strokeweight=".5pt">
            <w10:wrap type="topAndBottom" anchorx="page"/>
          </v:line>
        </w:pict>
      </w:r>
    </w:p>
    <w:p w14:paraId="2E66DE54" w14:textId="77777777" w:rsidR="00EF5B27" w:rsidRDefault="00000000">
      <w:pPr>
        <w:pStyle w:val="ListParagraph"/>
        <w:numPr>
          <w:ilvl w:val="0"/>
          <w:numId w:val="1"/>
        </w:numPr>
        <w:tabs>
          <w:tab w:val="left" w:pos="2836"/>
        </w:tabs>
        <w:spacing w:before="88" w:line="230" w:lineRule="auto"/>
        <w:ind w:right="112"/>
        <w:rPr>
          <w:sz w:val="12"/>
        </w:rPr>
      </w:pPr>
      <w:r>
        <w:rPr>
          <w:color w:val="4D4D4F"/>
          <w:spacing w:val="2"/>
          <w:sz w:val="12"/>
        </w:rPr>
        <w:t xml:space="preserve">Bruce </w:t>
      </w:r>
      <w:r>
        <w:rPr>
          <w:color w:val="4D4D4F"/>
          <w:sz w:val="12"/>
        </w:rPr>
        <w:t xml:space="preserve">M, Batpurev </w:t>
      </w:r>
      <w:r>
        <w:rPr>
          <w:color w:val="4D4D4F"/>
          <w:spacing w:val="2"/>
          <w:sz w:val="12"/>
        </w:rPr>
        <w:t xml:space="preserve">K, </w:t>
      </w:r>
      <w:r>
        <w:rPr>
          <w:color w:val="4D4D4F"/>
          <w:sz w:val="12"/>
        </w:rPr>
        <w:t xml:space="preserve">Bryant D, Sinclair S and Kohout M </w:t>
      </w:r>
      <w:r>
        <w:rPr>
          <w:color w:val="4D4D4F"/>
          <w:spacing w:val="2"/>
          <w:sz w:val="12"/>
        </w:rPr>
        <w:t xml:space="preserve">2020, </w:t>
      </w:r>
      <w:r>
        <w:rPr>
          <w:color w:val="4D4D4F"/>
          <w:sz w:val="12"/>
        </w:rPr>
        <w:t xml:space="preserve">‘Melbourne Strategic Assessment: Ecological Outcomes </w:t>
      </w:r>
      <w:r>
        <w:rPr>
          <w:color w:val="4D4D4F"/>
          <w:spacing w:val="2"/>
          <w:sz w:val="12"/>
        </w:rPr>
        <w:t xml:space="preserve">Report </w:t>
      </w:r>
      <w:r>
        <w:rPr>
          <w:color w:val="4D4D4F"/>
          <w:sz w:val="12"/>
        </w:rPr>
        <w:t>2014-15          to 2019-20.’ DELWP, Heidelberg,</w:t>
      </w:r>
      <w:r>
        <w:rPr>
          <w:color w:val="4D4D4F"/>
          <w:spacing w:val="8"/>
          <w:sz w:val="12"/>
        </w:rPr>
        <w:t xml:space="preserve"> </w:t>
      </w:r>
      <w:r>
        <w:rPr>
          <w:color w:val="4D4D4F"/>
          <w:sz w:val="12"/>
        </w:rPr>
        <w:t>Victoria.</w:t>
      </w:r>
    </w:p>
    <w:p w14:paraId="3B6C154E" w14:textId="77777777" w:rsidR="00EF5B27" w:rsidRDefault="00EF5B27">
      <w:pPr>
        <w:spacing w:line="230" w:lineRule="auto"/>
        <w:rPr>
          <w:sz w:val="12"/>
        </w:rPr>
        <w:sectPr w:rsidR="00EF5B27">
          <w:pgSz w:w="11910" w:h="16840"/>
          <w:pgMar w:top="1080" w:right="1020" w:bottom="860" w:left="1020" w:header="537" w:footer="678" w:gutter="0"/>
          <w:cols w:space="720"/>
        </w:sectPr>
      </w:pPr>
    </w:p>
    <w:p w14:paraId="3C7A348B" w14:textId="77777777" w:rsidR="00EF5B27" w:rsidRDefault="00000000">
      <w:pPr>
        <w:pStyle w:val="BodyText"/>
        <w:spacing w:before="73" w:line="254" w:lineRule="auto"/>
        <w:ind w:left="107" w:right="6991"/>
      </w:pPr>
      <w:r>
        <w:lastRenderedPageBreak/>
        <w:pict w14:anchorId="667FA1C9">
          <v:group id="_x0000_s2086" style="position:absolute;left:0;text-align:left;margin-left:587.05pt;margin-top:183.4pt;width:8.25pt;height:153.1pt;z-index:251813376;mso-position-horizontal-relative:page;mso-position-vertical-relative:page" coordorigin="11741,3668" coordsize="165,3062">
            <v:shape id="_x0000_s2093" style="position:absolute;left:11741;top:3668;width:165;height:561" coordorigin="11741,3668" coordsize="165,561" path="m11906,3668r-165,l11741,4228r165,-18l11906,3668xe" fillcolor="#00aed9" stroked="f">
              <v:path arrowok="t"/>
            </v:shape>
            <v:shape id="_x0000_s2092" style="position:absolute;left:11741;top:4118;width:165;height:425" coordorigin="11741,4118" coordsize="165,425" path="m11906,4118r-165,14l11741,4531r165,12l11906,4118xe" fillcolor="#047ebc" stroked="f">
              <v:path arrowok="t"/>
            </v:shape>
            <v:shape id="_x0000_s2091" type="#_x0000_t75" style="position:absolute;left:11741;top:4355;width:165;height:587">
              <v:imagedata r:id="rId30" o:title=""/>
            </v:shape>
            <v:shape id="_x0000_s2090" style="position:absolute;left:11741;top:5343;width:165;height:536" coordorigin="11741,5343" coordsize="165,536" path="m11741,5343r,535l11906,5872r,-525l11741,5343xe" fillcolor="#f36a2e" stroked="f">
              <v:path arrowok="t"/>
            </v:shape>
            <v:shape id="_x0000_s2089" style="position:absolute;left:11741;top:4925;width:165;height:501" coordorigin="11741,4926" coordsize="165,501" path="m11741,4926r,500l11906,5426r,-485l11741,4926xe" fillcolor="#49783f" stroked="f">
              <v:path arrowok="t"/>
            </v:shape>
            <v:shape id="_x0000_s2088" style="position:absolute;left:11741;top:5781;width:165;height:268" coordorigin="11741,5782" coordsize="165,268" path="m11906,5782r-165,8l11741,6039r165,10l11906,5782xe" fillcolor="#f99f2a" stroked="f">
              <v:path arrowok="t"/>
            </v:shape>
            <v:shape id="_x0000_s2087" style="position:absolute;left:11741;top:6023;width:165;height:707" coordorigin="11741,6023" coordsize="165,707" path="m11741,6023r,706l11906,6729r,-690l11741,6023xe" fillcolor="#ef412c" stroked="f">
              <v:path arrowok="t"/>
            </v:shape>
            <w10:wrap anchorx="page" anchory="page"/>
          </v:group>
        </w:pict>
      </w:r>
      <w:r>
        <w:rPr>
          <w:color w:val="4D4D4F"/>
        </w:rPr>
        <w:t>Published by the Commissioner for Environmental Sustainability, Victoria, 2021</w:t>
      </w:r>
    </w:p>
    <w:p w14:paraId="373E7EDB" w14:textId="77777777" w:rsidR="00EF5B27" w:rsidRDefault="00000000">
      <w:pPr>
        <w:pStyle w:val="BodyText"/>
        <w:spacing w:before="117"/>
        <w:ind w:left="107"/>
      </w:pPr>
      <w:r>
        <w:rPr>
          <w:color w:val="4D4D4F"/>
          <w:w w:val="105"/>
        </w:rPr>
        <w:t>Level 36, 2 Lonsdale Street</w:t>
      </w:r>
    </w:p>
    <w:p w14:paraId="73956089" w14:textId="77777777" w:rsidR="00EF5B27" w:rsidRDefault="00000000">
      <w:pPr>
        <w:pStyle w:val="BodyText"/>
        <w:spacing w:before="16"/>
        <w:ind w:left="107"/>
      </w:pPr>
      <w:r>
        <w:rPr>
          <w:color w:val="4D4D4F"/>
        </w:rPr>
        <w:t>Melbourne Victoria 3000</w:t>
      </w:r>
    </w:p>
    <w:p w14:paraId="44A564D3" w14:textId="77777777" w:rsidR="00EF5B27" w:rsidRDefault="00EF5B27">
      <w:pPr>
        <w:pStyle w:val="BodyText"/>
        <w:spacing w:before="11"/>
        <w:rPr>
          <w:sz w:val="19"/>
        </w:rPr>
      </w:pPr>
    </w:p>
    <w:p w14:paraId="1819D2A3" w14:textId="77777777" w:rsidR="00EF5B27" w:rsidRDefault="00000000">
      <w:pPr>
        <w:ind w:left="107"/>
        <w:rPr>
          <w:b/>
          <w:sz w:val="20"/>
        </w:rPr>
      </w:pPr>
      <w:hyperlink r:id="rId191">
        <w:r>
          <w:rPr>
            <w:b/>
            <w:color w:val="F36A2E"/>
            <w:sz w:val="20"/>
            <w:u w:val="single" w:color="F36A2E"/>
          </w:rPr>
          <w:t>www.ces.vic.gov.au</w:t>
        </w:r>
      </w:hyperlink>
    </w:p>
    <w:p w14:paraId="31B284D7" w14:textId="77777777" w:rsidR="00EF5B27" w:rsidRDefault="00EF5B27">
      <w:pPr>
        <w:pStyle w:val="BodyText"/>
        <w:rPr>
          <w:b/>
        </w:rPr>
      </w:pPr>
    </w:p>
    <w:p w14:paraId="289F0CD7" w14:textId="77777777" w:rsidR="00EF5B27" w:rsidRDefault="00EF5B27">
      <w:pPr>
        <w:pStyle w:val="BodyText"/>
        <w:rPr>
          <w:b/>
        </w:rPr>
      </w:pPr>
    </w:p>
    <w:p w14:paraId="78BC5AAF" w14:textId="77777777" w:rsidR="00EF5B27" w:rsidRDefault="00EF5B27">
      <w:pPr>
        <w:pStyle w:val="BodyText"/>
        <w:spacing w:before="9"/>
        <w:rPr>
          <w:b/>
          <w:sz w:val="14"/>
        </w:rPr>
      </w:pPr>
    </w:p>
    <w:p w14:paraId="6CEFEFD2" w14:textId="77777777" w:rsidR="00EF5B27" w:rsidRDefault="00000000">
      <w:pPr>
        <w:spacing w:before="112"/>
        <w:ind w:left="120"/>
        <w:rPr>
          <w:b/>
          <w:sz w:val="20"/>
        </w:rPr>
      </w:pPr>
      <w:hyperlink r:id="rId192">
        <w:r>
          <w:rPr>
            <w:b/>
            <w:color w:val="4D4D4F"/>
            <w:w w:val="105"/>
            <w:sz w:val="20"/>
          </w:rPr>
          <w:t>Accessibility</w:t>
        </w:r>
      </w:hyperlink>
    </w:p>
    <w:p w14:paraId="4BD03C0E" w14:textId="77777777" w:rsidR="00EF5B27" w:rsidRDefault="00000000">
      <w:pPr>
        <w:pStyle w:val="BodyText"/>
        <w:spacing w:before="129" w:line="254" w:lineRule="auto"/>
        <w:ind w:left="120" w:right="4242"/>
        <w:jc w:val="both"/>
      </w:pPr>
      <w:hyperlink r:id="rId193">
        <w:r>
          <w:rPr>
            <w:color w:val="4D4D4F"/>
          </w:rPr>
          <w:t xml:space="preserve">If you would like to receive this publication in an accessible format, please contact the Commissioner for Environmental Sustainability via email </w:t>
        </w:r>
      </w:hyperlink>
      <w:hyperlink r:id="rId194">
        <w:r>
          <w:rPr>
            <w:color w:val="F36A2E"/>
            <w:u w:val="single" w:color="F36A2E"/>
          </w:rPr>
          <w:t>info.ces@ces.vic.gov.au</w:t>
        </w:r>
        <w:r>
          <w:rPr>
            <w:color w:val="F36A2E"/>
          </w:rPr>
          <w:t xml:space="preserve"> </w:t>
        </w:r>
      </w:hyperlink>
      <w:hyperlink r:id="rId195">
        <w:r>
          <w:rPr>
            <w:color w:val="4D4D4F"/>
          </w:rPr>
          <w:t>or call +61 3 9948 2829.</w:t>
        </w:r>
      </w:hyperlink>
    </w:p>
    <w:p w14:paraId="0E9CCD2A" w14:textId="77777777" w:rsidR="00EF5B27" w:rsidRDefault="00EF5B27">
      <w:pPr>
        <w:pStyle w:val="BodyText"/>
      </w:pPr>
    </w:p>
    <w:p w14:paraId="30778333" w14:textId="77777777" w:rsidR="00EF5B27" w:rsidRDefault="00EF5B27">
      <w:pPr>
        <w:pStyle w:val="BodyText"/>
      </w:pPr>
    </w:p>
    <w:p w14:paraId="73F1052E" w14:textId="77777777" w:rsidR="00EF5B27" w:rsidRDefault="00EF5B27">
      <w:pPr>
        <w:pStyle w:val="BodyText"/>
      </w:pPr>
    </w:p>
    <w:p w14:paraId="0060A4C2" w14:textId="77777777" w:rsidR="00EF5B27" w:rsidRDefault="00EF5B27">
      <w:pPr>
        <w:pStyle w:val="BodyText"/>
      </w:pPr>
    </w:p>
    <w:p w14:paraId="169D6173" w14:textId="77777777" w:rsidR="00EF5B27" w:rsidRDefault="00EF5B27">
      <w:pPr>
        <w:pStyle w:val="BodyText"/>
      </w:pPr>
    </w:p>
    <w:p w14:paraId="2EB02A62" w14:textId="77777777" w:rsidR="00EF5B27" w:rsidRDefault="00EF5B27">
      <w:pPr>
        <w:pStyle w:val="BodyText"/>
      </w:pPr>
    </w:p>
    <w:p w14:paraId="3756BCE3" w14:textId="77777777" w:rsidR="00EF5B27" w:rsidRDefault="00EF5B27">
      <w:pPr>
        <w:pStyle w:val="BodyText"/>
      </w:pPr>
    </w:p>
    <w:p w14:paraId="159920DE" w14:textId="77777777" w:rsidR="00EF5B27" w:rsidRDefault="00EF5B27">
      <w:pPr>
        <w:pStyle w:val="BodyText"/>
      </w:pPr>
    </w:p>
    <w:p w14:paraId="2E8E944E" w14:textId="77777777" w:rsidR="00EF5B27" w:rsidRDefault="00EF5B27">
      <w:pPr>
        <w:pStyle w:val="BodyText"/>
      </w:pPr>
    </w:p>
    <w:p w14:paraId="2EDC3BE5" w14:textId="77777777" w:rsidR="00EF5B27" w:rsidRDefault="00EF5B27">
      <w:pPr>
        <w:pStyle w:val="BodyText"/>
      </w:pPr>
    </w:p>
    <w:p w14:paraId="51F28593" w14:textId="77777777" w:rsidR="00EF5B27" w:rsidRDefault="00EF5B27">
      <w:pPr>
        <w:pStyle w:val="BodyText"/>
      </w:pPr>
    </w:p>
    <w:p w14:paraId="5FFB39E2" w14:textId="77777777" w:rsidR="00EF5B27" w:rsidRDefault="00EF5B27">
      <w:pPr>
        <w:pStyle w:val="BodyText"/>
      </w:pPr>
    </w:p>
    <w:p w14:paraId="43E87901" w14:textId="77777777" w:rsidR="00EF5B27" w:rsidRDefault="00EF5B27">
      <w:pPr>
        <w:pStyle w:val="BodyText"/>
      </w:pPr>
    </w:p>
    <w:p w14:paraId="4876F667" w14:textId="77777777" w:rsidR="00EF5B27" w:rsidRDefault="00EF5B27">
      <w:pPr>
        <w:pStyle w:val="BodyText"/>
      </w:pPr>
    </w:p>
    <w:p w14:paraId="16D79B7F" w14:textId="77777777" w:rsidR="00EF5B27" w:rsidRDefault="00EF5B27">
      <w:pPr>
        <w:pStyle w:val="BodyText"/>
      </w:pPr>
    </w:p>
    <w:p w14:paraId="687514F3" w14:textId="77777777" w:rsidR="00EF5B27" w:rsidRDefault="00EF5B27">
      <w:pPr>
        <w:pStyle w:val="BodyText"/>
      </w:pPr>
    </w:p>
    <w:p w14:paraId="6EB1A8DC" w14:textId="77777777" w:rsidR="00EF5B27" w:rsidRDefault="00EF5B27">
      <w:pPr>
        <w:pStyle w:val="BodyText"/>
      </w:pPr>
    </w:p>
    <w:p w14:paraId="30A7E00E" w14:textId="77777777" w:rsidR="00EF5B27" w:rsidRDefault="00EF5B27">
      <w:pPr>
        <w:pStyle w:val="BodyText"/>
      </w:pPr>
    </w:p>
    <w:p w14:paraId="334B54B9" w14:textId="77777777" w:rsidR="00EF5B27" w:rsidRDefault="00EF5B27">
      <w:pPr>
        <w:pStyle w:val="BodyText"/>
      </w:pPr>
    </w:p>
    <w:p w14:paraId="6BFE1CAA" w14:textId="77777777" w:rsidR="00EF5B27" w:rsidRDefault="00EF5B27">
      <w:pPr>
        <w:pStyle w:val="BodyText"/>
      </w:pPr>
    </w:p>
    <w:p w14:paraId="0E9E8F56" w14:textId="77777777" w:rsidR="00EF5B27" w:rsidRDefault="00EF5B27">
      <w:pPr>
        <w:pStyle w:val="BodyText"/>
      </w:pPr>
    </w:p>
    <w:p w14:paraId="73ED872B" w14:textId="77777777" w:rsidR="00EF5B27" w:rsidRDefault="00EF5B27">
      <w:pPr>
        <w:pStyle w:val="BodyText"/>
      </w:pPr>
    </w:p>
    <w:p w14:paraId="7A676DE9" w14:textId="77777777" w:rsidR="00EF5B27" w:rsidRDefault="00EF5B27">
      <w:pPr>
        <w:pStyle w:val="BodyText"/>
      </w:pPr>
    </w:p>
    <w:p w14:paraId="6CF0760F" w14:textId="77777777" w:rsidR="00EF5B27" w:rsidRDefault="00EF5B27">
      <w:pPr>
        <w:pStyle w:val="BodyText"/>
      </w:pPr>
    </w:p>
    <w:p w14:paraId="5FEE0560" w14:textId="77777777" w:rsidR="00EF5B27" w:rsidRDefault="00EF5B27">
      <w:pPr>
        <w:pStyle w:val="BodyText"/>
      </w:pPr>
    </w:p>
    <w:p w14:paraId="49510B51" w14:textId="77777777" w:rsidR="00EF5B27" w:rsidRDefault="00EF5B27">
      <w:pPr>
        <w:pStyle w:val="BodyText"/>
      </w:pPr>
    </w:p>
    <w:p w14:paraId="452BFB4A" w14:textId="77777777" w:rsidR="00EF5B27" w:rsidRDefault="00EF5B27">
      <w:pPr>
        <w:pStyle w:val="BodyText"/>
      </w:pPr>
    </w:p>
    <w:p w14:paraId="4354300E" w14:textId="77777777" w:rsidR="00EF5B27" w:rsidRDefault="00EF5B27">
      <w:pPr>
        <w:pStyle w:val="BodyText"/>
      </w:pPr>
    </w:p>
    <w:p w14:paraId="0FC471B0" w14:textId="77777777" w:rsidR="00EF5B27" w:rsidRDefault="00EF5B27">
      <w:pPr>
        <w:pStyle w:val="BodyText"/>
      </w:pPr>
    </w:p>
    <w:p w14:paraId="7E4A364A" w14:textId="77777777" w:rsidR="00EF5B27" w:rsidRDefault="00EF5B27">
      <w:pPr>
        <w:pStyle w:val="BodyText"/>
      </w:pPr>
    </w:p>
    <w:p w14:paraId="0011AE6C" w14:textId="77777777" w:rsidR="00EF5B27" w:rsidRDefault="00EF5B27">
      <w:pPr>
        <w:pStyle w:val="BodyText"/>
      </w:pPr>
    </w:p>
    <w:p w14:paraId="415D0A53" w14:textId="77777777" w:rsidR="00EF5B27" w:rsidRDefault="00EF5B27">
      <w:pPr>
        <w:pStyle w:val="BodyText"/>
      </w:pPr>
    </w:p>
    <w:p w14:paraId="2961E89F" w14:textId="77777777" w:rsidR="00EF5B27" w:rsidRDefault="00EF5B27">
      <w:pPr>
        <w:pStyle w:val="BodyText"/>
        <w:spacing w:before="8"/>
        <w:rPr>
          <w:sz w:val="26"/>
        </w:rPr>
      </w:pPr>
    </w:p>
    <w:p w14:paraId="2C25F467" w14:textId="77777777" w:rsidR="00EF5B27" w:rsidRDefault="00000000">
      <w:pPr>
        <w:spacing w:before="100"/>
        <w:ind w:left="120"/>
        <w:rPr>
          <w:sz w:val="16"/>
        </w:rPr>
      </w:pPr>
      <w:hyperlink r:id="rId196">
        <w:r>
          <w:rPr>
            <w:color w:val="4D4D4F"/>
            <w:position w:val="2"/>
            <w:sz w:val="16"/>
          </w:rPr>
          <w:t>©</w:t>
        </w:r>
        <w:r>
          <w:rPr>
            <w:color w:val="4D4D4F"/>
            <w:sz w:val="16"/>
          </w:rPr>
          <w:t>The</w:t>
        </w:r>
        <w:r>
          <w:rPr>
            <w:color w:val="4D4D4F"/>
            <w:spacing w:val="15"/>
            <w:sz w:val="16"/>
          </w:rPr>
          <w:t xml:space="preserve"> </w:t>
        </w:r>
        <w:r>
          <w:rPr>
            <w:color w:val="4D4D4F"/>
            <w:sz w:val="16"/>
          </w:rPr>
          <w:t>State</w:t>
        </w:r>
        <w:r>
          <w:rPr>
            <w:color w:val="4D4D4F"/>
            <w:spacing w:val="15"/>
            <w:sz w:val="16"/>
          </w:rPr>
          <w:t xml:space="preserve"> </w:t>
        </w:r>
        <w:r>
          <w:rPr>
            <w:color w:val="4D4D4F"/>
            <w:sz w:val="16"/>
          </w:rPr>
          <w:t>of</w:t>
        </w:r>
        <w:r>
          <w:rPr>
            <w:color w:val="4D4D4F"/>
            <w:spacing w:val="16"/>
            <w:sz w:val="16"/>
          </w:rPr>
          <w:t xml:space="preserve"> </w:t>
        </w:r>
        <w:r>
          <w:rPr>
            <w:color w:val="4D4D4F"/>
            <w:sz w:val="16"/>
          </w:rPr>
          <w:t>Victoria,</w:t>
        </w:r>
        <w:r>
          <w:rPr>
            <w:color w:val="4D4D4F"/>
            <w:spacing w:val="15"/>
            <w:sz w:val="16"/>
          </w:rPr>
          <w:t xml:space="preserve"> </w:t>
        </w:r>
        <w:r>
          <w:rPr>
            <w:color w:val="4D4D4F"/>
            <w:sz w:val="16"/>
          </w:rPr>
          <w:t>Commissioner</w:t>
        </w:r>
        <w:r>
          <w:rPr>
            <w:color w:val="4D4D4F"/>
            <w:spacing w:val="15"/>
            <w:sz w:val="16"/>
          </w:rPr>
          <w:t xml:space="preserve"> </w:t>
        </w:r>
        <w:r>
          <w:rPr>
            <w:color w:val="4D4D4F"/>
            <w:sz w:val="16"/>
          </w:rPr>
          <w:t>for</w:t>
        </w:r>
        <w:r>
          <w:rPr>
            <w:color w:val="4D4D4F"/>
            <w:spacing w:val="16"/>
            <w:sz w:val="16"/>
          </w:rPr>
          <w:t xml:space="preserve"> </w:t>
        </w:r>
        <w:r>
          <w:rPr>
            <w:color w:val="4D4D4F"/>
            <w:sz w:val="16"/>
          </w:rPr>
          <w:t>Environmental</w:t>
        </w:r>
        <w:r>
          <w:rPr>
            <w:color w:val="4D4D4F"/>
            <w:spacing w:val="15"/>
            <w:sz w:val="16"/>
          </w:rPr>
          <w:t xml:space="preserve"> </w:t>
        </w:r>
        <w:r>
          <w:rPr>
            <w:color w:val="4D4D4F"/>
            <w:sz w:val="16"/>
          </w:rPr>
          <w:t>Sustainability</w:t>
        </w:r>
        <w:r>
          <w:rPr>
            <w:color w:val="4D4D4F"/>
            <w:spacing w:val="15"/>
            <w:sz w:val="16"/>
          </w:rPr>
          <w:t xml:space="preserve"> </w:t>
        </w:r>
        <w:r>
          <w:rPr>
            <w:color w:val="4D4D4F"/>
            <w:spacing w:val="2"/>
            <w:sz w:val="16"/>
          </w:rPr>
          <w:t>2022.</w:t>
        </w:r>
        <w:r>
          <w:rPr>
            <w:color w:val="4D4D4F"/>
            <w:spacing w:val="16"/>
            <w:sz w:val="16"/>
          </w:rPr>
          <w:t xml:space="preserve"> </w:t>
        </w:r>
        <w:r>
          <w:rPr>
            <w:color w:val="4D4D4F"/>
            <w:sz w:val="16"/>
          </w:rPr>
          <w:t>This</w:t>
        </w:r>
        <w:r>
          <w:rPr>
            <w:color w:val="4D4D4F"/>
            <w:spacing w:val="15"/>
            <w:sz w:val="16"/>
          </w:rPr>
          <w:t xml:space="preserve"> </w:t>
        </w:r>
        <w:r>
          <w:rPr>
            <w:color w:val="4D4D4F"/>
            <w:sz w:val="16"/>
          </w:rPr>
          <w:t>publication</w:t>
        </w:r>
        <w:r>
          <w:rPr>
            <w:color w:val="4D4D4F"/>
            <w:spacing w:val="16"/>
            <w:sz w:val="16"/>
          </w:rPr>
          <w:t xml:space="preserve"> </w:t>
        </w:r>
        <w:r>
          <w:rPr>
            <w:color w:val="4D4D4F"/>
            <w:sz w:val="16"/>
          </w:rPr>
          <w:t>is</w:t>
        </w:r>
        <w:r>
          <w:rPr>
            <w:color w:val="4D4D4F"/>
            <w:spacing w:val="15"/>
            <w:sz w:val="16"/>
          </w:rPr>
          <w:t xml:space="preserve"> </w:t>
        </w:r>
        <w:r>
          <w:rPr>
            <w:color w:val="4D4D4F"/>
            <w:sz w:val="16"/>
          </w:rPr>
          <w:t>copyright.</w:t>
        </w:r>
      </w:hyperlink>
    </w:p>
    <w:p w14:paraId="471DE8B0" w14:textId="77777777" w:rsidR="00EF5B27" w:rsidRDefault="00000000">
      <w:pPr>
        <w:spacing w:before="25" w:line="271" w:lineRule="auto"/>
        <w:ind w:left="120" w:right="2292"/>
        <w:rPr>
          <w:sz w:val="16"/>
        </w:rPr>
      </w:pPr>
      <w:hyperlink r:id="rId197">
        <w:r>
          <w:rPr>
            <w:color w:val="4D4D4F"/>
            <w:sz w:val="16"/>
          </w:rPr>
          <w:t xml:space="preserve">No </w:t>
        </w:r>
        <w:r>
          <w:rPr>
            <w:color w:val="4D4D4F"/>
            <w:spacing w:val="2"/>
            <w:sz w:val="16"/>
          </w:rPr>
          <w:t xml:space="preserve">part </w:t>
        </w:r>
        <w:r>
          <w:rPr>
            <w:color w:val="4D4D4F"/>
            <w:sz w:val="16"/>
          </w:rPr>
          <w:t xml:space="preserve">may be </w:t>
        </w:r>
        <w:r>
          <w:rPr>
            <w:color w:val="4D4D4F"/>
            <w:spacing w:val="2"/>
            <w:sz w:val="16"/>
          </w:rPr>
          <w:t xml:space="preserve">reproduced </w:t>
        </w:r>
        <w:r>
          <w:rPr>
            <w:color w:val="4D4D4F"/>
            <w:sz w:val="16"/>
          </w:rPr>
          <w:t xml:space="preserve">by any process except in accordance with the provisions of the Copyright </w:t>
        </w:r>
        <w:r>
          <w:rPr>
            <w:color w:val="4D4D4F"/>
            <w:spacing w:val="2"/>
            <w:sz w:val="16"/>
          </w:rPr>
          <w:t xml:space="preserve">Act </w:t>
        </w:r>
        <w:r>
          <w:rPr>
            <w:color w:val="4D4D4F"/>
            <w:sz w:val="16"/>
          </w:rPr>
          <w:t>1968. For</w:t>
        </w:r>
        <w:r>
          <w:rPr>
            <w:color w:val="4D4D4F"/>
            <w:spacing w:val="9"/>
            <w:sz w:val="16"/>
          </w:rPr>
          <w:t xml:space="preserve"> </w:t>
        </w:r>
        <w:r>
          <w:rPr>
            <w:color w:val="4D4D4F"/>
            <w:sz w:val="16"/>
          </w:rPr>
          <w:t>further</w:t>
        </w:r>
        <w:r>
          <w:rPr>
            <w:color w:val="4D4D4F"/>
            <w:spacing w:val="9"/>
            <w:sz w:val="16"/>
          </w:rPr>
          <w:t xml:space="preserve"> </w:t>
        </w:r>
        <w:r>
          <w:rPr>
            <w:color w:val="4D4D4F"/>
            <w:sz w:val="16"/>
          </w:rPr>
          <w:t>information</w:t>
        </w:r>
        <w:r>
          <w:rPr>
            <w:color w:val="4D4D4F"/>
            <w:spacing w:val="9"/>
            <w:sz w:val="16"/>
          </w:rPr>
          <w:t xml:space="preserve"> </w:t>
        </w:r>
        <w:r>
          <w:rPr>
            <w:color w:val="4D4D4F"/>
            <w:sz w:val="16"/>
          </w:rPr>
          <w:t>about</w:t>
        </w:r>
        <w:r>
          <w:rPr>
            <w:color w:val="4D4D4F"/>
            <w:spacing w:val="10"/>
            <w:sz w:val="16"/>
          </w:rPr>
          <w:t xml:space="preserve"> </w:t>
        </w:r>
        <w:r>
          <w:rPr>
            <w:color w:val="4D4D4F"/>
            <w:sz w:val="16"/>
          </w:rPr>
          <w:t>the</w:t>
        </w:r>
        <w:r>
          <w:rPr>
            <w:color w:val="4D4D4F"/>
            <w:spacing w:val="9"/>
            <w:sz w:val="16"/>
          </w:rPr>
          <w:t xml:space="preserve"> </w:t>
        </w:r>
        <w:r>
          <w:rPr>
            <w:color w:val="4D4D4F"/>
            <w:sz w:val="16"/>
          </w:rPr>
          <w:t>Commissioner</w:t>
        </w:r>
        <w:r>
          <w:rPr>
            <w:color w:val="4D4D4F"/>
            <w:spacing w:val="9"/>
            <w:sz w:val="16"/>
          </w:rPr>
          <w:t xml:space="preserve"> </w:t>
        </w:r>
        <w:r>
          <w:rPr>
            <w:color w:val="4D4D4F"/>
            <w:sz w:val="16"/>
          </w:rPr>
          <w:t>for</w:t>
        </w:r>
        <w:r>
          <w:rPr>
            <w:color w:val="4D4D4F"/>
            <w:spacing w:val="10"/>
            <w:sz w:val="16"/>
          </w:rPr>
          <w:t xml:space="preserve"> </w:t>
        </w:r>
        <w:r>
          <w:rPr>
            <w:color w:val="4D4D4F"/>
            <w:sz w:val="16"/>
          </w:rPr>
          <w:t>Environmental</w:t>
        </w:r>
        <w:r>
          <w:rPr>
            <w:color w:val="4D4D4F"/>
            <w:spacing w:val="9"/>
            <w:sz w:val="16"/>
          </w:rPr>
          <w:t xml:space="preserve"> </w:t>
        </w:r>
        <w:r>
          <w:rPr>
            <w:color w:val="4D4D4F"/>
            <w:sz w:val="16"/>
          </w:rPr>
          <w:t>Sustainability,</w:t>
        </w:r>
        <w:r>
          <w:rPr>
            <w:color w:val="4D4D4F"/>
            <w:spacing w:val="9"/>
            <w:sz w:val="16"/>
          </w:rPr>
          <w:t xml:space="preserve"> </w:t>
        </w:r>
        <w:r>
          <w:rPr>
            <w:color w:val="4D4D4F"/>
            <w:sz w:val="16"/>
          </w:rPr>
          <w:t>visit</w:t>
        </w:r>
        <w:r>
          <w:rPr>
            <w:color w:val="4D4D4F"/>
            <w:spacing w:val="9"/>
            <w:sz w:val="16"/>
          </w:rPr>
          <w:t xml:space="preserve"> </w:t>
        </w:r>
      </w:hyperlink>
      <w:hyperlink r:id="rId198">
        <w:r>
          <w:rPr>
            <w:color w:val="F36A2E"/>
            <w:sz w:val="16"/>
            <w:u w:val="single" w:color="F36A2E"/>
          </w:rPr>
          <w:t>www.ces.vic.gov.au</w:t>
        </w:r>
      </w:hyperlink>
    </w:p>
    <w:p w14:paraId="61747689" w14:textId="77777777" w:rsidR="00EF5B27" w:rsidRDefault="00EF5B27">
      <w:pPr>
        <w:pStyle w:val="BodyText"/>
      </w:pPr>
    </w:p>
    <w:p w14:paraId="4BF4545D" w14:textId="77777777" w:rsidR="00EF5B27" w:rsidRDefault="00EF5B27">
      <w:pPr>
        <w:pStyle w:val="BodyText"/>
      </w:pPr>
    </w:p>
    <w:p w14:paraId="77555184" w14:textId="77777777" w:rsidR="00EF5B27" w:rsidRDefault="00000000">
      <w:pPr>
        <w:pStyle w:val="BodyText"/>
        <w:spacing w:before="6"/>
        <w:rPr>
          <w:sz w:val="16"/>
        </w:rPr>
      </w:pPr>
      <w:r>
        <w:pict w14:anchorId="496E8C43">
          <v:group id="_x0000_s2071" style="position:absolute;margin-left:57.15pt;margin-top:15.05pt;width:22.1pt;height:30.65pt;z-index:251775488;mso-wrap-distance-left:0;mso-wrap-distance-right:0;mso-position-horizontal-relative:page" coordorigin="1143,301" coordsize="442,613">
            <v:shape id="_x0000_s2085" style="position:absolute;left:1327;top:465;width:157;height:38" coordorigin="1327,465" coordsize="157,38" path="m1360,465r-12,l1336,469r-9,8l1483,503r-27,-16l1425,475r-32,-7l1360,465xe" fillcolor="#047ebc" stroked="f">
              <v:path arrowok="t"/>
            </v:shape>
            <v:shape id="_x0000_s2084" style="position:absolute;left:1314;top:537;width:262;height:91" coordorigin="1314,538" coordsize="262,91" path="m1314,538r56,29l1394,571r23,10l1438,595r18,17l1575,628r-24,-56l1534,549,1314,538xe" fillcolor="#5db64a" stroked="f">
              <v:path arrowok="t"/>
            </v:shape>
            <v:shape id="_x0000_s2083" style="position:absolute;left:1467;top:683;width:117;height:67" coordorigin="1467,683" coordsize="117,67" path="m1584,683r-102,l1482,700r-3,17l1474,734r-7,15l1578,739r3,-14l1583,711r1,-14l1584,683xe" fillcolor="#f36a2c" stroked="f">
              <v:path arrowok="t"/>
            </v:shape>
            <v:shape id="_x0000_s2082" style="position:absolute;left:1144;top:737;width:104;height:42" coordorigin="1144,737" coordsize="104,42" path="m1192,737r-48,42l1247,770r-1,-2l1244,766r-11,-10l1225,749r-9,-6l1205,739r-13,-2xe" fillcolor="#f36a2c" stroked="f">
              <v:path arrowok="t"/>
            </v:shape>
            <v:shape id="_x0000_s2081" style="position:absolute;left:1142;top:739;width:436;height:108" coordorigin="1143,739" coordsize="436,108" o:spt="100" adj="0,,0" path="m1248,770r-104,9l1144,782r-1,12l1145,806r6,9l1519,847r11,-12l1539,823r9,-12l1367,811r-44,-3l1282,793r-5,-3l1273,788r-8,-5l1261,780r-8,-5l1250,772r-2,-2xm1578,739r-111,10l1464,755r-4,6l1453,770r-4,4l1446,778r-37,24l1367,811r181,l1548,811r8,-13l1561,788r4,-9l1569,769r4,-10l1575,753r2,-7l1578,739xe" fillcolor="#f99f27" stroked="f">
              <v:stroke joinstyle="round"/>
              <v:formulas/>
              <v:path arrowok="t" o:connecttype="segments"/>
            </v:shape>
            <v:shape id="_x0000_s2080" style="position:absolute;left:1151;top:815;width:368;height:99" coordorigin="1151,815" coordsize="368,99" path="m1151,815r84,68l1326,911r27,2l1363,913r80,-15l1496,867r23,-20l1151,815xe" fillcolor="#ef412c" stroked="f">
              <v:path arrowok="t"/>
            </v:shape>
            <v:shape id="_x0000_s2079" style="position:absolute;left:1181;top:301;width:352;height:100" coordorigin="1181,301" coordsize="352,100" path="m1372,301r-3,l1352,302r-69,16l1227,351r-43,45l1181,400r352,-41l1462,318r-60,-15l1372,301xe" fillcolor="#00aed9" stroked="f">
              <v:path arrowok="t"/>
            </v:shape>
            <v:shape id="_x0000_s2078" style="position:absolute;left:1157;top:359;width:427;height:118" coordorigin="1157,359" coordsize="427,118" o:spt="100" adj="0,,0" path="m1577,402r-211,l1366,402r1,l1367,402r22,1l1411,408r21,7l1451,425r10,6l1470,437r9,7l1487,451r8,8l1503,466r9,5l1522,475r13,2l1548,475r11,-5l1569,462r8,-7l1582,445r1,-10l1584,423r-2,-11l1577,402xm1533,359r-352,41l1176,408r-4,7l1164,431r-4,9l1157,449r103,17l1266,455r8,-10l1282,436r10,-8l1308,417r18,-8l1345,404r21,-2l1577,402r,-1l1569,391r-9,-9l1551,374r-12,-10l1536,362r-3,-3xe" fillcolor="#047ebc" stroked="f">
              <v:stroke joinstyle="round"/>
              <v:formulas/>
              <v:path arrowok="t" o:connecttype="segments"/>
            </v:shape>
            <v:shape id="_x0000_s2077" style="position:absolute;left:1309;top:476;width:225;height:73" coordorigin="1309,477" coordsize="225,73" path="m1327,477r-18,41l1311,527r3,11l1534,549r-8,-10l1327,477xe" fillcolor="#00568b" stroked="f">
              <v:path arrowok="t"/>
            </v:shape>
            <v:shape id="_x0000_s2076" style="position:absolute;left:1143;top:448;width:117;height:86" coordorigin="1144,449" coordsize="117,86" path="m1157,449r-13,68l1144,529r101,5l1245,523r,-11l1260,466,1157,449xe" fillcolor="#00568b" stroked="f">
              <v:path arrowok="t"/>
            </v:shape>
            <v:shape id="_x0000_s2075" style="position:absolute;left:1143;top:528;width:118;height:59" coordorigin="1144,529" coordsize="118,59" path="m1144,529r118,58l1255,576r-5,-12l1246,545r-1,-5l1245,534r-101,-5xe" fillcolor="#5db64a" stroked="f">
              <v:path arrowok="t"/>
            </v:shape>
            <v:shape id="_x0000_s2074" style="position:absolute;left:1209;top:683;width:209;height:67" coordorigin="1210,683" coordsize="209,67" path="m1416,683r-206,l1218,692r8,7l1278,730r66,19l1362,750r12,-1l1418,697r-2,-14xe" fillcolor="#f36a2c" stroked="f">
              <v:path arrowok="t"/>
            </v:shape>
            <v:shape id="_x0000_s2073" style="position:absolute;left:1455;top:612;width:129;height:72" coordorigin="1456,612" coordsize="129,72" path="m1456,612r26,63l1482,683r102,l1575,628,1456,612xe" fillcolor="#49783f" stroked="f">
              <v:path arrowok="t"/>
            </v:shape>
            <v:shape id="_x0000_s2072" style="position:absolute;left:1148;top:572;width:268;height:112" coordorigin="1149,572" coordsize="268,112" path="m1149,572r22,61l1210,683r206,l1415,681r-1,-3l1412,674r,-1l1411,672r-9,-9l1392,656r-12,-5l1335,642r-29,-13l1281,611r-19,-24l1149,572xe" fillcolor="#49783f" stroked="f">
              <v:path arrowok="t"/>
            </v:shape>
            <w10:wrap type="topAndBottom" anchorx="page"/>
          </v:group>
        </w:pict>
      </w:r>
      <w:r>
        <w:rPr>
          <w:noProof/>
        </w:rPr>
        <w:drawing>
          <wp:anchor distT="0" distB="0" distL="0" distR="0" simplePos="0" relativeHeight="251306496" behindDoc="0" locked="0" layoutInCell="1" allowOverlap="1" wp14:anchorId="3107C3ED" wp14:editId="11F42FEB">
            <wp:simplePos x="0" y="0"/>
            <wp:positionH relativeFrom="page">
              <wp:posOffset>1098638</wp:posOffset>
            </wp:positionH>
            <wp:positionV relativeFrom="paragraph">
              <wp:posOffset>253356</wp:posOffset>
            </wp:positionV>
            <wp:extent cx="596379" cy="280987"/>
            <wp:effectExtent l="0" t="0" r="0" b="0"/>
            <wp:wrapTopAndBottom/>
            <wp:docPr id="525"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222.png"/>
                    <pic:cNvPicPr/>
                  </pic:nvPicPr>
                  <pic:blipFill>
                    <a:blip r:embed="rId199" cstate="print"/>
                    <a:stretch>
                      <a:fillRect/>
                    </a:stretch>
                  </pic:blipFill>
                  <pic:spPr>
                    <a:xfrm>
                      <a:off x="0" y="0"/>
                      <a:ext cx="596379" cy="280987"/>
                    </a:xfrm>
                    <a:prstGeom prst="rect">
                      <a:avLst/>
                    </a:prstGeom>
                  </pic:spPr>
                </pic:pic>
              </a:graphicData>
            </a:graphic>
          </wp:anchor>
        </w:drawing>
      </w:r>
      <w:r>
        <w:rPr>
          <w:noProof/>
        </w:rPr>
        <w:drawing>
          <wp:anchor distT="0" distB="0" distL="0" distR="0" simplePos="0" relativeHeight="251307520" behindDoc="0" locked="0" layoutInCell="1" allowOverlap="1" wp14:anchorId="5FDF1586" wp14:editId="0C4996A4">
            <wp:simplePos x="0" y="0"/>
            <wp:positionH relativeFrom="page">
              <wp:posOffset>1913039</wp:posOffset>
            </wp:positionH>
            <wp:positionV relativeFrom="paragraph">
              <wp:posOffset>229476</wp:posOffset>
            </wp:positionV>
            <wp:extent cx="613669" cy="347662"/>
            <wp:effectExtent l="0" t="0" r="0" b="0"/>
            <wp:wrapTopAndBottom/>
            <wp:docPr id="527"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223.png"/>
                    <pic:cNvPicPr/>
                  </pic:nvPicPr>
                  <pic:blipFill>
                    <a:blip r:embed="rId200" cstate="print"/>
                    <a:stretch>
                      <a:fillRect/>
                    </a:stretch>
                  </pic:blipFill>
                  <pic:spPr>
                    <a:xfrm>
                      <a:off x="0" y="0"/>
                      <a:ext cx="613669" cy="347662"/>
                    </a:xfrm>
                    <a:prstGeom prst="rect">
                      <a:avLst/>
                    </a:prstGeom>
                  </pic:spPr>
                </pic:pic>
              </a:graphicData>
            </a:graphic>
          </wp:anchor>
        </w:drawing>
      </w:r>
      <w:r>
        <w:pict w14:anchorId="7E24C6B3">
          <v:group id="_x0000_s2053" style="position:absolute;margin-left:376.9pt;margin-top:12.1pt;width:26.85pt;height:32.35pt;z-index:251776512;mso-wrap-distance-left:0;mso-wrap-distance-right:0;mso-position-horizontal-relative:page;mso-position-vertical-relative:text" coordorigin="7538,242" coordsize="537,647">
            <v:rect id="_x0000_s2070" style="position:absolute;left:7537;top:242;width:537;height:537" fillcolor="#49783f" stroked="f"/>
            <v:shape id="_x0000_s2069" type="#_x0000_t75" style="position:absolute;left:7607;top:331;width:380;height:356">
              <v:imagedata r:id="rId201" o:title=""/>
            </v:shape>
            <v:shape id="_x0000_s2068" style="position:absolute;left:7573;top:831;width:26;height:58" coordorigin="7573,831" coordsize="26,58" o:spt="100" adj="0,,0" path="m7588,831r-15,l7573,888r8,l7581,860r9,l7591,860r2,-2l7594,857r-13,l7581,838r15,l7595,837r-4,-5l7588,831xm7590,860r-9,l7592,888r7,l7589,861r1,-1xm7596,838r-12,l7585,838r1,1l7587,839r1,2l7589,842r,2l7589,851r,2l7586,856r-2,1l7594,857r2,-3l7597,851r,-10l7596,838xe" fillcolor="#49783f" stroked="f">
              <v:stroke joinstyle="round"/>
              <v:formulas/>
              <v:path arrowok="t" o:connecttype="segments"/>
            </v:shape>
            <v:shape id="_x0000_s2067" style="position:absolute;left:7605;top:831;width:21;height:58" coordorigin="7605,831" coordsize="21,58" path="m7626,831r-21,l7605,888r21,l7626,882r-13,l7613,862r11,l7624,856r-11,l7613,838r13,l7626,831xe" fillcolor="#49783f" stroked="f">
              <v:path arrowok="t"/>
            </v:shape>
            <v:shape id="_x0000_s2066" style="position:absolute;left:7631;top:830;width:24;height:59" coordorigin="7632,831" coordsize="24,59" o:spt="100" adj="0,,0" path="m7651,831r-8,l7639,833r-6,10l7632,851r,29l7637,889r14,l7653,889r2,-1l7655,882r-12,l7640,875r,-18l7640,853r1,-6l7641,845r2,-4l7644,840r3,-2l7648,838r7,l7655,832r-2,-1l7651,831xm7655,880r-2,1l7652,882r3,l7655,880xm7655,838r-3,l7653,838r2,1l7655,838xe" fillcolor="#49783f" stroked="f">
              <v:stroke joinstyle="round"/>
              <v:formulas/>
              <v:path arrowok="t" o:connecttype="segments"/>
            </v:shape>
            <v:shape id="_x0000_s2065" style="position:absolute;left:7657;top:831;width:30;height:58" coordorigin="7657,831" coordsize="30,58" o:spt="100" adj="0,,0" path="m7665,831r-8,l7669,864r,24l7677,888r,-24l7679,858r-6,l7672,855r-1,-4l7670,846r-5,-15xm7687,831r-8,l7675,844r-2,9l7673,855r,3l7679,858r8,-27xe" fillcolor="#49783f" stroked="f">
              <v:stroke joinstyle="round"/>
              <v:formulas/>
              <v:path arrowok="t" o:connecttype="segments"/>
            </v:shape>
            <v:shape id="_x0000_s2064" style="position:absolute;left:7687;top:830;width:24;height:59" coordorigin="7688,831" coordsize="24,59" o:spt="100" adj="0,,0" path="m7707,831r-8,l7695,833r-6,10l7688,851r,29l7694,889r13,l7710,889r1,-1l7711,882r-11,l7696,875r,-18l7696,853r1,-6l7698,845r1,-4l7700,840r3,-2l7705,838r6,l7711,832r-2,-1l7707,831xm7711,880r-1,1l7708,882r3,l7711,880xm7711,838r-3,l7709,838r2,1l7711,838xe" fillcolor="#49783f" stroked="f">
              <v:stroke joinstyle="round"/>
              <v:formulas/>
              <v:path arrowok="t" o:connecttype="segments"/>
            </v:shape>
            <v:shape id="_x0000_s2063" style="position:absolute;left:7717;top:831;width:21;height:58" coordorigin="7718,831" coordsize="21,58" path="m7726,831r-8,l7718,888r20,l7738,882r-12,l7726,831xe" fillcolor="#49783f" stroked="f">
              <v:path arrowok="t"/>
            </v:shape>
            <v:shape id="_x0000_s2062" style="position:absolute;left:7742;top:831;width:21;height:58" coordorigin="7743,831" coordsize="21,58" path="m7763,831r-20,l7743,888r20,l7763,882r-12,l7751,862r11,l7762,856r-11,l7751,838r12,l7763,831xe" fillcolor="#49783f" stroked="f">
              <v:path arrowok="t"/>
            </v:shape>
            <v:shape id="_x0000_s2061" style="position:absolute;left:7770;top:831;width:28;height:58" coordorigin="7770,831" coordsize="28,58" o:spt="100" adj="0,,0" path="m7783,831r-13,l7770,888r14,l7789,887r3,-2l7794,883r,-1l7778,882r,-44l7794,838r-3,-4l7789,833r-4,-1l7783,831xm7794,838r-11,l7786,839r3,7l7790,852r,17l7789,875r-3,5l7783,882r11,l7795,880r2,-8l7798,867r,-15l7798,848r-2,-7l7794,838r,xe" fillcolor="#49783f" stroked="f">
              <v:stroke joinstyle="round"/>
              <v:formulas/>
              <v:path arrowok="t" o:connecttype="segments"/>
            </v:shape>
            <v:shape id="_x0000_s2060" style="position:absolute;left:7820;top:830;width:24;height:59" coordorigin="7820,831" coordsize="24,59" o:spt="100" adj="0,,0" path="m7839,831r-8,l7827,833r-5,10l7820,851r,29l7826,889r14,l7842,889r2,-1l7844,882r-12,l7828,875r,-18l7828,853r1,-6l7830,845r2,-4l7833,840r2,-2l7837,838r7,l7844,832r-2,-1l7839,831xm7844,880r-2,1l7840,882r4,l7844,880xm7844,838r-4,l7842,838r2,1l7844,838xe" fillcolor="#49783f" stroked="f">
              <v:stroke joinstyle="round"/>
              <v:formulas/>
              <v:path arrowok="t" o:connecttype="segments"/>
            </v:shape>
            <v:shape id="_x0000_s2059" style="position:absolute;left:7848;top:830;width:30;height:59" coordorigin="7849,831" coordsize="30,59" o:spt="100" adj="0,,0" path="m7868,831r-10,l7855,833r-5,8l7849,848r,22l7850,878r5,9l7859,889r10,l7873,887r3,-5l7861,882r-2,-1l7858,877r,-3l7857,870r,-22l7857,846r1,-1l7859,839r2,-1l7876,838r-4,-6l7868,831xm7876,838r-9,l7868,839r2,7l7870,848r,23l7870,875r-2,6l7866,882r10,l7878,878r1,-7l7879,851r-1,-2l7878,845r-1,-4l7876,838r,xe" fillcolor="#49783f" stroked="f">
              <v:stroke joinstyle="round"/>
              <v:formulas/>
              <v:path arrowok="t" o:connecttype="segments"/>
            </v:shape>
            <v:shape id="_x0000_s2058" style="position:absolute;left:7886;top:831;width:27;height:58" coordorigin="7886,831" coordsize="27,58" o:spt="100" adj="0,,0" path="m7893,831r-7,l7886,888r8,l7894,862r-1,-9l7893,847r-1,-3l7898,844r-5,-13xm7898,844r-6,l7894,850r,3l7896,858r1,3l7906,888r7,l7913,875r-6,l7905,867r-2,-7l7898,844xm7913,831r-8,l7905,858r,2l7906,866r,4l7907,875r6,l7913,831xe" fillcolor="#49783f" stroked="f">
              <v:stroke joinstyle="round"/>
              <v:formulas/>
              <v:path arrowok="t" o:connecttype="segments"/>
            </v:shape>
            <v:shape id="_x0000_s2057" style="position:absolute;left:7917;top:831;width:26;height:58" coordorigin="7917,831" coordsize="26,58" o:spt="100" adj="0,,0" path="m7934,838r-8,l7926,888r8,l7934,838xm7942,831r-25,l7917,838r25,l7942,831xe" fillcolor="#49783f" stroked="f">
              <v:stroke joinstyle="round"/>
              <v:formulas/>
              <v:path arrowok="t" o:connecttype="segments"/>
            </v:shape>
            <v:shape id="_x0000_s2056" style="position:absolute;left:7946;top:831;width:21;height:58" coordorigin="7946,831" coordsize="21,58" path="m7967,831r-21,l7946,888r21,l7967,882r-13,l7954,862r11,l7965,856r-11,l7954,838r13,l7967,831xe" fillcolor="#49783f" stroked="f">
              <v:path arrowok="t"/>
            </v:shape>
            <v:shape id="_x0000_s2055" style="position:absolute;left:7973;top:831;width:27;height:58" coordorigin="7974,831" coordsize="27,58" o:spt="100" adj="0,,0" path="m7981,831r-7,l7974,888r8,l7981,863r,-4l7980,847r,-3l7985,844r-4,-13xm7985,844r-5,l7980,847r1,l7981,850r1,3l7983,858r1,3l7993,888r7,l8000,875r-5,l7993,867r-2,-7l7988,853r-3,-9xm8000,831r-7,l7993,858r,3l7994,866r,4l7995,875r5,l8000,831xe" fillcolor="#49783f" stroked="f">
              <v:stroke joinstyle="round"/>
              <v:formulas/>
              <v:path arrowok="t" o:connecttype="segments"/>
            </v:shape>
            <v:shape id="_x0000_s2054" style="position:absolute;left:8004;top:831;width:26;height:58" coordorigin="8005,831" coordsize="26,58" o:spt="100" adj="0,,0" path="m8021,838r-7,l8014,888r7,l8021,838xm8030,831r-25,l8005,838r25,l8030,831xe" fillcolor="#49783f" stroked="f">
              <v:stroke joinstyle="round"/>
              <v:formulas/>
              <v:path arrowok="t" o:connecttype="segments"/>
            </v:shape>
            <w10:wrap type="topAndBottom" anchorx="page"/>
          </v:group>
        </w:pict>
      </w:r>
      <w:r>
        <w:rPr>
          <w:noProof/>
        </w:rPr>
        <w:drawing>
          <wp:anchor distT="0" distB="0" distL="0" distR="0" simplePos="0" relativeHeight="251308544" behindDoc="0" locked="0" layoutInCell="1" allowOverlap="1" wp14:anchorId="63E7B8E9" wp14:editId="4BADB476">
            <wp:simplePos x="0" y="0"/>
            <wp:positionH relativeFrom="page">
              <wp:posOffset>5205481</wp:posOffset>
            </wp:positionH>
            <wp:positionV relativeFrom="paragraph">
              <wp:posOffset>153776</wp:posOffset>
            </wp:positionV>
            <wp:extent cx="345856" cy="409575"/>
            <wp:effectExtent l="0" t="0" r="0" b="0"/>
            <wp:wrapTopAndBottom/>
            <wp:docPr id="529"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225.png"/>
                    <pic:cNvPicPr/>
                  </pic:nvPicPr>
                  <pic:blipFill>
                    <a:blip r:embed="rId202" cstate="print"/>
                    <a:stretch>
                      <a:fillRect/>
                    </a:stretch>
                  </pic:blipFill>
                  <pic:spPr>
                    <a:xfrm>
                      <a:off x="0" y="0"/>
                      <a:ext cx="345856" cy="409575"/>
                    </a:xfrm>
                    <a:prstGeom prst="rect">
                      <a:avLst/>
                    </a:prstGeom>
                  </pic:spPr>
                </pic:pic>
              </a:graphicData>
            </a:graphic>
          </wp:anchor>
        </w:drawing>
      </w:r>
      <w:r>
        <w:rPr>
          <w:noProof/>
        </w:rPr>
        <w:drawing>
          <wp:anchor distT="0" distB="0" distL="0" distR="0" simplePos="0" relativeHeight="251309568" behindDoc="0" locked="0" layoutInCell="1" allowOverlap="1" wp14:anchorId="61F0E955" wp14:editId="7234533E">
            <wp:simplePos x="0" y="0"/>
            <wp:positionH relativeFrom="page">
              <wp:posOffset>5631764</wp:posOffset>
            </wp:positionH>
            <wp:positionV relativeFrom="paragraph">
              <wp:posOffset>153776</wp:posOffset>
            </wp:positionV>
            <wp:extent cx="340595" cy="409575"/>
            <wp:effectExtent l="0" t="0" r="0" b="0"/>
            <wp:wrapTopAndBottom/>
            <wp:docPr id="531"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226.png"/>
                    <pic:cNvPicPr/>
                  </pic:nvPicPr>
                  <pic:blipFill>
                    <a:blip r:embed="rId203" cstate="print"/>
                    <a:stretch>
                      <a:fillRect/>
                    </a:stretch>
                  </pic:blipFill>
                  <pic:spPr>
                    <a:xfrm>
                      <a:off x="0" y="0"/>
                      <a:ext cx="340595" cy="409575"/>
                    </a:xfrm>
                    <a:prstGeom prst="rect">
                      <a:avLst/>
                    </a:prstGeom>
                  </pic:spPr>
                </pic:pic>
              </a:graphicData>
            </a:graphic>
          </wp:anchor>
        </w:drawing>
      </w:r>
      <w:r>
        <w:rPr>
          <w:noProof/>
        </w:rPr>
        <w:drawing>
          <wp:anchor distT="0" distB="0" distL="0" distR="0" simplePos="0" relativeHeight="251310592" behindDoc="0" locked="0" layoutInCell="1" allowOverlap="1" wp14:anchorId="5C6A6AE8" wp14:editId="79942A02">
            <wp:simplePos x="0" y="0"/>
            <wp:positionH relativeFrom="page">
              <wp:posOffset>6064386</wp:posOffset>
            </wp:positionH>
            <wp:positionV relativeFrom="paragraph">
              <wp:posOffset>152709</wp:posOffset>
            </wp:positionV>
            <wp:extent cx="345264" cy="409575"/>
            <wp:effectExtent l="0" t="0" r="0" b="0"/>
            <wp:wrapTopAndBottom/>
            <wp:docPr id="533"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227.png"/>
                    <pic:cNvPicPr/>
                  </pic:nvPicPr>
                  <pic:blipFill>
                    <a:blip r:embed="rId204" cstate="print"/>
                    <a:stretch>
                      <a:fillRect/>
                    </a:stretch>
                  </pic:blipFill>
                  <pic:spPr>
                    <a:xfrm>
                      <a:off x="0" y="0"/>
                      <a:ext cx="345264" cy="409575"/>
                    </a:xfrm>
                    <a:prstGeom prst="rect">
                      <a:avLst/>
                    </a:prstGeom>
                  </pic:spPr>
                </pic:pic>
              </a:graphicData>
            </a:graphic>
          </wp:anchor>
        </w:drawing>
      </w:r>
      <w:r>
        <w:pict w14:anchorId="441C85DD">
          <v:group id="_x0000_s2050" style="position:absolute;margin-left:511.6pt;margin-top:12.05pt;width:27pt;height:32.45pt;z-index:251777536;mso-wrap-distance-left:0;mso-wrap-distance-right:0;mso-position-horizontal-relative:page;mso-position-vertical-relative:text" coordorigin="10232,241" coordsize="540,649">
            <v:shape id="_x0000_s2052" type="#_x0000_t75" style="position:absolute;left:10231;top:830;width:540;height:59">
              <v:imagedata r:id="rId205" o:title=""/>
            </v:shape>
            <v:shape id="_x0000_s2051" style="position:absolute;left:10233;top:240;width:537;height:537" coordorigin="10233,241" coordsize="537,537" o:spt="100" adj="0,,0" path="m10770,241r-537,l10233,778r537,l10770,688r-269,l10501,688r-72,-15l10370,634r-39,-59l10318,513r-66,l10252,494r66,l10331,432r15,-23l10317,409r-37,-22l10290,371r84,l10429,334r17,-4l10389,330r-21,-37l10384,283r107,l10491,255r279,l10770,241xm10596,319r-95,l10501,319r71,15l10631,373r39,59l10685,504r-15,71l10631,634r-59,39l10501,688r269,l10770,513r-64,l10706,494r64,l10770,409r-86,l10674,393r38,-22l10770,371r,-41l10612,330r-17,-9l10596,319xm10501,336r-65,13l10382,385r-35,53l10333,503r14,65l10382,622r54,35l10501,671r,l10566,658r53,-36l10654,570r-145,l10501,569r-112,l10389,442r111,l10508,440r147,l10655,438r-36,-53l10566,349r-65,-13l10501,336xm10536,542r-13,l10523,567r-5,2l10513,570r60,l10555,566r-14,-13l10536,542xm10655,440r-82,l10592,445r14,12l10615,478r3,29l10615,533r-9,20l10592,566r-19,4l10654,570r1,-1l10668,504r-13,-64xm10500,442r-57,l10443,465r-29,l10414,491r26,l10440,514r-26,l10414,544r29,l10443,569r58,l10487,566r-18,-13l10458,533r-4,-26l10454,505r4,-26l10469,458r17,-13l10500,442xm10573,464r-8,3l10559,474r-4,13l10554,503r,4l10555,523r4,13l10565,543r8,3l10582,543r6,-7l10592,523r1,-16l10593,503r-1,-16l10588,474r-6,-7l10573,464xm10514,464r-4,l10498,467r-9,8l10483,488r-2,15l10481,506r2,16l10490,534r9,8l10510,545r5,l10519,544r4,-2l10536,542r-4,-9l10529,507r,-4l10532,478r5,-11l10523,467r-4,-2l10514,464xm10770,494r-20,l10750,513r20,l10770,494xm10318,494r-23,l10295,513r23,l10316,503r2,-9xm10573,440r-60,l10519,441r4,2l10523,467r14,l10541,457r14,-13l10573,440xm10770,371r-58,l10721,388r-37,21l10770,409r,-38xm10374,371r-84,l10327,393r-10,16l10346,409r24,-36l10374,371xm10770,283r-153,l10633,293r-21,37l10770,330r,-47xm10491,283r-107,l10406,321r-17,9l10446,330r55,-11l10596,319r13,-21l10491,298r,-15xm10770,255r-260,l10510,298r99,l10617,283r153,l10770,255xe" fillcolor="#49783f" stroked="f">
              <v:stroke joinstyle="round"/>
              <v:formulas/>
              <v:path arrowok="t" o:connecttype="segments"/>
            </v:shape>
            <w10:wrap type="topAndBottom" anchorx="page"/>
          </v:group>
        </w:pict>
      </w:r>
    </w:p>
    <w:sectPr w:rsidR="00EF5B27">
      <w:headerReference w:type="default" r:id="rId206"/>
      <w:footerReference w:type="default" r:id="rId207"/>
      <w:pgSz w:w="11910" w:h="16840"/>
      <w:pgMar w:top="1460" w:right="1020" w:bottom="280" w:left="10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1FD2B4" w14:textId="77777777" w:rsidR="006634CE" w:rsidRDefault="006634CE">
      <w:r>
        <w:separator/>
      </w:r>
    </w:p>
  </w:endnote>
  <w:endnote w:type="continuationSeparator" w:id="0">
    <w:p w14:paraId="0D668C4A" w14:textId="77777777" w:rsidR="006634CE" w:rsidRDefault="006634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4AD8CC" w14:textId="77777777" w:rsidR="00A40023" w:rsidRDefault="00A40023">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E0C85" w14:textId="77777777" w:rsidR="00EF5B27" w:rsidRDefault="00000000">
    <w:pPr>
      <w:pStyle w:val="BodyText"/>
      <w:spacing w:line="14" w:lineRule="auto"/>
    </w:pPr>
    <w:r>
      <w:pict w14:anchorId="3B64BD29">
        <v:shapetype id="_x0000_t202" coordsize="21600,21600" o:spt="202" path="m,l,21600r21600,l21600,xe">
          <v:stroke joinstyle="miter"/>
          <v:path gradientshapeok="t" o:connecttype="rect"/>
        </v:shapetype>
        <v:shape id="_x0000_s1044" type="#_x0000_t202" style="position:absolute;margin-left:168.5pt;margin-top:797pt;width:371.2pt;height:11.8pt;z-index:-570256;mso-position-horizontal-relative:page;mso-position-vertical-relative:page" filled="f" stroked="f">
          <v:textbox inset="0,0,0,0">
            <w:txbxContent>
              <w:p w14:paraId="092081EB" w14:textId="77777777" w:rsidR="00EF5B27" w:rsidRDefault="00000000">
                <w:pPr>
                  <w:spacing w:before="20"/>
                  <w:ind w:left="20"/>
                  <w:rPr>
                    <w:i/>
                    <w:sz w:val="16"/>
                  </w:rPr>
                </w:pPr>
                <w:r>
                  <w:rPr>
                    <w:i/>
                    <w:sz w:val="16"/>
                  </w:rPr>
                  <w:t>Strategic Audit of the Implementation of Melbourne Strategic Assessment Conservation Outcomes 2022 Report</w:t>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5DBFEF" w14:textId="77777777" w:rsidR="00EF5B27" w:rsidRDefault="00000000">
    <w:pPr>
      <w:pStyle w:val="BodyText"/>
      <w:spacing w:line="14" w:lineRule="auto"/>
    </w:pPr>
    <w:r>
      <w:pict w14:anchorId="22B9B0F4">
        <v:line id="_x0000_s1043" style="position:absolute;z-index:-570232;mso-position-horizontal-relative:page;mso-position-vertical-relative:page" from="181.4pt,737.45pt" to="538.6pt,737.45pt" strokecolor="#4d4d4f" strokeweight=".5pt">
          <w10:wrap anchorx="page" anchory="page"/>
        </v:line>
      </w:pict>
    </w:r>
    <w:r>
      <w:pict w14:anchorId="48C63910">
        <v:shapetype id="_x0000_t202" coordsize="21600,21600" o:spt="202" path="m,l,21600r21600,l21600,xe">
          <v:stroke joinstyle="miter"/>
          <v:path gradientshapeok="t" o:connecttype="rect"/>
        </v:shapetype>
        <v:shape id="_x0000_s1042" type="#_x0000_t202" style="position:absolute;margin-left:168.5pt;margin-top:797pt;width:371.2pt;height:11.8pt;z-index:-570208;mso-position-horizontal-relative:page;mso-position-vertical-relative:page" filled="f" stroked="f">
          <v:textbox inset="0,0,0,0">
            <w:txbxContent>
              <w:p w14:paraId="0297B00D" w14:textId="77777777" w:rsidR="00EF5B27" w:rsidRDefault="00000000">
                <w:pPr>
                  <w:spacing w:before="20"/>
                  <w:ind w:left="20"/>
                  <w:rPr>
                    <w:i/>
                    <w:sz w:val="16"/>
                  </w:rPr>
                </w:pPr>
                <w:r>
                  <w:rPr>
                    <w:i/>
                    <w:sz w:val="16"/>
                  </w:rPr>
                  <w:t>Strategic Audit of the Implementation of Melbourne Strategic Assessment Conservation Outcomes 2022 Report</w:t>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A8713" w14:textId="77777777" w:rsidR="00EF5B27" w:rsidRDefault="00000000">
    <w:pPr>
      <w:pStyle w:val="BodyText"/>
      <w:spacing w:line="14" w:lineRule="auto"/>
    </w:pPr>
    <w:r>
      <w:pict w14:anchorId="7787EC08">
        <v:shapetype id="_x0000_t202" coordsize="21600,21600" o:spt="202" path="m,l,21600r21600,l21600,xe">
          <v:stroke joinstyle="miter"/>
          <v:path gradientshapeok="t" o:connecttype="rect"/>
        </v:shapetype>
        <v:shape id="_x0000_s1041" type="#_x0000_t202" style="position:absolute;margin-left:168.5pt;margin-top:797pt;width:371.2pt;height:11.8pt;z-index:-570184;mso-position-horizontal-relative:page;mso-position-vertical-relative:page" filled="f" stroked="f">
          <v:textbox inset="0,0,0,0">
            <w:txbxContent>
              <w:p w14:paraId="6F1FF636" w14:textId="77777777" w:rsidR="00EF5B27" w:rsidRDefault="00000000">
                <w:pPr>
                  <w:spacing w:before="20"/>
                  <w:ind w:left="20"/>
                  <w:rPr>
                    <w:i/>
                    <w:sz w:val="16"/>
                  </w:rPr>
                </w:pPr>
                <w:r>
                  <w:rPr>
                    <w:i/>
                    <w:sz w:val="16"/>
                  </w:rPr>
                  <w:t>Strategic Audit of the Implementation of Melbourne Strategic Assessment Conservation Outcomes 2022 Report</w:t>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A06DF3" w14:textId="77777777" w:rsidR="00EF5B27" w:rsidRDefault="00000000">
    <w:pPr>
      <w:pStyle w:val="BodyText"/>
      <w:spacing w:line="14" w:lineRule="auto"/>
    </w:pPr>
    <w:r>
      <w:pict w14:anchorId="3476EB37">
        <v:shapetype id="_x0000_t202" coordsize="21600,21600" o:spt="202" path="m,l,21600r21600,l21600,xe">
          <v:stroke joinstyle="miter"/>
          <v:path gradientshapeok="t" o:connecttype="rect"/>
        </v:shapetype>
        <v:shape id="_x0000_s1040" type="#_x0000_t202" style="position:absolute;margin-left:168.5pt;margin-top:797pt;width:371.2pt;height:11.8pt;z-index:-570160;mso-position-horizontal-relative:page;mso-position-vertical-relative:page" filled="f" stroked="f">
          <v:textbox inset="0,0,0,0">
            <w:txbxContent>
              <w:p w14:paraId="750A15A3" w14:textId="77777777" w:rsidR="00EF5B27" w:rsidRDefault="00000000">
                <w:pPr>
                  <w:spacing w:before="20"/>
                  <w:ind w:left="20"/>
                  <w:rPr>
                    <w:i/>
                    <w:sz w:val="16"/>
                  </w:rPr>
                </w:pPr>
                <w:r>
                  <w:rPr>
                    <w:i/>
                    <w:sz w:val="16"/>
                  </w:rPr>
                  <w:t>Strategic Audit of the Implementation of Melbourne Strategic Assessment Conservation Outcomes 2022 Report</w:t>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FC727" w14:textId="77777777" w:rsidR="00EF5B27" w:rsidRDefault="00000000">
    <w:pPr>
      <w:pStyle w:val="BodyText"/>
      <w:spacing w:line="14" w:lineRule="auto"/>
    </w:pPr>
    <w:r>
      <w:pict w14:anchorId="512A5DA5">
        <v:shapetype id="_x0000_t202" coordsize="21600,21600" o:spt="202" path="m,l,21600r21600,l21600,xe">
          <v:stroke joinstyle="miter"/>
          <v:path gradientshapeok="t" o:connecttype="rect"/>
        </v:shapetype>
        <v:shape id="_x0000_s1039" type="#_x0000_t202" style="position:absolute;margin-left:168.5pt;margin-top:797pt;width:371.2pt;height:11.8pt;z-index:-570136;mso-position-horizontal-relative:page;mso-position-vertical-relative:page" filled="f" stroked="f">
          <v:textbox inset="0,0,0,0">
            <w:txbxContent>
              <w:p w14:paraId="072F51F8" w14:textId="77777777" w:rsidR="00EF5B27" w:rsidRDefault="00000000">
                <w:pPr>
                  <w:spacing w:before="20"/>
                  <w:ind w:left="20"/>
                  <w:rPr>
                    <w:i/>
                    <w:sz w:val="16"/>
                  </w:rPr>
                </w:pPr>
                <w:r>
                  <w:rPr>
                    <w:i/>
                    <w:sz w:val="16"/>
                  </w:rPr>
                  <w:t>Strategic Audit of the Implementation of Melbourne Strategic Assessment Conservation Outcomes 2022 Report</w:t>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B4099" w14:textId="77777777" w:rsidR="00EF5B27" w:rsidRDefault="00000000">
    <w:pPr>
      <w:pStyle w:val="BodyText"/>
      <w:spacing w:line="14" w:lineRule="auto"/>
    </w:pPr>
    <w:r>
      <w:pict w14:anchorId="21610EDC">
        <v:line id="_x0000_s1033" style="position:absolute;z-index:-569992;mso-position-horizontal-relative:page;mso-position-vertical-relative:page" from="181.4pt,737.75pt" to="538.6pt,737.75pt" strokecolor="#4d4d4f" strokeweight=".5pt">
          <w10:wrap anchorx="page" anchory="page"/>
        </v:line>
      </w:pict>
    </w:r>
    <w:r>
      <w:pict w14:anchorId="2383C479">
        <v:shapetype id="_x0000_t202" coordsize="21600,21600" o:spt="202" path="m,l,21600r21600,l21600,xe">
          <v:stroke joinstyle="miter"/>
          <v:path gradientshapeok="t" o:connecttype="rect"/>
        </v:shapetype>
        <v:shape id="_x0000_s1032" type="#_x0000_t202" style="position:absolute;margin-left:168.5pt;margin-top:797pt;width:371.2pt;height:11.8pt;z-index:-569968;mso-position-horizontal-relative:page;mso-position-vertical-relative:page" filled="f" stroked="f">
          <v:textbox inset="0,0,0,0">
            <w:txbxContent>
              <w:p w14:paraId="6C8C8404" w14:textId="77777777" w:rsidR="00EF5B27" w:rsidRDefault="00000000">
                <w:pPr>
                  <w:spacing w:before="20"/>
                  <w:ind w:left="20"/>
                  <w:rPr>
                    <w:i/>
                    <w:sz w:val="16"/>
                  </w:rPr>
                </w:pPr>
                <w:r>
                  <w:rPr>
                    <w:i/>
                    <w:sz w:val="16"/>
                  </w:rPr>
                  <w:t>Strategic Audit of the Implementation of Melbourne Strategic Assessment Conservation Outcomes 2022 Report</w:t>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EBD06" w14:textId="77777777" w:rsidR="00EF5B27" w:rsidRDefault="00000000">
    <w:pPr>
      <w:pStyle w:val="BodyText"/>
      <w:spacing w:line="14" w:lineRule="auto"/>
    </w:pPr>
    <w:r>
      <w:pict w14:anchorId="1115126D">
        <v:shapetype id="_x0000_t202" coordsize="21600,21600" o:spt="202" path="m,l,21600r21600,l21600,xe">
          <v:stroke joinstyle="miter"/>
          <v:path gradientshapeok="t" o:connecttype="rect"/>
        </v:shapetype>
        <v:shape id="_x0000_s1031" type="#_x0000_t202" style="position:absolute;margin-left:168.5pt;margin-top:797pt;width:371.2pt;height:11.8pt;z-index:-569944;mso-position-horizontal-relative:page;mso-position-vertical-relative:page" filled="f" stroked="f">
          <v:textbox inset="0,0,0,0">
            <w:txbxContent>
              <w:p w14:paraId="634D0920" w14:textId="77777777" w:rsidR="00EF5B27" w:rsidRDefault="00000000">
                <w:pPr>
                  <w:spacing w:before="20"/>
                  <w:ind w:left="20"/>
                  <w:rPr>
                    <w:i/>
                    <w:sz w:val="16"/>
                  </w:rPr>
                </w:pPr>
                <w:r>
                  <w:rPr>
                    <w:i/>
                    <w:sz w:val="16"/>
                  </w:rPr>
                  <w:t>Strategic Audit of the Implementation of Melbourne Strategic Assessment Conservation Outcomes 2022 Report</w:t>
                </w:r>
              </w:p>
            </w:txbxContent>
          </v:textbox>
          <w10:wrap anchorx="page" anchory="page"/>
        </v:shape>
      </w:pic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3CA4BC" w14:textId="77777777" w:rsidR="00EF5B27" w:rsidRDefault="00000000">
    <w:pPr>
      <w:pStyle w:val="BodyText"/>
      <w:spacing w:line="14" w:lineRule="auto"/>
    </w:pPr>
    <w:r>
      <w:pict w14:anchorId="7070A979">
        <v:line id="_x0000_s1030" style="position:absolute;z-index:-569920;mso-position-horizontal-relative:page;mso-position-vertical-relative:page" from="181.4pt,730.95pt" to="538.6pt,730.95pt" strokecolor="#4d4d4f" strokeweight=".5pt">
          <w10:wrap anchorx="page" anchory="page"/>
        </v:line>
      </w:pict>
    </w:r>
    <w:r>
      <w:pict w14:anchorId="2D228AE8">
        <v:shapetype id="_x0000_t202" coordsize="21600,21600" o:spt="202" path="m,l,21600r21600,l21600,xe">
          <v:stroke joinstyle="miter"/>
          <v:path gradientshapeok="t" o:connecttype="rect"/>
        </v:shapetype>
        <v:shape id="_x0000_s1029" type="#_x0000_t202" style="position:absolute;margin-left:168.5pt;margin-top:797pt;width:371.2pt;height:11.8pt;z-index:-569896;mso-position-horizontal-relative:page;mso-position-vertical-relative:page" filled="f" stroked="f">
          <v:textbox inset="0,0,0,0">
            <w:txbxContent>
              <w:p w14:paraId="1EC1B669" w14:textId="77777777" w:rsidR="00EF5B27" w:rsidRDefault="00000000">
                <w:pPr>
                  <w:spacing w:before="20"/>
                  <w:ind w:left="20"/>
                  <w:rPr>
                    <w:i/>
                    <w:sz w:val="16"/>
                  </w:rPr>
                </w:pPr>
                <w:r>
                  <w:rPr>
                    <w:i/>
                    <w:sz w:val="16"/>
                  </w:rPr>
                  <w:t>Strategic Audit of the Implementation of Melbourne Strategic Assessment Conservation Outcomes 2022 Report</w:t>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AEA605" w14:textId="77777777" w:rsidR="00EF5B27" w:rsidRDefault="00000000">
    <w:pPr>
      <w:pStyle w:val="BodyText"/>
      <w:spacing w:line="14" w:lineRule="auto"/>
    </w:pPr>
    <w:r>
      <w:pict w14:anchorId="2137BB2D">
        <v:shapetype id="_x0000_t202" coordsize="21600,21600" o:spt="202" path="m,l,21600r21600,l21600,xe">
          <v:stroke joinstyle="miter"/>
          <v:path gradientshapeok="t" o:connecttype="rect"/>
        </v:shapetype>
        <v:shape id="_x0000_s1028" type="#_x0000_t202" style="position:absolute;margin-left:168.5pt;margin-top:797pt;width:371.2pt;height:11.8pt;z-index:-569872;mso-position-horizontal-relative:page;mso-position-vertical-relative:page" filled="f" stroked="f">
          <v:textbox inset="0,0,0,0">
            <w:txbxContent>
              <w:p w14:paraId="240394EC" w14:textId="77777777" w:rsidR="00EF5B27" w:rsidRDefault="00000000">
                <w:pPr>
                  <w:spacing w:before="20"/>
                  <w:ind w:left="20"/>
                  <w:rPr>
                    <w:i/>
                    <w:sz w:val="16"/>
                  </w:rPr>
                </w:pPr>
                <w:r>
                  <w:rPr>
                    <w:i/>
                    <w:sz w:val="16"/>
                  </w:rPr>
                  <w:t>Strategic Audit of the Implementation of Melbourne Strategic Assessment Conservation Outcomes 2022 Report</w:t>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4BC62" w14:textId="77777777" w:rsidR="00EF5B27" w:rsidRDefault="00000000">
    <w:pPr>
      <w:pStyle w:val="BodyText"/>
      <w:spacing w:line="14" w:lineRule="auto"/>
    </w:pPr>
    <w:r>
      <w:pict w14:anchorId="72147F77">
        <v:line id="_x0000_s1027" style="position:absolute;z-index:-569848;mso-position-horizontal-relative:page;mso-position-vertical-relative:page" from="181.4pt,743.4pt" to="538.6pt,743.4pt" strokecolor="#4d4d4f" strokeweight=".5pt">
          <w10:wrap anchorx="page" anchory="page"/>
        </v:line>
      </w:pict>
    </w:r>
    <w:r>
      <w:pict w14:anchorId="176AFB6F">
        <v:shapetype id="_x0000_t202" coordsize="21600,21600" o:spt="202" path="m,l,21600r21600,l21600,xe">
          <v:stroke joinstyle="miter"/>
          <v:path gradientshapeok="t" o:connecttype="rect"/>
        </v:shapetype>
        <v:shape id="_x0000_s1026" type="#_x0000_t202" style="position:absolute;margin-left:168.5pt;margin-top:797pt;width:371.2pt;height:11.8pt;z-index:-569824;mso-position-horizontal-relative:page;mso-position-vertical-relative:page" filled="f" stroked="f">
          <v:textbox inset="0,0,0,0">
            <w:txbxContent>
              <w:p w14:paraId="780CC8CA" w14:textId="77777777" w:rsidR="00EF5B27" w:rsidRDefault="00000000">
                <w:pPr>
                  <w:spacing w:before="20"/>
                  <w:ind w:left="20"/>
                  <w:rPr>
                    <w:i/>
                    <w:sz w:val="16"/>
                  </w:rPr>
                </w:pPr>
                <w:r>
                  <w:rPr>
                    <w:i/>
                    <w:sz w:val="16"/>
                  </w:rPr>
                  <w:t>Strategic Audit of the Implementation of Melbourne Strategic Assessment Conservation Outcomes 2022 Report</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BBEDFB" w14:textId="45DD8C81" w:rsidR="00A40023" w:rsidRDefault="00A40023">
    <w:pPr>
      <w:pStyle w:val="Footer"/>
    </w:pPr>
    <w:r>
      <w:rPr>
        <w:noProof/>
      </w:rPr>
      <w:pict w14:anchorId="5F63FAF7">
        <v:shapetype id="_x0000_t202" coordsize="21600,21600" o:spt="202" path="m,l,21600r21600,l21600,xe">
          <v:stroke joinstyle="miter"/>
          <v:path gradientshapeok="t" o:connecttype="rect"/>
        </v:shapetype>
        <v:shape id="MSIPCM0b2843caafb7f47bfa865542" o:spid="_x0000_s1080" type="#_x0000_t202" alt="{&quot;HashCode&quot;:-1264680268,&quot;Height&quot;:9999999.0,&quot;Width&quot;:9999999.0,&quot;Placement&quot;:&quot;Footer&quot;,&quot;Index&quot;:&quot;Primary&quot;,&quot;Section&quot;:1,&quot;Top&quot;:0.0,&quot;Left&quot;:0.0}" style="position:absolute;margin-left:0;margin-top:0;width:612pt;height:36.55pt;z-index:502747704;mso-wrap-style:square;mso-position-horizontal:center;mso-position-horizontal-relative:page;mso-position-vertical:bottom;mso-position-vertical-relative:page;v-text-anchor:middle" o:allowincell="f" filled="f" stroked="f">
          <v:textbox inset=",0,,0">
            <w:txbxContent>
              <w:p w14:paraId="21D0FB2A" w14:textId="69404688" w:rsidR="00A40023" w:rsidRPr="00A40023" w:rsidRDefault="00A40023" w:rsidP="00A40023">
                <w:pPr>
                  <w:jc w:val="center"/>
                  <w:rPr>
                    <w:color w:val="000000"/>
                    <w:sz w:val="24"/>
                  </w:rPr>
                </w:pPr>
                <w:r w:rsidRPr="00A40023">
                  <w:rPr>
                    <w:color w:val="000000"/>
                    <w:sz w:val="24"/>
                  </w:rPr>
                  <w:t>OFFICIAL</w:t>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707F45" w14:textId="77777777" w:rsidR="00EF5B27" w:rsidRDefault="00000000">
    <w:pPr>
      <w:pStyle w:val="BodyText"/>
      <w:spacing w:line="14" w:lineRule="auto"/>
    </w:pPr>
    <w:r>
      <w:pict w14:anchorId="7E3C86E5">
        <v:shapetype id="_x0000_t202" coordsize="21600,21600" o:spt="202" path="m,l,21600r21600,l21600,xe">
          <v:stroke joinstyle="miter"/>
          <v:path gradientshapeok="t" o:connecttype="rect"/>
        </v:shapetype>
        <v:shape id="_x0000_s1025" type="#_x0000_t202" style="position:absolute;margin-left:168.5pt;margin-top:797pt;width:371.2pt;height:11.8pt;z-index:-569800;mso-position-horizontal-relative:page;mso-position-vertical-relative:page" filled="f" stroked="f">
          <v:textbox inset="0,0,0,0">
            <w:txbxContent>
              <w:p w14:paraId="50BEBA2C" w14:textId="77777777" w:rsidR="00EF5B27" w:rsidRDefault="00000000">
                <w:pPr>
                  <w:spacing w:before="20"/>
                  <w:ind w:left="20"/>
                  <w:rPr>
                    <w:i/>
                    <w:sz w:val="16"/>
                  </w:rPr>
                </w:pPr>
                <w:r>
                  <w:rPr>
                    <w:i/>
                    <w:sz w:val="16"/>
                  </w:rPr>
                  <w:t>Strategic Audit of the Implementation of Melbourne Strategic Assessment Conservation Outcomes 2022 Report</w:t>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AB20B" w14:textId="77777777" w:rsidR="00EF5B27" w:rsidRDefault="00EF5B27">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1D186" w14:textId="61DECC29" w:rsidR="00A40023" w:rsidRDefault="00A40023">
    <w:pPr>
      <w:pStyle w:val="Footer"/>
    </w:pPr>
    <w:r>
      <w:rPr>
        <w:noProof/>
      </w:rPr>
      <w:pict w14:anchorId="3B4B2B4B">
        <v:shapetype id="_x0000_t202" coordsize="21600,21600" o:spt="202" path="m,l,21600r21600,l21600,xe">
          <v:stroke joinstyle="miter"/>
          <v:path gradientshapeok="t" o:connecttype="rect"/>
        </v:shapetype>
        <v:shape id="MSIPCM93174087a189c356783bddf9" o:spid="_x0000_s1081" type="#_x0000_t202" alt="{&quot;HashCode&quot;:-1264680268,&quot;Height&quot;:9999999.0,&quot;Width&quot;:9999999.0,&quot;Placement&quot;:&quot;Footer&quot;,&quot;Index&quot;:&quot;FirstPage&quot;,&quot;Section&quot;:1,&quot;Top&quot;:0.0,&quot;Left&quot;:0.0}" style="position:absolute;margin-left:0;margin-top:0;width:612pt;height:36.55pt;z-index:502748728;mso-wrap-style:square;mso-position-horizontal:center;mso-position-horizontal-relative:page;mso-position-vertical:bottom;mso-position-vertical-relative:page;v-text-anchor:middle" o:allowincell="f" filled="f" stroked="f">
          <v:textbox inset=",0,,0">
            <w:txbxContent>
              <w:p w14:paraId="2796C052" w14:textId="5D5CDE15" w:rsidR="00A40023" w:rsidRPr="00A40023" w:rsidRDefault="00A40023" w:rsidP="00A40023">
                <w:pPr>
                  <w:jc w:val="center"/>
                  <w:rPr>
                    <w:color w:val="000000"/>
                    <w:sz w:val="24"/>
                  </w:rPr>
                </w:pPr>
                <w:r w:rsidRPr="00A40023">
                  <w:rPr>
                    <w:color w:val="000000"/>
                    <w:sz w:val="24"/>
                  </w:rPr>
                  <w:t>OFFICIAL</w:t>
                </w:r>
              </w:p>
            </w:txbxContent>
          </v:textbox>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42851" w14:textId="77777777" w:rsidR="00EF5B27" w:rsidRDefault="00000000">
    <w:pPr>
      <w:pStyle w:val="BodyText"/>
      <w:spacing w:line="14" w:lineRule="auto"/>
    </w:pPr>
    <w:r>
      <w:pict w14:anchorId="752DCBEE">
        <v:shapetype id="_x0000_t202" coordsize="21600,21600" o:spt="202" path="m,l,21600r21600,l21600,xe">
          <v:stroke joinstyle="miter"/>
          <v:path gradientshapeok="t" o:connecttype="rect"/>
        </v:shapetype>
        <v:shape id="_x0000_s1058" type="#_x0000_t202" style="position:absolute;margin-left:168.5pt;margin-top:797pt;width:371.2pt;height:11.8pt;z-index:-570592;mso-position-horizontal-relative:page;mso-position-vertical-relative:page" filled="f" stroked="f">
          <v:textbox inset="0,0,0,0">
            <w:txbxContent>
              <w:p w14:paraId="2F31A894" w14:textId="77777777" w:rsidR="00EF5B27" w:rsidRDefault="00000000">
                <w:pPr>
                  <w:spacing w:before="20"/>
                  <w:ind w:left="20"/>
                  <w:rPr>
                    <w:i/>
                    <w:sz w:val="16"/>
                  </w:rPr>
                </w:pPr>
                <w:r>
                  <w:rPr>
                    <w:i/>
                    <w:sz w:val="16"/>
                  </w:rPr>
                  <w:t>Strategic Audit of the Implementation of Melbourne Strategic Assessment Conservation Outcomes 2022 Report</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203BC" w14:textId="77777777" w:rsidR="00EF5B27" w:rsidRDefault="00000000">
    <w:pPr>
      <w:pStyle w:val="BodyText"/>
      <w:spacing w:line="14" w:lineRule="auto"/>
    </w:pPr>
    <w:r>
      <w:pict w14:anchorId="1565529F">
        <v:shapetype id="_x0000_t202" coordsize="21600,21600" o:spt="202" path="m,l,21600r21600,l21600,xe">
          <v:stroke joinstyle="miter"/>
          <v:path gradientshapeok="t" o:connecttype="rect"/>
        </v:shapetype>
        <v:shape id="_x0000_s1050" type="#_x0000_t202" style="position:absolute;margin-left:168.5pt;margin-top:797pt;width:371.2pt;height:11.8pt;z-index:-570400;mso-position-horizontal-relative:page;mso-position-vertical-relative:page" filled="f" stroked="f">
          <v:textbox inset="0,0,0,0">
            <w:txbxContent>
              <w:p w14:paraId="529C5F6A" w14:textId="77777777" w:rsidR="00EF5B27" w:rsidRDefault="00000000">
                <w:pPr>
                  <w:spacing w:before="20"/>
                  <w:ind w:left="20"/>
                  <w:rPr>
                    <w:i/>
                    <w:sz w:val="16"/>
                  </w:rPr>
                </w:pPr>
                <w:r>
                  <w:rPr>
                    <w:i/>
                    <w:sz w:val="16"/>
                  </w:rPr>
                  <w:t>Strategic Audit of the Implementation of Melbourne Strategic Assessment Conservation Outcomes 2022 Report</w:t>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4B034" w14:textId="77777777" w:rsidR="00EF5B27" w:rsidRDefault="00000000">
    <w:pPr>
      <w:pStyle w:val="BodyText"/>
      <w:spacing w:line="14" w:lineRule="auto"/>
    </w:pPr>
    <w:r>
      <w:pict w14:anchorId="6B1F69BD">
        <v:shapetype id="_x0000_t202" coordsize="21600,21600" o:spt="202" path="m,l,21600r21600,l21600,xe">
          <v:stroke joinstyle="miter"/>
          <v:path gradientshapeok="t" o:connecttype="rect"/>
        </v:shapetype>
        <v:shape id="_x0000_s1049" type="#_x0000_t202" style="position:absolute;margin-left:168.5pt;margin-top:797pt;width:371.2pt;height:11.8pt;z-index:-570376;mso-position-horizontal-relative:page;mso-position-vertical-relative:page" filled="f" stroked="f">
          <v:textbox inset="0,0,0,0">
            <w:txbxContent>
              <w:p w14:paraId="6B8F4625" w14:textId="77777777" w:rsidR="00EF5B27" w:rsidRDefault="00000000">
                <w:pPr>
                  <w:spacing w:before="20"/>
                  <w:ind w:left="20"/>
                  <w:rPr>
                    <w:i/>
                    <w:sz w:val="16"/>
                  </w:rPr>
                </w:pPr>
                <w:r>
                  <w:rPr>
                    <w:i/>
                    <w:sz w:val="16"/>
                  </w:rPr>
                  <w:t>Strategic Audit of the Implementation of Melbourne Strategic Assessment Conservation Outcomes 2022 Report</w:t>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F263AE" w14:textId="77777777" w:rsidR="00EF5B27" w:rsidRDefault="00000000">
    <w:pPr>
      <w:pStyle w:val="BodyText"/>
      <w:spacing w:line="14" w:lineRule="auto"/>
    </w:pPr>
    <w:r>
      <w:pict w14:anchorId="2F28588B">
        <v:shapetype id="_x0000_t202" coordsize="21600,21600" o:spt="202" path="m,l,21600r21600,l21600,xe">
          <v:stroke joinstyle="miter"/>
          <v:path gradientshapeok="t" o:connecttype="rect"/>
        </v:shapetype>
        <v:shape id="_x0000_s1048" type="#_x0000_t202" style="position:absolute;margin-left:168.5pt;margin-top:797pt;width:371.2pt;height:11.8pt;z-index:-570352;mso-position-horizontal-relative:page;mso-position-vertical-relative:page" filled="f" stroked="f">
          <v:textbox inset="0,0,0,0">
            <w:txbxContent>
              <w:p w14:paraId="22154A47" w14:textId="77777777" w:rsidR="00EF5B27" w:rsidRDefault="00000000">
                <w:pPr>
                  <w:spacing w:before="20"/>
                  <w:ind w:left="20"/>
                  <w:rPr>
                    <w:i/>
                    <w:sz w:val="16"/>
                  </w:rPr>
                </w:pPr>
                <w:r>
                  <w:rPr>
                    <w:i/>
                    <w:sz w:val="16"/>
                  </w:rPr>
                  <w:t>Strategic Audit of the Implementation of Melbourne Strategic Assessment Conservation Outcomes 2022 Report</w:t>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7130C4" w14:textId="77777777" w:rsidR="00EF5B27" w:rsidRDefault="00000000">
    <w:pPr>
      <w:pStyle w:val="BodyText"/>
      <w:spacing w:line="14" w:lineRule="auto"/>
    </w:pPr>
    <w:r>
      <w:pict w14:anchorId="39D9A117">
        <v:shapetype id="_x0000_t202" coordsize="21600,21600" o:spt="202" path="m,l,21600r21600,l21600,xe">
          <v:stroke joinstyle="miter"/>
          <v:path gradientshapeok="t" o:connecttype="rect"/>
        </v:shapetype>
        <v:shape id="_x0000_s1047" type="#_x0000_t202" style="position:absolute;margin-left:168.5pt;margin-top:797pt;width:371.2pt;height:11.8pt;z-index:-570328;mso-position-horizontal-relative:page;mso-position-vertical-relative:page" filled="f" stroked="f">
          <v:textbox inset="0,0,0,0">
            <w:txbxContent>
              <w:p w14:paraId="1EA32664" w14:textId="77777777" w:rsidR="00EF5B27" w:rsidRDefault="00000000">
                <w:pPr>
                  <w:spacing w:before="20"/>
                  <w:ind w:left="20"/>
                  <w:rPr>
                    <w:i/>
                    <w:sz w:val="16"/>
                  </w:rPr>
                </w:pPr>
                <w:r>
                  <w:rPr>
                    <w:i/>
                    <w:sz w:val="16"/>
                  </w:rPr>
                  <w:t>Strategic Audit of the Implementation of Melbourne Strategic Assessment Conservation Outcomes 2022 Report</w:t>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753D1" w14:textId="77777777" w:rsidR="00EF5B27" w:rsidRDefault="00000000">
    <w:pPr>
      <w:pStyle w:val="BodyText"/>
      <w:spacing w:line="14" w:lineRule="auto"/>
    </w:pPr>
    <w:r>
      <w:pict w14:anchorId="6D05CBF7">
        <v:line id="_x0000_s1046" style="position:absolute;z-index:-570304;mso-position-horizontal-relative:page;mso-position-vertical-relative:page" from="181.4pt,710.25pt" to="538.6pt,710.25pt" strokecolor="#4d4d4f" strokeweight=".5pt">
          <w10:wrap anchorx="page" anchory="page"/>
        </v:line>
      </w:pict>
    </w:r>
    <w:r>
      <w:pict w14:anchorId="126EB00E">
        <v:shapetype id="_x0000_t202" coordsize="21600,21600" o:spt="202" path="m,l,21600r21600,l21600,xe">
          <v:stroke joinstyle="miter"/>
          <v:path gradientshapeok="t" o:connecttype="rect"/>
        </v:shapetype>
        <v:shape id="_x0000_s1045" type="#_x0000_t202" style="position:absolute;margin-left:168.5pt;margin-top:797pt;width:371.2pt;height:11.8pt;z-index:-570280;mso-position-horizontal-relative:page;mso-position-vertical-relative:page" filled="f" stroked="f">
          <v:textbox inset="0,0,0,0">
            <w:txbxContent>
              <w:p w14:paraId="6B6C58BB" w14:textId="77777777" w:rsidR="00EF5B27" w:rsidRDefault="00000000">
                <w:pPr>
                  <w:spacing w:before="20"/>
                  <w:ind w:left="20"/>
                  <w:rPr>
                    <w:i/>
                    <w:sz w:val="16"/>
                  </w:rPr>
                </w:pPr>
                <w:r>
                  <w:rPr>
                    <w:i/>
                    <w:sz w:val="16"/>
                  </w:rPr>
                  <w:t>Strategic Audit of the Implementation of Melbourne Strategic Assessment Conservation Outcomes 2022 Report</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0621BA" w14:textId="77777777" w:rsidR="006634CE" w:rsidRDefault="006634CE">
      <w:r>
        <w:separator/>
      </w:r>
    </w:p>
  </w:footnote>
  <w:footnote w:type="continuationSeparator" w:id="0">
    <w:p w14:paraId="5941F593" w14:textId="77777777" w:rsidR="006634CE" w:rsidRDefault="006634C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F73F0B" w14:textId="77777777" w:rsidR="00A40023" w:rsidRDefault="00A4002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DF9B9B" w14:textId="77777777" w:rsidR="00A40023" w:rsidRDefault="00A4002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A0CF8" w14:textId="77777777" w:rsidR="00A40023" w:rsidRDefault="00A40023">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D94F4" w14:textId="77777777" w:rsidR="00EF5B27" w:rsidRDefault="00000000">
    <w:pPr>
      <w:pStyle w:val="BodyText"/>
      <w:spacing w:line="14" w:lineRule="auto"/>
    </w:pPr>
    <w:r>
      <w:pict w14:anchorId="719ED3BC">
        <v:shapetype id="_x0000_t202" coordsize="21600,21600" o:spt="202" path="m,l,21600r21600,l21600,xe">
          <v:stroke joinstyle="miter"/>
          <v:path gradientshapeok="t" o:connecttype="rect"/>
        </v:shapetype>
        <v:shape id="_x0000_s1059" type="#_x0000_t202" style="position:absolute;margin-left:532.6pt;margin-top:25.85pt;width:8.05pt;height:11.7pt;z-index:-570616;mso-position-horizontal-relative:page;mso-position-vertical-relative:page" filled="f" stroked="f">
          <v:textbox inset="0,0,0,0">
            <w:txbxContent>
              <w:p w14:paraId="6E714D70" w14:textId="77777777" w:rsidR="00EF5B27" w:rsidRDefault="00000000">
                <w:pPr>
                  <w:spacing w:before="14"/>
                  <w:ind w:left="40"/>
                  <w:rPr>
                    <w:rFonts w:ascii="Century Gothic"/>
                    <w:sz w:val="16"/>
                  </w:rPr>
                </w:pPr>
                <w:r>
                  <w:fldChar w:fldCharType="begin"/>
                </w:r>
                <w:r>
                  <w:rPr>
                    <w:rFonts w:ascii="Century Gothic"/>
                    <w:w w:val="90"/>
                    <w:sz w:val="16"/>
                  </w:rPr>
                  <w:instrText xml:space="preserve"> PAGE </w:instrText>
                </w:r>
                <w:r>
                  <w:fldChar w:fldCharType="separate"/>
                </w:r>
                <w:r>
                  <w:t>2</w:t>
                </w:r>
                <w:r>
                  <w:fldChar w:fldCharType="end"/>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1AE05D" w14:textId="77777777" w:rsidR="00EF5B27" w:rsidRDefault="00000000">
    <w:pPr>
      <w:pStyle w:val="BodyText"/>
      <w:spacing w:line="14" w:lineRule="auto"/>
    </w:pPr>
    <w:r>
      <w:pict w14:anchorId="78F55461">
        <v:line id="_x0000_s1057" style="position:absolute;z-index:-570568;mso-position-horizontal-relative:page;mso-position-vertical-relative:page" from="56.7pt,38.6pt" to="131.35pt,38.6pt" strokecolor="#4d4d4f" strokeweight=".25pt">
          <w10:wrap anchorx="page" anchory="page"/>
        </v:line>
      </w:pict>
    </w:r>
    <w:r>
      <w:pict w14:anchorId="76B3153B">
        <v:line id="_x0000_s1056" style="position:absolute;z-index:-570544;mso-position-horizontal-relative:page;mso-position-vertical-relative:page" from="213.8pt,38.6pt" to="288.45pt,38.6pt" strokecolor="#4d4d4f" strokeweight=".25pt">
          <w10:wrap anchorx="page" anchory="page"/>
        </v:line>
      </w:pict>
    </w:r>
    <w:r>
      <w:pict w14:anchorId="4F426C59">
        <v:line id="_x0000_s1055" style="position:absolute;z-index:-570520;mso-position-horizontal-relative:page;mso-position-vertical-relative:page" from="372.3pt,38.6pt" to="446.95pt,38.6pt" strokecolor="#4d4d4f" strokeweight=".25pt">
          <w10:wrap anchorx="page" anchory="page"/>
        </v:line>
      </w:pict>
    </w:r>
    <w:r>
      <w:pict w14:anchorId="42436C2C">
        <v:shapetype id="_x0000_t202" coordsize="21600,21600" o:spt="202" path="m,l,21600r21600,l21600,xe">
          <v:stroke joinstyle="miter"/>
          <v:path gradientshapeok="t" o:connecttype="rect"/>
        </v:shapetype>
        <v:shape id="_x0000_s1054" type="#_x0000_t202" style="position:absolute;margin-left:64.2pt;margin-top:25.95pt;width:59.3pt;height:11.8pt;z-index:-570496;mso-position-horizontal-relative:page;mso-position-vertical-relative:page" filled="f" stroked="f">
          <v:textbox inset="0,0,0,0">
            <w:txbxContent>
              <w:p w14:paraId="36CD376D" w14:textId="77777777" w:rsidR="00EF5B27" w:rsidRDefault="00000000">
                <w:pPr>
                  <w:spacing w:before="20"/>
                  <w:ind w:left="20"/>
                  <w:rPr>
                    <w:sz w:val="16"/>
                  </w:rPr>
                </w:pPr>
                <w:hyperlink w:anchor="_bookmark0" w:history="1">
                  <w:r>
                    <w:rPr>
                      <w:color w:val="4D4D4F"/>
                      <w:w w:val="105"/>
                      <w:sz w:val="16"/>
                    </w:rPr>
                    <w:t>Previous</w:t>
                  </w:r>
                  <w:r>
                    <w:rPr>
                      <w:color w:val="4D4D4F"/>
                      <w:spacing w:val="-16"/>
                      <w:w w:val="105"/>
                      <w:sz w:val="16"/>
                    </w:rPr>
                    <w:t xml:space="preserve"> </w:t>
                  </w:r>
                  <w:r>
                    <w:rPr>
                      <w:color w:val="4D4D4F"/>
                      <w:w w:val="105"/>
                      <w:sz w:val="16"/>
                    </w:rPr>
                    <w:t>Chapter</w:t>
                  </w:r>
                </w:hyperlink>
              </w:p>
            </w:txbxContent>
          </v:textbox>
          <w10:wrap anchorx="page" anchory="page"/>
        </v:shape>
      </w:pict>
    </w:r>
    <w:r>
      <w:pict w14:anchorId="2F99A5A8">
        <v:shape id="_x0000_s1053" type="#_x0000_t202" style="position:absolute;margin-left:222pt;margin-top:25.95pt;width:58pt;height:11.8pt;z-index:-570472;mso-position-horizontal-relative:page;mso-position-vertical-relative:page" filled="f" stroked="f">
          <v:textbox inset="0,0,0,0">
            <w:txbxContent>
              <w:p w14:paraId="57596B4E" w14:textId="77777777" w:rsidR="00EF5B27" w:rsidRDefault="00000000">
                <w:pPr>
                  <w:spacing w:before="20"/>
                  <w:ind w:left="20"/>
                  <w:rPr>
                    <w:sz w:val="16"/>
                  </w:rPr>
                </w:pPr>
                <w:hyperlink w:anchor="_bookmark1" w:history="1">
                  <w:r>
                    <w:rPr>
                      <w:color w:val="4D4D4F"/>
                      <w:sz w:val="16"/>
                    </w:rPr>
                    <w:t>Back to Contents</w:t>
                  </w:r>
                </w:hyperlink>
              </w:p>
            </w:txbxContent>
          </v:textbox>
          <w10:wrap anchorx="page" anchory="page"/>
        </v:shape>
      </w:pict>
    </w:r>
    <w:r>
      <w:pict w14:anchorId="3474F76C">
        <v:shape id="_x0000_s1052" type="#_x0000_t202" style="position:absolute;margin-left:388.3pt;margin-top:25.95pt;width:45.15pt;height:11.8pt;z-index:-570448;mso-position-horizontal-relative:page;mso-position-vertical-relative:page" filled="f" stroked="f">
          <v:textbox inset="0,0,0,0">
            <w:txbxContent>
              <w:p w14:paraId="0596B60F" w14:textId="77777777" w:rsidR="00EF5B27" w:rsidRDefault="00000000">
                <w:pPr>
                  <w:spacing w:before="20"/>
                  <w:ind w:left="20"/>
                  <w:rPr>
                    <w:sz w:val="16"/>
                  </w:rPr>
                </w:pPr>
                <w:hyperlink w:anchor="_bookmark7" w:history="1">
                  <w:r>
                    <w:rPr>
                      <w:color w:val="4D4D4F"/>
                      <w:sz w:val="16"/>
                    </w:rPr>
                    <w:t>Next Chapter</w:t>
                  </w:r>
                </w:hyperlink>
              </w:p>
            </w:txbxContent>
          </v:textbox>
          <w10:wrap anchorx="page" anchory="page"/>
        </v:shape>
      </w:pict>
    </w:r>
    <w:r>
      <w:pict w14:anchorId="0644B877">
        <v:shape id="_x0000_s1051" type="#_x0000_t202" style="position:absolute;margin-left:524.55pt;margin-top:25.8pt;width:16.05pt;height:11.75pt;z-index:-570424;mso-position-horizontal-relative:page;mso-position-vertical-relative:page" filled="f" stroked="f">
          <v:textbox inset="0,0,0,0">
            <w:txbxContent>
              <w:p w14:paraId="185CEFDC" w14:textId="77777777" w:rsidR="00EF5B27" w:rsidRDefault="00000000">
                <w:pPr>
                  <w:spacing w:before="14"/>
                  <w:ind w:left="40"/>
                  <w:rPr>
                    <w:rFonts w:ascii="Century Gothic"/>
                    <w:sz w:val="16"/>
                  </w:rPr>
                </w:pPr>
                <w:r>
                  <w:fldChar w:fldCharType="begin"/>
                </w:r>
                <w:r>
                  <w:rPr>
                    <w:rFonts w:ascii="Century Gothic"/>
                    <w:sz w:val="16"/>
                  </w:rPr>
                  <w:instrText xml:space="preserve"> PAGE </w:instrText>
                </w:r>
                <w:r>
                  <w:fldChar w:fldCharType="separate"/>
                </w:r>
                <w:r>
                  <w:t>100</w:t>
                </w:r>
                <w:r>
                  <w:fldChar w:fldCharType="end"/>
                </w:r>
              </w:p>
            </w:txbxContent>
          </v:textbox>
          <w10:wrap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C17E5" w14:textId="77777777" w:rsidR="00EF5B27" w:rsidRDefault="00000000">
    <w:pPr>
      <w:pStyle w:val="BodyText"/>
      <w:spacing w:line="14" w:lineRule="auto"/>
    </w:pPr>
    <w:r>
      <w:pict w14:anchorId="6157536A">
        <v:line id="_x0000_s1038" style="position:absolute;z-index:-570112;mso-position-horizontal-relative:page;mso-position-vertical-relative:page" from="56.7pt,38.6pt" to="131.35pt,38.6pt" strokecolor="#4d4d4f" strokeweight=".25pt">
          <w10:wrap anchorx="page" anchory="page"/>
        </v:line>
      </w:pict>
    </w:r>
    <w:r>
      <w:pict w14:anchorId="6E27E67E">
        <v:line id="_x0000_s1037" style="position:absolute;z-index:-570088;mso-position-horizontal-relative:page;mso-position-vertical-relative:page" from="213.8pt,38.6pt" to="288.45pt,38.6pt" strokecolor="#4d4d4f" strokeweight=".25pt">
          <w10:wrap anchorx="page" anchory="page"/>
        </v:line>
      </w:pict>
    </w:r>
    <w:r>
      <w:pict w14:anchorId="0BC25993">
        <v:shapetype id="_x0000_t202" coordsize="21600,21600" o:spt="202" path="m,l,21600r21600,l21600,xe">
          <v:stroke joinstyle="miter"/>
          <v:path gradientshapeok="t" o:connecttype="rect"/>
        </v:shapetype>
        <v:shape id="_x0000_s1036" type="#_x0000_t202" style="position:absolute;margin-left:64.2pt;margin-top:25.95pt;width:59.3pt;height:11.8pt;z-index:-570064;mso-position-horizontal-relative:page;mso-position-vertical-relative:page" filled="f" stroked="f">
          <v:textbox inset="0,0,0,0">
            <w:txbxContent>
              <w:p w14:paraId="65FBA975" w14:textId="77777777" w:rsidR="00EF5B27" w:rsidRDefault="00000000">
                <w:pPr>
                  <w:spacing w:before="20"/>
                  <w:ind w:left="20"/>
                  <w:rPr>
                    <w:sz w:val="16"/>
                  </w:rPr>
                </w:pPr>
                <w:hyperlink w:anchor="_bookmark23" w:history="1">
                  <w:r>
                    <w:rPr>
                      <w:color w:val="4D4D4F"/>
                      <w:w w:val="105"/>
                      <w:sz w:val="16"/>
                    </w:rPr>
                    <w:t>Previous</w:t>
                  </w:r>
                  <w:r>
                    <w:rPr>
                      <w:color w:val="4D4D4F"/>
                      <w:spacing w:val="-16"/>
                      <w:w w:val="105"/>
                      <w:sz w:val="16"/>
                    </w:rPr>
                    <w:t xml:space="preserve"> </w:t>
                  </w:r>
                  <w:r>
                    <w:rPr>
                      <w:color w:val="4D4D4F"/>
                      <w:w w:val="105"/>
                      <w:sz w:val="16"/>
                    </w:rPr>
                    <w:t>Chapter</w:t>
                  </w:r>
                </w:hyperlink>
              </w:p>
            </w:txbxContent>
          </v:textbox>
          <w10:wrap anchorx="page" anchory="page"/>
        </v:shape>
      </w:pict>
    </w:r>
    <w:r>
      <w:pict w14:anchorId="39F32229">
        <v:shape id="_x0000_s1035" type="#_x0000_t202" style="position:absolute;margin-left:222pt;margin-top:25.95pt;width:58pt;height:11.8pt;z-index:-570040;mso-position-horizontal-relative:page;mso-position-vertical-relative:page" filled="f" stroked="f">
          <v:textbox inset="0,0,0,0">
            <w:txbxContent>
              <w:p w14:paraId="70BE0217" w14:textId="77777777" w:rsidR="00EF5B27" w:rsidRDefault="00000000">
                <w:pPr>
                  <w:spacing w:before="20"/>
                  <w:ind w:left="20"/>
                  <w:rPr>
                    <w:sz w:val="16"/>
                  </w:rPr>
                </w:pPr>
                <w:hyperlink w:anchor="_bookmark1" w:history="1">
                  <w:r>
                    <w:rPr>
                      <w:color w:val="4D4D4F"/>
                      <w:sz w:val="16"/>
                    </w:rPr>
                    <w:t>Back to Contents</w:t>
                  </w:r>
                </w:hyperlink>
              </w:p>
            </w:txbxContent>
          </v:textbox>
          <w10:wrap anchorx="page" anchory="page"/>
        </v:shape>
      </w:pict>
    </w:r>
    <w:r>
      <w:pict w14:anchorId="3F725CDB">
        <v:shape id="_x0000_s1034" type="#_x0000_t202" style="position:absolute;margin-left:524.6pt;margin-top:25.85pt;width:16pt;height:11.7pt;z-index:-570016;mso-position-horizontal-relative:page;mso-position-vertical-relative:page" filled="f" stroked="f">
          <v:textbox inset="0,0,0,0">
            <w:txbxContent>
              <w:p w14:paraId="29A90A1C" w14:textId="77777777" w:rsidR="00EF5B27" w:rsidRDefault="00000000">
                <w:pPr>
                  <w:spacing w:before="14"/>
                  <w:ind w:left="40"/>
                  <w:rPr>
                    <w:rFonts w:ascii="Century Gothic"/>
                    <w:sz w:val="16"/>
                  </w:rPr>
                </w:pPr>
                <w:r>
                  <w:fldChar w:fldCharType="begin"/>
                </w:r>
                <w:r>
                  <w:rPr>
                    <w:rFonts w:ascii="Century Gothic"/>
                    <w:sz w:val="16"/>
                  </w:rPr>
                  <w:instrText xml:space="preserve"> PAGE </w:instrText>
                </w:r>
                <w:r>
                  <w:fldChar w:fldCharType="separate"/>
                </w:r>
                <w:r>
                  <w:t>170</w:t>
                </w:r>
                <w:r>
                  <w:fldChar w:fldCharType="end"/>
                </w:r>
              </w:p>
            </w:txbxContent>
          </v:textbox>
          <w10:wrap anchorx="page" anchory="page"/>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DDB04" w14:textId="77777777" w:rsidR="00EF5B27" w:rsidRDefault="00EF5B27">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2790B"/>
    <w:multiLevelType w:val="hybridMultilevel"/>
    <w:tmpl w:val="D872338A"/>
    <w:lvl w:ilvl="0" w:tplc="865C0A0C">
      <w:start w:val="1"/>
      <w:numFmt w:val="lowerRoman"/>
      <w:lvlText w:val="(%1)"/>
      <w:lvlJc w:val="left"/>
      <w:pPr>
        <w:ind w:left="227" w:hanging="202"/>
        <w:jc w:val="left"/>
      </w:pPr>
      <w:rPr>
        <w:rFonts w:ascii="Calibri" w:eastAsia="Calibri" w:hAnsi="Calibri" w:cs="Calibri" w:hint="default"/>
        <w:color w:val="4D4D4F"/>
        <w:spacing w:val="-8"/>
        <w:w w:val="98"/>
        <w:sz w:val="20"/>
        <w:szCs w:val="20"/>
        <w:lang w:val="en-US" w:eastAsia="en-US" w:bidi="en-US"/>
      </w:rPr>
    </w:lvl>
    <w:lvl w:ilvl="1" w:tplc="D4763180">
      <w:numFmt w:val="bullet"/>
      <w:lvlText w:val="•"/>
      <w:lvlJc w:val="left"/>
      <w:pPr>
        <w:ind w:left="2778" w:hanging="170"/>
      </w:pPr>
      <w:rPr>
        <w:rFonts w:ascii="Calibri" w:eastAsia="Calibri" w:hAnsi="Calibri" w:cs="Calibri" w:hint="default"/>
        <w:color w:val="4D4D4F"/>
        <w:w w:val="59"/>
        <w:sz w:val="20"/>
        <w:szCs w:val="20"/>
        <w:lang w:val="en-US" w:eastAsia="en-US" w:bidi="en-US"/>
      </w:rPr>
    </w:lvl>
    <w:lvl w:ilvl="2" w:tplc="7BB425DE">
      <w:numFmt w:val="bullet"/>
      <w:lvlText w:val="•"/>
      <w:lvlJc w:val="left"/>
      <w:pPr>
        <w:ind w:left="3290" w:hanging="170"/>
      </w:pPr>
      <w:rPr>
        <w:rFonts w:hint="default"/>
        <w:lang w:val="en-US" w:eastAsia="en-US" w:bidi="en-US"/>
      </w:rPr>
    </w:lvl>
    <w:lvl w:ilvl="3" w:tplc="FA728DD2">
      <w:numFmt w:val="bullet"/>
      <w:lvlText w:val="•"/>
      <w:lvlJc w:val="left"/>
      <w:pPr>
        <w:ind w:left="3800" w:hanging="170"/>
      </w:pPr>
      <w:rPr>
        <w:rFonts w:hint="default"/>
        <w:lang w:val="en-US" w:eastAsia="en-US" w:bidi="en-US"/>
      </w:rPr>
    </w:lvl>
    <w:lvl w:ilvl="4" w:tplc="59A443F0">
      <w:numFmt w:val="bullet"/>
      <w:lvlText w:val="•"/>
      <w:lvlJc w:val="left"/>
      <w:pPr>
        <w:ind w:left="4310" w:hanging="170"/>
      </w:pPr>
      <w:rPr>
        <w:rFonts w:hint="default"/>
        <w:lang w:val="en-US" w:eastAsia="en-US" w:bidi="en-US"/>
      </w:rPr>
    </w:lvl>
    <w:lvl w:ilvl="5" w:tplc="9CC6D440">
      <w:numFmt w:val="bullet"/>
      <w:lvlText w:val="•"/>
      <w:lvlJc w:val="left"/>
      <w:pPr>
        <w:ind w:left="4820" w:hanging="170"/>
      </w:pPr>
      <w:rPr>
        <w:rFonts w:hint="default"/>
        <w:lang w:val="en-US" w:eastAsia="en-US" w:bidi="en-US"/>
      </w:rPr>
    </w:lvl>
    <w:lvl w:ilvl="6" w:tplc="1F22B736">
      <w:numFmt w:val="bullet"/>
      <w:lvlText w:val="•"/>
      <w:lvlJc w:val="left"/>
      <w:pPr>
        <w:ind w:left="5330" w:hanging="170"/>
      </w:pPr>
      <w:rPr>
        <w:rFonts w:hint="default"/>
        <w:lang w:val="en-US" w:eastAsia="en-US" w:bidi="en-US"/>
      </w:rPr>
    </w:lvl>
    <w:lvl w:ilvl="7" w:tplc="0292E090">
      <w:numFmt w:val="bullet"/>
      <w:lvlText w:val="•"/>
      <w:lvlJc w:val="left"/>
      <w:pPr>
        <w:ind w:left="5840" w:hanging="170"/>
      </w:pPr>
      <w:rPr>
        <w:rFonts w:hint="default"/>
        <w:lang w:val="en-US" w:eastAsia="en-US" w:bidi="en-US"/>
      </w:rPr>
    </w:lvl>
    <w:lvl w:ilvl="8" w:tplc="78B41CCA">
      <w:numFmt w:val="bullet"/>
      <w:lvlText w:val="•"/>
      <w:lvlJc w:val="left"/>
      <w:pPr>
        <w:ind w:left="6350" w:hanging="170"/>
      </w:pPr>
      <w:rPr>
        <w:rFonts w:hint="default"/>
        <w:lang w:val="en-US" w:eastAsia="en-US" w:bidi="en-US"/>
      </w:rPr>
    </w:lvl>
  </w:abstractNum>
  <w:abstractNum w:abstractNumId="1" w15:restartNumberingAfterBreak="0">
    <w:nsid w:val="0245490E"/>
    <w:multiLevelType w:val="hybridMultilevel"/>
    <w:tmpl w:val="CA9E9822"/>
    <w:lvl w:ilvl="0" w:tplc="D624A36A">
      <w:numFmt w:val="bullet"/>
      <w:lvlText w:val="•"/>
      <w:lvlJc w:val="left"/>
      <w:pPr>
        <w:ind w:left="1833" w:hanging="93"/>
      </w:pPr>
      <w:rPr>
        <w:rFonts w:ascii="Calibri" w:eastAsia="Calibri" w:hAnsi="Calibri" w:cs="Calibri" w:hint="default"/>
        <w:color w:val="231F20"/>
        <w:w w:val="59"/>
        <w:sz w:val="17"/>
        <w:szCs w:val="17"/>
        <w:lang w:val="en-US" w:eastAsia="en-US" w:bidi="en-US"/>
      </w:rPr>
    </w:lvl>
    <w:lvl w:ilvl="1" w:tplc="BC34C10A">
      <w:numFmt w:val="bullet"/>
      <w:lvlText w:val="•"/>
      <w:lvlJc w:val="left"/>
      <w:pPr>
        <w:ind w:left="2349" w:hanging="93"/>
      </w:pPr>
      <w:rPr>
        <w:rFonts w:hint="default"/>
        <w:lang w:val="en-US" w:eastAsia="en-US" w:bidi="en-US"/>
      </w:rPr>
    </w:lvl>
    <w:lvl w:ilvl="2" w:tplc="191CC7B4">
      <w:numFmt w:val="bullet"/>
      <w:lvlText w:val="•"/>
      <w:lvlJc w:val="left"/>
      <w:pPr>
        <w:ind w:left="2858" w:hanging="93"/>
      </w:pPr>
      <w:rPr>
        <w:rFonts w:hint="default"/>
        <w:lang w:val="en-US" w:eastAsia="en-US" w:bidi="en-US"/>
      </w:rPr>
    </w:lvl>
    <w:lvl w:ilvl="3" w:tplc="D472CE9E">
      <w:numFmt w:val="bullet"/>
      <w:lvlText w:val="•"/>
      <w:lvlJc w:val="left"/>
      <w:pPr>
        <w:ind w:left="3367" w:hanging="93"/>
      </w:pPr>
      <w:rPr>
        <w:rFonts w:hint="default"/>
        <w:lang w:val="en-US" w:eastAsia="en-US" w:bidi="en-US"/>
      </w:rPr>
    </w:lvl>
    <w:lvl w:ilvl="4" w:tplc="2468FBE2">
      <w:numFmt w:val="bullet"/>
      <w:lvlText w:val="•"/>
      <w:lvlJc w:val="left"/>
      <w:pPr>
        <w:ind w:left="3876" w:hanging="93"/>
      </w:pPr>
      <w:rPr>
        <w:rFonts w:hint="default"/>
        <w:lang w:val="en-US" w:eastAsia="en-US" w:bidi="en-US"/>
      </w:rPr>
    </w:lvl>
    <w:lvl w:ilvl="5" w:tplc="D9CABA96">
      <w:numFmt w:val="bullet"/>
      <w:lvlText w:val="•"/>
      <w:lvlJc w:val="left"/>
      <w:pPr>
        <w:ind w:left="4385" w:hanging="93"/>
      </w:pPr>
      <w:rPr>
        <w:rFonts w:hint="default"/>
        <w:lang w:val="en-US" w:eastAsia="en-US" w:bidi="en-US"/>
      </w:rPr>
    </w:lvl>
    <w:lvl w:ilvl="6" w:tplc="88E8B216">
      <w:numFmt w:val="bullet"/>
      <w:lvlText w:val="•"/>
      <w:lvlJc w:val="left"/>
      <w:pPr>
        <w:ind w:left="4894" w:hanging="93"/>
      </w:pPr>
      <w:rPr>
        <w:rFonts w:hint="default"/>
        <w:lang w:val="en-US" w:eastAsia="en-US" w:bidi="en-US"/>
      </w:rPr>
    </w:lvl>
    <w:lvl w:ilvl="7" w:tplc="8166A628">
      <w:numFmt w:val="bullet"/>
      <w:lvlText w:val="•"/>
      <w:lvlJc w:val="left"/>
      <w:pPr>
        <w:ind w:left="5403" w:hanging="93"/>
      </w:pPr>
      <w:rPr>
        <w:rFonts w:hint="default"/>
        <w:lang w:val="en-US" w:eastAsia="en-US" w:bidi="en-US"/>
      </w:rPr>
    </w:lvl>
    <w:lvl w:ilvl="8" w:tplc="C068E982">
      <w:numFmt w:val="bullet"/>
      <w:lvlText w:val="•"/>
      <w:lvlJc w:val="left"/>
      <w:pPr>
        <w:ind w:left="5912" w:hanging="93"/>
      </w:pPr>
      <w:rPr>
        <w:rFonts w:hint="default"/>
        <w:lang w:val="en-US" w:eastAsia="en-US" w:bidi="en-US"/>
      </w:rPr>
    </w:lvl>
  </w:abstractNum>
  <w:abstractNum w:abstractNumId="2" w15:restartNumberingAfterBreak="0">
    <w:nsid w:val="030E4ED2"/>
    <w:multiLevelType w:val="hybridMultilevel"/>
    <w:tmpl w:val="4D6A40A8"/>
    <w:lvl w:ilvl="0" w:tplc="DD4651C4">
      <w:numFmt w:val="bullet"/>
      <w:lvlText w:val="•"/>
      <w:lvlJc w:val="left"/>
      <w:pPr>
        <w:ind w:left="226" w:hanging="114"/>
      </w:pPr>
      <w:rPr>
        <w:rFonts w:ascii="Calibri" w:eastAsia="Calibri" w:hAnsi="Calibri" w:cs="Calibri" w:hint="default"/>
        <w:color w:val="4D4D4F"/>
        <w:w w:val="59"/>
        <w:sz w:val="16"/>
        <w:szCs w:val="16"/>
        <w:lang w:val="en-US" w:eastAsia="en-US" w:bidi="en-US"/>
      </w:rPr>
    </w:lvl>
    <w:lvl w:ilvl="1" w:tplc="5F62882E">
      <w:numFmt w:val="bullet"/>
      <w:lvlText w:val="•"/>
      <w:lvlJc w:val="left"/>
      <w:pPr>
        <w:ind w:left="696" w:hanging="114"/>
      </w:pPr>
      <w:rPr>
        <w:rFonts w:hint="default"/>
        <w:lang w:val="en-US" w:eastAsia="en-US" w:bidi="en-US"/>
      </w:rPr>
    </w:lvl>
    <w:lvl w:ilvl="2" w:tplc="EDF0CFD2">
      <w:numFmt w:val="bullet"/>
      <w:lvlText w:val="•"/>
      <w:lvlJc w:val="left"/>
      <w:pPr>
        <w:ind w:left="1172" w:hanging="114"/>
      </w:pPr>
      <w:rPr>
        <w:rFonts w:hint="default"/>
        <w:lang w:val="en-US" w:eastAsia="en-US" w:bidi="en-US"/>
      </w:rPr>
    </w:lvl>
    <w:lvl w:ilvl="3" w:tplc="4E6AC40C">
      <w:numFmt w:val="bullet"/>
      <w:lvlText w:val="•"/>
      <w:lvlJc w:val="left"/>
      <w:pPr>
        <w:ind w:left="1649" w:hanging="114"/>
      </w:pPr>
      <w:rPr>
        <w:rFonts w:hint="default"/>
        <w:lang w:val="en-US" w:eastAsia="en-US" w:bidi="en-US"/>
      </w:rPr>
    </w:lvl>
    <w:lvl w:ilvl="4" w:tplc="7D849946">
      <w:numFmt w:val="bullet"/>
      <w:lvlText w:val="•"/>
      <w:lvlJc w:val="left"/>
      <w:pPr>
        <w:ind w:left="2125" w:hanging="114"/>
      </w:pPr>
      <w:rPr>
        <w:rFonts w:hint="default"/>
        <w:lang w:val="en-US" w:eastAsia="en-US" w:bidi="en-US"/>
      </w:rPr>
    </w:lvl>
    <w:lvl w:ilvl="5" w:tplc="865632B6">
      <w:numFmt w:val="bullet"/>
      <w:lvlText w:val="•"/>
      <w:lvlJc w:val="left"/>
      <w:pPr>
        <w:ind w:left="2602" w:hanging="114"/>
      </w:pPr>
      <w:rPr>
        <w:rFonts w:hint="default"/>
        <w:lang w:val="en-US" w:eastAsia="en-US" w:bidi="en-US"/>
      </w:rPr>
    </w:lvl>
    <w:lvl w:ilvl="6" w:tplc="E7508B16">
      <w:numFmt w:val="bullet"/>
      <w:lvlText w:val="•"/>
      <w:lvlJc w:val="left"/>
      <w:pPr>
        <w:ind w:left="3078" w:hanging="114"/>
      </w:pPr>
      <w:rPr>
        <w:rFonts w:hint="default"/>
        <w:lang w:val="en-US" w:eastAsia="en-US" w:bidi="en-US"/>
      </w:rPr>
    </w:lvl>
    <w:lvl w:ilvl="7" w:tplc="47A4C0B8">
      <w:numFmt w:val="bullet"/>
      <w:lvlText w:val="•"/>
      <w:lvlJc w:val="left"/>
      <w:pPr>
        <w:ind w:left="3554" w:hanging="114"/>
      </w:pPr>
      <w:rPr>
        <w:rFonts w:hint="default"/>
        <w:lang w:val="en-US" w:eastAsia="en-US" w:bidi="en-US"/>
      </w:rPr>
    </w:lvl>
    <w:lvl w:ilvl="8" w:tplc="F32474F4">
      <w:numFmt w:val="bullet"/>
      <w:lvlText w:val="•"/>
      <w:lvlJc w:val="left"/>
      <w:pPr>
        <w:ind w:left="4031" w:hanging="114"/>
      </w:pPr>
      <w:rPr>
        <w:rFonts w:hint="default"/>
        <w:lang w:val="en-US" w:eastAsia="en-US" w:bidi="en-US"/>
      </w:rPr>
    </w:lvl>
  </w:abstractNum>
  <w:abstractNum w:abstractNumId="3" w15:restartNumberingAfterBreak="0">
    <w:nsid w:val="031614AC"/>
    <w:multiLevelType w:val="hybridMultilevel"/>
    <w:tmpl w:val="9DB849D4"/>
    <w:lvl w:ilvl="0" w:tplc="BF8293F4">
      <w:numFmt w:val="bullet"/>
      <w:lvlText w:val="•"/>
      <w:lvlJc w:val="left"/>
      <w:pPr>
        <w:ind w:left="92" w:hanging="93"/>
      </w:pPr>
      <w:rPr>
        <w:rFonts w:ascii="Calibri" w:eastAsia="Calibri" w:hAnsi="Calibri" w:cs="Calibri" w:hint="default"/>
        <w:color w:val="231F20"/>
        <w:w w:val="59"/>
        <w:sz w:val="17"/>
        <w:szCs w:val="17"/>
        <w:lang w:val="en-US" w:eastAsia="en-US" w:bidi="en-US"/>
      </w:rPr>
    </w:lvl>
    <w:lvl w:ilvl="1" w:tplc="7BACDB8C">
      <w:numFmt w:val="bullet"/>
      <w:lvlText w:val="•"/>
      <w:lvlJc w:val="left"/>
      <w:pPr>
        <w:ind w:left="559" w:hanging="93"/>
      </w:pPr>
      <w:rPr>
        <w:rFonts w:hint="default"/>
        <w:lang w:val="en-US" w:eastAsia="en-US" w:bidi="en-US"/>
      </w:rPr>
    </w:lvl>
    <w:lvl w:ilvl="2" w:tplc="318C27F4">
      <w:numFmt w:val="bullet"/>
      <w:lvlText w:val="•"/>
      <w:lvlJc w:val="left"/>
      <w:pPr>
        <w:ind w:left="1019" w:hanging="93"/>
      </w:pPr>
      <w:rPr>
        <w:rFonts w:hint="default"/>
        <w:lang w:val="en-US" w:eastAsia="en-US" w:bidi="en-US"/>
      </w:rPr>
    </w:lvl>
    <w:lvl w:ilvl="3" w:tplc="3884931C">
      <w:numFmt w:val="bullet"/>
      <w:lvlText w:val="•"/>
      <w:lvlJc w:val="left"/>
      <w:pPr>
        <w:ind w:left="1479" w:hanging="93"/>
      </w:pPr>
      <w:rPr>
        <w:rFonts w:hint="default"/>
        <w:lang w:val="en-US" w:eastAsia="en-US" w:bidi="en-US"/>
      </w:rPr>
    </w:lvl>
    <w:lvl w:ilvl="4" w:tplc="219255F8">
      <w:numFmt w:val="bullet"/>
      <w:lvlText w:val="•"/>
      <w:lvlJc w:val="left"/>
      <w:pPr>
        <w:ind w:left="1939" w:hanging="93"/>
      </w:pPr>
      <w:rPr>
        <w:rFonts w:hint="default"/>
        <w:lang w:val="en-US" w:eastAsia="en-US" w:bidi="en-US"/>
      </w:rPr>
    </w:lvl>
    <w:lvl w:ilvl="5" w:tplc="841CC572">
      <w:numFmt w:val="bullet"/>
      <w:lvlText w:val="•"/>
      <w:lvlJc w:val="left"/>
      <w:pPr>
        <w:ind w:left="2399" w:hanging="93"/>
      </w:pPr>
      <w:rPr>
        <w:rFonts w:hint="default"/>
        <w:lang w:val="en-US" w:eastAsia="en-US" w:bidi="en-US"/>
      </w:rPr>
    </w:lvl>
    <w:lvl w:ilvl="6" w:tplc="3A4497DE">
      <w:numFmt w:val="bullet"/>
      <w:lvlText w:val="•"/>
      <w:lvlJc w:val="left"/>
      <w:pPr>
        <w:ind w:left="2858" w:hanging="93"/>
      </w:pPr>
      <w:rPr>
        <w:rFonts w:hint="default"/>
        <w:lang w:val="en-US" w:eastAsia="en-US" w:bidi="en-US"/>
      </w:rPr>
    </w:lvl>
    <w:lvl w:ilvl="7" w:tplc="9698A918">
      <w:numFmt w:val="bullet"/>
      <w:lvlText w:val="•"/>
      <w:lvlJc w:val="left"/>
      <w:pPr>
        <w:ind w:left="3318" w:hanging="93"/>
      </w:pPr>
      <w:rPr>
        <w:rFonts w:hint="default"/>
        <w:lang w:val="en-US" w:eastAsia="en-US" w:bidi="en-US"/>
      </w:rPr>
    </w:lvl>
    <w:lvl w:ilvl="8" w:tplc="A2D2E8FC">
      <w:numFmt w:val="bullet"/>
      <w:lvlText w:val="•"/>
      <w:lvlJc w:val="left"/>
      <w:pPr>
        <w:ind w:left="3778" w:hanging="93"/>
      </w:pPr>
      <w:rPr>
        <w:rFonts w:hint="default"/>
        <w:lang w:val="en-US" w:eastAsia="en-US" w:bidi="en-US"/>
      </w:rPr>
    </w:lvl>
  </w:abstractNum>
  <w:abstractNum w:abstractNumId="4" w15:restartNumberingAfterBreak="0">
    <w:nsid w:val="03C6613D"/>
    <w:multiLevelType w:val="hybridMultilevel"/>
    <w:tmpl w:val="4CB89D70"/>
    <w:lvl w:ilvl="0" w:tplc="52C81F66">
      <w:start w:val="273"/>
      <w:numFmt w:val="decimal"/>
      <w:lvlText w:val="%1."/>
      <w:lvlJc w:val="left"/>
      <w:pPr>
        <w:ind w:left="2835" w:hanging="227"/>
        <w:jc w:val="left"/>
      </w:pPr>
      <w:rPr>
        <w:rFonts w:ascii="Calibri" w:eastAsia="Calibri" w:hAnsi="Calibri" w:cs="Calibri" w:hint="default"/>
        <w:color w:val="4D4D4F"/>
        <w:spacing w:val="0"/>
        <w:w w:val="83"/>
        <w:sz w:val="10"/>
        <w:szCs w:val="10"/>
        <w:lang w:val="en-US" w:eastAsia="en-US" w:bidi="en-US"/>
      </w:rPr>
    </w:lvl>
    <w:lvl w:ilvl="1" w:tplc="FEB8804C">
      <w:numFmt w:val="bullet"/>
      <w:lvlText w:val="•"/>
      <w:lvlJc w:val="left"/>
      <w:pPr>
        <w:ind w:left="3542" w:hanging="227"/>
      </w:pPr>
      <w:rPr>
        <w:rFonts w:hint="default"/>
        <w:lang w:val="en-US" w:eastAsia="en-US" w:bidi="en-US"/>
      </w:rPr>
    </w:lvl>
    <w:lvl w:ilvl="2" w:tplc="54F4760A">
      <w:numFmt w:val="bullet"/>
      <w:lvlText w:val="•"/>
      <w:lvlJc w:val="left"/>
      <w:pPr>
        <w:ind w:left="4245" w:hanging="227"/>
      </w:pPr>
      <w:rPr>
        <w:rFonts w:hint="default"/>
        <w:lang w:val="en-US" w:eastAsia="en-US" w:bidi="en-US"/>
      </w:rPr>
    </w:lvl>
    <w:lvl w:ilvl="3" w:tplc="C6DA122E">
      <w:numFmt w:val="bullet"/>
      <w:lvlText w:val="•"/>
      <w:lvlJc w:val="left"/>
      <w:pPr>
        <w:ind w:left="4947" w:hanging="227"/>
      </w:pPr>
      <w:rPr>
        <w:rFonts w:hint="default"/>
        <w:lang w:val="en-US" w:eastAsia="en-US" w:bidi="en-US"/>
      </w:rPr>
    </w:lvl>
    <w:lvl w:ilvl="4" w:tplc="EB7462DC">
      <w:numFmt w:val="bullet"/>
      <w:lvlText w:val="•"/>
      <w:lvlJc w:val="left"/>
      <w:pPr>
        <w:ind w:left="5650" w:hanging="227"/>
      </w:pPr>
      <w:rPr>
        <w:rFonts w:hint="default"/>
        <w:lang w:val="en-US" w:eastAsia="en-US" w:bidi="en-US"/>
      </w:rPr>
    </w:lvl>
    <w:lvl w:ilvl="5" w:tplc="EDC8BEE2">
      <w:numFmt w:val="bullet"/>
      <w:lvlText w:val="•"/>
      <w:lvlJc w:val="left"/>
      <w:pPr>
        <w:ind w:left="6352" w:hanging="227"/>
      </w:pPr>
      <w:rPr>
        <w:rFonts w:hint="default"/>
        <w:lang w:val="en-US" w:eastAsia="en-US" w:bidi="en-US"/>
      </w:rPr>
    </w:lvl>
    <w:lvl w:ilvl="6" w:tplc="9C70EA9E">
      <w:numFmt w:val="bullet"/>
      <w:lvlText w:val="•"/>
      <w:lvlJc w:val="left"/>
      <w:pPr>
        <w:ind w:left="7055" w:hanging="227"/>
      </w:pPr>
      <w:rPr>
        <w:rFonts w:hint="default"/>
        <w:lang w:val="en-US" w:eastAsia="en-US" w:bidi="en-US"/>
      </w:rPr>
    </w:lvl>
    <w:lvl w:ilvl="7" w:tplc="7246526A">
      <w:numFmt w:val="bullet"/>
      <w:lvlText w:val="•"/>
      <w:lvlJc w:val="left"/>
      <w:pPr>
        <w:ind w:left="7757" w:hanging="227"/>
      </w:pPr>
      <w:rPr>
        <w:rFonts w:hint="default"/>
        <w:lang w:val="en-US" w:eastAsia="en-US" w:bidi="en-US"/>
      </w:rPr>
    </w:lvl>
    <w:lvl w:ilvl="8" w:tplc="06321FA4">
      <w:numFmt w:val="bullet"/>
      <w:lvlText w:val="•"/>
      <w:lvlJc w:val="left"/>
      <w:pPr>
        <w:ind w:left="8460" w:hanging="227"/>
      </w:pPr>
      <w:rPr>
        <w:rFonts w:hint="default"/>
        <w:lang w:val="en-US" w:eastAsia="en-US" w:bidi="en-US"/>
      </w:rPr>
    </w:lvl>
  </w:abstractNum>
  <w:abstractNum w:abstractNumId="5" w15:restartNumberingAfterBreak="0">
    <w:nsid w:val="046844B1"/>
    <w:multiLevelType w:val="hybridMultilevel"/>
    <w:tmpl w:val="E6305034"/>
    <w:lvl w:ilvl="0" w:tplc="64FEBACA">
      <w:numFmt w:val="bullet"/>
      <w:lvlText w:val="•"/>
      <w:lvlJc w:val="left"/>
      <w:pPr>
        <w:ind w:left="283" w:hanging="170"/>
      </w:pPr>
      <w:rPr>
        <w:rFonts w:ascii="Calibri" w:eastAsia="Calibri" w:hAnsi="Calibri" w:cs="Calibri" w:hint="default"/>
        <w:color w:val="4D4D4F"/>
        <w:w w:val="59"/>
        <w:sz w:val="20"/>
        <w:szCs w:val="20"/>
        <w:lang w:val="en-US" w:eastAsia="en-US" w:bidi="en-US"/>
      </w:rPr>
    </w:lvl>
    <w:lvl w:ilvl="1" w:tplc="58D2C432">
      <w:numFmt w:val="bullet"/>
      <w:lvlText w:val="•"/>
      <w:lvlJc w:val="left"/>
      <w:pPr>
        <w:ind w:left="472" w:hanging="170"/>
      </w:pPr>
      <w:rPr>
        <w:rFonts w:ascii="Calibri" w:eastAsia="Calibri" w:hAnsi="Calibri" w:cs="Calibri" w:hint="default"/>
        <w:color w:val="4D4D4F"/>
        <w:w w:val="59"/>
        <w:sz w:val="20"/>
        <w:szCs w:val="20"/>
        <w:lang w:val="en-US" w:eastAsia="en-US" w:bidi="en-US"/>
      </w:rPr>
    </w:lvl>
    <w:lvl w:ilvl="2" w:tplc="2ECE02DA">
      <w:numFmt w:val="bullet"/>
      <w:lvlText w:val="•"/>
      <w:lvlJc w:val="left"/>
      <w:pPr>
        <w:ind w:left="829" w:hanging="170"/>
      </w:pPr>
      <w:rPr>
        <w:rFonts w:hint="default"/>
        <w:lang w:val="en-US" w:eastAsia="en-US" w:bidi="en-US"/>
      </w:rPr>
    </w:lvl>
    <w:lvl w:ilvl="3" w:tplc="DBFCEEFE">
      <w:numFmt w:val="bullet"/>
      <w:lvlText w:val="•"/>
      <w:lvlJc w:val="left"/>
      <w:pPr>
        <w:ind w:left="1179" w:hanging="170"/>
      </w:pPr>
      <w:rPr>
        <w:rFonts w:hint="default"/>
        <w:lang w:val="en-US" w:eastAsia="en-US" w:bidi="en-US"/>
      </w:rPr>
    </w:lvl>
    <w:lvl w:ilvl="4" w:tplc="2196E4A0">
      <w:numFmt w:val="bullet"/>
      <w:lvlText w:val="•"/>
      <w:lvlJc w:val="left"/>
      <w:pPr>
        <w:ind w:left="1529" w:hanging="170"/>
      </w:pPr>
      <w:rPr>
        <w:rFonts w:hint="default"/>
        <w:lang w:val="en-US" w:eastAsia="en-US" w:bidi="en-US"/>
      </w:rPr>
    </w:lvl>
    <w:lvl w:ilvl="5" w:tplc="929840CC">
      <w:numFmt w:val="bullet"/>
      <w:lvlText w:val="•"/>
      <w:lvlJc w:val="left"/>
      <w:pPr>
        <w:ind w:left="1879" w:hanging="170"/>
      </w:pPr>
      <w:rPr>
        <w:rFonts w:hint="default"/>
        <w:lang w:val="en-US" w:eastAsia="en-US" w:bidi="en-US"/>
      </w:rPr>
    </w:lvl>
    <w:lvl w:ilvl="6" w:tplc="25884650">
      <w:numFmt w:val="bullet"/>
      <w:lvlText w:val="•"/>
      <w:lvlJc w:val="left"/>
      <w:pPr>
        <w:ind w:left="2229" w:hanging="170"/>
      </w:pPr>
      <w:rPr>
        <w:rFonts w:hint="default"/>
        <w:lang w:val="en-US" w:eastAsia="en-US" w:bidi="en-US"/>
      </w:rPr>
    </w:lvl>
    <w:lvl w:ilvl="7" w:tplc="FC38BD3A">
      <w:numFmt w:val="bullet"/>
      <w:lvlText w:val="•"/>
      <w:lvlJc w:val="left"/>
      <w:pPr>
        <w:ind w:left="2579" w:hanging="170"/>
      </w:pPr>
      <w:rPr>
        <w:rFonts w:hint="default"/>
        <w:lang w:val="en-US" w:eastAsia="en-US" w:bidi="en-US"/>
      </w:rPr>
    </w:lvl>
    <w:lvl w:ilvl="8" w:tplc="E620007E">
      <w:numFmt w:val="bullet"/>
      <w:lvlText w:val="•"/>
      <w:lvlJc w:val="left"/>
      <w:pPr>
        <w:ind w:left="2929" w:hanging="170"/>
      </w:pPr>
      <w:rPr>
        <w:rFonts w:hint="default"/>
        <w:lang w:val="en-US" w:eastAsia="en-US" w:bidi="en-US"/>
      </w:rPr>
    </w:lvl>
  </w:abstractNum>
  <w:abstractNum w:abstractNumId="6" w15:restartNumberingAfterBreak="0">
    <w:nsid w:val="04B77DBB"/>
    <w:multiLevelType w:val="hybridMultilevel"/>
    <w:tmpl w:val="7EE48E46"/>
    <w:lvl w:ilvl="0" w:tplc="AE849D8A">
      <w:numFmt w:val="bullet"/>
      <w:lvlText w:val="•"/>
      <w:lvlJc w:val="left"/>
      <w:pPr>
        <w:ind w:left="1823" w:hanging="93"/>
      </w:pPr>
      <w:rPr>
        <w:rFonts w:ascii="Calibri" w:eastAsia="Calibri" w:hAnsi="Calibri" w:cs="Calibri" w:hint="default"/>
        <w:color w:val="231F20"/>
        <w:w w:val="59"/>
        <w:sz w:val="17"/>
        <w:szCs w:val="17"/>
        <w:lang w:val="en-US" w:eastAsia="en-US" w:bidi="en-US"/>
      </w:rPr>
    </w:lvl>
    <w:lvl w:ilvl="1" w:tplc="456A4F3C">
      <w:numFmt w:val="bullet"/>
      <w:lvlText w:val="•"/>
      <w:lvlJc w:val="left"/>
      <w:pPr>
        <w:ind w:left="2428" w:hanging="93"/>
      </w:pPr>
      <w:rPr>
        <w:rFonts w:hint="default"/>
        <w:lang w:val="en-US" w:eastAsia="en-US" w:bidi="en-US"/>
      </w:rPr>
    </w:lvl>
    <w:lvl w:ilvl="2" w:tplc="006463FA">
      <w:numFmt w:val="bullet"/>
      <w:lvlText w:val="•"/>
      <w:lvlJc w:val="left"/>
      <w:pPr>
        <w:ind w:left="3036" w:hanging="93"/>
      </w:pPr>
      <w:rPr>
        <w:rFonts w:hint="default"/>
        <w:lang w:val="en-US" w:eastAsia="en-US" w:bidi="en-US"/>
      </w:rPr>
    </w:lvl>
    <w:lvl w:ilvl="3" w:tplc="00061E7C">
      <w:numFmt w:val="bullet"/>
      <w:lvlText w:val="•"/>
      <w:lvlJc w:val="left"/>
      <w:pPr>
        <w:ind w:left="3644" w:hanging="93"/>
      </w:pPr>
      <w:rPr>
        <w:rFonts w:hint="default"/>
        <w:lang w:val="en-US" w:eastAsia="en-US" w:bidi="en-US"/>
      </w:rPr>
    </w:lvl>
    <w:lvl w:ilvl="4" w:tplc="C33A0902">
      <w:numFmt w:val="bullet"/>
      <w:lvlText w:val="•"/>
      <w:lvlJc w:val="left"/>
      <w:pPr>
        <w:ind w:left="4253" w:hanging="93"/>
      </w:pPr>
      <w:rPr>
        <w:rFonts w:hint="default"/>
        <w:lang w:val="en-US" w:eastAsia="en-US" w:bidi="en-US"/>
      </w:rPr>
    </w:lvl>
    <w:lvl w:ilvl="5" w:tplc="D3BA40E0">
      <w:numFmt w:val="bullet"/>
      <w:lvlText w:val="•"/>
      <w:lvlJc w:val="left"/>
      <w:pPr>
        <w:ind w:left="4861" w:hanging="93"/>
      </w:pPr>
      <w:rPr>
        <w:rFonts w:hint="default"/>
        <w:lang w:val="en-US" w:eastAsia="en-US" w:bidi="en-US"/>
      </w:rPr>
    </w:lvl>
    <w:lvl w:ilvl="6" w:tplc="59CA079A">
      <w:numFmt w:val="bullet"/>
      <w:lvlText w:val="•"/>
      <w:lvlJc w:val="left"/>
      <w:pPr>
        <w:ind w:left="5469" w:hanging="93"/>
      </w:pPr>
      <w:rPr>
        <w:rFonts w:hint="default"/>
        <w:lang w:val="en-US" w:eastAsia="en-US" w:bidi="en-US"/>
      </w:rPr>
    </w:lvl>
    <w:lvl w:ilvl="7" w:tplc="E16A43E6">
      <w:numFmt w:val="bullet"/>
      <w:lvlText w:val="•"/>
      <w:lvlJc w:val="left"/>
      <w:pPr>
        <w:ind w:left="6078" w:hanging="93"/>
      </w:pPr>
      <w:rPr>
        <w:rFonts w:hint="default"/>
        <w:lang w:val="en-US" w:eastAsia="en-US" w:bidi="en-US"/>
      </w:rPr>
    </w:lvl>
    <w:lvl w:ilvl="8" w:tplc="2B7EE5F0">
      <w:numFmt w:val="bullet"/>
      <w:lvlText w:val="•"/>
      <w:lvlJc w:val="left"/>
      <w:pPr>
        <w:ind w:left="6686" w:hanging="93"/>
      </w:pPr>
      <w:rPr>
        <w:rFonts w:hint="default"/>
        <w:lang w:val="en-US" w:eastAsia="en-US" w:bidi="en-US"/>
      </w:rPr>
    </w:lvl>
  </w:abstractNum>
  <w:abstractNum w:abstractNumId="7" w15:restartNumberingAfterBreak="0">
    <w:nsid w:val="059147F5"/>
    <w:multiLevelType w:val="hybridMultilevel"/>
    <w:tmpl w:val="8D183DD2"/>
    <w:lvl w:ilvl="0" w:tplc="FDCE6ACC">
      <w:start w:val="1"/>
      <w:numFmt w:val="lowerRoman"/>
      <w:lvlText w:val="(%1)"/>
      <w:lvlJc w:val="left"/>
      <w:pPr>
        <w:ind w:left="428" w:hanging="202"/>
        <w:jc w:val="left"/>
      </w:pPr>
      <w:rPr>
        <w:rFonts w:ascii="Calibri" w:eastAsia="Calibri" w:hAnsi="Calibri" w:cs="Calibri" w:hint="default"/>
        <w:color w:val="4D4D4F"/>
        <w:spacing w:val="-8"/>
        <w:w w:val="98"/>
        <w:sz w:val="20"/>
        <w:szCs w:val="20"/>
        <w:lang w:val="en-US" w:eastAsia="en-US" w:bidi="en-US"/>
      </w:rPr>
    </w:lvl>
    <w:lvl w:ilvl="1" w:tplc="891EAE1C">
      <w:numFmt w:val="bullet"/>
      <w:lvlText w:val="•"/>
      <w:lvlJc w:val="left"/>
      <w:pPr>
        <w:ind w:left="1115" w:hanging="202"/>
      </w:pPr>
      <w:rPr>
        <w:rFonts w:hint="default"/>
        <w:lang w:val="en-US" w:eastAsia="en-US" w:bidi="en-US"/>
      </w:rPr>
    </w:lvl>
    <w:lvl w:ilvl="2" w:tplc="D5FCD510">
      <w:numFmt w:val="bullet"/>
      <w:lvlText w:val="•"/>
      <w:lvlJc w:val="left"/>
      <w:pPr>
        <w:ind w:left="1810" w:hanging="202"/>
      </w:pPr>
      <w:rPr>
        <w:rFonts w:hint="default"/>
        <w:lang w:val="en-US" w:eastAsia="en-US" w:bidi="en-US"/>
      </w:rPr>
    </w:lvl>
    <w:lvl w:ilvl="3" w:tplc="72C8CFA8">
      <w:numFmt w:val="bullet"/>
      <w:lvlText w:val="•"/>
      <w:lvlJc w:val="left"/>
      <w:pPr>
        <w:ind w:left="2505" w:hanging="202"/>
      </w:pPr>
      <w:rPr>
        <w:rFonts w:hint="default"/>
        <w:lang w:val="en-US" w:eastAsia="en-US" w:bidi="en-US"/>
      </w:rPr>
    </w:lvl>
    <w:lvl w:ilvl="4" w:tplc="1F2EB11A">
      <w:numFmt w:val="bullet"/>
      <w:lvlText w:val="•"/>
      <w:lvlJc w:val="left"/>
      <w:pPr>
        <w:ind w:left="3200" w:hanging="202"/>
      </w:pPr>
      <w:rPr>
        <w:rFonts w:hint="default"/>
        <w:lang w:val="en-US" w:eastAsia="en-US" w:bidi="en-US"/>
      </w:rPr>
    </w:lvl>
    <w:lvl w:ilvl="5" w:tplc="E1B4338E">
      <w:numFmt w:val="bullet"/>
      <w:lvlText w:val="•"/>
      <w:lvlJc w:val="left"/>
      <w:pPr>
        <w:ind w:left="3895" w:hanging="202"/>
      </w:pPr>
      <w:rPr>
        <w:rFonts w:hint="default"/>
        <w:lang w:val="en-US" w:eastAsia="en-US" w:bidi="en-US"/>
      </w:rPr>
    </w:lvl>
    <w:lvl w:ilvl="6" w:tplc="1A16FC0A">
      <w:numFmt w:val="bullet"/>
      <w:lvlText w:val="•"/>
      <w:lvlJc w:val="left"/>
      <w:pPr>
        <w:ind w:left="4590" w:hanging="202"/>
      </w:pPr>
      <w:rPr>
        <w:rFonts w:hint="default"/>
        <w:lang w:val="en-US" w:eastAsia="en-US" w:bidi="en-US"/>
      </w:rPr>
    </w:lvl>
    <w:lvl w:ilvl="7" w:tplc="AFA83D50">
      <w:numFmt w:val="bullet"/>
      <w:lvlText w:val="•"/>
      <w:lvlJc w:val="left"/>
      <w:pPr>
        <w:ind w:left="5285" w:hanging="202"/>
      </w:pPr>
      <w:rPr>
        <w:rFonts w:hint="default"/>
        <w:lang w:val="en-US" w:eastAsia="en-US" w:bidi="en-US"/>
      </w:rPr>
    </w:lvl>
    <w:lvl w:ilvl="8" w:tplc="831E945A">
      <w:numFmt w:val="bullet"/>
      <w:lvlText w:val="•"/>
      <w:lvlJc w:val="left"/>
      <w:pPr>
        <w:ind w:left="5980" w:hanging="202"/>
      </w:pPr>
      <w:rPr>
        <w:rFonts w:hint="default"/>
        <w:lang w:val="en-US" w:eastAsia="en-US" w:bidi="en-US"/>
      </w:rPr>
    </w:lvl>
  </w:abstractNum>
  <w:abstractNum w:abstractNumId="8" w15:restartNumberingAfterBreak="0">
    <w:nsid w:val="05D02410"/>
    <w:multiLevelType w:val="hybridMultilevel"/>
    <w:tmpl w:val="4A4A7C54"/>
    <w:lvl w:ilvl="0" w:tplc="1F8A3D64">
      <w:start w:val="1"/>
      <w:numFmt w:val="lowerRoman"/>
      <w:lvlText w:val="(%1)"/>
      <w:lvlJc w:val="left"/>
      <w:pPr>
        <w:ind w:left="232" w:hanging="202"/>
        <w:jc w:val="left"/>
      </w:pPr>
      <w:rPr>
        <w:rFonts w:ascii="Calibri" w:eastAsia="Calibri" w:hAnsi="Calibri" w:cs="Calibri" w:hint="default"/>
        <w:color w:val="4D4D4F"/>
        <w:spacing w:val="-8"/>
        <w:w w:val="98"/>
        <w:sz w:val="20"/>
        <w:szCs w:val="20"/>
        <w:lang w:val="en-US" w:eastAsia="en-US" w:bidi="en-US"/>
      </w:rPr>
    </w:lvl>
    <w:lvl w:ilvl="1" w:tplc="70D4D7E4">
      <w:numFmt w:val="bullet"/>
      <w:lvlText w:val="•"/>
      <w:lvlJc w:val="left"/>
      <w:pPr>
        <w:ind w:left="953" w:hanging="202"/>
      </w:pPr>
      <w:rPr>
        <w:rFonts w:hint="default"/>
        <w:lang w:val="en-US" w:eastAsia="en-US" w:bidi="en-US"/>
      </w:rPr>
    </w:lvl>
    <w:lvl w:ilvl="2" w:tplc="F702A0C8">
      <w:numFmt w:val="bullet"/>
      <w:lvlText w:val="•"/>
      <w:lvlJc w:val="left"/>
      <w:pPr>
        <w:ind w:left="1666" w:hanging="202"/>
      </w:pPr>
      <w:rPr>
        <w:rFonts w:hint="default"/>
        <w:lang w:val="en-US" w:eastAsia="en-US" w:bidi="en-US"/>
      </w:rPr>
    </w:lvl>
    <w:lvl w:ilvl="3" w:tplc="B3020882">
      <w:numFmt w:val="bullet"/>
      <w:lvlText w:val="•"/>
      <w:lvlJc w:val="left"/>
      <w:pPr>
        <w:ind w:left="2379" w:hanging="202"/>
      </w:pPr>
      <w:rPr>
        <w:rFonts w:hint="default"/>
        <w:lang w:val="en-US" w:eastAsia="en-US" w:bidi="en-US"/>
      </w:rPr>
    </w:lvl>
    <w:lvl w:ilvl="4" w:tplc="9C7CE2C2">
      <w:numFmt w:val="bullet"/>
      <w:lvlText w:val="•"/>
      <w:lvlJc w:val="left"/>
      <w:pPr>
        <w:ind w:left="3092" w:hanging="202"/>
      </w:pPr>
      <w:rPr>
        <w:rFonts w:hint="default"/>
        <w:lang w:val="en-US" w:eastAsia="en-US" w:bidi="en-US"/>
      </w:rPr>
    </w:lvl>
    <w:lvl w:ilvl="5" w:tplc="A6DA6FEC">
      <w:numFmt w:val="bullet"/>
      <w:lvlText w:val="•"/>
      <w:lvlJc w:val="left"/>
      <w:pPr>
        <w:ind w:left="3805" w:hanging="202"/>
      </w:pPr>
      <w:rPr>
        <w:rFonts w:hint="default"/>
        <w:lang w:val="en-US" w:eastAsia="en-US" w:bidi="en-US"/>
      </w:rPr>
    </w:lvl>
    <w:lvl w:ilvl="6" w:tplc="5504F982">
      <w:numFmt w:val="bullet"/>
      <w:lvlText w:val="•"/>
      <w:lvlJc w:val="left"/>
      <w:pPr>
        <w:ind w:left="4518" w:hanging="202"/>
      </w:pPr>
      <w:rPr>
        <w:rFonts w:hint="default"/>
        <w:lang w:val="en-US" w:eastAsia="en-US" w:bidi="en-US"/>
      </w:rPr>
    </w:lvl>
    <w:lvl w:ilvl="7" w:tplc="7D606680">
      <w:numFmt w:val="bullet"/>
      <w:lvlText w:val="•"/>
      <w:lvlJc w:val="left"/>
      <w:pPr>
        <w:ind w:left="5231" w:hanging="202"/>
      </w:pPr>
      <w:rPr>
        <w:rFonts w:hint="default"/>
        <w:lang w:val="en-US" w:eastAsia="en-US" w:bidi="en-US"/>
      </w:rPr>
    </w:lvl>
    <w:lvl w:ilvl="8" w:tplc="BA804C0A">
      <w:numFmt w:val="bullet"/>
      <w:lvlText w:val="•"/>
      <w:lvlJc w:val="left"/>
      <w:pPr>
        <w:ind w:left="5944" w:hanging="202"/>
      </w:pPr>
      <w:rPr>
        <w:rFonts w:hint="default"/>
        <w:lang w:val="en-US" w:eastAsia="en-US" w:bidi="en-US"/>
      </w:rPr>
    </w:lvl>
  </w:abstractNum>
  <w:abstractNum w:abstractNumId="9" w15:restartNumberingAfterBreak="0">
    <w:nsid w:val="062F5FA4"/>
    <w:multiLevelType w:val="hybridMultilevel"/>
    <w:tmpl w:val="D97AD74E"/>
    <w:lvl w:ilvl="0" w:tplc="75444634">
      <w:start w:val="164"/>
      <w:numFmt w:val="decimal"/>
      <w:lvlText w:val="%1."/>
      <w:lvlJc w:val="left"/>
      <w:pPr>
        <w:ind w:left="2835" w:hanging="227"/>
        <w:jc w:val="right"/>
      </w:pPr>
      <w:rPr>
        <w:rFonts w:ascii="Calibri" w:eastAsia="Calibri" w:hAnsi="Calibri" w:cs="Calibri" w:hint="default"/>
        <w:color w:val="4D4D4F"/>
        <w:spacing w:val="-5"/>
        <w:w w:val="83"/>
        <w:sz w:val="12"/>
        <w:szCs w:val="12"/>
        <w:lang w:val="en-US" w:eastAsia="en-US" w:bidi="en-US"/>
      </w:rPr>
    </w:lvl>
    <w:lvl w:ilvl="1" w:tplc="C5E8E7EA">
      <w:start w:val="1"/>
      <w:numFmt w:val="decimal"/>
      <w:lvlText w:val="%2."/>
      <w:lvlJc w:val="left"/>
      <w:pPr>
        <w:ind w:left="2778" w:hanging="170"/>
        <w:jc w:val="left"/>
      </w:pPr>
      <w:rPr>
        <w:rFonts w:ascii="Calibri" w:eastAsia="Calibri" w:hAnsi="Calibri" w:cs="Calibri" w:hint="default"/>
        <w:color w:val="4D4D4F"/>
        <w:spacing w:val="-10"/>
        <w:w w:val="92"/>
        <w:sz w:val="20"/>
        <w:szCs w:val="20"/>
        <w:lang w:val="en-US" w:eastAsia="en-US" w:bidi="en-US"/>
      </w:rPr>
    </w:lvl>
    <w:lvl w:ilvl="2" w:tplc="8ECE11AA">
      <w:numFmt w:val="bullet"/>
      <w:lvlText w:val="•"/>
      <w:lvlJc w:val="left"/>
      <w:pPr>
        <w:ind w:left="3620" w:hanging="170"/>
      </w:pPr>
      <w:rPr>
        <w:rFonts w:hint="default"/>
        <w:lang w:val="en-US" w:eastAsia="en-US" w:bidi="en-US"/>
      </w:rPr>
    </w:lvl>
    <w:lvl w:ilvl="3" w:tplc="02B081DC">
      <w:numFmt w:val="bullet"/>
      <w:lvlText w:val="•"/>
      <w:lvlJc w:val="left"/>
      <w:pPr>
        <w:ind w:left="4401" w:hanging="170"/>
      </w:pPr>
      <w:rPr>
        <w:rFonts w:hint="default"/>
        <w:lang w:val="en-US" w:eastAsia="en-US" w:bidi="en-US"/>
      </w:rPr>
    </w:lvl>
    <w:lvl w:ilvl="4" w:tplc="4C0E4960">
      <w:numFmt w:val="bullet"/>
      <w:lvlText w:val="•"/>
      <w:lvlJc w:val="left"/>
      <w:pPr>
        <w:ind w:left="5181" w:hanging="170"/>
      </w:pPr>
      <w:rPr>
        <w:rFonts w:hint="default"/>
        <w:lang w:val="en-US" w:eastAsia="en-US" w:bidi="en-US"/>
      </w:rPr>
    </w:lvl>
    <w:lvl w:ilvl="5" w:tplc="55E24BF0">
      <w:numFmt w:val="bullet"/>
      <w:lvlText w:val="•"/>
      <w:lvlJc w:val="left"/>
      <w:pPr>
        <w:ind w:left="5962" w:hanging="170"/>
      </w:pPr>
      <w:rPr>
        <w:rFonts w:hint="default"/>
        <w:lang w:val="en-US" w:eastAsia="en-US" w:bidi="en-US"/>
      </w:rPr>
    </w:lvl>
    <w:lvl w:ilvl="6" w:tplc="B456D308">
      <w:numFmt w:val="bullet"/>
      <w:lvlText w:val="•"/>
      <w:lvlJc w:val="left"/>
      <w:pPr>
        <w:ind w:left="6743" w:hanging="170"/>
      </w:pPr>
      <w:rPr>
        <w:rFonts w:hint="default"/>
        <w:lang w:val="en-US" w:eastAsia="en-US" w:bidi="en-US"/>
      </w:rPr>
    </w:lvl>
    <w:lvl w:ilvl="7" w:tplc="9A96D4BE">
      <w:numFmt w:val="bullet"/>
      <w:lvlText w:val="•"/>
      <w:lvlJc w:val="left"/>
      <w:pPr>
        <w:ind w:left="7523" w:hanging="170"/>
      </w:pPr>
      <w:rPr>
        <w:rFonts w:hint="default"/>
        <w:lang w:val="en-US" w:eastAsia="en-US" w:bidi="en-US"/>
      </w:rPr>
    </w:lvl>
    <w:lvl w:ilvl="8" w:tplc="3BA81F0C">
      <w:numFmt w:val="bullet"/>
      <w:lvlText w:val="•"/>
      <w:lvlJc w:val="left"/>
      <w:pPr>
        <w:ind w:left="8304" w:hanging="170"/>
      </w:pPr>
      <w:rPr>
        <w:rFonts w:hint="default"/>
        <w:lang w:val="en-US" w:eastAsia="en-US" w:bidi="en-US"/>
      </w:rPr>
    </w:lvl>
  </w:abstractNum>
  <w:abstractNum w:abstractNumId="10" w15:restartNumberingAfterBreak="0">
    <w:nsid w:val="0A406459"/>
    <w:multiLevelType w:val="hybridMultilevel"/>
    <w:tmpl w:val="C83A12DA"/>
    <w:lvl w:ilvl="0" w:tplc="7E2020F6">
      <w:start w:val="308"/>
      <w:numFmt w:val="decimal"/>
      <w:lvlText w:val="%1."/>
      <w:lvlJc w:val="left"/>
      <w:pPr>
        <w:ind w:left="2835" w:hanging="227"/>
        <w:jc w:val="left"/>
      </w:pPr>
      <w:rPr>
        <w:rFonts w:ascii="Calibri" w:eastAsia="Calibri" w:hAnsi="Calibri" w:cs="Calibri" w:hint="default"/>
        <w:color w:val="4D4D4F"/>
        <w:spacing w:val="0"/>
        <w:w w:val="83"/>
        <w:sz w:val="10"/>
        <w:szCs w:val="10"/>
        <w:lang w:val="en-US" w:eastAsia="en-US" w:bidi="en-US"/>
      </w:rPr>
    </w:lvl>
    <w:lvl w:ilvl="1" w:tplc="E9AE5D88">
      <w:numFmt w:val="bullet"/>
      <w:lvlText w:val="•"/>
      <w:lvlJc w:val="left"/>
      <w:pPr>
        <w:ind w:left="3542" w:hanging="227"/>
      </w:pPr>
      <w:rPr>
        <w:rFonts w:hint="default"/>
        <w:lang w:val="en-US" w:eastAsia="en-US" w:bidi="en-US"/>
      </w:rPr>
    </w:lvl>
    <w:lvl w:ilvl="2" w:tplc="A7CE0250">
      <w:numFmt w:val="bullet"/>
      <w:lvlText w:val="•"/>
      <w:lvlJc w:val="left"/>
      <w:pPr>
        <w:ind w:left="4245" w:hanging="227"/>
      </w:pPr>
      <w:rPr>
        <w:rFonts w:hint="default"/>
        <w:lang w:val="en-US" w:eastAsia="en-US" w:bidi="en-US"/>
      </w:rPr>
    </w:lvl>
    <w:lvl w:ilvl="3" w:tplc="21D2F7E0">
      <w:numFmt w:val="bullet"/>
      <w:lvlText w:val="•"/>
      <w:lvlJc w:val="left"/>
      <w:pPr>
        <w:ind w:left="4947" w:hanging="227"/>
      </w:pPr>
      <w:rPr>
        <w:rFonts w:hint="default"/>
        <w:lang w:val="en-US" w:eastAsia="en-US" w:bidi="en-US"/>
      </w:rPr>
    </w:lvl>
    <w:lvl w:ilvl="4" w:tplc="F078B356">
      <w:numFmt w:val="bullet"/>
      <w:lvlText w:val="•"/>
      <w:lvlJc w:val="left"/>
      <w:pPr>
        <w:ind w:left="5650" w:hanging="227"/>
      </w:pPr>
      <w:rPr>
        <w:rFonts w:hint="default"/>
        <w:lang w:val="en-US" w:eastAsia="en-US" w:bidi="en-US"/>
      </w:rPr>
    </w:lvl>
    <w:lvl w:ilvl="5" w:tplc="842885F8">
      <w:numFmt w:val="bullet"/>
      <w:lvlText w:val="•"/>
      <w:lvlJc w:val="left"/>
      <w:pPr>
        <w:ind w:left="6352" w:hanging="227"/>
      </w:pPr>
      <w:rPr>
        <w:rFonts w:hint="default"/>
        <w:lang w:val="en-US" w:eastAsia="en-US" w:bidi="en-US"/>
      </w:rPr>
    </w:lvl>
    <w:lvl w:ilvl="6" w:tplc="0D060B72">
      <w:numFmt w:val="bullet"/>
      <w:lvlText w:val="•"/>
      <w:lvlJc w:val="left"/>
      <w:pPr>
        <w:ind w:left="7055" w:hanging="227"/>
      </w:pPr>
      <w:rPr>
        <w:rFonts w:hint="default"/>
        <w:lang w:val="en-US" w:eastAsia="en-US" w:bidi="en-US"/>
      </w:rPr>
    </w:lvl>
    <w:lvl w:ilvl="7" w:tplc="87880572">
      <w:numFmt w:val="bullet"/>
      <w:lvlText w:val="•"/>
      <w:lvlJc w:val="left"/>
      <w:pPr>
        <w:ind w:left="7757" w:hanging="227"/>
      </w:pPr>
      <w:rPr>
        <w:rFonts w:hint="default"/>
        <w:lang w:val="en-US" w:eastAsia="en-US" w:bidi="en-US"/>
      </w:rPr>
    </w:lvl>
    <w:lvl w:ilvl="8" w:tplc="5EC6675C">
      <w:numFmt w:val="bullet"/>
      <w:lvlText w:val="•"/>
      <w:lvlJc w:val="left"/>
      <w:pPr>
        <w:ind w:left="8460" w:hanging="227"/>
      </w:pPr>
      <w:rPr>
        <w:rFonts w:hint="default"/>
        <w:lang w:val="en-US" w:eastAsia="en-US" w:bidi="en-US"/>
      </w:rPr>
    </w:lvl>
  </w:abstractNum>
  <w:abstractNum w:abstractNumId="11" w15:restartNumberingAfterBreak="0">
    <w:nsid w:val="0DD55F64"/>
    <w:multiLevelType w:val="hybridMultilevel"/>
    <w:tmpl w:val="8F88FBD2"/>
    <w:lvl w:ilvl="0" w:tplc="44E470DE">
      <w:start w:val="75"/>
      <w:numFmt w:val="decimal"/>
      <w:lvlText w:val="%1."/>
      <w:lvlJc w:val="left"/>
      <w:pPr>
        <w:ind w:left="2835" w:hanging="227"/>
        <w:jc w:val="left"/>
      </w:pPr>
      <w:rPr>
        <w:rFonts w:ascii="Calibri" w:eastAsia="Calibri" w:hAnsi="Calibri" w:cs="Calibri" w:hint="default"/>
        <w:color w:val="4D4D4F"/>
        <w:spacing w:val="0"/>
        <w:w w:val="83"/>
        <w:sz w:val="12"/>
        <w:szCs w:val="12"/>
        <w:lang w:val="en-US" w:eastAsia="en-US" w:bidi="en-US"/>
      </w:rPr>
    </w:lvl>
    <w:lvl w:ilvl="1" w:tplc="72604ED2">
      <w:numFmt w:val="bullet"/>
      <w:lvlText w:val="•"/>
      <w:lvlJc w:val="left"/>
      <w:pPr>
        <w:ind w:left="3542" w:hanging="227"/>
      </w:pPr>
      <w:rPr>
        <w:rFonts w:hint="default"/>
        <w:lang w:val="en-US" w:eastAsia="en-US" w:bidi="en-US"/>
      </w:rPr>
    </w:lvl>
    <w:lvl w:ilvl="2" w:tplc="5948A140">
      <w:numFmt w:val="bullet"/>
      <w:lvlText w:val="•"/>
      <w:lvlJc w:val="left"/>
      <w:pPr>
        <w:ind w:left="4245" w:hanging="227"/>
      </w:pPr>
      <w:rPr>
        <w:rFonts w:hint="default"/>
        <w:lang w:val="en-US" w:eastAsia="en-US" w:bidi="en-US"/>
      </w:rPr>
    </w:lvl>
    <w:lvl w:ilvl="3" w:tplc="9FC0069A">
      <w:numFmt w:val="bullet"/>
      <w:lvlText w:val="•"/>
      <w:lvlJc w:val="left"/>
      <w:pPr>
        <w:ind w:left="4947" w:hanging="227"/>
      </w:pPr>
      <w:rPr>
        <w:rFonts w:hint="default"/>
        <w:lang w:val="en-US" w:eastAsia="en-US" w:bidi="en-US"/>
      </w:rPr>
    </w:lvl>
    <w:lvl w:ilvl="4" w:tplc="B308E2B0">
      <w:numFmt w:val="bullet"/>
      <w:lvlText w:val="•"/>
      <w:lvlJc w:val="left"/>
      <w:pPr>
        <w:ind w:left="5650" w:hanging="227"/>
      </w:pPr>
      <w:rPr>
        <w:rFonts w:hint="default"/>
        <w:lang w:val="en-US" w:eastAsia="en-US" w:bidi="en-US"/>
      </w:rPr>
    </w:lvl>
    <w:lvl w:ilvl="5" w:tplc="07C2EDFA">
      <w:numFmt w:val="bullet"/>
      <w:lvlText w:val="•"/>
      <w:lvlJc w:val="left"/>
      <w:pPr>
        <w:ind w:left="6352" w:hanging="227"/>
      </w:pPr>
      <w:rPr>
        <w:rFonts w:hint="default"/>
        <w:lang w:val="en-US" w:eastAsia="en-US" w:bidi="en-US"/>
      </w:rPr>
    </w:lvl>
    <w:lvl w:ilvl="6" w:tplc="292E258A">
      <w:numFmt w:val="bullet"/>
      <w:lvlText w:val="•"/>
      <w:lvlJc w:val="left"/>
      <w:pPr>
        <w:ind w:left="7055" w:hanging="227"/>
      </w:pPr>
      <w:rPr>
        <w:rFonts w:hint="default"/>
        <w:lang w:val="en-US" w:eastAsia="en-US" w:bidi="en-US"/>
      </w:rPr>
    </w:lvl>
    <w:lvl w:ilvl="7" w:tplc="97DEB822">
      <w:numFmt w:val="bullet"/>
      <w:lvlText w:val="•"/>
      <w:lvlJc w:val="left"/>
      <w:pPr>
        <w:ind w:left="7757" w:hanging="227"/>
      </w:pPr>
      <w:rPr>
        <w:rFonts w:hint="default"/>
        <w:lang w:val="en-US" w:eastAsia="en-US" w:bidi="en-US"/>
      </w:rPr>
    </w:lvl>
    <w:lvl w:ilvl="8" w:tplc="73FACCE6">
      <w:numFmt w:val="bullet"/>
      <w:lvlText w:val="•"/>
      <w:lvlJc w:val="left"/>
      <w:pPr>
        <w:ind w:left="8460" w:hanging="227"/>
      </w:pPr>
      <w:rPr>
        <w:rFonts w:hint="default"/>
        <w:lang w:val="en-US" w:eastAsia="en-US" w:bidi="en-US"/>
      </w:rPr>
    </w:lvl>
  </w:abstractNum>
  <w:abstractNum w:abstractNumId="12" w15:restartNumberingAfterBreak="0">
    <w:nsid w:val="151B728F"/>
    <w:multiLevelType w:val="hybridMultilevel"/>
    <w:tmpl w:val="4418C732"/>
    <w:lvl w:ilvl="0" w:tplc="50BE01CA">
      <w:start w:val="129"/>
      <w:numFmt w:val="decimal"/>
      <w:lvlText w:val="%1."/>
      <w:lvlJc w:val="left"/>
      <w:pPr>
        <w:ind w:left="2835" w:hanging="227"/>
        <w:jc w:val="left"/>
      </w:pPr>
      <w:rPr>
        <w:rFonts w:ascii="Calibri" w:eastAsia="Calibri" w:hAnsi="Calibri" w:cs="Calibri" w:hint="default"/>
        <w:color w:val="4D4D4F"/>
        <w:spacing w:val="-4"/>
        <w:w w:val="83"/>
        <w:sz w:val="12"/>
        <w:szCs w:val="12"/>
        <w:lang w:val="en-US" w:eastAsia="en-US" w:bidi="en-US"/>
      </w:rPr>
    </w:lvl>
    <w:lvl w:ilvl="1" w:tplc="F20695C0">
      <w:numFmt w:val="bullet"/>
      <w:lvlText w:val="•"/>
      <w:lvlJc w:val="left"/>
      <w:pPr>
        <w:ind w:left="3542" w:hanging="227"/>
      </w:pPr>
      <w:rPr>
        <w:rFonts w:hint="default"/>
        <w:lang w:val="en-US" w:eastAsia="en-US" w:bidi="en-US"/>
      </w:rPr>
    </w:lvl>
    <w:lvl w:ilvl="2" w:tplc="8E84013E">
      <w:numFmt w:val="bullet"/>
      <w:lvlText w:val="•"/>
      <w:lvlJc w:val="left"/>
      <w:pPr>
        <w:ind w:left="4245" w:hanging="227"/>
      </w:pPr>
      <w:rPr>
        <w:rFonts w:hint="default"/>
        <w:lang w:val="en-US" w:eastAsia="en-US" w:bidi="en-US"/>
      </w:rPr>
    </w:lvl>
    <w:lvl w:ilvl="3" w:tplc="FC5C1486">
      <w:numFmt w:val="bullet"/>
      <w:lvlText w:val="•"/>
      <w:lvlJc w:val="left"/>
      <w:pPr>
        <w:ind w:left="4947" w:hanging="227"/>
      </w:pPr>
      <w:rPr>
        <w:rFonts w:hint="default"/>
        <w:lang w:val="en-US" w:eastAsia="en-US" w:bidi="en-US"/>
      </w:rPr>
    </w:lvl>
    <w:lvl w:ilvl="4" w:tplc="D8D61168">
      <w:numFmt w:val="bullet"/>
      <w:lvlText w:val="•"/>
      <w:lvlJc w:val="left"/>
      <w:pPr>
        <w:ind w:left="5650" w:hanging="227"/>
      </w:pPr>
      <w:rPr>
        <w:rFonts w:hint="default"/>
        <w:lang w:val="en-US" w:eastAsia="en-US" w:bidi="en-US"/>
      </w:rPr>
    </w:lvl>
    <w:lvl w:ilvl="5" w:tplc="FE20CC64">
      <w:numFmt w:val="bullet"/>
      <w:lvlText w:val="•"/>
      <w:lvlJc w:val="left"/>
      <w:pPr>
        <w:ind w:left="6352" w:hanging="227"/>
      </w:pPr>
      <w:rPr>
        <w:rFonts w:hint="default"/>
        <w:lang w:val="en-US" w:eastAsia="en-US" w:bidi="en-US"/>
      </w:rPr>
    </w:lvl>
    <w:lvl w:ilvl="6" w:tplc="9A0AED9E">
      <w:numFmt w:val="bullet"/>
      <w:lvlText w:val="•"/>
      <w:lvlJc w:val="left"/>
      <w:pPr>
        <w:ind w:left="7055" w:hanging="227"/>
      </w:pPr>
      <w:rPr>
        <w:rFonts w:hint="default"/>
        <w:lang w:val="en-US" w:eastAsia="en-US" w:bidi="en-US"/>
      </w:rPr>
    </w:lvl>
    <w:lvl w:ilvl="7" w:tplc="8B0A81B2">
      <w:numFmt w:val="bullet"/>
      <w:lvlText w:val="•"/>
      <w:lvlJc w:val="left"/>
      <w:pPr>
        <w:ind w:left="7757" w:hanging="227"/>
      </w:pPr>
      <w:rPr>
        <w:rFonts w:hint="default"/>
        <w:lang w:val="en-US" w:eastAsia="en-US" w:bidi="en-US"/>
      </w:rPr>
    </w:lvl>
    <w:lvl w:ilvl="8" w:tplc="00C4C4EC">
      <w:numFmt w:val="bullet"/>
      <w:lvlText w:val="•"/>
      <w:lvlJc w:val="left"/>
      <w:pPr>
        <w:ind w:left="8460" w:hanging="227"/>
      </w:pPr>
      <w:rPr>
        <w:rFonts w:hint="default"/>
        <w:lang w:val="en-US" w:eastAsia="en-US" w:bidi="en-US"/>
      </w:rPr>
    </w:lvl>
  </w:abstractNum>
  <w:abstractNum w:abstractNumId="13" w15:restartNumberingAfterBreak="0">
    <w:nsid w:val="16E0381F"/>
    <w:multiLevelType w:val="hybridMultilevel"/>
    <w:tmpl w:val="6E0E9CBE"/>
    <w:lvl w:ilvl="0" w:tplc="A9247D18">
      <w:numFmt w:val="bullet"/>
      <w:lvlText w:val="•"/>
      <w:lvlJc w:val="left"/>
      <w:pPr>
        <w:ind w:left="1834" w:hanging="93"/>
      </w:pPr>
      <w:rPr>
        <w:rFonts w:ascii="Calibri" w:eastAsia="Calibri" w:hAnsi="Calibri" w:cs="Calibri" w:hint="default"/>
        <w:color w:val="231F20"/>
        <w:w w:val="59"/>
        <w:sz w:val="17"/>
        <w:szCs w:val="17"/>
        <w:lang w:val="en-US" w:eastAsia="en-US" w:bidi="en-US"/>
      </w:rPr>
    </w:lvl>
    <w:lvl w:ilvl="1" w:tplc="68CE4256">
      <w:numFmt w:val="bullet"/>
      <w:lvlText w:val="•"/>
      <w:lvlJc w:val="left"/>
      <w:pPr>
        <w:ind w:left="2033" w:hanging="93"/>
      </w:pPr>
      <w:rPr>
        <w:rFonts w:hint="default"/>
        <w:lang w:val="en-US" w:eastAsia="en-US" w:bidi="en-US"/>
      </w:rPr>
    </w:lvl>
    <w:lvl w:ilvl="2" w:tplc="4A483D12">
      <w:numFmt w:val="bullet"/>
      <w:lvlText w:val="•"/>
      <w:lvlJc w:val="left"/>
      <w:pPr>
        <w:ind w:left="2226" w:hanging="93"/>
      </w:pPr>
      <w:rPr>
        <w:rFonts w:hint="default"/>
        <w:lang w:val="en-US" w:eastAsia="en-US" w:bidi="en-US"/>
      </w:rPr>
    </w:lvl>
    <w:lvl w:ilvl="3" w:tplc="37AE93E8">
      <w:numFmt w:val="bullet"/>
      <w:lvlText w:val="•"/>
      <w:lvlJc w:val="left"/>
      <w:pPr>
        <w:ind w:left="2419" w:hanging="93"/>
      </w:pPr>
      <w:rPr>
        <w:rFonts w:hint="default"/>
        <w:lang w:val="en-US" w:eastAsia="en-US" w:bidi="en-US"/>
      </w:rPr>
    </w:lvl>
    <w:lvl w:ilvl="4" w:tplc="A0C2A1E0">
      <w:numFmt w:val="bullet"/>
      <w:lvlText w:val="•"/>
      <w:lvlJc w:val="left"/>
      <w:pPr>
        <w:ind w:left="2612" w:hanging="93"/>
      </w:pPr>
      <w:rPr>
        <w:rFonts w:hint="default"/>
        <w:lang w:val="en-US" w:eastAsia="en-US" w:bidi="en-US"/>
      </w:rPr>
    </w:lvl>
    <w:lvl w:ilvl="5" w:tplc="78409EC4">
      <w:numFmt w:val="bullet"/>
      <w:lvlText w:val="•"/>
      <w:lvlJc w:val="left"/>
      <w:pPr>
        <w:ind w:left="2805" w:hanging="93"/>
      </w:pPr>
      <w:rPr>
        <w:rFonts w:hint="default"/>
        <w:lang w:val="en-US" w:eastAsia="en-US" w:bidi="en-US"/>
      </w:rPr>
    </w:lvl>
    <w:lvl w:ilvl="6" w:tplc="70503AB4">
      <w:numFmt w:val="bullet"/>
      <w:lvlText w:val="•"/>
      <w:lvlJc w:val="left"/>
      <w:pPr>
        <w:ind w:left="2998" w:hanging="93"/>
      </w:pPr>
      <w:rPr>
        <w:rFonts w:hint="default"/>
        <w:lang w:val="en-US" w:eastAsia="en-US" w:bidi="en-US"/>
      </w:rPr>
    </w:lvl>
    <w:lvl w:ilvl="7" w:tplc="6AAA8AC6">
      <w:numFmt w:val="bullet"/>
      <w:lvlText w:val="•"/>
      <w:lvlJc w:val="left"/>
      <w:pPr>
        <w:ind w:left="3191" w:hanging="93"/>
      </w:pPr>
      <w:rPr>
        <w:rFonts w:hint="default"/>
        <w:lang w:val="en-US" w:eastAsia="en-US" w:bidi="en-US"/>
      </w:rPr>
    </w:lvl>
    <w:lvl w:ilvl="8" w:tplc="7684013E">
      <w:numFmt w:val="bullet"/>
      <w:lvlText w:val="•"/>
      <w:lvlJc w:val="left"/>
      <w:pPr>
        <w:ind w:left="3385" w:hanging="93"/>
      </w:pPr>
      <w:rPr>
        <w:rFonts w:hint="default"/>
        <w:lang w:val="en-US" w:eastAsia="en-US" w:bidi="en-US"/>
      </w:rPr>
    </w:lvl>
  </w:abstractNum>
  <w:abstractNum w:abstractNumId="14" w15:restartNumberingAfterBreak="0">
    <w:nsid w:val="1D656129"/>
    <w:multiLevelType w:val="hybridMultilevel"/>
    <w:tmpl w:val="68ECA562"/>
    <w:lvl w:ilvl="0" w:tplc="48D80B3A">
      <w:start w:val="1"/>
      <w:numFmt w:val="decimal"/>
      <w:lvlText w:val="%1."/>
      <w:lvlJc w:val="left"/>
      <w:pPr>
        <w:ind w:left="2788" w:hanging="181"/>
        <w:jc w:val="left"/>
      </w:pPr>
      <w:rPr>
        <w:rFonts w:ascii="Calibri" w:eastAsia="Calibri" w:hAnsi="Calibri" w:cs="Calibri" w:hint="default"/>
        <w:color w:val="4D4D4F"/>
        <w:spacing w:val="-10"/>
        <w:w w:val="83"/>
        <w:sz w:val="20"/>
        <w:szCs w:val="20"/>
        <w:lang w:val="en-US" w:eastAsia="en-US" w:bidi="en-US"/>
      </w:rPr>
    </w:lvl>
    <w:lvl w:ilvl="1" w:tplc="F3BC0848">
      <w:start w:val="1"/>
      <w:numFmt w:val="lowerLetter"/>
      <w:lvlText w:val="%2."/>
      <w:lvlJc w:val="left"/>
      <w:pPr>
        <w:ind w:left="3365" w:hanging="191"/>
        <w:jc w:val="left"/>
      </w:pPr>
      <w:rPr>
        <w:rFonts w:ascii="Calibri" w:eastAsia="Calibri" w:hAnsi="Calibri" w:cs="Calibri" w:hint="default"/>
        <w:color w:val="4D4D4F"/>
        <w:w w:val="83"/>
        <w:sz w:val="20"/>
        <w:szCs w:val="20"/>
        <w:lang w:val="en-US" w:eastAsia="en-US" w:bidi="en-US"/>
      </w:rPr>
    </w:lvl>
    <w:lvl w:ilvl="2" w:tplc="36EEAEE8">
      <w:numFmt w:val="bullet"/>
      <w:lvlText w:val="•"/>
      <w:lvlJc w:val="left"/>
      <w:pPr>
        <w:ind w:left="4082" w:hanging="191"/>
      </w:pPr>
      <w:rPr>
        <w:rFonts w:hint="default"/>
        <w:lang w:val="en-US" w:eastAsia="en-US" w:bidi="en-US"/>
      </w:rPr>
    </w:lvl>
    <w:lvl w:ilvl="3" w:tplc="90768AB2">
      <w:numFmt w:val="bullet"/>
      <w:lvlText w:val="•"/>
      <w:lvlJc w:val="left"/>
      <w:pPr>
        <w:ind w:left="4805" w:hanging="191"/>
      </w:pPr>
      <w:rPr>
        <w:rFonts w:hint="default"/>
        <w:lang w:val="en-US" w:eastAsia="en-US" w:bidi="en-US"/>
      </w:rPr>
    </w:lvl>
    <w:lvl w:ilvl="4" w:tplc="362A6E5E">
      <w:numFmt w:val="bullet"/>
      <w:lvlText w:val="•"/>
      <w:lvlJc w:val="left"/>
      <w:pPr>
        <w:ind w:left="5528" w:hanging="191"/>
      </w:pPr>
      <w:rPr>
        <w:rFonts w:hint="default"/>
        <w:lang w:val="en-US" w:eastAsia="en-US" w:bidi="en-US"/>
      </w:rPr>
    </w:lvl>
    <w:lvl w:ilvl="5" w:tplc="AB2064D8">
      <w:numFmt w:val="bullet"/>
      <w:lvlText w:val="•"/>
      <w:lvlJc w:val="left"/>
      <w:pPr>
        <w:ind w:left="6251" w:hanging="191"/>
      </w:pPr>
      <w:rPr>
        <w:rFonts w:hint="default"/>
        <w:lang w:val="en-US" w:eastAsia="en-US" w:bidi="en-US"/>
      </w:rPr>
    </w:lvl>
    <w:lvl w:ilvl="6" w:tplc="3A9AB748">
      <w:numFmt w:val="bullet"/>
      <w:lvlText w:val="•"/>
      <w:lvlJc w:val="left"/>
      <w:pPr>
        <w:ind w:left="6974" w:hanging="191"/>
      </w:pPr>
      <w:rPr>
        <w:rFonts w:hint="default"/>
        <w:lang w:val="en-US" w:eastAsia="en-US" w:bidi="en-US"/>
      </w:rPr>
    </w:lvl>
    <w:lvl w:ilvl="7" w:tplc="D060A788">
      <w:numFmt w:val="bullet"/>
      <w:lvlText w:val="•"/>
      <w:lvlJc w:val="left"/>
      <w:pPr>
        <w:ind w:left="7697" w:hanging="191"/>
      </w:pPr>
      <w:rPr>
        <w:rFonts w:hint="default"/>
        <w:lang w:val="en-US" w:eastAsia="en-US" w:bidi="en-US"/>
      </w:rPr>
    </w:lvl>
    <w:lvl w:ilvl="8" w:tplc="A600C56C">
      <w:numFmt w:val="bullet"/>
      <w:lvlText w:val="•"/>
      <w:lvlJc w:val="left"/>
      <w:pPr>
        <w:ind w:left="8419" w:hanging="191"/>
      </w:pPr>
      <w:rPr>
        <w:rFonts w:hint="default"/>
        <w:lang w:val="en-US" w:eastAsia="en-US" w:bidi="en-US"/>
      </w:rPr>
    </w:lvl>
  </w:abstractNum>
  <w:abstractNum w:abstractNumId="15" w15:restartNumberingAfterBreak="0">
    <w:nsid w:val="1F897E13"/>
    <w:multiLevelType w:val="hybridMultilevel"/>
    <w:tmpl w:val="D0780AA0"/>
    <w:lvl w:ilvl="0" w:tplc="02908CCA">
      <w:numFmt w:val="bullet"/>
      <w:lvlText w:val="•"/>
      <w:lvlJc w:val="left"/>
      <w:pPr>
        <w:ind w:left="396" w:hanging="170"/>
      </w:pPr>
      <w:rPr>
        <w:rFonts w:ascii="Calibri" w:eastAsia="Calibri" w:hAnsi="Calibri" w:cs="Calibri" w:hint="default"/>
        <w:b/>
        <w:bCs/>
        <w:i/>
        <w:color w:val="4D4D4F"/>
        <w:w w:val="59"/>
        <w:sz w:val="20"/>
        <w:szCs w:val="20"/>
        <w:lang w:val="en-US" w:eastAsia="en-US" w:bidi="en-US"/>
      </w:rPr>
    </w:lvl>
    <w:lvl w:ilvl="1" w:tplc="A94AFF20">
      <w:numFmt w:val="bullet"/>
      <w:lvlText w:val="•"/>
      <w:lvlJc w:val="left"/>
      <w:pPr>
        <w:ind w:left="1072" w:hanging="170"/>
      </w:pPr>
      <w:rPr>
        <w:rFonts w:hint="default"/>
        <w:lang w:val="en-US" w:eastAsia="en-US" w:bidi="en-US"/>
      </w:rPr>
    </w:lvl>
    <w:lvl w:ilvl="2" w:tplc="FCF84E02">
      <w:numFmt w:val="bullet"/>
      <w:lvlText w:val="•"/>
      <w:lvlJc w:val="left"/>
      <w:pPr>
        <w:ind w:left="1744" w:hanging="170"/>
      </w:pPr>
      <w:rPr>
        <w:rFonts w:hint="default"/>
        <w:lang w:val="en-US" w:eastAsia="en-US" w:bidi="en-US"/>
      </w:rPr>
    </w:lvl>
    <w:lvl w:ilvl="3" w:tplc="02B099B0">
      <w:numFmt w:val="bullet"/>
      <w:lvlText w:val="•"/>
      <w:lvlJc w:val="left"/>
      <w:pPr>
        <w:ind w:left="2416" w:hanging="170"/>
      </w:pPr>
      <w:rPr>
        <w:rFonts w:hint="default"/>
        <w:lang w:val="en-US" w:eastAsia="en-US" w:bidi="en-US"/>
      </w:rPr>
    </w:lvl>
    <w:lvl w:ilvl="4" w:tplc="908A93DE">
      <w:numFmt w:val="bullet"/>
      <w:lvlText w:val="•"/>
      <w:lvlJc w:val="left"/>
      <w:pPr>
        <w:ind w:left="3089" w:hanging="170"/>
      </w:pPr>
      <w:rPr>
        <w:rFonts w:hint="default"/>
        <w:lang w:val="en-US" w:eastAsia="en-US" w:bidi="en-US"/>
      </w:rPr>
    </w:lvl>
    <w:lvl w:ilvl="5" w:tplc="4B3EFF60">
      <w:numFmt w:val="bullet"/>
      <w:lvlText w:val="•"/>
      <w:lvlJc w:val="left"/>
      <w:pPr>
        <w:ind w:left="3761" w:hanging="170"/>
      </w:pPr>
      <w:rPr>
        <w:rFonts w:hint="default"/>
        <w:lang w:val="en-US" w:eastAsia="en-US" w:bidi="en-US"/>
      </w:rPr>
    </w:lvl>
    <w:lvl w:ilvl="6" w:tplc="97307768">
      <w:numFmt w:val="bullet"/>
      <w:lvlText w:val="•"/>
      <w:lvlJc w:val="left"/>
      <w:pPr>
        <w:ind w:left="4433" w:hanging="170"/>
      </w:pPr>
      <w:rPr>
        <w:rFonts w:hint="default"/>
        <w:lang w:val="en-US" w:eastAsia="en-US" w:bidi="en-US"/>
      </w:rPr>
    </w:lvl>
    <w:lvl w:ilvl="7" w:tplc="6ADCDA7A">
      <w:numFmt w:val="bullet"/>
      <w:lvlText w:val="•"/>
      <w:lvlJc w:val="left"/>
      <w:pPr>
        <w:ind w:left="5106" w:hanging="170"/>
      </w:pPr>
      <w:rPr>
        <w:rFonts w:hint="default"/>
        <w:lang w:val="en-US" w:eastAsia="en-US" w:bidi="en-US"/>
      </w:rPr>
    </w:lvl>
    <w:lvl w:ilvl="8" w:tplc="346EAFBC">
      <w:numFmt w:val="bullet"/>
      <w:lvlText w:val="•"/>
      <w:lvlJc w:val="left"/>
      <w:pPr>
        <w:ind w:left="5778" w:hanging="170"/>
      </w:pPr>
      <w:rPr>
        <w:rFonts w:hint="default"/>
        <w:lang w:val="en-US" w:eastAsia="en-US" w:bidi="en-US"/>
      </w:rPr>
    </w:lvl>
  </w:abstractNum>
  <w:abstractNum w:abstractNumId="16" w15:restartNumberingAfterBreak="0">
    <w:nsid w:val="21DC20AD"/>
    <w:multiLevelType w:val="hybridMultilevel"/>
    <w:tmpl w:val="80163F20"/>
    <w:lvl w:ilvl="0" w:tplc="13BEB902">
      <w:start w:val="1"/>
      <w:numFmt w:val="lowerRoman"/>
      <w:lvlText w:val="(%1)"/>
      <w:lvlJc w:val="left"/>
      <w:pPr>
        <w:ind w:left="227" w:hanging="202"/>
        <w:jc w:val="left"/>
      </w:pPr>
      <w:rPr>
        <w:rFonts w:ascii="Calibri" w:eastAsia="Calibri" w:hAnsi="Calibri" w:cs="Calibri" w:hint="default"/>
        <w:color w:val="4D4D4F"/>
        <w:spacing w:val="-8"/>
        <w:w w:val="98"/>
        <w:sz w:val="20"/>
        <w:szCs w:val="20"/>
        <w:lang w:val="en-US" w:eastAsia="en-US" w:bidi="en-US"/>
      </w:rPr>
    </w:lvl>
    <w:lvl w:ilvl="1" w:tplc="1AA81DAC">
      <w:numFmt w:val="bullet"/>
      <w:lvlText w:val="•"/>
      <w:lvlJc w:val="left"/>
      <w:pPr>
        <w:ind w:left="2778" w:hanging="170"/>
      </w:pPr>
      <w:rPr>
        <w:rFonts w:ascii="Calibri" w:eastAsia="Calibri" w:hAnsi="Calibri" w:cs="Calibri" w:hint="default"/>
        <w:color w:val="4D4D4F"/>
        <w:w w:val="59"/>
        <w:sz w:val="20"/>
        <w:szCs w:val="20"/>
        <w:lang w:val="en-US" w:eastAsia="en-US" w:bidi="en-US"/>
      </w:rPr>
    </w:lvl>
    <w:lvl w:ilvl="2" w:tplc="A386CA7E">
      <w:numFmt w:val="bullet"/>
      <w:lvlText w:val="•"/>
      <w:lvlJc w:val="left"/>
      <w:pPr>
        <w:ind w:left="3290" w:hanging="170"/>
      </w:pPr>
      <w:rPr>
        <w:rFonts w:hint="default"/>
        <w:lang w:val="en-US" w:eastAsia="en-US" w:bidi="en-US"/>
      </w:rPr>
    </w:lvl>
    <w:lvl w:ilvl="3" w:tplc="C3C05826">
      <w:numFmt w:val="bullet"/>
      <w:lvlText w:val="•"/>
      <w:lvlJc w:val="left"/>
      <w:pPr>
        <w:ind w:left="3800" w:hanging="170"/>
      </w:pPr>
      <w:rPr>
        <w:rFonts w:hint="default"/>
        <w:lang w:val="en-US" w:eastAsia="en-US" w:bidi="en-US"/>
      </w:rPr>
    </w:lvl>
    <w:lvl w:ilvl="4" w:tplc="FAF2BB0E">
      <w:numFmt w:val="bullet"/>
      <w:lvlText w:val="•"/>
      <w:lvlJc w:val="left"/>
      <w:pPr>
        <w:ind w:left="4310" w:hanging="170"/>
      </w:pPr>
      <w:rPr>
        <w:rFonts w:hint="default"/>
        <w:lang w:val="en-US" w:eastAsia="en-US" w:bidi="en-US"/>
      </w:rPr>
    </w:lvl>
    <w:lvl w:ilvl="5" w:tplc="86B2B9DE">
      <w:numFmt w:val="bullet"/>
      <w:lvlText w:val="•"/>
      <w:lvlJc w:val="left"/>
      <w:pPr>
        <w:ind w:left="4820" w:hanging="170"/>
      </w:pPr>
      <w:rPr>
        <w:rFonts w:hint="default"/>
        <w:lang w:val="en-US" w:eastAsia="en-US" w:bidi="en-US"/>
      </w:rPr>
    </w:lvl>
    <w:lvl w:ilvl="6" w:tplc="34226FB4">
      <w:numFmt w:val="bullet"/>
      <w:lvlText w:val="•"/>
      <w:lvlJc w:val="left"/>
      <w:pPr>
        <w:ind w:left="5330" w:hanging="170"/>
      </w:pPr>
      <w:rPr>
        <w:rFonts w:hint="default"/>
        <w:lang w:val="en-US" w:eastAsia="en-US" w:bidi="en-US"/>
      </w:rPr>
    </w:lvl>
    <w:lvl w:ilvl="7" w:tplc="CEC4DBF8">
      <w:numFmt w:val="bullet"/>
      <w:lvlText w:val="•"/>
      <w:lvlJc w:val="left"/>
      <w:pPr>
        <w:ind w:left="5840" w:hanging="170"/>
      </w:pPr>
      <w:rPr>
        <w:rFonts w:hint="default"/>
        <w:lang w:val="en-US" w:eastAsia="en-US" w:bidi="en-US"/>
      </w:rPr>
    </w:lvl>
    <w:lvl w:ilvl="8" w:tplc="708AF41A">
      <w:numFmt w:val="bullet"/>
      <w:lvlText w:val="•"/>
      <w:lvlJc w:val="left"/>
      <w:pPr>
        <w:ind w:left="6350" w:hanging="170"/>
      </w:pPr>
      <w:rPr>
        <w:rFonts w:hint="default"/>
        <w:lang w:val="en-US" w:eastAsia="en-US" w:bidi="en-US"/>
      </w:rPr>
    </w:lvl>
  </w:abstractNum>
  <w:abstractNum w:abstractNumId="17" w15:restartNumberingAfterBreak="0">
    <w:nsid w:val="227D50A2"/>
    <w:multiLevelType w:val="hybridMultilevel"/>
    <w:tmpl w:val="4A24AE24"/>
    <w:lvl w:ilvl="0" w:tplc="4052F3AA">
      <w:start w:val="198"/>
      <w:numFmt w:val="decimal"/>
      <w:lvlText w:val="%1."/>
      <w:lvlJc w:val="left"/>
      <w:pPr>
        <w:ind w:left="2835" w:hanging="227"/>
        <w:jc w:val="left"/>
      </w:pPr>
      <w:rPr>
        <w:rFonts w:ascii="Calibri" w:eastAsia="Calibri" w:hAnsi="Calibri" w:cs="Calibri" w:hint="default"/>
        <w:color w:val="4D4D4F"/>
        <w:spacing w:val="-5"/>
        <w:w w:val="83"/>
        <w:sz w:val="12"/>
        <w:szCs w:val="12"/>
        <w:lang w:val="en-US" w:eastAsia="en-US" w:bidi="en-US"/>
      </w:rPr>
    </w:lvl>
    <w:lvl w:ilvl="1" w:tplc="8B968D46">
      <w:numFmt w:val="bullet"/>
      <w:lvlText w:val="•"/>
      <w:lvlJc w:val="left"/>
      <w:pPr>
        <w:ind w:left="3542" w:hanging="227"/>
      </w:pPr>
      <w:rPr>
        <w:rFonts w:hint="default"/>
        <w:lang w:val="en-US" w:eastAsia="en-US" w:bidi="en-US"/>
      </w:rPr>
    </w:lvl>
    <w:lvl w:ilvl="2" w:tplc="37F03BFC">
      <w:numFmt w:val="bullet"/>
      <w:lvlText w:val="•"/>
      <w:lvlJc w:val="left"/>
      <w:pPr>
        <w:ind w:left="4245" w:hanging="227"/>
      </w:pPr>
      <w:rPr>
        <w:rFonts w:hint="default"/>
        <w:lang w:val="en-US" w:eastAsia="en-US" w:bidi="en-US"/>
      </w:rPr>
    </w:lvl>
    <w:lvl w:ilvl="3" w:tplc="7AE67046">
      <w:numFmt w:val="bullet"/>
      <w:lvlText w:val="•"/>
      <w:lvlJc w:val="left"/>
      <w:pPr>
        <w:ind w:left="4947" w:hanging="227"/>
      </w:pPr>
      <w:rPr>
        <w:rFonts w:hint="default"/>
        <w:lang w:val="en-US" w:eastAsia="en-US" w:bidi="en-US"/>
      </w:rPr>
    </w:lvl>
    <w:lvl w:ilvl="4" w:tplc="C5ACFB7C">
      <w:numFmt w:val="bullet"/>
      <w:lvlText w:val="•"/>
      <w:lvlJc w:val="left"/>
      <w:pPr>
        <w:ind w:left="5650" w:hanging="227"/>
      </w:pPr>
      <w:rPr>
        <w:rFonts w:hint="default"/>
        <w:lang w:val="en-US" w:eastAsia="en-US" w:bidi="en-US"/>
      </w:rPr>
    </w:lvl>
    <w:lvl w:ilvl="5" w:tplc="4BA6B1B6">
      <w:numFmt w:val="bullet"/>
      <w:lvlText w:val="•"/>
      <w:lvlJc w:val="left"/>
      <w:pPr>
        <w:ind w:left="6352" w:hanging="227"/>
      </w:pPr>
      <w:rPr>
        <w:rFonts w:hint="default"/>
        <w:lang w:val="en-US" w:eastAsia="en-US" w:bidi="en-US"/>
      </w:rPr>
    </w:lvl>
    <w:lvl w:ilvl="6" w:tplc="42564D28">
      <w:numFmt w:val="bullet"/>
      <w:lvlText w:val="•"/>
      <w:lvlJc w:val="left"/>
      <w:pPr>
        <w:ind w:left="7055" w:hanging="227"/>
      </w:pPr>
      <w:rPr>
        <w:rFonts w:hint="default"/>
        <w:lang w:val="en-US" w:eastAsia="en-US" w:bidi="en-US"/>
      </w:rPr>
    </w:lvl>
    <w:lvl w:ilvl="7" w:tplc="4718E0C0">
      <w:numFmt w:val="bullet"/>
      <w:lvlText w:val="•"/>
      <w:lvlJc w:val="left"/>
      <w:pPr>
        <w:ind w:left="7757" w:hanging="227"/>
      </w:pPr>
      <w:rPr>
        <w:rFonts w:hint="default"/>
        <w:lang w:val="en-US" w:eastAsia="en-US" w:bidi="en-US"/>
      </w:rPr>
    </w:lvl>
    <w:lvl w:ilvl="8" w:tplc="EB92C818">
      <w:numFmt w:val="bullet"/>
      <w:lvlText w:val="•"/>
      <w:lvlJc w:val="left"/>
      <w:pPr>
        <w:ind w:left="8460" w:hanging="227"/>
      </w:pPr>
      <w:rPr>
        <w:rFonts w:hint="default"/>
        <w:lang w:val="en-US" w:eastAsia="en-US" w:bidi="en-US"/>
      </w:rPr>
    </w:lvl>
  </w:abstractNum>
  <w:abstractNum w:abstractNumId="18" w15:restartNumberingAfterBreak="0">
    <w:nsid w:val="24981B3F"/>
    <w:multiLevelType w:val="hybridMultilevel"/>
    <w:tmpl w:val="0D2237A6"/>
    <w:lvl w:ilvl="0" w:tplc="4BDC9D90">
      <w:start w:val="222"/>
      <w:numFmt w:val="decimal"/>
      <w:lvlText w:val="%1."/>
      <w:lvlJc w:val="left"/>
      <w:pPr>
        <w:ind w:left="2835" w:hanging="227"/>
        <w:jc w:val="left"/>
      </w:pPr>
      <w:rPr>
        <w:rFonts w:ascii="Calibri" w:eastAsia="Calibri" w:hAnsi="Calibri" w:cs="Calibri" w:hint="default"/>
        <w:color w:val="4D4D4F"/>
        <w:spacing w:val="0"/>
        <w:w w:val="83"/>
        <w:sz w:val="10"/>
        <w:szCs w:val="10"/>
        <w:lang w:val="en-US" w:eastAsia="en-US" w:bidi="en-US"/>
      </w:rPr>
    </w:lvl>
    <w:lvl w:ilvl="1" w:tplc="333A9C16">
      <w:numFmt w:val="bullet"/>
      <w:lvlText w:val="•"/>
      <w:lvlJc w:val="left"/>
      <w:pPr>
        <w:ind w:left="3542" w:hanging="227"/>
      </w:pPr>
      <w:rPr>
        <w:rFonts w:hint="default"/>
        <w:lang w:val="en-US" w:eastAsia="en-US" w:bidi="en-US"/>
      </w:rPr>
    </w:lvl>
    <w:lvl w:ilvl="2" w:tplc="95880DC6">
      <w:numFmt w:val="bullet"/>
      <w:lvlText w:val="•"/>
      <w:lvlJc w:val="left"/>
      <w:pPr>
        <w:ind w:left="4245" w:hanging="227"/>
      </w:pPr>
      <w:rPr>
        <w:rFonts w:hint="default"/>
        <w:lang w:val="en-US" w:eastAsia="en-US" w:bidi="en-US"/>
      </w:rPr>
    </w:lvl>
    <w:lvl w:ilvl="3" w:tplc="CC429566">
      <w:numFmt w:val="bullet"/>
      <w:lvlText w:val="•"/>
      <w:lvlJc w:val="left"/>
      <w:pPr>
        <w:ind w:left="4947" w:hanging="227"/>
      </w:pPr>
      <w:rPr>
        <w:rFonts w:hint="default"/>
        <w:lang w:val="en-US" w:eastAsia="en-US" w:bidi="en-US"/>
      </w:rPr>
    </w:lvl>
    <w:lvl w:ilvl="4" w:tplc="E1226DD2">
      <w:numFmt w:val="bullet"/>
      <w:lvlText w:val="•"/>
      <w:lvlJc w:val="left"/>
      <w:pPr>
        <w:ind w:left="5650" w:hanging="227"/>
      </w:pPr>
      <w:rPr>
        <w:rFonts w:hint="default"/>
        <w:lang w:val="en-US" w:eastAsia="en-US" w:bidi="en-US"/>
      </w:rPr>
    </w:lvl>
    <w:lvl w:ilvl="5" w:tplc="8E1E85B0">
      <w:numFmt w:val="bullet"/>
      <w:lvlText w:val="•"/>
      <w:lvlJc w:val="left"/>
      <w:pPr>
        <w:ind w:left="6352" w:hanging="227"/>
      </w:pPr>
      <w:rPr>
        <w:rFonts w:hint="default"/>
        <w:lang w:val="en-US" w:eastAsia="en-US" w:bidi="en-US"/>
      </w:rPr>
    </w:lvl>
    <w:lvl w:ilvl="6" w:tplc="3BF6C78E">
      <w:numFmt w:val="bullet"/>
      <w:lvlText w:val="•"/>
      <w:lvlJc w:val="left"/>
      <w:pPr>
        <w:ind w:left="7055" w:hanging="227"/>
      </w:pPr>
      <w:rPr>
        <w:rFonts w:hint="default"/>
        <w:lang w:val="en-US" w:eastAsia="en-US" w:bidi="en-US"/>
      </w:rPr>
    </w:lvl>
    <w:lvl w:ilvl="7" w:tplc="3AF65A72">
      <w:numFmt w:val="bullet"/>
      <w:lvlText w:val="•"/>
      <w:lvlJc w:val="left"/>
      <w:pPr>
        <w:ind w:left="7757" w:hanging="227"/>
      </w:pPr>
      <w:rPr>
        <w:rFonts w:hint="default"/>
        <w:lang w:val="en-US" w:eastAsia="en-US" w:bidi="en-US"/>
      </w:rPr>
    </w:lvl>
    <w:lvl w:ilvl="8" w:tplc="4D1CBF18">
      <w:numFmt w:val="bullet"/>
      <w:lvlText w:val="•"/>
      <w:lvlJc w:val="left"/>
      <w:pPr>
        <w:ind w:left="8460" w:hanging="227"/>
      </w:pPr>
      <w:rPr>
        <w:rFonts w:hint="default"/>
        <w:lang w:val="en-US" w:eastAsia="en-US" w:bidi="en-US"/>
      </w:rPr>
    </w:lvl>
  </w:abstractNum>
  <w:abstractNum w:abstractNumId="19" w15:restartNumberingAfterBreak="0">
    <w:nsid w:val="25403FDA"/>
    <w:multiLevelType w:val="hybridMultilevel"/>
    <w:tmpl w:val="B93EF8DE"/>
    <w:lvl w:ilvl="0" w:tplc="1D965DE0">
      <w:numFmt w:val="bullet"/>
      <w:lvlText w:val="•"/>
      <w:lvlJc w:val="left"/>
      <w:pPr>
        <w:ind w:left="2778" w:hanging="170"/>
      </w:pPr>
      <w:rPr>
        <w:rFonts w:ascii="Calibri" w:eastAsia="Calibri" w:hAnsi="Calibri" w:cs="Calibri" w:hint="default"/>
        <w:color w:val="4D4D4F"/>
        <w:w w:val="59"/>
        <w:sz w:val="20"/>
        <w:szCs w:val="20"/>
        <w:lang w:val="en-US" w:eastAsia="en-US" w:bidi="en-US"/>
      </w:rPr>
    </w:lvl>
    <w:lvl w:ilvl="1" w:tplc="D44C28F0">
      <w:numFmt w:val="bullet"/>
      <w:lvlText w:val="•"/>
      <w:lvlJc w:val="left"/>
      <w:pPr>
        <w:ind w:left="3328" w:hanging="210"/>
      </w:pPr>
      <w:rPr>
        <w:rFonts w:ascii="Calibri" w:eastAsia="Calibri" w:hAnsi="Calibri" w:cs="Calibri" w:hint="default"/>
        <w:color w:val="4D4D4F"/>
        <w:w w:val="59"/>
        <w:sz w:val="20"/>
        <w:szCs w:val="20"/>
        <w:lang w:val="en-US" w:eastAsia="en-US" w:bidi="en-US"/>
      </w:rPr>
    </w:lvl>
    <w:lvl w:ilvl="2" w:tplc="014658B8">
      <w:numFmt w:val="bullet"/>
      <w:lvlText w:val="•"/>
      <w:lvlJc w:val="left"/>
      <w:pPr>
        <w:ind w:left="4047" w:hanging="210"/>
      </w:pPr>
      <w:rPr>
        <w:rFonts w:hint="default"/>
        <w:lang w:val="en-US" w:eastAsia="en-US" w:bidi="en-US"/>
      </w:rPr>
    </w:lvl>
    <w:lvl w:ilvl="3" w:tplc="EDB4A16C">
      <w:numFmt w:val="bullet"/>
      <w:lvlText w:val="•"/>
      <w:lvlJc w:val="left"/>
      <w:pPr>
        <w:ind w:left="4774" w:hanging="210"/>
      </w:pPr>
      <w:rPr>
        <w:rFonts w:hint="default"/>
        <w:lang w:val="en-US" w:eastAsia="en-US" w:bidi="en-US"/>
      </w:rPr>
    </w:lvl>
    <w:lvl w:ilvl="4" w:tplc="2018BDF8">
      <w:numFmt w:val="bullet"/>
      <w:lvlText w:val="•"/>
      <w:lvlJc w:val="left"/>
      <w:pPr>
        <w:ind w:left="5501" w:hanging="210"/>
      </w:pPr>
      <w:rPr>
        <w:rFonts w:hint="default"/>
        <w:lang w:val="en-US" w:eastAsia="en-US" w:bidi="en-US"/>
      </w:rPr>
    </w:lvl>
    <w:lvl w:ilvl="5" w:tplc="6FF0E93C">
      <w:numFmt w:val="bullet"/>
      <w:lvlText w:val="•"/>
      <w:lvlJc w:val="left"/>
      <w:pPr>
        <w:ind w:left="6229" w:hanging="210"/>
      </w:pPr>
      <w:rPr>
        <w:rFonts w:hint="default"/>
        <w:lang w:val="en-US" w:eastAsia="en-US" w:bidi="en-US"/>
      </w:rPr>
    </w:lvl>
    <w:lvl w:ilvl="6" w:tplc="20D4C732">
      <w:numFmt w:val="bullet"/>
      <w:lvlText w:val="•"/>
      <w:lvlJc w:val="left"/>
      <w:pPr>
        <w:ind w:left="6956" w:hanging="210"/>
      </w:pPr>
      <w:rPr>
        <w:rFonts w:hint="default"/>
        <w:lang w:val="en-US" w:eastAsia="en-US" w:bidi="en-US"/>
      </w:rPr>
    </w:lvl>
    <w:lvl w:ilvl="7" w:tplc="69567110">
      <w:numFmt w:val="bullet"/>
      <w:lvlText w:val="•"/>
      <w:lvlJc w:val="left"/>
      <w:pPr>
        <w:ind w:left="7683" w:hanging="210"/>
      </w:pPr>
      <w:rPr>
        <w:rFonts w:hint="default"/>
        <w:lang w:val="en-US" w:eastAsia="en-US" w:bidi="en-US"/>
      </w:rPr>
    </w:lvl>
    <w:lvl w:ilvl="8" w:tplc="E318B0A2">
      <w:numFmt w:val="bullet"/>
      <w:lvlText w:val="•"/>
      <w:lvlJc w:val="left"/>
      <w:pPr>
        <w:ind w:left="8410" w:hanging="210"/>
      </w:pPr>
      <w:rPr>
        <w:rFonts w:hint="default"/>
        <w:lang w:val="en-US" w:eastAsia="en-US" w:bidi="en-US"/>
      </w:rPr>
    </w:lvl>
  </w:abstractNum>
  <w:abstractNum w:abstractNumId="20" w15:restartNumberingAfterBreak="0">
    <w:nsid w:val="26CB7CC7"/>
    <w:multiLevelType w:val="hybridMultilevel"/>
    <w:tmpl w:val="81EA63B0"/>
    <w:lvl w:ilvl="0" w:tplc="E4308870">
      <w:start w:val="1"/>
      <w:numFmt w:val="lowerRoman"/>
      <w:lvlText w:val="(%1)"/>
      <w:lvlJc w:val="left"/>
      <w:pPr>
        <w:ind w:left="428" w:hanging="202"/>
        <w:jc w:val="left"/>
      </w:pPr>
      <w:rPr>
        <w:rFonts w:ascii="Calibri" w:eastAsia="Calibri" w:hAnsi="Calibri" w:cs="Calibri" w:hint="default"/>
        <w:color w:val="4D4D4F"/>
        <w:spacing w:val="-8"/>
        <w:w w:val="98"/>
        <w:sz w:val="20"/>
        <w:szCs w:val="20"/>
        <w:lang w:val="en-US" w:eastAsia="en-US" w:bidi="en-US"/>
      </w:rPr>
    </w:lvl>
    <w:lvl w:ilvl="1" w:tplc="DC2C1A08">
      <w:numFmt w:val="bullet"/>
      <w:lvlText w:val="•"/>
      <w:lvlJc w:val="left"/>
      <w:pPr>
        <w:ind w:left="1115" w:hanging="202"/>
      </w:pPr>
      <w:rPr>
        <w:rFonts w:hint="default"/>
        <w:lang w:val="en-US" w:eastAsia="en-US" w:bidi="en-US"/>
      </w:rPr>
    </w:lvl>
    <w:lvl w:ilvl="2" w:tplc="E494C3CA">
      <w:numFmt w:val="bullet"/>
      <w:lvlText w:val="•"/>
      <w:lvlJc w:val="left"/>
      <w:pPr>
        <w:ind w:left="1810" w:hanging="202"/>
      </w:pPr>
      <w:rPr>
        <w:rFonts w:hint="default"/>
        <w:lang w:val="en-US" w:eastAsia="en-US" w:bidi="en-US"/>
      </w:rPr>
    </w:lvl>
    <w:lvl w:ilvl="3" w:tplc="CED439D8">
      <w:numFmt w:val="bullet"/>
      <w:lvlText w:val="•"/>
      <w:lvlJc w:val="left"/>
      <w:pPr>
        <w:ind w:left="2505" w:hanging="202"/>
      </w:pPr>
      <w:rPr>
        <w:rFonts w:hint="default"/>
        <w:lang w:val="en-US" w:eastAsia="en-US" w:bidi="en-US"/>
      </w:rPr>
    </w:lvl>
    <w:lvl w:ilvl="4" w:tplc="61C656BC">
      <w:numFmt w:val="bullet"/>
      <w:lvlText w:val="•"/>
      <w:lvlJc w:val="left"/>
      <w:pPr>
        <w:ind w:left="3200" w:hanging="202"/>
      </w:pPr>
      <w:rPr>
        <w:rFonts w:hint="default"/>
        <w:lang w:val="en-US" w:eastAsia="en-US" w:bidi="en-US"/>
      </w:rPr>
    </w:lvl>
    <w:lvl w:ilvl="5" w:tplc="EB4AF55C">
      <w:numFmt w:val="bullet"/>
      <w:lvlText w:val="•"/>
      <w:lvlJc w:val="left"/>
      <w:pPr>
        <w:ind w:left="3895" w:hanging="202"/>
      </w:pPr>
      <w:rPr>
        <w:rFonts w:hint="default"/>
        <w:lang w:val="en-US" w:eastAsia="en-US" w:bidi="en-US"/>
      </w:rPr>
    </w:lvl>
    <w:lvl w:ilvl="6" w:tplc="52B2C6FE">
      <w:numFmt w:val="bullet"/>
      <w:lvlText w:val="•"/>
      <w:lvlJc w:val="left"/>
      <w:pPr>
        <w:ind w:left="4590" w:hanging="202"/>
      </w:pPr>
      <w:rPr>
        <w:rFonts w:hint="default"/>
        <w:lang w:val="en-US" w:eastAsia="en-US" w:bidi="en-US"/>
      </w:rPr>
    </w:lvl>
    <w:lvl w:ilvl="7" w:tplc="816C9F6A">
      <w:numFmt w:val="bullet"/>
      <w:lvlText w:val="•"/>
      <w:lvlJc w:val="left"/>
      <w:pPr>
        <w:ind w:left="5285" w:hanging="202"/>
      </w:pPr>
      <w:rPr>
        <w:rFonts w:hint="default"/>
        <w:lang w:val="en-US" w:eastAsia="en-US" w:bidi="en-US"/>
      </w:rPr>
    </w:lvl>
    <w:lvl w:ilvl="8" w:tplc="1EFAD34A">
      <w:numFmt w:val="bullet"/>
      <w:lvlText w:val="•"/>
      <w:lvlJc w:val="left"/>
      <w:pPr>
        <w:ind w:left="5980" w:hanging="202"/>
      </w:pPr>
      <w:rPr>
        <w:rFonts w:hint="default"/>
        <w:lang w:val="en-US" w:eastAsia="en-US" w:bidi="en-US"/>
      </w:rPr>
    </w:lvl>
  </w:abstractNum>
  <w:abstractNum w:abstractNumId="21" w15:restartNumberingAfterBreak="0">
    <w:nsid w:val="279B2035"/>
    <w:multiLevelType w:val="hybridMultilevel"/>
    <w:tmpl w:val="B3F44236"/>
    <w:lvl w:ilvl="0" w:tplc="5D3E826E">
      <w:numFmt w:val="bullet"/>
      <w:lvlText w:val="•"/>
      <w:lvlJc w:val="left"/>
      <w:pPr>
        <w:ind w:left="92" w:hanging="93"/>
      </w:pPr>
      <w:rPr>
        <w:rFonts w:ascii="Calibri" w:eastAsia="Calibri" w:hAnsi="Calibri" w:cs="Calibri" w:hint="default"/>
        <w:color w:val="231F20"/>
        <w:w w:val="59"/>
        <w:sz w:val="17"/>
        <w:szCs w:val="17"/>
        <w:lang w:val="en-US" w:eastAsia="en-US" w:bidi="en-US"/>
      </w:rPr>
    </w:lvl>
    <w:lvl w:ilvl="1" w:tplc="198C62EE">
      <w:numFmt w:val="bullet"/>
      <w:lvlText w:val="•"/>
      <w:lvlJc w:val="left"/>
      <w:pPr>
        <w:ind w:left="571" w:hanging="93"/>
      </w:pPr>
      <w:rPr>
        <w:rFonts w:hint="default"/>
        <w:lang w:val="en-US" w:eastAsia="en-US" w:bidi="en-US"/>
      </w:rPr>
    </w:lvl>
    <w:lvl w:ilvl="2" w:tplc="E1761972">
      <w:numFmt w:val="bullet"/>
      <w:lvlText w:val="•"/>
      <w:lvlJc w:val="left"/>
      <w:pPr>
        <w:ind w:left="1042" w:hanging="93"/>
      </w:pPr>
      <w:rPr>
        <w:rFonts w:hint="default"/>
        <w:lang w:val="en-US" w:eastAsia="en-US" w:bidi="en-US"/>
      </w:rPr>
    </w:lvl>
    <w:lvl w:ilvl="3" w:tplc="976EC52C">
      <w:numFmt w:val="bullet"/>
      <w:lvlText w:val="•"/>
      <w:lvlJc w:val="left"/>
      <w:pPr>
        <w:ind w:left="1514" w:hanging="93"/>
      </w:pPr>
      <w:rPr>
        <w:rFonts w:hint="default"/>
        <w:lang w:val="en-US" w:eastAsia="en-US" w:bidi="en-US"/>
      </w:rPr>
    </w:lvl>
    <w:lvl w:ilvl="4" w:tplc="9EB88B9E">
      <w:numFmt w:val="bullet"/>
      <w:lvlText w:val="•"/>
      <w:lvlJc w:val="left"/>
      <w:pPr>
        <w:ind w:left="1985" w:hanging="93"/>
      </w:pPr>
      <w:rPr>
        <w:rFonts w:hint="default"/>
        <w:lang w:val="en-US" w:eastAsia="en-US" w:bidi="en-US"/>
      </w:rPr>
    </w:lvl>
    <w:lvl w:ilvl="5" w:tplc="8C68E462">
      <w:numFmt w:val="bullet"/>
      <w:lvlText w:val="•"/>
      <w:lvlJc w:val="left"/>
      <w:pPr>
        <w:ind w:left="2456" w:hanging="93"/>
      </w:pPr>
      <w:rPr>
        <w:rFonts w:hint="default"/>
        <w:lang w:val="en-US" w:eastAsia="en-US" w:bidi="en-US"/>
      </w:rPr>
    </w:lvl>
    <w:lvl w:ilvl="6" w:tplc="076AC0E8">
      <w:numFmt w:val="bullet"/>
      <w:lvlText w:val="•"/>
      <w:lvlJc w:val="left"/>
      <w:pPr>
        <w:ind w:left="2928" w:hanging="93"/>
      </w:pPr>
      <w:rPr>
        <w:rFonts w:hint="default"/>
        <w:lang w:val="en-US" w:eastAsia="en-US" w:bidi="en-US"/>
      </w:rPr>
    </w:lvl>
    <w:lvl w:ilvl="7" w:tplc="18A495A0">
      <w:numFmt w:val="bullet"/>
      <w:lvlText w:val="•"/>
      <w:lvlJc w:val="left"/>
      <w:pPr>
        <w:ind w:left="3399" w:hanging="93"/>
      </w:pPr>
      <w:rPr>
        <w:rFonts w:hint="default"/>
        <w:lang w:val="en-US" w:eastAsia="en-US" w:bidi="en-US"/>
      </w:rPr>
    </w:lvl>
    <w:lvl w:ilvl="8" w:tplc="96B2DA48">
      <w:numFmt w:val="bullet"/>
      <w:lvlText w:val="•"/>
      <w:lvlJc w:val="left"/>
      <w:pPr>
        <w:ind w:left="3871" w:hanging="93"/>
      </w:pPr>
      <w:rPr>
        <w:rFonts w:hint="default"/>
        <w:lang w:val="en-US" w:eastAsia="en-US" w:bidi="en-US"/>
      </w:rPr>
    </w:lvl>
  </w:abstractNum>
  <w:abstractNum w:abstractNumId="22" w15:restartNumberingAfterBreak="0">
    <w:nsid w:val="28156D6D"/>
    <w:multiLevelType w:val="hybridMultilevel"/>
    <w:tmpl w:val="70C830FC"/>
    <w:lvl w:ilvl="0" w:tplc="C03C458C">
      <w:numFmt w:val="bullet"/>
      <w:lvlText w:val="•"/>
      <w:lvlJc w:val="left"/>
      <w:pPr>
        <w:ind w:left="397" w:hanging="170"/>
      </w:pPr>
      <w:rPr>
        <w:rFonts w:ascii="Calibri" w:eastAsia="Calibri" w:hAnsi="Calibri" w:cs="Calibri" w:hint="default"/>
        <w:color w:val="4D4D4F"/>
        <w:w w:val="59"/>
        <w:sz w:val="20"/>
        <w:szCs w:val="20"/>
        <w:lang w:val="en-US" w:eastAsia="en-US" w:bidi="en-US"/>
      </w:rPr>
    </w:lvl>
    <w:lvl w:ilvl="1" w:tplc="77465138">
      <w:numFmt w:val="bullet"/>
      <w:lvlText w:val="•"/>
      <w:lvlJc w:val="left"/>
      <w:pPr>
        <w:ind w:left="1108" w:hanging="170"/>
      </w:pPr>
      <w:rPr>
        <w:rFonts w:hint="default"/>
        <w:lang w:val="en-US" w:eastAsia="en-US" w:bidi="en-US"/>
      </w:rPr>
    </w:lvl>
    <w:lvl w:ilvl="2" w:tplc="59F800A6">
      <w:numFmt w:val="bullet"/>
      <w:lvlText w:val="•"/>
      <w:lvlJc w:val="left"/>
      <w:pPr>
        <w:ind w:left="1816" w:hanging="170"/>
      </w:pPr>
      <w:rPr>
        <w:rFonts w:hint="default"/>
        <w:lang w:val="en-US" w:eastAsia="en-US" w:bidi="en-US"/>
      </w:rPr>
    </w:lvl>
    <w:lvl w:ilvl="3" w:tplc="57C241EE">
      <w:numFmt w:val="bullet"/>
      <w:lvlText w:val="•"/>
      <w:lvlJc w:val="left"/>
      <w:pPr>
        <w:ind w:left="2525" w:hanging="170"/>
      </w:pPr>
      <w:rPr>
        <w:rFonts w:hint="default"/>
        <w:lang w:val="en-US" w:eastAsia="en-US" w:bidi="en-US"/>
      </w:rPr>
    </w:lvl>
    <w:lvl w:ilvl="4" w:tplc="C3B6D920">
      <w:numFmt w:val="bullet"/>
      <w:lvlText w:val="•"/>
      <w:lvlJc w:val="left"/>
      <w:pPr>
        <w:ind w:left="3233" w:hanging="170"/>
      </w:pPr>
      <w:rPr>
        <w:rFonts w:hint="default"/>
        <w:lang w:val="en-US" w:eastAsia="en-US" w:bidi="en-US"/>
      </w:rPr>
    </w:lvl>
    <w:lvl w:ilvl="5" w:tplc="247C09A4">
      <w:numFmt w:val="bullet"/>
      <w:lvlText w:val="•"/>
      <w:lvlJc w:val="left"/>
      <w:pPr>
        <w:ind w:left="3942" w:hanging="170"/>
      </w:pPr>
      <w:rPr>
        <w:rFonts w:hint="default"/>
        <w:lang w:val="en-US" w:eastAsia="en-US" w:bidi="en-US"/>
      </w:rPr>
    </w:lvl>
    <w:lvl w:ilvl="6" w:tplc="446C5036">
      <w:numFmt w:val="bullet"/>
      <w:lvlText w:val="•"/>
      <w:lvlJc w:val="left"/>
      <w:pPr>
        <w:ind w:left="4650" w:hanging="170"/>
      </w:pPr>
      <w:rPr>
        <w:rFonts w:hint="default"/>
        <w:lang w:val="en-US" w:eastAsia="en-US" w:bidi="en-US"/>
      </w:rPr>
    </w:lvl>
    <w:lvl w:ilvl="7" w:tplc="A1585256">
      <w:numFmt w:val="bullet"/>
      <w:lvlText w:val="•"/>
      <w:lvlJc w:val="left"/>
      <w:pPr>
        <w:ind w:left="5359" w:hanging="170"/>
      </w:pPr>
      <w:rPr>
        <w:rFonts w:hint="default"/>
        <w:lang w:val="en-US" w:eastAsia="en-US" w:bidi="en-US"/>
      </w:rPr>
    </w:lvl>
    <w:lvl w:ilvl="8" w:tplc="44BAE070">
      <w:numFmt w:val="bullet"/>
      <w:lvlText w:val="•"/>
      <w:lvlJc w:val="left"/>
      <w:pPr>
        <w:ind w:left="6067" w:hanging="170"/>
      </w:pPr>
      <w:rPr>
        <w:rFonts w:hint="default"/>
        <w:lang w:val="en-US" w:eastAsia="en-US" w:bidi="en-US"/>
      </w:rPr>
    </w:lvl>
  </w:abstractNum>
  <w:abstractNum w:abstractNumId="23" w15:restartNumberingAfterBreak="0">
    <w:nsid w:val="28BE372D"/>
    <w:multiLevelType w:val="hybridMultilevel"/>
    <w:tmpl w:val="F64C5100"/>
    <w:lvl w:ilvl="0" w:tplc="D19010FA">
      <w:start w:val="171"/>
      <w:numFmt w:val="decimal"/>
      <w:lvlText w:val="%1."/>
      <w:lvlJc w:val="left"/>
      <w:pPr>
        <w:ind w:left="2835" w:hanging="227"/>
        <w:jc w:val="left"/>
      </w:pPr>
      <w:rPr>
        <w:rFonts w:ascii="Calibri" w:eastAsia="Calibri" w:hAnsi="Calibri" w:cs="Calibri" w:hint="default"/>
        <w:color w:val="4D4D4F"/>
        <w:spacing w:val="-5"/>
        <w:w w:val="83"/>
        <w:sz w:val="12"/>
        <w:szCs w:val="12"/>
        <w:lang w:val="en-US" w:eastAsia="en-US" w:bidi="en-US"/>
      </w:rPr>
    </w:lvl>
    <w:lvl w:ilvl="1" w:tplc="AB403044">
      <w:numFmt w:val="bullet"/>
      <w:lvlText w:val="•"/>
      <w:lvlJc w:val="left"/>
      <w:pPr>
        <w:ind w:left="3542" w:hanging="227"/>
      </w:pPr>
      <w:rPr>
        <w:rFonts w:hint="default"/>
        <w:lang w:val="en-US" w:eastAsia="en-US" w:bidi="en-US"/>
      </w:rPr>
    </w:lvl>
    <w:lvl w:ilvl="2" w:tplc="318C1A4A">
      <w:numFmt w:val="bullet"/>
      <w:lvlText w:val="•"/>
      <w:lvlJc w:val="left"/>
      <w:pPr>
        <w:ind w:left="4245" w:hanging="227"/>
      </w:pPr>
      <w:rPr>
        <w:rFonts w:hint="default"/>
        <w:lang w:val="en-US" w:eastAsia="en-US" w:bidi="en-US"/>
      </w:rPr>
    </w:lvl>
    <w:lvl w:ilvl="3" w:tplc="E86654DC">
      <w:numFmt w:val="bullet"/>
      <w:lvlText w:val="•"/>
      <w:lvlJc w:val="left"/>
      <w:pPr>
        <w:ind w:left="4947" w:hanging="227"/>
      </w:pPr>
      <w:rPr>
        <w:rFonts w:hint="default"/>
        <w:lang w:val="en-US" w:eastAsia="en-US" w:bidi="en-US"/>
      </w:rPr>
    </w:lvl>
    <w:lvl w:ilvl="4" w:tplc="E5B87E08">
      <w:numFmt w:val="bullet"/>
      <w:lvlText w:val="•"/>
      <w:lvlJc w:val="left"/>
      <w:pPr>
        <w:ind w:left="5650" w:hanging="227"/>
      </w:pPr>
      <w:rPr>
        <w:rFonts w:hint="default"/>
        <w:lang w:val="en-US" w:eastAsia="en-US" w:bidi="en-US"/>
      </w:rPr>
    </w:lvl>
    <w:lvl w:ilvl="5" w:tplc="8D661526">
      <w:numFmt w:val="bullet"/>
      <w:lvlText w:val="•"/>
      <w:lvlJc w:val="left"/>
      <w:pPr>
        <w:ind w:left="6352" w:hanging="227"/>
      </w:pPr>
      <w:rPr>
        <w:rFonts w:hint="default"/>
        <w:lang w:val="en-US" w:eastAsia="en-US" w:bidi="en-US"/>
      </w:rPr>
    </w:lvl>
    <w:lvl w:ilvl="6" w:tplc="D91C8330">
      <w:numFmt w:val="bullet"/>
      <w:lvlText w:val="•"/>
      <w:lvlJc w:val="left"/>
      <w:pPr>
        <w:ind w:left="7055" w:hanging="227"/>
      </w:pPr>
      <w:rPr>
        <w:rFonts w:hint="default"/>
        <w:lang w:val="en-US" w:eastAsia="en-US" w:bidi="en-US"/>
      </w:rPr>
    </w:lvl>
    <w:lvl w:ilvl="7" w:tplc="35F0AC64">
      <w:numFmt w:val="bullet"/>
      <w:lvlText w:val="•"/>
      <w:lvlJc w:val="left"/>
      <w:pPr>
        <w:ind w:left="7757" w:hanging="227"/>
      </w:pPr>
      <w:rPr>
        <w:rFonts w:hint="default"/>
        <w:lang w:val="en-US" w:eastAsia="en-US" w:bidi="en-US"/>
      </w:rPr>
    </w:lvl>
    <w:lvl w:ilvl="8" w:tplc="E2D244DC">
      <w:numFmt w:val="bullet"/>
      <w:lvlText w:val="•"/>
      <w:lvlJc w:val="left"/>
      <w:pPr>
        <w:ind w:left="8460" w:hanging="227"/>
      </w:pPr>
      <w:rPr>
        <w:rFonts w:hint="default"/>
        <w:lang w:val="en-US" w:eastAsia="en-US" w:bidi="en-US"/>
      </w:rPr>
    </w:lvl>
  </w:abstractNum>
  <w:abstractNum w:abstractNumId="24" w15:restartNumberingAfterBreak="0">
    <w:nsid w:val="2BC970BB"/>
    <w:multiLevelType w:val="hybridMultilevel"/>
    <w:tmpl w:val="18804A14"/>
    <w:lvl w:ilvl="0" w:tplc="372A996A">
      <w:start w:val="338"/>
      <w:numFmt w:val="decimal"/>
      <w:lvlText w:val="%1."/>
      <w:lvlJc w:val="left"/>
      <w:pPr>
        <w:ind w:left="2835" w:hanging="227"/>
        <w:jc w:val="left"/>
      </w:pPr>
      <w:rPr>
        <w:rFonts w:ascii="Calibri" w:eastAsia="Calibri" w:hAnsi="Calibri" w:cs="Calibri" w:hint="default"/>
        <w:color w:val="4D4D4F"/>
        <w:spacing w:val="0"/>
        <w:w w:val="83"/>
        <w:sz w:val="10"/>
        <w:szCs w:val="10"/>
        <w:lang w:val="en-US" w:eastAsia="en-US" w:bidi="en-US"/>
      </w:rPr>
    </w:lvl>
    <w:lvl w:ilvl="1" w:tplc="100E52B6">
      <w:numFmt w:val="bullet"/>
      <w:lvlText w:val="•"/>
      <w:lvlJc w:val="left"/>
      <w:pPr>
        <w:ind w:left="3542" w:hanging="227"/>
      </w:pPr>
      <w:rPr>
        <w:rFonts w:hint="default"/>
        <w:lang w:val="en-US" w:eastAsia="en-US" w:bidi="en-US"/>
      </w:rPr>
    </w:lvl>
    <w:lvl w:ilvl="2" w:tplc="97AC1822">
      <w:numFmt w:val="bullet"/>
      <w:lvlText w:val="•"/>
      <w:lvlJc w:val="left"/>
      <w:pPr>
        <w:ind w:left="4245" w:hanging="227"/>
      </w:pPr>
      <w:rPr>
        <w:rFonts w:hint="default"/>
        <w:lang w:val="en-US" w:eastAsia="en-US" w:bidi="en-US"/>
      </w:rPr>
    </w:lvl>
    <w:lvl w:ilvl="3" w:tplc="31501174">
      <w:numFmt w:val="bullet"/>
      <w:lvlText w:val="•"/>
      <w:lvlJc w:val="left"/>
      <w:pPr>
        <w:ind w:left="4947" w:hanging="227"/>
      </w:pPr>
      <w:rPr>
        <w:rFonts w:hint="default"/>
        <w:lang w:val="en-US" w:eastAsia="en-US" w:bidi="en-US"/>
      </w:rPr>
    </w:lvl>
    <w:lvl w:ilvl="4" w:tplc="01BE15A8">
      <w:numFmt w:val="bullet"/>
      <w:lvlText w:val="•"/>
      <w:lvlJc w:val="left"/>
      <w:pPr>
        <w:ind w:left="5650" w:hanging="227"/>
      </w:pPr>
      <w:rPr>
        <w:rFonts w:hint="default"/>
        <w:lang w:val="en-US" w:eastAsia="en-US" w:bidi="en-US"/>
      </w:rPr>
    </w:lvl>
    <w:lvl w:ilvl="5" w:tplc="2406515A">
      <w:numFmt w:val="bullet"/>
      <w:lvlText w:val="•"/>
      <w:lvlJc w:val="left"/>
      <w:pPr>
        <w:ind w:left="6352" w:hanging="227"/>
      </w:pPr>
      <w:rPr>
        <w:rFonts w:hint="default"/>
        <w:lang w:val="en-US" w:eastAsia="en-US" w:bidi="en-US"/>
      </w:rPr>
    </w:lvl>
    <w:lvl w:ilvl="6" w:tplc="81AE5334">
      <w:numFmt w:val="bullet"/>
      <w:lvlText w:val="•"/>
      <w:lvlJc w:val="left"/>
      <w:pPr>
        <w:ind w:left="7055" w:hanging="227"/>
      </w:pPr>
      <w:rPr>
        <w:rFonts w:hint="default"/>
        <w:lang w:val="en-US" w:eastAsia="en-US" w:bidi="en-US"/>
      </w:rPr>
    </w:lvl>
    <w:lvl w:ilvl="7" w:tplc="8B584E46">
      <w:numFmt w:val="bullet"/>
      <w:lvlText w:val="•"/>
      <w:lvlJc w:val="left"/>
      <w:pPr>
        <w:ind w:left="7757" w:hanging="227"/>
      </w:pPr>
      <w:rPr>
        <w:rFonts w:hint="default"/>
        <w:lang w:val="en-US" w:eastAsia="en-US" w:bidi="en-US"/>
      </w:rPr>
    </w:lvl>
    <w:lvl w:ilvl="8" w:tplc="60E48590">
      <w:numFmt w:val="bullet"/>
      <w:lvlText w:val="•"/>
      <w:lvlJc w:val="left"/>
      <w:pPr>
        <w:ind w:left="8460" w:hanging="227"/>
      </w:pPr>
      <w:rPr>
        <w:rFonts w:hint="default"/>
        <w:lang w:val="en-US" w:eastAsia="en-US" w:bidi="en-US"/>
      </w:rPr>
    </w:lvl>
  </w:abstractNum>
  <w:abstractNum w:abstractNumId="25" w15:restartNumberingAfterBreak="0">
    <w:nsid w:val="2D11223C"/>
    <w:multiLevelType w:val="hybridMultilevel"/>
    <w:tmpl w:val="338625EC"/>
    <w:lvl w:ilvl="0" w:tplc="3CD0717C">
      <w:start w:val="1"/>
      <w:numFmt w:val="decimal"/>
      <w:lvlText w:val="%1."/>
      <w:lvlJc w:val="left"/>
      <w:pPr>
        <w:ind w:left="2835" w:hanging="227"/>
        <w:jc w:val="right"/>
      </w:pPr>
      <w:rPr>
        <w:rFonts w:ascii="Calibri" w:eastAsia="Calibri" w:hAnsi="Calibri" w:cs="Calibri" w:hint="default"/>
        <w:color w:val="4D4D4F"/>
        <w:spacing w:val="-3"/>
        <w:w w:val="92"/>
        <w:sz w:val="12"/>
        <w:szCs w:val="12"/>
        <w:lang w:val="en-US" w:eastAsia="en-US" w:bidi="en-US"/>
      </w:rPr>
    </w:lvl>
    <w:lvl w:ilvl="1" w:tplc="FB1ACDD0">
      <w:numFmt w:val="bullet"/>
      <w:lvlText w:val="•"/>
      <w:lvlJc w:val="left"/>
      <w:pPr>
        <w:ind w:left="3542" w:hanging="227"/>
      </w:pPr>
      <w:rPr>
        <w:rFonts w:hint="default"/>
        <w:lang w:val="en-US" w:eastAsia="en-US" w:bidi="en-US"/>
      </w:rPr>
    </w:lvl>
    <w:lvl w:ilvl="2" w:tplc="488223A6">
      <w:numFmt w:val="bullet"/>
      <w:lvlText w:val="•"/>
      <w:lvlJc w:val="left"/>
      <w:pPr>
        <w:ind w:left="4245" w:hanging="227"/>
      </w:pPr>
      <w:rPr>
        <w:rFonts w:hint="default"/>
        <w:lang w:val="en-US" w:eastAsia="en-US" w:bidi="en-US"/>
      </w:rPr>
    </w:lvl>
    <w:lvl w:ilvl="3" w:tplc="160AEA3C">
      <w:numFmt w:val="bullet"/>
      <w:lvlText w:val="•"/>
      <w:lvlJc w:val="left"/>
      <w:pPr>
        <w:ind w:left="4947" w:hanging="227"/>
      </w:pPr>
      <w:rPr>
        <w:rFonts w:hint="default"/>
        <w:lang w:val="en-US" w:eastAsia="en-US" w:bidi="en-US"/>
      </w:rPr>
    </w:lvl>
    <w:lvl w:ilvl="4" w:tplc="8716E2DE">
      <w:numFmt w:val="bullet"/>
      <w:lvlText w:val="•"/>
      <w:lvlJc w:val="left"/>
      <w:pPr>
        <w:ind w:left="5650" w:hanging="227"/>
      </w:pPr>
      <w:rPr>
        <w:rFonts w:hint="default"/>
        <w:lang w:val="en-US" w:eastAsia="en-US" w:bidi="en-US"/>
      </w:rPr>
    </w:lvl>
    <w:lvl w:ilvl="5" w:tplc="EC38C51C">
      <w:numFmt w:val="bullet"/>
      <w:lvlText w:val="•"/>
      <w:lvlJc w:val="left"/>
      <w:pPr>
        <w:ind w:left="6352" w:hanging="227"/>
      </w:pPr>
      <w:rPr>
        <w:rFonts w:hint="default"/>
        <w:lang w:val="en-US" w:eastAsia="en-US" w:bidi="en-US"/>
      </w:rPr>
    </w:lvl>
    <w:lvl w:ilvl="6" w:tplc="466645B8">
      <w:numFmt w:val="bullet"/>
      <w:lvlText w:val="•"/>
      <w:lvlJc w:val="left"/>
      <w:pPr>
        <w:ind w:left="7055" w:hanging="227"/>
      </w:pPr>
      <w:rPr>
        <w:rFonts w:hint="default"/>
        <w:lang w:val="en-US" w:eastAsia="en-US" w:bidi="en-US"/>
      </w:rPr>
    </w:lvl>
    <w:lvl w:ilvl="7" w:tplc="2DEE83A4">
      <w:numFmt w:val="bullet"/>
      <w:lvlText w:val="•"/>
      <w:lvlJc w:val="left"/>
      <w:pPr>
        <w:ind w:left="7757" w:hanging="227"/>
      </w:pPr>
      <w:rPr>
        <w:rFonts w:hint="default"/>
        <w:lang w:val="en-US" w:eastAsia="en-US" w:bidi="en-US"/>
      </w:rPr>
    </w:lvl>
    <w:lvl w:ilvl="8" w:tplc="99F60D18">
      <w:numFmt w:val="bullet"/>
      <w:lvlText w:val="•"/>
      <w:lvlJc w:val="left"/>
      <w:pPr>
        <w:ind w:left="8460" w:hanging="227"/>
      </w:pPr>
      <w:rPr>
        <w:rFonts w:hint="default"/>
        <w:lang w:val="en-US" w:eastAsia="en-US" w:bidi="en-US"/>
      </w:rPr>
    </w:lvl>
  </w:abstractNum>
  <w:abstractNum w:abstractNumId="26" w15:restartNumberingAfterBreak="0">
    <w:nsid w:val="2E8C6CAC"/>
    <w:multiLevelType w:val="hybridMultilevel"/>
    <w:tmpl w:val="9D484152"/>
    <w:lvl w:ilvl="0" w:tplc="55A03ECE">
      <w:start w:val="1"/>
      <w:numFmt w:val="lowerRoman"/>
      <w:lvlText w:val="(%1)"/>
      <w:lvlJc w:val="left"/>
      <w:pPr>
        <w:ind w:left="227" w:hanging="202"/>
        <w:jc w:val="left"/>
      </w:pPr>
      <w:rPr>
        <w:rFonts w:ascii="Calibri" w:eastAsia="Calibri" w:hAnsi="Calibri" w:cs="Calibri" w:hint="default"/>
        <w:color w:val="4D4D4F"/>
        <w:spacing w:val="-8"/>
        <w:w w:val="98"/>
        <w:sz w:val="20"/>
        <w:szCs w:val="20"/>
        <w:lang w:val="en-US" w:eastAsia="en-US" w:bidi="en-US"/>
      </w:rPr>
    </w:lvl>
    <w:lvl w:ilvl="1" w:tplc="EA4CF1B2">
      <w:numFmt w:val="bullet"/>
      <w:lvlText w:val="•"/>
      <w:lvlJc w:val="left"/>
      <w:pPr>
        <w:ind w:left="2778" w:hanging="170"/>
      </w:pPr>
      <w:rPr>
        <w:rFonts w:ascii="Calibri" w:eastAsia="Calibri" w:hAnsi="Calibri" w:cs="Calibri" w:hint="default"/>
        <w:color w:val="4D4D4F"/>
        <w:w w:val="59"/>
        <w:sz w:val="20"/>
        <w:szCs w:val="20"/>
        <w:lang w:val="en-US" w:eastAsia="en-US" w:bidi="en-US"/>
      </w:rPr>
    </w:lvl>
    <w:lvl w:ilvl="2" w:tplc="DAA21AB6">
      <w:numFmt w:val="bullet"/>
      <w:lvlText w:val="•"/>
      <w:lvlJc w:val="left"/>
      <w:pPr>
        <w:ind w:left="3290" w:hanging="170"/>
      </w:pPr>
      <w:rPr>
        <w:rFonts w:hint="default"/>
        <w:lang w:val="en-US" w:eastAsia="en-US" w:bidi="en-US"/>
      </w:rPr>
    </w:lvl>
    <w:lvl w:ilvl="3" w:tplc="052A9ABE">
      <w:numFmt w:val="bullet"/>
      <w:lvlText w:val="•"/>
      <w:lvlJc w:val="left"/>
      <w:pPr>
        <w:ind w:left="3800" w:hanging="170"/>
      </w:pPr>
      <w:rPr>
        <w:rFonts w:hint="default"/>
        <w:lang w:val="en-US" w:eastAsia="en-US" w:bidi="en-US"/>
      </w:rPr>
    </w:lvl>
    <w:lvl w:ilvl="4" w:tplc="D99A9B60">
      <w:numFmt w:val="bullet"/>
      <w:lvlText w:val="•"/>
      <w:lvlJc w:val="left"/>
      <w:pPr>
        <w:ind w:left="4310" w:hanging="170"/>
      </w:pPr>
      <w:rPr>
        <w:rFonts w:hint="default"/>
        <w:lang w:val="en-US" w:eastAsia="en-US" w:bidi="en-US"/>
      </w:rPr>
    </w:lvl>
    <w:lvl w:ilvl="5" w:tplc="561E248E">
      <w:numFmt w:val="bullet"/>
      <w:lvlText w:val="•"/>
      <w:lvlJc w:val="left"/>
      <w:pPr>
        <w:ind w:left="4820" w:hanging="170"/>
      </w:pPr>
      <w:rPr>
        <w:rFonts w:hint="default"/>
        <w:lang w:val="en-US" w:eastAsia="en-US" w:bidi="en-US"/>
      </w:rPr>
    </w:lvl>
    <w:lvl w:ilvl="6" w:tplc="D7F6881E">
      <w:numFmt w:val="bullet"/>
      <w:lvlText w:val="•"/>
      <w:lvlJc w:val="left"/>
      <w:pPr>
        <w:ind w:left="5330" w:hanging="170"/>
      </w:pPr>
      <w:rPr>
        <w:rFonts w:hint="default"/>
        <w:lang w:val="en-US" w:eastAsia="en-US" w:bidi="en-US"/>
      </w:rPr>
    </w:lvl>
    <w:lvl w:ilvl="7" w:tplc="917830E6">
      <w:numFmt w:val="bullet"/>
      <w:lvlText w:val="•"/>
      <w:lvlJc w:val="left"/>
      <w:pPr>
        <w:ind w:left="5840" w:hanging="170"/>
      </w:pPr>
      <w:rPr>
        <w:rFonts w:hint="default"/>
        <w:lang w:val="en-US" w:eastAsia="en-US" w:bidi="en-US"/>
      </w:rPr>
    </w:lvl>
    <w:lvl w:ilvl="8" w:tplc="4DA2D4C2">
      <w:numFmt w:val="bullet"/>
      <w:lvlText w:val="•"/>
      <w:lvlJc w:val="left"/>
      <w:pPr>
        <w:ind w:left="6350" w:hanging="170"/>
      </w:pPr>
      <w:rPr>
        <w:rFonts w:hint="default"/>
        <w:lang w:val="en-US" w:eastAsia="en-US" w:bidi="en-US"/>
      </w:rPr>
    </w:lvl>
  </w:abstractNum>
  <w:abstractNum w:abstractNumId="27" w15:restartNumberingAfterBreak="0">
    <w:nsid w:val="2EA06AA9"/>
    <w:multiLevelType w:val="hybridMultilevel"/>
    <w:tmpl w:val="4B42AED2"/>
    <w:lvl w:ilvl="0" w:tplc="36827CBC">
      <w:numFmt w:val="bullet"/>
      <w:lvlText w:val="•"/>
      <w:lvlJc w:val="left"/>
      <w:pPr>
        <w:ind w:left="340" w:hanging="114"/>
      </w:pPr>
      <w:rPr>
        <w:rFonts w:ascii="Calibri" w:eastAsia="Calibri" w:hAnsi="Calibri" w:cs="Calibri" w:hint="default"/>
        <w:b/>
        <w:bCs/>
        <w:i/>
        <w:color w:val="4D4D4F"/>
        <w:w w:val="59"/>
        <w:sz w:val="20"/>
        <w:szCs w:val="20"/>
        <w:lang w:val="en-US" w:eastAsia="en-US" w:bidi="en-US"/>
      </w:rPr>
    </w:lvl>
    <w:lvl w:ilvl="1" w:tplc="DA266CB0">
      <w:numFmt w:val="bullet"/>
      <w:lvlText w:val="•"/>
      <w:lvlJc w:val="left"/>
      <w:pPr>
        <w:ind w:left="1018" w:hanging="114"/>
      </w:pPr>
      <w:rPr>
        <w:rFonts w:hint="default"/>
        <w:lang w:val="en-US" w:eastAsia="en-US" w:bidi="en-US"/>
      </w:rPr>
    </w:lvl>
    <w:lvl w:ilvl="2" w:tplc="378C69FC">
      <w:numFmt w:val="bullet"/>
      <w:lvlText w:val="•"/>
      <w:lvlJc w:val="left"/>
      <w:pPr>
        <w:ind w:left="1696" w:hanging="114"/>
      </w:pPr>
      <w:rPr>
        <w:rFonts w:hint="default"/>
        <w:lang w:val="en-US" w:eastAsia="en-US" w:bidi="en-US"/>
      </w:rPr>
    </w:lvl>
    <w:lvl w:ilvl="3" w:tplc="8702EAE8">
      <w:numFmt w:val="bullet"/>
      <w:lvlText w:val="•"/>
      <w:lvlJc w:val="left"/>
      <w:pPr>
        <w:ind w:left="2375" w:hanging="114"/>
      </w:pPr>
      <w:rPr>
        <w:rFonts w:hint="default"/>
        <w:lang w:val="en-US" w:eastAsia="en-US" w:bidi="en-US"/>
      </w:rPr>
    </w:lvl>
    <w:lvl w:ilvl="4" w:tplc="69962414">
      <w:numFmt w:val="bullet"/>
      <w:lvlText w:val="•"/>
      <w:lvlJc w:val="left"/>
      <w:pPr>
        <w:ind w:left="3053" w:hanging="114"/>
      </w:pPr>
      <w:rPr>
        <w:rFonts w:hint="default"/>
        <w:lang w:val="en-US" w:eastAsia="en-US" w:bidi="en-US"/>
      </w:rPr>
    </w:lvl>
    <w:lvl w:ilvl="5" w:tplc="66E8365E">
      <w:numFmt w:val="bullet"/>
      <w:lvlText w:val="•"/>
      <w:lvlJc w:val="left"/>
      <w:pPr>
        <w:ind w:left="3731" w:hanging="114"/>
      </w:pPr>
      <w:rPr>
        <w:rFonts w:hint="default"/>
        <w:lang w:val="en-US" w:eastAsia="en-US" w:bidi="en-US"/>
      </w:rPr>
    </w:lvl>
    <w:lvl w:ilvl="6" w:tplc="FABE09F0">
      <w:numFmt w:val="bullet"/>
      <w:lvlText w:val="•"/>
      <w:lvlJc w:val="left"/>
      <w:pPr>
        <w:ind w:left="4409" w:hanging="114"/>
      </w:pPr>
      <w:rPr>
        <w:rFonts w:hint="default"/>
        <w:lang w:val="en-US" w:eastAsia="en-US" w:bidi="en-US"/>
      </w:rPr>
    </w:lvl>
    <w:lvl w:ilvl="7" w:tplc="8BEA0BAA">
      <w:numFmt w:val="bullet"/>
      <w:lvlText w:val="•"/>
      <w:lvlJc w:val="left"/>
      <w:pPr>
        <w:ind w:left="5088" w:hanging="114"/>
      </w:pPr>
      <w:rPr>
        <w:rFonts w:hint="default"/>
        <w:lang w:val="en-US" w:eastAsia="en-US" w:bidi="en-US"/>
      </w:rPr>
    </w:lvl>
    <w:lvl w:ilvl="8" w:tplc="EAF67CFE">
      <w:numFmt w:val="bullet"/>
      <w:lvlText w:val="•"/>
      <w:lvlJc w:val="left"/>
      <w:pPr>
        <w:ind w:left="5766" w:hanging="114"/>
      </w:pPr>
      <w:rPr>
        <w:rFonts w:hint="default"/>
        <w:lang w:val="en-US" w:eastAsia="en-US" w:bidi="en-US"/>
      </w:rPr>
    </w:lvl>
  </w:abstractNum>
  <w:abstractNum w:abstractNumId="28" w15:restartNumberingAfterBreak="0">
    <w:nsid w:val="318F6D7A"/>
    <w:multiLevelType w:val="hybridMultilevel"/>
    <w:tmpl w:val="4154B62E"/>
    <w:lvl w:ilvl="0" w:tplc="AF2E0990">
      <w:numFmt w:val="bullet"/>
      <w:lvlText w:val="•"/>
      <w:lvlJc w:val="left"/>
      <w:pPr>
        <w:ind w:left="92" w:hanging="93"/>
      </w:pPr>
      <w:rPr>
        <w:rFonts w:ascii="Calibri" w:eastAsia="Calibri" w:hAnsi="Calibri" w:cs="Calibri" w:hint="default"/>
        <w:color w:val="231F20"/>
        <w:w w:val="59"/>
        <w:sz w:val="17"/>
        <w:szCs w:val="17"/>
        <w:lang w:val="en-US" w:eastAsia="en-US" w:bidi="en-US"/>
      </w:rPr>
    </w:lvl>
    <w:lvl w:ilvl="1" w:tplc="3EE2F6B6">
      <w:numFmt w:val="bullet"/>
      <w:lvlText w:val="•"/>
      <w:lvlJc w:val="left"/>
      <w:pPr>
        <w:ind w:left="564" w:hanging="93"/>
      </w:pPr>
      <w:rPr>
        <w:rFonts w:hint="default"/>
        <w:lang w:val="en-US" w:eastAsia="en-US" w:bidi="en-US"/>
      </w:rPr>
    </w:lvl>
    <w:lvl w:ilvl="2" w:tplc="612E8340">
      <w:numFmt w:val="bullet"/>
      <w:lvlText w:val="•"/>
      <w:lvlJc w:val="left"/>
      <w:pPr>
        <w:ind w:left="1028" w:hanging="93"/>
      </w:pPr>
      <w:rPr>
        <w:rFonts w:hint="default"/>
        <w:lang w:val="en-US" w:eastAsia="en-US" w:bidi="en-US"/>
      </w:rPr>
    </w:lvl>
    <w:lvl w:ilvl="3" w:tplc="BFCEC64E">
      <w:numFmt w:val="bullet"/>
      <w:lvlText w:val="•"/>
      <w:lvlJc w:val="left"/>
      <w:pPr>
        <w:ind w:left="1492" w:hanging="93"/>
      </w:pPr>
      <w:rPr>
        <w:rFonts w:hint="default"/>
        <w:lang w:val="en-US" w:eastAsia="en-US" w:bidi="en-US"/>
      </w:rPr>
    </w:lvl>
    <w:lvl w:ilvl="4" w:tplc="1F24EF4E">
      <w:numFmt w:val="bullet"/>
      <w:lvlText w:val="•"/>
      <w:lvlJc w:val="left"/>
      <w:pPr>
        <w:ind w:left="1956" w:hanging="93"/>
      </w:pPr>
      <w:rPr>
        <w:rFonts w:hint="default"/>
        <w:lang w:val="en-US" w:eastAsia="en-US" w:bidi="en-US"/>
      </w:rPr>
    </w:lvl>
    <w:lvl w:ilvl="5" w:tplc="36E444A8">
      <w:numFmt w:val="bullet"/>
      <w:lvlText w:val="•"/>
      <w:lvlJc w:val="left"/>
      <w:pPr>
        <w:ind w:left="2420" w:hanging="93"/>
      </w:pPr>
      <w:rPr>
        <w:rFonts w:hint="default"/>
        <w:lang w:val="en-US" w:eastAsia="en-US" w:bidi="en-US"/>
      </w:rPr>
    </w:lvl>
    <w:lvl w:ilvl="6" w:tplc="6E5C4D2A">
      <w:numFmt w:val="bullet"/>
      <w:lvlText w:val="•"/>
      <w:lvlJc w:val="left"/>
      <w:pPr>
        <w:ind w:left="2884" w:hanging="93"/>
      </w:pPr>
      <w:rPr>
        <w:rFonts w:hint="default"/>
        <w:lang w:val="en-US" w:eastAsia="en-US" w:bidi="en-US"/>
      </w:rPr>
    </w:lvl>
    <w:lvl w:ilvl="7" w:tplc="A2E83324">
      <w:numFmt w:val="bullet"/>
      <w:lvlText w:val="•"/>
      <w:lvlJc w:val="left"/>
      <w:pPr>
        <w:ind w:left="3348" w:hanging="93"/>
      </w:pPr>
      <w:rPr>
        <w:rFonts w:hint="default"/>
        <w:lang w:val="en-US" w:eastAsia="en-US" w:bidi="en-US"/>
      </w:rPr>
    </w:lvl>
    <w:lvl w:ilvl="8" w:tplc="6A549318">
      <w:numFmt w:val="bullet"/>
      <w:lvlText w:val="•"/>
      <w:lvlJc w:val="left"/>
      <w:pPr>
        <w:ind w:left="3812" w:hanging="93"/>
      </w:pPr>
      <w:rPr>
        <w:rFonts w:hint="default"/>
        <w:lang w:val="en-US" w:eastAsia="en-US" w:bidi="en-US"/>
      </w:rPr>
    </w:lvl>
  </w:abstractNum>
  <w:abstractNum w:abstractNumId="29" w15:restartNumberingAfterBreak="0">
    <w:nsid w:val="36BE53EA"/>
    <w:multiLevelType w:val="hybridMultilevel"/>
    <w:tmpl w:val="0650A650"/>
    <w:lvl w:ilvl="0" w:tplc="E1341796">
      <w:start w:val="1"/>
      <w:numFmt w:val="lowerRoman"/>
      <w:lvlText w:val="(%1)"/>
      <w:lvlJc w:val="left"/>
      <w:pPr>
        <w:ind w:left="242" w:hanging="198"/>
        <w:jc w:val="left"/>
      </w:pPr>
      <w:rPr>
        <w:rFonts w:ascii="Calibri" w:eastAsia="Calibri" w:hAnsi="Calibri" w:cs="Calibri" w:hint="default"/>
        <w:color w:val="4D4D4F"/>
        <w:spacing w:val="-9"/>
        <w:w w:val="98"/>
        <w:sz w:val="20"/>
        <w:szCs w:val="20"/>
        <w:lang w:val="en-US" w:eastAsia="en-US" w:bidi="en-US"/>
      </w:rPr>
    </w:lvl>
    <w:lvl w:ilvl="1" w:tplc="173E02DE">
      <w:numFmt w:val="bullet"/>
      <w:lvlText w:val="•"/>
      <w:lvlJc w:val="left"/>
      <w:pPr>
        <w:ind w:left="953" w:hanging="198"/>
      </w:pPr>
      <w:rPr>
        <w:rFonts w:hint="default"/>
        <w:lang w:val="en-US" w:eastAsia="en-US" w:bidi="en-US"/>
      </w:rPr>
    </w:lvl>
    <w:lvl w:ilvl="2" w:tplc="498ABD48">
      <w:numFmt w:val="bullet"/>
      <w:lvlText w:val="•"/>
      <w:lvlJc w:val="left"/>
      <w:pPr>
        <w:ind w:left="1666" w:hanging="198"/>
      </w:pPr>
      <w:rPr>
        <w:rFonts w:hint="default"/>
        <w:lang w:val="en-US" w:eastAsia="en-US" w:bidi="en-US"/>
      </w:rPr>
    </w:lvl>
    <w:lvl w:ilvl="3" w:tplc="23E465E8">
      <w:numFmt w:val="bullet"/>
      <w:lvlText w:val="•"/>
      <w:lvlJc w:val="left"/>
      <w:pPr>
        <w:ind w:left="2379" w:hanging="198"/>
      </w:pPr>
      <w:rPr>
        <w:rFonts w:hint="default"/>
        <w:lang w:val="en-US" w:eastAsia="en-US" w:bidi="en-US"/>
      </w:rPr>
    </w:lvl>
    <w:lvl w:ilvl="4" w:tplc="E2D4A19A">
      <w:numFmt w:val="bullet"/>
      <w:lvlText w:val="•"/>
      <w:lvlJc w:val="left"/>
      <w:pPr>
        <w:ind w:left="3092" w:hanging="198"/>
      </w:pPr>
      <w:rPr>
        <w:rFonts w:hint="default"/>
        <w:lang w:val="en-US" w:eastAsia="en-US" w:bidi="en-US"/>
      </w:rPr>
    </w:lvl>
    <w:lvl w:ilvl="5" w:tplc="057A87DA">
      <w:numFmt w:val="bullet"/>
      <w:lvlText w:val="•"/>
      <w:lvlJc w:val="left"/>
      <w:pPr>
        <w:ind w:left="3805" w:hanging="198"/>
      </w:pPr>
      <w:rPr>
        <w:rFonts w:hint="default"/>
        <w:lang w:val="en-US" w:eastAsia="en-US" w:bidi="en-US"/>
      </w:rPr>
    </w:lvl>
    <w:lvl w:ilvl="6" w:tplc="58D660FC">
      <w:numFmt w:val="bullet"/>
      <w:lvlText w:val="•"/>
      <w:lvlJc w:val="left"/>
      <w:pPr>
        <w:ind w:left="4518" w:hanging="198"/>
      </w:pPr>
      <w:rPr>
        <w:rFonts w:hint="default"/>
        <w:lang w:val="en-US" w:eastAsia="en-US" w:bidi="en-US"/>
      </w:rPr>
    </w:lvl>
    <w:lvl w:ilvl="7" w:tplc="22DA7834">
      <w:numFmt w:val="bullet"/>
      <w:lvlText w:val="•"/>
      <w:lvlJc w:val="left"/>
      <w:pPr>
        <w:ind w:left="5231" w:hanging="198"/>
      </w:pPr>
      <w:rPr>
        <w:rFonts w:hint="default"/>
        <w:lang w:val="en-US" w:eastAsia="en-US" w:bidi="en-US"/>
      </w:rPr>
    </w:lvl>
    <w:lvl w:ilvl="8" w:tplc="D5B65AD4">
      <w:numFmt w:val="bullet"/>
      <w:lvlText w:val="•"/>
      <w:lvlJc w:val="left"/>
      <w:pPr>
        <w:ind w:left="5944" w:hanging="198"/>
      </w:pPr>
      <w:rPr>
        <w:rFonts w:hint="default"/>
        <w:lang w:val="en-US" w:eastAsia="en-US" w:bidi="en-US"/>
      </w:rPr>
    </w:lvl>
  </w:abstractNum>
  <w:abstractNum w:abstractNumId="30" w15:restartNumberingAfterBreak="0">
    <w:nsid w:val="381F2DB9"/>
    <w:multiLevelType w:val="hybridMultilevel"/>
    <w:tmpl w:val="97FACEDE"/>
    <w:lvl w:ilvl="0" w:tplc="CC628398">
      <w:numFmt w:val="bullet"/>
      <w:lvlText w:val="•"/>
      <w:lvlJc w:val="left"/>
      <w:pPr>
        <w:ind w:left="113" w:hanging="114"/>
      </w:pPr>
      <w:rPr>
        <w:rFonts w:ascii="Calibri" w:eastAsia="Calibri" w:hAnsi="Calibri" w:cs="Calibri" w:hint="default"/>
        <w:color w:val="4D4D4F"/>
        <w:w w:val="59"/>
        <w:sz w:val="16"/>
        <w:szCs w:val="16"/>
        <w:lang w:val="en-US" w:eastAsia="en-US" w:bidi="en-US"/>
      </w:rPr>
    </w:lvl>
    <w:lvl w:ilvl="1" w:tplc="BFA84202">
      <w:numFmt w:val="bullet"/>
      <w:lvlText w:val="•"/>
      <w:lvlJc w:val="left"/>
      <w:pPr>
        <w:ind w:left="855" w:hanging="114"/>
      </w:pPr>
      <w:rPr>
        <w:rFonts w:hint="default"/>
        <w:lang w:val="en-US" w:eastAsia="en-US" w:bidi="en-US"/>
      </w:rPr>
    </w:lvl>
    <w:lvl w:ilvl="2" w:tplc="DB32A1DE">
      <w:numFmt w:val="bullet"/>
      <w:lvlText w:val="•"/>
      <w:lvlJc w:val="left"/>
      <w:pPr>
        <w:ind w:left="1591" w:hanging="114"/>
      </w:pPr>
      <w:rPr>
        <w:rFonts w:hint="default"/>
        <w:lang w:val="en-US" w:eastAsia="en-US" w:bidi="en-US"/>
      </w:rPr>
    </w:lvl>
    <w:lvl w:ilvl="3" w:tplc="6602D830">
      <w:numFmt w:val="bullet"/>
      <w:lvlText w:val="•"/>
      <w:lvlJc w:val="left"/>
      <w:pPr>
        <w:ind w:left="2326" w:hanging="114"/>
      </w:pPr>
      <w:rPr>
        <w:rFonts w:hint="default"/>
        <w:lang w:val="en-US" w:eastAsia="en-US" w:bidi="en-US"/>
      </w:rPr>
    </w:lvl>
    <w:lvl w:ilvl="4" w:tplc="2EFE0C6E">
      <w:numFmt w:val="bullet"/>
      <w:lvlText w:val="•"/>
      <w:lvlJc w:val="left"/>
      <w:pPr>
        <w:ind w:left="3062" w:hanging="114"/>
      </w:pPr>
      <w:rPr>
        <w:rFonts w:hint="default"/>
        <w:lang w:val="en-US" w:eastAsia="en-US" w:bidi="en-US"/>
      </w:rPr>
    </w:lvl>
    <w:lvl w:ilvl="5" w:tplc="3E5CC730">
      <w:numFmt w:val="bullet"/>
      <w:lvlText w:val="•"/>
      <w:lvlJc w:val="left"/>
      <w:pPr>
        <w:ind w:left="3797" w:hanging="114"/>
      </w:pPr>
      <w:rPr>
        <w:rFonts w:hint="default"/>
        <w:lang w:val="en-US" w:eastAsia="en-US" w:bidi="en-US"/>
      </w:rPr>
    </w:lvl>
    <w:lvl w:ilvl="6" w:tplc="F82AEA5C">
      <w:numFmt w:val="bullet"/>
      <w:lvlText w:val="•"/>
      <w:lvlJc w:val="left"/>
      <w:pPr>
        <w:ind w:left="4533" w:hanging="114"/>
      </w:pPr>
      <w:rPr>
        <w:rFonts w:hint="default"/>
        <w:lang w:val="en-US" w:eastAsia="en-US" w:bidi="en-US"/>
      </w:rPr>
    </w:lvl>
    <w:lvl w:ilvl="7" w:tplc="68BC711E">
      <w:numFmt w:val="bullet"/>
      <w:lvlText w:val="•"/>
      <w:lvlJc w:val="left"/>
      <w:pPr>
        <w:ind w:left="5268" w:hanging="114"/>
      </w:pPr>
      <w:rPr>
        <w:rFonts w:hint="default"/>
        <w:lang w:val="en-US" w:eastAsia="en-US" w:bidi="en-US"/>
      </w:rPr>
    </w:lvl>
    <w:lvl w:ilvl="8" w:tplc="1A14DAE8">
      <w:numFmt w:val="bullet"/>
      <w:lvlText w:val="•"/>
      <w:lvlJc w:val="left"/>
      <w:pPr>
        <w:ind w:left="6004" w:hanging="114"/>
      </w:pPr>
      <w:rPr>
        <w:rFonts w:hint="default"/>
        <w:lang w:val="en-US" w:eastAsia="en-US" w:bidi="en-US"/>
      </w:rPr>
    </w:lvl>
  </w:abstractNum>
  <w:abstractNum w:abstractNumId="31" w15:restartNumberingAfterBreak="0">
    <w:nsid w:val="39524CBE"/>
    <w:multiLevelType w:val="hybridMultilevel"/>
    <w:tmpl w:val="A93AA44E"/>
    <w:lvl w:ilvl="0" w:tplc="E75EB0C8">
      <w:start w:val="1"/>
      <w:numFmt w:val="lowerRoman"/>
      <w:lvlText w:val="(%1)"/>
      <w:lvlJc w:val="left"/>
      <w:pPr>
        <w:ind w:left="227" w:hanging="202"/>
        <w:jc w:val="left"/>
      </w:pPr>
      <w:rPr>
        <w:rFonts w:ascii="Calibri" w:eastAsia="Calibri" w:hAnsi="Calibri" w:cs="Calibri" w:hint="default"/>
        <w:color w:val="4D4D4F"/>
        <w:spacing w:val="-8"/>
        <w:w w:val="98"/>
        <w:sz w:val="20"/>
        <w:szCs w:val="20"/>
        <w:lang w:val="en-US" w:eastAsia="en-US" w:bidi="en-US"/>
      </w:rPr>
    </w:lvl>
    <w:lvl w:ilvl="1" w:tplc="5E24F922">
      <w:numFmt w:val="bullet"/>
      <w:lvlText w:val="•"/>
      <w:lvlJc w:val="left"/>
      <w:pPr>
        <w:ind w:left="935" w:hanging="202"/>
      </w:pPr>
      <w:rPr>
        <w:rFonts w:hint="default"/>
        <w:lang w:val="en-US" w:eastAsia="en-US" w:bidi="en-US"/>
      </w:rPr>
    </w:lvl>
    <w:lvl w:ilvl="2" w:tplc="2B56D114">
      <w:numFmt w:val="bullet"/>
      <w:lvlText w:val="•"/>
      <w:lvlJc w:val="left"/>
      <w:pPr>
        <w:ind w:left="1650" w:hanging="202"/>
      </w:pPr>
      <w:rPr>
        <w:rFonts w:hint="default"/>
        <w:lang w:val="en-US" w:eastAsia="en-US" w:bidi="en-US"/>
      </w:rPr>
    </w:lvl>
    <w:lvl w:ilvl="3" w:tplc="8206B316">
      <w:numFmt w:val="bullet"/>
      <w:lvlText w:val="•"/>
      <w:lvlJc w:val="left"/>
      <w:pPr>
        <w:ind w:left="2365" w:hanging="202"/>
      </w:pPr>
      <w:rPr>
        <w:rFonts w:hint="default"/>
        <w:lang w:val="en-US" w:eastAsia="en-US" w:bidi="en-US"/>
      </w:rPr>
    </w:lvl>
    <w:lvl w:ilvl="4" w:tplc="EDDA5A06">
      <w:numFmt w:val="bullet"/>
      <w:lvlText w:val="•"/>
      <w:lvlJc w:val="left"/>
      <w:pPr>
        <w:ind w:left="3080" w:hanging="202"/>
      </w:pPr>
      <w:rPr>
        <w:rFonts w:hint="default"/>
        <w:lang w:val="en-US" w:eastAsia="en-US" w:bidi="en-US"/>
      </w:rPr>
    </w:lvl>
    <w:lvl w:ilvl="5" w:tplc="1514E1DC">
      <w:numFmt w:val="bullet"/>
      <w:lvlText w:val="•"/>
      <w:lvlJc w:val="left"/>
      <w:pPr>
        <w:ind w:left="3795" w:hanging="202"/>
      </w:pPr>
      <w:rPr>
        <w:rFonts w:hint="default"/>
        <w:lang w:val="en-US" w:eastAsia="en-US" w:bidi="en-US"/>
      </w:rPr>
    </w:lvl>
    <w:lvl w:ilvl="6" w:tplc="686EB1E0">
      <w:numFmt w:val="bullet"/>
      <w:lvlText w:val="•"/>
      <w:lvlJc w:val="left"/>
      <w:pPr>
        <w:ind w:left="4510" w:hanging="202"/>
      </w:pPr>
      <w:rPr>
        <w:rFonts w:hint="default"/>
        <w:lang w:val="en-US" w:eastAsia="en-US" w:bidi="en-US"/>
      </w:rPr>
    </w:lvl>
    <w:lvl w:ilvl="7" w:tplc="956A6F72">
      <w:numFmt w:val="bullet"/>
      <w:lvlText w:val="•"/>
      <w:lvlJc w:val="left"/>
      <w:pPr>
        <w:ind w:left="5225" w:hanging="202"/>
      </w:pPr>
      <w:rPr>
        <w:rFonts w:hint="default"/>
        <w:lang w:val="en-US" w:eastAsia="en-US" w:bidi="en-US"/>
      </w:rPr>
    </w:lvl>
    <w:lvl w:ilvl="8" w:tplc="D436DD6C">
      <w:numFmt w:val="bullet"/>
      <w:lvlText w:val="•"/>
      <w:lvlJc w:val="left"/>
      <w:pPr>
        <w:ind w:left="5940" w:hanging="202"/>
      </w:pPr>
      <w:rPr>
        <w:rFonts w:hint="default"/>
        <w:lang w:val="en-US" w:eastAsia="en-US" w:bidi="en-US"/>
      </w:rPr>
    </w:lvl>
  </w:abstractNum>
  <w:abstractNum w:abstractNumId="32" w15:restartNumberingAfterBreak="0">
    <w:nsid w:val="3A131E54"/>
    <w:multiLevelType w:val="hybridMultilevel"/>
    <w:tmpl w:val="6AF009F2"/>
    <w:lvl w:ilvl="0" w:tplc="D8469C4C">
      <w:numFmt w:val="bullet"/>
      <w:lvlText w:val="•"/>
      <w:lvlJc w:val="left"/>
      <w:pPr>
        <w:ind w:left="1831" w:hanging="93"/>
      </w:pPr>
      <w:rPr>
        <w:rFonts w:ascii="Calibri" w:eastAsia="Calibri" w:hAnsi="Calibri" w:cs="Calibri" w:hint="default"/>
        <w:color w:val="231F20"/>
        <w:w w:val="59"/>
        <w:sz w:val="17"/>
        <w:szCs w:val="17"/>
        <w:lang w:val="en-US" w:eastAsia="en-US" w:bidi="en-US"/>
      </w:rPr>
    </w:lvl>
    <w:lvl w:ilvl="1" w:tplc="8D4E4E58">
      <w:numFmt w:val="bullet"/>
      <w:lvlText w:val="•"/>
      <w:lvlJc w:val="left"/>
      <w:pPr>
        <w:ind w:left="2458" w:hanging="93"/>
      </w:pPr>
      <w:rPr>
        <w:rFonts w:hint="default"/>
        <w:lang w:val="en-US" w:eastAsia="en-US" w:bidi="en-US"/>
      </w:rPr>
    </w:lvl>
    <w:lvl w:ilvl="2" w:tplc="0B9801EC">
      <w:numFmt w:val="bullet"/>
      <w:lvlText w:val="•"/>
      <w:lvlJc w:val="left"/>
      <w:pPr>
        <w:ind w:left="3077" w:hanging="93"/>
      </w:pPr>
      <w:rPr>
        <w:rFonts w:hint="default"/>
        <w:lang w:val="en-US" w:eastAsia="en-US" w:bidi="en-US"/>
      </w:rPr>
    </w:lvl>
    <w:lvl w:ilvl="3" w:tplc="308CC88A">
      <w:numFmt w:val="bullet"/>
      <w:lvlText w:val="•"/>
      <w:lvlJc w:val="left"/>
      <w:pPr>
        <w:ind w:left="3695" w:hanging="93"/>
      </w:pPr>
      <w:rPr>
        <w:rFonts w:hint="default"/>
        <w:lang w:val="en-US" w:eastAsia="en-US" w:bidi="en-US"/>
      </w:rPr>
    </w:lvl>
    <w:lvl w:ilvl="4" w:tplc="EAA42CDC">
      <w:numFmt w:val="bullet"/>
      <w:lvlText w:val="•"/>
      <w:lvlJc w:val="left"/>
      <w:pPr>
        <w:ind w:left="4314" w:hanging="93"/>
      </w:pPr>
      <w:rPr>
        <w:rFonts w:hint="default"/>
        <w:lang w:val="en-US" w:eastAsia="en-US" w:bidi="en-US"/>
      </w:rPr>
    </w:lvl>
    <w:lvl w:ilvl="5" w:tplc="5522719A">
      <w:numFmt w:val="bullet"/>
      <w:lvlText w:val="•"/>
      <w:lvlJc w:val="left"/>
      <w:pPr>
        <w:ind w:left="4932" w:hanging="93"/>
      </w:pPr>
      <w:rPr>
        <w:rFonts w:hint="default"/>
        <w:lang w:val="en-US" w:eastAsia="en-US" w:bidi="en-US"/>
      </w:rPr>
    </w:lvl>
    <w:lvl w:ilvl="6" w:tplc="AA18F9B4">
      <w:numFmt w:val="bullet"/>
      <w:lvlText w:val="•"/>
      <w:lvlJc w:val="left"/>
      <w:pPr>
        <w:ind w:left="5551" w:hanging="93"/>
      </w:pPr>
      <w:rPr>
        <w:rFonts w:hint="default"/>
        <w:lang w:val="en-US" w:eastAsia="en-US" w:bidi="en-US"/>
      </w:rPr>
    </w:lvl>
    <w:lvl w:ilvl="7" w:tplc="24DA2456">
      <w:numFmt w:val="bullet"/>
      <w:lvlText w:val="•"/>
      <w:lvlJc w:val="left"/>
      <w:pPr>
        <w:ind w:left="6169" w:hanging="93"/>
      </w:pPr>
      <w:rPr>
        <w:rFonts w:hint="default"/>
        <w:lang w:val="en-US" w:eastAsia="en-US" w:bidi="en-US"/>
      </w:rPr>
    </w:lvl>
    <w:lvl w:ilvl="8" w:tplc="765E63F6">
      <w:numFmt w:val="bullet"/>
      <w:lvlText w:val="•"/>
      <w:lvlJc w:val="left"/>
      <w:pPr>
        <w:ind w:left="6788" w:hanging="93"/>
      </w:pPr>
      <w:rPr>
        <w:rFonts w:hint="default"/>
        <w:lang w:val="en-US" w:eastAsia="en-US" w:bidi="en-US"/>
      </w:rPr>
    </w:lvl>
  </w:abstractNum>
  <w:abstractNum w:abstractNumId="33" w15:restartNumberingAfterBreak="0">
    <w:nsid w:val="3B015C34"/>
    <w:multiLevelType w:val="hybridMultilevel"/>
    <w:tmpl w:val="0B3EAFF8"/>
    <w:lvl w:ilvl="0" w:tplc="3E8C0082">
      <w:numFmt w:val="bullet"/>
      <w:lvlText w:val="•"/>
      <w:lvlJc w:val="left"/>
      <w:pPr>
        <w:ind w:left="92" w:hanging="93"/>
      </w:pPr>
      <w:rPr>
        <w:rFonts w:ascii="Calibri" w:eastAsia="Calibri" w:hAnsi="Calibri" w:cs="Calibri" w:hint="default"/>
        <w:color w:val="231F20"/>
        <w:w w:val="59"/>
        <w:sz w:val="17"/>
        <w:szCs w:val="17"/>
        <w:lang w:val="en-US" w:eastAsia="en-US" w:bidi="en-US"/>
      </w:rPr>
    </w:lvl>
    <w:lvl w:ilvl="1" w:tplc="F32EF09C">
      <w:numFmt w:val="bullet"/>
      <w:lvlText w:val="•"/>
      <w:lvlJc w:val="left"/>
      <w:pPr>
        <w:ind w:left="691" w:hanging="93"/>
      </w:pPr>
      <w:rPr>
        <w:rFonts w:hint="default"/>
        <w:lang w:val="en-US" w:eastAsia="en-US" w:bidi="en-US"/>
      </w:rPr>
    </w:lvl>
    <w:lvl w:ilvl="2" w:tplc="558AFC1C">
      <w:numFmt w:val="bullet"/>
      <w:lvlText w:val="•"/>
      <w:lvlJc w:val="left"/>
      <w:pPr>
        <w:ind w:left="1282" w:hanging="93"/>
      </w:pPr>
      <w:rPr>
        <w:rFonts w:hint="default"/>
        <w:lang w:val="en-US" w:eastAsia="en-US" w:bidi="en-US"/>
      </w:rPr>
    </w:lvl>
    <w:lvl w:ilvl="3" w:tplc="44140A16">
      <w:numFmt w:val="bullet"/>
      <w:lvlText w:val="•"/>
      <w:lvlJc w:val="left"/>
      <w:pPr>
        <w:ind w:left="1873" w:hanging="93"/>
      </w:pPr>
      <w:rPr>
        <w:rFonts w:hint="default"/>
        <w:lang w:val="en-US" w:eastAsia="en-US" w:bidi="en-US"/>
      </w:rPr>
    </w:lvl>
    <w:lvl w:ilvl="4" w:tplc="47668B60">
      <w:numFmt w:val="bullet"/>
      <w:lvlText w:val="•"/>
      <w:lvlJc w:val="left"/>
      <w:pPr>
        <w:ind w:left="2464" w:hanging="93"/>
      </w:pPr>
      <w:rPr>
        <w:rFonts w:hint="default"/>
        <w:lang w:val="en-US" w:eastAsia="en-US" w:bidi="en-US"/>
      </w:rPr>
    </w:lvl>
    <w:lvl w:ilvl="5" w:tplc="8AE26986">
      <w:numFmt w:val="bullet"/>
      <w:lvlText w:val="•"/>
      <w:lvlJc w:val="left"/>
      <w:pPr>
        <w:ind w:left="3055" w:hanging="93"/>
      </w:pPr>
      <w:rPr>
        <w:rFonts w:hint="default"/>
        <w:lang w:val="en-US" w:eastAsia="en-US" w:bidi="en-US"/>
      </w:rPr>
    </w:lvl>
    <w:lvl w:ilvl="6" w:tplc="DABCEC20">
      <w:numFmt w:val="bullet"/>
      <w:lvlText w:val="•"/>
      <w:lvlJc w:val="left"/>
      <w:pPr>
        <w:ind w:left="3646" w:hanging="93"/>
      </w:pPr>
      <w:rPr>
        <w:rFonts w:hint="default"/>
        <w:lang w:val="en-US" w:eastAsia="en-US" w:bidi="en-US"/>
      </w:rPr>
    </w:lvl>
    <w:lvl w:ilvl="7" w:tplc="283E435C">
      <w:numFmt w:val="bullet"/>
      <w:lvlText w:val="•"/>
      <w:lvlJc w:val="left"/>
      <w:pPr>
        <w:ind w:left="4237" w:hanging="93"/>
      </w:pPr>
      <w:rPr>
        <w:rFonts w:hint="default"/>
        <w:lang w:val="en-US" w:eastAsia="en-US" w:bidi="en-US"/>
      </w:rPr>
    </w:lvl>
    <w:lvl w:ilvl="8" w:tplc="6F348F6E">
      <w:numFmt w:val="bullet"/>
      <w:lvlText w:val="•"/>
      <w:lvlJc w:val="left"/>
      <w:pPr>
        <w:ind w:left="4829" w:hanging="93"/>
      </w:pPr>
      <w:rPr>
        <w:rFonts w:hint="default"/>
        <w:lang w:val="en-US" w:eastAsia="en-US" w:bidi="en-US"/>
      </w:rPr>
    </w:lvl>
  </w:abstractNum>
  <w:abstractNum w:abstractNumId="34" w15:restartNumberingAfterBreak="0">
    <w:nsid w:val="3F723DD8"/>
    <w:multiLevelType w:val="hybridMultilevel"/>
    <w:tmpl w:val="906E55F6"/>
    <w:lvl w:ilvl="0" w:tplc="40DA5586">
      <w:start w:val="153"/>
      <w:numFmt w:val="decimal"/>
      <w:lvlText w:val="%1."/>
      <w:lvlJc w:val="left"/>
      <w:pPr>
        <w:ind w:left="2835" w:hanging="227"/>
        <w:jc w:val="left"/>
      </w:pPr>
      <w:rPr>
        <w:rFonts w:ascii="Calibri" w:eastAsia="Calibri" w:hAnsi="Calibri" w:cs="Calibri" w:hint="default"/>
        <w:color w:val="4D4D4F"/>
        <w:spacing w:val="-4"/>
        <w:w w:val="83"/>
        <w:sz w:val="12"/>
        <w:szCs w:val="12"/>
        <w:lang w:val="en-US" w:eastAsia="en-US" w:bidi="en-US"/>
      </w:rPr>
    </w:lvl>
    <w:lvl w:ilvl="1" w:tplc="8C309CF0">
      <w:numFmt w:val="bullet"/>
      <w:lvlText w:val="•"/>
      <w:lvlJc w:val="left"/>
      <w:pPr>
        <w:ind w:left="3542" w:hanging="227"/>
      </w:pPr>
      <w:rPr>
        <w:rFonts w:hint="default"/>
        <w:lang w:val="en-US" w:eastAsia="en-US" w:bidi="en-US"/>
      </w:rPr>
    </w:lvl>
    <w:lvl w:ilvl="2" w:tplc="481CA7B4">
      <w:numFmt w:val="bullet"/>
      <w:lvlText w:val="•"/>
      <w:lvlJc w:val="left"/>
      <w:pPr>
        <w:ind w:left="4245" w:hanging="227"/>
      </w:pPr>
      <w:rPr>
        <w:rFonts w:hint="default"/>
        <w:lang w:val="en-US" w:eastAsia="en-US" w:bidi="en-US"/>
      </w:rPr>
    </w:lvl>
    <w:lvl w:ilvl="3" w:tplc="37DEAF76">
      <w:numFmt w:val="bullet"/>
      <w:lvlText w:val="•"/>
      <w:lvlJc w:val="left"/>
      <w:pPr>
        <w:ind w:left="4947" w:hanging="227"/>
      </w:pPr>
      <w:rPr>
        <w:rFonts w:hint="default"/>
        <w:lang w:val="en-US" w:eastAsia="en-US" w:bidi="en-US"/>
      </w:rPr>
    </w:lvl>
    <w:lvl w:ilvl="4" w:tplc="DF08E80C">
      <w:numFmt w:val="bullet"/>
      <w:lvlText w:val="•"/>
      <w:lvlJc w:val="left"/>
      <w:pPr>
        <w:ind w:left="5650" w:hanging="227"/>
      </w:pPr>
      <w:rPr>
        <w:rFonts w:hint="default"/>
        <w:lang w:val="en-US" w:eastAsia="en-US" w:bidi="en-US"/>
      </w:rPr>
    </w:lvl>
    <w:lvl w:ilvl="5" w:tplc="B358E9CE">
      <w:numFmt w:val="bullet"/>
      <w:lvlText w:val="•"/>
      <w:lvlJc w:val="left"/>
      <w:pPr>
        <w:ind w:left="6352" w:hanging="227"/>
      </w:pPr>
      <w:rPr>
        <w:rFonts w:hint="default"/>
        <w:lang w:val="en-US" w:eastAsia="en-US" w:bidi="en-US"/>
      </w:rPr>
    </w:lvl>
    <w:lvl w:ilvl="6" w:tplc="458EED1A">
      <w:numFmt w:val="bullet"/>
      <w:lvlText w:val="•"/>
      <w:lvlJc w:val="left"/>
      <w:pPr>
        <w:ind w:left="7055" w:hanging="227"/>
      </w:pPr>
      <w:rPr>
        <w:rFonts w:hint="default"/>
        <w:lang w:val="en-US" w:eastAsia="en-US" w:bidi="en-US"/>
      </w:rPr>
    </w:lvl>
    <w:lvl w:ilvl="7" w:tplc="C2A257DA">
      <w:numFmt w:val="bullet"/>
      <w:lvlText w:val="•"/>
      <w:lvlJc w:val="left"/>
      <w:pPr>
        <w:ind w:left="7757" w:hanging="227"/>
      </w:pPr>
      <w:rPr>
        <w:rFonts w:hint="default"/>
        <w:lang w:val="en-US" w:eastAsia="en-US" w:bidi="en-US"/>
      </w:rPr>
    </w:lvl>
    <w:lvl w:ilvl="8" w:tplc="BFF008D4">
      <w:numFmt w:val="bullet"/>
      <w:lvlText w:val="•"/>
      <w:lvlJc w:val="left"/>
      <w:pPr>
        <w:ind w:left="8460" w:hanging="227"/>
      </w:pPr>
      <w:rPr>
        <w:rFonts w:hint="default"/>
        <w:lang w:val="en-US" w:eastAsia="en-US" w:bidi="en-US"/>
      </w:rPr>
    </w:lvl>
  </w:abstractNum>
  <w:abstractNum w:abstractNumId="35" w15:restartNumberingAfterBreak="0">
    <w:nsid w:val="3FE90CD7"/>
    <w:multiLevelType w:val="hybridMultilevel"/>
    <w:tmpl w:val="AD3C4C66"/>
    <w:lvl w:ilvl="0" w:tplc="627A3E48">
      <w:numFmt w:val="bullet"/>
      <w:lvlText w:val="•"/>
      <w:lvlJc w:val="left"/>
      <w:pPr>
        <w:ind w:left="226" w:hanging="114"/>
      </w:pPr>
      <w:rPr>
        <w:rFonts w:ascii="Calibri" w:eastAsia="Calibri" w:hAnsi="Calibri" w:cs="Calibri" w:hint="default"/>
        <w:color w:val="4D4D4F"/>
        <w:w w:val="59"/>
        <w:sz w:val="16"/>
        <w:szCs w:val="16"/>
        <w:lang w:val="en-US" w:eastAsia="en-US" w:bidi="en-US"/>
      </w:rPr>
    </w:lvl>
    <w:lvl w:ilvl="1" w:tplc="B81CAEFA">
      <w:numFmt w:val="bullet"/>
      <w:lvlText w:val="•"/>
      <w:lvlJc w:val="left"/>
      <w:pPr>
        <w:ind w:left="696" w:hanging="114"/>
      </w:pPr>
      <w:rPr>
        <w:rFonts w:hint="default"/>
        <w:lang w:val="en-US" w:eastAsia="en-US" w:bidi="en-US"/>
      </w:rPr>
    </w:lvl>
    <w:lvl w:ilvl="2" w:tplc="2004A9D8">
      <w:numFmt w:val="bullet"/>
      <w:lvlText w:val="•"/>
      <w:lvlJc w:val="left"/>
      <w:pPr>
        <w:ind w:left="1172" w:hanging="114"/>
      </w:pPr>
      <w:rPr>
        <w:rFonts w:hint="default"/>
        <w:lang w:val="en-US" w:eastAsia="en-US" w:bidi="en-US"/>
      </w:rPr>
    </w:lvl>
    <w:lvl w:ilvl="3" w:tplc="47AE53F6">
      <w:numFmt w:val="bullet"/>
      <w:lvlText w:val="•"/>
      <w:lvlJc w:val="left"/>
      <w:pPr>
        <w:ind w:left="1649" w:hanging="114"/>
      </w:pPr>
      <w:rPr>
        <w:rFonts w:hint="default"/>
        <w:lang w:val="en-US" w:eastAsia="en-US" w:bidi="en-US"/>
      </w:rPr>
    </w:lvl>
    <w:lvl w:ilvl="4" w:tplc="5B7285A4">
      <w:numFmt w:val="bullet"/>
      <w:lvlText w:val="•"/>
      <w:lvlJc w:val="left"/>
      <w:pPr>
        <w:ind w:left="2125" w:hanging="114"/>
      </w:pPr>
      <w:rPr>
        <w:rFonts w:hint="default"/>
        <w:lang w:val="en-US" w:eastAsia="en-US" w:bidi="en-US"/>
      </w:rPr>
    </w:lvl>
    <w:lvl w:ilvl="5" w:tplc="51A483F4">
      <w:numFmt w:val="bullet"/>
      <w:lvlText w:val="•"/>
      <w:lvlJc w:val="left"/>
      <w:pPr>
        <w:ind w:left="2602" w:hanging="114"/>
      </w:pPr>
      <w:rPr>
        <w:rFonts w:hint="default"/>
        <w:lang w:val="en-US" w:eastAsia="en-US" w:bidi="en-US"/>
      </w:rPr>
    </w:lvl>
    <w:lvl w:ilvl="6" w:tplc="97147A1A">
      <w:numFmt w:val="bullet"/>
      <w:lvlText w:val="•"/>
      <w:lvlJc w:val="left"/>
      <w:pPr>
        <w:ind w:left="3078" w:hanging="114"/>
      </w:pPr>
      <w:rPr>
        <w:rFonts w:hint="default"/>
        <w:lang w:val="en-US" w:eastAsia="en-US" w:bidi="en-US"/>
      </w:rPr>
    </w:lvl>
    <w:lvl w:ilvl="7" w:tplc="C61E1FA4">
      <w:numFmt w:val="bullet"/>
      <w:lvlText w:val="•"/>
      <w:lvlJc w:val="left"/>
      <w:pPr>
        <w:ind w:left="3554" w:hanging="114"/>
      </w:pPr>
      <w:rPr>
        <w:rFonts w:hint="default"/>
        <w:lang w:val="en-US" w:eastAsia="en-US" w:bidi="en-US"/>
      </w:rPr>
    </w:lvl>
    <w:lvl w:ilvl="8" w:tplc="5590EA3C">
      <w:numFmt w:val="bullet"/>
      <w:lvlText w:val="•"/>
      <w:lvlJc w:val="left"/>
      <w:pPr>
        <w:ind w:left="4031" w:hanging="114"/>
      </w:pPr>
      <w:rPr>
        <w:rFonts w:hint="default"/>
        <w:lang w:val="en-US" w:eastAsia="en-US" w:bidi="en-US"/>
      </w:rPr>
    </w:lvl>
  </w:abstractNum>
  <w:abstractNum w:abstractNumId="36" w15:restartNumberingAfterBreak="0">
    <w:nsid w:val="444967CB"/>
    <w:multiLevelType w:val="hybridMultilevel"/>
    <w:tmpl w:val="672EE22A"/>
    <w:lvl w:ilvl="0" w:tplc="28FEE63C">
      <w:start w:val="243"/>
      <w:numFmt w:val="decimal"/>
      <w:lvlText w:val="%1."/>
      <w:lvlJc w:val="left"/>
      <w:pPr>
        <w:ind w:left="2835" w:hanging="227"/>
        <w:jc w:val="left"/>
      </w:pPr>
      <w:rPr>
        <w:rFonts w:ascii="Calibri" w:eastAsia="Calibri" w:hAnsi="Calibri" w:cs="Calibri" w:hint="default"/>
        <w:color w:val="4D4D4F"/>
        <w:spacing w:val="0"/>
        <w:w w:val="83"/>
        <w:sz w:val="10"/>
        <w:szCs w:val="10"/>
        <w:lang w:val="en-US" w:eastAsia="en-US" w:bidi="en-US"/>
      </w:rPr>
    </w:lvl>
    <w:lvl w:ilvl="1" w:tplc="3588F132">
      <w:numFmt w:val="bullet"/>
      <w:lvlText w:val="•"/>
      <w:lvlJc w:val="left"/>
      <w:pPr>
        <w:ind w:left="3542" w:hanging="227"/>
      </w:pPr>
      <w:rPr>
        <w:rFonts w:hint="default"/>
        <w:lang w:val="en-US" w:eastAsia="en-US" w:bidi="en-US"/>
      </w:rPr>
    </w:lvl>
    <w:lvl w:ilvl="2" w:tplc="C5B2E5F4">
      <w:numFmt w:val="bullet"/>
      <w:lvlText w:val="•"/>
      <w:lvlJc w:val="left"/>
      <w:pPr>
        <w:ind w:left="4245" w:hanging="227"/>
      </w:pPr>
      <w:rPr>
        <w:rFonts w:hint="default"/>
        <w:lang w:val="en-US" w:eastAsia="en-US" w:bidi="en-US"/>
      </w:rPr>
    </w:lvl>
    <w:lvl w:ilvl="3" w:tplc="5D3E7DF0">
      <w:numFmt w:val="bullet"/>
      <w:lvlText w:val="•"/>
      <w:lvlJc w:val="left"/>
      <w:pPr>
        <w:ind w:left="4947" w:hanging="227"/>
      </w:pPr>
      <w:rPr>
        <w:rFonts w:hint="default"/>
        <w:lang w:val="en-US" w:eastAsia="en-US" w:bidi="en-US"/>
      </w:rPr>
    </w:lvl>
    <w:lvl w:ilvl="4" w:tplc="0406D3C2">
      <w:numFmt w:val="bullet"/>
      <w:lvlText w:val="•"/>
      <w:lvlJc w:val="left"/>
      <w:pPr>
        <w:ind w:left="5650" w:hanging="227"/>
      </w:pPr>
      <w:rPr>
        <w:rFonts w:hint="default"/>
        <w:lang w:val="en-US" w:eastAsia="en-US" w:bidi="en-US"/>
      </w:rPr>
    </w:lvl>
    <w:lvl w:ilvl="5" w:tplc="5A304332">
      <w:numFmt w:val="bullet"/>
      <w:lvlText w:val="•"/>
      <w:lvlJc w:val="left"/>
      <w:pPr>
        <w:ind w:left="6352" w:hanging="227"/>
      </w:pPr>
      <w:rPr>
        <w:rFonts w:hint="default"/>
        <w:lang w:val="en-US" w:eastAsia="en-US" w:bidi="en-US"/>
      </w:rPr>
    </w:lvl>
    <w:lvl w:ilvl="6" w:tplc="67FA496C">
      <w:numFmt w:val="bullet"/>
      <w:lvlText w:val="•"/>
      <w:lvlJc w:val="left"/>
      <w:pPr>
        <w:ind w:left="7055" w:hanging="227"/>
      </w:pPr>
      <w:rPr>
        <w:rFonts w:hint="default"/>
        <w:lang w:val="en-US" w:eastAsia="en-US" w:bidi="en-US"/>
      </w:rPr>
    </w:lvl>
    <w:lvl w:ilvl="7" w:tplc="062C455E">
      <w:numFmt w:val="bullet"/>
      <w:lvlText w:val="•"/>
      <w:lvlJc w:val="left"/>
      <w:pPr>
        <w:ind w:left="7757" w:hanging="227"/>
      </w:pPr>
      <w:rPr>
        <w:rFonts w:hint="default"/>
        <w:lang w:val="en-US" w:eastAsia="en-US" w:bidi="en-US"/>
      </w:rPr>
    </w:lvl>
    <w:lvl w:ilvl="8" w:tplc="BC9AF674">
      <w:numFmt w:val="bullet"/>
      <w:lvlText w:val="•"/>
      <w:lvlJc w:val="left"/>
      <w:pPr>
        <w:ind w:left="8460" w:hanging="227"/>
      </w:pPr>
      <w:rPr>
        <w:rFonts w:hint="default"/>
        <w:lang w:val="en-US" w:eastAsia="en-US" w:bidi="en-US"/>
      </w:rPr>
    </w:lvl>
  </w:abstractNum>
  <w:abstractNum w:abstractNumId="37" w15:restartNumberingAfterBreak="0">
    <w:nsid w:val="46F7412E"/>
    <w:multiLevelType w:val="hybridMultilevel"/>
    <w:tmpl w:val="801290E4"/>
    <w:lvl w:ilvl="0" w:tplc="DE8C245A">
      <w:numFmt w:val="bullet"/>
      <w:lvlText w:val="•"/>
      <w:lvlJc w:val="left"/>
      <w:pPr>
        <w:ind w:left="2111" w:hanging="93"/>
      </w:pPr>
      <w:rPr>
        <w:rFonts w:ascii="Calibri" w:eastAsia="Calibri" w:hAnsi="Calibri" w:cs="Calibri" w:hint="default"/>
        <w:color w:val="231F20"/>
        <w:w w:val="59"/>
        <w:sz w:val="17"/>
        <w:szCs w:val="17"/>
        <w:lang w:val="en-US" w:eastAsia="en-US" w:bidi="en-US"/>
      </w:rPr>
    </w:lvl>
    <w:lvl w:ilvl="1" w:tplc="D3167F8E">
      <w:numFmt w:val="bullet"/>
      <w:lvlText w:val="•"/>
      <w:lvlJc w:val="left"/>
      <w:pPr>
        <w:ind w:left="2556" w:hanging="93"/>
      </w:pPr>
      <w:rPr>
        <w:rFonts w:hint="default"/>
        <w:lang w:val="en-US" w:eastAsia="en-US" w:bidi="en-US"/>
      </w:rPr>
    </w:lvl>
    <w:lvl w:ilvl="2" w:tplc="D4A2F26A">
      <w:numFmt w:val="bullet"/>
      <w:lvlText w:val="•"/>
      <w:lvlJc w:val="left"/>
      <w:pPr>
        <w:ind w:left="2992" w:hanging="93"/>
      </w:pPr>
      <w:rPr>
        <w:rFonts w:hint="default"/>
        <w:lang w:val="en-US" w:eastAsia="en-US" w:bidi="en-US"/>
      </w:rPr>
    </w:lvl>
    <w:lvl w:ilvl="3" w:tplc="8288430E">
      <w:numFmt w:val="bullet"/>
      <w:lvlText w:val="•"/>
      <w:lvlJc w:val="left"/>
      <w:pPr>
        <w:ind w:left="3428" w:hanging="93"/>
      </w:pPr>
      <w:rPr>
        <w:rFonts w:hint="default"/>
        <w:lang w:val="en-US" w:eastAsia="en-US" w:bidi="en-US"/>
      </w:rPr>
    </w:lvl>
    <w:lvl w:ilvl="4" w:tplc="FB741A00">
      <w:numFmt w:val="bullet"/>
      <w:lvlText w:val="•"/>
      <w:lvlJc w:val="left"/>
      <w:pPr>
        <w:ind w:left="3865" w:hanging="93"/>
      </w:pPr>
      <w:rPr>
        <w:rFonts w:hint="default"/>
        <w:lang w:val="en-US" w:eastAsia="en-US" w:bidi="en-US"/>
      </w:rPr>
    </w:lvl>
    <w:lvl w:ilvl="5" w:tplc="EA52EDAC">
      <w:numFmt w:val="bullet"/>
      <w:lvlText w:val="•"/>
      <w:lvlJc w:val="left"/>
      <w:pPr>
        <w:ind w:left="4301" w:hanging="93"/>
      </w:pPr>
      <w:rPr>
        <w:rFonts w:hint="default"/>
        <w:lang w:val="en-US" w:eastAsia="en-US" w:bidi="en-US"/>
      </w:rPr>
    </w:lvl>
    <w:lvl w:ilvl="6" w:tplc="A77CDF94">
      <w:numFmt w:val="bullet"/>
      <w:lvlText w:val="•"/>
      <w:lvlJc w:val="left"/>
      <w:pPr>
        <w:ind w:left="4737" w:hanging="93"/>
      </w:pPr>
      <w:rPr>
        <w:rFonts w:hint="default"/>
        <w:lang w:val="en-US" w:eastAsia="en-US" w:bidi="en-US"/>
      </w:rPr>
    </w:lvl>
    <w:lvl w:ilvl="7" w:tplc="C8F882E0">
      <w:numFmt w:val="bullet"/>
      <w:lvlText w:val="•"/>
      <w:lvlJc w:val="left"/>
      <w:pPr>
        <w:ind w:left="5174" w:hanging="93"/>
      </w:pPr>
      <w:rPr>
        <w:rFonts w:hint="default"/>
        <w:lang w:val="en-US" w:eastAsia="en-US" w:bidi="en-US"/>
      </w:rPr>
    </w:lvl>
    <w:lvl w:ilvl="8" w:tplc="33C229E4">
      <w:numFmt w:val="bullet"/>
      <w:lvlText w:val="•"/>
      <w:lvlJc w:val="left"/>
      <w:pPr>
        <w:ind w:left="5610" w:hanging="93"/>
      </w:pPr>
      <w:rPr>
        <w:rFonts w:hint="default"/>
        <w:lang w:val="en-US" w:eastAsia="en-US" w:bidi="en-US"/>
      </w:rPr>
    </w:lvl>
  </w:abstractNum>
  <w:abstractNum w:abstractNumId="38" w15:restartNumberingAfterBreak="0">
    <w:nsid w:val="4AED221A"/>
    <w:multiLevelType w:val="hybridMultilevel"/>
    <w:tmpl w:val="0B90F322"/>
    <w:lvl w:ilvl="0" w:tplc="0268AA14">
      <w:start w:val="1"/>
      <w:numFmt w:val="lowerRoman"/>
      <w:lvlText w:val="(%1)"/>
      <w:lvlJc w:val="left"/>
      <w:pPr>
        <w:ind w:left="235" w:hanging="202"/>
        <w:jc w:val="left"/>
      </w:pPr>
      <w:rPr>
        <w:rFonts w:ascii="Calibri" w:eastAsia="Calibri" w:hAnsi="Calibri" w:cs="Calibri" w:hint="default"/>
        <w:color w:val="4D4D4F"/>
        <w:spacing w:val="-8"/>
        <w:w w:val="98"/>
        <w:sz w:val="20"/>
        <w:szCs w:val="20"/>
        <w:lang w:val="en-US" w:eastAsia="en-US" w:bidi="en-US"/>
      </w:rPr>
    </w:lvl>
    <w:lvl w:ilvl="1" w:tplc="5C7EAE32">
      <w:numFmt w:val="bullet"/>
      <w:lvlText w:val="•"/>
      <w:lvlJc w:val="left"/>
      <w:pPr>
        <w:ind w:left="953" w:hanging="202"/>
      </w:pPr>
      <w:rPr>
        <w:rFonts w:hint="default"/>
        <w:lang w:val="en-US" w:eastAsia="en-US" w:bidi="en-US"/>
      </w:rPr>
    </w:lvl>
    <w:lvl w:ilvl="2" w:tplc="276CD506">
      <w:numFmt w:val="bullet"/>
      <w:lvlText w:val="•"/>
      <w:lvlJc w:val="left"/>
      <w:pPr>
        <w:ind w:left="1666" w:hanging="202"/>
      </w:pPr>
      <w:rPr>
        <w:rFonts w:hint="default"/>
        <w:lang w:val="en-US" w:eastAsia="en-US" w:bidi="en-US"/>
      </w:rPr>
    </w:lvl>
    <w:lvl w:ilvl="3" w:tplc="EE886C96">
      <w:numFmt w:val="bullet"/>
      <w:lvlText w:val="•"/>
      <w:lvlJc w:val="left"/>
      <w:pPr>
        <w:ind w:left="2379" w:hanging="202"/>
      </w:pPr>
      <w:rPr>
        <w:rFonts w:hint="default"/>
        <w:lang w:val="en-US" w:eastAsia="en-US" w:bidi="en-US"/>
      </w:rPr>
    </w:lvl>
    <w:lvl w:ilvl="4" w:tplc="21FAF0CC">
      <w:numFmt w:val="bullet"/>
      <w:lvlText w:val="•"/>
      <w:lvlJc w:val="left"/>
      <w:pPr>
        <w:ind w:left="3092" w:hanging="202"/>
      </w:pPr>
      <w:rPr>
        <w:rFonts w:hint="default"/>
        <w:lang w:val="en-US" w:eastAsia="en-US" w:bidi="en-US"/>
      </w:rPr>
    </w:lvl>
    <w:lvl w:ilvl="5" w:tplc="5B5C4A34">
      <w:numFmt w:val="bullet"/>
      <w:lvlText w:val="•"/>
      <w:lvlJc w:val="left"/>
      <w:pPr>
        <w:ind w:left="3805" w:hanging="202"/>
      </w:pPr>
      <w:rPr>
        <w:rFonts w:hint="default"/>
        <w:lang w:val="en-US" w:eastAsia="en-US" w:bidi="en-US"/>
      </w:rPr>
    </w:lvl>
    <w:lvl w:ilvl="6" w:tplc="02C2174C">
      <w:numFmt w:val="bullet"/>
      <w:lvlText w:val="•"/>
      <w:lvlJc w:val="left"/>
      <w:pPr>
        <w:ind w:left="4518" w:hanging="202"/>
      </w:pPr>
      <w:rPr>
        <w:rFonts w:hint="default"/>
        <w:lang w:val="en-US" w:eastAsia="en-US" w:bidi="en-US"/>
      </w:rPr>
    </w:lvl>
    <w:lvl w:ilvl="7" w:tplc="FE48976A">
      <w:numFmt w:val="bullet"/>
      <w:lvlText w:val="•"/>
      <w:lvlJc w:val="left"/>
      <w:pPr>
        <w:ind w:left="5231" w:hanging="202"/>
      </w:pPr>
      <w:rPr>
        <w:rFonts w:hint="default"/>
        <w:lang w:val="en-US" w:eastAsia="en-US" w:bidi="en-US"/>
      </w:rPr>
    </w:lvl>
    <w:lvl w:ilvl="8" w:tplc="48FA2A8A">
      <w:numFmt w:val="bullet"/>
      <w:lvlText w:val="•"/>
      <w:lvlJc w:val="left"/>
      <w:pPr>
        <w:ind w:left="5944" w:hanging="202"/>
      </w:pPr>
      <w:rPr>
        <w:rFonts w:hint="default"/>
        <w:lang w:val="en-US" w:eastAsia="en-US" w:bidi="en-US"/>
      </w:rPr>
    </w:lvl>
  </w:abstractNum>
  <w:abstractNum w:abstractNumId="39" w15:restartNumberingAfterBreak="0">
    <w:nsid w:val="4B5F39C0"/>
    <w:multiLevelType w:val="hybridMultilevel"/>
    <w:tmpl w:val="52C22CC0"/>
    <w:lvl w:ilvl="0" w:tplc="37F2D1F6">
      <w:start w:val="191"/>
      <w:numFmt w:val="decimal"/>
      <w:lvlText w:val="%1."/>
      <w:lvlJc w:val="left"/>
      <w:pPr>
        <w:ind w:left="2834" w:hanging="227"/>
        <w:jc w:val="right"/>
      </w:pPr>
      <w:rPr>
        <w:rFonts w:ascii="Calibri" w:eastAsia="Calibri" w:hAnsi="Calibri" w:cs="Calibri" w:hint="default"/>
        <w:color w:val="4D4D4F"/>
        <w:spacing w:val="-5"/>
        <w:w w:val="83"/>
        <w:sz w:val="12"/>
        <w:szCs w:val="12"/>
        <w:lang w:val="en-US" w:eastAsia="en-US" w:bidi="en-US"/>
      </w:rPr>
    </w:lvl>
    <w:lvl w:ilvl="1" w:tplc="835E4CE0">
      <w:start w:val="1"/>
      <w:numFmt w:val="decimal"/>
      <w:lvlText w:val="%2."/>
      <w:lvlJc w:val="left"/>
      <w:pPr>
        <w:ind w:left="2778" w:hanging="170"/>
        <w:jc w:val="left"/>
      </w:pPr>
      <w:rPr>
        <w:rFonts w:ascii="Calibri" w:eastAsia="Calibri" w:hAnsi="Calibri" w:cs="Calibri" w:hint="default"/>
        <w:color w:val="4D4D4F"/>
        <w:spacing w:val="-10"/>
        <w:w w:val="92"/>
        <w:sz w:val="20"/>
        <w:szCs w:val="20"/>
        <w:lang w:val="en-US" w:eastAsia="en-US" w:bidi="en-US"/>
      </w:rPr>
    </w:lvl>
    <w:lvl w:ilvl="2" w:tplc="BE64BD9A">
      <w:numFmt w:val="bullet"/>
      <w:lvlText w:val="•"/>
      <w:lvlJc w:val="left"/>
      <w:pPr>
        <w:ind w:left="3620" w:hanging="170"/>
      </w:pPr>
      <w:rPr>
        <w:rFonts w:hint="default"/>
        <w:lang w:val="en-US" w:eastAsia="en-US" w:bidi="en-US"/>
      </w:rPr>
    </w:lvl>
    <w:lvl w:ilvl="3" w:tplc="3CA87D0E">
      <w:numFmt w:val="bullet"/>
      <w:lvlText w:val="•"/>
      <w:lvlJc w:val="left"/>
      <w:pPr>
        <w:ind w:left="4401" w:hanging="170"/>
      </w:pPr>
      <w:rPr>
        <w:rFonts w:hint="default"/>
        <w:lang w:val="en-US" w:eastAsia="en-US" w:bidi="en-US"/>
      </w:rPr>
    </w:lvl>
    <w:lvl w:ilvl="4" w:tplc="075CCDFE">
      <w:numFmt w:val="bullet"/>
      <w:lvlText w:val="•"/>
      <w:lvlJc w:val="left"/>
      <w:pPr>
        <w:ind w:left="5181" w:hanging="170"/>
      </w:pPr>
      <w:rPr>
        <w:rFonts w:hint="default"/>
        <w:lang w:val="en-US" w:eastAsia="en-US" w:bidi="en-US"/>
      </w:rPr>
    </w:lvl>
    <w:lvl w:ilvl="5" w:tplc="146AA010">
      <w:numFmt w:val="bullet"/>
      <w:lvlText w:val="•"/>
      <w:lvlJc w:val="left"/>
      <w:pPr>
        <w:ind w:left="5962" w:hanging="170"/>
      </w:pPr>
      <w:rPr>
        <w:rFonts w:hint="default"/>
        <w:lang w:val="en-US" w:eastAsia="en-US" w:bidi="en-US"/>
      </w:rPr>
    </w:lvl>
    <w:lvl w:ilvl="6" w:tplc="ECBA6322">
      <w:numFmt w:val="bullet"/>
      <w:lvlText w:val="•"/>
      <w:lvlJc w:val="left"/>
      <w:pPr>
        <w:ind w:left="6743" w:hanging="170"/>
      </w:pPr>
      <w:rPr>
        <w:rFonts w:hint="default"/>
        <w:lang w:val="en-US" w:eastAsia="en-US" w:bidi="en-US"/>
      </w:rPr>
    </w:lvl>
    <w:lvl w:ilvl="7" w:tplc="97AE6416">
      <w:numFmt w:val="bullet"/>
      <w:lvlText w:val="•"/>
      <w:lvlJc w:val="left"/>
      <w:pPr>
        <w:ind w:left="7523" w:hanging="170"/>
      </w:pPr>
      <w:rPr>
        <w:rFonts w:hint="default"/>
        <w:lang w:val="en-US" w:eastAsia="en-US" w:bidi="en-US"/>
      </w:rPr>
    </w:lvl>
    <w:lvl w:ilvl="8" w:tplc="02665B04">
      <w:numFmt w:val="bullet"/>
      <w:lvlText w:val="•"/>
      <w:lvlJc w:val="left"/>
      <w:pPr>
        <w:ind w:left="8304" w:hanging="170"/>
      </w:pPr>
      <w:rPr>
        <w:rFonts w:hint="default"/>
        <w:lang w:val="en-US" w:eastAsia="en-US" w:bidi="en-US"/>
      </w:rPr>
    </w:lvl>
  </w:abstractNum>
  <w:abstractNum w:abstractNumId="40" w15:restartNumberingAfterBreak="0">
    <w:nsid w:val="4E0D14C1"/>
    <w:multiLevelType w:val="hybridMultilevel"/>
    <w:tmpl w:val="EF063B06"/>
    <w:lvl w:ilvl="0" w:tplc="AC96635E">
      <w:start w:val="1"/>
      <w:numFmt w:val="lowerRoman"/>
      <w:lvlText w:val="(%1)"/>
      <w:lvlJc w:val="left"/>
      <w:pPr>
        <w:ind w:left="340" w:hanging="202"/>
        <w:jc w:val="left"/>
      </w:pPr>
      <w:rPr>
        <w:rFonts w:ascii="Calibri" w:eastAsia="Calibri" w:hAnsi="Calibri" w:cs="Calibri" w:hint="default"/>
        <w:color w:val="4D4D4F"/>
        <w:spacing w:val="-8"/>
        <w:w w:val="98"/>
        <w:sz w:val="20"/>
        <w:szCs w:val="20"/>
        <w:lang w:val="en-US" w:eastAsia="en-US" w:bidi="en-US"/>
      </w:rPr>
    </w:lvl>
    <w:lvl w:ilvl="1" w:tplc="8D185E02">
      <w:numFmt w:val="bullet"/>
      <w:lvlText w:val="•"/>
      <w:lvlJc w:val="left"/>
      <w:pPr>
        <w:ind w:left="1054" w:hanging="202"/>
      </w:pPr>
      <w:rPr>
        <w:rFonts w:hint="default"/>
        <w:lang w:val="en-US" w:eastAsia="en-US" w:bidi="en-US"/>
      </w:rPr>
    </w:lvl>
    <w:lvl w:ilvl="2" w:tplc="E7707B78">
      <w:numFmt w:val="bullet"/>
      <w:lvlText w:val="•"/>
      <w:lvlJc w:val="left"/>
      <w:pPr>
        <w:ind w:left="1768" w:hanging="202"/>
      </w:pPr>
      <w:rPr>
        <w:rFonts w:hint="default"/>
        <w:lang w:val="en-US" w:eastAsia="en-US" w:bidi="en-US"/>
      </w:rPr>
    </w:lvl>
    <w:lvl w:ilvl="3" w:tplc="3D7635A0">
      <w:numFmt w:val="bullet"/>
      <w:lvlText w:val="•"/>
      <w:lvlJc w:val="left"/>
      <w:pPr>
        <w:ind w:left="2483" w:hanging="202"/>
      </w:pPr>
      <w:rPr>
        <w:rFonts w:hint="default"/>
        <w:lang w:val="en-US" w:eastAsia="en-US" w:bidi="en-US"/>
      </w:rPr>
    </w:lvl>
    <w:lvl w:ilvl="4" w:tplc="AAF0520C">
      <w:numFmt w:val="bullet"/>
      <w:lvlText w:val="•"/>
      <w:lvlJc w:val="left"/>
      <w:pPr>
        <w:ind w:left="3197" w:hanging="202"/>
      </w:pPr>
      <w:rPr>
        <w:rFonts w:hint="default"/>
        <w:lang w:val="en-US" w:eastAsia="en-US" w:bidi="en-US"/>
      </w:rPr>
    </w:lvl>
    <w:lvl w:ilvl="5" w:tplc="0338FA42">
      <w:numFmt w:val="bullet"/>
      <w:lvlText w:val="•"/>
      <w:lvlJc w:val="left"/>
      <w:pPr>
        <w:ind w:left="3912" w:hanging="202"/>
      </w:pPr>
      <w:rPr>
        <w:rFonts w:hint="default"/>
        <w:lang w:val="en-US" w:eastAsia="en-US" w:bidi="en-US"/>
      </w:rPr>
    </w:lvl>
    <w:lvl w:ilvl="6" w:tplc="5D22378A">
      <w:numFmt w:val="bullet"/>
      <w:lvlText w:val="•"/>
      <w:lvlJc w:val="left"/>
      <w:pPr>
        <w:ind w:left="4626" w:hanging="202"/>
      </w:pPr>
      <w:rPr>
        <w:rFonts w:hint="default"/>
        <w:lang w:val="en-US" w:eastAsia="en-US" w:bidi="en-US"/>
      </w:rPr>
    </w:lvl>
    <w:lvl w:ilvl="7" w:tplc="1D3CE77E">
      <w:numFmt w:val="bullet"/>
      <w:lvlText w:val="•"/>
      <w:lvlJc w:val="left"/>
      <w:pPr>
        <w:ind w:left="5341" w:hanging="202"/>
      </w:pPr>
      <w:rPr>
        <w:rFonts w:hint="default"/>
        <w:lang w:val="en-US" w:eastAsia="en-US" w:bidi="en-US"/>
      </w:rPr>
    </w:lvl>
    <w:lvl w:ilvl="8" w:tplc="8B7CA362">
      <w:numFmt w:val="bullet"/>
      <w:lvlText w:val="•"/>
      <w:lvlJc w:val="left"/>
      <w:pPr>
        <w:ind w:left="6055" w:hanging="202"/>
      </w:pPr>
      <w:rPr>
        <w:rFonts w:hint="default"/>
        <w:lang w:val="en-US" w:eastAsia="en-US" w:bidi="en-US"/>
      </w:rPr>
    </w:lvl>
  </w:abstractNum>
  <w:abstractNum w:abstractNumId="41" w15:restartNumberingAfterBreak="0">
    <w:nsid w:val="4E597AD3"/>
    <w:multiLevelType w:val="hybridMultilevel"/>
    <w:tmpl w:val="96060450"/>
    <w:lvl w:ilvl="0" w:tplc="EBEECE0E">
      <w:start w:val="1"/>
      <w:numFmt w:val="decimal"/>
      <w:lvlText w:val="%1."/>
      <w:lvlJc w:val="left"/>
      <w:pPr>
        <w:ind w:left="2778" w:hanging="170"/>
        <w:jc w:val="left"/>
      </w:pPr>
      <w:rPr>
        <w:rFonts w:ascii="Calibri" w:eastAsia="Calibri" w:hAnsi="Calibri" w:cs="Calibri" w:hint="default"/>
        <w:color w:val="4D4D4F"/>
        <w:spacing w:val="-10"/>
        <w:w w:val="92"/>
        <w:sz w:val="20"/>
        <w:szCs w:val="20"/>
        <w:lang w:val="en-US" w:eastAsia="en-US" w:bidi="en-US"/>
      </w:rPr>
    </w:lvl>
    <w:lvl w:ilvl="1" w:tplc="64381CF4">
      <w:numFmt w:val="bullet"/>
      <w:lvlText w:val="•"/>
      <w:lvlJc w:val="left"/>
      <w:pPr>
        <w:ind w:left="3488" w:hanging="170"/>
      </w:pPr>
      <w:rPr>
        <w:rFonts w:hint="default"/>
        <w:lang w:val="en-US" w:eastAsia="en-US" w:bidi="en-US"/>
      </w:rPr>
    </w:lvl>
    <w:lvl w:ilvl="2" w:tplc="04E086A4">
      <w:numFmt w:val="bullet"/>
      <w:lvlText w:val="•"/>
      <w:lvlJc w:val="left"/>
      <w:pPr>
        <w:ind w:left="4197" w:hanging="170"/>
      </w:pPr>
      <w:rPr>
        <w:rFonts w:hint="default"/>
        <w:lang w:val="en-US" w:eastAsia="en-US" w:bidi="en-US"/>
      </w:rPr>
    </w:lvl>
    <w:lvl w:ilvl="3" w:tplc="A888F2F6">
      <w:numFmt w:val="bullet"/>
      <w:lvlText w:val="•"/>
      <w:lvlJc w:val="left"/>
      <w:pPr>
        <w:ind w:left="4905" w:hanging="170"/>
      </w:pPr>
      <w:rPr>
        <w:rFonts w:hint="default"/>
        <w:lang w:val="en-US" w:eastAsia="en-US" w:bidi="en-US"/>
      </w:rPr>
    </w:lvl>
    <w:lvl w:ilvl="4" w:tplc="7E16B288">
      <w:numFmt w:val="bullet"/>
      <w:lvlText w:val="•"/>
      <w:lvlJc w:val="left"/>
      <w:pPr>
        <w:ind w:left="5614" w:hanging="170"/>
      </w:pPr>
      <w:rPr>
        <w:rFonts w:hint="default"/>
        <w:lang w:val="en-US" w:eastAsia="en-US" w:bidi="en-US"/>
      </w:rPr>
    </w:lvl>
    <w:lvl w:ilvl="5" w:tplc="B712D752">
      <w:numFmt w:val="bullet"/>
      <w:lvlText w:val="•"/>
      <w:lvlJc w:val="left"/>
      <w:pPr>
        <w:ind w:left="6322" w:hanging="170"/>
      </w:pPr>
      <w:rPr>
        <w:rFonts w:hint="default"/>
        <w:lang w:val="en-US" w:eastAsia="en-US" w:bidi="en-US"/>
      </w:rPr>
    </w:lvl>
    <w:lvl w:ilvl="6" w:tplc="031235D8">
      <w:numFmt w:val="bullet"/>
      <w:lvlText w:val="•"/>
      <w:lvlJc w:val="left"/>
      <w:pPr>
        <w:ind w:left="7031" w:hanging="170"/>
      </w:pPr>
      <w:rPr>
        <w:rFonts w:hint="default"/>
        <w:lang w:val="en-US" w:eastAsia="en-US" w:bidi="en-US"/>
      </w:rPr>
    </w:lvl>
    <w:lvl w:ilvl="7" w:tplc="2B90A0DE">
      <w:numFmt w:val="bullet"/>
      <w:lvlText w:val="•"/>
      <w:lvlJc w:val="left"/>
      <w:pPr>
        <w:ind w:left="7739" w:hanging="170"/>
      </w:pPr>
      <w:rPr>
        <w:rFonts w:hint="default"/>
        <w:lang w:val="en-US" w:eastAsia="en-US" w:bidi="en-US"/>
      </w:rPr>
    </w:lvl>
    <w:lvl w:ilvl="8" w:tplc="E7D4723E">
      <w:numFmt w:val="bullet"/>
      <w:lvlText w:val="•"/>
      <w:lvlJc w:val="left"/>
      <w:pPr>
        <w:ind w:left="8448" w:hanging="170"/>
      </w:pPr>
      <w:rPr>
        <w:rFonts w:hint="default"/>
        <w:lang w:val="en-US" w:eastAsia="en-US" w:bidi="en-US"/>
      </w:rPr>
    </w:lvl>
  </w:abstractNum>
  <w:abstractNum w:abstractNumId="42" w15:restartNumberingAfterBreak="0">
    <w:nsid w:val="50767A5E"/>
    <w:multiLevelType w:val="hybridMultilevel"/>
    <w:tmpl w:val="96AA9936"/>
    <w:lvl w:ilvl="0" w:tplc="2D08EB64">
      <w:start w:val="1"/>
      <w:numFmt w:val="lowerRoman"/>
      <w:lvlText w:val="(%1)"/>
      <w:lvlJc w:val="left"/>
      <w:pPr>
        <w:ind w:left="432" w:hanging="202"/>
        <w:jc w:val="left"/>
      </w:pPr>
      <w:rPr>
        <w:rFonts w:ascii="Calibri" w:eastAsia="Calibri" w:hAnsi="Calibri" w:cs="Calibri" w:hint="default"/>
        <w:color w:val="4D4D4F"/>
        <w:spacing w:val="-8"/>
        <w:w w:val="98"/>
        <w:sz w:val="20"/>
        <w:szCs w:val="20"/>
        <w:lang w:val="en-US" w:eastAsia="en-US" w:bidi="en-US"/>
      </w:rPr>
    </w:lvl>
    <w:lvl w:ilvl="1" w:tplc="E8D6F384">
      <w:numFmt w:val="bullet"/>
      <w:lvlText w:val="•"/>
      <w:lvlJc w:val="left"/>
      <w:pPr>
        <w:ind w:left="1133" w:hanging="202"/>
      </w:pPr>
      <w:rPr>
        <w:rFonts w:hint="default"/>
        <w:lang w:val="en-US" w:eastAsia="en-US" w:bidi="en-US"/>
      </w:rPr>
    </w:lvl>
    <w:lvl w:ilvl="2" w:tplc="CFE88C9C">
      <w:numFmt w:val="bullet"/>
      <w:lvlText w:val="•"/>
      <w:lvlJc w:val="left"/>
      <w:pPr>
        <w:ind w:left="1826" w:hanging="202"/>
      </w:pPr>
      <w:rPr>
        <w:rFonts w:hint="default"/>
        <w:lang w:val="en-US" w:eastAsia="en-US" w:bidi="en-US"/>
      </w:rPr>
    </w:lvl>
    <w:lvl w:ilvl="3" w:tplc="B474474C">
      <w:numFmt w:val="bullet"/>
      <w:lvlText w:val="•"/>
      <w:lvlJc w:val="left"/>
      <w:pPr>
        <w:ind w:left="2520" w:hanging="202"/>
      </w:pPr>
      <w:rPr>
        <w:rFonts w:hint="default"/>
        <w:lang w:val="en-US" w:eastAsia="en-US" w:bidi="en-US"/>
      </w:rPr>
    </w:lvl>
    <w:lvl w:ilvl="4" w:tplc="B99E5716">
      <w:numFmt w:val="bullet"/>
      <w:lvlText w:val="•"/>
      <w:lvlJc w:val="left"/>
      <w:pPr>
        <w:ind w:left="3213" w:hanging="202"/>
      </w:pPr>
      <w:rPr>
        <w:rFonts w:hint="default"/>
        <w:lang w:val="en-US" w:eastAsia="en-US" w:bidi="en-US"/>
      </w:rPr>
    </w:lvl>
    <w:lvl w:ilvl="5" w:tplc="409AA616">
      <w:numFmt w:val="bullet"/>
      <w:lvlText w:val="•"/>
      <w:lvlJc w:val="left"/>
      <w:pPr>
        <w:ind w:left="3906" w:hanging="202"/>
      </w:pPr>
      <w:rPr>
        <w:rFonts w:hint="default"/>
        <w:lang w:val="en-US" w:eastAsia="en-US" w:bidi="en-US"/>
      </w:rPr>
    </w:lvl>
    <w:lvl w:ilvl="6" w:tplc="3FF87CA6">
      <w:numFmt w:val="bullet"/>
      <w:lvlText w:val="•"/>
      <w:lvlJc w:val="left"/>
      <w:pPr>
        <w:ind w:left="4600" w:hanging="202"/>
      </w:pPr>
      <w:rPr>
        <w:rFonts w:hint="default"/>
        <w:lang w:val="en-US" w:eastAsia="en-US" w:bidi="en-US"/>
      </w:rPr>
    </w:lvl>
    <w:lvl w:ilvl="7" w:tplc="6AB4FF80">
      <w:numFmt w:val="bullet"/>
      <w:lvlText w:val="•"/>
      <w:lvlJc w:val="left"/>
      <w:pPr>
        <w:ind w:left="5293" w:hanging="202"/>
      </w:pPr>
      <w:rPr>
        <w:rFonts w:hint="default"/>
        <w:lang w:val="en-US" w:eastAsia="en-US" w:bidi="en-US"/>
      </w:rPr>
    </w:lvl>
    <w:lvl w:ilvl="8" w:tplc="5DB21452">
      <w:numFmt w:val="bullet"/>
      <w:lvlText w:val="•"/>
      <w:lvlJc w:val="left"/>
      <w:pPr>
        <w:ind w:left="5987" w:hanging="202"/>
      </w:pPr>
      <w:rPr>
        <w:rFonts w:hint="default"/>
        <w:lang w:val="en-US" w:eastAsia="en-US" w:bidi="en-US"/>
      </w:rPr>
    </w:lvl>
  </w:abstractNum>
  <w:abstractNum w:abstractNumId="43" w15:restartNumberingAfterBreak="0">
    <w:nsid w:val="52DF03D6"/>
    <w:multiLevelType w:val="hybridMultilevel"/>
    <w:tmpl w:val="D5CA2082"/>
    <w:lvl w:ilvl="0" w:tplc="6DACD786">
      <w:numFmt w:val="bullet"/>
      <w:lvlText w:val="•"/>
      <w:lvlJc w:val="left"/>
      <w:pPr>
        <w:ind w:left="226" w:hanging="114"/>
      </w:pPr>
      <w:rPr>
        <w:rFonts w:ascii="Calibri" w:eastAsia="Calibri" w:hAnsi="Calibri" w:cs="Calibri" w:hint="default"/>
        <w:color w:val="4D4D4F"/>
        <w:w w:val="59"/>
        <w:sz w:val="16"/>
        <w:szCs w:val="16"/>
        <w:lang w:val="en-US" w:eastAsia="en-US" w:bidi="en-US"/>
      </w:rPr>
    </w:lvl>
    <w:lvl w:ilvl="1" w:tplc="C340296E">
      <w:numFmt w:val="bullet"/>
      <w:lvlText w:val="•"/>
      <w:lvlJc w:val="left"/>
      <w:pPr>
        <w:ind w:left="696" w:hanging="114"/>
      </w:pPr>
      <w:rPr>
        <w:rFonts w:hint="default"/>
        <w:lang w:val="en-US" w:eastAsia="en-US" w:bidi="en-US"/>
      </w:rPr>
    </w:lvl>
    <w:lvl w:ilvl="2" w:tplc="C2222B64">
      <w:numFmt w:val="bullet"/>
      <w:lvlText w:val="•"/>
      <w:lvlJc w:val="left"/>
      <w:pPr>
        <w:ind w:left="1172" w:hanging="114"/>
      </w:pPr>
      <w:rPr>
        <w:rFonts w:hint="default"/>
        <w:lang w:val="en-US" w:eastAsia="en-US" w:bidi="en-US"/>
      </w:rPr>
    </w:lvl>
    <w:lvl w:ilvl="3" w:tplc="12A45E82">
      <w:numFmt w:val="bullet"/>
      <w:lvlText w:val="•"/>
      <w:lvlJc w:val="left"/>
      <w:pPr>
        <w:ind w:left="1649" w:hanging="114"/>
      </w:pPr>
      <w:rPr>
        <w:rFonts w:hint="default"/>
        <w:lang w:val="en-US" w:eastAsia="en-US" w:bidi="en-US"/>
      </w:rPr>
    </w:lvl>
    <w:lvl w:ilvl="4" w:tplc="2C96BD1E">
      <w:numFmt w:val="bullet"/>
      <w:lvlText w:val="•"/>
      <w:lvlJc w:val="left"/>
      <w:pPr>
        <w:ind w:left="2125" w:hanging="114"/>
      </w:pPr>
      <w:rPr>
        <w:rFonts w:hint="default"/>
        <w:lang w:val="en-US" w:eastAsia="en-US" w:bidi="en-US"/>
      </w:rPr>
    </w:lvl>
    <w:lvl w:ilvl="5" w:tplc="9D9CFBF6">
      <w:numFmt w:val="bullet"/>
      <w:lvlText w:val="•"/>
      <w:lvlJc w:val="left"/>
      <w:pPr>
        <w:ind w:left="2602" w:hanging="114"/>
      </w:pPr>
      <w:rPr>
        <w:rFonts w:hint="default"/>
        <w:lang w:val="en-US" w:eastAsia="en-US" w:bidi="en-US"/>
      </w:rPr>
    </w:lvl>
    <w:lvl w:ilvl="6" w:tplc="BDFC096A">
      <w:numFmt w:val="bullet"/>
      <w:lvlText w:val="•"/>
      <w:lvlJc w:val="left"/>
      <w:pPr>
        <w:ind w:left="3078" w:hanging="114"/>
      </w:pPr>
      <w:rPr>
        <w:rFonts w:hint="default"/>
        <w:lang w:val="en-US" w:eastAsia="en-US" w:bidi="en-US"/>
      </w:rPr>
    </w:lvl>
    <w:lvl w:ilvl="7" w:tplc="6C3219DE">
      <w:numFmt w:val="bullet"/>
      <w:lvlText w:val="•"/>
      <w:lvlJc w:val="left"/>
      <w:pPr>
        <w:ind w:left="3554" w:hanging="114"/>
      </w:pPr>
      <w:rPr>
        <w:rFonts w:hint="default"/>
        <w:lang w:val="en-US" w:eastAsia="en-US" w:bidi="en-US"/>
      </w:rPr>
    </w:lvl>
    <w:lvl w:ilvl="8" w:tplc="D264C46E">
      <w:numFmt w:val="bullet"/>
      <w:lvlText w:val="•"/>
      <w:lvlJc w:val="left"/>
      <w:pPr>
        <w:ind w:left="4031" w:hanging="114"/>
      </w:pPr>
      <w:rPr>
        <w:rFonts w:hint="default"/>
        <w:lang w:val="en-US" w:eastAsia="en-US" w:bidi="en-US"/>
      </w:rPr>
    </w:lvl>
  </w:abstractNum>
  <w:abstractNum w:abstractNumId="44" w15:restartNumberingAfterBreak="0">
    <w:nsid w:val="539D69D5"/>
    <w:multiLevelType w:val="hybridMultilevel"/>
    <w:tmpl w:val="DF4CFE82"/>
    <w:lvl w:ilvl="0" w:tplc="447A4EAC">
      <w:start w:val="1"/>
      <w:numFmt w:val="decimal"/>
      <w:lvlText w:val="%1."/>
      <w:lvlJc w:val="left"/>
      <w:pPr>
        <w:ind w:left="284" w:hanging="170"/>
        <w:jc w:val="left"/>
      </w:pPr>
      <w:rPr>
        <w:rFonts w:ascii="Calibri" w:eastAsia="Calibri" w:hAnsi="Calibri" w:cs="Calibri" w:hint="default"/>
        <w:color w:val="4D4D4F"/>
        <w:spacing w:val="-10"/>
        <w:w w:val="92"/>
        <w:sz w:val="20"/>
        <w:szCs w:val="20"/>
        <w:lang w:val="en-US" w:eastAsia="en-US" w:bidi="en-US"/>
      </w:rPr>
    </w:lvl>
    <w:lvl w:ilvl="1" w:tplc="8DF42C1A">
      <w:start w:val="150"/>
      <w:numFmt w:val="decimal"/>
      <w:lvlText w:val="%2."/>
      <w:lvlJc w:val="left"/>
      <w:pPr>
        <w:ind w:left="2835" w:hanging="227"/>
        <w:jc w:val="left"/>
      </w:pPr>
      <w:rPr>
        <w:rFonts w:ascii="Calibri" w:eastAsia="Calibri" w:hAnsi="Calibri" w:cs="Calibri" w:hint="default"/>
        <w:color w:val="4D4D4F"/>
        <w:spacing w:val="-8"/>
        <w:w w:val="83"/>
        <w:sz w:val="12"/>
        <w:szCs w:val="12"/>
        <w:lang w:val="en-US" w:eastAsia="en-US" w:bidi="en-US"/>
      </w:rPr>
    </w:lvl>
    <w:lvl w:ilvl="2" w:tplc="5CB4F050">
      <w:numFmt w:val="bullet"/>
      <w:lvlText w:val="•"/>
      <w:lvlJc w:val="left"/>
      <w:pPr>
        <w:ind w:left="3343" w:hanging="227"/>
      </w:pPr>
      <w:rPr>
        <w:rFonts w:hint="default"/>
        <w:lang w:val="en-US" w:eastAsia="en-US" w:bidi="en-US"/>
      </w:rPr>
    </w:lvl>
    <w:lvl w:ilvl="3" w:tplc="B52E595E">
      <w:numFmt w:val="bullet"/>
      <w:lvlText w:val="•"/>
      <w:lvlJc w:val="left"/>
      <w:pPr>
        <w:ind w:left="3846" w:hanging="227"/>
      </w:pPr>
      <w:rPr>
        <w:rFonts w:hint="default"/>
        <w:lang w:val="en-US" w:eastAsia="en-US" w:bidi="en-US"/>
      </w:rPr>
    </w:lvl>
    <w:lvl w:ilvl="4" w:tplc="E774D4C6">
      <w:numFmt w:val="bullet"/>
      <w:lvlText w:val="•"/>
      <w:lvlJc w:val="left"/>
      <w:pPr>
        <w:ind w:left="4350" w:hanging="227"/>
      </w:pPr>
      <w:rPr>
        <w:rFonts w:hint="default"/>
        <w:lang w:val="en-US" w:eastAsia="en-US" w:bidi="en-US"/>
      </w:rPr>
    </w:lvl>
    <w:lvl w:ilvl="5" w:tplc="3B2C606E">
      <w:numFmt w:val="bullet"/>
      <w:lvlText w:val="•"/>
      <w:lvlJc w:val="left"/>
      <w:pPr>
        <w:ind w:left="4853" w:hanging="227"/>
      </w:pPr>
      <w:rPr>
        <w:rFonts w:hint="default"/>
        <w:lang w:val="en-US" w:eastAsia="en-US" w:bidi="en-US"/>
      </w:rPr>
    </w:lvl>
    <w:lvl w:ilvl="6" w:tplc="C584FC90">
      <w:numFmt w:val="bullet"/>
      <w:lvlText w:val="•"/>
      <w:lvlJc w:val="left"/>
      <w:pPr>
        <w:ind w:left="5357" w:hanging="227"/>
      </w:pPr>
      <w:rPr>
        <w:rFonts w:hint="default"/>
        <w:lang w:val="en-US" w:eastAsia="en-US" w:bidi="en-US"/>
      </w:rPr>
    </w:lvl>
    <w:lvl w:ilvl="7" w:tplc="B5DC53DA">
      <w:numFmt w:val="bullet"/>
      <w:lvlText w:val="•"/>
      <w:lvlJc w:val="left"/>
      <w:pPr>
        <w:ind w:left="5860" w:hanging="227"/>
      </w:pPr>
      <w:rPr>
        <w:rFonts w:hint="default"/>
        <w:lang w:val="en-US" w:eastAsia="en-US" w:bidi="en-US"/>
      </w:rPr>
    </w:lvl>
    <w:lvl w:ilvl="8" w:tplc="5D76E79C">
      <w:numFmt w:val="bullet"/>
      <w:lvlText w:val="•"/>
      <w:lvlJc w:val="left"/>
      <w:pPr>
        <w:ind w:left="6364" w:hanging="227"/>
      </w:pPr>
      <w:rPr>
        <w:rFonts w:hint="default"/>
        <w:lang w:val="en-US" w:eastAsia="en-US" w:bidi="en-US"/>
      </w:rPr>
    </w:lvl>
  </w:abstractNum>
  <w:abstractNum w:abstractNumId="45" w15:restartNumberingAfterBreak="0">
    <w:nsid w:val="56E02111"/>
    <w:multiLevelType w:val="hybridMultilevel"/>
    <w:tmpl w:val="A1BC2CA4"/>
    <w:lvl w:ilvl="0" w:tplc="0E9E1A98">
      <w:numFmt w:val="bullet"/>
      <w:lvlText w:val="•"/>
      <w:lvlJc w:val="left"/>
      <w:pPr>
        <w:ind w:left="1835" w:hanging="93"/>
      </w:pPr>
      <w:rPr>
        <w:rFonts w:ascii="Calibri" w:eastAsia="Calibri" w:hAnsi="Calibri" w:cs="Calibri" w:hint="default"/>
        <w:color w:val="231F20"/>
        <w:w w:val="59"/>
        <w:sz w:val="17"/>
        <w:szCs w:val="17"/>
        <w:lang w:val="en-US" w:eastAsia="en-US" w:bidi="en-US"/>
      </w:rPr>
    </w:lvl>
    <w:lvl w:ilvl="1" w:tplc="93D8299A">
      <w:numFmt w:val="bullet"/>
      <w:lvlText w:val="•"/>
      <w:lvlJc w:val="left"/>
      <w:pPr>
        <w:ind w:left="2176" w:hanging="93"/>
      </w:pPr>
      <w:rPr>
        <w:rFonts w:hint="default"/>
        <w:lang w:val="en-US" w:eastAsia="en-US" w:bidi="en-US"/>
      </w:rPr>
    </w:lvl>
    <w:lvl w:ilvl="2" w:tplc="6C5C6544">
      <w:numFmt w:val="bullet"/>
      <w:lvlText w:val="•"/>
      <w:lvlJc w:val="left"/>
      <w:pPr>
        <w:ind w:left="2513" w:hanging="93"/>
      </w:pPr>
      <w:rPr>
        <w:rFonts w:hint="default"/>
        <w:lang w:val="en-US" w:eastAsia="en-US" w:bidi="en-US"/>
      </w:rPr>
    </w:lvl>
    <w:lvl w:ilvl="3" w:tplc="6950C46C">
      <w:numFmt w:val="bullet"/>
      <w:lvlText w:val="•"/>
      <w:lvlJc w:val="left"/>
      <w:pPr>
        <w:ind w:left="2850" w:hanging="93"/>
      </w:pPr>
      <w:rPr>
        <w:rFonts w:hint="default"/>
        <w:lang w:val="en-US" w:eastAsia="en-US" w:bidi="en-US"/>
      </w:rPr>
    </w:lvl>
    <w:lvl w:ilvl="4" w:tplc="157CBED6">
      <w:numFmt w:val="bullet"/>
      <w:lvlText w:val="•"/>
      <w:lvlJc w:val="left"/>
      <w:pPr>
        <w:ind w:left="3187" w:hanging="93"/>
      </w:pPr>
      <w:rPr>
        <w:rFonts w:hint="default"/>
        <w:lang w:val="en-US" w:eastAsia="en-US" w:bidi="en-US"/>
      </w:rPr>
    </w:lvl>
    <w:lvl w:ilvl="5" w:tplc="BDEEEBE6">
      <w:numFmt w:val="bullet"/>
      <w:lvlText w:val="•"/>
      <w:lvlJc w:val="left"/>
      <w:pPr>
        <w:ind w:left="3523" w:hanging="93"/>
      </w:pPr>
      <w:rPr>
        <w:rFonts w:hint="default"/>
        <w:lang w:val="en-US" w:eastAsia="en-US" w:bidi="en-US"/>
      </w:rPr>
    </w:lvl>
    <w:lvl w:ilvl="6" w:tplc="966C45F6">
      <w:numFmt w:val="bullet"/>
      <w:lvlText w:val="•"/>
      <w:lvlJc w:val="left"/>
      <w:pPr>
        <w:ind w:left="3860" w:hanging="93"/>
      </w:pPr>
      <w:rPr>
        <w:rFonts w:hint="default"/>
        <w:lang w:val="en-US" w:eastAsia="en-US" w:bidi="en-US"/>
      </w:rPr>
    </w:lvl>
    <w:lvl w:ilvl="7" w:tplc="7FFEBCEC">
      <w:numFmt w:val="bullet"/>
      <w:lvlText w:val="•"/>
      <w:lvlJc w:val="left"/>
      <w:pPr>
        <w:ind w:left="4197" w:hanging="93"/>
      </w:pPr>
      <w:rPr>
        <w:rFonts w:hint="default"/>
        <w:lang w:val="en-US" w:eastAsia="en-US" w:bidi="en-US"/>
      </w:rPr>
    </w:lvl>
    <w:lvl w:ilvl="8" w:tplc="1EFE5E1A">
      <w:numFmt w:val="bullet"/>
      <w:lvlText w:val="•"/>
      <w:lvlJc w:val="left"/>
      <w:pPr>
        <w:ind w:left="4534" w:hanging="93"/>
      </w:pPr>
      <w:rPr>
        <w:rFonts w:hint="default"/>
        <w:lang w:val="en-US" w:eastAsia="en-US" w:bidi="en-US"/>
      </w:rPr>
    </w:lvl>
  </w:abstractNum>
  <w:abstractNum w:abstractNumId="46" w15:restartNumberingAfterBreak="0">
    <w:nsid w:val="5B0C26AD"/>
    <w:multiLevelType w:val="hybridMultilevel"/>
    <w:tmpl w:val="E9B2ED32"/>
    <w:lvl w:ilvl="0" w:tplc="384C338C">
      <w:start w:val="122"/>
      <w:numFmt w:val="decimal"/>
      <w:lvlText w:val="%1."/>
      <w:lvlJc w:val="left"/>
      <w:pPr>
        <w:ind w:left="2835" w:hanging="227"/>
        <w:jc w:val="right"/>
      </w:pPr>
      <w:rPr>
        <w:rFonts w:ascii="Calibri" w:eastAsia="Calibri" w:hAnsi="Calibri" w:cs="Calibri" w:hint="default"/>
        <w:color w:val="4D4D4F"/>
        <w:spacing w:val="-4"/>
        <w:w w:val="83"/>
        <w:sz w:val="12"/>
        <w:szCs w:val="12"/>
        <w:lang w:val="en-US" w:eastAsia="en-US" w:bidi="en-US"/>
      </w:rPr>
    </w:lvl>
    <w:lvl w:ilvl="1" w:tplc="F13409B4">
      <w:numFmt w:val="bullet"/>
      <w:lvlText w:val="•"/>
      <w:lvlJc w:val="left"/>
      <w:pPr>
        <w:ind w:left="3542" w:hanging="227"/>
      </w:pPr>
      <w:rPr>
        <w:rFonts w:hint="default"/>
        <w:lang w:val="en-US" w:eastAsia="en-US" w:bidi="en-US"/>
      </w:rPr>
    </w:lvl>
    <w:lvl w:ilvl="2" w:tplc="8E5CDA34">
      <w:numFmt w:val="bullet"/>
      <w:lvlText w:val="•"/>
      <w:lvlJc w:val="left"/>
      <w:pPr>
        <w:ind w:left="4245" w:hanging="227"/>
      </w:pPr>
      <w:rPr>
        <w:rFonts w:hint="default"/>
        <w:lang w:val="en-US" w:eastAsia="en-US" w:bidi="en-US"/>
      </w:rPr>
    </w:lvl>
    <w:lvl w:ilvl="3" w:tplc="BCDE3306">
      <w:numFmt w:val="bullet"/>
      <w:lvlText w:val="•"/>
      <w:lvlJc w:val="left"/>
      <w:pPr>
        <w:ind w:left="4947" w:hanging="227"/>
      </w:pPr>
      <w:rPr>
        <w:rFonts w:hint="default"/>
        <w:lang w:val="en-US" w:eastAsia="en-US" w:bidi="en-US"/>
      </w:rPr>
    </w:lvl>
    <w:lvl w:ilvl="4" w:tplc="F4C2364A">
      <w:numFmt w:val="bullet"/>
      <w:lvlText w:val="•"/>
      <w:lvlJc w:val="left"/>
      <w:pPr>
        <w:ind w:left="5650" w:hanging="227"/>
      </w:pPr>
      <w:rPr>
        <w:rFonts w:hint="default"/>
        <w:lang w:val="en-US" w:eastAsia="en-US" w:bidi="en-US"/>
      </w:rPr>
    </w:lvl>
    <w:lvl w:ilvl="5" w:tplc="31E80110">
      <w:numFmt w:val="bullet"/>
      <w:lvlText w:val="•"/>
      <w:lvlJc w:val="left"/>
      <w:pPr>
        <w:ind w:left="6352" w:hanging="227"/>
      </w:pPr>
      <w:rPr>
        <w:rFonts w:hint="default"/>
        <w:lang w:val="en-US" w:eastAsia="en-US" w:bidi="en-US"/>
      </w:rPr>
    </w:lvl>
    <w:lvl w:ilvl="6" w:tplc="30E666EA">
      <w:numFmt w:val="bullet"/>
      <w:lvlText w:val="•"/>
      <w:lvlJc w:val="left"/>
      <w:pPr>
        <w:ind w:left="7055" w:hanging="227"/>
      </w:pPr>
      <w:rPr>
        <w:rFonts w:hint="default"/>
        <w:lang w:val="en-US" w:eastAsia="en-US" w:bidi="en-US"/>
      </w:rPr>
    </w:lvl>
    <w:lvl w:ilvl="7" w:tplc="B3A67D24">
      <w:numFmt w:val="bullet"/>
      <w:lvlText w:val="•"/>
      <w:lvlJc w:val="left"/>
      <w:pPr>
        <w:ind w:left="7757" w:hanging="227"/>
      </w:pPr>
      <w:rPr>
        <w:rFonts w:hint="default"/>
        <w:lang w:val="en-US" w:eastAsia="en-US" w:bidi="en-US"/>
      </w:rPr>
    </w:lvl>
    <w:lvl w:ilvl="8" w:tplc="5114D9E2">
      <w:numFmt w:val="bullet"/>
      <w:lvlText w:val="•"/>
      <w:lvlJc w:val="left"/>
      <w:pPr>
        <w:ind w:left="8460" w:hanging="227"/>
      </w:pPr>
      <w:rPr>
        <w:rFonts w:hint="default"/>
        <w:lang w:val="en-US" w:eastAsia="en-US" w:bidi="en-US"/>
      </w:rPr>
    </w:lvl>
  </w:abstractNum>
  <w:abstractNum w:abstractNumId="47" w15:restartNumberingAfterBreak="0">
    <w:nsid w:val="5B621231"/>
    <w:multiLevelType w:val="hybridMultilevel"/>
    <w:tmpl w:val="1B085924"/>
    <w:lvl w:ilvl="0" w:tplc="18302A68">
      <w:start w:val="187"/>
      <w:numFmt w:val="decimal"/>
      <w:lvlText w:val="%1."/>
      <w:lvlJc w:val="left"/>
      <w:pPr>
        <w:ind w:left="2835" w:hanging="227"/>
        <w:jc w:val="left"/>
      </w:pPr>
      <w:rPr>
        <w:rFonts w:ascii="Calibri" w:eastAsia="Calibri" w:hAnsi="Calibri" w:cs="Calibri" w:hint="default"/>
        <w:color w:val="4D4D4F"/>
        <w:spacing w:val="-6"/>
        <w:w w:val="92"/>
        <w:sz w:val="12"/>
        <w:szCs w:val="12"/>
        <w:lang w:val="en-US" w:eastAsia="en-US" w:bidi="en-US"/>
      </w:rPr>
    </w:lvl>
    <w:lvl w:ilvl="1" w:tplc="5E266032">
      <w:numFmt w:val="bullet"/>
      <w:lvlText w:val="•"/>
      <w:lvlJc w:val="left"/>
      <w:pPr>
        <w:ind w:left="3542" w:hanging="227"/>
      </w:pPr>
      <w:rPr>
        <w:rFonts w:hint="default"/>
        <w:lang w:val="en-US" w:eastAsia="en-US" w:bidi="en-US"/>
      </w:rPr>
    </w:lvl>
    <w:lvl w:ilvl="2" w:tplc="EB640DA6">
      <w:numFmt w:val="bullet"/>
      <w:lvlText w:val="•"/>
      <w:lvlJc w:val="left"/>
      <w:pPr>
        <w:ind w:left="4245" w:hanging="227"/>
      </w:pPr>
      <w:rPr>
        <w:rFonts w:hint="default"/>
        <w:lang w:val="en-US" w:eastAsia="en-US" w:bidi="en-US"/>
      </w:rPr>
    </w:lvl>
    <w:lvl w:ilvl="3" w:tplc="F732BD58">
      <w:numFmt w:val="bullet"/>
      <w:lvlText w:val="•"/>
      <w:lvlJc w:val="left"/>
      <w:pPr>
        <w:ind w:left="4947" w:hanging="227"/>
      </w:pPr>
      <w:rPr>
        <w:rFonts w:hint="default"/>
        <w:lang w:val="en-US" w:eastAsia="en-US" w:bidi="en-US"/>
      </w:rPr>
    </w:lvl>
    <w:lvl w:ilvl="4" w:tplc="5138398E">
      <w:numFmt w:val="bullet"/>
      <w:lvlText w:val="•"/>
      <w:lvlJc w:val="left"/>
      <w:pPr>
        <w:ind w:left="5650" w:hanging="227"/>
      </w:pPr>
      <w:rPr>
        <w:rFonts w:hint="default"/>
        <w:lang w:val="en-US" w:eastAsia="en-US" w:bidi="en-US"/>
      </w:rPr>
    </w:lvl>
    <w:lvl w:ilvl="5" w:tplc="57C22650">
      <w:numFmt w:val="bullet"/>
      <w:lvlText w:val="•"/>
      <w:lvlJc w:val="left"/>
      <w:pPr>
        <w:ind w:left="6352" w:hanging="227"/>
      </w:pPr>
      <w:rPr>
        <w:rFonts w:hint="default"/>
        <w:lang w:val="en-US" w:eastAsia="en-US" w:bidi="en-US"/>
      </w:rPr>
    </w:lvl>
    <w:lvl w:ilvl="6" w:tplc="4EF0BF9A">
      <w:numFmt w:val="bullet"/>
      <w:lvlText w:val="•"/>
      <w:lvlJc w:val="left"/>
      <w:pPr>
        <w:ind w:left="7055" w:hanging="227"/>
      </w:pPr>
      <w:rPr>
        <w:rFonts w:hint="default"/>
        <w:lang w:val="en-US" w:eastAsia="en-US" w:bidi="en-US"/>
      </w:rPr>
    </w:lvl>
    <w:lvl w:ilvl="7" w:tplc="1E06299A">
      <w:numFmt w:val="bullet"/>
      <w:lvlText w:val="•"/>
      <w:lvlJc w:val="left"/>
      <w:pPr>
        <w:ind w:left="7757" w:hanging="227"/>
      </w:pPr>
      <w:rPr>
        <w:rFonts w:hint="default"/>
        <w:lang w:val="en-US" w:eastAsia="en-US" w:bidi="en-US"/>
      </w:rPr>
    </w:lvl>
    <w:lvl w:ilvl="8" w:tplc="4AAAD95C">
      <w:numFmt w:val="bullet"/>
      <w:lvlText w:val="•"/>
      <w:lvlJc w:val="left"/>
      <w:pPr>
        <w:ind w:left="8460" w:hanging="227"/>
      </w:pPr>
      <w:rPr>
        <w:rFonts w:hint="default"/>
        <w:lang w:val="en-US" w:eastAsia="en-US" w:bidi="en-US"/>
      </w:rPr>
    </w:lvl>
  </w:abstractNum>
  <w:abstractNum w:abstractNumId="48" w15:restartNumberingAfterBreak="0">
    <w:nsid w:val="5C876B84"/>
    <w:multiLevelType w:val="hybridMultilevel"/>
    <w:tmpl w:val="E7F2BE06"/>
    <w:lvl w:ilvl="0" w:tplc="99746076">
      <w:start w:val="1"/>
      <w:numFmt w:val="lowerRoman"/>
      <w:lvlText w:val="(%1)"/>
      <w:lvlJc w:val="left"/>
      <w:pPr>
        <w:ind w:left="428" w:hanging="202"/>
        <w:jc w:val="left"/>
      </w:pPr>
      <w:rPr>
        <w:rFonts w:ascii="Calibri" w:eastAsia="Calibri" w:hAnsi="Calibri" w:cs="Calibri" w:hint="default"/>
        <w:color w:val="4D4D4F"/>
        <w:spacing w:val="-8"/>
        <w:w w:val="98"/>
        <w:sz w:val="20"/>
        <w:szCs w:val="20"/>
        <w:lang w:val="en-US" w:eastAsia="en-US" w:bidi="en-US"/>
      </w:rPr>
    </w:lvl>
    <w:lvl w:ilvl="1" w:tplc="F52637D2">
      <w:numFmt w:val="bullet"/>
      <w:lvlText w:val="•"/>
      <w:lvlJc w:val="left"/>
      <w:pPr>
        <w:ind w:left="1115" w:hanging="202"/>
      </w:pPr>
      <w:rPr>
        <w:rFonts w:hint="default"/>
        <w:lang w:val="en-US" w:eastAsia="en-US" w:bidi="en-US"/>
      </w:rPr>
    </w:lvl>
    <w:lvl w:ilvl="2" w:tplc="EC78701E">
      <w:numFmt w:val="bullet"/>
      <w:lvlText w:val="•"/>
      <w:lvlJc w:val="left"/>
      <w:pPr>
        <w:ind w:left="1810" w:hanging="202"/>
      </w:pPr>
      <w:rPr>
        <w:rFonts w:hint="default"/>
        <w:lang w:val="en-US" w:eastAsia="en-US" w:bidi="en-US"/>
      </w:rPr>
    </w:lvl>
    <w:lvl w:ilvl="3" w:tplc="C76E5D98">
      <w:numFmt w:val="bullet"/>
      <w:lvlText w:val="•"/>
      <w:lvlJc w:val="left"/>
      <w:pPr>
        <w:ind w:left="2505" w:hanging="202"/>
      </w:pPr>
      <w:rPr>
        <w:rFonts w:hint="default"/>
        <w:lang w:val="en-US" w:eastAsia="en-US" w:bidi="en-US"/>
      </w:rPr>
    </w:lvl>
    <w:lvl w:ilvl="4" w:tplc="1CBA600C">
      <w:numFmt w:val="bullet"/>
      <w:lvlText w:val="•"/>
      <w:lvlJc w:val="left"/>
      <w:pPr>
        <w:ind w:left="3200" w:hanging="202"/>
      </w:pPr>
      <w:rPr>
        <w:rFonts w:hint="default"/>
        <w:lang w:val="en-US" w:eastAsia="en-US" w:bidi="en-US"/>
      </w:rPr>
    </w:lvl>
    <w:lvl w:ilvl="5" w:tplc="15F6E70E">
      <w:numFmt w:val="bullet"/>
      <w:lvlText w:val="•"/>
      <w:lvlJc w:val="left"/>
      <w:pPr>
        <w:ind w:left="3895" w:hanging="202"/>
      </w:pPr>
      <w:rPr>
        <w:rFonts w:hint="default"/>
        <w:lang w:val="en-US" w:eastAsia="en-US" w:bidi="en-US"/>
      </w:rPr>
    </w:lvl>
    <w:lvl w:ilvl="6" w:tplc="BDA62F7A">
      <w:numFmt w:val="bullet"/>
      <w:lvlText w:val="•"/>
      <w:lvlJc w:val="left"/>
      <w:pPr>
        <w:ind w:left="4590" w:hanging="202"/>
      </w:pPr>
      <w:rPr>
        <w:rFonts w:hint="default"/>
        <w:lang w:val="en-US" w:eastAsia="en-US" w:bidi="en-US"/>
      </w:rPr>
    </w:lvl>
    <w:lvl w:ilvl="7" w:tplc="B938477C">
      <w:numFmt w:val="bullet"/>
      <w:lvlText w:val="•"/>
      <w:lvlJc w:val="left"/>
      <w:pPr>
        <w:ind w:left="5285" w:hanging="202"/>
      </w:pPr>
      <w:rPr>
        <w:rFonts w:hint="default"/>
        <w:lang w:val="en-US" w:eastAsia="en-US" w:bidi="en-US"/>
      </w:rPr>
    </w:lvl>
    <w:lvl w:ilvl="8" w:tplc="C1AA507E">
      <w:numFmt w:val="bullet"/>
      <w:lvlText w:val="•"/>
      <w:lvlJc w:val="left"/>
      <w:pPr>
        <w:ind w:left="5980" w:hanging="202"/>
      </w:pPr>
      <w:rPr>
        <w:rFonts w:hint="default"/>
        <w:lang w:val="en-US" w:eastAsia="en-US" w:bidi="en-US"/>
      </w:rPr>
    </w:lvl>
  </w:abstractNum>
  <w:abstractNum w:abstractNumId="49" w15:restartNumberingAfterBreak="0">
    <w:nsid w:val="5E5E06B3"/>
    <w:multiLevelType w:val="hybridMultilevel"/>
    <w:tmpl w:val="62B2A72C"/>
    <w:lvl w:ilvl="0" w:tplc="D828215C">
      <w:start w:val="248"/>
      <w:numFmt w:val="decimal"/>
      <w:lvlText w:val="%1."/>
      <w:lvlJc w:val="left"/>
      <w:pPr>
        <w:ind w:left="2835" w:hanging="227"/>
        <w:jc w:val="left"/>
      </w:pPr>
      <w:rPr>
        <w:rFonts w:ascii="Calibri" w:eastAsia="Calibri" w:hAnsi="Calibri" w:cs="Calibri" w:hint="default"/>
        <w:color w:val="4D4D4F"/>
        <w:spacing w:val="0"/>
        <w:w w:val="83"/>
        <w:sz w:val="10"/>
        <w:szCs w:val="10"/>
        <w:lang w:val="en-US" w:eastAsia="en-US" w:bidi="en-US"/>
      </w:rPr>
    </w:lvl>
    <w:lvl w:ilvl="1" w:tplc="3424B9F0">
      <w:numFmt w:val="bullet"/>
      <w:lvlText w:val="•"/>
      <w:lvlJc w:val="left"/>
      <w:pPr>
        <w:ind w:left="3542" w:hanging="227"/>
      </w:pPr>
      <w:rPr>
        <w:rFonts w:hint="default"/>
        <w:lang w:val="en-US" w:eastAsia="en-US" w:bidi="en-US"/>
      </w:rPr>
    </w:lvl>
    <w:lvl w:ilvl="2" w:tplc="A9A83530">
      <w:numFmt w:val="bullet"/>
      <w:lvlText w:val="•"/>
      <w:lvlJc w:val="left"/>
      <w:pPr>
        <w:ind w:left="4245" w:hanging="227"/>
      </w:pPr>
      <w:rPr>
        <w:rFonts w:hint="default"/>
        <w:lang w:val="en-US" w:eastAsia="en-US" w:bidi="en-US"/>
      </w:rPr>
    </w:lvl>
    <w:lvl w:ilvl="3" w:tplc="F0D486A2">
      <w:numFmt w:val="bullet"/>
      <w:lvlText w:val="•"/>
      <w:lvlJc w:val="left"/>
      <w:pPr>
        <w:ind w:left="4947" w:hanging="227"/>
      </w:pPr>
      <w:rPr>
        <w:rFonts w:hint="default"/>
        <w:lang w:val="en-US" w:eastAsia="en-US" w:bidi="en-US"/>
      </w:rPr>
    </w:lvl>
    <w:lvl w:ilvl="4" w:tplc="97D8BABA">
      <w:numFmt w:val="bullet"/>
      <w:lvlText w:val="•"/>
      <w:lvlJc w:val="left"/>
      <w:pPr>
        <w:ind w:left="5650" w:hanging="227"/>
      </w:pPr>
      <w:rPr>
        <w:rFonts w:hint="default"/>
        <w:lang w:val="en-US" w:eastAsia="en-US" w:bidi="en-US"/>
      </w:rPr>
    </w:lvl>
    <w:lvl w:ilvl="5" w:tplc="F4562BAE">
      <w:numFmt w:val="bullet"/>
      <w:lvlText w:val="•"/>
      <w:lvlJc w:val="left"/>
      <w:pPr>
        <w:ind w:left="6352" w:hanging="227"/>
      </w:pPr>
      <w:rPr>
        <w:rFonts w:hint="default"/>
        <w:lang w:val="en-US" w:eastAsia="en-US" w:bidi="en-US"/>
      </w:rPr>
    </w:lvl>
    <w:lvl w:ilvl="6" w:tplc="1D269C6E">
      <w:numFmt w:val="bullet"/>
      <w:lvlText w:val="•"/>
      <w:lvlJc w:val="left"/>
      <w:pPr>
        <w:ind w:left="7055" w:hanging="227"/>
      </w:pPr>
      <w:rPr>
        <w:rFonts w:hint="default"/>
        <w:lang w:val="en-US" w:eastAsia="en-US" w:bidi="en-US"/>
      </w:rPr>
    </w:lvl>
    <w:lvl w:ilvl="7" w:tplc="BC383AD2">
      <w:numFmt w:val="bullet"/>
      <w:lvlText w:val="•"/>
      <w:lvlJc w:val="left"/>
      <w:pPr>
        <w:ind w:left="7757" w:hanging="227"/>
      </w:pPr>
      <w:rPr>
        <w:rFonts w:hint="default"/>
        <w:lang w:val="en-US" w:eastAsia="en-US" w:bidi="en-US"/>
      </w:rPr>
    </w:lvl>
    <w:lvl w:ilvl="8" w:tplc="D50A7876">
      <w:numFmt w:val="bullet"/>
      <w:lvlText w:val="•"/>
      <w:lvlJc w:val="left"/>
      <w:pPr>
        <w:ind w:left="8460" w:hanging="227"/>
      </w:pPr>
      <w:rPr>
        <w:rFonts w:hint="default"/>
        <w:lang w:val="en-US" w:eastAsia="en-US" w:bidi="en-US"/>
      </w:rPr>
    </w:lvl>
  </w:abstractNum>
  <w:abstractNum w:abstractNumId="50" w15:restartNumberingAfterBreak="0">
    <w:nsid w:val="5F7C6E55"/>
    <w:multiLevelType w:val="hybridMultilevel"/>
    <w:tmpl w:val="E7205096"/>
    <w:lvl w:ilvl="0" w:tplc="F0C0BA5C">
      <w:numFmt w:val="bullet"/>
      <w:lvlText w:val="•"/>
      <w:lvlJc w:val="left"/>
      <w:pPr>
        <w:ind w:left="340" w:hanging="114"/>
      </w:pPr>
      <w:rPr>
        <w:rFonts w:ascii="Calibri" w:eastAsia="Calibri" w:hAnsi="Calibri" w:cs="Calibri" w:hint="default"/>
        <w:b/>
        <w:bCs/>
        <w:i/>
        <w:color w:val="4D4D4F"/>
        <w:w w:val="59"/>
        <w:sz w:val="20"/>
        <w:szCs w:val="20"/>
        <w:lang w:val="en-US" w:eastAsia="en-US" w:bidi="en-US"/>
      </w:rPr>
    </w:lvl>
    <w:lvl w:ilvl="1" w:tplc="D46837B2">
      <w:numFmt w:val="bullet"/>
      <w:lvlText w:val="•"/>
      <w:lvlJc w:val="left"/>
      <w:pPr>
        <w:ind w:left="1018" w:hanging="114"/>
      </w:pPr>
      <w:rPr>
        <w:rFonts w:hint="default"/>
        <w:lang w:val="en-US" w:eastAsia="en-US" w:bidi="en-US"/>
      </w:rPr>
    </w:lvl>
    <w:lvl w:ilvl="2" w:tplc="2CE81782">
      <w:numFmt w:val="bullet"/>
      <w:lvlText w:val="•"/>
      <w:lvlJc w:val="left"/>
      <w:pPr>
        <w:ind w:left="1697" w:hanging="114"/>
      </w:pPr>
      <w:rPr>
        <w:rFonts w:hint="default"/>
        <w:lang w:val="en-US" w:eastAsia="en-US" w:bidi="en-US"/>
      </w:rPr>
    </w:lvl>
    <w:lvl w:ilvl="3" w:tplc="22347022">
      <w:numFmt w:val="bullet"/>
      <w:lvlText w:val="•"/>
      <w:lvlJc w:val="left"/>
      <w:pPr>
        <w:ind w:left="2375" w:hanging="114"/>
      </w:pPr>
      <w:rPr>
        <w:rFonts w:hint="default"/>
        <w:lang w:val="en-US" w:eastAsia="en-US" w:bidi="en-US"/>
      </w:rPr>
    </w:lvl>
    <w:lvl w:ilvl="4" w:tplc="3FB0B0CE">
      <w:numFmt w:val="bullet"/>
      <w:lvlText w:val="•"/>
      <w:lvlJc w:val="left"/>
      <w:pPr>
        <w:ind w:left="3054" w:hanging="114"/>
      </w:pPr>
      <w:rPr>
        <w:rFonts w:hint="default"/>
        <w:lang w:val="en-US" w:eastAsia="en-US" w:bidi="en-US"/>
      </w:rPr>
    </w:lvl>
    <w:lvl w:ilvl="5" w:tplc="7BA6F840">
      <w:numFmt w:val="bullet"/>
      <w:lvlText w:val="•"/>
      <w:lvlJc w:val="left"/>
      <w:pPr>
        <w:ind w:left="3732" w:hanging="114"/>
      </w:pPr>
      <w:rPr>
        <w:rFonts w:hint="default"/>
        <w:lang w:val="en-US" w:eastAsia="en-US" w:bidi="en-US"/>
      </w:rPr>
    </w:lvl>
    <w:lvl w:ilvl="6" w:tplc="2FC87E0C">
      <w:numFmt w:val="bullet"/>
      <w:lvlText w:val="•"/>
      <w:lvlJc w:val="left"/>
      <w:pPr>
        <w:ind w:left="4411" w:hanging="114"/>
      </w:pPr>
      <w:rPr>
        <w:rFonts w:hint="default"/>
        <w:lang w:val="en-US" w:eastAsia="en-US" w:bidi="en-US"/>
      </w:rPr>
    </w:lvl>
    <w:lvl w:ilvl="7" w:tplc="37A89FC4">
      <w:numFmt w:val="bullet"/>
      <w:lvlText w:val="•"/>
      <w:lvlJc w:val="left"/>
      <w:pPr>
        <w:ind w:left="5089" w:hanging="114"/>
      </w:pPr>
      <w:rPr>
        <w:rFonts w:hint="default"/>
        <w:lang w:val="en-US" w:eastAsia="en-US" w:bidi="en-US"/>
      </w:rPr>
    </w:lvl>
    <w:lvl w:ilvl="8" w:tplc="9EE2C232">
      <w:numFmt w:val="bullet"/>
      <w:lvlText w:val="•"/>
      <w:lvlJc w:val="left"/>
      <w:pPr>
        <w:ind w:left="5768" w:hanging="114"/>
      </w:pPr>
      <w:rPr>
        <w:rFonts w:hint="default"/>
        <w:lang w:val="en-US" w:eastAsia="en-US" w:bidi="en-US"/>
      </w:rPr>
    </w:lvl>
  </w:abstractNum>
  <w:abstractNum w:abstractNumId="51" w15:restartNumberingAfterBreak="0">
    <w:nsid w:val="604C1CEC"/>
    <w:multiLevelType w:val="hybridMultilevel"/>
    <w:tmpl w:val="5B08A48C"/>
    <w:lvl w:ilvl="0" w:tplc="427E42F2">
      <w:numFmt w:val="bullet"/>
      <w:lvlText w:val="•"/>
      <w:lvlJc w:val="left"/>
      <w:pPr>
        <w:ind w:left="226" w:hanging="114"/>
      </w:pPr>
      <w:rPr>
        <w:rFonts w:ascii="Calibri" w:eastAsia="Calibri" w:hAnsi="Calibri" w:cs="Calibri" w:hint="default"/>
        <w:color w:val="4D4D4F"/>
        <w:w w:val="59"/>
        <w:sz w:val="16"/>
        <w:szCs w:val="16"/>
        <w:lang w:val="en-US" w:eastAsia="en-US" w:bidi="en-US"/>
      </w:rPr>
    </w:lvl>
    <w:lvl w:ilvl="1" w:tplc="A15E1EDE">
      <w:numFmt w:val="bullet"/>
      <w:lvlText w:val="•"/>
      <w:lvlJc w:val="left"/>
      <w:pPr>
        <w:ind w:left="696" w:hanging="114"/>
      </w:pPr>
      <w:rPr>
        <w:rFonts w:hint="default"/>
        <w:lang w:val="en-US" w:eastAsia="en-US" w:bidi="en-US"/>
      </w:rPr>
    </w:lvl>
    <w:lvl w:ilvl="2" w:tplc="8020CC78">
      <w:numFmt w:val="bullet"/>
      <w:lvlText w:val="•"/>
      <w:lvlJc w:val="left"/>
      <w:pPr>
        <w:ind w:left="1172" w:hanging="114"/>
      </w:pPr>
      <w:rPr>
        <w:rFonts w:hint="default"/>
        <w:lang w:val="en-US" w:eastAsia="en-US" w:bidi="en-US"/>
      </w:rPr>
    </w:lvl>
    <w:lvl w:ilvl="3" w:tplc="AA76EE38">
      <w:numFmt w:val="bullet"/>
      <w:lvlText w:val="•"/>
      <w:lvlJc w:val="left"/>
      <w:pPr>
        <w:ind w:left="1649" w:hanging="114"/>
      </w:pPr>
      <w:rPr>
        <w:rFonts w:hint="default"/>
        <w:lang w:val="en-US" w:eastAsia="en-US" w:bidi="en-US"/>
      </w:rPr>
    </w:lvl>
    <w:lvl w:ilvl="4" w:tplc="69F0B3E4">
      <w:numFmt w:val="bullet"/>
      <w:lvlText w:val="•"/>
      <w:lvlJc w:val="left"/>
      <w:pPr>
        <w:ind w:left="2125" w:hanging="114"/>
      </w:pPr>
      <w:rPr>
        <w:rFonts w:hint="default"/>
        <w:lang w:val="en-US" w:eastAsia="en-US" w:bidi="en-US"/>
      </w:rPr>
    </w:lvl>
    <w:lvl w:ilvl="5" w:tplc="DC36B756">
      <w:numFmt w:val="bullet"/>
      <w:lvlText w:val="•"/>
      <w:lvlJc w:val="left"/>
      <w:pPr>
        <w:ind w:left="2602" w:hanging="114"/>
      </w:pPr>
      <w:rPr>
        <w:rFonts w:hint="default"/>
        <w:lang w:val="en-US" w:eastAsia="en-US" w:bidi="en-US"/>
      </w:rPr>
    </w:lvl>
    <w:lvl w:ilvl="6" w:tplc="F0383EDE">
      <w:numFmt w:val="bullet"/>
      <w:lvlText w:val="•"/>
      <w:lvlJc w:val="left"/>
      <w:pPr>
        <w:ind w:left="3078" w:hanging="114"/>
      </w:pPr>
      <w:rPr>
        <w:rFonts w:hint="default"/>
        <w:lang w:val="en-US" w:eastAsia="en-US" w:bidi="en-US"/>
      </w:rPr>
    </w:lvl>
    <w:lvl w:ilvl="7" w:tplc="5074C7E6">
      <w:numFmt w:val="bullet"/>
      <w:lvlText w:val="•"/>
      <w:lvlJc w:val="left"/>
      <w:pPr>
        <w:ind w:left="3554" w:hanging="114"/>
      </w:pPr>
      <w:rPr>
        <w:rFonts w:hint="default"/>
        <w:lang w:val="en-US" w:eastAsia="en-US" w:bidi="en-US"/>
      </w:rPr>
    </w:lvl>
    <w:lvl w:ilvl="8" w:tplc="35C2B9EE">
      <w:numFmt w:val="bullet"/>
      <w:lvlText w:val="•"/>
      <w:lvlJc w:val="left"/>
      <w:pPr>
        <w:ind w:left="4031" w:hanging="114"/>
      </w:pPr>
      <w:rPr>
        <w:rFonts w:hint="default"/>
        <w:lang w:val="en-US" w:eastAsia="en-US" w:bidi="en-US"/>
      </w:rPr>
    </w:lvl>
  </w:abstractNum>
  <w:abstractNum w:abstractNumId="52" w15:restartNumberingAfterBreak="0">
    <w:nsid w:val="61775D85"/>
    <w:multiLevelType w:val="hybridMultilevel"/>
    <w:tmpl w:val="ED766A2E"/>
    <w:lvl w:ilvl="0" w:tplc="FDB6BF24">
      <w:numFmt w:val="bullet"/>
      <w:lvlText w:val="•"/>
      <w:lvlJc w:val="left"/>
      <w:pPr>
        <w:ind w:left="92" w:hanging="93"/>
      </w:pPr>
      <w:rPr>
        <w:rFonts w:ascii="Calibri" w:eastAsia="Calibri" w:hAnsi="Calibri" w:cs="Calibri" w:hint="default"/>
        <w:color w:val="231F20"/>
        <w:w w:val="59"/>
        <w:sz w:val="17"/>
        <w:szCs w:val="17"/>
        <w:lang w:val="en-US" w:eastAsia="en-US" w:bidi="en-US"/>
      </w:rPr>
    </w:lvl>
    <w:lvl w:ilvl="1" w:tplc="5044D1C4">
      <w:numFmt w:val="bullet"/>
      <w:lvlText w:val="•"/>
      <w:lvlJc w:val="left"/>
      <w:pPr>
        <w:ind w:left="572" w:hanging="93"/>
      </w:pPr>
      <w:rPr>
        <w:rFonts w:hint="default"/>
        <w:lang w:val="en-US" w:eastAsia="en-US" w:bidi="en-US"/>
      </w:rPr>
    </w:lvl>
    <w:lvl w:ilvl="2" w:tplc="D19CDF16">
      <w:numFmt w:val="bullet"/>
      <w:lvlText w:val="•"/>
      <w:lvlJc w:val="left"/>
      <w:pPr>
        <w:ind w:left="1045" w:hanging="93"/>
      </w:pPr>
      <w:rPr>
        <w:rFonts w:hint="default"/>
        <w:lang w:val="en-US" w:eastAsia="en-US" w:bidi="en-US"/>
      </w:rPr>
    </w:lvl>
    <w:lvl w:ilvl="3" w:tplc="E378F028">
      <w:numFmt w:val="bullet"/>
      <w:lvlText w:val="•"/>
      <w:lvlJc w:val="left"/>
      <w:pPr>
        <w:ind w:left="1518" w:hanging="93"/>
      </w:pPr>
      <w:rPr>
        <w:rFonts w:hint="default"/>
        <w:lang w:val="en-US" w:eastAsia="en-US" w:bidi="en-US"/>
      </w:rPr>
    </w:lvl>
    <w:lvl w:ilvl="4" w:tplc="AFFA789E">
      <w:numFmt w:val="bullet"/>
      <w:lvlText w:val="•"/>
      <w:lvlJc w:val="left"/>
      <w:pPr>
        <w:ind w:left="1991" w:hanging="93"/>
      </w:pPr>
      <w:rPr>
        <w:rFonts w:hint="default"/>
        <w:lang w:val="en-US" w:eastAsia="en-US" w:bidi="en-US"/>
      </w:rPr>
    </w:lvl>
    <w:lvl w:ilvl="5" w:tplc="BBDA2600">
      <w:numFmt w:val="bullet"/>
      <w:lvlText w:val="•"/>
      <w:lvlJc w:val="left"/>
      <w:pPr>
        <w:ind w:left="2464" w:hanging="93"/>
      </w:pPr>
      <w:rPr>
        <w:rFonts w:hint="default"/>
        <w:lang w:val="en-US" w:eastAsia="en-US" w:bidi="en-US"/>
      </w:rPr>
    </w:lvl>
    <w:lvl w:ilvl="6" w:tplc="407058A2">
      <w:numFmt w:val="bullet"/>
      <w:lvlText w:val="•"/>
      <w:lvlJc w:val="left"/>
      <w:pPr>
        <w:ind w:left="2937" w:hanging="93"/>
      </w:pPr>
      <w:rPr>
        <w:rFonts w:hint="default"/>
        <w:lang w:val="en-US" w:eastAsia="en-US" w:bidi="en-US"/>
      </w:rPr>
    </w:lvl>
    <w:lvl w:ilvl="7" w:tplc="C5167082">
      <w:numFmt w:val="bullet"/>
      <w:lvlText w:val="•"/>
      <w:lvlJc w:val="left"/>
      <w:pPr>
        <w:ind w:left="3410" w:hanging="93"/>
      </w:pPr>
      <w:rPr>
        <w:rFonts w:hint="default"/>
        <w:lang w:val="en-US" w:eastAsia="en-US" w:bidi="en-US"/>
      </w:rPr>
    </w:lvl>
    <w:lvl w:ilvl="8" w:tplc="8F8C51C4">
      <w:numFmt w:val="bullet"/>
      <w:lvlText w:val="•"/>
      <w:lvlJc w:val="left"/>
      <w:pPr>
        <w:ind w:left="3883" w:hanging="93"/>
      </w:pPr>
      <w:rPr>
        <w:rFonts w:hint="default"/>
        <w:lang w:val="en-US" w:eastAsia="en-US" w:bidi="en-US"/>
      </w:rPr>
    </w:lvl>
  </w:abstractNum>
  <w:abstractNum w:abstractNumId="53" w15:restartNumberingAfterBreak="0">
    <w:nsid w:val="640F6AAD"/>
    <w:multiLevelType w:val="hybridMultilevel"/>
    <w:tmpl w:val="69A0B324"/>
    <w:lvl w:ilvl="0" w:tplc="E2AA27A4">
      <w:start w:val="1"/>
      <w:numFmt w:val="lowerRoman"/>
      <w:lvlText w:val="(%1)"/>
      <w:lvlJc w:val="left"/>
      <w:pPr>
        <w:ind w:left="227" w:hanging="202"/>
        <w:jc w:val="left"/>
      </w:pPr>
      <w:rPr>
        <w:rFonts w:ascii="Calibri" w:eastAsia="Calibri" w:hAnsi="Calibri" w:cs="Calibri" w:hint="default"/>
        <w:color w:val="4D4D4F"/>
        <w:spacing w:val="-8"/>
        <w:w w:val="98"/>
        <w:sz w:val="20"/>
        <w:szCs w:val="20"/>
        <w:lang w:val="en-US" w:eastAsia="en-US" w:bidi="en-US"/>
      </w:rPr>
    </w:lvl>
    <w:lvl w:ilvl="1" w:tplc="4260E108">
      <w:numFmt w:val="bullet"/>
      <w:lvlText w:val="•"/>
      <w:lvlJc w:val="left"/>
      <w:pPr>
        <w:ind w:left="935" w:hanging="202"/>
      </w:pPr>
      <w:rPr>
        <w:rFonts w:hint="default"/>
        <w:lang w:val="en-US" w:eastAsia="en-US" w:bidi="en-US"/>
      </w:rPr>
    </w:lvl>
    <w:lvl w:ilvl="2" w:tplc="8C4E107C">
      <w:numFmt w:val="bullet"/>
      <w:lvlText w:val="•"/>
      <w:lvlJc w:val="left"/>
      <w:pPr>
        <w:ind w:left="1650" w:hanging="202"/>
      </w:pPr>
      <w:rPr>
        <w:rFonts w:hint="default"/>
        <w:lang w:val="en-US" w:eastAsia="en-US" w:bidi="en-US"/>
      </w:rPr>
    </w:lvl>
    <w:lvl w:ilvl="3" w:tplc="E216EE78">
      <w:numFmt w:val="bullet"/>
      <w:lvlText w:val="•"/>
      <w:lvlJc w:val="left"/>
      <w:pPr>
        <w:ind w:left="2365" w:hanging="202"/>
      </w:pPr>
      <w:rPr>
        <w:rFonts w:hint="default"/>
        <w:lang w:val="en-US" w:eastAsia="en-US" w:bidi="en-US"/>
      </w:rPr>
    </w:lvl>
    <w:lvl w:ilvl="4" w:tplc="FBDE0F66">
      <w:numFmt w:val="bullet"/>
      <w:lvlText w:val="•"/>
      <w:lvlJc w:val="left"/>
      <w:pPr>
        <w:ind w:left="3080" w:hanging="202"/>
      </w:pPr>
      <w:rPr>
        <w:rFonts w:hint="default"/>
        <w:lang w:val="en-US" w:eastAsia="en-US" w:bidi="en-US"/>
      </w:rPr>
    </w:lvl>
    <w:lvl w:ilvl="5" w:tplc="14E85D8E">
      <w:numFmt w:val="bullet"/>
      <w:lvlText w:val="•"/>
      <w:lvlJc w:val="left"/>
      <w:pPr>
        <w:ind w:left="3795" w:hanging="202"/>
      </w:pPr>
      <w:rPr>
        <w:rFonts w:hint="default"/>
        <w:lang w:val="en-US" w:eastAsia="en-US" w:bidi="en-US"/>
      </w:rPr>
    </w:lvl>
    <w:lvl w:ilvl="6" w:tplc="7B307CFC">
      <w:numFmt w:val="bullet"/>
      <w:lvlText w:val="•"/>
      <w:lvlJc w:val="left"/>
      <w:pPr>
        <w:ind w:left="4510" w:hanging="202"/>
      </w:pPr>
      <w:rPr>
        <w:rFonts w:hint="default"/>
        <w:lang w:val="en-US" w:eastAsia="en-US" w:bidi="en-US"/>
      </w:rPr>
    </w:lvl>
    <w:lvl w:ilvl="7" w:tplc="6EBA3D58">
      <w:numFmt w:val="bullet"/>
      <w:lvlText w:val="•"/>
      <w:lvlJc w:val="left"/>
      <w:pPr>
        <w:ind w:left="5225" w:hanging="202"/>
      </w:pPr>
      <w:rPr>
        <w:rFonts w:hint="default"/>
        <w:lang w:val="en-US" w:eastAsia="en-US" w:bidi="en-US"/>
      </w:rPr>
    </w:lvl>
    <w:lvl w:ilvl="8" w:tplc="AA90EBA0">
      <w:numFmt w:val="bullet"/>
      <w:lvlText w:val="•"/>
      <w:lvlJc w:val="left"/>
      <w:pPr>
        <w:ind w:left="5940" w:hanging="202"/>
      </w:pPr>
      <w:rPr>
        <w:rFonts w:hint="default"/>
        <w:lang w:val="en-US" w:eastAsia="en-US" w:bidi="en-US"/>
      </w:rPr>
    </w:lvl>
  </w:abstractNum>
  <w:abstractNum w:abstractNumId="54" w15:restartNumberingAfterBreak="0">
    <w:nsid w:val="658F76FC"/>
    <w:multiLevelType w:val="hybridMultilevel"/>
    <w:tmpl w:val="FC782AB2"/>
    <w:lvl w:ilvl="0" w:tplc="68D29C68">
      <w:start w:val="101"/>
      <w:numFmt w:val="decimal"/>
      <w:lvlText w:val="%1."/>
      <w:lvlJc w:val="left"/>
      <w:pPr>
        <w:ind w:left="2835" w:hanging="227"/>
        <w:jc w:val="left"/>
      </w:pPr>
      <w:rPr>
        <w:rFonts w:ascii="Calibri" w:eastAsia="Calibri" w:hAnsi="Calibri" w:cs="Calibri" w:hint="default"/>
        <w:color w:val="4D4D4F"/>
        <w:spacing w:val="-3"/>
        <w:w w:val="92"/>
        <w:sz w:val="12"/>
        <w:szCs w:val="12"/>
        <w:lang w:val="en-US" w:eastAsia="en-US" w:bidi="en-US"/>
      </w:rPr>
    </w:lvl>
    <w:lvl w:ilvl="1" w:tplc="A6DCEE28">
      <w:numFmt w:val="bullet"/>
      <w:lvlText w:val="•"/>
      <w:lvlJc w:val="left"/>
      <w:pPr>
        <w:ind w:left="3345" w:hanging="170"/>
      </w:pPr>
      <w:rPr>
        <w:rFonts w:ascii="Calibri" w:eastAsia="Calibri" w:hAnsi="Calibri" w:cs="Calibri" w:hint="default"/>
        <w:color w:val="4D4D4F"/>
        <w:w w:val="59"/>
        <w:sz w:val="20"/>
        <w:szCs w:val="20"/>
        <w:lang w:val="en-US" w:eastAsia="en-US" w:bidi="en-US"/>
      </w:rPr>
    </w:lvl>
    <w:lvl w:ilvl="2" w:tplc="14EC0098">
      <w:numFmt w:val="bullet"/>
      <w:lvlText w:val="•"/>
      <w:lvlJc w:val="left"/>
      <w:pPr>
        <w:ind w:left="4065" w:hanging="170"/>
      </w:pPr>
      <w:rPr>
        <w:rFonts w:hint="default"/>
        <w:lang w:val="en-US" w:eastAsia="en-US" w:bidi="en-US"/>
      </w:rPr>
    </w:lvl>
    <w:lvl w:ilvl="3" w:tplc="FF9ED68E">
      <w:numFmt w:val="bullet"/>
      <w:lvlText w:val="•"/>
      <w:lvlJc w:val="left"/>
      <w:pPr>
        <w:ind w:left="4790" w:hanging="170"/>
      </w:pPr>
      <w:rPr>
        <w:rFonts w:hint="default"/>
        <w:lang w:val="en-US" w:eastAsia="en-US" w:bidi="en-US"/>
      </w:rPr>
    </w:lvl>
    <w:lvl w:ilvl="4" w:tplc="87F68C20">
      <w:numFmt w:val="bullet"/>
      <w:lvlText w:val="•"/>
      <w:lvlJc w:val="left"/>
      <w:pPr>
        <w:ind w:left="5515" w:hanging="170"/>
      </w:pPr>
      <w:rPr>
        <w:rFonts w:hint="default"/>
        <w:lang w:val="en-US" w:eastAsia="en-US" w:bidi="en-US"/>
      </w:rPr>
    </w:lvl>
    <w:lvl w:ilvl="5" w:tplc="511C0ABE">
      <w:numFmt w:val="bullet"/>
      <w:lvlText w:val="•"/>
      <w:lvlJc w:val="left"/>
      <w:pPr>
        <w:ind w:left="6240" w:hanging="170"/>
      </w:pPr>
      <w:rPr>
        <w:rFonts w:hint="default"/>
        <w:lang w:val="en-US" w:eastAsia="en-US" w:bidi="en-US"/>
      </w:rPr>
    </w:lvl>
    <w:lvl w:ilvl="6" w:tplc="7C1848DA">
      <w:numFmt w:val="bullet"/>
      <w:lvlText w:val="•"/>
      <w:lvlJc w:val="left"/>
      <w:pPr>
        <w:ind w:left="6965" w:hanging="170"/>
      </w:pPr>
      <w:rPr>
        <w:rFonts w:hint="default"/>
        <w:lang w:val="en-US" w:eastAsia="en-US" w:bidi="en-US"/>
      </w:rPr>
    </w:lvl>
    <w:lvl w:ilvl="7" w:tplc="1F6CCAA0">
      <w:numFmt w:val="bullet"/>
      <w:lvlText w:val="•"/>
      <w:lvlJc w:val="left"/>
      <w:pPr>
        <w:ind w:left="7690" w:hanging="170"/>
      </w:pPr>
      <w:rPr>
        <w:rFonts w:hint="default"/>
        <w:lang w:val="en-US" w:eastAsia="en-US" w:bidi="en-US"/>
      </w:rPr>
    </w:lvl>
    <w:lvl w:ilvl="8" w:tplc="14788BE8">
      <w:numFmt w:val="bullet"/>
      <w:lvlText w:val="•"/>
      <w:lvlJc w:val="left"/>
      <w:pPr>
        <w:ind w:left="8415" w:hanging="170"/>
      </w:pPr>
      <w:rPr>
        <w:rFonts w:hint="default"/>
        <w:lang w:val="en-US" w:eastAsia="en-US" w:bidi="en-US"/>
      </w:rPr>
    </w:lvl>
  </w:abstractNum>
  <w:abstractNum w:abstractNumId="55" w15:restartNumberingAfterBreak="0">
    <w:nsid w:val="65B2237A"/>
    <w:multiLevelType w:val="hybridMultilevel"/>
    <w:tmpl w:val="56A42E62"/>
    <w:lvl w:ilvl="0" w:tplc="E0A0F84A">
      <w:numFmt w:val="bullet"/>
      <w:lvlText w:val="•"/>
      <w:lvlJc w:val="left"/>
      <w:pPr>
        <w:ind w:left="396" w:hanging="170"/>
      </w:pPr>
      <w:rPr>
        <w:rFonts w:ascii="Calibri" w:eastAsia="Calibri" w:hAnsi="Calibri" w:cs="Calibri" w:hint="default"/>
        <w:color w:val="4D4D4F"/>
        <w:w w:val="59"/>
        <w:sz w:val="20"/>
        <w:szCs w:val="20"/>
        <w:lang w:val="en-US" w:eastAsia="en-US" w:bidi="en-US"/>
      </w:rPr>
    </w:lvl>
    <w:lvl w:ilvl="1" w:tplc="DB364214">
      <w:numFmt w:val="bullet"/>
      <w:lvlText w:val="•"/>
      <w:lvlJc w:val="left"/>
      <w:pPr>
        <w:ind w:left="1073" w:hanging="170"/>
      </w:pPr>
      <w:rPr>
        <w:rFonts w:hint="default"/>
        <w:lang w:val="en-US" w:eastAsia="en-US" w:bidi="en-US"/>
      </w:rPr>
    </w:lvl>
    <w:lvl w:ilvl="2" w:tplc="49E67BC4">
      <w:numFmt w:val="bullet"/>
      <w:lvlText w:val="•"/>
      <w:lvlJc w:val="left"/>
      <w:pPr>
        <w:ind w:left="1747" w:hanging="170"/>
      </w:pPr>
      <w:rPr>
        <w:rFonts w:hint="default"/>
        <w:lang w:val="en-US" w:eastAsia="en-US" w:bidi="en-US"/>
      </w:rPr>
    </w:lvl>
    <w:lvl w:ilvl="3" w:tplc="901AC530">
      <w:numFmt w:val="bullet"/>
      <w:lvlText w:val="•"/>
      <w:lvlJc w:val="left"/>
      <w:pPr>
        <w:ind w:left="2421" w:hanging="170"/>
      </w:pPr>
      <w:rPr>
        <w:rFonts w:hint="default"/>
        <w:lang w:val="en-US" w:eastAsia="en-US" w:bidi="en-US"/>
      </w:rPr>
    </w:lvl>
    <w:lvl w:ilvl="4" w:tplc="57A4C6BC">
      <w:numFmt w:val="bullet"/>
      <w:lvlText w:val="•"/>
      <w:lvlJc w:val="left"/>
      <w:pPr>
        <w:ind w:left="3095" w:hanging="170"/>
      </w:pPr>
      <w:rPr>
        <w:rFonts w:hint="default"/>
        <w:lang w:val="en-US" w:eastAsia="en-US" w:bidi="en-US"/>
      </w:rPr>
    </w:lvl>
    <w:lvl w:ilvl="5" w:tplc="92D68D60">
      <w:numFmt w:val="bullet"/>
      <w:lvlText w:val="•"/>
      <w:lvlJc w:val="left"/>
      <w:pPr>
        <w:ind w:left="3769" w:hanging="170"/>
      </w:pPr>
      <w:rPr>
        <w:rFonts w:hint="default"/>
        <w:lang w:val="en-US" w:eastAsia="en-US" w:bidi="en-US"/>
      </w:rPr>
    </w:lvl>
    <w:lvl w:ilvl="6" w:tplc="2AEC1B14">
      <w:numFmt w:val="bullet"/>
      <w:lvlText w:val="•"/>
      <w:lvlJc w:val="left"/>
      <w:pPr>
        <w:ind w:left="4442" w:hanging="170"/>
      </w:pPr>
      <w:rPr>
        <w:rFonts w:hint="default"/>
        <w:lang w:val="en-US" w:eastAsia="en-US" w:bidi="en-US"/>
      </w:rPr>
    </w:lvl>
    <w:lvl w:ilvl="7" w:tplc="58A2DC30">
      <w:numFmt w:val="bullet"/>
      <w:lvlText w:val="•"/>
      <w:lvlJc w:val="left"/>
      <w:pPr>
        <w:ind w:left="5116" w:hanging="170"/>
      </w:pPr>
      <w:rPr>
        <w:rFonts w:hint="default"/>
        <w:lang w:val="en-US" w:eastAsia="en-US" w:bidi="en-US"/>
      </w:rPr>
    </w:lvl>
    <w:lvl w:ilvl="8" w:tplc="9CCCEA2C">
      <w:numFmt w:val="bullet"/>
      <w:lvlText w:val="•"/>
      <w:lvlJc w:val="left"/>
      <w:pPr>
        <w:ind w:left="5790" w:hanging="170"/>
      </w:pPr>
      <w:rPr>
        <w:rFonts w:hint="default"/>
        <w:lang w:val="en-US" w:eastAsia="en-US" w:bidi="en-US"/>
      </w:rPr>
    </w:lvl>
  </w:abstractNum>
  <w:abstractNum w:abstractNumId="56" w15:restartNumberingAfterBreak="0">
    <w:nsid w:val="67725568"/>
    <w:multiLevelType w:val="hybridMultilevel"/>
    <w:tmpl w:val="828817B8"/>
    <w:lvl w:ilvl="0" w:tplc="4C0270A8">
      <w:numFmt w:val="bullet"/>
      <w:lvlText w:val="•"/>
      <w:lvlJc w:val="left"/>
      <w:pPr>
        <w:ind w:left="396" w:hanging="170"/>
      </w:pPr>
      <w:rPr>
        <w:rFonts w:ascii="Calibri" w:eastAsia="Calibri" w:hAnsi="Calibri" w:cs="Calibri" w:hint="default"/>
        <w:color w:val="4D4D4F"/>
        <w:w w:val="59"/>
        <w:sz w:val="20"/>
        <w:szCs w:val="20"/>
        <w:lang w:val="en-US" w:eastAsia="en-US" w:bidi="en-US"/>
      </w:rPr>
    </w:lvl>
    <w:lvl w:ilvl="1" w:tplc="55BA29AC">
      <w:numFmt w:val="bullet"/>
      <w:lvlText w:val="•"/>
      <w:lvlJc w:val="left"/>
      <w:pPr>
        <w:ind w:left="1073" w:hanging="170"/>
      </w:pPr>
      <w:rPr>
        <w:rFonts w:hint="default"/>
        <w:lang w:val="en-US" w:eastAsia="en-US" w:bidi="en-US"/>
      </w:rPr>
    </w:lvl>
    <w:lvl w:ilvl="2" w:tplc="2160A992">
      <w:numFmt w:val="bullet"/>
      <w:lvlText w:val="•"/>
      <w:lvlJc w:val="left"/>
      <w:pPr>
        <w:ind w:left="1747" w:hanging="170"/>
      </w:pPr>
      <w:rPr>
        <w:rFonts w:hint="default"/>
        <w:lang w:val="en-US" w:eastAsia="en-US" w:bidi="en-US"/>
      </w:rPr>
    </w:lvl>
    <w:lvl w:ilvl="3" w:tplc="C2BC443C">
      <w:numFmt w:val="bullet"/>
      <w:lvlText w:val="•"/>
      <w:lvlJc w:val="left"/>
      <w:pPr>
        <w:ind w:left="2421" w:hanging="170"/>
      </w:pPr>
      <w:rPr>
        <w:rFonts w:hint="default"/>
        <w:lang w:val="en-US" w:eastAsia="en-US" w:bidi="en-US"/>
      </w:rPr>
    </w:lvl>
    <w:lvl w:ilvl="4" w:tplc="09240952">
      <w:numFmt w:val="bullet"/>
      <w:lvlText w:val="•"/>
      <w:lvlJc w:val="left"/>
      <w:pPr>
        <w:ind w:left="3095" w:hanging="170"/>
      </w:pPr>
      <w:rPr>
        <w:rFonts w:hint="default"/>
        <w:lang w:val="en-US" w:eastAsia="en-US" w:bidi="en-US"/>
      </w:rPr>
    </w:lvl>
    <w:lvl w:ilvl="5" w:tplc="F12CB354">
      <w:numFmt w:val="bullet"/>
      <w:lvlText w:val="•"/>
      <w:lvlJc w:val="left"/>
      <w:pPr>
        <w:ind w:left="3769" w:hanging="170"/>
      </w:pPr>
      <w:rPr>
        <w:rFonts w:hint="default"/>
        <w:lang w:val="en-US" w:eastAsia="en-US" w:bidi="en-US"/>
      </w:rPr>
    </w:lvl>
    <w:lvl w:ilvl="6" w:tplc="41CED002">
      <w:numFmt w:val="bullet"/>
      <w:lvlText w:val="•"/>
      <w:lvlJc w:val="left"/>
      <w:pPr>
        <w:ind w:left="4442" w:hanging="170"/>
      </w:pPr>
      <w:rPr>
        <w:rFonts w:hint="default"/>
        <w:lang w:val="en-US" w:eastAsia="en-US" w:bidi="en-US"/>
      </w:rPr>
    </w:lvl>
    <w:lvl w:ilvl="7" w:tplc="5F6C1AE0">
      <w:numFmt w:val="bullet"/>
      <w:lvlText w:val="•"/>
      <w:lvlJc w:val="left"/>
      <w:pPr>
        <w:ind w:left="5116" w:hanging="170"/>
      </w:pPr>
      <w:rPr>
        <w:rFonts w:hint="default"/>
        <w:lang w:val="en-US" w:eastAsia="en-US" w:bidi="en-US"/>
      </w:rPr>
    </w:lvl>
    <w:lvl w:ilvl="8" w:tplc="8B640C10">
      <w:numFmt w:val="bullet"/>
      <w:lvlText w:val="•"/>
      <w:lvlJc w:val="left"/>
      <w:pPr>
        <w:ind w:left="5790" w:hanging="170"/>
      </w:pPr>
      <w:rPr>
        <w:rFonts w:hint="default"/>
        <w:lang w:val="en-US" w:eastAsia="en-US" w:bidi="en-US"/>
      </w:rPr>
    </w:lvl>
  </w:abstractNum>
  <w:abstractNum w:abstractNumId="57" w15:restartNumberingAfterBreak="0">
    <w:nsid w:val="67C54837"/>
    <w:multiLevelType w:val="hybridMultilevel"/>
    <w:tmpl w:val="542C7A64"/>
    <w:lvl w:ilvl="0" w:tplc="BD9C7C82">
      <w:numFmt w:val="bullet"/>
      <w:lvlText w:val="•"/>
      <w:lvlJc w:val="left"/>
      <w:pPr>
        <w:ind w:left="1838" w:hanging="93"/>
      </w:pPr>
      <w:rPr>
        <w:rFonts w:ascii="Calibri" w:eastAsia="Calibri" w:hAnsi="Calibri" w:cs="Calibri" w:hint="default"/>
        <w:color w:val="231F20"/>
        <w:w w:val="59"/>
        <w:sz w:val="17"/>
        <w:szCs w:val="17"/>
        <w:lang w:val="en-US" w:eastAsia="en-US" w:bidi="en-US"/>
      </w:rPr>
    </w:lvl>
    <w:lvl w:ilvl="1" w:tplc="F20412EE">
      <w:numFmt w:val="bullet"/>
      <w:lvlText w:val="•"/>
      <w:lvlJc w:val="left"/>
      <w:pPr>
        <w:ind w:left="2246" w:hanging="93"/>
      </w:pPr>
      <w:rPr>
        <w:rFonts w:hint="default"/>
        <w:lang w:val="en-US" w:eastAsia="en-US" w:bidi="en-US"/>
      </w:rPr>
    </w:lvl>
    <w:lvl w:ilvl="2" w:tplc="7CF67A90">
      <w:numFmt w:val="bullet"/>
      <w:lvlText w:val="•"/>
      <w:lvlJc w:val="left"/>
      <w:pPr>
        <w:ind w:left="2652" w:hanging="93"/>
      </w:pPr>
      <w:rPr>
        <w:rFonts w:hint="default"/>
        <w:lang w:val="en-US" w:eastAsia="en-US" w:bidi="en-US"/>
      </w:rPr>
    </w:lvl>
    <w:lvl w:ilvl="3" w:tplc="8390C610">
      <w:numFmt w:val="bullet"/>
      <w:lvlText w:val="•"/>
      <w:lvlJc w:val="left"/>
      <w:pPr>
        <w:ind w:left="3058" w:hanging="93"/>
      </w:pPr>
      <w:rPr>
        <w:rFonts w:hint="default"/>
        <w:lang w:val="en-US" w:eastAsia="en-US" w:bidi="en-US"/>
      </w:rPr>
    </w:lvl>
    <w:lvl w:ilvl="4" w:tplc="EC4CB7AC">
      <w:numFmt w:val="bullet"/>
      <w:lvlText w:val="•"/>
      <w:lvlJc w:val="left"/>
      <w:pPr>
        <w:ind w:left="3464" w:hanging="93"/>
      </w:pPr>
      <w:rPr>
        <w:rFonts w:hint="default"/>
        <w:lang w:val="en-US" w:eastAsia="en-US" w:bidi="en-US"/>
      </w:rPr>
    </w:lvl>
    <w:lvl w:ilvl="5" w:tplc="C07858C4">
      <w:numFmt w:val="bullet"/>
      <w:lvlText w:val="•"/>
      <w:lvlJc w:val="left"/>
      <w:pPr>
        <w:ind w:left="3870" w:hanging="93"/>
      </w:pPr>
      <w:rPr>
        <w:rFonts w:hint="default"/>
        <w:lang w:val="en-US" w:eastAsia="en-US" w:bidi="en-US"/>
      </w:rPr>
    </w:lvl>
    <w:lvl w:ilvl="6" w:tplc="D8C8F238">
      <w:numFmt w:val="bullet"/>
      <w:lvlText w:val="•"/>
      <w:lvlJc w:val="left"/>
      <w:pPr>
        <w:ind w:left="4276" w:hanging="93"/>
      </w:pPr>
      <w:rPr>
        <w:rFonts w:hint="default"/>
        <w:lang w:val="en-US" w:eastAsia="en-US" w:bidi="en-US"/>
      </w:rPr>
    </w:lvl>
    <w:lvl w:ilvl="7" w:tplc="EA0C8F94">
      <w:numFmt w:val="bullet"/>
      <w:lvlText w:val="•"/>
      <w:lvlJc w:val="left"/>
      <w:pPr>
        <w:ind w:left="4682" w:hanging="93"/>
      </w:pPr>
      <w:rPr>
        <w:rFonts w:hint="default"/>
        <w:lang w:val="en-US" w:eastAsia="en-US" w:bidi="en-US"/>
      </w:rPr>
    </w:lvl>
    <w:lvl w:ilvl="8" w:tplc="9D065DC4">
      <w:numFmt w:val="bullet"/>
      <w:lvlText w:val="•"/>
      <w:lvlJc w:val="left"/>
      <w:pPr>
        <w:ind w:left="5089" w:hanging="93"/>
      </w:pPr>
      <w:rPr>
        <w:rFonts w:hint="default"/>
        <w:lang w:val="en-US" w:eastAsia="en-US" w:bidi="en-US"/>
      </w:rPr>
    </w:lvl>
  </w:abstractNum>
  <w:abstractNum w:abstractNumId="58" w15:restartNumberingAfterBreak="0">
    <w:nsid w:val="6A366AF2"/>
    <w:multiLevelType w:val="hybridMultilevel"/>
    <w:tmpl w:val="0DDAA9A4"/>
    <w:lvl w:ilvl="0" w:tplc="62223CE2">
      <w:start w:val="140"/>
      <w:numFmt w:val="decimal"/>
      <w:lvlText w:val="%1."/>
      <w:lvlJc w:val="left"/>
      <w:pPr>
        <w:ind w:left="2835" w:hanging="227"/>
        <w:jc w:val="right"/>
      </w:pPr>
      <w:rPr>
        <w:rFonts w:ascii="Calibri" w:eastAsia="Calibri" w:hAnsi="Calibri" w:cs="Calibri" w:hint="default"/>
        <w:color w:val="4D4D4F"/>
        <w:spacing w:val="-3"/>
        <w:w w:val="83"/>
        <w:sz w:val="12"/>
        <w:szCs w:val="12"/>
        <w:lang w:val="en-US" w:eastAsia="en-US" w:bidi="en-US"/>
      </w:rPr>
    </w:lvl>
    <w:lvl w:ilvl="1" w:tplc="01740AFE">
      <w:numFmt w:val="bullet"/>
      <w:lvlText w:val="•"/>
      <w:lvlJc w:val="left"/>
      <w:pPr>
        <w:ind w:left="3542" w:hanging="227"/>
      </w:pPr>
      <w:rPr>
        <w:rFonts w:hint="default"/>
        <w:lang w:val="en-US" w:eastAsia="en-US" w:bidi="en-US"/>
      </w:rPr>
    </w:lvl>
    <w:lvl w:ilvl="2" w:tplc="F4D644F4">
      <w:numFmt w:val="bullet"/>
      <w:lvlText w:val="•"/>
      <w:lvlJc w:val="left"/>
      <w:pPr>
        <w:ind w:left="4245" w:hanging="227"/>
      </w:pPr>
      <w:rPr>
        <w:rFonts w:hint="default"/>
        <w:lang w:val="en-US" w:eastAsia="en-US" w:bidi="en-US"/>
      </w:rPr>
    </w:lvl>
    <w:lvl w:ilvl="3" w:tplc="92F4308A">
      <w:numFmt w:val="bullet"/>
      <w:lvlText w:val="•"/>
      <w:lvlJc w:val="left"/>
      <w:pPr>
        <w:ind w:left="4947" w:hanging="227"/>
      </w:pPr>
      <w:rPr>
        <w:rFonts w:hint="default"/>
        <w:lang w:val="en-US" w:eastAsia="en-US" w:bidi="en-US"/>
      </w:rPr>
    </w:lvl>
    <w:lvl w:ilvl="4" w:tplc="A87E54A4">
      <w:numFmt w:val="bullet"/>
      <w:lvlText w:val="•"/>
      <w:lvlJc w:val="left"/>
      <w:pPr>
        <w:ind w:left="5650" w:hanging="227"/>
      </w:pPr>
      <w:rPr>
        <w:rFonts w:hint="default"/>
        <w:lang w:val="en-US" w:eastAsia="en-US" w:bidi="en-US"/>
      </w:rPr>
    </w:lvl>
    <w:lvl w:ilvl="5" w:tplc="8C4EF8A4">
      <w:numFmt w:val="bullet"/>
      <w:lvlText w:val="•"/>
      <w:lvlJc w:val="left"/>
      <w:pPr>
        <w:ind w:left="6352" w:hanging="227"/>
      </w:pPr>
      <w:rPr>
        <w:rFonts w:hint="default"/>
        <w:lang w:val="en-US" w:eastAsia="en-US" w:bidi="en-US"/>
      </w:rPr>
    </w:lvl>
    <w:lvl w:ilvl="6" w:tplc="6CEADB56">
      <w:numFmt w:val="bullet"/>
      <w:lvlText w:val="•"/>
      <w:lvlJc w:val="left"/>
      <w:pPr>
        <w:ind w:left="7055" w:hanging="227"/>
      </w:pPr>
      <w:rPr>
        <w:rFonts w:hint="default"/>
        <w:lang w:val="en-US" w:eastAsia="en-US" w:bidi="en-US"/>
      </w:rPr>
    </w:lvl>
    <w:lvl w:ilvl="7" w:tplc="29FCF43A">
      <w:numFmt w:val="bullet"/>
      <w:lvlText w:val="•"/>
      <w:lvlJc w:val="left"/>
      <w:pPr>
        <w:ind w:left="7757" w:hanging="227"/>
      </w:pPr>
      <w:rPr>
        <w:rFonts w:hint="default"/>
        <w:lang w:val="en-US" w:eastAsia="en-US" w:bidi="en-US"/>
      </w:rPr>
    </w:lvl>
    <w:lvl w:ilvl="8" w:tplc="180833CE">
      <w:numFmt w:val="bullet"/>
      <w:lvlText w:val="•"/>
      <w:lvlJc w:val="left"/>
      <w:pPr>
        <w:ind w:left="8460" w:hanging="227"/>
      </w:pPr>
      <w:rPr>
        <w:rFonts w:hint="default"/>
        <w:lang w:val="en-US" w:eastAsia="en-US" w:bidi="en-US"/>
      </w:rPr>
    </w:lvl>
  </w:abstractNum>
  <w:abstractNum w:abstractNumId="59" w15:restartNumberingAfterBreak="0">
    <w:nsid w:val="6B8060FE"/>
    <w:multiLevelType w:val="hybridMultilevel"/>
    <w:tmpl w:val="68A8939C"/>
    <w:lvl w:ilvl="0" w:tplc="700E46A8">
      <w:numFmt w:val="bullet"/>
      <w:lvlText w:val="•"/>
      <w:lvlJc w:val="left"/>
      <w:pPr>
        <w:ind w:left="2111" w:hanging="93"/>
      </w:pPr>
      <w:rPr>
        <w:rFonts w:ascii="Calibri" w:eastAsia="Calibri" w:hAnsi="Calibri" w:cs="Calibri" w:hint="default"/>
        <w:color w:val="231F20"/>
        <w:w w:val="59"/>
        <w:sz w:val="17"/>
        <w:szCs w:val="17"/>
        <w:lang w:val="en-US" w:eastAsia="en-US" w:bidi="en-US"/>
      </w:rPr>
    </w:lvl>
    <w:lvl w:ilvl="1" w:tplc="15D63868">
      <w:numFmt w:val="bullet"/>
      <w:lvlText w:val="•"/>
      <w:lvlJc w:val="left"/>
      <w:pPr>
        <w:ind w:left="2730" w:hanging="93"/>
      </w:pPr>
      <w:rPr>
        <w:rFonts w:hint="default"/>
        <w:lang w:val="en-US" w:eastAsia="en-US" w:bidi="en-US"/>
      </w:rPr>
    </w:lvl>
    <w:lvl w:ilvl="2" w:tplc="6A7A2F7C">
      <w:numFmt w:val="bullet"/>
      <w:lvlText w:val="•"/>
      <w:lvlJc w:val="left"/>
      <w:pPr>
        <w:ind w:left="3341" w:hanging="93"/>
      </w:pPr>
      <w:rPr>
        <w:rFonts w:hint="default"/>
        <w:lang w:val="en-US" w:eastAsia="en-US" w:bidi="en-US"/>
      </w:rPr>
    </w:lvl>
    <w:lvl w:ilvl="3" w:tplc="14A69CD6">
      <w:numFmt w:val="bullet"/>
      <w:lvlText w:val="•"/>
      <w:lvlJc w:val="left"/>
      <w:pPr>
        <w:ind w:left="3952" w:hanging="93"/>
      </w:pPr>
      <w:rPr>
        <w:rFonts w:hint="default"/>
        <w:lang w:val="en-US" w:eastAsia="en-US" w:bidi="en-US"/>
      </w:rPr>
    </w:lvl>
    <w:lvl w:ilvl="4" w:tplc="6CACA292">
      <w:numFmt w:val="bullet"/>
      <w:lvlText w:val="•"/>
      <w:lvlJc w:val="left"/>
      <w:pPr>
        <w:ind w:left="4563" w:hanging="93"/>
      </w:pPr>
      <w:rPr>
        <w:rFonts w:hint="default"/>
        <w:lang w:val="en-US" w:eastAsia="en-US" w:bidi="en-US"/>
      </w:rPr>
    </w:lvl>
    <w:lvl w:ilvl="5" w:tplc="2988BF00">
      <w:numFmt w:val="bullet"/>
      <w:lvlText w:val="•"/>
      <w:lvlJc w:val="left"/>
      <w:pPr>
        <w:ind w:left="5174" w:hanging="93"/>
      </w:pPr>
      <w:rPr>
        <w:rFonts w:hint="default"/>
        <w:lang w:val="en-US" w:eastAsia="en-US" w:bidi="en-US"/>
      </w:rPr>
    </w:lvl>
    <w:lvl w:ilvl="6" w:tplc="03309DA0">
      <w:numFmt w:val="bullet"/>
      <w:lvlText w:val="•"/>
      <w:lvlJc w:val="left"/>
      <w:pPr>
        <w:ind w:left="5784" w:hanging="93"/>
      </w:pPr>
      <w:rPr>
        <w:rFonts w:hint="default"/>
        <w:lang w:val="en-US" w:eastAsia="en-US" w:bidi="en-US"/>
      </w:rPr>
    </w:lvl>
    <w:lvl w:ilvl="7" w:tplc="7C346C90">
      <w:numFmt w:val="bullet"/>
      <w:lvlText w:val="•"/>
      <w:lvlJc w:val="left"/>
      <w:pPr>
        <w:ind w:left="6395" w:hanging="93"/>
      </w:pPr>
      <w:rPr>
        <w:rFonts w:hint="default"/>
        <w:lang w:val="en-US" w:eastAsia="en-US" w:bidi="en-US"/>
      </w:rPr>
    </w:lvl>
    <w:lvl w:ilvl="8" w:tplc="3098BEE2">
      <w:numFmt w:val="bullet"/>
      <w:lvlText w:val="•"/>
      <w:lvlJc w:val="left"/>
      <w:pPr>
        <w:ind w:left="7006" w:hanging="93"/>
      </w:pPr>
      <w:rPr>
        <w:rFonts w:hint="default"/>
        <w:lang w:val="en-US" w:eastAsia="en-US" w:bidi="en-US"/>
      </w:rPr>
    </w:lvl>
  </w:abstractNum>
  <w:abstractNum w:abstractNumId="60" w15:restartNumberingAfterBreak="0">
    <w:nsid w:val="6E783881"/>
    <w:multiLevelType w:val="hybridMultilevel"/>
    <w:tmpl w:val="F59E3292"/>
    <w:lvl w:ilvl="0" w:tplc="83640CB4">
      <w:numFmt w:val="bullet"/>
      <w:lvlText w:val="▪"/>
      <w:lvlJc w:val="left"/>
      <w:pPr>
        <w:ind w:left="2741" w:hanging="134"/>
      </w:pPr>
      <w:rPr>
        <w:rFonts w:ascii="Calibri Light" w:eastAsia="Calibri Light" w:hAnsi="Calibri Light" w:cs="Calibri Light" w:hint="default"/>
        <w:color w:val="4D4D4F"/>
        <w:w w:val="100"/>
        <w:sz w:val="20"/>
        <w:szCs w:val="20"/>
        <w:lang w:val="en-US" w:eastAsia="en-US" w:bidi="en-US"/>
      </w:rPr>
    </w:lvl>
    <w:lvl w:ilvl="1" w:tplc="97B450E0">
      <w:numFmt w:val="bullet"/>
      <w:lvlText w:val="•"/>
      <w:lvlJc w:val="left"/>
      <w:pPr>
        <w:ind w:left="3452" w:hanging="134"/>
      </w:pPr>
      <w:rPr>
        <w:rFonts w:hint="default"/>
        <w:lang w:val="en-US" w:eastAsia="en-US" w:bidi="en-US"/>
      </w:rPr>
    </w:lvl>
    <w:lvl w:ilvl="2" w:tplc="01961156">
      <w:numFmt w:val="bullet"/>
      <w:lvlText w:val="•"/>
      <w:lvlJc w:val="left"/>
      <w:pPr>
        <w:ind w:left="4165" w:hanging="134"/>
      </w:pPr>
      <w:rPr>
        <w:rFonts w:hint="default"/>
        <w:lang w:val="en-US" w:eastAsia="en-US" w:bidi="en-US"/>
      </w:rPr>
    </w:lvl>
    <w:lvl w:ilvl="3" w:tplc="66181808">
      <w:numFmt w:val="bullet"/>
      <w:lvlText w:val="•"/>
      <w:lvlJc w:val="left"/>
      <w:pPr>
        <w:ind w:left="4877" w:hanging="134"/>
      </w:pPr>
      <w:rPr>
        <w:rFonts w:hint="default"/>
        <w:lang w:val="en-US" w:eastAsia="en-US" w:bidi="en-US"/>
      </w:rPr>
    </w:lvl>
    <w:lvl w:ilvl="4" w:tplc="516630AE">
      <w:numFmt w:val="bullet"/>
      <w:lvlText w:val="•"/>
      <w:lvlJc w:val="left"/>
      <w:pPr>
        <w:ind w:left="5590" w:hanging="134"/>
      </w:pPr>
      <w:rPr>
        <w:rFonts w:hint="default"/>
        <w:lang w:val="en-US" w:eastAsia="en-US" w:bidi="en-US"/>
      </w:rPr>
    </w:lvl>
    <w:lvl w:ilvl="5" w:tplc="F820879C">
      <w:numFmt w:val="bullet"/>
      <w:lvlText w:val="•"/>
      <w:lvlJc w:val="left"/>
      <w:pPr>
        <w:ind w:left="6302" w:hanging="134"/>
      </w:pPr>
      <w:rPr>
        <w:rFonts w:hint="default"/>
        <w:lang w:val="en-US" w:eastAsia="en-US" w:bidi="en-US"/>
      </w:rPr>
    </w:lvl>
    <w:lvl w:ilvl="6" w:tplc="EABCB3CC">
      <w:numFmt w:val="bullet"/>
      <w:lvlText w:val="•"/>
      <w:lvlJc w:val="left"/>
      <w:pPr>
        <w:ind w:left="7015" w:hanging="134"/>
      </w:pPr>
      <w:rPr>
        <w:rFonts w:hint="default"/>
        <w:lang w:val="en-US" w:eastAsia="en-US" w:bidi="en-US"/>
      </w:rPr>
    </w:lvl>
    <w:lvl w:ilvl="7" w:tplc="2F9A7280">
      <w:numFmt w:val="bullet"/>
      <w:lvlText w:val="•"/>
      <w:lvlJc w:val="left"/>
      <w:pPr>
        <w:ind w:left="7727" w:hanging="134"/>
      </w:pPr>
      <w:rPr>
        <w:rFonts w:hint="default"/>
        <w:lang w:val="en-US" w:eastAsia="en-US" w:bidi="en-US"/>
      </w:rPr>
    </w:lvl>
    <w:lvl w:ilvl="8" w:tplc="0BFAC0F0">
      <w:numFmt w:val="bullet"/>
      <w:lvlText w:val="•"/>
      <w:lvlJc w:val="left"/>
      <w:pPr>
        <w:ind w:left="8440" w:hanging="134"/>
      </w:pPr>
      <w:rPr>
        <w:rFonts w:hint="default"/>
        <w:lang w:val="en-US" w:eastAsia="en-US" w:bidi="en-US"/>
      </w:rPr>
    </w:lvl>
  </w:abstractNum>
  <w:abstractNum w:abstractNumId="61" w15:restartNumberingAfterBreak="0">
    <w:nsid w:val="6E9D5431"/>
    <w:multiLevelType w:val="hybridMultilevel"/>
    <w:tmpl w:val="60643098"/>
    <w:lvl w:ilvl="0" w:tplc="BFA231E6">
      <w:start w:val="1"/>
      <w:numFmt w:val="decimal"/>
      <w:lvlText w:val="%1."/>
      <w:lvlJc w:val="left"/>
      <w:pPr>
        <w:ind w:left="2778" w:hanging="170"/>
        <w:jc w:val="left"/>
      </w:pPr>
      <w:rPr>
        <w:rFonts w:ascii="Calibri" w:eastAsia="Calibri" w:hAnsi="Calibri" w:cs="Calibri" w:hint="default"/>
        <w:color w:val="4D4D4F"/>
        <w:spacing w:val="-10"/>
        <w:w w:val="92"/>
        <w:sz w:val="20"/>
        <w:szCs w:val="20"/>
        <w:lang w:val="en-US" w:eastAsia="en-US" w:bidi="en-US"/>
      </w:rPr>
    </w:lvl>
    <w:lvl w:ilvl="1" w:tplc="D562CB92">
      <w:numFmt w:val="bullet"/>
      <w:lvlText w:val="•"/>
      <w:lvlJc w:val="left"/>
      <w:pPr>
        <w:ind w:left="3488" w:hanging="170"/>
      </w:pPr>
      <w:rPr>
        <w:rFonts w:hint="default"/>
        <w:lang w:val="en-US" w:eastAsia="en-US" w:bidi="en-US"/>
      </w:rPr>
    </w:lvl>
    <w:lvl w:ilvl="2" w:tplc="1A70B998">
      <w:numFmt w:val="bullet"/>
      <w:lvlText w:val="•"/>
      <w:lvlJc w:val="left"/>
      <w:pPr>
        <w:ind w:left="4197" w:hanging="170"/>
      </w:pPr>
      <w:rPr>
        <w:rFonts w:hint="default"/>
        <w:lang w:val="en-US" w:eastAsia="en-US" w:bidi="en-US"/>
      </w:rPr>
    </w:lvl>
    <w:lvl w:ilvl="3" w:tplc="97E25AD0">
      <w:numFmt w:val="bullet"/>
      <w:lvlText w:val="•"/>
      <w:lvlJc w:val="left"/>
      <w:pPr>
        <w:ind w:left="4905" w:hanging="170"/>
      </w:pPr>
      <w:rPr>
        <w:rFonts w:hint="default"/>
        <w:lang w:val="en-US" w:eastAsia="en-US" w:bidi="en-US"/>
      </w:rPr>
    </w:lvl>
    <w:lvl w:ilvl="4" w:tplc="609C9542">
      <w:numFmt w:val="bullet"/>
      <w:lvlText w:val="•"/>
      <w:lvlJc w:val="left"/>
      <w:pPr>
        <w:ind w:left="5614" w:hanging="170"/>
      </w:pPr>
      <w:rPr>
        <w:rFonts w:hint="default"/>
        <w:lang w:val="en-US" w:eastAsia="en-US" w:bidi="en-US"/>
      </w:rPr>
    </w:lvl>
    <w:lvl w:ilvl="5" w:tplc="8F66BF6C">
      <w:numFmt w:val="bullet"/>
      <w:lvlText w:val="•"/>
      <w:lvlJc w:val="left"/>
      <w:pPr>
        <w:ind w:left="6322" w:hanging="170"/>
      </w:pPr>
      <w:rPr>
        <w:rFonts w:hint="default"/>
        <w:lang w:val="en-US" w:eastAsia="en-US" w:bidi="en-US"/>
      </w:rPr>
    </w:lvl>
    <w:lvl w:ilvl="6" w:tplc="38209D30">
      <w:numFmt w:val="bullet"/>
      <w:lvlText w:val="•"/>
      <w:lvlJc w:val="left"/>
      <w:pPr>
        <w:ind w:left="7031" w:hanging="170"/>
      </w:pPr>
      <w:rPr>
        <w:rFonts w:hint="default"/>
        <w:lang w:val="en-US" w:eastAsia="en-US" w:bidi="en-US"/>
      </w:rPr>
    </w:lvl>
    <w:lvl w:ilvl="7" w:tplc="B01465B8">
      <w:numFmt w:val="bullet"/>
      <w:lvlText w:val="•"/>
      <w:lvlJc w:val="left"/>
      <w:pPr>
        <w:ind w:left="7739" w:hanging="170"/>
      </w:pPr>
      <w:rPr>
        <w:rFonts w:hint="default"/>
        <w:lang w:val="en-US" w:eastAsia="en-US" w:bidi="en-US"/>
      </w:rPr>
    </w:lvl>
    <w:lvl w:ilvl="8" w:tplc="E4FAF856">
      <w:numFmt w:val="bullet"/>
      <w:lvlText w:val="•"/>
      <w:lvlJc w:val="left"/>
      <w:pPr>
        <w:ind w:left="8448" w:hanging="170"/>
      </w:pPr>
      <w:rPr>
        <w:rFonts w:hint="default"/>
        <w:lang w:val="en-US" w:eastAsia="en-US" w:bidi="en-US"/>
      </w:rPr>
    </w:lvl>
  </w:abstractNum>
  <w:abstractNum w:abstractNumId="62" w15:restartNumberingAfterBreak="0">
    <w:nsid w:val="70094D96"/>
    <w:multiLevelType w:val="hybridMultilevel"/>
    <w:tmpl w:val="76F65EEC"/>
    <w:lvl w:ilvl="0" w:tplc="0A6C5290">
      <w:start w:val="1"/>
      <w:numFmt w:val="lowerRoman"/>
      <w:lvlText w:val="(%1)"/>
      <w:lvlJc w:val="left"/>
      <w:pPr>
        <w:ind w:left="227" w:hanging="194"/>
        <w:jc w:val="left"/>
      </w:pPr>
      <w:rPr>
        <w:rFonts w:ascii="Calibri" w:eastAsia="Calibri" w:hAnsi="Calibri" w:cs="Calibri" w:hint="default"/>
        <w:color w:val="4D4D4F"/>
        <w:spacing w:val="-10"/>
        <w:w w:val="98"/>
        <w:sz w:val="20"/>
        <w:szCs w:val="20"/>
        <w:lang w:val="en-US" w:eastAsia="en-US" w:bidi="en-US"/>
      </w:rPr>
    </w:lvl>
    <w:lvl w:ilvl="1" w:tplc="D0284D90">
      <w:numFmt w:val="bullet"/>
      <w:lvlText w:val="•"/>
      <w:lvlJc w:val="left"/>
      <w:pPr>
        <w:ind w:left="935" w:hanging="194"/>
      </w:pPr>
      <w:rPr>
        <w:rFonts w:hint="default"/>
        <w:lang w:val="en-US" w:eastAsia="en-US" w:bidi="en-US"/>
      </w:rPr>
    </w:lvl>
    <w:lvl w:ilvl="2" w:tplc="1784AB98">
      <w:numFmt w:val="bullet"/>
      <w:lvlText w:val="•"/>
      <w:lvlJc w:val="left"/>
      <w:pPr>
        <w:ind w:left="1650" w:hanging="194"/>
      </w:pPr>
      <w:rPr>
        <w:rFonts w:hint="default"/>
        <w:lang w:val="en-US" w:eastAsia="en-US" w:bidi="en-US"/>
      </w:rPr>
    </w:lvl>
    <w:lvl w:ilvl="3" w:tplc="88FC93BA">
      <w:numFmt w:val="bullet"/>
      <w:lvlText w:val="•"/>
      <w:lvlJc w:val="left"/>
      <w:pPr>
        <w:ind w:left="2365" w:hanging="194"/>
      </w:pPr>
      <w:rPr>
        <w:rFonts w:hint="default"/>
        <w:lang w:val="en-US" w:eastAsia="en-US" w:bidi="en-US"/>
      </w:rPr>
    </w:lvl>
    <w:lvl w:ilvl="4" w:tplc="E59294B4">
      <w:numFmt w:val="bullet"/>
      <w:lvlText w:val="•"/>
      <w:lvlJc w:val="left"/>
      <w:pPr>
        <w:ind w:left="3080" w:hanging="194"/>
      </w:pPr>
      <w:rPr>
        <w:rFonts w:hint="default"/>
        <w:lang w:val="en-US" w:eastAsia="en-US" w:bidi="en-US"/>
      </w:rPr>
    </w:lvl>
    <w:lvl w:ilvl="5" w:tplc="62D606A2">
      <w:numFmt w:val="bullet"/>
      <w:lvlText w:val="•"/>
      <w:lvlJc w:val="left"/>
      <w:pPr>
        <w:ind w:left="3795" w:hanging="194"/>
      </w:pPr>
      <w:rPr>
        <w:rFonts w:hint="default"/>
        <w:lang w:val="en-US" w:eastAsia="en-US" w:bidi="en-US"/>
      </w:rPr>
    </w:lvl>
    <w:lvl w:ilvl="6" w:tplc="EFFE6400">
      <w:numFmt w:val="bullet"/>
      <w:lvlText w:val="•"/>
      <w:lvlJc w:val="left"/>
      <w:pPr>
        <w:ind w:left="4510" w:hanging="194"/>
      </w:pPr>
      <w:rPr>
        <w:rFonts w:hint="default"/>
        <w:lang w:val="en-US" w:eastAsia="en-US" w:bidi="en-US"/>
      </w:rPr>
    </w:lvl>
    <w:lvl w:ilvl="7" w:tplc="DBAE4E1C">
      <w:numFmt w:val="bullet"/>
      <w:lvlText w:val="•"/>
      <w:lvlJc w:val="left"/>
      <w:pPr>
        <w:ind w:left="5225" w:hanging="194"/>
      </w:pPr>
      <w:rPr>
        <w:rFonts w:hint="default"/>
        <w:lang w:val="en-US" w:eastAsia="en-US" w:bidi="en-US"/>
      </w:rPr>
    </w:lvl>
    <w:lvl w:ilvl="8" w:tplc="142E983C">
      <w:numFmt w:val="bullet"/>
      <w:lvlText w:val="•"/>
      <w:lvlJc w:val="left"/>
      <w:pPr>
        <w:ind w:left="5940" w:hanging="194"/>
      </w:pPr>
      <w:rPr>
        <w:rFonts w:hint="default"/>
        <w:lang w:val="en-US" w:eastAsia="en-US" w:bidi="en-US"/>
      </w:rPr>
    </w:lvl>
  </w:abstractNum>
  <w:abstractNum w:abstractNumId="63" w15:restartNumberingAfterBreak="0">
    <w:nsid w:val="7196547C"/>
    <w:multiLevelType w:val="hybridMultilevel"/>
    <w:tmpl w:val="CFFCA3D2"/>
    <w:lvl w:ilvl="0" w:tplc="389071C2">
      <w:start w:val="253"/>
      <w:numFmt w:val="decimal"/>
      <w:lvlText w:val="%1."/>
      <w:lvlJc w:val="left"/>
      <w:pPr>
        <w:ind w:left="2835" w:hanging="227"/>
        <w:jc w:val="right"/>
      </w:pPr>
      <w:rPr>
        <w:rFonts w:ascii="Calibri" w:eastAsia="Calibri" w:hAnsi="Calibri" w:cs="Calibri" w:hint="default"/>
        <w:color w:val="4D4D4F"/>
        <w:spacing w:val="0"/>
        <w:w w:val="83"/>
        <w:sz w:val="10"/>
        <w:szCs w:val="10"/>
        <w:lang w:val="en-US" w:eastAsia="en-US" w:bidi="en-US"/>
      </w:rPr>
    </w:lvl>
    <w:lvl w:ilvl="1" w:tplc="860CE550">
      <w:numFmt w:val="bullet"/>
      <w:lvlText w:val="•"/>
      <w:lvlJc w:val="left"/>
      <w:pPr>
        <w:ind w:left="3542" w:hanging="227"/>
      </w:pPr>
      <w:rPr>
        <w:rFonts w:hint="default"/>
        <w:lang w:val="en-US" w:eastAsia="en-US" w:bidi="en-US"/>
      </w:rPr>
    </w:lvl>
    <w:lvl w:ilvl="2" w:tplc="F2007B4C">
      <w:numFmt w:val="bullet"/>
      <w:lvlText w:val="•"/>
      <w:lvlJc w:val="left"/>
      <w:pPr>
        <w:ind w:left="4245" w:hanging="227"/>
      </w:pPr>
      <w:rPr>
        <w:rFonts w:hint="default"/>
        <w:lang w:val="en-US" w:eastAsia="en-US" w:bidi="en-US"/>
      </w:rPr>
    </w:lvl>
    <w:lvl w:ilvl="3" w:tplc="B18CEE12">
      <w:numFmt w:val="bullet"/>
      <w:lvlText w:val="•"/>
      <w:lvlJc w:val="left"/>
      <w:pPr>
        <w:ind w:left="4947" w:hanging="227"/>
      </w:pPr>
      <w:rPr>
        <w:rFonts w:hint="default"/>
        <w:lang w:val="en-US" w:eastAsia="en-US" w:bidi="en-US"/>
      </w:rPr>
    </w:lvl>
    <w:lvl w:ilvl="4" w:tplc="BB7056B2">
      <w:numFmt w:val="bullet"/>
      <w:lvlText w:val="•"/>
      <w:lvlJc w:val="left"/>
      <w:pPr>
        <w:ind w:left="5650" w:hanging="227"/>
      </w:pPr>
      <w:rPr>
        <w:rFonts w:hint="default"/>
        <w:lang w:val="en-US" w:eastAsia="en-US" w:bidi="en-US"/>
      </w:rPr>
    </w:lvl>
    <w:lvl w:ilvl="5" w:tplc="6456B482">
      <w:numFmt w:val="bullet"/>
      <w:lvlText w:val="•"/>
      <w:lvlJc w:val="left"/>
      <w:pPr>
        <w:ind w:left="6352" w:hanging="227"/>
      </w:pPr>
      <w:rPr>
        <w:rFonts w:hint="default"/>
        <w:lang w:val="en-US" w:eastAsia="en-US" w:bidi="en-US"/>
      </w:rPr>
    </w:lvl>
    <w:lvl w:ilvl="6" w:tplc="624ED034">
      <w:numFmt w:val="bullet"/>
      <w:lvlText w:val="•"/>
      <w:lvlJc w:val="left"/>
      <w:pPr>
        <w:ind w:left="7055" w:hanging="227"/>
      </w:pPr>
      <w:rPr>
        <w:rFonts w:hint="default"/>
        <w:lang w:val="en-US" w:eastAsia="en-US" w:bidi="en-US"/>
      </w:rPr>
    </w:lvl>
    <w:lvl w:ilvl="7" w:tplc="011E460A">
      <w:numFmt w:val="bullet"/>
      <w:lvlText w:val="•"/>
      <w:lvlJc w:val="left"/>
      <w:pPr>
        <w:ind w:left="7757" w:hanging="227"/>
      </w:pPr>
      <w:rPr>
        <w:rFonts w:hint="default"/>
        <w:lang w:val="en-US" w:eastAsia="en-US" w:bidi="en-US"/>
      </w:rPr>
    </w:lvl>
    <w:lvl w:ilvl="8" w:tplc="506A4F30">
      <w:numFmt w:val="bullet"/>
      <w:lvlText w:val="•"/>
      <w:lvlJc w:val="left"/>
      <w:pPr>
        <w:ind w:left="8460" w:hanging="227"/>
      </w:pPr>
      <w:rPr>
        <w:rFonts w:hint="default"/>
        <w:lang w:val="en-US" w:eastAsia="en-US" w:bidi="en-US"/>
      </w:rPr>
    </w:lvl>
  </w:abstractNum>
  <w:abstractNum w:abstractNumId="64" w15:restartNumberingAfterBreak="0">
    <w:nsid w:val="7AC22EAF"/>
    <w:multiLevelType w:val="hybridMultilevel"/>
    <w:tmpl w:val="3DC8B690"/>
    <w:lvl w:ilvl="0" w:tplc="4992B6EA">
      <w:numFmt w:val="bullet"/>
      <w:lvlText w:val="•"/>
      <w:lvlJc w:val="left"/>
      <w:pPr>
        <w:ind w:left="2122" w:hanging="93"/>
      </w:pPr>
      <w:rPr>
        <w:rFonts w:ascii="Calibri" w:eastAsia="Calibri" w:hAnsi="Calibri" w:cs="Calibri" w:hint="default"/>
        <w:color w:val="231F20"/>
        <w:w w:val="59"/>
        <w:sz w:val="17"/>
        <w:szCs w:val="17"/>
        <w:lang w:val="en-US" w:eastAsia="en-US" w:bidi="en-US"/>
      </w:rPr>
    </w:lvl>
    <w:lvl w:ilvl="1" w:tplc="DAB04350">
      <w:numFmt w:val="bullet"/>
      <w:lvlText w:val="•"/>
      <w:lvlJc w:val="left"/>
      <w:pPr>
        <w:ind w:left="2450" w:hanging="93"/>
      </w:pPr>
      <w:rPr>
        <w:rFonts w:hint="default"/>
        <w:lang w:val="en-US" w:eastAsia="en-US" w:bidi="en-US"/>
      </w:rPr>
    </w:lvl>
    <w:lvl w:ilvl="2" w:tplc="A5CCFD2E">
      <w:numFmt w:val="bullet"/>
      <w:lvlText w:val="•"/>
      <w:lvlJc w:val="left"/>
      <w:pPr>
        <w:ind w:left="2781" w:hanging="93"/>
      </w:pPr>
      <w:rPr>
        <w:rFonts w:hint="default"/>
        <w:lang w:val="en-US" w:eastAsia="en-US" w:bidi="en-US"/>
      </w:rPr>
    </w:lvl>
    <w:lvl w:ilvl="3" w:tplc="892CBF78">
      <w:numFmt w:val="bullet"/>
      <w:lvlText w:val="•"/>
      <w:lvlJc w:val="left"/>
      <w:pPr>
        <w:ind w:left="3112" w:hanging="93"/>
      </w:pPr>
      <w:rPr>
        <w:rFonts w:hint="default"/>
        <w:lang w:val="en-US" w:eastAsia="en-US" w:bidi="en-US"/>
      </w:rPr>
    </w:lvl>
    <w:lvl w:ilvl="4" w:tplc="EAF8B22E">
      <w:numFmt w:val="bullet"/>
      <w:lvlText w:val="•"/>
      <w:lvlJc w:val="left"/>
      <w:pPr>
        <w:ind w:left="3443" w:hanging="93"/>
      </w:pPr>
      <w:rPr>
        <w:rFonts w:hint="default"/>
        <w:lang w:val="en-US" w:eastAsia="en-US" w:bidi="en-US"/>
      </w:rPr>
    </w:lvl>
    <w:lvl w:ilvl="5" w:tplc="133C499C">
      <w:numFmt w:val="bullet"/>
      <w:lvlText w:val="•"/>
      <w:lvlJc w:val="left"/>
      <w:pPr>
        <w:ind w:left="3774" w:hanging="93"/>
      </w:pPr>
      <w:rPr>
        <w:rFonts w:hint="default"/>
        <w:lang w:val="en-US" w:eastAsia="en-US" w:bidi="en-US"/>
      </w:rPr>
    </w:lvl>
    <w:lvl w:ilvl="6" w:tplc="6A1AD710">
      <w:numFmt w:val="bullet"/>
      <w:lvlText w:val="•"/>
      <w:lvlJc w:val="left"/>
      <w:pPr>
        <w:ind w:left="4105" w:hanging="93"/>
      </w:pPr>
      <w:rPr>
        <w:rFonts w:hint="default"/>
        <w:lang w:val="en-US" w:eastAsia="en-US" w:bidi="en-US"/>
      </w:rPr>
    </w:lvl>
    <w:lvl w:ilvl="7" w:tplc="1608B922">
      <w:numFmt w:val="bullet"/>
      <w:lvlText w:val="•"/>
      <w:lvlJc w:val="left"/>
      <w:pPr>
        <w:ind w:left="4436" w:hanging="93"/>
      </w:pPr>
      <w:rPr>
        <w:rFonts w:hint="default"/>
        <w:lang w:val="en-US" w:eastAsia="en-US" w:bidi="en-US"/>
      </w:rPr>
    </w:lvl>
    <w:lvl w:ilvl="8" w:tplc="E514ECEA">
      <w:numFmt w:val="bullet"/>
      <w:lvlText w:val="•"/>
      <w:lvlJc w:val="left"/>
      <w:pPr>
        <w:ind w:left="4767" w:hanging="93"/>
      </w:pPr>
      <w:rPr>
        <w:rFonts w:hint="default"/>
        <w:lang w:val="en-US" w:eastAsia="en-US" w:bidi="en-US"/>
      </w:rPr>
    </w:lvl>
  </w:abstractNum>
  <w:abstractNum w:abstractNumId="65" w15:restartNumberingAfterBreak="0">
    <w:nsid w:val="7B110865"/>
    <w:multiLevelType w:val="hybridMultilevel"/>
    <w:tmpl w:val="749AD60A"/>
    <w:lvl w:ilvl="0" w:tplc="B5B6B296">
      <w:start w:val="207"/>
      <w:numFmt w:val="decimal"/>
      <w:lvlText w:val="%1."/>
      <w:lvlJc w:val="left"/>
      <w:pPr>
        <w:ind w:left="2834" w:hanging="227"/>
        <w:jc w:val="left"/>
      </w:pPr>
      <w:rPr>
        <w:rFonts w:ascii="Calibri" w:eastAsia="Calibri" w:hAnsi="Calibri" w:cs="Calibri" w:hint="default"/>
        <w:color w:val="4D4D4F"/>
        <w:spacing w:val="-6"/>
        <w:w w:val="92"/>
        <w:sz w:val="12"/>
        <w:szCs w:val="12"/>
        <w:lang w:val="en-US" w:eastAsia="en-US" w:bidi="en-US"/>
      </w:rPr>
    </w:lvl>
    <w:lvl w:ilvl="1" w:tplc="B6103A9A">
      <w:numFmt w:val="bullet"/>
      <w:lvlText w:val="•"/>
      <w:lvlJc w:val="left"/>
      <w:pPr>
        <w:ind w:left="3542" w:hanging="227"/>
      </w:pPr>
      <w:rPr>
        <w:rFonts w:hint="default"/>
        <w:lang w:val="en-US" w:eastAsia="en-US" w:bidi="en-US"/>
      </w:rPr>
    </w:lvl>
    <w:lvl w:ilvl="2" w:tplc="B37AFC6A">
      <w:numFmt w:val="bullet"/>
      <w:lvlText w:val="•"/>
      <w:lvlJc w:val="left"/>
      <w:pPr>
        <w:ind w:left="4245" w:hanging="227"/>
      </w:pPr>
      <w:rPr>
        <w:rFonts w:hint="default"/>
        <w:lang w:val="en-US" w:eastAsia="en-US" w:bidi="en-US"/>
      </w:rPr>
    </w:lvl>
    <w:lvl w:ilvl="3" w:tplc="13A6356E">
      <w:numFmt w:val="bullet"/>
      <w:lvlText w:val="•"/>
      <w:lvlJc w:val="left"/>
      <w:pPr>
        <w:ind w:left="4947" w:hanging="227"/>
      </w:pPr>
      <w:rPr>
        <w:rFonts w:hint="default"/>
        <w:lang w:val="en-US" w:eastAsia="en-US" w:bidi="en-US"/>
      </w:rPr>
    </w:lvl>
    <w:lvl w:ilvl="4" w:tplc="25660C64">
      <w:numFmt w:val="bullet"/>
      <w:lvlText w:val="•"/>
      <w:lvlJc w:val="left"/>
      <w:pPr>
        <w:ind w:left="5650" w:hanging="227"/>
      </w:pPr>
      <w:rPr>
        <w:rFonts w:hint="default"/>
        <w:lang w:val="en-US" w:eastAsia="en-US" w:bidi="en-US"/>
      </w:rPr>
    </w:lvl>
    <w:lvl w:ilvl="5" w:tplc="DC482E92">
      <w:numFmt w:val="bullet"/>
      <w:lvlText w:val="•"/>
      <w:lvlJc w:val="left"/>
      <w:pPr>
        <w:ind w:left="6352" w:hanging="227"/>
      </w:pPr>
      <w:rPr>
        <w:rFonts w:hint="default"/>
        <w:lang w:val="en-US" w:eastAsia="en-US" w:bidi="en-US"/>
      </w:rPr>
    </w:lvl>
    <w:lvl w:ilvl="6" w:tplc="163C42D2">
      <w:numFmt w:val="bullet"/>
      <w:lvlText w:val="•"/>
      <w:lvlJc w:val="left"/>
      <w:pPr>
        <w:ind w:left="7055" w:hanging="227"/>
      </w:pPr>
      <w:rPr>
        <w:rFonts w:hint="default"/>
        <w:lang w:val="en-US" w:eastAsia="en-US" w:bidi="en-US"/>
      </w:rPr>
    </w:lvl>
    <w:lvl w:ilvl="7" w:tplc="E74A9D04">
      <w:numFmt w:val="bullet"/>
      <w:lvlText w:val="•"/>
      <w:lvlJc w:val="left"/>
      <w:pPr>
        <w:ind w:left="7757" w:hanging="227"/>
      </w:pPr>
      <w:rPr>
        <w:rFonts w:hint="default"/>
        <w:lang w:val="en-US" w:eastAsia="en-US" w:bidi="en-US"/>
      </w:rPr>
    </w:lvl>
    <w:lvl w:ilvl="8" w:tplc="2D14B5DE">
      <w:numFmt w:val="bullet"/>
      <w:lvlText w:val="•"/>
      <w:lvlJc w:val="left"/>
      <w:pPr>
        <w:ind w:left="8460" w:hanging="227"/>
      </w:pPr>
      <w:rPr>
        <w:rFonts w:hint="default"/>
        <w:lang w:val="en-US" w:eastAsia="en-US" w:bidi="en-US"/>
      </w:rPr>
    </w:lvl>
  </w:abstractNum>
  <w:num w:numId="1" w16cid:durableId="838152099">
    <w:abstractNumId w:val="24"/>
  </w:num>
  <w:num w:numId="2" w16cid:durableId="991837130">
    <w:abstractNumId w:val="14"/>
  </w:num>
  <w:num w:numId="3" w16cid:durableId="837235779">
    <w:abstractNumId w:val="60"/>
  </w:num>
  <w:num w:numId="4" w16cid:durableId="1233542067">
    <w:abstractNumId w:val="10"/>
  </w:num>
  <w:num w:numId="5" w16cid:durableId="213658674">
    <w:abstractNumId w:val="59"/>
  </w:num>
  <w:num w:numId="6" w16cid:durableId="1630012524">
    <w:abstractNumId w:val="64"/>
  </w:num>
  <w:num w:numId="7" w16cid:durableId="1529760445">
    <w:abstractNumId w:val="3"/>
  </w:num>
  <w:num w:numId="8" w16cid:durableId="1580869320">
    <w:abstractNumId w:val="33"/>
  </w:num>
  <w:num w:numId="9" w16cid:durableId="219828119">
    <w:abstractNumId w:val="1"/>
  </w:num>
  <w:num w:numId="10" w16cid:durableId="1680693644">
    <w:abstractNumId w:val="57"/>
  </w:num>
  <w:num w:numId="11" w16cid:durableId="1711690681">
    <w:abstractNumId w:val="32"/>
  </w:num>
  <w:num w:numId="12" w16cid:durableId="773092602">
    <w:abstractNumId w:val="28"/>
  </w:num>
  <w:num w:numId="13" w16cid:durableId="862860580">
    <w:abstractNumId w:val="52"/>
  </w:num>
  <w:num w:numId="14" w16cid:durableId="1703242649">
    <w:abstractNumId w:val="21"/>
  </w:num>
  <w:num w:numId="15" w16cid:durableId="380979239">
    <w:abstractNumId w:val="37"/>
  </w:num>
  <w:num w:numId="16" w16cid:durableId="1700357658">
    <w:abstractNumId w:val="13"/>
  </w:num>
  <w:num w:numId="17" w16cid:durableId="1717124799">
    <w:abstractNumId w:val="6"/>
  </w:num>
  <w:num w:numId="18" w16cid:durableId="1487086847">
    <w:abstractNumId w:val="45"/>
  </w:num>
  <w:num w:numId="19" w16cid:durableId="1790202586">
    <w:abstractNumId w:val="4"/>
  </w:num>
  <w:num w:numId="20" w16cid:durableId="998313342">
    <w:abstractNumId w:val="63"/>
  </w:num>
  <w:num w:numId="21" w16cid:durableId="578948425">
    <w:abstractNumId w:val="49"/>
  </w:num>
  <w:num w:numId="22" w16cid:durableId="881400807">
    <w:abstractNumId w:val="36"/>
  </w:num>
  <w:num w:numId="23" w16cid:durableId="1750151613">
    <w:abstractNumId w:val="18"/>
  </w:num>
  <w:num w:numId="24" w16cid:durableId="740906992">
    <w:abstractNumId w:val="65"/>
  </w:num>
  <w:num w:numId="25" w16cid:durableId="268316400">
    <w:abstractNumId w:val="17"/>
  </w:num>
  <w:num w:numId="26" w16cid:durableId="295719345">
    <w:abstractNumId w:val="2"/>
  </w:num>
  <w:num w:numId="27" w16cid:durableId="1528566797">
    <w:abstractNumId w:val="39"/>
  </w:num>
  <w:num w:numId="28" w16cid:durableId="525799975">
    <w:abstractNumId w:val="47"/>
  </w:num>
  <w:num w:numId="29" w16cid:durableId="1855067328">
    <w:abstractNumId w:val="51"/>
  </w:num>
  <w:num w:numId="30" w16cid:durableId="2001738756">
    <w:abstractNumId w:val="50"/>
  </w:num>
  <w:num w:numId="31" w16cid:durableId="692918395">
    <w:abstractNumId w:val="23"/>
  </w:num>
  <w:num w:numId="32" w16cid:durableId="1014767250">
    <w:abstractNumId w:val="43"/>
  </w:num>
  <w:num w:numId="33" w16cid:durableId="578029026">
    <w:abstractNumId w:val="9"/>
  </w:num>
  <w:num w:numId="34" w16cid:durableId="1367290451">
    <w:abstractNumId w:val="19"/>
  </w:num>
  <w:num w:numId="35" w16cid:durableId="1826120701">
    <w:abstractNumId w:val="35"/>
  </w:num>
  <w:num w:numId="36" w16cid:durableId="1060832738">
    <w:abstractNumId w:val="34"/>
  </w:num>
  <w:num w:numId="37" w16cid:durableId="377435855">
    <w:abstractNumId w:val="41"/>
  </w:num>
  <w:num w:numId="38" w16cid:durableId="404646449">
    <w:abstractNumId w:val="27"/>
  </w:num>
  <w:num w:numId="39" w16cid:durableId="1750075063">
    <w:abstractNumId w:val="30"/>
  </w:num>
  <w:num w:numId="40" w16cid:durableId="1903515896">
    <w:abstractNumId w:val="44"/>
  </w:num>
  <w:num w:numId="41" w16cid:durableId="630790715">
    <w:abstractNumId w:val="15"/>
  </w:num>
  <w:num w:numId="42" w16cid:durableId="1682583832">
    <w:abstractNumId w:val="58"/>
  </w:num>
  <w:num w:numId="43" w16cid:durableId="1891647346">
    <w:abstractNumId w:val="12"/>
  </w:num>
  <w:num w:numId="44" w16cid:durableId="1957519237">
    <w:abstractNumId w:val="46"/>
  </w:num>
  <w:num w:numId="45" w16cid:durableId="1904296930">
    <w:abstractNumId w:val="61"/>
  </w:num>
  <w:num w:numId="46" w16cid:durableId="1456749401">
    <w:abstractNumId w:val="54"/>
  </w:num>
  <w:num w:numId="47" w16cid:durableId="1213736647">
    <w:abstractNumId w:val="26"/>
  </w:num>
  <w:num w:numId="48" w16cid:durableId="555052460">
    <w:abstractNumId w:val="42"/>
  </w:num>
  <w:num w:numId="49" w16cid:durableId="1513035758">
    <w:abstractNumId w:val="11"/>
  </w:num>
  <w:num w:numId="50" w16cid:durableId="248657948">
    <w:abstractNumId w:val="7"/>
  </w:num>
  <w:num w:numId="51" w16cid:durableId="175198254">
    <w:abstractNumId w:val="38"/>
  </w:num>
  <w:num w:numId="52" w16cid:durableId="313262761">
    <w:abstractNumId w:val="8"/>
  </w:num>
  <w:num w:numId="53" w16cid:durableId="726417776">
    <w:abstractNumId w:val="29"/>
  </w:num>
  <w:num w:numId="54" w16cid:durableId="1687098283">
    <w:abstractNumId w:val="0"/>
  </w:num>
  <w:num w:numId="55" w16cid:durableId="792018962">
    <w:abstractNumId w:val="16"/>
  </w:num>
  <w:num w:numId="56" w16cid:durableId="743524958">
    <w:abstractNumId w:val="48"/>
  </w:num>
  <w:num w:numId="57" w16cid:durableId="1016930234">
    <w:abstractNumId w:val="20"/>
  </w:num>
  <w:num w:numId="58" w16cid:durableId="211775145">
    <w:abstractNumId w:val="53"/>
  </w:num>
  <w:num w:numId="59" w16cid:durableId="492570329">
    <w:abstractNumId w:val="31"/>
  </w:num>
  <w:num w:numId="60" w16cid:durableId="2007433709">
    <w:abstractNumId w:val="62"/>
  </w:num>
  <w:num w:numId="61" w16cid:durableId="952976354">
    <w:abstractNumId w:val="40"/>
  </w:num>
  <w:num w:numId="62" w16cid:durableId="629894984">
    <w:abstractNumId w:val="22"/>
  </w:num>
  <w:num w:numId="63" w16cid:durableId="1447579148">
    <w:abstractNumId w:val="56"/>
  </w:num>
  <w:num w:numId="64" w16cid:durableId="170225441">
    <w:abstractNumId w:val="55"/>
  </w:num>
  <w:num w:numId="65" w16cid:durableId="1880435450">
    <w:abstractNumId w:val="25"/>
  </w:num>
  <w:num w:numId="66" w16cid:durableId="2033070842">
    <w:abstractNumId w:val="5"/>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4768"/>
    <o:shapelayout v:ext="edit">
      <o:idmap v:ext="edit" data="1"/>
    </o:shapelayout>
  </w:hdrShapeDefaults>
  <w:footnotePr>
    <w:footnote w:id="-1"/>
    <w:footnote w:id="0"/>
  </w:footnotePr>
  <w:endnotePr>
    <w:endnote w:id="-1"/>
    <w:endnote w:id="0"/>
  </w:endnotePr>
  <w:compat>
    <w:ulTrailSpace/>
    <w:compatSetting w:name="compatibilityMode" w:uri="http://schemas.microsoft.com/office/word" w:val="12"/>
    <w:compatSetting w:name="useWord2013TrackBottomHyphenation" w:uri="http://schemas.microsoft.com/office/word" w:val="1"/>
  </w:compat>
  <w:rsids>
    <w:rsidRoot w:val="00EF5B27"/>
    <w:rsid w:val="006634CE"/>
    <w:rsid w:val="00A40023"/>
    <w:rsid w:val="00EF5B2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768"/>
    <o:shapelayout v:ext="edit">
      <o:idmap v:ext="edit" data="2,3,4"/>
    </o:shapelayout>
  </w:shapeDefaults>
  <w:decimalSymbol w:val="."/>
  <w:listSeparator w:val=","/>
  <w14:docId w14:val="3B2D47EB"/>
  <w15:docId w15:val="{9F961548-91BE-4515-A281-5662CFED7A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bidi="en-US"/>
    </w:rPr>
  </w:style>
  <w:style w:type="paragraph" w:styleId="Heading1">
    <w:name w:val="heading 1"/>
    <w:basedOn w:val="Normal"/>
    <w:uiPriority w:val="9"/>
    <w:qFormat/>
    <w:pPr>
      <w:spacing w:before="4"/>
      <w:ind w:left="227"/>
      <w:outlineLvl w:val="0"/>
    </w:pPr>
    <w:rPr>
      <w:b/>
      <w:bCs/>
      <w:sz w:val="50"/>
      <w:szCs w:val="50"/>
    </w:rPr>
  </w:style>
  <w:style w:type="paragraph" w:styleId="Heading2">
    <w:name w:val="heading 2"/>
    <w:basedOn w:val="Normal"/>
    <w:uiPriority w:val="9"/>
    <w:unhideWhenUsed/>
    <w:qFormat/>
    <w:pPr>
      <w:spacing w:before="123"/>
      <w:ind w:left="113"/>
      <w:outlineLvl w:val="1"/>
    </w:pPr>
    <w:rPr>
      <w:b/>
      <w:bCs/>
      <w:sz w:val="40"/>
      <w:szCs w:val="40"/>
    </w:rPr>
  </w:style>
  <w:style w:type="paragraph" w:styleId="Heading3">
    <w:name w:val="heading 3"/>
    <w:basedOn w:val="Normal"/>
    <w:uiPriority w:val="9"/>
    <w:unhideWhenUsed/>
    <w:qFormat/>
    <w:pPr>
      <w:ind w:left="2608"/>
      <w:outlineLvl w:val="2"/>
    </w:pPr>
    <w:rPr>
      <w:b/>
      <w:bCs/>
      <w:sz w:val="28"/>
      <w:szCs w:val="28"/>
    </w:rPr>
  </w:style>
  <w:style w:type="paragraph" w:styleId="Heading4">
    <w:name w:val="heading 4"/>
    <w:basedOn w:val="Normal"/>
    <w:uiPriority w:val="9"/>
    <w:unhideWhenUsed/>
    <w:qFormat/>
    <w:pPr>
      <w:ind w:left="2608"/>
      <w:outlineLvl w:val="3"/>
    </w:pPr>
    <w:rPr>
      <w:b/>
      <w:bCs/>
      <w:sz w:val="26"/>
      <w:szCs w:val="26"/>
    </w:rPr>
  </w:style>
  <w:style w:type="paragraph" w:styleId="Heading5">
    <w:name w:val="heading 5"/>
    <w:basedOn w:val="Normal"/>
    <w:uiPriority w:val="9"/>
    <w:unhideWhenUsed/>
    <w:qFormat/>
    <w:pPr>
      <w:spacing w:before="95"/>
      <w:outlineLvl w:val="4"/>
    </w:pPr>
    <w:rPr>
      <w:rFonts w:ascii="Century Gothic" w:eastAsia="Century Gothic" w:hAnsi="Century Gothic" w:cs="Century Gothic"/>
      <w:sz w:val="25"/>
      <w:szCs w:val="25"/>
    </w:rPr>
  </w:style>
  <w:style w:type="paragraph" w:styleId="Heading6">
    <w:name w:val="heading 6"/>
    <w:basedOn w:val="Normal"/>
    <w:uiPriority w:val="9"/>
    <w:unhideWhenUsed/>
    <w:qFormat/>
    <w:pPr>
      <w:ind w:left="2608"/>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92"/>
      <w:ind w:left="113"/>
    </w:pPr>
    <w:rPr>
      <w:b/>
      <w:bCs/>
      <w:sz w:val="20"/>
      <w:szCs w:val="20"/>
    </w:rPr>
  </w:style>
  <w:style w:type="paragraph" w:styleId="TOC2">
    <w:name w:val="toc 2"/>
    <w:basedOn w:val="Normal"/>
    <w:uiPriority w:val="1"/>
    <w:qFormat/>
    <w:pPr>
      <w:spacing w:before="92"/>
      <w:ind w:left="113"/>
    </w:pPr>
    <w:rPr>
      <w:sz w:val="20"/>
      <w:szCs w:val="20"/>
    </w:rPr>
  </w:style>
  <w:style w:type="paragraph" w:styleId="TOC3">
    <w:name w:val="toc 3"/>
    <w:basedOn w:val="Normal"/>
    <w:uiPriority w:val="1"/>
    <w:qFormat/>
    <w:pPr>
      <w:spacing w:before="92"/>
      <w:ind w:left="397"/>
    </w:pPr>
    <w:rPr>
      <w:sz w:val="20"/>
      <w:szCs w:val="20"/>
    </w:rPr>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2835" w:hanging="227"/>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A40023"/>
    <w:pPr>
      <w:tabs>
        <w:tab w:val="center" w:pos="4513"/>
        <w:tab w:val="right" w:pos="9026"/>
      </w:tabs>
    </w:pPr>
  </w:style>
  <w:style w:type="character" w:customStyle="1" w:styleId="HeaderChar">
    <w:name w:val="Header Char"/>
    <w:basedOn w:val="DefaultParagraphFont"/>
    <w:link w:val="Header"/>
    <w:uiPriority w:val="99"/>
    <w:rsid w:val="00A40023"/>
    <w:rPr>
      <w:rFonts w:ascii="Calibri" w:eastAsia="Calibri" w:hAnsi="Calibri" w:cs="Calibri"/>
      <w:lang w:bidi="en-US"/>
    </w:rPr>
  </w:style>
  <w:style w:type="paragraph" w:styleId="Footer">
    <w:name w:val="footer"/>
    <w:basedOn w:val="Normal"/>
    <w:link w:val="FooterChar"/>
    <w:uiPriority w:val="99"/>
    <w:unhideWhenUsed/>
    <w:rsid w:val="00A40023"/>
    <w:pPr>
      <w:tabs>
        <w:tab w:val="center" w:pos="4513"/>
        <w:tab w:val="right" w:pos="9026"/>
      </w:tabs>
    </w:pPr>
  </w:style>
  <w:style w:type="character" w:customStyle="1" w:styleId="FooterChar">
    <w:name w:val="Footer Char"/>
    <w:basedOn w:val="DefaultParagraphFont"/>
    <w:link w:val="Footer"/>
    <w:uiPriority w:val="99"/>
    <w:rsid w:val="00A40023"/>
    <w:rPr>
      <w:rFonts w:ascii="Calibri" w:eastAsia="Calibri" w:hAnsi="Calibri" w:cs="Calibri"/>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79.jpeg"/><Relationship Id="rId21" Type="http://schemas.openxmlformats.org/officeDocument/2006/relationships/image" Target="media/image15.png"/><Relationship Id="rId42" Type="http://schemas.openxmlformats.org/officeDocument/2006/relationships/image" Target="media/image22.png"/><Relationship Id="rId63" Type="http://schemas.openxmlformats.org/officeDocument/2006/relationships/image" Target="media/image35.jpeg"/><Relationship Id="rId84" Type="http://schemas.openxmlformats.org/officeDocument/2006/relationships/image" Target="media/image53.png"/><Relationship Id="rId138" Type="http://schemas.openxmlformats.org/officeDocument/2006/relationships/image" Target="media/image96.jpeg"/><Relationship Id="rId159" Type="http://schemas.openxmlformats.org/officeDocument/2006/relationships/image" Target="media/image115.jpeg"/><Relationship Id="rId170" Type="http://schemas.openxmlformats.org/officeDocument/2006/relationships/hyperlink" Target="http://www.gazette.vic.gov.au/gazette/Gazettes2022/GG2022G004.pdf" TargetMode="External"/><Relationship Id="rId191" Type="http://schemas.openxmlformats.org/officeDocument/2006/relationships/hyperlink" Target="https://www.ces.vic.gov.au/" TargetMode="External"/><Relationship Id="rId205" Type="http://schemas.openxmlformats.org/officeDocument/2006/relationships/image" Target="media/image137.png"/><Relationship Id="rId16" Type="http://schemas.openxmlformats.org/officeDocument/2006/relationships/image" Target="media/image10.png"/><Relationship Id="rId107" Type="http://schemas.openxmlformats.org/officeDocument/2006/relationships/hyperlink" Target="https://www.msa.vic.gov.au/our-progress-at-a-glance" TargetMode="External"/><Relationship Id="rId11" Type="http://schemas.openxmlformats.org/officeDocument/2006/relationships/image" Target="media/image5.png"/><Relationship Id="rId32" Type="http://schemas.openxmlformats.org/officeDocument/2006/relationships/hyperlink" Target="http://www.ces.vic.gov.au/" TargetMode="External"/><Relationship Id="rId37" Type="http://schemas.openxmlformats.org/officeDocument/2006/relationships/image" Target="media/image20.png"/><Relationship Id="rId53" Type="http://schemas.openxmlformats.org/officeDocument/2006/relationships/image" Target="media/image30.jpeg"/><Relationship Id="rId58" Type="http://schemas.openxmlformats.org/officeDocument/2006/relationships/hyperlink" Target="https://www.awe.gov.au/about/copyright" TargetMode="External"/><Relationship Id="rId74" Type="http://schemas.openxmlformats.org/officeDocument/2006/relationships/image" Target="media/image43.jpeg"/><Relationship Id="rId79" Type="http://schemas.openxmlformats.org/officeDocument/2006/relationships/image" Target="media/image48.png"/><Relationship Id="rId102" Type="http://schemas.openxmlformats.org/officeDocument/2006/relationships/image" Target="media/image71.jpeg"/><Relationship Id="rId123" Type="http://schemas.openxmlformats.org/officeDocument/2006/relationships/footer" Target="footer12.xml"/><Relationship Id="rId128" Type="http://schemas.openxmlformats.org/officeDocument/2006/relationships/hyperlink" Target="http://www.environment.gov.au/cgi-bin/sprat/public/" TargetMode="External"/><Relationship Id="rId144" Type="http://schemas.openxmlformats.org/officeDocument/2006/relationships/image" Target="media/image102.jpeg"/><Relationship Id="rId149" Type="http://schemas.openxmlformats.org/officeDocument/2006/relationships/image" Target="media/image107.jpeg"/><Relationship Id="rId5" Type="http://schemas.openxmlformats.org/officeDocument/2006/relationships/footnotes" Target="footnotes.xml"/><Relationship Id="rId90" Type="http://schemas.openxmlformats.org/officeDocument/2006/relationships/image" Target="media/image59.jpeg"/><Relationship Id="rId95" Type="http://schemas.openxmlformats.org/officeDocument/2006/relationships/image" Target="media/image64.png"/><Relationship Id="rId160" Type="http://schemas.openxmlformats.org/officeDocument/2006/relationships/image" Target="media/image116.jpeg"/><Relationship Id="rId165" Type="http://schemas.openxmlformats.org/officeDocument/2006/relationships/hyperlink" Target="https://www.msa.vic.gov.au/our-progress-at-a-glance" TargetMode="External"/><Relationship Id="rId181" Type="http://schemas.openxmlformats.org/officeDocument/2006/relationships/image" Target="media/image129.png"/><Relationship Id="rId186" Type="http://schemas.openxmlformats.org/officeDocument/2006/relationships/hyperlink" Target="https://en.wikipedia.org/wiki/IEEE_Transactions_on_Automatic_Control" TargetMode="External"/><Relationship Id="rId22" Type="http://schemas.openxmlformats.org/officeDocument/2006/relationships/image" Target="media/image16.png"/><Relationship Id="rId27" Type="http://schemas.openxmlformats.org/officeDocument/2006/relationships/footer" Target="footer2.xml"/><Relationship Id="rId43" Type="http://schemas.openxmlformats.org/officeDocument/2006/relationships/hyperlink" Target="https://www.awe.gov.au/about/copyright" TargetMode="External"/><Relationship Id="rId48" Type="http://schemas.openxmlformats.org/officeDocument/2006/relationships/image" Target="media/image25.jpeg"/><Relationship Id="rId64" Type="http://schemas.openxmlformats.org/officeDocument/2006/relationships/footer" Target="footer7.xml"/><Relationship Id="rId69" Type="http://schemas.openxmlformats.org/officeDocument/2006/relationships/image" Target="media/image38.png"/><Relationship Id="rId113" Type="http://schemas.openxmlformats.org/officeDocument/2006/relationships/image" Target="media/image76.jpeg"/><Relationship Id="rId118" Type="http://schemas.openxmlformats.org/officeDocument/2006/relationships/image" Target="media/image80.jpeg"/><Relationship Id="rId134" Type="http://schemas.openxmlformats.org/officeDocument/2006/relationships/image" Target="media/image92.png"/><Relationship Id="rId139" Type="http://schemas.openxmlformats.org/officeDocument/2006/relationships/image" Target="media/image97.jpeg"/><Relationship Id="rId80" Type="http://schemas.openxmlformats.org/officeDocument/2006/relationships/image" Target="media/image49.png"/><Relationship Id="rId85" Type="http://schemas.openxmlformats.org/officeDocument/2006/relationships/image" Target="media/image54.png"/><Relationship Id="rId150" Type="http://schemas.openxmlformats.org/officeDocument/2006/relationships/image" Target="media/image108.jpeg"/><Relationship Id="rId155" Type="http://schemas.openxmlformats.org/officeDocument/2006/relationships/image" Target="media/image112.jpeg"/><Relationship Id="rId171" Type="http://schemas.openxmlformats.org/officeDocument/2006/relationships/footer" Target="footer14.xml"/><Relationship Id="rId176" Type="http://schemas.openxmlformats.org/officeDocument/2006/relationships/image" Target="media/image125.png"/><Relationship Id="rId192" Type="http://schemas.openxmlformats.org/officeDocument/2006/relationships/hyperlink" Target="http://www.ces.vic.gov.au/" TargetMode="External"/><Relationship Id="rId197" Type="http://schemas.openxmlformats.org/officeDocument/2006/relationships/hyperlink" Target="http://www.ces.vic.gov.au/" TargetMode="External"/><Relationship Id="rId206" Type="http://schemas.openxmlformats.org/officeDocument/2006/relationships/header" Target="header7.xml"/><Relationship Id="rId201" Type="http://schemas.openxmlformats.org/officeDocument/2006/relationships/image" Target="media/image133.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header" Target="header4.xml"/><Relationship Id="rId38" Type="http://schemas.openxmlformats.org/officeDocument/2006/relationships/hyperlink" Target="https://www.audit.vic.gov.au/report/protecting-critically-endangered-grasslands?section" TargetMode="External"/><Relationship Id="rId59" Type="http://schemas.openxmlformats.org/officeDocument/2006/relationships/hyperlink" Target="https://www.environment.gov.au/epbc/what-is-protected" TargetMode="External"/><Relationship Id="rId103" Type="http://schemas.openxmlformats.org/officeDocument/2006/relationships/hyperlink" Target="http://www.environment.gov.au/system/files/resources/24e70d76-62f1-4d12-aed6-0b9895256351/files/diuris-basaltica.pdf" TargetMode="External"/><Relationship Id="rId108" Type="http://schemas.openxmlformats.org/officeDocument/2006/relationships/image" Target="media/image74.jpeg"/><Relationship Id="rId124" Type="http://schemas.openxmlformats.org/officeDocument/2006/relationships/image" Target="media/image84.jpeg"/><Relationship Id="rId129" Type="http://schemas.openxmlformats.org/officeDocument/2006/relationships/image" Target="media/image87.jpeg"/><Relationship Id="rId54" Type="http://schemas.openxmlformats.org/officeDocument/2006/relationships/image" Target="media/image31.jpeg"/><Relationship Id="rId70" Type="http://schemas.openxmlformats.org/officeDocument/2006/relationships/image" Target="media/image39.png"/><Relationship Id="rId75" Type="http://schemas.openxmlformats.org/officeDocument/2006/relationships/image" Target="media/image44.png"/><Relationship Id="rId91" Type="http://schemas.openxmlformats.org/officeDocument/2006/relationships/image" Target="media/image60.png"/><Relationship Id="rId96" Type="http://schemas.openxmlformats.org/officeDocument/2006/relationships/image" Target="media/image65.jpeg"/><Relationship Id="rId140" Type="http://schemas.openxmlformats.org/officeDocument/2006/relationships/image" Target="media/image98.png"/><Relationship Id="rId145" Type="http://schemas.openxmlformats.org/officeDocument/2006/relationships/image" Target="media/image103.png"/><Relationship Id="rId161" Type="http://schemas.openxmlformats.org/officeDocument/2006/relationships/image" Target="media/image117.jpeg"/><Relationship Id="rId166" Type="http://schemas.openxmlformats.org/officeDocument/2006/relationships/image" Target="media/image118.png"/><Relationship Id="rId182" Type="http://schemas.openxmlformats.org/officeDocument/2006/relationships/image" Target="media/image130.png"/><Relationship Id="rId187" Type="http://schemas.openxmlformats.org/officeDocument/2006/relationships/footer" Target="footer17.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header" Target="header3.xml"/><Relationship Id="rId49" Type="http://schemas.openxmlformats.org/officeDocument/2006/relationships/image" Target="media/image26.jpeg"/><Relationship Id="rId114" Type="http://schemas.openxmlformats.org/officeDocument/2006/relationships/hyperlink" Target="http://www.gazette.vic.gov.au/gazette/Gazettes2022/GG2022G004.pdf" TargetMode="External"/><Relationship Id="rId119" Type="http://schemas.openxmlformats.org/officeDocument/2006/relationships/image" Target="media/image81.jpeg"/><Relationship Id="rId44" Type="http://schemas.openxmlformats.org/officeDocument/2006/relationships/hyperlink" Target="https://www.environment.gov.au/epbc/what-is-protected" TargetMode="External"/><Relationship Id="rId60" Type="http://schemas.openxmlformats.org/officeDocument/2006/relationships/hyperlink" Target="http://www.gazette.vic.gov.au/gazette/Gazettes2022/GG2022G004.pdf" TargetMode="External"/><Relationship Id="rId65" Type="http://schemas.openxmlformats.org/officeDocument/2006/relationships/image" Target="media/image36.jpeg"/><Relationship Id="rId81" Type="http://schemas.openxmlformats.org/officeDocument/2006/relationships/image" Target="media/image50.png"/><Relationship Id="rId86" Type="http://schemas.openxmlformats.org/officeDocument/2006/relationships/image" Target="media/image55.png"/><Relationship Id="rId130" Type="http://schemas.openxmlformats.org/officeDocument/2006/relationships/image" Target="media/image88.jpeg"/><Relationship Id="rId135" Type="http://schemas.openxmlformats.org/officeDocument/2006/relationships/image" Target="media/image93.png"/><Relationship Id="rId151" Type="http://schemas.openxmlformats.org/officeDocument/2006/relationships/image" Target="media/image109.jpeg"/><Relationship Id="rId156" Type="http://schemas.openxmlformats.org/officeDocument/2006/relationships/hyperlink" Target="http://www.environment.gov.au/system/files/resources/24e70d76-62f1-4d12-aed6-0b9895256351/files/diuris-basaltica.pdf" TargetMode="External"/><Relationship Id="rId177" Type="http://schemas.openxmlformats.org/officeDocument/2006/relationships/image" Target="media/image126.png"/><Relationship Id="rId198" Type="http://schemas.openxmlformats.org/officeDocument/2006/relationships/hyperlink" Target="http://www.ces.vic.gov.au/" TargetMode="External"/><Relationship Id="rId172" Type="http://schemas.openxmlformats.org/officeDocument/2006/relationships/image" Target="media/image121.png"/><Relationship Id="rId193" Type="http://schemas.openxmlformats.org/officeDocument/2006/relationships/hyperlink" Target="http://www.ces.vic.gov.au/" TargetMode="External"/><Relationship Id="rId202" Type="http://schemas.openxmlformats.org/officeDocument/2006/relationships/image" Target="media/image134.png"/><Relationship Id="rId207" Type="http://schemas.openxmlformats.org/officeDocument/2006/relationships/footer" Target="footer21.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hyperlink" Target="https://www.audit.vic.gov.au/report/protecting-critically-endangered-grasslands?section" TargetMode="External"/><Relationship Id="rId109" Type="http://schemas.openxmlformats.org/officeDocument/2006/relationships/hyperlink" Target="http://www.gazette.vic.gov.au/gazette/Gazettes2022/GG2022G004.pdf" TargetMode="External"/><Relationship Id="rId34" Type="http://schemas.openxmlformats.org/officeDocument/2006/relationships/image" Target="media/image19.jpeg"/><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image" Target="media/image45.png"/><Relationship Id="rId97" Type="http://schemas.openxmlformats.org/officeDocument/2006/relationships/image" Target="media/image66.jpeg"/><Relationship Id="rId104" Type="http://schemas.openxmlformats.org/officeDocument/2006/relationships/image" Target="media/image72.jpeg"/><Relationship Id="rId120" Type="http://schemas.openxmlformats.org/officeDocument/2006/relationships/footer" Target="footer11.xml"/><Relationship Id="rId125" Type="http://schemas.openxmlformats.org/officeDocument/2006/relationships/image" Target="media/image85.jpeg"/><Relationship Id="rId141" Type="http://schemas.openxmlformats.org/officeDocument/2006/relationships/image" Target="media/image99.jpeg"/><Relationship Id="rId146" Type="http://schemas.openxmlformats.org/officeDocument/2006/relationships/image" Target="media/image104.jpeg"/><Relationship Id="rId167" Type="http://schemas.openxmlformats.org/officeDocument/2006/relationships/image" Target="media/image119.jpeg"/><Relationship Id="rId188" Type="http://schemas.openxmlformats.org/officeDocument/2006/relationships/footer" Target="footer18.xml"/><Relationship Id="rId7" Type="http://schemas.openxmlformats.org/officeDocument/2006/relationships/image" Target="media/image1.png"/><Relationship Id="rId71" Type="http://schemas.openxmlformats.org/officeDocument/2006/relationships/image" Target="media/image40.png"/><Relationship Id="rId92" Type="http://schemas.openxmlformats.org/officeDocument/2006/relationships/image" Target="media/image61.png"/><Relationship Id="rId162" Type="http://schemas.openxmlformats.org/officeDocument/2006/relationships/hyperlink" Target="https://www.msa.vic.gov.au/our-progress-at-a-glance" TargetMode="External"/><Relationship Id="rId183" Type="http://schemas.openxmlformats.org/officeDocument/2006/relationships/footer" Target="footer15.xml"/><Relationship Id="rId2" Type="http://schemas.openxmlformats.org/officeDocument/2006/relationships/styles" Target="styles.xml"/><Relationship Id="rId29" Type="http://schemas.openxmlformats.org/officeDocument/2006/relationships/footer" Target="footer3.xml"/><Relationship Id="rId24" Type="http://schemas.openxmlformats.org/officeDocument/2006/relationships/header" Target="header1.xml"/><Relationship Id="rId40" Type="http://schemas.openxmlformats.org/officeDocument/2006/relationships/image" Target="media/image21.jpeg"/><Relationship Id="rId45" Type="http://schemas.openxmlformats.org/officeDocument/2006/relationships/hyperlink" Target="http://www.gazette.vic.gov.au/gazette/Gazettes2022/GG2022G004.pdf" TargetMode="External"/><Relationship Id="rId66" Type="http://schemas.openxmlformats.org/officeDocument/2006/relationships/image" Target="media/image37.jpeg"/><Relationship Id="rId87" Type="http://schemas.openxmlformats.org/officeDocument/2006/relationships/image" Target="media/image56.png"/><Relationship Id="rId110" Type="http://schemas.openxmlformats.org/officeDocument/2006/relationships/image" Target="media/image75.png"/><Relationship Id="rId115" Type="http://schemas.openxmlformats.org/officeDocument/2006/relationships/image" Target="media/image77.png"/><Relationship Id="rId131" Type="http://schemas.openxmlformats.org/officeDocument/2006/relationships/image" Target="media/image89.jpeg"/><Relationship Id="rId136" Type="http://schemas.openxmlformats.org/officeDocument/2006/relationships/image" Target="media/image94.jpeg"/><Relationship Id="rId157" Type="http://schemas.openxmlformats.org/officeDocument/2006/relationships/image" Target="media/image113.jpeg"/><Relationship Id="rId178" Type="http://schemas.openxmlformats.org/officeDocument/2006/relationships/header" Target="header6.xml"/><Relationship Id="rId61" Type="http://schemas.openxmlformats.org/officeDocument/2006/relationships/footer" Target="footer5.xml"/><Relationship Id="rId82" Type="http://schemas.openxmlformats.org/officeDocument/2006/relationships/image" Target="media/image51.png"/><Relationship Id="rId152" Type="http://schemas.openxmlformats.org/officeDocument/2006/relationships/image" Target="media/image110.jpeg"/><Relationship Id="rId173" Type="http://schemas.openxmlformats.org/officeDocument/2006/relationships/image" Target="media/image122.png"/><Relationship Id="rId194" Type="http://schemas.openxmlformats.org/officeDocument/2006/relationships/hyperlink" Target="mailto:%20info.ces@ces.vic.gov.au" TargetMode="External"/><Relationship Id="rId199" Type="http://schemas.openxmlformats.org/officeDocument/2006/relationships/image" Target="media/image131.png"/><Relationship Id="rId203" Type="http://schemas.openxmlformats.org/officeDocument/2006/relationships/image" Target="media/image135.png"/><Relationship Id="rId208" Type="http://schemas.openxmlformats.org/officeDocument/2006/relationships/fontTable" Target="fontTable.xm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18.png"/><Relationship Id="rId35" Type="http://schemas.openxmlformats.org/officeDocument/2006/relationships/footer" Target="footer4.xml"/><Relationship Id="rId56" Type="http://schemas.openxmlformats.org/officeDocument/2006/relationships/image" Target="media/image33.jpeg"/><Relationship Id="rId77" Type="http://schemas.openxmlformats.org/officeDocument/2006/relationships/image" Target="media/image46.png"/><Relationship Id="rId100" Type="http://schemas.openxmlformats.org/officeDocument/2006/relationships/image" Target="media/image69.jpeg"/><Relationship Id="rId105" Type="http://schemas.openxmlformats.org/officeDocument/2006/relationships/image" Target="media/image73.jpeg"/><Relationship Id="rId126" Type="http://schemas.openxmlformats.org/officeDocument/2006/relationships/footer" Target="footer13.xml"/><Relationship Id="rId147" Type="http://schemas.openxmlformats.org/officeDocument/2006/relationships/image" Target="media/image105.png"/><Relationship Id="rId168" Type="http://schemas.openxmlformats.org/officeDocument/2006/relationships/image" Target="media/image120.jpeg"/><Relationship Id="rId8" Type="http://schemas.openxmlformats.org/officeDocument/2006/relationships/image" Target="media/image2.png"/><Relationship Id="rId51" Type="http://schemas.openxmlformats.org/officeDocument/2006/relationships/image" Target="media/image28.jpeg"/><Relationship Id="rId72" Type="http://schemas.openxmlformats.org/officeDocument/2006/relationships/image" Target="media/image41.png"/><Relationship Id="rId93" Type="http://schemas.openxmlformats.org/officeDocument/2006/relationships/image" Target="media/image62.png"/><Relationship Id="rId98" Type="http://schemas.openxmlformats.org/officeDocument/2006/relationships/image" Target="media/image67.jpeg"/><Relationship Id="rId121" Type="http://schemas.openxmlformats.org/officeDocument/2006/relationships/image" Target="media/image82.png"/><Relationship Id="rId142" Type="http://schemas.openxmlformats.org/officeDocument/2006/relationships/image" Target="media/image100.jpeg"/><Relationship Id="rId163" Type="http://schemas.openxmlformats.org/officeDocument/2006/relationships/hyperlink" Target="https://www.msa.vic.gov.au/our-progress-at-a-glance" TargetMode="External"/><Relationship Id="rId184" Type="http://schemas.openxmlformats.org/officeDocument/2006/relationships/footer" Target="footer16.xml"/><Relationship Id="rId189" Type="http://schemas.openxmlformats.org/officeDocument/2006/relationships/footer" Target="footer19.xml"/><Relationship Id="rId3" Type="http://schemas.openxmlformats.org/officeDocument/2006/relationships/settings" Target="settings.xml"/><Relationship Id="rId25" Type="http://schemas.openxmlformats.org/officeDocument/2006/relationships/header" Target="header2.xml"/><Relationship Id="rId46" Type="http://schemas.openxmlformats.org/officeDocument/2006/relationships/image" Target="media/image23.jpeg"/><Relationship Id="rId67" Type="http://schemas.openxmlformats.org/officeDocument/2006/relationships/footer" Target="footer8.xml"/><Relationship Id="rId116" Type="http://schemas.openxmlformats.org/officeDocument/2006/relationships/image" Target="media/image78.jpeg"/><Relationship Id="rId137" Type="http://schemas.openxmlformats.org/officeDocument/2006/relationships/image" Target="media/image95.jpeg"/><Relationship Id="rId158" Type="http://schemas.openxmlformats.org/officeDocument/2006/relationships/image" Target="media/image114.jpeg"/><Relationship Id="rId20" Type="http://schemas.openxmlformats.org/officeDocument/2006/relationships/image" Target="media/image14.png"/><Relationship Id="rId41" Type="http://schemas.openxmlformats.org/officeDocument/2006/relationships/header" Target="header5.xml"/><Relationship Id="rId62" Type="http://schemas.openxmlformats.org/officeDocument/2006/relationships/footer" Target="footer6.xml"/><Relationship Id="rId83" Type="http://schemas.openxmlformats.org/officeDocument/2006/relationships/image" Target="media/image52.png"/><Relationship Id="rId88" Type="http://schemas.openxmlformats.org/officeDocument/2006/relationships/image" Target="media/image57.png"/><Relationship Id="rId111" Type="http://schemas.openxmlformats.org/officeDocument/2006/relationships/footer" Target="footer9.xml"/><Relationship Id="rId132" Type="http://schemas.openxmlformats.org/officeDocument/2006/relationships/image" Target="media/image90.jpeg"/><Relationship Id="rId153" Type="http://schemas.openxmlformats.org/officeDocument/2006/relationships/hyperlink" Target="http://www.environment.gov.au/cgi-bin/sprat/public/sprat.pl" TargetMode="External"/><Relationship Id="rId174" Type="http://schemas.openxmlformats.org/officeDocument/2006/relationships/image" Target="media/image123.png"/><Relationship Id="rId179" Type="http://schemas.openxmlformats.org/officeDocument/2006/relationships/image" Target="media/image127.png"/><Relationship Id="rId195" Type="http://schemas.openxmlformats.org/officeDocument/2006/relationships/hyperlink" Target="http://www.ces.vic.gov.au/" TargetMode="External"/><Relationship Id="rId209" Type="http://schemas.openxmlformats.org/officeDocument/2006/relationships/theme" Target="theme/theme1.xml"/><Relationship Id="rId190" Type="http://schemas.openxmlformats.org/officeDocument/2006/relationships/footer" Target="footer20.xml"/><Relationship Id="rId204" Type="http://schemas.openxmlformats.org/officeDocument/2006/relationships/image" Target="media/image136.png"/><Relationship Id="rId15" Type="http://schemas.openxmlformats.org/officeDocument/2006/relationships/image" Target="media/image9.png"/><Relationship Id="rId36" Type="http://schemas.openxmlformats.org/officeDocument/2006/relationships/hyperlink" Target="http://www.gazette.vic.gov.au/gazette/Gazettes2022/GG2022G004.pdf" TargetMode="External"/><Relationship Id="rId57" Type="http://schemas.openxmlformats.org/officeDocument/2006/relationships/image" Target="media/image34.jpeg"/><Relationship Id="rId106" Type="http://schemas.openxmlformats.org/officeDocument/2006/relationships/hyperlink" Target="https://www.msa.vic.gov.au/our-progress-at-a-glance" TargetMode="External"/><Relationship Id="rId127" Type="http://schemas.openxmlformats.org/officeDocument/2006/relationships/image" Target="media/image86.png"/><Relationship Id="rId10" Type="http://schemas.openxmlformats.org/officeDocument/2006/relationships/image" Target="media/image4.png"/><Relationship Id="rId31" Type="http://schemas.openxmlformats.org/officeDocument/2006/relationships/hyperlink" Target="mailto:info.ces@ces.vic.gov.au" TargetMode="External"/><Relationship Id="rId52" Type="http://schemas.openxmlformats.org/officeDocument/2006/relationships/image" Target="media/image29.jpeg"/><Relationship Id="rId73" Type="http://schemas.openxmlformats.org/officeDocument/2006/relationships/image" Target="media/image42.jpeg"/><Relationship Id="rId78" Type="http://schemas.openxmlformats.org/officeDocument/2006/relationships/image" Target="media/image47.png"/><Relationship Id="rId94" Type="http://schemas.openxmlformats.org/officeDocument/2006/relationships/image" Target="media/image63.png"/><Relationship Id="rId99" Type="http://schemas.openxmlformats.org/officeDocument/2006/relationships/image" Target="media/image68.jpeg"/><Relationship Id="rId101" Type="http://schemas.openxmlformats.org/officeDocument/2006/relationships/image" Target="media/image70.jpeg"/><Relationship Id="rId122" Type="http://schemas.openxmlformats.org/officeDocument/2006/relationships/image" Target="media/image83.jpeg"/><Relationship Id="rId143" Type="http://schemas.openxmlformats.org/officeDocument/2006/relationships/image" Target="media/image101.png"/><Relationship Id="rId148" Type="http://schemas.openxmlformats.org/officeDocument/2006/relationships/image" Target="media/image106.png"/><Relationship Id="rId164" Type="http://schemas.openxmlformats.org/officeDocument/2006/relationships/hyperlink" Target="https://www.msa.vic.gov.au/our-progress-at-a-glance" TargetMode="External"/><Relationship Id="rId169" Type="http://schemas.openxmlformats.org/officeDocument/2006/relationships/hyperlink" Target="http://www.gazette.vic.gov.au/gazette/Gazettes2022/GG2022G004.pdf" TargetMode="External"/><Relationship Id="rId185" Type="http://schemas.openxmlformats.org/officeDocument/2006/relationships/hyperlink" Target="https://en.wikipedia.org/wiki/Hirotugu_Akaike" TargetMode="Externa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28.png"/><Relationship Id="rId26" Type="http://schemas.openxmlformats.org/officeDocument/2006/relationships/footer" Target="footer1.xml"/><Relationship Id="rId47" Type="http://schemas.openxmlformats.org/officeDocument/2006/relationships/image" Target="media/image24.jpeg"/><Relationship Id="rId68" Type="http://schemas.openxmlformats.org/officeDocument/2006/relationships/hyperlink" Target="http://www.gazette.vic.gov.au/gazette/Gazettes2022/GG2022G004.pdf" TargetMode="External"/><Relationship Id="rId89" Type="http://schemas.openxmlformats.org/officeDocument/2006/relationships/image" Target="media/image58.png"/><Relationship Id="rId112" Type="http://schemas.openxmlformats.org/officeDocument/2006/relationships/footer" Target="footer10.xml"/><Relationship Id="rId133" Type="http://schemas.openxmlformats.org/officeDocument/2006/relationships/image" Target="media/image91.jpeg"/><Relationship Id="rId154" Type="http://schemas.openxmlformats.org/officeDocument/2006/relationships/image" Target="media/image111.jpeg"/><Relationship Id="rId175" Type="http://schemas.openxmlformats.org/officeDocument/2006/relationships/image" Target="media/image124.png"/><Relationship Id="rId196" Type="http://schemas.openxmlformats.org/officeDocument/2006/relationships/hyperlink" Target="http://www.ces.vic.gov.au/" TargetMode="External"/><Relationship Id="rId200" Type="http://schemas.openxmlformats.org/officeDocument/2006/relationships/image" Target="media/image1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195</Pages>
  <Words>64972</Words>
  <Characters>370341</Characters>
  <Application>Microsoft Office Word</Application>
  <DocSecurity>0</DocSecurity>
  <Lines>3086</Lines>
  <Paragraphs>868</Paragraphs>
  <ScaleCrop>false</ScaleCrop>
  <Company/>
  <LinksUpToDate>false</LinksUpToDate>
  <CharactersWithSpaces>434445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Claire Ruedin (DEECA)</cp:lastModifiedBy>
  <cp:revision>2</cp:revision>
  <dcterms:created xsi:type="dcterms:W3CDTF">2023-03-06T01:56:00Z</dcterms:created>
  <dcterms:modified xsi:type="dcterms:W3CDTF">2023-03-06T02:08:00Z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2022-10-26T00:00:00Z</vt:filetime>
  </property>
  <property fmtid="{D5CDD505-2E9C-101B-9397-08002B2CF9AE}" pid="3" name="Creator">
    <vt:lpwstr>Adobe InDesign 17.4 (Macintosh)</vt:lpwstr>
  </property>
  <property fmtid="{D5CDD505-2E9C-101B-9397-08002B2CF9AE}" pid="4" name="LastSaved">
    <vt:filetime>2023-03-06T00:00:00Z</vt:filetime>
  </property>
  <property fmtid="{D5CDD505-2E9C-101B-9397-08002B2CF9AE}" pid="5" name="MSIP_Label_4257e2ab-f512-40e2-9c9a-c64247360765_Enabled">
    <vt:lpwstr>true</vt:lpwstr>
  </property>
  <property fmtid="{D5CDD505-2E9C-101B-9397-08002B2CF9AE}" pid="6" name="MSIP_Label_4257e2ab-f512-40e2-9c9a-c64247360765_SetDate">
    <vt:lpwstr>2023-03-06T02:08:32Z</vt:lpwstr>
  </property>
  <property fmtid="{D5CDD505-2E9C-101B-9397-08002B2CF9AE}" pid="7" name="MSIP_Label_4257e2ab-f512-40e2-9c9a-c64247360765_Method">
    <vt:lpwstr>Privileged</vt:lpwstr>
  </property>
  <property fmtid="{D5CDD505-2E9C-101B-9397-08002B2CF9AE}" pid="8" name="MSIP_Label_4257e2ab-f512-40e2-9c9a-c64247360765_Name">
    <vt:lpwstr>OFFICIAL</vt:lpwstr>
  </property>
  <property fmtid="{D5CDD505-2E9C-101B-9397-08002B2CF9AE}" pid="9" name="MSIP_Label_4257e2ab-f512-40e2-9c9a-c64247360765_SiteId">
    <vt:lpwstr>e8bdd6f7-fc18-4e48-a554-7f547927223b</vt:lpwstr>
  </property>
  <property fmtid="{D5CDD505-2E9C-101B-9397-08002B2CF9AE}" pid="10" name="MSIP_Label_4257e2ab-f512-40e2-9c9a-c64247360765_ActionId">
    <vt:lpwstr>796cf0ce-d1b1-48f3-8114-41909d1e4313</vt:lpwstr>
  </property>
  <property fmtid="{D5CDD505-2E9C-101B-9397-08002B2CF9AE}" pid="11" name="MSIP_Label_4257e2ab-f512-40e2-9c9a-c64247360765_ContentBits">
    <vt:lpwstr>2</vt:lpwstr>
  </property>
</Properties>
</file>